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899" w14:textId="77777777" w:rsidR="00395B24" w:rsidRDefault="002C7385">
      <w:pPr>
        <w:pStyle w:val="NormalHeadings"/>
        <w:jc w:val="center"/>
        <w:rPr>
          <w:sz w:val="32"/>
        </w:rPr>
      </w:pPr>
      <w:r>
        <w:rPr>
          <w:sz w:val="32"/>
        </w:rPr>
        <w:t>FEDERAL COURT OF AUSTRALIA</w:t>
      </w:r>
    </w:p>
    <w:p w14:paraId="03135F89" w14:textId="77777777" w:rsidR="00395B24" w:rsidRDefault="00395B24">
      <w:pPr>
        <w:pStyle w:val="NormalHeadings"/>
        <w:jc w:val="center"/>
        <w:rPr>
          <w:sz w:val="32"/>
        </w:rPr>
      </w:pPr>
    </w:p>
    <w:p w14:paraId="1944B81B" w14:textId="55BA5B2C" w:rsidR="00395B24" w:rsidRDefault="007C5A83">
      <w:pPr>
        <w:pStyle w:val="MediaNeutralStyle"/>
      </w:pPr>
      <w:bookmarkStart w:id="0" w:name="MNC"/>
      <w:r>
        <w:t xml:space="preserve">The Wilderness Society (Tasmania) </w:t>
      </w:r>
      <w:proofErr w:type="spellStart"/>
      <w:r>
        <w:t>Inc</w:t>
      </w:r>
      <w:proofErr w:type="spellEnd"/>
      <w:r>
        <w:t xml:space="preserve"> v Minister for the Environment [2019] FCA </w:t>
      </w:r>
      <w:r w:rsidR="00B12534">
        <w:t>1842</w:t>
      </w:r>
      <w:r w:rsidR="002C7385">
        <w:t xml:space="preserve"> </w:t>
      </w:r>
      <w:bookmarkEnd w:id="0"/>
    </w:p>
    <w:p w14:paraId="7C57932A"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7E78B07" w14:textId="77777777" w:rsidTr="000A2BDC">
        <w:tc>
          <w:tcPr>
            <w:tcW w:w="3085" w:type="dxa"/>
            <w:shd w:val="clear" w:color="auto" w:fill="auto"/>
          </w:tcPr>
          <w:p w14:paraId="749FEBDA" w14:textId="2AEE9D9B" w:rsidR="00395B24" w:rsidRDefault="00EE7F2A" w:rsidP="00663878">
            <w:pPr>
              <w:pStyle w:val="Normal1linespace"/>
              <w:widowControl w:val="0"/>
              <w:jc w:val="left"/>
            </w:pPr>
            <w:r>
              <w:t>File number</w:t>
            </w:r>
            <w:r w:rsidR="002C7385">
              <w:t>:</w:t>
            </w:r>
          </w:p>
        </w:tc>
        <w:tc>
          <w:tcPr>
            <w:tcW w:w="5989" w:type="dxa"/>
            <w:shd w:val="clear" w:color="auto" w:fill="auto"/>
          </w:tcPr>
          <w:p w14:paraId="36280228" w14:textId="77777777" w:rsidR="00395B24" w:rsidRPr="007C5A83" w:rsidRDefault="00064148" w:rsidP="007C5A83">
            <w:pPr>
              <w:pStyle w:val="Normal1linespace"/>
              <w:jc w:val="left"/>
            </w:pPr>
            <w:r>
              <w:fldChar w:fldCharType="begin" w:fldLock="1"/>
            </w:r>
            <w:r>
              <w:instrText xml:space="preserve"> REF  FileNo  \* MERGEFORMAT </w:instrText>
            </w:r>
            <w:r>
              <w:fldChar w:fldCharType="separate"/>
            </w:r>
            <w:r w:rsidR="007C5A83" w:rsidRPr="007C5A83">
              <w:t>TAD 45 of 2018</w:t>
            </w:r>
            <w:r>
              <w:fldChar w:fldCharType="end"/>
            </w:r>
          </w:p>
        </w:tc>
      </w:tr>
      <w:tr w:rsidR="00395B24" w14:paraId="2D239B96" w14:textId="77777777" w:rsidTr="000A2BDC">
        <w:tc>
          <w:tcPr>
            <w:tcW w:w="3085" w:type="dxa"/>
            <w:shd w:val="clear" w:color="auto" w:fill="auto"/>
          </w:tcPr>
          <w:p w14:paraId="48CD64DB" w14:textId="77777777" w:rsidR="00395B24" w:rsidRDefault="00395B24" w:rsidP="00663878">
            <w:pPr>
              <w:pStyle w:val="Normal1linespace"/>
              <w:widowControl w:val="0"/>
              <w:jc w:val="left"/>
            </w:pPr>
          </w:p>
        </w:tc>
        <w:tc>
          <w:tcPr>
            <w:tcW w:w="5989" w:type="dxa"/>
            <w:shd w:val="clear" w:color="auto" w:fill="auto"/>
          </w:tcPr>
          <w:p w14:paraId="0AA3132F" w14:textId="77777777" w:rsidR="00395B24" w:rsidRDefault="00395B24" w:rsidP="00663878">
            <w:pPr>
              <w:pStyle w:val="Normal1linespace"/>
              <w:widowControl w:val="0"/>
              <w:jc w:val="left"/>
            </w:pPr>
          </w:p>
        </w:tc>
      </w:tr>
      <w:tr w:rsidR="00395B24" w14:paraId="69C6F462" w14:textId="77777777" w:rsidTr="000A2BDC">
        <w:tc>
          <w:tcPr>
            <w:tcW w:w="3085" w:type="dxa"/>
            <w:shd w:val="clear" w:color="auto" w:fill="auto"/>
          </w:tcPr>
          <w:p w14:paraId="4A149518" w14:textId="12EA8F6B" w:rsidR="00395B24" w:rsidRDefault="00EE7F2A" w:rsidP="00663878">
            <w:pPr>
              <w:pStyle w:val="Normal1linespace"/>
              <w:widowControl w:val="0"/>
              <w:jc w:val="left"/>
            </w:pPr>
            <w:r>
              <w:t>Judge</w:t>
            </w:r>
            <w:r w:rsidR="002C7385">
              <w:t>:</w:t>
            </w:r>
          </w:p>
        </w:tc>
        <w:tc>
          <w:tcPr>
            <w:tcW w:w="5989" w:type="dxa"/>
            <w:shd w:val="clear" w:color="auto" w:fill="auto"/>
          </w:tcPr>
          <w:p w14:paraId="12A89E20" w14:textId="77777777" w:rsidR="00395B24" w:rsidRDefault="002C7385" w:rsidP="00663878">
            <w:pPr>
              <w:pStyle w:val="Normal1linespace"/>
              <w:widowControl w:val="0"/>
              <w:jc w:val="left"/>
              <w:rPr>
                <w:b/>
              </w:rPr>
            </w:pPr>
            <w:r w:rsidRPr="007C5A83">
              <w:rPr>
                <w:b/>
              </w:rPr>
              <w:fldChar w:fldCharType="begin" w:fldLock="1"/>
            </w:r>
            <w:r w:rsidRPr="007C5A83">
              <w:rPr>
                <w:b/>
              </w:rPr>
              <w:instrText xml:space="preserve"> REF  Judge  \* MERGEFORMAT </w:instrText>
            </w:r>
            <w:r w:rsidRPr="007C5A83">
              <w:rPr>
                <w:b/>
              </w:rPr>
              <w:fldChar w:fldCharType="separate"/>
            </w:r>
            <w:r w:rsidR="007C5A83" w:rsidRPr="007C5A83">
              <w:rPr>
                <w:b/>
                <w:caps/>
                <w:szCs w:val="24"/>
              </w:rPr>
              <w:t>MORTIMER J</w:t>
            </w:r>
            <w:r w:rsidRPr="007C5A83">
              <w:rPr>
                <w:b/>
              </w:rPr>
              <w:fldChar w:fldCharType="end"/>
            </w:r>
          </w:p>
        </w:tc>
      </w:tr>
      <w:tr w:rsidR="00395B24" w14:paraId="7749EE78" w14:textId="77777777" w:rsidTr="000A2BDC">
        <w:tc>
          <w:tcPr>
            <w:tcW w:w="3085" w:type="dxa"/>
            <w:shd w:val="clear" w:color="auto" w:fill="auto"/>
          </w:tcPr>
          <w:p w14:paraId="109A4DBD" w14:textId="77777777" w:rsidR="00395B24" w:rsidRDefault="00395B24" w:rsidP="00663878">
            <w:pPr>
              <w:pStyle w:val="Normal1linespace"/>
              <w:widowControl w:val="0"/>
              <w:jc w:val="left"/>
            </w:pPr>
          </w:p>
        </w:tc>
        <w:tc>
          <w:tcPr>
            <w:tcW w:w="5989" w:type="dxa"/>
            <w:shd w:val="clear" w:color="auto" w:fill="auto"/>
          </w:tcPr>
          <w:p w14:paraId="0AA501FD" w14:textId="77777777" w:rsidR="00395B24" w:rsidRDefault="00395B24" w:rsidP="00663878">
            <w:pPr>
              <w:pStyle w:val="Normal1linespace"/>
              <w:widowControl w:val="0"/>
              <w:jc w:val="left"/>
            </w:pPr>
          </w:p>
        </w:tc>
      </w:tr>
      <w:tr w:rsidR="00395B24" w14:paraId="6D728729" w14:textId="77777777" w:rsidTr="000A2BDC">
        <w:tc>
          <w:tcPr>
            <w:tcW w:w="3085" w:type="dxa"/>
            <w:shd w:val="clear" w:color="auto" w:fill="auto"/>
          </w:tcPr>
          <w:p w14:paraId="6A4E6E32" w14:textId="77777777" w:rsidR="00395B24" w:rsidRDefault="002C7385" w:rsidP="00663878">
            <w:pPr>
              <w:pStyle w:val="Normal1linespace"/>
              <w:widowControl w:val="0"/>
              <w:jc w:val="left"/>
            </w:pPr>
            <w:r>
              <w:t>Date of judgment:</w:t>
            </w:r>
          </w:p>
        </w:tc>
        <w:tc>
          <w:tcPr>
            <w:tcW w:w="5989" w:type="dxa"/>
            <w:shd w:val="clear" w:color="auto" w:fill="auto"/>
          </w:tcPr>
          <w:p w14:paraId="5DE67710" w14:textId="314EF2ED" w:rsidR="00395B24" w:rsidRDefault="008C0269" w:rsidP="00663878">
            <w:pPr>
              <w:pStyle w:val="Normal1linespace"/>
              <w:widowControl w:val="0"/>
              <w:jc w:val="left"/>
            </w:pPr>
            <w:r>
              <w:t>12 November 2019</w:t>
            </w:r>
          </w:p>
        </w:tc>
      </w:tr>
      <w:tr w:rsidR="00395B24" w14:paraId="7BAC4A97" w14:textId="77777777" w:rsidTr="000A2BDC">
        <w:tc>
          <w:tcPr>
            <w:tcW w:w="3085" w:type="dxa"/>
            <w:shd w:val="clear" w:color="auto" w:fill="auto"/>
          </w:tcPr>
          <w:p w14:paraId="5DB834BE" w14:textId="77777777" w:rsidR="00395B24" w:rsidRDefault="00395B24" w:rsidP="00663878">
            <w:pPr>
              <w:pStyle w:val="Normal1linespace"/>
              <w:widowControl w:val="0"/>
              <w:jc w:val="left"/>
            </w:pPr>
          </w:p>
        </w:tc>
        <w:tc>
          <w:tcPr>
            <w:tcW w:w="5989" w:type="dxa"/>
            <w:shd w:val="clear" w:color="auto" w:fill="auto"/>
          </w:tcPr>
          <w:p w14:paraId="7ECC38CF" w14:textId="77777777" w:rsidR="00395B24" w:rsidRDefault="00395B24" w:rsidP="00663878">
            <w:pPr>
              <w:pStyle w:val="Normal1linespace"/>
              <w:widowControl w:val="0"/>
              <w:jc w:val="left"/>
            </w:pPr>
          </w:p>
        </w:tc>
      </w:tr>
      <w:tr w:rsidR="00395B24" w14:paraId="7D98C396" w14:textId="77777777" w:rsidTr="000A2BDC">
        <w:tc>
          <w:tcPr>
            <w:tcW w:w="3085" w:type="dxa"/>
            <w:shd w:val="clear" w:color="auto" w:fill="auto"/>
          </w:tcPr>
          <w:p w14:paraId="1BB68A8E" w14:textId="77777777" w:rsidR="00395B24" w:rsidRDefault="002C7385" w:rsidP="00663878">
            <w:pPr>
              <w:pStyle w:val="Normal1linespace"/>
              <w:widowControl w:val="0"/>
              <w:jc w:val="left"/>
            </w:pPr>
            <w:r>
              <w:t>Catchwords:</w:t>
            </w:r>
          </w:p>
        </w:tc>
        <w:tc>
          <w:tcPr>
            <w:tcW w:w="5989" w:type="dxa"/>
            <w:shd w:val="clear" w:color="auto" w:fill="auto"/>
          </w:tcPr>
          <w:p w14:paraId="44EE1B43" w14:textId="1E38F51D" w:rsidR="00395B24" w:rsidRPr="00164A63" w:rsidRDefault="00D10BD4" w:rsidP="00850979">
            <w:pPr>
              <w:pStyle w:val="Normal1linespace"/>
              <w:widowControl w:val="0"/>
              <w:jc w:val="left"/>
            </w:pPr>
            <w:bookmarkStart w:id="1" w:name="Catchwords"/>
            <w:r w:rsidRPr="00164A63">
              <w:rPr>
                <w:b/>
              </w:rPr>
              <w:t>ENVIRONMENT LAW</w:t>
            </w:r>
            <w:r w:rsidRPr="00164A63">
              <w:t xml:space="preserve"> – application for judicial review of a referral decision made under the </w:t>
            </w:r>
            <w:r w:rsidRPr="00164A63">
              <w:rPr>
                <w:i/>
              </w:rPr>
              <w:t>Environment Protection and Biodiversity Conservation Act 1999</w:t>
            </w:r>
            <w:r w:rsidRPr="00164A63">
              <w:t xml:space="preserve"> (</w:t>
            </w:r>
            <w:proofErr w:type="spellStart"/>
            <w:r w:rsidRPr="00164A63">
              <w:t>Cth</w:t>
            </w:r>
            <w:proofErr w:type="spellEnd"/>
            <w:r w:rsidRPr="00164A63">
              <w:t xml:space="preserve">) – where a delegate of the Minister decided under s 75 of the Act that the proposed action was not a “controlled action” – where delegate adopted </w:t>
            </w:r>
            <w:bookmarkStart w:id="2" w:name="_GoBack"/>
            <w:bookmarkEnd w:id="2"/>
            <w:r w:rsidR="00ED4EF3" w:rsidRPr="00164A63">
              <w:t>D</w:t>
            </w:r>
            <w:r w:rsidRPr="00164A63">
              <w:t xml:space="preserve">epartmental brief as reasons for decision </w:t>
            </w:r>
            <w:r w:rsidR="00ED4EF3" w:rsidRPr="00164A63">
              <w:t>–</w:t>
            </w:r>
            <w:r w:rsidRPr="00164A63">
              <w:t xml:space="preserve"> </w:t>
            </w:r>
            <w:r w:rsidR="00ED4EF3" w:rsidRPr="00164A63">
              <w:t xml:space="preserve">whether delegate’s decision involved an error of law or </w:t>
            </w:r>
            <w:r w:rsidR="00BA488B" w:rsidRPr="00164A63">
              <w:t>misdirection due to erroneous view of Act’s requirements, including task under s 75</w:t>
            </w:r>
            <w:r w:rsidR="00ED4EF3" w:rsidRPr="00164A63">
              <w:t xml:space="preserve"> – where delegate relied on assessment</w:t>
            </w:r>
            <w:r w:rsidR="00BA488B" w:rsidRPr="00164A63">
              <w:t xml:space="preserve"> of proposed action</w:t>
            </w:r>
            <w:r w:rsidR="00ED4EF3" w:rsidRPr="00164A63">
              <w:t xml:space="preserve"> conducted by the Tasmanian Parks and Wildlife Service</w:t>
            </w:r>
            <w:r w:rsidR="005B2026">
              <w:t xml:space="preserve"> under </w:t>
            </w:r>
            <w:r w:rsidR="007B6065">
              <w:t>the</w:t>
            </w:r>
            <w:r w:rsidR="00ED4EF3" w:rsidRPr="00164A63">
              <w:t xml:space="preserve"> “Reserve Activity Assessment”</w:t>
            </w:r>
            <w:r w:rsidR="008854BA">
              <w:t xml:space="preserve"> (</w:t>
            </w:r>
            <w:r w:rsidR="008854BA">
              <w:rPr>
                <w:b/>
              </w:rPr>
              <w:t>RAA</w:t>
            </w:r>
            <w:r w:rsidR="008854BA">
              <w:t>)</w:t>
            </w:r>
            <w:r w:rsidR="00ED4EF3" w:rsidRPr="00164A63">
              <w:t xml:space="preserve"> process – </w:t>
            </w:r>
            <w:r w:rsidR="00BA488B" w:rsidRPr="00164A63">
              <w:t>where delegate took into account mitigation and avoidance measures proposed by proponent under RAA process</w:t>
            </w:r>
            <w:r w:rsidR="008854BA">
              <w:t xml:space="preserve"> in deciding action was not a “controlled action”</w:t>
            </w:r>
            <w:r w:rsidR="00BA488B" w:rsidRPr="00164A63">
              <w:t xml:space="preserve"> </w:t>
            </w:r>
            <w:r w:rsidR="008854BA" w:rsidRPr="00164A63">
              <w:t>–</w:t>
            </w:r>
            <w:r w:rsidR="00BA488B" w:rsidRPr="00164A63">
              <w:t xml:space="preserve"> </w:t>
            </w:r>
            <w:r w:rsidR="00ED4EF3" w:rsidRPr="00164A63">
              <w:t xml:space="preserve">whether </w:t>
            </w:r>
            <w:r w:rsidR="00850979">
              <w:t>non-compliance with</w:t>
            </w:r>
            <w:r w:rsidR="00ED4EF3" w:rsidRPr="00164A63">
              <w:t xml:space="preserve"> s 77A of the Act – whether delegate was required to consider whether to exercise power in s 74A of the Act before making decision under s 75</w:t>
            </w:r>
            <w:r w:rsidR="00850979">
              <w:t xml:space="preserve"> – application allowed</w:t>
            </w:r>
            <w:r w:rsidR="002C7385" w:rsidRPr="00164A63">
              <w:t xml:space="preserve"> </w:t>
            </w:r>
            <w:bookmarkEnd w:id="1"/>
          </w:p>
        </w:tc>
      </w:tr>
      <w:tr w:rsidR="00395B24" w14:paraId="3F5A27C7" w14:textId="77777777" w:rsidTr="000A2BDC">
        <w:tc>
          <w:tcPr>
            <w:tcW w:w="3085" w:type="dxa"/>
            <w:shd w:val="clear" w:color="auto" w:fill="auto"/>
          </w:tcPr>
          <w:p w14:paraId="6894410F" w14:textId="77777777" w:rsidR="00395B24" w:rsidRDefault="00395B24" w:rsidP="00663878">
            <w:pPr>
              <w:pStyle w:val="Normal1linespace"/>
              <w:widowControl w:val="0"/>
              <w:jc w:val="left"/>
            </w:pPr>
          </w:p>
        </w:tc>
        <w:tc>
          <w:tcPr>
            <w:tcW w:w="5989" w:type="dxa"/>
            <w:shd w:val="clear" w:color="auto" w:fill="auto"/>
          </w:tcPr>
          <w:p w14:paraId="1A90C820" w14:textId="77777777" w:rsidR="00395B24" w:rsidRDefault="00395B24" w:rsidP="00663878">
            <w:pPr>
              <w:pStyle w:val="Normal1linespace"/>
              <w:widowControl w:val="0"/>
              <w:jc w:val="left"/>
            </w:pPr>
          </w:p>
        </w:tc>
      </w:tr>
      <w:tr w:rsidR="00395B24" w14:paraId="119920F0" w14:textId="77777777" w:rsidTr="000A2BDC">
        <w:tc>
          <w:tcPr>
            <w:tcW w:w="3085" w:type="dxa"/>
            <w:shd w:val="clear" w:color="auto" w:fill="auto"/>
          </w:tcPr>
          <w:p w14:paraId="00B4C0F5" w14:textId="77777777" w:rsidR="00395B24" w:rsidRDefault="002C7385" w:rsidP="00663878">
            <w:pPr>
              <w:pStyle w:val="Normal1linespace"/>
              <w:widowControl w:val="0"/>
              <w:jc w:val="left"/>
            </w:pPr>
            <w:r>
              <w:t>Legislation:</w:t>
            </w:r>
          </w:p>
        </w:tc>
        <w:tc>
          <w:tcPr>
            <w:tcW w:w="5989" w:type="dxa"/>
            <w:shd w:val="clear" w:color="auto" w:fill="auto"/>
          </w:tcPr>
          <w:p w14:paraId="7731F8A3" w14:textId="4FABC6FE" w:rsidR="00E41897" w:rsidRDefault="00E41897" w:rsidP="00D82620">
            <w:pPr>
              <w:pStyle w:val="CasesLegislationAppealFrom"/>
              <w:spacing w:after="60"/>
            </w:pPr>
            <w:bookmarkStart w:id="3" w:name="Legislation"/>
            <w:r w:rsidRPr="005D03AB">
              <w:rPr>
                <w:i/>
              </w:rPr>
              <w:t>Administrative Decisions (Judicial Review) Act 1977</w:t>
            </w:r>
            <w:r w:rsidRPr="005D03AB">
              <w:t xml:space="preserve"> (</w:t>
            </w:r>
            <w:proofErr w:type="spellStart"/>
            <w:r w:rsidRPr="005D03AB">
              <w:t>Cth</w:t>
            </w:r>
            <w:proofErr w:type="spellEnd"/>
            <w:r w:rsidRPr="005D03AB">
              <w:t>)</w:t>
            </w:r>
            <w:r>
              <w:t xml:space="preserve"> </w:t>
            </w:r>
            <w:proofErr w:type="spellStart"/>
            <w:r>
              <w:t>ss</w:t>
            </w:r>
            <w:proofErr w:type="spellEnd"/>
            <w:r>
              <w:t xml:space="preserve"> 5, 11, 13</w:t>
            </w:r>
          </w:p>
          <w:p w14:paraId="3380BCD3" w14:textId="210EF7C7" w:rsidR="00395B24" w:rsidRPr="005D03AB" w:rsidRDefault="005D03AB" w:rsidP="00D82620">
            <w:pPr>
              <w:pStyle w:val="CasesLegislationAppealFrom"/>
              <w:spacing w:after="60"/>
            </w:pPr>
            <w:r w:rsidRPr="005D03AB">
              <w:rPr>
                <w:i/>
              </w:rPr>
              <w:t>Environment Protection and Biodiversity Conservation Act 1999</w:t>
            </w:r>
            <w:r w:rsidRPr="005D03AB">
              <w:t xml:space="preserve"> (</w:t>
            </w:r>
            <w:proofErr w:type="spellStart"/>
            <w:r w:rsidRPr="005D03AB">
              <w:t>Cth</w:t>
            </w:r>
            <w:proofErr w:type="spellEnd"/>
            <w:r w:rsidRPr="005D03AB">
              <w:t>)</w:t>
            </w:r>
            <w:r w:rsidR="00E41897">
              <w:t xml:space="preserve"> </w:t>
            </w:r>
            <w:proofErr w:type="spellStart"/>
            <w:r w:rsidR="00E41897">
              <w:t>ss</w:t>
            </w:r>
            <w:proofErr w:type="spellEnd"/>
            <w:r w:rsidR="00E41897">
              <w:t xml:space="preserve"> 12, 15A, 18, 18A, 19, 32, 33, 38, 74A, 74AA, 75, 77, 77A, 85, 131A, 134, 321, 322</w:t>
            </w:r>
          </w:p>
          <w:p w14:paraId="189C3CB1" w14:textId="52E72C1C" w:rsidR="00E41897" w:rsidRDefault="00E41897" w:rsidP="00D82620">
            <w:pPr>
              <w:pStyle w:val="CasesLegislationAppealFrom"/>
              <w:spacing w:after="60"/>
            </w:pPr>
            <w:r w:rsidRPr="005D03AB">
              <w:rPr>
                <w:i/>
              </w:rPr>
              <w:t>Environment Protection and Biodiversity Conservation Regulations 2000</w:t>
            </w:r>
            <w:r w:rsidRPr="005D03AB">
              <w:t xml:space="preserve"> (</w:t>
            </w:r>
            <w:proofErr w:type="spellStart"/>
            <w:r w:rsidRPr="005D03AB">
              <w:t>Cth</w:t>
            </w:r>
            <w:proofErr w:type="spellEnd"/>
            <w:r w:rsidRPr="005D03AB">
              <w:t>)</w:t>
            </w:r>
            <w:r w:rsidR="00106EFE">
              <w:t xml:space="preserve"> </w:t>
            </w:r>
            <w:proofErr w:type="spellStart"/>
            <w:r w:rsidR="00106EFE">
              <w:t>reg</w:t>
            </w:r>
            <w:proofErr w:type="spellEnd"/>
            <w:r w:rsidR="00106EFE">
              <w:t xml:space="preserve"> 4.03, </w:t>
            </w:r>
            <w:proofErr w:type="spellStart"/>
            <w:r w:rsidR="00730AD0">
              <w:t>Sch</w:t>
            </w:r>
            <w:r w:rsidR="0042114E">
              <w:t>s</w:t>
            </w:r>
            <w:proofErr w:type="spellEnd"/>
            <w:r w:rsidR="00730AD0">
              <w:t xml:space="preserve"> 2, </w:t>
            </w:r>
            <w:r w:rsidR="00106EFE">
              <w:t>5</w:t>
            </w:r>
          </w:p>
          <w:p w14:paraId="57E8D528" w14:textId="77777777" w:rsidR="00E41897" w:rsidRDefault="00E41897" w:rsidP="00D82620">
            <w:pPr>
              <w:pStyle w:val="CasesLegislationAppealFrom"/>
              <w:spacing w:after="60"/>
              <w:rPr>
                <w:i/>
              </w:rPr>
            </w:pPr>
            <w:r w:rsidRPr="005D03AB">
              <w:rPr>
                <w:i/>
              </w:rPr>
              <w:t>Environmental Management and Pollution Control Act 1994</w:t>
            </w:r>
            <w:r w:rsidRPr="005D03AB">
              <w:t xml:space="preserve"> (</w:t>
            </w:r>
            <w:proofErr w:type="spellStart"/>
            <w:r w:rsidRPr="005D03AB">
              <w:t>Tas</w:t>
            </w:r>
            <w:proofErr w:type="spellEnd"/>
            <w:r w:rsidRPr="005D03AB">
              <w:t>)</w:t>
            </w:r>
            <w:r w:rsidRPr="005D03AB">
              <w:rPr>
                <w:i/>
              </w:rPr>
              <w:t xml:space="preserve"> </w:t>
            </w:r>
          </w:p>
          <w:p w14:paraId="7C7899FD" w14:textId="2F61D9AF" w:rsidR="00E41897" w:rsidRDefault="00E41897" w:rsidP="00D82620">
            <w:pPr>
              <w:pStyle w:val="CasesLegislationAppealFrom"/>
              <w:spacing w:after="60"/>
            </w:pPr>
            <w:r w:rsidRPr="005D03AB">
              <w:rPr>
                <w:i/>
              </w:rPr>
              <w:t>Land Use Planning and Approvals Act 1993</w:t>
            </w:r>
            <w:r w:rsidRPr="005D03AB">
              <w:t xml:space="preserve"> (</w:t>
            </w:r>
            <w:proofErr w:type="spellStart"/>
            <w:r w:rsidRPr="005D03AB">
              <w:t>Tas</w:t>
            </w:r>
            <w:proofErr w:type="spellEnd"/>
            <w:r w:rsidRPr="005D03AB">
              <w:t>)</w:t>
            </w:r>
          </w:p>
          <w:p w14:paraId="1144CDDE" w14:textId="77DC388A" w:rsidR="005D03AB" w:rsidRPr="005D03AB" w:rsidRDefault="005D03AB" w:rsidP="00D82620">
            <w:pPr>
              <w:pStyle w:val="CasesLegislationAppealFrom"/>
              <w:spacing w:after="60"/>
            </w:pPr>
            <w:r w:rsidRPr="005D03AB">
              <w:rPr>
                <w:i/>
              </w:rPr>
              <w:t xml:space="preserve">National Parks and Reserve Management Act 2002 </w:t>
            </w:r>
            <w:r w:rsidRPr="005D03AB">
              <w:t>(</w:t>
            </w:r>
            <w:proofErr w:type="spellStart"/>
            <w:r w:rsidRPr="005D03AB">
              <w:t>Tas</w:t>
            </w:r>
            <w:proofErr w:type="spellEnd"/>
            <w:r w:rsidRPr="005D03AB">
              <w:t>)</w:t>
            </w:r>
            <w:r w:rsidR="00106EFE">
              <w:t xml:space="preserve"> </w:t>
            </w:r>
            <w:proofErr w:type="spellStart"/>
            <w:r w:rsidR="00106EFE">
              <w:t>ss</w:t>
            </w:r>
            <w:proofErr w:type="spellEnd"/>
            <w:r w:rsidR="00106EFE">
              <w:t xml:space="preserve"> 19-28, 48, 51</w:t>
            </w:r>
          </w:p>
          <w:p w14:paraId="53C93034" w14:textId="5382B971" w:rsidR="005D03AB" w:rsidRPr="005D03AB" w:rsidRDefault="00E41897" w:rsidP="00D82620">
            <w:pPr>
              <w:pStyle w:val="CasesLegislationAppealFrom"/>
              <w:spacing w:after="60"/>
            </w:pPr>
            <w:r w:rsidRPr="005D03AB">
              <w:rPr>
                <w:i/>
              </w:rPr>
              <w:t>State Policies and Projects Act 1993</w:t>
            </w:r>
            <w:r w:rsidRPr="005D03AB">
              <w:t xml:space="preserve"> (</w:t>
            </w:r>
            <w:proofErr w:type="spellStart"/>
            <w:r w:rsidRPr="005D03AB">
              <w:t>Tas</w:t>
            </w:r>
            <w:proofErr w:type="spellEnd"/>
            <w:r w:rsidRPr="005D03AB">
              <w:t>)</w:t>
            </w:r>
          </w:p>
          <w:p w14:paraId="467FF9FD" w14:textId="25C002DE" w:rsidR="005D03AB" w:rsidRPr="005D03AB" w:rsidRDefault="005D03AB" w:rsidP="00D82620">
            <w:pPr>
              <w:pStyle w:val="CasesLegislationAppealFrom"/>
              <w:spacing w:after="60"/>
            </w:pPr>
          </w:p>
          <w:p w14:paraId="315B2B4E" w14:textId="78AC9BBA" w:rsidR="005D03AB" w:rsidRPr="005D03AB" w:rsidRDefault="005D03AB" w:rsidP="00FC7A6C">
            <w:pPr>
              <w:pStyle w:val="CasesLegislationAppealFrom"/>
              <w:spacing w:after="60"/>
            </w:pPr>
            <w:r w:rsidRPr="005D03AB">
              <w:rPr>
                <w:i/>
              </w:rPr>
              <w:t xml:space="preserve">Convention for the Protection of the World Cultural and </w:t>
            </w:r>
            <w:r w:rsidRPr="005D03AB">
              <w:rPr>
                <w:i/>
              </w:rPr>
              <w:lastRenderedPageBreak/>
              <w:t>Natural Heritage</w:t>
            </w:r>
            <w:r w:rsidR="00FC7A6C">
              <w:t>, o</w:t>
            </w:r>
            <w:r w:rsidRPr="005D03AB">
              <w:t>pened for signature 16 November 1972</w:t>
            </w:r>
            <w:r w:rsidR="00FC7A6C">
              <w:t>,</w:t>
            </w:r>
            <w:r w:rsidRPr="005D03AB">
              <w:t>1037 UNTS 151 (entered into force 17 December 1975)</w:t>
            </w:r>
            <w:bookmarkEnd w:id="3"/>
            <w:r w:rsidR="0010033F">
              <w:t xml:space="preserve"> a</w:t>
            </w:r>
            <w:r w:rsidR="00F627DF">
              <w:t>rts 1, 2</w:t>
            </w:r>
          </w:p>
        </w:tc>
      </w:tr>
      <w:tr w:rsidR="00395B24" w14:paraId="16DB396F" w14:textId="77777777" w:rsidTr="000A2BDC">
        <w:tc>
          <w:tcPr>
            <w:tcW w:w="3085" w:type="dxa"/>
            <w:shd w:val="clear" w:color="auto" w:fill="auto"/>
          </w:tcPr>
          <w:p w14:paraId="3A914EBF" w14:textId="77777777" w:rsidR="00395B24" w:rsidRDefault="00395B24" w:rsidP="00663878">
            <w:pPr>
              <w:pStyle w:val="Normal1linespace"/>
              <w:widowControl w:val="0"/>
              <w:jc w:val="left"/>
            </w:pPr>
          </w:p>
        </w:tc>
        <w:tc>
          <w:tcPr>
            <w:tcW w:w="5989" w:type="dxa"/>
            <w:shd w:val="clear" w:color="auto" w:fill="auto"/>
          </w:tcPr>
          <w:p w14:paraId="7386D661" w14:textId="77777777" w:rsidR="00395B24" w:rsidRDefault="00395B24" w:rsidP="00663878">
            <w:pPr>
              <w:pStyle w:val="Normal1linespace"/>
              <w:widowControl w:val="0"/>
              <w:jc w:val="left"/>
            </w:pPr>
          </w:p>
        </w:tc>
      </w:tr>
      <w:tr w:rsidR="00395B24" w14:paraId="5DAA530A" w14:textId="77777777" w:rsidTr="000A2BDC">
        <w:tc>
          <w:tcPr>
            <w:tcW w:w="3085" w:type="dxa"/>
            <w:shd w:val="clear" w:color="auto" w:fill="auto"/>
          </w:tcPr>
          <w:p w14:paraId="733703E7" w14:textId="77777777" w:rsidR="00395B24" w:rsidRDefault="002C7385" w:rsidP="00663878">
            <w:pPr>
              <w:pStyle w:val="Normal1linespace"/>
              <w:widowControl w:val="0"/>
              <w:jc w:val="left"/>
            </w:pPr>
            <w:r>
              <w:t>Cases cited:</w:t>
            </w:r>
          </w:p>
        </w:tc>
        <w:tc>
          <w:tcPr>
            <w:tcW w:w="5989" w:type="dxa"/>
            <w:shd w:val="clear" w:color="auto" w:fill="auto"/>
          </w:tcPr>
          <w:p w14:paraId="01B74E1F" w14:textId="68986533" w:rsidR="005D03AB" w:rsidRDefault="005D03AB" w:rsidP="00D82620">
            <w:pPr>
              <w:pStyle w:val="CasesLegislationAppealFrom"/>
              <w:spacing w:after="60"/>
            </w:pPr>
            <w:bookmarkStart w:id="4" w:name="Cases_Cited"/>
            <w:proofErr w:type="spellStart"/>
            <w:r w:rsidRPr="005D03AB">
              <w:rPr>
                <w:i/>
              </w:rPr>
              <w:t>Akpata</w:t>
            </w:r>
            <w:proofErr w:type="spellEnd"/>
            <w:r w:rsidRPr="005D03AB">
              <w:rPr>
                <w:i/>
              </w:rPr>
              <w:t xml:space="preserve"> v Minister for Immigration and Multicultural and Indigenous Affairs</w:t>
            </w:r>
            <w:r w:rsidRPr="005D03AB">
              <w:t xml:space="preserve"> [2004] FCAFC 65</w:t>
            </w:r>
          </w:p>
          <w:p w14:paraId="396F4998" w14:textId="3DBAABF8" w:rsidR="00635AF2" w:rsidRPr="005D03AB" w:rsidRDefault="00635AF2" w:rsidP="00D82620">
            <w:pPr>
              <w:pStyle w:val="CasesLegislationAppealFrom"/>
              <w:spacing w:after="60"/>
            </w:pPr>
            <w:r w:rsidRPr="00101A38">
              <w:rPr>
                <w:i/>
              </w:rPr>
              <w:t>Animals</w:t>
            </w:r>
            <w:r>
              <w:rPr>
                <w:i/>
              </w:rPr>
              <w:t>’</w:t>
            </w:r>
            <w:r w:rsidRPr="00101A38">
              <w:rPr>
                <w:i/>
              </w:rPr>
              <w:t xml:space="preserve"> Angels</w:t>
            </w:r>
            <w:r>
              <w:rPr>
                <w:i/>
              </w:rPr>
              <w:t xml:space="preserve"> </w:t>
            </w:r>
            <w:proofErr w:type="spellStart"/>
            <w:r>
              <w:rPr>
                <w:i/>
              </w:rPr>
              <w:t>e.V</w:t>
            </w:r>
            <w:proofErr w:type="spellEnd"/>
            <w:r>
              <w:rPr>
                <w:i/>
              </w:rPr>
              <w:t>. v Secretary, Department of Agriculture</w:t>
            </w:r>
            <w:r>
              <w:t xml:space="preserve"> [2014] FCAFC 173; 228 FCR 35</w:t>
            </w:r>
          </w:p>
          <w:p w14:paraId="703C9D94" w14:textId="77777777" w:rsidR="005D03AB" w:rsidRPr="005D03AB" w:rsidRDefault="005D03AB" w:rsidP="00D82620">
            <w:pPr>
              <w:pStyle w:val="CasesLegislationAppealFrom"/>
              <w:spacing w:after="60"/>
            </w:pPr>
            <w:r w:rsidRPr="005D03AB">
              <w:rPr>
                <w:i/>
              </w:rPr>
              <w:t xml:space="preserve">Anvil Hill Project Watch Association </w:t>
            </w:r>
            <w:proofErr w:type="spellStart"/>
            <w:r w:rsidRPr="005D03AB">
              <w:rPr>
                <w:i/>
              </w:rPr>
              <w:t>Inc</w:t>
            </w:r>
            <w:proofErr w:type="spellEnd"/>
            <w:r w:rsidRPr="005D03AB">
              <w:rPr>
                <w:i/>
              </w:rPr>
              <w:t xml:space="preserve"> v Minister for Environment and Water Resources</w:t>
            </w:r>
            <w:r w:rsidRPr="005D03AB">
              <w:t xml:space="preserve"> [2008] FCAFC 3; 166 FCR 54</w:t>
            </w:r>
          </w:p>
          <w:p w14:paraId="607617F3" w14:textId="77777777" w:rsidR="005D03AB" w:rsidRPr="005D03AB" w:rsidRDefault="005D03AB" w:rsidP="00D82620">
            <w:pPr>
              <w:pStyle w:val="CasesLegislationAppealFrom"/>
              <w:spacing w:after="60"/>
            </w:pPr>
            <w:proofErr w:type="spellStart"/>
            <w:r w:rsidRPr="005D03AB">
              <w:rPr>
                <w:i/>
              </w:rPr>
              <w:t>Ayan</w:t>
            </w:r>
            <w:proofErr w:type="spellEnd"/>
            <w:r w:rsidRPr="005D03AB">
              <w:rPr>
                <w:i/>
              </w:rPr>
              <w:t xml:space="preserve"> v Minister for Immigration and Multicultural and Indigenous Affairs</w:t>
            </w:r>
            <w:r w:rsidRPr="005D03AB">
              <w:t xml:space="preserve"> [2003] FCAFC 7; 126 FCR 152</w:t>
            </w:r>
          </w:p>
          <w:p w14:paraId="2D81A650" w14:textId="77777777" w:rsidR="005D03AB" w:rsidRPr="005D03AB" w:rsidRDefault="005D03AB" w:rsidP="00D82620">
            <w:pPr>
              <w:pStyle w:val="CasesLegislationAppealFrom"/>
              <w:spacing w:after="60"/>
            </w:pPr>
            <w:r w:rsidRPr="005D03AB">
              <w:rPr>
                <w:i/>
              </w:rPr>
              <w:t xml:space="preserve">Friends of </w:t>
            </w:r>
            <w:proofErr w:type="spellStart"/>
            <w:r w:rsidRPr="005D03AB">
              <w:rPr>
                <w:i/>
              </w:rPr>
              <w:t>Leadbeater’s</w:t>
            </w:r>
            <w:proofErr w:type="spellEnd"/>
            <w:r w:rsidRPr="005D03AB">
              <w:rPr>
                <w:i/>
              </w:rPr>
              <w:t xml:space="preserve"> Possum </w:t>
            </w:r>
            <w:proofErr w:type="spellStart"/>
            <w:r w:rsidRPr="005D03AB">
              <w:rPr>
                <w:i/>
              </w:rPr>
              <w:t>Inc</w:t>
            </w:r>
            <w:proofErr w:type="spellEnd"/>
            <w:r w:rsidRPr="005D03AB">
              <w:rPr>
                <w:i/>
              </w:rPr>
              <w:t xml:space="preserve"> v </w:t>
            </w:r>
            <w:proofErr w:type="spellStart"/>
            <w:r w:rsidRPr="005D03AB">
              <w:rPr>
                <w:i/>
              </w:rPr>
              <w:t>VicForests</w:t>
            </w:r>
            <w:proofErr w:type="spellEnd"/>
            <w:r w:rsidRPr="005D03AB">
              <w:t xml:space="preserve"> [2018] FCA 178; 260 FCR 1</w:t>
            </w:r>
          </w:p>
          <w:p w14:paraId="61D60727" w14:textId="77777777" w:rsidR="005D03AB" w:rsidRPr="005D03AB" w:rsidRDefault="005D03AB" w:rsidP="00D82620">
            <w:pPr>
              <w:pStyle w:val="CasesLegislationAppealFrom"/>
              <w:spacing w:after="60"/>
            </w:pPr>
            <w:r w:rsidRPr="005D03AB">
              <w:rPr>
                <w:i/>
              </w:rPr>
              <w:t xml:space="preserve">Minister for Environment and Heritage v Queensland Conservation Council </w:t>
            </w:r>
            <w:proofErr w:type="spellStart"/>
            <w:r w:rsidRPr="005D03AB">
              <w:rPr>
                <w:i/>
              </w:rPr>
              <w:t>Inc</w:t>
            </w:r>
            <w:proofErr w:type="spellEnd"/>
            <w:r w:rsidRPr="005D03AB">
              <w:t xml:space="preserve"> [2004] FCAFC 190; 139 FCR 24</w:t>
            </w:r>
          </w:p>
          <w:p w14:paraId="6ADD56EE" w14:textId="77777777" w:rsidR="005D03AB" w:rsidRPr="005D03AB" w:rsidRDefault="005D03AB" w:rsidP="00D82620">
            <w:pPr>
              <w:pStyle w:val="CasesLegislationAppealFrom"/>
              <w:spacing w:after="60"/>
            </w:pPr>
            <w:r w:rsidRPr="005D03AB">
              <w:rPr>
                <w:i/>
              </w:rPr>
              <w:t>Minister for Immigration and Citizenship v SZGUR</w:t>
            </w:r>
            <w:r w:rsidRPr="005D03AB">
              <w:t xml:space="preserve"> [2011] HCA 1; 241 CLR 594</w:t>
            </w:r>
          </w:p>
          <w:p w14:paraId="485CDAA7" w14:textId="77777777" w:rsidR="005D03AB" w:rsidRPr="005D03AB" w:rsidRDefault="005D03AB" w:rsidP="00D82620">
            <w:pPr>
              <w:pStyle w:val="CasesLegislationAppealFrom"/>
              <w:spacing w:after="60"/>
            </w:pPr>
            <w:r w:rsidRPr="005D03AB">
              <w:rPr>
                <w:i/>
              </w:rPr>
              <w:t xml:space="preserve">Queensland Conservation Council </w:t>
            </w:r>
            <w:proofErr w:type="spellStart"/>
            <w:r w:rsidRPr="005D03AB">
              <w:rPr>
                <w:i/>
              </w:rPr>
              <w:t>Inc</w:t>
            </w:r>
            <w:proofErr w:type="spellEnd"/>
            <w:r w:rsidRPr="005D03AB">
              <w:rPr>
                <w:i/>
              </w:rPr>
              <w:t xml:space="preserve"> v Minister for the Environment and Heritage</w:t>
            </w:r>
            <w:r w:rsidRPr="005D03AB">
              <w:t xml:space="preserve"> [2003] FCA 1463</w:t>
            </w:r>
          </w:p>
          <w:p w14:paraId="2D3D0B9D" w14:textId="77777777" w:rsidR="005D03AB" w:rsidRPr="005D03AB" w:rsidRDefault="005D03AB" w:rsidP="00D82620">
            <w:pPr>
              <w:pStyle w:val="CasesLegislationAppealFrom"/>
              <w:spacing w:after="60"/>
            </w:pPr>
            <w:r w:rsidRPr="005D03AB">
              <w:rPr>
                <w:i/>
              </w:rPr>
              <w:t>Secretary, Department of Primary Industries, Parks, Water and Environment v Tasmanian Aboriginal Centre Incorporated</w:t>
            </w:r>
            <w:r w:rsidRPr="005D03AB">
              <w:t xml:space="preserve"> [2016] FCAFC 129; 244 FCR 21</w:t>
            </w:r>
          </w:p>
          <w:p w14:paraId="19F362CD" w14:textId="77777777" w:rsidR="005D03AB" w:rsidRPr="005D03AB" w:rsidRDefault="005D03AB" w:rsidP="00D82620">
            <w:pPr>
              <w:pStyle w:val="CasesLegislationAppealFrom"/>
              <w:spacing w:after="60"/>
            </w:pPr>
            <w:proofErr w:type="spellStart"/>
            <w:r w:rsidRPr="005D03AB">
              <w:rPr>
                <w:i/>
              </w:rPr>
              <w:t>Stambe</w:t>
            </w:r>
            <w:proofErr w:type="spellEnd"/>
            <w:r w:rsidRPr="005D03AB">
              <w:t xml:space="preserve"> </w:t>
            </w:r>
            <w:r w:rsidRPr="005D03AB">
              <w:rPr>
                <w:i/>
              </w:rPr>
              <w:t>v Minister for Health</w:t>
            </w:r>
            <w:r w:rsidRPr="005D03AB">
              <w:t xml:space="preserve"> [2019] FCA 43; 364 ALR 513</w:t>
            </w:r>
          </w:p>
          <w:p w14:paraId="29220101" w14:textId="77777777" w:rsidR="005D03AB" w:rsidRPr="005D03AB" w:rsidRDefault="005D03AB" w:rsidP="00D82620">
            <w:pPr>
              <w:pStyle w:val="CasesLegislationAppealFrom"/>
              <w:spacing w:after="60"/>
            </w:pPr>
            <w:proofErr w:type="spellStart"/>
            <w:r w:rsidRPr="005D03AB">
              <w:rPr>
                <w:i/>
              </w:rPr>
              <w:t>Tarkine</w:t>
            </w:r>
            <w:proofErr w:type="spellEnd"/>
            <w:r w:rsidRPr="005D03AB">
              <w:rPr>
                <w:i/>
              </w:rPr>
              <w:t xml:space="preserve"> National Coalition </w:t>
            </w:r>
            <w:proofErr w:type="spellStart"/>
            <w:r w:rsidRPr="005D03AB">
              <w:rPr>
                <w:i/>
              </w:rPr>
              <w:t>Inc</w:t>
            </w:r>
            <w:proofErr w:type="spellEnd"/>
            <w:r w:rsidRPr="005D03AB">
              <w:rPr>
                <w:i/>
              </w:rPr>
              <w:t xml:space="preserve"> v Minister for the Environment</w:t>
            </w:r>
            <w:r w:rsidRPr="005D03AB">
              <w:t xml:space="preserve"> [2015] FCAFC 89; 233 FCR 254</w:t>
            </w:r>
          </w:p>
          <w:p w14:paraId="188D557D" w14:textId="77777777" w:rsidR="005D03AB" w:rsidRPr="005D03AB" w:rsidRDefault="005D03AB" w:rsidP="00D82620">
            <w:pPr>
              <w:pStyle w:val="CasesLegislationAppealFrom"/>
              <w:spacing w:after="60"/>
            </w:pPr>
            <w:r w:rsidRPr="005D03AB">
              <w:rPr>
                <w:i/>
              </w:rPr>
              <w:t>Tasmanian Aboriginal Centre Incorporated v Secretary, Department of Primary Industries, Parks, Water and Environment (No 2)</w:t>
            </w:r>
            <w:r w:rsidRPr="005D03AB">
              <w:t xml:space="preserve"> [2016] FCA 168; 215 LGERA 1</w:t>
            </w:r>
          </w:p>
          <w:p w14:paraId="011552E3" w14:textId="77777777" w:rsidR="005D03AB" w:rsidRPr="005D03AB" w:rsidRDefault="005D03AB" w:rsidP="00D82620">
            <w:pPr>
              <w:pStyle w:val="CasesLegislationAppealFrom"/>
              <w:spacing w:after="60"/>
            </w:pPr>
            <w:r w:rsidRPr="005D03AB">
              <w:rPr>
                <w:i/>
              </w:rPr>
              <w:t xml:space="preserve">Triabunna Investments Pty Ltd v Minister for Environment and Energy </w:t>
            </w:r>
            <w:r w:rsidRPr="005D03AB">
              <w:t>[2019] FCAFC 60</w:t>
            </w:r>
          </w:p>
          <w:p w14:paraId="2A1983F7" w14:textId="77777777" w:rsidR="005D03AB" w:rsidRPr="005D03AB" w:rsidRDefault="005D03AB" w:rsidP="00D82620">
            <w:pPr>
              <w:pStyle w:val="CasesLegislationAppealFrom"/>
              <w:spacing w:after="60"/>
            </w:pPr>
            <w:r w:rsidRPr="005D03AB">
              <w:rPr>
                <w:i/>
              </w:rPr>
              <w:t>Triabunna Investments Pty Ltd v Minister for the Environment and Energy</w:t>
            </w:r>
            <w:r w:rsidRPr="005D03AB">
              <w:t xml:space="preserve"> [2018] FCA 486; 160 ALD 243</w:t>
            </w:r>
          </w:p>
          <w:p w14:paraId="209DB80B" w14:textId="2FE868BC" w:rsidR="005D03AB" w:rsidRPr="005D03AB" w:rsidRDefault="005D03AB" w:rsidP="00D82620">
            <w:pPr>
              <w:pStyle w:val="CasesLegislationAppealFrom"/>
              <w:spacing w:after="60"/>
            </w:pPr>
            <w:r w:rsidRPr="005D03AB">
              <w:rPr>
                <w:i/>
              </w:rPr>
              <w:t xml:space="preserve">Yasmin v Attorney-General of the Commonwealth of Australia </w:t>
            </w:r>
            <w:r w:rsidRPr="005D03AB">
              <w:t>[2015] FCAFC 145; 236 FCR 169</w:t>
            </w:r>
            <w:bookmarkEnd w:id="4"/>
          </w:p>
        </w:tc>
      </w:tr>
      <w:tr w:rsidR="000A2BDC" w:rsidRPr="000A2BDC" w14:paraId="45914AC5" w14:textId="77777777" w:rsidTr="000A2BDC">
        <w:tc>
          <w:tcPr>
            <w:tcW w:w="3085" w:type="dxa"/>
            <w:shd w:val="clear" w:color="auto" w:fill="auto"/>
          </w:tcPr>
          <w:p w14:paraId="305B3E7F" w14:textId="77777777" w:rsidR="000A2BDC" w:rsidRPr="000A2BDC" w:rsidRDefault="000A2BDC" w:rsidP="000A2BDC">
            <w:pPr>
              <w:pStyle w:val="Normal1linespace"/>
              <w:jc w:val="left"/>
            </w:pPr>
          </w:p>
        </w:tc>
        <w:tc>
          <w:tcPr>
            <w:tcW w:w="5989" w:type="dxa"/>
            <w:shd w:val="clear" w:color="auto" w:fill="auto"/>
          </w:tcPr>
          <w:p w14:paraId="37795A7D" w14:textId="77777777" w:rsidR="000A2BDC" w:rsidRPr="000A2BDC" w:rsidRDefault="000A2BDC" w:rsidP="000A2BDC">
            <w:pPr>
              <w:pStyle w:val="Normal1linespace"/>
              <w:jc w:val="left"/>
            </w:pPr>
          </w:p>
        </w:tc>
      </w:tr>
      <w:tr w:rsidR="000A2BDC" w:rsidRPr="000A2BDC" w14:paraId="06705962" w14:textId="77777777" w:rsidTr="000A2BDC">
        <w:tc>
          <w:tcPr>
            <w:tcW w:w="3085" w:type="dxa"/>
            <w:shd w:val="clear" w:color="auto" w:fill="auto"/>
          </w:tcPr>
          <w:p w14:paraId="71EE4DD7" w14:textId="77777777" w:rsidR="000A2BDC" w:rsidRPr="000A2BDC" w:rsidRDefault="000A2BDC" w:rsidP="000A2BDC">
            <w:pPr>
              <w:pStyle w:val="Normal1linespace"/>
              <w:jc w:val="left"/>
            </w:pPr>
            <w:bookmarkStart w:id="5" w:name="CounselDate" w:colFirst="0" w:colLast="2"/>
            <w:r w:rsidRPr="000A2BDC">
              <w:t>Date of hearing:</w:t>
            </w:r>
          </w:p>
        </w:tc>
        <w:tc>
          <w:tcPr>
            <w:tcW w:w="5989" w:type="dxa"/>
            <w:shd w:val="clear" w:color="auto" w:fill="auto"/>
          </w:tcPr>
          <w:p w14:paraId="5E2D2EFC" w14:textId="0C489B61" w:rsidR="000A2BDC" w:rsidRPr="000A2BDC" w:rsidRDefault="000A2BDC" w:rsidP="000A2BDC">
            <w:pPr>
              <w:pStyle w:val="Normal1linespace"/>
              <w:jc w:val="left"/>
            </w:pPr>
            <w:bookmarkStart w:id="6" w:name="HearingDate"/>
            <w:r>
              <w:t>26 March 2019</w:t>
            </w:r>
            <w:bookmarkEnd w:id="6"/>
          </w:p>
        </w:tc>
      </w:tr>
      <w:tr w:rsidR="000A2BDC" w:rsidRPr="000A2BDC" w14:paraId="1DF644C2" w14:textId="77777777" w:rsidTr="000A2BDC">
        <w:tc>
          <w:tcPr>
            <w:tcW w:w="3085" w:type="dxa"/>
            <w:shd w:val="clear" w:color="auto" w:fill="auto"/>
          </w:tcPr>
          <w:p w14:paraId="1F21C44B" w14:textId="77777777" w:rsidR="000A2BDC" w:rsidRPr="000A2BDC" w:rsidRDefault="000A2BDC" w:rsidP="000A2BDC">
            <w:pPr>
              <w:pStyle w:val="Normal1linespace"/>
              <w:jc w:val="left"/>
            </w:pPr>
          </w:p>
        </w:tc>
        <w:tc>
          <w:tcPr>
            <w:tcW w:w="5989" w:type="dxa"/>
            <w:shd w:val="clear" w:color="auto" w:fill="auto"/>
          </w:tcPr>
          <w:p w14:paraId="6D7433DB" w14:textId="77777777" w:rsidR="000A2BDC" w:rsidRPr="000A2BDC" w:rsidRDefault="000A2BDC" w:rsidP="000A2BDC">
            <w:pPr>
              <w:pStyle w:val="Normal1linespace"/>
              <w:jc w:val="left"/>
            </w:pPr>
          </w:p>
        </w:tc>
      </w:tr>
      <w:tr w:rsidR="000A2BDC" w:rsidRPr="000A2BDC" w14:paraId="3D76A945" w14:textId="77777777" w:rsidTr="000A2BDC">
        <w:tc>
          <w:tcPr>
            <w:tcW w:w="3085" w:type="dxa"/>
            <w:shd w:val="clear" w:color="auto" w:fill="auto"/>
          </w:tcPr>
          <w:p w14:paraId="0BB8850C" w14:textId="77777777" w:rsidR="000A2BDC" w:rsidRPr="000A2BDC" w:rsidRDefault="000A2BDC" w:rsidP="000A2BDC">
            <w:pPr>
              <w:pStyle w:val="Normal1linespace"/>
              <w:jc w:val="left"/>
            </w:pPr>
            <w:r w:rsidRPr="000A2BDC">
              <w:t>Date of last submissions:</w:t>
            </w:r>
          </w:p>
        </w:tc>
        <w:tc>
          <w:tcPr>
            <w:tcW w:w="5989" w:type="dxa"/>
            <w:shd w:val="clear" w:color="auto" w:fill="auto"/>
          </w:tcPr>
          <w:p w14:paraId="40D4C42C" w14:textId="1FF2E63F" w:rsidR="000A2BDC" w:rsidRPr="000A2BDC" w:rsidRDefault="009408F8" w:rsidP="000A2BDC">
            <w:pPr>
              <w:pStyle w:val="Normal1linespace"/>
              <w:jc w:val="left"/>
            </w:pPr>
            <w:r>
              <w:t>24 May 2019</w:t>
            </w:r>
          </w:p>
        </w:tc>
      </w:tr>
      <w:bookmarkEnd w:id="5"/>
      <w:tr w:rsidR="000A2BDC" w14:paraId="27B047EF" w14:textId="77777777" w:rsidTr="000A2BDC">
        <w:tc>
          <w:tcPr>
            <w:tcW w:w="3085" w:type="dxa"/>
            <w:shd w:val="clear" w:color="auto" w:fill="auto"/>
          </w:tcPr>
          <w:p w14:paraId="587D8D83" w14:textId="77777777" w:rsidR="000A2BDC" w:rsidRDefault="000A2BDC" w:rsidP="000A2BDC">
            <w:pPr>
              <w:pStyle w:val="Normal1linespace"/>
              <w:widowControl w:val="0"/>
              <w:jc w:val="left"/>
            </w:pPr>
          </w:p>
        </w:tc>
        <w:tc>
          <w:tcPr>
            <w:tcW w:w="5989" w:type="dxa"/>
            <w:shd w:val="clear" w:color="auto" w:fill="auto"/>
          </w:tcPr>
          <w:p w14:paraId="63AABA0C" w14:textId="77777777" w:rsidR="000A2BDC" w:rsidRDefault="000A2BDC" w:rsidP="000A2BDC">
            <w:pPr>
              <w:pStyle w:val="Normal1linespace"/>
              <w:widowControl w:val="0"/>
              <w:jc w:val="left"/>
            </w:pPr>
          </w:p>
        </w:tc>
      </w:tr>
      <w:tr w:rsidR="000A2BDC" w14:paraId="3328F72E" w14:textId="77777777" w:rsidTr="000A2BDC">
        <w:tc>
          <w:tcPr>
            <w:tcW w:w="3085" w:type="dxa"/>
            <w:shd w:val="clear" w:color="auto" w:fill="auto"/>
          </w:tcPr>
          <w:p w14:paraId="30C4730B" w14:textId="77777777" w:rsidR="000A2BDC" w:rsidRDefault="000A2BDC" w:rsidP="000A2BDC">
            <w:pPr>
              <w:pStyle w:val="Normal1linespace"/>
              <w:widowControl w:val="0"/>
              <w:jc w:val="left"/>
            </w:pPr>
            <w:r>
              <w:t>Registry:</w:t>
            </w:r>
          </w:p>
        </w:tc>
        <w:tc>
          <w:tcPr>
            <w:tcW w:w="5989" w:type="dxa"/>
            <w:shd w:val="clear" w:color="auto" w:fill="auto"/>
          </w:tcPr>
          <w:p w14:paraId="7B7E30F4" w14:textId="2FB7E76D" w:rsidR="000A2BDC" w:rsidRPr="00F17599" w:rsidRDefault="00064148" w:rsidP="000A2BDC">
            <w:pPr>
              <w:pStyle w:val="Normal1linespace"/>
              <w:widowControl w:val="0"/>
              <w:jc w:val="left"/>
            </w:pPr>
            <w:r>
              <w:fldChar w:fldCharType="begin" w:fldLock="1"/>
            </w:r>
            <w:r>
              <w:instrText xml:space="preserve"> DOCPROPERTY  Registry </w:instrText>
            </w:r>
            <w:r>
              <w:fldChar w:fldCharType="separate"/>
            </w:r>
            <w:r w:rsidR="000A2BDC">
              <w:t>Tasmania</w:t>
            </w:r>
            <w:r>
              <w:fldChar w:fldCharType="end"/>
            </w:r>
          </w:p>
        </w:tc>
      </w:tr>
      <w:tr w:rsidR="000A2BDC" w14:paraId="63C36971" w14:textId="77777777" w:rsidTr="000A2BDC">
        <w:tc>
          <w:tcPr>
            <w:tcW w:w="3085" w:type="dxa"/>
            <w:shd w:val="clear" w:color="auto" w:fill="auto"/>
          </w:tcPr>
          <w:p w14:paraId="459F60F9" w14:textId="77777777" w:rsidR="000A2BDC" w:rsidRDefault="000A2BDC" w:rsidP="000A2BDC">
            <w:pPr>
              <w:pStyle w:val="Normal1linespace"/>
              <w:widowControl w:val="0"/>
              <w:jc w:val="left"/>
            </w:pPr>
          </w:p>
        </w:tc>
        <w:tc>
          <w:tcPr>
            <w:tcW w:w="5989" w:type="dxa"/>
            <w:shd w:val="clear" w:color="auto" w:fill="auto"/>
          </w:tcPr>
          <w:p w14:paraId="0E581251" w14:textId="77777777" w:rsidR="000A2BDC" w:rsidRDefault="000A2BDC" w:rsidP="000A2BDC">
            <w:pPr>
              <w:pStyle w:val="Normal1linespace"/>
              <w:widowControl w:val="0"/>
              <w:jc w:val="left"/>
            </w:pPr>
          </w:p>
        </w:tc>
      </w:tr>
      <w:tr w:rsidR="000A2BDC" w14:paraId="17134F3B" w14:textId="77777777" w:rsidTr="000A2BDC">
        <w:tc>
          <w:tcPr>
            <w:tcW w:w="3085" w:type="dxa"/>
            <w:shd w:val="clear" w:color="auto" w:fill="auto"/>
          </w:tcPr>
          <w:p w14:paraId="5AB100D8" w14:textId="77777777" w:rsidR="000A2BDC" w:rsidRDefault="000A2BDC" w:rsidP="000A2BDC">
            <w:pPr>
              <w:pStyle w:val="Normal1linespace"/>
              <w:widowControl w:val="0"/>
              <w:jc w:val="left"/>
            </w:pPr>
            <w:r>
              <w:t>Division:</w:t>
            </w:r>
          </w:p>
        </w:tc>
        <w:tc>
          <w:tcPr>
            <w:tcW w:w="5989" w:type="dxa"/>
            <w:shd w:val="clear" w:color="auto" w:fill="auto"/>
          </w:tcPr>
          <w:p w14:paraId="537A54C8" w14:textId="5B377630" w:rsidR="000A2BDC" w:rsidRPr="00F17599" w:rsidRDefault="00064148" w:rsidP="000A2BDC">
            <w:pPr>
              <w:pStyle w:val="Normal1linespace"/>
              <w:widowControl w:val="0"/>
              <w:jc w:val="left"/>
            </w:pPr>
            <w:r>
              <w:fldChar w:fldCharType="begin" w:fldLock="1"/>
            </w:r>
            <w:r>
              <w:instrText xml:space="preserve"> DOCPROPERTY  Division </w:instrText>
            </w:r>
            <w:r>
              <w:fldChar w:fldCharType="separate"/>
            </w:r>
            <w:r w:rsidR="000A2BDC">
              <w:t>General Division</w:t>
            </w:r>
            <w:r>
              <w:fldChar w:fldCharType="end"/>
            </w:r>
          </w:p>
        </w:tc>
      </w:tr>
      <w:tr w:rsidR="000A2BDC" w14:paraId="63E3C069" w14:textId="77777777" w:rsidTr="000A2BDC">
        <w:tc>
          <w:tcPr>
            <w:tcW w:w="3085" w:type="dxa"/>
            <w:shd w:val="clear" w:color="auto" w:fill="auto"/>
          </w:tcPr>
          <w:p w14:paraId="5AD3445A" w14:textId="77777777" w:rsidR="000A2BDC" w:rsidRDefault="000A2BDC" w:rsidP="000A2BDC">
            <w:pPr>
              <w:pStyle w:val="Normal1linespace"/>
              <w:widowControl w:val="0"/>
              <w:jc w:val="left"/>
            </w:pPr>
          </w:p>
        </w:tc>
        <w:tc>
          <w:tcPr>
            <w:tcW w:w="5989" w:type="dxa"/>
            <w:shd w:val="clear" w:color="auto" w:fill="auto"/>
          </w:tcPr>
          <w:p w14:paraId="75F21A31" w14:textId="77777777" w:rsidR="000A2BDC" w:rsidRPr="00F17599" w:rsidRDefault="000A2BDC" w:rsidP="000A2BDC">
            <w:pPr>
              <w:pStyle w:val="Normal1linespace"/>
              <w:widowControl w:val="0"/>
              <w:jc w:val="left"/>
              <w:rPr>
                <w:b/>
              </w:rPr>
            </w:pPr>
          </w:p>
        </w:tc>
      </w:tr>
      <w:tr w:rsidR="000A2BDC" w14:paraId="1262458F" w14:textId="77777777" w:rsidTr="000A2BDC">
        <w:tc>
          <w:tcPr>
            <w:tcW w:w="3085" w:type="dxa"/>
            <w:shd w:val="clear" w:color="auto" w:fill="auto"/>
          </w:tcPr>
          <w:p w14:paraId="33596AAA" w14:textId="77777777" w:rsidR="000A2BDC" w:rsidRDefault="000A2BDC" w:rsidP="000A2BDC">
            <w:pPr>
              <w:pStyle w:val="Normal1linespace"/>
              <w:widowControl w:val="0"/>
              <w:jc w:val="left"/>
            </w:pPr>
            <w:r>
              <w:t>National Practice Area:</w:t>
            </w:r>
          </w:p>
        </w:tc>
        <w:tc>
          <w:tcPr>
            <w:tcW w:w="5989" w:type="dxa"/>
            <w:shd w:val="clear" w:color="auto" w:fill="auto"/>
          </w:tcPr>
          <w:p w14:paraId="085DD287" w14:textId="057D1C8A" w:rsidR="000A2BDC" w:rsidRPr="00F17599" w:rsidRDefault="00064148" w:rsidP="000A2BDC">
            <w:pPr>
              <w:pStyle w:val="Normal1linespace"/>
              <w:widowControl w:val="0"/>
              <w:jc w:val="left"/>
              <w:rPr>
                <w:b/>
              </w:rPr>
            </w:pPr>
            <w:r>
              <w:fldChar w:fldCharType="begin" w:fldLock="1"/>
            </w:r>
            <w:r>
              <w:instrText xml:space="preserve"> DOCPROPERTY  "Practice Area"  \* MERGEFORMAT </w:instrText>
            </w:r>
            <w:r>
              <w:fldChar w:fldCharType="separate"/>
            </w:r>
            <w:r w:rsidR="000A2BDC">
              <w:t>Administrative and Constitutional Law and Human Rights</w:t>
            </w:r>
            <w:r>
              <w:fldChar w:fldCharType="end"/>
            </w:r>
          </w:p>
        </w:tc>
      </w:tr>
      <w:tr w:rsidR="000A2BDC" w14:paraId="4E2D96BC" w14:textId="77777777" w:rsidTr="000A2BDC">
        <w:tc>
          <w:tcPr>
            <w:tcW w:w="3085" w:type="dxa"/>
            <w:shd w:val="clear" w:color="auto" w:fill="auto"/>
          </w:tcPr>
          <w:p w14:paraId="043C60DD" w14:textId="77777777" w:rsidR="000A2BDC" w:rsidRDefault="000A2BDC" w:rsidP="000A2BDC">
            <w:pPr>
              <w:pStyle w:val="Normal1linespace"/>
              <w:widowControl w:val="0"/>
              <w:jc w:val="left"/>
            </w:pPr>
          </w:p>
        </w:tc>
        <w:tc>
          <w:tcPr>
            <w:tcW w:w="5989" w:type="dxa"/>
            <w:shd w:val="clear" w:color="auto" w:fill="auto"/>
          </w:tcPr>
          <w:p w14:paraId="1B5CB237" w14:textId="77777777" w:rsidR="000A2BDC" w:rsidRDefault="000A2BDC" w:rsidP="000A2BDC">
            <w:pPr>
              <w:pStyle w:val="Normal1linespace"/>
              <w:widowControl w:val="0"/>
              <w:jc w:val="left"/>
              <w:rPr>
                <w:b/>
              </w:rPr>
            </w:pPr>
          </w:p>
        </w:tc>
      </w:tr>
      <w:tr w:rsidR="000A2BDC" w14:paraId="4C2BF01C" w14:textId="77777777" w:rsidTr="000A2BDC">
        <w:tc>
          <w:tcPr>
            <w:tcW w:w="3085" w:type="dxa"/>
            <w:shd w:val="clear" w:color="auto" w:fill="auto"/>
          </w:tcPr>
          <w:p w14:paraId="45FC9153" w14:textId="77777777" w:rsidR="000A2BDC" w:rsidRDefault="000A2BDC" w:rsidP="000A2BDC">
            <w:pPr>
              <w:pStyle w:val="Normal1linespace"/>
              <w:widowControl w:val="0"/>
              <w:jc w:val="left"/>
            </w:pPr>
            <w:r>
              <w:t>Category:</w:t>
            </w:r>
          </w:p>
        </w:tc>
        <w:tc>
          <w:tcPr>
            <w:tcW w:w="5989" w:type="dxa"/>
            <w:shd w:val="clear" w:color="auto" w:fill="auto"/>
          </w:tcPr>
          <w:p w14:paraId="055FEDA1" w14:textId="64E2FA63" w:rsidR="000A2BDC" w:rsidRDefault="000A2BDC" w:rsidP="00F11457">
            <w:pPr>
              <w:pStyle w:val="Normal1linespace"/>
              <w:widowControl w:val="0"/>
              <w:jc w:val="left"/>
            </w:pPr>
            <w:r w:rsidRPr="00F11457">
              <w:t>Catchwords</w:t>
            </w:r>
          </w:p>
        </w:tc>
      </w:tr>
      <w:tr w:rsidR="000A2BDC" w14:paraId="1243FCF2" w14:textId="77777777" w:rsidTr="000A2BDC">
        <w:tc>
          <w:tcPr>
            <w:tcW w:w="3085" w:type="dxa"/>
            <w:shd w:val="clear" w:color="auto" w:fill="auto"/>
          </w:tcPr>
          <w:p w14:paraId="4CA74BF8" w14:textId="77777777" w:rsidR="000A2BDC" w:rsidRDefault="000A2BDC" w:rsidP="000A2BDC">
            <w:pPr>
              <w:pStyle w:val="Normal1linespace"/>
              <w:widowControl w:val="0"/>
              <w:jc w:val="left"/>
            </w:pPr>
          </w:p>
        </w:tc>
        <w:tc>
          <w:tcPr>
            <w:tcW w:w="5989" w:type="dxa"/>
            <w:shd w:val="clear" w:color="auto" w:fill="auto"/>
          </w:tcPr>
          <w:p w14:paraId="491A5537" w14:textId="77777777" w:rsidR="000A2BDC" w:rsidRDefault="000A2BDC" w:rsidP="000A2BDC">
            <w:pPr>
              <w:pStyle w:val="Normal1linespace"/>
              <w:widowControl w:val="0"/>
              <w:jc w:val="left"/>
            </w:pPr>
          </w:p>
        </w:tc>
      </w:tr>
      <w:tr w:rsidR="000A2BDC" w14:paraId="6E6062DA" w14:textId="77777777" w:rsidTr="000A2BDC">
        <w:tc>
          <w:tcPr>
            <w:tcW w:w="3085" w:type="dxa"/>
            <w:shd w:val="clear" w:color="auto" w:fill="auto"/>
          </w:tcPr>
          <w:p w14:paraId="554B7AD9" w14:textId="77777777" w:rsidR="000A2BDC" w:rsidRDefault="000A2BDC" w:rsidP="000A2BDC">
            <w:pPr>
              <w:pStyle w:val="Normal1linespace"/>
              <w:widowControl w:val="0"/>
              <w:jc w:val="left"/>
            </w:pPr>
            <w:r>
              <w:t>Number of paragraphs:</w:t>
            </w:r>
          </w:p>
        </w:tc>
        <w:tc>
          <w:tcPr>
            <w:tcW w:w="5989" w:type="dxa"/>
            <w:shd w:val="clear" w:color="auto" w:fill="auto"/>
          </w:tcPr>
          <w:p w14:paraId="4BB4B3BE" w14:textId="1AD78481" w:rsidR="000A2BDC" w:rsidRDefault="005D1501" w:rsidP="000A2BDC">
            <w:pPr>
              <w:pStyle w:val="Normal1linespace"/>
              <w:widowControl w:val="0"/>
              <w:jc w:val="left"/>
            </w:pPr>
            <w:bookmarkStart w:id="7" w:name="PlaceCategoryParagraphs"/>
            <w:r>
              <w:t>182</w:t>
            </w:r>
            <w:bookmarkEnd w:id="7"/>
          </w:p>
        </w:tc>
      </w:tr>
      <w:tr w:rsidR="000A2BDC" w14:paraId="474F4641" w14:textId="77777777" w:rsidTr="000A2BDC">
        <w:tc>
          <w:tcPr>
            <w:tcW w:w="3085" w:type="dxa"/>
            <w:shd w:val="clear" w:color="auto" w:fill="auto"/>
          </w:tcPr>
          <w:p w14:paraId="61A4D5E5" w14:textId="77777777" w:rsidR="000A2BDC" w:rsidRDefault="000A2BDC" w:rsidP="000A2BDC">
            <w:pPr>
              <w:pStyle w:val="Normal1linespace"/>
              <w:widowControl w:val="0"/>
              <w:jc w:val="left"/>
            </w:pPr>
          </w:p>
        </w:tc>
        <w:tc>
          <w:tcPr>
            <w:tcW w:w="5989" w:type="dxa"/>
            <w:shd w:val="clear" w:color="auto" w:fill="auto"/>
          </w:tcPr>
          <w:p w14:paraId="0BAEADD4" w14:textId="77777777" w:rsidR="000A2BDC" w:rsidRDefault="000A2BDC" w:rsidP="000A2BDC">
            <w:pPr>
              <w:pStyle w:val="Normal1linespace"/>
              <w:widowControl w:val="0"/>
              <w:jc w:val="left"/>
            </w:pPr>
          </w:p>
        </w:tc>
      </w:tr>
      <w:tr w:rsidR="000A2BDC" w14:paraId="568744A5" w14:textId="77777777" w:rsidTr="000A2BDC">
        <w:tc>
          <w:tcPr>
            <w:tcW w:w="3085" w:type="dxa"/>
            <w:shd w:val="clear" w:color="auto" w:fill="auto"/>
          </w:tcPr>
          <w:p w14:paraId="4746F3D8" w14:textId="3515C662" w:rsidR="000A2BDC" w:rsidRDefault="000A2BDC" w:rsidP="000A2BDC">
            <w:pPr>
              <w:pStyle w:val="Normal1linespace"/>
              <w:widowControl w:val="0"/>
              <w:jc w:val="left"/>
            </w:pPr>
            <w:bookmarkStart w:id="8" w:name="Counsel" w:colFirst="0" w:colLast="2"/>
            <w:r>
              <w:t>Counsel for the Applicant:</w:t>
            </w:r>
          </w:p>
        </w:tc>
        <w:tc>
          <w:tcPr>
            <w:tcW w:w="5989" w:type="dxa"/>
            <w:shd w:val="clear" w:color="auto" w:fill="auto"/>
          </w:tcPr>
          <w:p w14:paraId="08058335" w14:textId="1F686C47" w:rsidR="000A2BDC" w:rsidRDefault="000A2BDC" w:rsidP="000A2BDC">
            <w:pPr>
              <w:pStyle w:val="Normal1linespace"/>
              <w:widowControl w:val="0"/>
              <w:jc w:val="left"/>
            </w:pPr>
            <w:bookmarkStart w:id="9" w:name="AppCounsel"/>
            <w:bookmarkEnd w:id="9"/>
            <w:r>
              <w:t xml:space="preserve">Mr E M </w:t>
            </w:r>
            <w:proofErr w:type="spellStart"/>
            <w:r>
              <w:t>Nekvapil</w:t>
            </w:r>
            <w:proofErr w:type="spellEnd"/>
          </w:p>
        </w:tc>
      </w:tr>
      <w:tr w:rsidR="000A2BDC" w14:paraId="6512938E" w14:textId="77777777" w:rsidTr="000A2BDC">
        <w:tc>
          <w:tcPr>
            <w:tcW w:w="3085" w:type="dxa"/>
            <w:shd w:val="clear" w:color="auto" w:fill="auto"/>
          </w:tcPr>
          <w:p w14:paraId="63402A98" w14:textId="77777777" w:rsidR="000A2BDC" w:rsidRDefault="000A2BDC" w:rsidP="000A2BDC">
            <w:pPr>
              <w:pStyle w:val="Normal1linespace"/>
              <w:widowControl w:val="0"/>
              <w:jc w:val="left"/>
            </w:pPr>
          </w:p>
        </w:tc>
        <w:tc>
          <w:tcPr>
            <w:tcW w:w="5989" w:type="dxa"/>
            <w:shd w:val="clear" w:color="auto" w:fill="auto"/>
          </w:tcPr>
          <w:p w14:paraId="2FAEEEF9" w14:textId="77777777" w:rsidR="000A2BDC" w:rsidRDefault="000A2BDC" w:rsidP="000A2BDC">
            <w:pPr>
              <w:pStyle w:val="Normal1linespace"/>
              <w:widowControl w:val="0"/>
              <w:jc w:val="left"/>
            </w:pPr>
          </w:p>
        </w:tc>
      </w:tr>
      <w:tr w:rsidR="000A2BDC" w14:paraId="4FB1F0F7" w14:textId="77777777" w:rsidTr="000A2BDC">
        <w:tc>
          <w:tcPr>
            <w:tcW w:w="3085" w:type="dxa"/>
            <w:shd w:val="clear" w:color="auto" w:fill="auto"/>
          </w:tcPr>
          <w:p w14:paraId="5D85F2B6" w14:textId="787612F6" w:rsidR="000A2BDC" w:rsidRDefault="000A2BDC" w:rsidP="000A2BDC">
            <w:pPr>
              <w:pStyle w:val="Normal1linespace"/>
              <w:widowControl w:val="0"/>
              <w:jc w:val="left"/>
            </w:pPr>
            <w:r>
              <w:t>Solicitor for the Applicant:</w:t>
            </w:r>
          </w:p>
        </w:tc>
        <w:tc>
          <w:tcPr>
            <w:tcW w:w="5989" w:type="dxa"/>
            <w:shd w:val="clear" w:color="auto" w:fill="auto"/>
          </w:tcPr>
          <w:p w14:paraId="76BD1A96" w14:textId="64C26266" w:rsidR="000A2BDC" w:rsidRDefault="000A2BDC" w:rsidP="000A2BDC">
            <w:pPr>
              <w:pStyle w:val="Normal1linespace"/>
              <w:widowControl w:val="0"/>
              <w:jc w:val="left"/>
            </w:pPr>
            <w:r>
              <w:t xml:space="preserve">Environmental Defenders Office (Tasmania) </w:t>
            </w:r>
            <w:proofErr w:type="spellStart"/>
            <w:r>
              <w:t>Inc</w:t>
            </w:r>
            <w:proofErr w:type="spellEnd"/>
          </w:p>
        </w:tc>
      </w:tr>
      <w:tr w:rsidR="000A2BDC" w14:paraId="6A52B55C" w14:textId="77777777" w:rsidTr="000A2BDC">
        <w:tc>
          <w:tcPr>
            <w:tcW w:w="3085" w:type="dxa"/>
            <w:shd w:val="clear" w:color="auto" w:fill="auto"/>
          </w:tcPr>
          <w:p w14:paraId="5D34873E" w14:textId="77777777" w:rsidR="000A2BDC" w:rsidRDefault="000A2BDC" w:rsidP="000A2BDC">
            <w:pPr>
              <w:pStyle w:val="Normal1linespace"/>
              <w:widowControl w:val="0"/>
              <w:jc w:val="left"/>
            </w:pPr>
          </w:p>
        </w:tc>
        <w:tc>
          <w:tcPr>
            <w:tcW w:w="5989" w:type="dxa"/>
            <w:shd w:val="clear" w:color="auto" w:fill="auto"/>
          </w:tcPr>
          <w:p w14:paraId="43352ED7" w14:textId="77777777" w:rsidR="000A2BDC" w:rsidRDefault="000A2BDC" w:rsidP="000A2BDC">
            <w:pPr>
              <w:pStyle w:val="Normal1linespace"/>
              <w:widowControl w:val="0"/>
              <w:jc w:val="left"/>
            </w:pPr>
          </w:p>
        </w:tc>
      </w:tr>
      <w:tr w:rsidR="000A2BDC" w14:paraId="4FB2418E" w14:textId="77777777" w:rsidTr="000A2BDC">
        <w:tc>
          <w:tcPr>
            <w:tcW w:w="3085" w:type="dxa"/>
            <w:shd w:val="clear" w:color="auto" w:fill="auto"/>
          </w:tcPr>
          <w:p w14:paraId="0888810C" w14:textId="0489CC84" w:rsidR="000A2BDC" w:rsidRDefault="000A2BDC" w:rsidP="000A2BDC">
            <w:pPr>
              <w:pStyle w:val="Normal1linespace"/>
              <w:widowControl w:val="0"/>
              <w:jc w:val="left"/>
            </w:pPr>
            <w:r>
              <w:t>Counsel for the Respondent:</w:t>
            </w:r>
          </w:p>
        </w:tc>
        <w:tc>
          <w:tcPr>
            <w:tcW w:w="5989" w:type="dxa"/>
            <w:shd w:val="clear" w:color="auto" w:fill="auto"/>
          </w:tcPr>
          <w:p w14:paraId="77CB5CC1" w14:textId="357794F5" w:rsidR="000A2BDC" w:rsidRDefault="000A2BDC" w:rsidP="000A2BDC">
            <w:pPr>
              <w:pStyle w:val="Normal1linespace"/>
              <w:widowControl w:val="0"/>
              <w:jc w:val="left"/>
            </w:pPr>
            <w:r>
              <w:t xml:space="preserve">Ms A </w:t>
            </w:r>
            <w:proofErr w:type="spellStart"/>
            <w:r>
              <w:t>Mitchelmore</w:t>
            </w:r>
            <w:proofErr w:type="spellEnd"/>
            <w:r>
              <w:t xml:space="preserve"> with Ms F I Gordon</w:t>
            </w:r>
          </w:p>
        </w:tc>
      </w:tr>
      <w:tr w:rsidR="000A2BDC" w14:paraId="35DD4DEE" w14:textId="77777777" w:rsidTr="000A2BDC">
        <w:tc>
          <w:tcPr>
            <w:tcW w:w="3085" w:type="dxa"/>
            <w:shd w:val="clear" w:color="auto" w:fill="auto"/>
          </w:tcPr>
          <w:p w14:paraId="5AA4CA0E" w14:textId="77777777" w:rsidR="000A2BDC" w:rsidRDefault="000A2BDC" w:rsidP="000A2BDC">
            <w:pPr>
              <w:pStyle w:val="Normal1linespace"/>
              <w:widowControl w:val="0"/>
              <w:jc w:val="left"/>
            </w:pPr>
          </w:p>
        </w:tc>
        <w:tc>
          <w:tcPr>
            <w:tcW w:w="5989" w:type="dxa"/>
            <w:shd w:val="clear" w:color="auto" w:fill="auto"/>
          </w:tcPr>
          <w:p w14:paraId="7EE86E52" w14:textId="77777777" w:rsidR="000A2BDC" w:rsidRDefault="000A2BDC" w:rsidP="000A2BDC">
            <w:pPr>
              <w:pStyle w:val="Normal1linespace"/>
              <w:widowControl w:val="0"/>
              <w:jc w:val="left"/>
            </w:pPr>
          </w:p>
        </w:tc>
      </w:tr>
      <w:tr w:rsidR="000A2BDC" w14:paraId="53C02F1F" w14:textId="77777777" w:rsidTr="000A2BDC">
        <w:tc>
          <w:tcPr>
            <w:tcW w:w="3085" w:type="dxa"/>
            <w:shd w:val="clear" w:color="auto" w:fill="auto"/>
          </w:tcPr>
          <w:p w14:paraId="37909B2B" w14:textId="0EDC87B0" w:rsidR="000A2BDC" w:rsidRDefault="000A2BDC" w:rsidP="000A2BDC">
            <w:pPr>
              <w:pStyle w:val="Normal1linespace"/>
              <w:widowControl w:val="0"/>
              <w:jc w:val="left"/>
            </w:pPr>
            <w:r>
              <w:t>Solicitor for the Respondent:</w:t>
            </w:r>
          </w:p>
        </w:tc>
        <w:tc>
          <w:tcPr>
            <w:tcW w:w="5989" w:type="dxa"/>
            <w:shd w:val="clear" w:color="auto" w:fill="auto"/>
          </w:tcPr>
          <w:p w14:paraId="419D89E7" w14:textId="3D4E3318" w:rsidR="000A2BDC" w:rsidRDefault="000A2BDC" w:rsidP="000A2BDC">
            <w:pPr>
              <w:pStyle w:val="Normal1linespace"/>
              <w:widowControl w:val="0"/>
              <w:jc w:val="left"/>
            </w:pPr>
            <w:r>
              <w:t>Australian Government Solicitor</w:t>
            </w:r>
          </w:p>
        </w:tc>
      </w:tr>
      <w:bookmarkEnd w:id="8"/>
    </w:tbl>
    <w:p w14:paraId="6A4086B0" w14:textId="799DA8A2" w:rsidR="00395B24" w:rsidRDefault="00395B24">
      <w:pPr>
        <w:pStyle w:val="Normal1linespace"/>
      </w:pPr>
    </w:p>
    <w:p w14:paraId="487C08E5" w14:textId="77777777" w:rsidR="0092590B" w:rsidRDefault="0092590B">
      <w:pPr>
        <w:pStyle w:val="Normal1linespace"/>
      </w:pPr>
    </w:p>
    <w:p w14:paraId="596E15CD"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6F4746C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71EF0A1" w14:textId="77777777" w:rsidTr="00E81DA6">
        <w:tc>
          <w:tcPr>
            <w:tcW w:w="6912" w:type="dxa"/>
            <w:gridSpan w:val="2"/>
          </w:tcPr>
          <w:p w14:paraId="1C73B41D" w14:textId="77777777" w:rsidR="00A46CCC" w:rsidRPr="001765E0" w:rsidRDefault="00A46CCC" w:rsidP="00525A49">
            <w:pPr>
              <w:pStyle w:val="NormalHeadings"/>
            </w:pPr>
          </w:p>
        </w:tc>
        <w:tc>
          <w:tcPr>
            <w:tcW w:w="2330" w:type="dxa"/>
          </w:tcPr>
          <w:p w14:paraId="1DD17269" w14:textId="77777777" w:rsidR="00A46CCC" w:rsidRDefault="007C5A83" w:rsidP="00F92355">
            <w:pPr>
              <w:pStyle w:val="NormalHeadings"/>
              <w:jc w:val="right"/>
            </w:pPr>
            <w:bookmarkStart w:id="10" w:name="FileNo"/>
            <w:r>
              <w:t>TAD 45 of 2018</w:t>
            </w:r>
            <w:bookmarkEnd w:id="10"/>
          </w:p>
        </w:tc>
      </w:tr>
      <w:tr w:rsidR="00A76C13" w14:paraId="6AC9CA25" w14:textId="77777777" w:rsidTr="005B1957">
        <w:tc>
          <w:tcPr>
            <w:tcW w:w="9242" w:type="dxa"/>
            <w:gridSpan w:val="3"/>
          </w:tcPr>
          <w:p w14:paraId="4901F2BB" w14:textId="77777777" w:rsidR="00A76C13" w:rsidRPr="00A76C13" w:rsidRDefault="007C5A83" w:rsidP="007C5A83">
            <w:pPr>
              <w:pStyle w:val="NormalHeadings"/>
              <w:jc w:val="left"/>
            </w:pPr>
            <w:bookmarkStart w:id="11" w:name="InTheMatterOf"/>
            <w:r>
              <w:t xml:space="preserve"> </w:t>
            </w:r>
            <w:bookmarkEnd w:id="11"/>
          </w:p>
        </w:tc>
      </w:tr>
      <w:tr w:rsidR="00A46CCC" w14:paraId="4238C80B" w14:textId="77777777" w:rsidTr="005B1957">
        <w:trPr>
          <w:trHeight w:val="386"/>
        </w:trPr>
        <w:tc>
          <w:tcPr>
            <w:tcW w:w="2376" w:type="dxa"/>
          </w:tcPr>
          <w:p w14:paraId="5A5CE1F4" w14:textId="77777777" w:rsidR="00A46CCC" w:rsidRDefault="00A46CCC" w:rsidP="005B1957">
            <w:pPr>
              <w:pStyle w:val="NormalHeadings"/>
              <w:jc w:val="left"/>
              <w:rPr>
                <w:caps/>
                <w:szCs w:val="24"/>
              </w:rPr>
            </w:pPr>
            <w:bookmarkStart w:id="12" w:name="Parties"/>
            <w:r>
              <w:rPr>
                <w:caps/>
                <w:szCs w:val="24"/>
              </w:rPr>
              <w:t>BETWEEN:</w:t>
            </w:r>
          </w:p>
        </w:tc>
        <w:tc>
          <w:tcPr>
            <w:tcW w:w="6866" w:type="dxa"/>
            <w:gridSpan w:val="2"/>
          </w:tcPr>
          <w:p w14:paraId="385538DD" w14:textId="77777777" w:rsidR="007C5A83" w:rsidRDefault="007C5A83" w:rsidP="007C5A83">
            <w:pPr>
              <w:pStyle w:val="NormalHeadings"/>
              <w:jc w:val="left"/>
            </w:pPr>
            <w:bookmarkStart w:id="13" w:name="Applicant"/>
            <w:r>
              <w:t>THE WILDERNESS SOCIETY (TASMANIA) INC</w:t>
            </w:r>
          </w:p>
          <w:p w14:paraId="38734D5A" w14:textId="77777777" w:rsidR="007C5A83" w:rsidRDefault="007C5A83" w:rsidP="007C5A83">
            <w:pPr>
              <w:pStyle w:val="PartyType"/>
            </w:pPr>
            <w:r>
              <w:t>Applicant</w:t>
            </w:r>
          </w:p>
          <w:bookmarkEnd w:id="13"/>
          <w:p w14:paraId="3A6B5215" w14:textId="77777777" w:rsidR="00A46CCC" w:rsidRPr="006555B4" w:rsidRDefault="00A46CCC" w:rsidP="005B1957">
            <w:pPr>
              <w:pStyle w:val="NormalHeadings"/>
              <w:jc w:val="left"/>
            </w:pPr>
          </w:p>
        </w:tc>
      </w:tr>
      <w:tr w:rsidR="00A46CCC" w14:paraId="67DBA1E0" w14:textId="77777777" w:rsidTr="005B1957">
        <w:trPr>
          <w:trHeight w:val="386"/>
        </w:trPr>
        <w:tc>
          <w:tcPr>
            <w:tcW w:w="2376" w:type="dxa"/>
          </w:tcPr>
          <w:p w14:paraId="175F34BA" w14:textId="77777777" w:rsidR="00A46CCC" w:rsidRDefault="00A46CCC" w:rsidP="005B1957">
            <w:pPr>
              <w:pStyle w:val="NormalHeadings"/>
              <w:jc w:val="left"/>
              <w:rPr>
                <w:caps/>
                <w:szCs w:val="24"/>
              </w:rPr>
            </w:pPr>
            <w:r>
              <w:rPr>
                <w:caps/>
                <w:szCs w:val="24"/>
              </w:rPr>
              <w:t>AND:</w:t>
            </w:r>
          </w:p>
        </w:tc>
        <w:tc>
          <w:tcPr>
            <w:tcW w:w="6866" w:type="dxa"/>
            <w:gridSpan w:val="2"/>
          </w:tcPr>
          <w:p w14:paraId="3A76782C" w14:textId="77777777" w:rsidR="007C5A83" w:rsidRDefault="007C5A83" w:rsidP="007C5A83">
            <w:pPr>
              <w:pStyle w:val="NormalHeadings"/>
              <w:jc w:val="left"/>
            </w:pPr>
            <w:bookmarkStart w:id="14" w:name="Respondent"/>
            <w:r>
              <w:t>MINISTER FOR THE ENVIRONMENT</w:t>
            </w:r>
          </w:p>
          <w:p w14:paraId="6DECF717" w14:textId="77777777" w:rsidR="007C5A83" w:rsidRDefault="007C5A83" w:rsidP="007C5A83">
            <w:pPr>
              <w:pStyle w:val="PartyType"/>
            </w:pPr>
            <w:r>
              <w:t>Respondent</w:t>
            </w:r>
          </w:p>
          <w:bookmarkEnd w:id="14"/>
          <w:p w14:paraId="36D015A8" w14:textId="77777777" w:rsidR="00A46CCC" w:rsidRPr="006555B4" w:rsidRDefault="00A46CCC" w:rsidP="005B1957">
            <w:pPr>
              <w:pStyle w:val="NormalHeadings"/>
              <w:jc w:val="left"/>
            </w:pPr>
          </w:p>
        </w:tc>
      </w:tr>
    </w:tbl>
    <w:p w14:paraId="6FDDF207"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C52A71C" w14:textId="77777777">
        <w:tc>
          <w:tcPr>
            <w:tcW w:w="2376" w:type="dxa"/>
          </w:tcPr>
          <w:p w14:paraId="309AE6B6" w14:textId="77777777" w:rsidR="00395B24" w:rsidRDefault="007C5A8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4191AACF" w14:textId="77777777" w:rsidR="00395B24" w:rsidRDefault="007C5A83">
            <w:pPr>
              <w:pStyle w:val="NormalHeadings"/>
              <w:jc w:val="left"/>
              <w:rPr>
                <w:caps/>
                <w:szCs w:val="24"/>
              </w:rPr>
            </w:pPr>
            <w:bookmarkStart w:id="17" w:name="Judge"/>
            <w:r>
              <w:rPr>
                <w:caps/>
                <w:szCs w:val="24"/>
              </w:rPr>
              <w:t>MORTIMER J</w:t>
            </w:r>
            <w:bookmarkEnd w:id="17"/>
          </w:p>
        </w:tc>
      </w:tr>
      <w:tr w:rsidR="00395B24" w14:paraId="5FFD9138" w14:textId="77777777">
        <w:tc>
          <w:tcPr>
            <w:tcW w:w="2376" w:type="dxa"/>
          </w:tcPr>
          <w:p w14:paraId="59E1A3D4" w14:textId="77777777" w:rsidR="00395B24" w:rsidRDefault="002C7385">
            <w:pPr>
              <w:pStyle w:val="NormalHeadings"/>
              <w:spacing w:after="120"/>
              <w:jc w:val="left"/>
              <w:rPr>
                <w:caps/>
                <w:szCs w:val="24"/>
              </w:rPr>
            </w:pPr>
            <w:r>
              <w:rPr>
                <w:caps/>
                <w:szCs w:val="24"/>
              </w:rPr>
              <w:t>DATE OF ORDER:</w:t>
            </w:r>
          </w:p>
        </w:tc>
        <w:tc>
          <w:tcPr>
            <w:tcW w:w="6866" w:type="dxa"/>
          </w:tcPr>
          <w:p w14:paraId="4056E0DF" w14:textId="0722C116" w:rsidR="00395B24" w:rsidRDefault="002D4F03">
            <w:pPr>
              <w:pStyle w:val="NormalHeadings"/>
              <w:jc w:val="left"/>
              <w:rPr>
                <w:caps/>
                <w:szCs w:val="24"/>
              </w:rPr>
            </w:pPr>
            <w:r>
              <w:rPr>
                <w:caps/>
                <w:szCs w:val="24"/>
              </w:rPr>
              <w:t>12 november 2019</w:t>
            </w:r>
          </w:p>
        </w:tc>
      </w:tr>
    </w:tbl>
    <w:p w14:paraId="1DB8F2C1" w14:textId="77777777" w:rsidR="00395B24" w:rsidRDefault="00395B24">
      <w:pPr>
        <w:pStyle w:val="NormalHeadings"/>
        <w:rPr>
          <w:b w:val="0"/>
        </w:rPr>
      </w:pPr>
    </w:p>
    <w:p w14:paraId="5B458EAF" w14:textId="77777777" w:rsidR="008D1617" w:rsidRDefault="008D1617">
      <w:pPr>
        <w:pStyle w:val="NormalHeadings"/>
        <w:rPr>
          <w:b w:val="0"/>
        </w:rPr>
      </w:pPr>
    </w:p>
    <w:p w14:paraId="167FAEBC" w14:textId="77777777" w:rsidR="00395B24" w:rsidRDefault="002C7385">
      <w:pPr>
        <w:pStyle w:val="NormalHeadings"/>
      </w:pPr>
      <w:r>
        <w:t>THE COURT ORDERS THAT:</w:t>
      </w:r>
    </w:p>
    <w:p w14:paraId="3B5F3000" w14:textId="77777777" w:rsidR="00395B24" w:rsidRDefault="00395B24">
      <w:pPr>
        <w:pStyle w:val="NormalHeadings"/>
      </w:pPr>
    </w:p>
    <w:p w14:paraId="1D1427DC" w14:textId="216C7196" w:rsidR="00642AB7" w:rsidRDefault="00642AB7" w:rsidP="00642AB7">
      <w:pPr>
        <w:pStyle w:val="Order1"/>
      </w:pPr>
      <w:bookmarkStart w:id="18" w:name="Order_Start_Text"/>
      <w:bookmarkEnd w:id="18"/>
      <w:r w:rsidRPr="00642AB7">
        <w:t xml:space="preserve">The notice signed on </w:t>
      </w:r>
      <w:r w:rsidR="00223BCA">
        <w:t>31 August 2018</w:t>
      </w:r>
      <w:r w:rsidRPr="00642AB7">
        <w:t xml:space="preserve"> and given and published under s 77 of the </w:t>
      </w:r>
      <w:r w:rsidRPr="00642AB7">
        <w:rPr>
          <w:i/>
        </w:rPr>
        <w:t>Environment Protection and Biodiversity Conservation Act 1999</w:t>
      </w:r>
      <w:r w:rsidR="00B73620">
        <w:t xml:space="preserve"> </w:t>
      </w:r>
      <w:r w:rsidR="00223BCA">
        <w:t>(</w:t>
      </w:r>
      <w:proofErr w:type="spellStart"/>
      <w:r w:rsidR="00223BCA">
        <w:t>Cth</w:t>
      </w:r>
      <w:proofErr w:type="spellEnd"/>
      <w:r w:rsidR="00223BCA">
        <w:t xml:space="preserve">) </w:t>
      </w:r>
      <w:r w:rsidR="00B73620">
        <w:t>(</w:t>
      </w:r>
      <w:r w:rsidR="00B73620" w:rsidRPr="00B73620">
        <w:rPr>
          <w:b/>
        </w:rPr>
        <w:t>EPBC Act</w:t>
      </w:r>
      <w:r w:rsidRPr="00642AB7">
        <w:t xml:space="preserve">), relating to the decision made on </w:t>
      </w:r>
      <w:r w:rsidR="00223BCA">
        <w:t>31 August 2018</w:t>
      </w:r>
      <w:r w:rsidRPr="00642AB7">
        <w:t xml:space="preserve"> by the </w:t>
      </w:r>
      <w:r w:rsidR="00223BCA">
        <w:t>respondent’</w:t>
      </w:r>
      <w:r w:rsidRPr="00642AB7">
        <w:t xml:space="preserve">s delegate that the action the subject of the </w:t>
      </w:r>
      <w:r>
        <w:t xml:space="preserve">EPBC Act Referral </w:t>
      </w:r>
      <w:r w:rsidR="00223BCA">
        <w:t>2018/8177</w:t>
      </w:r>
      <w:r>
        <w:t xml:space="preserve"> </w:t>
      </w:r>
      <w:r w:rsidRPr="00642AB7">
        <w:t>is not a controlled action, be set aside with effect from the date of these orders.</w:t>
      </w:r>
    </w:p>
    <w:p w14:paraId="1D3E53D8" w14:textId="0BB5FDA3" w:rsidR="00453007" w:rsidRDefault="00453007" w:rsidP="00B73620">
      <w:pPr>
        <w:pStyle w:val="Order1"/>
      </w:pPr>
      <w:r>
        <w:t xml:space="preserve">On or before 4 pm on </w:t>
      </w:r>
      <w:r w:rsidR="00B401E5">
        <w:t xml:space="preserve">26 November 2019, </w:t>
      </w:r>
      <w:r>
        <w:t xml:space="preserve">the parties are to submit to the Court a proposed form of order, reflecting the Court’s reasons for judgment and which directs the respondent about the form of notice which must be issued under s 77 </w:t>
      </w:r>
      <w:r w:rsidR="00B73620">
        <w:t>of the EPBC Act</w:t>
      </w:r>
      <w:r>
        <w:t>, and the time in which the notice should be published.</w:t>
      </w:r>
    </w:p>
    <w:p w14:paraId="1BA3395A" w14:textId="5E82F693" w:rsidR="00453007" w:rsidRDefault="00453007" w:rsidP="00B73620">
      <w:pPr>
        <w:pStyle w:val="Order1"/>
      </w:pPr>
      <w:r>
        <w:t>If a proposed form of order cannot be agreed between the parties, on or b</w:t>
      </w:r>
      <w:r w:rsidR="0077316B">
        <w:t>efore 4 pm on 26 November 2019</w:t>
      </w:r>
      <w:r>
        <w:t xml:space="preserve">, the parties are each to submit a proposed form of order, together with submissions of not more than </w:t>
      </w:r>
      <w:r w:rsidR="000D5538">
        <w:t xml:space="preserve">two </w:t>
      </w:r>
      <w:r>
        <w:t>pages as to why the Court should accept the form of order proposed.</w:t>
      </w:r>
    </w:p>
    <w:p w14:paraId="4DC13156" w14:textId="2751ADC3" w:rsidR="00395B24" w:rsidRPr="00B850A2" w:rsidRDefault="00C810C8" w:rsidP="00274F5B">
      <w:pPr>
        <w:pStyle w:val="Order1"/>
      </w:pPr>
      <w:r>
        <w:t xml:space="preserve">The parties are to confer and attempt to agree on </w:t>
      </w:r>
      <w:r w:rsidR="00025DFA">
        <w:t>any further</w:t>
      </w:r>
      <w:r>
        <w:t xml:space="preserve"> appropriate relief in respect of ground 3 of the application for judicial review</w:t>
      </w:r>
      <w:r w:rsidR="00FF5E8D">
        <w:t>, taking into account the Court’s reasons</w:t>
      </w:r>
      <w:r w:rsidR="00025DFA">
        <w:t xml:space="preserve"> and th</w:t>
      </w:r>
      <w:r w:rsidR="00025DFA" w:rsidRPr="00B850A2">
        <w:t xml:space="preserve">e relief granted in relation to ground </w:t>
      </w:r>
      <w:r w:rsidR="00B850A2" w:rsidRPr="00B850A2">
        <w:t>2</w:t>
      </w:r>
      <w:r w:rsidRPr="00B850A2">
        <w:t>.</w:t>
      </w:r>
    </w:p>
    <w:p w14:paraId="4DC7891E" w14:textId="139531AA" w:rsidR="00C810C8" w:rsidRPr="00B850A2" w:rsidRDefault="00C810C8" w:rsidP="00274F5B">
      <w:pPr>
        <w:pStyle w:val="Order1"/>
      </w:pPr>
      <w:r w:rsidRPr="00B850A2">
        <w:t xml:space="preserve">Any agreed submissions as to </w:t>
      </w:r>
      <w:r w:rsidR="00453007" w:rsidRPr="00B850A2">
        <w:t xml:space="preserve">any </w:t>
      </w:r>
      <w:r w:rsidR="00025DFA" w:rsidRPr="00B850A2">
        <w:t xml:space="preserve">further </w:t>
      </w:r>
      <w:r w:rsidRPr="00B850A2">
        <w:t>relief</w:t>
      </w:r>
      <w:r w:rsidR="00BB1A98" w:rsidRPr="00B850A2">
        <w:t xml:space="preserve"> in respect of ground 3</w:t>
      </w:r>
      <w:r w:rsidRPr="00B850A2">
        <w:t xml:space="preserve"> are to be filed on or before 4 pm on </w:t>
      </w:r>
      <w:r w:rsidR="00161D16" w:rsidRPr="00B850A2">
        <w:t>26 November 2019</w:t>
      </w:r>
      <w:r w:rsidRPr="00B850A2">
        <w:t>.</w:t>
      </w:r>
    </w:p>
    <w:p w14:paraId="1BEA654B" w14:textId="17208D27" w:rsidR="00C810C8" w:rsidRPr="00B850A2" w:rsidRDefault="00C810C8" w:rsidP="00274F5B">
      <w:pPr>
        <w:pStyle w:val="Order1"/>
      </w:pPr>
      <w:r w:rsidRPr="00B850A2">
        <w:t>In the absence of an agreed position:</w:t>
      </w:r>
    </w:p>
    <w:p w14:paraId="56D3CCF6" w14:textId="74BEB028" w:rsidR="00C810C8" w:rsidRPr="00B850A2" w:rsidRDefault="00C810C8" w:rsidP="003F0E9C">
      <w:pPr>
        <w:pStyle w:val="Order2"/>
      </w:pPr>
      <w:r w:rsidRPr="00B850A2">
        <w:lastRenderedPageBreak/>
        <w:t xml:space="preserve">the applicant is to file and serve submissions on the appropriate form of relief in respect of ground 3, limited to five pages, on or before 4 pm on </w:t>
      </w:r>
      <w:r w:rsidR="00161D16" w:rsidRPr="00B850A2">
        <w:t>3 December 2019</w:t>
      </w:r>
      <w:r w:rsidRPr="00B850A2">
        <w:t>; and</w:t>
      </w:r>
    </w:p>
    <w:p w14:paraId="4898B900" w14:textId="22606050" w:rsidR="00C810C8" w:rsidRPr="00B850A2" w:rsidRDefault="00C810C8" w:rsidP="003F0E9C">
      <w:pPr>
        <w:pStyle w:val="Order2"/>
      </w:pPr>
      <w:r w:rsidRPr="00B850A2">
        <w:t xml:space="preserve">the respondent is to file and serve submissions on the appropriate form of relief in respect of ground 3, limited to five pages, on or before 4 pm on </w:t>
      </w:r>
      <w:r w:rsidR="00161D16" w:rsidRPr="00B850A2">
        <w:t>10 December 2019</w:t>
      </w:r>
      <w:r w:rsidRPr="00B850A2">
        <w:t>.</w:t>
      </w:r>
    </w:p>
    <w:p w14:paraId="67D9A73D" w14:textId="62191E04" w:rsidR="00C810C8" w:rsidRDefault="00C810C8" w:rsidP="004B3E72">
      <w:pPr>
        <w:pStyle w:val="Order1"/>
      </w:pPr>
      <w:r>
        <w:t xml:space="preserve">Subject to any further order, the question of </w:t>
      </w:r>
      <w:r w:rsidR="00025DFA">
        <w:t>any further</w:t>
      </w:r>
      <w:r>
        <w:t xml:space="preserve"> appropriate relief will be determined on the papers.</w:t>
      </w:r>
    </w:p>
    <w:p w14:paraId="5F7D1EBF" w14:textId="18DC812E" w:rsidR="00025DFA" w:rsidRDefault="00025DFA" w:rsidP="004B3E72">
      <w:pPr>
        <w:pStyle w:val="Order1"/>
      </w:pPr>
      <w:r>
        <w:t>The respondent pay the applicant’s costs of and incidental to the proceeding, to be fixed by way of an agreed lump sum.</w:t>
      </w:r>
    </w:p>
    <w:p w14:paraId="5E548DC3" w14:textId="25A2CDA5" w:rsidR="00025DFA" w:rsidRDefault="00025DFA" w:rsidP="004B3E72">
      <w:pPr>
        <w:pStyle w:val="Order1"/>
      </w:pPr>
      <w:r>
        <w:t>In the absence of agreement as to an appropriate lump sum for the applicant’s costs, the question of an appropriate lump sum be referred to a Registrar.</w:t>
      </w:r>
    </w:p>
    <w:p w14:paraId="078E9912" w14:textId="77777777" w:rsidR="00636871" w:rsidRDefault="00636871" w:rsidP="002B0E91">
      <w:pPr>
        <w:pStyle w:val="BodyText"/>
      </w:pPr>
    </w:p>
    <w:p w14:paraId="0492FF71" w14:textId="77777777" w:rsidR="00395B24" w:rsidRDefault="00395B24" w:rsidP="002B0E91">
      <w:pPr>
        <w:pStyle w:val="BodyText"/>
      </w:pPr>
    </w:p>
    <w:p w14:paraId="165E327F" w14:textId="77777777" w:rsidR="00395B24" w:rsidRDefault="002C7385" w:rsidP="004D53E5">
      <w:pPr>
        <w:pStyle w:val="SingleSpace"/>
      </w:pPr>
      <w:r>
        <w:t>Note:</w:t>
      </w:r>
      <w:r>
        <w:tab/>
        <w:t xml:space="preserve">Entry of orders is dealt with in Rule 39.32 of the </w:t>
      </w:r>
      <w:r>
        <w:rPr>
          <w:i/>
        </w:rPr>
        <w:t>Federal Court Rules 2011</w:t>
      </w:r>
      <w:r>
        <w:t>.</w:t>
      </w:r>
    </w:p>
    <w:p w14:paraId="36C3FE91" w14:textId="77777777" w:rsidR="00395B24" w:rsidRDefault="00395B24" w:rsidP="002B0E91">
      <w:pPr>
        <w:pStyle w:val="BodyText"/>
      </w:pPr>
    </w:p>
    <w:p w14:paraId="1809BEA5" w14:textId="77777777" w:rsidR="00395B24" w:rsidRDefault="00395B24" w:rsidP="001F2DBC">
      <w:pPr>
        <w:pStyle w:val="BodyText"/>
      </w:pPr>
    </w:p>
    <w:p w14:paraId="48E37BBC" w14:textId="77777777" w:rsidR="0092590B" w:rsidRDefault="0092590B" w:rsidP="002B0E91">
      <w:pPr>
        <w:pStyle w:val="BodyText"/>
      </w:pPr>
    </w:p>
    <w:p w14:paraId="5A0EB330"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00FD14C1"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0811DB33" w14:textId="77777777" w:rsidR="00395B24" w:rsidRPr="00EA03CE" w:rsidRDefault="007C5A83" w:rsidP="005E0510">
      <w:pPr>
        <w:pStyle w:val="NormalHeadings"/>
        <w:spacing w:line="360" w:lineRule="auto"/>
        <w:jc w:val="left"/>
        <w:rPr>
          <w:sz w:val="26"/>
          <w:szCs w:val="26"/>
        </w:rPr>
      </w:pPr>
      <w:r>
        <w:rPr>
          <w:sz w:val="26"/>
          <w:szCs w:val="26"/>
        </w:rPr>
        <w:t>MORTIMER J</w:t>
      </w:r>
      <w:r w:rsidR="00484F6D" w:rsidRPr="00EA03CE">
        <w:rPr>
          <w:sz w:val="26"/>
          <w:szCs w:val="26"/>
        </w:rPr>
        <w:t>:</w:t>
      </w:r>
    </w:p>
    <w:p w14:paraId="3012F804" w14:textId="282C811F" w:rsidR="00484F6D" w:rsidRDefault="00187DF0" w:rsidP="00187DF0">
      <w:pPr>
        <w:pStyle w:val="ParaNumbering"/>
      </w:pPr>
      <w:r>
        <w:t xml:space="preserve">This is </w:t>
      </w:r>
      <w:r w:rsidR="006E45BB">
        <w:t>an application</w:t>
      </w:r>
      <w:r>
        <w:t xml:space="preserve"> for judicial review of a decision of a delegate </w:t>
      </w:r>
      <w:r w:rsidR="00EE4637">
        <w:t xml:space="preserve">of the respondent </w:t>
      </w:r>
      <w:r>
        <w:t xml:space="preserve">made on 31 August 2018. By that decision, the delegate determined that </w:t>
      </w:r>
      <w:r w:rsidR="00EE4637">
        <w:t>a</w:t>
      </w:r>
      <w:r>
        <w:t xml:space="preserve"> proposed action by Wild Drake Pty Ltd</w:t>
      </w:r>
      <w:r w:rsidR="006E45BB">
        <w:t xml:space="preserve"> (</w:t>
      </w:r>
      <w:r w:rsidR="006E45BB">
        <w:rPr>
          <w:b/>
        </w:rPr>
        <w:t>Wild Drake</w:t>
      </w:r>
      <w:r w:rsidR="006E45BB">
        <w:t>)</w:t>
      </w:r>
      <w:r>
        <w:t xml:space="preserve"> was not a controlled </w:t>
      </w:r>
      <w:r w:rsidR="00EE4637">
        <w:t>action</w:t>
      </w:r>
      <w:r>
        <w:t>, for the purposes of the</w:t>
      </w:r>
      <w:r w:rsidRPr="00187DF0">
        <w:t xml:space="preserve"> </w:t>
      </w:r>
      <w:r w:rsidRPr="005D03AB">
        <w:rPr>
          <w:i/>
        </w:rPr>
        <w:t>Environment Protection and Biodiversity Conservation Act 1999</w:t>
      </w:r>
      <w:r w:rsidRPr="005D03AB">
        <w:t xml:space="preserve"> (</w:t>
      </w:r>
      <w:proofErr w:type="spellStart"/>
      <w:r w:rsidRPr="005D03AB">
        <w:t>Cth</w:t>
      </w:r>
      <w:proofErr w:type="spellEnd"/>
      <w:r w:rsidRPr="005D03AB">
        <w:t>)</w:t>
      </w:r>
      <w:r w:rsidR="00774BA3">
        <w:t xml:space="preserve"> (</w:t>
      </w:r>
      <w:r w:rsidR="00774BA3" w:rsidRPr="003F0E9C">
        <w:rPr>
          <w:b/>
        </w:rPr>
        <w:t>EPBC</w:t>
      </w:r>
      <w:r w:rsidR="00596B47" w:rsidRPr="003F0E9C">
        <w:rPr>
          <w:b/>
        </w:rPr>
        <w:t xml:space="preserve"> </w:t>
      </w:r>
      <w:r w:rsidR="00774BA3" w:rsidRPr="003F0E9C">
        <w:rPr>
          <w:b/>
        </w:rPr>
        <w:t>A</w:t>
      </w:r>
      <w:r w:rsidR="00596B47" w:rsidRPr="003F0E9C">
        <w:rPr>
          <w:b/>
        </w:rPr>
        <w:t>ct</w:t>
      </w:r>
      <w:r w:rsidR="00774BA3">
        <w:t>).</w:t>
      </w:r>
    </w:p>
    <w:p w14:paraId="62C1712E" w14:textId="2D3F39D0" w:rsidR="00187DF0" w:rsidRDefault="00EE4637" w:rsidP="00187DF0">
      <w:pPr>
        <w:pStyle w:val="ParaNumbering"/>
      </w:pPr>
      <w:r>
        <w:t xml:space="preserve">For the reasons set out below, the application </w:t>
      </w:r>
      <w:r w:rsidR="00257263">
        <w:t xml:space="preserve">substantially </w:t>
      </w:r>
      <w:r w:rsidR="00633851">
        <w:t>succeeds</w:t>
      </w:r>
      <w:r w:rsidRPr="006E45BB">
        <w:t>.</w:t>
      </w:r>
    </w:p>
    <w:p w14:paraId="321FCAFD" w14:textId="77777777" w:rsidR="00AA6C8F" w:rsidRDefault="00AA6C8F" w:rsidP="00AA6C8F">
      <w:pPr>
        <w:pStyle w:val="Heading1"/>
      </w:pPr>
      <w:r>
        <w:t>Factual background</w:t>
      </w:r>
    </w:p>
    <w:p w14:paraId="285A1168" w14:textId="10D770FB" w:rsidR="00684E9D" w:rsidRDefault="00684E9D" w:rsidP="007A3629">
      <w:pPr>
        <w:pStyle w:val="ParaNumbering"/>
      </w:pPr>
      <w:r>
        <w:t xml:space="preserve">The factual background to the delegate’s decision is not in dispute. The material which was before the delegate was also not in dispute, </w:t>
      </w:r>
      <w:r w:rsidR="00C553DD">
        <w:t>including</w:t>
      </w:r>
      <w:r>
        <w:t xml:space="preserve"> material about the nature and content of the </w:t>
      </w:r>
      <w:r w:rsidR="00633851">
        <w:t>proposed action</w:t>
      </w:r>
      <w:r>
        <w:t>. The respondent</w:t>
      </w:r>
      <w:r w:rsidR="00774BA3">
        <w:t>’</w:t>
      </w:r>
      <w:r>
        <w:t>s submissions also set out some of the factual background, and the applicant did not appear to cavil with that summary. I have based this section on the respondent’s submissions</w:t>
      </w:r>
      <w:r w:rsidR="005A28BE">
        <w:t xml:space="preserve"> </w:t>
      </w:r>
      <w:r>
        <w:t>and the material before the delegate.</w:t>
      </w:r>
    </w:p>
    <w:p w14:paraId="3B6493EF" w14:textId="2064E3B0" w:rsidR="00AF3042" w:rsidRDefault="00187DF0" w:rsidP="00AF3042">
      <w:pPr>
        <w:pStyle w:val="ParaNumbering"/>
      </w:pPr>
      <w:r>
        <w:t>Wild Drake</w:t>
      </w:r>
      <w:r w:rsidR="00572149">
        <w:t xml:space="preserve"> propose</w:t>
      </w:r>
      <w:r w:rsidR="00E51A49">
        <w:t>d</w:t>
      </w:r>
      <w:r>
        <w:t xml:space="preserve"> to construct and operate</w:t>
      </w:r>
      <w:r w:rsidR="00EA1AE7">
        <w:t xml:space="preserve"> a</w:t>
      </w:r>
      <w:r>
        <w:t xml:space="preserve"> </w:t>
      </w:r>
      <w:r w:rsidR="00E51A49">
        <w:t xml:space="preserve">small-scale tourist operation </w:t>
      </w:r>
      <w:r w:rsidR="00572149">
        <w:t xml:space="preserve">on Halls Island, Lake </w:t>
      </w:r>
      <w:proofErr w:type="spellStart"/>
      <w:r w:rsidR="00572149">
        <w:t>Malbena</w:t>
      </w:r>
      <w:proofErr w:type="spellEnd"/>
      <w:r w:rsidR="00572149">
        <w:t xml:space="preserve">, </w:t>
      </w:r>
      <w:r w:rsidR="00E51A49">
        <w:t>which is</w:t>
      </w:r>
      <w:r w:rsidR="00572149">
        <w:t xml:space="preserve"> north</w:t>
      </w:r>
      <w:r w:rsidR="0033254A">
        <w:t>-</w:t>
      </w:r>
      <w:r w:rsidR="00572149">
        <w:t>east of Derwent Bridge, Tasmania</w:t>
      </w:r>
      <w:r w:rsidR="00E51A49">
        <w:t>.</w:t>
      </w:r>
      <w:r w:rsidR="001B5C51">
        <w:t xml:space="preserve"> Halls Island is located</w:t>
      </w:r>
      <w:r w:rsidR="00AF3042" w:rsidRPr="00AF3042">
        <w:t xml:space="preserve"> </w:t>
      </w:r>
      <w:r w:rsidR="00AF3042">
        <w:t xml:space="preserve">within the Walls of Jerusalem National Park in the Meander Valley region of the </w:t>
      </w:r>
      <w:r w:rsidR="001B5C51">
        <w:t>Tasmanian Wilderness World Heritage Area</w:t>
      </w:r>
      <w:r w:rsidR="00897F58">
        <w:t xml:space="preserve">, which I abbreviate in these reasons to </w:t>
      </w:r>
      <w:r w:rsidR="00F81494">
        <w:t>“</w:t>
      </w:r>
      <w:r w:rsidR="00897F58">
        <w:t>TWWHA</w:t>
      </w:r>
      <w:r w:rsidR="00F81494">
        <w:t>”</w:t>
      </w:r>
      <w:r w:rsidR="001B5C51">
        <w:t>.</w:t>
      </w:r>
      <w:r w:rsidR="00E51A49">
        <w:t xml:space="preserve"> </w:t>
      </w:r>
    </w:p>
    <w:p w14:paraId="08BB22D5" w14:textId="0B4D0C67" w:rsidR="007A3629" w:rsidRDefault="007A3629" w:rsidP="00AF3042">
      <w:pPr>
        <w:pStyle w:val="ParaNumbering"/>
      </w:pPr>
      <w:bookmarkStart w:id="20" w:name="_Ref22303011"/>
      <w:r>
        <w:t>In</w:t>
      </w:r>
      <w:r w:rsidR="002A5D6D">
        <w:t xml:space="preserve"> a summary prepared for the delegate,</w:t>
      </w:r>
      <w:r>
        <w:t xml:space="preserve"> the action</w:t>
      </w:r>
      <w:r w:rsidR="002A5D6D">
        <w:t xml:space="preserve"> proposed by Wild Drake was described</w:t>
      </w:r>
      <w:r>
        <w:t xml:space="preserve"> in the following terms</w:t>
      </w:r>
      <w:r w:rsidR="00774BA3">
        <w:t>:</w:t>
      </w:r>
      <w:bookmarkEnd w:id="20"/>
      <w:r>
        <w:t xml:space="preserve"> </w:t>
      </w:r>
    </w:p>
    <w:p w14:paraId="1113DFCB" w14:textId="67FF7E07" w:rsidR="00572149" w:rsidRPr="007A3629" w:rsidRDefault="0079485C" w:rsidP="001C0256">
      <w:pPr>
        <w:pStyle w:val="Quote1"/>
      </w:pPr>
      <w:r>
        <w:t xml:space="preserve">Wild Drake Pty Ltd (the proponent) is </w:t>
      </w:r>
      <w:r w:rsidR="00572149" w:rsidRPr="007A3629">
        <w:t xml:space="preserve">proposing to develop a small tourism operation </w:t>
      </w:r>
      <w:r w:rsidR="007A3629" w:rsidRPr="007A3629">
        <w:t xml:space="preserve">on a private leasehold property </w:t>
      </w:r>
      <w:r w:rsidR="00572149" w:rsidRPr="007A3629">
        <w:t xml:space="preserve">on Halls Island in Lake </w:t>
      </w:r>
      <w:proofErr w:type="spellStart"/>
      <w:r w:rsidR="00572149" w:rsidRPr="007A3629">
        <w:t>Malbena</w:t>
      </w:r>
      <w:proofErr w:type="spellEnd"/>
      <w:r w:rsidR="00572149" w:rsidRPr="007A3629">
        <w:t xml:space="preserve"> in the Tasmanian Wilderness World Heritag</w:t>
      </w:r>
      <w:r w:rsidR="007A3629" w:rsidRPr="007A3629">
        <w:t>e Area</w:t>
      </w:r>
      <w:r w:rsidR="00072A14">
        <w:t xml:space="preserve"> (TWWHA)</w:t>
      </w:r>
      <w:r w:rsidR="007A3629" w:rsidRPr="007A3629">
        <w:t xml:space="preserve">. The </w:t>
      </w:r>
      <w:r w:rsidR="00572149" w:rsidRPr="007A3629">
        <w:t xml:space="preserve">proposal would see the establishment of a standing camp </w:t>
      </w:r>
      <w:r w:rsidR="007A3629" w:rsidRPr="007A3629">
        <w:t xml:space="preserve">to accommodate a maximum of six </w:t>
      </w:r>
      <w:r w:rsidR="00572149" w:rsidRPr="007A3629">
        <w:t>visitors for four day stays. Visitors would arrive by helicopter from Derwent River Bridge and</w:t>
      </w:r>
      <w:r w:rsidR="007A3629" w:rsidRPr="007A3629">
        <w:t xml:space="preserve"> </w:t>
      </w:r>
      <w:r w:rsidR="00572149" w:rsidRPr="007A3629">
        <w:t>there would be a maximum of 30 tours per year. Activities proposed include kayaking, hill</w:t>
      </w:r>
      <w:r w:rsidR="00072A14">
        <w:t>-</w:t>
      </w:r>
      <w:r w:rsidR="00572149" w:rsidRPr="007A3629">
        <w:t>walking,</w:t>
      </w:r>
      <w:r w:rsidR="007A3629" w:rsidRPr="007A3629">
        <w:t xml:space="preserve"> </w:t>
      </w:r>
      <w:r w:rsidR="00572149" w:rsidRPr="007A3629">
        <w:t>bushwalking, cultural interpretation, wildlife viewing and citizen science opportunities.</w:t>
      </w:r>
    </w:p>
    <w:p w14:paraId="50DD6B9C" w14:textId="2999BC8B" w:rsidR="00AF3042" w:rsidRDefault="00AF3042" w:rsidP="00AF3042">
      <w:pPr>
        <w:pStyle w:val="ParaNumbering"/>
      </w:pPr>
      <w:r>
        <w:t xml:space="preserve">For </w:t>
      </w:r>
      <w:r w:rsidR="00633851">
        <w:t>transport</w:t>
      </w:r>
      <w:r>
        <w:t xml:space="preserve">, it was proposed that there be </w:t>
      </w:r>
      <w:r w:rsidR="008C64BF">
        <w:t>constructed</w:t>
      </w:r>
      <w:r>
        <w:t xml:space="preserve"> a helicopter landing site on the mainland opposite Lake </w:t>
      </w:r>
      <w:proofErr w:type="spellStart"/>
      <w:r>
        <w:t>Malbena</w:t>
      </w:r>
      <w:proofErr w:type="spellEnd"/>
      <w:r>
        <w:t xml:space="preserve">, in the TWWHA Central Highlands region and outside of the Walls of Jerusalem National Park. It was proposed visitors would walk approximately 100 m from the helipad to the edge of Lake </w:t>
      </w:r>
      <w:proofErr w:type="spellStart"/>
      <w:r>
        <w:t>Malbena</w:t>
      </w:r>
      <w:proofErr w:type="spellEnd"/>
      <w:r>
        <w:t xml:space="preserve"> and would cross the lake in a row boat to Halls Island. </w:t>
      </w:r>
    </w:p>
    <w:p w14:paraId="1890C6BD" w14:textId="77777777" w:rsidR="00257263" w:rsidRDefault="00AF3042" w:rsidP="00AF3042">
      <w:pPr>
        <w:pStyle w:val="ParaNumbering"/>
      </w:pPr>
      <w:r>
        <w:lastRenderedPageBreak/>
        <w:t>The</w:t>
      </w:r>
      <w:r w:rsidR="009E4F56">
        <w:t xml:space="preserve"> </w:t>
      </w:r>
      <w:r w:rsidR="00753448">
        <w:t xml:space="preserve">information given to the delegate </w:t>
      </w:r>
      <w:r w:rsidR="009E4F56">
        <w:t xml:space="preserve">expressly noted that the proponent had plans to develop a “second stage” of its tourism operation. That </w:t>
      </w:r>
      <w:r w:rsidR="00753448">
        <w:t>“</w:t>
      </w:r>
      <w:r w:rsidR="009E4F56">
        <w:t>second stage</w:t>
      </w:r>
      <w:r w:rsidR="00753448">
        <w:t xml:space="preserve">”, so described, </w:t>
      </w:r>
      <w:r w:rsidR="009E4F56">
        <w:t xml:space="preserve">involved the development of walking routes to </w:t>
      </w:r>
      <w:r w:rsidR="00774BA3">
        <w:t xml:space="preserve">the </w:t>
      </w:r>
      <w:r w:rsidR="009E4F56">
        <w:t xml:space="preserve">nearby Mt </w:t>
      </w:r>
      <w:proofErr w:type="spellStart"/>
      <w:r w:rsidR="009E4F56">
        <w:t>Oana</w:t>
      </w:r>
      <w:proofErr w:type="spellEnd"/>
      <w:r w:rsidR="009E4F56">
        <w:t xml:space="preserve">, as well as to an Aboriginal heritage site. </w:t>
      </w:r>
      <w:r w:rsidR="00D6127C">
        <w:t>Wild Drake</w:t>
      </w:r>
      <w:r w:rsidR="009E4F56">
        <w:t xml:space="preserve"> p</w:t>
      </w:r>
      <w:r w:rsidR="001A1679">
        <w:t>l</w:t>
      </w:r>
      <w:r w:rsidR="009E4F56">
        <w:t xml:space="preserve">anned to conduct what it described as “cultural interpretation activities” at this site. </w:t>
      </w:r>
      <w:r w:rsidR="00633851">
        <w:t xml:space="preserve">As I note later on in these reasons, </w:t>
      </w:r>
      <w:r w:rsidR="004A7A1B">
        <w:t>t</w:t>
      </w:r>
      <w:r w:rsidR="00633851">
        <w:t xml:space="preserve">he “two stage” concept originated </w:t>
      </w:r>
      <w:r w:rsidR="0091517C">
        <w:t xml:space="preserve">in an assessment of Wild Drake’s proposal by </w:t>
      </w:r>
      <w:r w:rsidR="00633851">
        <w:t>the Tasmanian Parks and Wildlife Service</w:t>
      </w:r>
      <w:r w:rsidR="004A7A1B">
        <w:t xml:space="preserve"> (</w:t>
      </w:r>
      <w:r w:rsidR="004A7A1B">
        <w:rPr>
          <w:b/>
        </w:rPr>
        <w:t>PWS</w:t>
      </w:r>
      <w:r w:rsidR="007F3B20">
        <w:t>)</w:t>
      </w:r>
      <w:r w:rsidR="00633851">
        <w:t xml:space="preserve">. </w:t>
      </w:r>
    </w:p>
    <w:p w14:paraId="1047FAA8" w14:textId="391B1DAE" w:rsidR="009E4F56" w:rsidRDefault="00D6127C" w:rsidP="00AF3042">
      <w:pPr>
        <w:pStyle w:val="ParaNumbering"/>
      </w:pPr>
      <w:r>
        <w:t>Wild Drake’s own description of its proposed action</w:t>
      </w:r>
      <w:r w:rsidR="00257263">
        <w:t xml:space="preserve"> (which encompassed what subsequently became identified as “stage </w:t>
      </w:r>
      <w:r w:rsidR="00FD657C">
        <w:t>one</w:t>
      </w:r>
      <w:r w:rsidR="00257263">
        <w:t xml:space="preserve">” and “stage </w:t>
      </w:r>
      <w:r w:rsidR="00FD657C">
        <w:t>two</w:t>
      </w:r>
      <w:r w:rsidR="00257263">
        <w:t>”)</w:t>
      </w:r>
      <w:r>
        <w:t xml:space="preserve"> was:</w:t>
      </w:r>
    </w:p>
    <w:p w14:paraId="2595C58D" w14:textId="77777777" w:rsidR="00D6127C" w:rsidRPr="005F1CB6" w:rsidRDefault="00D6127C" w:rsidP="005F1CB6">
      <w:pPr>
        <w:pStyle w:val="Quote1"/>
      </w:pPr>
      <w:r w:rsidRPr="005F1CB6">
        <w:t xml:space="preserve">1. Proposal: To construct and operate a small-scale Standing Camp on Halls Island, Lake </w:t>
      </w:r>
      <w:proofErr w:type="spellStart"/>
      <w:r w:rsidRPr="005F1CB6">
        <w:t>Malbena</w:t>
      </w:r>
      <w:proofErr w:type="spellEnd"/>
      <w:r w:rsidRPr="005F1CB6">
        <w:t>, Tasmania.</w:t>
      </w:r>
    </w:p>
    <w:p w14:paraId="471D2722" w14:textId="2B9DEC66" w:rsidR="00D6127C" w:rsidRPr="005F1CB6" w:rsidRDefault="00D6127C" w:rsidP="00FE29F0">
      <w:pPr>
        <w:pStyle w:val="Quote1"/>
      </w:pPr>
      <w:r w:rsidRPr="005F1CB6">
        <w:t xml:space="preserve">The primary theme of the project is one of cultural immersion, built around the </w:t>
      </w:r>
      <w:proofErr w:type="spellStart"/>
      <w:r w:rsidRPr="005F1CB6">
        <w:t>Reg</w:t>
      </w:r>
      <w:proofErr w:type="spellEnd"/>
      <w:r w:rsidRPr="005F1CB6">
        <w:t xml:space="preserve"> Hall and</w:t>
      </w:r>
      <w:r w:rsidR="00FE29F0">
        <w:t xml:space="preserve"> </w:t>
      </w:r>
      <w:r w:rsidRPr="005F1CB6">
        <w:t>Walls of Jerusalem National Park narrative. This theme is to be enhanced by world-class interpretation of the listed Outstanding Universal Values found in the World Heritage area.</w:t>
      </w:r>
    </w:p>
    <w:p w14:paraId="44732A9A" w14:textId="77777777" w:rsidR="00D6127C" w:rsidRPr="005F1CB6" w:rsidRDefault="00D6127C" w:rsidP="005F1CB6">
      <w:pPr>
        <w:pStyle w:val="Quote1"/>
      </w:pPr>
      <w:r w:rsidRPr="005F1CB6">
        <w:t>Key target markets will be discerning travellers looking for new discoveries, deep heritage and strong narratives, natural encounters and lean luxury.</w:t>
      </w:r>
    </w:p>
    <w:p w14:paraId="688EAFC6" w14:textId="77777777" w:rsidR="00D6127C" w:rsidRPr="005F1CB6" w:rsidRDefault="00D6127C" w:rsidP="005F1CB6">
      <w:pPr>
        <w:pStyle w:val="Quote1"/>
      </w:pPr>
      <w:r w:rsidRPr="005F1CB6">
        <w:t>Activities will include kayaking, hill-walking, bushwalking, cultural interpretation, wildlife viewing, and the chance to participate in choreographed ‘citizen-science’ style field trips with guest experts in the fields of science, art and culture. On-island activities will include continuing with the sixty-year history of poetry and art on the island, astronomy, botany, bird watching, and flora and fauna interpretation.</w:t>
      </w:r>
    </w:p>
    <w:p w14:paraId="4CF63F76" w14:textId="4C2471C0" w:rsidR="00D6127C" w:rsidRPr="000A2BDC" w:rsidRDefault="00D6127C" w:rsidP="005F1CB6">
      <w:pPr>
        <w:pStyle w:val="Quote1"/>
        <w:rPr>
          <w:highlight w:val="yellow"/>
        </w:rPr>
      </w:pPr>
      <w:r w:rsidRPr="005F1CB6">
        <w:t>The small-scale, niche operation is aimed at the very top-end of the market. Ensuring that the proposed activities and outcomes are sensitive to the environmental and social expectations of operations in the TWWHA (Tasmanian Wilderness World Heritage Area), the scale will be extremely low: a maximum of 30 trips annually, with just 6 customers per trip.</w:t>
      </w:r>
    </w:p>
    <w:p w14:paraId="4A163048" w14:textId="35D6E1CC" w:rsidR="00365803" w:rsidRDefault="00581184" w:rsidP="00B11E5F">
      <w:pPr>
        <w:pStyle w:val="ParaNumbering"/>
      </w:pPr>
      <w:r>
        <w:t>Activities in, and the protection and conservation of, the</w:t>
      </w:r>
      <w:r w:rsidR="00897F58">
        <w:t xml:space="preserve"> TWWHA </w:t>
      </w:r>
      <w:r w:rsidR="00365803">
        <w:t>are</w:t>
      </w:r>
      <w:r>
        <w:t xml:space="preserve"> regulated by the</w:t>
      </w:r>
      <w:r w:rsidR="00897F58">
        <w:t xml:space="preserve"> Tasmanian Wilderness World Heritage A</w:t>
      </w:r>
      <w:r>
        <w:t xml:space="preserve">rea Management Plan (2016). This Management Plan was developed under the </w:t>
      </w:r>
      <w:r w:rsidR="00897F58" w:rsidRPr="005D03AB">
        <w:rPr>
          <w:i/>
        </w:rPr>
        <w:t>National Park</w:t>
      </w:r>
      <w:r w:rsidRPr="005D03AB">
        <w:rPr>
          <w:i/>
        </w:rPr>
        <w:t>s and Reserve Management Act 2002</w:t>
      </w:r>
      <w:r w:rsidR="00BD33E2" w:rsidRPr="005D03AB">
        <w:rPr>
          <w:i/>
        </w:rPr>
        <w:t xml:space="preserve"> </w:t>
      </w:r>
      <w:r w:rsidR="00BD33E2" w:rsidRPr="005D03AB">
        <w:t>(</w:t>
      </w:r>
      <w:proofErr w:type="spellStart"/>
      <w:r w:rsidR="00BD33E2" w:rsidRPr="005D03AB">
        <w:t>Tas</w:t>
      </w:r>
      <w:proofErr w:type="spellEnd"/>
      <w:r w:rsidR="00BD33E2" w:rsidRPr="005D03AB">
        <w:t>)</w:t>
      </w:r>
      <w:r w:rsidR="009011D2">
        <w:t xml:space="preserve"> (</w:t>
      </w:r>
      <w:r w:rsidR="009011D2">
        <w:rPr>
          <w:b/>
        </w:rPr>
        <w:t>NPRM Act</w:t>
      </w:r>
      <w:r w:rsidR="009011D2">
        <w:t>)</w:t>
      </w:r>
      <w:r w:rsidR="00D9338A">
        <w:t>,</w:t>
      </w:r>
      <w:r w:rsidR="00B11E5F">
        <w:t xml:space="preserve"> and the brief to the delegate described </w:t>
      </w:r>
      <w:r w:rsidR="006040A3">
        <w:t xml:space="preserve">the Management Plan </w:t>
      </w:r>
      <w:r w:rsidR="00D9338A">
        <w:t xml:space="preserve">as </w:t>
      </w:r>
      <w:r w:rsidR="00B11E5F">
        <w:t>intended to “meet the requirements of the EPBC Act with respect to management plans for World and National Heritage properties”</w:t>
      </w:r>
      <w:r>
        <w:t xml:space="preserve">. </w:t>
      </w:r>
      <w:r w:rsidR="00CB1E65">
        <w:t>A management plan for the TWW</w:t>
      </w:r>
      <w:r w:rsidR="002A4380">
        <w:t>HA</w:t>
      </w:r>
      <w:r w:rsidR="00CB1E65">
        <w:t xml:space="preserve"> is required by the</w:t>
      </w:r>
      <w:r w:rsidR="00BA2FEA">
        <w:t xml:space="preserve"> M</w:t>
      </w:r>
      <w:r>
        <w:t xml:space="preserve">anagement </w:t>
      </w:r>
      <w:r w:rsidR="00BA2FEA">
        <w:t>Principles</w:t>
      </w:r>
      <w:r>
        <w:t xml:space="preserve"> </w:t>
      </w:r>
      <w:r w:rsidR="00BA2FEA">
        <w:t>set</w:t>
      </w:r>
      <w:r>
        <w:t xml:space="preserve"> out in </w:t>
      </w:r>
      <w:proofErr w:type="spellStart"/>
      <w:r>
        <w:t>Sch</w:t>
      </w:r>
      <w:proofErr w:type="spellEnd"/>
      <w:r>
        <w:t xml:space="preserve"> 5 </w:t>
      </w:r>
      <w:r w:rsidR="00D9338A">
        <w:t xml:space="preserve">of the </w:t>
      </w:r>
      <w:r w:rsidR="00D9338A" w:rsidRPr="005D03AB">
        <w:rPr>
          <w:i/>
        </w:rPr>
        <w:t>Environment Protection and Biodiversity Conservation Regulations 200</w:t>
      </w:r>
      <w:r w:rsidR="007B289A" w:rsidRPr="005D03AB">
        <w:rPr>
          <w:i/>
        </w:rPr>
        <w:t>0</w:t>
      </w:r>
      <w:r w:rsidR="007B289A" w:rsidRPr="005D03AB">
        <w:t xml:space="preserve"> (</w:t>
      </w:r>
      <w:proofErr w:type="spellStart"/>
      <w:r w:rsidR="007B289A" w:rsidRPr="005D03AB">
        <w:t>Cth</w:t>
      </w:r>
      <w:proofErr w:type="spellEnd"/>
      <w:r w:rsidR="007B289A" w:rsidRPr="005D03AB">
        <w:t>)</w:t>
      </w:r>
      <w:r w:rsidR="00A73BC3">
        <w:t xml:space="preserve"> (</w:t>
      </w:r>
      <w:r w:rsidR="00A73BC3">
        <w:rPr>
          <w:b/>
        </w:rPr>
        <w:t>Regulations</w:t>
      </w:r>
      <w:r w:rsidR="00A73BC3">
        <w:t>)</w:t>
      </w:r>
      <w:r>
        <w:t xml:space="preserve">. The </w:t>
      </w:r>
      <w:r w:rsidR="00596B47">
        <w:t xml:space="preserve">Management Plan </w:t>
      </w:r>
      <w:r>
        <w:t xml:space="preserve">divides the TWWHA into four </w:t>
      </w:r>
      <w:r w:rsidR="003F24FB">
        <w:t>area Management Zones</w:t>
      </w:r>
      <w:r>
        <w:t xml:space="preserve">: Visitor Service, Recreation, Self-Reliant Recreation (SRRZ) and Wilderness. </w:t>
      </w:r>
    </w:p>
    <w:p w14:paraId="3E1AEC8E" w14:textId="5F8640EC" w:rsidR="007622A4" w:rsidRDefault="00581184" w:rsidP="007622A4">
      <w:pPr>
        <w:pStyle w:val="ParaNumbering"/>
      </w:pPr>
      <w:r>
        <w:lastRenderedPageBreak/>
        <w:t>Wild Drake</w:t>
      </w:r>
      <w:r w:rsidR="00365803" w:rsidRPr="00365803">
        <w:t xml:space="preserve"> </w:t>
      </w:r>
      <w:r w:rsidR="00BB4347">
        <w:t xml:space="preserve">holds </w:t>
      </w:r>
      <w:r w:rsidR="00365803">
        <w:t xml:space="preserve">a lease over Halls Island. </w:t>
      </w:r>
      <w:r w:rsidR="007622A4">
        <w:t>Its</w:t>
      </w:r>
      <w:r w:rsidR="00365803">
        <w:t xml:space="preserve"> lease conditions require approval</w:t>
      </w:r>
      <w:r w:rsidR="00063B8A">
        <w:t xml:space="preserve"> to be granted</w:t>
      </w:r>
      <w:r w:rsidR="00365803">
        <w:t xml:space="preserve"> before commencing </w:t>
      </w:r>
      <w:r w:rsidR="00ED7ABE">
        <w:t>the proposed</w:t>
      </w:r>
      <w:r>
        <w:t xml:space="preserve"> tourism operation within the SRRZ area.</w:t>
      </w:r>
      <w:r w:rsidRPr="00581184">
        <w:t xml:space="preserve"> </w:t>
      </w:r>
      <w:r>
        <w:t>Permissible activities within the SRRZ include</w:t>
      </w:r>
      <w:r w:rsidR="00596B47">
        <w:t>:</w:t>
      </w:r>
      <w:r>
        <w:t xml:space="preserve"> commercial aircraft landing, bushwalking, camping, commercial tourism, standing camp accommodation, kayaking and </w:t>
      </w:r>
      <w:r w:rsidR="00596B47">
        <w:t xml:space="preserve">the use of </w:t>
      </w:r>
      <w:r>
        <w:t>non-motorised vessels.</w:t>
      </w:r>
      <w:r w:rsidR="007622A4" w:rsidRPr="007622A4">
        <w:t xml:space="preserve"> </w:t>
      </w:r>
      <w:r w:rsidR="007622A4">
        <w:t xml:space="preserve">Wild Drake also </w:t>
      </w:r>
      <w:r w:rsidR="002E1820">
        <w:t>h</w:t>
      </w:r>
      <w:r w:rsidR="00487FFD">
        <w:t>olds</w:t>
      </w:r>
      <w:r w:rsidR="002E1820">
        <w:t xml:space="preserve"> </w:t>
      </w:r>
      <w:r w:rsidR="007622A4">
        <w:t xml:space="preserve">a licence issued by the </w:t>
      </w:r>
      <w:r w:rsidR="004A7A1B">
        <w:t>PWS</w:t>
      </w:r>
      <w:r w:rsidR="007622A4">
        <w:t>. The lice</w:t>
      </w:r>
      <w:r w:rsidR="002C6481">
        <w:t>nce</w:t>
      </w:r>
      <w:r w:rsidR="007622A4">
        <w:t xml:space="preserve"> conditions also require Wild Drake to secure approval b</w:t>
      </w:r>
      <w:r w:rsidR="002C6481">
        <w:t>e</w:t>
      </w:r>
      <w:r w:rsidR="007622A4">
        <w:t xml:space="preserve">fore commencing </w:t>
      </w:r>
      <w:r w:rsidR="00ED7ABE">
        <w:t>the proposed</w:t>
      </w:r>
      <w:r w:rsidR="009E3E5F">
        <w:t xml:space="preserve"> tourism</w:t>
      </w:r>
      <w:r w:rsidR="00ED7ABE">
        <w:t xml:space="preserve"> operation</w:t>
      </w:r>
      <w:r w:rsidR="007622A4">
        <w:t xml:space="preserve">. </w:t>
      </w:r>
    </w:p>
    <w:p w14:paraId="039FC008" w14:textId="1DD77E20" w:rsidR="008A540D" w:rsidRDefault="008A540D" w:rsidP="00125D31">
      <w:pPr>
        <w:pStyle w:val="ParaNumbering"/>
      </w:pPr>
      <w:r>
        <w:t xml:space="preserve">The approval was expressed in both cases to relate to approval granted by the PWS under what is called </w:t>
      </w:r>
      <w:r w:rsidR="00BE02DA">
        <w:t>a</w:t>
      </w:r>
      <w:r>
        <w:t xml:space="preserve"> “</w:t>
      </w:r>
      <w:r w:rsidRPr="008A540D">
        <w:t>Reserve Activity Assessment</w:t>
      </w:r>
      <w:r>
        <w:t>”</w:t>
      </w:r>
      <w:r w:rsidR="00633851">
        <w:t xml:space="preserve"> (</w:t>
      </w:r>
      <w:r w:rsidR="00633851" w:rsidRPr="002A4380">
        <w:rPr>
          <w:b/>
        </w:rPr>
        <w:t>RAA</w:t>
      </w:r>
      <w:r w:rsidR="00633851">
        <w:t>)</w:t>
      </w:r>
      <w:r>
        <w:t xml:space="preserve">. This is an administrative policy, </w:t>
      </w:r>
      <w:r w:rsidR="004429CC">
        <w:t>managed</w:t>
      </w:r>
      <w:r w:rsidR="000D059F">
        <w:t xml:space="preserve"> </w:t>
      </w:r>
      <w:r w:rsidR="008C64BF">
        <w:t xml:space="preserve">by </w:t>
      </w:r>
      <w:r w:rsidR="000D059F">
        <w:t xml:space="preserve">the </w:t>
      </w:r>
      <w:r w:rsidR="008C64BF">
        <w:t xml:space="preserve">PWS </w:t>
      </w:r>
      <w:r w:rsidR="004429CC">
        <w:t>and referred to in</w:t>
      </w:r>
      <w:r w:rsidR="008C64BF">
        <w:t xml:space="preserve"> the TWWHA Management Plan. It has no </w:t>
      </w:r>
      <w:r w:rsidR="004429CC">
        <w:t xml:space="preserve">apparent </w:t>
      </w:r>
      <w:r>
        <w:t>statutory basis</w:t>
      </w:r>
      <w:r w:rsidR="00125D31">
        <w:t>.</w:t>
      </w:r>
      <w:r w:rsidR="002A4380">
        <w:t xml:space="preserve"> </w:t>
      </w:r>
      <w:r w:rsidR="00125D31">
        <w:t>The</w:t>
      </w:r>
      <w:r w:rsidR="00ED5B45">
        <w:t xml:space="preserve"> applicant made something of its </w:t>
      </w:r>
      <w:r w:rsidR="00125D31">
        <w:t xml:space="preserve">administrative </w:t>
      </w:r>
      <w:r w:rsidR="00ED5B45">
        <w:t>status</w:t>
      </w:r>
      <w:r w:rsidR="008C64BF">
        <w:t>, especially in relation to ground</w:t>
      </w:r>
      <w:r w:rsidR="00AD3BC7">
        <w:t> </w:t>
      </w:r>
      <w:r w:rsidR="008C64BF">
        <w:t>1</w:t>
      </w:r>
      <w:r w:rsidR="00596B47">
        <w:t xml:space="preserve">. </w:t>
      </w:r>
      <w:r w:rsidR="008C64BF">
        <w:t>I return to that issue in my consideration of ground 1</w:t>
      </w:r>
      <w:r w:rsidR="005C0567">
        <w:t xml:space="preserve"> below</w:t>
      </w:r>
      <w:r w:rsidR="00ED5B45">
        <w:t>.</w:t>
      </w:r>
    </w:p>
    <w:p w14:paraId="565AE085" w14:textId="70A246B3" w:rsidR="002C6481" w:rsidRDefault="002C6481" w:rsidP="002C6481">
      <w:pPr>
        <w:pStyle w:val="ParaNumbering"/>
      </w:pPr>
      <w:r w:rsidRPr="002C6481">
        <w:t xml:space="preserve">A project can be assessed under </w:t>
      </w:r>
      <w:r w:rsidR="00786032">
        <w:t>the</w:t>
      </w:r>
      <w:r w:rsidRPr="002C6481">
        <w:t xml:space="preserve"> RAA </w:t>
      </w:r>
      <w:r w:rsidR="00786032">
        <w:t xml:space="preserve">process </w:t>
      </w:r>
      <w:r w:rsidRPr="002C6481">
        <w:t>at any of four levels</w:t>
      </w:r>
      <w:r w:rsidR="00786032">
        <w:t>.</w:t>
      </w:r>
      <w:r w:rsidR="00786032" w:rsidRPr="002C6481">
        <w:t xml:space="preserve"> </w:t>
      </w:r>
      <w:r w:rsidRPr="002C6481">
        <w:t xml:space="preserve">Wild Drake’s proposal was assessed at </w:t>
      </w:r>
      <w:r w:rsidR="00F46A36">
        <w:t>“</w:t>
      </w:r>
      <w:r w:rsidRPr="002C6481">
        <w:t>level three</w:t>
      </w:r>
      <w:r w:rsidR="00F46A36">
        <w:t>”</w:t>
      </w:r>
      <w:r w:rsidRPr="002C6481">
        <w:t>, and therefore</w:t>
      </w:r>
      <w:r w:rsidR="00F46A36">
        <w:t xml:space="preserve"> </w:t>
      </w:r>
      <w:r w:rsidRPr="002C6481">
        <w:t xml:space="preserve">a number of additional assessments and studies </w:t>
      </w:r>
      <w:r w:rsidR="00F46A36">
        <w:t xml:space="preserve">were required </w:t>
      </w:r>
      <w:r w:rsidRPr="002C6481">
        <w:t xml:space="preserve">to </w:t>
      </w:r>
      <w:r w:rsidR="00857BC0">
        <w:t>assess</w:t>
      </w:r>
      <w:r w:rsidR="00857BC0" w:rsidRPr="002C6481">
        <w:t xml:space="preserve"> </w:t>
      </w:r>
      <w:r w:rsidRPr="002C6481">
        <w:t xml:space="preserve">the potential impacts of </w:t>
      </w:r>
      <w:r w:rsidR="00C2462A">
        <w:t>the</w:t>
      </w:r>
      <w:r w:rsidR="00C2462A" w:rsidRPr="002C6481">
        <w:t xml:space="preserve"> </w:t>
      </w:r>
      <w:r w:rsidRPr="002C6481">
        <w:t xml:space="preserve">proposal. The mitigation measures </w:t>
      </w:r>
      <w:r w:rsidR="00C2462A">
        <w:t>Wild Drake</w:t>
      </w:r>
      <w:r w:rsidR="00C2462A" w:rsidRPr="002C6481">
        <w:t xml:space="preserve"> </w:t>
      </w:r>
      <w:r w:rsidRPr="002C6481">
        <w:t xml:space="preserve">was required to </w:t>
      </w:r>
      <w:r w:rsidR="00523E6B">
        <w:t>apply</w:t>
      </w:r>
      <w:r w:rsidR="00523E6B" w:rsidRPr="002C6481">
        <w:t xml:space="preserve"> </w:t>
      </w:r>
      <w:r w:rsidR="004674C7">
        <w:t>as a result of</w:t>
      </w:r>
      <w:r w:rsidR="004674C7" w:rsidRPr="002C6481">
        <w:t xml:space="preserve"> </w:t>
      </w:r>
      <w:r w:rsidRPr="002C6481">
        <w:t xml:space="preserve">the </w:t>
      </w:r>
      <w:r w:rsidR="008D5EDA">
        <w:t>PWS</w:t>
      </w:r>
      <w:r w:rsidRPr="002C6481">
        <w:t xml:space="preserve"> assessment, and the modifications to some of its operations (such as helicopter routes, to which I return below), were put to the delegate as matters that Wild Drake would undertake to implement</w:t>
      </w:r>
      <w:r w:rsidR="00633851">
        <w:t>,</w:t>
      </w:r>
      <w:r w:rsidR="008D5EDA">
        <w:t xml:space="preserve"> </w:t>
      </w:r>
      <w:r w:rsidR="00596B47">
        <w:t xml:space="preserve">in order </w:t>
      </w:r>
      <w:r w:rsidR="008D5EDA">
        <w:t>to mitigate</w:t>
      </w:r>
      <w:r w:rsidR="00147707">
        <w:t xml:space="preserve"> or avoid</w:t>
      </w:r>
      <w:r w:rsidR="008D5EDA">
        <w:t xml:space="preserve"> any likely impacts on matters of national environmental significance. </w:t>
      </w:r>
      <w:r w:rsidR="00633851">
        <w:t xml:space="preserve">That Wild Drake’s proposal was structured and considered by the delegate in this way also forms part of the applicant’s judicial review challenge, especially on ground 1. </w:t>
      </w:r>
    </w:p>
    <w:p w14:paraId="6B303836" w14:textId="507835C8" w:rsidR="00125D31" w:rsidRDefault="00D66B37" w:rsidP="00125D31">
      <w:pPr>
        <w:pStyle w:val="ParaNumbering"/>
      </w:pPr>
      <w:r>
        <w:t>The</w:t>
      </w:r>
      <w:r w:rsidR="007622A4">
        <w:t xml:space="preserve"> RAA process required there to be an EPBC</w:t>
      </w:r>
      <w:r w:rsidR="00596B47">
        <w:t xml:space="preserve"> Act</w:t>
      </w:r>
      <w:r w:rsidR="007622A4">
        <w:t xml:space="preserve"> referral by the proponent.</w:t>
      </w:r>
      <w:r w:rsidR="00125D31">
        <w:t xml:space="preserve"> This is consistent with</w:t>
      </w:r>
      <w:r w:rsidR="00125D31" w:rsidRPr="00125D31">
        <w:t xml:space="preserve"> </w:t>
      </w:r>
      <w:r w:rsidR="00125D31">
        <w:t xml:space="preserve">the terms of cl 3.02 of </w:t>
      </w:r>
      <w:proofErr w:type="spellStart"/>
      <w:r w:rsidR="00125D31">
        <w:t>Sch</w:t>
      </w:r>
      <w:proofErr w:type="spellEnd"/>
      <w:r w:rsidR="00125D31">
        <w:t xml:space="preserve"> 5 of the Regulations, which provides:</w:t>
      </w:r>
    </w:p>
    <w:p w14:paraId="33E95825" w14:textId="77777777" w:rsidR="00125D31" w:rsidRPr="002A4380" w:rsidRDefault="00125D31" w:rsidP="002A4380">
      <w:pPr>
        <w:pStyle w:val="Quote1"/>
      </w:pPr>
      <w:r w:rsidRPr="002A4380">
        <w:t>Before the action is taken, the likely impact of the action on the World Heritage values of the property should be assessed under a statutory environmental impact assessment and approval process.</w:t>
      </w:r>
    </w:p>
    <w:p w14:paraId="66839E2B" w14:textId="28DC747E" w:rsidR="007622A4" w:rsidRDefault="007622A4" w:rsidP="007622A4">
      <w:pPr>
        <w:pStyle w:val="ParaNumbering"/>
      </w:pPr>
      <w:r>
        <w:t xml:space="preserve">This was how Wild Drake came to make a </w:t>
      </w:r>
      <w:r w:rsidR="00633851">
        <w:t>self-referral</w:t>
      </w:r>
      <w:r>
        <w:t xml:space="preserve"> to the Minister</w:t>
      </w:r>
      <w:r w:rsidR="00147707">
        <w:t xml:space="preserve"> under the EPBC Act</w:t>
      </w:r>
      <w:r>
        <w:t>. The referral was considered and determined under s</w:t>
      </w:r>
      <w:r w:rsidR="00AD3BC7">
        <w:t> </w:t>
      </w:r>
      <w:r>
        <w:t>75</w:t>
      </w:r>
      <w:r w:rsidR="004674C7">
        <w:t>(1)</w:t>
      </w:r>
      <w:r>
        <w:t xml:space="preserve"> of the EPBC Act by a delegate of the Min</w:t>
      </w:r>
      <w:r w:rsidR="004674C7">
        <w:t>i</w:t>
      </w:r>
      <w:r>
        <w:t>ster. There was no dispute that the delegate was lawfully empowered to make a decision of this kind under s</w:t>
      </w:r>
      <w:r w:rsidR="00AD3BC7">
        <w:t> </w:t>
      </w:r>
      <w:r>
        <w:t>75</w:t>
      </w:r>
      <w:r w:rsidR="004674C7">
        <w:t>(1)</w:t>
      </w:r>
      <w:r w:rsidR="00596B47">
        <w:t xml:space="preserve"> of the EPBC Act</w:t>
      </w:r>
      <w:r>
        <w:t>.</w:t>
      </w:r>
    </w:p>
    <w:p w14:paraId="627D8304" w14:textId="07B8BDCA" w:rsidR="007560E4" w:rsidRDefault="007560E4" w:rsidP="007560E4">
      <w:pPr>
        <w:pStyle w:val="Heading2"/>
      </w:pPr>
      <w:r>
        <w:lastRenderedPageBreak/>
        <w:t>The brief</w:t>
      </w:r>
      <w:r w:rsidR="00857BC0">
        <w:t xml:space="preserve"> to the delegate</w:t>
      </w:r>
    </w:p>
    <w:p w14:paraId="080EC2E7" w14:textId="4EBEE74C" w:rsidR="007622A4" w:rsidRDefault="00FC59F4" w:rsidP="007622A4">
      <w:pPr>
        <w:pStyle w:val="ParaNumbering"/>
      </w:pPr>
      <w:r>
        <w:t xml:space="preserve">The delegate received a detailed brief, with a large number of attachments. It </w:t>
      </w:r>
      <w:r w:rsidR="00633851">
        <w:t xml:space="preserve">is </w:t>
      </w:r>
      <w:r>
        <w:t xml:space="preserve">this brief, </w:t>
      </w:r>
      <w:r w:rsidR="00633851">
        <w:t xml:space="preserve">and </w:t>
      </w:r>
      <w:r w:rsidR="00C77B12">
        <w:t>its</w:t>
      </w:r>
      <w:r w:rsidR="00633851">
        <w:t xml:space="preserve"> </w:t>
      </w:r>
      <w:r>
        <w:t>attachments</w:t>
      </w:r>
      <w:r w:rsidR="00510E3D">
        <w:t>,</w:t>
      </w:r>
      <w:r>
        <w:t xml:space="preserve"> which form the material against which the applicant</w:t>
      </w:r>
      <w:r w:rsidR="00025AB2">
        <w:t>’</w:t>
      </w:r>
      <w:r>
        <w:t>s grounds of judicial review are to be considered.</w:t>
      </w:r>
      <w:r w:rsidR="00221D0D">
        <w:t xml:space="preserve"> I</w:t>
      </w:r>
      <w:r w:rsidR="009B528D">
        <w:t>t is necessary</w:t>
      </w:r>
      <w:r w:rsidR="00221D0D">
        <w:t xml:space="preserve"> to describe what wa</w:t>
      </w:r>
      <w:r w:rsidR="00EC2178">
        <w:t>s</w:t>
      </w:r>
      <w:r w:rsidR="00221D0D">
        <w:t xml:space="preserve"> </w:t>
      </w:r>
      <w:r w:rsidR="00EC2178">
        <w:t>in the brief to the delegate.</w:t>
      </w:r>
    </w:p>
    <w:p w14:paraId="11EEBC67" w14:textId="115C1A1F" w:rsidR="00EC2178" w:rsidRDefault="00EC2178" w:rsidP="007622A4">
      <w:pPr>
        <w:pStyle w:val="ParaNumbering"/>
      </w:pPr>
      <w:r>
        <w:t>At the start</w:t>
      </w:r>
      <w:r w:rsidR="00536258">
        <w:t xml:space="preserve"> of the brief</w:t>
      </w:r>
      <w:r>
        <w:t xml:space="preserve">, under </w:t>
      </w:r>
      <w:r w:rsidR="00536258">
        <w:t xml:space="preserve">the heading </w:t>
      </w:r>
      <w:r>
        <w:t>“Key Issues”</w:t>
      </w:r>
      <w:r w:rsidR="00536258">
        <w:t>,</w:t>
      </w:r>
      <w:r>
        <w:t xml:space="preserve"> were the following statements, reflecting the views and conclusion</w:t>
      </w:r>
      <w:r w:rsidR="009B528D">
        <w:t>s</w:t>
      </w:r>
      <w:r>
        <w:t xml:space="preserve"> of those within the Department who were responsible for drafting the brief and recommendations to the delegate:</w:t>
      </w:r>
    </w:p>
    <w:p w14:paraId="7C27FD9D" w14:textId="08BD8415" w:rsidR="00EC2178" w:rsidRPr="00EC2178" w:rsidRDefault="00EC2178" w:rsidP="001C0256">
      <w:pPr>
        <w:pStyle w:val="Quote1"/>
      </w:pPr>
      <w:r w:rsidRPr="00EC2178">
        <w:t>The proposal is not likely to have a significant impact on matters of national environmental significance (MNES) including the:</w:t>
      </w:r>
    </w:p>
    <w:p w14:paraId="253970B0" w14:textId="68F7BC68" w:rsidR="00EC2178" w:rsidRPr="00EC2178" w:rsidRDefault="00EC2178" w:rsidP="001C0256">
      <w:pPr>
        <w:pStyle w:val="Quote1Bullet"/>
      </w:pPr>
      <w:r w:rsidRPr="00EC2178">
        <w:t>Values of the Tasmanian Wilderness World and National Heritage Area (TWWHA);</w:t>
      </w:r>
    </w:p>
    <w:p w14:paraId="27A4E522" w14:textId="4B938380" w:rsidR="00EC2178" w:rsidRPr="00EC2178" w:rsidRDefault="00EC2178" w:rsidP="001C0256">
      <w:pPr>
        <w:pStyle w:val="Quote1Bullet"/>
      </w:pPr>
      <w:r w:rsidRPr="00EC2178">
        <w:t>Tasmanian Wedge-tailed Eagle (</w:t>
      </w:r>
      <w:r w:rsidRPr="00AC5811">
        <w:rPr>
          <w:i/>
        </w:rPr>
        <w:t xml:space="preserve">Aquila </w:t>
      </w:r>
      <w:proofErr w:type="spellStart"/>
      <w:r w:rsidRPr="00AC5811">
        <w:rPr>
          <w:i/>
        </w:rPr>
        <w:t>audax</w:t>
      </w:r>
      <w:proofErr w:type="spellEnd"/>
      <w:r w:rsidRPr="00AC5811">
        <w:rPr>
          <w:i/>
        </w:rPr>
        <w:t xml:space="preserve"> </w:t>
      </w:r>
      <w:proofErr w:type="spellStart"/>
      <w:r w:rsidRPr="00AC5811">
        <w:rPr>
          <w:i/>
        </w:rPr>
        <w:t>fleay</w:t>
      </w:r>
      <w:r w:rsidR="00AC5811">
        <w:rPr>
          <w:i/>
        </w:rPr>
        <w:t>i</w:t>
      </w:r>
      <w:proofErr w:type="spellEnd"/>
      <w:r w:rsidRPr="00EC2178">
        <w:t>) (endangered); and</w:t>
      </w:r>
    </w:p>
    <w:p w14:paraId="50535FE6" w14:textId="4221CA59" w:rsidR="00EC2178" w:rsidRPr="00EC2178" w:rsidRDefault="00EC2178" w:rsidP="001C0256">
      <w:pPr>
        <w:pStyle w:val="Quote1Bullet"/>
      </w:pPr>
      <w:r w:rsidRPr="00EC2178">
        <w:t xml:space="preserve">Alpine </w:t>
      </w:r>
      <w:r w:rsidRPr="00AC5811">
        <w:rPr>
          <w:i/>
        </w:rPr>
        <w:t>Sphagnum</w:t>
      </w:r>
      <w:r w:rsidRPr="00EC2178">
        <w:t xml:space="preserve"> Bogs and Associated Fens (endangered) threatened ecological community (TEC).</w:t>
      </w:r>
    </w:p>
    <w:p w14:paraId="5B274ADD" w14:textId="5D75AC7D" w:rsidR="00EC2178" w:rsidRPr="00EC2178" w:rsidRDefault="00EC2178" w:rsidP="001C0256">
      <w:pPr>
        <w:pStyle w:val="Quote1"/>
      </w:pPr>
      <w:r w:rsidRPr="00EC2178">
        <w:t>The proposal is locally contentious, with 132 individual public comments and 808 campaign submissions received on the referral.</w:t>
      </w:r>
    </w:p>
    <w:p w14:paraId="66E6E9B3" w14:textId="46661B8F" w:rsidR="002C6481" w:rsidRDefault="00221D0D" w:rsidP="007622A4">
      <w:pPr>
        <w:pStyle w:val="ParaNumbering"/>
      </w:pPr>
      <w:bookmarkStart w:id="21" w:name="_Ref22564987"/>
      <w:r>
        <w:t xml:space="preserve">Having described the location, and the proposed helicopter access by guests, in the terms I have set out </w:t>
      </w:r>
      <w:r w:rsidR="00E26BD6">
        <w:t>at [</w:t>
      </w:r>
      <w:r w:rsidR="00B504FF">
        <w:fldChar w:fldCharType="begin" w:fldLock="1"/>
      </w:r>
      <w:r w:rsidR="00B504FF">
        <w:instrText xml:space="preserve"> REF _Ref22303011 \r \h </w:instrText>
      </w:r>
      <w:r w:rsidR="00B504FF">
        <w:fldChar w:fldCharType="separate"/>
      </w:r>
      <w:r w:rsidR="00B417FD">
        <w:t>5</w:t>
      </w:r>
      <w:r w:rsidR="00B504FF">
        <w:fldChar w:fldCharType="end"/>
      </w:r>
      <w:r w:rsidR="00E26BD6">
        <w:t xml:space="preserve">] </w:t>
      </w:r>
      <w:r>
        <w:t>above, the brief then stated:</w:t>
      </w:r>
      <w:bookmarkEnd w:id="21"/>
    </w:p>
    <w:p w14:paraId="1F0A73EC" w14:textId="007DC6DE" w:rsidR="00221D0D" w:rsidRPr="00221D0D" w:rsidRDefault="00221D0D" w:rsidP="001C0256">
      <w:pPr>
        <w:pStyle w:val="Quote1"/>
      </w:pPr>
      <w:r w:rsidRPr="00221D0D">
        <w:t>The proposed action involves the construction and operation of a standing camp over approximately 800m</w:t>
      </w:r>
      <w:r w:rsidRPr="00AC5811">
        <w:rPr>
          <w:vertAlign w:val="superscript"/>
        </w:rPr>
        <w:t>2</w:t>
      </w:r>
      <w:r w:rsidRPr="00221D0D">
        <w:t xml:space="preserve"> consisting of three pre-fabricated twin-share accommodation structures, (approx. 4m x 3m), communal kitchen (approx. 8m x 4m), associated buildings with complete</w:t>
      </w:r>
      <w:r w:rsidR="00AC5811">
        <w:t>-</w:t>
      </w:r>
      <w:r w:rsidRPr="00221D0D">
        <w:t xml:space="preserve">capture pod systems for removal of grey water and sewage, gas or electric heating, board walks between huts where required and non-motorised transport on Lake </w:t>
      </w:r>
      <w:proofErr w:type="spellStart"/>
      <w:r w:rsidRPr="00221D0D">
        <w:t>Malbena</w:t>
      </w:r>
      <w:proofErr w:type="spellEnd"/>
      <w:r w:rsidRPr="00221D0D">
        <w:t>. Helicopter activities relating to construction, maintenance and re-supply of the standing camp will occur within the standing camp footprint, utilising an area of sheet rock for depositing and collection of goods via slings.</w:t>
      </w:r>
    </w:p>
    <w:p w14:paraId="6D58BD41" w14:textId="6875D7CF" w:rsidR="00221D0D" w:rsidRPr="00221D0D" w:rsidRDefault="00221D0D" w:rsidP="001C0256">
      <w:pPr>
        <w:pStyle w:val="Quote1"/>
      </w:pPr>
      <w:r w:rsidRPr="00221D0D">
        <w:t>The proposed tourist activities include kayaking, walking, cultural interpretation and wildlife viewing.</w:t>
      </w:r>
    </w:p>
    <w:p w14:paraId="39666385" w14:textId="6C9F1AE9" w:rsidR="00221D0D" w:rsidRPr="00221D0D" w:rsidRDefault="00221D0D" w:rsidP="00221D0D">
      <w:pPr>
        <w:pStyle w:val="ParaNumbering"/>
      </w:pPr>
      <w:r>
        <w:t>In describing the island itself, the brief set out one of the aspects of the island which was material to the referral</w:t>
      </w:r>
      <w:r w:rsidR="0045078B">
        <w:t xml:space="preserve">; </w:t>
      </w:r>
      <w:r>
        <w:t>namely, the flora which was present:</w:t>
      </w:r>
    </w:p>
    <w:p w14:paraId="5C5E4F8A" w14:textId="71975B0E" w:rsidR="00221D0D" w:rsidRPr="00221D0D" w:rsidRDefault="00221D0D" w:rsidP="001C0256">
      <w:pPr>
        <w:pStyle w:val="Quote1"/>
      </w:pPr>
      <w:r w:rsidRPr="00221D0D">
        <w:t xml:space="preserve">Halls Island, an area of approximately 10 ha, is located within Lake </w:t>
      </w:r>
      <w:proofErr w:type="spellStart"/>
      <w:r w:rsidRPr="00221D0D">
        <w:t>Malbena</w:t>
      </w:r>
      <w:proofErr w:type="spellEnd"/>
      <w:r w:rsidRPr="00221D0D">
        <w:t xml:space="preserve"> which is one of many lakes in the high alpine plateau area of the TWWHA. Vegetation comprises </w:t>
      </w:r>
      <w:r w:rsidRPr="00AC5811">
        <w:rPr>
          <w:i/>
        </w:rPr>
        <w:t xml:space="preserve">Eucalyptus </w:t>
      </w:r>
      <w:proofErr w:type="spellStart"/>
      <w:r w:rsidRPr="00AC5811">
        <w:rPr>
          <w:i/>
        </w:rPr>
        <w:t>subcrenulata</w:t>
      </w:r>
      <w:proofErr w:type="spellEnd"/>
      <w:r w:rsidRPr="00221D0D">
        <w:t xml:space="preserve"> forest and woodland (7.8 ha), highland low rainforest and scrub (1.18 ha), lichen lithosphere (0.18 ha), </w:t>
      </w:r>
      <w:proofErr w:type="spellStart"/>
      <w:r w:rsidRPr="00AC5811">
        <w:rPr>
          <w:i/>
        </w:rPr>
        <w:t>Athrotaxis</w:t>
      </w:r>
      <w:proofErr w:type="spellEnd"/>
      <w:r w:rsidRPr="00AC5811">
        <w:rPr>
          <w:i/>
        </w:rPr>
        <w:t xml:space="preserve"> </w:t>
      </w:r>
      <w:proofErr w:type="spellStart"/>
      <w:r w:rsidRPr="00AC5811">
        <w:rPr>
          <w:i/>
        </w:rPr>
        <w:t>selaginoides</w:t>
      </w:r>
      <w:proofErr w:type="spellEnd"/>
      <w:r w:rsidRPr="00221D0D">
        <w:t xml:space="preserve"> rainforest (0.03 ha) and </w:t>
      </w:r>
      <w:r w:rsidRPr="00AC5811">
        <w:rPr>
          <w:i/>
        </w:rPr>
        <w:t>Sphagnum</w:t>
      </w:r>
      <w:r w:rsidRPr="00221D0D">
        <w:t xml:space="preserve"> peatland (0.6 </w:t>
      </w:r>
      <w:r w:rsidR="00AC5811">
        <w:t>h</w:t>
      </w:r>
      <w:r w:rsidRPr="00221D0D">
        <w:t xml:space="preserve">a). The </w:t>
      </w:r>
      <w:r w:rsidRPr="00AC5811">
        <w:rPr>
          <w:i/>
        </w:rPr>
        <w:t>Sphagnum</w:t>
      </w:r>
      <w:r w:rsidRPr="00221D0D">
        <w:t xml:space="preserve"> peatland meets the definition for the EPBC Act listed endangered Alpine </w:t>
      </w:r>
      <w:r w:rsidRPr="00AC5811">
        <w:rPr>
          <w:i/>
        </w:rPr>
        <w:t>Sphagnum</w:t>
      </w:r>
      <w:r w:rsidRPr="00221D0D">
        <w:t xml:space="preserve"> Bogs and Associated Fens TEC.</w:t>
      </w:r>
    </w:p>
    <w:p w14:paraId="2ED06D15" w14:textId="29260B55" w:rsidR="00162C1B" w:rsidRDefault="00162C1B" w:rsidP="007622A4">
      <w:pPr>
        <w:pStyle w:val="ParaNumbering"/>
      </w:pPr>
      <w:r>
        <w:t>The recommendation made in the brief to the delegate was in the following terms:</w:t>
      </w:r>
    </w:p>
    <w:p w14:paraId="51CF4D7C" w14:textId="77777777" w:rsidR="00331E3B" w:rsidRDefault="00162C1B" w:rsidP="00331E3B">
      <w:pPr>
        <w:pStyle w:val="Quote1"/>
      </w:pPr>
      <w:r w:rsidRPr="00162C1B">
        <w:lastRenderedPageBreak/>
        <w:t>Under section 75 of the EPBC Act you must decide whether the action that is the subject of the proposal referred is a controlled action, and which provisions of Part 3 (if any) are controlling provisions for the action. In making your decision you must consider all adverse impacts the action has, will have, or is likely to have, on the matter protect</w:t>
      </w:r>
      <w:r w:rsidR="00331E3B">
        <w:t>ed by each provision of Part 3.</w:t>
      </w:r>
    </w:p>
    <w:p w14:paraId="11E0B354" w14:textId="443F7744" w:rsidR="00162C1B" w:rsidRPr="00162C1B" w:rsidRDefault="00162C1B" w:rsidP="00331E3B">
      <w:pPr>
        <w:pStyle w:val="Quote1"/>
      </w:pPr>
      <w:r w:rsidRPr="00162C1B">
        <w:t>You must not consider any beneficial impacts the action has, will have or is likely to have on the matter protected by each provision of Part 3.</w:t>
      </w:r>
    </w:p>
    <w:p w14:paraId="48C0132D" w14:textId="79751510" w:rsidR="00162C1B" w:rsidRPr="00A85053" w:rsidRDefault="00162C1B" w:rsidP="001C0256">
      <w:pPr>
        <w:pStyle w:val="Quote1"/>
      </w:pPr>
      <w:r w:rsidRPr="00162C1B">
        <w:t>The Department recommends that you decide that the proposal is not a controlled action, because there are not likely to be significant impacts on any controlling provisions. The reasons for this recommendation are detailed further below.</w:t>
      </w:r>
    </w:p>
    <w:p w14:paraId="174C017C" w14:textId="60781AF2" w:rsidR="00162C1B" w:rsidRDefault="00162C1B" w:rsidP="00162C1B">
      <w:pPr>
        <w:pStyle w:val="ParaNumbering"/>
      </w:pPr>
      <w:bookmarkStart w:id="22" w:name="_Ref24038499"/>
      <w:r>
        <w:t xml:space="preserve">The brief </w:t>
      </w:r>
      <w:r w:rsidR="00F955CF">
        <w:t>then</w:t>
      </w:r>
      <w:r>
        <w:t xml:space="preserve"> set out the matters of national environmental significance which those </w:t>
      </w:r>
      <w:r w:rsidR="001A1679">
        <w:t>D</w:t>
      </w:r>
      <w:r>
        <w:t>epartment</w:t>
      </w:r>
      <w:r w:rsidR="00331E3B">
        <w:t>al</w:t>
      </w:r>
      <w:r>
        <w:t xml:space="preserve"> officers drafting the brief had concluded were not engaged by the action because of </w:t>
      </w:r>
      <w:r w:rsidR="00F955CF">
        <w:t xml:space="preserve">any </w:t>
      </w:r>
      <w:r>
        <w:t>significant impact, or likelihood of significant impact</w:t>
      </w:r>
      <w:r w:rsidR="00EE6088">
        <w:t>, including</w:t>
      </w:r>
      <w:r w:rsidR="00EB7EC1">
        <w:t>:</w:t>
      </w:r>
      <w:bookmarkEnd w:id="22"/>
      <w:r w:rsidR="00EB7EC1">
        <w:t xml:space="preserve"> </w:t>
      </w:r>
    </w:p>
    <w:p w14:paraId="6AF0F61F" w14:textId="52712443" w:rsidR="00162C1B" w:rsidRDefault="009C5C01" w:rsidP="00AC5811">
      <w:pPr>
        <w:pStyle w:val="ListNo2"/>
      </w:pPr>
      <w:r>
        <w:t>t</w:t>
      </w:r>
      <w:r w:rsidR="002C2A79">
        <w:t xml:space="preserve">he </w:t>
      </w:r>
      <w:r w:rsidR="00AE0482">
        <w:t xml:space="preserve">Tasmanian </w:t>
      </w:r>
      <w:r w:rsidR="00423A3A">
        <w:t>W</w:t>
      </w:r>
      <w:r w:rsidR="00AE0482">
        <w:t>edge-</w:t>
      </w:r>
      <w:r w:rsidR="002C2A79">
        <w:t>tailed eagle, a listed threatened species;</w:t>
      </w:r>
    </w:p>
    <w:p w14:paraId="14759A0D" w14:textId="4B39A1EA" w:rsidR="002C2A79" w:rsidRDefault="008C2718" w:rsidP="00AC5811">
      <w:pPr>
        <w:pStyle w:val="ListNo2"/>
      </w:pPr>
      <w:r>
        <w:t xml:space="preserve">the </w:t>
      </w:r>
      <w:r w:rsidR="002C2A79" w:rsidRPr="002C2A79">
        <w:t xml:space="preserve">Alpine </w:t>
      </w:r>
      <w:r w:rsidR="002C2A79" w:rsidRPr="002A4380">
        <w:rPr>
          <w:i/>
        </w:rPr>
        <w:t>Sphagnum</w:t>
      </w:r>
      <w:r w:rsidR="002C2A79" w:rsidRPr="002C2A79">
        <w:t xml:space="preserve"> Bogs and Associated Fens TEC</w:t>
      </w:r>
      <w:r w:rsidR="002C2A79">
        <w:t xml:space="preserve">, a listed </w:t>
      </w:r>
      <w:r w:rsidR="009C5C01">
        <w:t>threatened</w:t>
      </w:r>
      <w:r w:rsidR="002C2A79">
        <w:t xml:space="preserve"> </w:t>
      </w:r>
      <w:r w:rsidR="00EF57C0">
        <w:t xml:space="preserve">ecological </w:t>
      </w:r>
      <w:r w:rsidR="002C2A79">
        <w:t>community;</w:t>
      </w:r>
      <w:r w:rsidR="009C5C01">
        <w:t xml:space="preserve"> and</w:t>
      </w:r>
    </w:p>
    <w:p w14:paraId="2C697E2C" w14:textId="05728384" w:rsidR="009C5C01" w:rsidRDefault="009C5C01" w:rsidP="00AC5811">
      <w:pPr>
        <w:pStyle w:val="ListNo2"/>
      </w:pPr>
      <w:r>
        <w:t xml:space="preserve">particular cultural and natural listed values for the TWWHA as a World </w:t>
      </w:r>
      <w:r w:rsidR="009B528D">
        <w:t>H</w:t>
      </w:r>
      <w:r>
        <w:t>eritage area.</w:t>
      </w:r>
    </w:p>
    <w:p w14:paraId="31965CE7" w14:textId="42CFAAFF" w:rsidR="007C5E70" w:rsidRDefault="007C5E70" w:rsidP="002C2A79">
      <w:pPr>
        <w:pStyle w:val="ParaNumbering"/>
      </w:pPr>
      <w:r>
        <w:t xml:space="preserve">The </w:t>
      </w:r>
      <w:r w:rsidR="00A810A5">
        <w:t>brief</w:t>
      </w:r>
      <w:r>
        <w:t xml:space="preserve"> set out, </w:t>
      </w:r>
      <w:r w:rsidR="00CA2C81">
        <w:t xml:space="preserve">relevantly </w:t>
      </w:r>
      <w:r>
        <w:t>for each of thes</w:t>
      </w:r>
      <w:r w:rsidRPr="00CA2C81">
        <w:t>e three m</w:t>
      </w:r>
      <w:r>
        <w:t xml:space="preserve">atters, a number of “avoidance and mitigation </w:t>
      </w:r>
      <w:r w:rsidR="002A6B05">
        <w:t>measures</w:t>
      </w:r>
      <w:r>
        <w:t xml:space="preserve">” which the </w:t>
      </w:r>
      <w:r w:rsidR="002A6B05">
        <w:t>proponent</w:t>
      </w:r>
      <w:r>
        <w:t xml:space="preserve"> had either proposed,</w:t>
      </w:r>
      <w:r w:rsidR="002A6B05">
        <w:t xml:space="preserve"> or agreed, to under</w:t>
      </w:r>
      <w:r>
        <w:t>take. In</w:t>
      </w:r>
      <w:r w:rsidR="002A6B05">
        <w:t xml:space="preserve"> relation</w:t>
      </w:r>
      <w:r>
        <w:t xml:space="preserve"> to the listed cultural values of the </w:t>
      </w:r>
      <w:r w:rsidR="00A810A5">
        <w:t>TWWHA</w:t>
      </w:r>
      <w:r>
        <w:t xml:space="preserve">, the </w:t>
      </w:r>
      <w:r w:rsidR="002A6B05">
        <w:t>brief</w:t>
      </w:r>
      <w:r>
        <w:t xml:space="preserve"> also </w:t>
      </w:r>
      <w:r w:rsidR="002A6B05">
        <w:t>referred to</w:t>
      </w:r>
      <w:r>
        <w:t xml:space="preserve"> </w:t>
      </w:r>
      <w:r w:rsidR="002A6B05">
        <w:t>consultation</w:t>
      </w:r>
      <w:r>
        <w:t xml:space="preserve"> with the </w:t>
      </w:r>
      <w:r w:rsidR="002A6B05">
        <w:t>Tasmanian</w:t>
      </w:r>
      <w:r>
        <w:t xml:space="preserve"> </w:t>
      </w:r>
      <w:r w:rsidR="002A6B05">
        <w:t>Aboriginal H</w:t>
      </w:r>
      <w:r>
        <w:t xml:space="preserve">eritage Council </w:t>
      </w:r>
      <w:r w:rsidR="009836C3">
        <w:t>(</w:t>
      </w:r>
      <w:r w:rsidR="009836C3">
        <w:rPr>
          <w:b/>
        </w:rPr>
        <w:t>AHC</w:t>
      </w:r>
      <w:r w:rsidR="009836C3">
        <w:t xml:space="preserve">) </w:t>
      </w:r>
      <w:r>
        <w:t>abo</w:t>
      </w:r>
      <w:r w:rsidR="002A6B05">
        <w:t>u</w:t>
      </w:r>
      <w:r>
        <w:t xml:space="preserve">t the proposed “stage two” of the tourist operation, </w:t>
      </w:r>
      <w:r w:rsidR="00EF57C0">
        <w:t xml:space="preserve">which included </w:t>
      </w:r>
      <w:r w:rsidR="002A6B05">
        <w:t>visits</w:t>
      </w:r>
      <w:r>
        <w:t xml:space="preserve"> to sites of cultural </w:t>
      </w:r>
      <w:r w:rsidR="002A6B05">
        <w:t>significance</w:t>
      </w:r>
      <w:r w:rsidR="00B704D3">
        <w:t xml:space="preserve">. However, the brief </w:t>
      </w:r>
      <w:r w:rsidR="002A6B05">
        <w:t>did not evaluate the impacts of this aspect of the operation:</w:t>
      </w:r>
    </w:p>
    <w:p w14:paraId="1F220EC2" w14:textId="620FC738" w:rsidR="007C5E70" w:rsidRPr="002A6B05" w:rsidRDefault="007C5E70" w:rsidP="001C0256">
      <w:pPr>
        <w:pStyle w:val="Quote1"/>
      </w:pPr>
      <w:r w:rsidRPr="002A6B05">
        <w:t>The Department notes that the stage 2 proposal to undertake cultural interpretation activities at an Aboriginal heritage site (away from the proposal site) is not part of the referred action.</w:t>
      </w:r>
    </w:p>
    <w:p w14:paraId="1E5AB195" w14:textId="4F1A50E7" w:rsidR="009B528D" w:rsidRDefault="009B528D" w:rsidP="002C2A79">
      <w:pPr>
        <w:pStyle w:val="ParaNumbering"/>
      </w:pPr>
      <w:r>
        <w:t xml:space="preserve">This conclusion by the Department appears to have flowed from the division imposed during the RAA process. It is clear from the terms of this conclusion that no consideration was given to the potential application of </w:t>
      </w:r>
      <w:r w:rsidR="00C77B12">
        <w:t xml:space="preserve">s </w:t>
      </w:r>
      <w:r>
        <w:t>74A of the EP</w:t>
      </w:r>
      <w:r w:rsidR="00C77B12">
        <w:t>B</w:t>
      </w:r>
      <w:r>
        <w:t xml:space="preserve">C Act. The absence of such consideration gives rise to ground 3 of the judicial review application. </w:t>
      </w:r>
    </w:p>
    <w:p w14:paraId="5D829DC5" w14:textId="3A130EBB" w:rsidR="002C2A79" w:rsidRDefault="007C5E70" w:rsidP="002C2A79">
      <w:pPr>
        <w:pStyle w:val="ParaNumbering"/>
      </w:pPr>
      <w:r>
        <w:t>The values and species listed</w:t>
      </w:r>
      <w:r w:rsidR="00CA2C81">
        <w:t xml:space="preserve"> at [</w:t>
      </w:r>
      <w:r w:rsidR="00CA2C81">
        <w:fldChar w:fldCharType="begin" w:fldLock="1"/>
      </w:r>
      <w:r w:rsidR="00CA2C81">
        <w:instrText xml:space="preserve"> REF _Ref24038499 \r \h </w:instrText>
      </w:r>
      <w:r w:rsidR="00CA2C81">
        <w:fldChar w:fldCharType="separate"/>
      </w:r>
      <w:r w:rsidR="00012CE6">
        <w:t>20</w:t>
      </w:r>
      <w:r w:rsidR="00CA2C81">
        <w:fldChar w:fldCharType="end"/>
      </w:r>
      <w:r w:rsidR="00CA2C81">
        <w:t>]</w:t>
      </w:r>
      <w:r>
        <w:t xml:space="preserve"> above are the ones which have relevance to the applicant</w:t>
      </w:r>
      <w:r w:rsidR="000A43A6">
        <w:t>’</w:t>
      </w:r>
      <w:r>
        <w:t xml:space="preserve">s grounds of judicial review. </w:t>
      </w:r>
      <w:r w:rsidR="002C2A79">
        <w:t xml:space="preserve">There were </w:t>
      </w:r>
      <w:r w:rsidR="00F955CF">
        <w:t>other</w:t>
      </w:r>
      <w:r w:rsidR="002C2A79">
        <w:t xml:space="preserve"> listed threatened species mentioned in the brief, but none which are relevant to the grounds of judicial review, in the sense that no error is asserted in the delegate’s consideration</w:t>
      </w:r>
      <w:r w:rsidR="0024389A">
        <w:t xml:space="preserve"> of the risks to those species.</w:t>
      </w:r>
    </w:p>
    <w:p w14:paraId="07A2DDE0" w14:textId="65D1CFA1" w:rsidR="002C2A79" w:rsidRDefault="007560E4" w:rsidP="007560E4">
      <w:pPr>
        <w:pStyle w:val="Heading2"/>
      </w:pPr>
      <w:r>
        <w:lastRenderedPageBreak/>
        <w:t>The delegate’s decision</w:t>
      </w:r>
    </w:p>
    <w:p w14:paraId="41602A8F" w14:textId="24159255" w:rsidR="001C786E" w:rsidRDefault="00754AB0" w:rsidP="002C2A79">
      <w:pPr>
        <w:pStyle w:val="ParaNumbering"/>
      </w:pPr>
      <w:r>
        <w:t xml:space="preserve">On 31 August 2018, the delegate signed the </w:t>
      </w:r>
      <w:r w:rsidR="00EF57C0">
        <w:t xml:space="preserve">second </w:t>
      </w:r>
      <w:r>
        <w:t xml:space="preserve">page of the brief, indicating he agreed with the recommended decision. </w:t>
      </w:r>
      <w:r w:rsidR="001C786E">
        <w:t xml:space="preserve">In correspondence to Wild Drake, two federal Ministers with relevant portfolios, the Director </w:t>
      </w:r>
      <w:r w:rsidR="000A43A6">
        <w:t xml:space="preserve">of </w:t>
      </w:r>
      <w:r w:rsidR="001C786E">
        <w:t xml:space="preserve">the Tasmanian </w:t>
      </w:r>
      <w:r w:rsidR="00AC5811">
        <w:t>Environment Protection Authority (</w:t>
      </w:r>
      <w:r w:rsidR="001C786E">
        <w:t>EPA</w:t>
      </w:r>
      <w:r w:rsidR="00AC5811">
        <w:t>)</w:t>
      </w:r>
      <w:r w:rsidR="001C786E">
        <w:t xml:space="preserve"> and the General Manager of the Tasmanian Dep</w:t>
      </w:r>
      <w:r w:rsidR="000A43A6">
        <w:t>ar</w:t>
      </w:r>
      <w:r w:rsidR="001C786E">
        <w:t>t</w:t>
      </w:r>
      <w:r w:rsidR="000A43A6">
        <w:t>ment</w:t>
      </w:r>
      <w:r w:rsidR="001C786E">
        <w:t xml:space="preserve"> of Primary Industries, Parks, Water and Environment, the delegate described his decision that the proposed action </w:t>
      </w:r>
      <w:r w:rsidR="0004535C">
        <w:t xml:space="preserve">by Wild Drake </w:t>
      </w:r>
      <w:r w:rsidR="001C786E">
        <w:t>was not a controlled action as meaning the action:</w:t>
      </w:r>
    </w:p>
    <w:p w14:paraId="1375E90B" w14:textId="77BD6F31" w:rsidR="001C786E" w:rsidRPr="001C786E" w:rsidRDefault="00AC5811" w:rsidP="001C0256">
      <w:pPr>
        <w:pStyle w:val="Quote1"/>
      </w:pPr>
      <w:r>
        <w:t>…</w:t>
      </w:r>
      <w:r w:rsidR="0004535C">
        <w:t xml:space="preserve"> </w:t>
      </w:r>
      <w:r w:rsidR="001C786E" w:rsidRPr="001C786E">
        <w:t>does not require further assessment and approval under the EPBC Act before it can proceed</w:t>
      </w:r>
      <w:r w:rsidR="001C786E">
        <w:t>.</w:t>
      </w:r>
    </w:p>
    <w:p w14:paraId="01BA5EC1" w14:textId="26DF8A3B" w:rsidR="007560E4" w:rsidRDefault="001C786E" w:rsidP="002C2A79">
      <w:pPr>
        <w:pStyle w:val="ParaNumbering"/>
      </w:pPr>
      <w:bookmarkStart w:id="23" w:name="_Ref22564996"/>
      <w:r>
        <w:t xml:space="preserve">In signing off on the brief, the </w:t>
      </w:r>
      <w:r w:rsidR="00B8765D">
        <w:t>delegate</w:t>
      </w:r>
      <w:r w:rsidR="00754AB0">
        <w:t xml:space="preserve"> also indicated his agreement with the draft notice to be published under s</w:t>
      </w:r>
      <w:r w:rsidR="00AC5811">
        <w:t> </w:t>
      </w:r>
      <w:r w:rsidR="00754AB0">
        <w:t>77 of the EPBC Act, constituting the public notification of his decision. There is no dispute that this was in fact the form in which the s</w:t>
      </w:r>
      <w:r w:rsidR="00AC5811">
        <w:t> </w:t>
      </w:r>
      <w:r w:rsidR="00754AB0">
        <w:t>77 notice was published. Certain aspects of that notice should be set out.</w:t>
      </w:r>
      <w:bookmarkEnd w:id="23"/>
    </w:p>
    <w:p w14:paraId="5F2674B1" w14:textId="23560DA9" w:rsidR="002C2A79" w:rsidRDefault="00754AB0" w:rsidP="00162C1B">
      <w:pPr>
        <w:pStyle w:val="ParaNumbering"/>
      </w:pPr>
      <w:bookmarkStart w:id="24" w:name="_Ref22565023"/>
      <w:r>
        <w:t>The proposed action was described in the following terms:</w:t>
      </w:r>
      <w:bookmarkEnd w:id="24"/>
    </w:p>
    <w:p w14:paraId="06A2E17B" w14:textId="4B9FCEA1" w:rsidR="00754AB0" w:rsidRPr="00754AB0" w:rsidRDefault="00754AB0" w:rsidP="001C0256">
      <w:pPr>
        <w:pStyle w:val="Quote1"/>
      </w:pPr>
      <w:r w:rsidRPr="00754AB0">
        <w:t xml:space="preserve">To construct and operate a small-scale tourist operation, including a standing camp on Halls Island, Lake </w:t>
      </w:r>
      <w:proofErr w:type="spellStart"/>
      <w:r w:rsidRPr="00754AB0">
        <w:t>Malbena</w:t>
      </w:r>
      <w:proofErr w:type="spellEnd"/>
      <w:r w:rsidRPr="00754AB0">
        <w:t>, and helicopter access, approximately 20 kilometres north</w:t>
      </w:r>
      <w:r w:rsidR="00AC5811">
        <w:t>-</w:t>
      </w:r>
      <w:r w:rsidRPr="00754AB0">
        <w:t>east of Derwent Bridge, Tasmania, as described in the referral received by the Department on 28 March 2018</w:t>
      </w:r>
      <w:r w:rsidR="004B3E72">
        <w:t>…</w:t>
      </w:r>
    </w:p>
    <w:p w14:paraId="1942268E" w14:textId="2265F590" w:rsidR="00754AB0" w:rsidRPr="00754AB0" w:rsidRDefault="00754AB0" w:rsidP="00162C1B">
      <w:pPr>
        <w:pStyle w:val="ParaNumbering"/>
      </w:pPr>
      <w:r>
        <w:t xml:space="preserve">The notice then indicated the proposed action was not a controlled action. No </w:t>
      </w:r>
      <w:r w:rsidR="008F0675">
        <w:t>“</w:t>
      </w:r>
      <w:r w:rsidR="000406FF">
        <w:t xml:space="preserve">particular </w:t>
      </w:r>
      <w:r w:rsidR="008F0675">
        <w:t>manner” conditions</w:t>
      </w:r>
      <w:r>
        <w:t xml:space="preserve"> were placed on Wild Drake in the notice</w:t>
      </w:r>
      <w:r w:rsidR="008F0675">
        <w:t>, that being an available power under s</w:t>
      </w:r>
      <w:r w:rsidR="00B2359F">
        <w:t> </w:t>
      </w:r>
      <w:r w:rsidR="008F0675">
        <w:t>77A(1) of the EPBC Act, to which it will be necessary to return later in these reasons.</w:t>
      </w:r>
    </w:p>
    <w:p w14:paraId="03AE156F" w14:textId="77777777" w:rsidR="005B1957" w:rsidRDefault="005B1957" w:rsidP="00162C1B">
      <w:pPr>
        <w:pStyle w:val="ParaNumbering"/>
      </w:pPr>
      <w:r>
        <w:t>On 5</w:t>
      </w:r>
      <w:r w:rsidR="001919F7" w:rsidRPr="001919F7">
        <w:t xml:space="preserve"> September 2018, the applicant sought reasons for the decision. </w:t>
      </w:r>
    </w:p>
    <w:p w14:paraId="45CB5043" w14:textId="6152C791" w:rsidR="001919F7" w:rsidRDefault="001919F7" w:rsidP="00162C1B">
      <w:pPr>
        <w:pStyle w:val="ParaNumbering"/>
      </w:pPr>
      <w:r w:rsidRPr="001919F7">
        <w:t>The delegate replied</w:t>
      </w:r>
      <w:r w:rsidR="005B1957">
        <w:t xml:space="preserve"> </w:t>
      </w:r>
      <w:r w:rsidR="009600D4">
        <w:t xml:space="preserve">in </w:t>
      </w:r>
      <w:r w:rsidR="005B1957">
        <w:t xml:space="preserve">a letter received by the applicant on </w:t>
      </w:r>
      <w:r w:rsidR="00A97E14">
        <w:t xml:space="preserve">19 </w:t>
      </w:r>
      <w:r w:rsidR="005B1957">
        <w:t xml:space="preserve">September 2018, </w:t>
      </w:r>
      <w:r w:rsidR="0012115E">
        <w:t xml:space="preserve">which </w:t>
      </w:r>
      <w:r w:rsidR="005B1957">
        <w:t>stated:</w:t>
      </w:r>
    </w:p>
    <w:p w14:paraId="54F78DBA" w14:textId="5546FAEF" w:rsidR="001919F7" w:rsidRPr="001919F7" w:rsidRDefault="001919F7" w:rsidP="001C0256">
      <w:pPr>
        <w:pStyle w:val="Quote1"/>
      </w:pPr>
      <w:r w:rsidRPr="001919F7">
        <w:t>My decision was based on my consideration of the referral decision brief, dated 31 August 2018, for the Halls Island project which was prepared by the Department of Environment and Energy. I considered that the information in this brief was sufficient for me to make a referral decision that the Halls Island project was not a controlled action.</w:t>
      </w:r>
    </w:p>
    <w:p w14:paraId="3804F735" w14:textId="77777777" w:rsidR="001919F7" w:rsidRPr="001919F7" w:rsidRDefault="001919F7" w:rsidP="001C0256">
      <w:pPr>
        <w:pStyle w:val="Quote1"/>
      </w:pPr>
      <w:r w:rsidRPr="001919F7">
        <w:t>This correspondence and the brief are my statement of reasons.</w:t>
      </w:r>
    </w:p>
    <w:p w14:paraId="51E0F782" w14:textId="1401AE2C" w:rsidR="001919F7" w:rsidRDefault="001919F7" w:rsidP="001C0256">
      <w:pPr>
        <w:pStyle w:val="Quote1"/>
      </w:pPr>
      <w:r w:rsidRPr="001919F7">
        <w:t>In making my decision, I considered all the information and matters contained in the briefing material referenced above. I agreed with the Department</w:t>
      </w:r>
      <w:r w:rsidR="00B2359F">
        <w:t>’</w:t>
      </w:r>
      <w:r w:rsidRPr="001919F7">
        <w:t>s advice, findings of fact and reasoning iterated in the briefing. On that basis, I decided that the Halls Island project was not a controlled action.</w:t>
      </w:r>
    </w:p>
    <w:p w14:paraId="1317F8A5" w14:textId="054E4739" w:rsidR="00B2359F" w:rsidRPr="001919F7" w:rsidRDefault="00B2359F" w:rsidP="001C0256">
      <w:pPr>
        <w:pStyle w:val="Quote1"/>
      </w:pPr>
      <w:r>
        <w:t>(Footnote omitted</w:t>
      </w:r>
      <w:r w:rsidR="00273B8F">
        <w:t>.</w:t>
      </w:r>
      <w:r>
        <w:t>)</w:t>
      </w:r>
    </w:p>
    <w:p w14:paraId="69DCCD03" w14:textId="0CC4E41A" w:rsidR="00331514" w:rsidRDefault="00331514" w:rsidP="00331514">
      <w:pPr>
        <w:pStyle w:val="Heading3"/>
      </w:pPr>
      <w:r>
        <w:lastRenderedPageBreak/>
        <w:t>The</w:t>
      </w:r>
      <w:r w:rsidR="00591326">
        <w:t xml:space="preserve"> delegate’s</w:t>
      </w:r>
      <w:r>
        <w:t xml:space="preserve"> “statement of reasons”</w:t>
      </w:r>
    </w:p>
    <w:p w14:paraId="67A2D54F" w14:textId="4C02F53B" w:rsidR="005B1957" w:rsidRDefault="005B1957" w:rsidP="00B21C65">
      <w:pPr>
        <w:pStyle w:val="ParaNumbering"/>
      </w:pPr>
      <w:r>
        <w:t>While it is not a matter which arises directly from any of the applicant</w:t>
      </w:r>
      <w:r w:rsidR="0035415F">
        <w:t>’</w:t>
      </w:r>
      <w:r>
        <w:t>s grounds of review, it is appropriate to say something about this method of complying with what was recognised by the delegate to be his statutory obligation pursuant to s</w:t>
      </w:r>
      <w:r w:rsidR="00B2359F">
        <w:t> </w:t>
      </w:r>
      <w:r>
        <w:t xml:space="preserve">13 of the </w:t>
      </w:r>
      <w:r w:rsidR="00B21C65" w:rsidRPr="005D03AB">
        <w:rPr>
          <w:i/>
        </w:rPr>
        <w:t>Administrative Decisions (Judicial Review) Act 1977</w:t>
      </w:r>
      <w:r w:rsidR="00B21C65" w:rsidRPr="005D03AB">
        <w:t xml:space="preserve"> (</w:t>
      </w:r>
      <w:proofErr w:type="spellStart"/>
      <w:r w:rsidR="00B21C65" w:rsidRPr="005D03AB">
        <w:t>Cth</w:t>
      </w:r>
      <w:proofErr w:type="spellEnd"/>
      <w:r w:rsidR="00B21C65" w:rsidRPr="005D03AB">
        <w:t>)</w:t>
      </w:r>
      <w:r>
        <w:t>. There may be no difficulty in a decision</w:t>
      </w:r>
      <w:r w:rsidR="00B21C65">
        <w:t>-</w:t>
      </w:r>
      <w:r>
        <w:t xml:space="preserve">maker adopting, as </w:t>
      </w:r>
      <w:r w:rsidR="00B378BE">
        <w:t>her or</w:t>
      </w:r>
      <w:r>
        <w:t xml:space="preserve"> his own, </w:t>
      </w:r>
      <w:r w:rsidR="00B378BE">
        <w:t xml:space="preserve">reasons </w:t>
      </w:r>
      <w:r>
        <w:t xml:space="preserve">that have been </w:t>
      </w:r>
      <w:r w:rsidR="00B378BE">
        <w:t>drafted</w:t>
      </w:r>
      <w:r>
        <w:t xml:space="preserve"> by another person, and indeed reasons which form part of a “brief” put before that </w:t>
      </w:r>
      <w:r w:rsidR="00B378BE">
        <w:t>decision</w:t>
      </w:r>
      <w:r w:rsidR="00B2359F">
        <w:t>-</w:t>
      </w:r>
      <w:r w:rsidR="00B378BE">
        <w:t>maker</w:t>
      </w:r>
      <w:r>
        <w:t xml:space="preserve"> for the purpose of that person </w:t>
      </w:r>
      <w:r w:rsidR="00B378BE">
        <w:t>determining</w:t>
      </w:r>
      <w:r>
        <w:t xml:space="preserve"> how, or whether, to exercise a </w:t>
      </w:r>
      <w:r w:rsidR="00B378BE">
        <w:t>statutory</w:t>
      </w:r>
      <w:r>
        <w:t xml:space="preserve"> power</w:t>
      </w:r>
      <w:r w:rsidR="004B3A28">
        <w:t xml:space="preserve">: see generally my observations in </w:t>
      </w:r>
      <w:proofErr w:type="spellStart"/>
      <w:r w:rsidR="004B3A28" w:rsidRPr="005D03AB">
        <w:rPr>
          <w:i/>
        </w:rPr>
        <w:t>Stambe</w:t>
      </w:r>
      <w:proofErr w:type="spellEnd"/>
      <w:r w:rsidR="004B3A28" w:rsidRPr="005D03AB">
        <w:t xml:space="preserve"> </w:t>
      </w:r>
      <w:r w:rsidR="005077A5" w:rsidRPr="005D03AB">
        <w:rPr>
          <w:i/>
        </w:rPr>
        <w:t>v Minister for Health</w:t>
      </w:r>
      <w:r w:rsidR="005077A5" w:rsidRPr="005D03AB">
        <w:t xml:space="preserve"> [2019] FCA 43; 364 ALR 513</w:t>
      </w:r>
      <w:r w:rsidR="005077A5">
        <w:t xml:space="preserve"> </w:t>
      </w:r>
      <w:r w:rsidR="004B3A28">
        <w:t>at [67]-[75], and [85].</w:t>
      </w:r>
      <w:r>
        <w:t xml:space="preserve"> What is not</w:t>
      </w:r>
      <w:r w:rsidR="00B21C65">
        <w:t>,</w:t>
      </w:r>
      <w:r>
        <w:t xml:space="preserve"> however</w:t>
      </w:r>
      <w:r w:rsidR="00B21C65">
        <w:t>,</w:t>
      </w:r>
      <w:r>
        <w:t xml:space="preserve"> acceptable</w:t>
      </w:r>
      <w:r w:rsidR="0035415F">
        <w:t xml:space="preserve"> in my opinion</w:t>
      </w:r>
      <w:r>
        <w:t xml:space="preserve"> is for the decision</w:t>
      </w:r>
      <w:r w:rsidR="00B21C65">
        <w:t>-</w:t>
      </w:r>
      <w:r>
        <w:t xml:space="preserve">maker to </w:t>
      </w:r>
      <w:r w:rsidR="00B378BE">
        <w:t>use this method and</w:t>
      </w:r>
      <w:r w:rsidR="00A94A74">
        <w:t>,</w:t>
      </w:r>
      <w:r w:rsidR="00B378BE">
        <w:t xml:space="preserve"> as part of this method, to refer</w:t>
      </w:r>
      <w:r>
        <w:t xml:space="preserve"> to </w:t>
      </w:r>
      <w:r w:rsidR="00B378BE">
        <w:t>documents</w:t>
      </w:r>
      <w:r>
        <w:t xml:space="preserve"> which the person </w:t>
      </w:r>
      <w:r w:rsidR="00B378BE">
        <w:t>requesting</w:t>
      </w:r>
      <w:r>
        <w:t xml:space="preserve"> the reasons cannot access. That is what occurred here, on the evidence of Mr</w:t>
      </w:r>
      <w:r w:rsidR="00B378BE">
        <w:t xml:space="preserve"> Bayley for the applicant: </w:t>
      </w:r>
      <w:r w:rsidR="008C51AC">
        <w:t>ten</w:t>
      </w:r>
      <w:r>
        <w:t xml:space="preserve"> </w:t>
      </w:r>
      <w:r w:rsidR="00B378BE">
        <w:t xml:space="preserve">out of the </w:t>
      </w:r>
      <w:r w:rsidR="00A94A74">
        <w:t xml:space="preserve">20 </w:t>
      </w:r>
      <w:r w:rsidR="008C51AC">
        <w:t xml:space="preserve">attachments </w:t>
      </w:r>
      <w:r w:rsidR="00B378BE">
        <w:t xml:space="preserve">to the brief </w:t>
      </w:r>
      <w:r>
        <w:t xml:space="preserve">were not </w:t>
      </w:r>
      <w:r w:rsidR="00B378BE">
        <w:t>publicly</w:t>
      </w:r>
      <w:r>
        <w:t xml:space="preserve"> available. Mr Bayley </w:t>
      </w:r>
      <w:r w:rsidR="003A2BA8">
        <w:t xml:space="preserve">subsequently </w:t>
      </w:r>
      <w:r>
        <w:t>made a F</w:t>
      </w:r>
      <w:r w:rsidR="00B2359F">
        <w:t>reedom of Information</w:t>
      </w:r>
      <w:r>
        <w:t xml:space="preserve"> request</w:t>
      </w:r>
      <w:r w:rsidR="00B378BE">
        <w:t xml:space="preserve"> for </w:t>
      </w:r>
      <w:r w:rsidR="001F5697">
        <w:t>“various documents relating to the Referral and the Decision”</w:t>
      </w:r>
      <w:r w:rsidR="00B378BE">
        <w:t>,</w:t>
      </w:r>
      <w:r w:rsidR="001F5697">
        <w:t xml:space="preserve"> which I infer </w:t>
      </w:r>
      <w:r w:rsidR="005E15BD">
        <w:t>was made in order to obtain copies of those</w:t>
      </w:r>
      <w:r w:rsidR="001F5697">
        <w:t xml:space="preserve"> attachments</w:t>
      </w:r>
      <w:r w:rsidR="004B3A28">
        <w:t xml:space="preserve"> not made available to the applicant</w:t>
      </w:r>
      <w:r w:rsidR="003A2BA8">
        <w:t>.</w:t>
      </w:r>
      <w:r w:rsidR="00B378BE">
        <w:t xml:space="preserve"> </w:t>
      </w:r>
      <w:r w:rsidR="003A2BA8">
        <w:t>The request had not been</w:t>
      </w:r>
      <w:r>
        <w:t xml:space="preserve"> </w:t>
      </w:r>
      <w:r w:rsidR="001F5697">
        <w:t xml:space="preserve">responded to </w:t>
      </w:r>
      <w:r>
        <w:t>by</w:t>
      </w:r>
      <w:r w:rsidR="00B378BE">
        <w:t xml:space="preserve"> the time the </w:t>
      </w:r>
      <w:r w:rsidR="00B21C65">
        <w:t>applicant</w:t>
      </w:r>
      <w:r w:rsidR="00B378BE">
        <w:t xml:space="preserve"> issue</w:t>
      </w:r>
      <w:r>
        <w:t>d</w:t>
      </w:r>
      <w:r w:rsidR="00B378BE">
        <w:t xml:space="preserve"> </w:t>
      </w:r>
      <w:r>
        <w:t xml:space="preserve">proceedings. Of course, the ADJR Act contains a </w:t>
      </w:r>
      <w:r w:rsidR="00B378BE">
        <w:t>time</w:t>
      </w:r>
      <w:r>
        <w:t xml:space="preserve"> limit </w:t>
      </w:r>
      <w:r w:rsidR="00B378BE">
        <w:t>for the</w:t>
      </w:r>
      <w:r>
        <w:t xml:space="preserve"> </w:t>
      </w:r>
      <w:r w:rsidR="00B378BE">
        <w:t>issuing</w:t>
      </w:r>
      <w:r w:rsidR="00606026">
        <w:t xml:space="preserve"> </w:t>
      </w:r>
      <w:r>
        <w:t>of proceedings</w:t>
      </w:r>
      <w:r w:rsidR="00B378BE">
        <w:t xml:space="preserve"> as of right</w:t>
      </w:r>
      <w:r>
        <w:t>: se</w:t>
      </w:r>
      <w:r w:rsidRPr="00067823">
        <w:t xml:space="preserve">e s </w:t>
      </w:r>
      <w:r w:rsidR="0080741E" w:rsidRPr="005077A5">
        <w:t>11.</w:t>
      </w:r>
      <w:r w:rsidR="0080741E">
        <w:t xml:space="preserve"> </w:t>
      </w:r>
      <w:r>
        <w:t>Frequently, a statement of reasons is an integral part of any judicial review</w:t>
      </w:r>
      <w:r w:rsidR="007A7786">
        <w:t xml:space="preserve"> application</w:t>
      </w:r>
      <w:r>
        <w:t xml:space="preserve"> under the </w:t>
      </w:r>
      <w:r w:rsidR="00B21C65">
        <w:t xml:space="preserve">ADJR </w:t>
      </w:r>
      <w:r>
        <w:t xml:space="preserve">Act: that is one of the core </w:t>
      </w:r>
      <w:r w:rsidR="00B378BE">
        <w:t>purposes</w:t>
      </w:r>
      <w:r>
        <w:t xml:space="preserve"> of s</w:t>
      </w:r>
      <w:r w:rsidR="00B2359F">
        <w:t> </w:t>
      </w:r>
      <w:r>
        <w:t>13.</w:t>
      </w:r>
    </w:p>
    <w:p w14:paraId="4C075981" w14:textId="5F6ED2EE" w:rsidR="005B1957" w:rsidRDefault="005B1957" w:rsidP="00162C1B">
      <w:pPr>
        <w:pStyle w:val="ParaNumbering"/>
      </w:pPr>
      <w:r>
        <w:t xml:space="preserve">The </w:t>
      </w:r>
      <w:r w:rsidR="00B378BE">
        <w:t>statutory</w:t>
      </w:r>
      <w:r>
        <w:t xml:space="preserve"> </w:t>
      </w:r>
      <w:r w:rsidR="00B378BE">
        <w:t>purpose</w:t>
      </w:r>
      <w:r>
        <w:t xml:space="preserve"> was frustrated </w:t>
      </w:r>
      <w:r w:rsidR="00B378BE">
        <w:t>in this</w:t>
      </w:r>
      <w:r>
        <w:t xml:space="preserve"> case. </w:t>
      </w:r>
      <w:r w:rsidR="00B378BE">
        <w:t>Section</w:t>
      </w:r>
      <w:r w:rsidR="00606026">
        <w:t xml:space="preserve"> 13 requires a </w:t>
      </w:r>
      <w:r w:rsidR="00B378BE">
        <w:t>decision</w:t>
      </w:r>
      <w:r w:rsidR="00B21C65">
        <w:t>-</w:t>
      </w:r>
      <w:r w:rsidR="00606026">
        <w:t xml:space="preserve">maker to set out her or his </w:t>
      </w:r>
      <w:r w:rsidR="00067823">
        <w:t>findings on material questions</w:t>
      </w:r>
      <w:r w:rsidR="00606026">
        <w:t xml:space="preserve"> of fact</w:t>
      </w:r>
      <w:r w:rsidR="00E173F6">
        <w:t>. It is difficult to see how that obligation was</w:t>
      </w:r>
      <w:r w:rsidR="00606026">
        <w:t xml:space="preserve"> complied with in this case</w:t>
      </w:r>
      <w:r w:rsidR="00E173F6">
        <w:t>. It is even more difficult to see how it was</w:t>
      </w:r>
      <w:r w:rsidR="00606026">
        <w:t xml:space="preserve"> complied with in circumstances where only some of the documents</w:t>
      </w:r>
      <w:r w:rsidR="004D7FEF">
        <w:t xml:space="preserve"> contained in the delegate’s brief</w:t>
      </w:r>
      <w:r w:rsidR="00606026">
        <w:t xml:space="preserve"> were </w:t>
      </w:r>
      <w:r w:rsidR="00B378BE">
        <w:t>available</w:t>
      </w:r>
      <w:r w:rsidR="00606026">
        <w:t xml:space="preserve"> to the </w:t>
      </w:r>
      <w:r w:rsidR="00B21C65">
        <w:t>applicant</w:t>
      </w:r>
      <w:r w:rsidR="00606026">
        <w:t xml:space="preserve">. </w:t>
      </w:r>
      <w:r w:rsidR="00B378BE">
        <w:t>The brie</w:t>
      </w:r>
      <w:r>
        <w:t>f</w:t>
      </w:r>
      <w:r w:rsidR="00B378BE">
        <w:t xml:space="preserve"> contained</w:t>
      </w:r>
      <w:r>
        <w:t xml:space="preserve"> </w:t>
      </w:r>
      <w:r w:rsidR="00B378BE">
        <w:t>recommendations</w:t>
      </w:r>
      <w:r>
        <w:t xml:space="preserve"> only, which </w:t>
      </w:r>
      <w:r w:rsidR="00B378BE">
        <w:t>cannot</w:t>
      </w:r>
      <w:r>
        <w:t xml:space="preserve"> be understood without </w:t>
      </w:r>
      <w:r w:rsidR="00B378BE">
        <w:t>reference</w:t>
      </w:r>
      <w:r>
        <w:t xml:space="preserve"> to the source documents</w:t>
      </w:r>
      <w:r w:rsidR="007719BC">
        <w:t xml:space="preserve">. </w:t>
      </w:r>
      <w:r w:rsidR="00385C14">
        <w:t>At the very least</w:t>
      </w:r>
      <w:r w:rsidR="00B378BE">
        <w:t>, it wo</w:t>
      </w:r>
      <w:r w:rsidR="00B21C65">
        <w:t>u</w:t>
      </w:r>
      <w:r w:rsidR="00B378BE">
        <w:t xml:space="preserve">ld not be appropriate for this method to become an accepted one, </w:t>
      </w:r>
      <w:r>
        <w:t xml:space="preserve">unless the person </w:t>
      </w:r>
      <w:r w:rsidR="00B378BE">
        <w:t>requesting</w:t>
      </w:r>
      <w:r>
        <w:t xml:space="preserve"> the reasons</w:t>
      </w:r>
      <w:r w:rsidR="00606026">
        <w:t xml:space="preserve"> is</w:t>
      </w:r>
      <w:r>
        <w:t xml:space="preserve"> provided with all the documents </w:t>
      </w:r>
      <w:r w:rsidR="00606026">
        <w:t xml:space="preserve">before the delegate in her or his “brief”, </w:t>
      </w:r>
      <w:r w:rsidR="004D7FEF">
        <w:t xml:space="preserve">in circumstances where </w:t>
      </w:r>
      <w:r w:rsidR="00606026">
        <w:t xml:space="preserve">the </w:t>
      </w:r>
      <w:r w:rsidR="00B378BE">
        <w:t>contents</w:t>
      </w:r>
      <w:r w:rsidR="00606026">
        <w:t xml:space="preserve"> of the </w:t>
      </w:r>
      <w:r w:rsidR="00B378BE">
        <w:t>brief</w:t>
      </w:r>
      <w:r w:rsidR="00606026">
        <w:t xml:space="preserve"> are </w:t>
      </w:r>
      <w:r w:rsidR="00B378BE">
        <w:t>asserted</w:t>
      </w:r>
      <w:r w:rsidR="00606026">
        <w:t xml:space="preserve"> to </w:t>
      </w:r>
      <w:r w:rsidR="00B378BE">
        <w:t>have been adopted by the delegate and to reflect her or his</w:t>
      </w:r>
      <w:r w:rsidR="00606026">
        <w:t xml:space="preserve"> reasons. </w:t>
      </w:r>
      <w:r w:rsidR="00385C14">
        <w:t>However, for the following reasons, the practice adopted by the delegate may be problematic in any event.</w:t>
      </w:r>
    </w:p>
    <w:p w14:paraId="399EEBE6" w14:textId="58CE19E5" w:rsidR="00385C14" w:rsidRDefault="00385C14" w:rsidP="00162C1B">
      <w:pPr>
        <w:pStyle w:val="ParaNumbering"/>
      </w:pPr>
      <w:r>
        <w:t>There are</w:t>
      </w:r>
      <w:r w:rsidR="00375F5E">
        <w:t xml:space="preserve"> further potential difficulties</w:t>
      </w:r>
      <w:r>
        <w:t xml:space="preserve"> which need not be resolved, as the matter proceeded, under an apparently common position, that the contents of the letter, read with the brief, satisfied the applicant’s request for reasons under s 13 of the ADJR Act. Whether or not that </w:t>
      </w:r>
      <w:r>
        <w:lastRenderedPageBreak/>
        <w:t xml:space="preserve">common ground is consistent with authorities of this Court, and of the High Court, is not a matter the Court has been asked to determine, but see </w:t>
      </w:r>
      <w:proofErr w:type="spellStart"/>
      <w:r w:rsidR="0029706F" w:rsidRPr="005D03AB">
        <w:rPr>
          <w:i/>
        </w:rPr>
        <w:t>Ayan</w:t>
      </w:r>
      <w:proofErr w:type="spellEnd"/>
      <w:r w:rsidR="0029706F" w:rsidRPr="005D03AB">
        <w:rPr>
          <w:i/>
        </w:rPr>
        <w:t xml:space="preserve"> v Minister for Immigration and Multicultural and Indigenous Affairs</w:t>
      </w:r>
      <w:r w:rsidR="0029706F" w:rsidRPr="005D03AB">
        <w:t xml:space="preserve"> [2003] FCAFC 7; 126 FCR 152</w:t>
      </w:r>
      <w:r w:rsidR="0029706F">
        <w:t xml:space="preserve"> at [53]-[57]</w:t>
      </w:r>
      <w:r w:rsidR="00BF3D54">
        <w:t xml:space="preserve"> (Allsop J, Jacobson J agreeing)</w:t>
      </w:r>
      <w:r w:rsidR="0029706F">
        <w:t xml:space="preserve"> and </w:t>
      </w:r>
      <w:proofErr w:type="spellStart"/>
      <w:r w:rsidR="0029706F" w:rsidRPr="005D03AB">
        <w:rPr>
          <w:i/>
        </w:rPr>
        <w:t>Akpata</w:t>
      </w:r>
      <w:proofErr w:type="spellEnd"/>
      <w:r w:rsidR="0029706F" w:rsidRPr="005D03AB">
        <w:rPr>
          <w:i/>
        </w:rPr>
        <w:t xml:space="preserve"> v Minister for Immigration and Multicultural and Indigenous Affairs</w:t>
      </w:r>
      <w:r w:rsidR="0029706F" w:rsidRPr="005D03AB">
        <w:t xml:space="preserve"> [2004] FCAFC 65</w:t>
      </w:r>
      <w:r w:rsidR="0029706F">
        <w:t xml:space="preserve"> at [52]-[59] (Lander J, </w:t>
      </w:r>
      <w:proofErr w:type="spellStart"/>
      <w:r w:rsidR="0029706F">
        <w:t>Carr</w:t>
      </w:r>
      <w:proofErr w:type="spellEnd"/>
      <w:r w:rsidR="0029706F">
        <w:t xml:space="preserve"> and </w:t>
      </w:r>
      <w:proofErr w:type="spellStart"/>
      <w:r w:rsidR="0029706F">
        <w:t>Sundberg</w:t>
      </w:r>
      <w:proofErr w:type="spellEnd"/>
      <w:r w:rsidR="0029706F">
        <w:t xml:space="preserve"> JJ agreeing).</w:t>
      </w:r>
    </w:p>
    <w:p w14:paraId="57511B07" w14:textId="7C9487F3" w:rsidR="00AA6C8F" w:rsidRDefault="0024389A" w:rsidP="0024389A">
      <w:pPr>
        <w:pStyle w:val="Heading2"/>
      </w:pPr>
      <w:r>
        <w:t>One factual matter which needs to be disentangled</w:t>
      </w:r>
    </w:p>
    <w:p w14:paraId="214B7FAA" w14:textId="7E092B13" w:rsidR="0024389A" w:rsidRDefault="0024389A" w:rsidP="007C5A83">
      <w:pPr>
        <w:pStyle w:val="ParaNumbering"/>
      </w:pPr>
      <w:r>
        <w:t>The parties took as their starting point what was set out in the Department’s brief to the delegate, and which the delegate adopted as his reasons</w:t>
      </w:r>
      <w:r w:rsidR="0036380A">
        <w:t>, together with his correspondence</w:t>
      </w:r>
      <w:r>
        <w:t>. However</w:t>
      </w:r>
      <w:r w:rsidR="00366BAC">
        <w:t>,</w:t>
      </w:r>
      <w:r>
        <w:t xml:space="preserve"> on closer examination of the Department’s brief, and </w:t>
      </w:r>
      <w:r w:rsidR="00366BAC">
        <w:t xml:space="preserve">in </w:t>
      </w:r>
      <w:r>
        <w:t xml:space="preserve">considering how the World Heritage provisions in </w:t>
      </w:r>
      <w:proofErr w:type="spellStart"/>
      <w:r>
        <w:t>subdiv</w:t>
      </w:r>
      <w:proofErr w:type="spellEnd"/>
      <w:r w:rsidR="00B21C65">
        <w:t xml:space="preserve"> </w:t>
      </w:r>
      <w:r>
        <w:t xml:space="preserve">A of </w:t>
      </w:r>
      <w:proofErr w:type="spellStart"/>
      <w:r>
        <w:t>Div</w:t>
      </w:r>
      <w:proofErr w:type="spellEnd"/>
      <w:r>
        <w:t xml:space="preserve"> 1 of Pt 3 of the EPBC Act were engaged in this particular referral, some complexities have emerged. Those complexities concern how, precisely, what is described in the Departmental brief as the “values” of the TWWHA have been identified, and how they can be linked back to the definition of “world heritage values” in </w:t>
      </w:r>
      <w:proofErr w:type="spellStart"/>
      <w:r w:rsidR="00F76889">
        <w:t>subss</w:t>
      </w:r>
      <w:proofErr w:type="spellEnd"/>
      <w:r w:rsidR="00366BAC">
        <w:t xml:space="preserve"> </w:t>
      </w:r>
      <w:r>
        <w:t>(3) and (4) of</w:t>
      </w:r>
      <w:r w:rsidR="00096198">
        <w:t xml:space="preserve"> s 12 of</w:t>
      </w:r>
      <w:r>
        <w:t xml:space="preserve"> the EPBC Act.</w:t>
      </w:r>
    </w:p>
    <w:p w14:paraId="1F95385F" w14:textId="5DD1F8E5" w:rsidR="00F015A6" w:rsidRDefault="00096198" w:rsidP="007C5A83">
      <w:pPr>
        <w:pStyle w:val="ParaNumbering"/>
      </w:pPr>
      <w:r>
        <w:t>Section 12(3) of the EPBC Act provides:</w:t>
      </w:r>
    </w:p>
    <w:p w14:paraId="5B464C78" w14:textId="56563FBC" w:rsidR="00096198" w:rsidRDefault="00096198" w:rsidP="005077A5">
      <w:pPr>
        <w:pStyle w:val="Quote1"/>
      </w:pPr>
      <w:r w:rsidRPr="00096198">
        <w:t xml:space="preserve">A property has </w:t>
      </w:r>
      <w:r w:rsidRPr="005077A5">
        <w:rPr>
          <w:b/>
          <w:i/>
        </w:rPr>
        <w:t>world heritage values</w:t>
      </w:r>
      <w:r w:rsidRPr="00096198">
        <w:t xml:space="preserve"> only if it contains natural heritage or cultural heritage. The </w:t>
      </w:r>
      <w:r w:rsidRPr="005077A5">
        <w:rPr>
          <w:b/>
          <w:i/>
        </w:rPr>
        <w:t>world heritage values</w:t>
      </w:r>
      <w:r w:rsidRPr="00096198">
        <w:t xml:space="preserve"> of the property are the natural heritage and cultural heritage contained in the property.</w:t>
      </w:r>
    </w:p>
    <w:p w14:paraId="7F949C84" w14:textId="77777777" w:rsidR="000553AA" w:rsidRDefault="00096198">
      <w:pPr>
        <w:pStyle w:val="ParaNumbering"/>
      </w:pPr>
      <w:r>
        <w:t xml:space="preserve">The terms “natural heritage” and “cultural heritage” are defined in s 12(4) of the Act by reference to the meanings given to them in the World Heritage Convention: </w:t>
      </w:r>
      <w:r w:rsidRPr="005D03AB">
        <w:rPr>
          <w:i/>
        </w:rPr>
        <w:t>Convention for the Protection of the World Cultural and Natural Heritage</w:t>
      </w:r>
      <w:r w:rsidR="000553AA" w:rsidRPr="005D03AB">
        <w:t>,</w:t>
      </w:r>
      <w:r w:rsidRPr="005D03AB">
        <w:t xml:space="preserve"> </w:t>
      </w:r>
      <w:r w:rsidR="000553AA" w:rsidRPr="005D03AB">
        <w:t>o</w:t>
      </w:r>
      <w:r w:rsidRPr="005D03AB">
        <w:t>pened for signature 16 November 1972</w:t>
      </w:r>
      <w:r w:rsidR="000553AA" w:rsidRPr="005D03AB">
        <w:t>,</w:t>
      </w:r>
      <w:r w:rsidRPr="005D03AB">
        <w:t xml:space="preserve"> 1037 UNTS 151 (entered into force 17 December 1975)</w:t>
      </w:r>
      <w:r>
        <w:t>.</w:t>
      </w:r>
      <w:r w:rsidR="000553AA">
        <w:t xml:space="preserve"> </w:t>
      </w:r>
    </w:p>
    <w:p w14:paraId="45D80310" w14:textId="42075E2D" w:rsidR="00096198" w:rsidRDefault="00EF36B9">
      <w:pPr>
        <w:pStyle w:val="ParaNumbering"/>
      </w:pPr>
      <w:r>
        <w:t>Article</w:t>
      </w:r>
      <w:r w:rsidR="000553AA">
        <w:t xml:space="preserve"> 1 </w:t>
      </w:r>
      <w:r>
        <w:t xml:space="preserve">of </w:t>
      </w:r>
      <w:r w:rsidR="000553AA">
        <w:t xml:space="preserve">the Convention describes </w:t>
      </w:r>
      <w:r>
        <w:t>the term</w:t>
      </w:r>
      <w:r w:rsidR="000553AA">
        <w:t xml:space="preserve"> “cultural heritage”:</w:t>
      </w:r>
    </w:p>
    <w:p w14:paraId="79964258" w14:textId="30B3DE21" w:rsidR="000553AA" w:rsidRDefault="000553AA">
      <w:pPr>
        <w:pStyle w:val="Quote1"/>
      </w:pPr>
      <w:r>
        <w:t>For the purposes of this Convention, the following shall be considered as “cultural heritage”:</w:t>
      </w:r>
    </w:p>
    <w:p w14:paraId="782325E8" w14:textId="3D67D3E3" w:rsidR="000553AA" w:rsidRDefault="000553AA" w:rsidP="005077A5">
      <w:pPr>
        <w:pStyle w:val="Quote2"/>
      </w:pPr>
      <w:r w:rsidRPr="005077A5">
        <w:rPr>
          <w:b/>
        </w:rPr>
        <w:t>monuments</w:t>
      </w:r>
      <w:r>
        <w:t>: architectural works, works of monumental sculpture and painting, elements or structures of an archaeological nature, inscriptions, cave dwellings and combinations of features, which are of outstanding universal value from the point of view of history, art or science;</w:t>
      </w:r>
    </w:p>
    <w:p w14:paraId="724CD572" w14:textId="39EFD1AD" w:rsidR="000553AA" w:rsidRDefault="000553AA" w:rsidP="005077A5">
      <w:pPr>
        <w:pStyle w:val="Quote2"/>
      </w:pPr>
      <w:r w:rsidRPr="005077A5">
        <w:rPr>
          <w:b/>
        </w:rPr>
        <w:t>groups of buildings</w:t>
      </w:r>
      <w:r>
        <w:t>: groups of separate or connected buildings which, because of their architecture, their homogeneity or their place in the landscape, are of outstanding universal value from the point of view of history, art or science;</w:t>
      </w:r>
    </w:p>
    <w:p w14:paraId="3A1CE1AD" w14:textId="581213E1" w:rsidR="000553AA" w:rsidRDefault="000553AA" w:rsidP="005077A5">
      <w:pPr>
        <w:pStyle w:val="Quote2"/>
      </w:pPr>
      <w:r w:rsidRPr="005077A5">
        <w:rPr>
          <w:b/>
        </w:rPr>
        <w:t>sites</w:t>
      </w:r>
      <w:r>
        <w:t xml:space="preserve">: works of man or the combined works of nature and man, and areas including archaeological sites which are of outstanding universal value from </w:t>
      </w:r>
      <w:r>
        <w:lastRenderedPageBreak/>
        <w:t>the historical, aesthetic, ethnological or anthropological point of view.</w:t>
      </w:r>
    </w:p>
    <w:p w14:paraId="48917967" w14:textId="33D89846" w:rsidR="000553AA" w:rsidRDefault="000553AA">
      <w:pPr>
        <w:pStyle w:val="ParaNumbering"/>
      </w:pPr>
      <w:r>
        <w:t xml:space="preserve">Article 2 goes on to describe </w:t>
      </w:r>
      <w:r w:rsidR="00EF36B9">
        <w:t>the term</w:t>
      </w:r>
      <w:r>
        <w:t xml:space="preserve"> “natural heritage”:</w:t>
      </w:r>
    </w:p>
    <w:p w14:paraId="625AC029" w14:textId="333F91F0" w:rsidR="000553AA" w:rsidRDefault="000553AA">
      <w:pPr>
        <w:pStyle w:val="Quote1"/>
      </w:pPr>
      <w:r>
        <w:t>For the purposes of this Convention, the following shall be considered as “natural heritage”:</w:t>
      </w:r>
    </w:p>
    <w:p w14:paraId="3E73050F" w14:textId="56359C83" w:rsidR="000553AA" w:rsidRDefault="000553AA" w:rsidP="005077A5">
      <w:pPr>
        <w:pStyle w:val="Quote2"/>
      </w:pPr>
      <w:r w:rsidRPr="005077A5">
        <w:rPr>
          <w:b/>
        </w:rPr>
        <w:t>natural features</w:t>
      </w:r>
      <w:r>
        <w:t xml:space="preserve"> consisting of physical and biological formations or groups of such formations, which are of outstanding universal value from the aesthetic or scientific point of view;</w:t>
      </w:r>
    </w:p>
    <w:p w14:paraId="5D18B5BB" w14:textId="657561F7" w:rsidR="000553AA" w:rsidRDefault="000553AA" w:rsidP="005077A5">
      <w:pPr>
        <w:pStyle w:val="Quote2"/>
      </w:pPr>
      <w:r w:rsidRPr="005077A5">
        <w:rPr>
          <w:b/>
        </w:rPr>
        <w:t>geological and physiographical formations</w:t>
      </w:r>
      <w:r>
        <w:t xml:space="preserve"> and precisely delineated areas which constitute the habitat of threatened species of animals and plants of outstanding universal value from the point of view of science or conservation;</w:t>
      </w:r>
    </w:p>
    <w:p w14:paraId="14CB5B61" w14:textId="2BB1BD9E" w:rsidR="000553AA" w:rsidRDefault="000553AA" w:rsidP="005077A5">
      <w:pPr>
        <w:pStyle w:val="Quote2"/>
      </w:pPr>
      <w:r w:rsidRPr="005077A5">
        <w:rPr>
          <w:b/>
        </w:rPr>
        <w:t>natural sites</w:t>
      </w:r>
      <w:r>
        <w:t xml:space="preserve"> or precisely delineated natural areas of outstanding universal value from the point of view of science, conservation or natural beauty.</w:t>
      </w:r>
    </w:p>
    <w:p w14:paraId="5CC427D8" w14:textId="1664D452" w:rsidR="00E618E1" w:rsidRDefault="00FF743B">
      <w:pPr>
        <w:pStyle w:val="ParaNumbering"/>
      </w:pPr>
      <w:r>
        <w:t xml:space="preserve">The brief to the delegate identified that the TWWHA is </w:t>
      </w:r>
      <w:r w:rsidR="007818CF">
        <w:t xml:space="preserve">“inscribed on the World Heritage List under four natural (vii, viii, ix and x) and three World Heritage Area cultural (iii, v, vi) criteria”. </w:t>
      </w:r>
      <w:r w:rsidR="003E016F">
        <w:t xml:space="preserve">Those criteria form part of the selection criteria pursuant to which the World Heritage Committee determines whether a property is eligible for inclusion on the World Heritage List. </w:t>
      </w:r>
      <w:r w:rsidR="007A30F5">
        <w:t>On 15 May 2007, a</w:t>
      </w:r>
      <w:r w:rsidR="007818CF">
        <w:t xml:space="preserve"> determination was made by the then Minister for the Environment </w:t>
      </w:r>
      <w:r w:rsidR="007A30F5">
        <w:t>and Water Resources</w:t>
      </w:r>
      <w:r w:rsidR="007818CF">
        <w:t xml:space="preserve"> that, on the basis of those seven World Heritage </w:t>
      </w:r>
      <w:r w:rsidR="007A30F5">
        <w:t>criteria</w:t>
      </w:r>
      <w:r w:rsidR="007818CF">
        <w:t>, the TWWHA met the corresponding criteria to enable its inclusion on the Australian National Heritage List</w:t>
      </w:r>
      <w:r w:rsidR="005E4F10">
        <w:t xml:space="preserve"> (being a different and further protective mechanism)</w:t>
      </w:r>
      <w:r w:rsidR="007818CF">
        <w:t>.</w:t>
      </w:r>
    </w:p>
    <w:p w14:paraId="42958777" w14:textId="3E0D9102" w:rsidR="007A30F5" w:rsidRDefault="007A30F5">
      <w:pPr>
        <w:pStyle w:val="ParaNumbering"/>
      </w:pPr>
      <w:bookmarkStart w:id="25" w:name="_Ref23874992"/>
      <w:r>
        <w:t>The TWWHA Management Plan, which was attached to the delegate’</w:t>
      </w:r>
      <w:r w:rsidR="003E016F">
        <w:t>s brief, explains how the Tasmanian Wilderness came to be inscribed as a World Heritage property</w:t>
      </w:r>
      <w:r w:rsidR="000957F8">
        <w:t xml:space="preserve"> in the 1980s</w:t>
      </w:r>
      <w:r w:rsidR="003E016F">
        <w:t>, including a description of the seven criteria which made it eligible for World Heritage status:</w:t>
      </w:r>
      <w:bookmarkEnd w:id="25"/>
    </w:p>
    <w:p w14:paraId="04B59ADA" w14:textId="53AE2560" w:rsidR="003E016F" w:rsidRDefault="003E016F">
      <w:pPr>
        <w:pStyle w:val="Quote1"/>
      </w:pPr>
      <w:r>
        <w:t>Central to the Convention is the concept of Outstanding Universal Value (OUV). World Heritage properties are recognised as being exceptional or superlative on a global scale on the basis of the values within them, that is, those values are outstanding from a global perspective. To be considered of Outstanding Universal Value, a property needs to:</w:t>
      </w:r>
    </w:p>
    <w:p w14:paraId="460254CB" w14:textId="1FF04FB2" w:rsidR="003E016F" w:rsidRDefault="003E016F" w:rsidP="005077A5">
      <w:pPr>
        <w:pStyle w:val="Quote2Bullet"/>
      </w:pPr>
      <w:r>
        <w:t>meet one or more of ten criteria;</w:t>
      </w:r>
    </w:p>
    <w:p w14:paraId="627BC10B" w14:textId="5F9F0C0F" w:rsidR="003E016F" w:rsidRDefault="003E016F" w:rsidP="005077A5">
      <w:pPr>
        <w:pStyle w:val="Quote2Bullet"/>
      </w:pPr>
      <w:r>
        <w:t>meet the conditions of integrity;</w:t>
      </w:r>
    </w:p>
    <w:p w14:paraId="46686A1D" w14:textId="4E26104E" w:rsidR="003E016F" w:rsidRDefault="003E016F" w:rsidP="005077A5">
      <w:pPr>
        <w:pStyle w:val="Quote2Bullet"/>
      </w:pPr>
      <w:r>
        <w:t>if a cultural property, meet the conditions of authenticity; and</w:t>
      </w:r>
    </w:p>
    <w:p w14:paraId="6F9F5417" w14:textId="5B8F1F0A" w:rsidR="003E016F" w:rsidRDefault="003E016F" w:rsidP="005077A5">
      <w:pPr>
        <w:pStyle w:val="Quote2Bullet"/>
      </w:pPr>
      <w:r>
        <w:t>have an adequate system of protection and management to safeguard its future.</w:t>
      </w:r>
    </w:p>
    <w:p w14:paraId="769ADD13" w14:textId="611F99FA" w:rsidR="003E016F" w:rsidRDefault="0012115E">
      <w:pPr>
        <w:pStyle w:val="Quote1"/>
      </w:pPr>
      <w:r>
        <w:t>…</w:t>
      </w:r>
    </w:p>
    <w:p w14:paraId="087099AA" w14:textId="3DE9B142" w:rsidR="003E016F" w:rsidRDefault="003E016F">
      <w:pPr>
        <w:pStyle w:val="Quote1"/>
      </w:pPr>
      <w:r>
        <w:t>At the time of publication, the TWWHA was one of only two World Heritage properties to fulfil seven of ten criteria. Those criteria are:</w:t>
      </w:r>
    </w:p>
    <w:p w14:paraId="2F2800A7" w14:textId="664BC090" w:rsidR="003E016F" w:rsidRDefault="003E016F" w:rsidP="005077A5">
      <w:pPr>
        <w:pStyle w:val="Quote2Bullet"/>
      </w:pPr>
      <w:r>
        <w:lastRenderedPageBreak/>
        <w:t>(iii) to bear a unique or at least exceptional testimony to a cultural tradition or to a civilization which is living or which has disappeared;</w:t>
      </w:r>
    </w:p>
    <w:p w14:paraId="35DD9F38" w14:textId="68813A0C" w:rsidR="003E016F" w:rsidRDefault="003E016F" w:rsidP="005077A5">
      <w:pPr>
        <w:pStyle w:val="Quote2Bullet"/>
      </w:pPr>
      <w:r>
        <w:t>(iv) to be an outstanding example of a type of building, architectural or technological ensemble or landscape which illustrates (a) significant stage(s) in human history;</w:t>
      </w:r>
    </w:p>
    <w:p w14:paraId="6DF051CB" w14:textId="26900AD6" w:rsidR="003E016F" w:rsidRDefault="003E016F" w:rsidP="005077A5">
      <w:pPr>
        <w:pStyle w:val="Quote2Bullet"/>
      </w:pPr>
      <w:r>
        <w:t>(vi) to be directly or tangibly associated with events or living traditions, with ideas, or with beliefs, with artistic and literary works of outstanding universal significance;</w:t>
      </w:r>
    </w:p>
    <w:p w14:paraId="52E3CD86" w14:textId="5F68B796" w:rsidR="003E016F" w:rsidRDefault="003E016F" w:rsidP="005077A5">
      <w:pPr>
        <w:pStyle w:val="Quote2Bullet"/>
      </w:pPr>
      <w:r>
        <w:t>(vii) to contain superlative natural phenomena or areas of exceptional natural beauty and aesthetic importance;</w:t>
      </w:r>
    </w:p>
    <w:p w14:paraId="18478F1B" w14:textId="1B34421C" w:rsidR="003E016F" w:rsidRDefault="003E016F" w:rsidP="005077A5">
      <w:pPr>
        <w:pStyle w:val="Quote2Bullet"/>
      </w:pPr>
      <w:r>
        <w:t>(viii) to be outstanding examples representing major stages of earth’s history, including the record of life, significant on-going geological processes in the development of landforms, or significant geomorphic or physiographic features;</w:t>
      </w:r>
    </w:p>
    <w:p w14:paraId="5DB53DF1" w14:textId="07B28D71" w:rsidR="003E016F" w:rsidRDefault="003E016F" w:rsidP="005077A5">
      <w:pPr>
        <w:pStyle w:val="Quote2Bullet"/>
      </w:pPr>
      <w:r>
        <w:t xml:space="preserve"> (ix) to be outstanding examples representing significant on-going ecological and biological processes in the evolution and development of terrestrial, freshwater, coastal and marine ecosystems and communities of plants and animals; and</w:t>
      </w:r>
    </w:p>
    <w:p w14:paraId="31D8C127" w14:textId="57873D45" w:rsidR="003E016F" w:rsidRDefault="003E016F" w:rsidP="005077A5">
      <w:pPr>
        <w:pStyle w:val="Quote2Bullet"/>
      </w:pPr>
      <w:r>
        <w:t>(x) to contain the most important and significant natural habitats for in-situ conservation of biological diversity, including those containing threatened species of outstanding universal value from the point of view of science or conservation.</w:t>
      </w:r>
    </w:p>
    <w:p w14:paraId="24F39877" w14:textId="7AC01443" w:rsidR="00BC2BBD" w:rsidRDefault="000957F8">
      <w:pPr>
        <w:pStyle w:val="ParaNumbering"/>
      </w:pPr>
      <w:r>
        <w:t xml:space="preserve">Chapter 2 of the TWWHA Management Plan, </w:t>
      </w:r>
      <w:r w:rsidR="005E4F10">
        <w:t>en</w:t>
      </w:r>
      <w:r>
        <w:t>titled “Statement of Values”, provides a non-exhaustive summary of the “cultural, natural and socio-economic values of the TWWHA”. It is apparent that the values of the TWWHA are identified by reference to the criteria</w:t>
      </w:r>
      <w:r w:rsidR="009D76C7">
        <w:t xml:space="preserve"> set out at [</w:t>
      </w:r>
      <w:r w:rsidR="00183305">
        <w:fldChar w:fldCharType="begin" w:fldLock="1"/>
      </w:r>
      <w:r w:rsidR="00183305">
        <w:instrText xml:space="preserve"> REF _Ref23874992 \r \h </w:instrText>
      </w:r>
      <w:r w:rsidR="00183305">
        <w:fldChar w:fldCharType="separate"/>
      </w:r>
      <w:r w:rsidR="00B417FD">
        <w:t>39</w:t>
      </w:r>
      <w:r w:rsidR="00183305">
        <w:fldChar w:fldCharType="end"/>
      </w:r>
      <w:r w:rsidR="009D76C7">
        <w:t>]</w:t>
      </w:r>
      <w:r w:rsidR="00183305">
        <w:t xml:space="preserve"> above</w:t>
      </w:r>
      <w:r>
        <w:t>.</w:t>
      </w:r>
      <w:r w:rsidR="001A1957">
        <w:t xml:space="preserve"> The following information, contained in the brief to the delegate, also confirms that “examples of World Heritage values” for the TWWHA are sourced by reference to these seven criteria:</w:t>
      </w:r>
      <w:r>
        <w:t xml:space="preserve"> </w:t>
      </w:r>
    </w:p>
    <w:p w14:paraId="36DAB421" w14:textId="7902535C" w:rsidR="001A1957" w:rsidRDefault="001A1957" w:rsidP="001A1957">
      <w:pPr>
        <w:pStyle w:val="Quote1"/>
      </w:pPr>
      <w:r>
        <w:t>The Tasmanian Wilderness is inscribed on the World Heritage List under four natural (vii, viii, ix and x) and three World Heritage Area cultural (iii, v, vi) criteria. Further information on the Tasmanian World Heritage area, including listing criterion, can be found at http://www.environment.gov.au/heritage/places/world/tasmanian-wilderness.</w:t>
      </w:r>
    </w:p>
    <w:p w14:paraId="5DCF683C" w14:textId="7171DE15" w:rsidR="001A1957" w:rsidRDefault="001A1957" w:rsidP="0036380A">
      <w:pPr>
        <w:pStyle w:val="Quote1"/>
        <w:rPr>
          <w:b/>
        </w:rPr>
      </w:pPr>
      <w:r>
        <w:t xml:space="preserve">The Department notes that when the Tasmanian Wilderness was listed in 1982, a Statement of Outstanding Universal Value was not required. A Statement of Outstanding Universal Value is the key reference for the future protection and management of the property. The Australian Government is working with the Tasmanian Government and technical advisory bodies to develop the Statement of Outstanding Universal Value. </w:t>
      </w:r>
      <w:r w:rsidRPr="0036380A">
        <w:rPr>
          <w:b/>
        </w:rPr>
        <w:t xml:space="preserve">In the meantime, examples of World Heritage values </w:t>
      </w:r>
      <w:r w:rsidRPr="001A1957">
        <w:rPr>
          <w:b/>
        </w:rPr>
        <w:t>that contribute to the property</w:t>
      </w:r>
      <w:r>
        <w:rPr>
          <w:b/>
        </w:rPr>
        <w:t>’</w:t>
      </w:r>
      <w:r w:rsidRPr="0036380A">
        <w:rPr>
          <w:b/>
        </w:rPr>
        <w:t>s Outstanding Universal Value are identified under each criterion.</w:t>
      </w:r>
    </w:p>
    <w:p w14:paraId="3861BE1F" w14:textId="12C68256" w:rsidR="001A1957" w:rsidRPr="0036380A" w:rsidRDefault="001A1957" w:rsidP="0036380A">
      <w:pPr>
        <w:pStyle w:val="Quote1"/>
      </w:pPr>
      <w:r w:rsidRPr="0036380A">
        <w:t>The Department has identified a range of listed values that are relevant to the proposed action, which have been used to guide the significant impact assessment</w:t>
      </w:r>
      <w:r>
        <w:t>…</w:t>
      </w:r>
    </w:p>
    <w:p w14:paraId="636A3861" w14:textId="41F9DB80" w:rsidR="001A1957" w:rsidRPr="001A1957" w:rsidRDefault="001A1957" w:rsidP="0036380A">
      <w:pPr>
        <w:pStyle w:val="Quote1"/>
      </w:pPr>
      <w:r>
        <w:t>(Emphasis added.)</w:t>
      </w:r>
    </w:p>
    <w:p w14:paraId="7CF9BA20" w14:textId="2EC3B814" w:rsidR="006E5AEF" w:rsidRDefault="007D26C9">
      <w:pPr>
        <w:pStyle w:val="ParaNumbering"/>
      </w:pPr>
      <w:r>
        <w:lastRenderedPageBreak/>
        <w:t>Notwithstanding the apparent intention to produce what seems to be an executive or administrative policy document described as a “Statement of Outstanding Universal Value”, no such final policy document was before the delegate, as the brief indicated. Therefore, f</w:t>
      </w:r>
      <w:r w:rsidR="00C270F2">
        <w:t xml:space="preserve">or the purposes of this proceeding, it appears that the parties have proceeded on the basis that the </w:t>
      </w:r>
      <w:r>
        <w:t>Department itself</w:t>
      </w:r>
      <w:r w:rsidR="00C270F2">
        <w:t xml:space="preserve"> identified the “World Heritage” values of the TWWHA by reference to the seven World Heritage criteria set out at [</w:t>
      </w:r>
      <w:r w:rsidR="00C270F2">
        <w:fldChar w:fldCharType="begin" w:fldLock="1"/>
      </w:r>
      <w:r w:rsidR="00C270F2">
        <w:instrText xml:space="preserve"> REF _Ref23874992 \r \h </w:instrText>
      </w:r>
      <w:r w:rsidR="00C270F2">
        <w:fldChar w:fldCharType="separate"/>
      </w:r>
      <w:r w:rsidR="00B417FD">
        <w:t>39</w:t>
      </w:r>
      <w:r w:rsidR="00C270F2">
        <w:fldChar w:fldCharType="end"/>
      </w:r>
      <w:r w:rsidR="00C270F2">
        <w:t>] above.</w:t>
      </w:r>
    </w:p>
    <w:p w14:paraId="147EBB8D" w14:textId="66EFCE1C" w:rsidR="00AA6C8F" w:rsidRDefault="00AA6C8F" w:rsidP="00AC738B">
      <w:pPr>
        <w:pStyle w:val="Heading1"/>
      </w:pPr>
      <w:r>
        <w:t>The applicant’s grounds of review</w:t>
      </w:r>
    </w:p>
    <w:p w14:paraId="7990F569" w14:textId="77777777" w:rsidR="00BE2BB4" w:rsidRDefault="00BE2BB4" w:rsidP="00DD3F71">
      <w:pPr>
        <w:pStyle w:val="Heading2"/>
      </w:pPr>
      <w:r>
        <w:t>Ground 1</w:t>
      </w:r>
    </w:p>
    <w:p w14:paraId="59FD6B05" w14:textId="7843ABDD" w:rsidR="00D65F9E" w:rsidRDefault="00DD3F71" w:rsidP="008C64BF">
      <w:pPr>
        <w:pStyle w:val="ParaNumbering"/>
      </w:pPr>
      <w:r>
        <w:t>The a</w:t>
      </w:r>
      <w:r w:rsidR="00BE2BB4">
        <w:t xml:space="preserve">pplicant </w:t>
      </w:r>
      <w:r w:rsidR="0012115E">
        <w:t xml:space="preserve">contended </w:t>
      </w:r>
      <w:r w:rsidR="00BE2BB4">
        <w:t xml:space="preserve">that the </w:t>
      </w:r>
      <w:r>
        <w:t>delegate’s decision involved an error of law</w:t>
      </w:r>
      <w:r w:rsidR="00BE2BB4">
        <w:t xml:space="preserve"> or was affected by</w:t>
      </w:r>
      <w:r>
        <w:t xml:space="preserve"> jurisdictional error</w:t>
      </w:r>
      <w:r w:rsidR="00BE2BB4">
        <w:t xml:space="preserve"> because </w:t>
      </w:r>
      <w:r w:rsidR="008C64BF">
        <w:t xml:space="preserve">of the delegate’s reliance on the </w:t>
      </w:r>
      <w:r w:rsidR="00BE2BB4">
        <w:t xml:space="preserve">impact assessment conducted </w:t>
      </w:r>
      <w:r w:rsidR="008C64BF">
        <w:t xml:space="preserve">by the PWS under </w:t>
      </w:r>
      <w:r w:rsidR="002E5AB8">
        <w:t xml:space="preserve">the </w:t>
      </w:r>
      <w:r w:rsidR="008C64BF">
        <w:t>RAA</w:t>
      </w:r>
      <w:r w:rsidR="006F2113">
        <w:t xml:space="preserve"> process</w:t>
      </w:r>
      <w:r w:rsidR="00673F2A">
        <w:t xml:space="preserve">. That </w:t>
      </w:r>
      <w:r w:rsidR="00BE2BB4">
        <w:t>process</w:t>
      </w:r>
      <w:r w:rsidR="00D65F9E">
        <w:t>,</w:t>
      </w:r>
      <w:r w:rsidR="00673F2A">
        <w:t xml:space="preserve"> it </w:t>
      </w:r>
      <w:r w:rsidR="0012115E">
        <w:t>contended</w:t>
      </w:r>
      <w:r w:rsidR="00673F2A">
        <w:t>, is one</w:t>
      </w:r>
      <w:r w:rsidR="00D65F9E">
        <w:t xml:space="preserve"> which </w:t>
      </w:r>
      <w:r w:rsidR="006F2113">
        <w:t xml:space="preserve">has </w:t>
      </w:r>
      <w:r w:rsidR="00D65F9E">
        <w:t xml:space="preserve">no statutory force and therefore any </w:t>
      </w:r>
      <w:proofErr w:type="spellStart"/>
      <w:r w:rsidR="00D65F9E">
        <w:t>mitigatory</w:t>
      </w:r>
      <w:proofErr w:type="spellEnd"/>
      <w:r w:rsidR="00D65F9E">
        <w:t xml:space="preserve"> measures which were imposed </w:t>
      </w:r>
      <w:r w:rsidR="006F2113">
        <w:t>pursuant</w:t>
      </w:r>
      <w:r w:rsidR="00D65F9E">
        <w:t xml:space="preserve"> to the </w:t>
      </w:r>
      <w:r w:rsidR="006F2113">
        <w:t>RAA</w:t>
      </w:r>
      <w:r w:rsidR="00D65F9E">
        <w:t xml:space="preserve">, or might have been voluntarily assumed by Wild Drake </w:t>
      </w:r>
      <w:r w:rsidR="006F2113">
        <w:t xml:space="preserve">in the </w:t>
      </w:r>
      <w:r w:rsidR="002E5AB8">
        <w:t xml:space="preserve">related </w:t>
      </w:r>
      <w:r w:rsidR="006F2113">
        <w:t xml:space="preserve">“Protected Matters Environmental Management Plan” </w:t>
      </w:r>
      <w:r w:rsidR="00195E07">
        <w:t>(</w:t>
      </w:r>
      <w:r w:rsidR="00195E07">
        <w:rPr>
          <w:b/>
        </w:rPr>
        <w:t>PMEMP</w:t>
      </w:r>
      <w:r w:rsidR="00195E07">
        <w:t xml:space="preserve">) </w:t>
      </w:r>
      <w:r w:rsidR="00D65F9E">
        <w:t xml:space="preserve">were, in effect, used as substitutes for the </w:t>
      </w:r>
      <w:r w:rsidR="009B528D">
        <w:t xml:space="preserve">evaluation </w:t>
      </w:r>
      <w:r w:rsidR="00D65F9E">
        <w:t>the delegate was required to make under s</w:t>
      </w:r>
      <w:r w:rsidR="00B2359F">
        <w:t> </w:t>
      </w:r>
      <w:r w:rsidR="00D65F9E">
        <w:t xml:space="preserve">75(1). The </w:t>
      </w:r>
      <w:r w:rsidR="00B21C65">
        <w:t>applicant</w:t>
      </w:r>
      <w:r w:rsidR="00D65F9E">
        <w:t xml:space="preserve"> </w:t>
      </w:r>
      <w:r w:rsidR="0012115E">
        <w:t xml:space="preserve">contended </w:t>
      </w:r>
      <w:r w:rsidR="00D65F9E">
        <w:t>such an approach allows s</w:t>
      </w:r>
      <w:r w:rsidR="00B2359F">
        <w:t> </w:t>
      </w:r>
      <w:r w:rsidR="00D65F9E">
        <w:t xml:space="preserve">75(1), and any non-statutory State process, to </w:t>
      </w:r>
      <w:r w:rsidR="00B21C65">
        <w:t>“</w:t>
      </w:r>
      <w:r w:rsidR="00D65F9E">
        <w:t>displace</w:t>
      </w:r>
      <w:r w:rsidR="00B21C65">
        <w:t>”</w:t>
      </w:r>
      <w:r w:rsidR="00D65F9E">
        <w:t xml:space="preserve"> Pt</w:t>
      </w:r>
      <w:r w:rsidR="00B2359F">
        <w:t> </w:t>
      </w:r>
      <w:r w:rsidR="00D65F9E">
        <w:t xml:space="preserve">8 and </w:t>
      </w:r>
      <w:r w:rsidR="00B21C65">
        <w:t>Pt</w:t>
      </w:r>
      <w:r w:rsidR="00B2359F">
        <w:t> </w:t>
      </w:r>
      <w:r w:rsidR="00D65F9E">
        <w:t>9 of the EPBC Act.</w:t>
      </w:r>
    </w:p>
    <w:p w14:paraId="595917ED" w14:textId="76054A96" w:rsidR="00DD3F71" w:rsidRDefault="00DD3F71" w:rsidP="00DD3F71">
      <w:pPr>
        <w:pStyle w:val="ParaNumbering"/>
      </w:pPr>
      <w:r>
        <w:t xml:space="preserve">The applicant </w:t>
      </w:r>
      <w:r w:rsidR="0012115E">
        <w:t xml:space="preserve">relied </w:t>
      </w:r>
      <w:r>
        <w:t>on s</w:t>
      </w:r>
      <w:r w:rsidR="00B2359F">
        <w:t> </w:t>
      </w:r>
      <w:r>
        <w:t>5(1)(f) of the ADJR Act</w:t>
      </w:r>
      <w:r w:rsidR="002E5AB8">
        <w:t xml:space="preserve"> to identify the purported error of law</w:t>
      </w:r>
      <w:r>
        <w:t xml:space="preserve">, and </w:t>
      </w:r>
      <w:r w:rsidR="00D97D18">
        <w:t xml:space="preserve">on </w:t>
      </w:r>
      <w:r>
        <w:t xml:space="preserve">the observations of </w:t>
      </w:r>
      <w:proofErr w:type="spellStart"/>
      <w:r>
        <w:t>Kiefel</w:t>
      </w:r>
      <w:proofErr w:type="spellEnd"/>
      <w:r>
        <w:t xml:space="preserve"> J (as her Honour then was) in </w:t>
      </w:r>
      <w:r w:rsidRPr="005D03AB">
        <w:rPr>
          <w:i/>
        </w:rPr>
        <w:t xml:space="preserve">Queensland Conservation Council </w:t>
      </w:r>
      <w:proofErr w:type="spellStart"/>
      <w:r w:rsidRPr="005D03AB">
        <w:rPr>
          <w:i/>
        </w:rPr>
        <w:t>Inc</w:t>
      </w:r>
      <w:proofErr w:type="spellEnd"/>
      <w:r w:rsidRPr="005D03AB">
        <w:rPr>
          <w:i/>
        </w:rPr>
        <w:t xml:space="preserve"> v Minister for the Environment and Heritage</w:t>
      </w:r>
      <w:r w:rsidRPr="005D03AB">
        <w:t xml:space="preserve"> [2003] FCA 1463</w:t>
      </w:r>
      <w:r w:rsidR="006E266D">
        <w:t xml:space="preserve"> (which is known as the </w:t>
      </w:r>
      <w:r w:rsidR="006E266D" w:rsidRPr="00AB08CF">
        <w:rPr>
          <w:i/>
        </w:rPr>
        <w:t xml:space="preserve">Nathan Dam </w:t>
      </w:r>
      <w:r w:rsidR="006E266D" w:rsidRPr="0057621C">
        <w:t>case)</w:t>
      </w:r>
      <w:r>
        <w:t xml:space="preserve"> at [24], to the effect that an impugned decision could</w:t>
      </w:r>
      <w:r w:rsidR="00B21C65">
        <w:t>:</w:t>
      </w:r>
    </w:p>
    <w:p w14:paraId="2AC9A10F" w14:textId="5A53FFFC" w:rsidR="00AA6C8F" w:rsidRDefault="00B2359F" w:rsidP="002E5AB8">
      <w:pPr>
        <w:pStyle w:val="Quote1"/>
      </w:pPr>
      <w:r>
        <w:t>…</w:t>
      </w:r>
      <w:r w:rsidR="00616393">
        <w:t xml:space="preserve"> </w:t>
      </w:r>
      <w:r w:rsidR="00DD3F71" w:rsidRPr="00DD3F71">
        <w:t>be said to have involved an error of law (s</w:t>
      </w:r>
      <w:r w:rsidR="000D75D4">
        <w:t> </w:t>
      </w:r>
      <w:r w:rsidR="00DD3F71" w:rsidRPr="00DD3F71">
        <w:t xml:space="preserve">5(1)(f)) because it was based upon an erroneous </w:t>
      </w:r>
      <w:r w:rsidR="002E5AB8">
        <w:t>view of the Act’s requirements.</w:t>
      </w:r>
    </w:p>
    <w:p w14:paraId="5342155A" w14:textId="77777777" w:rsidR="00E54514" w:rsidRDefault="00E54514" w:rsidP="00E54514">
      <w:pPr>
        <w:pStyle w:val="Heading2"/>
      </w:pPr>
      <w:r>
        <w:t>Ground 2</w:t>
      </w:r>
    </w:p>
    <w:p w14:paraId="2939EEEB" w14:textId="743AC75A" w:rsidR="00E54514" w:rsidRDefault="00E54514" w:rsidP="00E54514">
      <w:pPr>
        <w:pStyle w:val="ParaNumbering"/>
      </w:pPr>
      <w:r>
        <w:t xml:space="preserve">The </w:t>
      </w:r>
      <w:r w:rsidR="00B21C65">
        <w:t>applicant</w:t>
      </w:r>
      <w:r>
        <w:t xml:space="preserve"> </w:t>
      </w:r>
      <w:r w:rsidR="0012115E">
        <w:t xml:space="preserve">contended </w:t>
      </w:r>
      <w:r>
        <w:t xml:space="preserve">that once Wild Drake had proposed to adopt the mitigation and avoidance measures set out in </w:t>
      </w:r>
      <w:r w:rsidR="0012115E">
        <w:t xml:space="preserve">the </w:t>
      </w:r>
      <w:r w:rsidR="00195E07">
        <w:t>PMEMP</w:t>
      </w:r>
      <w:r>
        <w:t xml:space="preserve">, which </w:t>
      </w:r>
      <w:r w:rsidR="00626B72">
        <w:t>recorded measures identified</w:t>
      </w:r>
      <w:r>
        <w:t xml:space="preserve"> as part of the RAA process, this should have led the delegate to consider whether it was because the proposed action was going to be undertaken “in a particular manner” that it would not have any significant impacts</w:t>
      </w:r>
      <w:r w:rsidR="000F08F9">
        <w:t>, or likely significant impacts,</w:t>
      </w:r>
      <w:r>
        <w:t xml:space="preserve"> on the three matters of </w:t>
      </w:r>
      <w:r w:rsidR="000D75D4">
        <w:t>national environmental significance</w:t>
      </w:r>
      <w:r>
        <w:t xml:space="preserve">. In turn, the applicant </w:t>
      </w:r>
      <w:r w:rsidR="0012115E">
        <w:t xml:space="preserve">contended </w:t>
      </w:r>
      <w:r>
        <w:t>this meant the delegate should have considered whether the terms of s</w:t>
      </w:r>
      <w:r w:rsidR="00A25BD4">
        <w:t> </w:t>
      </w:r>
      <w:r>
        <w:t>77A applied.</w:t>
      </w:r>
    </w:p>
    <w:p w14:paraId="4DB45F24" w14:textId="62E11B7A" w:rsidR="00673F2A" w:rsidRDefault="00673F2A" w:rsidP="00673F2A">
      <w:pPr>
        <w:pStyle w:val="Heading2"/>
      </w:pPr>
      <w:r>
        <w:lastRenderedPageBreak/>
        <w:t>Ground</w:t>
      </w:r>
      <w:r w:rsidR="00E54514">
        <w:t xml:space="preserve"> 3</w:t>
      </w:r>
      <w:r>
        <w:t xml:space="preserve"> </w:t>
      </w:r>
    </w:p>
    <w:p w14:paraId="5CFC3F77" w14:textId="3E9F8E5E" w:rsidR="00673F2A" w:rsidRDefault="00673F2A" w:rsidP="007C5A83">
      <w:pPr>
        <w:pStyle w:val="ParaNumbering"/>
      </w:pPr>
      <w:r>
        <w:t>This</w:t>
      </w:r>
      <w:r w:rsidR="00E54514">
        <w:t xml:space="preserve"> ground</w:t>
      </w:r>
      <w:r>
        <w:t xml:space="preserve"> has a similar</w:t>
      </w:r>
      <w:r w:rsidR="00E54514">
        <w:t xml:space="preserve"> premise to ground 2</w:t>
      </w:r>
      <w:r>
        <w:t>: a failure</w:t>
      </w:r>
      <w:r w:rsidR="00456945">
        <w:t xml:space="preserve"> by the delegate</w:t>
      </w:r>
      <w:r>
        <w:t xml:space="preserve"> to consider other aspects of the decision</w:t>
      </w:r>
      <w:r w:rsidR="00A25BD4">
        <w:t>-</w:t>
      </w:r>
      <w:r>
        <w:t>making process set out in Pt</w:t>
      </w:r>
      <w:r w:rsidR="000D75D4">
        <w:t> </w:t>
      </w:r>
      <w:r>
        <w:t>7 before making a decision under s</w:t>
      </w:r>
      <w:r w:rsidR="000D75D4">
        <w:t> </w:t>
      </w:r>
      <w:r>
        <w:t>75(1). Ground</w:t>
      </w:r>
      <w:r w:rsidR="000D75D4">
        <w:t> </w:t>
      </w:r>
      <w:r w:rsidR="00E309C6">
        <w:t>3</w:t>
      </w:r>
      <w:r>
        <w:t xml:space="preserve"> concerns the operation of s</w:t>
      </w:r>
      <w:r w:rsidR="000D75D4">
        <w:t> </w:t>
      </w:r>
      <w:r>
        <w:t>74A. That section provides:</w:t>
      </w:r>
    </w:p>
    <w:p w14:paraId="7A216918" w14:textId="13059EA2" w:rsidR="00A25BD4" w:rsidRDefault="00A25BD4" w:rsidP="00A25BD4">
      <w:pPr>
        <w:pStyle w:val="Quote1"/>
        <w:ind w:left="1440" w:hanging="703"/>
      </w:pPr>
      <w:r w:rsidRPr="00A25BD4">
        <w:rPr>
          <w:b/>
        </w:rPr>
        <w:t>74A</w:t>
      </w:r>
      <w:r w:rsidRPr="00A25BD4">
        <w:rPr>
          <w:b/>
        </w:rPr>
        <w:tab/>
        <w:t>Minister may request referral of a larger action</w:t>
      </w:r>
    </w:p>
    <w:p w14:paraId="4CC155E5" w14:textId="512C66CB" w:rsidR="00A25BD4" w:rsidRDefault="00A25BD4" w:rsidP="00A25BD4">
      <w:pPr>
        <w:pStyle w:val="Quote1"/>
        <w:ind w:left="1440" w:hanging="703"/>
      </w:pPr>
      <w:r>
        <w:t>(1)</w:t>
      </w:r>
      <w:r>
        <w:tab/>
        <w:t>If the Minister receives a referral in relation to a proposal to take an action by a person, and the Minister is satisfied the action that is the subject of the referral is a component of a larger action the person proposes to take, the Minister may decide to not accept the referral.</w:t>
      </w:r>
    </w:p>
    <w:p w14:paraId="6641DF06" w14:textId="4AC6FE9C" w:rsidR="00A25BD4" w:rsidRDefault="00A25BD4" w:rsidP="00A25BD4">
      <w:pPr>
        <w:pStyle w:val="Quote1"/>
        <w:ind w:left="1440" w:hanging="703"/>
      </w:pPr>
      <w:r>
        <w:t>(2)</w:t>
      </w:r>
      <w:r>
        <w:tab/>
        <w:t>If the Minister decides to not accept a referral under subsection (1), the Minister:</w:t>
      </w:r>
    </w:p>
    <w:p w14:paraId="49EC7A30" w14:textId="71A6E75D" w:rsidR="00A25BD4" w:rsidRDefault="00A25BD4" w:rsidP="001C0256">
      <w:pPr>
        <w:pStyle w:val="Quote2"/>
        <w:ind w:left="2160" w:hanging="720"/>
      </w:pPr>
      <w:r>
        <w:t>(a)</w:t>
      </w:r>
      <w:r>
        <w:tab/>
        <w:t>must give written notice of the decision to the person who referred the proposal to the Minister; and</w:t>
      </w:r>
    </w:p>
    <w:p w14:paraId="14CD1B4B" w14:textId="0C0D77CA" w:rsidR="00A25BD4" w:rsidRDefault="00A25BD4" w:rsidP="001C0256">
      <w:pPr>
        <w:pStyle w:val="Quote2"/>
        <w:ind w:left="2160" w:hanging="720"/>
      </w:pPr>
      <w:r>
        <w:t>(b)</w:t>
      </w:r>
      <w:r>
        <w:tab/>
        <w:t>must give written notice of the decision to the person who is proposing to take the action that was the subject of the referral; and</w:t>
      </w:r>
    </w:p>
    <w:p w14:paraId="6620BD23" w14:textId="39F7963B" w:rsidR="00A25BD4" w:rsidRDefault="00A25BD4" w:rsidP="001C0256">
      <w:pPr>
        <w:pStyle w:val="Quote2"/>
        <w:ind w:left="2160" w:hanging="720"/>
      </w:pPr>
      <w:r>
        <w:t>(c)</w:t>
      </w:r>
      <w:r>
        <w:tab/>
        <w:t>may, under section 70, request of the person proposing to take the action that was the subject of the referral, that they refer the proposal, to take the larger action, to the Minister.</w:t>
      </w:r>
    </w:p>
    <w:p w14:paraId="02538A4B" w14:textId="135B8FBD" w:rsidR="00A25BD4" w:rsidRDefault="00A25BD4" w:rsidP="001C0256">
      <w:pPr>
        <w:pStyle w:val="Quote1"/>
        <w:ind w:left="1440" w:hanging="703"/>
      </w:pPr>
      <w:r>
        <w:t>(3)</w:t>
      </w:r>
      <w:r>
        <w:tab/>
        <w:t>To avoid doubt, sections 73 and 74 do not apply to a referral that has not been accepted in accordance with subsection (1).</w:t>
      </w:r>
    </w:p>
    <w:p w14:paraId="73E07850" w14:textId="22F73120" w:rsidR="00A25BD4" w:rsidRDefault="00A25BD4" w:rsidP="001C0256">
      <w:pPr>
        <w:pStyle w:val="Quote1"/>
        <w:ind w:left="1440" w:hanging="703"/>
      </w:pPr>
      <w:r>
        <w:t>(4)</w:t>
      </w:r>
      <w:r>
        <w:tab/>
        <w:t>If the Minister decides to accept a referral under subsection (1), the Minister must, at the time of making a decision under section 75:</w:t>
      </w:r>
    </w:p>
    <w:p w14:paraId="64AEC21A" w14:textId="748E0A03" w:rsidR="00A25BD4" w:rsidRDefault="00A25BD4" w:rsidP="00A25BD4">
      <w:pPr>
        <w:pStyle w:val="Quote2"/>
        <w:ind w:left="2160" w:hanging="720"/>
      </w:pPr>
      <w:r>
        <w:t>(a)</w:t>
      </w:r>
      <w:r>
        <w:tab/>
        <w:t>give written notice of the decision to the person who referred the proposal to the Minister;</w:t>
      </w:r>
    </w:p>
    <w:p w14:paraId="230521C4" w14:textId="7CCC840F" w:rsidR="00AC36D9" w:rsidRDefault="00AC36D9" w:rsidP="00A25BD4">
      <w:pPr>
        <w:pStyle w:val="Quote2"/>
        <w:ind w:left="2160" w:hanging="720"/>
      </w:pPr>
      <w:r>
        <w:t>(b)</w:t>
      </w:r>
      <w:r>
        <w:tab/>
        <w:t xml:space="preserve">publish in accordance with the regulations (if any), a copy or summary of the decision. </w:t>
      </w:r>
    </w:p>
    <w:p w14:paraId="4ED88D2A" w14:textId="365DE1D4" w:rsidR="00673F2A" w:rsidRDefault="00AC36D9" w:rsidP="007C5A83">
      <w:pPr>
        <w:pStyle w:val="ParaNumbering"/>
      </w:pPr>
      <w:r>
        <w:t>The factual basis for this argument lies in how the likely impacts of the “second stage” of the proposed action ought, on the applicant’s argument, to have been factored into the delegate’s decision.</w:t>
      </w:r>
    </w:p>
    <w:p w14:paraId="50C16977" w14:textId="337965C5" w:rsidR="00E54514" w:rsidRDefault="00E54514" w:rsidP="00E54514">
      <w:pPr>
        <w:pStyle w:val="Heading2"/>
      </w:pPr>
      <w:r>
        <w:t>Relief</w:t>
      </w:r>
    </w:p>
    <w:p w14:paraId="4714FAA4" w14:textId="234BDB6C" w:rsidR="00E54514" w:rsidRDefault="00E54514" w:rsidP="00E54514">
      <w:pPr>
        <w:pStyle w:val="ParaNumbering"/>
      </w:pPr>
      <w:r>
        <w:t xml:space="preserve">The </w:t>
      </w:r>
      <w:r w:rsidR="00A25BD4">
        <w:t>applicant</w:t>
      </w:r>
      <w:r>
        <w:t xml:space="preserve"> contended that if it succeeded on either of ground 1 or ground 3, the delegate</w:t>
      </w:r>
      <w:r w:rsidR="00E2392D">
        <w:t>’s</w:t>
      </w:r>
      <w:r>
        <w:t xml:space="preserve"> decision should be set aside. If it succeeded on ground 2, it contended the appropriate relief would be that the Minister should be compelled to amend, or re-issue, the s</w:t>
      </w:r>
      <w:r w:rsidR="000D75D4">
        <w:t> </w:t>
      </w:r>
      <w:r>
        <w:t>77 notice.</w:t>
      </w:r>
    </w:p>
    <w:p w14:paraId="157B66DA" w14:textId="00FC7D1C" w:rsidR="00AA6C8F" w:rsidRDefault="00AA6C8F" w:rsidP="00B27CAB">
      <w:pPr>
        <w:pStyle w:val="Heading1"/>
      </w:pPr>
      <w:r>
        <w:lastRenderedPageBreak/>
        <w:t>The Min</w:t>
      </w:r>
      <w:r w:rsidR="008B2A6D">
        <w:t>i</w:t>
      </w:r>
      <w:r>
        <w:t>ster’s response in summary</w:t>
      </w:r>
    </w:p>
    <w:p w14:paraId="5D68F482" w14:textId="77777777" w:rsidR="00E2392D" w:rsidRDefault="00E2392D" w:rsidP="00427C99">
      <w:pPr>
        <w:pStyle w:val="Heading2"/>
      </w:pPr>
      <w:r>
        <w:t>Ground 1</w:t>
      </w:r>
    </w:p>
    <w:p w14:paraId="1D0F92CF" w14:textId="7D870CC0" w:rsidR="00427C99" w:rsidRDefault="00E2392D" w:rsidP="008D4833">
      <w:pPr>
        <w:pStyle w:val="ParaNumbering"/>
      </w:pPr>
      <w:r>
        <w:t xml:space="preserve">The Minister’s answer to this </w:t>
      </w:r>
      <w:r w:rsidR="00427C99">
        <w:t>ground</w:t>
      </w:r>
      <w:r>
        <w:t xml:space="preserve"> </w:t>
      </w:r>
      <w:r w:rsidR="00BB7710">
        <w:t xml:space="preserve">was </w:t>
      </w:r>
      <w:r>
        <w:t xml:space="preserve">essentially the one given on behalf of the Minister to the Full Court in </w:t>
      </w:r>
      <w:r w:rsidR="008D4833" w:rsidRPr="005D03AB">
        <w:rPr>
          <w:i/>
        </w:rPr>
        <w:t xml:space="preserve">Triabunna Investments Pty Ltd v Minister for Environment and Energy </w:t>
      </w:r>
      <w:r w:rsidR="008D4833" w:rsidRPr="005D03AB">
        <w:t>[2019] FCAFC 60</w:t>
      </w:r>
      <w:r>
        <w:t>. That is</w:t>
      </w:r>
      <w:r w:rsidR="00427C99">
        <w:t>, in a decision under s</w:t>
      </w:r>
      <w:r w:rsidR="000D75D4">
        <w:t> </w:t>
      </w:r>
      <w:r w:rsidR="00427C99">
        <w:t>75(1), and as part of discharging the task of evaluating the adverse impacts of a proposed action, the delegate was entitled to look at any mitigation or avoidance measures proposed by Wild Drake, as those measures were described in the information before the delegate. If those measures affect</w:t>
      </w:r>
      <w:r w:rsidR="00532DFB">
        <w:t>ed</w:t>
      </w:r>
      <w:r w:rsidR="00427C99">
        <w:t xml:space="preserve"> any adverse impacts of the proposed action or their likely occurrence, and their extent, then the delegate was entitled to rely on those measures to decide the proposed action was not a controlled action. The Minister contended:</w:t>
      </w:r>
    </w:p>
    <w:p w14:paraId="7602A729" w14:textId="09CB668E" w:rsidR="00E2392D" w:rsidRDefault="00427C99" w:rsidP="001C0256">
      <w:pPr>
        <w:pStyle w:val="Quote1"/>
      </w:pPr>
      <w:r w:rsidRPr="00427C99">
        <w:t xml:space="preserve">There is nothing in the text of s 75(1) of the EPBC Act that requires the Minister </w:t>
      </w:r>
      <w:r w:rsidRPr="0057621C">
        <w:rPr>
          <w:u w:val="single"/>
        </w:rPr>
        <w:t>not</w:t>
      </w:r>
      <w:r w:rsidRPr="00427C99">
        <w:t xml:space="preserve"> to consider such measures, nor does such a negative stipulation arise as a matter of necessary implication.</w:t>
      </w:r>
    </w:p>
    <w:p w14:paraId="5B2A19EB" w14:textId="52EEF8C8" w:rsidR="00847400" w:rsidRPr="00427C99" w:rsidRDefault="00847400" w:rsidP="001C0256">
      <w:pPr>
        <w:pStyle w:val="Quote1"/>
      </w:pPr>
      <w:r>
        <w:t>(Original emphasis.)</w:t>
      </w:r>
    </w:p>
    <w:p w14:paraId="57F3DCAA" w14:textId="77777777" w:rsidR="00885331" w:rsidRDefault="00885331" w:rsidP="00885331">
      <w:pPr>
        <w:pStyle w:val="Heading2"/>
      </w:pPr>
      <w:r>
        <w:t>Ground 2</w:t>
      </w:r>
    </w:p>
    <w:p w14:paraId="57584C49" w14:textId="008295B5" w:rsidR="00331C0E" w:rsidRDefault="00331C0E" w:rsidP="00331C0E">
      <w:pPr>
        <w:pStyle w:val="ParaNumbering"/>
      </w:pPr>
      <w:r>
        <w:t>In answer to this ground, the M</w:t>
      </w:r>
      <w:r w:rsidR="008D4833">
        <w:t>inister</w:t>
      </w:r>
      <w:r>
        <w:t xml:space="preserve"> </w:t>
      </w:r>
      <w:r w:rsidR="00155359">
        <w:t>submitted</w:t>
      </w:r>
      <w:r>
        <w:t>, as the M</w:t>
      </w:r>
      <w:r w:rsidR="008D4833">
        <w:t>inister</w:t>
      </w:r>
      <w:r>
        <w:t xml:space="preserve"> did in </w:t>
      </w:r>
      <w:r w:rsidRPr="001C0256">
        <w:rPr>
          <w:i/>
        </w:rPr>
        <w:t>Triabunna</w:t>
      </w:r>
      <w:r>
        <w:t>, that measures put forward as mitigation or avoidance measures can be considered as forming part of the “action” and therefore the s</w:t>
      </w:r>
      <w:r w:rsidR="000D75D4">
        <w:t> </w:t>
      </w:r>
      <w:r>
        <w:t>77A(1) obligation is not enlivened. The M</w:t>
      </w:r>
      <w:r w:rsidR="00884802">
        <w:t>inister</w:t>
      </w:r>
      <w:r>
        <w:t xml:space="preserve"> then </w:t>
      </w:r>
      <w:r w:rsidR="00155359">
        <w:t xml:space="preserve">submitted </w:t>
      </w:r>
      <w:r w:rsidR="00F80D05">
        <w:t>further or alternatively</w:t>
      </w:r>
      <w:r>
        <w:t xml:space="preserve"> that </w:t>
      </w:r>
      <w:r w:rsidR="006951C7">
        <w:t xml:space="preserve">the obligation was not enlivened because </w:t>
      </w:r>
      <w:r>
        <w:t xml:space="preserve">there were, in fact, no component decisions </w:t>
      </w:r>
      <w:r w:rsidR="0036739F">
        <w:t xml:space="preserve">made </w:t>
      </w:r>
      <w:r>
        <w:t>in this case.</w:t>
      </w:r>
    </w:p>
    <w:p w14:paraId="63C7C331" w14:textId="24C17E20" w:rsidR="00885331" w:rsidRDefault="00885331" w:rsidP="00331C0E">
      <w:pPr>
        <w:pStyle w:val="Heading2"/>
      </w:pPr>
      <w:r>
        <w:t>Ground 3</w:t>
      </w:r>
    </w:p>
    <w:p w14:paraId="3A256C72" w14:textId="1D8C96AD" w:rsidR="00AA6C8F" w:rsidRDefault="00331C0E" w:rsidP="00331C0E">
      <w:pPr>
        <w:pStyle w:val="ParaNumbering"/>
      </w:pPr>
      <w:r>
        <w:t>The short answer the M</w:t>
      </w:r>
      <w:r w:rsidR="00884802">
        <w:t>inister</w:t>
      </w:r>
      <w:r>
        <w:t xml:space="preserve"> </w:t>
      </w:r>
      <w:r w:rsidR="00155359">
        <w:t xml:space="preserve">gave </w:t>
      </w:r>
      <w:r>
        <w:t xml:space="preserve">to ground 3 </w:t>
      </w:r>
      <w:r w:rsidR="00155359">
        <w:t xml:space="preserve">was </w:t>
      </w:r>
      <w:r>
        <w:t>that s</w:t>
      </w:r>
      <w:r w:rsidR="000D75D4">
        <w:t> </w:t>
      </w:r>
      <w:r>
        <w:t>74A(1) does not impose any duty to consider whether to exercise the power conferred by that section. In addition, the M</w:t>
      </w:r>
      <w:r w:rsidR="00884802">
        <w:t>inister</w:t>
      </w:r>
      <w:r>
        <w:t xml:space="preserve"> </w:t>
      </w:r>
      <w:r w:rsidR="00155359">
        <w:t xml:space="preserve">submitted </w:t>
      </w:r>
      <w:r>
        <w:t xml:space="preserve">that on the evidence before the Court, the Court should not infer the delegate failed to consider whether the proposed action was part of a larger </w:t>
      </w:r>
      <w:r w:rsidR="00884802">
        <w:t xml:space="preserve">action </w:t>
      </w:r>
      <w:r>
        <w:t>and</w:t>
      </w:r>
      <w:r w:rsidR="005F5221">
        <w:t xml:space="preserve"> that</w:t>
      </w:r>
      <w:r>
        <w:t xml:space="preserve"> s</w:t>
      </w:r>
      <w:r w:rsidR="000D75D4">
        <w:t> </w:t>
      </w:r>
      <w:r>
        <w:t xml:space="preserve">74A was engaged. </w:t>
      </w:r>
    </w:p>
    <w:p w14:paraId="5EB08F64" w14:textId="0EFEF48F" w:rsidR="00331C0E" w:rsidRDefault="00331C0E" w:rsidP="00331C0E">
      <w:pPr>
        <w:pStyle w:val="Heading1"/>
      </w:pPr>
      <w:r>
        <w:t xml:space="preserve">The parties’ </w:t>
      </w:r>
      <w:r w:rsidRPr="00EA7668">
        <w:rPr>
          <w:i/>
        </w:rPr>
        <w:t>Triabunna</w:t>
      </w:r>
      <w:r>
        <w:t xml:space="preserve"> submissions</w:t>
      </w:r>
    </w:p>
    <w:p w14:paraId="7AF33AB4" w14:textId="045D9DAF" w:rsidR="00503C2A" w:rsidRPr="00503C2A" w:rsidRDefault="00503C2A" w:rsidP="00503C2A">
      <w:pPr>
        <w:pStyle w:val="ParaNumbering"/>
      </w:pPr>
      <w:r>
        <w:t>W</w:t>
      </w:r>
      <w:r w:rsidRPr="00503C2A">
        <w:t xml:space="preserve">hen this matter </w:t>
      </w:r>
      <w:r>
        <w:t>w</w:t>
      </w:r>
      <w:r w:rsidRPr="00503C2A">
        <w:t>as argued, a Full Court of this Court was reserved on</w:t>
      </w:r>
      <w:r w:rsidR="009B528D">
        <w:t xml:space="preserve"> </w:t>
      </w:r>
      <w:r w:rsidR="009B528D">
        <w:rPr>
          <w:i/>
        </w:rPr>
        <w:t>Triabunna</w:t>
      </w:r>
      <w:r w:rsidR="009B528D">
        <w:t xml:space="preserve">, </w:t>
      </w:r>
      <w:r w:rsidRPr="00503C2A">
        <w:t>a decision of some relevance to the issue</w:t>
      </w:r>
      <w:r>
        <w:t>s</w:t>
      </w:r>
      <w:r w:rsidRPr="00503C2A">
        <w:t xml:space="preserve"> in this proceeding. </w:t>
      </w:r>
      <w:r w:rsidR="00266C20">
        <w:t xml:space="preserve">At the conclusion of the hearing </w:t>
      </w:r>
      <w:r w:rsidR="00A103CC">
        <w:t>the Court</w:t>
      </w:r>
      <w:r w:rsidR="00C45626">
        <w:t xml:space="preserve"> proposed, and the parties accepted</w:t>
      </w:r>
      <w:r w:rsidRPr="00503C2A">
        <w:t>, that it was appropriate</w:t>
      </w:r>
      <w:r w:rsidR="00266C20">
        <w:t>,</w:t>
      </w:r>
      <w:r w:rsidRPr="00503C2A">
        <w:t xml:space="preserve"> </w:t>
      </w:r>
      <w:r>
        <w:t>first, for no decision to be made in this proceeding until the Full Court’s decision was handed down, and second</w:t>
      </w:r>
      <w:r w:rsidR="006D7303">
        <w:t>,</w:t>
      </w:r>
      <w:r>
        <w:t xml:space="preserve"> that </w:t>
      </w:r>
      <w:r w:rsidRPr="00503C2A">
        <w:t xml:space="preserve">the parties </w:t>
      </w:r>
      <w:r>
        <w:t>should</w:t>
      </w:r>
      <w:r w:rsidRPr="00503C2A">
        <w:t xml:space="preserve"> have an opportunity </w:t>
      </w:r>
      <w:r w:rsidR="006D7303">
        <w:t xml:space="preserve">to </w:t>
      </w:r>
      <w:r w:rsidRPr="00503C2A">
        <w:t xml:space="preserve">make </w:t>
      </w:r>
      <w:r w:rsidR="00C00450">
        <w:t>supplementary</w:t>
      </w:r>
      <w:r w:rsidR="00C00450" w:rsidRPr="00503C2A">
        <w:t xml:space="preserve"> </w:t>
      </w:r>
      <w:r w:rsidRPr="00503C2A">
        <w:t xml:space="preserve">submissions on the application of that decision to the grounds of review in this proceeding. The Full Court’s decision in </w:t>
      </w:r>
      <w:r w:rsidRPr="00503C2A">
        <w:rPr>
          <w:i/>
        </w:rPr>
        <w:t xml:space="preserve">Triabunna </w:t>
      </w:r>
      <w:r w:rsidRPr="00503C2A">
        <w:lastRenderedPageBreak/>
        <w:t xml:space="preserve">was handed down on </w:t>
      </w:r>
      <w:r w:rsidR="00884802">
        <w:t>15 April 2019</w:t>
      </w:r>
      <w:r w:rsidRPr="00503C2A">
        <w:t xml:space="preserve">, and the parties subsequently filed </w:t>
      </w:r>
      <w:r w:rsidR="00155359">
        <w:t xml:space="preserve">supplementary </w:t>
      </w:r>
      <w:r w:rsidR="00603243">
        <w:t xml:space="preserve">written </w:t>
      </w:r>
      <w:r w:rsidRPr="00503C2A">
        <w:t>submissions in accordance with orders made by the Court. Where appropriate, I deal with the parties</w:t>
      </w:r>
      <w:r>
        <w:t>’</w:t>
      </w:r>
      <w:r w:rsidRPr="00503C2A">
        <w:t xml:space="preserve"> </w:t>
      </w:r>
      <w:r w:rsidR="00C81663">
        <w:t xml:space="preserve">supplementary </w:t>
      </w:r>
      <w:r w:rsidRPr="00503C2A">
        <w:t xml:space="preserve">submissions, and the </w:t>
      </w:r>
      <w:r w:rsidRPr="009B528D">
        <w:rPr>
          <w:i/>
        </w:rPr>
        <w:t>Triabunna</w:t>
      </w:r>
      <w:r w:rsidRPr="00503C2A">
        <w:t xml:space="preserve"> decision, in my resolution of each ground of review below.</w:t>
      </w:r>
      <w:r>
        <w:t xml:space="preserve"> I set out here a summary of the parties’ contentions.</w:t>
      </w:r>
    </w:p>
    <w:p w14:paraId="11D3065D" w14:textId="10373E69" w:rsidR="00890915" w:rsidRDefault="00890915" w:rsidP="007C5A83">
      <w:pPr>
        <w:pStyle w:val="ParaNumbering"/>
      </w:pPr>
      <w:r>
        <w:t xml:space="preserve">The </w:t>
      </w:r>
      <w:r w:rsidR="00884802">
        <w:t>applicant</w:t>
      </w:r>
      <w:r>
        <w:t xml:space="preserve"> contended the Full Court’s decision in </w:t>
      </w:r>
      <w:r w:rsidRPr="00503C2A">
        <w:rPr>
          <w:i/>
        </w:rPr>
        <w:t>Triabunna</w:t>
      </w:r>
      <w:r>
        <w:t xml:space="preserve"> supported its submissions on ground 1, although </w:t>
      </w:r>
      <w:r w:rsidR="009B528D">
        <w:t>this case</w:t>
      </w:r>
      <w:r>
        <w:t xml:space="preserve"> </w:t>
      </w:r>
      <w:r w:rsidR="001C4508">
        <w:t xml:space="preserve">is </w:t>
      </w:r>
      <w:r>
        <w:t xml:space="preserve">distinguishable because in </w:t>
      </w:r>
      <w:r w:rsidRPr="00503C2A">
        <w:rPr>
          <w:i/>
        </w:rPr>
        <w:t>Triabunna</w:t>
      </w:r>
      <w:r>
        <w:t xml:space="preserve"> there had been express consideration of s</w:t>
      </w:r>
      <w:r w:rsidR="000D75D4">
        <w:t> </w:t>
      </w:r>
      <w:r>
        <w:t>77A and there was no debate that the decision made was a “component decision”.</w:t>
      </w:r>
      <w:r w:rsidR="002C04F2">
        <w:t xml:space="preserve"> The </w:t>
      </w:r>
      <w:r w:rsidR="00884802">
        <w:t>applicant</w:t>
      </w:r>
      <w:r w:rsidR="002C04F2">
        <w:t xml:space="preserve"> contended </w:t>
      </w:r>
      <w:r w:rsidR="002C04F2" w:rsidRPr="00C77B12">
        <w:t xml:space="preserve">the reasons </w:t>
      </w:r>
      <w:r w:rsidR="002C04F2">
        <w:t xml:space="preserve">of each member of the Full Court accepted that the two concepts of “the action” and the </w:t>
      </w:r>
      <w:r w:rsidR="00841B8A">
        <w:t>“</w:t>
      </w:r>
      <w:r w:rsidR="002C04F2">
        <w:t>manner” in which an action is carried out have “definite legal content”, so that it is not for the executive (through the M</w:t>
      </w:r>
      <w:r w:rsidR="00884802">
        <w:t>inister</w:t>
      </w:r>
      <w:r w:rsidR="002C04F2">
        <w:t xml:space="preserve"> or a delegate) to determine what they mean, or what is included in them, in any given situation</w:t>
      </w:r>
      <w:r w:rsidR="001C4508">
        <w:t xml:space="preserve">. The applicant </w:t>
      </w:r>
      <w:r w:rsidR="002B494A">
        <w:t>submitted</w:t>
      </w:r>
      <w:r w:rsidR="001C4508">
        <w:t xml:space="preserve"> that were the Minister or a delegate</w:t>
      </w:r>
      <w:r w:rsidR="002C04F2">
        <w:t xml:space="preserve"> simply </w:t>
      </w:r>
      <w:r w:rsidR="001C4508">
        <w:t xml:space="preserve">able to </w:t>
      </w:r>
      <w:r w:rsidR="002C04F2">
        <w:t xml:space="preserve">consider all </w:t>
      </w:r>
      <w:r w:rsidR="001C4508">
        <w:t xml:space="preserve">mitigation </w:t>
      </w:r>
      <w:r w:rsidR="002C04F2">
        <w:t xml:space="preserve">and </w:t>
      </w:r>
      <w:r w:rsidR="009B528D">
        <w:t>a</w:t>
      </w:r>
      <w:r w:rsidR="002C04F2">
        <w:t>voidance measures as part of the action</w:t>
      </w:r>
      <w:r w:rsidR="001C4508">
        <w:t>, s 77A “would be undermined”</w:t>
      </w:r>
      <w:r w:rsidR="002C04F2">
        <w:t>.</w:t>
      </w:r>
    </w:p>
    <w:p w14:paraId="52E775E7" w14:textId="4868E1D2" w:rsidR="00890915" w:rsidRDefault="002C04F2" w:rsidP="007C5A83">
      <w:pPr>
        <w:pStyle w:val="ParaNumbering"/>
      </w:pPr>
      <w:r>
        <w:t>In contrast, the M</w:t>
      </w:r>
      <w:r w:rsidR="00884802">
        <w:t>inister</w:t>
      </w:r>
      <w:r>
        <w:t xml:space="preserve"> submitted that the pri</w:t>
      </w:r>
      <w:r w:rsidR="001714F8">
        <w:t>m</w:t>
      </w:r>
      <w:r>
        <w:t xml:space="preserve">ary </w:t>
      </w:r>
      <w:r w:rsidR="001714F8">
        <w:t>significance</w:t>
      </w:r>
      <w:r>
        <w:t xml:space="preserve"> of </w:t>
      </w:r>
      <w:r w:rsidRPr="003B0F09">
        <w:t>the Full Court</w:t>
      </w:r>
      <w:r w:rsidR="00AC69A6">
        <w:t>’s</w:t>
      </w:r>
      <w:r w:rsidRPr="003B0F09">
        <w:t xml:space="preserve"> </w:t>
      </w:r>
      <w:r w:rsidR="001714F8" w:rsidRPr="003B0F09">
        <w:t>decision</w:t>
      </w:r>
      <w:r w:rsidR="003B0F09">
        <w:t xml:space="preserve"> in </w:t>
      </w:r>
      <w:r w:rsidR="00345E25">
        <w:rPr>
          <w:i/>
        </w:rPr>
        <w:t>Triabunna</w:t>
      </w:r>
      <w:r>
        <w:t xml:space="preserve"> for this proceeding </w:t>
      </w:r>
      <w:r w:rsidR="0093376B">
        <w:t xml:space="preserve">is </w:t>
      </w:r>
      <w:r>
        <w:t xml:space="preserve">in </w:t>
      </w:r>
      <w:r w:rsidR="001714F8">
        <w:t>relation</w:t>
      </w:r>
      <w:r>
        <w:t xml:space="preserve"> to ground 2, noting the </w:t>
      </w:r>
      <w:r w:rsidR="00884802">
        <w:t xml:space="preserve">applicant </w:t>
      </w:r>
      <w:r>
        <w:t xml:space="preserve">made no </w:t>
      </w:r>
      <w:r w:rsidR="001714F8">
        <w:t>submissions</w:t>
      </w:r>
      <w:r>
        <w:t xml:space="preserve"> abou</w:t>
      </w:r>
      <w:r w:rsidR="001714F8">
        <w:t>t</w:t>
      </w:r>
      <w:r>
        <w:t xml:space="preserve"> the effect of the decision on ground 2.</w:t>
      </w:r>
      <w:r w:rsidR="001714F8">
        <w:t xml:space="preserve"> In that regard, the M</w:t>
      </w:r>
      <w:r w:rsidR="00884802">
        <w:t>inister</w:t>
      </w:r>
      <w:r w:rsidR="001714F8">
        <w:t xml:space="preserve"> made two principal </w:t>
      </w:r>
      <w:r w:rsidR="00170067">
        <w:t>submissions</w:t>
      </w:r>
      <w:r w:rsidR="001714F8">
        <w:t>.</w:t>
      </w:r>
    </w:p>
    <w:p w14:paraId="37827F42" w14:textId="7993CB27" w:rsidR="001714F8" w:rsidRDefault="001714F8" w:rsidP="00170067">
      <w:pPr>
        <w:pStyle w:val="ParaNumbering"/>
      </w:pPr>
      <w:r>
        <w:t xml:space="preserve">First, </w:t>
      </w:r>
      <w:r w:rsidR="00170067">
        <w:t>the M</w:t>
      </w:r>
      <w:r w:rsidR="006E266D">
        <w:t>inister</w:t>
      </w:r>
      <w:r w:rsidR="00170067">
        <w:t xml:space="preserve"> accepted </w:t>
      </w:r>
      <w:r w:rsidR="002B494A">
        <w:t>s</w:t>
      </w:r>
      <w:r w:rsidR="00170067">
        <w:t>he could no longer press the contention that s</w:t>
      </w:r>
      <w:r w:rsidR="000D75D4">
        <w:t> </w:t>
      </w:r>
      <w:r w:rsidR="00170067">
        <w:t xml:space="preserve">77A does not require specification of any manners that are </w:t>
      </w:r>
      <w:r w:rsidR="006E11FB">
        <w:t>“</w:t>
      </w:r>
      <w:r w:rsidR="00170067">
        <w:t>inherent components of the proposed action</w:t>
      </w:r>
      <w:r w:rsidR="006E11FB">
        <w:t>”</w:t>
      </w:r>
      <w:r w:rsidR="00170067">
        <w:t xml:space="preserve">, and </w:t>
      </w:r>
      <w:r w:rsidR="00CC1BCC">
        <w:t>–</w:t>
      </w:r>
      <w:r w:rsidR="00170067">
        <w:t xml:space="preserve"> properly </w:t>
      </w:r>
      <w:r w:rsidR="00CC1BCC">
        <w:t>–</w:t>
      </w:r>
      <w:r w:rsidR="00170067">
        <w:t xml:space="preserve"> withdrew certain parts of </w:t>
      </w:r>
      <w:r w:rsidR="00CC1BCC">
        <w:t xml:space="preserve">her </w:t>
      </w:r>
      <w:r w:rsidR="00AC6A2B">
        <w:t xml:space="preserve">principal </w:t>
      </w:r>
      <w:r w:rsidR="00170067">
        <w:t>written submissions accordingly.</w:t>
      </w:r>
    </w:p>
    <w:p w14:paraId="4BE415A5" w14:textId="079A280C" w:rsidR="00170067" w:rsidRDefault="00170067" w:rsidP="00C520DC">
      <w:pPr>
        <w:pStyle w:val="ParaNumbering"/>
      </w:pPr>
      <w:r>
        <w:t>Second, the M</w:t>
      </w:r>
      <w:r w:rsidR="006E266D">
        <w:t>inister</w:t>
      </w:r>
      <w:r>
        <w:t xml:space="preserve"> accepted that </w:t>
      </w:r>
      <w:r w:rsidR="00C604E1">
        <w:t>s</w:t>
      </w:r>
      <w:r>
        <w:t xml:space="preserve">he could no longer press an argument that there was, in fact, no </w:t>
      </w:r>
      <w:r w:rsidR="00C65CDD">
        <w:t xml:space="preserve">component </w:t>
      </w:r>
      <w:r>
        <w:t>decision to enliven s</w:t>
      </w:r>
      <w:r w:rsidR="000D75D4">
        <w:t> </w:t>
      </w:r>
      <w:r>
        <w:t xml:space="preserve">77A, and – again properly </w:t>
      </w:r>
      <w:r w:rsidR="00C52BAC">
        <w:t>–</w:t>
      </w:r>
      <w:r>
        <w:t xml:space="preserve"> </w:t>
      </w:r>
      <w:r w:rsidRPr="00170067">
        <w:t xml:space="preserve">withdrew </w:t>
      </w:r>
      <w:r>
        <w:t>other</w:t>
      </w:r>
      <w:r w:rsidRPr="00170067">
        <w:t xml:space="preserve"> parts of </w:t>
      </w:r>
      <w:r w:rsidR="00C52BAC" w:rsidRPr="00170067">
        <w:t>h</w:t>
      </w:r>
      <w:r w:rsidR="00C52BAC">
        <w:t>er principal</w:t>
      </w:r>
      <w:r w:rsidR="00C52BAC" w:rsidRPr="00170067">
        <w:t xml:space="preserve"> </w:t>
      </w:r>
      <w:r w:rsidRPr="00170067">
        <w:t>written submissions accordingly</w:t>
      </w:r>
      <w:r>
        <w:t>.</w:t>
      </w:r>
      <w:r w:rsidR="00C520DC">
        <w:t xml:space="preserve"> The M</w:t>
      </w:r>
      <w:r w:rsidR="006E266D">
        <w:t>inister</w:t>
      </w:r>
      <w:r w:rsidR="00C520DC">
        <w:t xml:space="preserve"> contended that it was still essential to “consider whether any component decision was made and precisely what the terms of that decision were”, so as to identify a correlation between reduction in significant impact and the manners in question</w:t>
      </w:r>
      <w:r w:rsidR="00C52BAC">
        <w:t xml:space="preserve">, </w:t>
      </w:r>
      <w:r w:rsidR="00C520DC">
        <w:t xml:space="preserve">relying on </w:t>
      </w:r>
      <w:r w:rsidR="00C520DC" w:rsidRPr="007B1834">
        <w:rPr>
          <w:i/>
        </w:rPr>
        <w:t>Triabunna</w:t>
      </w:r>
      <w:r w:rsidR="00C520DC">
        <w:t xml:space="preserve"> at [209] and [</w:t>
      </w:r>
      <w:r w:rsidR="00FC4CF7">
        <w:t>228</w:t>
      </w:r>
      <w:r w:rsidR="00C520DC">
        <w:t>].</w:t>
      </w:r>
    </w:p>
    <w:p w14:paraId="43030A3D" w14:textId="171BB994" w:rsidR="00170067" w:rsidRDefault="00170067" w:rsidP="001714F8">
      <w:pPr>
        <w:pStyle w:val="ParaNumbering"/>
      </w:pPr>
      <w:r>
        <w:t>Nevertheless, the M</w:t>
      </w:r>
      <w:r w:rsidR="006E266D">
        <w:t>inister</w:t>
      </w:r>
      <w:r>
        <w:t xml:space="preserve"> maintained that not every part of the delegate’s decision that referred to avoidance or mitigation measures could or should properly be characterised as a component decision. </w:t>
      </w:r>
      <w:r w:rsidR="007B1834">
        <w:t>The M</w:t>
      </w:r>
      <w:r w:rsidR="006E266D">
        <w:t>inister</w:t>
      </w:r>
      <w:r w:rsidR="007B1834">
        <w:t xml:space="preserve"> identified two component decisions in the delegate’s reasons:</w:t>
      </w:r>
    </w:p>
    <w:p w14:paraId="7D22F7C2" w14:textId="77777777" w:rsidR="00923E20" w:rsidRDefault="00974385" w:rsidP="00995F40">
      <w:pPr>
        <w:pStyle w:val="ListNo2"/>
        <w:numPr>
          <w:ilvl w:val="1"/>
          <w:numId w:val="51"/>
        </w:numPr>
      </w:pPr>
      <w:r>
        <w:t xml:space="preserve">one </w:t>
      </w:r>
      <w:r w:rsidR="007B1834">
        <w:t xml:space="preserve">relating to the impact of the proposed action on the threatened ecological community of Alpine </w:t>
      </w:r>
      <w:r w:rsidR="007B1834" w:rsidRPr="00923E20">
        <w:rPr>
          <w:i/>
        </w:rPr>
        <w:t>Sphagnum</w:t>
      </w:r>
      <w:r w:rsidR="007B1834">
        <w:t xml:space="preserve"> Bogs and Associated Fens. The M</w:t>
      </w:r>
      <w:r w:rsidR="006E266D">
        <w:t>inister</w:t>
      </w:r>
      <w:r w:rsidR="007B1834">
        <w:t xml:space="preserve"> now admits </w:t>
      </w:r>
      <w:r w:rsidR="007B1834">
        <w:lastRenderedPageBreak/>
        <w:t xml:space="preserve">that the delegate decided that s 18 and </w:t>
      </w:r>
      <w:r w:rsidR="00EA7668">
        <w:t>s</w:t>
      </w:r>
      <w:r w:rsidR="000D75D4">
        <w:t xml:space="preserve"> </w:t>
      </w:r>
      <w:r w:rsidR="007B1834">
        <w:t xml:space="preserve">18A, and s 12 and </w:t>
      </w:r>
      <w:r w:rsidR="000D75D4">
        <w:t xml:space="preserve">s </w:t>
      </w:r>
      <w:r w:rsidR="007B1834">
        <w:t xml:space="preserve">15A of the EPBC Act were not controlling provisions because </w:t>
      </w:r>
      <w:r w:rsidR="009B528D">
        <w:t xml:space="preserve">the delegate </w:t>
      </w:r>
      <w:r w:rsidR="007B1834">
        <w:t xml:space="preserve">believed that the action would be taken in accordance with </w:t>
      </w:r>
      <w:r w:rsidR="000F3515">
        <w:t xml:space="preserve">the </w:t>
      </w:r>
      <w:r w:rsidR="007B1834">
        <w:t xml:space="preserve">avoidance and mitigation measures set out in the </w:t>
      </w:r>
      <w:r w:rsidR="00195E07">
        <w:t>PMEMP</w:t>
      </w:r>
      <w:r w:rsidR="007B1834">
        <w:t>, and this meant the delegate believed the action would be undertaken in a “particular manner” for the purposes</w:t>
      </w:r>
      <w:r w:rsidR="001D41D6">
        <w:t xml:space="preserve"> of s</w:t>
      </w:r>
      <w:r w:rsidR="000D75D4">
        <w:t> </w:t>
      </w:r>
      <w:r w:rsidR="001D41D6">
        <w:t>77A; and</w:t>
      </w:r>
    </w:p>
    <w:p w14:paraId="222657EA" w14:textId="09C59CF4" w:rsidR="001D41D6" w:rsidRDefault="000F3515" w:rsidP="00995F40">
      <w:pPr>
        <w:pStyle w:val="ListNo2"/>
        <w:numPr>
          <w:ilvl w:val="1"/>
          <w:numId w:val="51"/>
        </w:numPr>
      </w:pPr>
      <w:r>
        <w:t xml:space="preserve">another </w:t>
      </w:r>
      <w:r w:rsidR="007B1834">
        <w:t xml:space="preserve">relating to </w:t>
      </w:r>
      <w:r w:rsidR="001D41D6">
        <w:t xml:space="preserve">the impact of the proposed action on World Heritage natural criteria (viii), (ix) and (x), by reason of the potential contamination of Lake </w:t>
      </w:r>
      <w:proofErr w:type="spellStart"/>
      <w:r w:rsidR="001D41D6">
        <w:t>Malbena</w:t>
      </w:r>
      <w:proofErr w:type="spellEnd"/>
      <w:r w:rsidR="001D41D6">
        <w:t xml:space="preserve"> from construction and</w:t>
      </w:r>
      <w:r w:rsidR="001D41D6" w:rsidRPr="001D41D6">
        <w:t xml:space="preserve"> </w:t>
      </w:r>
      <w:r w:rsidR="001D41D6">
        <w:t>operations of the camp. The M</w:t>
      </w:r>
      <w:r w:rsidR="006E266D">
        <w:t>inister</w:t>
      </w:r>
      <w:r w:rsidR="001D41D6">
        <w:t xml:space="preserve"> now admits that the delegate decided that s 12 and </w:t>
      </w:r>
      <w:r w:rsidR="000D75D4">
        <w:t xml:space="preserve">s </w:t>
      </w:r>
      <w:r w:rsidR="001D41D6">
        <w:t>15A of the EPBC Act were not controlling provisions because he believed the action would be taken in accordance with the avoidance and mitigation measures specified in the Wilderness Characteristics</w:t>
      </w:r>
      <w:r>
        <w:t xml:space="preserve"> –</w:t>
      </w:r>
      <w:r w:rsidR="001D41D6">
        <w:t xml:space="preserve"> Protected Matters Environmental Management Plan, so as to manage greywater, </w:t>
      </w:r>
      <w:r>
        <w:t xml:space="preserve">sewage </w:t>
      </w:r>
      <w:r w:rsidR="001D41D6">
        <w:t>and rubbish. The M</w:t>
      </w:r>
      <w:r w:rsidR="006E266D">
        <w:t>inister</w:t>
      </w:r>
      <w:r w:rsidR="001D41D6">
        <w:t xml:space="preserve"> therefore admits the delegate believed the proposed action would be undertaken in a “particular manner”</w:t>
      </w:r>
      <w:r w:rsidR="00AC66EC">
        <w:t xml:space="preserve"> for the purposes of s 77A</w:t>
      </w:r>
      <w:r w:rsidR="001D41D6">
        <w:t>.</w:t>
      </w:r>
    </w:p>
    <w:p w14:paraId="5C1387F2" w14:textId="39438CBD" w:rsidR="0002768D" w:rsidRDefault="0002768D" w:rsidP="001D41D6">
      <w:pPr>
        <w:pStyle w:val="ParaNumbering"/>
      </w:pPr>
      <w:r>
        <w:t>The M</w:t>
      </w:r>
      <w:r w:rsidR="006E266D">
        <w:t>inister</w:t>
      </w:r>
      <w:r>
        <w:t xml:space="preserve"> did not make the same admissions about the way the delegate had approached any potential impacts on the </w:t>
      </w:r>
      <w:r w:rsidR="003C12A6">
        <w:t xml:space="preserve">Tasmanian </w:t>
      </w:r>
      <w:r w:rsidR="00423A3A">
        <w:t>W</w:t>
      </w:r>
      <w:r w:rsidR="003C12A6">
        <w:t>edge-</w:t>
      </w:r>
      <w:r w:rsidR="004B318A">
        <w:t>tailed eagle</w:t>
      </w:r>
      <w:r>
        <w:t>, or impacts associated with helicopter transport and visual impacts from the standing camp. Nor did the M</w:t>
      </w:r>
      <w:r w:rsidR="006E266D">
        <w:t>inister</w:t>
      </w:r>
      <w:r>
        <w:t xml:space="preserve"> make any similar admissions about what the delegate believed in terms of potential impacts on Indigenous archaeological sites (being TWWHA cultural values (i</w:t>
      </w:r>
      <w:r w:rsidR="00B24DB3">
        <w:t>i</w:t>
      </w:r>
      <w:r>
        <w:t>i), (iv) and (v)) from construction and operation of the camp</w:t>
      </w:r>
      <w:r w:rsidR="009B528D">
        <w:t>.</w:t>
      </w:r>
    </w:p>
    <w:p w14:paraId="733AE513" w14:textId="1277A8F8" w:rsidR="00EE437C" w:rsidRDefault="00EE437C" w:rsidP="003848BC">
      <w:pPr>
        <w:pStyle w:val="ParaNumbering"/>
      </w:pPr>
      <w:r>
        <w:t>The M</w:t>
      </w:r>
      <w:r w:rsidR="006E266D">
        <w:t>inister</w:t>
      </w:r>
      <w:r>
        <w:t xml:space="preserve"> disagreed with the </w:t>
      </w:r>
      <w:r w:rsidR="006E266D">
        <w:t>applicant</w:t>
      </w:r>
      <w:r>
        <w:t xml:space="preserve">’s emphasis on the effect of </w:t>
      </w:r>
      <w:r w:rsidRPr="00503C2A">
        <w:rPr>
          <w:i/>
        </w:rPr>
        <w:t>Triabunna</w:t>
      </w:r>
      <w:r w:rsidR="003848BC">
        <w:t xml:space="preserve"> on ground 1, save to accept that because of the admissions the M</w:t>
      </w:r>
      <w:r w:rsidR="006E266D">
        <w:t>inister</w:t>
      </w:r>
      <w:r w:rsidR="003848BC">
        <w:t xml:space="preserve"> now makes, the delegate made one or more “component decisions”, </w:t>
      </w:r>
      <w:r w:rsidR="009B10AA">
        <w:t xml:space="preserve">and that </w:t>
      </w:r>
      <w:r w:rsidR="003848BC">
        <w:t>“then the obligation in s</w:t>
      </w:r>
      <w:r w:rsidR="000D75D4">
        <w:t> </w:t>
      </w:r>
      <w:r w:rsidR="003848BC">
        <w:t>77A(1) arose and was not satisfied”.</w:t>
      </w:r>
    </w:p>
    <w:p w14:paraId="0290B698" w14:textId="5137A475" w:rsidR="001714F8" w:rsidRDefault="001714F8" w:rsidP="00AB08CF">
      <w:pPr>
        <w:pStyle w:val="ParaNumbering"/>
      </w:pPr>
      <w:r>
        <w:t>The M</w:t>
      </w:r>
      <w:r w:rsidR="006E266D">
        <w:t>inister</w:t>
      </w:r>
      <w:r>
        <w:t xml:space="preserve"> also recognised that the Full Court’s decision confirmed what the M</w:t>
      </w:r>
      <w:r w:rsidR="006E266D">
        <w:t>inister</w:t>
      </w:r>
      <w:r>
        <w:t xml:space="preserve"> submitted was common ground between the parties: namely that where a component decision has been made, but the decision </w:t>
      </w:r>
      <w:r w:rsidR="005D4447">
        <w:t xml:space="preserve">has </w:t>
      </w:r>
      <w:r>
        <w:t>not</w:t>
      </w:r>
      <w:r w:rsidR="005D4447">
        <w:t xml:space="preserve"> been</w:t>
      </w:r>
      <w:r>
        <w:t xml:space="preserve"> lawfully reflected in the s</w:t>
      </w:r>
      <w:r w:rsidR="000D75D4">
        <w:t> </w:t>
      </w:r>
      <w:r>
        <w:t xml:space="preserve">77 notice, the appropriate </w:t>
      </w:r>
      <w:r w:rsidR="008C51E2">
        <w:t xml:space="preserve">relief </w:t>
      </w:r>
      <w:r>
        <w:t>is to order that the notice be amended</w:t>
      </w:r>
      <w:r w:rsidR="008C51E2">
        <w:t xml:space="preserve"> and re-issued</w:t>
      </w:r>
      <w:r>
        <w:t xml:space="preserve">. </w:t>
      </w:r>
      <w:r w:rsidR="00AB08CF">
        <w:t>Given the admissions made, the M</w:t>
      </w:r>
      <w:r w:rsidR="006E266D">
        <w:t>inister</w:t>
      </w:r>
      <w:r w:rsidR="00AB08CF">
        <w:t xml:space="preserve"> </w:t>
      </w:r>
      <w:r w:rsidR="00F96C9C">
        <w:t>accept</w:t>
      </w:r>
      <w:r w:rsidR="002B494A">
        <w:t>ed</w:t>
      </w:r>
      <w:r w:rsidR="002B6C94">
        <w:t xml:space="preserve"> </w:t>
      </w:r>
      <w:r w:rsidR="00AB08CF">
        <w:t xml:space="preserve">that relief should issue on ground 2, </w:t>
      </w:r>
      <w:r w:rsidR="00BA41E6">
        <w:t>and submit</w:t>
      </w:r>
      <w:r w:rsidR="002B494A">
        <w:t>ted</w:t>
      </w:r>
      <w:r w:rsidR="00BA41E6">
        <w:t xml:space="preserve"> </w:t>
      </w:r>
      <w:r w:rsidR="00AB08CF">
        <w:t>that “</w:t>
      </w:r>
      <w:r w:rsidR="00BA41E6">
        <w:t xml:space="preserve">the </w:t>
      </w:r>
      <w:r w:rsidR="00AB08CF">
        <w:t>appropriate relief would be the setting aside and re-issuing of the notice, specifying relevant manners”.</w:t>
      </w:r>
    </w:p>
    <w:p w14:paraId="780B4C9E" w14:textId="676B6168" w:rsidR="00ED2690" w:rsidRDefault="00ED2690" w:rsidP="00095D86">
      <w:pPr>
        <w:pStyle w:val="Heading2"/>
      </w:pPr>
      <w:r>
        <w:lastRenderedPageBreak/>
        <w:t xml:space="preserve">The </w:t>
      </w:r>
      <w:r w:rsidR="000D75D4">
        <w:t>applicant</w:t>
      </w:r>
      <w:r>
        <w:t xml:space="preserve">’s reply submissions on </w:t>
      </w:r>
      <w:r w:rsidRPr="00095D86">
        <w:rPr>
          <w:i/>
        </w:rPr>
        <w:t>Triabunna</w:t>
      </w:r>
    </w:p>
    <w:p w14:paraId="0169CE06" w14:textId="40C043A3" w:rsidR="00ED2690" w:rsidRDefault="00ED2690" w:rsidP="00ED2690">
      <w:pPr>
        <w:pStyle w:val="ParaNumbering"/>
      </w:pPr>
      <w:r>
        <w:t>Despite the M</w:t>
      </w:r>
      <w:r w:rsidR="006E266D">
        <w:t>inister</w:t>
      </w:r>
      <w:r>
        <w:t xml:space="preserve">’s admissions, the </w:t>
      </w:r>
      <w:r w:rsidR="006E266D">
        <w:t>applicant</w:t>
      </w:r>
      <w:r>
        <w:t>’s reply submissions did not embrace them. It instead submitted that</w:t>
      </w:r>
      <w:r w:rsidR="006E266D">
        <w:t>:</w:t>
      </w:r>
    </w:p>
    <w:p w14:paraId="7D98CA13" w14:textId="49BF3831" w:rsidR="001714F8" w:rsidRPr="00ED2690" w:rsidRDefault="000D75D4" w:rsidP="001C0256">
      <w:pPr>
        <w:pStyle w:val="Quote1"/>
      </w:pPr>
      <w:r>
        <w:t>…</w:t>
      </w:r>
      <w:r w:rsidR="00200ACA">
        <w:t xml:space="preserve"> </w:t>
      </w:r>
      <w:r w:rsidR="00ED2690" w:rsidRPr="00ED2690">
        <w:t xml:space="preserve">the Department’s reasons, which applied the same basic approach (the subject of ground 1) to all of the potential impacts, had nothing to do with s 77A. It is distinctly possible that the Department’s approach in August 2018 reflected the approach of Kerr J at first instance in </w:t>
      </w:r>
      <w:r w:rsidR="00ED2690" w:rsidRPr="000D75D4">
        <w:rPr>
          <w:i/>
        </w:rPr>
        <w:t>Triabunna</w:t>
      </w:r>
      <w:r w:rsidR="00ED2690" w:rsidRPr="00ED2690">
        <w:t xml:space="preserve"> (in April 2018).</w:t>
      </w:r>
    </w:p>
    <w:p w14:paraId="5D171A02" w14:textId="6666DC39" w:rsidR="002C04F2" w:rsidRDefault="00ED2690" w:rsidP="007C5A83">
      <w:pPr>
        <w:pStyle w:val="ParaNumbering"/>
      </w:pPr>
      <w:r>
        <w:t xml:space="preserve">The </w:t>
      </w:r>
      <w:r w:rsidR="006E266D">
        <w:t>applicant</w:t>
      </w:r>
      <w:r>
        <w:t xml:space="preserve"> submitted that the delegate’s reasons </w:t>
      </w:r>
      <w:r w:rsidR="00E31810">
        <w:t>“</w:t>
      </w:r>
      <w:r w:rsidR="00C12F2E">
        <w:t>can</w:t>
      </w:r>
      <w:r>
        <w:t>not be shoehorned into s 77A(1)”.</w:t>
      </w:r>
    </w:p>
    <w:p w14:paraId="275A0112" w14:textId="6E3BCBF6" w:rsidR="00AB08CF" w:rsidRDefault="00AB08CF" w:rsidP="00095D86">
      <w:pPr>
        <w:pStyle w:val="Heading2"/>
      </w:pPr>
      <w:r>
        <w:t>The “</w:t>
      </w:r>
      <w:r w:rsidRPr="00095D86">
        <w:rPr>
          <w:i/>
        </w:rPr>
        <w:t>Nathan Dam</w:t>
      </w:r>
      <w:r>
        <w:t>” point</w:t>
      </w:r>
    </w:p>
    <w:p w14:paraId="39DFF1EE" w14:textId="7C0BD7EF" w:rsidR="00AB08CF" w:rsidRDefault="00AB08CF" w:rsidP="00AB08CF">
      <w:pPr>
        <w:pStyle w:val="ParaNumbering"/>
      </w:pPr>
      <w:r>
        <w:t>The M</w:t>
      </w:r>
      <w:r w:rsidR="006E266D">
        <w:t>inister</w:t>
      </w:r>
      <w:r>
        <w:t xml:space="preserve"> contended that the </w:t>
      </w:r>
      <w:r w:rsidR="006E266D">
        <w:t>applicant</w:t>
      </w:r>
      <w:r>
        <w:t xml:space="preserve"> raised a “new argument” at the hearing, relying on </w:t>
      </w:r>
      <w:proofErr w:type="spellStart"/>
      <w:r>
        <w:t>Kiefel</w:t>
      </w:r>
      <w:proofErr w:type="spellEnd"/>
      <w:r>
        <w:t xml:space="preserve"> J’s decision (as her Honour then was) in</w:t>
      </w:r>
      <w:r w:rsidRPr="00AB08CF">
        <w:t xml:space="preserve"> </w:t>
      </w:r>
      <w:r>
        <w:t xml:space="preserve">the </w:t>
      </w:r>
      <w:r w:rsidRPr="00AB08CF">
        <w:rPr>
          <w:i/>
        </w:rPr>
        <w:t xml:space="preserve">Nathan Dam </w:t>
      </w:r>
      <w:r w:rsidRPr="00095D86">
        <w:t>case</w:t>
      </w:r>
      <w:r>
        <w:t>.</w:t>
      </w:r>
      <w:r w:rsidR="00ED2690">
        <w:t xml:space="preserve"> The M</w:t>
      </w:r>
      <w:r w:rsidR="006E266D">
        <w:t>inister</w:t>
      </w:r>
      <w:r w:rsidR="00ED2690">
        <w:t xml:space="preserve"> contended that the circumstances of the proposed action in this case could not be compared with</w:t>
      </w:r>
      <w:r w:rsidR="00B02B19">
        <w:t xml:space="preserve"> the circumstances </w:t>
      </w:r>
      <w:r w:rsidR="00F404A5">
        <w:t>in</w:t>
      </w:r>
      <w:r w:rsidR="00ED2690">
        <w:t xml:space="preserve"> </w:t>
      </w:r>
      <w:r w:rsidR="00ED2690" w:rsidRPr="009B528D">
        <w:rPr>
          <w:i/>
        </w:rPr>
        <w:t>Nathan Dam</w:t>
      </w:r>
      <w:r w:rsidR="00B02B19">
        <w:t xml:space="preserve">, on the basis that the potential impacts of </w:t>
      </w:r>
      <w:r w:rsidR="00ED2690">
        <w:t>“</w:t>
      </w:r>
      <w:r w:rsidR="00B02B19">
        <w:t>the possible second stage</w:t>
      </w:r>
      <w:r w:rsidR="00ED2690">
        <w:t xml:space="preserve">” of this proposed action </w:t>
      </w:r>
      <w:r w:rsidR="004D3525">
        <w:t>would not be</w:t>
      </w:r>
      <w:r w:rsidR="00ED2690">
        <w:t xml:space="preserve"> “indirect consequences” of the first stage. The M</w:t>
      </w:r>
      <w:r w:rsidR="006E266D">
        <w:t>inister</w:t>
      </w:r>
      <w:r w:rsidR="00ED2690">
        <w:t xml:space="preserve"> also submitted:</w:t>
      </w:r>
    </w:p>
    <w:p w14:paraId="48ABC8F0" w14:textId="16BA73BA" w:rsidR="00ED2690" w:rsidRPr="00ED2690" w:rsidRDefault="00ED2690" w:rsidP="001C0256">
      <w:pPr>
        <w:pStyle w:val="Quote1"/>
      </w:pPr>
      <w:r w:rsidRPr="00ED2690">
        <w:t xml:space="preserve">Moreover, in a context where all parties proceeded on the basis that any second stage would need to be separately referred under the EPBC Act, there is no question here of ignoring possible impacts which was a real concern in </w:t>
      </w:r>
      <w:r w:rsidRPr="00095D86">
        <w:rPr>
          <w:i/>
        </w:rPr>
        <w:t>Nathan Dam</w:t>
      </w:r>
      <w:r w:rsidRPr="00ED2690">
        <w:t>.</w:t>
      </w:r>
    </w:p>
    <w:p w14:paraId="781D43E2" w14:textId="54751A58" w:rsidR="00AB08CF" w:rsidRDefault="00ED2690" w:rsidP="00ED2690">
      <w:pPr>
        <w:pStyle w:val="ParaNumbering"/>
      </w:pPr>
      <w:r>
        <w:t xml:space="preserve">In reply on this matter, the </w:t>
      </w:r>
      <w:r w:rsidR="006E266D">
        <w:t>applicant</w:t>
      </w:r>
      <w:r>
        <w:t xml:space="preserve"> contended, relying on </w:t>
      </w:r>
      <w:r w:rsidR="0021148D" w:rsidRPr="005D03AB">
        <w:rPr>
          <w:i/>
        </w:rPr>
        <w:t xml:space="preserve">Minister for Environment and Heritage v Queensland Conservation Council </w:t>
      </w:r>
      <w:proofErr w:type="spellStart"/>
      <w:r w:rsidR="0021148D" w:rsidRPr="005D03AB">
        <w:rPr>
          <w:i/>
        </w:rPr>
        <w:t>Inc</w:t>
      </w:r>
      <w:proofErr w:type="spellEnd"/>
      <w:r w:rsidR="0021148D" w:rsidRPr="005D03AB">
        <w:t xml:space="preserve"> [2004] FCAFC 190; 139 FCR 24</w:t>
      </w:r>
      <w:r w:rsidR="0021148D">
        <w:t xml:space="preserve"> at [60] (the Full Court appeal of the </w:t>
      </w:r>
      <w:r w:rsidRPr="00503C2A">
        <w:rPr>
          <w:i/>
        </w:rPr>
        <w:t>Nathan Dam</w:t>
      </w:r>
      <w:r w:rsidR="0021148D">
        <w:rPr>
          <w:i/>
        </w:rPr>
        <w:t xml:space="preserve"> </w:t>
      </w:r>
      <w:r w:rsidR="0021148D">
        <w:t>case)</w:t>
      </w:r>
      <w:r w:rsidR="00503C2A">
        <w:t xml:space="preserve">, </w:t>
      </w:r>
      <w:r>
        <w:t xml:space="preserve">that the </w:t>
      </w:r>
      <w:r w:rsidRPr="00ED2690">
        <w:t xml:space="preserve">further activities that </w:t>
      </w:r>
      <w:r w:rsidR="00B7082B">
        <w:t>might occur</w:t>
      </w:r>
      <w:r w:rsidRPr="00ED2690">
        <w:t xml:space="preserve"> if </w:t>
      </w:r>
      <w:r>
        <w:t>the first stage was approved “were clearly ‘</w:t>
      </w:r>
      <w:r w:rsidRPr="00ED2690">
        <w:t>within the c</w:t>
      </w:r>
      <w:r>
        <w:t>ontemplation’ of the proponent,</w:t>
      </w:r>
      <w:r w:rsidRPr="00ED2690">
        <w:t xml:space="preserve"> having formed part of its original business plan</w:t>
      </w:r>
      <w:r>
        <w:t>”</w:t>
      </w:r>
      <w:r w:rsidRPr="00ED2690">
        <w:t>.</w:t>
      </w:r>
      <w:r w:rsidR="008A4161">
        <w:t xml:space="preserve"> It contended the fact that the second stage could be assessed separately did not preclude it </w:t>
      </w:r>
      <w:r w:rsidR="0021148D">
        <w:t xml:space="preserve">from </w:t>
      </w:r>
      <w:r w:rsidR="008A4161">
        <w:t xml:space="preserve">being characterised </w:t>
      </w:r>
      <w:r w:rsidR="0021148D">
        <w:t xml:space="preserve">and considered </w:t>
      </w:r>
      <w:r w:rsidR="008A4161">
        <w:t>as an indirect impact.</w:t>
      </w:r>
    </w:p>
    <w:p w14:paraId="694BAFE5" w14:textId="34F03FEA" w:rsidR="00542E9E" w:rsidRDefault="00484BEF" w:rsidP="006619E4">
      <w:pPr>
        <w:pStyle w:val="ParaNumbering"/>
      </w:pPr>
      <w:r>
        <w:t xml:space="preserve">Justice </w:t>
      </w:r>
      <w:proofErr w:type="spellStart"/>
      <w:r>
        <w:t>Kiefel’s</w:t>
      </w:r>
      <w:proofErr w:type="spellEnd"/>
      <w:r w:rsidR="000A7E57">
        <w:t xml:space="preserve"> consideration of indirect impacts in </w:t>
      </w:r>
      <w:r w:rsidR="000A7E57" w:rsidRPr="000A7E57">
        <w:rPr>
          <w:i/>
        </w:rPr>
        <w:t>Nathan Dam</w:t>
      </w:r>
      <w:r w:rsidR="000A7E57">
        <w:t xml:space="preserve"> was a matter raised by the applicant in its </w:t>
      </w:r>
      <w:r w:rsidR="00E41AF7">
        <w:t xml:space="preserve">principal </w:t>
      </w:r>
      <w:r w:rsidR="000A7E57">
        <w:t xml:space="preserve">written submissions: see </w:t>
      </w:r>
      <w:r w:rsidR="00CA3B41">
        <w:t>[34]-</w:t>
      </w:r>
      <w:r w:rsidR="000A7E57">
        <w:t>[35]. I am not persuaded there was any “new argument” about it.</w:t>
      </w:r>
      <w:r w:rsidR="009B528D">
        <w:t xml:space="preserve"> However, I am also not persuaded this argument advances the applicant’s judicial review application</w:t>
      </w:r>
      <w:r w:rsidR="00647583">
        <w:t>, as I explain below</w:t>
      </w:r>
      <w:r w:rsidR="009B528D">
        <w:t>.</w:t>
      </w:r>
    </w:p>
    <w:p w14:paraId="48BE348B" w14:textId="77777777" w:rsidR="00AA6C8F" w:rsidRDefault="00AA6C8F" w:rsidP="00AA6C8F">
      <w:pPr>
        <w:pStyle w:val="Heading1"/>
      </w:pPr>
      <w:r>
        <w:t>Resolution</w:t>
      </w:r>
    </w:p>
    <w:p w14:paraId="588E14DA" w14:textId="1139D2EA" w:rsidR="00331514" w:rsidRDefault="00331514" w:rsidP="007C5A83">
      <w:pPr>
        <w:pStyle w:val="ParaNumbering"/>
      </w:pPr>
      <w:r>
        <w:t xml:space="preserve">Where necessary to the </w:t>
      </w:r>
      <w:r w:rsidR="008D6EC9">
        <w:t>resolution</w:t>
      </w:r>
      <w:r>
        <w:t xml:space="preserve"> of each ground of review, I make findings of fact in </w:t>
      </w:r>
      <w:r w:rsidR="008D6EC9">
        <w:t>relation</w:t>
      </w:r>
      <w:r>
        <w:t xml:space="preserve"> to the way the parties </w:t>
      </w:r>
      <w:r w:rsidR="008D6EC9">
        <w:t>sought</w:t>
      </w:r>
      <w:r>
        <w:t xml:space="preserve"> to characterise </w:t>
      </w:r>
      <w:r w:rsidR="008D6EC9">
        <w:t>aspects</w:t>
      </w:r>
      <w:r>
        <w:t xml:space="preserve"> of the brief which the </w:t>
      </w:r>
      <w:r w:rsidR="008D6EC9">
        <w:t>delegate</w:t>
      </w:r>
      <w:r>
        <w:t xml:space="preserve"> adopted as part of his reasons for decision.</w:t>
      </w:r>
    </w:p>
    <w:p w14:paraId="43F29E40" w14:textId="4DBED717" w:rsidR="00AA6C8F" w:rsidRDefault="00D040F4" w:rsidP="007C5A83">
      <w:pPr>
        <w:pStyle w:val="ParaNumbering"/>
      </w:pPr>
      <w:r>
        <w:lastRenderedPageBreak/>
        <w:t xml:space="preserve">I have set out my opinion as to the structure of the EPBC Act in several previous decisions: </w:t>
      </w:r>
      <w:r w:rsidR="00357378" w:rsidRPr="005D03AB">
        <w:rPr>
          <w:i/>
        </w:rPr>
        <w:t>Tasmanian Aboriginal Centre Incorporated v Secretary, Department of Primary Industries, Parks, Water and Environment (No 2)</w:t>
      </w:r>
      <w:r w:rsidR="00357378" w:rsidRPr="005D03AB">
        <w:t xml:space="preserve"> [2016] FCA 168; 215 LGERA 1</w:t>
      </w:r>
      <w:r w:rsidR="00357378">
        <w:t xml:space="preserve"> at [19]-[34]; </w:t>
      </w:r>
      <w:r w:rsidR="00D4022A" w:rsidRPr="005D03AB">
        <w:rPr>
          <w:i/>
        </w:rPr>
        <w:t xml:space="preserve">Friends of </w:t>
      </w:r>
      <w:proofErr w:type="spellStart"/>
      <w:r w:rsidR="00D4022A" w:rsidRPr="005D03AB">
        <w:rPr>
          <w:i/>
        </w:rPr>
        <w:t>Leadbeater’s</w:t>
      </w:r>
      <w:proofErr w:type="spellEnd"/>
      <w:r w:rsidR="00D4022A" w:rsidRPr="005D03AB">
        <w:rPr>
          <w:i/>
        </w:rPr>
        <w:t xml:space="preserve"> Possum </w:t>
      </w:r>
      <w:proofErr w:type="spellStart"/>
      <w:r w:rsidR="00D4022A" w:rsidRPr="005D03AB">
        <w:rPr>
          <w:i/>
        </w:rPr>
        <w:t>Inc</w:t>
      </w:r>
      <w:proofErr w:type="spellEnd"/>
      <w:r w:rsidR="00D4022A" w:rsidRPr="005D03AB">
        <w:rPr>
          <w:i/>
        </w:rPr>
        <w:t xml:space="preserve"> v </w:t>
      </w:r>
      <w:proofErr w:type="spellStart"/>
      <w:r w:rsidR="00D4022A" w:rsidRPr="005D03AB">
        <w:rPr>
          <w:i/>
        </w:rPr>
        <w:t>VicForests</w:t>
      </w:r>
      <w:proofErr w:type="spellEnd"/>
      <w:r w:rsidR="00D4022A" w:rsidRPr="005D03AB">
        <w:t xml:space="preserve"> [2018] FCA 178</w:t>
      </w:r>
      <w:r w:rsidR="00B80A14" w:rsidRPr="005D03AB">
        <w:t>; 260 FCR 1</w:t>
      </w:r>
      <w:r w:rsidR="00D4022A">
        <w:t xml:space="preserve"> at [64]-[94];</w:t>
      </w:r>
      <w:r w:rsidR="00357378">
        <w:t xml:space="preserve"> </w:t>
      </w:r>
      <w:r w:rsidR="002C3B71">
        <w:t>and</w:t>
      </w:r>
      <w:r w:rsidR="00357378">
        <w:t xml:space="preserve"> most recently in</w:t>
      </w:r>
      <w:r w:rsidR="002C3B71">
        <w:t xml:space="preserve"> </w:t>
      </w:r>
      <w:r w:rsidR="00B80A14">
        <w:rPr>
          <w:i/>
        </w:rPr>
        <w:t>Triabunna</w:t>
      </w:r>
      <w:r w:rsidR="00B80A14">
        <w:t xml:space="preserve"> at [93]-[108]</w:t>
      </w:r>
      <w:r w:rsidR="002C3B71">
        <w:t xml:space="preserve">. Although an appeal from </w:t>
      </w:r>
      <w:r w:rsidR="000B1E90">
        <w:t>my</w:t>
      </w:r>
      <w:r w:rsidR="002C3B71">
        <w:t xml:space="preserve"> decision in </w:t>
      </w:r>
      <w:r w:rsidR="002C3B71">
        <w:rPr>
          <w:i/>
        </w:rPr>
        <w:t xml:space="preserve">Tasmanian Aboriginal Centre </w:t>
      </w:r>
      <w:r w:rsidR="002C3B71">
        <w:t xml:space="preserve">was allowed by the Full Court (see </w:t>
      </w:r>
      <w:r w:rsidR="002C3B71" w:rsidRPr="005D03AB">
        <w:rPr>
          <w:i/>
        </w:rPr>
        <w:t>Secretary, Department of Primary Industries, Parks, Water and Environment v Tasmanian Aboriginal Centre Incorporated</w:t>
      </w:r>
      <w:r w:rsidR="002C3B71" w:rsidRPr="005D03AB">
        <w:t xml:space="preserve"> [2016] FCAFC 129; 244 FCR 21</w:t>
      </w:r>
      <w:r w:rsidR="002C3B71">
        <w:t xml:space="preserve">), the general </w:t>
      </w:r>
      <w:r w:rsidR="00FD15C5">
        <w:t>structure of the legislative scheme which I described was not the subject of any criticism</w:t>
      </w:r>
      <w:r w:rsidR="002C3B71">
        <w:t>.</w:t>
      </w:r>
      <w:r w:rsidR="00AC69A6">
        <w:t xml:space="preserve"> I adhere to and adopt the opinions I expressed in those judgments.</w:t>
      </w:r>
    </w:p>
    <w:p w14:paraId="4DC470B6" w14:textId="7DE37B0E" w:rsidR="00463EA1" w:rsidRDefault="00463EA1" w:rsidP="006619E4">
      <w:pPr>
        <w:pStyle w:val="ParaNumbering"/>
      </w:pPr>
      <w:r>
        <w:t>It will be necessary to examine</w:t>
      </w:r>
      <w:r w:rsidR="00A73BEF">
        <w:t xml:space="preserve"> some particular aspects of the scheme which I have not dealt with in detail in these earlier decisions.</w:t>
      </w:r>
    </w:p>
    <w:p w14:paraId="31F279F2" w14:textId="14478AC5" w:rsidR="00A750F0" w:rsidRDefault="00A750F0" w:rsidP="00A750F0">
      <w:pPr>
        <w:pStyle w:val="Heading2"/>
      </w:pPr>
      <w:r>
        <w:t>Particular findings on statutory scheme</w:t>
      </w:r>
    </w:p>
    <w:p w14:paraId="780197A6" w14:textId="796FEE09" w:rsidR="00190A27" w:rsidRDefault="00190A27" w:rsidP="00190A27">
      <w:pPr>
        <w:pStyle w:val="Heading3"/>
      </w:pPr>
      <w:r>
        <w:t>The statutory task</w:t>
      </w:r>
    </w:p>
    <w:p w14:paraId="559E09B7" w14:textId="6248E92C" w:rsidR="00190A27" w:rsidRDefault="00E309C6" w:rsidP="007C5A83">
      <w:pPr>
        <w:pStyle w:val="ParaNumbering"/>
      </w:pPr>
      <w:bookmarkStart w:id="26" w:name="_Ref22564782"/>
      <w:r>
        <w:t xml:space="preserve">The </w:t>
      </w:r>
      <w:r w:rsidR="00190A27">
        <w:t>statutory task given to the Minister (or delegate) by s</w:t>
      </w:r>
      <w:r w:rsidR="00370995">
        <w:t> </w:t>
      </w:r>
      <w:r w:rsidR="00190A27">
        <w:t>75(1)(a) is to decide whether a proposed action “is a controlled action”.</w:t>
      </w:r>
      <w:bookmarkEnd w:id="26"/>
    </w:p>
    <w:p w14:paraId="571A85F5" w14:textId="2067ED31" w:rsidR="00190A27" w:rsidRDefault="00190A27" w:rsidP="007C5A83">
      <w:pPr>
        <w:pStyle w:val="ParaNumbering"/>
      </w:pPr>
      <w:r>
        <w:t>“Controlled action” is a defined term. Section 67 provides:</w:t>
      </w:r>
    </w:p>
    <w:p w14:paraId="480DBB5F" w14:textId="720ED5AE" w:rsidR="00190A27" w:rsidRDefault="006E266D" w:rsidP="006E266D">
      <w:pPr>
        <w:pStyle w:val="Quote1"/>
      </w:pPr>
      <w:r w:rsidRPr="006E266D">
        <w:t xml:space="preserve">An action that a person proposes to take is a </w:t>
      </w:r>
      <w:r w:rsidRPr="00095D86">
        <w:rPr>
          <w:b/>
          <w:i/>
        </w:rPr>
        <w:t>controlled action</w:t>
      </w:r>
      <w:r w:rsidRPr="006E266D">
        <w:t xml:space="preserve"> if the taking of the action by the person without approval under Part 9 for the purposes of a provision of Part 3 would be (or would, but for section 25AA or 28AB, be) prohibited by the provision. The provision is a </w:t>
      </w:r>
      <w:r w:rsidRPr="00095D86">
        <w:rPr>
          <w:b/>
          <w:i/>
        </w:rPr>
        <w:t>controlling provision</w:t>
      </w:r>
      <w:r w:rsidRPr="006E266D">
        <w:t xml:space="preserve"> for the action.</w:t>
      </w:r>
    </w:p>
    <w:p w14:paraId="74E89498" w14:textId="72BAB9A8" w:rsidR="00190A27" w:rsidRDefault="00190A27" w:rsidP="007C5A83">
      <w:pPr>
        <w:pStyle w:val="ParaNumbering"/>
      </w:pPr>
      <w:r>
        <w:t>The definition given by the statute to “controlled action” requires the Minister or delegate, in order to discharge her or his statutory task under s</w:t>
      </w:r>
      <w:r w:rsidR="00370995">
        <w:t> </w:t>
      </w:r>
      <w:r>
        <w:t>75(1)(a), to decide whether the taking</w:t>
      </w:r>
      <w:r w:rsidR="00E26BD6">
        <w:t xml:space="preserve"> </w:t>
      </w:r>
      <w:r>
        <w:t>of the action without approval under Pt</w:t>
      </w:r>
      <w:r w:rsidR="00370995">
        <w:t> </w:t>
      </w:r>
      <w:r>
        <w:t xml:space="preserve">9 would be </w:t>
      </w:r>
      <w:r w:rsidR="00E26BD6">
        <w:t>prohibited</w:t>
      </w:r>
      <w:r>
        <w:t xml:space="preserve"> by a provision in Pt</w:t>
      </w:r>
      <w:r w:rsidR="00370995">
        <w:t> </w:t>
      </w:r>
      <w:r>
        <w:t xml:space="preserve">3. </w:t>
      </w:r>
    </w:p>
    <w:p w14:paraId="3B97C202" w14:textId="173F7732" w:rsidR="00FA7E88" w:rsidRDefault="00FA7E88" w:rsidP="00FA7E88">
      <w:pPr>
        <w:pStyle w:val="ParaNumbering"/>
      </w:pPr>
      <w:bookmarkStart w:id="27" w:name="_Ref22564796"/>
      <w:r>
        <w:t>In what follows, and so as not to make the reasoning more complex than it needs to be</w:t>
      </w:r>
      <w:r w:rsidRPr="00FA7E88">
        <w:t xml:space="preserve">, I put to one side the </w:t>
      </w:r>
      <w:r w:rsidR="006E266D">
        <w:t>applicant</w:t>
      </w:r>
      <w:r w:rsidRPr="00FA7E88">
        <w:t xml:space="preserve">’s argument in ground 3 about “stage two” of </w:t>
      </w:r>
      <w:r w:rsidR="00534006">
        <w:t>Wild Drake’s proposal</w:t>
      </w:r>
      <w:r w:rsidRPr="00FA7E88">
        <w:t>.</w:t>
      </w:r>
      <w:r w:rsidR="00ED3A58">
        <w:t xml:space="preserve"> I have also assumed that the Department (and the delegate, by adopting the Department’s brief) correctly identified the </w:t>
      </w:r>
      <w:r w:rsidR="00EA7668">
        <w:t>W</w:t>
      </w:r>
      <w:r w:rsidR="00ED3A58">
        <w:t xml:space="preserve">orld </w:t>
      </w:r>
      <w:r w:rsidR="00EA7668">
        <w:t>H</w:t>
      </w:r>
      <w:r w:rsidR="00ED3A58">
        <w:t xml:space="preserve">eritage cultural and natural values in issue in respect of Wild Drake’s proposal: the </w:t>
      </w:r>
      <w:r w:rsidR="006E266D">
        <w:t>applicant</w:t>
      </w:r>
      <w:r w:rsidR="00ED3A58">
        <w:t xml:space="preserve"> has not contended otherwise.</w:t>
      </w:r>
      <w:bookmarkEnd w:id="27"/>
    </w:p>
    <w:p w14:paraId="197DB8AF" w14:textId="24E65CF1" w:rsidR="00E26BD6" w:rsidRDefault="00190A27" w:rsidP="007C5A83">
      <w:pPr>
        <w:pStyle w:val="ParaNumbering"/>
      </w:pPr>
      <w:bookmarkStart w:id="28" w:name="_Ref22564847"/>
      <w:r>
        <w:t xml:space="preserve">To apply </w:t>
      </w:r>
      <w:r w:rsidR="00FA7E88">
        <w:t>what I have outlined in [</w:t>
      </w:r>
      <w:r w:rsidR="00DF196F">
        <w:fldChar w:fldCharType="begin" w:fldLock="1"/>
      </w:r>
      <w:r w:rsidR="00DF196F">
        <w:instrText xml:space="preserve"> REF _Ref22564782 \r \h </w:instrText>
      </w:r>
      <w:r w:rsidR="00DF196F">
        <w:fldChar w:fldCharType="separate"/>
      </w:r>
      <w:r w:rsidR="00B417FD">
        <w:t>68</w:t>
      </w:r>
      <w:r w:rsidR="00DF196F">
        <w:fldChar w:fldCharType="end"/>
      </w:r>
      <w:r w:rsidR="00FA7E88">
        <w:t>]-[</w:t>
      </w:r>
      <w:r w:rsidR="00DF196F">
        <w:fldChar w:fldCharType="begin" w:fldLock="1"/>
      </w:r>
      <w:r w:rsidR="00DF196F">
        <w:instrText xml:space="preserve"> REF _Ref22564796 \r \h </w:instrText>
      </w:r>
      <w:r w:rsidR="00DF196F">
        <w:fldChar w:fldCharType="separate"/>
      </w:r>
      <w:r w:rsidR="00B417FD">
        <w:t>71</w:t>
      </w:r>
      <w:r w:rsidR="00DF196F">
        <w:fldChar w:fldCharType="end"/>
      </w:r>
      <w:r w:rsidR="00FA7E88">
        <w:t>]</w:t>
      </w:r>
      <w:r>
        <w:t xml:space="preserve"> </w:t>
      </w:r>
      <w:r w:rsidR="00DF196F">
        <w:t xml:space="preserve">above </w:t>
      </w:r>
      <w:r>
        <w:t xml:space="preserve">to the </w:t>
      </w:r>
      <w:r w:rsidR="00E26BD6">
        <w:t>impugned</w:t>
      </w:r>
      <w:r>
        <w:t xml:space="preserve"> decision,</w:t>
      </w:r>
      <w:r w:rsidR="00E26BD6">
        <w:t xml:space="preserve"> the delegate was required to </w:t>
      </w:r>
      <w:r w:rsidR="00492D45">
        <w:t>determine</w:t>
      </w:r>
      <w:r w:rsidR="00E26BD6">
        <w:t xml:space="preserve"> whether:</w:t>
      </w:r>
      <w:bookmarkEnd w:id="28"/>
    </w:p>
    <w:p w14:paraId="551DE1BC" w14:textId="77777777" w:rsidR="00923E20" w:rsidRDefault="00E26BD6" w:rsidP="00C53BD1">
      <w:pPr>
        <w:pStyle w:val="ListNo2"/>
        <w:numPr>
          <w:ilvl w:val="1"/>
          <w:numId w:val="49"/>
        </w:numPr>
      </w:pPr>
      <w:r>
        <w:lastRenderedPageBreak/>
        <w:t>the taking of the action by Wild Drake (described at [</w:t>
      </w:r>
      <w:r w:rsidR="008B2A6D">
        <w:fldChar w:fldCharType="begin" w:fldLock="1"/>
      </w:r>
      <w:r w:rsidR="008B2A6D">
        <w:instrText xml:space="preserve"> REF _Ref22303011 \r \h </w:instrText>
      </w:r>
      <w:r w:rsidR="008B2A6D">
        <w:fldChar w:fldCharType="separate"/>
      </w:r>
      <w:r w:rsidR="005E76E3">
        <w:t>5</w:t>
      </w:r>
      <w:r w:rsidR="008B2A6D">
        <w:fldChar w:fldCharType="end"/>
      </w:r>
      <w:r>
        <w:t>],</w:t>
      </w:r>
      <w:r w:rsidR="006E266D">
        <w:t xml:space="preserve"> </w:t>
      </w:r>
      <w:r>
        <w:t>[</w:t>
      </w:r>
      <w:r w:rsidR="008B2A6D">
        <w:fldChar w:fldCharType="begin" w:fldLock="1"/>
      </w:r>
      <w:r w:rsidR="008B2A6D">
        <w:instrText xml:space="preserve"> REF _Ref22564987 \r \h </w:instrText>
      </w:r>
      <w:r w:rsidR="008B2A6D">
        <w:fldChar w:fldCharType="separate"/>
      </w:r>
      <w:r w:rsidR="00B417FD">
        <w:t>17</w:t>
      </w:r>
      <w:r w:rsidR="008B2A6D">
        <w:fldChar w:fldCharType="end"/>
      </w:r>
      <w:r>
        <w:t>] and [</w:t>
      </w:r>
      <w:r w:rsidR="008B2A6D">
        <w:fldChar w:fldCharType="begin" w:fldLock="1"/>
      </w:r>
      <w:r w:rsidR="008B2A6D">
        <w:instrText xml:space="preserve"> REF _Ref22565023 \r \h </w:instrText>
      </w:r>
      <w:r w:rsidR="008B2A6D">
        <w:fldChar w:fldCharType="separate"/>
      </w:r>
      <w:r w:rsidR="00B417FD">
        <w:t>26</w:t>
      </w:r>
      <w:r w:rsidR="008B2A6D">
        <w:fldChar w:fldCharType="end"/>
      </w:r>
      <w:r>
        <w:t>] above</w:t>
      </w:r>
      <w:r w:rsidR="007F1CA3">
        <w:t>, and as described</w:t>
      </w:r>
      <w:r>
        <w:t xml:space="preserve"> in the referral by Wild Drake and in the brie</w:t>
      </w:r>
      <w:r w:rsidR="002A685C">
        <w:t>f</w:t>
      </w:r>
      <w:r>
        <w:t xml:space="preserve"> which was adopted by the delegate as his reasons);</w:t>
      </w:r>
    </w:p>
    <w:p w14:paraId="43A2AD0F" w14:textId="77777777" w:rsidR="00923E20" w:rsidRDefault="00E26BD6" w:rsidP="00F268A6">
      <w:pPr>
        <w:pStyle w:val="ListNo2"/>
        <w:numPr>
          <w:ilvl w:val="1"/>
          <w:numId w:val="49"/>
        </w:numPr>
      </w:pPr>
      <w:r>
        <w:t>without approval under Pt 9;</w:t>
      </w:r>
    </w:p>
    <w:p w14:paraId="16A56A15" w14:textId="3A394F44" w:rsidR="00E26BD6" w:rsidRDefault="00E26BD6" w:rsidP="00F268A6">
      <w:pPr>
        <w:pStyle w:val="ListNo2"/>
        <w:numPr>
          <w:ilvl w:val="1"/>
          <w:numId w:val="49"/>
        </w:numPr>
      </w:pPr>
      <w:r>
        <w:t>would be prohibited by</w:t>
      </w:r>
      <w:r w:rsidR="00492D45">
        <w:t>, relevantly</w:t>
      </w:r>
      <w:r>
        <w:t>:</w:t>
      </w:r>
    </w:p>
    <w:p w14:paraId="64EF6223" w14:textId="4C888923" w:rsidR="00E26BD6" w:rsidRDefault="00E26BD6" w:rsidP="00FA7E88">
      <w:pPr>
        <w:pStyle w:val="ListNo3"/>
      </w:pPr>
      <w:r>
        <w:t>s 12(1)</w:t>
      </w:r>
      <w:r w:rsidR="00706345">
        <w:t>, concerning declared World Heritage properties</w:t>
      </w:r>
      <w:r>
        <w:t>;</w:t>
      </w:r>
      <w:r w:rsidR="00C77B12">
        <w:t xml:space="preserve"> </w:t>
      </w:r>
      <w:r w:rsidR="00492D45">
        <w:t>or</w:t>
      </w:r>
    </w:p>
    <w:p w14:paraId="73969ABE" w14:textId="50ADEE36" w:rsidR="00492D45" w:rsidRDefault="00492D45" w:rsidP="00FA7E88">
      <w:pPr>
        <w:pStyle w:val="ListNo3"/>
      </w:pPr>
      <w:r>
        <w:t>s 18</w:t>
      </w:r>
      <w:r w:rsidR="00706345">
        <w:t>, concerning listed threatened species and communities</w:t>
      </w:r>
      <w:r>
        <w:t>; or</w:t>
      </w:r>
    </w:p>
    <w:p w14:paraId="1BC1DB68" w14:textId="1D30A46E" w:rsidR="00492D45" w:rsidRDefault="00492D45" w:rsidP="00FA7E88">
      <w:pPr>
        <w:pStyle w:val="ListNo3"/>
      </w:pPr>
      <w:r>
        <w:t>any of the applicable criminal offence provisions in Pt 3</w:t>
      </w:r>
      <w:r w:rsidR="00DE6D69">
        <w:t xml:space="preserve">, </w:t>
      </w:r>
      <w:proofErr w:type="spellStart"/>
      <w:r w:rsidR="00DE6D69">
        <w:t>eg</w:t>
      </w:r>
      <w:proofErr w:type="spellEnd"/>
      <w:r w:rsidR="00DE6D69">
        <w:t xml:space="preserve"> s 15A or s 18A</w:t>
      </w:r>
      <w:r w:rsidR="00FA7E88">
        <w:t>.</w:t>
      </w:r>
    </w:p>
    <w:p w14:paraId="00119EC0" w14:textId="39DE54F4" w:rsidR="00892D5C" w:rsidRDefault="00892D5C" w:rsidP="00892D5C">
      <w:pPr>
        <w:pStyle w:val="ParaNumbering"/>
      </w:pPr>
      <w:r>
        <w:t xml:space="preserve">This is consistent with what was said by the Full Court </w:t>
      </w:r>
      <w:r w:rsidR="007F6E6C">
        <w:t xml:space="preserve">about the concept of </w:t>
      </w:r>
      <w:r w:rsidR="00F62931">
        <w:t>“</w:t>
      </w:r>
      <w:r w:rsidRPr="00892D5C">
        <w:t>controlled action”</w:t>
      </w:r>
      <w:r w:rsidR="00F62931">
        <w:t xml:space="preserve"> in</w:t>
      </w:r>
      <w:r w:rsidRPr="00892D5C">
        <w:t xml:space="preserve"> </w:t>
      </w:r>
      <w:r w:rsidRPr="005D03AB">
        <w:rPr>
          <w:i/>
        </w:rPr>
        <w:t xml:space="preserve">Anvil Hill Project Watch Association </w:t>
      </w:r>
      <w:proofErr w:type="spellStart"/>
      <w:r w:rsidRPr="005D03AB">
        <w:rPr>
          <w:i/>
        </w:rPr>
        <w:t>Inc</w:t>
      </w:r>
      <w:proofErr w:type="spellEnd"/>
      <w:r w:rsidRPr="005D03AB">
        <w:rPr>
          <w:i/>
        </w:rPr>
        <w:t xml:space="preserve"> v Minister for Environment and Water Resources</w:t>
      </w:r>
      <w:r w:rsidRPr="005D03AB">
        <w:t xml:space="preserve"> [2008] FCAFC 3; 166 FCR 54</w:t>
      </w:r>
      <w:r w:rsidRPr="00892D5C">
        <w:t xml:space="preserve"> </w:t>
      </w:r>
      <w:r w:rsidR="007F1CA3">
        <w:t>at [26]</w:t>
      </w:r>
      <w:r w:rsidR="00E12F4E">
        <w:t xml:space="preserve"> (</w:t>
      </w:r>
      <w:proofErr w:type="spellStart"/>
      <w:r w:rsidR="00E12F4E" w:rsidRPr="00892D5C">
        <w:t>Tamberlin</w:t>
      </w:r>
      <w:proofErr w:type="spellEnd"/>
      <w:r w:rsidR="00E12F4E" w:rsidRPr="00892D5C">
        <w:t>, Finn and Mansfield JJ</w:t>
      </w:r>
      <w:r w:rsidR="00E12F4E">
        <w:t>)</w:t>
      </w:r>
      <w:r>
        <w:t>.</w:t>
      </w:r>
    </w:p>
    <w:p w14:paraId="4BBCAF54" w14:textId="2A8C351A" w:rsidR="002D1BB0" w:rsidRDefault="00805572" w:rsidP="00FA7E88">
      <w:pPr>
        <w:pStyle w:val="ParaNumbering"/>
      </w:pPr>
      <w:r>
        <w:t xml:space="preserve">Taking as an example the action description </w:t>
      </w:r>
      <w:r w:rsidR="00364036">
        <w:t>prepared by the Department</w:t>
      </w:r>
      <w:r>
        <w:t xml:space="preserve"> and set out in these reasons at [</w:t>
      </w:r>
      <w:r w:rsidR="003D44A2">
        <w:fldChar w:fldCharType="begin" w:fldLock="1"/>
      </w:r>
      <w:r w:rsidR="003D44A2">
        <w:instrText xml:space="preserve"> REF _Ref22303011 \r \h </w:instrText>
      </w:r>
      <w:r w:rsidR="003D44A2">
        <w:fldChar w:fldCharType="separate"/>
      </w:r>
      <w:r w:rsidR="005E76E3">
        <w:t>5</w:t>
      </w:r>
      <w:r w:rsidR="003D44A2">
        <w:fldChar w:fldCharType="end"/>
      </w:r>
      <w:r>
        <w:t>], i</w:t>
      </w:r>
      <w:r w:rsidR="00492D45">
        <w:t xml:space="preserve">n </w:t>
      </w:r>
      <w:r w:rsidR="00C71331">
        <w:t>respect of the three matters of national environmental significance identified in the applicant’s judicial review application</w:t>
      </w:r>
      <w:r w:rsidR="00492D45">
        <w:t xml:space="preserve">, in order to make the determination set out at </w:t>
      </w:r>
      <w:r w:rsidR="00492D45" w:rsidRPr="008B2A6D">
        <w:t>[</w:t>
      </w:r>
      <w:r w:rsidR="008B2A6D" w:rsidRPr="008B2A6D">
        <w:fldChar w:fldCharType="begin" w:fldLock="1"/>
      </w:r>
      <w:r w:rsidR="008B2A6D" w:rsidRPr="008B2A6D">
        <w:instrText xml:space="preserve"> REF _Ref22564847 \r \h </w:instrText>
      </w:r>
      <w:r w:rsidR="008B2A6D">
        <w:instrText xml:space="preserve"> \* MERGEFORMAT </w:instrText>
      </w:r>
      <w:r w:rsidR="008B2A6D" w:rsidRPr="008B2A6D">
        <w:fldChar w:fldCharType="separate"/>
      </w:r>
      <w:r w:rsidR="00B417FD">
        <w:t>72</w:t>
      </w:r>
      <w:r w:rsidR="008B2A6D" w:rsidRPr="008B2A6D">
        <w:fldChar w:fldCharType="end"/>
      </w:r>
      <w:r w:rsidR="00492D45" w:rsidRPr="008B2A6D">
        <w:t>], t</w:t>
      </w:r>
      <w:r w:rsidR="00492D45">
        <w:t>he delegate was require</w:t>
      </w:r>
      <w:r w:rsidR="00F00D78">
        <w:t>d</w:t>
      </w:r>
      <w:r w:rsidR="00492D45">
        <w:t xml:space="preserve"> to </w:t>
      </w:r>
      <w:r w:rsidR="007F6E6C">
        <w:t>decide</w:t>
      </w:r>
      <w:r w:rsidR="007F6E6C" w:rsidRPr="00FA7E88">
        <w:t xml:space="preserve"> </w:t>
      </w:r>
      <w:r w:rsidR="00F00D78">
        <w:t>whether:</w:t>
      </w:r>
    </w:p>
    <w:p w14:paraId="03F4928C" w14:textId="0F0AFA90" w:rsidR="002D1BB0" w:rsidRDefault="002D1BB0" w:rsidP="002D1BB0">
      <w:pPr>
        <w:pStyle w:val="ListNo2"/>
        <w:numPr>
          <w:ilvl w:val="1"/>
          <w:numId w:val="50"/>
        </w:numPr>
      </w:pPr>
      <w:r>
        <w:t xml:space="preserve">by Wild Drake </w:t>
      </w:r>
      <w:r w:rsidR="00FA7E88" w:rsidRPr="00FA7E88">
        <w:t>develop</w:t>
      </w:r>
      <w:r w:rsidR="00FA7E88">
        <w:t>ing</w:t>
      </w:r>
      <w:r w:rsidR="00FA7E88" w:rsidRPr="00FA7E88">
        <w:t xml:space="preserve"> a small tourism operation on Halls Island </w:t>
      </w:r>
      <w:r w:rsidR="00FA7E88">
        <w:t>and establishing</w:t>
      </w:r>
      <w:r w:rsidR="00FA7E88" w:rsidRPr="00FA7E88">
        <w:t xml:space="preserve"> a standing camp to accommodate a maximum of six visitors for four day stays</w:t>
      </w:r>
      <w:r w:rsidR="00FA7E88">
        <w:t>, where v</w:t>
      </w:r>
      <w:r w:rsidR="00FA7E88" w:rsidRPr="00FA7E88">
        <w:t>isitors would arrive by helicopter from Derwent River Bridge and there would be a maximum of 30 tours per year</w:t>
      </w:r>
      <w:r w:rsidR="00FA7E88">
        <w:t xml:space="preserve">, and where visitors would engage in activities such as </w:t>
      </w:r>
      <w:r w:rsidR="00FA7E88" w:rsidRPr="00FA7E88">
        <w:t>kayaking, hill</w:t>
      </w:r>
      <w:r w:rsidR="00D975B1">
        <w:t>-</w:t>
      </w:r>
      <w:r w:rsidR="00FA7E88" w:rsidRPr="00FA7E88">
        <w:t>walking, bushwalking, cultural interpretation, wildlife viewing and citizen science opportunities</w:t>
      </w:r>
      <w:r w:rsidR="00D975B1">
        <w:t>;</w:t>
      </w:r>
    </w:p>
    <w:p w14:paraId="2A64BCD0" w14:textId="0777FA07" w:rsidR="00492D45" w:rsidRDefault="00F008F1" w:rsidP="002D1BB0">
      <w:pPr>
        <w:pStyle w:val="ListNo2"/>
        <w:numPr>
          <w:ilvl w:val="1"/>
          <w:numId w:val="50"/>
        </w:numPr>
      </w:pPr>
      <w:r>
        <w:t>t</w:t>
      </w:r>
      <w:r w:rsidR="002D1BB0">
        <w:t xml:space="preserve">here </w:t>
      </w:r>
      <w:r w:rsidR="00D96162">
        <w:t xml:space="preserve">would </w:t>
      </w:r>
      <w:r w:rsidR="002D1BB0">
        <w:t xml:space="preserve">be, or </w:t>
      </w:r>
      <w:r w:rsidR="00D96162">
        <w:t xml:space="preserve">would </w:t>
      </w:r>
      <w:r w:rsidR="002D1BB0">
        <w:t>likely be, a significant impact on:</w:t>
      </w:r>
    </w:p>
    <w:p w14:paraId="24AC9233" w14:textId="0E246761" w:rsidR="002D1BB0" w:rsidRDefault="0024389A" w:rsidP="002D1BB0">
      <w:pPr>
        <w:pStyle w:val="ListNo3"/>
        <w:numPr>
          <w:ilvl w:val="2"/>
          <w:numId w:val="50"/>
        </w:numPr>
      </w:pPr>
      <w:r>
        <w:t>t</w:t>
      </w:r>
      <w:r w:rsidR="00ED3A58">
        <w:t>he cultural and natural values of the TWWHA</w:t>
      </w:r>
      <w:r>
        <w:t xml:space="preserve"> (specifically the</w:t>
      </w:r>
      <w:r w:rsidR="00927A3A">
        <w:t xml:space="preserve"> relevant</w:t>
      </w:r>
      <w:r>
        <w:t xml:space="preserve"> cultural values </w:t>
      </w:r>
      <w:r w:rsidR="003464F3">
        <w:t>identified by</w:t>
      </w:r>
      <w:r w:rsidR="00927A3A">
        <w:t xml:space="preserve"> the Department by</w:t>
      </w:r>
      <w:r w:rsidR="003464F3">
        <w:t xml:space="preserve"> reference to</w:t>
      </w:r>
      <w:r>
        <w:t xml:space="preserve"> </w:t>
      </w:r>
      <w:r w:rsidR="003464F3">
        <w:t>criteria (</w:t>
      </w:r>
      <w:r>
        <w:t>ii</w:t>
      </w:r>
      <w:r w:rsidR="003464F3">
        <w:t>i)</w:t>
      </w:r>
      <w:r>
        <w:t xml:space="preserve">, </w:t>
      </w:r>
      <w:r w:rsidR="003464F3">
        <w:t>(</w:t>
      </w:r>
      <w:r>
        <w:t>iv</w:t>
      </w:r>
      <w:r w:rsidR="003464F3">
        <w:t>)</w:t>
      </w:r>
      <w:r>
        <w:t xml:space="preserve"> and </w:t>
      </w:r>
      <w:r w:rsidR="003464F3">
        <w:t>(</w:t>
      </w:r>
      <w:r>
        <w:t>vi</w:t>
      </w:r>
      <w:r w:rsidR="003464F3">
        <w:t>)</w:t>
      </w:r>
      <w:r>
        <w:t xml:space="preserve"> and the </w:t>
      </w:r>
      <w:r w:rsidR="00927A3A">
        <w:t xml:space="preserve">relevant </w:t>
      </w:r>
      <w:r>
        <w:t xml:space="preserve">natural values </w:t>
      </w:r>
      <w:r w:rsidR="003464F3">
        <w:t>identified by</w:t>
      </w:r>
      <w:r w:rsidR="00927A3A">
        <w:t xml:space="preserve"> the Department by</w:t>
      </w:r>
      <w:r w:rsidR="003464F3">
        <w:t xml:space="preserve"> reference to criteria</w:t>
      </w:r>
      <w:r>
        <w:t xml:space="preserve"> </w:t>
      </w:r>
      <w:r w:rsidR="003464F3">
        <w:t>(</w:t>
      </w:r>
      <w:r>
        <w:t>vii</w:t>
      </w:r>
      <w:r w:rsidR="003464F3">
        <w:t>)</w:t>
      </w:r>
      <w:r>
        <w:t xml:space="preserve">, </w:t>
      </w:r>
      <w:r w:rsidR="003464F3">
        <w:t>(</w:t>
      </w:r>
      <w:r>
        <w:t>viii</w:t>
      </w:r>
      <w:r w:rsidR="003464F3">
        <w:t>)</w:t>
      </w:r>
      <w:r>
        <w:t xml:space="preserve">, </w:t>
      </w:r>
      <w:r w:rsidR="003464F3">
        <w:t>(</w:t>
      </w:r>
      <w:r>
        <w:t>ix</w:t>
      </w:r>
      <w:r w:rsidR="003464F3">
        <w:t>)</w:t>
      </w:r>
      <w:r>
        <w:t xml:space="preserve">); </w:t>
      </w:r>
      <w:r w:rsidR="00C0656B">
        <w:t>and/</w:t>
      </w:r>
      <w:r>
        <w:t>or</w:t>
      </w:r>
    </w:p>
    <w:p w14:paraId="53AE57A5" w14:textId="53FDC116" w:rsidR="0024389A" w:rsidRDefault="00F008F1" w:rsidP="002D1BB0">
      <w:pPr>
        <w:pStyle w:val="ListNo3"/>
        <w:numPr>
          <w:ilvl w:val="2"/>
          <w:numId w:val="50"/>
        </w:numPr>
      </w:pPr>
      <w:r>
        <w:t xml:space="preserve">the </w:t>
      </w:r>
      <w:r w:rsidR="00D975B1">
        <w:t xml:space="preserve">Tasmanian </w:t>
      </w:r>
      <w:r w:rsidR="00423A3A">
        <w:t>W</w:t>
      </w:r>
      <w:r w:rsidR="00D975B1">
        <w:t>edge-</w:t>
      </w:r>
      <w:r>
        <w:t>tailed eagle</w:t>
      </w:r>
      <w:r w:rsidR="00010320">
        <w:t xml:space="preserve"> </w:t>
      </w:r>
      <w:r w:rsidR="00F00D78">
        <w:t>species</w:t>
      </w:r>
      <w:r w:rsidR="00010320">
        <w:t>;</w:t>
      </w:r>
      <w:r w:rsidR="00C0656B">
        <w:t xml:space="preserve"> and/or</w:t>
      </w:r>
    </w:p>
    <w:p w14:paraId="526C72B3" w14:textId="25F0FE6D" w:rsidR="00D50DE0" w:rsidRDefault="00010320" w:rsidP="006619E4">
      <w:pPr>
        <w:pStyle w:val="ListNo3"/>
        <w:numPr>
          <w:ilvl w:val="2"/>
          <w:numId w:val="50"/>
        </w:numPr>
      </w:pPr>
      <w:r>
        <w:t xml:space="preserve">the threatened ecological community identified as Alpine </w:t>
      </w:r>
      <w:r w:rsidRPr="00095D86">
        <w:rPr>
          <w:i/>
        </w:rPr>
        <w:t>Sphagnum</w:t>
      </w:r>
      <w:r>
        <w:t xml:space="preserve"> Bogs and Associated Fens.</w:t>
      </w:r>
    </w:p>
    <w:p w14:paraId="667B3CEB" w14:textId="6DEDAF56" w:rsidR="00D50DE0" w:rsidRDefault="00D50DE0" w:rsidP="00D50DE0">
      <w:pPr>
        <w:pStyle w:val="Heading3"/>
      </w:pPr>
      <w:r>
        <w:lastRenderedPageBreak/>
        <w:t>The consequence of the statutory task</w:t>
      </w:r>
    </w:p>
    <w:p w14:paraId="00DA46E4" w14:textId="7CC64D05" w:rsidR="00D50DE0" w:rsidRDefault="00D50DE0" w:rsidP="00D50DE0">
      <w:pPr>
        <w:pStyle w:val="ParaNumbering"/>
      </w:pPr>
      <w:r>
        <w:t xml:space="preserve">I accept the </w:t>
      </w:r>
      <w:r w:rsidR="00F62931">
        <w:t>applicant</w:t>
      </w:r>
      <w:r>
        <w:t xml:space="preserve">’s submission that, in construing and understanding the nature of the task of the Minister (or delegate), the </w:t>
      </w:r>
      <w:r w:rsidR="00E70332">
        <w:t xml:space="preserve">statutory </w:t>
      </w:r>
      <w:r>
        <w:t xml:space="preserve">consequences of </w:t>
      </w:r>
      <w:r w:rsidR="0074487F">
        <w:t>a determination that an action is not a controlled action are an important consideration.</w:t>
      </w:r>
    </w:p>
    <w:p w14:paraId="18CF97F6" w14:textId="4092CA48" w:rsidR="0047059B" w:rsidRDefault="0047059B" w:rsidP="00D50DE0">
      <w:pPr>
        <w:pStyle w:val="ParaNumbering"/>
      </w:pPr>
      <w:r>
        <w:t>Relevantly, s</w:t>
      </w:r>
      <w:r w:rsidR="00370995">
        <w:t> </w:t>
      </w:r>
      <w:r>
        <w:t>12(2)(c) provides that the prohibition in s</w:t>
      </w:r>
      <w:r w:rsidR="00370995">
        <w:t> </w:t>
      </w:r>
      <w:r>
        <w:t>12(1) does not apply if:</w:t>
      </w:r>
    </w:p>
    <w:p w14:paraId="2633DF67" w14:textId="6DBAF98A" w:rsidR="0047059B" w:rsidRDefault="00370995" w:rsidP="001C0256">
      <w:pPr>
        <w:pStyle w:val="Quote1"/>
      </w:pPr>
      <w:r>
        <w:t>…</w:t>
      </w:r>
      <w:r w:rsidR="00706345">
        <w:t xml:space="preserve"> </w:t>
      </w:r>
      <w:r w:rsidR="00F62931" w:rsidRPr="00F62931">
        <w:t>there is in force a decision of the Minister under Division 2 of Part 7 that this section is not a controlling provision for the action and, if the decision was made because the Minister believed the action would be taken in a manner specified in the notice of the decision under section 77, the ac</w:t>
      </w:r>
      <w:r w:rsidR="00F62931">
        <w:t>tion is taken in that manner</w:t>
      </w:r>
      <w:r w:rsidR="00706345">
        <w:t>[.]</w:t>
      </w:r>
    </w:p>
    <w:p w14:paraId="579EF50E" w14:textId="63DC8D18" w:rsidR="0047059B" w:rsidRDefault="0047059B" w:rsidP="00D50DE0">
      <w:pPr>
        <w:pStyle w:val="ParaNumbering"/>
      </w:pPr>
      <w:r>
        <w:t>Section 19(3)(b) is to the same effect, in relation to the prohibition</w:t>
      </w:r>
      <w:r w:rsidR="00311799">
        <w:t>s</w:t>
      </w:r>
      <w:r>
        <w:t xml:space="preserve"> in s</w:t>
      </w:r>
      <w:r w:rsidR="00370995">
        <w:t> </w:t>
      </w:r>
      <w:r>
        <w:t>18 and</w:t>
      </w:r>
      <w:r w:rsidR="00370995">
        <w:t xml:space="preserve"> s </w:t>
      </w:r>
      <w:r>
        <w:t>18A.</w:t>
      </w:r>
    </w:p>
    <w:p w14:paraId="13DF9A2A" w14:textId="0C4C712C" w:rsidR="009A2E5A" w:rsidRDefault="0047059B" w:rsidP="00D50DE0">
      <w:pPr>
        <w:pStyle w:val="ParaNumbering"/>
      </w:pPr>
      <w:r>
        <w:t xml:space="preserve">In its </w:t>
      </w:r>
      <w:r w:rsidR="003A5CFA">
        <w:t xml:space="preserve">written </w:t>
      </w:r>
      <w:r>
        <w:t xml:space="preserve">submissions, the </w:t>
      </w:r>
      <w:r w:rsidR="00F62931">
        <w:t>applicant</w:t>
      </w:r>
      <w:r>
        <w:t xml:space="preserve"> </w:t>
      </w:r>
      <w:r w:rsidR="00A97FA6">
        <w:t xml:space="preserve">described </w:t>
      </w:r>
      <w:r>
        <w:t>this as an “immunity</w:t>
      </w:r>
      <w:r w:rsidR="00F31E6B">
        <w:t xml:space="preserve">”. Whether </w:t>
      </w:r>
      <w:r>
        <w:t>or not this is an accurate description, the underlying point has some force. A decision under s</w:t>
      </w:r>
      <w:r w:rsidR="00370995">
        <w:t> </w:t>
      </w:r>
      <w:r>
        <w:t>75 that an action is not a controlled action disengages the prohibitions in any relevant provision in Pt</w:t>
      </w:r>
      <w:r w:rsidR="00370995">
        <w:t> </w:t>
      </w:r>
      <w:r>
        <w:t>3 in respect of that action.</w:t>
      </w:r>
      <w:r w:rsidR="003D7A5A">
        <w:t xml:space="preserve"> Otherwise, as the applicant </w:t>
      </w:r>
      <w:r w:rsidR="00A97FA6">
        <w:t>submitted</w:t>
      </w:r>
      <w:r w:rsidR="003D7A5A">
        <w:t xml:space="preserve">, </w:t>
      </w:r>
      <w:r w:rsidR="009A2E5A">
        <w:t xml:space="preserve">in general terms </w:t>
      </w:r>
      <w:r w:rsidR="003D7A5A">
        <w:t>the taking of an action remains governed by the conditions for its lawfulness set out in Pt</w:t>
      </w:r>
      <w:r w:rsidR="00370995">
        <w:t> </w:t>
      </w:r>
      <w:r w:rsidR="003D7A5A">
        <w:t>3, unless and until the taking of the action is approved under Pt</w:t>
      </w:r>
      <w:r w:rsidR="00370995">
        <w:t> </w:t>
      </w:r>
      <w:r w:rsidR="003D7A5A">
        <w:t>9, with or without conditions</w:t>
      </w:r>
      <w:r w:rsidR="009A2E5A">
        <w:t>. I say “in general terms” because provisions such as s</w:t>
      </w:r>
      <w:r w:rsidR="00370995">
        <w:t> </w:t>
      </w:r>
      <w:r w:rsidR="009A2E5A">
        <w:t>12 (and its equivalents for other matters of national environmental significance) do recognise other circumstances in which the Pt</w:t>
      </w:r>
      <w:r w:rsidR="00370995">
        <w:t> </w:t>
      </w:r>
      <w:r w:rsidR="009A2E5A">
        <w:t>3 prohibitions are disengaged, or not engaged</w:t>
      </w:r>
      <w:r w:rsidR="00C100B9">
        <w:t>,</w:t>
      </w:r>
      <w:r w:rsidR="009A2E5A">
        <w:t xml:space="preserve"> such as whether any provisions in Pt</w:t>
      </w:r>
      <w:r w:rsidR="00370995">
        <w:t> </w:t>
      </w:r>
      <w:r w:rsidR="009A2E5A">
        <w:t>4 (</w:t>
      </w:r>
      <w:r w:rsidR="003344B7">
        <w:t xml:space="preserve">titled </w:t>
      </w:r>
      <w:r w:rsidR="009A2E5A">
        <w:t>“</w:t>
      </w:r>
      <w:r w:rsidR="003344B7">
        <w:t xml:space="preserve">Cases </w:t>
      </w:r>
      <w:r w:rsidR="009A2E5A">
        <w:t>in which environmental approvals are not needed</w:t>
      </w:r>
      <w:r w:rsidR="00F62931">
        <w:t>”</w:t>
      </w:r>
      <w:r w:rsidR="009A2E5A">
        <w:t>) apply.</w:t>
      </w:r>
      <w:r w:rsidR="00E70332">
        <w:t xml:space="preserve"> However, in circumstances where a decision has been made under s 75, and provided the </w:t>
      </w:r>
      <w:r w:rsidR="00095D86">
        <w:t>ac</w:t>
      </w:r>
      <w:r w:rsidR="00E70332">
        <w:t>tion is not undertaken in any materially different manner, then the effect of s 12</w:t>
      </w:r>
      <w:r w:rsidR="00095D86">
        <w:t>(2)(c)</w:t>
      </w:r>
      <w:r w:rsidR="00E70332">
        <w:t xml:space="preserve"> and s 19(3)(b) is to disengage the protective effects of the Pt 3 prohibitions.</w:t>
      </w:r>
    </w:p>
    <w:p w14:paraId="3CB8E7C9" w14:textId="1AE09952" w:rsidR="00D50DE0" w:rsidRDefault="00E0526D" w:rsidP="009A2E5A">
      <w:pPr>
        <w:pStyle w:val="Heading3"/>
      </w:pPr>
      <w:r>
        <w:t xml:space="preserve">Sections 74A and 77A </w:t>
      </w:r>
    </w:p>
    <w:p w14:paraId="7C64540B" w14:textId="0CE100B9" w:rsidR="00D50DE0" w:rsidRDefault="00D50DE0" w:rsidP="00D50DE0">
      <w:pPr>
        <w:pStyle w:val="ParaNumbering"/>
      </w:pPr>
      <w:r>
        <w:t xml:space="preserve">I agree with </w:t>
      </w:r>
      <w:r w:rsidR="00C100B9">
        <w:t xml:space="preserve">the </w:t>
      </w:r>
      <w:r w:rsidR="00F62931">
        <w:t>applicant</w:t>
      </w:r>
      <w:r>
        <w:t xml:space="preserve">’s </w:t>
      </w:r>
      <w:r w:rsidR="00546018">
        <w:t xml:space="preserve">written </w:t>
      </w:r>
      <w:r>
        <w:t>submission</w:t>
      </w:r>
      <w:r w:rsidR="00C100B9">
        <w:t>s</w:t>
      </w:r>
      <w:r>
        <w:t xml:space="preserve"> at [30] that</w:t>
      </w:r>
      <w:r w:rsidR="00546018">
        <w:t>, in terms of the structure of the statutory scheme, consideration of whether</w:t>
      </w:r>
      <w:r>
        <w:t xml:space="preserve"> s</w:t>
      </w:r>
      <w:r w:rsidR="000C6D63">
        <w:t> </w:t>
      </w:r>
      <w:r>
        <w:t xml:space="preserve">74A </w:t>
      </w:r>
      <w:r w:rsidR="00546018">
        <w:t>applies to the action in question is a mat</w:t>
      </w:r>
      <w:r w:rsidR="006A5EFA">
        <w:t>t</w:t>
      </w:r>
      <w:r w:rsidR="00546018">
        <w:t xml:space="preserve">er which </w:t>
      </w:r>
      <w:r>
        <w:t>comes before any decision under s</w:t>
      </w:r>
      <w:r w:rsidR="000C6D63">
        <w:t> </w:t>
      </w:r>
      <w:r>
        <w:t>75</w:t>
      </w:r>
      <w:r w:rsidR="00546018">
        <w:t>. C</w:t>
      </w:r>
      <w:r>
        <w:t>onsideration and application of s</w:t>
      </w:r>
      <w:r w:rsidR="000C6D63">
        <w:t> </w:t>
      </w:r>
      <w:r>
        <w:t xml:space="preserve">74A </w:t>
      </w:r>
      <w:r w:rsidR="00597913">
        <w:t xml:space="preserve">may </w:t>
      </w:r>
      <w:r>
        <w:t xml:space="preserve">mean there </w:t>
      </w:r>
      <w:r w:rsidR="00597913">
        <w:t>is</w:t>
      </w:r>
      <w:r>
        <w:t xml:space="preserve"> no s</w:t>
      </w:r>
      <w:r w:rsidR="000C6D63">
        <w:t> </w:t>
      </w:r>
      <w:r>
        <w:t xml:space="preserve">75 decision. I also agree with </w:t>
      </w:r>
      <w:r w:rsidR="00F62931">
        <w:t>applicant</w:t>
      </w:r>
      <w:r w:rsidR="00546018">
        <w:t>’s</w:t>
      </w:r>
      <w:r>
        <w:t xml:space="preserve"> </w:t>
      </w:r>
      <w:r w:rsidR="00546018">
        <w:t xml:space="preserve">written </w:t>
      </w:r>
      <w:r>
        <w:t>submissions at [32] that the s</w:t>
      </w:r>
      <w:r w:rsidR="000C6D63">
        <w:t> </w:t>
      </w:r>
      <w:r>
        <w:t>77A power has to accompany a s</w:t>
      </w:r>
      <w:r w:rsidR="000C6D63">
        <w:t> </w:t>
      </w:r>
      <w:r>
        <w:t xml:space="preserve">75 decision, </w:t>
      </w:r>
      <w:r w:rsidR="00095D86">
        <w:t xml:space="preserve">because it </w:t>
      </w:r>
      <w:r>
        <w:t>is another way of deciding an action is not a controlled action.</w:t>
      </w:r>
      <w:r w:rsidR="00546018">
        <w:t xml:space="preserve"> So much is now clear on the authority of the Full Court judgments in </w:t>
      </w:r>
      <w:r w:rsidR="00546018" w:rsidRPr="00546018">
        <w:rPr>
          <w:i/>
        </w:rPr>
        <w:t>Triabunna</w:t>
      </w:r>
      <w:r w:rsidR="00546018">
        <w:t xml:space="preserve">. </w:t>
      </w:r>
      <w:r w:rsidR="009B528D">
        <w:t xml:space="preserve">These propositions were not contested by the Minister. </w:t>
      </w:r>
    </w:p>
    <w:p w14:paraId="4C8B0086" w14:textId="77777777" w:rsidR="00D50DE0" w:rsidRDefault="00D50DE0" w:rsidP="00D50DE0">
      <w:pPr>
        <w:pStyle w:val="Heading3"/>
      </w:pPr>
      <w:r>
        <w:lastRenderedPageBreak/>
        <w:t>The RAA</w:t>
      </w:r>
    </w:p>
    <w:p w14:paraId="2A5889D4" w14:textId="69C01C86" w:rsidR="00C43EE2" w:rsidRDefault="00C43EE2" w:rsidP="0057623C">
      <w:pPr>
        <w:pStyle w:val="ParaNumbering"/>
      </w:pPr>
      <w:r>
        <w:t>The RAA has no status under the EPBC Act: this fact is not unimportant. The EPBC Act is, to say the least, a complicated legislative scheme. Legislative judgments have been carefully and thoroughly made about the circumstances in which the prohibitions in Pt</w:t>
      </w:r>
      <w:r w:rsidR="000C6D63">
        <w:t> </w:t>
      </w:r>
      <w:r>
        <w:t>3 of the Act are either not to be engaged (see for example s</w:t>
      </w:r>
      <w:r w:rsidR="000C6D63">
        <w:t> </w:t>
      </w:r>
      <w:r>
        <w:t xml:space="preserve">38 and my reasons for judgment in </w:t>
      </w:r>
      <w:r w:rsidR="006A5EFA">
        <w:rPr>
          <w:i/>
        </w:rPr>
        <w:t xml:space="preserve">Friends of </w:t>
      </w:r>
      <w:proofErr w:type="spellStart"/>
      <w:r w:rsidR="006A5EFA">
        <w:rPr>
          <w:i/>
        </w:rPr>
        <w:t>Leadbeater’s</w:t>
      </w:r>
      <w:proofErr w:type="spellEnd"/>
      <w:r w:rsidR="006A5EFA">
        <w:rPr>
          <w:i/>
        </w:rPr>
        <w:t xml:space="preserve"> Possum</w:t>
      </w:r>
      <w:r>
        <w:t>), or might be disengaged (a decision under s</w:t>
      </w:r>
      <w:r w:rsidR="000C6D63">
        <w:t> </w:t>
      </w:r>
      <w:r>
        <w:t>75 that an action is not a controlled action being one example).</w:t>
      </w:r>
    </w:p>
    <w:p w14:paraId="70C8054F" w14:textId="08BA803C" w:rsidR="00C43EE2" w:rsidRDefault="00C43EE2" w:rsidP="0057623C">
      <w:pPr>
        <w:pStyle w:val="ParaNumbering"/>
      </w:pPr>
      <w:r>
        <w:t xml:space="preserve">Part 4 sets out some of the substitute assessment processes </w:t>
      </w:r>
      <w:r w:rsidR="00473B0C">
        <w:t>recognised</w:t>
      </w:r>
      <w:r>
        <w:t xml:space="preserve"> by the </w:t>
      </w:r>
      <w:r w:rsidR="00473B0C">
        <w:t>legislative</w:t>
      </w:r>
      <w:r>
        <w:t xml:space="preserve"> scheme:</w:t>
      </w:r>
    </w:p>
    <w:p w14:paraId="476693E0" w14:textId="289E5F57" w:rsidR="00C43EE2" w:rsidRDefault="00C43EE2" w:rsidP="000C6D63">
      <w:pPr>
        <w:pStyle w:val="FCBullets"/>
      </w:pPr>
      <w:r>
        <w:t xml:space="preserve">A Ministerial </w:t>
      </w:r>
      <w:r w:rsidR="00473B0C">
        <w:t>declaration</w:t>
      </w:r>
      <w:r>
        <w:t xml:space="preserve"> might be made under s</w:t>
      </w:r>
      <w:r w:rsidR="000C6D63">
        <w:t> </w:t>
      </w:r>
      <w:r w:rsidR="005C31CD">
        <w:t>33</w:t>
      </w:r>
      <w:r>
        <w:t xml:space="preserve">, </w:t>
      </w:r>
      <w:r w:rsidR="00473B0C">
        <w:t>exempting</w:t>
      </w:r>
      <w:r>
        <w:t xml:space="preserve"> an action from the need to be </w:t>
      </w:r>
      <w:r w:rsidR="005C31CD">
        <w:t xml:space="preserve">approved </w:t>
      </w:r>
      <w:r>
        <w:t xml:space="preserve">under </w:t>
      </w:r>
      <w:r w:rsidR="00F62931">
        <w:t>Pt</w:t>
      </w:r>
      <w:r w:rsidR="000C6D63">
        <w:t> </w:t>
      </w:r>
      <w:r>
        <w:t xml:space="preserve">9, but this will only occur where there is an “accredited management </w:t>
      </w:r>
      <w:r w:rsidR="00473B0C">
        <w:t>arrangement</w:t>
      </w:r>
      <w:r>
        <w:t xml:space="preserve">” or an “accredited </w:t>
      </w:r>
      <w:r w:rsidR="00473B0C">
        <w:t>management</w:t>
      </w:r>
      <w:r>
        <w:t xml:space="preserve"> process”: see s</w:t>
      </w:r>
      <w:r w:rsidR="000C6D63">
        <w:t> </w:t>
      </w:r>
      <w:r>
        <w:t>32(</w:t>
      </w:r>
      <w:r w:rsidR="00D252B6">
        <w:t>a</w:t>
      </w:r>
      <w:r>
        <w:t xml:space="preserve">), and the </w:t>
      </w:r>
      <w:r w:rsidR="00473B0C">
        <w:t>definitions</w:t>
      </w:r>
      <w:r>
        <w:t xml:space="preserve"> of these terms in s</w:t>
      </w:r>
      <w:r w:rsidR="000C6D63">
        <w:t> </w:t>
      </w:r>
      <w:r>
        <w:t>33(2) and</w:t>
      </w:r>
      <w:r w:rsidR="00F62931">
        <w:t xml:space="preserve"> </w:t>
      </w:r>
      <w:r>
        <w:t>(2A).</w:t>
      </w:r>
    </w:p>
    <w:p w14:paraId="2F7C7D2F" w14:textId="6B303608" w:rsidR="00C43EE2" w:rsidRDefault="00C43EE2" w:rsidP="00095D86">
      <w:pPr>
        <w:pStyle w:val="FCBullets"/>
      </w:pPr>
      <w:r>
        <w:t>The taking of a</w:t>
      </w:r>
      <w:r w:rsidR="00473B0C">
        <w:t>n</w:t>
      </w:r>
      <w:r>
        <w:t xml:space="preserve"> </w:t>
      </w:r>
      <w:r w:rsidR="00473B0C">
        <w:t>action</w:t>
      </w:r>
      <w:r>
        <w:t xml:space="preserve"> </w:t>
      </w:r>
      <w:r w:rsidR="00473B0C">
        <w:t>m</w:t>
      </w:r>
      <w:r>
        <w:t xml:space="preserve">ight be covered by a bilateral agreement between the </w:t>
      </w:r>
      <w:r w:rsidR="00473B0C">
        <w:t>Commonwealth</w:t>
      </w:r>
      <w:r>
        <w:t xml:space="preserve"> and a State or Territory, on the </w:t>
      </w:r>
      <w:r w:rsidR="00473B0C">
        <w:t>basis</w:t>
      </w:r>
      <w:r>
        <w:t xml:space="preserve"> that under such an agreement the </w:t>
      </w:r>
      <w:r w:rsidR="00A00ACA">
        <w:t xml:space="preserve">Minister </w:t>
      </w:r>
      <w:r>
        <w:t xml:space="preserve">has accredited a management </w:t>
      </w:r>
      <w:r w:rsidR="00A00ACA">
        <w:t xml:space="preserve">arrangement </w:t>
      </w:r>
      <w:r w:rsidR="00095D86">
        <w:t>or an authorisation process.</w:t>
      </w:r>
    </w:p>
    <w:p w14:paraId="61D79D38" w14:textId="4FC2BFFF" w:rsidR="00597913" w:rsidRDefault="00597913" w:rsidP="0057623C">
      <w:pPr>
        <w:pStyle w:val="ParaNumbering"/>
      </w:pPr>
      <w:r>
        <w:t xml:space="preserve">The same is true of the broader, historical, exemption for the conduct of forestry operations: see my reasons in </w:t>
      </w:r>
      <w:r>
        <w:rPr>
          <w:i/>
        </w:rPr>
        <w:t xml:space="preserve">Friends of </w:t>
      </w:r>
      <w:proofErr w:type="spellStart"/>
      <w:r>
        <w:rPr>
          <w:i/>
        </w:rPr>
        <w:t>Leadbeater’s</w:t>
      </w:r>
      <w:proofErr w:type="spellEnd"/>
      <w:r>
        <w:rPr>
          <w:i/>
        </w:rPr>
        <w:t xml:space="preserve"> Possum </w:t>
      </w:r>
      <w:r>
        <w:t>at [95]-[135].</w:t>
      </w:r>
    </w:p>
    <w:p w14:paraId="32368CDA" w14:textId="06C4DF7F" w:rsidR="00473B0C" w:rsidRDefault="00473B0C" w:rsidP="0057623C">
      <w:pPr>
        <w:pStyle w:val="ParaNumbering"/>
      </w:pPr>
      <w:r>
        <w:t>Further, if the taking of an action is to be assessed under Pt</w:t>
      </w:r>
      <w:r w:rsidR="000C6D63">
        <w:t> </w:t>
      </w:r>
      <w:r>
        <w:t xml:space="preserve">8, after a decision </w:t>
      </w:r>
      <w:r w:rsidR="00726139">
        <w:t xml:space="preserve">made </w:t>
      </w:r>
      <w:r>
        <w:t>under s</w:t>
      </w:r>
      <w:r w:rsidR="000C6D63">
        <w:t> </w:t>
      </w:r>
      <w:r>
        <w:t xml:space="preserve">75 that it is a controlled action, various levels of scrutiny can be applied to the action, including a </w:t>
      </w:r>
      <w:r w:rsidR="001722B9">
        <w:t>State-</w:t>
      </w:r>
      <w:r>
        <w:t>based process: see s</w:t>
      </w:r>
      <w:r w:rsidR="000C6D63">
        <w:t> </w:t>
      </w:r>
      <w:r>
        <w:t>85, and the reference to an accredited assessment process.</w:t>
      </w:r>
    </w:p>
    <w:p w14:paraId="73769757" w14:textId="4E3C289E" w:rsidR="00473B0C" w:rsidRDefault="00473B0C" w:rsidP="0057623C">
      <w:pPr>
        <w:pStyle w:val="ParaNumbering"/>
      </w:pPr>
      <w:r>
        <w:t xml:space="preserve">The </w:t>
      </w:r>
      <w:r w:rsidR="00ED21E9">
        <w:t>point</w:t>
      </w:r>
      <w:r>
        <w:t xml:space="preserve"> to be made is that </w:t>
      </w:r>
      <w:r w:rsidR="00ED21E9">
        <w:t>Parliament</w:t>
      </w:r>
      <w:r>
        <w:t>, through this c</w:t>
      </w:r>
      <w:r w:rsidR="00ED21E9">
        <w:t>o</w:t>
      </w:r>
      <w:r>
        <w:t xml:space="preserve">mplex </w:t>
      </w:r>
      <w:r w:rsidR="00ED21E9">
        <w:t>legislative</w:t>
      </w:r>
      <w:r>
        <w:t xml:space="preserve"> scheme, has d</w:t>
      </w:r>
      <w:r w:rsidR="00842373">
        <w:t>ecided what kinds of substitute</w:t>
      </w:r>
      <w:r>
        <w:t xml:space="preserve"> assessment processes will meet the standards </w:t>
      </w:r>
      <w:r w:rsidR="00ED21E9">
        <w:t>required</w:t>
      </w:r>
      <w:r>
        <w:t xml:space="preserve"> to pro</w:t>
      </w:r>
      <w:r w:rsidR="00ED21E9">
        <w:t>t</w:t>
      </w:r>
      <w:r>
        <w:t xml:space="preserve">ect matters of national </w:t>
      </w:r>
      <w:r w:rsidR="00ED21E9">
        <w:t>environmental</w:t>
      </w:r>
      <w:r>
        <w:t xml:space="preserve"> </w:t>
      </w:r>
      <w:r w:rsidR="00ED21E9">
        <w:t>significance</w:t>
      </w:r>
      <w:r>
        <w:t xml:space="preserve">. </w:t>
      </w:r>
      <w:r w:rsidR="00F85342">
        <w:t>State-</w:t>
      </w:r>
      <w:r>
        <w:t xml:space="preserve">based processes have an </w:t>
      </w:r>
      <w:r w:rsidR="00ED21E9">
        <w:t>important</w:t>
      </w:r>
      <w:r>
        <w:t xml:space="preserve"> </w:t>
      </w:r>
      <w:r w:rsidR="00ED21E9">
        <w:t>role to</w:t>
      </w:r>
      <w:r>
        <w:t xml:space="preserve"> play, but that role has been </w:t>
      </w:r>
      <w:r w:rsidR="00ED21E9">
        <w:t>identified</w:t>
      </w:r>
      <w:r w:rsidR="00CD7A80">
        <w:t xml:space="preserve">, or provided for, </w:t>
      </w:r>
      <w:r>
        <w:t xml:space="preserve">in the EPBC Act itself. </w:t>
      </w:r>
    </w:p>
    <w:p w14:paraId="482855E0" w14:textId="6DA653D2" w:rsidR="00CD7A80" w:rsidRDefault="00473B0C" w:rsidP="00CD7A80">
      <w:pPr>
        <w:pStyle w:val="ParaNumbering"/>
      </w:pPr>
      <w:r>
        <w:t xml:space="preserve">The RAA is not included in the legislative scheme of the EPBC Act. It does not occur under a </w:t>
      </w:r>
      <w:r w:rsidR="00ED21E9">
        <w:t>bilateral</w:t>
      </w:r>
      <w:r>
        <w:t xml:space="preserve"> agreement. </w:t>
      </w:r>
      <w:r w:rsidR="00CD7A80">
        <w:t xml:space="preserve">As the </w:t>
      </w:r>
      <w:r w:rsidR="00F62931">
        <w:t>applicant</w:t>
      </w:r>
      <w:r w:rsidR="00CD7A80">
        <w:t xml:space="preserve"> </w:t>
      </w:r>
      <w:r w:rsidR="00A97FA6">
        <w:t>submitted</w:t>
      </w:r>
      <w:r w:rsidR="00CD7A80">
        <w:t xml:space="preserve">, the Minister has entered into a bilateral agreement with Tasmania under </w:t>
      </w:r>
      <w:proofErr w:type="spellStart"/>
      <w:r w:rsidR="00CD7A80">
        <w:t>Ch</w:t>
      </w:r>
      <w:proofErr w:type="spellEnd"/>
      <w:r w:rsidR="000C6D63">
        <w:t> </w:t>
      </w:r>
      <w:r w:rsidR="00CD7A80">
        <w:t>3 of the</w:t>
      </w:r>
      <w:r w:rsidR="003A0DD3">
        <w:t xml:space="preserve"> </w:t>
      </w:r>
      <w:r w:rsidR="00CD7A80">
        <w:t xml:space="preserve">Act. Schedule 1 to that bilateral agreement identifies three classes of action to which the bilateral agreement applies, defined by reference to assessments under specified provisions of the </w:t>
      </w:r>
      <w:r w:rsidR="00CD7A80" w:rsidRPr="005D03AB">
        <w:rPr>
          <w:i/>
        </w:rPr>
        <w:t>State Policies and Projects Act 1993</w:t>
      </w:r>
      <w:r w:rsidR="00CD7A80" w:rsidRPr="005D03AB">
        <w:t xml:space="preserve"> (</w:t>
      </w:r>
      <w:proofErr w:type="spellStart"/>
      <w:r w:rsidR="00CD7A80" w:rsidRPr="005D03AB">
        <w:t>Tas</w:t>
      </w:r>
      <w:proofErr w:type="spellEnd"/>
      <w:r w:rsidR="00CD7A80" w:rsidRPr="005D03AB">
        <w:t>)</w:t>
      </w:r>
      <w:r w:rsidR="00CD7A80">
        <w:t xml:space="preserve">, the </w:t>
      </w:r>
      <w:r w:rsidR="00CD7A80" w:rsidRPr="005D03AB">
        <w:rPr>
          <w:i/>
        </w:rPr>
        <w:t>Environmental Management and Pollution Control Act 1994</w:t>
      </w:r>
      <w:r w:rsidR="00CD7A80" w:rsidRPr="005D03AB">
        <w:t xml:space="preserve"> (</w:t>
      </w:r>
      <w:proofErr w:type="spellStart"/>
      <w:r w:rsidR="00CD7A80" w:rsidRPr="005D03AB">
        <w:t>Tas</w:t>
      </w:r>
      <w:proofErr w:type="spellEnd"/>
      <w:r w:rsidR="00CD7A80" w:rsidRPr="005D03AB">
        <w:t>)</w:t>
      </w:r>
      <w:r w:rsidR="00CD7A80">
        <w:t xml:space="preserve">, and the </w:t>
      </w:r>
      <w:r w:rsidR="00CD7A80" w:rsidRPr="005D03AB">
        <w:rPr>
          <w:i/>
        </w:rPr>
        <w:t xml:space="preserve">Land Use </w:t>
      </w:r>
      <w:r w:rsidR="00CD7A80" w:rsidRPr="005D03AB">
        <w:rPr>
          <w:i/>
        </w:rPr>
        <w:lastRenderedPageBreak/>
        <w:t>Planning and Approvals Act 1993</w:t>
      </w:r>
      <w:r w:rsidR="00CD7A80" w:rsidRPr="005D03AB">
        <w:t xml:space="preserve"> (</w:t>
      </w:r>
      <w:proofErr w:type="spellStart"/>
      <w:r w:rsidR="00CD7A80" w:rsidRPr="005D03AB">
        <w:t>Tas</w:t>
      </w:r>
      <w:proofErr w:type="spellEnd"/>
      <w:r w:rsidR="00CD7A80" w:rsidRPr="005D03AB">
        <w:t>)</w:t>
      </w:r>
      <w:r w:rsidR="00CD7A80">
        <w:t xml:space="preserve">. </w:t>
      </w:r>
      <w:r w:rsidR="00F85342">
        <w:t>The applicant submit</w:t>
      </w:r>
      <w:r w:rsidR="00A97FA6">
        <w:t>ted</w:t>
      </w:r>
      <w:r w:rsidR="00CD7A80">
        <w:t xml:space="preserve"> the RAA </w:t>
      </w:r>
      <w:r w:rsidR="00095D86">
        <w:t>p</w:t>
      </w:r>
      <w:r w:rsidR="00CD7A80">
        <w:t>rocess was not done under any of those provisions</w:t>
      </w:r>
      <w:r w:rsidR="00597913">
        <w:t>, and I accept that submission</w:t>
      </w:r>
      <w:r w:rsidR="00CD7A80">
        <w:t>.</w:t>
      </w:r>
    </w:p>
    <w:p w14:paraId="3F4C44B1" w14:textId="50F639D2" w:rsidR="00ED21E9" w:rsidRDefault="00CD7A80" w:rsidP="0057623C">
      <w:pPr>
        <w:pStyle w:val="ParaNumbering"/>
      </w:pPr>
      <w:r>
        <w:t>Nor is the RAA</w:t>
      </w:r>
      <w:r w:rsidR="00473B0C">
        <w:t xml:space="preserve"> an “</w:t>
      </w:r>
      <w:r w:rsidR="00ED21E9">
        <w:t>accredited</w:t>
      </w:r>
      <w:r w:rsidR="00473B0C">
        <w:t xml:space="preserve"> assessment process” </w:t>
      </w:r>
      <w:r w:rsidR="00ED21E9">
        <w:t>conducted</w:t>
      </w:r>
      <w:r w:rsidR="00473B0C">
        <w:t xml:space="preserve"> by the State of </w:t>
      </w:r>
      <w:r w:rsidR="00ED21E9">
        <w:t>Tasmania</w:t>
      </w:r>
      <w:r w:rsidR="00473B0C">
        <w:t xml:space="preserve">. It is not a recognised </w:t>
      </w:r>
      <w:r w:rsidR="00ED21E9">
        <w:t>substitute</w:t>
      </w:r>
      <w:r w:rsidR="00473B0C">
        <w:t xml:space="preserve"> for a Pt</w:t>
      </w:r>
      <w:r w:rsidR="000C6D63">
        <w:t> </w:t>
      </w:r>
      <w:r w:rsidR="00473B0C">
        <w:t>8 assessment. It is</w:t>
      </w:r>
      <w:r w:rsidR="00ED21E9">
        <w:t xml:space="preserve"> </w:t>
      </w:r>
      <w:r w:rsidR="00473B0C">
        <w:t xml:space="preserve">not, therefore, a process which is </w:t>
      </w:r>
      <w:r w:rsidR="00AC36D9">
        <w:t xml:space="preserve">intended </w:t>
      </w:r>
      <w:r w:rsidR="00473B0C">
        <w:t xml:space="preserve">to </w:t>
      </w:r>
      <w:r w:rsidR="00ED21E9">
        <w:t>enable the disengagement of Pt</w:t>
      </w:r>
      <w:r w:rsidR="000C6D63">
        <w:t> </w:t>
      </w:r>
      <w:r w:rsidR="00ED21E9">
        <w:t>8 and Pt</w:t>
      </w:r>
      <w:r w:rsidR="000C6D63">
        <w:t> </w:t>
      </w:r>
      <w:r w:rsidR="00ED21E9">
        <w:t>9.</w:t>
      </w:r>
    </w:p>
    <w:p w14:paraId="1CA7300D" w14:textId="63B8042A" w:rsidR="0057623C" w:rsidRDefault="0057623C" w:rsidP="0057623C">
      <w:pPr>
        <w:pStyle w:val="ParaNumbering"/>
      </w:pPr>
      <w:r>
        <w:t xml:space="preserve">Any conditions imposed under </w:t>
      </w:r>
      <w:r w:rsidR="00ED21E9">
        <w:t>the RAA,</w:t>
      </w:r>
      <w:r>
        <w:t xml:space="preserve"> or undertakings given by Wild Drake</w:t>
      </w:r>
      <w:r w:rsidR="00ED21E9">
        <w:t xml:space="preserve"> to the </w:t>
      </w:r>
      <w:r w:rsidR="00F85342">
        <w:t>PWS</w:t>
      </w:r>
      <w:r w:rsidR="00ED21E9">
        <w:t xml:space="preserve"> pursuant to the RAA </w:t>
      </w:r>
      <w:r>
        <w:t xml:space="preserve">cannot, in law, </w:t>
      </w:r>
      <w:r w:rsidR="00ED21E9">
        <w:t xml:space="preserve">be </w:t>
      </w:r>
      <w:r>
        <w:t xml:space="preserve">a substitute for the discharge of </w:t>
      </w:r>
      <w:r w:rsidR="00ED21E9">
        <w:t>the Minister’s</w:t>
      </w:r>
      <w:r>
        <w:t xml:space="preserve"> </w:t>
      </w:r>
      <w:r w:rsidR="00ED21E9">
        <w:t xml:space="preserve">(or delegate’s) </w:t>
      </w:r>
      <w:r>
        <w:t>statutory task</w:t>
      </w:r>
      <w:r w:rsidR="00ED21E9">
        <w:t xml:space="preserve"> under s</w:t>
      </w:r>
      <w:r w:rsidR="000C6D63">
        <w:t> </w:t>
      </w:r>
      <w:r w:rsidR="00ED21E9">
        <w:t>75</w:t>
      </w:r>
      <w:r>
        <w:t>.</w:t>
      </w:r>
    </w:p>
    <w:p w14:paraId="4AEB1C31" w14:textId="4C27EB09" w:rsidR="00C340B3" w:rsidRDefault="00C340B3" w:rsidP="00C340B3">
      <w:pPr>
        <w:pStyle w:val="Heading3"/>
      </w:pPr>
      <w:r w:rsidRPr="008E6A11">
        <w:t>Identifying the action for the purposes of</w:t>
      </w:r>
      <w:r>
        <w:t xml:space="preserve"> this statutory task</w:t>
      </w:r>
    </w:p>
    <w:p w14:paraId="76B9F3CE" w14:textId="381C6053" w:rsidR="00473F56" w:rsidRDefault="00C17FFB" w:rsidP="007C5A83">
      <w:pPr>
        <w:pStyle w:val="ParaNumbering"/>
      </w:pPr>
      <w:r>
        <w:t xml:space="preserve">In </w:t>
      </w:r>
      <w:r w:rsidRPr="001C0256">
        <w:rPr>
          <w:i/>
        </w:rPr>
        <w:t>Triabunna</w:t>
      </w:r>
      <w:r w:rsidR="00892D5C">
        <w:t xml:space="preserve">, each of the judgments </w:t>
      </w:r>
      <w:r w:rsidR="009C07AE">
        <w:t xml:space="preserve">of </w:t>
      </w:r>
      <w:r w:rsidR="00892D5C">
        <w:t xml:space="preserve">the Full Court </w:t>
      </w:r>
      <w:r w:rsidR="00A97FA6">
        <w:t xml:space="preserve">made </w:t>
      </w:r>
      <w:r w:rsidR="00473F56">
        <w:t>some observations relevant to the question of how to identify the action for the purposes of the statutory task in s</w:t>
      </w:r>
      <w:r w:rsidR="000C6D63">
        <w:t> </w:t>
      </w:r>
      <w:r w:rsidR="00473F56">
        <w:t>75.</w:t>
      </w:r>
    </w:p>
    <w:p w14:paraId="202CC585" w14:textId="6D2E19B2" w:rsidR="00473F56" w:rsidRDefault="00117634" w:rsidP="007C5A83">
      <w:pPr>
        <w:pStyle w:val="ParaNumbering"/>
      </w:pPr>
      <w:r>
        <w:t xml:space="preserve">Justice </w:t>
      </w:r>
      <w:r w:rsidR="00473F56">
        <w:t xml:space="preserve">Besanko </w:t>
      </w:r>
      <w:r w:rsidR="00A97FA6">
        <w:t xml:space="preserve">emphasised </w:t>
      </w:r>
      <w:r w:rsidR="00473F56">
        <w:t>the need to look carefully at the relevant facts (at [11]-[12], and [14]):</w:t>
      </w:r>
    </w:p>
    <w:p w14:paraId="11940525" w14:textId="1A3841E5" w:rsidR="00473F56" w:rsidRPr="00473F56" w:rsidRDefault="00473F56" w:rsidP="001C0256">
      <w:pPr>
        <w:pStyle w:val="Quote1"/>
      </w:pPr>
      <w:r w:rsidRPr="00473F56">
        <w:t>In my respectful opinion, the answer lies in the facts.  The question is whether the particular matters are capable of being characterised as particular manner requirements and then, importantly, whether the Minister believes that Part 3 is not a controlling provision for the action because the action will be taken in accordance with those particular matters.  If yes, then those matters must be specified in the notice given under s 77 by reason of s 77A of the Act.  Whether the matter is part of the initial proposal or added later by the applicant who identifies it as a mitigating feature is not to the point; it is its significance to the decision-making process which is important.</w:t>
      </w:r>
    </w:p>
    <w:p w14:paraId="20F6EB33" w14:textId="77777777" w:rsidR="00473F56" w:rsidRDefault="00473F56" w:rsidP="001C0256">
      <w:pPr>
        <w:pStyle w:val="Quote1"/>
      </w:pPr>
      <w:r w:rsidRPr="00473F56">
        <w:t xml:space="preserve">The use of K-Grid and of bundled lines are certainly capable of being particular manner requirements.  In my opinion, a close examination of the delegate’s reasons indicates that the use of K-Grid and of bundled lines were reasons the delegate believed that </w:t>
      </w:r>
      <w:proofErr w:type="spellStart"/>
      <w:r w:rsidRPr="00473F56">
        <w:t>ss</w:t>
      </w:r>
      <w:proofErr w:type="spellEnd"/>
      <w:r w:rsidRPr="00473F56">
        <w:t xml:space="preserve"> 18 and 18A of the Act were not controlling provisions for the proposed action.  The delegate made it clear in [34] of his reasons that the risks of entanglement, vessel strikes and noise disturbance would be significant in terms of impact and, therefore, engage </w:t>
      </w:r>
      <w:proofErr w:type="spellStart"/>
      <w:r w:rsidRPr="00473F56">
        <w:t>ss</w:t>
      </w:r>
      <w:proofErr w:type="spellEnd"/>
      <w:r w:rsidRPr="00473F56">
        <w:t xml:space="preserve"> 18 and 18A of the Act, but for the mitigating measures directed to those matters.  In my opinion, [30] and [31] of the delegate’s reasons make it quite clear that the use of K-Grid and of bundled lines were part of the measures which reduced the impacts of the action to a level below significant</w:t>
      </w:r>
      <w:r>
        <w:t>.</w:t>
      </w:r>
    </w:p>
    <w:p w14:paraId="04FFC981" w14:textId="10A834E6" w:rsidR="00C17FFB" w:rsidRPr="00473F56" w:rsidRDefault="00473F56" w:rsidP="001C0256">
      <w:pPr>
        <w:pStyle w:val="Quote1"/>
      </w:pPr>
      <w:r>
        <w:t>….</w:t>
      </w:r>
      <w:r w:rsidRPr="00473F56">
        <w:t xml:space="preserve"> </w:t>
      </w:r>
      <w:r w:rsidR="00892D5C" w:rsidRPr="00473F56">
        <w:t xml:space="preserve"> </w:t>
      </w:r>
    </w:p>
    <w:p w14:paraId="16EFF85B" w14:textId="0404CDEF" w:rsidR="00C340B3" w:rsidRDefault="00473F56" w:rsidP="001C0256">
      <w:pPr>
        <w:pStyle w:val="Quote1"/>
      </w:pPr>
      <w:r w:rsidRPr="00473F56">
        <w:t>As I have said, the approach of the primary judge as to the use of K-Grid, and the parties on the appeal both as to the use of K-Grid and of bundled lines, proceeded on that basis that they were important features of the proposed action.  In light of the delegate’s reasons, that approach is correct.  It means, I think, that there is only one possible outcome in terms of the correct approach to the decision-making process and that is that the use of K-Grid and of bundled lines should be included in particular manner requirements in the notice under s 77 of the Act.</w:t>
      </w:r>
    </w:p>
    <w:p w14:paraId="6D30B774" w14:textId="3235BA5D" w:rsidR="00DD7EEF" w:rsidRDefault="00DD7EEF" w:rsidP="00473F56">
      <w:pPr>
        <w:pStyle w:val="ParaNumbering"/>
      </w:pPr>
      <w:r>
        <w:lastRenderedPageBreak/>
        <w:t>Ultimately, and despite the absence of any reference to s 77A in the brief</w:t>
      </w:r>
      <w:r w:rsidR="00A73BC3">
        <w:t xml:space="preserve"> to the delegate</w:t>
      </w:r>
      <w:r>
        <w:t xml:space="preserve">, the approach I have taken to the delegate’s decision in this case is not dissimilar from Besanko J’s approach in </w:t>
      </w:r>
      <w:r w:rsidRPr="00DD7EEF">
        <w:rPr>
          <w:i/>
        </w:rPr>
        <w:t>Triabunna</w:t>
      </w:r>
      <w:r>
        <w:t>.</w:t>
      </w:r>
    </w:p>
    <w:p w14:paraId="45AC41CB" w14:textId="2E0D5607" w:rsidR="006213E1" w:rsidRDefault="00473F56" w:rsidP="00473F56">
      <w:pPr>
        <w:pStyle w:val="ParaNumbering"/>
      </w:pPr>
      <w:r>
        <w:t xml:space="preserve">At [49], Flick J </w:t>
      </w:r>
      <w:r w:rsidR="00A97FA6">
        <w:t xml:space="preserve">emphasised </w:t>
      </w:r>
      <w:r>
        <w:t xml:space="preserve">that the regulatory requirement to “describe” a “proposed action” (in the </w:t>
      </w:r>
      <w:r w:rsidR="00A73BC3">
        <w:t>Regulations</w:t>
      </w:r>
      <w:r>
        <w:t>)</w:t>
      </w:r>
      <w:r w:rsidR="00546018">
        <w:t xml:space="preserve"> must be understood in</w:t>
      </w:r>
      <w:r w:rsidR="006213E1">
        <w:t xml:space="preserve"> the context of the scheme’s provision for persons other than the proponent to make a referral: that is, </w:t>
      </w:r>
      <w:r w:rsidR="00AC36D9">
        <w:t>it may well be a</w:t>
      </w:r>
      <w:r w:rsidR="006213E1">
        <w:t xml:space="preserve"> person other than the proponent </w:t>
      </w:r>
      <w:r w:rsidR="00AC36D9">
        <w:t>who will be, for the purposes of Pts 8 and 9,</w:t>
      </w:r>
      <w:r w:rsidR="006213E1">
        <w:t xml:space="preserve"> describing the “action”.</w:t>
      </w:r>
    </w:p>
    <w:p w14:paraId="3E69F291" w14:textId="400981D0" w:rsidR="00F008F1" w:rsidRDefault="00F008F1" w:rsidP="00473F56">
      <w:pPr>
        <w:pStyle w:val="ParaNumbering"/>
      </w:pPr>
      <w:r w:rsidRPr="00F008F1">
        <w:t>In my respectful opinion, what constitutes an</w:t>
      </w:r>
      <w:r w:rsidR="006213E1" w:rsidRPr="00F008F1">
        <w:t xml:space="preserve"> action is not</w:t>
      </w:r>
      <w:r w:rsidR="006213E1">
        <w:t xml:space="preserve"> a subjective issue: it has to be objectively capable of being identified. It is a stat</w:t>
      </w:r>
      <w:r>
        <w:t>utory</w:t>
      </w:r>
      <w:r w:rsidR="006213E1">
        <w:t xml:space="preserve"> concept, including a concept upon which criminal liability can turn. While it might be </w:t>
      </w:r>
      <w:r w:rsidR="004F04E4">
        <w:t>fact-</w:t>
      </w:r>
      <w:r w:rsidR="006213E1">
        <w:t>dependent, ultimately, there must be a correct, and an incorrect</w:t>
      </w:r>
      <w:r>
        <w:t>,</w:t>
      </w:r>
      <w:r w:rsidR="006213E1">
        <w:t xml:space="preserve"> identif</w:t>
      </w:r>
      <w:r>
        <w:t>ication</w:t>
      </w:r>
      <w:r w:rsidR="006213E1">
        <w:t xml:space="preserve"> of an action in order for the scheme to operate</w:t>
      </w:r>
      <w:r w:rsidR="004F04E4">
        <w:t>:</w:t>
      </w:r>
      <w:r w:rsidR="00C94A9E">
        <w:t xml:space="preserve"> see my reasons in </w:t>
      </w:r>
      <w:r w:rsidR="00C94A9E" w:rsidRPr="00716246">
        <w:rPr>
          <w:i/>
        </w:rPr>
        <w:t>Tri</w:t>
      </w:r>
      <w:r w:rsidR="004F04E4">
        <w:rPr>
          <w:i/>
        </w:rPr>
        <w:t>a</w:t>
      </w:r>
      <w:r w:rsidR="00C94A9E" w:rsidRPr="00716246">
        <w:rPr>
          <w:i/>
        </w:rPr>
        <w:t>bunna</w:t>
      </w:r>
      <w:r>
        <w:t xml:space="preserve"> at [193]. </w:t>
      </w:r>
    </w:p>
    <w:p w14:paraId="45641C00" w14:textId="5712D560" w:rsidR="00E4385F" w:rsidRDefault="00F008F1" w:rsidP="00E4385F">
      <w:pPr>
        <w:pStyle w:val="ParaNumbering"/>
      </w:pPr>
      <w:r>
        <w:t>While</w:t>
      </w:r>
      <w:r w:rsidR="0042632A">
        <w:t>,</w:t>
      </w:r>
      <w:r>
        <w:t xml:space="preserve"> as </w:t>
      </w:r>
      <w:r w:rsidR="00516C17">
        <w:t>Flick J</w:t>
      </w:r>
      <w:r>
        <w:t xml:space="preserve"> </w:t>
      </w:r>
      <w:r w:rsidR="00A97FA6">
        <w:t xml:space="preserve">observed </w:t>
      </w:r>
      <w:r>
        <w:t xml:space="preserve">in </w:t>
      </w:r>
      <w:r w:rsidRPr="00EA7668">
        <w:rPr>
          <w:i/>
        </w:rPr>
        <w:t>Triabunna</w:t>
      </w:r>
      <w:r w:rsidR="00B36918">
        <w:rPr>
          <w:i/>
        </w:rPr>
        <w:t xml:space="preserve"> </w:t>
      </w:r>
      <w:r w:rsidR="00B36918">
        <w:t>at [51]</w:t>
      </w:r>
      <w:r>
        <w:t xml:space="preserve">, </w:t>
      </w:r>
      <w:r w:rsidR="00516C17">
        <w:t xml:space="preserve">there </w:t>
      </w:r>
      <w:r>
        <w:t>may be</w:t>
      </w:r>
      <w:r w:rsidR="00516C17">
        <w:t xml:space="preserve"> no “legislative imperative” to </w:t>
      </w:r>
      <w:r w:rsidR="00516C17" w:rsidRPr="00F008F1">
        <w:rPr>
          <w:i/>
        </w:rPr>
        <w:t>describe</w:t>
      </w:r>
      <w:r w:rsidR="00516C17">
        <w:t xml:space="preserve"> the proposed action</w:t>
      </w:r>
      <w:r w:rsidR="0042632A">
        <w:t xml:space="preserve"> “with particularity”</w:t>
      </w:r>
      <w:r>
        <w:t xml:space="preserve">, </w:t>
      </w:r>
      <w:r w:rsidR="00516C17" w:rsidRPr="00F008F1">
        <w:rPr>
          <w:i/>
        </w:rPr>
        <w:t>identification</w:t>
      </w:r>
      <w:r w:rsidR="00516C17">
        <w:t xml:space="preserve"> </w:t>
      </w:r>
      <w:r>
        <w:t xml:space="preserve">of the proposed action </w:t>
      </w:r>
      <w:r w:rsidR="00516C17">
        <w:t xml:space="preserve">is critical to the </w:t>
      </w:r>
      <w:r>
        <w:t>legislative scheme, including the civil and criminal prohibitions in Pt 3. The concept of “action” in the legislative scheme is distinct from</w:t>
      </w:r>
      <w:r w:rsidR="008E6A11">
        <w:t xml:space="preserve">, and anterior to, </w:t>
      </w:r>
      <w:r>
        <w:t xml:space="preserve">the concept of the </w:t>
      </w:r>
      <w:r w:rsidR="00F80C1C">
        <w:t>“</w:t>
      </w:r>
      <w:r>
        <w:t>impact</w:t>
      </w:r>
      <w:r w:rsidR="00F80C1C">
        <w:t>”</w:t>
      </w:r>
      <w:r>
        <w:t>, or consequences of an action</w:t>
      </w:r>
      <w:r w:rsidR="00B36918">
        <w:t>. T</w:t>
      </w:r>
      <w:r>
        <w:t>hat distinction is also a key component of the scheme. That distinction could be obliterated, or rendered meaningless</w:t>
      </w:r>
      <w:r w:rsidR="00F80C1C">
        <w:t>,</w:t>
      </w:r>
      <w:r>
        <w:t xml:space="preserve"> if it was the case that an action could be defined down to its minutiae and could include all the mitigation or avoidance measures that might be necessary to avoid the likelihood of an impact. </w:t>
      </w:r>
      <w:r w:rsidR="00E4385F">
        <w:t>Mitigation</w:t>
      </w:r>
      <w:r>
        <w:t xml:space="preserve"> or avoidance measures, agreement to refrain from taking an action in a particular manner, changes to the manner in which an action might be</w:t>
      </w:r>
      <w:r w:rsidR="00C91E7F">
        <w:t xml:space="preserve"> </w:t>
      </w:r>
      <w:r>
        <w:t>taken – all these matt</w:t>
      </w:r>
      <w:r w:rsidR="00E4385F">
        <w:t>ers might end up being specifie</w:t>
      </w:r>
      <w:r>
        <w:t>d</w:t>
      </w:r>
      <w:r w:rsidR="00E4385F">
        <w:t xml:space="preserve"> </w:t>
      </w:r>
      <w:r>
        <w:t>in a s</w:t>
      </w:r>
      <w:r w:rsidR="003A7736">
        <w:t> </w:t>
      </w:r>
      <w:r>
        <w:t xml:space="preserve">77A decision, or they might end up as </w:t>
      </w:r>
      <w:r w:rsidR="00E4385F">
        <w:t>conditions</w:t>
      </w:r>
      <w:r>
        <w:t xml:space="preserve"> if an action becomes a controlled action</w:t>
      </w:r>
      <w:r w:rsidR="00F80C1C">
        <w:t xml:space="preserve">. But </w:t>
      </w:r>
      <w:r>
        <w:t xml:space="preserve">in my </w:t>
      </w:r>
      <w:r w:rsidR="00DD7EEF">
        <w:t xml:space="preserve">opinion </w:t>
      </w:r>
      <w:r w:rsidR="00E4385F">
        <w:t>one cannot</w:t>
      </w:r>
      <w:r>
        <w:t xml:space="preserve"> escape the </w:t>
      </w:r>
      <w:r w:rsidR="00E4385F">
        <w:t>fundamental</w:t>
      </w:r>
      <w:r>
        <w:t xml:space="preserve"> structure of the legislative scheme </w:t>
      </w:r>
      <w:r w:rsidR="00E4385F">
        <w:t xml:space="preserve">by seeking to incorporate into the concept of an </w:t>
      </w:r>
      <w:r w:rsidR="00610B2B">
        <w:t>“</w:t>
      </w:r>
      <w:r w:rsidR="00E4385F">
        <w:t>action” the very protection</w:t>
      </w:r>
      <w:r w:rsidR="008E6A11">
        <w:t>s, through</w:t>
      </w:r>
      <w:r w:rsidR="00E4385F">
        <w:t xml:space="preserve"> mitigation </w:t>
      </w:r>
      <w:r w:rsidR="008E6A11">
        <w:t xml:space="preserve">and avoidance </w:t>
      </w:r>
      <w:r w:rsidR="00E4385F">
        <w:t>measures</w:t>
      </w:r>
      <w:r w:rsidR="008E6A11">
        <w:t xml:space="preserve">, which </w:t>
      </w:r>
      <w:r w:rsidR="00E4385F">
        <w:t xml:space="preserve">the Act seeks to ensure are observed for matters of </w:t>
      </w:r>
      <w:r w:rsidR="00DD7EEF">
        <w:t>national environmental significance</w:t>
      </w:r>
      <w:r w:rsidR="00E4385F">
        <w:t>. The Act does not establish some kind of executive negotiation mechanism between a proponent, the Minister and her or his Department, away from public scrutiny, by which some agreement can be reached</w:t>
      </w:r>
      <w:r w:rsidR="00DD7EEF">
        <w:t xml:space="preserve"> as to a suite of mitigation and avoidance measures</w:t>
      </w:r>
      <w:r w:rsidR="00E4385F">
        <w:t xml:space="preserve"> so that it is only where a negotiated outcome cannot be reached that Pt 8 and </w:t>
      </w:r>
      <w:r w:rsidR="00DD7EEF">
        <w:t xml:space="preserve">Pt </w:t>
      </w:r>
      <w:r w:rsidR="00E4385F">
        <w:t xml:space="preserve">9 are engaged. </w:t>
      </w:r>
    </w:p>
    <w:p w14:paraId="399C7A7A" w14:textId="77777777" w:rsidR="00546018" w:rsidRDefault="00546018" w:rsidP="00546018">
      <w:pPr>
        <w:pStyle w:val="Heading2"/>
      </w:pPr>
      <w:r>
        <w:lastRenderedPageBreak/>
        <w:t>Ground 1</w:t>
      </w:r>
    </w:p>
    <w:p w14:paraId="4A424CAC" w14:textId="4A9DFF51" w:rsidR="000A6142" w:rsidRDefault="00A26CD2" w:rsidP="00A26CD2">
      <w:pPr>
        <w:pStyle w:val="ParaNumbering"/>
      </w:pPr>
      <w:r>
        <w:t>The applicant’s submissions about the nature and relevant content and processes of the Management Plan for the TWWHA</w:t>
      </w:r>
      <w:r w:rsidR="006C412B">
        <w:t>, including the RAA process,</w:t>
      </w:r>
      <w:r>
        <w:t xml:space="preserve"> are set out at [43]-[60] of its</w:t>
      </w:r>
      <w:r w:rsidR="006C412B">
        <w:t xml:space="preserve"> principal written</w:t>
      </w:r>
      <w:r>
        <w:t xml:space="preserve"> submissions, and the M</w:t>
      </w:r>
      <w:r w:rsidR="003A7736">
        <w:t>inister</w:t>
      </w:r>
      <w:r>
        <w:t xml:space="preserve">’s submissions did not in substance dispute what is in those paragraphs. I accept them. </w:t>
      </w:r>
      <w:r w:rsidR="008E6A11">
        <w:t xml:space="preserve">As well as the Management Plan, the </w:t>
      </w:r>
      <w:r>
        <w:t xml:space="preserve">regulatory mechanism employed </w:t>
      </w:r>
      <w:r w:rsidR="00611D9E">
        <w:t xml:space="preserve">in respect of </w:t>
      </w:r>
      <w:r>
        <w:t xml:space="preserve">the </w:t>
      </w:r>
      <w:r w:rsidR="004073B0">
        <w:t xml:space="preserve">use of land in the </w:t>
      </w:r>
      <w:r w:rsidR="009011D2">
        <w:t>TWWHA</w:t>
      </w:r>
      <w:r w:rsidR="006C412B">
        <w:t xml:space="preserve"> </w:t>
      </w:r>
      <w:r>
        <w:t>appears to be (relevantly) the grant of a lease or licence under s</w:t>
      </w:r>
      <w:r w:rsidR="003A7736">
        <w:t> </w:t>
      </w:r>
      <w:r>
        <w:t xml:space="preserve">48 </w:t>
      </w:r>
      <w:r w:rsidR="00611D9E">
        <w:t xml:space="preserve">of the </w:t>
      </w:r>
      <w:r w:rsidR="009011D2">
        <w:t>NPRM Act</w:t>
      </w:r>
      <w:r w:rsidR="00611D9E">
        <w:t xml:space="preserve"> </w:t>
      </w:r>
      <w:r>
        <w:t>and the potential to cancel that lease or licence under s</w:t>
      </w:r>
      <w:r w:rsidR="003A7736">
        <w:t> </w:t>
      </w:r>
      <w:r>
        <w:t>51, for – amongst other matters – breach of conditions.</w:t>
      </w:r>
      <w:r w:rsidR="000A6142">
        <w:t xml:space="preserve"> </w:t>
      </w:r>
    </w:p>
    <w:p w14:paraId="155A58A7" w14:textId="45AD2DED" w:rsidR="00A26CD2" w:rsidRDefault="000A6142" w:rsidP="00A26CD2">
      <w:pPr>
        <w:pStyle w:val="ParaNumbering"/>
      </w:pPr>
      <w:r>
        <w:t>The</w:t>
      </w:r>
      <w:r w:rsidR="00A26CD2">
        <w:t xml:space="preserve"> </w:t>
      </w:r>
      <w:r w:rsidR="003645AF">
        <w:t xml:space="preserve">Management Plan </w:t>
      </w:r>
      <w:r w:rsidR="00A26CD2">
        <w:t xml:space="preserve">purports to adhere to the requirements of </w:t>
      </w:r>
      <w:r>
        <w:t>s</w:t>
      </w:r>
      <w:r w:rsidR="003A7736">
        <w:t> </w:t>
      </w:r>
      <w:r>
        <w:t>321</w:t>
      </w:r>
      <w:r w:rsidR="003A7736">
        <w:t xml:space="preserve"> and s </w:t>
      </w:r>
      <w:r>
        <w:t>322</w:t>
      </w:r>
      <w:r w:rsidR="00A26CD2">
        <w:t xml:space="preserve"> of the EPBC Act</w:t>
      </w:r>
      <w:r w:rsidR="00954D4E">
        <w:t>, concerning the management of World Heritage properties</w:t>
      </w:r>
      <w:r w:rsidR="003645AF">
        <w:t xml:space="preserve">. </w:t>
      </w:r>
      <w:r>
        <w:t>Section 321 provides:</w:t>
      </w:r>
    </w:p>
    <w:p w14:paraId="2C76147D" w14:textId="31A93E0F" w:rsidR="003A7736" w:rsidRPr="003A7736" w:rsidRDefault="003A7736" w:rsidP="003A7736">
      <w:pPr>
        <w:pStyle w:val="Quote1"/>
        <w:rPr>
          <w:b/>
        </w:rPr>
      </w:pPr>
      <w:r w:rsidRPr="003A7736">
        <w:rPr>
          <w:b/>
        </w:rPr>
        <w:t>321  Co‑operating to prepare and implement plans</w:t>
      </w:r>
    </w:p>
    <w:p w14:paraId="24306011" w14:textId="2FC579D8" w:rsidR="003A7736" w:rsidRDefault="003A7736" w:rsidP="003A7736">
      <w:pPr>
        <w:pStyle w:val="Quote2"/>
        <w:ind w:left="2160" w:hanging="720"/>
      </w:pPr>
      <w:r>
        <w:t>(1)</w:t>
      </w:r>
      <w:r>
        <w:tab/>
        <w:t>This section applies in relation to a property that is included in the World Heritage List.</w:t>
      </w:r>
    </w:p>
    <w:p w14:paraId="75E4C451" w14:textId="77D9D13E" w:rsidR="003A7736" w:rsidRDefault="003A7736" w:rsidP="003A7736">
      <w:pPr>
        <w:pStyle w:val="Quote2"/>
        <w:ind w:left="2160" w:hanging="720"/>
      </w:pPr>
      <w:r>
        <w:t>(2)</w:t>
      </w:r>
      <w:r>
        <w:tab/>
        <w:t>The Commonwealth must use its best endeavours to ensure a plan for managing the property in a way that is not inconsistent with Australia’s obligations under the World Heritage Convention or the Australian World Heritage management principles is prepared and implemented in co‑operation with the State or Territory.</w:t>
      </w:r>
    </w:p>
    <w:p w14:paraId="5F071607" w14:textId="19E6AD59" w:rsidR="003A7736" w:rsidRPr="003A7736" w:rsidRDefault="003A7736" w:rsidP="003A7736">
      <w:pPr>
        <w:pStyle w:val="Quote3"/>
        <w:ind w:left="2880" w:hanging="720"/>
        <w:rPr>
          <w:sz w:val="16"/>
          <w:szCs w:val="16"/>
        </w:rPr>
      </w:pPr>
      <w:r w:rsidRPr="003A7736">
        <w:rPr>
          <w:sz w:val="16"/>
          <w:szCs w:val="16"/>
        </w:rPr>
        <w:t>Note:</w:t>
      </w:r>
      <w:r w:rsidRPr="003A7736">
        <w:rPr>
          <w:sz w:val="16"/>
          <w:szCs w:val="16"/>
        </w:rPr>
        <w:tab/>
        <w:t>The Commonwealth and the State or Territory could make a bilateral agreement adopting the plan and providing for its implementation.</w:t>
      </w:r>
    </w:p>
    <w:p w14:paraId="43D4D5D9" w14:textId="3F10909F" w:rsidR="003A7736" w:rsidRDefault="003A7736" w:rsidP="003A7736">
      <w:pPr>
        <w:pStyle w:val="Quote2"/>
        <w:ind w:left="2160" w:hanging="720"/>
      </w:pPr>
      <w:r>
        <w:t>(3)</w:t>
      </w:r>
      <w:r>
        <w:tab/>
        <w:t>Subsection (2) does not apply in relation to so much of a property as is in the Great Barrier Reef Marine Park.</w:t>
      </w:r>
    </w:p>
    <w:p w14:paraId="2818CD5B" w14:textId="64271EE1" w:rsidR="003A7736" w:rsidRPr="003A7736" w:rsidRDefault="003A7736" w:rsidP="003A7736">
      <w:pPr>
        <w:pStyle w:val="Quote3"/>
        <w:ind w:left="2880" w:hanging="720"/>
        <w:rPr>
          <w:sz w:val="16"/>
          <w:szCs w:val="16"/>
        </w:rPr>
      </w:pPr>
      <w:r w:rsidRPr="003A7736">
        <w:rPr>
          <w:sz w:val="16"/>
          <w:szCs w:val="16"/>
        </w:rPr>
        <w:t>Note</w:t>
      </w:r>
      <w:r>
        <w:rPr>
          <w:sz w:val="16"/>
          <w:szCs w:val="16"/>
        </w:rPr>
        <w:t>:</w:t>
      </w:r>
      <w:r>
        <w:rPr>
          <w:sz w:val="16"/>
          <w:szCs w:val="16"/>
        </w:rPr>
        <w:tab/>
      </w:r>
      <w:r w:rsidRPr="003A7736">
        <w:rPr>
          <w:sz w:val="16"/>
          <w:szCs w:val="16"/>
        </w:rPr>
        <w:t xml:space="preserve">A zoning plan must be prepared under the </w:t>
      </w:r>
      <w:r w:rsidRPr="00095D86">
        <w:rPr>
          <w:i/>
          <w:sz w:val="16"/>
          <w:szCs w:val="16"/>
        </w:rPr>
        <w:t>Great Barrier Reef Marine Park Act 1975</w:t>
      </w:r>
      <w:r w:rsidRPr="003A7736">
        <w:rPr>
          <w:sz w:val="16"/>
          <w:szCs w:val="16"/>
        </w:rPr>
        <w:t xml:space="preserve"> for areas that are part of the Great Barrier Reef Marine Park. In preparing a zoning plan, regard must be had to the Australian World Heritage management principles.</w:t>
      </w:r>
    </w:p>
    <w:p w14:paraId="2AF2EE5D" w14:textId="445A4523" w:rsidR="000A6142" w:rsidRDefault="000A6142" w:rsidP="00A26CD2">
      <w:pPr>
        <w:pStyle w:val="ParaNumbering"/>
      </w:pPr>
      <w:r>
        <w:t xml:space="preserve">Thus, one of the purposes of the TWWHA </w:t>
      </w:r>
      <w:r w:rsidR="004F6CD4">
        <w:t xml:space="preserve">Management Plan </w:t>
      </w:r>
      <w:r>
        <w:t xml:space="preserve">is </w:t>
      </w:r>
      <w:r w:rsidR="00DD7EEF">
        <w:t xml:space="preserve">the </w:t>
      </w:r>
      <w:r>
        <w:t xml:space="preserve">discharge of the Commonwealth’s obligation under this provision, and in </w:t>
      </w:r>
      <w:r w:rsidR="00DD7EEF">
        <w:t xml:space="preserve">that </w:t>
      </w:r>
      <w:r>
        <w:t>discharge</w:t>
      </w:r>
      <w:r w:rsidR="00DD7EEF">
        <w:t>, compliance with its</w:t>
      </w:r>
      <w:r>
        <w:t xml:space="preserve"> international obligations under the World Heritage Convention. The </w:t>
      </w:r>
      <w:r w:rsidR="004F6CD4">
        <w:t xml:space="preserve">Plan </w:t>
      </w:r>
      <w:r>
        <w:t xml:space="preserve">states </w:t>
      </w:r>
      <w:r w:rsidR="004F6CD4">
        <w:t xml:space="preserve">as </w:t>
      </w:r>
      <w:r>
        <w:t>much in the executive summary.</w:t>
      </w:r>
      <w:r w:rsidRPr="000A6142">
        <w:t xml:space="preserve"> </w:t>
      </w:r>
      <w:r w:rsidR="008E6A11">
        <w:t xml:space="preserve">These purposes are also reflected in </w:t>
      </w:r>
      <w:proofErr w:type="spellStart"/>
      <w:r w:rsidR="008E6A11">
        <w:t>Sch</w:t>
      </w:r>
      <w:proofErr w:type="spellEnd"/>
      <w:r w:rsidR="008E6A11">
        <w:t xml:space="preserve"> 5 of the Regulations. </w:t>
      </w:r>
      <w:r>
        <w:t>However, there is no suggestion by the terms of s</w:t>
      </w:r>
      <w:r w:rsidR="003A7736">
        <w:t> </w:t>
      </w:r>
      <w:r>
        <w:t>321</w:t>
      </w:r>
      <w:r w:rsidR="003A7736">
        <w:t xml:space="preserve"> and s </w:t>
      </w:r>
      <w:r>
        <w:t>322 of the EP</w:t>
      </w:r>
      <w:r w:rsidR="003A7736">
        <w:t>B</w:t>
      </w:r>
      <w:r>
        <w:t xml:space="preserve">C Act that the existence of a management plan in </w:t>
      </w:r>
      <w:r w:rsidR="00EA7668">
        <w:t>W</w:t>
      </w:r>
      <w:r>
        <w:t xml:space="preserve">orld </w:t>
      </w:r>
      <w:r w:rsidR="00EA7668">
        <w:t>H</w:t>
      </w:r>
      <w:r>
        <w:t xml:space="preserve">eritage areas, </w:t>
      </w:r>
      <w:r w:rsidR="008E6A11">
        <w:t>n</w:t>
      </w:r>
      <w:r>
        <w:t>or an actor’s compliance with it, is a method of avoiding, or disengaging, the controlled action provisions in Pt 8.</w:t>
      </w:r>
    </w:p>
    <w:p w14:paraId="318E9FD5" w14:textId="56EA1D7E" w:rsidR="00A26CD2" w:rsidRDefault="000A6142" w:rsidP="000A6142">
      <w:pPr>
        <w:pStyle w:val="ParaNumbering"/>
      </w:pPr>
      <w:r w:rsidRPr="000A6142">
        <w:t>For the purposes of ground 1</w:t>
      </w:r>
      <w:r w:rsidR="004F6CD4">
        <w:t>,</w:t>
      </w:r>
      <w:r w:rsidRPr="000A6142">
        <w:t xml:space="preserve"> </w:t>
      </w:r>
      <w:r>
        <w:t>the key point is that</w:t>
      </w:r>
      <w:r w:rsidRPr="000A6142">
        <w:t xml:space="preserve"> </w:t>
      </w:r>
      <w:r>
        <w:t xml:space="preserve">the functions and objectives of a </w:t>
      </w:r>
      <w:r w:rsidR="004F6CD4">
        <w:t>management p</w:t>
      </w:r>
      <w:r>
        <w:t xml:space="preserve">lan </w:t>
      </w:r>
      <w:r w:rsidR="00810DA3">
        <w:t xml:space="preserve">such as one </w:t>
      </w:r>
      <w:r>
        <w:t>made</w:t>
      </w:r>
      <w:r w:rsidRPr="00A37AC0">
        <w:t xml:space="preserve"> </w:t>
      </w:r>
      <w:r>
        <w:t xml:space="preserve">under </w:t>
      </w:r>
      <w:proofErr w:type="spellStart"/>
      <w:r>
        <w:t>ss</w:t>
      </w:r>
      <w:proofErr w:type="spellEnd"/>
      <w:r w:rsidR="003A7736">
        <w:t> </w:t>
      </w:r>
      <w:r>
        <w:t>19-28 of the</w:t>
      </w:r>
      <w:r w:rsidRPr="003A7736">
        <w:rPr>
          <w:i/>
        </w:rPr>
        <w:t xml:space="preserve"> </w:t>
      </w:r>
      <w:r w:rsidR="003645AF">
        <w:t>NPRM Act</w:t>
      </w:r>
      <w:r>
        <w:t>, and taking into account the lease and licence provisions in s</w:t>
      </w:r>
      <w:r w:rsidR="003A7736">
        <w:t> </w:t>
      </w:r>
      <w:r>
        <w:t xml:space="preserve">48, are obviously much broader. </w:t>
      </w:r>
    </w:p>
    <w:p w14:paraId="774A7CBD" w14:textId="786E841E" w:rsidR="00BE02DA" w:rsidRDefault="00BE02DA" w:rsidP="00BE02DA">
      <w:pPr>
        <w:pStyle w:val="ParaNumbering"/>
      </w:pPr>
      <w:r>
        <w:lastRenderedPageBreak/>
        <w:t xml:space="preserve">As the </w:t>
      </w:r>
      <w:r w:rsidR="00CB0F41">
        <w:t>brief to the delegate</w:t>
      </w:r>
      <w:r>
        <w:t xml:space="preserve"> stated, </w:t>
      </w:r>
      <w:r w:rsidR="00810DA3">
        <w:t xml:space="preserve">and consistently with cl 3.02 of </w:t>
      </w:r>
      <w:proofErr w:type="spellStart"/>
      <w:r w:rsidR="00810DA3">
        <w:t>Sch</w:t>
      </w:r>
      <w:proofErr w:type="spellEnd"/>
      <w:r w:rsidR="00810DA3">
        <w:t xml:space="preserve"> 5 to the Regulations, </w:t>
      </w:r>
      <w:r>
        <w:t>the RAA process required an EPBC Act referral. It did not, in its terms</w:t>
      </w:r>
      <w:r w:rsidR="00CB0F41">
        <w:t>,</w:t>
      </w:r>
      <w:r>
        <w:t xml:space="preserve"> purport to be a substitute for the EPBC Act process: quite the contrary, it required a proponent such as Wild Drake to seek and </w:t>
      </w:r>
      <w:r w:rsidR="00DD7EEF">
        <w:t xml:space="preserve">obtain </w:t>
      </w:r>
      <w:r w:rsidR="00810DA3">
        <w:t xml:space="preserve">statutory </w:t>
      </w:r>
      <w:r>
        <w:t>permission to take an action under the EPBC Act. That is a critical fac</w:t>
      </w:r>
      <w:r w:rsidR="003A7736">
        <w:t>t</w:t>
      </w:r>
      <w:r>
        <w:t xml:space="preserve"> which should not be overlooked: the RAA process did not purport to be of the same character as a bilaterally accredited process, or any other substitute process for which the EPBC Act provides and for which it accordingly provides an exemption. The brief also stated that the RAA process “will be finalised after the EPBC Act referral decision, and assessment if required has been completed</w:t>
      </w:r>
      <w:r w:rsidR="00CB0F41">
        <w:t>…</w:t>
      </w:r>
      <w:r>
        <w:t>”.</w:t>
      </w:r>
    </w:p>
    <w:p w14:paraId="0EA55125" w14:textId="0AFF84D9" w:rsidR="0019003E" w:rsidRDefault="0019003E" w:rsidP="007C5A83">
      <w:pPr>
        <w:pStyle w:val="ParaNumbering"/>
      </w:pPr>
      <w:r>
        <w:t xml:space="preserve">In my opinion the brief, adopted by the </w:t>
      </w:r>
      <w:r w:rsidR="00A26CD2">
        <w:t>delegate</w:t>
      </w:r>
      <w:r>
        <w:t xml:space="preserve"> as his reasons, </w:t>
      </w:r>
      <w:r w:rsidR="00A97FA6">
        <w:t xml:space="preserve">made </w:t>
      </w:r>
      <w:r>
        <w:t xml:space="preserve">it clear that the delegate believed the action could be taken without a </w:t>
      </w:r>
      <w:r w:rsidR="00A26CD2">
        <w:t>significant</w:t>
      </w:r>
      <w:r>
        <w:t xml:space="preserve"> </w:t>
      </w:r>
      <w:r w:rsidR="00A26CD2">
        <w:t>impact</w:t>
      </w:r>
      <w:r>
        <w:t xml:space="preserve"> on any of the </w:t>
      </w:r>
      <w:r w:rsidR="00A26CD2">
        <w:t>identified</w:t>
      </w:r>
      <w:r>
        <w:t xml:space="preserve"> matters of </w:t>
      </w:r>
      <w:r w:rsidR="003A7736">
        <w:t>national environmental significance</w:t>
      </w:r>
      <w:r w:rsidR="00855A59">
        <w:t xml:space="preserve"> only</w:t>
      </w:r>
      <w:r w:rsidR="003A7736">
        <w:t xml:space="preserve"> </w:t>
      </w:r>
      <w:r>
        <w:t xml:space="preserve">if it was carried out in a particular manner. Indeed, in my opinion the brief, standing as the </w:t>
      </w:r>
      <w:r w:rsidR="00A26CD2">
        <w:t>delegate’s</w:t>
      </w:r>
      <w:r>
        <w:t xml:space="preserve"> reasons, </w:t>
      </w:r>
      <w:r w:rsidR="00A97FA6">
        <w:t xml:space="preserve">indicated </w:t>
      </w:r>
      <w:r>
        <w:t>tha</w:t>
      </w:r>
      <w:r w:rsidR="00A26CD2">
        <w:t>t</w:t>
      </w:r>
      <w:r>
        <w:t xml:space="preserve"> the delegate’s belief </w:t>
      </w:r>
      <w:r w:rsidR="00A26CD2">
        <w:t>incorporated</w:t>
      </w:r>
      <w:r>
        <w:t xml:space="preserve"> a number of aspects </w:t>
      </w:r>
      <w:r w:rsidR="00DD7EEF">
        <w:t xml:space="preserve">about how </w:t>
      </w:r>
      <w:r>
        <w:t xml:space="preserve">the action needed to be carried out, in order to </w:t>
      </w:r>
      <w:r w:rsidR="00A26CD2">
        <w:t>avoid</w:t>
      </w:r>
      <w:r>
        <w:t xml:space="preserve"> any likelihood of </w:t>
      </w:r>
      <w:r w:rsidR="00A26CD2">
        <w:t>significant</w:t>
      </w:r>
      <w:r>
        <w:t xml:space="preserve"> impact. I note that unlike </w:t>
      </w:r>
      <w:r w:rsidR="00A26CD2" w:rsidRPr="003A7736">
        <w:rPr>
          <w:i/>
        </w:rPr>
        <w:t>Triabunna</w:t>
      </w:r>
      <w:r w:rsidR="00A26CD2">
        <w:t>, thi</w:t>
      </w:r>
      <w:r>
        <w:t>s</w:t>
      </w:r>
      <w:r w:rsidR="00A26CD2">
        <w:t xml:space="preserve"> </w:t>
      </w:r>
      <w:r>
        <w:t xml:space="preserve">is not a </w:t>
      </w:r>
      <w:r w:rsidR="00A26CD2">
        <w:t>situation</w:t>
      </w:r>
      <w:r>
        <w:t xml:space="preserve"> where</w:t>
      </w:r>
      <w:r w:rsidR="00A26CD2">
        <w:t xml:space="preserve"> </w:t>
      </w:r>
      <w:r>
        <w:t xml:space="preserve">the </w:t>
      </w:r>
      <w:r w:rsidR="00A26CD2">
        <w:t>delegate</w:t>
      </w:r>
      <w:r>
        <w:t xml:space="preserve"> </w:t>
      </w:r>
      <w:r w:rsidR="00A26CD2">
        <w:t>made</w:t>
      </w:r>
      <w:r>
        <w:t xml:space="preserve"> any </w:t>
      </w:r>
      <w:r w:rsidR="00A26CD2">
        <w:t>finding</w:t>
      </w:r>
      <w:r>
        <w:t xml:space="preserve"> about </w:t>
      </w:r>
      <w:r w:rsidR="00DD7EEF">
        <w:t xml:space="preserve">actual </w:t>
      </w:r>
      <w:r w:rsidR="00A26CD2">
        <w:t>significant</w:t>
      </w:r>
      <w:r>
        <w:t xml:space="preserve"> impact and then how to avoid it. This is a </w:t>
      </w:r>
      <w:r w:rsidR="00A26CD2">
        <w:t>decision</w:t>
      </w:r>
      <w:r>
        <w:t xml:space="preserve"> centring on the “likelihood” of </w:t>
      </w:r>
      <w:r w:rsidR="00A26CD2">
        <w:t>significant</w:t>
      </w:r>
      <w:r>
        <w:t xml:space="preserve"> </w:t>
      </w:r>
      <w:r w:rsidR="00A26CD2">
        <w:t>impact</w:t>
      </w:r>
      <w:r>
        <w:t xml:space="preserve">, rather than the formation of </w:t>
      </w:r>
      <w:r w:rsidR="0020622B">
        <w:t xml:space="preserve">a </w:t>
      </w:r>
      <w:r>
        <w:t xml:space="preserve">view there </w:t>
      </w:r>
      <w:r w:rsidRPr="00095D86">
        <w:rPr>
          <w:i/>
        </w:rPr>
        <w:t>would</w:t>
      </w:r>
      <w:r>
        <w:t xml:space="preserve"> be such an impact.</w:t>
      </w:r>
    </w:p>
    <w:p w14:paraId="4EE8CAF7" w14:textId="7FA931CA" w:rsidR="0019003E" w:rsidRDefault="0019003E" w:rsidP="007C5A83">
      <w:pPr>
        <w:pStyle w:val="ParaNumbering"/>
      </w:pPr>
      <w:r>
        <w:t>The following matters have contributed to the finding of fact I make about how the delegate’s reasons (</w:t>
      </w:r>
      <w:proofErr w:type="spellStart"/>
      <w:r>
        <w:t>ie</w:t>
      </w:r>
      <w:proofErr w:type="spellEnd"/>
      <w:r>
        <w:t xml:space="preserve"> the brief) should be </w:t>
      </w:r>
      <w:r w:rsidR="00A26CD2">
        <w:t>interpreted</w:t>
      </w:r>
      <w:r>
        <w:t>.</w:t>
      </w:r>
    </w:p>
    <w:p w14:paraId="280AAD9B" w14:textId="56C110C5" w:rsidR="00FD6A3E" w:rsidRDefault="00FD6A3E" w:rsidP="007C5A83">
      <w:pPr>
        <w:pStyle w:val="ParaNumbering"/>
      </w:pPr>
      <w:r>
        <w:t xml:space="preserve">Despite the </w:t>
      </w:r>
      <w:r w:rsidR="0020622B">
        <w:t xml:space="preserve">conduct of the </w:t>
      </w:r>
      <w:r>
        <w:t xml:space="preserve">RAA, and the imposition of a series of conditions on Wild Drake through that process, the Department sought further information on the delegate’s behalf from Wild Drake. That information was set out in a letter which was </w:t>
      </w:r>
      <w:r w:rsidR="00A70CA7">
        <w:t xml:space="preserve">contained in Attachment </w:t>
      </w:r>
      <w:r>
        <w:t>B1 t</w:t>
      </w:r>
      <w:r w:rsidR="003A7736">
        <w:t>o</w:t>
      </w:r>
      <w:r>
        <w:t xml:space="preserve"> the delegate’s brief, and relevantly stated:</w:t>
      </w:r>
    </w:p>
    <w:p w14:paraId="4C7E823A" w14:textId="1EF69F13" w:rsidR="00FD6A3E" w:rsidRPr="00FD6A3E" w:rsidRDefault="00FD6A3E" w:rsidP="003A7736">
      <w:pPr>
        <w:pStyle w:val="Quote1"/>
      </w:pPr>
      <w:r w:rsidRPr="00FD6A3E">
        <w:t>Our initial examination of your referral indicates that there is insufficient information to allow us to consider all the relevant issues. To assist the Department in making a decision on the referral, please provide the following information:</w:t>
      </w:r>
    </w:p>
    <w:p w14:paraId="189BE702" w14:textId="713D0269" w:rsidR="00FD6A3E" w:rsidRPr="00FD6A3E" w:rsidRDefault="00FD6A3E" w:rsidP="003A7736">
      <w:pPr>
        <w:pStyle w:val="Quote1Bullet"/>
      </w:pPr>
      <w:r w:rsidRPr="00FD6A3E">
        <w:t>identification of the values of the Tasmanian Wilderness World Heritage Area that may be impacted by the proposed action;</w:t>
      </w:r>
    </w:p>
    <w:p w14:paraId="2336AAC1" w14:textId="368BF3EA" w:rsidR="00FD6A3E" w:rsidRPr="00FD6A3E" w:rsidRDefault="00FD6A3E" w:rsidP="003A7736">
      <w:pPr>
        <w:pStyle w:val="Quote1Bullet"/>
      </w:pPr>
      <w:r w:rsidRPr="00FD6A3E">
        <w:t>management measures proposed to avoid and mitigate impacts on the identified values, including increased fire risk;</w:t>
      </w:r>
    </w:p>
    <w:p w14:paraId="0341627E" w14:textId="7D735537" w:rsidR="00FD6A3E" w:rsidRPr="00FD6A3E" w:rsidRDefault="00FD6A3E" w:rsidP="003A7736">
      <w:pPr>
        <w:pStyle w:val="Quote1Bullet"/>
      </w:pPr>
      <w:r w:rsidRPr="00FD6A3E">
        <w:t>survey information for the helipad site;</w:t>
      </w:r>
    </w:p>
    <w:p w14:paraId="7E6C2DF9" w14:textId="5F154C9B" w:rsidR="00FD6A3E" w:rsidRPr="00FD6A3E" w:rsidRDefault="00FD6A3E" w:rsidP="003A7736">
      <w:pPr>
        <w:pStyle w:val="Quote1Bullet"/>
      </w:pPr>
      <w:r w:rsidRPr="00FD6A3E">
        <w:t>location of proposed walking paths from the helipad to the boat launch;</w:t>
      </w:r>
    </w:p>
    <w:p w14:paraId="25BAF4FD" w14:textId="79C75A1F" w:rsidR="00FD6A3E" w:rsidRPr="00FD6A3E" w:rsidRDefault="00FD6A3E" w:rsidP="003A7736">
      <w:pPr>
        <w:pStyle w:val="Quote1Bullet"/>
      </w:pPr>
      <w:r w:rsidRPr="00FD6A3E">
        <w:lastRenderedPageBreak/>
        <w:t>the system proposed to manage waste (including waste water and sewage) on Halls Island;</w:t>
      </w:r>
    </w:p>
    <w:p w14:paraId="10554CB4" w14:textId="5355F8EC" w:rsidR="00FD6A3E" w:rsidRPr="00FD6A3E" w:rsidRDefault="00FD6A3E" w:rsidP="003A7736">
      <w:pPr>
        <w:pStyle w:val="Quote1Bullet"/>
      </w:pPr>
      <w:r w:rsidRPr="00FD6A3E">
        <w:t>measures to be imposed under local and state government approvals; and</w:t>
      </w:r>
    </w:p>
    <w:p w14:paraId="692ECB7F" w14:textId="3AAD8F06" w:rsidR="00FD6A3E" w:rsidRPr="00FD6A3E" w:rsidRDefault="00FD6A3E" w:rsidP="003A7736">
      <w:pPr>
        <w:pStyle w:val="Quote1Bullet"/>
      </w:pPr>
      <w:r w:rsidRPr="00FD6A3E">
        <w:t>conditions attached to the current Halls Island leasehold.</w:t>
      </w:r>
    </w:p>
    <w:p w14:paraId="45ED4C9E" w14:textId="5496D198" w:rsidR="00546018" w:rsidRDefault="00C80193" w:rsidP="007C5A83">
      <w:pPr>
        <w:pStyle w:val="ParaNumbering"/>
      </w:pPr>
      <w:r>
        <w:t xml:space="preserve">These were all material issues, most of which went directly to the </w:t>
      </w:r>
      <w:r w:rsidR="00A70CA7">
        <w:t xml:space="preserve">consideration </w:t>
      </w:r>
      <w:r>
        <w:t>of</w:t>
      </w:r>
      <w:r w:rsidR="00A70CA7">
        <w:t xml:space="preserve"> any</w:t>
      </w:r>
      <w:r>
        <w:t xml:space="preserve"> adverse impacts on the applicable Pt</w:t>
      </w:r>
      <w:r w:rsidR="003A7736">
        <w:t> </w:t>
      </w:r>
      <w:r>
        <w:t>3 matters (see</w:t>
      </w:r>
      <w:r w:rsidR="00195E07">
        <w:t xml:space="preserve"> s</w:t>
      </w:r>
      <w:r>
        <w:t xml:space="preserve"> 75(2)).</w:t>
      </w:r>
    </w:p>
    <w:p w14:paraId="45385D4A" w14:textId="09562E59" w:rsidR="00C80193" w:rsidRDefault="00C80193" w:rsidP="00C80193">
      <w:pPr>
        <w:pStyle w:val="ParaNumbering"/>
      </w:pPr>
      <w:r>
        <w:t>The result of this request was</w:t>
      </w:r>
      <w:r w:rsidR="00AB3654">
        <w:t>, amongst other material,</w:t>
      </w:r>
      <w:r>
        <w:t xml:space="preserve"> the submission by Wild Drake of the </w:t>
      </w:r>
      <w:r w:rsidR="00195E07">
        <w:t>PMEMP</w:t>
      </w:r>
      <w:r>
        <w:t xml:space="preserve"> for the</w:t>
      </w:r>
      <w:r w:rsidR="00986BCA">
        <w:t xml:space="preserve"> proposed</w:t>
      </w:r>
      <w:r>
        <w:t xml:space="preserve"> action. In the </w:t>
      </w:r>
      <w:r w:rsidR="00A97FA6">
        <w:t>introduction</w:t>
      </w:r>
      <w:r>
        <w:t>, the PMEMP described its overall purpose as:</w:t>
      </w:r>
    </w:p>
    <w:p w14:paraId="7EC9922E" w14:textId="04D9D8D3" w:rsidR="00C80193" w:rsidRPr="00C80193" w:rsidRDefault="001E1951" w:rsidP="003A7736">
      <w:pPr>
        <w:pStyle w:val="Quote1"/>
      </w:pPr>
      <w:r>
        <w:t>…</w:t>
      </w:r>
      <w:r w:rsidR="00C80193" w:rsidRPr="00C80193">
        <w:t xml:space="preserve"> to ensure that the impact and avoidance strategies and procedures prescribed in the </w:t>
      </w:r>
      <w:r w:rsidR="00C80193" w:rsidRPr="00C80193">
        <w:rPr>
          <w:i/>
        </w:rPr>
        <w:t>Halls Island Consideration of MNE</w:t>
      </w:r>
      <w:r w:rsidR="00C80193" w:rsidRPr="00575661">
        <w:rPr>
          <w:i/>
        </w:rPr>
        <w:t>S</w:t>
      </w:r>
      <w:r w:rsidR="00C80193" w:rsidRPr="00095D86">
        <w:rPr>
          <w:i/>
        </w:rPr>
        <w:t>, potential impacts, avoidance and mitigation measures</w:t>
      </w:r>
      <w:r w:rsidR="00C80193" w:rsidRPr="00C80193">
        <w:t xml:space="preserve"> are identified, encapsulated and implemented within the proposed activities and actions.</w:t>
      </w:r>
    </w:p>
    <w:p w14:paraId="2B83536A" w14:textId="5106BA63" w:rsidR="004B5105" w:rsidRDefault="00C80193" w:rsidP="004B5105">
      <w:pPr>
        <w:pStyle w:val="ParaNumbering"/>
      </w:pPr>
      <w:r>
        <w:t xml:space="preserve">The </w:t>
      </w:r>
      <w:r w:rsidRPr="00C80193">
        <w:rPr>
          <w:i/>
        </w:rPr>
        <w:t>Halls Island Consideration of MNES</w:t>
      </w:r>
      <w:r w:rsidR="00C36EE4">
        <w:rPr>
          <w:i/>
        </w:rPr>
        <w:t>, potential impacts, avoidance and mitigation measures</w:t>
      </w:r>
      <w:r>
        <w:t xml:space="preserve"> </w:t>
      </w:r>
      <w:r w:rsidR="004B5105">
        <w:t>was another document provided by Wild Drake</w:t>
      </w:r>
      <w:r w:rsidR="00575661">
        <w:t xml:space="preserve"> in response to the Department’s request for further information</w:t>
      </w:r>
      <w:r w:rsidR="00810DA3">
        <w:t>. It is a document</w:t>
      </w:r>
      <w:r w:rsidR="004B5105">
        <w:t xml:space="preserve"> of substantial length, which as part of its title indicated its purpose was to </w:t>
      </w:r>
      <w:r w:rsidR="00C36EE4">
        <w:t>address “</w:t>
      </w:r>
      <w:r w:rsidR="004B5105">
        <w:t xml:space="preserve">potential impacts, avoidance and mitigation measures”. The document identified each </w:t>
      </w:r>
      <w:r w:rsidR="00BD45EF">
        <w:t xml:space="preserve">relevant </w:t>
      </w:r>
      <w:r w:rsidR="004B5105">
        <w:t xml:space="preserve">World </w:t>
      </w:r>
      <w:r w:rsidR="00EA7668">
        <w:t>H</w:t>
      </w:r>
      <w:r w:rsidR="004B5105">
        <w:t xml:space="preserve">eritage </w:t>
      </w:r>
      <w:r w:rsidR="00F6674E">
        <w:t>value</w:t>
      </w:r>
      <w:r w:rsidR="004B5105">
        <w:t xml:space="preserve">, and other matters of </w:t>
      </w:r>
      <w:r w:rsidR="00CD60A8">
        <w:t xml:space="preserve">national environmental significance </w:t>
      </w:r>
      <w:r w:rsidR="004B5105">
        <w:t xml:space="preserve">(such as the presence of threatened flora and fauna) and in respect of each, set out </w:t>
      </w:r>
      <w:r w:rsidR="00BD4423">
        <w:t>t</w:t>
      </w:r>
      <w:r w:rsidR="00596860">
        <w:t>h</w:t>
      </w:r>
      <w:r w:rsidR="00BD4423">
        <w:t>e potential impacts</w:t>
      </w:r>
      <w:r w:rsidR="00596860">
        <w:t xml:space="preserve">, the </w:t>
      </w:r>
      <w:r w:rsidR="004B5105">
        <w:t>level of risk,</w:t>
      </w:r>
      <w:r w:rsidR="000146C6">
        <w:t xml:space="preserve"> </w:t>
      </w:r>
      <w:r w:rsidR="00F6674E">
        <w:t>the consequences of those potential impacts,</w:t>
      </w:r>
      <w:r w:rsidR="004B5105">
        <w:t xml:space="preserve"> the measures which would be taken to </w:t>
      </w:r>
      <w:r w:rsidR="00596860">
        <w:t>manage or avoid the</w:t>
      </w:r>
      <w:r w:rsidR="00F6674E">
        <w:t xml:space="preserve"> potential</w:t>
      </w:r>
      <w:r w:rsidR="00596860">
        <w:t xml:space="preserve"> impacts</w:t>
      </w:r>
      <w:r w:rsidR="004B5105">
        <w:t xml:space="preserve">, and the contended </w:t>
      </w:r>
      <w:r w:rsidR="00596860">
        <w:t xml:space="preserve">risk and likelihood of significant impact </w:t>
      </w:r>
      <w:r w:rsidR="004B5105">
        <w:t>if those measures were taken.</w:t>
      </w:r>
      <w:r w:rsidR="00596860">
        <w:t xml:space="preserve"> Although</w:t>
      </w:r>
      <w:r w:rsidR="00F85B0F">
        <w:t xml:space="preserve"> </w:t>
      </w:r>
      <w:r w:rsidR="00596860">
        <w:t xml:space="preserve">the extracts are lengthy, it is necessary to set out three </w:t>
      </w:r>
      <w:r w:rsidR="00F85B0F">
        <w:t>examples</w:t>
      </w:r>
      <w:r w:rsidR="00596860">
        <w:t xml:space="preserve">, so that the detail can be understood, as it is the method which these </w:t>
      </w:r>
      <w:r w:rsidR="00F85B0F">
        <w:t>extracts reveal, an</w:t>
      </w:r>
      <w:r w:rsidR="00596860">
        <w:t>d</w:t>
      </w:r>
      <w:r w:rsidR="00F85B0F">
        <w:t xml:space="preserve"> </w:t>
      </w:r>
      <w:r w:rsidR="00596860">
        <w:t xml:space="preserve">the delegate’s acceptance of what </w:t>
      </w:r>
      <w:r w:rsidR="00E25FAA">
        <w:t xml:space="preserve">was </w:t>
      </w:r>
      <w:r w:rsidR="00596860">
        <w:t xml:space="preserve">in this </w:t>
      </w:r>
      <w:r w:rsidR="00F85B0F">
        <w:t>document</w:t>
      </w:r>
      <w:r w:rsidR="00596860">
        <w:t>, that informs how the applicant contends the delegate misunderstood his task under s</w:t>
      </w:r>
      <w:r w:rsidR="00CD60A8">
        <w:t> </w:t>
      </w:r>
      <w:r w:rsidR="00596860">
        <w:t>75(1), for the purposes of ground 1.</w:t>
      </w:r>
      <w:r w:rsidR="00243946">
        <w:t xml:space="preserve"> The delegate’s acceptance of these measures, in the terms they are expressed, is also important to my conclusion that the delegate did, in fact, form a belief about the “particular manner” in which the action would be carried out. </w:t>
      </w:r>
    </w:p>
    <w:p w14:paraId="0C006546" w14:textId="7AE64058" w:rsidR="00596860" w:rsidRDefault="00596860" w:rsidP="004B5105">
      <w:pPr>
        <w:pStyle w:val="ParaNumbering"/>
      </w:pPr>
      <w:bookmarkStart w:id="29" w:name="_Ref22720415"/>
      <w:r>
        <w:t>The fi</w:t>
      </w:r>
      <w:r w:rsidR="00F85B0F">
        <w:t>r</w:t>
      </w:r>
      <w:r>
        <w:t xml:space="preserve">st example relates </w:t>
      </w:r>
      <w:r w:rsidR="009071EC">
        <w:t>to</w:t>
      </w:r>
      <w:r>
        <w:t xml:space="preserve"> one of the TWWHA’s </w:t>
      </w:r>
      <w:r w:rsidR="009071EC">
        <w:t>World</w:t>
      </w:r>
      <w:r>
        <w:t xml:space="preserve"> </w:t>
      </w:r>
      <w:r w:rsidR="00EA7668">
        <w:t>H</w:t>
      </w:r>
      <w:r>
        <w:t xml:space="preserve">eritage </w:t>
      </w:r>
      <w:r w:rsidR="009E446B">
        <w:t>values</w:t>
      </w:r>
      <w:r>
        <w:t>:</w:t>
      </w:r>
      <w:bookmarkEnd w:id="29"/>
    </w:p>
    <w:p w14:paraId="5FADBA63" w14:textId="07FB6B36" w:rsidR="00CD60A8" w:rsidRDefault="00CD60A8" w:rsidP="00CD60A8">
      <w:pPr>
        <w:pStyle w:val="Quote1"/>
      </w:pPr>
      <w:r w:rsidRPr="00CD60A8">
        <w:rPr>
          <w:b/>
          <w:i/>
        </w:rPr>
        <w:t>Value</w:t>
      </w:r>
      <w:r>
        <w:t>: Criteria ix; Values representing significant ongoing geological processes, biological evolution and man’s interaction with his natural environment</w:t>
      </w:r>
    </w:p>
    <w:p w14:paraId="26D43E6F" w14:textId="77777777" w:rsidR="00CD60A8" w:rsidRDefault="00CD60A8" w:rsidP="00CD60A8">
      <w:pPr>
        <w:pStyle w:val="Quote1"/>
      </w:pPr>
      <w:r w:rsidRPr="00CD60A8">
        <w:rPr>
          <w:b/>
          <w:i/>
        </w:rPr>
        <w:t>Matter</w:t>
      </w:r>
      <w:r>
        <w:t>: Impacts to relatively undisturbed landscape.</w:t>
      </w:r>
    </w:p>
    <w:p w14:paraId="4362B089" w14:textId="2873B3AA" w:rsidR="00CD60A8" w:rsidRDefault="00CD60A8" w:rsidP="00CD60A8">
      <w:pPr>
        <w:pStyle w:val="Quote1"/>
      </w:pPr>
      <w:r w:rsidRPr="00CD60A8">
        <w:rPr>
          <w:b/>
          <w:i/>
        </w:rPr>
        <w:t>Potential impacts (to establish the likelihood of a significant impact on MNES)</w:t>
      </w:r>
      <w:r>
        <w:t xml:space="preserve">: </w:t>
      </w:r>
      <w:r>
        <w:lastRenderedPageBreak/>
        <w:t>Disturbance from infrastructure and on-island use.</w:t>
      </w:r>
    </w:p>
    <w:p w14:paraId="00920E47" w14:textId="505B7534" w:rsidR="00CD60A8" w:rsidRDefault="00CD60A8" w:rsidP="00CD60A8">
      <w:pPr>
        <w:pStyle w:val="Quote1"/>
      </w:pPr>
      <w:r w:rsidRPr="00CD60A8">
        <w:rPr>
          <w:b/>
          <w:i/>
          <w:u w:val="single"/>
        </w:rPr>
        <w:t>Likelihood</w:t>
      </w:r>
      <w:r>
        <w:t xml:space="preserve"> Low. Built-infrastructure will be located in an area with existing human-habitation / structures and use (modified apparent naturalness).</w:t>
      </w:r>
    </w:p>
    <w:p w14:paraId="7E3A65EC" w14:textId="77777777" w:rsidR="00CD60A8" w:rsidRDefault="00CD60A8" w:rsidP="00CD60A8">
      <w:pPr>
        <w:pStyle w:val="Quote1"/>
      </w:pPr>
      <w:r w:rsidRPr="00CD60A8">
        <w:rPr>
          <w:b/>
          <w:i/>
          <w:u w:val="single"/>
        </w:rPr>
        <w:t>Consequence</w:t>
      </w:r>
      <w:r>
        <w:t>: Disturbance to the relatively undisturbed landscape.</w:t>
      </w:r>
    </w:p>
    <w:p w14:paraId="21650E6A" w14:textId="77777777" w:rsidR="00CD60A8" w:rsidRDefault="00CD60A8" w:rsidP="00CD60A8">
      <w:pPr>
        <w:pStyle w:val="Quote1"/>
      </w:pPr>
      <w:r w:rsidRPr="00CD60A8">
        <w:rPr>
          <w:b/>
          <w:i/>
          <w:u w:val="single"/>
        </w:rPr>
        <w:t>Risk</w:t>
      </w:r>
      <w:r>
        <w:t>: Low.</w:t>
      </w:r>
    </w:p>
    <w:p w14:paraId="3CE6CB4E" w14:textId="77777777" w:rsidR="00CD60A8" w:rsidRPr="00CD60A8" w:rsidRDefault="00CD60A8" w:rsidP="00CD60A8">
      <w:pPr>
        <w:pStyle w:val="Quote1"/>
        <w:rPr>
          <w:b/>
        </w:rPr>
      </w:pPr>
      <w:r w:rsidRPr="00CD60A8">
        <w:rPr>
          <w:b/>
        </w:rPr>
        <w:t>Mitigation and management measures</w:t>
      </w:r>
    </w:p>
    <w:p w14:paraId="7D123E28" w14:textId="77777777" w:rsidR="00CD60A8" w:rsidRPr="00CD60A8" w:rsidRDefault="00CD60A8" w:rsidP="00CD60A8">
      <w:pPr>
        <w:pStyle w:val="Quote1"/>
        <w:rPr>
          <w:i/>
        </w:rPr>
      </w:pPr>
      <w:r w:rsidRPr="00CD60A8">
        <w:rPr>
          <w:i/>
        </w:rPr>
        <w:t>Existing measures (RAA, lease and licence conditions) to be fully adopted</w:t>
      </w:r>
    </w:p>
    <w:p w14:paraId="305A6C5B" w14:textId="24FB8757" w:rsidR="00CD60A8" w:rsidRDefault="00CD60A8" w:rsidP="005507F7">
      <w:pPr>
        <w:pStyle w:val="Quote1Bullet"/>
      </w:pPr>
      <w:r>
        <w:t>RAA Step 6 Activity controls # 4.1.3.1, 4.1.3.2, 4.1.4.1, 4.1.5.1, 4.1.8.1, 4.2.3.3, 4.2.3.4, 4.2.5.1 and implement all RAA Step 8 Conditions</w:t>
      </w:r>
    </w:p>
    <w:p w14:paraId="2BBDE616" w14:textId="1B4CC435" w:rsidR="00CD60A8" w:rsidRDefault="00CD60A8" w:rsidP="00CD60A8">
      <w:pPr>
        <w:pStyle w:val="Quote2"/>
        <w:ind w:left="2160" w:hanging="720"/>
      </w:pPr>
      <w:r>
        <w:t>1)</w:t>
      </w:r>
      <w:r>
        <w:tab/>
        <w:t>4.1.3.1: (</w:t>
      </w:r>
      <w:proofErr w:type="spellStart"/>
      <w:r>
        <w:t>Geoconservation</w:t>
      </w:r>
      <w:proofErr w:type="spellEnd"/>
      <w:r>
        <w:t>) Camp will be installed using hand-tools / battery operated tools only. Minimal ground disturbance, no excavations or changes to water-courses.</w:t>
      </w:r>
    </w:p>
    <w:p w14:paraId="78283E4D" w14:textId="45B5D685" w:rsidR="00CD60A8" w:rsidRDefault="00CD60A8" w:rsidP="00CD60A8">
      <w:pPr>
        <w:pStyle w:val="Quote2"/>
        <w:ind w:left="2160" w:hanging="720"/>
      </w:pPr>
      <w:r>
        <w:t>2)</w:t>
      </w:r>
      <w:r>
        <w:tab/>
        <w:t xml:space="preserve">4.1.3.2: (Western Tasmania Blanket Bogs) Sites are avoided. Any interaction with sites will involve minimal ground disturbance, perforated decking and </w:t>
      </w:r>
      <w:proofErr w:type="spellStart"/>
      <w:r>
        <w:t>boardwalking</w:t>
      </w:r>
      <w:proofErr w:type="spellEnd"/>
      <w:r>
        <w:t>.</w:t>
      </w:r>
    </w:p>
    <w:p w14:paraId="65AA8DBF" w14:textId="04299D50" w:rsidR="00CD60A8" w:rsidRDefault="00CD60A8" w:rsidP="00CD60A8">
      <w:pPr>
        <w:pStyle w:val="Quote2"/>
        <w:ind w:left="2160" w:hanging="720"/>
      </w:pPr>
      <w:r>
        <w:t>3)</w:t>
      </w:r>
      <w:r>
        <w:tab/>
        <w:t xml:space="preserve">4.1.4.1: (Landscape &amp; </w:t>
      </w:r>
      <w:proofErr w:type="spellStart"/>
      <w:r>
        <w:t>Viewfield</w:t>
      </w:r>
      <w:proofErr w:type="spellEnd"/>
      <w:r>
        <w:t>) Sympathetic building material selection, no reflective materials, muted bush tones.</w:t>
      </w:r>
    </w:p>
    <w:p w14:paraId="2D43D19B" w14:textId="6E92CA4B" w:rsidR="00CD60A8" w:rsidRDefault="00CD60A8" w:rsidP="00CD60A8">
      <w:pPr>
        <w:pStyle w:val="Quote2"/>
        <w:ind w:left="2160" w:hanging="720"/>
      </w:pPr>
      <w:r>
        <w:t>4)</w:t>
      </w:r>
      <w:r>
        <w:tab/>
        <w:t>4.1.5.1: (Wilderness and wild rivers, NWI (National Wilderness Inventory) 14+) Restrict maximum group sizes of 6 customers, restrict number of commercial trips to 30 per year. Sympathetic building designs and scale. Adhere to strict flight path and impact minimisation prescriptions in Attachment 10.</w:t>
      </w:r>
    </w:p>
    <w:p w14:paraId="4F5C9A94" w14:textId="13F2615B" w:rsidR="00CD60A8" w:rsidRDefault="00CD60A8" w:rsidP="00CD60A8">
      <w:pPr>
        <w:pStyle w:val="Quote2"/>
        <w:ind w:left="2160" w:hanging="720"/>
      </w:pPr>
      <w:r>
        <w:t>5)</w:t>
      </w:r>
      <w:r>
        <w:tab/>
        <w:t>4.1.8.1: (Water quality / CFEV (Conservation Freshwater Ecosystem Values) Values) Installation of complete-capture sewage and greywater pods. Greywater will be back-loaded with each trip, for disposal outside of the TWWHA. Sewage will be collected annually in pods and emptied off-site.</w:t>
      </w:r>
    </w:p>
    <w:p w14:paraId="63BD415C" w14:textId="4AF4C6F2" w:rsidR="00CD60A8" w:rsidRDefault="00CD60A8" w:rsidP="00CD60A8">
      <w:pPr>
        <w:pStyle w:val="Quote2"/>
        <w:ind w:left="2160" w:hanging="720"/>
      </w:pPr>
      <w:r>
        <w:t>6)</w:t>
      </w:r>
      <w:r>
        <w:tab/>
        <w:t>4.2.3.3: (Recreational values, established uses) Minimise helicopter use, use helicopter route as described which avoids recorded &amp; formal walking routes, and all significant recreational fishing waters. Restrict annual trip (booking) numbers during peak season (Oct-May) to 25 trips. Adhere to impact minimisation prescriptions in Attachment 10.</w:t>
      </w:r>
    </w:p>
    <w:p w14:paraId="6E8145E1" w14:textId="1F050FC3" w:rsidR="00CD60A8" w:rsidRDefault="00CD60A8" w:rsidP="00CD60A8">
      <w:pPr>
        <w:pStyle w:val="Quote1Bullet"/>
      </w:pPr>
      <w:r>
        <w:t>Step 8 Conditions:</w:t>
      </w:r>
    </w:p>
    <w:p w14:paraId="29FD1CD6" w14:textId="11A9BCF4" w:rsidR="00CD60A8" w:rsidRDefault="00CD60A8" w:rsidP="00CD60A8">
      <w:pPr>
        <w:pStyle w:val="Quote2"/>
        <w:ind w:left="2160" w:hanging="720"/>
      </w:pPr>
      <w:r>
        <w:t>7)</w:t>
      </w:r>
      <w:r>
        <w:tab/>
        <w:t>(Wilderness Character) Prepare and comply with an Operations Plan to include: ‘Fly Neighbourly Advice and identified flight path between Lake St Clair and helipad. Conditions are also to be incorporated into the lease and licence. Adhere to helicopter prescriptions in Attachment 10 to minimise point-impacts.</w:t>
      </w:r>
    </w:p>
    <w:p w14:paraId="5A7931F1" w14:textId="1158CAF4" w:rsidR="00CD60A8" w:rsidRDefault="00CD60A8" w:rsidP="00CD60A8">
      <w:pPr>
        <w:pStyle w:val="Quote1Bullet"/>
      </w:pPr>
      <w:r>
        <w:t>Lease and Licence conditions including:</w:t>
      </w:r>
      <w:r w:rsidR="00A53AAC">
        <w:t xml:space="preserve"> </w:t>
      </w:r>
      <w:r>
        <w:t>12.4, A2.2(</w:t>
      </w:r>
      <w:proofErr w:type="spellStart"/>
      <w:r>
        <w:t>d,</w:t>
      </w:r>
      <w:r w:rsidR="00A53AAC">
        <w:t>l</w:t>
      </w:r>
      <w:r>
        <w:t>,k,l,m</w:t>
      </w:r>
      <w:proofErr w:type="spellEnd"/>
      <w:r>
        <w:t>), A2.4(a), A2.5(d), A3.8d(</w:t>
      </w:r>
      <w:proofErr w:type="spellStart"/>
      <w:r>
        <w:t>i</w:t>
      </w:r>
      <w:proofErr w:type="spellEnd"/>
      <w:r>
        <w:t>), A3.8e(</w:t>
      </w:r>
      <w:proofErr w:type="spellStart"/>
      <w:r>
        <w:t>l,ii</w:t>
      </w:r>
      <w:proofErr w:type="spellEnd"/>
      <w:r>
        <w:t xml:space="preserve">), B1.2(c), B1.2(f), C2.2, C4(A, </w:t>
      </w:r>
      <w:proofErr w:type="spellStart"/>
      <w:r>
        <w:t>Bii</w:t>
      </w:r>
      <w:proofErr w:type="spellEnd"/>
      <w:r>
        <w:t xml:space="preserve">, </w:t>
      </w:r>
      <w:proofErr w:type="spellStart"/>
      <w:r>
        <w:t>Bvii</w:t>
      </w:r>
      <w:proofErr w:type="spellEnd"/>
      <w:r>
        <w:t xml:space="preserve">, </w:t>
      </w:r>
      <w:proofErr w:type="spellStart"/>
      <w:r>
        <w:t>Bviii</w:t>
      </w:r>
      <w:proofErr w:type="spellEnd"/>
      <w:r>
        <w:t xml:space="preserve">, Bix, </w:t>
      </w:r>
      <w:proofErr w:type="spellStart"/>
      <w:r>
        <w:t>BxiiC</w:t>
      </w:r>
      <w:proofErr w:type="spellEnd"/>
      <w:r>
        <w:t>)</w:t>
      </w:r>
    </w:p>
    <w:p w14:paraId="6599A60E" w14:textId="35D10D6E" w:rsidR="00CD60A8" w:rsidRDefault="00CD60A8" w:rsidP="00CD60A8">
      <w:pPr>
        <w:pStyle w:val="Quote2"/>
        <w:ind w:left="2160" w:hanging="720"/>
      </w:pPr>
      <w:r>
        <w:t>8)</w:t>
      </w:r>
      <w:r>
        <w:tab/>
        <w:t xml:space="preserve">12.4: Compliance with management objectives. The Operator must not do anything that is inconsistent with the management objectives </w:t>
      </w:r>
      <w:r>
        <w:lastRenderedPageBreak/>
        <w:t>(for the purposes of the Act (</w:t>
      </w:r>
      <w:r w:rsidRPr="00095D86">
        <w:rPr>
          <w:i/>
        </w:rPr>
        <w:t xml:space="preserve">National Parks and reserves Management Act 2002 </w:t>
      </w:r>
      <w:proofErr w:type="spellStart"/>
      <w:r w:rsidRPr="00095D86">
        <w:rPr>
          <w:i/>
        </w:rPr>
        <w:t>Tas</w:t>
      </w:r>
      <w:proofErr w:type="spellEnd"/>
      <w:r>
        <w:t>)) applicable in respect of the Land.</w:t>
      </w:r>
    </w:p>
    <w:p w14:paraId="528445A5" w14:textId="58DCAB27" w:rsidR="00CD60A8" w:rsidRDefault="00CD60A8" w:rsidP="00CD60A8">
      <w:pPr>
        <w:pStyle w:val="Quote2"/>
        <w:ind w:left="2160" w:hanging="720"/>
      </w:pPr>
      <w:r>
        <w:t>9)</w:t>
      </w:r>
      <w:r>
        <w:tab/>
        <w:t>A2.2 (</w:t>
      </w:r>
      <w:proofErr w:type="spellStart"/>
      <w:r>
        <w:t>d,</w:t>
      </w:r>
      <w:r w:rsidR="0054615B">
        <w:t>l</w:t>
      </w:r>
      <w:r>
        <w:t>,k,l,m</w:t>
      </w:r>
      <w:proofErr w:type="spellEnd"/>
      <w:r>
        <w:t>): (l) the design must minimise environmental impacts through:</w:t>
      </w:r>
    </w:p>
    <w:p w14:paraId="349A6501" w14:textId="6519B1A5" w:rsidR="00CD60A8" w:rsidRDefault="00CD60A8" w:rsidP="00CD60A8">
      <w:pPr>
        <w:pStyle w:val="Quote3"/>
        <w:ind w:left="2880" w:hanging="720"/>
      </w:pPr>
      <w:r>
        <w:t>(</w:t>
      </w:r>
      <w:proofErr w:type="spellStart"/>
      <w:r>
        <w:t>i</w:t>
      </w:r>
      <w:proofErr w:type="spellEnd"/>
      <w:r>
        <w:t>)</w:t>
      </w:r>
      <w:r>
        <w:tab/>
        <w:t>appropriate footprint design and techniques for the three accommodation huts and the communal kitchen hut, with exact locations and size of huts to be determined in conjunction with the (</w:t>
      </w:r>
      <w:proofErr w:type="spellStart"/>
      <w:r>
        <w:t>Tas</w:t>
      </w:r>
      <w:proofErr w:type="spellEnd"/>
      <w:r>
        <w:t>) Minister;</w:t>
      </w:r>
    </w:p>
    <w:p w14:paraId="00BD7365" w14:textId="01131F2C" w:rsidR="00CD60A8" w:rsidRDefault="00CD60A8" w:rsidP="00CD60A8">
      <w:pPr>
        <w:pStyle w:val="Quote3"/>
        <w:ind w:left="2880" w:hanging="720"/>
      </w:pPr>
      <w:r>
        <w:t>(ii)</w:t>
      </w:r>
      <w:r>
        <w:tab/>
        <w:t>the use of a selection of products, materials and methods that reduce or minimise impacts (including in respect of water use, waste production and generation); and</w:t>
      </w:r>
    </w:p>
    <w:p w14:paraId="567A8235" w14:textId="01E5629C" w:rsidR="00CD60A8" w:rsidRDefault="00CD60A8" w:rsidP="00CD60A8">
      <w:pPr>
        <w:pStyle w:val="Quote3"/>
        <w:ind w:left="2880" w:hanging="720"/>
      </w:pPr>
      <w:r>
        <w:t>(iii)</w:t>
      </w:r>
      <w:r>
        <w:tab/>
        <w:t>the development and implementation of actions to ensure that the natural and heritage values of the Park are preserved.</w:t>
      </w:r>
    </w:p>
    <w:p w14:paraId="2D4E3DC0" w14:textId="79948DF7" w:rsidR="00CD60A8" w:rsidRDefault="00CD60A8" w:rsidP="00CD60A8">
      <w:pPr>
        <w:pStyle w:val="Quote3"/>
        <w:ind w:left="2880" w:hanging="720"/>
      </w:pPr>
      <w:r>
        <w:t>(m)</w:t>
      </w:r>
      <w:r>
        <w:tab/>
        <w:t>all kitchens, toilets and bathrooms must be designed with a complete capture system. All grey and black waste water must be removed from the Land regularly and disposed of at a Central Highlands Council approved disposal facility.</w:t>
      </w:r>
    </w:p>
    <w:p w14:paraId="4F25F342" w14:textId="1F2C88E8" w:rsidR="00CD60A8" w:rsidRDefault="00CD60A8" w:rsidP="00CD60A8">
      <w:pPr>
        <w:pStyle w:val="Quote3"/>
        <w:ind w:left="2880" w:hanging="720"/>
      </w:pPr>
      <w:r>
        <w:t>(k)</w:t>
      </w:r>
      <w:r>
        <w:tab/>
      </w:r>
      <w:r w:rsidRPr="00CD60A8">
        <w:t>the design must maximise the retention of existing vegetation and topography.</w:t>
      </w:r>
    </w:p>
    <w:p w14:paraId="6F464B8F" w14:textId="344773FA" w:rsidR="00CD60A8" w:rsidRDefault="00CD60A8" w:rsidP="00CD60A8">
      <w:pPr>
        <w:pStyle w:val="Quote3"/>
        <w:ind w:left="2880" w:hanging="720"/>
      </w:pPr>
      <w:r>
        <w:t>(</w:t>
      </w:r>
      <w:proofErr w:type="spellStart"/>
      <w:r>
        <w:t>i</w:t>
      </w:r>
      <w:proofErr w:type="spellEnd"/>
      <w:r>
        <w:t>)</w:t>
      </w:r>
      <w:r>
        <w:tab/>
        <w:t>materials used in external surfaces of the Development must be low-visibility in colour and similar to surrounding vegetation</w:t>
      </w:r>
      <w:r w:rsidR="002A5296">
        <w:t xml:space="preserve"> </w:t>
      </w:r>
      <w:r>
        <w:t>(including a mixture of timber and steel materials in muted bush tones).</w:t>
      </w:r>
    </w:p>
    <w:p w14:paraId="59180478" w14:textId="25658D22" w:rsidR="00CD60A8" w:rsidRDefault="00CD60A8" w:rsidP="00CD60A8">
      <w:pPr>
        <w:pStyle w:val="Quote3"/>
        <w:ind w:left="2880" w:hanging="720"/>
      </w:pPr>
      <w:r>
        <w:t>(d)</w:t>
      </w:r>
      <w:r>
        <w:tab/>
        <w:t>the design must protect and present the values of the setting in which the Development is to occur, including in respect of the selection of materials and scale of buildings being complementary and sensitive to the surrounding environment (including vegetation type) with a reduced visual impact.</w:t>
      </w:r>
    </w:p>
    <w:p w14:paraId="06E4D8C5" w14:textId="3C6524EB" w:rsidR="00CD60A8" w:rsidRDefault="00CD60A8" w:rsidP="00CD60A8">
      <w:pPr>
        <w:pStyle w:val="Quote2"/>
        <w:ind w:left="2160" w:hanging="720"/>
      </w:pPr>
      <w:r>
        <w:t>10)</w:t>
      </w:r>
      <w:r>
        <w:tab/>
        <w:t xml:space="preserve">A2.4 (a) </w:t>
      </w:r>
      <w:proofErr w:type="spellStart"/>
      <w:r w:rsidR="002A5296">
        <w:t>l</w:t>
      </w:r>
      <w:r>
        <w:t>,ii</w:t>
      </w:r>
      <w:proofErr w:type="spellEnd"/>
      <w:r>
        <w:t>: The Operator must prepare an operations manual detailing the operational practices of the Operator in respect of both the Approved Use and the Licensed Activities (Operations Manual). The Operations Manual must include:</w:t>
      </w:r>
    </w:p>
    <w:p w14:paraId="3C6E649E" w14:textId="674C79E1" w:rsidR="00CD60A8" w:rsidRDefault="00CD60A8" w:rsidP="005A2C95">
      <w:pPr>
        <w:pStyle w:val="Quote3"/>
        <w:ind w:left="2880" w:hanging="720"/>
      </w:pPr>
      <w:r>
        <w:t>(</w:t>
      </w:r>
      <w:proofErr w:type="spellStart"/>
      <w:r>
        <w:t>i</w:t>
      </w:r>
      <w:proofErr w:type="spellEnd"/>
      <w:r>
        <w:t>)</w:t>
      </w:r>
      <w:r w:rsidR="005A2C95">
        <w:tab/>
      </w:r>
      <w:r>
        <w:t xml:space="preserve">details of the FNA (Fly Neighbourly Advice) and an identified flight path between the identified area of Lake St Clair and the Conservation Area (helipad), including ensuring a standard operating procedure of over-flying potential (*wedge tail eagle) nesting habitat by approximately 1000m altitude where possible (except for the end points of the flight), travelling along the pre-determined route of minimum likelihood of nests and avoiding tight manoeuvres and hovering (including ensuring that any flight path is not within a 1km line of sight of known eagles nests and that any flight does not </w:t>
      </w:r>
      <w:r w:rsidR="005A2C95">
        <w:t>include any ‘</w:t>
      </w:r>
      <w:r>
        <w:t>view</w:t>
      </w:r>
      <w:r w:rsidR="005A2C95">
        <w:t>’</w:t>
      </w:r>
      <w:r>
        <w:t xml:space="preserve"> of the nest);</w:t>
      </w:r>
    </w:p>
    <w:p w14:paraId="6FC91D25" w14:textId="521C52FB" w:rsidR="00CD60A8" w:rsidRDefault="00CD60A8" w:rsidP="005A2C95">
      <w:pPr>
        <w:pStyle w:val="Quote3"/>
        <w:ind w:left="2880" w:hanging="720"/>
      </w:pPr>
      <w:r>
        <w:t>(ii)</w:t>
      </w:r>
      <w:r w:rsidR="005A2C95">
        <w:tab/>
      </w:r>
      <w:r>
        <w:t xml:space="preserve">impact mitigation measures which are noted in the North Barker Flora and Fauna Assessment dated 21/11/2016, for </w:t>
      </w:r>
      <w:proofErr w:type="spellStart"/>
      <w:r>
        <w:t>Riverfly</w:t>
      </w:r>
      <w:proofErr w:type="spellEnd"/>
      <w:r>
        <w:t xml:space="preserve"> RIV002:</w:t>
      </w:r>
    </w:p>
    <w:p w14:paraId="116FF57A" w14:textId="77777777" w:rsidR="00CD60A8" w:rsidRDefault="00CD60A8" w:rsidP="005A2C95">
      <w:pPr>
        <w:pStyle w:val="Quote3"/>
      </w:pPr>
      <w:r>
        <w:lastRenderedPageBreak/>
        <w:t>A 2.5(d): Construction Environmental Management Plan</w:t>
      </w:r>
    </w:p>
    <w:p w14:paraId="0FC1A05E" w14:textId="4FB3E3EE" w:rsidR="00CD60A8" w:rsidRDefault="00CD60A8" w:rsidP="005A2C95">
      <w:pPr>
        <w:pStyle w:val="Quote3"/>
        <w:ind w:left="2880" w:hanging="720"/>
      </w:pPr>
      <w:r>
        <w:t>(d)</w:t>
      </w:r>
      <w:r w:rsidR="005A2C95">
        <w:tab/>
      </w:r>
      <w:r>
        <w:t>details of how impact mitigation will be managed including the development of site management plan dealing with listed species and communities of the island, risk mitigation measure and supervision</w:t>
      </w:r>
    </w:p>
    <w:p w14:paraId="1EE25C0D" w14:textId="11DDC294" w:rsidR="00CD60A8" w:rsidRDefault="00CD60A8" w:rsidP="005A2C95">
      <w:pPr>
        <w:pStyle w:val="Quote2"/>
        <w:ind w:left="2160" w:hanging="720"/>
      </w:pPr>
      <w:r>
        <w:t>11)</w:t>
      </w:r>
      <w:r w:rsidR="005A2C95">
        <w:tab/>
      </w:r>
      <w:r>
        <w:t>A3.8d (</w:t>
      </w:r>
      <w:r w:rsidR="002A5296">
        <w:t>l</w:t>
      </w:r>
      <w:r>
        <w:t>): The Operator must ensure that any helicopter used in connection with the construction and/or operation of the Development:</w:t>
      </w:r>
    </w:p>
    <w:p w14:paraId="1F9C8A16" w14:textId="61D3E3E9" w:rsidR="00CD60A8" w:rsidRDefault="00CD60A8" w:rsidP="005A2C95">
      <w:pPr>
        <w:pStyle w:val="Quote3"/>
        <w:ind w:left="2880" w:hanging="720"/>
      </w:pPr>
      <w:r>
        <w:t>(</w:t>
      </w:r>
      <w:proofErr w:type="spellStart"/>
      <w:r>
        <w:t>i</w:t>
      </w:r>
      <w:proofErr w:type="spellEnd"/>
      <w:r>
        <w:t>)</w:t>
      </w:r>
      <w:r w:rsidR="005A2C95">
        <w:tab/>
      </w:r>
      <w:r>
        <w:t>uses the flight path provided by the Lessor to ensure minimal airtime and minimal impacts on other users of the area;</w:t>
      </w:r>
    </w:p>
    <w:p w14:paraId="536A394B" w14:textId="19040D7A" w:rsidR="00CD60A8" w:rsidRDefault="00CD60A8" w:rsidP="005A2C95">
      <w:pPr>
        <w:pStyle w:val="Quote2"/>
        <w:ind w:left="2160" w:hanging="720"/>
      </w:pPr>
      <w:r>
        <w:t>12)</w:t>
      </w:r>
      <w:r w:rsidR="005A2C95">
        <w:tab/>
      </w:r>
      <w:r>
        <w:t>A3.8e (</w:t>
      </w:r>
      <w:proofErr w:type="spellStart"/>
      <w:r w:rsidR="0054439F">
        <w:t>l</w:t>
      </w:r>
      <w:r>
        <w:t>,ii</w:t>
      </w:r>
      <w:proofErr w:type="spellEnd"/>
      <w:r>
        <w:t>): (e) Except for emergency situations, helicopters:</w:t>
      </w:r>
    </w:p>
    <w:p w14:paraId="7ADDF552" w14:textId="75D4CDEC" w:rsidR="00CD60A8" w:rsidRDefault="00CD60A8" w:rsidP="005A2C95">
      <w:pPr>
        <w:pStyle w:val="Quote3"/>
        <w:ind w:left="2880" w:hanging="720"/>
      </w:pPr>
      <w:r>
        <w:t>(</w:t>
      </w:r>
      <w:proofErr w:type="spellStart"/>
      <w:r>
        <w:t>i</w:t>
      </w:r>
      <w:proofErr w:type="spellEnd"/>
      <w:r>
        <w:t>)</w:t>
      </w:r>
      <w:r w:rsidR="005A2C95">
        <w:tab/>
      </w:r>
      <w:r>
        <w:t>must not be operated at frequencies greater than those from time to time approved in writing by the Minister; and</w:t>
      </w:r>
    </w:p>
    <w:p w14:paraId="543C7128" w14:textId="437ADADA" w:rsidR="00CD60A8" w:rsidRDefault="00CD60A8" w:rsidP="005A2C95">
      <w:pPr>
        <w:pStyle w:val="Quote3"/>
        <w:ind w:left="2880" w:hanging="720"/>
      </w:pPr>
      <w:r>
        <w:t>(ii)</w:t>
      </w:r>
      <w:r w:rsidR="005A2C95">
        <w:tab/>
      </w:r>
      <w:r>
        <w:t>must operate substantially in accordance with any applicable operations schedule from time to time approved in writing by the (</w:t>
      </w:r>
      <w:proofErr w:type="spellStart"/>
      <w:r>
        <w:t>Tas</w:t>
      </w:r>
      <w:proofErr w:type="spellEnd"/>
      <w:r>
        <w:t>) Minister.</w:t>
      </w:r>
    </w:p>
    <w:p w14:paraId="43E4165C" w14:textId="3E2BEE99" w:rsidR="00CD60A8" w:rsidRDefault="00CD60A8" w:rsidP="00CD60A8">
      <w:pPr>
        <w:pStyle w:val="Quote2"/>
      </w:pPr>
      <w:r>
        <w:t>13)</w:t>
      </w:r>
      <w:r w:rsidR="005A2C95">
        <w:tab/>
      </w:r>
      <w:r>
        <w:t>B1.2(</w:t>
      </w:r>
      <w:proofErr w:type="spellStart"/>
      <w:r>
        <w:t>c,f</w:t>
      </w:r>
      <w:proofErr w:type="spellEnd"/>
      <w:r>
        <w:t>): B1.2 General Obligations</w:t>
      </w:r>
    </w:p>
    <w:p w14:paraId="647D0874" w14:textId="10E6D2BE" w:rsidR="005A2C95" w:rsidRDefault="005A2C95" w:rsidP="005A2C95">
      <w:pPr>
        <w:pStyle w:val="Quote3"/>
        <w:ind w:left="2880" w:hanging="720"/>
      </w:pPr>
      <w:r>
        <w:t>(c)</w:t>
      </w:r>
      <w:r>
        <w:tab/>
        <w:t>to comply with all requirements and recommendations of the FNA (as may be amended generally or in respect of the Business only where such amendments are agreed between the parties acting reasonably) at all times during the Term including ensuring the recommended flight paths and altitude requirements are followed at all times when the helicopter is operating (provided that in the event of any inconsistency between the FNA and any requirements of CASA or relevant legislation the requirements of CASA or relevant legislation will take precedence to the extent of the inconsistency);</w:t>
      </w:r>
    </w:p>
    <w:p w14:paraId="4CD13333" w14:textId="7ACDA7DE" w:rsidR="005A2C95" w:rsidRDefault="005A2C95" w:rsidP="005A2C95">
      <w:pPr>
        <w:pStyle w:val="Quote3"/>
        <w:ind w:left="2880" w:hanging="720"/>
      </w:pPr>
      <w:r>
        <w:t>(f)</w:t>
      </w:r>
      <w:r>
        <w:tab/>
        <w:t xml:space="preserve">discourage smoking from occurring on the Land and within the Park generally but in the event smoking occurs the Operator must ensure that appropriate butt storage is provided and all butts are removed from the Land and disposed of appropriately. </w:t>
      </w:r>
    </w:p>
    <w:p w14:paraId="5A1F881D" w14:textId="7E0254BF" w:rsidR="005A2C95" w:rsidRDefault="005A2C95" w:rsidP="005A2C95">
      <w:pPr>
        <w:pStyle w:val="Quote2"/>
        <w:ind w:left="2160" w:hanging="720"/>
      </w:pPr>
      <w:r>
        <w:t>14)</w:t>
      </w:r>
      <w:r>
        <w:tab/>
        <w:t>C2.2: At all times while on a Activity the Operator must use all reasonable endeavours to ensure that the environment and ecology of the Licensed Area is in no way damaged by the Experience Guides and Clients including ensuring all staff and Clients clean, dry and disinfect any waders or equipment prior to accessing the Land and the Licensed Area.</w:t>
      </w:r>
    </w:p>
    <w:p w14:paraId="06B59FD9" w14:textId="09605739" w:rsidR="005A2C95" w:rsidRDefault="005A2C95" w:rsidP="005A2C95">
      <w:pPr>
        <w:pStyle w:val="Quote2"/>
      </w:pPr>
      <w:r>
        <w:t>15)</w:t>
      </w:r>
      <w:r>
        <w:tab/>
        <w:t xml:space="preserve">C4 (A, </w:t>
      </w:r>
      <w:proofErr w:type="spellStart"/>
      <w:r>
        <w:t>Bii</w:t>
      </w:r>
      <w:proofErr w:type="spellEnd"/>
      <w:r>
        <w:t xml:space="preserve">, </w:t>
      </w:r>
      <w:proofErr w:type="spellStart"/>
      <w:r>
        <w:t>Bvii</w:t>
      </w:r>
      <w:proofErr w:type="spellEnd"/>
      <w:r>
        <w:t xml:space="preserve">, </w:t>
      </w:r>
      <w:proofErr w:type="spellStart"/>
      <w:r>
        <w:t>Bviii</w:t>
      </w:r>
      <w:proofErr w:type="spellEnd"/>
      <w:r>
        <w:t xml:space="preserve">, Bix, </w:t>
      </w:r>
      <w:proofErr w:type="spellStart"/>
      <w:r>
        <w:t>BxiiC</w:t>
      </w:r>
      <w:proofErr w:type="spellEnd"/>
      <w:r>
        <w:t>): C4 Transport Service</w:t>
      </w:r>
    </w:p>
    <w:p w14:paraId="2D17D445" w14:textId="076251FC" w:rsidR="005A2C95" w:rsidRDefault="005A2C95" w:rsidP="005A2C95">
      <w:pPr>
        <w:pStyle w:val="Quote3"/>
        <w:ind w:left="2880" w:hanging="720"/>
      </w:pPr>
      <w:r>
        <w:t>(a)</w:t>
      </w:r>
      <w:r>
        <w:tab/>
        <w:t>The Operator must not operate or use, or arrange for the operation or use of, a helicopter within the Park except in accordance with this clause C4.</w:t>
      </w:r>
    </w:p>
    <w:p w14:paraId="0B916C84" w14:textId="190A2268" w:rsidR="005A2C95" w:rsidRDefault="005A2C95" w:rsidP="005A2C95">
      <w:pPr>
        <w:pStyle w:val="Quote3"/>
        <w:ind w:left="2880" w:hanging="720"/>
      </w:pPr>
      <w:r>
        <w:t>(b)</w:t>
      </w:r>
      <w:r>
        <w:tab/>
        <w:t>The Operator may operate or use, or arrange for the operation or use, of a helicopter within the Park subject to the following provisions:</w:t>
      </w:r>
    </w:p>
    <w:p w14:paraId="4D00651D" w14:textId="6FCACF21" w:rsidR="005A2C95" w:rsidRDefault="005A2C95" w:rsidP="009A7586">
      <w:pPr>
        <w:pStyle w:val="Quote3"/>
        <w:ind w:left="2880" w:hanging="720"/>
      </w:pPr>
      <w:r>
        <w:lastRenderedPageBreak/>
        <w:t>(ii)</w:t>
      </w:r>
      <w:r>
        <w:tab/>
        <w:t xml:space="preserve">ensure that the flight path enclosed at Attachment B </w:t>
      </w:r>
      <w:r w:rsidR="0054439F">
        <w:t>‘</w:t>
      </w:r>
      <w:r>
        <w:t>Flight Paths</w:t>
      </w:r>
      <w:r w:rsidR="0054439F">
        <w:t>’</w:t>
      </w:r>
      <w:r>
        <w:t xml:space="preserve"> is followed at all times;</w:t>
      </w:r>
    </w:p>
    <w:p w14:paraId="44AD3AC5" w14:textId="21EA4080" w:rsidR="005A2C95" w:rsidRDefault="005A2C95" w:rsidP="009A7586">
      <w:pPr>
        <w:pStyle w:val="Quote3"/>
        <w:ind w:left="2880" w:hanging="720"/>
      </w:pPr>
      <w:r>
        <w:t>(vii)</w:t>
      </w:r>
      <w:r>
        <w:tab/>
        <w:t xml:space="preserve">complies with the FNA including ensuring a standard operating procedure of over-flying potential nesting habitat by approximately 1000m altitude where possible (except for the end points of the flight), travelling along the pre-determined route of minimum likelihood of nests and avoiding tight manoeuvres and hovering (including ensuring that any flight path is not within a 1km line of sight of known (wedge tailed) eagles nests and that any flight does not include any </w:t>
      </w:r>
      <w:r w:rsidR="0054439F">
        <w:t>‘</w:t>
      </w:r>
      <w:r>
        <w:t>view</w:t>
      </w:r>
      <w:r w:rsidR="0054439F">
        <w:t>’</w:t>
      </w:r>
      <w:r>
        <w:t xml:space="preserve"> of the nest); </w:t>
      </w:r>
    </w:p>
    <w:p w14:paraId="5164919A" w14:textId="101A9BB1" w:rsidR="005A2C95" w:rsidRDefault="005A2C95" w:rsidP="009A7586">
      <w:pPr>
        <w:pStyle w:val="Quote3"/>
        <w:ind w:left="2880" w:hanging="720"/>
      </w:pPr>
      <w:r>
        <w:t>(viii)</w:t>
      </w:r>
      <w:r>
        <w:tab/>
        <w:t>unless otherwise agreed in writing by the (</w:t>
      </w:r>
      <w:proofErr w:type="spellStart"/>
      <w:r>
        <w:t>Tas</w:t>
      </w:r>
      <w:proofErr w:type="spellEnd"/>
      <w:r>
        <w:t>) Minister, helicopters must only land and take-off from the recognised landing pad, the final location to be determined in accordance with Schedule A;</w:t>
      </w:r>
    </w:p>
    <w:p w14:paraId="366D3E65" w14:textId="7687AE4E" w:rsidR="005A2C95" w:rsidRDefault="005A2C95" w:rsidP="009A7586">
      <w:pPr>
        <w:pStyle w:val="Quote3"/>
        <w:ind w:left="2880" w:hanging="720"/>
      </w:pPr>
      <w:r>
        <w:t>(ix)</w:t>
      </w:r>
      <w:r>
        <w:tab/>
        <w:t>except for helicopter operations required for the construction of the Development or in respect of emergency situations, helicopters must only be used for supply and servicing runs in respect of a Land or in connection with maintenance of the Operator</w:t>
      </w:r>
      <w:r w:rsidR="0054439F">
        <w:t>’</w:t>
      </w:r>
      <w:r>
        <w:t>s Improvements and in accordance with the approved Operations Manual in accordance with clause A2.2;</w:t>
      </w:r>
    </w:p>
    <w:p w14:paraId="04D70017" w14:textId="3C05436F" w:rsidR="005A2C95" w:rsidRDefault="005A2C95" w:rsidP="009A7586">
      <w:pPr>
        <w:pStyle w:val="Quote3"/>
        <w:ind w:left="2880" w:hanging="720"/>
      </w:pPr>
      <w:r>
        <w:t>(xii)</w:t>
      </w:r>
      <w:r>
        <w:tab/>
        <w:t>except where necessary because of overriding safety considerations, the Operator must ensure that helicopters:</w:t>
      </w:r>
    </w:p>
    <w:p w14:paraId="5D572E0D" w14:textId="08E983E4" w:rsidR="005A2C95" w:rsidRDefault="005A2C95" w:rsidP="005A2C95">
      <w:pPr>
        <w:pStyle w:val="Quote3"/>
        <w:ind w:left="2880" w:hanging="720"/>
      </w:pPr>
      <w:r>
        <w:t>(c)</w:t>
      </w:r>
      <w:r>
        <w:tab/>
        <w:t>are operated in a manner that minimises noise and disturbance to other users of the Park;</w:t>
      </w:r>
    </w:p>
    <w:p w14:paraId="748E821C" w14:textId="467AE892" w:rsidR="005A2C95" w:rsidRDefault="005A2C95" w:rsidP="005A2C95">
      <w:pPr>
        <w:pStyle w:val="Quote1Bullet"/>
      </w:pPr>
      <w:r>
        <w:t>Additional proponent proposed measures</w:t>
      </w:r>
    </w:p>
    <w:p w14:paraId="3BDC6732" w14:textId="75911E77" w:rsidR="005A2C95" w:rsidRDefault="005A2C95" w:rsidP="005A2C95">
      <w:pPr>
        <w:pStyle w:val="Quote2"/>
        <w:ind w:left="2160" w:hanging="720"/>
      </w:pPr>
      <w:r>
        <w:t>16)</w:t>
      </w:r>
      <w:r>
        <w:tab/>
        <w:t>The Standing Camp site will be rested from commercial activities for the period June-September annually (4 months), with the minor allowance of up to 5 commercial trips (20days) during this period, as per RAA approvals.</w:t>
      </w:r>
    </w:p>
    <w:p w14:paraId="798D45AD" w14:textId="64C8478F" w:rsidR="005A2C95" w:rsidRPr="006C1ACC" w:rsidRDefault="005A2C95" w:rsidP="005A2C95">
      <w:pPr>
        <w:pStyle w:val="Quote1"/>
      </w:pPr>
      <w:r w:rsidRPr="003F2DFC">
        <w:rPr>
          <w:b/>
          <w:u w:val="single"/>
        </w:rPr>
        <w:t>Risk after mitigation and management measures are in place</w:t>
      </w:r>
      <w:r w:rsidRPr="003F2DFC">
        <w:t>: Low. Appropriate Standing Camp design and siting ensures that infrastructure does not impact on areas relatively undisturbed landscape. Low volume helicopter use and impact mitigation measures ensure that impacts on other u</w:t>
      </w:r>
      <w:r w:rsidRPr="006C1ACC">
        <w:t>sers of the landscape is minimised.</w:t>
      </w:r>
    </w:p>
    <w:p w14:paraId="6F7C1A9E" w14:textId="77777777" w:rsidR="006C1ACC" w:rsidRPr="005D03AB" w:rsidRDefault="005A2C95" w:rsidP="00095D86">
      <w:pPr>
        <w:pStyle w:val="Quote1"/>
      </w:pPr>
      <w:r w:rsidRPr="00A3309D">
        <w:rPr>
          <w:b/>
          <w:u w:val="single"/>
        </w:rPr>
        <w:t>Likelihood of a significant impact</w:t>
      </w:r>
      <w:r w:rsidRPr="00025DFA">
        <w:t>: Low – no significant visual or physical impacts from Standing Camp infrastructure, and minimal impacts from associated site usage.</w:t>
      </w:r>
    </w:p>
    <w:p w14:paraId="417F9798" w14:textId="40EB4135" w:rsidR="00596860" w:rsidRDefault="00596860" w:rsidP="004B5105">
      <w:pPr>
        <w:pStyle w:val="ParaNumbering"/>
      </w:pPr>
      <w:r>
        <w:t>The second also relates to a Wo</w:t>
      </w:r>
      <w:r w:rsidR="005A2C95">
        <w:t>r</w:t>
      </w:r>
      <w:r>
        <w:t xml:space="preserve">ld </w:t>
      </w:r>
      <w:r w:rsidR="00EA7668">
        <w:t>H</w:t>
      </w:r>
      <w:r>
        <w:t>eritage value:</w:t>
      </w:r>
    </w:p>
    <w:p w14:paraId="673D888D" w14:textId="61E4315A" w:rsidR="005A2C95" w:rsidRDefault="005A2C95" w:rsidP="005A2C95">
      <w:pPr>
        <w:pStyle w:val="Quote1"/>
      </w:pPr>
      <w:r w:rsidRPr="005A2C95">
        <w:rPr>
          <w:b/>
          <w:i/>
        </w:rPr>
        <w:t>Value</w:t>
      </w:r>
      <w:r>
        <w:t>: Criteria X – Values of the most important and significant habitats where threatened species of plants and animals of outstanding universal value from the point of view of science and conservation still survive.</w:t>
      </w:r>
    </w:p>
    <w:p w14:paraId="2DE08614" w14:textId="30F61FA2" w:rsidR="005A2C95" w:rsidRDefault="005A2C95" w:rsidP="005A2C95">
      <w:pPr>
        <w:pStyle w:val="Quote1"/>
      </w:pPr>
      <w:r w:rsidRPr="005A2C95">
        <w:rPr>
          <w:b/>
          <w:i/>
        </w:rPr>
        <w:t>Matter</w:t>
      </w:r>
      <w:r>
        <w:t>: Habitats where threatened species of plants and animals of outstanding universal value from the point of view of science and conservation communities’ and species of conservation significance still survive (</w:t>
      </w:r>
      <w:proofErr w:type="spellStart"/>
      <w:r>
        <w:t>eg</w:t>
      </w:r>
      <w:proofErr w:type="spellEnd"/>
      <w:r>
        <w:t xml:space="preserve">: </w:t>
      </w:r>
      <w:r w:rsidRPr="005A2C95">
        <w:rPr>
          <w:i/>
        </w:rPr>
        <w:t>sphagnum</w:t>
      </w:r>
      <w:r>
        <w:t xml:space="preserve"> peatland, </w:t>
      </w:r>
      <w:proofErr w:type="spellStart"/>
      <w:r w:rsidRPr="005A2C95">
        <w:rPr>
          <w:i/>
        </w:rPr>
        <w:t>Athrotaxis</w:t>
      </w:r>
      <w:proofErr w:type="spellEnd"/>
      <w:r w:rsidRPr="005A2C95">
        <w:rPr>
          <w:i/>
        </w:rPr>
        <w:t xml:space="preserve"> </w:t>
      </w:r>
      <w:proofErr w:type="spellStart"/>
      <w:r w:rsidRPr="005A2C95">
        <w:rPr>
          <w:i/>
        </w:rPr>
        <w:t>selaginoides</w:t>
      </w:r>
      <w:proofErr w:type="spellEnd"/>
      <w:r>
        <w:t xml:space="preserve"> rainforest).</w:t>
      </w:r>
    </w:p>
    <w:p w14:paraId="0B543317" w14:textId="14D3691F" w:rsidR="005A2C95" w:rsidRDefault="005A2C95" w:rsidP="005A2C95">
      <w:pPr>
        <w:pStyle w:val="Quote1"/>
      </w:pPr>
      <w:r w:rsidRPr="005A2C95">
        <w:rPr>
          <w:b/>
          <w:i/>
        </w:rPr>
        <w:t>Potential impacts (to establish the likelihood of a significant impact on MNES)</w:t>
      </w:r>
      <w:r>
        <w:t xml:space="preserve">: </w:t>
      </w:r>
      <w:r>
        <w:lastRenderedPageBreak/>
        <w:t xml:space="preserve">Trampling &amp; track formation related to on-island activities and proposed walking routes from helipad to lake edge. </w:t>
      </w:r>
    </w:p>
    <w:p w14:paraId="3838A50A" w14:textId="77777777" w:rsidR="005A2C95" w:rsidRDefault="005A2C95" w:rsidP="005A2C95">
      <w:pPr>
        <w:pStyle w:val="Quote1"/>
      </w:pPr>
      <w:r w:rsidRPr="005A2C95">
        <w:rPr>
          <w:b/>
          <w:i/>
          <w:u w:val="single"/>
        </w:rPr>
        <w:t>Likelihood</w:t>
      </w:r>
      <w:r>
        <w:t>: Low-Moderate.</w:t>
      </w:r>
    </w:p>
    <w:p w14:paraId="62523789" w14:textId="410A91A7" w:rsidR="005A2C95" w:rsidRDefault="005A2C95" w:rsidP="005A2C95">
      <w:pPr>
        <w:pStyle w:val="Quote1"/>
      </w:pPr>
      <w:r w:rsidRPr="005A2C95">
        <w:rPr>
          <w:b/>
          <w:i/>
          <w:u w:val="single"/>
        </w:rPr>
        <w:t>Consequence</w:t>
      </w:r>
      <w:r>
        <w:t>: Damage to the integrity of susceptible features arising from trampling, track formation and subsequent erosion.</w:t>
      </w:r>
    </w:p>
    <w:p w14:paraId="63768C3A" w14:textId="77777777" w:rsidR="00085334" w:rsidRDefault="00085334" w:rsidP="00085334">
      <w:pPr>
        <w:pStyle w:val="Quote1"/>
      </w:pPr>
      <w:r w:rsidRPr="00085334">
        <w:rPr>
          <w:b/>
          <w:i/>
          <w:u w:val="single"/>
        </w:rPr>
        <w:t>Risk</w:t>
      </w:r>
      <w:r>
        <w:t>: Moderate.</w:t>
      </w:r>
    </w:p>
    <w:p w14:paraId="55EE8182" w14:textId="77777777" w:rsidR="00085334" w:rsidRPr="00085334" w:rsidRDefault="00085334" w:rsidP="00085334">
      <w:pPr>
        <w:pStyle w:val="Quote1"/>
        <w:rPr>
          <w:b/>
        </w:rPr>
      </w:pPr>
      <w:r w:rsidRPr="00085334">
        <w:rPr>
          <w:b/>
        </w:rPr>
        <w:t>Mitigation and avoidance measures</w:t>
      </w:r>
    </w:p>
    <w:p w14:paraId="4D828809" w14:textId="33DC6398" w:rsidR="00085334" w:rsidRPr="00085334" w:rsidRDefault="00085334" w:rsidP="00085334">
      <w:pPr>
        <w:pStyle w:val="Quote1"/>
        <w:rPr>
          <w:i/>
        </w:rPr>
      </w:pPr>
      <w:r w:rsidRPr="00085334">
        <w:rPr>
          <w:i/>
        </w:rPr>
        <w:t>Existing measures (RAA, lease and licence conditions) to be fully adopted</w:t>
      </w:r>
    </w:p>
    <w:p w14:paraId="367B6493" w14:textId="46AADD3B" w:rsidR="00085334" w:rsidRDefault="00085334" w:rsidP="005507F7">
      <w:pPr>
        <w:pStyle w:val="Quote1Bullet"/>
      </w:pPr>
      <w:r>
        <w:t>RAA Step 6 Activity controls # 4.1.1.1, 4.1.1.3, 4.1.1.4, 4.1.3.1, 4.1.3.2 and implement all RAA Step 8 Conditions</w:t>
      </w:r>
    </w:p>
    <w:p w14:paraId="204D7827" w14:textId="2B403747" w:rsidR="00085334" w:rsidRDefault="00085334" w:rsidP="00085334">
      <w:pPr>
        <w:pStyle w:val="Quote2"/>
        <w:ind w:left="2160" w:hanging="720"/>
      </w:pPr>
      <w:r>
        <w:t>1)</w:t>
      </w:r>
      <w:r>
        <w:tab/>
        <w:t>4.1.1.1: Adopt all mitigation measures prescribed in the avoidance of trampling (on-island) within the Flora and Fauna Assessment:</w:t>
      </w:r>
    </w:p>
    <w:p w14:paraId="4C86EDB8" w14:textId="2CF869B9" w:rsidR="00085334" w:rsidRDefault="00085334" w:rsidP="00085334">
      <w:pPr>
        <w:pStyle w:val="Quote2"/>
        <w:ind w:left="2160" w:hanging="720"/>
      </w:pPr>
      <w:r>
        <w:t>a.</w:t>
      </w:r>
      <w:r>
        <w:tab/>
        <w:t xml:space="preserve">Avoid routes through MSP’s, or facilitate passage across MSP’s by installing raised, perforated </w:t>
      </w:r>
      <w:proofErr w:type="spellStart"/>
      <w:r>
        <w:t>boardwalking</w:t>
      </w:r>
      <w:proofErr w:type="spellEnd"/>
      <w:r>
        <w:t>. Risk is mitigated.</w:t>
      </w:r>
    </w:p>
    <w:p w14:paraId="28E59F07" w14:textId="7C015D91" w:rsidR="00085334" w:rsidRDefault="00085334" w:rsidP="00085334">
      <w:pPr>
        <w:pStyle w:val="Quote2"/>
        <w:ind w:left="2160" w:hanging="720"/>
      </w:pPr>
      <w:r>
        <w:t>b.</w:t>
      </w:r>
      <w:r>
        <w:tab/>
        <w:t>Education and supervision during trips, in relation to avoidance of trampling.</w:t>
      </w:r>
    </w:p>
    <w:p w14:paraId="4322480F" w14:textId="01087FF9" w:rsidR="00085334" w:rsidRDefault="00085334" w:rsidP="00085334">
      <w:pPr>
        <w:pStyle w:val="Quote2"/>
        <w:ind w:left="2160" w:hanging="720"/>
      </w:pPr>
      <w:r>
        <w:t>c.</w:t>
      </w:r>
      <w:r>
        <w:tab/>
        <w:t>Siting of standing camp among ORO or WSU communities.</w:t>
      </w:r>
    </w:p>
    <w:p w14:paraId="67E14D99" w14:textId="6463AEC8" w:rsidR="00085334" w:rsidRDefault="00085334" w:rsidP="00085334">
      <w:pPr>
        <w:pStyle w:val="Quote2"/>
        <w:ind w:left="2160" w:hanging="720"/>
      </w:pPr>
      <w:r>
        <w:t>d.</w:t>
      </w:r>
      <w:r>
        <w:tab/>
        <w:t xml:space="preserve">Create visitor exclusion zones, excluding visitors from sensitive communities MSP, RKP and </w:t>
      </w:r>
      <w:proofErr w:type="spellStart"/>
      <w:r w:rsidRPr="00085334">
        <w:rPr>
          <w:i/>
        </w:rPr>
        <w:t>Pherosphaera</w:t>
      </w:r>
      <w:proofErr w:type="spellEnd"/>
      <w:r w:rsidRPr="00085334">
        <w:rPr>
          <w:i/>
        </w:rPr>
        <w:t xml:space="preserve"> </w:t>
      </w:r>
      <w:proofErr w:type="spellStart"/>
      <w:r w:rsidRPr="00085334">
        <w:rPr>
          <w:i/>
        </w:rPr>
        <w:t>hookeriana</w:t>
      </w:r>
      <w:proofErr w:type="spellEnd"/>
      <w:r>
        <w:t xml:space="preserve"> communities (see Site Plan Map).</w:t>
      </w:r>
    </w:p>
    <w:p w14:paraId="496AD45A" w14:textId="070C877E" w:rsidR="00085334" w:rsidRDefault="00085334" w:rsidP="00085334">
      <w:pPr>
        <w:pStyle w:val="Quote2"/>
        <w:ind w:left="2160" w:hanging="720"/>
      </w:pPr>
      <w:r>
        <w:t>2)</w:t>
      </w:r>
      <w:r>
        <w:tab/>
        <w:t>4.1.1.3: Install raised, perforated boardwalk along area of existing impact.</w:t>
      </w:r>
    </w:p>
    <w:p w14:paraId="2A28EE1B" w14:textId="65B31368" w:rsidR="00085334" w:rsidRDefault="00085334" w:rsidP="00085334">
      <w:pPr>
        <w:pStyle w:val="Quote2"/>
        <w:ind w:left="2160" w:hanging="720"/>
      </w:pPr>
      <w:r>
        <w:t>3)</w:t>
      </w:r>
      <w:r>
        <w:tab/>
        <w:t xml:space="preserve">4.1.1.4: Ensure on-island routes/tracks avoid </w:t>
      </w:r>
      <w:proofErr w:type="spellStart"/>
      <w:r w:rsidRPr="00085334">
        <w:rPr>
          <w:i/>
        </w:rPr>
        <w:t>Pherosphaera</w:t>
      </w:r>
      <w:proofErr w:type="spellEnd"/>
      <w:r w:rsidRPr="00085334">
        <w:rPr>
          <w:i/>
        </w:rPr>
        <w:t xml:space="preserve"> </w:t>
      </w:r>
      <w:proofErr w:type="spellStart"/>
      <w:r w:rsidRPr="00085334">
        <w:rPr>
          <w:i/>
        </w:rPr>
        <w:t>hookeriana</w:t>
      </w:r>
      <w:proofErr w:type="spellEnd"/>
      <w:r>
        <w:t>. Where existing routes pass by this species (near the natural rock landing), use short lengths of boardwalk to ensure clear walking route that avoids plant species. Education and supervision to re-enforce impact mitigation. Utilise no-access areas for visitors, see Site Plan Map including exclusion zones.</w:t>
      </w:r>
    </w:p>
    <w:p w14:paraId="515CF7CF" w14:textId="0E5D8EF3" w:rsidR="00085334" w:rsidRDefault="00085334" w:rsidP="00085334">
      <w:pPr>
        <w:pStyle w:val="Quote2"/>
        <w:ind w:left="2160" w:hanging="720"/>
      </w:pPr>
      <w:r>
        <w:t>4)</w:t>
      </w:r>
      <w:r>
        <w:tab/>
        <w:t>4.1.3.1: Camp will be installed using hand tools / battery-operated tools only. Minimal ground disturbance, no excavations or changes to water-courses.</w:t>
      </w:r>
    </w:p>
    <w:p w14:paraId="5B6F86F3" w14:textId="475B92F7" w:rsidR="00085334" w:rsidRDefault="00085334" w:rsidP="00085334">
      <w:pPr>
        <w:pStyle w:val="Quote2"/>
        <w:ind w:left="2160" w:hanging="720"/>
      </w:pPr>
      <w:r>
        <w:t>5)</w:t>
      </w:r>
      <w:r>
        <w:tab/>
        <w:t>4.1.3.2: Blanket bog sites are avoided.</w:t>
      </w:r>
    </w:p>
    <w:p w14:paraId="6F377B89" w14:textId="77777777" w:rsidR="00085334" w:rsidRDefault="00085334" w:rsidP="00085334">
      <w:pPr>
        <w:pStyle w:val="Quote1Bullet"/>
      </w:pPr>
      <w:r>
        <w:t>Step 8 Conditions:</w:t>
      </w:r>
    </w:p>
    <w:p w14:paraId="762B7C43" w14:textId="0752C6E2" w:rsidR="00085334" w:rsidRDefault="00085334" w:rsidP="00085334">
      <w:pPr>
        <w:pStyle w:val="Quote2"/>
        <w:ind w:left="2160" w:hanging="720"/>
      </w:pPr>
      <w:r>
        <w:t>6)</w:t>
      </w:r>
      <w:r>
        <w:tab/>
        <w:t>Implement all avoidance and mitigation measures outlined in the Flora and Fauna Assessment; prepare a Construction Environmental Management Plan (CEMP) covering the construction phase, to be approved by the PWS.</w:t>
      </w:r>
    </w:p>
    <w:p w14:paraId="223FF226" w14:textId="2852E2AD" w:rsidR="00085334" w:rsidRDefault="00085334" w:rsidP="00085334">
      <w:pPr>
        <w:pStyle w:val="Quote2"/>
        <w:ind w:left="2160" w:hanging="720"/>
      </w:pPr>
      <w:r>
        <w:t>7)</w:t>
      </w:r>
      <w:r>
        <w:tab/>
        <w:t>Through the CEMP, make staff and contractors working on Halls Island aware of the location of threatened plants and threatened native vegetation communities to ensure no inadvertent impact to these natural values.</w:t>
      </w:r>
    </w:p>
    <w:p w14:paraId="54CB6182" w14:textId="12ED2DFE" w:rsidR="00085334" w:rsidRDefault="00085334" w:rsidP="00085334">
      <w:pPr>
        <w:pStyle w:val="Quote2"/>
        <w:ind w:left="2160" w:hanging="720"/>
      </w:pPr>
      <w:r>
        <w:lastRenderedPageBreak/>
        <w:t>8)</w:t>
      </w:r>
      <w:r>
        <w:tab/>
        <w:t>Flag work area to avoid inadvertent disturbance of threatened plants (</w:t>
      </w:r>
      <w:proofErr w:type="spellStart"/>
      <w:r w:rsidRPr="00085334">
        <w:rPr>
          <w:i/>
        </w:rPr>
        <w:t>Pherosphaera</w:t>
      </w:r>
      <w:proofErr w:type="spellEnd"/>
      <w:r w:rsidRPr="00085334">
        <w:rPr>
          <w:i/>
        </w:rPr>
        <w:t xml:space="preserve"> </w:t>
      </w:r>
      <w:proofErr w:type="spellStart"/>
      <w:r w:rsidRPr="00085334">
        <w:rPr>
          <w:i/>
        </w:rPr>
        <w:t>hookeriana</w:t>
      </w:r>
      <w:proofErr w:type="spellEnd"/>
      <w:r>
        <w:t xml:space="preserve"> pines) during construction. Include in CEMP.</w:t>
      </w:r>
    </w:p>
    <w:p w14:paraId="36B82606" w14:textId="6B8C6E71" w:rsidR="00085334" w:rsidRDefault="00085334" w:rsidP="00085334">
      <w:pPr>
        <w:pStyle w:val="Quote2"/>
        <w:ind w:left="2160" w:hanging="720"/>
      </w:pPr>
      <w:r>
        <w:t>9)</w:t>
      </w:r>
      <w:r>
        <w:tab/>
        <w:t xml:space="preserve">Locate the Halls Island landing such that these plants do not need to be removed, but if this is not practicable or safe, and any of these threatened pines need to be taken, then a permit to take under the </w:t>
      </w:r>
      <w:r w:rsidRPr="00085334">
        <w:rPr>
          <w:i/>
        </w:rPr>
        <w:t>Threatened Species Protection Act 1994</w:t>
      </w:r>
      <w:r>
        <w:t xml:space="preserve"> will be required from PCAB prior to any impact.</w:t>
      </w:r>
    </w:p>
    <w:p w14:paraId="51979643" w14:textId="1BD2857B" w:rsidR="00085334" w:rsidRDefault="00085334" w:rsidP="00085334">
      <w:pPr>
        <w:pStyle w:val="Quote1Bullet"/>
      </w:pPr>
      <w:r>
        <w:t>Lease and Licence conditions including A2.3, A2.4 (ii), A2.5(d), C2.2</w:t>
      </w:r>
    </w:p>
    <w:p w14:paraId="3F6C5943" w14:textId="7EA6371E" w:rsidR="00085334" w:rsidRDefault="00085334" w:rsidP="00085334">
      <w:pPr>
        <w:pStyle w:val="Quote2"/>
      </w:pPr>
      <w:r>
        <w:t>10)</w:t>
      </w:r>
      <w:r>
        <w:tab/>
        <w:t>A2.4 Operations Manual</w:t>
      </w:r>
    </w:p>
    <w:p w14:paraId="4B6FCE5E" w14:textId="3DCEF5F9" w:rsidR="00085334" w:rsidRDefault="00085334" w:rsidP="00085334">
      <w:pPr>
        <w:pStyle w:val="Quote3"/>
        <w:ind w:left="2880" w:hanging="720"/>
      </w:pPr>
      <w:r>
        <w:t>(b)</w:t>
      </w:r>
      <w:r>
        <w:tab/>
        <w:t>The Operator must prepare an operations manual detailing the operational practices of the Operator in respect of both the Approved Use and the Licensed Activities (Operations Manual). The Operations Manual must include:</w:t>
      </w:r>
    </w:p>
    <w:p w14:paraId="1F21D943" w14:textId="7F0F9D7D" w:rsidR="00085334" w:rsidRDefault="00085334" w:rsidP="00085334">
      <w:pPr>
        <w:pStyle w:val="Quote3"/>
        <w:ind w:left="2880" w:hanging="720"/>
      </w:pPr>
      <w:r>
        <w:t>(ii)</w:t>
      </w:r>
      <w:r>
        <w:tab/>
        <w:t xml:space="preserve">impact mitigation measures which are noted in the North Barker Flora and Fauna Assessment dated 21/11/2016, for </w:t>
      </w:r>
      <w:proofErr w:type="spellStart"/>
      <w:r>
        <w:t>Riverfly</w:t>
      </w:r>
      <w:proofErr w:type="spellEnd"/>
      <w:r>
        <w:t xml:space="preserve"> RIV002, including:</w:t>
      </w:r>
    </w:p>
    <w:p w14:paraId="6BAE6FE2" w14:textId="67207BD9" w:rsidR="00085334" w:rsidRDefault="00085334" w:rsidP="00085334">
      <w:pPr>
        <w:pStyle w:val="Quote3"/>
        <w:numPr>
          <w:ilvl w:val="0"/>
          <w:numId w:val="53"/>
        </w:numPr>
        <w:ind w:left="2880" w:hanging="720"/>
      </w:pPr>
      <w:r>
        <w:t xml:space="preserve">avoiding MSP - </w:t>
      </w:r>
      <w:r w:rsidRPr="00085334">
        <w:rPr>
          <w:i/>
        </w:rPr>
        <w:t>Sphagnum</w:t>
      </w:r>
      <w:r>
        <w:t xml:space="preserve"> peatland, RKP - </w:t>
      </w:r>
      <w:proofErr w:type="spellStart"/>
      <w:r w:rsidRPr="00085334">
        <w:rPr>
          <w:i/>
        </w:rPr>
        <w:t>Athrotaxis</w:t>
      </w:r>
      <w:proofErr w:type="spellEnd"/>
      <w:r w:rsidRPr="00085334">
        <w:rPr>
          <w:i/>
        </w:rPr>
        <w:t xml:space="preserve"> </w:t>
      </w:r>
      <w:proofErr w:type="spellStart"/>
      <w:r w:rsidRPr="00085334">
        <w:rPr>
          <w:i/>
        </w:rPr>
        <w:t>selaginoides</w:t>
      </w:r>
      <w:proofErr w:type="spellEnd"/>
      <w:r>
        <w:t xml:space="preserve"> rainforest and </w:t>
      </w:r>
      <w:proofErr w:type="spellStart"/>
      <w:r w:rsidRPr="00085334">
        <w:rPr>
          <w:i/>
        </w:rPr>
        <w:t>Pherosphaera</w:t>
      </w:r>
      <w:proofErr w:type="spellEnd"/>
      <w:r w:rsidRPr="00085334">
        <w:rPr>
          <w:i/>
        </w:rPr>
        <w:t xml:space="preserve"> </w:t>
      </w:r>
      <w:proofErr w:type="spellStart"/>
      <w:r w:rsidRPr="00085334">
        <w:rPr>
          <w:i/>
        </w:rPr>
        <w:t>hookeriana</w:t>
      </w:r>
      <w:proofErr w:type="spellEnd"/>
      <w:r>
        <w:t xml:space="preserve"> locations (the Operator, where necessary, can apply to construct boardwalks over locations not specified in the RAA, which application will be subject to the written consent of the Minister including any necessary further assessment);</w:t>
      </w:r>
    </w:p>
    <w:p w14:paraId="55DB2224" w14:textId="74D597CE" w:rsidR="00085334" w:rsidRDefault="00085334" w:rsidP="00085334">
      <w:pPr>
        <w:pStyle w:val="Quote3"/>
        <w:ind w:left="2880" w:hanging="720"/>
      </w:pPr>
      <w:r>
        <w:t>(D)</w:t>
      </w:r>
      <w:r>
        <w:tab/>
        <w:t>using continual education and supervision as part of the overall interpretation and presentation of the Land to ensure minimal impact.</w:t>
      </w:r>
    </w:p>
    <w:p w14:paraId="44109311" w14:textId="098C8E10" w:rsidR="00085334" w:rsidRDefault="00085334" w:rsidP="00085334">
      <w:pPr>
        <w:pStyle w:val="Quote2"/>
        <w:ind w:left="2160" w:hanging="720"/>
      </w:pPr>
      <w:r>
        <w:t>11)</w:t>
      </w:r>
      <w:r>
        <w:tab/>
        <w:t>A2.5: Construction Environmental Management Plan - The Operator must, before making any application for Development Approval to the Central Highlands Council and/or undertaking any Development Works on the Land prepare a plan (‘Construction Environmental Management Plan’), in a form and substance satisfactory to the Minister, to deal with the following matters:</w:t>
      </w:r>
    </w:p>
    <w:p w14:paraId="2A8668CA" w14:textId="508BBC34" w:rsidR="00085334" w:rsidRDefault="00085334" w:rsidP="00085334">
      <w:pPr>
        <w:pStyle w:val="Quote3"/>
        <w:ind w:left="2880" w:hanging="720"/>
      </w:pPr>
      <w:r>
        <w:t>(d)</w:t>
      </w:r>
      <w:r>
        <w:tab/>
        <w:t>details of how impact mitigation will be managed including the development of site management plan dealing with listed species and communities of the island, risk mitigation measure and supervision;</w:t>
      </w:r>
    </w:p>
    <w:p w14:paraId="412DBFCF" w14:textId="7D83DE7F" w:rsidR="00085334" w:rsidRDefault="00085334" w:rsidP="00085334">
      <w:pPr>
        <w:pStyle w:val="Quote2"/>
        <w:ind w:left="2160" w:hanging="720"/>
      </w:pPr>
      <w:r>
        <w:t>12)</w:t>
      </w:r>
      <w:r>
        <w:tab/>
        <w:t>C2.2 Management of the Environment: At all times while on an Activity the Operator must use all reasonable endeavours to ensure that the environment and ecology of the Licensed Area is in no way damaged by the Experience Guides and Clients including ensuring all staff and Clients clean, dry and disinfect any waders or equipment prior to accessing the Land and the Licensed Area.</w:t>
      </w:r>
    </w:p>
    <w:p w14:paraId="1781971B" w14:textId="77777777" w:rsidR="00085334" w:rsidRDefault="00085334" w:rsidP="00085334">
      <w:pPr>
        <w:pStyle w:val="Quote1Bullet"/>
      </w:pPr>
      <w:r>
        <w:t>Additional proponent proposed measures</w:t>
      </w:r>
    </w:p>
    <w:p w14:paraId="6E173E22" w14:textId="72674097" w:rsidR="00085334" w:rsidRDefault="00085334" w:rsidP="00085334">
      <w:pPr>
        <w:pStyle w:val="Quote2"/>
        <w:ind w:left="2160" w:hanging="720"/>
      </w:pPr>
      <w:r>
        <w:t>13)</w:t>
      </w:r>
      <w:r>
        <w:tab/>
        <w:t xml:space="preserve">Additional on-site assessments (30 May 2018) have identified a suitable helicopter landing location (see Helipad Site 2 - Proposed Helipad and access to Halls Island Vegetation Survey 20 May 2018) </w:t>
      </w:r>
      <w:r>
        <w:lastRenderedPageBreak/>
        <w:t>consisting of naturally exposed bedrock. It is the intention of the proponent to use this area as the Helicopter Landing Site (HLS) without the requirement for added infrastructure (subject to HLS approval from helicopter contractors and meeting applicable CASA regulations).</w:t>
      </w:r>
      <w:r w:rsidR="005B78BA">
        <w:t xml:space="preserve"> </w:t>
      </w:r>
      <w:r>
        <w:t>Should infrastructure (formed helipad) be required due to OH&amp;S and/or CASA requirements, a raised perforated deck shall be installed at Site 2, as per Flora and Fauna Assessment impact mitigation prescriptions.</w:t>
      </w:r>
    </w:p>
    <w:p w14:paraId="46FBAB44" w14:textId="3497F504" w:rsidR="00085334" w:rsidRDefault="00085334" w:rsidP="00085334">
      <w:pPr>
        <w:pStyle w:val="Quote2"/>
        <w:ind w:left="2160" w:hanging="720"/>
      </w:pPr>
      <w:r>
        <w:t>14)</w:t>
      </w:r>
      <w:r>
        <w:tab/>
        <w:t xml:space="preserve">Walking route from </w:t>
      </w:r>
      <w:proofErr w:type="spellStart"/>
      <w:r>
        <w:t>heli</w:t>
      </w:r>
      <w:proofErr w:type="spellEnd"/>
      <w:r>
        <w:t>-landing site to the lake-edge shall follow the sclerophyll forest / open plain edge as prescribed in the Flora and Fauna Assessment addendum. When using the route between the western plain edge, and the lake edge, customers and guides shall use fan-out walking techniques to avoid trampling and track formation. Incorporate into CEMP / Operations Manual.</w:t>
      </w:r>
    </w:p>
    <w:p w14:paraId="449F5F9D" w14:textId="70C782DC" w:rsidR="00085334" w:rsidRDefault="00085334" w:rsidP="00085334">
      <w:pPr>
        <w:pStyle w:val="Quote2"/>
        <w:ind w:left="2160" w:hanging="720"/>
      </w:pPr>
      <w:r>
        <w:t>15)</w:t>
      </w:r>
      <w:r>
        <w:tab/>
        <w:t>Traversing of susceptible poorly drained habitats including sphagnum, blanket bogs and wetlands shall be avoided through the CEMP / Operations Manual</w:t>
      </w:r>
    </w:p>
    <w:p w14:paraId="35C0F092" w14:textId="3FF88165" w:rsidR="00085334" w:rsidRDefault="00085334" w:rsidP="00085334">
      <w:pPr>
        <w:pStyle w:val="Quote1"/>
      </w:pPr>
      <w:r w:rsidRPr="00085334">
        <w:rPr>
          <w:b/>
          <w:u w:val="single"/>
        </w:rPr>
        <w:t>Risk after mitigation and avoidance measures are in place</w:t>
      </w:r>
      <w:r>
        <w:t>: Low. Activities that could result in trampling are mitigated, and activities that could lead to track formation are avoided.</w:t>
      </w:r>
    </w:p>
    <w:p w14:paraId="30F41414" w14:textId="06FD1BC2" w:rsidR="00085334" w:rsidRPr="005D03AB" w:rsidRDefault="00085334" w:rsidP="00085334">
      <w:pPr>
        <w:pStyle w:val="Quote1"/>
      </w:pPr>
      <w:r w:rsidRPr="00085334">
        <w:rPr>
          <w:b/>
          <w:u w:val="single"/>
        </w:rPr>
        <w:t>Likelihood of a significant impact</w:t>
      </w:r>
      <w:r>
        <w:t>: Negligible-low. Avoidance measures, along with mitigation measures such as education and supervision result in a negligible to low risk of significant impact.</w:t>
      </w:r>
    </w:p>
    <w:p w14:paraId="60B4CEFD" w14:textId="541F0363" w:rsidR="00596860" w:rsidRDefault="00596860" w:rsidP="004B5105">
      <w:pPr>
        <w:pStyle w:val="ParaNumbering"/>
      </w:pPr>
      <w:r>
        <w:t>The third example relates to one of the key threatened flora species:</w:t>
      </w:r>
    </w:p>
    <w:p w14:paraId="7A3B2D2C" w14:textId="782FDA36" w:rsidR="00BC7203" w:rsidRDefault="00BC7203" w:rsidP="00BC7203">
      <w:pPr>
        <w:pStyle w:val="Quote1"/>
      </w:pPr>
      <w:r w:rsidRPr="00EA7668">
        <w:rPr>
          <w:b/>
          <w:i/>
        </w:rPr>
        <w:t xml:space="preserve">Community / species: </w:t>
      </w:r>
      <w:r>
        <w:t>Alpine Sphagnum bogs and Associated Fens - MSP</w:t>
      </w:r>
    </w:p>
    <w:p w14:paraId="1280160F" w14:textId="2735C612" w:rsidR="00BC7203" w:rsidRDefault="00BC7203" w:rsidP="00BC7203">
      <w:pPr>
        <w:pStyle w:val="Quote1"/>
      </w:pPr>
      <w:r w:rsidRPr="00095D86">
        <w:rPr>
          <w:b/>
          <w:i/>
        </w:rPr>
        <w:t>Potential impacts (to establish likelihood of a significant impact on MNES):</w:t>
      </w:r>
      <w:r>
        <w:t xml:space="preserve"> Trampling &amp; track formation related to on-island activities and proposed walking route to and from helipad</w:t>
      </w:r>
    </w:p>
    <w:p w14:paraId="56DAFAE4" w14:textId="77777777" w:rsidR="00BC7203" w:rsidRDefault="00BC7203" w:rsidP="00BC7203">
      <w:pPr>
        <w:pStyle w:val="Quote1"/>
      </w:pPr>
      <w:r w:rsidRPr="00EA7668">
        <w:rPr>
          <w:b/>
          <w:i/>
          <w:u w:val="single"/>
        </w:rPr>
        <w:t>Likelihood:</w:t>
      </w:r>
      <w:r>
        <w:t xml:space="preserve"> Low-moderate.</w:t>
      </w:r>
    </w:p>
    <w:p w14:paraId="5802B36A" w14:textId="47394006" w:rsidR="00BC7203" w:rsidRDefault="00BC7203" w:rsidP="00BC7203">
      <w:pPr>
        <w:pStyle w:val="Quote1"/>
      </w:pPr>
      <w:r w:rsidRPr="00EA7668">
        <w:rPr>
          <w:b/>
          <w:i/>
          <w:u w:val="single"/>
        </w:rPr>
        <w:t>Consequence:</w:t>
      </w:r>
      <w:r>
        <w:t xml:space="preserve"> Damage to the integrity of susceptible soils arising from trampling, track formation and subsequent erosion.</w:t>
      </w:r>
    </w:p>
    <w:p w14:paraId="7AA9C332" w14:textId="77777777" w:rsidR="00BC7203" w:rsidRDefault="00BC7203" w:rsidP="00BC7203">
      <w:pPr>
        <w:pStyle w:val="Quote1"/>
      </w:pPr>
      <w:r w:rsidRPr="00EA7668">
        <w:rPr>
          <w:b/>
          <w:i/>
          <w:u w:val="single"/>
        </w:rPr>
        <w:t>Risk:</w:t>
      </w:r>
      <w:r>
        <w:t xml:space="preserve"> Low-moderate.</w:t>
      </w:r>
    </w:p>
    <w:p w14:paraId="5DB23F43" w14:textId="77777777" w:rsidR="00BC7203" w:rsidRPr="00EA7668" w:rsidRDefault="00BC7203" w:rsidP="00BC7203">
      <w:pPr>
        <w:pStyle w:val="Quote1"/>
        <w:rPr>
          <w:b/>
        </w:rPr>
      </w:pPr>
      <w:r w:rsidRPr="00EA7668">
        <w:rPr>
          <w:b/>
        </w:rPr>
        <w:t>Mitigation and avoidance measures</w:t>
      </w:r>
    </w:p>
    <w:p w14:paraId="1A31CEF9" w14:textId="77777777" w:rsidR="00BC7203" w:rsidRPr="00EA7668" w:rsidRDefault="00BC7203" w:rsidP="00BC7203">
      <w:pPr>
        <w:pStyle w:val="Quote1"/>
        <w:rPr>
          <w:i/>
        </w:rPr>
      </w:pPr>
      <w:r w:rsidRPr="00EA7668">
        <w:rPr>
          <w:i/>
        </w:rPr>
        <w:t>Existing measures (RAA, lease and licence conditions) to be fully adopted</w:t>
      </w:r>
    </w:p>
    <w:p w14:paraId="74E3EA9E" w14:textId="62B0C799" w:rsidR="00BC7203" w:rsidRDefault="00BC7203" w:rsidP="00EA7668">
      <w:pPr>
        <w:pStyle w:val="Quote1Bullet"/>
      </w:pPr>
      <w:r>
        <w:t>RAA Step 6 Activity controls # 4.1.1.1, 4.1.1.3, 4.1.3.1, and implement all RAA Step 8 Conditions</w:t>
      </w:r>
    </w:p>
    <w:p w14:paraId="0832EBA2" w14:textId="40D843F6" w:rsidR="00BC7203" w:rsidRDefault="00F823D2" w:rsidP="00EA7668">
      <w:pPr>
        <w:pStyle w:val="Quote2"/>
        <w:ind w:left="2160" w:hanging="720"/>
      </w:pPr>
      <w:r>
        <w:t>1)</w:t>
      </w:r>
      <w:r>
        <w:tab/>
      </w:r>
      <w:r w:rsidR="00BC7203">
        <w:t>4.1.1.1: Adopt all mitigation measures prescribed in the avoidance of trampling (on-island) within the Flora and Fauna assessment:</w:t>
      </w:r>
    </w:p>
    <w:p w14:paraId="4935430E" w14:textId="35C28FC5" w:rsidR="00596860" w:rsidRDefault="00F823D2" w:rsidP="00EA7668">
      <w:pPr>
        <w:pStyle w:val="Quote3"/>
        <w:ind w:left="2880" w:hanging="720"/>
      </w:pPr>
      <w:r>
        <w:t>(a)</w:t>
      </w:r>
      <w:r>
        <w:tab/>
      </w:r>
      <w:r w:rsidR="00BC7203">
        <w:t xml:space="preserve">Avoid routes through MSP’s, or facilitate passage across MSP’s by installing raised, perforated </w:t>
      </w:r>
      <w:proofErr w:type="spellStart"/>
      <w:r w:rsidR="00BC7203">
        <w:t>boardwalking</w:t>
      </w:r>
      <w:proofErr w:type="spellEnd"/>
      <w:r w:rsidR="00BC7203">
        <w:t>. Risk is mitigated.</w:t>
      </w:r>
    </w:p>
    <w:p w14:paraId="2A3D24B7" w14:textId="3E324BF7" w:rsidR="00BC7203" w:rsidRDefault="00F823D2" w:rsidP="00EA7668">
      <w:pPr>
        <w:pStyle w:val="Quote3"/>
        <w:ind w:left="2880" w:hanging="720"/>
      </w:pPr>
      <w:r>
        <w:t>(b)</w:t>
      </w:r>
      <w:r>
        <w:tab/>
      </w:r>
      <w:r w:rsidR="00BC7203">
        <w:t>Education and supervision during trips, in relation to avoidance of trampling</w:t>
      </w:r>
    </w:p>
    <w:p w14:paraId="06B649C4" w14:textId="3C0DA89D" w:rsidR="00BC7203" w:rsidRDefault="00F823D2" w:rsidP="00EA7668">
      <w:pPr>
        <w:pStyle w:val="Quote3"/>
        <w:ind w:left="2880" w:hanging="720"/>
      </w:pPr>
      <w:r>
        <w:lastRenderedPageBreak/>
        <w:t>(c)</w:t>
      </w:r>
      <w:r>
        <w:tab/>
      </w:r>
      <w:r w:rsidR="00BC7203">
        <w:t>Siting of standing camp among ORO or WSU communities.</w:t>
      </w:r>
    </w:p>
    <w:p w14:paraId="0614976D" w14:textId="50FA3F80" w:rsidR="00BC7203" w:rsidRDefault="00F823D2" w:rsidP="00EA7668">
      <w:pPr>
        <w:pStyle w:val="Quote3"/>
        <w:ind w:left="2880" w:hanging="720"/>
      </w:pPr>
      <w:r>
        <w:t>(d)</w:t>
      </w:r>
      <w:r>
        <w:tab/>
      </w:r>
      <w:r w:rsidR="00BC7203">
        <w:t>Create visitor exclusion zones, excluding visitors from sensitive communities MSP, RKP and</w:t>
      </w:r>
      <w:r w:rsidR="00BC7203" w:rsidRPr="00EA7668">
        <w:rPr>
          <w:i/>
        </w:rPr>
        <w:t xml:space="preserve"> </w:t>
      </w:r>
      <w:proofErr w:type="spellStart"/>
      <w:r w:rsidR="00BC7203" w:rsidRPr="00EA7668">
        <w:rPr>
          <w:i/>
        </w:rPr>
        <w:t>Pherosphaera</w:t>
      </w:r>
      <w:proofErr w:type="spellEnd"/>
      <w:r w:rsidR="00BC7203" w:rsidRPr="00EA7668">
        <w:rPr>
          <w:i/>
        </w:rPr>
        <w:t xml:space="preserve"> </w:t>
      </w:r>
      <w:proofErr w:type="spellStart"/>
      <w:r w:rsidR="00BC7203" w:rsidRPr="00EA7668">
        <w:rPr>
          <w:i/>
        </w:rPr>
        <w:t>hookeriana</w:t>
      </w:r>
      <w:proofErr w:type="spellEnd"/>
      <w:r w:rsidR="00BC7203">
        <w:t xml:space="preserve"> communities (see site map)</w:t>
      </w:r>
    </w:p>
    <w:p w14:paraId="5F01D264" w14:textId="266E8AD4" w:rsidR="00BC7203" w:rsidRDefault="00F823D2" w:rsidP="00EA7668">
      <w:pPr>
        <w:pStyle w:val="Quote2"/>
        <w:ind w:left="2160" w:hanging="720"/>
      </w:pPr>
      <w:r>
        <w:t>2)</w:t>
      </w:r>
      <w:r>
        <w:tab/>
      </w:r>
      <w:r w:rsidR="00BC7203">
        <w:t>4.1.1.3: Install raised, perforated boardwalk along area of existing impact (through MSP)</w:t>
      </w:r>
    </w:p>
    <w:p w14:paraId="33F60899" w14:textId="4433E3E0" w:rsidR="00BC7203" w:rsidRDefault="00F823D2" w:rsidP="00EA7668">
      <w:pPr>
        <w:pStyle w:val="Quote2"/>
        <w:ind w:left="2160" w:hanging="720"/>
      </w:pPr>
      <w:r>
        <w:t>3)</w:t>
      </w:r>
      <w:r>
        <w:tab/>
      </w:r>
      <w:r w:rsidR="00BC7203">
        <w:t>4.1.3.1: Camp will be installed using hand tools / battery-operated tools only. Minimal</w:t>
      </w:r>
      <w:r w:rsidR="0023471F">
        <w:t xml:space="preserve"> </w:t>
      </w:r>
      <w:r w:rsidR="00BC7203">
        <w:t>ground disturbance, no excavations or changes to water-courses.</w:t>
      </w:r>
    </w:p>
    <w:p w14:paraId="00B4981F" w14:textId="3EEB71B7" w:rsidR="00BC7203" w:rsidRDefault="00BC7203" w:rsidP="00EA7668">
      <w:pPr>
        <w:pStyle w:val="Quote1Bullet"/>
      </w:pPr>
      <w:r>
        <w:t>Step 8 Conditions:</w:t>
      </w:r>
    </w:p>
    <w:p w14:paraId="270FA527" w14:textId="65A6E373" w:rsidR="00BC7203" w:rsidRDefault="00BC7203" w:rsidP="00EA7668">
      <w:pPr>
        <w:pStyle w:val="Quote2"/>
        <w:ind w:left="2160" w:hanging="720"/>
      </w:pPr>
      <w:r>
        <w:t>4)</w:t>
      </w:r>
      <w:r w:rsidR="00F823D2">
        <w:tab/>
      </w:r>
      <w:r>
        <w:t>Implement all avoidance and mitigation measures outlined in the North Barker Flora</w:t>
      </w:r>
      <w:r w:rsidR="0023471F">
        <w:t xml:space="preserve"> </w:t>
      </w:r>
      <w:r>
        <w:t>and Fauna assessment report; prepare a Construction Environmental Management Plan</w:t>
      </w:r>
      <w:r w:rsidR="0023471F">
        <w:t xml:space="preserve"> </w:t>
      </w:r>
      <w:r>
        <w:t>(CEMP) covering the construction phase, to be approved by the PWS.</w:t>
      </w:r>
    </w:p>
    <w:p w14:paraId="2A4BC5D4" w14:textId="2E01C823" w:rsidR="00BC7203" w:rsidRDefault="00F823D2" w:rsidP="00EA7668">
      <w:pPr>
        <w:pStyle w:val="Quote2"/>
        <w:ind w:left="2160" w:hanging="720"/>
      </w:pPr>
      <w:r>
        <w:t>5)</w:t>
      </w:r>
      <w:r>
        <w:tab/>
      </w:r>
      <w:r w:rsidR="00BC7203">
        <w:t>Through the CEMP, make staff and contractors working on Halls Island aware of the</w:t>
      </w:r>
      <w:r w:rsidR="0023471F">
        <w:t xml:space="preserve"> </w:t>
      </w:r>
      <w:r w:rsidR="00BC7203">
        <w:t>location of threatened plants and threatened native vegetation communities to ensure</w:t>
      </w:r>
      <w:r w:rsidR="0023471F">
        <w:t xml:space="preserve"> </w:t>
      </w:r>
      <w:r w:rsidR="00BC7203">
        <w:t>no inadvertent impact to these natural values.</w:t>
      </w:r>
    </w:p>
    <w:p w14:paraId="3802960C" w14:textId="64C69038" w:rsidR="00BC7203" w:rsidRDefault="00F823D2" w:rsidP="00EA7668">
      <w:pPr>
        <w:pStyle w:val="Quote2"/>
        <w:ind w:left="2160" w:hanging="720"/>
      </w:pPr>
      <w:r>
        <w:t>6)</w:t>
      </w:r>
      <w:r>
        <w:tab/>
      </w:r>
      <w:r w:rsidR="00BC7203">
        <w:t>Flag work area to avoid inadvertent disturbance of threatened plants (</w:t>
      </w:r>
      <w:proofErr w:type="spellStart"/>
      <w:r w:rsidR="00BC7203" w:rsidRPr="00EA7668">
        <w:rPr>
          <w:i/>
        </w:rPr>
        <w:t>Pherosphaera</w:t>
      </w:r>
      <w:proofErr w:type="spellEnd"/>
      <w:r w:rsidR="0023471F" w:rsidRPr="00EA7668">
        <w:rPr>
          <w:i/>
        </w:rPr>
        <w:t xml:space="preserve"> </w:t>
      </w:r>
      <w:proofErr w:type="spellStart"/>
      <w:r w:rsidR="00BC7203" w:rsidRPr="00EA7668">
        <w:rPr>
          <w:i/>
        </w:rPr>
        <w:t>hookeriana</w:t>
      </w:r>
      <w:proofErr w:type="spellEnd"/>
      <w:r w:rsidR="00BC7203">
        <w:t xml:space="preserve"> pines) during construction. Include in CEMP.</w:t>
      </w:r>
    </w:p>
    <w:p w14:paraId="565FCBC4" w14:textId="576920DB" w:rsidR="00BC7203" w:rsidRDefault="00F823D2" w:rsidP="00EA7668">
      <w:pPr>
        <w:pStyle w:val="Quote2"/>
        <w:ind w:left="2160" w:hanging="720"/>
      </w:pPr>
      <w:r>
        <w:t>7)</w:t>
      </w:r>
      <w:r>
        <w:tab/>
      </w:r>
      <w:r w:rsidR="00BC7203">
        <w:t>Locate the Halls Island landing such that these plants do not need to be removed, but if</w:t>
      </w:r>
      <w:r>
        <w:t xml:space="preserve"> </w:t>
      </w:r>
      <w:r w:rsidR="00BC7203">
        <w:t>this is not practicable or safe, and any of these threatened pines need to be taken, then</w:t>
      </w:r>
      <w:r>
        <w:t xml:space="preserve"> </w:t>
      </w:r>
      <w:r w:rsidR="00BC7203">
        <w:t>a permit to take under the Threatened Species Protection Act 1994 will be required</w:t>
      </w:r>
      <w:r>
        <w:t xml:space="preserve"> </w:t>
      </w:r>
      <w:r w:rsidR="00BC7203">
        <w:t>from PCAB prior to any impact.</w:t>
      </w:r>
    </w:p>
    <w:p w14:paraId="3418FEA3" w14:textId="2ED91C1D" w:rsidR="00BC7203" w:rsidRDefault="00BC7203" w:rsidP="00EA7668">
      <w:pPr>
        <w:pStyle w:val="Quote1Bullet"/>
      </w:pPr>
      <w:r>
        <w:t>Lease and Licence conditions including A2.3, A2.4 (ii), A2.5(d), C2.2</w:t>
      </w:r>
    </w:p>
    <w:p w14:paraId="3DED844A" w14:textId="77777777" w:rsidR="00BC7203" w:rsidRDefault="00BC7203" w:rsidP="00EA7668">
      <w:pPr>
        <w:pStyle w:val="Quote2"/>
      </w:pPr>
      <w:r>
        <w:t>8) A2.4 Operations Manual</w:t>
      </w:r>
    </w:p>
    <w:p w14:paraId="0AAD4527" w14:textId="4C40CA4E" w:rsidR="00BC7203" w:rsidRDefault="00BC7203" w:rsidP="00EA7668">
      <w:pPr>
        <w:pStyle w:val="Quote3"/>
        <w:ind w:left="2880" w:hanging="720"/>
      </w:pPr>
      <w:r>
        <w:t>(a)</w:t>
      </w:r>
      <w:r w:rsidR="00F823D2">
        <w:tab/>
      </w:r>
      <w:r>
        <w:t>The Operator must prepare an operations manual detailing the operational practices</w:t>
      </w:r>
      <w:r w:rsidR="00F823D2">
        <w:t xml:space="preserve"> </w:t>
      </w:r>
      <w:r>
        <w:t>of the Operator in respect of both the Approved Use and the Licensed Activities</w:t>
      </w:r>
      <w:r w:rsidR="00F823D2">
        <w:t xml:space="preserve"> </w:t>
      </w:r>
      <w:r>
        <w:t>(Operations Manual). The Operations Manual must include:</w:t>
      </w:r>
    </w:p>
    <w:p w14:paraId="7CA81EC8" w14:textId="27B0D8D8" w:rsidR="00BC7203" w:rsidRDefault="00F823D2" w:rsidP="00EA7668">
      <w:pPr>
        <w:pStyle w:val="Quote3"/>
        <w:ind w:left="3600" w:hanging="720"/>
      </w:pPr>
      <w:r>
        <w:t>(ii)</w:t>
      </w:r>
      <w:r>
        <w:tab/>
      </w:r>
      <w:r w:rsidR="00BC7203">
        <w:t>impact mitigation measures which are noted in the North Barker Flora and</w:t>
      </w:r>
      <w:r>
        <w:t xml:space="preserve"> </w:t>
      </w:r>
      <w:r w:rsidR="00BC7203">
        <w:t xml:space="preserve">Fauna Assessment dated 21/11/2016, for </w:t>
      </w:r>
      <w:proofErr w:type="spellStart"/>
      <w:r w:rsidR="00BC7203">
        <w:t>Riverfly</w:t>
      </w:r>
      <w:proofErr w:type="spellEnd"/>
      <w:r w:rsidR="00BC7203">
        <w:t xml:space="preserve"> RIV002, including:</w:t>
      </w:r>
    </w:p>
    <w:p w14:paraId="401BEAEE" w14:textId="1F64B395" w:rsidR="00266A91" w:rsidRDefault="00BC7203" w:rsidP="00EA7668">
      <w:pPr>
        <w:pStyle w:val="Quote3"/>
        <w:ind w:left="4320" w:hanging="720"/>
      </w:pPr>
      <w:r>
        <w:t>(A)</w:t>
      </w:r>
      <w:r w:rsidR="00F823D2">
        <w:tab/>
      </w:r>
      <w:r>
        <w:t xml:space="preserve">avoiding MSP - Sphagnum peatland, RKP - </w:t>
      </w:r>
      <w:proofErr w:type="spellStart"/>
      <w:r w:rsidRPr="00EA7668">
        <w:rPr>
          <w:i/>
        </w:rPr>
        <w:t>Athrotaxis</w:t>
      </w:r>
      <w:proofErr w:type="spellEnd"/>
      <w:r w:rsidRPr="00EA7668">
        <w:rPr>
          <w:i/>
        </w:rPr>
        <w:t xml:space="preserve"> </w:t>
      </w:r>
      <w:proofErr w:type="spellStart"/>
      <w:r w:rsidRPr="00EA7668">
        <w:rPr>
          <w:i/>
        </w:rPr>
        <w:t>selaginoides</w:t>
      </w:r>
      <w:proofErr w:type="spellEnd"/>
      <w:r w:rsidR="00F823D2">
        <w:t xml:space="preserve"> </w:t>
      </w:r>
      <w:r>
        <w:t xml:space="preserve">rainforest and </w:t>
      </w:r>
      <w:proofErr w:type="spellStart"/>
      <w:r w:rsidRPr="00EA7668">
        <w:rPr>
          <w:i/>
        </w:rPr>
        <w:t>Pherosphaera</w:t>
      </w:r>
      <w:proofErr w:type="spellEnd"/>
      <w:r w:rsidRPr="00EA7668">
        <w:rPr>
          <w:i/>
        </w:rPr>
        <w:t xml:space="preserve"> </w:t>
      </w:r>
      <w:proofErr w:type="spellStart"/>
      <w:r w:rsidRPr="00EA7668">
        <w:rPr>
          <w:i/>
        </w:rPr>
        <w:t>hookeriana</w:t>
      </w:r>
      <w:proofErr w:type="spellEnd"/>
      <w:r>
        <w:t xml:space="preserve"> locations (the Operator, where necessary, can</w:t>
      </w:r>
      <w:r w:rsidR="00F823D2">
        <w:t xml:space="preserve"> </w:t>
      </w:r>
      <w:r>
        <w:t>apply to construct boardwalks over locations not specified in the RAA, which application</w:t>
      </w:r>
      <w:r w:rsidR="00F823D2">
        <w:t xml:space="preserve"> </w:t>
      </w:r>
      <w:r>
        <w:t xml:space="preserve">will be subject to the </w:t>
      </w:r>
      <w:r w:rsidR="00266A91">
        <w:t>written consent of the Minister including any necessary further assessment);</w:t>
      </w:r>
    </w:p>
    <w:p w14:paraId="1613DC28" w14:textId="74F7708B" w:rsidR="00BC7203" w:rsidRDefault="00BC7203" w:rsidP="00EA7668">
      <w:pPr>
        <w:pStyle w:val="Quote3"/>
        <w:ind w:left="4320" w:hanging="720"/>
      </w:pPr>
      <w:r>
        <w:t xml:space="preserve">(D) </w:t>
      </w:r>
      <w:r w:rsidR="00266A91">
        <w:tab/>
      </w:r>
      <w:r>
        <w:t xml:space="preserve">using continual education and supervision as </w:t>
      </w:r>
      <w:r>
        <w:lastRenderedPageBreak/>
        <w:t>part of the overall</w:t>
      </w:r>
      <w:r w:rsidR="00F823D2">
        <w:t xml:space="preserve"> </w:t>
      </w:r>
      <w:r>
        <w:t>interpretation and presentation of the Land to ensure minimal impact.</w:t>
      </w:r>
    </w:p>
    <w:p w14:paraId="1BC41819" w14:textId="771D332E" w:rsidR="00BC7203" w:rsidRDefault="00F823D2" w:rsidP="00EA7668">
      <w:pPr>
        <w:pStyle w:val="Quote2"/>
        <w:ind w:left="2160" w:hanging="720"/>
      </w:pPr>
      <w:r>
        <w:t>9)</w:t>
      </w:r>
      <w:r>
        <w:tab/>
      </w:r>
      <w:r w:rsidR="00BC7203">
        <w:t>A2.5: Construction Environmental Management Plan - The Operator must, before</w:t>
      </w:r>
      <w:r>
        <w:t xml:space="preserve"> </w:t>
      </w:r>
      <w:r w:rsidR="00BC7203">
        <w:t>making any application for Development Approval to the Central Highlands Council</w:t>
      </w:r>
      <w:r>
        <w:t xml:space="preserve"> </w:t>
      </w:r>
      <w:r w:rsidR="00BC7203">
        <w:t>and/or undertaking any Development Works on the Land prepare a plan (</w:t>
      </w:r>
      <w:r w:rsidR="00266A91">
        <w:t>‘</w:t>
      </w:r>
      <w:r w:rsidR="00BC7203">
        <w:t>Construction</w:t>
      </w:r>
      <w:r>
        <w:t xml:space="preserve"> </w:t>
      </w:r>
      <w:r w:rsidR="00BC7203">
        <w:t>Environmental Management Plan</w:t>
      </w:r>
      <w:r w:rsidR="00266A91">
        <w:t>’</w:t>
      </w:r>
      <w:r w:rsidR="00BC7203">
        <w:t>), in a form and substance satisfactory to the Minister,</w:t>
      </w:r>
      <w:r>
        <w:t xml:space="preserve"> </w:t>
      </w:r>
      <w:r w:rsidR="00BC7203">
        <w:t>to deal with the following matters:</w:t>
      </w:r>
    </w:p>
    <w:p w14:paraId="63D308F4" w14:textId="0095DC21" w:rsidR="00BC7203" w:rsidRDefault="00BC7203" w:rsidP="00EA7668">
      <w:pPr>
        <w:pStyle w:val="Quote3"/>
        <w:ind w:left="2880" w:hanging="720"/>
      </w:pPr>
      <w:r>
        <w:t>(d)</w:t>
      </w:r>
      <w:r w:rsidR="00F823D2">
        <w:tab/>
      </w:r>
      <w:r>
        <w:t>details of how impact mitigation will be managed including the development of</w:t>
      </w:r>
      <w:r w:rsidR="00F823D2">
        <w:t xml:space="preserve"> </w:t>
      </w:r>
      <w:r>
        <w:t>site management plan dealing with listed species and communities of the island, risk</w:t>
      </w:r>
      <w:r w:rsidR="00F823D2">
        <w:t xml:space="preserve"> </w:t>
      </w:r>
      <w:r>
        <w:t>mitigation measure and supervision;</w:t>
      </w:r>
    </w:p>
    <w:p w14:paraId="583C9064" w14:textId="5DAD8A6C" w:rsidR="00BC7203" w:rsidRDefault="00BC7203" w:rsidP="00EA7668">
      <w:pPr>
        <w:pStyle w:val="Quote3"/>
        <w:ind w:left="3600" w:hanging="720"/>
      </w:pPr>
      <w:r>
        <w:t>ii</w:t>
      </w:r>
      <w:r w:rsidR="00F823D2">
        <w:tab/>
      </w:r>
      <w:r>
        <w:t>C2.2 Management of the Environment: At all times while on an Activity the</w:t>
      </w:r>
      <w:r w:rsidR="00F823D2">
        <w:t xml:space="preserve"> </w:t>
      </w:r>
      <w:r>
        <w:t>Operator must use all reasonable endeavours to ensure that the environment and</w:t>
      </w:r>
      <w:r w:rsidR="00F823D2">
        <w:t xml:space="preserve"> </w:t>
      </w:r>
      <w:r>
        <w:t>ecology of the Licensed Area is in no way damaged by the Experience Guides and Clients</w:t>
      </w:r>
      <w:r w:rsidR="00F823D2">
        <w:t xml:space="preserve"> </w:t>
      </w:r>
      <w:r>
        <w:t>including ensuring all staff and Clients clean, dry and disinfect any waders or equipment</w:t>
      </w:r>
      <w:r w:rsidR="00F823D2">
        <w:t xml:space="preserve"> </w:t>
      </w:r>
      <w:r>
        <w:t>prior to accessing the Land and the Licensed Area.</w:t>
      </w:r>
    </w:p>
    <w:p w14:paraId="267C4005" w14:textId="6605E5A3" w:rsidR="00BC7203" w:rsidRDefault="00BC7203" w:rsidP="00EA7668">
      <w:pPr>
        <w:pStyle w:val="Quote1Bullet"/>
      </w:pPr>
      <w:r>
        <w:t>Additional proponent proposed measures</w:t>
      </w:r>
    </w:p>
    <w:p w14:paraId="59B60FB0" w14:textId="61B42247" w:rsidR="00BC7203" w:rsidRDefault="00F823D2" w:rsidP="00EA7668">
      <w:pPr>
        <w:pStyle w:val="Quote2"/>
        <w:ind w:left="2160" w:hanging="720"/>
      </w:pPr>
      <w:r>
        <w:t>10)</w:t>
      </w:r>
      <w:r>
        <w:tab/>
      </w:r>
      <w:r w:rsidR="00BC7203">
        <w:t>Additional on-site assessments (30 May 2018) have identified a suitable helicopter</w:t>
      </w:r>
      <w:r>
        <w:t xml:space="preserve"> </w:t>
      </w:r>
      <w:r w:rsidR="00BC7203">
        <w:t>landing location (see Helipad Site 2 - Proposed Helipad and access to Halls Island</w:t>
      </w:r>
      <w:r>
        <w:t xml:space="preserve"> </w:t>
      </w:r>
      <w:r w:rsidR="00BC7203">
        <w:t>Vegetation Survey 20 May 2018) consisting of naturally exposed bedrock within a</w:t>
      </w:r>
      <w:r>
        <w:t xml:space="preserve"> </w:t>
      </w:r>
      <w:r w:rsidR="00BC7203">
        <w:t>HHE</w:t>
      </w:r>
      <w:r>
        <w:t xml:space="preserve"> </w:t>
      </w:r>
      <w:r w:rsidR="00BC7203">
        <w:t>(Eastern alpine heathland) community. It is the intention of the proponent to use this</w:t>
      </w:r>
      <w:r>
        <w:t xml:space="preserve"> </w:t>
      </w:r>
      <w:r w:rsidR="00BC7203">
        <w:t>area as the HLS without the requirement for added infrastructure (subject to HLS</w:t>
      </w:r>
      <w:r>
        <w:t xml:space="preserve"> </w:t>
      </w:r>
      <w:r w:rsidR="00BC7203">
        <w:t>approval from helicopter contractors and meeting applicable CASA regulations).</w:t>
      </w:r>
      <w:r>
        <w:t xml:space="preserve"> </w:t>
      </w:r>
      <w:r w:rsidR="00BC7203">
        <w:t>Should</w:t>
      </w:r>
      <w:r>
        <w:t xml:space="preserve"> </w:t>
      </w:r>
      <w:r w:rsidR="00BC7203">
        <w:t>infrastructure (formed helipad) be required due to OH&amp;S and/or CASA requirements, a</w:t>
      </w:r>
      <w:r>
        <w:t xml:space="preserve"> </w:t>
      </w:r>
      <w:r w:rsidR="00BC7203">
        <w:t>raised perforated deck shall be installed at Site 2, as per Flora and Fauna Assessment</w:t>
      </w:r>
      <w:r>
        <w:t xml:space="preserve"> </w:t>
      </w:r>
      <w:r w:rsidR="00BC7203">
        <w:t>i</w:t>
      </w:r>
      <w:r>
        <w:t>mpact mitigation prescriptions.</w:t>
      </w:r>
    </w:p>
    <w:p w14:paraId="2ED7A381" w14:textId="4C76E9FF" w:rsidR="00BC7203" w:rsidRDefault="00F823D2" w:rsidP="00EA7668">
      <w:pPr>
        <w:pStyle w:val="Quote2"/>
        <w:ind w:left="2160" w:hanging="720"/>
      </w:pPr>
      <w:r>
        <w:t>11)</w:t>
      </w:r>
      <w:r>
        <w:tab/>
      </w:r>
      <w:r w:rsidR="00BC7203">
        <w:t xml:space="preserve">Walking route from </w:t>
      </w:r>
      <w:proofErr w:type="spellStart"/>
      <w:r w:rsidR="00BC7203">
        <w:t>heli</w:t>
      </w:r>
      <w:proofErr w:type="spellEnd"/>
      <w:r w:rsidR="00BC7203">
        <w:t>-landing site to the lake-edge shall follow the sclerophyll forest /</w:t>
      </w:r>
      <w:r>
        <w:t xml:space="preserve"> </w:t>
      </w:r>
      <w:r w:rsidR="00BC7203">
        <w:t>open plain edge as prescribed in the Flora and Fauna Assessment addendum. When</w:t>
      </w:r>
      <w:r>
        <w:t xml:space="preserve"> </w:t>
      </w:r>
      <w:r w:rsidR="00BC7203">
        <w:t>using the route between the western plain edge, and the lake edge, customers and</w:t>
      </w:r>
      <w:r>
        <w:t xml:space="preserve"> </w:t>
      </w:r>
      <w:r w:rsidR="00BC7203">
        <w:t>guides shall use fan-out walking techniques to avoid trampling and track formation.</w:t>
      </w:r>
      <w:r>
        <w:t xml:space="preserve"> </w:t>
      </w:r>
      <w:r w:rsidR="00BC7203">
        <w:t>Incorporate into CEMP / Operations Manual.</w:t>
      </w:r>
    </w:p>
    <w:p w14:paraId="19FCD465" w14:textId="0D95488B" w:rsidR="00F823D2" w:rsidRDefault="00BC7203" w:rsidP="00EA7668">
      <w:pPr>
        <w:pStyle w:val="Quote2"/>
        <w:ind w:left="2160" w:hanging="720"/>
      </w:pPr>
      <w:r>
        <w:t>12)</w:t>
      </w:r>
      <w:r w:rsidR="00F823D2">
        <w:tab/>
      </w:r>
      <w:r>
        <w:t>Traversing of susceptible poorly drained habitats including sphagnum, blanket bogs and</w:t>
      </w:r>
      <w:r w:rsidR="00F823D2">
        <w:t xml:space="preserve"> </w:t>
      </w:r>
      <w:r>
        <w:t>wetlands shall be avoided through the CEMP / Operations Manual</w:t>
      </w:r>
      <w:r w:rsidR="00F823D2">
        <w:t xml:space="preserve"> </w:t>
      </w:r>
    </w:p>
    <w:p w14:paraId="3BD5273A" w14:textId="77777777" w:rsidR="00F823D2" w:rsidRDefault="00BC7203" w:rsidP="00F823D2">
      <w:pPr>
        <w:pStyle w:val="Quote1"/>
      </w:pPr>
      <w:r w:rsidRPr="00095D86">
        <w:rPr>
          <w:b/>
          <w:u w:val="single"/>
        </w:rPr>
        <w:t>R</w:t>
      </w:r>
      <w:r w:rsidRPr="00F823D2">
        <w:rPr>
          <w:b/>
          <w:u w:val="single"/>
        </w:rPr>
        <w:t>isk after mitigation and avoidance measures are in place:</w:t>
      </w:r>
      <w:r>
        <w:t xml:space="preserve"> Low. Activities that could result in</w:t>
      </w:r>
      <w:r w:rsidR="00F823D2">
        <w:t xml:space="preserve"> </w:t>
      </w:r>
      <w:r>
        <w:t>trampling are mitigated, and activities that could lead to track formation are avoided.</w:t>
      </w:r>
      <w:r w:rsidR="00F823D2">
        <w:t xml:space="preserve"> </w:t>
      </w:r>
    </w:p>
    <w:p w14:paraId="3CE8FCE2" w14:textId="7853A45B" w:rsidR="00BC7203" w:rsidRPr="005D03AB" w:rsidRDefault="00BC7203" w:rsidP="00F823D2">
      <w:pPr>
        <w:pStyle w:val="Quote1"/>
      </w:pPr>
      <w:r w:rsidRPr="00F823D2">
        <w:rPr>
          <w:b/>
          <w:u w:val="single"/>
        </w:rPr>
        <w:t>Likelihood of a significant impact:</w:t>
      </w:r>
      <w:r>
        <w:t xml:space="preserve"> Negligible-low. Avoidance measures, along with mitigation</w:t>
      </w:r>
      <w:r w:rsidR="00F823D2">
        <w:t xml:space="preserve"> </w:t>
      </w:r>
      <w:r>
        <w:t>measures such as education and supervision result in a negligible to low risk of significant</w:t>
      </w:r>
      <w:r w:rsidR="00F823D2">
        <w:t xml:space="preserve"> </w:t>
      </w:r>
      <w:r>
        <w:t>impact</w:t>
      </w:r>
    </w:p>
    <w:p w14:paraId="1E7DB6F2" w14:textId="36E582C8" w:rsidR="00C80193" w:rsidRDefault="009071EC" w:rsidP="009071EC">
      <w:pPr>
        <w:pStyle w:val="ParaNumbering"/>
      </w:pPr>
      <w:r>
        <w:lastRenderedPageBreak/>
        <w:t>The PMEMP itself contained a series of “</w:t>
      </w:r>
      <w:proofErr w:type="spellStart"/>
      <w:r w:rsidR="00553FBA">
        <w:t>sub</w:t>
      </w:r>
      <w:r>
        <w:t>plans</w:t>
      </w:r>
      <w:proofErr w:type="spellEnd"/>
      <w:r>
        <w:t xml:space="preserve">” to address potential impacts from aspects of the action. </w:t>
      </w:r>
      <w:r w:rsidR="00C80193">
        <w:t xml:space="preserve">For example, </w:t>
      </w:r>
      <w:r>
        <w:t>under the topic of</w:t>
      </w:r>
      <w:r w:rsidR="00C80193">
        <w:t xml:space="preserve"> “construction”, the </w:t>
      </w:r>
      <w:proofErr w:type="spellStart"/>
      <w:r w:rsidR="00EB3EAF">
        <w:t>sub</w:t>
      </w:r>
      <w:r w:rsidR="00C80193">
        <w:t>plan</w:t>
      </w:r>
      <w:proofErr w:type="spellEnd"/>
      <w:r w:rsidR="00C80193">
        <w:t xml:space="preserve"> described its objective in the following terms:</w:t>
      </w:r>
    </w:p>
    <w:p w14:paraId="4924B178" w14:textId="392494B6" w:rsidR="00C80193" w:rsidRPr="00C80193" w:rsidRDefault="00C80193" w:rsidP="00EA7668">
      <w:pPr>
        <w:pStyle w:val="Quote1"/>
      </w:pPr>
      <w:r w:rsidRPr="00C80193">
        <w:t>The objective of this plan is to ensure that all impact avoidance and mitigation measures relating to MNES are identified and implemented prior to the commencement of construction.</w:t>
      </w:r>
    </w:p>
    <w:p w14:paraId="4B69E215" w14:textId="734C6601" w:rsidR="00C80193" w:rsidRDefault="00C80193" w:rsidP="00C80193">
      <w:pPr>
        <w:pStyle w:val="ParaNumbering"/>
      </w:pPr>
      <w:r>
        <w:t>The PMEMP then went sequentially through</w:t>
      </w:r>
      <w:r w:rsidR="009071EC">
        <w:t xml:space="preserve"> a number of other areas of potential impact (</w:t>
      </w:r>
      <w:proofErr w:type="spellStart"/>
      <w:r w:rsidR="009071EC">
        <w:t>eg</w:t>
      </w:r>
      <w:proofErr w:type="spellEnd"/>
      <w:r w:rsidR="009071EC">
        <w:t xml:space="preserve"> weed and hygiene, </w:t>
      </w:r>
      <w:r w:rsidR="00EB3EAF">
        <w:t xml:space="preserve">Indigenous </w:t>
      </w:r>
      <w:r w:rsidR="009071EC">
        <w:t>heritage, species and communities of significance, fire)</w:t>
      </w:r>
      <w:r w:rsidR="002F0377">
        <w:t xml:space="preserve">. For “species and communities of significance”, the </w:t>
      </w:r>
      <w:r w:rsidR="00927516">
        <w:t xml:space="preserve">relevant </w:t>
      </w:r>
      <w:proofErr w:type="spellStart"/>
      <w:r w:rsidR="00EB3EAF">
        <w:t>subplan</w:t>
      </w:r>
      <w:proofErr w:type="spellEnd"/>
      <w:r w:rsidR="00EB3EAF">
        <w:t xml:space="preserve"> </w:t>
      </w:r>
      <w:r w:rsidR="002F0377">
        <w:t>stated the objective was:</w:t>
      </w:r>
    </w:p>
    <w:p w14:paraId="48AAEFEE" w14:textId="5EBAF8E5" w:rsidR="002F0377" w:rsidRPr="002F0377" w:rsidRDefault="00EB3EAF" w:rsidP="00EA7668">
      <w:pPr>
        <w:pStyle w:val="Quote1"/>
      </w:pPr>
      <w:r>
        <w:t>…</w:t>
      </w:r>
      <w:r w:rsidR="002F0377" w:rsidRPr="002F0377">
        <w:t xml:space="preserve"> to ensure that all risk related to the proposed activities are avoided, or mitigated.</w:t>
      </w:r>
    </w:p>
    <w:p w14:paraId="0475ADF6" w14:textId="6DC83F6B" w:rsidR="002F0377" w:rsidRDefault="002F0377" w:rsidP="002F0377">
      <w:pPr>
        <w:pStyle w:val="ParaNumbering"/>
      </w:pPr>
      <w:r>
        <w:t xml:space="preserve">Taking the </w:t>
      </w:r>
      <w:r w:rsidR="00927516">
        <w:t>threatened ecological community of</w:t>
      </w:r>
      <w:r>
        <w:t xml:space="preserve"> </w:t>
      </w:r>
      <w:r w:rsidRPr="002F0377">
        <w:t xml:space="preserve">Alpine </w:t>
      </w:r>
      <w:r w:rsidRPr="00095D86">
        <w:rPr>
          <w:i/>
        </w:rPr>
        <w:t>Sphagnum</w:t>
      </w:r>
      <w:r w:rsidRPr="002F0377">
        <w:t xml:space="preserve"> </w:t>
      </w:r>
      <w:r>
        <w:t xml:space="preserve">Bogs and Associated Fens as an example, the </w:t>
      </w:r>
      <w:proofErr w:type="spellStart"/>
      <w:r w:rsidR="00A17E89">
        <w:t>sub</w:t>
      </w:r>
      <w:r>
        <w:t>plan</w:t>
      </w:r>
      <w:proofErr w:type="spellEnd"/>
      <w:r>
        <w:t xml:space="preserve"> </w:t>
      </w:r>
      <w:r w:rsidR="00A17E89">
        <w:t>cross-</w:t>
      </w:r>
      <w:r>
        <w:t xml:space="preserve">referenced back to earlier </w:t>
      </w:r>
      <w:r w:rsidR="00A17E89">
        <w:t xml:space="preserve">sections of the PMEMP </w:t>
      </w:r>
      <w:r>
        <w:t>which set out “mitigation and avoidance measures” for</w:t>
      </w:r>
      <w:r w:rsidR="002F172E">
        <w:t xml:space="preserve"> </w:t>
      </w:r>
      <w:r>
        <w:t>trampling and track formation</w:t>
      </w:r>
      <w:r w:rsidR="002F172E">
        <w:t xml:space="preserve"> (being one of the primary potential impacts for this species). That earlier part of the PMEMP </w:t>
      </w:r>
      <w:r w:rsidR="008758A2">
        <w:t>stated:</w:t>
      </w:r>
    </w:p>
    <w:p w14:paraId="488BFC32" w14:textId="7923CFE9" w:rsidR="00642390" w:rsidRDefault="00642390" w:rsidP="00642390">
      <w:pPr>
        <w:pStyle w:val="Quote1"/>
      </w:pPr>
      <w:r>
        <w:t>2.3</w:t>
      </w:r>
      <w:r>
        <w:tab/>
        <w:t>Trampling and Track formation avoidance</w:t>
      </w:r>
    </w:p>
    <w:p w14:paraId="70E4B89A" w14:textId="0063AD7C" w:rsidR="00642390" w:rsidRDefault="00642390" w:rsidP="00642390">
      <w:pPr>
        <w:pStyle w:val="Quote1"/>
      </w:pPr>
      <w:r>
        <w:t>To ensure that trampling, track formation and general disturbance of MNES species and communities is avoided and mitigated, the following measures will be fully adopted for use during the construction process:</w:t>
      </w:r>
    </w:p>
    <w:p w14:paraId="17089CC8" w14:textId="4647D554" w:rsidR="00642390" w:rsidRDefault="00EA7668" w:rsidP="00EA7668">
      <w:pPr>
        <w:pStyle w:val="Quote1"/>
        <w:ind w:left="1440" w:hanging="703"/>
      </w:pPr>
      <w:r>
        <w:t>(a)</w:t>
      </w:r>
      <w:r>
        <w:tab/>
      </w:r>
      <w:r w:rsidR="00642390">
        <w:t xml:space="preserve">Avoid routes through MSP’s, or facilitate passage across MSP’s by installing raised, perforated </w:t>
      </w:r>
      <w:proofErr w:type="spellStart"/>
      <w:r w:rsidR="00642390">
        <w:t>boardwalking</w:t>
      </w:r>
      <w:proofErr w:type="spellEnd"/>
      <w:r w:rsidR="00642390">
        <w:t>. Risk is mitigated.</w:t>
      </w:r>
    </w:p>
    <w:p w14:paraId="4073694A" w14:textId="7963F308" w:rsidR="00642390" w:rsidRDefault="00EA7668" w:rsidP="00EA7668">
      <w:pPr>
        <w:pStyle w:val="Quote1"/>
        <w:ind w:left="1440" w:hanging="703"/>
      </w:pPr>
      <w:r>
        <w:t>(b)</w:t>
      </w:r>
      <w:r>
        <w:tab/>
      </w:r>
      <w:r w:rsidR="00642390">
        <w:t>Education and supervision during trips, in relation to avoidance of trampling</w:t>
      </w:r>
    </w:p>
    <w:p w14:paraId="269B2469" w14:textId="31695344" w:rsidR="00642390" w:rsidRDefault="00EA7668" w:rsidP="00EA7668">
      <w:pPr>
        <w:pStyle w:val="Quote1"/>
        <w:ind w:left="1440" w:hanging="703"/>
      </w:pPr>
      <w:r>
        <w:t>(c)</w:t>
      </w:r>
      <w:r>
        <w:tab/>
      </w:r>
      <w:r w:rsidR="00642390">
        <w:t>Siting of standing camp among ORO or WSU communities.</w:t>
      </w:r>
    </w:p>
    <w:p w14:paraId="649242B2" w14:textId="15DD88C0" w:rsidR="00642390" w:rsidRDefault="00EA7668" w:rsidP="00EA7668">
      <w:pPr>
        <w:pStyle w:val="Quote1"/>
        <w:ind w:left="1440" w:hanging="703"/>
      </w:pPr>
      <w:r>
        <w:t>(d)</w:t>
      </w:r>
      <w:r>
        <w:tab/>
      </w:r>
      <w:r w:rsidR="00642390">
        <w:t xml:space="preserve">Create visitor exclusion zones, excluding visitors from sensitive communities MSP, RKP and </w:t>
      </w:r>
      <w:proofErr w:type="spellStart"/>
      <w:r w:rsidR="00642390" w:rsidRPr="00095D86">
        <w:rPr>
          <w:i/>
        </w:rPr>
        <w:t>Pherosphaera</w:t>
      </w:r>
      <w:proofErr w:type="spellEnd"/>
      <w:r w:rsidR="00642390" w:rsidRPr="00095D86">
        <w:rPr>
          <w:i/>
        </w:rPr>
        <w:t xml:space="preserve"> </w:t>
      </w:r>
      <w:proofErr w:type="spellStart"/>
      <w:r w:rsidR="00642390" w:rsidRPr="00095D86">
        <w:rPr>
          <w:i/>
        </w:rPr>
        <w:t>hookeriana</w:t>
      </w:r>
      <w:proofErr w:type="spellEnd"/>
      <w:r w:rsidR="00642390">
        <w:t xml:space="preserve"> communities (see site map)</w:t>
      </w:r>
    </w:p>
    <w:p w14:paraId="09735E0F" w14:textId="22ABA52B" w:rsidR="00642390" w:rsidRDefault="00EA7668" w:rsidP="00EA7668">
      <w:pPr>
        <w:pStyle w:val="Quote1"/>
        <w:ind w:left="1440" w:hanging="703"/>
      </w:pPr>
      <w:r>
        <w:t>(e)</w:t>
      </w:r>
      <w:r>
        <w:tab/>
      </w:r>
      <w:r w:rsidR="00642390">
        <w:t>Install raised, perforated boardwalk along area of existing impact (MSP community south of Halls Hut)</w:t>
      </w:r>
    </w:p>
    <w:p w14:paraId="1005F3EC" w14:textId="3EC61AD0" w:rsidR="00642390" w:rsidRDefault="00EA7668" w:rsidP="00EA7668">
      <w:pPr>
        <w:pStyle w:val="Quote1"/>
        <w:ind w:left="1440" w:hanging="703"/>
      </w:pPr>
      <w:r>
        <w:t>(f)</w:t>
      </w:r>
      <w:r>
        <w:tab/>
      </w:r>
      <w:r w:rsidR="00642390">
        <w:t xml:space="preserve">Ensure on-island routes/tracks avoid </w:t>
      </w:r>
      <w:proofErr w:type="spellStart"/>
      <w:r w:rsidR="00642390" w:rsidRPr="00095D86">
        <w:rPr>
          <w:i/>
        </w:rPr>
        <w:t>Pherosphaera</w:t>
      </w:r>
      <w:proofErr w:type="spellEnd"/>
      <w:r w:rsidR="00642390" w:rsidRPr="00095D86">
        <w:rPr>
          <w:i/>
        </w:rPr>
        <w:t xml:space="preserve"> </w:t>
      </w:r>
      <w:proofErr w:type="spellStart"/>
      <w:r w:rsidR="00642390" w:rsidRPr="00095D86">
        <w:rPr>
          <w:i/>
        </w:rPr>
        <w:t>hookeriana</w:t>
      </w:r>
      <w:proofErr w:type="spellEnd"/>
      <w:r w:rsidR="00642390">
        <w:t>. Where existing routes pass this species (</w:t>
      </w:r>
      <w:proofErr w:type="spellStart"/>
      <w:r w:rsidR="00642390">
        <w:t>eg</w:t>
      </w:r>
      <w:proofErr w:type="spellEnd"/>
      <w:r w:rsidR="00642390">
        <w:t xml:space="preserve">: near the natural rock landing), use short lengths of boardwalk or similar appropriate mechanisms to ensure a clear walking route that avoids the plant species. Education and supervision to re-enforce impact mitigation. Utilise no-access areas for visitors, see </w:t>
      </w:r>
      <w:r w:rsidR="00642390" w:rsidRPr="00EA7668">
        <w:rPr>
          <w:i/>
        </w:rPr>
        <w:t>Halls Island Preliminary Design Plan</w:t>
      </w:r>
      <w:r w:rsidR="00642390">
        <w:t xml:space="preserve"> for Site Plan.</w:t>
      </w:r>
    </w:p>
    <w:p w14:paraId="12FCE582" w14:textId="49123E88" w:rsidR="00642390" w:rsidRDefault="00642390" w:rsidP="00EA7668">
      <w:pPr>
        <w:pStyle w:val="Quote1"/>
        <w:ind w:left="1440" w:hanging="703"/>
      </w:pPr>
      <w:r>
        <w:t>(g)</w:t>
      </w:r>
      <w:r w:rsidR="00EA7668">
        <w:tab/>
      </w:r>
      <w:r>
        <w:t>Camp will be installed using hand tools / battery-operated tools only. Minimal ground disturbance, no excavations or changes to water-courses. A small four-stroke generator may be used during the construction process to charge electric tools. This shall be located on the ORO terrain to minimise risk of fire etc.</w:t>
      </w:r>
    </w:p>
    <w:p w14:paraId="05830259" w14:textId="30D54767" w:rsidR="00642390" w:rsidRDefault="00EA7668" w:rsidP="00EA7668">
      <w:pPr>
        <w:pStyle w:val="Quote1"/>
        <w:ind w:left="1440" w:hanging="703"/>
      </w:pPr>
      <w:r>
        <w:t>(h)</w:t>
      </w:r>
      <w:r>
        <w:tab/>
      </w:r>
      <w:r w:rsidR="00642390">
        <w:t xml:space="preserve">A Construction Environment Management Plan (CEMP) shall be prepared in accordance with the current RAA and Lease requirements, and will ensure that </w:t>
      </w:r>
      <w:r w:rsidR="00642390">
        <w:lastRenderedPageBreak/>
        <w:t>staff and contractors working on Halls Island aware of the location of threatened plants and threatened native vegetation communities to ensure no inadvertent impact to these natural values.</w:t>
      </w:r>
    </w:p>
    <w:p w14:paraId="59F1DD85" w14:textId="2A9ED0C3" w:rsidR="00642390" w:rsidRDefault="00EA7668" w:rsidP="00095D86">
      <w:pPr>
        <w:pStyle w:val="Quote1"/>
        <w:ind w:left="1440" w:hanging="703"/>
      </w:pPr>
      <w:r>
        <w:t>(</w:t>
      </w:r>
      <w:proofErr w:type="spellStart"/>
      <w:r>
        <w:t>i</w:t>
      </w:r>
      <w:proofErr w:type="spellEnd"/>
      <w:r>
        <w:t>)</w:t>
      </w:r>
      <w:r>
        <w:tab/>
      </w:r>
      <w:r w:rsidR="00642390">
        <w:t>Flag work area to avoid inadvertent disturbance of threatened plants (</w:t>
      </w:r>
      <w:proofErr w:type="spellStart"/>
      <w:r w:rsidR="00642390" w:rsidRPr="00095D86">
        <w:rPr>
          <w:i/>
        </w:rPr>
        <w:t>Pherosphaera</w:t>
      </w:r>
      <w:proofErr w:type="spellEnd"/>
      <w:r w:rsidR="00642390" w:rsidRPr="00095D86">
        <w:rPr>
          <w:i/>
        </w:rPr>
        <w:t xml:space="preserve"> </w:t>
      </w:r>
      <w:proofErr w:type="spellStart"/>
      <w:r w:rsidR="00642390" w:rsidRPr="00095D86">
        <w:rPr>
          <w:i/>
        </w:rPr>
        <w:t>hookeriana</w:t>
      </w:r>
      <w:proofErr w:type="spellEnd"/>
      <w:r w:rsidR="00642390">
        <w:t xml:space="preserve"> pines) during construction. Include in CEMP.</w:t>
      </w:r>
    </w:p>
    <w:p w14:paraId="5FC9C3F7" w14:textId="7E8213EC" w:rsidR="008758A2" w:rsidRDefault="00EA7668" w:rsidP="00EA7668">
      <w:pPr>
        <w:pStyle w:val="Quote1"/>
        <w:ind w:left="1440" w:hanging="703"/>
      </w:pPr>
      <w:r>
        <w:t>(j)</w:t>
      </w:r>
      <w:r>
        <w:tab/>
      </w:r>
      <w:r w:rsidR="00642390">
        <w:t>Locate the Halls Island landing such that threatened plants (</w:t>
      </w:r>
      <w:proofErr w:type="spellStart"/>
      <w:r w:rsidR="00642390" w:rsidRPr="009139B3">
        <w:rPr>
          <w:i/>
        </w:rPr>
        <w:t>Pherosphaera</w:t>
      </w:r>
      <w:proofErr w:type="spellEnd"/>
      <w:r w:rsidR="00642390" w:rsidRPr="009139B3">
        <w:rPr>
          <w:i/>
        </w:rPr>
        <w:t xml:space="preserve"> </w:t>
      </w:r>
      <w:proofErr w:type="spellStart"/>
      <w:r w:rsidR="00642390" w:rsidRPr="009139B3">
        <w:rPr>
          <w:i/>
        </w:rPr>
        <w:t>hookeriana</w:t>
      </w:r>
      <w:proofErr w:type="spellEnd"/>
      <w:r w:rsidR="00642390">
        <w:t xml:space="preserve"> pines) do not need to be removed. If this is not practicable or safe, and any of these threatened pines need to be taken, then a permit to take under the Threatened Species Protection Act 1994 will be required from PCAB prior to any impact.</w:t>
      </w:r>
    </w:p>
    <w:p w14:paraId="36C622F9" w14:textId="0013AB90" w:rsidR="003B42D9" w:rsidRDefault="00355F20" w:rsidP="002F0377">
      <w:pPr>
        <w:pStyle w:val="ParaNumbering"/>
      </w:pPr>
      <w:r>
        <w:t xml:space="preserve">The PMEMP and </w:t>
      </w:r>
      <w:r w:rsidR="00580203">
        <w:t xml:space="preserve">its </w:t>
      </w:r>
      <w:r>
        <w:t xml:space="preserve">associated documents, along with the </w:t>
      </w:r>
      <w:r w:rsidR="00D81F39">
        <w:t>referral</w:t>
      </w:r>
      <w:r w:rsidR="00512E04">
        <w:t>,</w:t>
      </w:r>
      <w:r w:rsidR="00D81F39">
        <w:t xml:space="preserve"> </w:t>
      </w:r>
      <w:r>
        <w:t xml:space="preserve">were considered by the Department’s Heritage </w:t>
      </w:r>
      <w:r w:rsidR="00C1337A">
        <w:t>Branch</w:t>
      </w:r>
      <w:r>
        <w:t xml:space="preserve">. The delegate was </w:t>
      </w:r>
      <w:r w:rsidR="003B42D9">
        <w:t>in</w:t>
      </w:r>
      <w:r>
        <w:t>formed in the brief</w:t>
      </w:r>
      <w:r w:rsidR="003B42D9">
        <w:t xml:space="preserve"> at </w:t>
      </w:r>
      <w:r w:rsidR="00E25FAA">
        <w:t xml:space="preserve">certain </w:t>
      </w:r>
      <w:r w:rsidR="003B42D9">
        <w:t xml:space="preserve">points of the view of the Heritage Branch. For example, </w:t>
      </w:r>
      <w:r w:rsidR="00C1337A">
        <w:t>in the conclusion of the section of the brief titled “World Heritage properties”</w:t>
      </w:r>
      <w:r w:rsidR="003B42D9">
        <w:t>, the delegate was advised that:</w:t>
      </w:r>
    </w:p>
    <w:p w14:paraId="2C601F75" w14:textId="5683538F" w:rsidR="003B42D9" w:rsidRPr="003B42D9" w:rsidRDefault="003B42D9" w:rsidP="00EA7668">
      <w:pPr>
        <w:pStyle w:val="Quote1"/>
      </w:pPr>
      <w:r w:rsidRPr="003B42D9">
        <w:t>The Heritage Branch concludes that if the proposed avoidance, mitigation and management measures are implemented and adhered to, impacts to cultural heritage values, view fields and sites of exceptional natural beauty associated with the TWWHA, and impacts associated with trampling, fire, and the introduction of pests, weeds and pathogens, should be effectively mitigated.</w:t>
      </w:r>
    </w:p>
    <w:p w14:paraId="07297396" w14:textId="7DAEBF1F" w:rsidR="003B42D9" w:rsidRDefault="00AC46B2" w:rsidP="003B42D9">
      <w:pPr>
        <w:pStyle w:val="ParaNumbering"/>
      </w:pPr>
      <w:r>
        <w:t>The applicant</w:t>
      </w:r>
      <w:r w:rsidR="006F4C21">
        <w:t xml:space="preserve"> </w:t>
      </w:r>
      <w:r w:rsidR="00E25FAA">
        <w:t>submitted</w:t>
      </w:r>
      <w:r>
        <w:t>:</w:t>
      </w:r>
    </w:p>
    <w:p w14:paraId="2E3F66CF" w14:textId="3310FA32" w:rsidR="00AC46B2" w:rsidRDefault="00AC46B2" w:rsidP="00EA7668">
      <w:pPr>
        <w:pStyle w:val="Quote1"/>
      </w:pPr>
      <w:r w:rsidRPr="00AC46B2">
        <w:t xml:space="preserve">The Brief’s authors approached the s 75(1) question on the assumption that the Proponent would adopt the mitigation measures proposed in the PMEMP. In other words, they considered impacts </w:t>
      </w:r>
      <w:r w:rsidRPr="009139B3">
        <w:rPr>
          <w:i/>
        </w:rPr>
        <w:t>as mitigated by the proposed measures</w:t>
      </w:r>
      <w:r w:rsidRPr="00AC46B2">
        <w:t>, rather than considering the likely adverse impacts without mitigation.</w:t>
      </w:r>
    </w:p>
    <w:p w14:paraId="2D5B2A01" w14:textId="2A42E9F8" w:rsidR="00C1337A" w:rsidRPr="00AC46B2" w:rsidRDefault="00C1337A" w:rsidP="00EA7668">
      <w:pPr>
        <w:pStyle w:val="Quote1"/>
      </w:pPr>
      <w:r>
        <w:t>(Original emphasis.)</w:t>
      </w:r>
    </w:p>
    <w:p w14:paraId="21F8CABB" w14:textId="403B4AFB" w:rsidR="008758A2" w:rsidRDefault="00BB40C2" w:rsidP="00611B7F">
      <w:pPr>
        <w:pStyle w:val="ParaNumbering"/>
      </w:pPr>
      <w:r>
        <w:t>I accept that submission. It is apparent from the extracts above that the approach Wild Drake was, I infer, advised and encouraged by the Department to take to its referral</w:t>
      </w:r>
      <w:r w:rsidR="00355F20">
        <w:t xml:space="preserve"> </w:t>
      </w:r>
      <w:r>
        <w:t xml:space="preserve">was to put forward a case based on how </w:t>
      </w:r>
      <w:r w:rsidR="00243946">
        <w:t xml:space="preserve">any </w:t>
      </w:r>
      <w:r w:rsidRPr="009139B3">
        <w:rPr>
          <w:i/>
        </w:rPr>
        <w:t>likely</w:t>
      </w:r>
      <w:r>
        <w:t xml:space="preserve"> </w:t>
      </w:r>
      <w:r w:rsidR="00243946">
        <w:t xml:space="preserve">adverse </w:t>
      </w:r>
      <w:r>
        <w:t xml:space="preserve">impacts on </w:t>
      </w:r>
      <w:r w:rsidR="00611B7F" w:rsidRPr="00611B7F">
        <w:t>matter</w:t>
      </w:r>
      <w:r w:rsidR="00611B7F">
        <w:t>s</w:t>
      </w:r>
      <w:r w:rsidR="00611B7F" w:rsidRPr="00611B7F">
        <w:t xml:space="preserve"> of national environmental significance </w:t>
      </w:r>
      <w:r>
        <w:t>would be mitigated or avoided. The objective was to present a complete picture of sufficient mitigation and avoidance measures so as to persuade the delegate there was no likely significant</w:t>
      </w:r>
      <w:r w:rsidR="00D81F39">
        <w:t xml:space="preserve"> or adverse</w:t>
      </w:r>
      <w:r>
        <w:t xml:space="preserve"> impact on any </w:t>
      </w:r>
      <w:r w:rsidR="00611B7F" w:rsidRPr="00611B7F">
        <w:t>matter of national environmental significance</w:t>
      </w:r>
      <w:r w:rsidR="00380726">
        <w:t>, if those mitigation and avoidance measures were implemented in the taking of the action</w:t>
      </w:r>
      <w:r>
        <w:t>.</w:t>
      </w:r>
      <w:r w:rsidR="003009AE">
        <w:t xml:space="preserve"> </w:t>
      </w:r>
      <w:r w:rsidR="00243946">
        <w:t>The delegate’s discharge of the statutory task in s 75</w:t>
      </w:r>
      <w:r w:rsidR="00611B7F">
        <w:t>,</w:t>
      </w:r>
      <w:r w:rsidR="003009AE">
        <w:t xml:space="preserve"> I </w:t>
      </w:r>
      <w:r w:rsidR="00611B7F">
        <w:t xml:space="preserve">am </w:t>
      </w:r>
      <w:r w:rsidR="003009AE">
        <w:t>persua</w:t>
      </w:r>
      <w:r w:rsidR="00611B7F">
        <w:t>ded,</w:t>
      </w:r>
      <w:r w:rsidR="003009AE">
        <w:t xml:space="preserve"> was not undertaken by </w:t>
      </w:r>
      <w:r w:rsidR="00D81F39">
        <w:t>consideration of</w:t>
      </w:r>
      <w:r w:rsidR="003009AE">
        <w:t xml:space="preserve"> the action </w:t>
      </w:r>
      <w:r w:rsidR="00D81F39">
        <w:t xml:space="preserve">alone </w:t>
      </w:r>
      <w:r w:rsidR="003009AE">
        <w:t xml:space="preserve">– </w:t>
      </w:r>
      <w:r w:rsidR="00782C11">
        <w:t>taking any</w:t>
      </w:r>
      <w:r w:rsidR="003009AE">
        <w:t xml:space="preserve"> of the </w:t>
      </w:r>
      <w:r w:rsidR="00782C11">
        <w:t>descriptions</w:t>
      </w:r>
      <w:r w:rsidR="003009AE">
        <w:t xml:space="preserve"> </w:t>
      </w:r>
      <w:r w:rsidR="00243946">
        <w:t xml:space="preserve">of the action </w:t>
      </w:r>
      <w:r w:rsidR="003009AE">
        <w:t xml:space="preserve">which I have set out </w:t>
      </w:r>
      <w:r w:rsidR="00782C11">
        <w:t>earlier</w:t>
      </w:r>
      <w:r w:rsidR="003009AE">
        <w:t xml:space="preserve"> in these reasons. </w:t>
      </w:r>
      <w:r w:rsidR="00782C11">
        <w:t>It was</w:t>
      </w:r>
      <w:r w:rsidR="00D81F39">
        <w:t xml:space="preserve"> under</w:t>
      </w:r>
      <w:r w:rsidR="00782C11">
        <w:t xml:space="preserve">taken by </w:t>
      </w:r>
      <w:r w:rsidR="00D81F39">
        <w:t xml:space="preserve">consideration of </w:t>
      </w:r>
      <w:r w:rsidR="00782C11">
        <w:t xml:space="preserve">the particular manner in which the action would be carried out, and the large and </w:t>
      </w:r>
      <w:r w:rsidR="00243946">
        <w:t xml:space="preserve">complex </w:t>
      </w:r>
      <w:r w:rsidR="00782C11">
        <w:t xml:space="preserve">suite of mitigation and avoidance measures which Wild Drake proposed, many of which had also been proposed and </w:t>
      </w:r>
      <w:r w:rsidR="00782C11">
        <w:lastRenderedPageBreak/>
        <w:t>accepted</w:t>
      </w:r>
      <w:r w:rsidR="00E25FAA">
        <w:t xml:space="preserve"> (at least for the purposes of “draft approval”, as I note below)</w:t>
      </w:r>
      <w:r w:rsidR="00782C11">
        <w:t xml:space="preserve"> under the State’s RAA process.</w:t>
      </w:r>
    </w:p>
    <w:p w14:paraId="19BB7060" w14:textId="6C7B21BC" w:rsidR="003D47D8" w:rsidRPr="003D47D8" w:rsidRDefault="003009AE" w:rsidP="003D47D8">
      <w:pPr>
        <w:pStyle w:val="ParaNumbering"/>
      </w:pPr>
      <w:r>
        <w:t xml:space="preserve">On the facts as </w:t>
      </w:r>
      <w:r w:rsidR="00782C11">
        <w:t>they</w:t>
      </w:r>
      <w:r>
        <w:t xml:space="preserve"> </w:t>
      </w:r>
      <w:r w:rsidR="00667895">
        <w:t>w</w:t>
      </w:r>
      <w:r>
        <w:t>ere before the delegate</w:t>
      </w:r>
      <w:r w:rsidR="008C0D07">
        <w:t>,</w:t>
      </w:r>
      <w:r>
        <w:t xml:space="preserve"> the RAA process </w:t>
      </w:r>
      <w:r w:rsidR="000974F1">
        <w:t>was incomplete</w:t>
      </w:r>
      <w:r>
        <w:t xml:space="preserve"> and </w:t>
      </w:r>
      <w:r w:rsidR="008C0D07">
        <w:t xml:space="preserve">only “draft approval” had been received for “stage </w:t>
      </w:r>
      <w:r w:rsidR="00885C46">
        <w:t>one</w:t>
      </w:r>
      <w:r w:rsidR="008C0D07">
        <w:t>” (the referral before the delegate)</w:t>
      </w:r>
      <w:r>
        <w:t xml:space="preserve">. </w:t>
      </w:r>
      <w:r w:rsidR="00C87517">
        <w:t xml:space="preserve">As I have already noted, on </w:t>
      </w:r>
      <w:r>
        <w:t>the facts</w:t>
      </w:r>
      <w:r w:rsidR="00C87517">
        <w:t xml:space="preserve"> before the delegate</w:t>
      </w:r>
      <w:r>
        <w:t xml:space="preserve">, Wild Drake was required by the RAA process to </w:t>
      </w:r>
      <w:r w:rsidR="00FD183F">
        <w:t xml:space="preserve">refer the </w:t>
      </w:r>
      <w:r w:rsidR="00782C11">
        <w:t>proposed</w:t>
      </w:r>
      <w:r w:rsidR="00FD183F">
        <w:t xml:space="preserve"> action </w:t>
      </w:r>
      <w:r w:rsidR="00240E84">
        <w:t>under</w:t>
      </w:r>
      <w:r w:rsidR="00FD183F">
        <w:t xml:space="preserve"> </w:t>
      </w:r>
      <w:r>
        <w:t xml:space="preserve">the EPBC Act. </w:t>
      </w:r>
      <w:r w:rsidR="005E4C38">
        <w:t xml:space="preserve">It </w:t>
      </w:r>
      <w:r w:rsidR="00782C11">
        <w:t>could</w:t>
      </w:r>
      <w:r w:rsidR="005E4C38">
        <w:t xml:space="preserve"> </w:t>
      </w:r>
      <w:r w:rsidR="004654CE">
        <w:t xml:space="preserve">therefore </w:t>
      </w:r>
      <w:r w:rsidR="00782C11">
        <w:t>not have</w:t>
      </w:r>
      <w:r w:rsidR="005E4C38">
        <w:t xml:space="preserve"> been used as an assessment process if the </w:t>
      </w:r>
      <w:r w:rsidR="00EA7668">
        <w:t xml:space="preserve">action </w:t>
      </w:r>
      <w:r w:rsidR="005E4C38">
        <w:t>had been designated as a controlled action. Yet it was used to avoid a controlled action designation.</w:t>
      </w:r>
    </w:p>
    <w:p w14:paraId="2832A458" w14:textId="4DF72D65" w:rsidR="003009AE" w:rsidRDefault="00104AFA" w:rsidP="002F0377">
      <w:pPr>
        <w:pStyle w:val="ParaNumbering"/>
      </w:pPr>
      <w:bookmarkStart w:id="30" w:name="_Ref22738015"/>
      <w:r>
        <w:t>Th</w:t>
      </w:r>
      <w:r w:rsidR="004D23E9">
        <w:t>e</w:t>
      </w:r>
      <w:r w:rsidR="003009AE">
        <w:t xml:space="preserve"> Department treated </w:t>
      </w:r>
      <w:r w:rsidR="004654CE">
        <w:t xml:space="preserve">the RAA </w:t>
      </w:r>
      <w:r w:rsidR="00243946">
        <w:t xml:space="preserve">as a substitute </w:t>
      </w:r>
      <w:r w:rsidR="00D15122" w:rsidRPr="00D15122">
        <w:t>assessment</w:t>
      </w:r>
      <w:r w:rsidR="00243946">
        <w:t xml:space="preserve"> process</w:t>
      </w:r>
      <w:r w:rsidR="003009AE">
        <w:t xml:space="preserve">, and the </w:t>
      </w:r>
      <w:r w:rsidR="00782C11">
        <w:t>delegate</w:t>
      </w:r>
      <w:r w:rsidR="003009AE">
        <w:t xml:space="preserve"> d</w:t>
      </w:r>
      <w:r w:rsidR="00FD183F">
        <w:t>i</w:t>
      </w:r>
      <w:r w:rsidR="003009AE">
        <w:t xml:space="preserve">d </w:t>
      </w:r>
      <w:r w:rsidR="00782C11">
        <w:t>the</w:t>
      </w:r>
      <w:r w:rsidR="003009AE">
        <w:t xml:space="preserve"> same by adopting </w:t>
      </w:r>
      <w:r w:rsidR="00667895">
        <w:t>t</w:t>
      </w:r>
      <w:r w:rsidR="003009AE">
        <w:t xml:space="preserve">he </w:t>
      </w:r>
      <w:r w:rsidR="00782C11">
        <w:t>Department’s</w:t>
      </w:r>
      <w:r w:rsidR="003009AE">
        <w:t xml:space="preserve"> </w:t>
      </w:r>
      <w:r w:rsidR="00782C11">
        <w:t>reasoning</w:t>
      </w:r>
      <w:r w:rsidR="003009AE">
        <w:t>.</w:t>
      </w:r>
      <w:r w:rsidR="0029157F">
        <w:t xml:space="preserve"> A clear example of this relates </w:t>
      </w:r>
      <w:r w:rsidR="00782C11">
        <w:t>to the</w:t>
      </w:r>
      <w:r w:rsidR="0029157F">
        <w:t xml:space="preserve"> </w:t>
      </w:r>
      <w:r w:rsidR="004E20D3">
        <w:t>consideration of potential impacts on Indigenous heritage</w:t>
      </w:r>
      <w:r w:rsidR="0029157F">
        <w:t>, and how the</w:t>
      </w:r>
      <w:r w:rsidR="00997E45">
        <w:t>y were dealt with in the</w:t>
      </w:r>
      <w:r w:rsidR="0029157F">
        <w:t xml:space="preserve"> </w:t>
      </w:r>
      <w:r w:rsidR="00782C11">
        <w:t>brief</w:t>
      </w:r>
      <w:r w:rsidR="0029157F">
        <w:t xml:space="preserve">. After referring to </w:t>
      </w:r>
      <w:r w:rsidR="00782C11">
        <w:t>concerns</w:t>
      </w:r>
      <w:r w:rsidR="0029157F">
        <w:t xml:space="preserve"> expressed by </w:t>
      </w:r>
      <w:r w:rsidR="00782C11">
        <w:t>the</w:t>
      </w:r>
      <w:r w:rsidR="0029157F">
        <w:t xml:space="preserve"> </w:t>
      </w:r>
      <w:r w:rsidR="009836C3">
        <w:t>AHC</w:t>
      </w:r>
      <w:r w:rsidR="0064148F">
        <w:t xml:space="preserve"> </w:t>
      </w:r>
      <w:r w:rsidR="00782C11">
        <w:t>about</w:t>
      </w:r>
      <w:r w:rsidR="0029157F">
        <w:t xml:space="preserve"> the “</w:t>
      </w:r>
      <w:r w:rsidR="00782C11">
        <w:t>cultural</w:t>
      </w:r>
      <w:r w:rsidR="0029157F">
        <w:t xml:space="preserve"> </w:t>
      </w:r>
      <w:r w:rsidR="00782C11">
        <w:t>interpretation</w:t>
      </w:r>
      <w:r w:rsidR="0029157F">
        <w:t xml:space="preserve"> site </w:t>
      </w:r>
      <w:r w:rsidR="00782C11">
        <w:t>visits</w:t>
      </w:r>
      <w:r w:rsidR="0029157F">
        <w:t xml:space="preserve">” Wild Drake </w:t>
      </w:r>
      <w:r w:rsidR="00782C11">
        <w:t>proposed</w:t>
      </w:r>
      <w:r w:rsidR="0064148F">
        <w:t xml:space="preserve"> to undertake in the future</w:t>
      </w:r>
      <w:r w:rsidR="0029157F">
        <w:t>, the brief stated:</w:t>
      </w:r>
      <w:bookmarkEnd w:id="30"/>
    </w:p>
    <w:p w14:paraId="588C5DB1" w14:textId="0F70B5F1" w:rsidR="0029157F" w:rsidRPr="0029157F" w:rsidRDefault="0029157F" w:rsidP="00EA7668">
      <w:pPr>
        <w:pStyle w:val="Quote1"/>
      </w:pPr>
      <w:r w:rsidRPr="0029157F">
        <w:t>The cultural site visits referred to by the AHC are those that form part of the stage 2 proposal, are not part of this referral and have not been approved to proceed in the PWS RAA.</w:t>
      </w:r>
    </w:p>
    <w:p w14:paraId="72009399" w14:textId="6D16FF9F" w:rsidR="0029157F" w:rsidRDefault="00782C11" w:rsidP="0029157F">
      <w:pPr>
        <w:pStyle w:val="ParaNumbering"/>
      </w:pPr>
      <w:r>
        <w:t>That</w:t>
      </w:r>
      <w:r w:rsidR="0029157F">
        <w:t xml:space="preserve"> is a clear example of the Department </w:t>
      </w:r>
      <w:r w:rsidR="003D47D8">
        <w:t>and the</w:t>
      </w:r>
      <w:r w:rsidR="0029157F">
        <w:t xml:space="preserve"> </w:t>
      </w:r>
      <w:r>
        <w:t>delegate</w:t>
      </w:r>
      <w:r w:rsidR="0029157F">
        <w:t xml:space="preserve"> treating the </w:t>
      </w:r>
      <w:r>
        <w:t>non-statutory</w:t>
      </w:r>
      <w:r w:rsidR="0029157F">
        <w:t>, State</w:t>
      </w:r>
      <w:r w:rsidR="00A8190F">
        <w:t>-based</w:t>
      </w:r>
      <w:r w:rsidR="0029157F">
        <w:t xml:space="preserve"> RAA process as the de facto assessment process. The scheme of the EPBC Act does not </w:t>
      </w:r>
      <w:r>
        <w:t>contemplate</w:t>
      </w:r>
      <w:r w:rsidR="0029157F">
        <w:t xml:space="preserve"> that will </w:t>
      </w:r>
      <w:r>
        <w:t>occur</w:t>
      </w:r>
      <w:r w:rsidR="0029157F">
        <w:t xml:space="preserve">, outside the </w:t>
      </w:r>
      <w:r w:rsidR="00AA1808">
        <w:t>methods</w:t>
      </w:r>
      <w:r w:rsidR="0029157F">
        <w:t xml:space="preserve"> </w:t>
      </w:r>
      <w:r w:rsidR="002A5DFE">
        <w:t>(</w:t>
      </w:r>
      <w:r w:rsidR="0029157F">
        <w:t xml:space="preserve">such as bilateral </w:t>
      </w:r>
      <w:r>
        <w:t>agreements</w:t>
      </w:r>
      <w:r w:rsidR="002A5DFE">
        <w:t xml:space="preserve">) </w:t>
      </w:r>
      <w:r w:rsidR="0029157F">
        <w:t>for which it provides.</w:t>
      </w:r>
    </w:p>
    <w:p w14:paraId="10D7535B" w14:textId="3C09ECED" w:rsidR="00BB40C2" w:rsidRDefault="003D47D8" w:rsidP="00E34C5F">
      <w:pPr>
        <w:pStyle w:val="ParaNumbering"/>
      </w:pPr>
      <w:r>
        <w:t xml:space="preserve">The substantive </w:t>
      </w:r>
      <w:r w:rsidR="00782C11">
        <w:t>reasoning</w:t>
      </w:r>
      <w:r>
        <w:t xml:space="preserve"> </w:t>
      </w:r>
      <w:r w:rsidR="00782C11">
        <w:t>aspects</w:t>
      </w:r>
      <w:r>
        <w:t xml:space="preserve"> </w:t>
      </w:r>
      <w:r w:rsidR="00782C11">
        <w:t>of the</w:t>
      </w:r>
      <w:r w:rsidR="00E34C5F">
        <w:t xml:space="preserve"> brief</w:t>
      </w:r>
      <w:r>
        <w:t xml:space="preserve"> bear out this </w:t>
      </w:r>
      <w:r w:rsidR="00B07C7A">
        <w:t xml:space="preserve">characterisation </w:t>
      </w:r>
      <w:r>
        <w:t xml:space="preserve">of the delegate’s </w:t>
      </w:r>
      <w:r w:rsidR="00782C11">
        <w:t>approach</w:t>
      </w:r>
      <w:r w:rsidR="00E34C5F">
        <w:t xml:space="preserve">. In </w:t>
      </w:r>
      <w:r w:rsidR="00782C11">
        <w:t>relation</w:t>
      </w:r>
      <w:r w:rsidR="00E34C5F">
        <w:t xml:space="preserve"> to the </w:t>
      </w:r>
      <w:r w:rsidR="001F5C39">
        <w:t>Tasmanian Wedge-</w:t>
      </w:r>
      <w:r w:rsidR="00E34C5F">
        <w:t xml:space="preserve">tailed eagle, the brief </w:t>
      </w:r>
      <w:r w:rsidR="003C7455">
        <w:t>identifie</w:t>
      </w:r>
      <w:r w:rsidR="00E25FAA">
        <w:t>d</w:t>
      </w:r>
      <w:r w:rsidR="003C7455">
        <w:t xml:space="preserve"> </w:t>
      </w:r>
      <w:r w:rsidR="00E34C5F">
        <w:t xml:space="preserve">two </w:t>
      </w:r>
      <w:r w:rsidR="00782C11">
        <w:t>features</w:t>
      </w:r>
      <w:r w:rsidR="00E34C5F">
        <w:t xml:space="preserve"> under the </w:t>
      </w:r>
      <w:r w:rsidR="00782C11">
        <w:t>heading</w:t>
      </w:r>
      <w:r w:rsidR="00E34C5F">
        <w:t xml:space="preserve"> “</w:t>
      </w:r>
      <w:r w:rsidR="00C53C31">
        <w:t xml:space="preserve">Avoidance </w:t>
      </w:r>
      <w:r w:rsidR="00E34C5F">
        <w:t xml:space="preserve">and mitigation measures”. First, what the PWS </w:t>
      </w:r>
      <w:r w:rsidR="00C53C31">
        <w:t>had identified</w:t>
      </w:r>
      <w:r w:rsidR="00E34C5F">
        <w:t xml:space="preserve"> as “</w:t>
      </w:r>
      <w:r w:rsidR="00782C11">
        <w:t>management</w:t>
      </w:r>
      <w:r w:rsidR="00E34C5F">
        <w:t xml:space="preserve"> measures” (not circling around or hovering near eagles</w:t>
      </w:r>
      <w:r w:rsidR="00391F8D">
        <w:t>’</w:t>
      </w:r>
      <w:r w:rsidR="00E34C5F">
        <w:t xml:space="preserve"> nests or potential nests; to fly as high</w:t>
      </w:r>
      <w:r w:rsidR="00B06381">
        <w:t>ly</w:t>
      </w:r>
      <w:r w:rsidR="00E34C5F">
        <w:t>, swiftly and directly over the nests as possible during breeding season (July</w:t>
      </w:r>
      <w:r w:rsidR="00B06381">
        <w:t>-</w:t>
      </w:r>
      <w:r w:rsidR="00E34C5F">
        <w:t>January); and to avoid flying within 1,000</w:t>
      </w:r>
      <w:r w:rsidR="002B248B">
        <w:t xml:space="preserve"> </w:t>
      </w:r>
      <w:r w:rsidR="00E34C5F">
        <w:t>m of the nests, horizontally or vertically, particularly from July</w:t>
      </w:r>
      <w:r w:rsidR="00B06381">
        <w:t>-</w:t>
      </w:r>
      <w:r w:rsidR="00E34C5F">
        <w:t>January)</w:t>
      </w:r>
      <w:r w:rsidR="00391F8D">
        <w:t>)</w:t>
      </w:r>
      <w:r w:rsidR="00E34C5F">
        <w:t>, as well as a voluntary code</w:t>
      </w:r>
      <w:r w:rsidR="00391F8D">
        <w:t xml:space="preserve"> of practice</w:t>
      </w:r>
      <w:r w:rsidR="00E34C5F">
        <w:t xml:space="preserve"> </w:t>
      </w:r>
      <w:r w:rsidR="00391F8D">
        <w:t xml:space="preserve">developed by the PWS </w:t>
      </w:r>
      <w:r w:rsidR="00E34C5F">
        <w:t xml:space="preserve">called “Fly </w:t>
      </w:r>
      <w:r w:rsidR="00391F8D">
        <w:t>Neighbourly Advice</w:t>
      </w:r>
      <w:r w:rsidR="00E34C5F">
        <w:t xml:space="preserve">”. Second, </w:t>
      </w:r>
      <w:r w:rsidR="00782C11">
        <w:t>undertakings</w:t>
      </w:r>
      <w:r w:rsidR="00E34C5F">
        <w:t xml:space="preserve"> </w:t>
      </w:r>
      <w:r w:rsidR="00782C11">
        <w:t>given</w:t>
      </w:r>
      <w:r w:rsidR="00E34C5F">
        <w:t xml:space="preserve"> by Wild Drake itself about “additional measures”</w:t>
      </w:r>
      <w:r w:rsidR="00FB638F">
        <w:t xml:space="preserve"> to “further avoid disturbance impacts”</w:t>
      </w:r>
      <w:r w:rsidR="00E34C5F">
        <w:t>: namely, no flights within</w:t>
      </w:r>
      <w:r w:rsidR="00FB638F">
        <w:t xml:space="preserve"> a</w:t>
      </w:r>
      <w:r w:rsidR="00E34C5F">
        <w:t xml:space="preserve"> 1 km line-of-sight of known eagles</w:t>
      </w:r>
      <w:r w:rsidR="00FB638F">
        <w:t>’</w:t>
      </w:r>
      <w:r w:rsidR="00E34C5F">
        <w:t xml:space="preserve"> nest</w:t>
      </w:r>
      <w:r w:rsidR="00FB638F">
        <w:t>s,</w:t>
      </w:r>
      <w:r w:rsidR="00E34C5F">
        <w:t xml:space="preserve"> and</w:t>
      </w:r>
      <w:r w:rsidR="00FB638F">
        <w:t xml:space="preserve"> that</w:t>
      </w:r>
      <w:r w:rsidR="00E34C5F">
        <w:t xml:space="preserve"> eagles observed in operational areas will be avoided; helicopter flights will not include a </w:t>
      </w:r>
      <w:r w:rsidR="00680F2E">
        <w:t>“</w:t>
      </w:r>
      <w:r w:rsidR="00FB638F">
        <w:t>viewing</w:t>
      </w:r>
      <w:r w:rsidR="00680F2E">
        <w:t>”</w:t>
      </w:r>
      <w:r w:rsidR="00FB638F">
        <w:t xml:space="preserve"> </w:t>
      </w:r>
      <w:r w:rsidR="00E34C5F">
        <w:t>of the nest</w:t>
      </w:r>
      <w:r w:rsidR="00B34B49">
        <w:t>s</w:t>
      </w:r>
      <w:r w:rsidR="00E34C5F">
        <w:t xml:space="preserve">; and </w:t>
      </w:r>
      <w:r w:rsidR="00FB638F">
        <w:t xml:space="preserve">that Wild Drake </w:t>
      </w:r>
      <w:r w:rsidR="00E34C5F">
        <w:t xml:space="preserve">will adopt the flight route as prescribed in the “Wedge-Tailed Eagle Assessment” provided with </w:t>
      </w:r>
      <w:r w:rsidR="00E34C5F">
        <w:lastRenderedPageBreak/>
        <w:t>Wild Drake’s referral information, being a route that avoids interactions with known nesting sites and utilises an area with a low probability of eagle nests.</w:t>
      </w:r>
    </w:p>
    <w:p w14:paraId="3EA71EE7" w14:textId="737FC936" w:rsidR="0029157F" w:rsidRDefault="0029157F" w:rsidP="0029157F">
      <w:pPr>
        <w:pStyle w:val="ParaNumbering"/>
      </w:pPr>
      <w:r>
        <w:t xml:space="preserve">Relevantly to the grounds of review, </w:t>
      </w:r>
      <w:r w:rsidR="00F2735A">
        <w:t>a similar</w:t>
      </w:r>
      <w:r>
        <w:t xml:space="preserve"> approach was taken in respect of t</w:t>
      </w:r>
      <w:r w:rsidRPr="0029157F">
        <w:t xml:space="preserve">he Alpine </w:t>
      </w:r>
      <w:r w:rsidRPr="009139B3">
        <w:rPr>
          <w:i/>
        </w:rPr>
        <w:t>Sphagnum</w:t>
      </w:r>
      <w:r w:rsidRPr="0029157F">
        <w:t xml:space="preserve"> Bogs and Associated Fens </w:t>
      </w:r>
      <w:r w:rsidR="003D47D8">
        <w:t>threatened</w:t>
      </w:r>
      <w:r>
        <w:t xml:space="preserve"> ecological community, and to the World Heritage cultural and natural values which were to be protected.</w:t>
      </w:r>
    </w:p>
    <w:p w14:paraId="03C5E344" w14:textId="0416A8FC" w:rsidR="0029157F" w:rsidRDefault="00850D73" w:rsidP="00E34C5F">
      <w:pPr>
        <w:pStyle w:val="ParaNumbering"/>
      </w:pPr>
      <w:r>
        <w:t xml:space="preserve">In my </w:t>
      </w:r>
      <w:r w:rsidR="00782C11">
        <w:t>opinion</w:t>
      </w:r>
      <w:r>
        <w:t>, and save for what I set out at [</w:t>
      </w:r>
      <w:r w:rsidR="005D1DDB">
        <w:fldChar w:fldCharType="begin" w:fldLock="1"/>
      </w:r>
      <w:r w:rsidR="005D1DDB">
        <w:instrText xml:space="preserve"> REF _Ref22799317 \r \h </w:instrText>
      </w:r>
      <w:r w:rsidR="005D1DDB">
        <w:fldChar w:fldCharType="separate"/>
      </w:r>
      <w:r w:rsidR="00B417FD">
        <w:t>129</w:t>
      </w:r>
      <w:r w:rsidR="005D1DDB">
        <w:fldChar w:fldCharType="end"/>
      </w:r>
      <w:r>
        <w:t>]</w:t>
      </w:r>
      <w:r w:rsidR="005D1DDB">
        <w:t>-[</w:t>
      </w:r>
      <w:r w:rsidR="005D1DDB">
        <w:fldChar w:fldCharType="begin" w:fldLock="1"/>
      </w:r>
      <w:r w:rsidR="005D1DDB">
        <w:instrText xml:space="preserve"> REF _Ref22799328 \r \h </w:instrText>
      </w:r>
      <w:r w:rsidR="005D1DDB">
        <w:fldChar w:fldCharType="separate"/>
      </w:r>
      <w:r w:rsidR="00B417FD">
        <w:t>130</w:t>
      </w:r>
      <w:r w:rsidR="005D1DDB">
        <w:fldChar w:fldCharType="end"/>
      </w:r>
      <w:r w:rsidR="005D1DDB">
        <w:t>]</w:t>
      </w:r>
      <w:r>
        <w:t xml:space="preserve"> below, the approach taken by the </w:t>
      </w:r>
      <w:r w:rsidR="00782C11">
        <w:t>delegate</w:t>
      </w:r>
      <w:r>
        <w:t xml:space="preserve"> would have surrendered the </w:t>
      </w:r>
      <w:r w:rsidR="00782C11">
        <w:t>statutory</w:t>
      </w:r>
      <w:r>
        <w:t xml:space="preserve"> task, and control of the taking of the action, to an </w:t>
      </w:r>
      <w:r w:rsidR="00782C11">
        <w:t>incomplete, non-statutory</w:t>
      </w:r>
      <w:r>
        <w:t xml:space="preserve"> State process, outside the EPBC Act. It would not have been the task </w:t>
      </w:r>
      <w:r w:rsidR="00782C11">
        <w:t>contemplated</w:t>
      </w:r>
      <w:r>
        <w:t xml:space="preserve"> by s 75; it would have been a different task, and one not </w:t>
      </w:r>
      <w:r w:rsidR="00782C11">
        <w:t>authorised</w:t>
      </w:r>
      <w:r>
        <w:t xml:space="preserve"> by the EPBC Act.</w:t>
      </w:r>
    </w:p>
    <w:p w14:paraId="4C104A75" w14:textId="505151EE" w:rsidR="000974F1" w:rsidRDefault="000974F1" w:rsidP="0095445B">
      <w:pPr>
        <w:pStyle w:val="ParaNumbering"/>
      </w:pPr>
      <w:r>
        <w:t xml:space="preserve">As the applicant </w:t>
      </w:r>
      <w:r w:rsidR="00B00FAC">
        <w:t>submi</w:t>
      </w:r>
      <w:r w:rsidR="00E25FAA">
        <w:t>tted</w:t>
      </w:r>
      <w:r w:rsidR="00B00FAC">
        <w:t xml:space="preserve"> </w:t>
      </w:r>
      <w:r>
        <w:t xml:space="preserve">in reply, the </w:t>
      </w:r>
      <w:r w:rsidR="00782C11">
        <w:t>delegate’s</w:t>
      </w:r>
      <w:r>
        <w:t xml:space="preserve"> decision </w:t>
      </w:r>
      <w:r w:rsidR="00850D73">
        <w:t>meant that s 12(2)(</w:t>
      </w:r>
      <w:r>
        <w:t>c) and s 19</w:t>
      </w:r>
      <w:r w:rsidR="00035B2D">
        <w:t>(</w:t>
      </w:r>
      <w:r>
        <w:t xml:space="preserve">3) of the EPBC Act </w:t>
      </w:r>
      <w:r w:rsidR="00782C11">
        <w:t>were</w:t>
      </w:r>
      <w:r>
        <w:t xml:space="preserve"> </w:t>
      </w:r>
      <w:r w:rsidR="00782C11">
        <w:t>engaged</w:t>
      </w:r>
      <w:r>
        <w:t xml:space="preserve"> and Wild Drake was </w:t>
      </w:r>
      <w:r w:rsidR="004D23E9">
        <w:t xml:space="preserve">not exposed </w:t>
      </w:r>
      <w:r w:rsidR="009139B3">
        <w:t>to</w:t>
      </w:r>
      <w:r>
        <w:t xml:space="preserve"> </w:t>
      </w:r>
      <w:r w:rsidR="00782C11">
        <w:t>injunctive</w:t>
      </w:r>
      <w:r>
        <w:t xml:space="preserve"> or other procedures </w:t>
      </w:r>
      <w:r w:rsidR="00782C11">
        <w:t>to</w:t>
      </w:r>
      <w:r>
        <w:t xml:space="preserve"> enforce compliance with the </w:t>
      </w:r>
      <w:r w:rsidR="00782C11">
        <w:t>prohibitions</w:t>
      </w:r>
      <w:r>
        <w:t xml:space="preserve"> </w:t>
      </w:r>
      <w:r w:rsidR="00782C11">
        <w:t>in Pt</w:t>
      </w:r>
      <w:r>
        <w:t xml:space="preserve"> 3. Those </w:t>
      </w:r>
      <w:r w:rsidR="00782C11">
        <w:t>prohibitions</w:t>
      </w:r>
      <w:r>
        <w:t xml:space="preserve"> had been disengaged by the s 75 </w:t>
      </w:r>
      <w:r w:rsidR="00782C11">
        <w:t>decision</w:t>
      </w:r>
      <w:r>
        <w:t xml:space="preserve">. </w:t>
      </w:r>
      <w:r w:rsidR="00782C11">
        <w:t xml:space="preserve">Taking some hypothetical examples, the applicant </w:t>
      </w:r>
      <w:r w:rsidR="00DC029D">
        <w:t>submit</w:t>
      </w:r>
      <w:r w:rsidR="0020628A">
        <w:t>ted</w:t>
      </w:r>
      <w:r w:rsidR="00DC029D">
        <w:t xml:space="preserve"> </w:t>
      </w:r>
      <w:r w:rsidR="00782C11">
        <w:t>Wild Drake could</w:t>
      </w:r>
      <w:r w:rsidR="001356C2">
        <w:t xml:space="preserve"> thereby</w:t>
      </w:r>
      <w:r w:rsidR="00782C11">
        <w:t xml:space="preserve"> decide to vary the flight path of the helicopters, including flying lower (which may</w:t>
      </w:r>
      <w:r w:rsidR="001356C2">
        <w:t xml:space="preserve"> significantly</w:t>
      </w:r>
      <w:r w:rsidR="00782C11">
        <w:t xml:space="preserve"> impact any </w:t>
      </w:r>
      <w:r w:rsidR="001356C2">
        <w:t>Wedge-</w:t>
      </w:r>
      <w:r w:rsidR="00782C11">
        <w:t xml:space="preserve">tailed eagles in the vicinity), or might decide to </w:t>
      </w:r>
      <w:r w:rsidR="00DC029D">
        <w:t>conduct more than the</w:t>
      </w:r>
      <w:r w:rsidR="00782C11">
        <w:t xml:space="preserve"> 30 permitted visits </w:t>
      </w:r>
      <w:r w:rsidR="00DC029D">
        <w:t>per year</w:t>
      </w:r>
      <w:r w:rsidR="00782C11">
        <w:t xml:space="preserve"> (</w:t>
      </w:r>
      <w:r w:rsidR="00DC029D">
        <w:t>which may significantly impact on the wilderness values of the area</w:t>
      </w:r>
      <w:r w:rsidR="00782C11">
        <w:t xml:space="preserve">), and the s 75 decision would render such changes, and such conduct, unregulated by the EPBC Act. In contrast, if the action had been a controlled </w:t>
      </w:r>
      <w:r w:rsidR="00035B2D">
        <w:t>action</w:t>
      </w:r>
      <w:r w:rsidR="00782C11">
        <w:t xml:space="preserve">, and the measures </w:t>
      </w:r>
      <w:r w:rsidR="00B00FAC">
        <w:t>proposed</w:t>
      </w:r>
      <w:r w:rsidR="00782C11">
        <w:t xml:space="preserve"> by Wild Drake, and</w:t>
      </w:r>
      <w:r w:rsidR="00B00FAC">
        <w:t xml:space="preserve"> set out</w:t>
      </w:r>
      <w:r w:rsidR="00782C11">
        <w:t xml:space="preserve"> </w:t>
      </w:r>
      <w:r w:rsidR="00035B2D">
        <w:t xml:space="preserve">in </w:t>
      </w:r>
      <w:r w:rsidR="00782C11">
        <w:t>the RAA, had been imposed as conditions under s 13</w:t>
      </w:r>
      <w:r w:rsidR="00384A7D">
        <w:t>4</w:t>
      </w:r>
      <w:r w:rsidR="00782C11">
        <w:t xml:space="preserve"> of the EPBC Act, the Minister and the Department wo</w:t>
      </w:r>
      <w:r w:rsidR="00384A7D">
        <w:t>u</w:t>
      </w:r>
      <w:r w:rsidR="00782C11">
        <w:t>ld have retained an ability to monitor and regulate any such changes</w:t>
      </w:r>
      <w:r w:rsidR="00B00FAC">
        <w:t xml:space="preserve"> and conduct</w:t>
      </w:r>
      <w:r w:rsidR="00782C11">
        <w:t xml:space="preserve">. </w:t>
      </w:r>
      <w:r>
        <w:t xml:space="preserve">That ability </w:t>
      </w:r>
      <w:r w:rsidR="00384A7D">
        <w:t>was</w:t>
      </w:r>
      <w:r>
        <w:t xml:space="preserve"> surrendered.</w:t>
      </w:r>
    </w:p>
    <w:p w14:paraId="5429B1BC" w14:textId="2BB21BF1" w:rsidR="00BB40C2" w:rsidRDefault="00F46E19" w:rsidP="0095445B">
      <w:pPr>
        <w:pStyle w:val="ParaNumbering"/>
      </w:pPr>
      <w:r>
        <w:t>The M</w:t>
      </w:r>
      <w:r w:rsidR="00035B2D">
        <w:t>inister</w:t>
      </w:r>
      <w:r>
        <w:t xml:space="preserve"> </w:t>
      </w:r>
      <w:r w:rsidR="0020628A">
        <w:t xml:space="preserve">submitted </w:t>
      </w:r>
      <w:r>
        <w:t xml:space="preserve">at [32] of </w:t>
      </w:r>
      <w:r w:rsidR="00603D6F">
        <w:t xml:space="preserve">her </w:t>
      </w:r>
      <w:r w:rsidR="0020628A">
        <w:t xml:space="preserve">principal </w:t>
      </w:r>
      <w:r>
        <w:t xml:space="preserve">written </w:t>
      </w:r>
      <w:r w:rsidR="00782C11">
        <w:t>submissions</w:t>
      </w:r>
      <w:r>
        <w:t xml:space="preserve">, in a theme which ran </w:t>
      </w:r>
      <w:r w:rsidR="00782C11">
        <w:t>throughout</w:t>
      </w:r>
      <w:r>
        <w:t xml:space="preserve"> </w:t>
      </w:r>
      <w:r w:rsidR="008429C1">
        <w:t xml:space="preserve">those </w:t>
      </w:r>
      <w:r w:rsidR="00782C11">
        <w:t>submissions</w:t>
      </w:r>
      <w:r w:rsidR="008429C1">
        <w:t>,</w:t>
      </w:r>
      <w:r>
        <w:t xml:space="preserve"> that:</w:t>
      </w:r>
    </w:p>
    <w:p w14:paraId="2C38B97C" w14:textId="37CBF535" w:rsidR="00F46E19" w:rsidRPr="00F46E19" w:rsidRDefault="00F46E19" w:rsidP="00EA7668">
      <w:pPr>
        <w:pStyle w:val="Quote1"/>
      </w:pPr>
      <w:r w:rsidRPr="00F46E19">
        <w:t>An action that was taken without the mitigation measures which were considered as part of the action that was the subject of the referral would be at risk of being characterised as different to the action that was the subject of the controlled action decision and be liable to enforcement action under a provision of Part 3 of the EPBC Act. In those circumstances, the Minister could also potentially call the action in under s 70 of the EPBC Act</w:t>
      </w:r>
      <w:r w:rsidR="008429C1">
        <w:t>.</w:t>
      </w:r>
    </w:p>
    <w:p w14:paraId="5F1533C7" w14:textId="123D4432" w:rsidR="00F46E19" w:rsidRDefault="00782C11" w:rsidP="0095445B">
      <w:pPr>
        <w:pStyle w:val="ParaNumbering"/>
      </w:pPr>
      <w:r>
        <w:t xml:space="preserve">Of course, by this time, the conduct may have occurred and </w:t>
      </w:r>
      <w:r w:rsidR="009A1A0D">
        <w:t xml:space="preserve">any adverse </w:t>
      </w:r>
      <w:r>
        <w:t xml:space="preserve">impacts </w:t>
      </w:r>
      <w:r w:rsidR="009A1A0D">
        <w:t xml:space="preserve">may be </w:t>
      </w:r>
      <w:r>
        <w:t>too late</w:t>
      </w:r>
      <w:r w:rsidR="002E2F64">
        <w:t xml:space="preserve"> to remedy</w:t>
      </w:r>
      <w:r>
        <w:t xml:space="preserve">. </w:t>
      </w:r>
      <w:r w:rsidR="00F46E19">
        <w:t xml:space="preserve">It </w:t>
      </w:r>
      <w:r>
        <w:t>is insufficient</w:t>
      </w:r>
      <w:r w:rsidR="00F46E19">
        <w:t xml:space="preserve"> to point to possible remedial </w:t>
      </w:r>
      <w:r>
        <w:t>powers</w:t>
      </w:r>
      <w:r w:rsidR="00F46E19">
        <w:t xml:space="preserve"> or the need for another </w:t>
      </w:r>
      <w:r w:rsidR="00F46E19">
        <w:lastRenderedPageBreak/>
        <w:t xml:space="preserve">round of </w:t>
      </w:r>
      <w:r>
        <w:t>allegations</w:t>
      </w:r>
      <w:r w:rsidR="00F46E19">
        <w:t xml:space="preserve"> </w:t>
      </w:r>
      <w:r>
        <w:t>and</w:t>
      </w:r>
      <w:r w:rsidR="00F46E19">
        <w:t xml:space="preserve"> </w:t>
      </w:r>
      <w:r>
        <w:t>counter</w:t>
      </w:r>
      <w:r w:rsidR="00F46E19">
        <w:t xml:space="preserve"> </w:t>
      </w:r>
      <w:r>
        <w:t>allegations</w:t>
      </w:r>
      <w:r w:rsidR="00F46E19">
        <w:t xml:space="preserve"> </w:t>
      </w:r>
      <w:r>
        <w:t>about</w:t>
      </w:r>
      <w:r w:rsidR="00F46E19">
        <w:t xml:space="preserve"> </w:t>
      </w:r>
      <w:r>
        <w:t>whether</w:t>
      </w:r>
      <w:r w:rsidR="00F46E19">
        <w:t xml:space="preserve"> the </w:t>
      </w:r>
      <w:r>
        <w:t>prohibitions</w:t>
      </w:r>
      <w:r w:rsidR="00F46E19">
        <w:t xml:space="preserve"> in Pt 3 have been </w:t>
      </w:r>
      <w:r>
        <w:t>contravened</w:t>
      </w:r>
      <w:r w:rsidR="00F46E19">
        <w:t xml:space="preserve">. That is not how the </w:t>
      </w:r>
      <w:r w:rsidR="00035B2D">
        <w:t xml:space="preserve">EPBC </w:t>
      </w:r>
      <w:r w:rsidR="00F46E19">
        <w:t xml:space="preserve">Act is </w:t>
      </w:r>
      <w:r>
        <w:t>intended</w:t>
      </w:r>
      <w:r w:rsidR="00F46E19">
        <w:t xml:space="preserve"> to operate.</w:t>
      </w:r>
      <w:r w:rsidR="009D1CD8">
        <w:t xml:space="preserve"> </w:t>
      </w:r>
      <w:r>
        <w:t xml:space="preserve">It is not intended to facilitate granular arguments to be made </w:t>
      </w:r>
      <w:r w:rsidR="00384A7D">
        <w:t xml:space="preserve">after potentially damaging conduct has occurred </w:t>
      </w:r>
      <w:r>
        <w:t>about whether an action is the same action or a different one</w:t>
      </w:r>
      <w:r w:rsidR="00783F18">
        <w:t xml:space="preserve"> to that which was approved.</w:t>
      </w:r>
      <w:r>
        <w:t xml:space="preserve"> </w:t>
      </w:r>
      <w:r w:rsidR="00384A7D">
        <w:t>T</w:t>
      </w:r>
      <w:r>
        <w:t xml:space="preserve">he fact that in a situation such as this, such </w:t>
      </w:r>
      <w:r w:rsidR="00384A7D">
        <w:t xml:space="preserve">granular </w:t>
      </w:r>
      <w:r>
        <w:t>argument</w:t>
      </w:r>
      <w:r w:rsidR="00384A7D">
        <w:t>s</w:t>
      </w:r>
      <w:r>
        <w:t xml:space="preserve"> would be occurring in the context of a decision under s 75 that </w:t>
      </w:r>
      <w:r w:rsidR="004D79A6">
        <w:t xml:space="preserve">the </w:t>
      </w:r>
      <w:r>
        <w:t xml:space="preserve">action was not a controlled </w:t>
      </w:r>
      <w:r w:rsidR="00EA7668">
        <w:t xml:space="preserve">action </w:t>
      </w:r>
      <w:r>
        <w:t xml:space="preserve">at all would make the matter extremely difficult and complicated. That is not </w:t>
      </w:r>
      <w:r w:rsidR="00384A7D">
        <w:t xml:space="preserve">a </w:t>
      </w:r>
      <w:r>
        <w:t xml:space="preserve">workable solution to the problem </w:t>
      </w:r>
      <w:r w:rsidR="00783F18">
        <w:t>which has arisen due to</w:t>
      </w:r>
      <w:r>
        <w:t xml:space="preserve"> the approach taken by the Department and the delegate.</w:t>
      </w:r>
    </w:p>
    <w:p w14:paraId="0E012FFB" w14:textId="08DD2862" w:rsidR="00850D73" w:rsidRDefault="00850D73" w:rsidP="00B80FDA">
      <w:pPr>
        <w:pStyle w:val="ParaNumbering"/>
      </w:pPr>
      <w:r>
        <w:t>Further, the M</w:t>
      </w:r>
      <w:r w:rsidR="00B80FDA">
        <w:t>inister</w:t>
      </w:r>
      <w:r>
        <w:t xml:space="preserve">’s reliance on the fact that other </w:t>
      </w:r>
      <w:r w:rsidR="004D79A6">
        <w:t>State-</w:t>
      </w:r>
      <w:r>
        <w:t>based approvals were required (</w:t>
      </w:r>
      <w:proofErr w:type="spellStart"/>
      <w:r>
        <w:t>eg</w:t>
      </w:r>
      <w:proofErr w:type="spellEnd"/>
      <w:r>
        <w:t xml:space="preserve"> under the</w:t>
      </w:r>
      <w:r w:rsidRPr="005D03AB">
        <w:t xml:space="preserve"> </w:t>
      </w:r>
      <w:r w:rsidRPr="005D03AB">
        <w:rPr>
          <w:i/>
        </w:rPr>
        <w:t>Land Use Planning and Approvals Act 1993</w:t>
      </w:r>
      <w:r w:rsidRPr="005D03AB">
        <w:t xml:space="preserve"> (</w:t>
      </w:r>
      <w:proofErr w:type="spellStart"/>
      <w:r w:rsidRPr="005D03AB">
        <w:t>Tas</w:t>
      </w:r>
      <w:proofErr w:type="spellEnd"/>
      <w:r w:rsidRPr="005D03AB">
        <w:t>)</w:t>
      </w:r>
      <w:r>
        <w:t>)</w:t>
      </w:r>
      <w:r w:rsidRPr="00850D73">
        <w:t xml:space="preserve"> </w:t>
      </w:r>
      <w:r>
        <w:t xml:space="preserve">before the action could be taken </w:t>
      </w:r>
      <w:r w:rsidR="00672F59">
        <w:t xml:space="preserve">by Wild Drake </w:t>
      </w:r>
      <w:r>
        <w:t xml:space="preserve">does not ameliorate the </w:t>
      </w:r>
      <w:r w:rsidR="004D79A6">
        <w:t>situation</w:t>
      </w:r>
      <w:r>
        <w:t>.</w:t>
      </w:r>
      <w:r w:rsidRPr="00850D73">
        <w:t xml:space="preserve"> </w:t>
      </w:r>
      <w:r>
        <w:t xml:space="preserve">In several </w:t>
      </w:r>
      <w:r w:rsidR="00672F59">
        <w:t>respects</w:t>
      </w:r>
      <w:r>
        <w:t>, the</w:t>
      </w:r>
      <w:r w:rsidRPr="00850D73">
        <w:t xml:space="preserve"> </w:t>
      </w:r>
      <w:r w:rsidR="00B80FDA">
        <w:t xml:space="preserve">EPBC </w:t>
      </w:r>
      <w:r w:rsidRPr="00850D73">
        <w:t>Act contemplates</w:t>
      </w:r>
      <w:r>
        <w:t xml:space="preserve"> (and requires)</w:t>
      </w:r>
      <w:r w:rsidRPr="00850D73">
        <w:t xml:space="preserve"> coordination between State and Commonwealth as</w:t>
      </w:r>
      <w:r>
        <w:t>sessment and approval processes: see</w:t>
      </w:r>
      <w:r w:rsidRPr="00850D73">
        <w:t xml:space="preserve"> </w:t>
      </w:r>
      <w:proofErr w:type="spellStart"/>
      <w:r w:rsidRPr="005D03AB">
        <w:rPr>
          <w:i/>
        </w:rPr>
        <w:t>Tarkine</w:t>
      </w:r>
      <w:proofErr w:type="spellEnd"/>
      <w:r w:rsidRPr="005D03AB">
        <w:rPr>
          <w:i/>
        </w:rPr>
        <w:t xml:space="preserve"> National Coalition </w:t>
      </w:r>
      <w:proofErr w:type="spellStart"/>
      <w:r w:rsidRPr="005D03AB">
        <w:rPr>
          <w:i/>
        </w:rPr>
        <w:t>Inc</w:t>
      </w:r>
      <w:proofErr w:type="spellEnd"/>
      <w:r w:rsidRPr="005D03AB">
        <w:rPr>
          <w:i/>
        </w:rPr>
        <w:t xml:space="preserve"> v Minister for the Environment</w:t>
      </w:r>
      <w:r w:rsidRPr="005D03AB">
        <w:t xml:space="preserve"> </w:t>
      </w:r>
      <w:r w:rsidR="00B80FDA" w:rsidRPr="005D03AB">
        <w:t>[2015] FCAFC 89; 233 FCR 254</w:t>
      </w:r>
      <w:r w:rsidR="00B80FDA" w:rsidRPr="00B80FDA" w:rsidDel="00B80FDA">
        <w:t xml:space="preserve"> </w:t>
      </w:r>
      <w:r w:rsidRPr="00850D73">
        <w:t>[3]-[17], [50] and [57]-[58]</w:t>
      </w:r>
      <w:r>
        <w:t xml:space="preserve">. The conditions power also expressly contemplates such co-ordination: </w:t>
      </w:r>
      <w:r w:rsidR="00782C11">
        <w:t xml:space="preserve">see </w:t>
      </w:r>
      <w:proofErr w:type="spellStart"/>
      <w:r w:rsidR="00035B2D">
        <w:t>s</w:t>
      </w:r>
      <w:r w:rsidR="00782C11" w:rsidRPr="00850D73">
        <w:t>s</w:t>
      </w:r>
      <w:proofErr w:type="spellEnd"/>
      <w:r w:rsidRPr="00850D73">
        <w:t xml:space="preserve"> 134(3</w:t>
      </w:r>
      <w:r w:rsidR="00782C11" w:rsidRPr="00850D73">
        <w:t>)(</w:t>
      </w:r>
      <w:r w:rsidRPr="00850D73">
        <w:t>c), (3C) and (4</w:t>
      </w:r>
      <w:r w:rsidR="00782C11" w:rsidRPr="00850D73">
        <w:t>)(</w:t>
      </w:r>
      <w:r w:rsidRPr="00850D73">
        <w:t>a).</w:t>
      </w:r>
      <w:r>
        <w:t xml:space="preserve"> </w:t>
      </w:r>
    </w:p>
    <w:p w14:paraId="2477B56C" w14:textId="287A9702" w:rsidR="003D47D8" w:rsidRDefault="003D47D8" w:rsidP="0095445B">
      <w:pPr>
        <w:pStyle w:val="ParaNumbering"/>
      </w:pPr>
      <w:r>
        <w:t xml:space="preserve">A further factor which supports this approach is the focus of the assessment processes in </w:t>
      </w:r>
      <w:proofErr w:type="spellStart"/>
      <w:r>
        <w:t>Div</w:t>
      </w:r>
      <w:proofErr w:type="spellEnd"/>
      <w:r>
        <w:t xml:space="preserve"> 3 of Pt 8, and of the </w:t>
      </w:r>
      <w:r w:rsidR="00782C11">
        <w:t>decision</w:t>
      </w:r>
      <w:r w:rsidR="00E04DFA">
        <w:t>-</w:t>
      </w:r>
      <w:r>
        <w:t xml:space="preserve">making </w:t>
      </w:r>
      <w:r w:rsidR="00782C11">
        <w:t>requirements</w:t>
      </w:r>
      <w:r>
        <w:t xml:space="preserve"> in Pt 9 (</w:t>
      </w:r>
      <w:r w:rsidR="00782C11">
        <w:t>especially</w:t>
      </w:r>
      <w:r>
        <w:t xml:space="preserve"> s 131A) on public participation and comment. </w:t>
      </w:r>
      <w:r w:rsidR="00782C11">
        <w:t xml:space="preserve">Some of the assessment processes available under </w:t>
      </w:r>
      <w:proofErr w:type="spellStart"/>
      <w:r w:rsidR="00782C11">
        <w:t>Div</w:t>
      </w:r>
      <w:proofErr w:type="spellEnd"/>
      <w:r w:rsidR="00782C11">
        <w:t xml:space="preserve"> 3 of Pt 8 involve high degrees of public participation, such as an environmental impact statement or a public inquiry. The applicant submitted in reply:</w:t>
      </w:r>
    </w:p>
    <w:p w14:paraId="0AEEB99A" w14:textId="597F9B77" w:rsidR="00D0324B" w:rsidRPr="00D0324B" w:rsidRDefault="00D0324B" w:rsidP="00E04DFA">
      <w:pPr>
        <w:pStyle w:val="Quote1"/>
      </w:pPr>
      <w:r w:rsidRPr="00D0324B">
        <w:t>The purposes of the Act are informed by the treaty obligations to which it gives effect, including (relevantly to the present case) articles 4 and 5 of the World Heritage Convention and articles 8 and 14 of the Biodiversity Convention. Article 14</w:t>
      </w:r>
      <w:r w:rsidR="009139B3">
        <w:t>[(1)]</w:t>
      </w:r>
      <w:r w:rsidRPr="00D0324B">
        <w:t>(a) of the Biodiversity Convention requires Australia, as far as possible and as appropriate, to “[</w:t>
      </w:r>
      <w:proofErr w:type="spellStart"/>
      <w:r w:rsidRPr="00D0324B">
        <w:t>i</w:t>
      </w:r>
      <w:proofErr w:type="spellEnd"/>
      <w:r w:rsidRPr="00D0324B">
        <w:t>]</w:t>
      </w:r>
      <w:proofErr w:type="spellStart"/>
      <w:r w:rsidRPr="00D0324B">
        <w:t>ntroduce</w:t>
      </w:r>
      <w:proofErr w:type="spellEnd"/>
      <w:r w:rsidRPr="00D0324B">
        <w:t xml:space="preserve"> appropriate procedures requiring environmental impact assessment of its proposed projects that are likely to have significant adverse effects on biological diversity with a view to avoiding or minimizing such effects and, where appropriate, allow for public par</w:t>
      </w:r>
      <w:r w:rsidR="00782C11">
        <w:t>ticipation in such procedures”.</w:t>
      </w:r>
      <w:r w:rsidRPr="00D0324B">
        <w:t xml:space="preserve"> Parts 5, 8 and 9 of the Act, and s 75(1), are integral components of the means by which Parliament has chosen to give effect to that obligation.</w:t>
      </w:r>
    </w:p>
    <w:p w14:paraId="067E9BC2" w14:textId="30DF0FD6" w:rsidR="00384A7D" w:rsidRDefault="00D0324B" w:rsidP="0095445B">
      <w:pPr>
        <w:pStyle w:val="ParaNumbering"/>
      </w:pPr>
      <w:r>
        <w:t xml:space="preserve">I </w:t>
      </w:r>
      <w:r w:rsidR="00782C11">
        <w:t>accept</w:t>
      </w:r>
      <w:r>
        <w:t xml:space="preserve"> that </w:t>
      </w:r>
      <w:r w:rsidR="00782C11">
        <w:t>submission</w:t>
      </w:r>
      <w:r>
        <w:t>. The</w:t>
      </w:r>
      <w:r w:rsidR="00E04DFA">
        <w:t xml:space="preserve"> EPBC</w:t>
      </w:r>
      <w:r>
        <w:t xml:space="preserve"> Act intends there to be a level of public </w:t>
      </w:r>
      <w:r w:rsidR="00782C11">
        <w:t>participation</w:t>
      </w:r>
      <w:r>
        <w:t>.</w:t>
      </w:r>
      <w:r w:rsidR="0096156C">
        <w:t xml:space="preserve"> </w:t>
      </w:r>
      <w:r w:rsidR="00384A7D">
        <w:t>Its subject</w:t>
      </w:r>
      <w:r w:rsidR="00B367A3">
        <w:t>-</w:t>
      </w:r>
      <w:r w:rsidR="00384A7D">
        <w:t>matter is the protection and conservation of matters of national environmental significan</w:t>
      </w:r>
      <w:r w:rsidR="007D002D">
        <w:t>ce</w:t>
      </w:r>
      <w:r w:rsidR="00384A7D">
        <w:t xml:space="preserve">. Their protection is a matter in which the Australian community has an interest, a fact the legislative scheme recognises. </w:t>
      </w:r>
    </w:p>
    <w:p w14:paraId="3AB9872E" w14:textId="4B5C4A71" w:rsidR="00D0324B" w:rsidRDefault="008156FB" w:rsidP="0095445B">
      <w:pPr>
        <w:pStyle w:val="ParaNumbering"/>
      </w:pPr>
      <w:r>
        <w:lastRenderedPageBreak/>
        <w:t>The Regulations do require a proponent to supply information about mitigation measures in its referral, and a</w:t>
      </w:r>
      <w:r w:rsidR="00782C11">
        <w:t>lthough public submissions were invited (and were made) at the s 75 stage</w:t>
      </w:r>
      <w:r w:rsidR="001E2642">
        <w:t xml:space="preserve"> in respect of Wild Drake’s referral</w:t>
      </w:r>
      <w:r w:rsidR="00782C11">
        <w:t xml:space="preserve">, what </w:t>
      </w:r>
      <w:r w:rsidR="00E04DFA">
        <w:t>i</w:t>
      </w:r>
      <w:r w:rsidR="00782C11">
        <w:t>s</w:t>
      </w:r>
      <w:r w:rsidR="00E04DFA">
        <w:t xml:space="preserve"> </w:t>
      </w:r>
      <w:r w:rsidR="00782C11">
        <w:t>not intended by the scheme is that a de facto assessment process be conducted by the Department, in negotiation with a proponent and out of public view</w:t>
      </w:r>
      <w:r>
        <w:t xml:space="preserve">. Subject to the power in s 77A, </w:t>
      </w:r>
      <w:r w:rsidR="00782C11">
        <w:t xml:space="preserve">what is being assessed under the statutory task in s 75 is the adverse impacts of the action, </w:t>
      </w:r>
      <w:r>
        <w:t xml:space="preserve">not </w:t>
      </w:r>
      <w:r w:rsidR="00782C11">
        <w:t xml:space="preserve">the adverse impacts of the action once all avoidance and mitigation measures have been applied. </w:t>
      </w:r>
      <w:r>
        <w:t>Any other</w:t>
      </w:r>
      <w:r w:rsidR="00D0324B">
        <w:t xml:space="preserve"> </w:t>
      </w:r>
      <w:r w:rsidR="00782C11">
        <w:t>approach</w:t>
      </w:r>
      <w:r w:rsidR="00D0324B">
        <w:t xml:space="preserve"> deprives the public of the </w:t>
      </w:r>
      <w:r w:rsidR="00582EE0">
        <w:t>participation</w:t>
      </w:r>
      <w:r w:rsidR="00D0324B">
        <w:t xml:space="preserve"> the World </w:t>
      </w:r>
      <w:r w:rsidR="00EA7668">
        <w:t>H</w:t>
      </w:r>
      <w:r w:rsidR="00D0324B">
        <w:t xml:space="preserve">eritage </w:t>
      </w:r>
      <w:r w:rsidR="00782C11">
        <w:t>Convention</w:t>
      </w:r>
      <w:r w:rsidR="00D0324B">
        <w:t xml:space="preserve"> </w:t>
      </w:r>
      <w:r w:rsidR="00782C11">
        <w:t>contemplates</w:t>
      </w:r>
      <w:r w:rsidR="00D0324B">
        <w:t xml:space="preserve"> will be applied to the protection and </w:t>
      </w:r>
      <w:r w:rsidR="00782C11">
        <w:t>conservation</w:t>
      </w:r>
      <w:r w:rsidR="00D0324B">
        <w:t xml:space="preserve"> of World </w:t>
      </w:r>
      <w:r w:rsidR="00EA7668">
        <w:t>H</w:t>
      </w:r>
      <w:r w:rsidR="00D0324B">
        <w:t xml:space="preserve">eritage values in listed </w:t>
      </w:r>
      <w:r w:rsidR="00782C11">
        <w:t>properties</w:t>
      </w:r>
      <w:r w:rsidR="00D0324B">
        <w:t>.</w:t>
      </w:r>
    </w:p>
    <w:p w14:paraId="00B2F5CC" w14:textId="10C2AA01" w:rsidR="00521836" w:rsidRDefault="00521836" w:rsidP="007C5A83">
      <w:pPr>
        <w:pStyle w:val="ParaNumbering"/>
      </w:pPr>
      <w:r>
        <w:t xml:space="preserve">At [79] of its </w:t>
      </w:r>
      <w:r w:rsidR="00960FC7">
        <w:t xml:space="preserve">principal </w:t>
      </w:r>
      <w:r>
        <w:t>written submissions, the applicant contended (omitting footnotes):</w:t>
      </w:r>
    </w:p>
    <w:p w14:paraId="5AB3B029" w14:textId="377B3902" w:rsidR="00521836" w:rsidRDefault="00521836" w:rsidP="00EA7668">
      <w:pPr>
        <w:pStyle w:val="Quote1"/>
      </w:pPr>
      <w:r w:rsidRPr="00CC3389">
        <w:t xml:space="preserve">The protective purposes of the Act are undermined if mitigation measures can be taken into account under s 75(1) as to whether there are likely to be significant impacts. If the </w:t>
      </w:r>
      <w:r w:rsidRPr="00EF5960">
        <w:t>Delegate’s approach were appropriate, it would not make sense to have a bilateral agreement as a substitute for assessing environmental impacts, or to contemplate the Commonwealth approval picking up State</w:t>
      </w:r>
      <w:r>
        <w:t xml:space="preserve"> conditions. Instead, the State could assess the impacts and impose conditions under applicable State legislation, and the Minister could then consider whether the impacts, </w:t>
      </w:r>
      <w:r w:rsidRPr="009139B3">
        <w:rPr>
          <w:i/>
        </w:rPr>
        <w:t>as assessed and then controlled under the State legislation</w:t>
      </w:r>
      <w:r>
        <w:t>, were likely to be significant impacts.</w:t>
      </w:r>
    </w:p>
    <w:p w14:paraId="0D46C491" w14:textId="264A6944" w:rsidR="00960FC7" w:rsidRDefault="00960FC7" w:rsidP="00EA7668">
      <w:pPr>
        <w:pStyle w:val="Quote1"/>
      </w:pPr>
      <w:r>
        <w:t>(Original emphasis.)</w:t>
      </w:r>
    </w:p>
    <w:p w14:paraId="178DDE50" w14:textId="54CC9A7F" w:rsidR="00521836" w:rsidRDefault="00521836" w:rsidP="007C5A83">
      <w:pPr>
        <w:pStyle w:val="ParaNumbering"/>
      </w:pPr>
      <w:r>
        <w:t xml:space="preserve">There is force in this submission. There is a sense that the Department’s approach, including its </w:t>
      </w:r>
      <w:r w:rsidR="00782C11">
        <w:t>communications</w:t>
      </w:r>
      <w:r>
        <w:t xml:space="preserve"> with the </w:t>
      </w:r>
      <w:r w:rsidR="00782C11">
        <w:t>proponent</w:t>
      </w:r>
      <w:r>
        <w:t xml:space="preserve"> prior to the recommendation made to the delegate, was not focussed on assessing the impacts of the action as it was outlined, but rather on discussing with the </w:t>
      </w:r>
      <w:r w:rsidR="00782C11">
        <w:t>proponent</w:t>
      </w:r>
      <w:r>
        <w:t xml:space="preserve"> what </w:t>
      </w:r>
      <w:r w:rsidR="00782C11">
        <w:t>mitigation</w:t>
      </w:r>
      <w:r>
        <w:t xml:space="preserve"> or avoidance measures might be taken</w:t>
      </w:r>
      <w:r w:rsidR="00FD3559">
        <w:t xml:space="preserve"> so</w:t>
      </w:r>
      <w:r>
        <w:t xml:space="preserve"> as to reduce the level of</w:t>
      </w:r>
      <w:r w:rsidR="00FD3559">
        <w:t xml:space="preserve"> potential</w:t>
      </w:r>
      <w:r>
        <w:t xml:space="preserve"> </w:t>
      </w:r>
      <w:r w:rsidR="00267EE9">
        <w:t xml:space="preserve">adverse </w:t>
      </w:r>
      <w:r>
        <w:t>impact</w:t>
      </w:r>
      <w:r w:rsidR="00FD3559">
        <w:t>s</w:t>
      </w:r>
      <w:r>
        <w:t xml:space="preserve">. As a pathway towards a </w:t>
      </w:r>
      <w:r w:rsidR="00782C11">
        <w:t>component</w:t>
      </w:r>
      <w:r>
        <w:t xml:space="preserve"> decision under s </w:t>
      </w:r>
      <w:r w:rsidR="00782C11">
        <w:t>77A</w:t>
      </w:r>
      <w:r w:rsidR="00FD3559">
        <w:t>,</w:t>
      </w:r>
      <w:r w:rsidR="00782C11">
        <w:t xml:space="preserve"> </w:t>
      </w:r>
      <w:r w:rsidR="008156FB">
        <w:t>or as part of considering what kind of assessment process under Pt</w:t>
      </w:r>
      <w:r w:rsidR="00610740">
        <w:t>s</w:t>
      </w:r>
      <w:r w:rsidR="008156FB">
        <w:t xml:space="preserve"> 8 or 9 should be undertaken, </w:t>
      </w:r>
      <w:r w:rsidR="00782C11">
        <w:t>that</w:t>
      </w:r>
      <w:r>
        <w:t xml:space="preserve"> process may well be </w:t>
      </w:r>
      <w:r w:rsidR="00782C11">
        <w:t>legitimate</w:t>
      </w:r>
      <w:r>
        <w:t xml:space="preserve"> and </w:t>
      </w:r>
      <w:r w:rsidR="00782C11">
        <w:t>consistent</w:t>
      </w:r>
      <w:r>
        <w:t xml:space="preserve"> with the scheme of the EPBC Act. If the Department’s </w:t>
      </w:r>
      <w:r w:rsidR="00782C11">
        <w:t>approach</w:t>
      </w:r>
      <w:r>
        <w:t xml:space="preserve"> goes beyond this, then I agree with the applicant i</w:t>
      </w:r>
      <w:r w:rsidR="00582EE0">
        <w:t>t</w:t>
      </w:r>
      <w:r>
        <w:t xml:space="preserve"> can tend to </w:t>
      </w:r>
      <w:r w:rsidR="00782C11">
        <w:t>frustrate the</w:t>
      </w:r>
      <w:r>
        <w:t xml:space="preserve"> </w:t>
      </w:r>
      <w:r w:rsidR="00782C11">
        <w:t>entire</w:t>
      </w:r>
      <w:r>
        <w:t xml:space="preserve"> scheme of the EPBC Act. While </w:t>
      </w:r>
      <w:r w:rsidR="00582EE0">
        <w:t xml:space="preserve">administrative negotiations </w:t>
      </w:r>
      <w:r w:rsidR="00782C11">
        <w:t>might</w:t>
      </w:r>
      <w:r>
        <w:t xml:space="preserve"> </w:t>
      </w:r>
      <w:r w:rsidR="00782C11">
        <w:t>avoid</w:t>
      </w:r>
      <w:r>
        <w:t xml:space="preserve"> a </w:t>
      </w:r>
      <w:r w:rsidR="00782C11">
        <w:t>longer</w:t>
      </w:r>
      <w:r>
        <w:t xml:space="preserve">, more complex, public and perhaps more resource </w:t>
      </w:r>
      <w:r w:rsidR="00782C11">
        <w:t>intensive</w:t>
      </w:r>
      <w:r>
        <w:t xml:space="preserve"> assessment process, it is not a course of conduct which the EPBC Act </w:t>
      </w:r>
      <w:r w:rsidR="00782C11">
        <w:t>contemplates</w:t>
      </w:r>
      <w:r w:rsidR="00267EE9">
        <w:t xml:space="preserve"> as an entire </w:t>
      </w:r>
      <w:r w:rsidR="009139B3">
        <w:t>substitute</w:t>
      </w:r>
      <w:r w:rsidR="00267EE9">
        <w:t xml:space="preserve"> for use of the mechanisms for which the Act provides so as to regulate the taking of an action</w:t>
      </w:r>
      <w:r>
        <w:t xml:space="preserve">. Through a complex and </w:t>
      </w:r>
      <w:r w:rsidR="00782C11">
        <w:t>prescriptive</w:t>
      </w:r>
      <w:r>
        <w:t xml:space="preserve"> piece of </w:t>
      </w:r>
      <w:r w:rsidR="00782C11">
        <w:t>legislation</w:t>
      </w:r>
      <w:r>
        <w:t xml:space="preserve">, Parliament has </w:t>
      </w:r>
      <w:r w:rsidR="00782C11">
        <w:t>identified</w:t>
      </w:r>
      <w:r>
        <w:t xml:space="preserve"> which </w:t>
      </w:r>
      <w:r w:rsidR="00782C11">
        <w:t>substitute</w:t>
      </w:r>
      <w:r>
        <w:t xml:space="preserve"> assessment and </w:t>
      </w:r>
      <w:r w:rsidR="00782C11">
        <w:t>regulatory</w:t>
      </w:r>
      <w:r>
        <w:t xml:space="preserve"> processes can be applied to the </w:t>
      </w:r>
      <w:r w:rsidR="00782C11">
        <w:t>taking of</w:t>
      </w:r>
      <w:r>
        <w:t xml:space="preserve"> an action which may engage Pt 3 of the EPBC Act. It has done so with precision. Outside those processes, what is </w:t>
      </w:r>
      <w:r w:rsidR="00782C11">
        <w:t>available</w:t>
      </w:r>
      <w:r>
        <w:t xml:space="preserve"> to the </w:t>
      </w:r>
      <w:r w:rsidR="00782C11">
        <w:t>decision</w:t>
      </w:r>
      <w:r w:rsidR="00EF5960">
        <w:t>-</w:t>
      </w:r>
      <w:r>
        <w:t xml:space="preserve">maker (not the Department) is a </w:t>
      </w:r>
      <w:r w:rsidR="00782C11">
        <w:t>decision</w:t>
      </w:r>
      <w:r>
        <w:t xml:space="preserve"> under s 75 that the matter is </w:t>
      </w:r>
      <w:r>
        <w:lastRenderedPageBreak/>
        <w:t xml:space="preserve">a controlled action and the imposition of regulatory control through that process, or a </w:t>
      </w:r>
      <w:r w:rsidR="00782C11">
        <w:t>component</w:t>
      </w:r>
      <w:r>
        <w:t xml:space="preserve"> decision under s 77A.</w:t>
      </w:r>
    </w:p>
    <w:p w14:paraId="2770BBCB" w14:textId="4F060A1C" w:rsidR="00850D73" w:rsidRDefault="00850D73" w:rsidP="008156FB">
      <w:pPr>
        <w:pStyle w:val="ParaNumbering"/>
      </w:pPr>
      <w:bookmarkStart w:id="31" w:name="_Ref22799317"/>
      <w:r>
        <w:t xml:space="preserve">However, I do not ultimately reach the conclusion </w:t>
      </w:r>
      <w:r w:rsidR="00582EE0">
        <w:t xml:space="preserve">on </w:t>
      </w:r>
      <w:r>
        <w:t xml:space="preserve">ground 1 which might be suggested from what I have set out above. That is because the </w:t>
      </w:r>
      <w:r w:rsidR="008156FB">
        <w:t>appropriate</w:t>
      </w:r>
      <w:r w:rsidR="00267EE9">
        <w:t xml:space="preserve"> </w:t>
      </w:r>
      <w:r>
        <w:t xml:space="preserve">way to </w:t>
      </w:r>
      <w:r w:rsidR="00782C11">
        <w:t>interpret</w:t>
      </w:r>
      <w:r>
        <w:t xml:space="preserve"> the brief, </w:t>
      </w:r>
      <w:r w:rsidR="00782C11">
        <w:t>consistent</w:t>
      </w:r>
      <w:r w:rsidR="00267EE9">
        <w:t>ly</w:t>
      </w:r>
      <w:r>
        <w:t xml:space="preserve"> with the </w:t>
      </w:r>
      <w:r w:rsidR="00782C11">
        <w:t>legislative</w:t>
      </w:r>
      <w:r>
        <w:t xml:space="preserve"> scheme, is to see the </w:t>
      </w:r>
      <w:r w:rsidR="00782C11">
        <w:t>decision</w:t>
      </w:r>
      <w:r>
        <w:t xml:space="preserve"> through the lens of s 77A, as a </w:t>
      </w:r>
      <w:r w:rsidR="00782C11">
        <w:t>component</w:t>
      </w:r>
      <w:r>
        <w:t xml:space="preserve"> decision</w:t>
      </w:r>
      <w:r w:rsidR="004B0DD9">
        <w:t xml:space="preserve"> or decisions</w:t>
      </w:r>
      <w:r>
        <w:t xml:space="preserve">. </w:t>
      </w:r>
      <w:r w:rsidR="00782C11">
        <w:t>Consistently</w:t>
      </w:r>
      <w:r w:rsidR="00521836">
        <w:t xml:space="preserve"> with at </w:t>
      </w:r>
      <w:r w:rsidR="00782C11">
        <w:t>least</w:t>
      </w:r>
      <w:r w:rsidR="00521836">
        <w:t xml:space="preserve"> </w:t>
      </w:r>
      <w:r w:rsidR="004B0DD9">
        <w:t xml:space="preserve">some </w:t>
      </w:r>
      <w:r w:rsidR="00782C11">
        <w:t>aspects</w:t>
      </w:r>
      <w:r w:rsidR="00521836">
        <w:t xml:space="preserve"> of the </w:t>
      </w:r>
      <w:r w:rsidR="00782C11">
        <w:t>M</w:t>
      </w:r>
      <w:r w:rsidR="00EF5960">
        <w:t>inister’</w:t>
      </w:r>
      <w:r w:rsidR="00782C11">
        <w:t>s</w:t>
      </w:r>
      <w:r w:rsidR="00521836">
        <w:t xml:space="preserve"> </w:t>
      </w:r>
      <w:r w:rsidR="004B0DD9">
        <w:t>supplementary</w:t>
      </w:r>
      <w:r w:rsidR="00521836">
        <w:t xml:space="preserve"> </w:t>
      </w:r>
      <w:r w:rsidR="004B0DD9">
        <w:t xml:space="preserve">written </w:t>
      </w:r>
      <w:r w:rsidR="00782C11">
        <w:t>submissions</w:t>
      </w:r>
      <w:r w:rsidR="00521836">
        <w:t xml:space="preserve">, I have </w:t>
      </w:r>
      <w:r w:rsidR="00782C11">
        <w:t>concluded</w:t>
      </w:r>
      <w:r w:rsidR="00521836">
        <w:t xml:space="preserve"> that what the delegate was in reality deciding was that he believed the action would not </w:t>
      </w:r>
      <w:r w:rsidR="00582EE0">
        <w:t xml:space="preserve">be likely to </w:t>
      </w:r>
      <w:r w:rsidR="00521836">
        <w:t xml:space="preserve">have a </w:t>
      </w:r>
      <w:r w:rsidR="00782C11">
        <w:t>significant</w:t>
      </w:r>
      <w:r w:rsidR="00521836">
        <w:t xml:space="preserve"> </w:t>
      </w:r>
      <w:r w:rsidR="00782C11">
        <w:t>impact</w:t>
      </w:r>
      <w:r w:rsidR="00521836">
        <w:t xml:space="preserve"> if carried out in a certain manner. </w:t>
      </w:r>
      <w:r w:rsidR="00582EE0">
        <w:t>In its outcome in terms of the</w:t>
      </w:r>
      <w:r w:rsidR="00CC1FF4">
        <w:t xml:space="preserve"> content of the</w:t>
      </w:r>
      <w:r w:rsidR="00582EE0">
        <w:t xml:space="preserve"> s 77 notice, the </w:t>
      </w:r>
      <w:r w:rsidR="00521836">
        <w:t>decision did not reflect this</w:t>
      </w:r>
      <w:r w:rsidR="00582EE0">
        <w:t xml:space="preserve"> belief</w:t>
      </w:r>
      <w:r w:rsidR="00521836">
        <w:t>, and that is why ground 2 succeeds.</w:t>
      </w:r>
      <w:bookmarkEnd w:id="31"/>
    </w:p>
    <w:p w14:paraId="02DEFB5F" w14:textId="075291B9" w:rsidR="00F46E19" w:rsidRDefault="00F46E19" w:rsidP="00201043">
      <w:pPr>
        <w:pStyle w:val="ParaNumbering"/>
      </w:pPr>
      <w:bookmarkStart w:id="32" w:name="_Ref22799328"/>
      <w:r>
        <w:t xml:space="preserve">There will be a point beyond which the </w:t>
      </w:r>
      <w:r w:rsidR="00782C11">
        <w:t>approach</w:t>
      </w:r>
      <w:r>
        <w:t xml:space="preserve"> </w:t>
      </w:r>
      <w:r w:rsidR="00782C11">
        <w:t>taken</w:t>
      </w:r>
      <w:r>
        <w:t xml:space="preserve"> by the </w:t>
      </w:r>
      <w:r w:rsidR="00582EE0">
        <w:t>D</w:t>
      </w:r>
      <w:r>
        <w:t>epartment (and</w:t>
      </w:r>
      <w:r w:rsidR="00CC1FF4">
        <w:t>,</w:t>
      </w:r>
      <w:r>
        <w:t xml:space="preserve"> I infer, </w:t>
      </w:r>
      <w:r w:rsidR="00CC1FF4">
        <w:t>an approach</w:t>
      </w:r>
      <w:r>
        <w:t xml:space="preserve"> the Department </w:t>
      </w:r>
      <w:r w:rsidR="00782C11">
        <w:t>encouraged</w:t>
      </w:r>
      <w:r>
        <w:t xml:space="preserve"> the </w:t>
      </w:r>
      <w:r w:rsidR="00782C11">
        <w:t>proponent</w:t>
      </w:r>
      <w:r>
        <w:t xml:space="preserve"> to take) </w:t>
      </w:r>
      <w:r w:rsidR="00782C11">
        <w:t>must</w:t>
      </w:r>
      <w:r>
        <w:t xml:space="preserve"> </w:t>
      </w:r>
      <w:r w:rsidR="00782C11">
        <w:t>inevitably</w:t>
      </w:r>
      <w:r>
        <w:t xml:space="preserve"> result </w:t>
      </w:r>
      <w:r w:rsidR="00782C11">
        <w:t>in</w:t>
      </w:r>
      <w:r>
        <w:t xml:space="preserve"> a </w:t>
      </w:r>
      <w:r w:rsidR="00782C11">
        <w:t>decision</w:t>
      </w:r>
      <w:r>
        <w:t xml:space="preserve"> under s 75 being wholly set </w:t>
      </w:r>
      <w:r w:rsidR="00782C11">
        <w:t>aside</w:t>
      </w:r>
      <w:r>
        <w:t xml:space="preserve">. </w:t>
      </w:r>
      <w:r w:rsidR="00782C11">
        <w:t>That will occur where it is not possible to find that the decision</w:t>
      </w:r>
      <w:r w:rsidR="00EF5960">
        <w:t>-</w:t>
      </w:r>
      <w:r w:rsidR="00782C11">
        <w:t xml:space="preserve">maker “believed” there would be no significant impact </w:t>
      </w:r>
      <w:r w:rsidR="0096281D">
        <w:t xml:space="preserve">or no likelihood of significant impact </w:t>
      </w:r>
      <w:r w:rsidR="00782C11">
        <w:t xml:space="preserve">because the action would be carried out in a particular manner. </w:t>
      </w:r>
      <w:bookmarkEnd w:id="32"/>
      <w:r w:rsidR="00201043">
        <w:t>After some reflection, I have concluded that the better characterisation of what the delegate did is the one I have set out at [</w:t>
      </w:r>
      <w:r w:rsidR="00201043">
        <w:fldChar w:fldCharType="begin" w:fldLock="1"/>
      </w:r>
      <w:r w:rsidR="00201043">
        <w:instrText xml:space="preserve"> REF _Ref22799317 \r \h </w:instrText>
      </w:r>
      <w:r w:rsidR="00201043">
        <w:fldChar w:fldCharType="separate"/>
      </w:r>
      <w:r w:rsidR="00B417FD">
        <w:t>129</w:t>
      </w:r>
      <w:r w:rsidR="00201043">
        <w:fldChar w:fldCharType="end"/>
      </w:r>
      <w:r w:rsidR="00201043">
        <w:t>]. I do not consider the delegate adopted an approach which entirely frustrated or avoided the statutory scheme.</w:t>
      </w:r>
    </w:p>
    <w:p w14:paraId="5B4D9A86" w14:textId="77777777" w:rsidR="00546018" w:rsidRDefault="00546018" w:rsidP="00546018">
      <w:pPr>
        <w:pStyle w:val="Heading2"/>
      </w:pPr>
      <w:r>
        <w:t>Ground 2</w:t>
      </w:r>
    </w:p>
    <w:p w14:paraId="1D734655" w14:textId="2C45C335" w:rsidR="00546018" w:rsidRDefault="00E36E92" w:rsidP="007C5A83">
      <w:pPr>
        <w:pStyle w:val="ParaNumbering"/>
      </w:pPr>
      <w:r>
        <w:t xml:space="preserve">The </w:t>
      </w:r>
      <w:r w:rsidR="003C02EB">
        <w:t>structure and</w:t>
      </w:r>
      <w:r>
        <w:t xml:space="preserve"> content</w:t>
      </w:r>
      <w:r w:rsidR="00013D70">
        <w:t xml:space="preserve"> of the brief</w:t>
      </w:r>
      <w:r>
        <w:t xml:space="preserve"> plainly suggests that the </w:t>
      </w:r>
      <w:r w:rsidR="00782C11">
        <w:t>delegate</w:t>
      </w:r>
      <w:r>
        <w:t xml:space="preserve"> did form a belief that </w:t>
      </w:r>
      <w:proofErr w:type="spellStart"/>
      <w:r w:rsidR="00330A91">
        <w:t>s</w:t>
      </w:r>
      <w:r>
        <w:t>s</w:t>
      </w:r>
      <w:proofErr w:type="spellEnd"/>
      <w:r>
        <w:t xml:space="preserve"> 12</w:t>
      </w:r>
      <w:r w:rsidR="002C58F8">
        <w:t>, 15A, 18</w:t>
      </w:r>
      <w:r w:rsidR="00330A91">
        <w:t xml:space="preserve"> and </w:t>
      </w:r>
      <w:r>
        <w:t>18</w:t>
      </w:r>
      <w:r w:rsidR="002C58F8">
        <w:t>A</w:t>
      </w:r>
      <w:r w:rsidR="00DC3BAC">
        <w:t xml:space="preserve"> </w:t>
      </w:r>
      <w:r>
        <w:t xml:space="preserve">were not controlling </w:t>
      </w:r>
      <w:r w:rsidR="00782C11">
        <w:t>provisions</w:t>
      </w:r>
      <w:r>
        <w:t xml:space="preserve"> </w:t>
      </w:r>
      <w:r w:rsidR="002441D8">
        <w:t xml:space="preserve">for </w:t>
      </w:r>
      <w:r>
        <w:t xml:space="preserve">Wild Drake’s </w:t>
      </w:r>
      <w:r w:rsidR="00782C11">
        <w:t>action</w:t>
      </w:r>
      <w:r>
        <w:t xml:space="preserve"> because the action would be taken in a particular manner. All of the materials to which I have </w:t>
      </w:r>
      <w:r w:rsidR="00782C11">
        <w:t>referred</w:t>
      </w:r>
      <w:r>
        <w:t xml:space="preserve"> </w:t>
      </w:r>
      <w:proofErr w:type="spellStart"/>
      <w:r>
        <w:t>under ground</w:t>
      </w:r>
      <w:proofErr w:type="spellEnd"/>
      <w:r>
        <w:t xml:space="preserve"> 1, in </w:t>
      </w:r>
      <w:r w:rsidR="00782C11">
        <w:t>terms</w:t>
      </w:r>
      <w:r>
        <w:t xml:space="preserve"> </w:t>
      </w:r>
      <w:r w:rsidR="00782C11">
        <w:t>of</w:t>
      </w:r>
      <w:r>
        <w:t xml:space="preserve"> the way the adverse impacts were </w:t>
      </w:r>
      <w:r w:rsidR="00782C11">
        <w:t>identified</w:t>
      </w:r>
      <w:r>
        <w:t xml:space="preserve">, and the </w:t>
      </w:r>
      <w:r w:rsidR="003E28B1">
        <w:t xml:space="preserve">mitigation </w:t>
      </w:r>
      <w:r>
        <w:t xml:space="preserve">or </w:t>
      </w:r>
      <w:r w:rsidR="003E28B1">
        <w:t xml:space="preserve">avoidance </w:t>
      </w:r>
      <w:r>
        <w:t xml:space="preserve">measures </w:t>
      </w:r>
      <w:r w:rsidR="00013D70">
        <w:t xml:space="preserve">then </w:t>
      </w:r>
      <w:r w:rsidR="00AD063F">
        <w:t>nominated, point</w:t>
      </w:r>
      <w:r>
        <w:t xml:space="preserve"> </w:t>
      </w:r>
      <w:r w:rsidR="00782C11">
        <w:t>to</w:t>
      </w:r>
      <w:r>
        <w:t xml:space="preserve"> that conclusion.</w:t>
      </w:r>
    </w:p>
    <w:p w14:paraId="0F396E86" w14:textId="6ECE6D01" w:rsidR="00E36E92" w:rsidRDefault="000A1AB1" w:rsidP="00EF5960">
      <w:pPr>
        <w:pStyle w:val="ParaNumbering"/>
      </w:pPr>
      <w:r>
        <w:t>The M</w:t>
      </w:r>
      <w:r w:rsidR="00EF5960">
        <w:t>inister</w:t>
      </w:r>
      <w:r>
        <w:t xml:space="preserve"> has, in </w:t>
      </w:r>
      <w:r w:rsidR="002441D8">
        <w:t>her supplementary</w:t>
      </w:r>
      <w:r w:rsidR="00E36E92">
        <w:t xml:space="preserve"> </w:t>
      </w:r>
      <w:r w:rsidR="005C0EB2">
        <w:t>submissions</w:t>
      </w:r>
      <w:r w:rsidR="00E36E92">
        <w:t xml:space="preserve">, conceded this to be the case in </w:t>
      </w:r>
      <w:r>
        <w:t>respect</w:t>
      </w:r>
      <w:r w:rsidR="00E36E92">
        <w:t xml:space="preserve"> of only two matters</w:t>
      </w:r>
      <w:r w:rsidR="00EF5960">
        <w:t xml:space="preserve"> </w:t>
      </w:r>
      <w:r w:rsidR="00EF5960" w:rsidRPr="00EF5960">
        <w:t>of national environmental significance</w:t>
      </w:r>
      <w:r w:rsidR="00E36E92">
        <w:t>:</w:t>
      </w:r>
      <w:r w:rsidR="00E36E92" w:rsidRPr="00E36E92">
        <w:t xml:space="preserve"> </w:t>
      </w:r>
      <w:r w:rsidR="00E36E92">
        <w:t xml:space="preserve">the Alpine </w:t>
      </w:r>
      <w:r w:rsidR="00E36E92" w:rsidRPr="009139B3">
        <w:rPr>
          <w:i/>
        </w:rPr>
        <w:t>Sphagnum</w:t>
      </w:r>
      <w:r w:rsidR="00E36E92">
        <w:t xml:space="preserve"> Bogs and Associated Fens threatened ecological community</w:t>
      </w:r>
      <w:r w:rsidR="003E28B1">
        <w:t xml:space="preserve">, </w:t>
      </w:r>
      <w:r w:rsidR="00E36E92">
        <w:t xml:space="preserve">and the World Heritage natural criteria (viii), (ix) and (x) as they related to potential contamination of Lake </w:t>
      </w:r>
      <w:proofErr w:type="spellStart"/>
      <w:r w:rsidR="00E36E92">
        <w:t>Malbena</w:t>
      </w:r>
      <w:proofErr w:type="spellEnd"/>
      <w:r w:rsidR="00E36E92">
        <w:t xml:space="preserve"> from construction and operations.</w:t>
      </w:r>
    </w:p>
    <w:p w14:paraId="0DD82D59" w14:textId="1C72C8C6" w:rsidR="00E36E92" w:rsidRDefault="005C0EB2" w:rsidP="00EF5960">
      <w:pPr>
        <w:pStyle w:val="ParaNumbering"/>
      </w:pPr>
      <w:r>
        <w:t xml:space="preserve">I accept that concession, but I consider it does not go far </w:t>
      </w:r>
      <w:r w:rsidR="00782C11">
        <w:t>enough</w:t>
      </w:r>
      <w:r>
        <w:t xml:space="preserve">, and it fails to recognise or give sufficient </w:t>
      </w:r>
      <w:r w:rsidR="0096281D">
        <w:t xml:space="preserve">weight </w:t>
      </w:r>
      <w:r>
        <w:t xml:space="preserve">to the structure and </w:t>
      </w:r>
      <w:r w:rsidR="00782C11">
        <w:t>reasoning</w:t>
      </w:r>
      <w:r w:rsidR="0096281D">
        <w:t xml:space="preserve"> of the brief</w:t>
      </w:r>
      <w:r>
        <w:t xml:space="preserve"> as a whole, at least on the other </w:t>
      </w:r>
      <w:r w:rsidR="00EF5960" w:rsidRPr="00EF5960">
        <w:lastRenderedPageBreak/>
        <w:t>matter</w:t>
      </w:r>
      <w:r w:rsidR="00EF5960">
        <w:t>s</w:t>
      </w:r>
      <w:r w:rsidR="00EF5960" w:rsidRPr="00EF5960">
        <w:t xml:space="preserve"> of national environmental significance </w:t>
      </w:r>
      <w:r>
        <w:t xml:space="preserve">which were material or critical to the </w:t>
      </w:r>
      <w:r w:rsidR="00782C11">
        <w:t>delegate’s</w:t>
      </w:r>
      <w:r>
        <w:t xml:space="preserve"> decision: namely the </w:t>
      </w:r>
      <w:r w:rsidR="00782C11">
        <w:t>remainder</w:t>
      </w:r>
      <w:r>
        <w:t xml:space="preserve"> </w:t>
      </w:r>
      <w:r w:rsidR="00782C11">
        <w:t>of</w:t>
      </w:r>
      <w:r>
        <w:t xml:space="preserve"> the World </w:t>
      </w:r>
      <w:r w:rsidR="00EF5960">
        <w:t>H</w:t>
      </w:r>
      <w:r>
        <w:t>eritage values, and the impacts</w:t>
      </w:r>
      <w:r w:rsidR="00902F17">
        <w:t xml:space="preserve"> of the proposed action</w:t>
      </w:r>
      <w:r>
        <w:t xml:space="preserve"> on the</w:t>
      </w:r>
      <w:r w:rsidR="00902F17">
        <w:t xml:space="preserve"> Tasmanian</w:t>
      </w:r>
      <w:r>
        <w:t xml:space="preserve"> </w:t>
      </w:r>
      <w:r w:rsidR="00902F17">
        <w:t>Wedge-</w:t>
      </w:r>
      <w:r>
        <w:t>tailed eagle.</w:t>
      </w:r>
    </w:p>
    <w:p w14:paraId="0E7F82A5" w14:textId="27218380" w:rsidR="005C0EB2" w:rsidRDefault="005C0EB2" w:rsidP="007C5A83">
      <w:pPr>
        <w:pStyle w:val="ParaNumbering"/>
      </w:pPr>
      <w:bookmarkStart w:id="33" w:name="_Ref23876900"/>
      <w:r>
        <w:t xml:space="preserve">On the latter, the </w:t>
      </w:r>
      <w:r w:rsidR="00E65DC1">
        <w:t>brief stated</w:t>
      </w:r>
      <w:r>
        <w:t>:</w:t>
      </w:r>
      <w:bookmarkEnd w:id="33"/>
    </w:p>
    <w:p w14:paraId="352D801B" w14:textId="11B5B50E" w:rsidR="005C0EB2" w:rsidRPr="005C0EB2" w:rsidRDefault="005C0EB2" w:rsidP="00EA7668">
      <w:pPr>
        <w:pStyle w:val="Quote1"/>
      </w:pPr>
      <w:r w:rsidRPr="005C0EB2">
        <w:t>The locations of most active Wedge-tailed Eagle nests are known and recorded by the Tasmanian Department of Primary Industries, Parks, Water and Environment (DPIPWE). Mapping included in the referral indicates known nesting sites approximately 2 km from Halls Island and 4 km from the proposed helicopter flight route.</w:t>
      </w:r>
    </w:p>
    <w:p w14:paraId="02EFA4CB" w14:textId="583D6585" w:rsidR="005C0EB2" w:rsidRDefault="00782C11" w:rsidP="005C0EB2">
      <w:pPr>
        <w:pStyle w:val="ParaNumbering"/>
      </w:pPr>
      <w:r>
        <w:t>One might make the point that a problematic premise of this approach is that</w:t>
      </w:r>
      <w:r w:rsidR="003E28B1">
        <w:t>,</w:t>
      </w:r>
      <w:r>
        <w:t xml:space="preserve"> </w:t>
      </w:r>
      <w:r w:rsidR="003E28B1">
        <w:t>first,</w:t>
      </w:r>
      <w:r>
        <w:t xml:space="preserve"> there are</w:t>
      </w:r>
      <w:r w:rsidR="00AC7E14">
        <w:t xml:space="preserve"> apparently</w:t>
      </w:r>
      <w:r>
        <w:t xml:space="preserve"> no undiscovered </w:t>
      </w:r>
      <w:r w:rsidR="00AC7E14">
        <w:t>Wedge-</w:t>
      </w:r>
      <w:r>
        <w:t xml:space="preserve">tailed eagle nests and </w:t>
      </w:r>
      <w:r w:rsidR="003E28B1">
        <w:t>second,</w:t>
      </w:r>
      <w:r>
        <w:t xml:space="preserve"> there are not likely to be any new nests</w:t>
      </w:r>
      <w:r w:rsidR="00AC7E14">
        <w:t xml:space="preserve"> discovered</w:t>
      </w:r>
      <w:r>
        <w:t xml:space="preserve">, whether because of </w:t>
      </w:r>
      <w:r w:rsidR="002C58F8">
        <w:t xml:space="preserve">destruction </w:t>
      </w:r>
      <w:r>
        <w:t xml:space="preserve">or abandonment of existing nests, or for other reasons. </w:t>
      </w:r>
      <w:r w:rsidR="005C0EB2">
        <w:t xml:space="preserve">The material does not indicate whether </w:t>
      </w:r>
      <w:r w:rsidR="00EF5960">
        <w:t>any</w:t>
      </w:r>
      <w:r w:rsidR="005C0EB2">
        <w:t xml:space="preserve"> </w:t>
      </w:r>
      <w:r>
        <w:t>specific</w:t>
      </w:r>
      <w:r w:rsidR="005C0EB2">
        <w:t xml:space="preserve"> searches had been </w:t>
      </w:r>
      <w:r>
        <w:t>undertaken</w:t>
      </w:r>
      <w:r w:rsidR="004955BF">
        <w:t xml:space="preserve"> for other</w:t>
      </w:r>
      <w:r w:rsidR="00311E5A">
        <w:t xml:space="preserve"> (</w:t>
      </w:r>
      <w:r w:rsidR="008B57D8">
        <w:t>otherwise unidentified</w:t>
      </w:r>
      <w:r w:rsidR="00311E5A">
        <w:t>)</w:t>
      </w:r>
      <w:r w:rsidR="004955BF">
        <w:t xml:space="preserve"> nest sites</w:t>
      </w:r>
      <w:r w:rsidR="005C0EB2">
        <w:t xml:space="preserve">, </w:t>
      </w:r>
      <w:r w:rsidR="008B57D8">
        <w:t>n</w:t>
      </w:r>
      <w:r w:rsidR="005C0EB2">
        <w:t xml:space="preserve">or </w:t>
      </w:r>
      <w:r w:rsidR="008B57D8">
        <w:t xml:space="preserve">how practical it would be to continue a 1 km exclusion zone around </w:t>
      </w:r>
      <w:r w:rsidR="009139B3">
        <w:t>any</w:t>
      </w:r>
      <w:r w:rsidR="008B57D8">
        <w:t xml:space="preserve"> new nests, nor whether the very presence of the camp might inhibit eagle pairs seeking out and constructing new nests, being, as the materials described them, “timid nesters”.</w:t>
      </w:r>
    </w:p>
    <w:p w14:paraId="77853F15" w14:textId="4D57356D" w:rsidR="005C0EB2" w:rsidRDefault="00782C11" w:rsidP="007C5A83">
      <w:pPr>
        <w:pStyle w:val="ParaNumbering"/>
      </w:pPr>
      <w:r>
        <w:t>Putting that matter to one side, what the finding</w:t>
      </w:r>
      <w:r w:rsidR="009139B3">
        <w:t xml:space="preserve"> extracted at [</w:t>
      </w:r>
      <w:r w:rsidR="009139B3">
        <w:fldChar w:fldCharType="begin" w:fldLock="1"/>
      </w:r>
      <w:r w:rsidR="009139B3">
        <w:instrText xml:space="preserve"> REF _Ref23876900 \r \h </w:instrText>
      </w:r>
      <w:r w:rsidR="009139B3">
        <w:fldChar w:fldCharType="separate"/>
      </w:r>
      <w:r w:rsidR="00B417FD">
        <w:t>134</w:t>
      </w:r>
      <w:r w:rsidR="009139B3">
        <w:fldChar w:fldCharType="end"/>
      </w:r>
      <w:r w:rsidR="008B57D8">
        <w:t xml:space="preserve">] above </w:t>
      </w:r>
      <w:r>
        <w:t xml:space="preserve">does demonstrate is that the flight path to be taken by the helicopters transporting guests and supplies, including supplies to build the camp, would be critical to the question of adverse impact on the </w:t>
      </w:r>
      <w:r w:rsidR="00B60428">
        <w:t xml:space="preserve">Tasmanian Wedge-tailed </w:t>
      </w:r>
      <w:r>
        <w:t xml:space="preserve">eagle, especially during the breeding season. </w:t>
      </w:r>
      <w:r w:rsidR="005C0EB2">
        <w:t xml:space="preserve">The </w:t>
      </w:r>
      <w:r>
        <w:t>mitigation</w:t>
      </w:r>
      <w:r w:rsidR="005C0EB2">
        <w:t xml:space="preserve"> and avoidance measures </w:t>
      </w:r>
      <w:r>
        <w:t>which</w:t>
      </w:r>
      <w:r w:rsidR="005C0EB2">
        <w:t xml:space="preserve"> I have </w:t>
      </w:r>
      <w:r>
        <w:t>set out</w:t>
      </w:r>
      <w:r w:rsidR="005C0EB2">
        <w:t xml:space="preserve"> at [</w:t>
      </w:r>
      <w:r w:rsidR="00B60428">
        <w:fldChar w:fldCharType="begin" w:fldLock="1"/>
      </w:r>
      <w:r w:rsidR="00B60428">
        <w:instrText xml:space="preserve"> REF _Ref22720415 \r \h </w:instrText>
      </w:r>
      <w:r w:rsidR="00B60428">
        <w:fldChar w:fldCharType="separate"/>
      </w:r>
      <w:r w:rsidR="00B417FD">
        <w:t>105</w:t>
      </w:r>
      <w:r w:rsidR="00B60428">
        <w:fldChar w:fldCharType="end"/>
      </w:r>
      <w:r w:rsidR="005C0EB2">
        <w:t>] above</w:t>
      </w:r>
      <w:r w:rsidR="004F55F4">
        <w:t xml:space="preserve">, and </w:t>
      </w:r>
      <w:r w:rsidR="0024481A">
        <w:t xml:space="preserve">indeed </w:t>
      </w:r>
      <w:r w:rsidR="004F55F4">
        <w:t>those set out in the brief itself,</w:t>
      </w:r>
      <w:r w:rsidR="005C0EB2">
        <w:t xml:space="preserve"> indicate that there would be adverse impacts if </w:t>
      </w:r>
      <w:r w:rsidR="00B41749">
        <w:t xml:space="preserve">the </w:t>
      </w:r>
      <w:r w:rsidR="005C0EB2">
        <w:t xml:space="preserve">measures </w:t>
      </w:r>
      <w:r>
        <w:t>were not</w:t>
      </w:r>
      <w:r w:rsidR="005C0EB2">
        <w:t xml:space="preserve"> taken. </w:t>
      </w:r>
      <w:r>
        <w:t>That is inherent</w:t>
      </w:r>
      <w:r w:rsidR="005C0EB2">
        <w:t xml:space="preserve"> in the nature of the </w:t>
      </w:r>
      <w:r>
        <w:t>measures</w:t>
      </w:r>
      <w:r w:rsidR="005C0EB2">
        <w:t xml:space="preserve">: for example, it is assumed that circling or hovering </w:t>
      </w:r>
      <w:r w:rsidR="0096281D">
        <w:t xml:space="preserve">above </w:t>
      </w:r>
      <w:r w:rsidR="005C0EB2">
        <w:t>nests</w:t>
      </w:r>
      <w:r w:rsidR="0024481A">
        <w:t xml:space="preserve"> or potential nests</w:t>
      </w:r>
      <w:r w:rsidR="005C0EB2">
        <w:t>, or “</w:t>
      </w:r>
      <w:r>
        <w:t>viewing</w:t>
      </w:r>
      <w:r w:rsidR="005C0EB2">
        <w:t>” nests</w:t>
      </w:r>
      <w:r w:rsidR="0024481A">
        <w:t>,</w:t>
      </w:r>
      <w:r w:rsidR="005C0EB2">
        <w:t xml:space="preserve"> would be adverse impacts. That is why they are proscribed. There could only have been a need to proscribe viewing of nests because it was otherwise a </w:t>
      </w:r>
      <w:r>
        <w:t>likely</w:t>
      </w:r>
      <w:r w:rsidR="005C0EB2">
        <w:t xml:space="preserve"> consequence of flying tourists around the area, who might wish to see local</w:t>
      </w:r>
      <w:r w:rsidR="00414B17">
        <w:t xml:space="preserve"> </w:t>
      </w:r>
      <w:r w:rsidR="005C0EB2">
        <w:t xml:space="preserve">wildlife. </w:t>
      </w:r>
      <w:r w:rsidR="00AD6F93">
        <w:t xml:space="preserve">The identified measure to fly </w:t>
      </w:r>
      <w:r w:rsidR="005C0EB2">
        <w:t>“high</w:t>
      </w:r>
      <w:r w:rsidR="00574E25">
        <w:t>,</w:t>
      </w:r>
      <w:r w:rsidR="005C0EB2">
        <w:t xml:space="preserve"> swiftly</w:t>
      </w:r>
      <w:r w:rsidR="00574E25">
        <w:t xml:space="preserve"> and directly</w:t>
      </w:r>
      <w:r w:rsidR="005C0EB2">
        <w:t xml:space="preserve">” over nests during the breeding season </w:t>
      </w:r>
      <w:r>
        <w:t>indicates</w:t>
      </w:r>
      <w:r w:rsidR="005C0EB2">
        <w:t xml:space="preserve"> that at some point on their route, helicopters </w:t>
      </w:r>
      <w:r w:rsidR="00A1202B">
        <w:t xml:space="preserve">would </w:t>
      </w:r>
      <w:r w:rsidR="005C0EB2">
        <w:t xml:space="preserve">be </w:t>
      </w:r>
      <w:r>
        <w:t>flying</w:t>
      </w:r>
      <w:r w:rsidR="005C0EB2">
        <w:t xml:space="preserve"> over nests</w:t>
      </w:r>
      <w:r w:rsidR="008B57D8">
        <w:t xml:space="preserve"> (at least, </w:t>
      </w:r>
      <w:proofErr w:type="spellStart"/>
      <w:r w:rsidR="009139B3">
        <w:t>e</w:t>
      </w:r>
      <w:r w:rsidR="008B57D8">
        <w:t>n</w:t>
      </w:r>
      <w:proofErr w:type="spellEnd"/>
      <w:r w:rsidR="008B57D8">
        <w:t xml:space="preserve"> route to the camp area)</w:t>
      </w:r>
      <w:r w:rsidR="005C0EB2">
        <w:t xml:space="preserve">. They were to be </w:t>
      </w:r>
      <w:r>
        <w:t>required</w:t>
      </w:r>
      <w:r w:rsidR="005C0EB2">
        <w:t xml:space="preserve"> to do so “swiftly”</w:t>
      </w:r>
      <w:r w:rsidR="0063655D">
        <w:t>, “directly”</w:t>
      </w:r>
      <w:r w:rsidR="005C0EB2">
        <w:t xml:space="preserve"> and at </w:t>
      </w:r>
      <w:r>
        <w:t>height</w:t>
      </w:r>
      <w:r w:rsidR="005C0EB2">
        <w:t xml:space="preserve">. That is because the proscription assumes if they did not, there may be an adverse impact. All these matters go to the obvious </w:t>
      </w:r>
      <w:r>
        <w:t>significant</w:t>
      </w:r>
      <w:r w:rsidR="005C0EB2">
        <w:t xml:space="preserve"> </w:t>
      </w:r>
      <w:r>
        <w:t>impact</w:t>
      </w:r>
      <w:r w:rsidR="005C0EB2">
        <w:t xml:space="preserve"> of the </w:t>
      </w:r>
      <w:r>
        <w:t>potential</w:t>
      </w:r>
      <w:r w:rsidR="005C0EB2">
        <w:t xml:space="preserve"> </w:t>
      </w:r>
      <w:r>
        <w:t>disruption</w:t>
      </w:r>
      <w:r w:rsidR="005C0EB2">
        <w:t xml:space="preserve"> of the </w:t>
      </w:r>
      <w:r>
        <w:t>breeding</w:t>
      </w:r>
      <w:r w:rsidR="005C0EB2">
        <w:t xml:space="preserve"> cycle of an endangered species. The structure </w:t>
      </w:r>
      <w:r>
        <w:t>of</w:t>
      </w:r>
      <w:r w:rsidR="005C0EB2">
        <w:t xml:space="preserve"> the </w:t>
      </w:r>
      <w:r>
        <w:t>brief</w:t>
      </w:r>
      <w:r w:rsidR="005C0EB2">
        <w:t xml:space="preserve"> discloses that the delegate believed it was the taking of the action in this particular manner which </w:t>
      </w:r>
      <w:r>
        <w:t>resulted</w:t>
      </w:r>
      <w:r w:rsidR="005C0EB2">
        <w:t xml:space="preserve"> in </w:t>
      </w:r>
      <w:r w:rsidR="006F08D6">
        <w:t xml:space="preserve">s 18 </w:t>
      </w:r>
      <w:r w:rsidR="0096281D">
        <w:t>not</w:t>
      </w:r>
      <w:r w:rsidR="006F08D6">
        <w:t xml:space="preserve"> being a </w:t>
      </w:r>
      <w:r w:rsidR="006F08D6">
        <w:lastRenderedPageBreak/>
        <w:t xml:space="preserve">controlling provision in </w:t>
      </w:r>
      <w:r>
        <w:t>respect</w:t>
      </w:r>
      <w:r w:rsidR="006F08D6">
        <w:t xml:space="preserve"> of the </w:t>
      </w:r>
      <w:r w:rsidR="0063655D">
        <w:t>Tasmanian Wedge-</w:t>
      </w:r>
      <w:r w:rsidR="006F08D6">
        <w:t>tailed eagle.</w:t>
      </w:r>
      <w:r w:rsidR="008B57D8">
        <w:t xml:space="preserve"> Even if, as the brief stated, and the Minister contended, at the time of the delegate’s decision there were no known nests within </w:t>
      </w:r>
      <w:r w:rsidR="00CA32C3">
        <w:t>the area</w:t>
      </w:r>
      <w:r w:rsidR="008B57D8">
        <w:t xml:space="preserve"> of the proposed action, nor within 1 km of the proposed fligh</w:t>
      </w:r>
      <w:r w:rsidR="00B03338">
        <w:t>t path, that is no more than a “</w:t>
      </w:r>
      <w:r w:rsidR="008B57D8">
        <w:t>point in time</w:t>
      </w:r>
      <w:r w:rsidR="00B03338">
        <w:t>”</w:t>
      </w:r>
      <w:r w:rsidR="008B57D8">
        <w:t xml:space="preserve"> position, in circumstances where the subject</w:t>
      </w:r>
      <w:r w:rsidR="00CA32C3">
        <w:t>-</w:t>
      </w:r>
      <w:r w:rsidR="008B57D8">
        <w:t xml:space="preserve">matter to be protected is an active (and, </w:t>
      </w:r>
      <w:r w:rsidR="00E17729">
        <w:t>the legislative scheme must be assumed to direct itself to, recovering and expanding) breeding population whose nest use may not remain static.</w:t>
      </w:r>
    </w:p>
    <w:p w14:paraId="507CCC98" w14:textId="5C760C71" w:rsidR="006F08D6" w:rsidRDefault="001C4CFC" w:rsidP="00CA32C3">
      <w:pPr>
        <w:pStyle w:val="ParaNumbering"/>
      </w:pPr>
      <w:bookmarkStart w:id="34" w:name="_Ref22735446"/>
      <w:r>
        <w:t>I</w:t>
      </w:r>
      <w:r w:rsidR="00782C11">
        <w:t xml:space="preserve">n relation to the other World Heritage values, the structure and approach of the brief was the same, and the same conclusion should be reached. </w:t>
      </w:r>
      <w:r w:rsidR="006F08D6">
        <w:t xml:space="preserve">To recap, the brief </w:t>
      </w:r>
      <w:r w:rsidR="007139D7">
        <w:t xml:space="preserve">identified </w:t>
      </w:r>
      <w:r w:rsidR="006F08D6">
        <w:t>the following values</w:t>
      </w:r>
      <w:r w:rsidR="007139D7">
        <w:t xml:space="preserve"> as being relevant to the proposed action</w:t>
      </w:r>
      <w:r w:rsidR="0096281D">
        <w:t>:</w:t>
      </w:r>
      <w:bookmarkEnd w:id="34"/>
    </w:p>
    <w:p w14:paraId="092CCFFD" w14:textId="712A91C7" w:rsidR="006F08D6" w:rsidRDefault="006F08D6" w:rsidP="00AA4609">
      <w:pPr>
        <w:pStyle w:val="Quote1Bullet"/>
      </w:pPr>
      <w:r w:rsidRPr="00CA32C3">
        <w:rPr>
          <w:b/>
        </w:rPr>
        <w:t>Cultural</w:t>
      </w:r>
      <w:r w:rsidR="00012BE9" w:rsidRPr="00CA32C3">
        <w:rPr>
          <w:b/>
        </w:rPr>
        <w:t xml:space="preserve"> –</w:t>
      </w:r>
      <w:r w:rsidRPr="00CA32C3">
        <w:rPr>
          <w:b/>
        </w:rPr>
        <w:t xml:space="preserve"> iii, iv and vi:</w:t>
      </w:r>
      <w:r>
        <w:t xml:space="preserve"> disturbance impacts to Indigenous archaeological sites from construction and operations;</w:t>
      </w:r>
    </w:p>
    <w:p w14:paraId="3BF8FEAD" w14:textId="40004E86" w:rsidR="006F08D6" w:rsidRDefault="006F08D6" w:rsidP="00AA4609">
      <w:pPr>
        <w:pStyle w:val="Quote1Bullet"/>
      </w:pPr>
      <w:r w:rsidRPr="00CA32C3">
        <w:rPr>
          <w:b/>
        </w:rPr>
        <w:t>Natural</w:t>
      </w:r>
      <w:r w:rsidR="00012BE9" w:rsidRPr="00CA32C3">
        <w:rPr>
          <w:b/>
        </w:rPr>
        <w:t xml:space="preserve"> –</w:t>
      </w:r>
      <w:r w:rsidRPr="00CA32C3">
        <w:rPr>
          <w:b/>
        </w:rPr>
        <w:t xml:space="preserve"> vii:</w:t>
      </w:r>
      <w:r>
        <w:t xml:space="preserve"> impacts associated with noise from the helicopter transporting and visual impacts from the standing camp;</w:t>
      </w:r>
    </w:p>
    <w:p w14:paraId="2541FEB7" w14:textId="68BE10B6" w:rsidR="006F08D6" w:rsidRDefault="006F08D6" w:rsidP="00AA4609">
      <w:pPr>
        <w:pStyle w:val="Quote1Bullet"/>
      </w:pPr>
      <w:r w:rsidRPr="00CA32C3">
        <w:rPr>
          <w:b/>
        </w:rPr>
        <w:t>Natural</w:t>
      </w:r>
      <w:r w:rsidR="00012BE9" w:rsidRPr="00CA32C3">
        <w:rPr>
          <w:b/>
        </w:rPr>
        <w:t xml:space="preserve"> –</w:t>
      </w:r>
      <w:r w:rsidRPr="00CA32C3">
        <w:rPr>
          <w:b/>
        </w:rPr>
        <w:t xml:space="preserve"> viii, ix and x:</w:t>
      </w:r>
      <w:r>
        <w:t xml:space="preserve"> impacts to ecological and biological systems from trampling of vegetation, unmanaged fires, introduction of pests, weeds and pathogens, sediment and erosion, and contamination of Lake </w:t>
      </w:r>
      <w:proofErr w:type="spellStart"/>
      <w:r>
        <w:t>Malbena</w:t>
      </w:r>
      <w:proofErr w:type="spellEnd"/>
      <w:r>
        <w:t xml:space="preserve"> from construction and operations.</w:t>
      </w:r>
    </w:p>
    <w:p w14:paraId="2F24B525" w14:textId="51B75DFB" w:rsidR="006F08D6" w:rsidRDefault="006F08D6" w:rsidP="007C5A83">
      <w:pPr>
        <w:pStyle w:val="ParaNumbering"/>
      </w:pPr>
      <w:r>
        <w:t xml:space="preserve">As to the </w:t>
      </w:r>
      <w:r w:rsidR="00EA07A7">
        <w:t>c</w:t>
      </w:r>
      <w:r w:rsidR="007139D7">
        <w:t>ultural values (</w:t>
      </w:r>
      <w:r w:rsidR="00EA07A7">
        <w:t xml:space="preserve">criteria </w:t>
      </w:r>
      <w:r w:rsidR="007139D7">
        <w:t>(iii), (iv) and (vi))</w:t>
      </w:r>
      <w:r>
        <w:t xml:space="preserve">, the brief </w:t>
      </w:r>
      <w:r w:rsidR="00EF11AD">
        <w:t>stated</w:t>
      </w:r>
      <w:r w:rsidR="00CD66C9">
        <w:t>:</w:t>
      </w:r>
    </w:p>
    <w:p w14:paraId="10678FC3" w14:textId="57D87DF1" w:rsidR="006F08D6" w:rsidRPr="006F08D6" w:rsidRDefault="006F08D6" w:rsidP="00EA7668">
      <w:pPr>
        <w:pStyle w:val="Quote1"/>
      </w:pPr>
      <w:r w:rsidRPr="006F08D6">
        <w:t>Based on advice from Aboriginal Heritage Tasmania (AHT) provided in the referral, the proponent considers there is a low probability of Aboriginal heritage being present on or adjacent to Halls Island</w:t>
      </w:r>
      <w:r w:rsidR="00EF11AD">
        <w:t>.</w:t>
      </w:r>
    </w:p>
    <w:p w14:paraId="37EA6F04" w14:textId="04227905" w:rsidR="006F08D6" w:rsidRDefault="006F08D6" w:rsidP="007C5A83">
      <w:pPr>
        <w:pStyle w:val="ParaNumbering"/>
      </w:pPr>
      <w:r>
        <w:t xml:space="preserve">The applicant </w:t>
      </w:r>
      <w:r w:rsidR="0020628A">
        <w:t xml:space="preserve">did </w:t>
      </w:r>
      <w:r>
        <w:t xml:space="preserve">not dispute this </w:t>
      </w:r>
      <w:r w:rsidR="00F4336E">
        <w:t xml:space="preserve">contention by Wild Drake </w:t>
      </w:r>
      <w:r>
        <w:t xml:space="preserve">was open. </w:t>
      </w:r>
      <w:r w:rsidR="00782C11">
        <w:t>However</w:t>
      </w:r>
      <w:r w:rsidR="00CD66C9">
        <w:t>,</w:t>
      </w:r>
      <w:r w:rsidR="00782C11">
        <w:t xml:space="preserve"> what the brief also </w:t>
      </w:r>
      <w:r w:rsidR="00F23AF3">
        <w:t>recognised</w:t>
      </w:r>
      <w:r w:rsidR="00782C11">
        <w:t xml:space="preserve">, implicitly, and what the material before the delegate (especially from the AHC) </w:t>
      </w:r>
      <w:r w:rsidR="00F23AF3">
        <w:t xml:space="preserve">recognised </w:t>
      </w:r>
      <w:r w:rsidR="00782C11">
        <w:t>expressly, is that any disturbance or interference with matters of cultural significance to the Aboriginal community would be highly detrimental. In its submission</w:t>
      </w:r>
      <w:r w:rsidR="00F23AF3">
        <w:t xml:space="preserve"> regarding Wild Drake’s proposal</w:t>
      </w:r>
      <w:r w:rsidR="00782C11">
        <w:t xml:space="preserve">, </w:t>
      </w:r>
      <w:r w:rsidR="00604DCC">
        <w:t xml:space="preserve">which was attached to the delegate’s brief, </w:t>
      </w:r>
      <w:r w:rsidR="00782C11">
        <w:t xml:space="preserve">the AHC described the importance of a </w:t>
      </w:r>
      <w:r w:rsidR="00F23AF3">
        <w:t xml:space="preserve">recently </w:t>
      </w:r>
      <w:r w:rsidR="00AB0FFD">
        <w:t>re-</w:t>
      </w:r>
      <w:r w:rsidR="00782C11">
        <w:t>discovered heritage site, affected by Wild Drake’s “stage two” proposal</w:t>
      </w:r>
      <w:r w:rsidR="00AB0FFD">
        <w:t>. F</w:t>
      </w:r>
      <w:r w:rsidR="00782C11">
        <w:t>or present purposes, it is the depth and weight of potential adverse impact which the submission describes that matters:</w:t>
      </w:r>
    </w:p>
    <w:p w14:paraId="00A46476" w14:textId="2ED370B2" w:rsidR="006F08D6" w:rsidRPr="006F08D6" w:rsidRDefault="006F08D6" w:rsidP="00EA7668">
      <w:pPr>
        <w:pStyle w:val="Quote1"/>
      </w:pPr>
      <w:r w:rsidRPr="006F08D6">
        <w:t>Sites such as these are rare, highly significant and hold immeasurable value for Aboriginal people. Their protection is paramount and their significance far outweighs any potential short term gains from tourism or other activities.</w:t>
      </w:r>
    </w:p>
    <w:p w14:paraId="083208F5" w14:textId="2B524385" w:rsidR="006F08D6" w:rsidRDefault="004F40CC" w:rsidP="007C5A83">
      <w:pPr>
        <w:pStyle w:val="ParaNumbering"/>
      </w:pPr>
      <w:r>
        <w:t xml:space="preserve">Through emphasis placed on what was called </w:t>
      </w:r>
      <w:r w:rsidR="004242B7">
        <w:t xml:space="preserve">the </w:t>
      </w:r>
      <w:r>
        <w:t xml:space="preserve">“An </w:t>
      </w:r>
      <w:r w:rsidR="004242B7">
        <w:t>Unanticipated Discovery Plan</w:t>
      </w:r>
      <w:r>
        <w:t xml:space="preserve">”, the </w:t>
      </w:r>
      <w:r w:rsidR="00782C11">
        <w:t>brief</w:t>
      </w:r>
      <w:r>
        <w:t xml:space="preserve"> </w:t>
      </w:r>
      <w:r w:rsidR="004242B7">
        <w:t xml:space="preserve">recognised </w:t>
      </w:r>
      <w:r>
        <w:t xml:space="preserve">the level of importance of </w:t>
      </w:r>
      <w:r w:rsidRPr="004F40CC">
        <w:rPr>
          <w:i/>
        </w:rPr>
        <w:t>any</w:t>
      </w:r>
      <w:r>
        <w:t xml:space="preserve"> discovered </w:t>
      </w:r>
      <w:r w:rsidR="00782C11">
        <w:t>Aboriginal</w:t>
      </w:r>
      <w:r>
        <w:t xml:space="preserve"> site </w:t>
      </w:r>
      <w:r w:rsidR="00C4248C">
        <w:t>or “relic” during</w:t>
      </w:r>
      <w:r w:rsidR="00831E4D">
        <w:t xml:space="preserve"> the</w:t>
      </w:r>
      <w:r w:rsidR="004242B7">
        <w:t xml:space="preserve"> </w:t>
      </w:r>
      <w:r w:rsidR="004242B7">
        <w:lastRenderedPageBreak/>
        <w:t>construction and operation of the project</w:t>
      </w:r>
      <w:r>
        <w:t xml:space="preserve">. </w:t>
      </w:r>
      <w:r w:rsidR="00A87881">
        <w:t>The implementation of the “An Unanticipated Discovery Plan” was</w:t>
      </w:r>
      <w:r>
        <w:t xml:space="preserve"> a</w:t>
      </w:r>
      <w:r w:rsidR="00A87881">
        <w:t xml:space="preserve"> requirement under the</w:t>
      </w:r>
      <w:r>
        <w:t xml:space="preserve"> RAA </w:t>
      </w:r>
      <w:r w:rsidR="00A87881">
        <w:t>process</w:t>
      </w:r>
      <w:r>
        <w:t xml:space="preserve">. </w:t>
      </w:r>
      <w:r w:rsidR="00782C11">
        <w:t>The brief</w:t>
      </w:r>
      <w:r>
        <w:t xml:space="preserve"> </w:t>
      </w:r>
      <w:r w:rsidR="00A63E82">
        <w:t>stated</w:t>
      </w:r>
      <w:r>
        <w:t>:</w:t>
      </w:r>
    </w:p>
    <w:p w14:paraId="4652EC30" w14:textId="313FA26F" w:rsidR="004F40CC" w:rsidRPr="004F40CC" w:rsidRDefault="004F40CC" w:rsidP="00EA7668">
      <w:pPr>
        <w:pStyle w:val="Quote1"/>
      </w:pPr>
      <w:r w:rsidRPr="004F40CC">
        <w:t xml:space="preserve">The </w:t>
      </w:r>
      <w:r w:rsidRPr="004F40CC">
        <w:rPr>
          <w:i/>
        </w:rPr>
        <w:t>An Unanticipated Discovery Plan</w:t>
      </w:r>
      <w:r w:rsidRPr="004F40CC">
        <w:t xml:space="preserve"> includes ceasing disturbance works in the event Aboriginal relics are found, the application of temporary buffers and assessment by suitable experts.</w:t>
      </w:r>
    </w:p>
    <w:p w14:paraId="00BE4692" w14:textId="6B0BD88B" w:rsidR="00257390" w:rsidRDefault="00257390" w:rsidP="00E36E92">
      <w:pPr>
        <w:pStyle w:val="ParaNumbering"/>
      </w:pPr>
      <w:r>
        <w:t xml:space="preserve">The brief noted that Wild Drake had “committed to the implementation of an Indigenous Heritage – Protected Matters Environmental Management Plan (IH EMP)”. </w:t>
      </w:r>
      <w:r w:rsidR="00D92941">
        <w:t>It also noted that the IH EMP required “implementation of the requirements of An Unanticipated Discovery Plan”.</w:t>
      </w:r>
    </w:p>
    <w:p w14:paraId="5EA2C5ED" w14:textId="2229A401" w:rsidR="004F40CC" w:rsidRDefault="004F40CC" w:rsidP="00E36E92">
      <w:pPr>
        <w:pStyle w:val="ParaNumbering"/>
      </w:pPr>
      <w:r>
        <w:t>This is what allowed the brief to conclude:</w:t>
      </w:r>
    </w:p>
    <w:p w14:paraId="17A0887E" w14:textId="3877C7B4" w:rsidR="004F40CC" w:rsidRPr="004F40CC" w:rsidRDefault="00A63E82" w:rsidP="00EA7668">
      <w:pPr>
        <w:pStyle w:val="Quote1"/>
      </w:pPr>
      <w:r>
        <w:t xml:space="preserve">… </w:t>
      </w:r>
      <w:r w:rsidR="004F40CC" w:rsidRPr="004F40CC">
        <w:t>the measures proposed in the I</w:t>
      </w:r>
      <w:r w:rsidR="00CA32C3">
        <w:t>[H]</w:t>
      </w:r>
      <w:r w:rsidR="004F40CC" w:rsidRPr="004F40CC">
        <w:t>-EMP will ensure impact is avoided should relics be found during construction or operations.</w:t>
      </w:r>
    </w:p>
    <w:p w14:paraId="7AAF77BF" w14:textId="75690068" w:rsidR="004F40CC" w:rsidRDefault="00782C11" w:rsidP="00E36E92">
      <w:pPr>
        <w:pStyle w:val="ParaNumbering"/>
      </w:pPr>
      <w:r>
        <w:t>In my opinion</w:t>
      </w:r>
      <w:r w:rsidR="00CD66C9">
        <w:t>,</w:t>
      </w:r>
      <w:r>
        <w:t xml:space="preserve"> what is clear is that without a plan of this nature, the delegate believed there </w:t>
      </w:r>
      <w:r w:rsidR="00F4336E">
        <w:t>c</w:t>
      </w:r>
      <w:r>
        <w:t xml:space="preserve">ould be an adverse impact if any sites </w:t>
      </w:r>
      <w:r w:rsidR="00591F4A">
        <w:t xml:space="preserve">or relics </w:t>
      </w:r>
      <w:r>
        <w:t xml:space="preserve">were discovered. </w:t>
      </w:r>
      <w:r w:rsidR="004F40CC">
        <w:t xml:space="preserve">That </w:t>
      </w:r>
      <w:r>
        <w:t>is in</w:t>
      </w:r>
      <w:r w:rsidR="004F40CC">
        <w:t xml:space="preserve"> </w:t>
      </w:r>
      <w:r>
        <w:t>the</w:t>
      </w:r>
      <w:r w:rsidR="004F40CC">
        <w:t xml:space="preserve"> </w:t>
      </w:r>
      <w:r>
        <w:t>context</w:t>
      </w:r>
      <w:r w:rsidR="004F40CC">
        <w:t xml:space="preserve">, as the AHC </w:t>
      </w:r>
      <w:r>
        <w:t>submission</w:t>
      </w:r>
      <w:r w:rsidR="004F40CC">
        <w:t xml:space="preserve"> </w:t>
      </w:r>
      <w:r w:rsidR="00591F4A">
        <w:t xml:space="preserve">made </w:t>
      </w:r>
      <w:r w:rsidR="004F40CC">
        <w:t xml:space="preserve">clear, that </w:t>
      </w:r>
      <w:r w:rsidR="00591F4A">
        <w:t>the site Wild Drake was proposing to take visitors to as part of the proposed “stage two”</w:t>
      </w:r>
      <w:r w:rsidR="004F40CC">
        <w:t xml:space="preserve"> was a recently </w:t>
      </w:r>
      <w:r w:rsidR="009375E3">
        <w:t>re-</w:t>
      </w:r>
      <w:r>
        <w:t>discovered</w:t>
      </w:r>
      <w:r w:rsidR="004F40CC">
        <w:t xml:space="preserve"> site. Thus, the prospect of more sites, or relics, or </w:t>
      </w:r>
      <w:r>
        <w:t>artefacts</w:t>
      </w:r>
      <w:r w:rsidR="004F40CC">
        <w:t xml:space="preserve">, </w:t>
      </w:r>
      <w:r w:rsidR="00591F4A">
        <w:t xml:space="preserve">being discovered </w:t>
      </w:r>
      <w:r w:rsidR="004F40CC">
        <w:t>was real.</w:t>
      </w:r>
    </w:p>
    <w:p w14:paraId="2EDE0E9A" w14:textId="2CD661A1" w:rsidR="004F40CC" w:rsidRPr="004F40CC" w:rsidRDefault="00782C11" w:rsidP="004F40CC">
      <w:pPr>
        <w:pStyle w:val="ParaNumbering"/>
      </w:pPr>
      <w:r>
        <w:t xml:space="preserve">In my opinion, the </w:t>
      </w:r>
      <w:r w:rsidRPr="004F40CC">
        <w:t xml:space="preserve">brief </w:t>
      </w:r>
      <w:r w:rsidR="0020628A" w:rsidRPr="004F40CC">
        <w:t>disclose</w:t>
      </w:r>
      <w:r w:rsidR="0020628A">
        <w:t>d</w:t>
      </w:r>
      <w:r w:rsidR="0020628A" w:rsidRPr="004F40CC">
        <w:t xml:space="preserve"> </w:t>
      </w:r>
      <w:r w:rsidRPr="004F40CC">
        <w:t>that the delegate believed it was the taking of the action in this particular manner</w:t>
      </w:r>
      <w:r>
        <w:t xml:space="preserve">, with the application of </w:t>
      </w:r>
      <w:r w:rsidR="000C3F50">
        <w:t xml:space="preserve">the </w:t>
      </w:r>
      <w:r>
        <w:t>“</w:t>
      </w:r>
      <w:r w:rsidR="0076054D">
        <w:t>An Unanticipated D</w:t>
      </w:r>
      <w:r>
        <w:t xml:space="preserve">iscovery </w:t>
      </w:r>
      <w:r w:rsidR="0076054D">
        <w:t>Plan</w:t>
      </w:r>
      <w:r>
        <w:t>”</w:t>
      </w:r>
      <w:r w:rsidR="00BD7C88">
        <w:t>, implemented under the I</w:t>
      </w:r>
      <w:r w:rsidR="00E9651C">
        <w:t>H</w:t>
      </w:r>
      <w:r w:rsidR="00BD7C88">
        <w:t xml:space="preserve"> EMP,</w:t>
      </w:r>
      <w:r>
        <w:t xml:space="preserve"> </w:t>
      </w:r>
      <w:r w:rsidRPr="004F40CC">
        <w:t>which resulted in s</w:t>
      </w:r>
      <w:r>
        <w:t xml:space="preserve"> 12 and </w:t>
      </w:r>
      <w:r w:rsidR="00CD66C9">
        <w:t xml:space="preserve">s </w:t>
      </w:r>
      <w:r>
        <w:t>15A</w:t>
      </w:r>
      <w:r w:rsidRPr="004F40CC">
        <w:t xml:space="preserve"> </w:t>
      </w:r>
      <w:r>
        <w:t>n</w:t>
      </w:r>
      <w:r w:rsidRPr="004F40CC">
        <w:t>ot being controlling provision</w:t>
      </w:r>
      <w:r>
        <w:t>s</w:t>
      </w:r>
      <w:r w:rsidRPr="004F40CC">
        <w:t xml:space="preserve"> in respect of </w:t>
      </w:r>
      <w:r w:rsidR="0076082F">
        <w:t>t</w:t>
      </w:r>
      <w:r w:rsidR="0081449B">
        <w:t>he identified World Heritage</w:t>
      </w:r>
      <w:r w:rsidR="0076082F">
        <w:t xml:space="preserve"> </w:t>
      </w:r>
      <w:r>
        <w:t>cultural values</w:t>
      </w:r>
      <w:r w:rsidRPr="004F40CC">
        <w:t>.</w:t>
      </w:r>
    </w:p>
    <w:p w14:paraId="1F178E86" w14:textId="7F0E3E74" w:rsidR="004F40CC" w:rsidRDefault="004F40CC" w:rsidP="00E36E92">
      <w:pPr>
        <w:pStyle w:val="ParaNumbering"/>
      </w:pPr>
      <w:r>
        <w:t xml:space="preserve">As to </w:t>
      </w:r>
      <w:r w:rsidR="00131EDA">
        <w:t>the first natural value (</w:t>
      </w:r>
      <w:r>
        <w:t xml:space="preserve">criterion (vii)), the </w:t>
      </w:r>
      <w:r w:rsidR="00782C11">
        <w:t>brief</w:t>
      </w:r>
      <w:r>
        <w:t xml:space="preserve"> </w:t>
      </w:r>
      <w:r w:rsidR="00782C11">
        <w:t>adopt</w:t>
      </w:r>
      <w:r w:rsidR="007E6A09">
        <w:t>ed</w:t>
      </w:r>
      <w:r>
        <w:t xml:space="preserve"> the same approach. </w:t>
      </w:r>
      <w:r w:rsidR="00782C11">
        <w:t xml:space="preserve">It set out a number of avoidance and mitigation measures for the </w:t>
      </w:r>
      <w:r w:rsidR="007B18B6">
        <w:t xml:space="preserve">noise </w:t>
      </w:r>
      <w:r w:rsidR="00782C11">
        <w:t xml:space="preserve">impacts of the </w:t>
      </w:r>
      <w:r w:rsidR="00CD66C9">
        <w:t xml:space="preserve">action </w:t>
      </w:r>
      <w:r w:rsidR="00782C11">
        <w:t>(especially from the helicopter usage, and tourist numbers),</w:t>
      </w:r>
      <w:r w:rsidR="009D0FF8">
        <w:t xml:space="preserve"> and</w:t>
      </w:r>
      <w:r w:rsidR="00782C11">
        <w:t xml:space="preserve"> measures to avoid impacts on aesthetic values by reason of the design, location and construction of the camp. </w:t>
      </w:r>
      <w:r w:rsidR="00457484">
        <w:t xml:space="preserve">It </w:t>
      </w:r>
      <w:r w:rsidR="00782C11">
        <w:t>was</w:t>
      </w:r>
      <w:r w:rsidR="00457484">
        <w:t xml:space="preserve"> </w:t>
      </w:r>
      <w:r w:rsidR="00782C11">
        <w:t>these</w:t>
      </w:r>
      <w:r w:rsidR="00457484">
        <w:t xml:space="preserve"> </w:t>
      </w:r>
      <w:r w:rsidR="00782C11">
        <w:t>matters</w:t>
      </w:r>
      <w:r w:rsidR="00457484">
        <w:t xml:space="preserve"> </w:t>
      </w:r>
      <w:r w:rsidR="00782C11">
        <w:t>which</w:t>
      </w:r>
      <w:r w:rsidR="00457484">
        <w:t xml:space="preserve"> led </w:t>
      </w:r>
      <w:r w:rsidR="00782C11">
        <w:t>to</w:t>
      </w:r>
      <w:r w:rsidR="00457484">
        <w:t xml:space="preserve"> the </w:t>
      </w:r>
      <w:r w:rsidR="00782C11">
        <w:t>delegate</w:t>
      </w:r>
      <w:r w:rsidR="00457484">
        <w:t xml:space="preserve"> concluding </w:t>
      </w:r>
      <w:r w:rsidR="00C55D2C">
        <w:t xml:space="preserve">any </w:t>
      </w:r>
      <w:r w:rsidR="00457484">
        <w:t xml:space="preserve">impacts from noise, on aesthetic values and </w:t>
      </w:r>
      <w:r w:rsidR="00E531FF">
        <w:t xml:space="preserve">any </w:t>
      </w:r>
      <w:r w:rsidR="00457484">
        <w:t xml:space="preserve">visual impacts </w:t>
      </w:r>
      <w:r w:rsidR="00782C11">
        <w:t>could be</w:t>
      </w:r>
      <w:r w:rsidR="00457484">
        <w:t xml:space="preserve"> avoided. It is obvious from the </w:t>
      </w:r>
      <w:r w:rsidR="00782C11">
        <w:t>content</w:t>
      </w:r>
      <w:r w:rsidR="00457484">
        <w:t xml:space="preserve"> of this aspect </w:t>
      </w:r>
      <w:r w:rsidR="00782C11">
        <w:t>of</w:t>
      </w:r>
      <w:r w:rsidR="00457484">
        <w:t xml:space="preserve"> the reasons that different designs for the camp were adopted, or </w:t>
      </w:r>
      <w:r w:rsidR="00782C11">
        <w:t>different</w:t>
      </w:r>
      <w:r w:rsidR="00457484">
        <w:t xml:space="preserve"> </w:t>
      </w:r>
      <w:r w:rsidR="00782C11">
        <w:t>configurations</w:t>
      </w:r>
      <w:r w:rsidR="00457484">
        <w:t xml:space="preserve"> for </w:t>
      </w:r>
      <w:r w:rsidR="00782C11">
        <w:t>helicopter</w:t>
      </w:r>
      <w:r w:rsidR="00457484">
        <w:t xml:space="preserve"> flights, </w:t>
      </w:r>
      <w:r w:rsidR="00C55D2C">
        <w:t xml:space="preserve">because </w:t>
      </w:r>
      <w:r w:rsidR="00457484">
        <w:t xml:space="preserve">the delegate </w:t>
      </w:r>
      <w:r w:rsidR="00782C11">
        <w:t>believed</w:t>
      </w:r>
      <w:r w:rsidR="00457484">
        <w:t xml:space="preserve"> there </w:t>
      </w:r>
      <w:r w:rsidR="00E531FF">
        <w:t xml:space="preserve">could otherwise </w:t>
      </w:r>
      <w:r w:rsidR="00457484">
        <w:t xml:space="preserve">have been adverse impacts to a </w:t>
      </w:r>
      <w:r w:rsidR="00782C11">
        <w:t>significant</w:t>
      </w:r>
      <w:r w:rsidR="00457484">
        <w:t xml:space="preserve"> level.</w:t>
      </w:r>
    </w:p>
    <w:p w14:paraId="6C3C5AE8" w14:textId="292E9B16" w:rsidR="00457484" w:rsidRDefault="00782C11" w:rsidP="00457484">
      <w:pPr>
        <w:pStyle w:val="ParaNumbering"/>
      </w:pPr>
      <w:r>
        <w:t>As</w:t>
      </w:r>
      <w:r w:rsidR="00457484">
        <w:t xml:space="preserve"> the applicant </w:t>
      </w:r>
      <w:r w:rsidR="001E444D">
        <w:t xml:space="preserve">noted </w:t>
      </w:r>
      <w:r w:rsidR="00457484">
        <w:t xml:space="preserve">at [53] of its </w:t>
      </w:r>
      <w:r w:rsidR="001E444D">
        <w:t xml:space="preserve">principal written </w:t>
      </w:r>
      <w:r w:rsidR="00457484">
        <w:t>submissions, para</w:t>
      </w:r>
      <w:r w:rsidR="0049631B">
        <w:t>graph</w:t>
      </w:r>
      <w:r w:rsidR="00457484">
        <w:t xml:space="preserve"> 8.2 of the </w:t>
      </w:r>
      <w:r w:rsidR="0049631B">
        <w:t xml:space="preserve">TWWHA Management Plan </w:t>
      </w:r>
      <w:r w:rsidR="00457484">
        <w:t>deals specifically with wilderness values, and states:</w:t>
      </w:r>
    </w:p>
    <w:p w14:paraId="627862B3" w14:textId="4CF4E14B" w:rsidR="00457484" w:rsidRPr="00457484" w:rsidRDefault="001D37D9" w:rsidP="00EA7668">
      <w:pPr>
        <w:pStyle w:val="Quote1"/>
      </w:pPr>
      <w:r>
        <w:lastRenderedPageBreak/>
        <w:t xml:space="preserve">… </w:t>
      </w:r>
      <w:r w:rsidR="00457484" w:rsidRPr="00457484">
        <w:t>[t]he intrinsic value of wilderness was a key element in the advocacy for the protection and listing of the TWWHA. Its continuing integrity is therefore an important social value for many people. It is a central element in what many people value with respect to the TWWHA as a whole, and in effect it is often viewed as the principal value of the TWWHA.</w:t>
      </w:r>
    </w:p>
    <w:p w14:paraId="358AF11A" w14:textId="3A44D204" w:rsidR="00457484" w:rsidRDefault="002A1E2F" w:rsidP="00E36E92">
      <w:pPr>
        <w:pStyle w:val="ParaNumbering"/>
      </w:pPr>
      <w:r>
        <w:t xml:space="preserve">Avoiding </w:t>
      </w:r>
      <w:r w:rsidR="00782C11">
        <w:t>impacts on</w:t>
      </w:r>
      <w:r w:rsidR="0096281D">
        <w:t xml:space="preserve"> intrinsic wilderness</w:t>
      </w:r>
      <w:r w:rsidR="00782C11">
        <w:t xml:space="preserve"> values </w:t>
      </w:r>
      <w:r w:rsidR="0096281D">
        <w:t xml:space="preserve">is </w:t>
      </w:r>
      <w:r w:rsidR="00457484">
        <w:t xml:space="preserve">no mechanical exercise. </w:t>
      </w:r>
      <w:r w:rsidR="00782C11">
        <w:t xml:space="preserve">That is </w:t>
      </w:r>
      <w:r w:rsidR="0096281D">
        <w:t xml:space="preserve">no doubt </w:t>
      </w:r>
      <w:r w:rsidR="00782C11">
        <w:t xml:space="preserve">why Wild Drake spent so much time in its referral, and in its supplementary information, attempting to persuade the </w:t>
      </w:r>
      <w:r w:rsidR="0096281D">
        <w:t>D</w:t>
      </w:r>
      <w:r w:rsidR="00782C11">
        <w:t xml:space="preserve">epartment and the delegate that it could take this action in a way which was sensitive to the wilderness values of the area. </w:t>
      </w:r>
      <w:r w:rsidR="0096281D">
        <w:t>Th</w:t>
      </w:r>
      <w:r w:rsidR="00457484">
        <w:t xml:space="preserve">e delegate accepted that could be done, but </w:t>
      </w:r>
      <w:r w:rsidR="00782C11">
        <w:t>only</w:t>
      </w:r>
      <w:r w:rsidR="00457484">
        <w:t xml:space="preserve"> if the </w:t>
      </w:r>
      <w:r w:rsidR="00782C11">
        <w:t>specified</w:t>
      </w:r>
      <w:r w:rsidR="00457484">
        <w:t xml:space="preserve"> </w:t>
      </w:r>
      <w:r w:rsidR="00782C11">
        <w:t>range</w:t>
      </w:r>
      <w:r w:rsidR="00457484">
        <w:t xml:space="preserve"> of </w:t>
      </w:r>
      <w:r w:rsidR="00782C11">
        <w:t>mitigation</w:t>
      </w:r>
      <w:r w:rsidR="00A23CC7">
        <w:t xml:space="preserve"> and avoidance</w:t>
      </w:r>
      <w:r w:rsidR="00457484">
        <w:t xml:space="preserve"> </w:t>
      </w:r>
      <w:r w:rsidR="00782C11">
        <w:t>measures</w:t>
      </w:r>
      <w:r w:rsidR="00457484">
        <w:t xml:space="preserve"> were taken – which is just another way of saying the </w:t>
      </w:r>
      <w:r w:rsidR="00CD66C9">
        <w:t xml:space="preserve">action </w:t>
      </w:r>
      <w:r w:rsidR="00457484">
        <w:t xml:space="preserve">would be </w:t>
      </w:r>
      <w:r w:rsidR="00782C11">
        <w:t>undertaken</w:t>
      </w:r>
      <w:r w:rsidR="00457484">
        <w:t xml:space="preserve"> in a particular manner.</w:t>
      </w:r>
    </w:p>
    <w:p w14:paraId="205C9E25" w14:textId="492480C7" w:rsidR="00457484" w:rsidRDefault="00782C11" w:rsidP="00C40D54">
      <w:pPr>
        <w:pStyle w:val="ParaNumbering"/>
      </w:pPr>
      <w:r>
        <w:t xml:space="preserve">As to </w:t>
      </w:r>
      <w:r w:rsidR="00FE2359">
        <w:t>the second set of natural values</w:t>
      </w:r>
      <w:r>
        <w:t xml:space="preserve"> (</w:t>
      </w:r>
      <w:r w:rsidR="00FE2359">
        <w:t>criteria</w:t>
      </w:r>
      <w:r>
        <w:t xml:space="preserve"> </w:t>
      </w:r>
      <w:r w:rsidR="00FE2359">
        <w:t>(</w:t>
      </w:r>
      <w:r>
        <w:t>viii</w:t>
      </w:r>
      <w:r w:rsidR="00FE2359">
        <w:t>)</w:t>
      </w:r>
      <w:r>
        <w:t xml:space="preserve">, </w:t>
      </w:r>
      <w:r w:rsidR="00FE2359">
        <w:t>(</w:t>
      </w:r>
      <w:r>
        <w:t>ix</w:t>
      </w:r>
      <w:r w:rsidR="00FE2359">
        <w:t>)</w:t>
      </w:r>
      <w:r>
        <w:t xml:space="preserve"> and </w:t>
      </w:r>
      <w:r w:rsidR="00FE2359">
        <w:t>(</w:t>
      </w:r>
      <w:r>
        <w:t>x</w:t>
      </w:r>
      <w:r w:rsidR="00FE2359">
        <w:t>)</w:t>
      </w:r>
      <w:r>
        <w:t xml:space="preserve">), the same observation can be made, although the brief </w:t>
      </w:r>
      <w:r w:rsidR="001A1400">
        <w:t xml:space="preserve">acknowledged </w:t>
      </w:r>
      <w:r>
        <w:t xml:space="preserve">there </w:t>
      </w:r>
      <w:r w:rsidR="00BA7243">
        <w:t xml:space="preserve">was </w:t>
      </w:r>
      <w:r>
        <w:t xml:space="preserve">a substantial overlap in the </w:t>
      </w:r>
      <w:r w:rsidR="00BA7243">
        <w:t xml:space="preserve">applicable </w:t>
      </w:r>
      <w:r>
        <w:t xml:space="preserve">avoidance and mitigation measures with the measures </w:t>
      </w:r>
      <w:r w:rsidR="00784B26">
        <w:t xml:space="preserve">put forward </w:t>
      </w:r>
      <w:r>
        <w:t xml:space="preserve">for the </w:t>
      </w:r>
      <w:r w:rsidR="001A1400">
        <w:t xml:space="preserve">Alpine </w:t>
      </w:r>
      <w:r w:rsidR="001A1400" w:rsidRPr="00CA32C3">
        <w:rPr>
          <w:i/>
        </w:rPr>
        <w:t>Sphagnum</w:t>
      </w:r>
      <w:r w:rsidR="001A1400">
        <w:t xml:space="preserve"> </w:t>
      </w:r>
      <w:r w:rsidR="00E9060D">
        <w:t>Bogs and Associated Fens threatened ecological community</w:t>
      </w:r>
      <w:r>
        <w:t xml:space="preserve">. </w:t>
      </w:r>
      <w:r w:rsidR="00BA7243">
        <w:t>T</w:t>
      </w:r>
      <w:r w:rsidR="00C40D54">
        <w:t xml:space="preserve">he </w:t>
      </w:r>
      <w:r>
        <w:t>brief</w:t>
      </w:r>
      <w:r w:rsidR="003372BD">
        <w:t xml:space="preserve"> </w:t>
      </w:r>
      <w:r w:rsidR="00292BC8">
        <w:t xml:space="preserve">made </w:t>
      </w:r>
      <w:r w:rsidR="00C40D54">
        <w:t>finding</w:t>
      </w:r>
      <w:r w:rsidR="0096281D">
        <w:t>s</w:t>
      </w:r>
      <w:r w:rsidR="00C40D54">
        <w:t xml:space="preserve"> such as:</w:t>
      </w:r>
    </w:p>
    <w:p w14:paraId="6683AB01" w14:textId="13713473" w:rsidR="00C40D54" w:rsidRPr="00C40D54" w:rsidRDefault="00C40D54" w:rsidP="00EA7668">
      <w:pPr>
        <w:pStyle w:val="Quote1"/>
      </w:pPr>
      <w:r w:rsidRPr="00C40D54">
        <w:t>The proponent has provided avoidance and mitigation measures to avoid or reduce trampling, fire risk and introduced species or disease impacts. These are the same as described for the TEC above. The proponent will not be excavating for construction and will be making no changes to watercourses. The boat jetty is a natural rock slab and this will avoid eroding soil at the lakes edge.</w:t>
      </w:r>
    </w:p>
    <w:p w14:paraId="79A05AF3" w14:textId="6519C633" w:rsidR="00A03A9D" w:rsidRDefault="00C40D54" w:rsidP="00C41DAA">
      <w:pPr>
        <w:pStyle w:val="ParaNumbering"/>
      </w:pPr>
      <w:r>
        <w:t xml:space="preserve">This indicates that what Wild Drake </w:t>
      </w:r>
      <w:r w:rsidR="001E444D">
        <w:t xml:space="preserve">would </w:t>
      </w:r>
      <w:r w:rsidRPr="00AA4609">
        <w:rPr>
          <w:i/>
        </w:rPr>
        <w:t>not</w:t>
      </w:r>
      <w:r>
        <w:t xml:space="preserve"> do (or </w:t>
      </w:r>
      <w:r w:rsidRPr="00AA4609">
        <w:rPr>
          <w:i/>
        </w:rPr>
        <w:t>should not</w:t>
      </w:r>
      <w:r>
        <w:t xml:space="preserve"> be permitted to do) </w:t>
      </w:r>
      <w:r w:rsidR="001E444D">
        <w:t xml:space="preserve">was </w:t>
      </w:r>
      <w:r>
        <w:t xml:space="preserve">just as important </w:t>
      </w:r>
      <w:r w:rsidR="00975649">
        <w:t xml:space="preserve">to </w:t>
      </w:r>
      <w:r>
        <w:t xml:space="preserve">the </w:t>
      </w:r>
      <w:r w:rsidR="00782C11">
        <w:t>delegate</w:t>
      </w:r>
      <w:r w:rsidR="0096281D">
        <w:t>’</w:t>
      </w:r>
      <w:r w:rsidR="00782C11">
        <w:t>s</w:t>
      </w:r>
      <w:r>
        <w:t xml:space="preserve"> belief about no </w:t>
      </w:r>
      <w:r w:rsidR="00782C11">
        <w:t>adverse</w:t>
      </w:r>
      <w:r>
        <w:t xml:space="preserve"> impacts to a likely </w:t>
      </w:r>
      <w:r w:rsidR="00782C11">
        <w:t>significant</w:t>
      </w:r>
      <w:r>
        <w:t xml:space="preserve"> level as </w:t>
      </w:r>
      <w:r w:rsidR="0096281D">
        <w:t xml:space="preserve">Wild Drake’s </w:t>
      </w:r>
      <w:r>
        <w:t>positive conduct. If watercourses were to be changed, then I consider</w:t>
      </w:r>
      <w:r w:rsidR="00975649">
        <w:t>,</w:t>
      </w:r>
      <w:r>
        <w:t xml:space="preserve"> reading the </w:t>
      </w:r>
      <w:r w:rsidR="00782C11">
        <w:t>decision</w:t>
      </w:r>
      <w:r>
        <w:t xml:space="preserve"> as a whole</w:t>
      </w:r>
      <w:r w:rsidR="00975649">
        <w:t>,</w:t>
      </w:r>
      <w:r>
        <w:t xml:space="preserve"> it is likely that would have been </w:t>
      </w:r>
      <w:r w:rsidR="00782C11">
        <w:t>found</w:t>
      </w:r>
      <w:r>
        <w:t xml:space="preserve"> to be a </w:t>
      </w:r>
      <w:r w:rsidR="0096281D">
        <w:t xml:space="preserve">likely </w:t>
      </w:r>
      <w:r w:rsidR="00782C11">
        <w:t>significant</w:t>
      </w:r>
      <w:r>
        <w:t xml:space="preserve"> </w:t>
      </w:r>
      <w:r w:rsidR="00782C11">
        <w:t>impact</w:t>
      </w:r>
      <w:r>
        <w:t xml:space="preserve"> in this particular region. Therefore, belief that </w:t>
      </w:r>
      <w:r w:rsidR="00DF4D75">
        <w:t xml:space="preserve">the </w:t>
      </w:r>
      <w:r w:rsidR="00782C11">
        <w:t>proponent</w:t>
      </w:r>
      <w:r>
        <w:t xml:space="preserve"> </w:t>
      </w:r>
      <w:r w:rsidR="00DF4D75">
        <w:t xml:space="preserve">would </w:t>
      </w:r>
      <w:r>
        <w:t xml:space="preserve">take the action in a particular manner by </w:t>
      </w:r>
      <w:r w:rsidRPr="00AA4609">
        <w:rPr>
          <w:i/>
        </w:rPr>
        <w:t>not</w:t>
      </w:r>
      <w:r>
        <w:t xml:space="preserve"> engaging in </w:t>
      </w:r>
      <w:r w:rsidR="00782C11">
        <w:t>certain</w:t>
      </w:r>
      <w:r>
        <w:t xml:space="preserve"> conduct (</w:t>
      </w:r>
      <w:proofErr w:type="spellStart"/>
      <w:r>
        <w:t>eg</w:t>
      </w:r>
      <w:proofErr w:type="spellEnd"/>
      <w:r>
        <w:t xml:space="preserve"> changing </w:t>
      </w:r>
      <w:r w:rsidR="00975649">
        <w:t xml:space="preserve">a </w:t>
      </w:r>
      <w:r>
        <w:t xml:space="preserve">watercourse) was also part of the </w:t>
      </w:r>
      <w:r w:rsidR="00782C11">
        <w:t>delegate’s</w:t>
      </w:r>
      <w:r>
        <w:t xml:space="preserve"> </w:t>
      </w:r>
      <w:r w:rsidR="0096281D">
        <w:t>approach</w:t>
      </w:r>
      <w:r>
        <w:t>.</w:t>
      </w:r>
    </w:p>
    <w:p w14:paraId="5FE867B1" w14:textId="31EAA2B0" w:rsidR="00A03A9D" w:rsidRDefault="00A03A9D" w:rsidP="00C41DAA">
      <w:pPr>
        <w:pStyle w:val="ParaNumbering"/>
      </w:pPr>
      <w:r>
        <w:t xml:space="preserve">Plainly, as the brief </w:t>
      </w:r>
      <w:r w:rsidR="00782C11">
        <w:t>set</w:t>
      </w:r>
      <w:r>
        <w:t xml:space="preserve"> out and the M</w:t>
      </w:r>
      <w:r w:rsidR="00CD66C9">
        <w:t>inister</w:t>
      </w:r>
      <w:r>
        <w:t xml:space="preserve"> </w:t>
      </w:r>
      <w:r w:rsidR="00DF4D75">
        <w:t xml:space="preserve">now </w:t>
      </w:r>
      <w:r>
        <w:t>concedes, the measures taken to avoid contamination</w:t>
      </w:r>
      <w:r w:rsidR="00975649">
        <w:t xml:space="preserve"> of Lake </w:t>
      </w:r>
      <w:proofErr w:type="spellStart"/>
      <w:r w:rsidR="00975649">
        <w:t>Malbena</w:t>
      </w:r>
      <w:proofErr w:type="spellEnd"/>
      <w:r>
        <w:t xml:space="preserve"> were “particular manner” measures. They </w:t>
      </w:r>
      <w:r w:rsidR="007C27BA">
        <w:t xml:space="preserve">were </w:t>
      </w:r>
      <w:r>
        <w:t>said to be:</w:t>
      </w:r>
    </w:p>
    <w:p w14:paraId="3D206753" w14:textId="0977BFA5" w:rsidR="00A03A9D" w:rsidRPr="00A03A9D" w:rsidRDefault="00A03A9D" w:rsidP="00EA7668">
      <w:pPr>
        <w:pStyle w:val="Quote1"/>
      </w:pPr>
      <w:r w:rsidRPr="00A03A9D">
        <w:t xml:space="preserve">The proponent has included measures to avoid contamination of the surrounding environment, including Lake </w:t>
      </w:r>
      <w:proofErr w:type="spellStart"/>
      <w:r w:rsidRPr="00A03A9D">
        <w:t>Malbena</w:t>
      </w:r>
      <w:proofErr w:type="spellEnd"/>
      <w:r w:rsidRPr="00A03A9D">
        <w:t>. These measures are included in the Construction</w:t>
      </w:r>
      <w:r w:rsidR="007C27BA">
        <w:t xml:space="preserve"> </w:t>
      </w:r>
      <w:r w:rsidRPr="00A03A9D">
        <w:t xml:space="preserve">- Protected Matters Environmental Management Plan (C EMP) and the WC EMP </w:t>
      </w:r>
      <w:r w:rsidR="007C27BA">
        <w:t xml:space="preserve">[Wilderness Characteristics – Protected Matters Environmental Management Plan] </w:t>
      </w:r>
      <w:r w:rsidRPr="00A03A9D">
        <w:t>including through:</w:t>
      </w:r>
    </w:p>
    <w:p w14:paraId="1F28A7F5" w14:textId="3BB8F0A8" w:rsidR="00A03A9D" w:rsidRPr="00A03A9D" w:rsidRDefault="00A03A9D" w:rsidP="00EA7668">
      <w:pPr>
        <w:pStyle w:val="Quote1Bullet"/>
      </w:pPr>
      <w:r w:rsidRPr="00A03A9D">
        <w:t>installation of complete-capture sewage and greywater pods;</w:t>
      </w:r>
    </w:p>
    <w:p w14:paraId="75C01C72" w14:textId="162CFC81" w:rsidR="00A03A9D" w:rsidRPr="00A03A9D" w:rsidRDefault="00A03A9D" w:rsidP="00EA7668">
      <w:pPr>
        <w:pStyle w:val="Quote1Bullet"/>
      </w:pPr>
      <w:r w:rsidRPr="00A03A9D">
        <w:t>back-loading of greywater with each trip, for disposal outside of the TWWHA;</w:t>
      </w:r>
    </w:p>
    <w:p w14:paraId="66103553" w14:textId="02BFF680" w:rsidR="00A03A9D" w:rsidRPr="00A03A9D" w:rsidRDefault="00A03A9D" w:rsidP="00EA7668">
      <w:pPr>
        <w:pStyle w:val="Quote1Bullet"/>
      </w:pPr>
      <w:r w:rsidRPr="00A03A9D">
        <w:lastRenderedPageBreak/>
        <w:t>annual collection of sewage in pods to be emptied off site;</w:t>
      </w:r>
    </w:p>
    <w:p w14:paraId="565EFC52" w14:textId="26332066" w:rsidR="00A03A9D" w:rsidRPr="00A03A9D" w:rsidRDefault="00A03A9D" w:rsidP="00EA7668">
      <w:pPr>
        <w:pStyle w:val="Quote1Bullet"/>
      </w:pPr>
      <w:r w:rsidRPr="00A03A9D">
        <w:t>ensuring that all rubbish generated is properly collected and stored in a manner that it cannot be accessed by animals and properly disposed of at an authorised waste disposal site at the end of each stay;</w:t>
      </w:r>
    </w:p>
    <w:p w14:paraId="271AB6FE" w14:textId="371AA48B" w:rsidR="00A03A9D" w:rsidRPr="00A03A9D" w:rsidRDefault="00A03A9D" w:rsidP="00EA7668">
      <w:pPr>
        <w:pStyle w:val="Quote1Bullet"/>
      </w:pPr>
      <w:r w:rsidRPr="00A03A9D">
        <w:t>use of recyclable, compostable and/or reusable containers and wrappers wherever possible, no use of plastic bags or single use plastic bottles; and</w:t>
      </w:r>
    </w:p>
    <w:p w14:paraId="6DEEC207" w14:textId="42DC7235" w:rsidR="00A03A9D" w:rsidRDefault="00A03A9D" w:rsidP="00EA7668">
      <w:pPr>
        <w:pStyle w:val="Quote1Bullet"/>
      </w:pPr>
      <w:r w:rsidRPr="00A03A9D">
        <w:t>minimal ground disturbance and no excavations or changes to water-courses.</w:t>
      </w:r>
    </w:p>
    <w:p w14:paraId="314DF0AD" w14:textId="22DD4DA4" w:rsidR="00A03A9D" w:rsidRDefault="00782C11" w:rsidP="00C41DAA">
      <w:pPr>
        <w:pStyle w:val="ParaNumbering"/>
      </w:pPr>
      <w:r>
        <w:t xml:space="preserve">In summary, in my opinion all of the three </w:t>
      </w:r>
      <w:r w:rsidR="00D57000">
        <w:t xml:space="preserve">sets of World Heritage values </w:t>
      </w:r>
      <w:r>
        <w:t>at [</w:t>
      </w:r>
      <w:r w:rsidR="00CA32C3">
        <w:fldChar w:fldCharType="begin" w:fldLock="1"/>
      </w:r>
      <w:r w:rsidR="00CA32C3">
        <w:instrText xml:space="preserve"> REF _Ref22735446 \r \h </w:instrText>
      </w:r>
      <w:r w:rsidR="00CA32C3">
        <w:fldChar w:fldCharType="separate"/>
      </w:r>
      <w:r w:rsidR="00B417FD">
        <w:t>137</w:t>
      </w:r>
      <w:r w:rsidR="00CA32C3">
        <w:fldChar w:fldCharType="end"/>
      </w:r>
      <w:r w:rsidR="0096281D">
        <w:t>]</w:t>
      </w:r>
      <w:r>
        <w:t xml:space="preserve"> above were only identified as not engaging the controlling provisions in </w:t>
      </w:r>
      <w:proofErr w:type="spellStart"/>
      <w:r>
        <w:t>ss</w:t>
      </w:r>
      <w:proofErr w:type="spellEnd"/>
      <w:r>
        <w:t xml:space="preserve"> 12</w:t>
      </w:r>
      <w:r w:rsidR="00F4336E">
        <w:t xml:space="preserve"> and</w:t>
      </w:r>
      <w:r>
        <w:t xml:space="preserve"> 15A because of the delegate’s belief that the action would be undertaken in a particular manner – the integers of that “manner” being set out in the brief.</w:t>
      </w:r>
    </w:p>
    <w:p w14:paraId="35CAA25D" w14:textId="60D01904" w:rsidR="00E36E92" w:rsidRDefault="00F41F2D" w:rsidP="006619E4">
      <w:pPr>
        <w:pStyle w:val="ParaNumbering"/>
      </w:pPr>
      <w:r>
        <w:t>T</w:t>
      </w:r>
      <w:r w:rsidR="00782C11">
        <w:t>he applicant submitted in its</w:t>
      </w:r>
      <w:r w:rsidR="00DC60A6">
        <w:t xml:space="preserve"> supplementary reply</w:t>
      </w:r>
      <w:r w:rsidR="00782C11">
        <w:t xml:space="preserve"> submissions that another way to interpret the brief is to read it as adopting </w:t>
      </w:r>
      <w:r w:rsidR="00DC60A6">
        <w:t xml:space="preserve">the approach </w:t>
      </w:r>
      <w:r w:rsidR="00782C11">
        <w:t xml:space="preserve">of Kerr J </w:t>
      </w:r>
      <w:r w:rsidR="00DC60A6">
        <w:t xml:space="preserve">at first instance </w:t>
      </w:r>
      <w:r w:rsidR="00782C11">
        <w:t xml:space="preserve">in </w:t>
      </w:r>
      <w:r w:rsidR="00782C11" w:rsidRPr="005D03AB">
        <w:rPr>
          <w:i/>
        </w:rPr>
        <w:t>Triabunna</w:t>
      </w:r>
      <w:r w:rsidR="00DC60A6" w:rsidRPr="005D03AB">
        <w:rPr>
          <w:i/>
        </w:rPr>
        <w:t xml:space="preserve"> Investments Pty Ltd v Minister for the Environment and Energy</w:t>
      </w:r>
      <w:r w:rsidR="00DC60A6" w:rsidRPr="005D03AB">
        <w:t xml:space="preserve"> [2018] FCA 486; 160 ALD 243</w:t>
      </w:r>
      <w:r w:rsidR="00782C11">
        <w:t xml:space="preserve">, especially given that the </w:t>
      </w:r>
      <w:r w:rsidR="00DC60A6">
        <w:t xml:space="preserve">delegate’s </w:t>
      </w:r>
      <w:r w:rsidR="00782C11">
        <w:t xml:space="preserve">decision was made </w:t>
      </w:r>
      <w:r w:rsidR="00782C11" w:rsidRPr="00E36E92">
        <w:t xml:space="preserve">in August 2018 </w:t>
      </w:r>
      <w:r w:rsidR="00782C11">
        <w:t xml:space="preserve">and </w:t>
      </w:r>
      <w:r w:rsidR="00782C11" w:rsidRPr="00E36E92">
        <w:t>Kerr J</w:t>
      </w:r>
      <w:r w:rsidR="00782C11">
        <w:t>’s judgment</w:t>
      </w:r>
      <w:r w:rsidR="00782C11" w:rsidRPr="00E36E92">
        <w:t xml:space="preserve"> </w:t>
      </w:r>
      <w:r w:rsidR="00782C11">
        <w:t>was handed down in April 2018</w:t>
      </w:r>
      <w:r w:rsidR="00782C11" w:rsidRPr="00E36E92">
        <w:t>.</w:t>
      </w:r>
      <w:r w:rsidR="00782C11">
        <w:t xml:space="preserve"> </w:t>
      </w:r>
      <w:r w:rsidR="00DC60A6">
        <w:t xml:space="preserve">Justice </w:t>
      </w:r>
      <w:r w:rsidR="00E36E92">
        <w:t xml:space="preserve">Kerr’s approach was not </w:t>
      </w:r>
      <w:r w:rsidR="000A1AB1">
        <w:t>endorsed</w:t>
      </w:r>
      <w:r w:rsidR="00E36E92">
        <w:t xml:space="preserve"> by the Full Court.</w:t>
      </w:r>
      <w:r w:rsidR="000A1AB1">
        <w:t xml:space="preserve"> I do not agree that this is the correct interpretation of the brief. Putting the outcome of the exercise of power under s 75 to one side, the structure of the brief </w:t>
      </w:r>
      <w:r w:rsidR="00CF6B3E">
        <w:t xml:space="preserve">did </w:t>
      </w:r>
      <w:r w:rsidR="000A1AB1">
        <w:t xml:space="preserve">not approach the mitigation and avoidance measures as inherent parts of the action. It </w:t>
      </w:r>
      <w:r w:rsidR="00CF6B3E">
        <w:t xml:space="preserve">separated </w:t>
      </w:r>
      <w:r w:rsidR="000A1AB1">
        <w:t>them out.</w:t>
      </w:r>
      <w:r w:rsidR="0096281D">
        <w:t xml:space="preserve"> That is apparent from the descriptions of the action which I have extracted above.</w:t>
      </w:r>
      <w:r w:rsidR="000A1AB1">
        <w:t xml:space="preserve"> The </w:t>
      </w:r>
      <w:r w:rsidR="005C0EB2">
        <w:t>brief</w:t>
      </w:r>
      <w:r w:rsidR="000A1AB1">
        <w:t xml:space="preserve"> plainly </w:t>
      </w:r>
      <w:r w:rsidR="00782C11">
        <w:t>acknowledge</w:t>
      </w:r>
      <w:r w:rsidR="00CF6B3E">
        <w:t>d</w:t>
      </w:r>
      <w:r w:rsidR="000A1AB1">
        <w:t xml:space="preserve"> it </w:t>
      </w:r>
      <w:r w:rsidR="00DF4D75">
        <w:t xml:space="preserve">was </w:t>
      </w:r>
      <w:r w:rsidR="000A1AB1">
        <w:t xml:space="preserve">the specified </w:t>
      </w:r>
      <w:r w:rsidR="005C0EB2">
        <w:t>mitigation</w:t>
      </w:r>
      <w:r w:rsidR="000A1AB1">
        <w:t xml:space="preserve"> measures which </w:t>
      </w:r>
      <w:r w:rsidR="00DF4D75">
        <w:t xml:space="preserve">would </w:t>
      </w:r>
      <w:r w:rsidR="000A1AB1">
        <w:t xml:space="preserve">reduce or avoid the adverse impacts of the action. It </w:t>
      </w:r>
      <w:r w:rsidR="00CF6B3E">
        <w:t xml:space="preserve">treated </w:t>
      </w:r>
      <w:r w:rsidR="000A1AB1">
        <w:t xml:space="preserve">the two as </w:t>
      </w:r>
      <w:r w:rsidR="000A34EA">
        <w:t>separate</w:t>
      </w:r>
      <w:r w:rsidR="000A1AB1">
        <w:t>.</w:t>
      </w:r>
    </w:p>
    <w:p w14:paraId="3100A8ED" w14:textId="77777777" w:rsidR="00546018" w:rsidRDefault="00546018" w:rsidP="00546018">
      <w:pPr>
        <w:pStyle w:val="Heading2"/>
      </w:pPr>
      <w:r>
        <w:t>Ground 3</w:t>
      </w:r>
    </w:p>
    <w:p w14:paraId="7112E80D" w14:textId="41910167" w:rsidR="002A525B" w:rsidRDefault="002A525B" w:rsidP="007C5A83">
      <w:pPr>
        <w:pStyle w:val="ParaNumbering"/>
      </w:pPr>
      <w:r>
        <w:t>I accept the applicant’s submission that a decision whether s 74A(1) is engaged is “logically anterior” to a decision under s 75. The M</w:t>
      </w:r>
      <w:r w:rsidR="00CD66C9">
        <w:t>inister</w:t>
      </w:r>
      <w:r>
        <w:t xml:space="preserve"> did not appear to dispute this. Rather, </w:t>
      </w:r>
      <w:r w:rsidR="00C57809">
        <w:t>s</w:t>
      </w:r>
      <w:r>
        <w:t xml:space="preserve">he </w:t>
      </w:r>
      <w:r w:rsidR="00DF4D75">
        <w:t xml:space="preserve">made </w:t>
      </w:r>
      <w:r>
        <w:t xml:space="preserve">two points: </w:t>
      </w:r>
      <w:r w:rsidR="00AB5D39">
        <w:t xml:space="preserve">first, that </w:t>
      </w:r>
      <w:r>
        <w:t>the applicant has not discharged its onus of proving no consideration had been given to the application of s 74A(1); and second</w:t>
      </w:r>
      <w:r w:rsidR="00AB5D39">
        <w:t>,</w:t>
      </w:r>
      <w:r>
        <w:t xml:space="preserve"> that the M</w:t>
      </w:r>
      <w:r w:rsidR="000301AE">
        <w:t>inister</w:t>
      </w:r>
      <w:r>
        <w:t xml:space="preserve"> in any event had no duty to consider whether this </w:t>
      </w:r>
      <w:r w:rsidR="000A34EA">
        <w:t>provision</w:t>
      </w:r>
      <w:r>
        <w:t xml:space="preserve"> was engaged.</w:t>
      </w:r>
    </w:p>
    <w:p w14:paraId="559098A6" w14:textId="3F1C961F" w:rsidR="002A525B" w:rsidRDefault="002A525B" w:rsidP="002A525B">
      <w:pPr>
        <w:pStyle w:val="Heading3"/>
      </w:pPr>
      <w:r>
        <w:t>Onus and its discharge</w:t>
      </w:r>
    </w:p>
    <w:p w14:paraId="5151717D" w14:textId="0A739D54" w:rsidR="002A525B" w:rsidRDefault="002A525B" w:rsidP="00CD66C9">
      <w:pPr>
        <w:pStyle w:val="ParaNumbering"/>
      </w:pPr>
      <w:r>
        <w:t>I accept the M</w:t>
      </w:r>
      <w:r w:rsidR="00A769C4">
        <w:t>inister’</w:t>
      </w:r>
      <w:r>
        <w:t>s submission that the applicant bears the onus of establishing</w:t>
      </w:r>
      <w:r w:rsidR="00056A80">
        <w:t xml:space="preserve">, on the balance of probabilities, </w:t>
      </w:r>
      <w:r>
        <w:t>the error for which it contends; namely that the delegate did not consider whether s 74A(1) was engaged: see</w:t>
      </w:r>
      <w:r w:rsidRPr="002A525B">
        <w:t xml:space="preserve"> </w:t>
      </w:r>
      <w:r w:rsidRPr="005D03AB">
        <w:rPr>
          <w:i/>
        </w:rPr>
        <w:t>Minister for Immigration and Citizenship v SZGUR</w:t>
      </w:r>
      <w:r w:rsidRPr="005D03AB">
        <w:t xml:space="preserve"> </w:t>
      </w:r>
      <w:r w:rsidR="00CD66C9" w:rsidRPr="005D03AB">
        <w:t xml:space="preserve">[2011] HCA 1; </w:t>
      </w:r>
      <w:r w:rsidRPr="005D03AB">
        <w:t>241 CLR 594</w:t>
      </w:r>
      <w:r>
        <w:t xml:space="preserve"> at [67] </w:t>
      </w:r>
      <w:r w:rsidR="00A769C4">
        <w:t>(</w:t>
      </w:r>
      <w:proofErr w:type="spellStart"/>
      <w:r>
        <w:t>Gummow</w:t>
      </w:r>
      <w:proofErr w:type="spellEnd"/>
      <w:r>
        <w:t xml:space="preserve"> J, </w:t>
      </w:r>
      <w:proofErr w:type="spellStart"/>
      <w:r>
        <w:t>Heydon</w:t>
      </w:r>
      <w:proofErr w:type="spellEnd"/>
      <w:r>
        <w:t xml:space="preserve"> and </w:t>
      </w:r>
      <w:proofErr w:type="spellStart"/>
      <w:r>
        <w:t>Crennan</w:t>
      </w:r>
      <w:proofErr w:type="spellEnd"/>
      <w:r>
        <w:t xml:space="preserve"> JJ agreeing</w:t>
      </w:r>
      <w:r w:rsidR="00A769C4">
        <w:t>)</w:t>
      </w:r>
      <w:r>
        <w:t>.</w:t>
      </w:r>
    </w:p>
    <w:p w14:paraId="3D084A7C" w14:textId="3913F14C" w:rsidR="000A34EA" w:rsidRDefault="000A34EA" w:rsidP="007C5A83">
      <w:pPr>
        <w:pStyle w:val="ParaNumbering"/>
      </w:pPr>
      <w:r>
        <w:lastRenderedPageBreak/>
        <w:t>The material before the delegate, to which I have referred above</w:t>
      </w:r>
      <w:r w:rsidR="00034B7C">
        <w:t>,</w:t>
      </w:r>
      <w:r>
        <w:t xml:space="preserve"> makes it clear, and I find, that Wild Drake had planned, and proposed, a second </w:t>
      </w:r>
      <w:r w:rsidR="0096281D">
        <w:t>aspect to</w:t>
      </w:r>
      <w:r>
        <w:t xml:space="preserve"> its development </w:t>
      </w:r>
      <w:r w:rsidR="00034B7C">
        <w:t xml:space="preserve">on </w:t>
      </w:r>
      <w:r>
        <w:t xml:space="preserve">Halls Island. The </w:t>
      </w:r>
      <w:r w:rsidR="0096281D">
        <w:t>D</w:t>
      </w:r>
      <w:r>
        <w:t xml:space="preserve">epartment and the delegate knew about the second </w:t>
      </w:r>
      <w:r w:rsidR="000854AE">
        <w:t xml:space="preserve">aspect </w:t>
      </w:r>
      <w:r>
        <w:t xml:space="preserve">because it </w:t>
      </w:r>
      <w:r w:rsidR="00034B7C">
        <w:t xml:space="preserve">was </w:t>
      </w:r>
      <w:r>
        <w:t>referred to in the brief. Indeed, as I noted at [</w:t>
      </w:r>
      <w:r w:rsidR="00D922B3">
        <w:fldChar w:fldCharType="begin" w:fldLock="1"/>
      </w:r>
      <w:r w:rsidR="00D922B3">
        <w:instrText xml:space="preserve"> REF _Ref22738015 \r \h </w:instrText>
      </w:r>
      <w:r w:rsidR="00D922B3">
        <w:fldChar w:fldCharType="separate"/>
      </w:r>
      <w:r w:rsidR="00B417FD">
        <w:t>115</w:t>
      </w:r>
      <w:r w:rsidR="00D922B3">
        <w:fldChar w:fldCharType="end"/>
      </w:r>
      <w:r>
        <w:t xml:space="preserve">] above, it </w:t>
      </w:r>
      <w:r w:rsidR="00034B7C">
        <w:t xml:space="preserve">was </w:t>
      </w:r>
      <w:r>
        <w:t xml:space="preserve">used as a reason for </w:t>
      </w:r>
      <w:r w:rsidR="00610A66" w:rsidRPr="00CA32C3">
        <w:t xml:space="preserve">not </w:t>
      </w:r>
      <w:r w:rsidR="00034B7C" w:rsidRPr="00CA32C3">
        <w:t>a</w:t>
      </w:r>
      <w:r w:rsidR="00034B7C">
        <w:t xml:space="preserve">ddressing </w:t>
      </w:r>
      <w:r>
        <w:t xml:space="preserve">some potential adverse impacts that the delegate considered would only arise if Wild Drake proceeded with that </w:t>
      </w:r>
      <w:r w:rsidR="000854AE">
        <w:t>aspect</w:t>
      </w:r>
      <w:r>
        <w:t>.</w:t>
      </w:r>
    </w:p>
    <w:p w14:paraId="05624B17" w14:textId="72506D07" w:rsidR="000A34EA" w:rsidRDefault="000A34EA" w:rsidP="007C5A83">
      <w:pPr>
        <w:pStyle w:val="ParaNumbering"/>
      </w:pPr>
      <w:r>
        <w:t>The M</w:t>
      </w:r>
      <w:r w:rsidR="00A769C4">
        <w:t>inister</w:t>
      </w:r>
      <w:r>
        <w:t xml:space="preserve"> </w:t>
      </w:r>
      <w:r w:rsidR="00DF4D75">
        <w:t xml:space="preserve">submitted </w:t>
      </w:r>
      <w:r>
        <w:t xml:space="preserve">this state of awareness </w:t>
      </w:r>
      <w:r w:rsidR="00A34D31">
        <w:t xml:space="preserve">on the part of the Department and delegate </w:t>
      </w:r>
      <w:r>
        <w:t xml:space="preserve">means the Court could not infer the delegate omitted to consider s 74A(1). I disagree. There </w:t>
      </w:r>
      <w:r w:rsidR="00DF4D75">
        <w:t xml:space="preserve">was </w:t>
      </w:r>
      <w:r>
        <w:t xml:space="preserve">no reference at all to s 74A(1) in the brief, or in the material attached to it. In addition </w:t>
      </w:r>
      <w:r w:rsidR="00782C11">
        <w:t>are the</w:t>
      </w:r>
      <w:r>
        <w:t xml:space="preserve"> following matters:</w:t>
      </w:r>
    </w:p>
    <w:p w14:paraId="247D8F44" w14:textId="77777777" w:rsidR="00923E20" w:rsidRDefault="000A34EA" w:rsidP="00F57B6B">
      <w:pPr>
        <w:pStyle w:val="ListNo2"/>
        <w:numPr>
          <w:ilvl w:val="1"/>
          <w:numId w:val="54"/>
        </w:numPr>
      </w:pPr>
      <w:r>
        <w:t xml:space="preserve">In the </w:t>
      </w:r>
      <w:r w:rsidR="00782C11">
        <w:t>brief</w:t>
      </w:r>
      <w:r>
        <w:t xml:space="preserve"> to the </w:t>
      </w:r>
      <w:r w:rsidR="00782C11">
        <w:t>delegate</w:t>
      </w:r>
      <w:r>
        <w:t xml:space="preserve">, </w:t>
      </w:r>
      <w:r w:rsidR="00511E38">
        <w:t xml:space="preserve">next to the words </w:t>
      </w:r>
      <w:r>
        <w:t xml:space="preserve">“Recommended </w:t>
      </w:r>
      <w:r w:rsidR="00511E38">
        <w:t>Decision</w:t>
      </w:r>
      <w:r>
        <w:t>”</w:t>
      </w:r>
      <w:r w:rsidR="00A34D31">
        <w:t>,</w:t>
      </w:r>
      <w:r>
        <w:t xml:space="preserve"> </w:t>
      </w:r>
      <w:r w:rsidR="00A22BD0">
        <w:t xml:space="preserve">there </w:t>
      </w:r>
      <w:r w:rsidR="00511E38">
        <w:t xml:space="preserve">were </w:t>
      </w:r>
      <w:r>
        <w:t xml:space="preserve">only </w:t>
      </w:r>
      <w:r w:rsidR="00A22BD0">
        <w:t>three</w:t>
      </w:r>
      <w:r>
        <w:t xml:space="preserve"> options: NCA (no controlled action); NCA</w:t>
      </w:r>
      <w:r w:rsidR="00A769C4">
        <w:t xml:space="preserve"> </w:t>
      </w:r>
      <w:r>
        <w:t>(pm) (</w:t>
      </w:r>
      <w:r w:rsidR="00035E9C">
        <w:t>no controlled action on the basis of a particular manner</w:t>
      </w:r>
      <w:r>
        <w:t>) and CA (controlled action). A s 74</w:t>
      </w:r>
      <w:r w:rsidR="00DF0B24">
        <w:t>A</w:t>
      </w:r>
      <w:r>
        <w:t xml:space="preserve"> decision </w:t>
      </w:r>
      <w:r w:rsidR="00DF4D75">
        <w:t xml:space="preserve">was </w:t>
      </w:r>
      <w:r>
        <w:t xml:space="preserve">not </w:t>
      </w:r>
      <w:r w:rsidR="00DF0B24">
        <w:t xml:space="preserve">even </w:t>
      </w:r>
      <w:r>
        <w:t>listed as an option.</w:t>
      </w:r>
    </w:p>
    <w:p w14:paraId="411282C2" w14:textId="77777777" w:rsidR="00923E20" w:rsidRDefault="000A34EA" w:rsidP="005C0FAC">
      <w:pPr>
        <w:pStyle w:val="ListNo2"/>
        <w:numPr>
          <w:ilvl w:val="1"/>
          <w:numId w:val="54"/>
        </w:numPr>
      </w:pPr>
      <w:r>
        <w:t xml:space="preserve">The </w:t>
      </w:r>
      <w:r w:rsidR="00782C11">
        <w:t>brief</w:t>
      </w:r>
      <w:r>
        <w:t xml:space="preserve"> </w:t>
      </w:r>
      <w:r w:rsidR="00DF4D75">
        <w:t xml:space="preserve">noted </w:t>
      </w:r>
      <w:r>
        <w:t xml:space="preserve">the referral </w:t>
      </w:r>
      <w:r w:rsidR="00DF4D75">
        <w:t xml:space="preserve">described </w:t>
      </w:r>
      <w:r>
        <w:t xml:space="preserve">the </w:t>
      </w:r>
      <w:r w:rsidR="00782C11">
        <w:t>proposed</w:t>
      </w:r>
      <w:r>
        <w:t xml:space="preserve"> action as “</w:t>
      </w:r>
      <w:r w:rsidR="00F05ACD">
        <w:t xml:space="preserve">stage </w:t>
      </w:r>
      <w:r w:rsidR="007D6A62">
        <w:t>one</w:t>
      </w:r>
      <w:r>
        <w:t xml:space="preserve">” and </w:t>
      </w:r>
      <w:r w:rsidR="00DF4D75">
        <w:t xml:space="preserve">noted </w:t>
      </w:r>
      <w:r>
        <w:t>expressly that “</w:t>
      </w:r>
      <w:r w:rsidR="00F05ACD">
        <w:t>[</w:t>
      </w:r>
      <w:r w:rsidR="00782C11">
        <w:t>w</w:t>
      </w:r>
      <w:r w:rsidR="00F05ACD">
        <w:t>]</w:t>
      </w:r>
      <w:proofErr w:type="spellStart"/>
      <w:r w:rsidR="00782C11">
        <w:t>hile</w:t>
      </w:r>
      <w:proofErr w:type="spellEnd"/>
      <w:r>
        <w:t xml:space="preserve"> not part of this </w:t>
      </w:r>
      <w:r w:rsidR="00782C11">
        <w:t>referral</w:t>
      </w:r>
      <w:r>
        <w:t xml:space="preserve">”, there </w:t>
      </w:r>
      <w:r w:rsidR="00DF4D75">
        <w:t xml:space="preserve">were </w:t>
      </w:r>
      <w:r>
        <w:t xml:space="preserve">certain </w:t>
      </w:r>
      <w:r w:rsidR="00782C11">
        <w:t>different</w:t>
      </w:r>
      <w:r>
        <w:t xml:space="preserve"> “stage </w:t>
      </w:r>
      <w:r w:rsidR="007D6A62">
        <w:t>two</w:t>
      </w:r>
      <w:r>
        <w:t xml:space="preserve">” activities. This is the point at which, if it was considered, one would </w:t>
      </w:r>
      <w:r w:rsidR="00DF4D75">
        <w:t xml:space="preserve">have </w:t>
      </w:r>
      <w:r w:rsidR="00782C11">
        <w:t>expect</w:t>
      </w:r>
      <w:r w:rsidR="00DF4D75">
        <w:t>ed</w:t>
      </w:r>
      <w:r>
        <w:t xml:space="preserve"> to see a </w:t>
      </w:r>
      <w:r w:rsidR="00782C11">
        <w:t>reference</w:t>
      </w:r>
      <w:r>
        <w:t xml:space="preserve"> to s 74A(1). However, there </w:t>
      </w:r>
      <w:r w:rsidR="00DF4D75">
        <w:t xml:space="preserve">was </w:t>
      </w:r>
      <w:r w:rsidR="00F05ACD">
        <w:t>no such reference</w:t>
      </w:r>
      <w:r>
        <w:t xml:space="preserve">. </w:t>
      </w:r>
    </w:p>
    <w:p w14:paraId="36259A2C" w14:textId="2A595B5B" w:rsidR="008D6C09" w:rsidRDefault="00782C11" w:rsidP="005C0FAC">
      <w:pPr>
        <w:pStyle w:val="ListNo2"/>
        <w:numPr>
          <w:ilvl w:val="1"/>
          <w:numId w:val="54"/>
        </w:numPr>
      </w:pPr>
      <w:r>
        <w:t xml:space="preserve">Later in the brief, it </w:t>
      </w:r>
      <w:r w:rsidR="00DF4D75">
        <w:t xml:space="preserve">referred </w:t>
      </w:r>
      <w:r>
        <w:t xml:space="preserve">expressly to stage </w:t>
      </w:r>
      <w:r w:rsidR="007D6A62">
        <w:t>two</w:t>
      </w:r>
      <w:r>
        <w:t xml:space="preserve"> being “progressed separately”. This is</w:t>
      </w:r>
      <w:r w:rsidR="008D6C09">
        <w:t xml:space="preserve"> another point at which one would have </w:t>
      </w:r>
      <w:r>
        <w:t>expected</w:t>
      </w:r>
      <w:r w:rsidR="008D6C09">
        <w:t xml:space="preserve"> </w:t>
      </w:r>
      <w:r>
        <w:t>to</w:t>
      </w:r>
      <w:r w:rsidR="008D6C09">
        <w:t xml:space="preserve"> see a </w:t>
      </w:r>
      <w:r>
        <w:t>reference</w:t>
      </w:r>
      <w:r w:rsidR="008D6C09">
        <w:t xml:space="preserve"> to s 74A(1),</w:t>
      </w:r>
      <w:r w:rsidR="00C86291">
        <w:t xml:space="preserve"> </w:t>
      </w:r>
      <w:r w:rsidR="008D6C09">
        <w:t xml:space="preserve">if the </w:t>
      </w:r>
      <w:r>
        <w:t>delegate</w:t>
      </w:r>
      <w:r w:rsidR="008D6C09">
        <w:t xml:space="preserve"> was indeed being put on notice of a need </w:t>
      </w:r>
      <w:r>
        <w:t>to</w:t>
      </w:r>
      <w:r w:rsidR="008D6C09">
        <w:t xml:space="preserve"> consider that provision.</w:t>
      </w:r>
    </w:p>
    <w:p w14:paraId="5F7A5FBD" w14:textId="06E3E0B7" w:rsidR="008D6C09" w:rsidRDefault="008D6C09" w:rsidP="007C5A83">
      <w:pPr>
        <w:pStyle w:val="ParaNumbering"/>
      </w:pPr>
      <w:r>
        <w:t xml:space="preserve">What must be recalled </w:t>
      </w:r>
      <w:r w:rsidR="00782C11">
        <w:t>in</w:t>
      </w:r>
      <w:r>
        <w:t xml:space="preserve"> this context is the unusual situation where the </w:t>
      </w:r>
      <w:r w:rsidR="00782C11">
        <w:t>brief</w:t>
      </w:r>
      <w:r>
        <w:t xml:space="preserve"> has, in substance, been </w:t>
      </w:r>
      <w:r w:rsidR="00782C11">
        <w:t>transformed in</w:t>
      </w:r>
      <w:r w:rsidR="0043394D">
        <w:t>to</w:t>
      </w:r>
      <w:r>
        <w:t xml:space="preserve"> the </w:t>
      </w:r>
      <w:r w:rsidR="00782C11">
        <w:t>delegate’s</w:t>
      </w:r>
      <w:r>
        <w:t xml:space="preserve"> reasons. Different </w:t>
      </w:r>
      <w:r w:rsidR="00782C11">
        <w:t>considerations</w:t>
      </w:r>
      <w:r>
        <w:t xml:space="preserve"> might apply to an </w:t>
      </w:r>
      <w:r w:rsidR="00782C11">
        <w:t>independently</w:t>
      </w:r>
      <w:r>
        <w:t xml:space="preserve"> prepared set of reasons, in the </w:t>
      </w:r>
      <w:r w:rsidR="00782C11">
        <w:t>usual</w:t>
      </w:r>
      <w:r>
        <w:t xml:space="preserve"> way. Here</w:t>
      </w:r>
      <w:r w:rsidR="003F16B1">
        <w:t>,</w:t>
      </w:r>
      <w:r>
        <w:t xml:space="preserve"> however, the first and principal </w:t>
      </w:r>
      <w:r w:rsidR="00782C11">
        <w:t>purpose</w:t>
      </w:r>
      <w:r>
        <w:t xml:space="preserve"> of the </w:t>
      </w:r>
      <w:r w:rsidR="00AE6A9E">
        <w:t xml:space="preserve">brief </w:t>
      </w:r>
      <w:r>
        <w:t xml:space="preserve">was to advise </w:t>
      </w:r>
      <w:r w:rsidR="00782C11">
        <w:t>and inform</w:t>
      </w:r>
      <w:r>
        <w:t xml:space="preserve"> the </w:t>
      </w:r>
      <w:r w:rsidR="00782C11">
        <w:t>delegate</w:t>
      </w:r>
      <w:r>
        <w:t>, in order that he could</w:t>
      </w:r>
      <w:r w:rsidR="00922EDC">
        <w:t xml:space="preserve"> </w:t>
      </w:r>
      <w:r>
        <w:t xml:space="preserve">make a decision. This purpose strengthens the expectation that if the </w:t>
      </w:r>
      <w:r w:rsidR="00922EDC">
        <w:t>delegate</w:t>
      </w:r>
      <w:r>
        <w:t xml:space="preserve"> was being asked to turn h</w:t>
      </w:r>
      <w:r w:rsidR="00922EDC">
        <w:t>i</w:t>
      </w:r>
      <w:r>
        <w:t xml:space="preserve">s mind to s 74A(1), the </w:t>
      </w:r>
      <w:r w:rsidR="00922EDC">
        <w:t>brief</w:t>
      </w:r>
      <w:r>
        <w:t xml:space="preserve"> </w:t>
      </w:r>
      <w:r w:rsidR="00782C11">
        <w:t>would</w:t>
      </w:r>
      <w:r>
        <w:t xml:space="preserve"> have said so.</w:t>
      </w:r>
    </w:p>
    <w:p w14:paraId="093DDC09" w14:textId="2D2962E1" w:rsidR="008D6C09" w:rsidRDefault="008D6C09" w:rsidP="007C5A83">
      <w:pPr>
        <w:pStyle w:val="ParaNumbering"/>
      </w:pPr>
      <w:r>
        <w:t>I find the delegate did not consider s 74A(1).</w:t>
      </w:r>
    </w:p>
    <w:p w14:paraId="795B4750" w14:textId="6A53E509" w:rsidR="002A525B" w:rsidRDefault="008D6C09" w:rsidP="007C5A83">
      <w:pPr>
        <w:pStyle w:val="ParaNumbering"/>
      </w:pPr>
      <w:r>
        <w:t>The</w:t>
      </w:r>
      <w:r w:rsidR="00A013A4">
        <w:t xml:space="preserve"> next</w:t>
      </w:r>
      <w:r>
        <w:t xml:space="preserve"> question is whether that </w:t>
      </w:r>
      <w:r w:rsidR="00782C11">
        <w:t>failure</w:t>
      </w:r>
      <w:r>
        <w:t xml:space="preserve"> to consider </w:t>
      </w:r>
      <w:r w:rsidR="00A013A4">
        <w:t xml:space="preserve">whether </w:t>
      </w:r>
      <w:r w:rsidR="009E2F69">
        <w:t>t</w:t>
      </w:r>
      <w:r w:rsidR="00A013A4">
        <w:t xml:space="preserve">o exercise the power in </w:t>
      </w:r>
      <w:r>
        <w:t xml:space="preserve">s 74A(1) </w:t>
      </w:r>
      <w:r w:rsidR="00A013A4">
        <w:t xml:space="preserve">involves an error of law, and one which means </w:t>
      </w:r>
      <w:r>
        <w:t xml:space="preserve">the </w:t>
      </w:r>
      <w:r w:rsidR="00A013A4">
        <w:t>s</w:t>
      </w:r>
      <w:r w:rsidR="009E2F69">
        <w:t xml:space="preserve"> </w:t>
      </w:r>
      <w:r w:rsidR="00A013A4">
        <w:t xml:space="preserve">75 </w:t>
      </w:r>
      <w:r>
        <w:t xml:space="preserve">decision </w:t>
      </w:r>
      <w:r w:rsidR="00A013A4">
        <w:t xml:space="preserve">should be </w:t>
      </w:r>
      <w:r>
        <w:t xml:space="preserve">set aside. In </w:t>
      </w:r>
      <w:r w:rsidR="00A32F9D">
        <w:t xml:space="preserve">its amended </w:t>
      </w:r>
      <w:r>
        <w:t xml:space="preserve">originating </w:t>
      </w:r>
      <w:r w:rsidR="00782C11">
        <w:t>application</w:t>
      </w:r>
      <w:r>
        <w:t xml:space="preserve">, the applicant did </w:t>
      </w:r>
      <w:r w:rsidR="00782C11">
        <w:t>not</w:t>
      </w:r>
      <w:r>
        <w:t xml:space="preserve"> </w:t>
      </w:r>
      <w:r w:rsidR="00782C11">
        <w:t>identify</w:t>
      </w:r>
      <w:r>
        <w:t xml:space="preserve"> what kind of error it contended </w:t>
      </w:r>
      <w:r>
        <w:lastRenderedPageBreak/>
        <w:t xml:space="preserve">this failure constituted. The </w:t>
      </w:r>
      <w:r w:rsidR="00782C11">
        <w:t>applicant’s</w:t>
      </w:r>
      <w:r>
        <w:t xml:space="preserve"> written </w:t>
      </w:r>
      <w:r w:rsidR="00782C11">
        <w:t>submissions</w:t>
      </w:r>
      <w:r>
        <w:t xml:space="preserve"> did not characterise the error either.</w:t>
      </w:r>
      <w:r w:rsidR="00BF6330">
        <w:t xml:space="preserve"> In oral submissions, counsel for the applicant contended that there was a duty to consider the application of s 74A</w:t>
      </w:r>
      <w:r w:rsidR="00A013A4">
        <w:t>,</w:t>
      </w:r>
      <w:r w:rsidR="00BF6330">
        <w:t xml:space="preserve"> in the circumstances of this case at least, because of what was raised in the referral material. As I understood it, counsel submitted the applicant need not go further than that, and the Court need not decide whether in </w:t>
      </w:r>
      <w:r w:rsidR="0096281D">
        <w:t xml:space="preserve">every </w:t>
      </w:r>
      <w:r w:rsidR="00BF6330">
        <w:t xml:space="preserve">circumstance there </w:t>
      </w:r>
      <w:r w:rsidR="0096281D">
        <w:t xml:space="preserve">would be </w:t>
      </w:r>
      <w:r w:rsidR="00BF6330">
        <w:t>a duty to consider the application of s 74A prior to making a decision under s 75.</w:t>
      </w:r>
    </w:p>
    <w:p w14:paraId="0413AC70" w14:textId="4B81EAD7" w:rsidR="00A013A4" w:rsidRDefault="00BF6330" w:rsidP="007C5A83">
      <w:pPr>
        <w:pStyle w:val="ParaNumbering"/>
      </w:pPr>
      <w:r>
        <w:t xml:space="preserve">I agree that the latter question need not be answered. </w:t>
      </w:r>
      <w:r w:rsidR="00A013A4">
        <w:t xml:space="preserve">Whether or not s 74A imposes a duty to consider if an action forms part of a “larger action” will be a question of statutory construction: see </w:t>
      </w:r>
      <w:r w:rsidR="00A013A4" w:rsidRPr="00101A38">
        <w:rPr>
          <w:i/>
        </w:rPr>
        <w:t>Animals</w:t>
      </w:r>
      <w:r w:rsidR="00101A38">
        <w:rPr>
          <w:i/>
        </w:rPr>
        <w:t>’</w:t>
      </w:r>
      <w:r w:rsidR="00A013A4" w:rsidRPr="00101A38">
        <w:rPr>
          <w:i/>
        </w:rPr>
        <w:t xml:space="preserve"> Angels</w:t>
      </w:r>
      <w:r w:rsidR="009E2F69">
        <w:rPr>
          <w:i/>
        </w:rPr>
        <w:t xml:space="preserve"> </w:t>
      </w:r>
      <w:proofErr w:type="spellStart"/>
      <w:r w:rsidR="009E2F69">
        <w:rPr>
          <w:i/>
        </w:rPr>
        <w:t>e.V</w:t>
      </w:r>
      <w:proofErr w:type="spellEnd"/>
      <w:r w:rsidR="009E2F69">
        <w:rPr>
          <w:i/>
        </w:rPr>
        <w:t>.</w:t>
      </w:r>
      <w:r w:rsidR="00922BFE">
        <w:rPr>
          <w:i/>
        </w:rPr>
        <w:t xml:space="preserve"> v Secretary, Department</w:t>
      </w:r>
      <w:r w:rsidR="009E2F69">
        <w:rPr>
          <w:i/>
        </w:rPr>
        <w:t xml:space="preserve"> of Agriculture</w:t>
      </w:r>
      <w:r w:rsidR="009E2F69">
        <w:t xml:space="preserve"> [2014] FCAFC 173; 228 FCR 35</w:t>
      </w:r>
      <w:r w:rsidR="00A013A4">
        <w:t xml:space="preserve"> at [87]</w:t>
      </w:r>
      <w:r w:rsidR="009B339B">
        <w:t xml:space="preserve"> (Kenny and Robertson JJ, </w:t>
      </w:r>
      <w:proofErr w:type="spellStart"/>
      <w:r w:rsidR="009B339B">
        <w:t>Pagone</w:t>
      </w:r>
      <w:proofErr w:type="spellEnd"/>
      <w:r w:rsidR="009B339B">
        <w:t xml:space="preserve"> J agreeing)</w:t>
      </w:r>
      <w:r w:rsidR="00A013A4">
        <w:t>. As the Full Court’s decision reveal</w:t>
      </w:r>
      <w:r w:rsidR="00FF68B3">
        <w:t>ed</w:t>
      </w:r>
      <w:r w:rsidR="00A013A4">
        <w:t>, the question may be a complex one.</w:t>
      </w:r>
    </w:p>
    <w:p w14:paraId="5D7BC4FC" w14:textId="0A7830C6" w:rsidR="00A013A4" w:rsidRDefault="00A013A4" w:rsidP="007C5A83">
      <w:pPr>
        <w:pStyle w:val="ParaNumbering"/>
      </w:pPr>
      <w:r>
        <w:t>However, what the Full Court also ma</w:t>
      </w:r>
      <w:r w:rsidR="00FF68B3">
        <w:t>de</w:t>
      </w:r>
      <w:r>
        <w:t xml:space="preserve"> clear in </w:t>
      </w:r>
      <w:r w:rsidRPr="00FF68B3">
        <w:rPr>
          <w:i/>
        </w:rPr>
        <w:t>Animals</w:t>
      </w:r>
      <w:r w:rsidR="00FF68B3">
        <w:rPr>
          <w:i/>
        </w:rPr>
        <w:t>’</w:t>
      </w:r>
      <w:r w:rsidRPr="00FF68B3">
        <w:rPr>
          <w:i/>
        </w:rPr>
        <w:t xml:space="preserve"> Angels</w:t>
      </w:r>
      <w:r>
        <w:t xml:space="preserve"> at [89], by reference to a passage from </w:t>
      </w:r>
      <w:r w:rsidRPr="00FF68B3">
        <w:rPr>
          <w:i/>
        </w:rPr>
        <w:t>SZGUR</w:t>
      </w:r>
      <w:r>
        <w:t xml:space="preserve">, is that in a particular case a failure to consider exercising a discretionary power conferred on a repository may amount to a legal error, and indeed an error affecting the jurisdiction of the repository of the power. In </w:t>
      </w:r>
      <w:r w:rsidRPr="00FF68B3">
        <w:rPr>
          <w:i/>
        </w:rPr>
        <w:t>SZGUR</w:t>
      </w:r>
      <w:r>
        <w:t xml:space="preserve">, French CJ and </w:t>
      </w:r>
      <w:proofErr w:type="spellStart"/>
      <w:r>
        <w:t>Kiefel</w:t>
      </w:r>
      <w:proofErr w:type="spellEnd"/>
      <w:r>
        <w:t xml:space="preserve"> J (as her Honour then was) said</w:t>
      </w:r>
      <w:r w:rsidR="00FF68B3">
        <w:t xml:space="preserve"> at [22]</w:t>
      </w:r>
      <w:r>
        <w:t xml:space="preserve"> (with my emphasis added):</w:t>
      </w:r>
    </w:p>
    <w:p w14:paraId="78EB7C9B" w14:textId="14FC724C" w:rsidR="00A013A4" w:rsidRDefault="00A013A4" w:rsidP="00130F92">
      <w:pPr>
        <w:pStyle w:val="Quote1"/>
      </w:pPr>
      <w:r w:rsidRPr="00FF68B3">
        <w:t xml:space="preserve">The question whether s 427(1)(d) imposes a legal duty on the Tribunal to consider whether to exercise its inquisitorial power under that provision was answered in the negative by the Full Court of the Federal Court in </w:t>
      </w:r>
      <w:r w:rsidRPr="00FF68B3">
        <w:rPr>
          <w:i/>
        </w:rPr>
        <w:t>WAGJ v Minister for Immigration and Multicultural and Indigenous Affairs</w:t>
      </w:r>
      <w:r w:rsidRPr="00FF68B3">
        <w:t xml:space="preserve">. The Court held that absent any legal obligation imposed on the Tribunal to make an inquiry under s 427(1)(d) “[b]y a parity of reasoning … there is no legal obligation to consider whether one should exercise that power”. That view is correct. </w:t>
      </w:r>
      <w:r w:rsidRPr="00FF68B3">
        <w:rPr>
          <w:b/>
        </w:rPr>
        <w:t>That is not to say that circumstances may not arise in which the Tribunal has a duty to make particular inquiries</w:t>
      </w:r>
      <w:r w:rsidRPr="00FF68B3">
        <w:t>. That duty does not, when it arises, necessarily require the application of s 427(1)(d).</w:t>
      </w:r>
    </w:p>
    <w:p w14:paraId="33B9843C" w14:textId="448459E3" w:rsidR="00130F92" w:rsidRPr="00FF68B3" w:rsidRDefault="00130F92" w:rsidP="00130F92">
      <w:pPr>
        <w:pStyle w:val="Quote1"/>
      </w:pPr>
      <w:r>
        <w:t>(Footnotes omitted.)</w:t>
      </w:r>
    </w:p>
    <w:p w14:paraId="7EFEB29C" w14:textId="52F22281" w:rsidR="00A013A4" w:rsidRDefault="00D03FBC" w:rsidP="007C5A83">
      <w:pPr>
        <w:pStyle w:val="ParaNumbering"/>
      </w:pPr>
      <w:r>
        <w:t xml:space="preserve">An error of the kind to which their </w:t>
      </w:r>
      <w:r w:rsidR="00EA3543">
        <w:t>H</w:t>
      </w:r>
      <w:r>
        <w:t xml:space="preserve">onours referred, arising in the particular circumstances of a given case, might be characterised in a number of different ways, depending on the statutory scheme involved, and the jurisdiction of the supervising </w:t>
      </w:r>
      <w:r w:rsidR="00EA3543">
        <w:t>c</w:t>
      </w:r>
      <w:r>
        <w:t>ourt. It could be legal unreasonableness. It could be a failure to perform the statutory task of merits review.</w:t>
      </w:r>
      <w:r w:rsidR="00A013A4">
        <w:t xml:space="preserve"> </w:t>
      </w:r>
      <w:r>
        <w:t>It could be the overlooking of a matter material to the performance of the statutory task in a given case.</w:t>
      </w:r>
    </w:p>
    <w:p w14:paraId="364319BB" w14:textId="4702DFA5" w:rsidR="00BF6330" w:rsidRDefault="00BF6330" w:rsidP="007C5A83">
      <w:pPr>
        <w:pStyle w:val="ParaNumbering"/>
      </w:pPr>
      <w:r>
        <w:t xml:space="preserve">In the present case, I am satisfied the </w:t>
      </w:r>
      <w:r w:rsidR="00D03FBC">
        <w:t xml:space="preserve">particular facts and circumstances before the delegate meant that he </w:t>
      </w:r>
      <w:r>
        <w:t xml:space="preserve">should have considered the application of s 74A, </w:t>
      </w:r>
      <w:r w:rsidR="00D03FBC">
        <w:t xml:space="preserve">but </w:t>
      </w:r>
      <w:r>
        <w:t xml:space="preserve">failed to do so. In terms of characterising the </w:t>
      </w:r>
      <w:r w:rsidR="000E5673">
        <w:t>nature of the</w:t>
      </w:r>
      <w:r>
        <w:t xml:space="preserve"> error, I consider it can be properly described as a failure to perform the statutory task required of the delegate</w:t>
      </w:r>
      <w:r w:rsidR="00D03FBC">
        <w:t xml:space="preserve"> under s 75</w:t>
      </w:r>
      <w:r>
        <w:t xml:space="preserve"> in the circumstances of this </w:t>
      </w:r>
      <w:r>
        <w:lastRenderedPageBreak/>
        <w:t>particular referral</w:t>
      </w:r>
      <w:r w:rsidR="00D03FBC">
        <w:t xml:space="preserve"> and the i</w:t>
      </w:r>
      <w:r w:rsidR="00EA3543">
        <w:t>nformation provided to the dele</w:t>
      </w:r>
      <w:r w:rsidR="00D03FBC">
        <w:t xml:space="preserve">gate, given that the discretionary power in s 74A is an express part of the statutory scheme, and is a power of relevance only before a decision has been made under s 75. </w:t>
      </w:r>
    </w:p>
    <w:p w14:paraId="1D90E0EB" w14:textId="088D38EF" w:rsidR="00C80714" w:rsidRDefault="00C80714" w:rsidP="007C5A83">
      <w:pPr>
        <w:pStyle w:val="ParaNumbering"/>
      </w:pPr>
      <w:r>
        <w:t>Reg</w:t>
      </w:r>
      <w:r w:rsidR="00083AC5">
        <w:t>ulation</w:t>
      </w:r>
      <w:r>
        <w:t xml:space="preserve"> 4.03(1) of the </w:t>
      </w:r>
      <w:r w:rsidR="00083AC5">
        <w:t>Regulations</w:t>
      </w:r>
      <w:r>
        <w:t xml:space="preserve"> requires a referral to contain the information set out in </w:t>
      </w:r>
      <w:proofErr w:type="spellStart"/>
      <w:r>
        <w:t>Sch</w:t>
      </w:r>
      <w:proofErr w:type="spellEnd"/>
      <w:r>
        <w:t xml:space="preserve"> 2 to the </w:t>
      </w:r>
      <w:r w:rsidR="00291FAE">
        <w:t>Regulations</w:t>
      </w:r>
      <w:r>
        <w:t>, unless it is unreasonable to expect it to be included</w:t>
      </w:r>
      <w:r w:rsidR="00291FAE">
        <w:t xml:space="preserve"> (</w:t>
      </w:r>
      <w:proofErr w:type="spellStart"/>
      <w:r w:rsidR="00291FAE">
        <w:t>reg</w:t>
      </w:r>
      <w:proofErr w:type="spellEnd"/>
      <w:r w:rsidR="00291FAE">
        <w:t xml:space="preserve"> 4.03(2))</w:t>
      </w:r>
      <w:r>
        <w:t xml:space="preserve">. </w:t>
      </w:r>
      <w:r w:rsidR="00CA32C3">
        <w:t>Clause</w:t>
      </w:r>
      <w:r>
        <w:t xml:space="preserve"> 4.01(</w:t>
      </w:r>
      <w:proofErr w:type="spellStart"/>
      <w:r>
        <w:t>i</w:t>
      </w:r>
      <w:proofErr w:type="spellEnd"/>
      <w:r>
        <w:t xml:space="preserve">) of </w:t>
      </w:r>
      <w:proofErr w:type="spellStart"/>
      <w:r w:rsidR="00A10C17">
        <w:t>S</w:t>
      </w:r>
      <w:r>
        <w:t>ch</w:t>
      </w:r>
      <w:proofErr w:type="spellEnd"/>
      <w:r>
        <w:t xml:space="preserve"> 2 provides that a description of the proposed action must include “whether the action is a component of a larger action”.</w:t>
      </w:r>
    </w:p>
    <w:p w14:paraId="50BC10A1" w14:textId="27B45051" w:rsidR="007F355A" w:rsidRPr="0033386F" w:rsidRDefault="007F355A" w:rsidP="009836C3">
      <w:pPr>
        <w:pStyle w:val="ParaNumbering"/>
      </w:pPr>
      <w:r>
        <w:t>In its referral, Wild Drake complied with this requirement</w:t>
      </w:r>
      <w:r w:rsidR="0033386F">
        <w:t xml:space="preserve"> (with my emphasis</w:t>
      </w:r>
      <w:r w:rsidR="00991852">
        <w:t xml:space="preserve"> in bold and underlined</w:t>
      </w:r>
      <w:r w:rsidR="003317B4">
        <w:t>, and including some typographical errors</w:t>
      </w:r>
      <w:r w:rsidR="0033386F">
        <w:t>)</w:t>
      </w:r>
      <w:r w:rsidR="008C1FAC">
        <w:t>:</w:t>
      </w:r>
      <w:r w:rsidR="0033386F">
        <w:t xml:space="preserve"> </w:t>
      </w:r>
    </w:p>
    <w:p w14:paraId="59D6D5B7" w14:textId="77777777" w:rsidR="007F355A" w:rsidRPr="00CA32C3" w:rsidRDefault="007F355A" w:rsidP="00A10C17">
      <w:pPr>
        <w:pStyle w:val="Quote1"/>
        <w:rPr>
          <w:b/>
        </w:rPr>
      </w:pPr>
      <w:r w:rsidRPr="00CA32C3">
        <w:rPr>
          <w:b/>
        </w:rPr>
        <w:t>1.15 Is this action part of a staged development (or a component of a larger project)?</w:t>
      </w:r>
    </w:p>
    <w:p w14:paraId="21D1B688" w14:textId="77777777" w:rsidR="007F355A" w:rsidRPr="00CA32C3" w:rsidRDefault="007F355A" w:rsidP="00A10C17">
      <w:pPr>
        <w:pStyle w:val="Quote1"/>
        <w:rPr>
          <w:b/>
          <w:u w:val="single"/>
        </w:rPr>
      </w:pPr>
      <w:r w:rsidRPr="00CA32C3">
        <w:rPr>
          <w:b/>
          <w:u w:val="single"/>
        </w:rPr>
        <w:t>Yes</w:t>
      </w:r>
    </w:p>
    <w:p w14:paraId="0DFC6E11" w14:textId="6A406C16" w:rsidR="007F355A" w:rsidRPr="00CA32C3" w:rsidRDefault="007F355A" w:rsidP="00A10C17">
      <w:pPr>
        <w:pStyle w:val="Quote1"/>
        <w:rPr>
          <w:b/>
        </w:rPr>
      </w:pPr>
      <w:r w:rsidRPr="00CA32C3">
        <w:rPr>
          <w:b/>
        </w:rPr>
        <w:t>1.15.1 Provide information about the larger action and</w:t>
      </w:r>
      <w:r w:rsidR="0033386F" w:rsidRPr="00CA32C3">
        <w:rPr>
          <w:b/>
        </w:rPr>
        <w:t xml:space="preserve"> details of any interdependency </w:t>
      </w:r>
      <w:r w:rsidRPr="00CA32C3">
        <w:rPr>
          <w:b/>
        </w:rPr>
        <w:t>between the stages/components and the larger action.</w:t>
      </w:r>
    </w:p>
    <w:p w14:paraId="588DD5B9" w14:textId="69046775" w:rsidR="00C80714" w:rsidRPr="0033386F" w:rsidRDefault="007F355A" w:rsidP="00A10C17">
      <w:pPr>
        <w:pStyle w:val="Quote1"/>
      </w:pPr>
      <w:r w:rsidRPr="00CA32C3">
        <w:rPr>
          <w:b/>
          <w:u w:val="single"/>
        </w:rPr>
        <w:t xml:space="preserve">The State Government level RAA approval has been broken into two parts. </w:t>
      </w:r>
      <w:r w:rsidRPr="0033386F">
        <w:t xml:space="preserve">This EPBC </w:t>
      </w:r>
      <w:proofErr w:type="spellStart"/>
      <w:r w:rsidRPr="0033386F">
        <w:t>self</w:t>
      </w:r>
      <w:r w:rsidR="0033386F" w:rsidRPr="0033386F">
        <w:t xml:space="preserve"> referral</w:t>
      </w:r>
      <w:proofErr w:type="spellEnd"/>
      <w:r w:rsidR="0033386F" w:rsidRPr="0033386F">
        <w:t xml:space="preserve"> </w:t>
      </w:r>
      <w:r w:rsidRPr="00CA32C3">
        <w:rPr>
          <w:u w:val="single"/>
        </w:rPr>
        <w:t>only pertains to Stage One activities</w:t>
      </w:r>
      <w:r w:rsidRPr="0033386F">
        <w:t>.</w:t>
      </w:r>
    </w:p>
    <w:p w14:paraId="65903DCF" w14:textId="0FAB284A" w:rsidR="007F355A" w:rsidRPr="00CA32C3" w:rsidRDefault="007F355A" w:rsidP="00A10C17">
      <w:pPr>
        <w:pStyle w:val="Quote1"/>
        <w:rPr>
          <w:b/>
        </w:rPr>
      </w:pPr>
      <w:r w:rsidRPr="00CA32C3">
        <w:rPr>
          <w:b/>
        </w:rPr>
        <w:t>Stage 1 Activities, which are fully approved at the State level through the RAA process</w:t>
      </w:r>
      <w:r w:rsidR="0033386F" w:rsidRPr="00CA32C3">
        <w:rPr>
          <w:b/>
        </w:rPr>
        <w:t xml:space="preserve"> </w:t>
      </w:r>
      <w:r w:rsidRPr="00CA32C3">
        <w:rPr>
          <w:b/>
        </w:rPr>
        <w:t>and subject to this EPBC self-referral:</w:t>
      </w:r>
    </w:p>
    <w:p w14:paraId="69A01167" w14:textId="77777777" w:rsidR="007F355A" w:rsidRPr="0033386F" w:rsidRDefault="007F355A" w:rsidP="00A10C17">
      <w:pPr>
        <w:pStyle w:val="Quote1"/>
      </w:pPr>
      <w:r w:rsidRPr="0033386F">
        <w:t>- All developments and activities on Halls Island</w:t>
      </w:r>
    </w:p>
    <w:p w14:paraId="3CC88924" w14:textId="77777777" w:rsidR="007F355A" w:rsidRPr="0033386F" w:rsidRDefault="007F355A" w:rsidP="00A10C17">
      <w:pPr>
        <w:pStyle w:val="Quote1"/>
      </w:pPr>
      <w:r w:rsidRPr="0033386F">
        <w:t>- Helipad</w:t>
      </w:r>
    </w:p>
    <w:p w14:paraId="7441F30E" w14:textId="77777777" w:rsidR="007F355A" w:rsidRPr="0033386F" w:rsidRDefault="007F355A" w:rsidP="00A10C17">
      <w:pPr>
        <w:pStyle w:val="Quote1"/>
      </w:pPr>
      <w:r w:rsidRPr="0033386F">
        <w:t>- Walking route between the helipad and Halls Island</w:t>
      </w:r>
    </w:p>
    <w:p w14:paraId="21165D25" w14:textId="77777777" w:rsidR="007F355A" w:rsidRPr="0033386F" w:rsidRDefault="007F355A" w:rsidP="00A10C17">
      <w:pPr>
        <w:pStyle w:val="Quote1"/>
      </w:pPr>
      <w:r w:rsidRPr="0033386F">
        <w:t xml:space="preserve">- The use of non-motorised watercraft on Lake </w:t>
      </w:r>
      <w:proofErr w:type="spellStart"/>
      <w:r w:rsidRPr="0033386F">
        <w:t>Malbena</w:t>
      </w:r>
      <w:proofErr w:type="spellEnd"/>
      <w:r w:rsidRPr="0033386F">
        <w:t>; and</w:t>
      </w:r>
    </w:p>
    <w:p w14:paraId="72000E0F" w14:textId="77777777" w:rsidR="007F355A" w:rsidRPr="0033386F" w:rsidRDefault="007F355A" w:rsidP="00A10C17">
      <w:pPr>
        <w:pStyle w:val="Quote1"/>
      </w:pPr>
      <w:r w:rsidRPr="0033386F">
        <w:t>- Helicopter flight path</w:t>
      </w:r>
    </w:p>
    <w:p w14:paraId="2F962E6C" w14:textId="616D73FE" w:rsidR="007F355A" w:rsidRPr="0033386F" w:rsidRDefault="007F355A" w:rsidP="00A10C17">
      <w:pPr>
        <w:pStyle w:val="Quote1"/>
      </w:pPr>
      <w:r w:rsidRPr="0033386F">
        <w:rPr>
          <w:b/>
        </w:rPr>
        <w:t xml:space="preserve">Stage 2 </w:t>
      </w:r>
      <w:proofErr w:type="spellStart"/>
      <w:r w:rsidRPr="0033386F">
        <w:rPr>
          <w:b/>
        </w:rPr>
        <w:t>activites</w:t>
      </w:r>
      <w:proofErr w:type="spellEnd"/>
      <w:r w:rsidRPr="0033386F">
        <w:rPr>
          <w:b/>
        </w:rPr>
        <w:t xml:space="preserve"> (not subject to this EPBC self-refer</w:t>
      </w:r>
      <w:r w:rsidR="0033386F" w:rsidRPr="0033386F">
        <w:rPr>
          <w:b/>
        </w:rPr>
        <w:t xml:space="preserve">ral) requiring additional State </w:t>
      </w:r>
      <w:r w:rsidRPr="0033386F">
        <w:rPr>
          <w:b/>
        </w:rPr>
        <w:t>assessment and approval include</w:t>
      </w:r>
      <w:r w:rsidRPr="0033386F">
        <w:t>:</w:t>
      </w:r>
    </w:p>
    <w:p w14:paraId="35176568" w14:textId="240768AD" w:rsidR="00C80714" w:rsidRPr="0033386F" w:rsidRDefault="007F355A" w:rsidP="00A10C17">
      <w:pPr>
        <w:pStyle w:val="Quote1"/>
      </w:pPr>
      <w:r w:rsidRPr="0033386F">
        <w:t xml:space="preserve">- Proposed walking routes to Mt </w:t>
      </w:r>
      <w:proofErr w:type="spellStart"/>
      <w:r w:rsidRPr="0033386F">
        <w:t>Oana</w:t>
      </w:r>
      <w:proofErr w:type="spellEnd"/>
    </w:p>
    <w:p w14:paraId="69788432" w14:textId="62429A32" w:rsidR="007F355A" w:rsidRPr="0033386F" w:rsidRDefault="007F355A" w:rsidP="00A10C17">
      <w:pPr>
        <w:pStyle w:val="Quote1"/>
      </w:pPr>
      <w:r w:rsidRPr="0033386F">
        <w:t>- Proposed walking route to, and proposed cultural interpretation activities at the Aboriginal</w:t>
      </w:r>
      <w:r w:rsidR="0033386F" w:rsidRPr="0033386F">
        <w:t xml:space="preserve"> </w:t>
      </w:r>
      <w:r w:rsidRPr="0033386F">
        <w:t xml:space="preserve">heritage site listed in the RAA (location details are not </w:t>
      </w:r>
      <w:r w:rsidRPr="00CA32C3">
        <w:rPr>
          <w:i/>
        </w:rPr>
        <w:t>publicly</w:t>
      </w:r>
      <w:r w:rsidRPr="0033386F">
        <w:t xml:space="preserve"> </w:t>
      </w:r>
      <w:r w:rsidR="0033386F" w:rsidRPr="0033386F">
        <w:t xml:space="preserve">identified in this table due to </w:t>
      </w:r>
      <w:proofErr w:type="spellStart"/>
      <w:r w:rsidRPr="0033386F">
        <w:t>sensitvities</w:t>
      </w:r>
      <w:proofErr w:type="spellEnd"/>
      <w:r w:rsidRPr="0033386F">
        <w:t>, but are available to DOE assessment officers through the attached commercial-in</w:t>
      </w:r>
      <w:r w:rsidR="003317B4">
        <w:t>-</w:t>
      </w:r>
      <w:r w:rsidR="0033386F" w:rsidRPr="0033386F">
        <w:t xml:space="preserve">confidence </w:t>
      </w:r>
      <w:r w:rsidRPr="0033386F">
        <w:t>RAA).</w:t>
      </w:r>
    </w:p>
    <w:p w14:paraId="4F746208" w14:textId="77777777" w:rsidR="007F355A" w:rsidRPr="0033386F" w:rsidRDefault="007F355A" w:rsidP="00A10C17">
      <w:pPr>
        <w:pStyle w:val="Quote1"/>
      </w:pPr>
      <w:r w:rsidRPr="0033386F">
        <w:t>- Any additional walking routes</w:t>
      </w:r>
    </w:p>
    <w:p w14:paraId="6AD5C5AF" w14:textId="5966208F" w:rsidR="007F355A" w:rsidRPr="0033386F" w:rsidRDefault="007F355A" w:rsidP="00A10C17">
      <w:pPr>
        <w:pStyle w:val="Quote1"/>
      </w:pPr>
      <w:r w:rsidRPr="0033386F">
        <w:t>The proposed walking routes will require a natural values</w:t>
      </w:r>
      <w:r w:rsidR="0033386F" w:rsidRPr="0033386F">
        <w:t xml:space="preserve"> assessment (to be performed by </w:t>
      </w:r>
      <w:proofErr w:type="spellStart"/>
      <w:r w:rsidRPr="0033386F">
        <w:t>Northbarker</w:t>
      </w:r>
      <w:proofErr w:type="spellEnd"/>
      <w:r w:rsidRPr="0033386F">
        <w:t>), and the proposed activities relating to Aborigi</w:t>
      </w:r>
      <w:r w:rsidR="0033386F" w:rsidRPr="0033386F">
        <w:t xml:space="preserve">nal cultural are reliant on the </w:t>
      </w:r>
      <w:r w:rsidRPr="0033386F">
        <w:t xml:space="preserve">proponent further contacting, engaging and consulting with </w:t>
      </w:r>
      <w:r w:rsidR="0033386F" w:rsidRPr="0033386F">
        <w:t xml:space="preserve">the Aboriginal Heritage Council </w:t>
      </w:r>
      <w:r w:rsidRPr="0033386F">
        <w:t>(AHC), and the Aboriginal communities, outlining the details o</w:t>
      </w:r>
      <w:r w:rsidR="0033386F" w:rsidRPr="0033386F">
        <w:t xml:space="preserve">f the proposed development, and </w:t>
      </w:r>
      <w:r w:rsidRPr="0033386F">
        <w:t>any proposed plans for activities including site visits, cultural heri</w:t>
      </w:r>
      <w:r w:rsidR="0033386F" w:rsidRPr="0033386F">
        <w:t xml:space="preserve">tage interpretation and planned </w:t>
      </w:r>
      <w:r w:rsidRPr="0033386F">
        <w:t>access to Country projects.</w:t>
      </w:r>
    </w:p>
    <w:p w14:paraId="4B477583" w14:textId="7113C8C6" w:rsidR="007F355A" w:rsidRPr="00CA32C3" w:rsidRDefault="007F355A" w:rsidP="00A10C17">
      <w:pPr>
        <w:pStyle w:val="Quote1"/>
        <w:rPr>
          <w:u w:val="single"/>
        </w:rPr>
      </w:pPr>
      <w:r w:rsidRPr="00CA32C3">
        <w:rPr>
          <w:b/>
          <w:u w:val="single"/>
        </w:rPr>
        <w:lastRenderedPageBreak/>
        <w:t>The development and commencement of Stage 1 activities and i</w:t>
      </w:r>
      <w:r w:rsidR="0033386F" w:rsidRPr="00CA32C3">
        <w:rPr>
          <w:b/>
          <w:u w:val="single"/>
        </w:rPr>
        <w:t xml:space="preserve">nfrastructure is not </w:t>
      </w:r>
      <w:proofErr w:type="spellStart"/>
      <w:r w:rsidR="0033386F" w:rsidRPr="00CA32C3">
        <w:rPr>
          <w:b/>
          <w:u w:val="single"/>
        </w:rPr>
        <w:t>relient</w:t>
      </w:r>
      <w:proofErr w:type="spellEnd"/>
      <w:r w:rsidR="0033386F" w:rsidRPr="00CA32C3">
        <w:rPr>
          <w:b/>
          <w:u w:val="single"/>
        </w:rPr>
        <w:t xml:space="preserve"> on </w:t>
      </w:r>
      <w:r w:rsidRPr="00CA32C3">
        <w:rPr>
          <w:b/>
          <w:u w:val="single"/>
        </w:rPr>
        <w:t>Stage 2 activities</w:t>
      </w:r>
      <w:r w:rsidRPr="00CA32C3">
        <w:rPr>
          <w:u w:val="single"/>
        </w:rPr>
        <w:t>.</w:t>
      </w:r>
    </w:p>
    <w:p w14:paraId="4ED46770" w14:textId="26A83D09" w:rsidR="007F355A" w:rsidRDefault="007276DC" w:rsidP="00BF6330">
      <w:pPr>
        <w:pStyle w:val="ParaNumbering"/>
      </w:pPr>
      <w:r>
        <w:t xml:space="preserve">Thus, there was no equivocation </w:t>
      </w:r>
      <w:r w:rsidR="00782C11">
        <w:t>from Wild</w:t>
      </w:r>
      <w:r>
        <w:t xml:space="preserve"> Drake about </w:t>
      </w:r>
      <w:r w:rsidR="00782C11">
        <w:t>its intention</w:t>
      </w:r>
      <w:r>
        <w:t xml:space="preserve"> to undertake the actions described </w:t>
      </w:r>
      <w:r w:rsidR="00185525">
        <w:t xml:space="preserve">in </w:t>
      </w:r>
      <w:r w:rsidR="0096281D">
        <w:t>“</w:t>
      </w:r>
      <w:r w:rsidR="00623671">
        <w:t xml:space="preserve">stage </w:t>
      </w:r>
      <w:r w:rsidR="00C93294">
        <w:t>two</w:t>
      </w:r>
      <w:r w:rsidR="0096281D">
        <w:t>”</w:t>
      </w:r>
      <w:r>
        <w:t xml:space="preserve">. It was </w:t>
      </w:r>
      <w:r w:rsidR="00782C11">
        <w:t>indicating</w:t>
      </w:r>
      <w:r>
        <w:t xml:space="preserve"> that it, as the </w:t>
      </w:r>
      <w:r w:rsidR="00782C11">
        <w:t>proponent</w:t>
      </w:r>
      <w:r>
        <w:t xml:space="preserve">, did not consider </w:t>
      </w:r>
      <w:r w:rsidR="00782C11">
        <w:t>the</w:t>
      </w:r>
      <w:r>
        <w:t xml:space="preserve"> </w:t>
      </w:r>
      <w:r w:rsidR="00782C11">
        <w:t>taking of</w:t>
      </w:r>
      <w:r>
        <w:t xml:space="preserve"> that action </w:t>
      </w:r>
      <w:r w:rsidR="00782C11">
        <w:t>to</w:t>
      </w:r>
      <w:r>
        <w:t xml:space="preserve"> be part of its referral. When it is recalled it was </w:t>
      </w:r>
      <w:r w:rsidR="00782C11">
        <w:t>required</w:t>
      </w:r>
      <w:r>
        <w:t xml:space="preserve"> to self-refer </w:t>
      </w:r>
      <w:r w:rsidR="009B69C7">
        <w:t xml:space="preserve">under the EPBC Act </w:t>
      </w:r>
      <w:r>
        <w:t xml:space="preserve">as part of the RAA process, that position is </w:t>
      </w:r>
      <w:r w:rsidR="00782C11">
        <w:t>explicable</w:t>
      </w:r>
      <w:r>
        <w:t>.</w:t>
      </w:r>
    </w:p>
    <w:p w14:paraId="0A1AD126" w14:textId="17B24B71" w:rsidR="00185525" w:rsidRDefault="00185525" w:rsidP="00BF6330">
      <w:pPr>
        <w:pStyle w:val="ParaNumbering"/>
      </w:pPr>
      <w:r>
        <w:t xml:space="preserve">Indeed, the facts are stronger than this, as the applicant submitted. Originally, </w:t>
      </w:r>
      <w:r w:rsidR="009B69C7">
        <w:t>when putting its proposal to the PWS</w:t>
      </w:r>
      <w:r>
        <w:t>, Wild Drake put the proposal as a single proposal. In the RAA application, under the heading “</w:t>
      </w:r>
      <w:r w:rsidR="00FB33ED">
        <w:t xml:space="preserve">Proposed </w:t>
      </w:r>
      <w:r>
        <w:t>activities</w:t>
      </w:r>
      <w:r w:rsidR="00FB33ED">
        <w:t xml:space="preserve"> include</w:t>
      </w:r>
      <w:r>
        <w:t>”, the following was set out</w:t>
      </w:r>
      <w:r w:rsidR="00735A9D">
        <w:t xml:space="preserve"> (omitting references to coordinates</w:t>
      </w:r>
      <w:r w:rsidR="00CC1621">
        <w:t xml:space="preserve"> and including some typographical errors in the original</w:t>
      </w:r>
      <w:r w:rsidR="00735A9D">
        <w:t>)</w:t>
      </w:r>
      <w:r>
        <w:t>:</w:t>
      </w:r>
    </w:p>
    <w:p w14:paraId="2145CC81" w14:textId="51E43398" w:rsidR="00A10C17" w:rsidRDefault="00A10C17" w:rsidP="00EE7B11">
      <w:pPr>
        <w:pStyle w:val="Quote1Bullet"/>
      </w:pPr>
      <w:r>
        <w:t xml:space="preserve">Kayaking on Lake </w:t>
      </w:r>
      <w:proofErr w:type="spellStart"/>
      <w:r>
        <w:t>Malbena</w:t>
      </w:r>
      <w:proofErr w:type="spellEnd"/>
      <w:r>
        <w:t xml:space="preserve"> – operations will meeting Marine And Safety Tasmania (MAST) requirements.</w:t>
      </w:r>
    </w:p>
    <w:p w14:paraId="3A9C2FDA" w14:textId="1D53DA82" w:rsidR="00A10C17" w:rsidRPr="00CA32C3" w:rsidRDefault="00A10C17" w:rsidP="00EE7B11">
      <w:pPr>
        <w:pStyle w:val="Quote1Bullet"/>
        <w:rPr>
          <w:b/>
        </w:rPr>
      </w:pPr>
      <w:r w:rsidRPr="00CA32C3">
        <w:rPr>
          <w:b/>
        </w:rPr>
        <w:t xml:space="preserve">A half-day walk up Mount </w:t>
      </w:r>
      <w:proofErr w:type="spellStart"/>
      <w:r w:rsidRPr="00CA32C3">
        <w:rPr>
          <w:b/>
        </w:rPr>
        <w:t>Oana</w:t>
      </w:r>
      <w:proofErr w:type="spellEnd"/>
      <w:r w:rsidR="00827F30">
        <w:rPr>
          <w:b/>
        </w:rPr>
        <w:t>…</w:t>
      </w:r>
      <w:r w:rsidRPr="00CA32C3">
        <w:rPr>
          <w:b/>
        </w:rPr>
        <w:t xml:space="preserve">adjacent to the Lake </w:t>
      </w:r>
      <w:proofErr w:type="spellStart"/>
      <w:r w:rsidRPr="00CA32C3">
        <w:rPr>
          <w:b/>
        </w:rPr>
        <w:t>Malbena</w:t>
      </w:r>
      <w:proofErr w:type="spellEnd"/>
      <w:r w:rsidRPr="00CA32C3">
        <w:rPr>
          <w:b/>
        </w:rPr>
        <w:t xml:space="preserve"> shoreline. This is adjacent to the Self-Reliant / Wilderness Zone boundary however we believe that the dry-sclerophyll and rock habitat found on the northern face is traversable without creating any significant impacts. Exact route to be determined with an on-site Flora and Fauna specialist in liaison with PAWS, and walks to be GPS tracked and reported annually for monitoring. See appendix Halls Island Maps, Map 4. </w:t>
      </w:r>
    </w:p>
    <w:p w14:paraId="7BF0302A" w14:textId="380AA222" w:rsidR="00A10C17" w:rsidRDefault="00A10C17" w:rsidP="00EE7B11">
      <w:pPr>
        <w:pStyle w:val="Quote1Bullet"/>
      </w:pPr>
      <w:r w:rsidRPr="00CA32C3">
        <w:rPr>
          <w:b/>
        </w:rPr>
        <w:t xml:space="preserve">Day-trip walks to Mary </w:t>
      </w:r>
      <w:r w:rsidR="00827F30" w:rsidRPr="00CA32C3">
        <w:rPr>
          <w:b/>
        </w:rPr>
        <w:t>Ta</w:t>
      </w:r>
      <w:r w:rsidR="00827F30">
        <w:rPr>
          <w:b/>
        </w:rPr>
        <w:t>rn</w:t>
      </w:r>
      <w:r w:rsidR="00827F30" w:rsidRPr="00CA32C3">
        <w:rPr>
          <w:b/>
        </w:rPr>
        <w:t xml:space="preserve"> </w:t>
      </w:r>
      <w:r w:rsidRPr="00CA32C3">
        <w:rPr>
          <w:b/>
        </w:rPr>
        <w:t>Aboriginal cultural site</w:t>
      </w:r>
      <w:r w:rsidR="00827F30">
        <w:rPr>
          <w:b/>
        </w:rPr>
        <w:t>…</w:t>
      </w:r>
      <w:r w:rsidRPr="00CA32C3">
        <w:rPr>
          <w:b/>
        </w:rPr>
        <w:t>A number of routes will be developed to minimise the use of any single route, and fan-out walking techniques will b</w:t>
      </w:r>
      <w:r w:rsidR="00580BA9" w:rsidRPr="00CA32C3">
        <w:rPr>
          <w:b/>
        </w:rPr>
        <w:t>e</w:t>
      </w:r>
      <w:r w:rsidRPr="00CA32C3">
        <w:rPr>
          <w:b/>
        </w:rPr>
        <w:t xml:space="preserve"> used</w:t>
      </w:r>
      <w:r w:rsidR="00580BA9" w:rsidRPr="00CA32C3">
        <w:rPr>
          <w:b/>
        </w:rPr>
        <w:t xml:space="preserve">. Day-trips to Mary </w:t>
      </w:r>
      <w:r w:rsidR="00827F30" w:rsidRPr="00CA32C3">
        <w:rPr>
          <w:b/>
        </w:rPr>
        <w:t>Ta</w:t>
      </w:r>
      <w:r w:rsidR="00827F30">
        <w:rPr>
          <w:b/>
        </w:rPr>
        <w:t>rn</w:t>
      </w:r>
      <w:r w:rsidR="00827F30" w:rsidRPr="00CA32C3">
        <w:rPr>
          <w:b/>
        </w:rPr>
        <w:t xml:space="preserve"> </w:t>
      </w:r>
      <w:r w:rsidR="00580BA9" w:rsidRPr="00CA32C3">
        <w:rPr>
          <w:b/>
        </w:rPr>
        <w:t>will again be tracked by GPS, and reported annually for monitoring</w:t>
      </w:r>
      <w:r w:rsidR="00827F30">
        <w:rPr>
          <w:b/>
        </w:rPr>
        <w:t>.</w:t>
      </w:r>
      <w:r w:rsidR="00580BA9" w:rsidRPr="00CA32C3">
        <w:rPr>
          <w:b/>
        </w:rPr>
        <w:t xml:space="preserve"> Areas of sensitive plant communities including Sphagnum listed in the Flora and Fauna Assessment will be avoided, and hard-wearing forest-edges along with well-drained grasslands will be used as the preferred area of travel. See appendix Halls Island Maps, Map 5 for matrix of walking routes.</w:t>
      </w:r>
    </w:p>
    <w:p w14:paraId="65E35902" w14:textId="43976012" w:rsidR="00580BA9" w:rsidRDefault="00580BA9" w:rsidP="00EE7B11">
      <w:pPr>
        <w:pStyle w:val="Quote1"/>
      </w:pPr>
      <w:r>
        <w:t xml:space="preserve">Aboriginal cultural interpretation is reliant on input, permission and facilitation from the wider Tasmanian Aboriginal Communities. </w:t>
      </w:r>
    </w:p>
    <w:p w14:paraId="240D13F0" w14:textId="323C8B00" w:rsidR="00580BA9" w:rsidRDefault="00580BA9" w:rsidP="00EE7B11">
      <w:pPr>
        <w:pStyle w:val="Quote1Bullet"/>
      </w:pPr>
      <w:r>
        <w:t>European cultural interpretation at archaeological sites (chimney stack and horse paddock on southern side of Lake Loretta</w:t>
      </w:r>
      <w:r w:rsidR="00827F30">
        <w:t>…</w:t>
      </w:r>
    </w:p>
    <w:p w14:paraId="229303E0" w14:textId="07DF4B9C" w:rsidR="00580BA9" w:rsidRDefault="00580BA9" w:rsidP="00EE7B11">
      <w:pPr>
        <w:pStyle w:val="Quote1Bullet"/>
      </w:pPr>
      <w:r>
        <w:t xml:space="preserve">On-island European cultural interpretation built around the </w:t>
      </w:r>
      <w:proofErr w:type="spellStart"/>
      <w:r>
        <w:t>Reg</w:t>
      </w:r>
      <w:proofErr w:type="spellEnd"/>
      <w:r>
        <w:t xml:space="preserve"> Hall and Walls of Jerusalem story. </w:t>
      </w:r>
    </w:p>
    <w:p w14:paraId="1C645A45" w14:textId="2B6D019E" w:rsidR="00580BA9" w:rsidRDefault="00580BA9" w:rsidP="00EE7B11">
      <w:pPr>
        <w:pStyle w:val="Quote1Bullet"/>
      </w:pPr>
      <w:r>
        <w:t xml:space="preserve">On-island passive activities (i.e. un-guided walking within WSU communities and </w:t>
      </w:r>
      <w:proofErr w:type="spellStart"/>
      <w:r>
        <w:t>boardwalking</w:t>
      </w:r>
      <w:proofErr w:type="spellEnd"/>
      <w:r>
        <w:t>, to be defined in operations manual).</w:t>
      </w:r>
    </w:p>
    <w:p w14:paraId="0FE3DCF9" w14:textId="6A6DEA3A" w:rsidR="00580BA9" w:rsidRDefault="00580BA9" w:rsidP="00EE7B11">
      <w:pPr>
        <w:pStyle w:val="Quote1Bullet"/>
      </w:pPr>
      <w:r>
        <w:t xml:space="preserve">Occasionally fly fishing specific activities around lakes </w:t>
      </w:r>
      <w:proofErr w:type="spellStart"/>
      <w:r>
        <w:t>Malbena</w:t>
      </w:r>
      <w:proofErr w:type="spellEnd"/>
      <w:r>
        <w:t xml:space="preserve">, Loretta, Mary </w:t>
      </w:r>
      <w:r w:rsidR="00827F30">
        <w:t>Tarn</w:t>
      </w:r>
      <w:r>
        <w:t xml:space="preserve">, </w:t>
      </w:r>
      <w:proofErr w:type="spellStart"/>
      <w:r>
        <w:t>Nugetena</w:t>
      </w:r>
      <w:proofErr w:type="spellEnd"/>
      <w:r>
        <w:t>, as well as Eagle Lake and Kita Lake. Eagle and Kita Lake lay within</w:t>
      </w:r>
      <w:r w:rsidR="00827F30">
        <w:t xml:space="preserve"> ~</w:t>
      </w:r>
      <w:r>
        <w:t xml:space="preserve"> 100 metres of the self-reliant boundary, and prescribed impact-mini</w:t>
      </w:r>
      <w:r w:rsidR="00EE7B11">
        <w:t>mi</w:t>
      </w:r>
      <w:r>
        <w:t>sation walking strategies will be used (</w:t>
      </w:r>
      <w:proofErr w:type="spellStart"/>
      <w:r>
        <w:t>eg</w:t>
      </w:r>
      <w:proofErr w:type="spellEnd"/>
      <w:r>
        <w:t xml:space="preserve"> fan-out, sticking </w:t>
      </w:r>
      <w:r w:rsidR="00827F30">
        <w:t xml:space="preserve">to </w:t>
      </w:r>
      <w:r>
        <w:t xml:space="preserve">high and rocky ground </w:t>
      </w:r>
      <w:proofErr w:type="spellStart"/>
      <w:r>
        <w:t>etc</w:t>
      </w:r>
      <w:proofErr w:type="spellEnd"/>
      <w:r>
        <w:t>) as per our existing fishing operations in the self-reliant and wilderness zone further south at Lake Ina. Furthermore, trip numbers to Kita Lake will capped at six per annum</w:t>
      </w:r>
      <w:r w:rsidR="00EE7B11">
        <w:t xml:space="preserve"> to minimise any potential </w:t>
      </w:r>
      <w:r w:rsidR="00EE7B11">
        <w:lastRenderedPageBreak/>
        <w:t>or perceived impacts, and all trips will be GPS logged, and reported annually should monitoring be required. See appendix Halls Island Maps</w:t>
      </w:r>
      <w:r w:rsidR="00827F30">
        <w:t>…</w:t>
      </w:r>
    </w:p>
    <w:p w14:paraId="298E00C3" w14:textId="2101157A" w:rsidR="00735A9D" w:rsidRDefault="00735A9D" w:rsidP="00CA32C3">
      <w:pPr>
        <w:pStyle w:val="Quote1"/>
      </w:pPr>
      <w:r>
        <w:t>(Emphasis added.)</w:t>
      </w:r>
    </w:p>
    <w:p w14:paraId="7519C434" w14:textId="02774EF4" w:rsidR="00185525" w:rsidRDefault="00185525" w:rsidP="00BF6330">
      <w:pPr>
        <w:pStyle w:val="ParaNumbering"/>
      </w:pPr>
      <w:r>
        <w:t xml:space="preserve">It was the </w:t>
      </w:r>
      <w:r w:rsidR="00107D80">
        <w:t>PWS</w:t>
      </w:r>
      <w:r>
        <w:t>, not Wild Drake, which split the proposal, for the purposes of the RAA, into two parts.</w:t>
      </w:r>
      <w:r w:rsidR="007310B0">
        <w:t xml:space="preserve"> The copy of the RAA documenta</w:t>
      </w:r>
      <w:r w:rsidR="007043BB">
        <w:t>tion in the Court Book indicates the proposal was divided into two stages</w:t>
      </w:r>
      <w:r w:rsidR="009836C3">
        <w:t xml:space="preserve"> under that process</w:t>
      </w:r>
      <w:r w:rsidR="007310B0">
        <w:t>, in particular at “Step 8 – Draft Final Determination” where it is stated: “This RAA proposal has been broken into two stages of activities. Stage 1 has been approved, whilst stage 2 activities require additional assessment and approval”.</w:t>
      </w:r>
    </w:p>
    <w:p w14:paraId="66A39B4C" w14:textId="78874AFC" w:rsidR="007276DC" w:rsidRDefault="007276DC" w:rsidP="00BF6330">
      <w:pPr>
        <w:pStyle w:val="ParaNumbering"/>
      </w:pPr>
      <w:r>
        <w:t>There</w:t>
      </w:r>
      <w:r w:rsidR="00080FA0">
        <w:t>fore, the</w:t>
      </w:r>
      <w:r>
        <w:t xml:space="preserve"> clarity in </w:t>
      </w:r>
      <w:r w:rsidR="00080FA0">
        <w:t>Wild Drake’s</w:t>
      </w:r>
      <w:r>
        <w:t xml:space="preserve"> answer “yes” </w:t>
      </w:r>
      <w:r w:rsidR="00107D80">
        <w:t xml:space="preserve">in the referral </w:t>
      </w:r>
      <w:r>
        <w:t xml:space="preserve">to the question whether the </w:t>
      </w:r>
      <w:r w:rsidR="00185525">
        <w:t>action</w:t>
      </w:r>
      <w:r>
        <w:t xml:space="preserve"> was part of a stage</w:t>
      </w:r>
      <w:r w:rsidR="0096281D">
        <w:t>d</w:t>
      </w:r>
      <w:r>
        <w:t xml:space="preserve"> development, or </w:t>
      </w:r>
      <w:r w:rsidR="00107D80">
        <w:t xml:space="preserve">a </w:t>
      </w:r>
      <w:r>
        <w:t xml:space="preserve">component of a larger </w:t>
      </w:r>
      <w:r w:rsidR="00107D80">
        <w:t>project</w:t>
      </w:r>
      <w:r w:rsidR="00080FA0">
        <w:t xml:space="preserve">, can be fully understood. From its perspective, </w:t>
      </w:r>
      <w:r w:rsidR="00924070">
        <w:t xml:space="preserve">the development at Halls Island </w:t>
      </w:r>
      <w:r w:rsidR="00080FA0">
        <w:t>certainly was all one action</w:t>
      </w:r>
      <w:r>
        <w:t>.</w:t>
      </w:r>
      <w:r w:rsidR="00080FA0">
        <w:t xml:space="preserve"> It was the </w:t>
      </w:r>
      <w:r w:rsidR="00107D80">
        <w:t xml:space="preserve">PWS </w:t>
      </w:r>
      <w:r w:rsidR="00080FA0">
        <w:t xml:space="preserve">which split </w:t>
      </w:r>
      <w:r w:rsidR="00107D80">
        <w:t>the action into two stages during the RAA process</w:t>
      </w:r>
      <w:r w:rsidR="00FB630F">
        <w:t xml:space="preserve">. Under the heading “Stage 2 Activities” in Step 8 of the RAA documentation in the Court Book, </w:t>
      </w:r>
      <w:r w:rsidR="00924070">
        <w:t>the PWS</w:t>
      </w:r>
      <w:r w:rsidR="00C66F09">
        <w:t xml:space="preserve"> state</w:t>
      </w:r>
      <w:r w:rsidR="00CA32C3">
        <w:t>d</w:t>
      </w:r>
      <w:r w:rsidR="00FB630F">
        <w:t xml:space="preserve"> that those activities required further assessment prior to approval in order to identify</w:t>
      </w:r>
      <w:r w:rsidR="004948B6">
        <w:t xml:space="preserve"> potential impacts on “natural and cultural” values and to facilitate further engagement and consultation between Wild Drake, the AHC and the Aboriginal community</w:t>
      </w:r>
      <w:r w:rsidR="009B3542">
        <w:t xml:space="preserve"> </w:t>
      </w:r>
      <w:r w:rsidR="006B5F9E">
        <w:t>on matters concerning</w:t>
      </w:r>
      <w:r w:rsidR="009B3542">
        <w:t xml:space="preserve"> “Aboriginal heritage”</w:t>
      </w:r>
      <w:r w:rsidR="00080FA0">
        <w:t>.</w:t>
      </w:r>
    </w:p>
    <w:p w14:paraId="445FBD90" w14:textId="79C56F35" w:rsidR="00583688" w:rsidRDefault="006F4850" w:rsidP="00BF6330">
      <w:pPr>
        <w:pStyle w:val="ParaNumbering"/>
      </w:pPr>
      <w:r>
        <w:t>Even if it were otherwise</w:t>
      </w:r>
      <w:r w:rsidR="00583688">
        <w:t>, the purpose and operation of s 74A(1) are n</w:t>
      </w:r>
      <w:r w:rsidR="00056A80">
        <w:t>o</w:t>
      </w:r>
      <w:r w:rsidR="00583688">
        <w:t>t to b</w:t>
      </w:r>
      <w:r w:rsidR="00056A80">
        <w:t>e</w:t>
      </w:r>
      <w:r w:rsidR="00583688">
        <w:t xml:space="preserve"> confined by the proponent’s </w:t>
      </w:r>
      <w:r w:rsidR="00056A80">
        <w:t>perspective</w:t>
      </w:r>
      <w:r w:rsidR="00583688">
        <w:t xml:space="preserve"> on whether a “stage” of an action is likely to be </w:t>
      </w:r>
      <w:r w:rsidR="00EE7B11">
        <w:t>“</w:t>
      </w:r>
      <w:r w:rsidR="00583688">
        <w:t xml:space="preserve">separate” or not. </w:t>
      </w:r>
      <w:r>
        <w:t xml:space="preserve">Even more so, they are not to be confined by the perspective of those administering a </w:t>
      </w:r>
      <w:r w:rsidR="00782C11">
        <w:t>non-statutory</w:t>
      </w:r>
      <w:r>
        <w:t xml:space="preserve"> process </w:t>
      </w:r>
      <w:r w:rsidR="00670CBE">
        <w:t xml:space="preserve">contemplated </w:t>
      </w:r>
      <w:r>
        <w:t xml:space="preserve">under a State management plan. </w:t>
      </w:r>
      <w:r w:rsidR="00583688">
        <w:t>The whole purpose of s 74A is to engage the Minister (or delegate) in t</w:t>
      </w:r>
      <w:r w:rsidR="004F3C69">
        <w:t>h</w:t>
      </w:r>
      <w:r w:rsidR="00583688">
        <w:t>e question</w:t>
      </w:r>
      <w:r w:rsidR="0076761F">
        <w:t xml:space="preserve"> of</w:t>
      </w:r>
      <w:r w:rsidR="00583688">
        <w:t xml:space="preserve"> whether the</w:t>
      </w:r>
      <w:r w:rsidR="004F3C69">
        <w:t xml:space="preserve">re is </w:t>
      </w:r>
      <w:r w:rsidR="00924070">
        <w:t xml:space="preserve">in reality </w:t>
      </w:r>
      <w:r w:rsidR="004F3C69">
        <w:t>a</w:t>
      </w:r>
      <w:r w:rsidR="00583688">
        <w:t xml:space="preserve"> larger action</w:t>
      </w:r>
      <w:r w:rsidR="004F3C69">
        <w:t xml:space="preserve">, which </w:t>
      </w:r>
      <w:r w:rsidR="00583688">
        <w:t xml:space="preserve">needs to be assessed as a whole, </w:t>
      </w:r>
      <w:r w:rsidR="00AD083A">
        <w:t xml:space="preserve">and if so, to </w:t>
      </w:r>
      <w:r w:rsidR="00782C11">
        <w:t>compel</w:t>
      </w:r>
      <w:r w:rsidR="00AD083A">
        <w:t xml:space="preserve"> a referral of the larger </w:t>
      </w:r>
      <w:r w:rsidR="00EE7B11">
        <w:t xml:space="preserve">action </w:t>
      </w:r>
      <w:r w:rsidR="00782C11">
        <w:t>under</w:t>
      </w:r>
      <w:r w:rsidR="00AD083A">
        <w:t xml:space="preserve"> s 74A(2). In the </w:t>
      </w:r>
      <w:r w:rsidR="00782C11">
        <w:t>alternative</w:t>
      </w:r>
      <w:r w:rsidR="00AD083A">
        <w:t>, the M</w:t>
      </w:r>
      <w:r w:rsidR="00EE7B11">
        <w:t>inister</w:t>
      </w:r>
      <w:r w:rsidR="00AD083A">
        <w:t xml:space="preserve"> may decide, </w:t>
      </w:r>
      <w:r w:rsidR="00583688">
        <w:t xml:space="preserve">having considered the matter, </w:t>
      </w:r>
      <w:r w:rsidR="004F3C69">
        <w:t xml:space="preserve">there is not </w:t>
      </w:r>
      <w:r w:rsidR="00AD083A">
        <w:t>any</w:t>
      </w:r>
      <w:r w:rsidR="004F3C69">
        <w:t xml:space="preserve"> larger action, or even if there is,</w:t>
      </w:r>
      <w:r w:rsidR="00AD083A">
        <w:t xml:space="preserve"> </w:t>
      </w:r>
      <w:r w:rsidR="00670CBE">
        <w:t xml:space="preserve">that </w:t>
      </w:r>
      <w:r w:rsidR="00583688">
        <w:t xml:space="preserve">it is </w:t>
      </w:r>
      <w:r w:rsidR="004F3C69">
        <w:t xml:space="preserve">nevertheless </w:t>
      </w:r>
      <w:r w:rsidR="00583688">
        <w:t xml:space="preserve">appropriate for </w:t>
      </w:r>
      <w:r w:rsidR="00924070">
        <w:t xml:space="preserve">part of </w:t>
      </w:r>
      <w:r w:rsidR="00583688">
        <w:t xml:space="preserve">the </w:t>
      </w:r>
      <w:r w:rsidR="00AD083A">
        <w:t>action</w:t>
      </w:r>
      <w:r w:rsidR="00583688">
        <w:t xml:space="preserve"> to proceed </w:t>
      </w:r>
      <w:r w:rsidR="00670CBE">
        <w:t xml:space="preserve">for </w:t>
      </w:r>
      <w:r w:rsidR="00782C11">
        <w:t>consideration</w:t>
      </w:r>
      <w:r w:rsidR="00583688">
        <w:t xml:space="preserve"> under s 75.</w:t>
      </w:r>
      <w:r w:rsidR="00AD083A">
        <w:t xml:space="preserve"> </w:t>
      </w:r>
    </w:p>
    <w:p w14:paraId="2A36D8DB" w14:textId="1B372A0F" w:rsidR="00E24F3D" w:rsidRDefault="00782C11" w:rsidP="00BF6330">
      <w:pPr>
        <w:pStyle w:val="ParaNumbering"/>
      </w:pPr>
      <w:r>
        <w:t xml:space="preserve">Separating an action into components may </w:t>
      </w:r>
      <w:r w:rsidR="00924070">
        <w:t xml:space="preserve">affect </w:t>
      </w:r>
      <w:r>
        <w:t xml:space="preserve">the </w:t>
      </w:r>
      <w:r w:rsidR="00924070">
        <w:t xml:space="preserve">length and complexity of any </w:t>
      </w:r>
      <w:r>
        <w:t xml:space="preserve">process under the </w:t>
      </w:r>
      <w:r w:rsidR="00EE7B11">
        <w:t xml:space="preserve">EPBC </w:t>
      </w:r>
      <w:r>
        <w:t>Act</w:t>
      </w:r>
      <w:r w:rsidR="003C0879">
        <w:t xml:space="preserve">. </w:t>
      </w:r>
      <w:r>
        <w:t>It may also lead to the M</w:t>
      </w:r>
      <w:r w:rsidR="00EE7B11">
        <w:t>inister</w:t>
      </w:r>
      <w:r>
        <w:t xml:space="preserve"> (or delegate) failing to appreciate the true level of impact of an action; or failing to understand how mitigation measures proposed to be taken (or which might be imposed) will operate in a context where further, and subsequent, action(s) are planned or proposed. In a case such as the present, </w:t>
      </w:r>
      <w:r w:rsidR="003C0879">
        <w:t xml:space="preserve">where </w:t>
      </w:r>
      <w:r>
        <w:t xml:space="preserve">activities </w:t>
      </w:r>
      <w:r w:rsidR="00924070">
        <w:t xml:space="preserve">are described as </w:t>
      </w:r>
      <w:r>
        <w:t>occurring over two stages, a proponent may secure permission for one set of activities and then</w:t>
      </w:r>
      <w:r w:rsidR="00933450">
        <w:t>,</w:t>
      </w:r>
      <w:r>
        <w:t xml:space="preserve"> once those activities are established, be in a quite different position to negotiate to </w:t>
      </w:r>
      <w:r>
        <w:lastRenderedPageBreak/>
        <w:t xml:space="preserve">undertake a second set of activities. That is, in effect, </w:t>
      </w:r>
      <w:r w:rsidR="004F1A38">
        <w:t xml:space="preserve">where </w:t>
      </w:r>
      <w:r>
        <w:t>the delegate’s decision has placed Wild Drake. What these matters highlight</w:t>
      </w:r>
      <w:r w:rsidR="00A24A52">
        <w:t xml:space="preserve">, on facts such as those arising in the present case, </w:t>
      </w:r>
      <w:r>
        <w:t xml:space="preserve">is the need for consideration </w:t>
      </w:r>
      <w:r w:rsidR="00B22646">
        <w:t xml:space="preserve">of </w:t>
      </w:r>
      <w:r>
        <w:t>whether, in reality, there is only one “action”</w:t>
      </w:r>
      <w:r w:rsidR="0076761F">
        <w:t>,</w:t>
      </w:r>
      <w:r>
        <w:t xml:space="preserve"> even if a proponent </w:t>
      </w:r>
      <w:r w:rsidR="00933450">
        <w:t>presents the action</w:t>
      </w:r>
      <w:r>
        <w:t xml:space="preserve"> as activities designed to occur in stages. </w:t>
      </w:r>
      <w:r w:rsidR="00C41DAA">
        <w:t xml:space="preserve">The </w:t>
      </w:r>
      <w:r>
        <w:t>present</w:t>
      </w:r>
      <w:r w:rsidR="00C41DAA">
        <w:t xml:space="preserve"> case is </w:t>
      </w:r>
      <w:r>
        <w:t>probably</w:t>
      </w:r>
      <w:r w:rsidR="00C41DAA">
        <w:t xml:space="preserve"> an </w:t>
      </w:r>
      <w:proofErr w:type="spellStart"/>
      <w:r>
        <w:t>apposite</w:t>
      </w:r>
      <w:proofErr w:type="spellEnd"/>
      <w:r w:rsidR="00C41DAA">
        <w:t xml:space="preserve"> example</w:t>
      </w:r>
      <w:r w:rsidR="009836C3">
        <w:t>. O</w:t>
      </w:r>
      <w:r w:rsidR="00C41DAA">
        <w:t xml:space="preserve">n any view of the material before the </w:t>
      </w:r>
      <w:r>
        <w:t>delegate</w:t>
      </w:r>
      <w:r w:rsidR="00C41DAA">
        <w:t xml:space="preserve">, </w:t>
      </w:r>
      <w:r w:rsidR="00A24A52">
        <w:t xml:space="preserve">the activities </w:t>
      </w:r>
      <w:r w:rsidR="00C41DAA">
        <w:t xml:space="preserve">Wild Drake </w:t>
      </w:r>
      <w:r>
        <w:t>proposed</w:t>
      </w:r>
      <w:r w:rsidR="00C41DAA">
        <w:t xml:space="preserve"> in</w:t>
      </w:r>
      <w:r w:rsidR="00A24A52">
        <w:t xml:space="preserve"> what the RAA </w:t>
      </w:r>
      <w:r w:rsidR="002E6C76">
        <w:t xml:space="preserve">process </w:t>
      </w:r>
      <w:r w:rsidR="00A24A52">
        <w:t>separated out as</w:t>
      </w:r>
      <w:r w:rsidR="00C41DAA">
        <w:t xml:space="preserve"> “stage two” </w:t>
      </w:r>
      <w:r w:rsidR="00A24A52">
        <w:t xml:space="preserve">were </w:t>
      </w:r>
      <w:r w:rsidR="00C41DAA">
        <w:t xml:space="preserve">an </w:t>
      </w:r>
      <w:r>
        <w:t>extension</w:t>
      </w:r>
      <w:r w:rsidR="00C41DAA">
        <w:t xml:space="preserve"> of “stage one”: taking </w:t>
      </w:r>
      <w:r>
        <w:t>tourists</w:t>
      </w:r>
      <w:r w:rsidR="00C41DAA">
        <w:t xml:space="preserve"> to </w:t>
      </w:r>
      <w:r>
        <w:t>different</w:t>
      </w:r>
      <w:r w:rsidR="00C41DAA">
        <w:t xml:space="preserve"> places, but still from the base at Halls Island. </w:t>
      </w:r>
      <w:r>
        <w:t>I do not say that to find in any way that the delegate was bound to find s 74A was engaged, but rather to illustrate that the facts of this referral provide a good example of the situation where there would be a real, not fanciful, question about whether s 74A(1) was engaged</w:t>
      </w:r>
      <w:r w:rsidR="00A24A52">
        <w:t>, and one to which the delegate should have turned his mind, in order properly to perform his statutory task under s 75</w:t>
      </w:r>
      <w:r w:rsidR="009B7F6D">
        <w:t>.</w:t>
      </w:r>
    </w:p>
    <w:p w14:paraId="4F5988A0" w14:textId="065750C5" w:rsidR="00C41DAA" w:rsidRDefault="00C41DAA" w:rsidP="00BF6330">
      <w:pPr>
        <w:pStyle w:val="ParaNumbering"/>
      </w:pPr>
      <w:r>
        <w:t>Although</w:t>
      </w:r>
      <w:r w:rsidR="009836C3">
        <w:t>,</w:t>
      </w:r>
      <w:r>
        <w:t xml:space="preserve"> at times, the </w:t>
      </w:r>
      <w:r w:rsidR="00782C11">
        <w:t>applicant’s</w:t>
      </w:r>
      <w:r>
        <w:t xml:space="preserve"> </w:t>
      </w:r>
      <w:r w:rsidR="00782C11">
        <w:t>submissions</w:t>
      </w:r>
      <w:r>
        <w:t xml:space="preserve"> appeared </w:t>
      </w:r>
      <w:r w:rsidR="00782C11">
        <w:t>to</w:t>
      </w:r>
      <w:r>
        <w:t xml:space="preserve"> suggest the Court should find that the error was a failure to </w:t>
      </w:r>
      <w:r w:rsidRPr="002E6C76">
        <w:rPr>
          <w:i/>
        </w:rPr>
        <w:t>apply</w:t>
      </w:r>
      <w:r>
        <w:t xml:space="preserve"> the terms of s 74A, as expressed in the </w:t>
      </w:r>
      <w:r w:rsidR="00B22646">
        <w:t xml:space="preserve">amended </w:t>
      </w:r>
      <w:r>
        <w:t xml:space="preserve">originating </w:t>
      </w:r>
      <w:r w:rsidR="00782C11">
        <w:t>application</w:t>
      </w:r>
      <w:r>
        <w:t xml:space="preserve"> </w:t>
      </w:r>
      <w:r w:rsidR="00782C11">
        <w:t>and in</w:t>
      </w:r>
      <w:r>
        <w:t xml:space="preserve"> the bulk of </w:t>
      </w:r>
      <w:r w:rsidR="00782C11">
        <w:t>submissions</w:t>
      </w:r>
      <w:r>
        <w:t xml:space="preserve">, I have understood the error to be </w:t>
      </w:r>
      <w:r w:rsidR="00782C11">
        <w:t>identified</w:t>
      </w:r>
      <w:r>
        <w:t xml:space="preserve"> as a failure to </w:t>
      </w:r>
      <w:r w:rsidRPr="00AA4609">
        <w:rPr>
          <w:i/>
        </w:rPr>
        <w:t>consider</w:t>
      </w:r>
      <w:r>
        <w:t xml:space="preserve"> whether s 74A was </w:t>
      </w:r>
      <w:r w:rsidR="00782C11">
        <w:t>engaged</w:t>
      </w:r>
      <w:r>
        <w:t>. That is how the M</w:t>
      </w:r>
      <w:r w:rsidR="00EE7B11">
        <w:t>inister</w:t>
      </w:r>
      <w:r>
        <w:t xml:space="preserve">’s </w:t>
      </w:r>
      <w:r w:rsidR="00782C11">
        <w:t>submissions</w:t>
      </w:r>
      <w:r>
        <w:t xml:space="preserve"> also appear to have </w:t>
      </w:r>
      <w:r w:rsidR="00782C11">
        <w:t>understood</w:t>
      </w:r>
      <w:r>
        <w:t xml:space="preserve"> the alleged error.</w:t>
      </w:r>
    </w:p>
    <w:p w14:paraId="00F3B990" w14:textId="74D8FC18" w:rsidR="00C41DAA" w:rsidRDefault="00782C11" w:rsidP="00BF6330">
      <w:pPr>
        <w:pStyle w:val="ParaNumbering"/>
      </w:pPr>
      <w:r>
        <w:t>In the circumstances of this particular referral, and taking into account the answers given by Wild Drake in the referral to questions expressly designed to direct attention to the operation of s 74A, I find that the delegate’s failure to consider whether s 74A(1) was engaged meant that the delegate’s exercise of power under s 75 was affected</w:t>
      </w:r>
      <w:r w:rsidR="007B1149">
        <w:t>.</w:t>
      </w:r>
      <w:r>
        <w:t xml:space="preserve"> Section</w:t>
      </w:r>
      <w:r w:rsidR="00A531BB">
        <w:t xml:space="preserve"> 74A can only operate prior to a decision being made under s 75: it has a “once off” effect.</w:t>
      </w:r>
    </w:p>
    <w:p w14:paraId="5CD9C384" w14:textId="7D5554A9" w:rsidR="00A531BB" w:rsidRDefault="00A531BB" w:rsidP="00BF6330">
      <w:pPr>
        <w:pStyle w:val="ParaNumbering"/>
      </w:pPr>
      <w:r>
        <w:t xml:space="preserve">Whatever the delegate might have determined about leaving “stage two” of the Halls </w:t>
      </w:r>
      <w:r w:rsidR="004F1A38">
        <w:t>I</w:t>
      </w:r>
      <w:r>
        <w:t>sland action out of consider</w:t>
      </w:r>
      <w:r w:rsidR="004F1A38">
        <w:t>ation</w:t>
      </w:r>
      <w:r>
        <w:t xml:space="preserve"> for the purposes of s 75, the fact as I have found it is that he was not advised </w:t>
      </w:r>
      <w:r w:rsidR="00C868FE">
        <w:t xml:space="preserve">to </w:t>
      </w:r>
      <w:r>
        <w:t xml:space="preserve">consider it, and did not do so. </w:t>
      </w:r>
      <w:r w:rsidR="00782C11">
        <w:t xml:space="preserve">That error materially affected the exercise of power under s 75, because one of the two </w:t>
      </w:r>
      <w:r w:rsidR="00EE7B11">
        <w:t>o</w:t>
      </w:r>
      <w:r w:rsidR="00782C11">
        <w:t>ptions under s 74A was to decide not to accept the</w:t>
      </w:r>
      <w:r w:rsidR="004F1A38">
        <w:t xml:space="preserve"> existing s 75</w:t>
      </w:r>
      <w:r w:rsidR="00782C11">
        <w:t xml:space="preserve"> referral at all: the implication in s 74A(1) being that a proponent would be required to submit a referral containing the entire proposal, and then the s 75 exercise would be quite different.</w:t>
      </w:r>
    </w:p>
    <w:p w14:paraId="39E999D0" w14:textId="6B23F32A" w:rsidR="00AD083A" w:rsidRDefault="00C23287" w:rsidP="007C5A83">
      <w:pPr>
        <w:pStyle w:val="ParaNumbering"/>
      </w:pPr>
      <w:r>
        <w:t>Given the nature of the material before the delegate, the potential application of s 74A was squarely raised. In those factual circumstances, the delegate could</w:t>
      </w:r>
      <w:r w:rsidR="00B24CF3">
        <w:t xml:space="preserve"> not</w:t>
      </w:r>
      <w:r>
        <w:t xml:space="preserve"> perform his task under </w:t>
      </w:r>
      <w:r w:rsidR="00470E99">
        <w:t xml:space="preserve">     </w:t>
      </w:r>
      <w:r>
        <w:t>s 75 without giving consideration to the terms of s 74A. The</w:t>
      </w:r>
      <w:r w:rsidR="00AD083A">
        <w:t xml:space="preserve"> “once off” character</w:t>
      </w:r>
      <w:r w:rsidR="009C76F5">
        <w:t xml:space="preserve"> of s 74A</w:t>
      </w:r>
      <w:r w:rsidR="00AD083A">
        <w:t xml:space="preserve"> contributes to </w:t>
      </w:r>
      <w:r w:rsidR="009C76F5">
        <w:t>the materiality of the delegate’s omission to consider its role</w:t>
      </w:r>
      <w:r w:rsidR="00B24CF3">
        <w:t xml:space="preserve"> on the facts of this </w:t>
      </w:r>
      <w:r w:rsidR="00B24CF3">
        <w:lastRenderedPageBreak/>
        <w:t>case</w:t>
      </w:r>
      <w:r w:rsidR="00AD083A">
        <w:t xml:space="preserve">. Further, the terms of s 74AA(1)(d) also indicate that a </w:t>
      </w:r>
      <w:r w:rsidR="00782C11">
        <w:t>decision</w:t>
      </w:r>
      <w:r w:rsidR="00AD083A">
        <w:t xml:space="preserve"> whether or not to accept a referral under s 74A is a step the </w:t>
      </w:r>
      <w:r w:rsidR="00782C11">
        <w:t>legislative</w:t>
      </w:r>
      <w:r w:rsidR="00AD083A">
        <w:t xml:space="preserve"> scheme expects the M</w:t>
      </w:r>
      <w:r w:rsidR="00EE7B11">
        <w:t>inister</w:t>
      </w:r>
      <w:r w:rsidR="00AD083A">
        <w:t xml:space="preserve"> to</w:t>
      </w:r>
      <w:r w:rsidR="00B24CF3">
        <w:t xml:space="preserve"> consider in an appropriate case.</w:t>
      </w:r>
    </w:p>
    <w:p w14:paraId="62604982" w14:textId="4C964F31" w:rsidR="00EC4C58" w:rsidRDefault="00782C11" w:rsidP="007C5A83">
      <w:pPr>
        <w:pStyle w:val="ParaNumbering"/>
      </w:pPr>
      <w:r>
        <w:t>If it were otherwise, the M</w:t>
      </w:r>
      <w:r w:rsidR="00EE7B11">
        <w:t>inister</w:t>
      </w:r>
      <w:r>
        <w:t xml:space="preserve"> would be able, arbitrarily, to determine the circumstances in which she or he might examine if the action is part of a large</w:t>
      </w:r>
      <w:r w:rsidR="000232FA">
        <w:t>r</w:t>
      </w:r>
      <w:r>
        <w:t xml:space="preserve"> action, even if that matter had been expressly drawn to her or his attention by the proponent in the referral documentation</w:t>
      </w:r>
      <w:r w:rsidR="00B24CF3">
        <w:t xml:space="preserve"> (as the documentation requires)</w:t>
      </w:r>
      <w:r>
        <w:t xml:space="preserve">. </w:t>
      </w:r>
      <w:r w:rsidR="00AD083A">
        <w:t xml:space="preserve">I do not consider the scheme intends such a disorderly result. </w:t>
      </w:r>
    </w:p>
    <w:p w14:paraId="56B1E7BA" w14:textId="7885B1F8" w:rsidR="00E44260" w:rsidRDefault="00782C11" w:rsidP="00EE7B11">
      <w:pPr>
        <w:pStyle w:val="ParaNumbering"/>
      </w:pPr>
      <w:r>
        <w:t>With respect, the authorities on which the M</w:t>
      </w:r>
      <w:r w:rsidR="00EE7B11">
        <w:t>inister</w:t>
      </w:r>
      <w:r>
        <w:t xml:space="preserve"> relied concern quite different circumstances. </w:t>
      </w:r>
      <w:r w:rsidR="00AD083A">
        <w:t xml:space="preserve">Authorities such as </w:t>
      </w:r>
      <w:r w:rsidR="00EE7B11" w:rsidRPr="005D03AB">
        <w:rPr>
          <w:i/>
        </w:rPr>
        <w:t xml:space="preserve">Yasmin v Attorney-General of the Commonwealth of Australia </w:t>
      </w:r>
      <w:r w:rsidR="00EE7B11" w:rsidRPr="005D03AB">
        <w:t>[2015] FCAFC 145; 236 FCR 169</w:t>
      </w:r>
      <w:r w:rsidR="00B837F1">
        <w:t xml:space="preserve"> </w:t>
      </w:r>
      <w:r w:rsidR="00AD083A">
        <w:t xml:space="preserve">concern whether relief in the nature of mandamus is </w:t>
      </w:r>
      <w:r>
        <w:t>available</w:t>
      </w:r>
      <w:r w:rsidR="00AD083A">
        <w:t xml:space="preserve"> to compel a decision</w:t>
      </w:r>
      <w:r w:rsidR="00EE7B11">
        <w:t>-</w:t>
      </w:r>
      <w:r w:rsidR="00AD083A">
        <w:t>maker to do what the decision</w:t>
      </w:r>
      <w:r w:rsidR="00EE7B11">
        <w:t>-</w:t>
      </w:r>
      <w:r w:rsidR="00AD083A">
        <w:t xml:space="preserve">maker has </w:t>
      </w:r>
      <w:r w:rsidR="00E44260">
        <w:t xml:space="preserve">either failed or </w:t>
      </w:r>
      <w:r w:rsidR="00AD083A">
        <w:t xml:space="preserve">positively refused to do. </w:t>
      </w:r>
      <w:r w:rsidR="00E44260">
        <w:t>I</w:t>
      </w:r>
      <w:r w:rsidR="00A62899">
        <w:t>n</w:t>
      </w:r>
      <w:r w:rsidR="00E44260">
        <w:t xml:space="preserve"> </w:t>
      </w:r>
      <w:r w:rsidR="00E44260" w:rsidRPr="00A62899">
        <w:rPr>
          <w:i/>
        </w:rPr>
        <w:t>Yasmin</w:t>
      </w:r>
      <w:r w:rsidR="00E44260">
        <w:t xml:space="preserve"> at [89], the Full Court also emphasi</w:t>
      </w:r>
      <w:r w:rsidR="00A62899">
        <w:t>s</w:t>
      </w:r>
      <w:r w:rsidR="00E44260">
        <w:t>ed that the question whether a power carrie</w:t>
      </w:r>
      <w:r w:rsidR="00A62899">
        <w:t>s</w:t>
      </w:r>
      <w:r w:rsidR="00E44260">
        <w:t xml:space="preserve"> with it a duty to consider its exercise </w:t>
      </w:r>
      <w:r w:rsidR="00B83058">
        <w:t>i</w:t>
      </w:r>
      <w:r w:rsidR="00E44260">
        <w:t xml:space="preserve">s very much context dependent. In the present statutory context, I have not concluded one way or the other, whether the power in </w:t>
      </w:r>
      <w:r w:rsidR="00A62899">
        <w:t>s</w:t>
      </w:r>
      <w:r w:rsidR="00E44260">
        <w:t xml:space="preserve"> 74A carries with it a duty to exercise it</w:t>
      </w:r>
      <w:r w:rsidR="00B24CF3">
        <w:t xml:space="preserve"> in every case</w:t>
      </w:r>
      <w:r w:rsidR="00E44260">
        <w:t xml:space="preserve">. Rather, I have concluded that </w:t>
      </w:r>
      <w:r w:rsidR="00B24CF3">
        <w:t>on the facts</w:t>
      </w:r>
      <w:r w:rsidR="00BD1589">
        <w:t>,</w:t>
      </w:r>
      <w:r w:rsidR="00B24CF3">
        <w:t xml:space="preserve"> the application of s 74A to this action was squarely raised, and therefore needed to be determined as part of the s 75 task</w:t>
      </w:r>
      <w:r w:rsidR="00E44260">
        <w:t>.</w:t>
      </w:r>
    </w:p>
    <w:p w14:paraId="3EDD0FB2" w14:textId="3CF50B78" w:rsidR="00546018" w:rsidRDefault="00F00A04" w:rsidP="00F00A04">
      <w:pPr>
        <w:pStyle w:val="ParaNumbering"/>
      </w:pPr>
      <w:r>
        <w:t>As I noted at the start of these reasons, there was a debate between th</w:t>
      </w:r>
      <w:r w:rsidR="005E547F">
        <w:t>e</w:t>
      </w:r>
      <w:r>
        <w:t xml:space="preserve"> parties about the use to which the applicant </w:t>
      </w:r>
      <w:r w:rsidR="005E547F">
        <w:t>sought</w:t>
      </w:r>
      <w:r>
        <w:t xml:space="preserve"> to put the </w:t>
      </w:r>
      <w:r w:rsidRPr="00EA7668">
        <w:rPr>
          <w:i/>
        </w:rPr>
        <w:t>Nathan Dam</w:t>
      </w:r>
      <w:r>
        <w:t xml:space="preserve"> case. Having rejected the M</w:t>
      </w:r>
      <w:r w:rsidR="00EE7B11">
        <w:t>inister</w:t>
      </w:r>
      <w:r>
        <w:t xml:space="preserve">’s contention </w:t>
      </w:r>
      <w:r w:rsidR="00EE2CEB">
        <w:t xml:space="preserve">that this </w:t>
      </w:r>
      <w:r>
        <w:t xml:space="preserve">was a new argument, I otherwise accept the Minister’s submission that the present situation, especially in relation to ground 3, is quite different. </w:t>
      </w:r>
      <w:r w:rsidR="004F1A38" w:rsidRPr="00AA4609">
        <w:rPr>
          <w:i/>
        </w:rPr>
        <w:t>Nathan Dam</w:t>
      </w:r>
      <w:r w:rsidR="004F1A38">
        <w:t xml:space="preserve"> concerned the nature of indirect impacts. </w:t>
      </w:r>
      <w:r>
        <w:t xml:space="preserve">The error identified by ground 3 concerns whether the delegate performed the statutory task. The nature of the impacts of “stage </w:t>
      </w:r>
      <w:r w:rsidR="002772CE">
        <w:t>two</w:t>
      </w:r>
      <w:r>
        <w:t xml:space="preserve">” of Wild Drake’s action </w:t>
      </w:r>
      <w:r w:rsidR="00430CA7">
        <w:t xml:space="preserve">was </w:t>
      </w:r>
      <w:r>
        <w:t>beside the point. The question was whether in the circumstances the delegate was required to determine if he was satisfied the referred action was part of a larger action, or not. I have decided he was</w:t>
      </w:r>
      <w:r w:rsidR="005E547F">
        <w:t>.</w:t>
      </w:r>
    </w:p>
    <w:p w14:paraId="0BB32006" w14:textId="322F3D27" w:rsidR="005E547F" w:rsidRDefault="005E547F" w:rsidP="00EA7668">
      <w:pPr>
        <w:pStyle w:val="Heading3"/>
      </w:pPr>
      <w:r>
        <w:t>Relief on ground 3</w:t>
      </w:r>
    </w:p>
    <w:p w14:paraId="5949D217" w14:textId="4F83611D" w:rsidR="005E547F" w:rsidRDefault="005E547F" w:rsidP="00F00A04">
      <w:pPr>
        <w:pStyle w:val="ParaNumbering"/>
      </w:pPr>
      <w:r>
        <w:t>Having decided that the applicant’s contentions on ground 3 should be upheld, there is a question about the appropriate relief to be granted</w:t>
      </w:r>
      <w:r w:rsidR="00043BE7">
        <w:t>. That question arises</w:t>
      </w:r>
      <w:r>
        <w:t xml:space="preserve"> in light of the relief I have decided should flow in respect of ground 2</w:t>
      </w:r>
      <w:r w:rsidR="00043BE7">
        <w:t xml:space="preserve"> (that is, of the kind ordered by the Full Court in </w:t>
      </w:r>
      <w:r w:rsidR="00043BE7" w:rsidRPr="00EA7668">
        <w:rPr>
          <w:i/>
        </w:rPr>
        <w:t>Triabunna</w:t>
      </w:r>
      <w:r w:rsidR="0056568D">
        <w:t>)</w:t>
      </w:r>
      <w:r>
        <w:t xml:space="preserve">, and in light of my rejection of the applicant’s argument that the erroneous approach by the delegate to s 75 should lead to a setting aside of the delegate’s decision under </w:t>
      </w:r>
      <w:r>
        <w:lastRenderedPageBreak/>
        <w:t>s 75</w:t>
      </w:r>
      <w:r w:rsidR="00043BE7">
        <w:t>. One option for consideration is whether there can be a remitter to the delegate for the purposes of considering whether he is satisfied s 74A is engaged, and whether, if he is</w:t>
      </w:r>
      <w:r w:rsidR="0056568D">
        <w:t xml:space="preserve"> so</w:t>
      </w:r>
      <w:r w:rsidR="00043BE7">
        <w:t xml:space="preserve"> satisfied, the discretion there conferred should be exercised. There are no doubt other options. </w:t>
      </w:r>
      <w:r w:rsidR="004F1A38">
        <w:t xml:space="preserve">There is also a question whether this can be done without setting aside the s 75 decision. </w:t>
      </w:r>
      <w:r w:rsidR="00043BE7">
        <w:t>The applicant may wish to press for a setting aside of the s 75 decision. The parties should be given an opportunity to agree on relief, and in the absence of agreement, to make short submissions on the matter.</w:t>
      </w:r>
    </w:p>
    <w:p w14:paraId="01F5A761" w14:textId="5EA87ED2" w:rsidR="0061601A" w:rsidRDefault="0061601A" w:rsidP="00A360AE">
      <w:pPr>
        <w:pStyle w:val="Heading1"/>
      </w:pPr>
      <w:r>
        <w:t>Conclusion</w:t>
      </w:r>
    </w:p>
    <w:p w14:paraId="2CC559C4" w14:textId="23E0B228" w:rsidR="00187DF0" w:rsidRDefault="00920164" w:rsidP="000A5620">
      <w:pPr>
        <w:pStyle w:val="ParaNumbering"/>
      </w:pPr>
      <w:r>
        <w:t>Ground 2 succeeds. Ground 1 does not succeed in its terms, but only because of the way I have understood the delegate’s decision. Ground 3 succeeds on the facts, but the parties should be heard on the question of relief, given the Court’s conclusion on ground 2.</w:t>
      </w:r>
    </w:p>
    <w:p w14:paraId="5A992552" w14:textId="4F60B5EB" w:rsidR="00920164" w:rsidRDefault="00920164" w:rsidP="000A5620">
      <w:pPr>
        <w:pStyle w:val="ParaNumbering"/>
      </w:pPr>
      <w:r>
        <w:t xml:space="preserve">The Court’s orders as a consequence of ground 2 succeeding will reflect the orders made by the Full Court in </w:t>
      </w:r>
      <w:r>
        <w:rPr>
          <w:i/>
        </w:rPr>
        <w:t>Triabunna</w:t>
      </w:r>
      <w:r>
        <w:t>, although the parties will be given an opportunity to propose an appropriate formulation of the order relating to the contents of the s 77 notice.</w:t>
      </w:r>
    </w:p>
    <w:p w14:paraId="4C2FD163" w14:textId="55534176" w:rsidR="00920164" w:rsidRDefault="00920164" w:rsidP="000A5620">
      <w:pPr>
        <w:pStyle w:val="ParaNumbering"/>
      </w:pPr>
      <w:r>
        <w:t>The applicant has substantially succeeded and the usual order for costs should be made.</w:t>
      </w:r>
    </w:p>
    <w:p w14:paraId="1E81763C" w14:textId="77777777" w:rsidR="000A2BDC" w:rsidRDefault="000A2BDC" w:rsidP="00A013A4">
      <w:pPr>
        <w:pStyle w:val="BodyText"/>
      </w:pPr>
      <w:bookmarkStart w:id="35" w:name="Certification"/>
    </w:p>
    <w:tbl>
      <w:tblPr>
        <w:tblW w:w="0" w:type="auto"/>
        <w:tblLook w:val="04A0" w:firstRow="1" w:lastRow="0" w:firstColumn="1" w:lastColumn="0" w:noHBand="0" w:noVBand="1"/>
      </w:tblPr>
      <w:tblGrid>
        <w:gridCol w:w="3794"/>
      </w:tblGrid>
      <w:tr w:rsidR="000A2BDC" w:rsidRPr="000A2BDC" w14:paraId="3CE837C2" w14:textId="77777777">
        <w:tc>
          <w:tcPr>
            <w:tcW w:w="3794" w:type="dxa"/>
            <w:shd w:val="clear" w:color="auto" w:fill="auto"/>
          </w:tcPr>
          <w:p w14:paraId="67A19544" w14:textId="6D7CBE93" w:rsidR="000A2BDC" w:rsidRPr="000A2BDC" w:rsidRDefault="000A2BDC" w:rsidP="000A2BDC">
            <w:pPr>
              <w:pStyle w:val="Normal1linespace"/>
            </w:pPr>
            <w:r w:rsidRPr="000A2BDC">
              <w:t xml:space="preserve">I certify that the preceding </w:t>
            </w:r>
            <w:bookmarkStart w:id="36" w:name="NumberWord"/>
            <w:r w:rsidR="005D1501">
              <w:t>one hundred and eighty-two</w:t>
            </w:r>
            <w:bookmarkEnd w:id="36"/>
            <w:r w:rsidRPr="000A2BDC">
              <w:t xml:space="preserve"> (</w:t>
            </w:r>
            <w:bookmarkStart w:id="37" w:name="NumberNumeral"/>
            <w:r w:rsidR="005D1501">
              <w:t>182</w:t>
            </w:r>
            <w:bookmarkEnd w:id="37"/>
            <w:r w:rsidRPr="000A2BDC">
              <w:t xml:space="preserve">) numbered </w:t>
            </w:r>
            <w:bookmarkStart w:id="38" w:name="CertPara"/>
            <w:r w:rsidR="005D1501">
              <w:t>paragraphs are</w:t>
            </w:r>
            <w:bookmarkEnd w:id="38"/>
            <w:r w:rsidRPr="000A2BDC">
              <w:t xml:space="preserve"> a true copy of the Reasons for Judgment herein of the Honourable </w:t>
            </w:r>
            <w:bookmarkStart w:id="39" w:name="Justice"/>
            <w:r>
              <w:t>Justice Mortimer</w:t>
            </w:r>
            <w:bookmarkEnd w:id="39"/>
            <w:r w:rsidRPr="000A2BDC">
              <w:t>.</w:t>
            </w:r>
          </w:p>
        </w:tc>
      </w:tr>
    </w:tbl>
    <w:p w14:paraId="7ACEC82F" w14:textId="5AC59085" w:rsidR="000A2BDC" w:rsidRDefault="000A2BDC" w:rsidP="00A013A4">
      <w:pPr>
        <w:pStyle w:val="BodyText"/>
      </w:pPr>
    </w:p>
    <w:p w14:paraId="69E2BE5D" w14:textId="77777777" w:rsidR="000A2BDC" w:rsidRDefault="000A2BDC" w:rsidP="00A013A4">
      <w:pPr>
        <w:pStyle w:val="BodyText"/>
      </w:pPr>
    </w:p>
    <w:p w14:paraId="3AADE966" w14:textId="67697DE2" w:rsidR="000A2BDC" w:rsidRDefault="000A2BDC" w:rsidP="00A013A4">
      <w:pPr>
        <w:pStyle w:val="BodyText"/>
      </w:pPr>
      <w:r>
        <w:t>Associate:</w:t>
      </w:r>
      <w:r w:rsidRPr="000A2BDC">
        <w:rPr>
          <w:noProof/>
          <w:lang w:eastAsia="en-AU"/>
        </w:rPr>
        <w:t xml:space="preserve"> </w:t>
      </w:r>
    </w:p>
    <w:p w14:paraId="3CDFD24F" w14:textId="77777777" w:rsidR="000A2BDC" w:rsidRDefault="000A2BDC" w:rsidP="00A013A4">
      <w:pPr>
        <w:pStyle w:val="BodyText"/>
      </w:pPr>
    </w:p>
    <w:p w14:paraId="7193FBE2" w14:textId="62BF860E" w:rsidR="000A2BDC" w:rsidRDefault="000A2BDC" w:rsidP="00A013A4">
      <w:pPr>
        <w:pStyle w:val="BodyText"/>
        <w:tabs>
          <w:tab w:val="left" w:pos="1134"/>
        </w:tabs>
      </w:pPr>
      <w:r>
        <w:t>Dated:</w:t>
      </w:r>
      <w:r>
        <w:tab/>
      </w:r>
      <w:bookmarkStart w:id="40" w:name="CertifyDated"/>
      <w:r>
        <w:t>12 November 2019</w:t>
      </w:r>
      <w:bookmarkEnd w:id="40"/>
    </w:p>
    <w:p w14:paraId="55330F7A" w14:textId="77777777" w:rsidR="000A2BDC" w:rsidRDefault="000A2BDC" w:rsidP="00A013A4">
      <w:pPr>
        <w:pStyle w:val="BodyText"/>
      </w:pPr>
    </w:p>
    <w:bookmarkEnd w:id="35"/>
    <w:p w14:paraId="76033E5B" w14:textId="77777777" w:rsidR="000A2BDC" w:rsidRDefault="000A2BDC" w:rsidP="000A2BDC">
      <w:pPr>
        <w:pStyle w:val="BodyText"/>
      </w:pPr>
    </w:p>
    <w:sectPr w:rsidR="000A2BD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AAAC" w14:textId="77777777" w:rsidR="00A013A4" w:rsidRDefault="00A013A4">
      <w:pPr>
        <w:spacing w:line="20" w:lineRule="exact"/>
      </w:pPr>
    </w:p>
    <w:p w14:paraId="19AB59EF" w14:textId="77777777" w:rsidR="00A013A4" w:rsidRDefault="00A013A4"/>
    <w:p w14:paraId="5DA5EA4F" w14:textId="77777777" w:rsidR="00A013A4" w:rsidRDefault="00A013A4"/>
  </w:endnote>
  <w:endnote w:type="continuationSeparator" w:id="0">
    <w:p w14:paraId="385CE883" w14:textId="77777777" w:rsidR="00A013A4" w:rsidRDefault="00A013A4">
      <w:r>
        <w:t xml:space="preserve"> </w:t>
      </w:r>
    </w:p>
    <w:p w14:paraId="5F50C021" w14:textId="77777777" w:rsidR="00A013A4" w:rsidRDefault="00A013A4"/>
    <w:p w14:paraId="37E7AA53" w14:textId="77777777" w:rsidR="00A013A4" w:rsidRDefault="00A013A4"/>
  </w:endnote>
  <w:endnote w:type="continuationNotice" w:id="1">
    <w:p w14:paraId="75FB33D3" w14:textId="77777777" w:rsidR="00A013A4" w:rsidRDefault="00A013A4">
      <w:r>
        <w:t xml:space="preserve"> </w:t>
      </w:r>
    </w:p>
    <w:p w14:paraId="41001944" w14:textId="77777777" w:rsidR="00A013A4" w:rsidRDefault="00A013A4"/>
    <w:p w14:paraId="3BD62A08" w14:textId="77777777" w:rsidR="00A013A4" w:rsidRDefault="00A0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D8B3" w14:textId="61E9DC49" w:rsidR="00A013A4" w:rsidRDefault="00A013A4">
    <w:pPr>
      <w:pStyle w:val="Footer"/>
      <w:jc w:val="center"/>
      <w:rPr>
        <w:sz w:val="28"/>
      </w:rPr>
    </w:pP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F36C" w14:textId="0B7E257F" w:rsidR="00A013A4" w:rsidRPr="00624520" w:rsidRDefault="00A013A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C2F1" w14:textId="21E6D109" w:rsidR="00A013A4" w:rsidRDefault="00A013A4"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23C3" w14:textId="77777777" w:rsidR="00A013A4" w:rsidRDefault="00A013A4"/>
    <w:p w14:paraId="2011B24E" w14:textId="77777777" w:rsidR="00A013A4" w:rsidRDefault="00A013A4"/>
    <w:p w14:paraId="61F2123B" w14:textId="77777777" w:rsidR="00A013A4" w:rsidRDefault="00A013A4"/>
  </w:footnote>
  <w:footnote w:type="continuationSeparator" w:id="0">
    <w:p w14:paraId="397E5CBC" w14:textId="77777777" w:rsidR="00A013A4" w:rsidRDefault="00A013A4">
      <w:r>
        <w:continuationSeparator/>
      </w:r>
    </w:p>
    <w:p w14:paraId="3FB87CA0" w14:textId="77777777" w:rsidR="00A013A4" w:rsidRDefault="00A013A4"/>
    <w:p w14:paraId="2391E848" w14:textId="77777777" w:rsidR="00A013A4" w:rsidRDefault="00A013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C3D6" w14:textId="5C10A15C" w:rsidR="00A013A4" w:rsidRDefault="00A013A4">
    <w:pPr>
      <w:tabs>
        <w:tab w:val="center" w:pos="4512"/>
      </w:tabs>
      <w:suppressAutoHyphens/>
    </w:pPr>
    <w:r>
      <w:tab/>
      <w:t xml:space="preserve">- </w:t>
    </w:r>
    <w:r>
      <w:fldChar w:fldCharType="begin"/>
    </w:r>
    <w:r>
      <w:instrText xml:space="preserve"> PAGE   \* MERGEFORMAT </w:instrText>
    </w:r>
    <w:r>
      <w:fldChar w:fldCharType="separate"/>
    </w:r>
    <w:r w:rsidR="00C83A74">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2297" w14:textId="77777777" w:rsidR="00A013A4" w:rsidRDefault="00A013A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6278" w14:textId="77777777" w:rsidR="00A013A4" w:rsidRDefault="00A013A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3B1A" w14:textId="587C660E" w:rsidR="00A013A4" w:rsidRDefault="00A013A4">
    <w:pPr>
      <w:tabs>
        <w:tab w:val="center" w:pos="4512"/>
      </w:tabs>
      <w:suppressAutoHyphens/>
    </w:pPr>
    <w:r>
      <w:tab/>
      <w:t xml:space="preserve">- </w:t>
    </w:r>
    <w:r>
      <w:fldChar w:fldCharType="begin"/>
    </w:r>
    <w:r>
      <w:instrText>page \* arabic</w:instrText>
    </w:r>
    <w:r>
      <w:fldChar w:fldCharType="separate"/>
    </w:r>
    <w:r w:rsidR="00064148">
      <w:rPr>
        <w:noProof/>
      </w:rPr>
      <w:t>16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AE29" w14:textId="77777777" w:rsidR="00A013A4" w:rsidRDefault="00A013A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84713"/>
    <w:multiLevelType w:val="hybridMultilevel"/>
    <w:tmpl w:val="90B29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F822165"/>
    <w:multiLevelType w:val="hybridMultilevel"/>
    <w:tmpl w:val="7240815C"/>
    <w:lvl w:ilvl="0" w:tplc="6DBC2928">
      <w:start w:val="1"/>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720"/>
        </w:tabs>
        <w:ind w:left="72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8" w15:restartNumberingAfterBreak="0">
    <w:nsid w:val="24DD6011"/>
    <w:multiLevelType w:val="hybridMultilevel"/>
    <w:tmpl w:val="4E9E8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926627A"/>
    <w:multiLevelType w:val="hybridMultilevel"/>
    <w:tmpl w:val="C93EF9C2"/>
    <w:lvl w:ilvl="0" w:tplc="8A30FCBE">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2" w15:restartNumberingAfterBreak="0">
    <w:nsid w:val="2AD4345C"/>
    <w:multiLevelType w:val="multilevel"/>
    <w:tmpl w:val="15C806DA"/>
    <w:styleLink w:val="FCOrders"/>
    <w:lvl w:ilvl="0">
      <w:start w:val="1"/>
      <w:numFmt w:val="decimal"/>
      <w:pStyle w:val="Order1"/>
      <w:lvlText w:val="%1."/>
      <w:lvlJc w:val="left"/>
      <w:pPr>
        <w:ind w:left="862" w:hanging="720"/>
      </w:pPr>
      <w:rPr>
        <w:rFonts w:ascii="Times New Roman" w:hAnsi="Times New Roman" w:hint="default"/>
        <w:sz w:val="24"/>
      </w:rPr>
    </w:lvl>
    <w:lvl w:ilvl="1">
      <w:start w:val="1"/>
      <w:numFmt w:val="lowerLetter"/>
      <w:pStyle w:val="Order2"/>
      <w:lvlText w:val="(%2)"/>
      <w:lvlJc w:val="left"/>
      <w:pPr>
        <w:ind w:left="1582" w:hanging="720"/>
      </w:pPr>
      <w:rPr>
        <w:rFonts w:hint="default"/>
      </w:rPr>
    </w:lvl>
    <w:lvl w:ilvl="2">
      <w:start w:val="1"/>
      <w:numFmt w:val="lowerRoman"/>
      <w:pStyle w:val="Order3"/>
      <w:lvlText w:val="(%3)"/>
      <w:lvlJc w:val="left"/>
      <w:pPr>
        <w:tabs>
          <w:tab w:val="num" w:pos="1582"/>
        </w:tabs>
        <w:ind w:left="2302" w:hanging="720"/>
      </w:pPr>
      <w:rPr>
        <w:rFonts w:hint="default"/>
      </w:rPr>
    </w:lvl>
    <w:lvl w:ilvl="3">
      <w:numFmt w:val="none"/>
      <w:lvlRestart w:val="0"/>
      <w:suff w:val="nothing"/>
      <w:lvlText w:val=""/>
      <w:lvlJc w:val="left"/>
      <w:pPr>
        <w:ind w:left="-32625" w:firstLine="0"/>
      </w:pPr>
      <w:rPr>
        <w:rFonts w:hint="default"/>
      </w:rPr>
    </w:lvl>
    <w:lvl w:ilvl="4">
      <w:numFmt w:val="none"/>
      <w:lvlRestart w:val="0"/>
      <w:suff w:val="nothing"/>
      <w:lvlText w:val=""/>
      <w:lvlJc w:val="left"/>
      <w:pPr>
        <w:ind w:left="-32625" w:firstLine="0"/>
      </w:pPr>
      <w:rPr>
        <w:rFonts w:hint="default"/>
      </w:rPr>
    </w:lvl>
    <w:lvl w:ilvl="5">
      <w:start w:val="1"/>
      <w:numFmt w:val="none"/>
      <w:lvlRestart w:val="0"/>
      <w:suff w:val="nothing"/>
      <w:lvlText w:val=""/>
      <w:lvlJc w:val="left"/>
      <w:pPr>
        <w:ind w:left="-32625" w:firstLine="0"/>
      </w:pPr>
      <w:rPr>
        <w:rFonts w:hint="default"/>
      </w:rPr>
    </w:lvl>
    <w:lvl w:ilvl="6">
      <w:start w:val="1"/>
      <w:numFmt w:val="none"/>
      <w:lvlRestart w:val="0"/>
      <w:suff w:val="nothing"/>
      <w:lvlText w:val=""/>
      <w:lvlJc w:val="left"/>
      <w:pPr>
        <w:ind w:left="-32625" w:firstLine="0"/>
      </w:pPr>
      <w:rPr>
        <w:rFonts w:hint="default"/>
      </w:rPr>
    </w:lvl>
    <w:lvl w:ilvl="7">
      <w:start w:val="1"/>
      <w:numFmt w:val="none"/>
      <w:lvlRestart w:val="0"/>
      <w:suff w:val="nothing"/>
      <w:lvlText w:val=""/>
      <w:lvlJc w:val="left"/>
      <w:pPr>
        <w:ind w:left="-32625" w:firstLine="0"/>
      </w:pPr>
      <w:rPr>
        <w:rFonts w:hint="default"/>
      </w:rPr>
    </w:lvl>
    <w:lvl w:ilvl="8">
      <w:start w:val="1"/>
      <w:numFmt w:val="none"/>
      <w:suff w:val="nothing"/>
      <w:lvlText w:val=""/>
      <w:lvlJc w:val="left"/>
      <w:pPr>
        <w:ind w:left="-32625" w:firstLine="0"/>
      </w:pPr>
      <w:rPr>
        <w:rFonts w:hint="default"/>
      </w:rPr>
    </w:lvl>
  </w:abstractNum>
  <w:abstractNum w:abstractNumId="23"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494817A7"/>
    <w:multiLevelType w:val="multilevel"/>
    <w:tmpl w:val="0F0EC90E"/>
    <w:numStyleLink w:val="FCListNo"/>
  </w:abstractNum>
  <w:abstractNum w:abstractNumId="2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5D135A4A"/>
    <w:multiLevelType w:val="hybridMultilevel"/>
    <w:tmpl w:val="57B89ED2"/>
    <w:lvl w:ilvl="0" w:tplc="C090CCB2">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33"/>
  </w:num>
  <w:num w:numId="17">
    <w:abstractNumId w:val="24"/>
  </w:num>
  <w:num w:numId="18">
    <w:abstractNumId w:val="24"/>
  </w:num>
  <w:num w:numId="19">
    <w:abstractNumId w:val="31"/>
  </w:num>
  <w:num w:numId="20">
    <w:abstractNumId w:val="27"/>
  </w:num>
  <w:num w:numId="21">
    <w:abstractNumId w:val="28"/>
  </w:num>
  <w:num w:numId="22">
    <w:abstractNumId w:val="34"/>
  </w:num>
  <w:num w:numId="23">
    <w:abstractNumId w:val="34"/>
  </w:num>
  <w:num w:numId="24">
    <w:abstractNumId w:val="34"/>
  </w:num>
  <w:num w:numId="25">
    <w:abstractNumId w:val="34"/>
  </w:num>
  <w:num w:numId="26">
    <w:abstractNumId w:val="34"/>
  </w:num>
  <w:num w:numId="27">
    <w:abstractNumId w:val="17"/>
  </w:num>
  <w:num w:numId="28">
    <w:abstractNumId w:val="19"/>
  </w:num>
  <w:num w:numId="29">
    <w:abstractNumId w:val="11"/>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23"/>
  </w:num>
  <w:num w:numId="35">
    <w:abstractNumId w:val="26"/>
  </w:num>
  <w:num w:numId="36">
    <w:abstractNumId w:val="26"/>
  </w:num>
  <w:num w:numId="37">
    <w:abstractNumId w:val="26"/>
  </w:num>
  <w:num w:numId="38">
    <w:abstractNumId w:val="16"/>
  </w:num>
  <w:num w:numId="39">
    <w:abstractNumId w:val="26"/>
  </w:num>
  <w:num w:numId="40">
    <w:abstractNumId w:val="26"/>
  </w:num>
  <w:num w:numId="41">
    <w:abstractNumId w:val="2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720"/>
          </w:tabs>
          <w:ind w:left="72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720"/>
          </w:tabs>
          <w:ind w:left="72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30"/>
  </w:num>
  <w:num w:numId="54">
    <w:abstractNumId w:val="2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720"/>
          </w:tabs>
          <w:ind w:left="72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5">
    <w:abstractNumId w:val="18"/>
  </w:num>
  <w:num w:numId="56">
    <w:abstractNumId w:val="20"/>
  </w:num>
  <w:num w:numId="57">
    <w:abstractNumId w:val="1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The Wilderness Society (Tasmania) Inc"/>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TAD 45 of 2018"/>
    <w:docVar w:name="HearingDate" w:val="26 March 2019"/>
    <w:docVar w:name="Initiators" w:val="(and another named in the Schedule)"/>
    <w:docVar w:name="Judgdate" w:val="12 November 2019"/>
    <w:docVar w:name="Judge" w:val="Mortimer"/>
    <w:docVar w:name="Justices" w:val="Justice"/>
    <w:docVar w:name="lstEntryList" w:val="-1"/>
    <w:docVar w:name="myEntryList" w:val="Counsel for the Applicant=Mr E M Nekvapil|Solicitor for the Applicant=Environmental Defenders Office (Tasmania) Inc|Counsel for the Respondent=Ms A Mitchelmore with Ms F I Gordon|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the Environment"/>
    <w:docVar w:name="ResState" w:val="Tasmania"/>
    <w:docVar w:name="SubArea" w:val="[none]"/>
  </w:docVars>
  <w:rsids>
    <w:rsidRoot w:val="007C5A83"/>
    <w:rsid w:val="00010320"/>
    <w:rsid w:val="00012022"/>
    <w:rsid w:val="00012BE9"/>
    <w:rsid w:val="00012CE6"/>
    <w:rsid w:val="00013D70"/>
    <w:rsid w:val="0001469E"/>
    <w:rsid w:val="000146C6"/>
    <w:rsid w:val="00015993"/>
    <w:rsid w:val="00021363"/>
    <w:rsid w:val="00022289"/>
    <w:rsid w:val="000232FA"/>
    <w:rsid w:val="00025AB2"/>
    <w:rsid w:val="00025DFA"/>
    <w:rsid w:val="00026E7F"/>
    <w:rsid w:val="0002768D"/>
    <w:rsid w:val="000301AE"/>
    <w:rsid w:val="00032F9F"/>
    <w:rsid w:val="00034B7C"/>
    <w:rsid w:val="00035B2D"/>
    <w:rsid w:val="00035E9C"/>
    <w:rsid w:val="00037720"/>
    <w:rsid w:val="000406FF"/>
    <w:rsid w:val="00041C07"/>
    <w:rsid w:val="00043BE7"/>
    <w:rsid w:val="0004535C"/>
    <w:rsid w:val="00045BB7"/>
    <w:rsid w:val="0004770C"/>
    <w:rsid w:val="000553AA"/>
    <w:rsid w:val="00055719"/>
    <w:rsid w:val="0005641B"/>
    <w:rsid w:val="00056A80"/>
    <w:rsid w:val="00063B8A"/>
    <w:rsid w:val="00064148"/>
    <w:rsid w:val="00064455"/>
    <w:rsid w:val="00067823"/>
    <w:rsid w:val="00072A14"/>
    <w:rsid w:val="00072C84"/>
    <w:rsid w:val="00075214"/>
    <w:rsid w:val="00075EDD"/>
    <w:rsid w:val="00080FA0"/>
    <w:rsid w:val="00081497"/>
    <w:rsid w:val="00083AC5"/>
    <w:rsid w:val="00085334"/>
    <w:rsid w:val="000854AE"/>
    <w:rsid w:val="000957F8"/>
    <w:rsid w:val="00095D86"/>
    <w:rsid w:val="00096198"/>
    <w:rsid w:val="000974F1"/>
    <w:rsid w:val="000A1AB1"/>
    <w:rsid w:val="000A2BDC"/>
    <w:rsid w:val="000A2E76"/>
    <w:rsid w:val="000A34EA"/>
    <w:rsid w:val="000A43A6"/>
    <w:rsid w:val="000A4807"/>
    <w:rsid w:val="000A495E"/>
    <w:rsid w:val="000A4BE4"/>
    <w:rsid w:val="000A5620"/>
    <w:rsid w:val="000A5676"/>
    <w:rsid w:val="000A5C3C"/>
    <w:rsid w:val="000A6142"/>
    <w:rsid w:val="000A7E57"/>
    <w:rsid w:val="000B1E90"/>
    <w:rsid w:val="000B416F"/>
    <w:rsid w:val="000C023E"/>
    <w:rsid w:val="000C3F50"/>
    <w:rsid w:val="000C5195"/>
    <w:rsid w:val="000C62EF"/>
    <w:rsid w:val="000C6D63"/>
    <w:rsid w:val="000D059F"/>
    <w:rsid w:val="000D2137"/>
    <w:rsid w:val="000D3FD2"/>
    <w:rsid w:val="000D5538"/>
    <w:rsid w:val="000D75D4"/>
    <w:rsid w:val="000E3FC8"/>
    <w:rsid w:val="000E5673"/>
    <w:rsid w:val="000E6711"/>
    <w:rsid w:val="000E7BAE"/>
    <w:rsid w:val="000F08F9"/>
    <w:rsid w:val="000F133D"/>
    <w:rsid w:val="000F3515"/>
    <w:rsid w:val="000F3C07"/>
    <w:rsid w:val="000F497F"/>
    <w:rsid w:val="0010033F"/>
    <w:rsid w:val="00101A38"/>
    <w:rsid w:val="00102B0A"/>
    <w:rsid w:val="00104AFA"/>
    <w:rsid w:val="0010536B"/>
    <w:rsid w:val="00106EFE"/>
    <w:rsid w:val="00107D80"/>
    <w:rsid w:val="0011145C"/>
    <w:rsid w:val="001128BD"/>
    <w:rsid w:val="0011419D"/>
    <w:rsid w:val="00117634"/>
    <w:rsid w:val="0012115E"/>
    <w:rsid w:val="00125D31"/>
    <w:rsid w:val="00130F92"/>
    <w:rsid w:val="00131EDA"/>
    <w:rsid w:val="00132054"/>
    <w:rsid w:val="00134F5F"/>
    <w:rsid w:val="00135190"/>
    <w:rsid w:val="001356C2"/>
    <w:rsid w:val="0014105E"/>
    <w:rsid w:val="00147707"/>
    <w:rsid w:val="001541D4"/>
    <w:rsid w:val="00155359"/>
    <w:rsid w:val="00161D16"/>
    <w:rsid w:val="00162C1B"/>
    <w:rsid w:val="00163E01"/>
    <w:rsid w:val="00164A63"/>
    <w:rsid w:val="00170067"/>
    <w:rsid w:val="001714F8"/>
    <w:rsid w:val="001722B9"/>
    <w:rsid w:val="001727A4"/>
    <w:rsid w:val="0017376C"/>
    <w:rsid w:val="001738AB"/>
    <w:rsid w:val="001765E0"/>
    <w:rsid w:val="00177759"/>
    <w:rsid w:val="00183305"/>
    <w:rsid w:val="00185525"/>
    <w:rsid w:val="0018564F"/>
    <w:rsid w:val="00185E6B"/>
    <w:rsid w:val="00187BBC"/>
    <w:rsid w:val="00187DF0"/>
    <w:rsid w:val="0019003E"/>
    <w:rsid w:val="00190A27"/>
    <w:rsid w:val="00190D85"/>
    <w:rsid w:val="001919F7"/>
    <w:rsid w:val="001932F3"/>
    <w:rsid w:val="00195E07"/>
    <w:rsid w:val="001A1400"/>
    <w:rsid w:val="001A1679"/>
    <w:rsid w:val="001A1957"/>
    <w:rsid w:val="001A4309"/>
    <w:rsid w:val="001B1053"/>
    <w:rsid w:val="001B14AC"/>
    <w:rsid w:val="001B402D"/>
    <w:rsid w:val="001B5C51"/>
    <w:rsid w:val="001B7940"/>
    <w:rsid w:val="001C0256"/>
    <w:rsid w:val="001C0D71"/>
    <w:rsid w:val="001C37CA"/>
    <w:rsid w:val="001C4508"/>
    <w:rsid w:val="001C4CFC"/>
    <w:rsid w:val="001C4EA9"/>
    <w:rsid w:val="001C6A72"/>
    <w:rsid w:val="001C786E"/>
    <w:rsid w:val="001D1721"/>
    <w:rsid w:val="001D37D9"/>
    <w:rsid w:val="001D41D6"/>
    <w:rsid w:val="001D4303"/>
    <w:rsid w:val="001D6746"/>
    <w:rsid w:val="001E02D9"/>
    <w:rsid w:val="001E0832"/>
    <w:rsid w:val="001E0DF9"/>
    <w:rsid w:val="001E1951"/>
    <w:rsid w:val="001E2642"/>
    <w:rsid w:val="001E3B49"/>
    <w:rsid w:val="001E444D"/>
    <w:rsid w:val="001E6141"/>
    <w:rsid w:val="001E6473"/>
    <w:rsid w:val="001E7388"/>
    <w:rsid w:val="001F13DD"/>
    <w:rsid w:val="001F2DBC"/>
    <w:rsid w:val="001F5697"/>
    <w:rsid w:val="001F5C39"/>
    <w:rsid w:val="001F73E8"/>
    <w:rsid w:val="00200ACA"/>
    <w:rsid w:val="00201043"/>
    <w:rsid w:val="0020262C"/>
    <w:rsid w:val="0020622B"/>
    <w:rsid w:val="0020628A"/>
    <w:rsid w:val="0021148D"/>
    <w:rsid w:val="00221D0D"/>
    <w:rsid w:val="00223BCA"/>
    <w:rsid w:val="00224537"/>
    <w:rsid w:val="0022570D"/>
    <w:rsid w:val="002264D6"/>
    <w:rsid w:val="0023101C"/>
    <w:rsid w:val="0023471F"/>
    <w:rsid w:val="00234C90"/>
    <w:rsid w:val="00235956"/>
    <w:rsid w:val="0023750F"/>
    <w:rsid w:val="00240E84"/>
    <w:rsid w:val="0024389A"/>
    <w:rsid w:val="00243946"/>
    <w:rsid w:val="002441D8"/>
    <w:rsid w:val="0024481A"/>
    <w:rsid w:val="00247526"/>
    <w:rsid w:val="00247C9A"/>
    <w:rsid w:val="0025160C"/>
    <w:rsid w:val="002535D0"/>
    <w:rsid w:val="002539B3"/>
    <w:rsid w:val="00255E04"/>
    <w:rsid w:val="00257255"/>
    <w:rsid w:val="00257263"/>
    <w:rsid w:val="00257390"/>
    <w:rsid w:val="00257C3E"/>
    <w:rsid w:val="002602C2"/>
    <w:rsid w:val="00260772"/>
    <w:rsid w:val="002646B4"/>
    <w:rsid w:val="002666C9"/>
    <w:rsid w:val="00266A91"/>
    <w:rsid w:val="00266C20"/>
    <w:rsid w:val="00267EE9"/>
    <w:rsid w:val="00270136"/>
    <w:rsid w:val="00273B8F"/>
    <w:rsid w:val="00274F5B"/>
    <w:rsid w:val="002772CE"/>
    <w:rsid w:val="00277DD0"/>
    <w:rsid w:val="00280836"/>
    <w:rsid w:val="00282E1A"/>
    <w:rsid w:val="002865AC"/>
    <w:rsid w:val="0029113B"/>
    <w:rsid w:val="0029157F"/>
    <w:rsid w:val="00291C28"/>
    <w:rsid w:val="00291FAE"/>
    <w:rsid w:val="00292B6B"/>
    <w:rsid w:val="00292BC8"/>
    <w:rsid w:val="002934C0"/>
    <w:rsid w:val="002939CD"/>
    <w:rsid w:val="0029706F"/>
    <w:rsid w:val="002A1B50"/>
    <w:rsid w:val="002A1E2F"/>
    <w:rsid w:val="002A32F4"/>
    <w:rsid w:val="002A4380"/>
    <w:rsid w:val="002A525B"/>
    <w:rsid w:val="002A5296"/>
    <w:rsid w:val="002A5D6D"/>
    <w:rsid w:val="002A5DFE"/>
    <w:rsid w:val="002A685C"/>
    <w:rsid w:val="002A6B05"/>
    <w:rsid w:val="002B0E91"/>
    <w:rsid w:val="002B248B"/>
    <w:rsid w:val="002B494A"/>
    <w:rsid w:val="002B6779"/>
    <w:rsid w:val="002B6C94"/>
    <w:rsid w:val="002B71C0"/>
    <w:rsid w:val="002B7A34"/>
    <w:rsid w:val="002C04F2"/>
    <w:rsid w:val="002C2A79"/>
    <w:rsid w:val="002C2F0F"/>
    <w:rsid w:val="002C31AD"/>
    <w:rsid w:val="002C3B71"/>
    <w:rsid w:val="002C58F8"/>
    <w:rsid w:val="002C6481"/>
    <w:rsid w:val="002C7385"/>
    <w:rsid w:val="002D0034"/>
    <w:rsid w:val="002D1BB0"/>
    <w:rsid w:val="002D2DBB"/>
    <w:rsid w:val="002D4F03"/>
    <w:rsid w:val="002D54A6"/>
    <w:rsid w:val="002E1820"/>
    <w:rsid w:val="002E2F64"/>
    <w:rsid w:val="002E5AB8"/>
    <w:rsid w:val="002E6A7A"/>
    <w:rsid w:val="002E6C76"/>
    <w:rsid w:val="002F0377"/>
    <w:rsid w:val="002F172E"/>
    <w:rsid w:val="002F1E49"/>
    <w:rsid w:val="002F30F0"/>
    <w:rsid w:val="002F3521"/>
    <w:rsid w:val="002F4E9C"/>
    <w:rsid w:val="002F7222"/>
    <w:rsid w:val="003009AE"/>
    <w:rsid w:val="00305E5B"/>
    <w:rsid w:val="00311799"/>
    <w:rsid w:val="00311E5A"/>
    <w:rsid w:val="0031256C"/>
    <w:rsid w:val="00313D7D"/>
    <w:rsid w:val="00314D6C"/>
    <w:rsid w:val="00316D2A"/>
    <w:rsid w:val="003212F9"/>
    <w:rsid w:val="00322A7C"/>
    <w:rsid w:val="003246B8"/>
    <w:rsid w:val="00330A91"/>
    <w:rsid w:val="00331514"/>
    <w:rsid w:val="003317B4"/>
    <w:rsid w:val="00331C0E"/>
    <w:rsid w:val="00331E3B"/>
    <w:rsid w:val="0033254A"/>
    <w:rsid w:val="0033386F"/>
    <w:rsid w:val="003344B7"/>
    <w:rsid w:val="003372BD"/>
    <w:rsid w:val="003402D3"/>
    <w:rsid w:val="00343ABC"/>
    <w:rsid w:val="00345E25"/>
    <w:rsid w:val="003463FE"/>
    <w:rsid w:val="003464F3"/>
    <w:rsid w:val="00352758"/>
    <w:rsid w:val="00353305"/>
    <w:rsid w:val="0035415F"/>
    <w:rsid w:val="003554B3"/>
    <w:rsid w:val="00355F20"/>
    <w:rsid w:val="00356632"/>
    <w:rsid w:val="00356D5B"/>
    <w:rsid w:val="00357378"/>
    <w:rsid w:val="0036380A"/>
    <w:rsid w:val="00364036"/>
    <w:rsid w:val="003645AF"/>
    <w:rsid w:val="00365803"/>
    <w:rsid w:val="00366BAC"/>
    <w:rsid w:val="0036739F"/>
    <w:rsid w:val="00370995"/>
    <w:rsid w:val="00375F5E"/>
    <w:rsid w:val="00377FE2"/>
    <w:rsid w:val="00380726"/>
    <w:rsid w:val="003833FA"/>
    <w:rsid w:val="003845A9"/>
    <w:rsid w:val="003848BC"/>
    <w:rsid w:val="00384A7D"/>
    <w:rsid w:val="00385C14"/>
    <w:rsid w:val="00385CEC"/>
    <w:rsid w:val="003860A3"/>
    <w:rsid w:val="00390883"/>
    <w:rsid w:val="00390D49"/>
    <w:rsid w:val="00391F8D"/>
    <w:rsid w:val="003922F8"/>
    <w:rsid w:val="00394F8E"/>
    <w:rsid w:val="00395B24"/>
    <w:rsid w:val="00395D17"/>
    <w:rsid w:val="003A0DD3"/>
    <w:rsid w:val="003A2BA8"/>
    <w:rsid w:val="003A2D38"/>
    <w:rsid w:val="003A5CFA"/>
    <w:rsid w:val="003A7736"/>
    <w:rsid w:val="003A7ECC"/>
    <w:rsid w:val="003B0F09"/>
    <w:rsid w:val="003B2C72"/>
    <w:rsid w:val="003B42D9"/>
    <w:rsid w:val="003B4768"/>
    <w:rsid w:val="003C02EB"/>
    <w:rsid w:val="003C0879"/>
    <w:rsid w:val="003C0D0B"/>
    <w:rsid w:val="003C12A6"/>
    <w:rsid w:val="003C1333"/>
    <w:rsid w:val="003C20FF"/>
    <w:rsid w:val="003C5D81"/>
    <w:rsid w:val="003C7455"/>
    <w:rsid w:val="003D2650"/>
    <w:rsid w:val="003D44A2"/>
    <w:rsid w:val="003D47D8"/>
    <w:rsid w:val="003D560C"/>
    <w:rsid w:val="003D7A5A"/>
    <w:rsid w:val="003E016F"/>
    <w:rsid w:val="003E28B1"/>
    <w:rsid w:val="003E5874"/>
    <w:rsid w:val="003E5FD2"/>
    <w:rsid w:val="003F0E9C"/>
    <w:rsid w:val="003F16B1"/>
    <w:rsid w:val="003F193E"/>
    <w:rsid w:val="003F24FB"/>
    <w:rsid w:val="003F2DFC"/>
    <w:rsid w:val="003F34F1"/>
    <w:rsid w:val="003F4E60"/>
    <w:rsid w:val="00401586"/>
    <w:rsid w:val="00404FB3"/>
    <w:rsid w:val="00405428"/>
    <w:rsid w:val="004073B0"/>
    <w:rsid w:val="00411AE8"/>
    <w:rsid w:val="00411B91"/>
    <w:rsid w:val="00413B74"/>
    <w:rsid w:val="00414B17"/>
    <w:rsid w:val="0042114E"/>
    <w:rsid w:val="00423A3A"/>
    <w:rsid w:val="004242B7"/>
    <w:rsid w:val="0042632A"/>
    <w:rsid w:val="00427C99"/>
    <w:rsid w:val="00430CA7"/>
    <w:rsid w:val="0043394D"/>
    <w:rsid w:val="00434321"/>
    <w:rsid w:val="00435C5F"/>
    <w:rsid w:val="00441E98"/>
    <w:rsid w:val="004429CC"/>
    <w:rsid w:val="00445695"/>
    <w:rsid w:val="0045078B"/>
    <w:rsid w:val="0045282C"/>
    <w:rsid w:val="00453007"/>
    <w:rsid w:val="004532F7"/>
    <w:rsid w:val="00456945"/>
    <w:rsid w:val="00457484"/>
    <w:rsid w:val="0046159A"/>
    <w:rsid w:val="00461A2F"/>
    <w:rsid w:val="00463EA1"/>
    <w:rsid w:val="004654CE"/>
    <w:rsid w:val="004674C7"/>
    <w:rsid w:val="00467C5B"/>
    <w:rsid w:val="0047059B"/>
    <w:rsid w:val="00470E99"/>
    <w:rsid w:val="00472027"/>
    <w:rsid w:val="00473B0C"/>
    <w:rsid w:val="00473F56"/>
    <w:rsid w:val="004804CF"/>
    <w:rsid w:val="00484962"/>
    <w:rsid w:val="004849E2"/>
    <w:rsid w:val="00484BEF"/>
    <w:rsid w:val="00484F6D"/>
    <w:rsid w:val="00487FFD"/>
    <w:rsid w:val="00492D45"/>
    <w:rsid w:val="0049338A"/>
    <w:rsid w:val="0049417F"/>
    <w:rsid w:val="004948B6"/>
    <w:rsid w:val="004955BF"/>
    <w:rsid w:val="0049631B"/>
    <w:rsid w:val="004A1A26"/>
    <w:rsid w:val="004A7A1B"/>
    <w:rsid w:val="004B0DD9"/>
    <w:rsid w:val="004B318A"/>
    <w:rsid w:val="004B3A28"/>
    <w:rsid w:val="004B3E72"/>
    <w:rsid w:val="004B3EFA"/>
    <w:rsid w:val="004B5105"/>
    <w:rsid w:val="004B5C98"/>
    <w:rsid w:val="004C2A87"/>
    <w:rsid w:val="004C47F3"/>
    <w:rsid w:val="004C4D7B"/>
    <w:rsid w:val="004C4ED3"/>
    <w:rsid w:val="004D23E9"/>
    <w:rsid w:val="004D2AC5"/>
    <w:rsid w:val="004D2EA5"/>
    <w:rsid w:val="004D32A6"/>
    <w:rsid w:val="004D3525"/>
    <w:rsid w:val="004D4BE8"/>
    <w:rsid w:val="004D53E5"/>
    <w:rsid w:val="004D79A6"/>
    <w:rsid w:val="004D7FEF"/>
    <w:rsid w:val="004E20D3"/>
    <w:rsid w:val="004E4D4B"/>
    <w:rsid w:val="004F04E4"/>
    <w:rsid w:val="004F1A38"/>
    <w:rsid w:val="004F318E"/>
    <w:rsid w:val="004F3C69"/>
    <w:rsid w:val="004F40CC"/>
    <w:rsid w:val="004F55F4"/>
    <w:rsid w:val="004F6CD4"/>
    <w:rsid w:val="00500A57"/>
    <w:rsid w:val="00501A12"/>
    <w:rsid w:val="00503C2A"/>
    <w:rsid w:val="0050447D"/>
    <w:rsid w:val="00504998"/>
    <w:rsid w:val="005077A5"/>
    <w:rsid w:val="00507EC3"/>
    <w:rsid w:val="00510330"/>
    <w:rsid w:val="00510E3D"/>
    <w:rsid w:val="00511E38"/>
    <w:rsid w:val="00512E04"/>
    <w:rsid w:val="0051346D"/>
    <w:rsid w:val="00513EAE"/>
    <w:rsid w:val="00516456"/>
    <w:rsid w:val="00516806"/>
    <w:rsid w:val="00516C17"/>
    <w:rsid w:val="00521836"/>
    <w:rsid w:val="00523E6B"/>
    <w:rsid w:val="00525A49"/>
    <w:rsid w:val="00530405"/>
    <w:rsid w:val="00531347"/>
    <w:rsid w:val="00532DFB"/>
    <w:rsid w:val="00534006"/>
    <w:rsid w:val="00535613"/>
    <w:rsid w:val="005359EB"/>
    <w:rsid w:val="00536258"/>
    <w:rsid w:val="0054254A"/>
    <w:rsid w:val="00542E9E"/>
    <w:rsid w:val="0054439F"/>
    <w:rsid w:val="00546018"/>
    <w:rsid w:val="0054615B"/>
    <w:rsid w:val="005466B5"/>
    <w:rsid w:val="005507F7"/>
    <w:rsid w:val="00553FBA"/>
    <w:rsid w:val="00554314"/>
    <w:rsid w:val="005548EA"/>
    <w:rsid w:val="0056118B"/>
    <w:rsid w:val="005629B3"/>
    <w:rsid w:val="0056568D"/>
    <w:rsid w:val="00567F15"/>
    <w:rsid w:val="00572149"/>
    <w:rsid w:val="00573AC4"/>
    <w:rsid w:val="00574E25"/>
    <w:rsid w:val="00574F75"/>
    <w:rsid w:val="00575661"/>
    <w:rsid w:val="0057621C"/>
    <w:rsid w:val="0057623C"/>
    <w:rsid w:val="00577DA3"/>
    <w:rsid w:val="005801FC"/>
    <w:rsid w:val="00580203"/>
    <w:rsid w:val="00580BA9"/>
    <w:rsid w:val="00581184"/>
    <w:rsid w:val="00582EE0"/>
    <w:rsid w:val="00583688"/>
    <w:rsid w:val="00591326"/>
    <w:rsid w:val="00591F4A"/>
    <w:rsid w:val="00595016"/>
    <w:rsid w:val="00596860"/>
    <w:rsid w:val="00596B47"/>
    <w:rsid w:val="00597913"/>
    <w:rsid w:val="00597AAE"/>
    <w:rsid w:val="005A222C"/>
    <w:rsid w:val="005A28BE"/>
    <w:rsid w:val="005A2C95"/>
    <w:rsid w:val="005A3112"/>
    <w:rsid w:val="005A40A7"/>
    <w:rsid w:val="005A4DF8"/>
    <w:rsid w:val="005B1426"/>
    <w:rsid w:val="005B1957"/>
    <w:rsid w:val="005B2026"/>
    <w:rsid w:val="005B78BA"/>
    <w:rsid w:val="005C0567"/>
    <w:rsid w:val="005C0A8E"/>
    <w:rsid w:val="005C0EB2"/>
    <w:rsid w:val="005C133A"/>
    <w:rsid w:val="005C1767"/>
    <w:rsid w:val="005C31CD"/>
    <w:rsid w:val="005C42EF"/>
    <w:rsid w:val="005C5FDD"/>
    <w:rsid w:val="005D03AB"/>
    <w:rsid w:val="005D1501"/>
    <w:rsid w:val="005D1DDB"/>
    <w:rsid w:val="005D4447"/>
    <w:rsid w:val="005E02F5"/>
    <w:rsid w:val="005E0510"/>
    <w:rsid w:val="005E15BD"/>
    <w:rsid w:val="005E176E"/>
    <w:rsid w:val="005E218E"/>
    <w:rsid w:val="005E35A0"/>
    <w:rsid w:val="005E39A6"/>
    <w:rsid w:val="005E4C38"/>
    <w:rsid w:val="005E4F10"/>
    <w:rsid w:val="005E547F"/>
    <w:rsid w:val="005E76E3"/>
    <w:rsid w:val="005F0D1B"/>
    <w:rsid w:val="005F1865"/>
    <w:rsid w:val="005F1CB6"/>
    <w:rsid w:val="005F5221"/>
    <w:rsid w:val="006007BD"/>
    <w:rsid w:val="006013C8"/>
    <w:rsid w:val="0060270D"/>
    <w:rsid w:val="00603243"/>
    <w:rsid w:val="00603D6F"/>
    <w:rsid w:val="006040A3"/>
    <w:rsid w:val="00604611"/>
    <w:rsid w:val="00604DCC"/>
    <w:rsid w:val="00605C41"/>
    <w:rsid w:val="00606026"/>
    <w:rsid w:val="00606C53"/>
    <w:rsid w:val="00610740"/>
    <w:rsid w:val="00610A66"/>
    <w:rsid w:val="00610B2B"/>
    <w:rsid w:val="00611586"/>
    <w:rsid w:val="00611B7F"/>
    <w:rsid w:val="00611D9E"/>
    <w:rsid w:val="006126F2"/>
    <w:rsid w:val="00615185"/>
    <w:rsid w:val="0061601A"/>
    <w:rsid w:val="00616393"/>
    <w:rsid w:val="006164A9"/>
    <w:rsid w:val="006178CB"/>
    <w:rsid w:val="006213E1"/>
    <w:rsid w:val="00621887"/>
    <w:rsid w:val="00623671"/>
    <w:rsid w:val="00624520"/>
    <w:rsid w:val="00626B72"/>
    <w:rsid w:val="00632300"/>
    <w:rsid w:val="00632BB7"/>
    <w:rsid w:val="00633851"/>
    <w:rsid w:val="00635AF2"/>
    <w:rsid w:val="00635B36"/>
    <w:rsid w:val="0063655D"/>
    <w:rsid w:val="00636871"/>
    <w:rsid w:val="00640F4E"/>
    <w:rsid w:val="0064148F"/>
    <w:rsid w:val="00642390"/>
    <w:rsid w:val="00642AB7"/>
    <w:rsid w:val="00643DE0"/>
    <w:rsid w:val="00644E85"/>
    <w:rsid w:val="006452FE"/>
    <w:rsid w:val="00647583"/>
    <w:rsid w:val="00651AE4"/>
    <w:rsid w:val="00655D57"/>
    <w:rsid w:val="0066063F"/>
    <w:rsid w:val="006619E4"/>
    <w:rsid w:val="00662BB0"/>
    <w:rsid w:val="00663878"/>
    <w:rsid w:val="00667773"/>
    <w:rsid w:val="00667895"/>
    <w:rsid w:val="00670743"/>
    <w:rsid w:val="00670CBE"/>
    <w:rsid w:val="00672F59"/>
    <w:rsid w:val="00673F2A"/>
    <w:rsid w:val="0067501C"/>
    <w:rsid w:val="00675C4C"/>
    <w:rsid w:val="00677CFB"/>
    <w:rsid w:val="00680F2E"/>
    <w:rsid w:val="00684E9D"/>
    <w:rsid w:val="00687640"/>
    <w:rsid w:val="00690EE2"/>
    <w:rsid w:val="00694D83"/>
    <w:rsid w:val="006951C7"/>
    <w:rsid w:val="00695D1B"/>
    <w:rsid w:val="006A0E20"/>
    <w:rsid w:val="006A54D0"/>
    <w:rsid w:val="006A5695"/>
    <w:rsid w:val="006A5EFA"/>
    <w:rsid w:val="006B09ED"/>
    <w:rsid w:val="006B3904"/>
    <w:rsid w:val="006B5B7D"/>
    <w:rsid w:val="006B5F9E"/>
    <w:rsid w:val="006B7E7C"/>
    <w:rsid w:val="006C1ACC"/>
    <w:rsid w:val="006C3B5B"/>
    <w:rsid w:val="006C412B"/>
    <w:rsid w:val="006C43A2"/>
    <w:rsid w:val="006C4FCE"/>
    <w:rsid w:val="006C5052"/>
    <w:rsid w:val="006D0ECF"/>
    <w:rsid w:val="006D186C"/>
    <w:rsid w:val="006D4C92"/>
    <w:rsid w:val="006D4EB6"/>
    <w:rsid w:val="006D7303"/>
    <w:rsid w:val="006D79DB"/>
    <w:rsid w:val="006E11FB"/>
    <w:rsid w:val="006E22BF"/>
    <w:rsid w:val="006E266D"/>
    <w:rsid w:val="006E35BF"/>
    <w:rsid w:val="006E45BB"/>
    <w:rsid w:val="006E5AEF"/>
    <w:rsid w:val="006E71B7"/>
    <w:rsid w:val="006E7850"/>
    <w:rsid w:val="006F08D6"/>
    <w:rsid w:val="006F2113"/>
    <w:rsid w:val="006F37C7"/>
    <w:rsid w:val="006F4850"/>
    <w:rsid w:val="006F4C21"/>
    <w:rsid w:val="00701D12"/>
    <w:rsid w:val="007022BA"/>
    <w:rsid w:val="007028D9"/>
    <w:rsid w:val="00703EE2"/>
    <w:rsid w:val="007043BB"/>
    <w:rsid w:val="00706345"/>
    <w:rsid w:val="00707218"/>
    <w:rsid w:val="00712B1D"/>
    <w:rsid w:val="007139D7"/>
    <w:rsid w:val="007140C4"/>
    <w:rsid w:val="00716246"/>
    <w:rsid w:val="00724059"/>
    <w:rsid w:val="00726139"/>
    <w:rsid w:val="007276DC"/>
    <w:rsid w:val="00730AD0"/>
    <w:rsid w:val="007310B0"/>
    <w:rsid w:val="007325D9"/>
    <w:rsid w:val="00735A9D"/>
    <w:rsid w:val="007360CA"/>
    <w:rsid w:val="007435B4"/>
    <w:rsid w:val="007436C7"/>
    <w:rsid w:val="0074487F"/>
    <w:rsid w:val="00745278"/>
    <w:rsid w:val="00753448"/>
    <w:rsid w:val="00754AB0"/>
    <w:rsid w:val="007560E4"/>
    <w:rsid w:val="007579E4"/>
    <w:rsid w:val="0076054D"/>
    <w:rsid w:val="0076082F"/>
    <w:rsid w:val="00760EC0"/>
    <w:rsid w:val="007622A4"/>
    <w:rsid w:val="00762B8D"/>
    <w:rsid w:val="0076761F"/>
    <w:rsid w:val="007719BC"/>
    <w:rsid w:val="0077316B"/>
    <w:rsid w:val="00774BA3"/>
    <w:rsid w:val="0078003A"/>
    <w:rsid w:val="00780771"/>
    <w:rsid w:val="007818CF"/>
    <w:rsid w:val="00782C11"/>
    <w:rsid w:val="00783F18"/>
    <w:rsid w:val="00784614"/>
    <w:rsid w:val="00784B26"/>
    <w:rsid w:val="00786032"/>
    <w:rsid w:val="007929CF"/>
    <w:rsid w:val="0079485C"/>
    <w:rsid w:val="007A30F5"/>
    <w:rsid w:val="007A3629"/>
    <w:rsid w:val="007A58C4"/>
    <w:rsid w:val="007A6F28"/>
    <w:rsid w:val="007A7352"/>
    <w:rsid w:val="007A7786"/>
    <w:rsid w:val="007A7B0D"/>
    <w:rsid w:val="007B03C6"/>
    <w:rsid w:val="007B0DB1"/>
    <w:rsid w:val="007B1149"/>
    <w:rsid w:val="007B1150"/>
    <w:rsid w:val="007B1834"/>
    <w:rsid w:val="007B18B6"/>
    <w:rsid w:val="007B289A"/>
    <w:rsid w:val="007B6065"/>
    <w:rsid w:val="007C27BA"/>
    <w:rsid w:val="007C3BF6"/>
    <w:rsid w:val="007C5A83"/>
    <w:rsid w:val="007C5E70"/>
    <w:rsid w:val="007D002D"/>
    <w:rsid w:val="007D0FD2"/>
    <w:rsid w:val="007D1C8C"/>
    <w:rsid w:val="007D26C9"/>
    <w:rsid w:val="007D2EF8"/>
    <w:rsid w:val="007D561F"/>
    <w:rsid w:val="007D60C0"/>
    <w:rsid w:val="007D6A62"/>
    <w:rsid w:val="007D7FD2"/>
    <w:rsid w:val="007E0B60"/>
    <w:rsid w:val="007E13D9"/>
    <w:rsid w:val="007E1BFF"/>
    <w:rsid w:val="007E41BE"/>
    <w:rsid w:val="007E4DB6"/>
    <w:rsid w:val="007E6A09"/>
    <w:rsid w:val="007E7CD4"/>
    <w:rsid w:val="007F12AC"/>
    <w:rsid w:val="007F1CA3"/>
    <w:rsid w:val="007F355A"/>
    <w:rsid w:val="007F3B20"/>
    <w:rsid w:val="007F577F"/>
    <w:rsid w:val="007F6E6C"/>
    <w:rsid w:val="00801800"/>
    <w:rsid w:val="00801B5B"/>
    <w:rsid w:val="00803C3E"/>
    <w:rsid w:val="008049FC"/>
    <w:rsid w:val="00805572"/>
    <w:rsid w:val="0080741E"/>
    <w:rsid w:val="00810DA3"/>
    <w:rsid w:val="00811513"/>
    <w:rsid w:val="0081449B"/>
    <w:rsid w:val="008156FB"/>
    <w:rsid w:val="008276B4"/>
    <w:rsid w:val="00827F30"/>
    <w:rsid w:val="00831927"/>
    <w:rsid w:val="00831E4D"/>
    <w:rsid w:val="00841B8A"/>
    <w:rsid w:val="00841BD3"/>
    <w:rsid w:val="00842373"/>
    <w:rsid w:val="0084273D"/>
    <w:rsid w:val="008429C1"/>
    <w:rsid w:val="00844E3F"/>
    <w:rsid w:val="00845A83"/>
    <w:rsid w:val="008466AF"/>
    <w:rsid w:val="00847400"/>
    <w:rsid w:val="00850979"/>
    <w:rsid w:val="00850D73"/>
    <w:rsid w:val="008536DF"/>
    <w:rsid w:val="00855A59"/>
    <w:rsid w:val="00857BC0"/>
    <w:rsid w:val="008712BB"/>
    <w:rsid w:val="00872451"/>
    <w:rsid w:val="00873E79"/>
    <w:rsid w:val="008758A2"/>
    <w:rsid w:val="00884255"/>
    <w:rsid w:val="00884802"/>
    <w:rsid w:val="00885153"/>
    <w:rsid w:val="00885331"/>
    <w:rsid w:val="008854BA"/>
    <w:rsid w:val="00885C46"/>
    <w:rsid w:val="00890915"/>
    <w:rsid w:val="00892D5C"/>
    <w:rsid w:val="00893810"/>
    <w:rsid w:val="00897F58"/>
    <w:rsid w:val="008A2484"/>
    <w:rsid w:val="008A4161"/>
    <w:rsid w:val="008A540D"/>
    <w:rsid w:val="008B2A6D"/>
    <w:rsid w:val="008B57D8"/>
    <w:rsid w:val="008C0269"/>
    <w:rsid w:val="008C0D07"/>
    <w:rsid w:val="008C1FAC"/>
    <w:rsid w:val="008C26D9"/>
    <w:rsid w:val="008C2718"/>
    <w:rsid w:val="008C51AC"/>
    <w:rsid w:val="008C51E2"/>
    <w:rsid w:val="008C5F31"/>
    <w:rsid w:val="008C64BF"/>
    <w:rsid w:val="008C6D50"/>
    <w:rsid w:val="008C7167"/>
    <w:rsid w:val="008C7503"/>
    <w:rsid w:val="008D1617"/>
    <w:rsid w:val="008D4833"/>
    <w:rsid w:val="008D5EDA"/>
    <w:rsid w:val="008D6C09"/>
    <w:rsid w:val="008D6EC9"/>
    <w:rsid w:val="008D7193"/>
    <w:rsid w:val="008E16F3"/>
    <w:rsid w:val="008E6315"/>
    <w:rsid w:val="008E6A11"/>
    <w:rsid w:val="008F0675"/>
    <w:rsid w:val="008F11E0"/>
    <w:rsid w:val="008F13AD"/>
    <w:rsid w:val="008F78BC"/>
    <w:rsid w:val="008F7B63"/>
    <w:rsid w:val="008F7D6A"/>
    <w:rsid w:val="009011D2"/>
    <w:rsid w:val="00902F17"/>
    <w:rsid w:val="0090467E"/>
    <w:rsid w:val="009054CB"/>
    <w:rsid w:val="00906861"/>
    <w:rsid w:val="009071EC"/>
    <w:rsid w:val="0090785C"/>
    <w:rsid w:val="00910579"/>
    <w:rsid w:val="00912F94"/>
    <w:rsid w:val="009139B3"/>
    <w:rsid w:val="00914662"/>
    <w:rsid w:val="00914C76"/>
    <w:rsid w:val="0091517C"/>
    <w:rsid w:val="00920164"/>
    <w:rsid w:val="00922851"/>
    <w:rsid w:val="00922BFE"/>
    <w:rsid w:val="00922EDC"/>
    <w:rsid w:val="00923211"/>
    <w:rsid w:val="00923E20"/>
    <w:rsid w:val="00924070"/>
    <w:rsid w:val="0092590B"/>
    <w:rsid w:val="00925E60"/>
    <w:rsid w:val="009264B3"/>
    <w:rsid w:val="009269CB"/>
    <w:rsid w:val="00927516"/>
    <w:rsid w:val="00927A3A"/>
    <w:rsid w:val="00930E09"/>
    <w:rsid w:val="00933450"/>
    <w:rsid w:val="0093376B"/>
    <w:rsid w:val="00933C1C"/>
    <w:rsid w:val="009360C0"/>
    <w:rsid w:val="009365E0"/>
    <w:rsid w:val="009375E3"/>
    <w:rsid w:val="00937E58"/>
    <w:rsid w:val="009408F8"/>
    <w:rsid w:val="00940915"/>
    <w:rsid w:val="00942BA2"/>
    <w:rsid w:val="00944C86"/>
    <w:rsid w:val="0095445B"/>
    <w:rsid w:val="00954D4E"/>
    <w:rsid w:val="00957DE8"/>
    <w:rsid w:val="009600D4"/>
    <w:rsid w:val="00960C4E"/>
    <w:rsid w:val="00960ECB"/>
    <w:rsid w:val="00960FC7"/>
    <w:rsid w:val="0096156C"/>
    <w:rsid w:val="009615D6"/>
    <w:rsid w:val="009616C0"/>
    <w:rsid w:val="0096281D"/>
    <w:rsid w:val="00967855"/>
    <w:rsid w:val="00974385"/>
    <w:rsid w:val="00975649"/>
    <w:rsid w:val="00975AF4"/>
    <w:rsid w:val="00980736"/>
    <w:rsid w:val="00981A39"/>
    <w:rsid w:val="009836C3"/>
    <w:rsid w:val="00986BCA"/>
    <w:rsid w:val="00987097"/>
    <w:rsid w:val="009907D9"/>
    <w:rsid w:val="00991852"/>
    <w:rsid w:val="00993786"/>
    <w:rsid w:val="009962EC"/>
    <w:rsid w:val="00997E45"/>
    <w:rsid w:val="009A1A0D"/>
    <w:rsid w:val="009A2E5A"/>
    <w:rsid w:val="009A3A9C"/>
    <w:rsid w:val="009A7586"/>
    <w:rsid w:val="009A791A"/>
    <w:rsid w:val="009B046C"/>
    <w:rsid w:val="009B10AA"/>
    <w:rsid w:val="009B13FA"/>
    <w:rsid w:val="009B1E2D"/>
    <w:rsid w:val="009B1EAA"/>
    <w:rsid w:val="009B339B"/>
    <w:rsid w:val="009B3542"/>
    <w:rsid w:val="009B528D"/>
    <w:rsid w:val="009B69C7"/>
    <w:rsid w:val="009B767B"/>
    <w:rsid w:val="009B7ECC"/>
    <w:rsid w:val="009B7F6D"/>
    <w:rsid w:val="009C07AE"/>
    <w:rsid w:val="009C59FB"/>
    <w:rsid w:val="009C5C01"/>
    <w:rsid w:val="009C6F3B"/>
    <w:rsid w:val="009C76F5"/>
    <w:rsid w:val="009D0FF8"/>
    <w:rsid w:val="009D1467"/>
    <w:rsid w:val="009D1CD8"/>
    <w:rsid w:val="009D1F55"/>
    <w:rsid w:val="009D54E5"/>
    <w:rsid w:val="009D76C7"/>
    <w:rsid w:val="009E0ABE"/>
    <w:rsid w:val="009E2F69"/>
    <w:rsid w:val="009E3E5F"/>
    <w:rsid w:val="009E446B"/>
    <w:rsid w:val="009E4F56"/>
    <w:rsid w:val="009E4FA6"/>
    <w:rsid w:val="009E7D93"/>
    <w:rsid w:val="009F5C33"/>
    <w:rsid w:val="00A00ACA"/>
    <w:rsid w:val="00A013A4"/>
    <w:rsid w:val="00A03A9D"/>
    <w:rsid w:val="00A03EAC"/>
    <w:rsid w:val="00A07FD0"/>
    <w:rsid w:val="00A103CC"/>
    <w:rsid w:val="00A10C17"/>
    <w:rsid w:val="00A11CA6"/>
    <w:rsid w:val="00A1202B"/>
    <w:rsid w:val="00A17E89"/>
    <w:rsid w:val="00A20C49"/>
    <w:rsid w:val="00A22BD0"/>
    <w:rsid w:val="00A23CC7"/>
    <w:rsid w:val="00A24A52"/>
    <w:rsid w:val="00A25BD4"/>
    <w:rsid w:val="00A269CA"/>
    <w:rsid w:val="00A26CD2"/>
    <w:rsid w:val="00A32F9D"/>
    <w:rsid w:val="00A3309D"/>
    <w:rsid w:val="00A336EE"/>
    <w:rsid w:val="00A34D31"/>
    <w:rsid w:val="00A359AC"/>
    <w:rsid w:val="00A360AE"/>
    <w:rsid w:val="00A3727C"/>
    <w:rsid w:val="00A37AC0"/>
    <w:rsid w:val="00A41413"/>
    <w:rsid w:val="00A44888"/>
    <w:rsid w:val="00A45FB1"/>
    <w:rsid w:val="00A46CCC"/>
    <w:rsid w:val="00A51CFE"/>
    <w:rsid w:val="00A531BB"/>
    <w:rsid w:val="00A53AAC"/>
    <w:rsid w:val="00A567DF"/>
    <w:rsid w:val="00A62899"/>
    <w:rsid w:val="00A63E82"/>
    <w:rsid w:val="00A70CA7"/>
    <w:rsid w:val="00A731E3"/>
    <w:rsid w:val="00A73BC3"/>
    <w:rsid w:val="00A73BEF"/>
    <w:rsid w:val="00A750F0"/>
    <w:rsid w:val="00A769C4"/>
    <w:rsid w:val="00A76C13"/>
    <w:rsid w:val="00A810A5"/>
    <w:rsid w:val="00A8190F"/>
    <w:rsid w:val="00A83749"/>
    <w:rsid w:val="00A83DD7"/>
    <w:rsid w:val="00A85053"/>
    <w:rsid w:val="00A87881"/>
    <w:rsid w:val="00A87E52"/>
    <w:rsid w:val="00A92139"/>
    <w:rsid w:val="00A92E79"/>
    <w:rsid w:val="00A94A74"/>
    <w:rsid w:val="00A950B6"/>
    <w:rsid w:val="00A97E14"/>
    <w:rsid w:val="00A97FA6"/>
    <w:rsid w:val="00AA0DEE"/>
    <w:rsid w:val="00AA1808"/>
    <w:rsid w:val="00AA4609"/>
    <w:rsid w:val="00AA6C8F"/>
    <w:rsid w:val="00AB08CF"/>
    <w:rsid w:val="00AB0FFD"/>
    <w:rsid w:val="00AB3654"/>
    <w:rsid w:val="00AB41C1"/>
    <w:rsid w:val="00AB5D39"/>
    <w:rsid w:val="00AC0A27"/>
    <w:rsid w:val="00AC36D9"/>
    <w:rsid w:val="00AC46B2"/>
    <w:rsid w:val="00AC5811"/>
    <w:rsid w:val="00AC66EC"/>
    <w:rsid w:val="00AC69A6"/>
    <w:rsid w:val="00AC6A2B"/>
    <w:rsid w:val="00AC738B"/>
    <w:rsid w:val="00AC7E14"/>
    <w:rsid w:val="00AD063F"/>
    <w:rsid w:val="00AD083A"/>
    <w:rsid w:val="00AD12A8"/>
    <w:rsid w:val="00AD3BC7"/>
    <w:rsid w:val="00AD6F93"/>
    <w:rsid w:val="00AE023F"/>
    <w:rsid w:val="00AE0482"/>
    <w:rsid w:val="00AE2A31"/>
    <w:rsid w:val="00AE6A9E"/>
    <w:rsid w:val="00AF3042"/>
    <w:rsid w:val="00AF3577"/>
    <w:rsid w:val="00AF35F9"/>
    <w:rsid w:val="00AF659C"/>
    <w:rsid w:val="00AF6D14"/>
    <w:rsid w:val="00AF7148"/>
    <w:rsid w:val="00B00FAC"/>
    <w:rsid w:val="00B02B19"/>
    <w:rsid w:val="00B03338"/>
    <w:rsid w:val="00B05C7D"/>
    <w:rsid w:val="00B06381"/>
    <w:rsid w:val="00B07C7A"/>
    <w:rsid w:val="00B11E5F"/>
    <w:rsid w:val="00B12534"/>
    <w:rsid w:val="00B21C65"/>
    <w:rsid w:val="00B22646"/>
    <w:rsid w:val="00B2321B"/>
    <w:rsid w:val="00B2359F"/>
    <w:rsid w:val="00B24CF3"/>
    <w:rsid w:val="00B24DB3"/>
    <w:rsid w:val="00B27CAB"/>
    <w:rsid w:val="00B346C3"/>
    <w:rsid w:val="00B34B49"/>
    <w:rsid w:val="00B367A3"/>
    <w:rsid w:val="00B36918"/>
    <w:rsid w:val="00B378BE"/>
    <w:rsid w:val="00B401E5"/>
    <w:rsid w:val="00B416BA"/>
    <w:rsid w:val="00B41749"/>
    <w:rsid w:val="00B417FD"/>
    <w:rsid w:val="00B4471C"/>
    <w:rsid w:val="00B451A6"/>
    <w:rsid w:val="00B4644C"/>
    <w:rsid w:val="00B504FF"/>
    <w:rsid w:val="00B50F53"/>
    <w:rsid w:val="00B567C0"/>
    <w:rsid w:val="00B60428"/>
    <w:rsid w:val="00B6048C"/>
    <w:rsid w:val="00B704D3"/>
    <w:rsid w:val="00B7082B"/>
    <w:rsid w:val="00B722DE"/>
    <w:rsid w:val="00B73620"/>
    <w:rsid w:val="00B74FD1"/>
    <w:rsid w:val="00B769A8"/>
    <w:rsid w:val="00B76C44"/>
    <w:rsid w:val="00B80A14"/>
    <w:rsid w:val="00B80FDA"/>
    <w:rsid w:val="00B83058"/>
    <w:rsid w:val="00B837F1"/>
    <w:rsid w:val="00B83F87"/>
    <w:rsid w:val="00B850A2"/>
    <w:rsid w:val="00B85111"/>
    <w:rsid w:val="00B8765D"/>
    <w:rsid w:val="00B9289D"/>
    <w:rsid w:val="00B92906"/>
    <w:rsid w:val="00B931BF"/>
    <w:rsid w:val="00B9404C"/>
    <w:rsid w:val="00BA2EFA"/>
    <w:rsid w:val="00BA2FEA"/>
    <w:rsid w:val="00BA3DBC"/>
    <w:rsid w:val="00BA41E6"/>
    <w:rsid w:val="00BA488B"/>
    <w:rsid w:val="00BA7243"/>
    <w:rsid w:val="00BB05D6"/>
    <w:rsid w:val="00BB1A98"/>
    <w:rsid w:val="00BB2DA2"/>
    <w:rsid w:val="00BB40C2"/>
    <w:rsid w:val="00BB4347"/>
    <w:rsid w:val="00BB43D7"/>
    <w:rsid w:val="00BB56DC"/>
    <w:rsid w:val="00BB7710"/>
    <w:rsid w:val="00BC2BBD"/>
    <w:rsid w:val="00BC7203"/>
    <w:rsid w:val="00BD1589"/>
    <w:rsid w:val="00BD33E2"/>
    <w:rsid w:val="00BD4423"/>
    <w:rsid w:val="00BD45EF"/>
    <w:rsid w:val="00BD4D5E"/>
    <w:rsid w:val="00BD7C88"/>
    <w:rsid w:val="00BE02DA"/>
    <w:rsid w:val="00BE183D"/>
    <w:rsid w:val="00BE29B1"/>
    <w:rsid w:val="00BE2BB4"/>
    <w:rsid w:val="00BE300C"/>
    <w:rsid w:val="00BF3D54"/>
    <w:rsid w:val="00BF5D7A"/>
    <w:rsid w:val="00BF6330"/>
    <w:rsid w:val="00C00450"/>
    <w:rsid w:val="00C02D33"/>
    <w:rsid w:val="00C0656B"/>
    <w:rsid w:val="00C100B9"/>
    <w:rsid w:val="00C1232C"/>
    <w:rsid w:val="00C12F2E"/>
    <w:rsid w:val="00C1337A"/>
    <w:rsid w:val="00C15071"/>
    <w:rsid w:val="00C17FFB"/>
    <w:rsid w:val="00C23287"/>
    <w:rsid w:val="00C2462A"/>
    <w:rsid w:val="00C26E04"/>
    <w:rsid w:val="00C270F2"/>
    <w:rsid w:val="00C309A5"/>
    <w:rsid w:val="00C340B3"/>
    <w:rsid w:val="00C36442"/>
    <w:rsid w:val="00C36EE4"/>
    <w:rsid w:val="00C400CE"/>
    <w:rsid w:val="00C40D54"/>
    <w:rsid w:val="00C410FD"/>
    <w:rsid w:val="00C41DAA"/>
    <w:rsid w:val="00C4248C"/>
    <w:rsid w:val="00C43EE2"/>
    <w:rsid w:val="00C45626"/>
    <w:rsid w:val="00C520DC"/>
    <w:rsid w:val="00C52BAC"/>
    <w:rsid w:val="00C539FB"/>
    <w:rsid w:val="00C53C31"/>
    <w:rsid w:val="00C553DD"/>
    <w:rsid w:val="00C55D2C"/>
    <w:rsid w:val="00C57809"/>
    <w:rsid w:val="00C604E1"/>
    <w:rsid w:val="00C65CDD"/>
    <w:rsid w:val="00C66F09"/>
    <w:rsid w:val="00C71331"/>
    <w:rsid w:val="00C74D78"/>
    <w:rsid w:val="00C74ECF"/>
    <w:rsid w:val="00C77B12"/>
    <w:rsid w:val="00C80193"/>
    <w:rsid w:val="00C80714"/>
    <w:rsid w:val="00C810C8"/>
    <w:rsid w:val="00C81663"/>
    <w:rsid w:val="00C83A74"/>
    <w:rsid w:val="00C86291"/>
    <w:rsid w:val="00C868FE"/>
    <w:rsid w:val="00C87517"/>
    <w:rsid w:val="00C91E7F"/>
    <w:rsid w:val="00C93294"/>
    <w:rsid w:val="00C94A9E"/>
    <w:rsid w:val="00C9511E"/>
    <w:rsid w:val="00CA246D"/>
    <w:rsid w:val="00CA2C81"/>
    <w:rsid w:val="00CA32C3"/>
    <w:rsid w:val="00CA3B41"/>
    <w:rsid w:val="00CA50D9"/>
    <w:rsid w:val="00CA594E"/>
    <w:rsid w:val="00CA5FE6"/>
    <w:rsid w:val="00CB0F41"/>
    <w:rsid w:val="00CB1E65"/>
    <w:rsid w:val="00CB5636"/>
    <w:rsid w:val="00CC1621"/>
    <w:rsid w:val="00CC1BCC"/>
    <w:rsid w:val="00CC1FF4"/>
    <w:rsid w:val="00CC3389"/>
    <w:rsid w:val="00CC6336"/>
    <w:rsid w:val="00CC7CF9"/>
    <w:rsid w:val="00CD201A"/>
    <w:rsid w:val="00CD3EBB"/>
    <w:rsid w:val="00CD60A8"/>
    <w:rsid w:val="00CD66C9"/>
    <w:rsid w:val="00CD7A80"/>
    <w:rsid w:val="00CF6B3E"/>
    <w:rsid w:val="00D0324B"/>
    <w:rsid w:val="00D03FBC"/>
    <w:rsid w:val="00D040F4"/>
    <w:rsid w:val="00D06D3D"/>
    <w:rsid w:val="00D10BD4"/>
    <w:rsid w:val="00D10F21"/>
    <w:rsid w:val="00D13356"/>
    <w:rsid w:val="00D15122"/>
    <w:rsid w:val="00D15887"/>
    <w:rsid w:val="00D20BA7"/>
    <w:rsid w:val="00D247B8"/>
    <w:rsid w:val="00D24806"/>
    <w:rsid w:val="00D252B6"/>
    <w:rsid w:val="00D34040"/>
    <w:rsid w:val="00D34E69"/>
    <w:rsid w:val="00D375EE"/>
    <w:rsid w:val="00D4022A"/>
    <w:rsid w:val="00D50DE0"/>
    <w:rsid w:val="00D57000"/>
    <w:rsid w:val="00D609BD"/>
    <w:rsid w:val="00D6127C"/>
    <w:rsid w:val="00D614BB"/>
    <w:rsid w:val="00D62699"/>
    <w:rsid w:val="00D65F9E"/>
    <w:rsid w:val="00D66B37"/>
    <w:rsid w:val="00D675A0"/>
    <w:rsid w:val="00D81F39"/>
    <w:rsid w:val="00D82620"/>
    <w:rsid w:val="00D90976"/>
    <w:rsid w:val="00D91770"/>
    <w:rsid w:val="00D922B3"/>
    <w:rsid w:val="00D92941"/>
    <w:rsid w:val="00D9338A"/>
    <w:rsid w:val="00D96162"/>
    <w:rsid w:val="00D9725F"/>
    <w:rsid w:val="00D97590"/>
    <w:rsid w:val="00D975B1"/>
    <w:rsid w:val="00D97D18"/>
    <w:rsid w:val="00DA01B1"/>
    <w:rsid w:val="00DA10C3"/>
    <w:rsid w:val="00DA11A2"/>
    <w:rsid w:val="00DA14ED"/>
    <w:rsid w:val="00DA55B3"/>
    <w:rsid w:val="00DB05CE"/>
    <w:rsid w:val="00DB2EF1"/>
    <w:rsid w:val="00DB3249"/>
    <w:rsid w:val="00DB3DE1"/>
    <w:rsid w:val="00DB56D5"/>
    <w:rsid w:val="00DB5DA0"/>
    <w:rsid w:val="00DB716C"/>
    <w:rsid w:val="00DC005E"/>
    <w:rsid w:val="00DC029D"/>
    <w:rsid w:val="00DC36B9"/>
    <w:rsid w:val="00DC3BAC"/>
    <w:rsid w:val="00DC5C85"/>
    <w:rsid w:val="00DC60A6"/>
    <w:rsid w:val="00DC6BC4"/>
    <w:rsid w:val="00DD3F71"/>
    <w:rsid w:val="00DD4236"/>
    <w:rsid w:val="00DD44F1"/>
    <w:rsid w:val="00DD7EEF"/>
    <w:rsid w:val="00DE041D"/>
    <w:rsid w:val="00DE3067"/>
    <w:rsid w:val="00DE6D69"/>
    <w:rsid w:val="00DF0B24"/>
    <w:rsid w:val="00DF190E"/>
    <w:rsid w:val="00DF196F"/>
    <w:rsid w:val="00DF4D75"/>
    <w:rsid w:val="00E00765"/>
    <w:rsid w:val="00E027BC"/>
    <w:rsid w:val="00E04DFA"/>
    <w:rsid w:val="00E0526D"/>
    <w:rsid w:val="00E12B9C"/>
    <w:rsid w:val="00E12F4E"/>
    <w:rsid w:val="00E14EA5"/>
    <w:rsid w:val="00E173F6"/>
    <w:rsid w:val="00E17729"/>
    <w:rsid w:val="00E17994"/>
    <w:rsid w:val="00E21133"/>
    <w:rsid w:val="00E2327E"/>
    <w:rsid w:val="00E2392D"/>
    <w:rsid w:val="00E24F3D"/>
    <w:rsid w:val="00E25FAA"/>
    <w:rsid w:val="00E266EF"/>
    <w:rsid w:val="00E26BD6"/>
    <w:rsid w:val="00E309C6"/>
    <w:rsid w:val="00E31810"/>
    <w:rsid w:val="00E3285C"/>
    <w:rsid w:val="00E32989"/>
    <w:rsid w:val="00E34471"/>
    <w:rsid w:val="00E34C5F"/>
    <w:rsid w:val="00E356E2"/>
    <w:rsid w:val="00E36E0A"/>
    <w:rsid w:val="00E36E92"/>
    <w:rsid w:val="00E4160E"/>
    <w:rsid w:val="00E41897"/>
    <w:rsid w:val="00E41AF7"/>
    <w:rsid w:val="00E4385F"/>
    <w:rsid w:val="00E44260"/>
    <w:rsid w:val="00E44BA9"/>
    <w:rsid w:val="00E47428"/>
    <w:rsid w:val="00E51A49"/>
    <w:rsid w:val="00E531FF"/>
    <w:rsid w:val="00E54514"/>
    <w:rsid w:val="00E618E1"/>
    <w:rsid w:val="00E65DC1"/>
    <w:rsid w:val="00E66B9F"/>
    <w:rsid w:val="00E70332"/>
    <w:rsid w:val="00E710D6"/>
    <w:rsid w:val="00E73209"/>
    <w:rsid w:val="00E74CF1"/>
    <w:rsid w:val="00E76E45"/>
    <w:rsid w:val="00E777C9"/>
    <w:rsid w:val="00E811C2"/>
    <w:rsid w:val="00E81DA6"/>
    <w:rsid w:val="00E84212"/>
    <w:rsid w:val="00E9060D"/>
    <w:rsid w:val="00E9086C"/>
    <w:rsid w:val="00E91A0F"/>
    <w:rsid w:val="00E94A71"/>
    <w:rsid w:val="00E9651C"/>
    <w:rsid w:val="00EA03CE"/>
    <w:rsid w:val="00EA07A7"/>
    <w:rsid w:val="00EA1AE7"/>
    <w:rsid w:val="00EA23E5"/>
    <w:rsid w:val="00EA27B3"/>
    <w:rsid w:val="00EA3543"/>
    <w:rsid w:val="00EA4E2E"/>
    <w:rsid w:val="00EA7668"/>
    <w:rsid w:val="00EA7964"/>
    <w:rsid w:val="00EB0BC6"/>
    <w:rsid w:val="00EB2CCB"/>
    <w:rsid w:val="00EB3EAF"/>
    <w:rsid w:val="00EB510F"/>
    <w:rsid w:val="00EB7EC1"/>
    <w:rsid w:val="00EC2178"/>
    <w:rsid w:val="00EC3813"/>
    <w:rsid w:val="00EC4C58"/>
    <w:rsid w:val="00EC57A7"/>
    <w:rsid w:val="00EC6F9A"/>
    <w:rsid w:val="00ED0817"/>
    <w:rsid w:val="00ED21E9"/>
    <w:rsid w:val="00ED2690"/>
    <w:rsid w:val="00ED3206"/>
    <w:rsid w:val="00ED3A58"/>
    <w:rsid w:val="00ED4EF3"/>
    <w:rsid w:val="00ED5B45"/>
    <w:rsid w:val="00ED7ABE"/>
    <w:rsid w:val="00ED7DD9"/>
    <w:rsid w:val="00EE2CEB"/>
    <w:rsid w:val="00EE437C"/>
    <w:rsid w:val="00EE4637"/>
    <w:rsid w:val="00EE6088"/>
    <w:rsid w:val="00EE7B11"/>
    <w:rsid w:val="00EE7F2A"/>
    <w:rsid w:val="00EF11AD"/>
    <w:rsid w:val="00EF147B"/>
    <w:rsid w:val="00EF3113"/>
    <w:rsid w:val="00EF36B9"/>
    <w:rsid w:val="00EF3F84"/>
    <w:rsid w:val="00EF57C0"/>
    <w:rsid w:val="00EF5960"/>
    <w:rsid w:val="00F008F1"/>
    <w:rsid w:val="00F00A04"/>
    <w:rsid w:val="00F00D78"/>
    <w:rsid w:val="00F015A6"/>
    <w:rsid w:val="00F05ACD"/>
    <w:rsid w:val="00F11457"/>
    <w:rsid w:val="00F129A6"/>
    <w:rsid w:val="00F131F6"/>
    <w:rsid w:val="00F176AC"/>
    <w:rsid w:val="00F17EE6"/>
    <w:rsid w:val="00F23AF3"/>
    <w:rsid w:val="00F2735A"/>
    <w:rsid w:val="00F27714"/>
    <w:rsid w:val="00F27F73"/>
    <w:rsid w:val="00F31E6B"/>
    <w:rsid w:val="00F32568"/>
    <w:rsid w:val="00F3276E"/>
    <w:rsid w:val="00F33D3C"/>
    <w:rsid w:val="00F3586A"/>
    <w:rsid w:val="00F37A91"/>
    <w:rsid w:val="00F404A5"/>
    <w:rsid w:val="00F41F2D"/>
    <w:rsid w:val="00F4336E"/>
    <w:rsid w:val="00F434D9"/>
    <w:rsid w:val="00F45CF5"/>
    <w:rsid w:val="00F46A36"/>
    <w:rsid w:val="00F46E19"/>
    <w:rsid w:val="00F47801"/>
    <w:rsid w:val="00F47DB0"/>
    <w:rsid w:val="00F50E34"/>
    <w:rsid w:val="00F5198D"/>
    <w:rsid w:val="00F52927"/>
    <w:rsid w:val="00F53EF7"/>
    <w:rsid w:val="00F54BF2"/>
    <w:rsid w:val="00F5643A"/>
    <w:rsid w:val="00F61CD0"/>
    <w:rsid w:val="00F627DF"/>
    <w:rsid w:val="00F62931"/>
    <w:rsid w:val="00F6674E"/>
    <w:rsid w:val="00F76889"/>
    <w:rsid w:val="00F80C1C"/>
    <w:rsid w:val="00F80D05"/>
    <w:rsid w:val="00F81494"/>
    <w:rsid w:val="00F823D2"/>
    <w:rsid w:val="00F82E0C"/>
    <w:rsid w:val="00F85342"/>
    <w:rsid w:val="00F8586F"/>
    <w:rsid w:val="00F85B0F"/>
    <w:rsid w:val="00F92355"/>
    <w:rsid w:val="00F93963"/>
    <w:rsid w:val="00F94291"/>
    <w:rsid w:val="00F955CF"/>
    <w:rsid w:val="00F96C9C"/>
    <w:rsid w:val="00FA2617"/>
    <w:rsid w:val="00FA7E88"/>
    <w:rsid w:val="00FB045A"/>
    <w:rsid w:val="00FB1E73"/>
    <w:rsid w:val="00FB33ED"/>
    <w:rsid w:val="00FB630F"/>
    <w:rsid w:val="00FB638F"/>
    <w:rsid w:val="00FB68F3"/>
    <w:rsid w:val="00FB7982"/>
    <w:rsid w:val="00FC0734"/>
    <w:rsid w:val="00FC0FC5"/>
    <w:rsid w:val="00FC4CF7"/>
    <w:rsid w:val="00FC588F"/>
    <w:rsid w:val="00FC59F4"/>
    <w:rsid w:val="00FC7A6C"/>
    <w:rsid w:val="00FD0191"/>
    <w:rsid w:val="00FD15C5"/>
    <w:rsid w:val="00FD183F"/>
    <w:rsid w:val="00FD3559"/>
    <w:rsid w:val="00FD657C"/>
    <w:rsid w:val="00FD6A3E"/>
    <w:rsid w:val="00FE1B30"/>
    <w:rsid w:val="00FE2359"/>
    <w:rsid w:val="00FE29F0"/>
    <w:rsid w:val="00FE7B44"/>
    <w:rsid w:val="00FF5E8D"/>
    <w:rsid w:val="00FF68B3"/>
    <w:rsid w:val="00FF7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FD3343A"/>
  <w15:docId w15:val="{D6533F66-7342-40F3-A42D-06B0232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1C0256"/>
    <w:rPr>
      <w:sz w:val="24"/>
      <w:lang w:eastAsia="en-US"/>
    </w:rPr>
  </w:style>
  <w:style w:type="paragraph" w:customStyle="1" w:styleId="Default">
    <w:name w:val="Default"/>
    <w:rsid w:val="001C4508"/>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rsid w:val="0049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31116">
      <w:bodyDiv w:val="1"/>
      <w:marLeft w:val="0"/>
      <w:marRight w:val="0"/>
      <w:marTop w:val="0"/>
      <w:marBottom w:val="0"/>
      <w:divBdr>
        <w:top w:val="none" w:sz="0" w:space="0" w:color="auto"/>
        <w:left w:val="none" w:sz="0" w:space="0" w:color="auto"/>
        <w:bottom w:val="none" w:sz="0" w:space="0" w:color="auto"/>
        <w:right w:val="none" w:sz="0" w:space="0" w:color="auto"/>
      </w:divBdr>
    </w:div>
    <w:div w:id="8092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BE53-CA31-464F-AC08-2D68E26B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59</Pages>
  <Words>23801</Words>
  <Characters>122973</Characters>
  <Application>Microsoft Office Word</Application>
  <DocSecurity>0</DocSecurity>
  <Lines>2120</Lines>
  <Paragraphs>715</Paragraphs>
  <ScaleCrop>false</ScaleCrop>
  <HeadingPairs>
    <vt:vector size="2" baseType="variant">
      <vt:variant>
        <vt:lpstr>Title</vt:lpstr>
      </vt:variant>
      <vt:variant>
        <vt:i4>1</vt:i4>
      </vt:variant>
    </vt:vector>
  </HeadingPairs>
  <TitlesOfParts>
    <vt:vector size="1" baseType="lpstr">
      <vt:lpstr>The Wilderness Society (Tasmania) Inc v Minister for the Environment [2019] FCA 1842 </vt:lpstr>
    </vt:vector>
  </TitlesOfParts>
  <Company>Federal Court of Australia</Company>
  <LinksUpToDate>false</LinksUpToDate>
  <CharactersWithSpaces>146059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Wilderness Society (Tasmania) Inc v Minister for the Environment [2019] FCA 1842</dc:title>
  <dc:creator>Kate Walker</dc:creator>
  <cp:lastModifiedBy>Sona Muradyan</cp:lastModifiedBy>
  <cp:revision>6</cp:revision>
  <cp:lastPrinted>2019-11-05T21:35:00Z</cp:lastPrinted>
  <dcterms:created xsi:type="dcterms:W3CDTF">2019-11-11T23:08:00Z</dcterms:created>
  <dcterms:modified xsi:type="dcterms:W3CDTF">2019-11-11T23:11:00Z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Tasmania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