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0C2BB0">
      <w:pPr>
        <w:pStyle w:val="MediaNeutralStyle"/>
      </w:pPr>
      <w:bookmarkStart w:id="0" w:name="MNC"/>
      <w:r>
        <w:t xml:space="preserve">CLN15 v Minister for Immigration, Citizenship, Migrant Services and Multicultural Affairs [2019] FCA </w:t>
      </w:r>
      <w:r w:rsidR="005E4EC3">
        <w:t>1854</w:t>
      </w:r>
      <w:r w:rsidR="002C7385">
        <w:t xml:space="preserve"> </w:t>
      </w:r>
      <w:bookmarkEnd w:id="0"/>
    </w:p>
    <w:p w:rsidR="00395B24" w:rsidRDefault="00395B24">
      <w:pPr>
        <w:pStyle w:val="Normal1linespace"/>
      </w:pPr>
    </w:p>
    <w:tbl>
      <w:tblPr>
        <w:tblW w:w="9038" w:type="dxa"/>
        <w:tblLayout w:type="fixed"/>
        <w:tblLook w:val="01E0" w:firstRow="1" w:lastRow="1" w:firstColumn="1" w:lastColumn="1" w:noHBand="0" w:noVBand="0"/>
        <w:tblCaption w:val="Cover Table"/>
        <w:tblDescription w:val="Cover Table"/>
      </w:tblPr>
      <w:tblGrid>
        <w:gridCol w:w="3084"/>
        <w:gridCol w:w="5954"/>
      </w:tblGrid>
      <w:tr w:rsidR="00395B24" w:rsidTr="00663878">
        <w:tc>
          <w:tcPr>
            <w:tcW w:w="3084" w:type="dxa"/>
            <w:shd w:val="clear" w:color="auto" w:fill="auto"/>
          </w:tcPr>
          <w:p w:rsidR="00395B24" w:rsidRDefault="002C7385" w:rsidP="002539B3">
            <w:pPr>
              <w:pStyle w:val="Normal1linespace"/>
              <w:widowControl w:val="0"/>
              <w:spacing w:after="60"/>
              <w:jc w:val="left"/>
            </w:pPr>
            <w:r>
              <w:t>Appeal from:</w:t>
            </w:r>
          </w:p>
        </w:tc>
        <w:tc>
          <w:tcPr>
            <w:tcW w:w="5954" w:type="dxa"/>
            <w:shd w:val="clear" w:color="auto" w:fill="auto"/>
          </w:tcPr>
          <w:p w:rsidR="00395B24" w:rsidRDefault="002D07CE" w:rsidP="002539B3">
            <w:pPr>
              <w:pStyle w:val="CasesLegislationAppealFrom"/>
              <w:spacing w:after="60"/>
            </w:pPr>
            <w:bookmarkStart w:id="1" w:name="AppealFrom"/>
            <w:r>
              <w:rPr>
                <w:i/>
              </w:rPr>
              <w:t xml:space="preserve">CLN15 &amp; Anor v Minister for Immigration &amp; Anor </w:t>
            </w:r>
            <w:r>
              <w:t>[2019] FCCA 1605</w:t>
            </w:r>
            <w:r w:rsidR="009264B3">
              <w:t xml:space="preserve"> </w:t>
            </w:r>
            <w:bookmarkEnd w:id="1"/>
          </w:p>
        </w:tc>
      </w:tr>
      <w:tr w:rsidR="00395B24" w:rsidTr="00663878">
        <w:tc>
          <w:tcPr>
            <w:tcW w:w="3084" w:type="dxa"/>
            <w:shd w:val="clear" w:color="auto" w:fill="auto"/>
          </w:tcPr>
          <w:p w:rsidR="00395B24" w:rsidRDefault="00395B24" w:rsidP="00663878">
            <w:pPr>
              <w:pStyle w:val="Normal1linespace"/>
              <w:widowControl w:val="0"/>
              <w:jc w:val="left"/>
            </w:pPr>
          </w:p>
        </w:tc>
        <w:tc>
          <w:tcPr>
            <w:tcW w:w="5954" w:type="dxa"/>
            <w:shd w:val="clear" w:color="auto" w:fill="auto"/>
          </w:tcPr>
          <w:p w:rsidR="00395B24" w:rsidRDefault="00395B24" w:rsidP="00663878">
            <w:pPr>
              <w:pStyle w:val="Normal1linespace"/>
              <w:widowControl w:val="0"/>
              <w:jc w:val="left"/>
            </w:pPr>
          </w:p>
        </w:tc>
      </w:tr>
      <w:tr w:rsidR="00395B24" w:rsidTr="00663878">
        <w:tc>
          <w:tcPr>
            <w:tcW w:w="3084" w:type="dxa"/>
            <w:shd w:val="clear" w:color="auto" w:fill="auto"/>
          </w:tcPr>
          <w:p w:rsidR="00395B24" w:rsidRDefault="002C7385" w:rsidP="000C2BB0">
            <w:pPr>
              <w:pStyle w:val="Normal1linespace"/>
              <w:widowControl w:val="0"/>
              <w:jc w:val="left"/>
            </w:pPr>
            <w:r>
              <w:t>File number:</w:t>
            </w:r>
          </w:p>
        </w:tc>
        <w:tc>
          <w:tcPr>
            <w:tcW w:w="5954" w:type="dxa"/>
            <w:shd w:val="clear" w:color="auto" w:fill="auto"/>
          </w:tcPr>
          <w:p w:rsidR="00395B24" w:rsidRPr="008F4ACD" w:rsidRDefault="00A61BE1" w:rsidP="008F4ACD">
            <w:pPr>
              <w:pStyle w:val="Normal1linespace"/>
              <w:jc w:val="left"/>
            </w:pPr>
            <w:fldSimple w:instr=" REF  FileNo  \* MERGEFORMAT " w:fldLock="1">
              <w:r w:rsidR="008F4ACD" w:rsidRPr="008F4ACD">
                <w:t>NSD 10</w:t>
              </w:r>
              <w:r w:rsidR="005E4EC3">
                <w:t>7</w:t>
              </w:r>
              <w:r w:rsidR="008F4ACD" w:rsidRPr="008F4ACD">
                <w:t>7 of 2019</w:t>
              </w:r>
            </w:fldSimple>
          </w:p>
        </w:tc>
      </w:tr>
      <w:tr w:rsidR="00395B24" w:rsidTr="00663878">
        <w:tc>
          <w:tcPr>
            <w:tcW w:w="3084" w:type="dxa"/>
            <w:shd w:val="clear" w:color="auto" w:fill="auto"/>
          </w:tcPr>
          <w:p w:rsidR="00395B24" w:rsidRDefault="00395B24" w:rsidP="00663878">
            <w:pPr>
              <w:pStyle w:val="Normal1linespace"/>
              <w:widowControl w:val="0"/>
              <w:jc w:val="left"/>
            </w:pPr>
          </w:p>
        </w:tc>
        <w:tc>
          <w:tcPr>
            <w:tcW w:w="5954" w:type="dxa"/>
            <w:shd w:val="clear" w:color="auto" w:fill="auto"/>
          </w:tcPr>
          <w:p w:rsidR="00395B24" w:rsidRDefault="00395B24" w:rsidP="00663878">
            <w:pPr>
              <w:pStyle w:val="Normal1linespace"/>
              <w:widowControl w:val="0"/>
              <w:jc w:val="left"/>
            </w:pPr>
          </w:p>
        </w:tc>
      </w:tr>
      <w:tr w:rsidR="00395B24" w:rsidTr="00663878">
        <w:tc>
          <w:tcPr>
            <w:tcW w:w="3084" w:type="dxa"/>
            <w:shd w:val="clear" w:color="auto" w:fill="auto"/>
          </w:tcPr>
          <w:p w:rsidR="00395B24" w:rsidRDefault="002C7385" w:rsidP="000C2BB0">
            <w:pPr>
              <w:pStyle w:val="Normal1linespace"/>
              <w:widowControl w:val="0"/>
              <w:jc w:val="left"/>
            </w:pPr>
            <w:r>
              <w:t>Judge:</w:t>
            </w:r>
          </w:p>
        </w:tc>
        <w:tc>
          <w:tcPr>
            <w:tcW w:w="5954" w:type="dxa"/>
            <w:shd w:val="clear" w:color="auto" w:fill="auto"/>
          </w:tcPr>
          <w:p w:rsidR="00395B24" w:rsidRDefault="002C7385" w:rsidP="00663878">
            <w:pPr>
              <w:pStyle w:val="Normal1linespace"/>
              <w:widowControl w:val="0"/>
              <w:jc w:val="left"/>
              <w:rPr>
                <w:b/>
              </w:rPr>
            </w:pPr>
            <w:r w:rsidRPr="008F4ACD">
              <w:rPr>
                <w:b/>
              </w:rPr>
              <w:fldChar w:fldCharType="begin" w:fldLock="1"/>
            </w:r>
            <w:r w:rsidRPr="008F4ACD">
              <w:rPr>
                <w:b/>
              </w:rPr>
              <w:instrText xml:space="preserve"> REF  Judge  \* MERGEFORMAT </w:instrText>
            </w:r>
            <w:r w:rsidRPr="008F4ACD">
              <w:rPr>
                <w:b/>
              </w:rPr>
              <w:fldChar w:fldCharType="separate"/>
            </w:r>
            <w:r w:rsidR="008F4ACD" w:rsidRPr="008F4ACD">
              <w:rPr>
                <w:b/>
                <w:caps/>
                <w:szCs w:val="24"/>
              </w:rPr>
              <w:t>STEWART J</w:t>
            </w:r>
            <w:r w:rsidRPr="008F4ACD">
              <w:rPr>
                <w:b/>
              </w:rPr>
              <w:fldChar w:fldCharType="end"/>
            </w:r>
          </w:p>
        </w:tc>
      </w:tr>
      <w:tr w:rsidR="00395B24" w:rsidTr="00663878">
        <w:tc>
          <w:tcPr>
            <w:tcW w:w="3084" w:type="dxa"/>
            <w:shd w:val="clear" w:color="auto" w:fill="auto"/>
          </w:tcPr>
          <w:p w:rsidR="00395B24" w:rsidRDefault="00395B24" w:rsidP="00663878">
            <w:pPr>
              <w:pStyle w:val="Normal1linespace"/>
              <w:widowControl w:val="0"/>
              <w:jc w:val="left"/>
            </w:pPr>
          </w:p>
        </w:tc>
        <w:tc>
          <w:tcPr>
            <w:tcW w:w="5954" w:type="dxa"/>
            <w:shd w:val="clear" w:color="auto" w:fill="auto"/>
          </w:tcPr>
          <w:p w:rsidR="00395B24" w:rsidRDefault="00395B24" w:rsidP="00663878">
            <w:pPr>
              <w:pStyle w:val="Normal1linespace"/>
              <w:widowControl w:val="0"/>
              <w:jc w:val="left"/>
            </w:pPr>
          </w:p>
        </w:tc>
      </w:tr>
      <w:tr w:rsidR="00395B24" w:rsidTr="00663878">
        <w:tc>
          <w:tcPr>
            <w:tcW w:w="3084" w:type="dxa"/>
            <w:shd w:val="clear" w:color="auto" w:fill="auto"/>
          </w:tcPr>
          <w:p w:rsidR="00395B24" w:rsidRDefault="002C7385" w:rsidP="00663878">
            <w:pPr>
              <w:pStyle w:val="Normal1linespace"/>
              <w:widowControl w:val="0"/>
              <w:jc w:val="left"/>
            </w:pPr>
            <w:r>
              <w:t>Date of judgment:</w:t>
            </w:r>
          </w:p>
        </w:tc>
        <w:tc>
          <w:tcPr>
            <w:tcW w:w="5954" w:type="dxa"/>
            <w:shd w:val="clear" w:color="auto" w:fill="auto"/>
          </w:tcPr>
          <w:p w:rsidR="00395B24" w:rsidRDefault="005E4EC3" w:rsidP="00663878">
            <w:pPr>
              <w:pStyle w:val="Normal1linespace"/>
              <w:widowControl w:val="0"/>
              <w:jc w:val="left"/>
            </w:pPr>
            <w:bookmarkStart w:id="2" w:name="JudgmentDate"/>
            <w:r>
              <w:t xml:space="preserve">11 </w:t>
            </w:r>
            <w:r w:rsidR="008F4ACD">
              <w:t>November 2019</w:t>
            </w:r>
            <w:bookmarkEnd w:id="2"/>
          </w:p>
        </w:tc>
      </w:tr>
      <w:tr w:rsidR="00395B24" w:rsidTr="00663878">
        <w:tc>
          <w:tcPr>
            <w:tcW w:w="3084" w:type="dxa"/>
            <w:shd w:val="clear" w:color="auto" w:fill="auto"/>
          </w:tcPr>
          <w:p w:rsidR="00395B24" w:rsidRDefault="00395B24" w:rsidP="00663878">
            <w:pPr>
              <w:pStyle w:val="Normal1linespace"/>
              <w:widowControl w:val="0"/>
              <w:jc w:val="left"/>
            </w:pPr>
          </w:p>
        </w:tc>
        <w:tc>
          <w:tcPr>
            <w:tcW w:w="5954" w:type="dxa"/>
            <w:shd w:val="clear" w:color="auto" w:fill="auto"/>
          </w:tcPr>
          <w:p w:rsidR="00395B24" w:rsidRDefault="00395B24" w:rsidP="00663878">
            <w:pPr>
              <w:pStyle w:val="Normal1linespace"/>
              <w:widowControl w:val="0"/>
              <w:jc w:val="left"/>
            </w:pPr>
          </w:p>
        </w:tc>
      </w:tr>
      <w:tr w:rsidR="00395B24" w:rsidTr="00663878">
        <w:tc>
          <w:tcPr>
            <w:tcW w:w="3084" w:type="dxa"/>
            <w:shd w:val="clear" w:color="auto" w:fill="auto"/>
          </w:tcPr>
          <w:p w:rsidR="00395B24" w:rsidRDefault="002C7385" w:rsidP="00663878">
            <w:pPr>
              <w:pStyle w:val="Normal1linespace"/>
              <w:widowControl w:val="0"/>
              <w:jc w:val="left"/>
            </w:pPr>
            <w:r>
              <w:t>Catchwords:</w:t>
            </w:r>
          </w:p>
        </w:tc>
        <w:tc>
          <w:tcPr>
            <w:tcW w:w="5954" w:type="dxa"/>
            <w:shd w:val="clear" w:color="auto" w:fill="auto"/>
          </w:tcPr>
          <w:p w:rsidR="00395B24" w:rsidRDefault="00EF2FA2" w:rsidP="000B4F71">
            <w:pPr>
              <w:pStyle w:val="Normal1linespace"/>
              <w:widowControl w:val="0"/>
              <w:jc w:val="left"/>
            </w:pPr>
            <w:bookmarkStart w:id="3" w:name="Catchwords"/>
            <w:r>
              <w:rPr>
                <w:b/>
              </w:rPr>
              <w:t>MIGRATION</w:t>
            </w:r>
            <w:r>
              <w:t xml:space="preserve"> </w:t>
            </w:r>
            <w:r w:rsidR="00130A45">
              <w:t>–</w:t>
            </w:r>
            <w:r>
              <w:t xml:space="preserve"> </w:t>
            </w:r>
            <w:r w:rsidR="00130A45">
              <w:t>appeal from a decision of the Federal Circuit Court dismissing application for judicial review of a decision of the Administrative Appeals Tribunal affirming the delegate’s decision to refuse the appellants’ application for protection visas</w:t>
            </w:r>
            <w:r w:rsidR="000B4F71">
              <w:t xml:space="preserve"> – </w:t>
            </w:r>
            <w:r w:rsidR="00F63AFD">
              <w:t>no error by the primary judge – appeal dismissed</w:t>
            </w:r>
            <w:r w:rsidR="002C7385">
              <w:t xml:space="preserve"> </w:t>
            </w:r>
            <w:bookmarkEnd w:id="3"/>
          </w:p>
        </w:tc>
      </w:tr>
      <w:tr w:rsidR="00395B24" w:rsidTr="00663878">
        <w:tc>
          <w:tcPr>
            <w:tcW w:w="3084" w:type="dxa"/>
            <w:shd w:val="clear" w:color="auto" w:fill="auto"/>
          </w:tcPr>
          <w:p w:rsidR="00395B24" w:rsidRDefault="00395B24" w:rsidP="00663878">
            <w:pPr>
              <w:pStyle w:val="Normal1linespace"/>
              <w:widowControl w:val="0"/>
              <w:jc w:val="left"/>
            </w:pPr>
          </w:p>
        </w:tc>
        <w:tc>
          <w:tcPr>
            <w:tcW w:w="5954" w:type="dxa"/>
            <w:shd w:val="clear" w:color="auto" w:fill="auto"/>
          </w:tcPr>
          <w:p w:rsidR="00395B24" w:rsidRDefault="00395B24" w:rsidP="00663878">
            <w:pPr>
              <w:pStyle w:val="Normal1linespace"/>
              <w:widowControl w:val="0"/>
              <w:jc w:val="left"/>
            </w:pPr>
          </w:p>
        </w:tc>
      </w:tr>
      <w:tr w:rsidR="00395B24" w:rsidTr="00663878">
        <w:tc>
          <w:tcPr>
            <w:tcW w:w="3084" w:type="dxa"/>
            <w:shd w:val="clear" w:color="auto" w:fill="auto"/>
          </w:tcPr>
          <w:p w:rsidR="00395B24" w:rsidRDefault="002C7385" w:rsidP="00663878">
            <w:pPr>
              <w:pStyle w:val="Normal1linespace"/>
              <w:widowControl w:val="0"/>
              <w:jc w:val="left"/>
            </w:pPr>
            <w:r>
              <w:t>Legislation:</w:t>
            </w:r>
          </w:p>
        </w:tc>
        <w:tc>
          <w:tcPr>
            <w:tcW w:w="5954" w:type="dxa"/>
            <w:shd w:val="clear" w:color="auto" w:fill="auto"/>
          </w:tcPr>
          <w:p w:rsidR="00395B24" w:rsidRDefault="00040149" w:rsidP="00EF2FA2">
            <w:pPr>
              <w:pStyle w:val="CasesLegislationAppealFrom"/>
              <w:spacing w:after="60"/>
            </w:pPr>
            <w:bookmarkStart w:id="4" w:name="Legislation"/>
            <w:r w:rsidRPr="00040149">
              <w:rPr>
                <w:i/>
              </w:rPr>
              <w:t xml:space="preserve">Migration </w:t>
            </w:r>
            <w:r w:rsidRPr="00EF2FA2">
              <w:rPr>
                <w:i/>
              </w:rPr>
              <w:t>Act</w:t>
            </w:r>
            <w:r w:rsidRPr="00040149">
              <w:rPr>
                <w:i/>
              </w:rPr>
              <w:t xml:space="preserve"> 1958</w:t>
            </w:r>
            <w:r w:rsidRPr="00040149">
              <w:t xml:space="preserve"> (</w:t>
            </w:r>
            <w:proofErr w:type="spellStart"/>
            <w:r w:rsidRPr="00040149">
              <w:t>Cth</w:t>
            </w:r>
            <w:proofErr w:type="spellEnd"/>
            <w:r w:rsidRPr="00040149">
              <w:t>)</w:t>
            </w:r>
            <w:r w:rsidR="00EF2FA2">
              <w:t xml:space="preserve"> </w:t>
            </w:r>
            <w:proofErr w:type="spellStart"/>
            <w:r w:rsidR="00EF2FA2">
              <w:t>ss</w:t>
            </w:r>
            <w:proofErr w:type="spellEnd"/>
            <w:r w:rsidR="00EF2FA2">
              <w:t xml:space="preserve"> 36(2)(a), </w:t>
            </w:r>
            <w:r w:rsidR="00EF2FA2" w:rsidRPr="00EF2FA2">
              <w:t>36(2)(aa)</w:t>
            </w:r>
            <w:r w:rsidR="00EF2FA2">
              <w:t xml:space="preserve">, 476 </w:t>
            </w:r>
            <w:r w:rsidR="002C7385">
              <w:t xml:space="preserve"> </w:t>
            </w:r>
            <w:bookmarkEnd w:id="4"/>
          </w:p>
        </w:tc>
      </w:tr>
      <w:tr w:rsidR="00395B24" w:rsidTr="00663878">
        <w:tc>
          <w:tcPr>
            <w:tcW w:w="3084" w:type="dxa"/>
            <w:shd w:val="clear" w:color="auto" w:fill="auto"/>
          </w:tcPr>
          <w:p w:rsidR="00395B24" w:rsidRDefault="00395B24" w:rsidP="00663878">
            <w:pPr>
              <w:pStyle w:val="Normal1linespace"/>
              <w:widowControl w:val="0"/>
              <w:jc w:val="left"/>
            </w:pPr>
          </w:p>
        </w:tc>
        <w:tc>
          <w:tcPr>
            <w:tcW w:w="5954" w:type="dxa"/>
            <w:shd w:val="clear" w:color="auto" w:fill="auto"/>
          </w:tcPr>
          <w:p w:rsidR="00395B24" w:rsidRDefault="00395B24" w:rsidP="00663878">
            <w:pPr>
              <w:pStyle w:val="Normal1linespace"/>
              <w:widowControl w:val="0"/>
              <w:jc w:val="left"/>
            </w:pPr>
          </w:p>
        </w:tc>
      </w:tr>
      <w:tr w:rsidR="000C2BB0" w:rsidTr="000C2BB0">
        <w:tc>
          <w:tcPr>
            <w:tcW w:w="3084" w:type="dxa"/>
            <w:shd w:val="clear" w:color="auto" w:fill="auto"/>
          </w:tcPr>
          <w:p w:rsidR="000C2BB0" w:rsidRDefault="000C2BB0" w:rsidP="00F64F95">
            <w:pPr>
              <w:pStyle w:val="Normal1linespace"/>
              <w:widowControl w:val="0"/>
              <w:jc w:val="left"/>
            </w:pPr>
            <w:bookmarkStart w:id="5" w:name="CounselTable"/>
            <w:r>
              <w:t>Date of hearing:</w:t>
            </w:r>
          </w:p>
        </w:tc>
        <w:tc>
          <w:tcPr>
            <w:tcW w:w="5954" w:type="dxa"/>
            <w:shd w:val="clear" w:color="auto" w:fill="auto"/>
          </w:tcPr>
          <w:p w:rsidR="000C2BB0" w:rsidRDefault="000C2BB0" w:rsidP="00F64F95">
            <w:pPr>
              <w:pStyle w:val="CasesLegislationAppealFrom"/>
              <w:spacing w:after="60"/>
            </w:pPr>
            <w:r>
              <w:t>11 November 2019</w:t>
            </w:r>
          </w:p>
        </w:tc>
      </w:tr>
      <w:tr w:rsidR="000C2BB0" w:rsidTr="000C2BB0">
        <w:tc>
          <w:tcPr>
            <w:tcW w:w="3084" w:type="dxa"/>
            <w:shd w:val="clear" w:color="auto" w:fill="auto"/>
          </w:tcPr>
          <w:p w:rsidR="000C2BB0" w:rsidRDefault="000C2BB0" w:rsidP="00F64F95">
            <w:pPr>
              <w:pStyle w:val="Normal1linespace"/>
              <w:widowControl w:val="0"/>
              <w:jc w:val="left"/>
            </w:pPr>
          </w:p>
        </w:tc>
        <w:tc>
          <w:tcPr>
            <w:tcW w:w="5954" w:type="dxa"/>
            <w:shd w:val="clear" w:color="auto" w:fill="auto"/>
          </w:tcPr>
          <w:p w:rsidR="000C2BB0" w:rsidRDefault="000C2BB0" w:rsidP="00F64F95">
            <w:pPr>
              <w:pStyle w:val="CasesLegislationAppealFrom"/>
              <w:spacing w:after="60"/>
            </w:pPr>
          </w:p>
        </w:tc>
      </w:tr>
      <w:tr w:rsidR="000C2BB0" w:rsidTr="000C2BB0">
        <w:tc>
          <w:tcPr>
            <w:tcW w:w="3084" w:type="dxa"/>
            <w:shd w:val="clear" w:color="auto" w:fill="auto"/>
          </w:tcPr>
          <w:p w:rsidR="000C2BB0" w:rsidRDefault="000C2BB0" w:rsidP="00F64F95">
            <w:pPr>
              <w:pStyle w:val="Normal1linespace"/>
              <w:widowControl w:val="0"/>
              <w:jc w:val="left"/>
            </w:pPr>
            <w:r>
              <w:t>Registry:</w:t>
            </w:r>
          </w:p>
        </w:tc>
        <w:tc>
          <w:tcPr>
            <w:tcW w:w="5954" w:type="dxa"/>
            <w:shd w:val="clear" w:color="auto" w:fill="auto"/>
          </w:tcPr>
          <w:p w:rsidR="000C2BB0" w:rsidRDefault="000C2BB0" w:rsidP="00F64F95">
            <w:pPr>
              <w:pStyle w:val="CasesLegislationAppealFrom"/>
              <w:spacing w:after="60"/>
            </w:pPr>
            <w:r>
              <w:t>New South Wales</w:t>
            </w:r>
          </w:p>
        </w:tc>
      </w:tr>
      <w:tr w:rsidR="000C2BB0" w:rsidTr="000C2BB0">
        <w:tc>
          <w:tcPr>
            <w:tcW w:w="3084" w:type="dxa"/>
            <w:shd w:val="clear" w:color="auto" w:fill="auto"/>
          </w:tcPr>
          <w:p w:rsidR="000C2BB0" w:rsidRDefault="000C2BB0" w:rsidP="00F64F95">
            <w:pPr>
              <w:pStyle w:val="Normal1linespace"/>
              <w:widowControl w:val="0"/>
              <w:jc w:val="left"/>
            </w:pPr>
          </w:p>
        </w:tc>
        <w:tc>
          <w:tcPr>
            <w:tcW w:w="5954" w:type="dxa"/>
            <w:shd w:val="clear" w:color="auto" w:fill="auto"/>
          </w:tcPr>
          <w:p w:rsidR="000C2BB0" w:rsidRDefault="000C2BB0" w:rsidP="00F64F95">
            <w:pPr>
              <w:pStyle w:val="CasesLegislationAppealFrom"/>
              <w:spacing w:after="60"/>
            </w:pPr>
          </w:p>
        </w:tc>
      </w:tr>
      <w:tr w:rsidR="000C2BB0" w:rsidTr="000C2BB0">
        <w:tc>
          <w:tcPr>
            <w:tcW w:w="3084" w:type="dxa"/>
            <w:shd w:val="clear" w:color="auto" w:fill="auto"/>
          </w:tcPr>
          <w:p w:rsidR="000C2BB0" w:rsidRDefault="000C2BB0" w:rsidP="00F64F95">
            <w:pPr>
              <w:pStyle w:val="Normal1linespace"/>
              <w:widowControl w:val="0"/>
              <w:jc w:val="left"/>
            </w:pPr>
            <w:r>
              <w:t>Division:</w:t>
            </w:r>
          </w:p>
        </w:tc>
        <w:tc>
          <w:tcPr>
            <w:tcW w:w="5954" w:type="dxa"/>
            <w:shd w:val="clear" w:color="auto" w:fill="auto"/>
          </w:tcPr>
          <w:p w:rsidR="000C2BB0" w:rsidRDefault="000C2BB0" w:rsidP="00F64F95">
            <w:pPr>
              <w:pStyle w:val="CasesLegislationAppealFrom"/>
              <w:spacing w:after="60"/>
            </w:pPr>
            <w:r>
              <w:t>General Division</w:t>
            </w:r>
          </w:p>
        </w:tc>
      </w:tr>
      <w:tr w:rsidR="000C2BB0" w:rsidTr="000C2BB0">
        <w:tc>
          <w:tcPr>
            <w:tcW w:w="3084" w:type="dxa"/>
            <w:shd w:val="clear" w:color="auto" w:fill="auto"/>
          </w:tcPr>
          <w:p w:rsidR="000C2BB0" w:rsidRDefault="000C2BB0" w:rsidP="00F64F95">
            <w:pPr>
              <w:pStyle w:val="Normal1linespace"/>
              <w:widowControl w:val="0"/>
              <w:jc w:val="left"/>
            </w:pPr>
          </w:p>
        </w:tc>
        <w:tc>
          <w:tcPr>
            <w:tcW w:w="5954" w:type="dxa"/>
            <w:shd w:val="clear" w:color="auto" w:fill="auto"/>
          </w:tcPr>
          <w:p w:rsidR="000C2BB0" w:rsidRDefault="000C2BB0" w:rsidP="00F64F95">
            <w:pPr>
              <w:pStyle w:val="CasesLegislationAppealFrom"/>
              <w:spacing w:after="60"/>
            </w:pPr>
          </w:p>
        </w:tc>
      </w:tr>
      <w:tr w:rsidR="000C2BB0" w:rsidTr="000C2BB0">
        <w:tc>
          <w:tcPr>
            <w:tcW w:w="3084" w:type="dxa"/>
            <w:shd w:val="clear" w:color="auto" w:fill="auto"/>
          </w:tcPr>
          <w:p w:rsidR="000C2BB0" w:rsidRDefault="000C2BB0" w:rsidP="00F64F95">
            <w:pPr>
              <w:pStyle w:val="Normal1linespace"/>
              <w:widowControl w:val="0"/>
              <w:jc w:val="left"/>
            </w:pPr>
            <w:r>
              <w:t>National Practice Area:</w:t>
            </w:r>
          </w:p>
        </w:tc>
        <w:tc>
          <w:tcPr>
            <w:tcW w:w="5954" w:type="dxa"/>
            <w:shd w:val="clear" w:color="auto" w:fill="auto"/>
          </w:tcPr>
          <w:p w:rsidR="000C2BB0" w:rsidRDefault="000C2BB0" w:rsidP="00F64F95">
            <w:pPr>
              <w:pStyle w:val="CasesLegislationAppealFrom"/>
              <w:spacing w:after="60"/>
            </w:pPr>
            <w:r>
              <w:t>Administrative and Constitutional Law and Human Rights</w:t>
            </w:r>
          </w:p>
        </w:tc>
      </w:tr>
      <w:tr w:rsidR="000C2BB0" w:rsidTr="000C2BB0">
        <w:tc>
          <w:tcPr>
            <w:tcW w:w="3084" w:type="dxa"/>
            <w:shd w:val="clear" w:color="auto" w:fill="auto"/>
          </w:tcPr>
          <w:p w:rsidR="000C2BB0" w:rsidRDefault="000C2BB0" w:rsidP="00F64F95">
            <w:pPr>
              <w:pStyle w:val="Normal1linespace"/>
              <w:widowControl w:val="0"/>
              <w:jc w:val="left"/>
            </w:pPr>
          </w:p>
        </w:tc>
        <w:tc>
          <w:tcPr>
            <w:tcW w:w="5954" w:type="dxa"/>
            <w:shd w:val="clear" w:color="auto" w:fill="auto"/>
          </w:tcPr>
          <w:p w:rsidR="000C2BB0" w:rsidRDefault="000C2BB0" w:rsidP="00F64F95">
            <w:pPr>
              <w:pStyle w:val="CasesLegislationAppealFrom"/>
              <w:spacing w:after="60"/>
            </w:pPr>
          </w:p>
        </w:tc>
      </w:tr>
      <w:tr w:rsidR="000C2BB0" w:rsidTr="000C2BB0">
        <w:tc>
          <w:tcPr>
            <w:tcW w:w="3084" w:type="dxa"/>
            <w:shd w:val="clear" w:color="auto" w:fill="auto"/>
          </w:tcPr>
          <w:p w:rsidR="000C2BB0" w:rsidRDefault="000C2BB0" w:rsidP="00F64F95">
            <w:pPr>
              <w:pStyle w:val="Normal1linespace"/>
              <w:widowControl w:val="0"/>
              <w:jc w:val="left"/>
            </w:pPr>
            <w:r>
              <w:t>Category:</w:t>
            </w:r>
          </w:p>
        </w:tc>
        <w:tc>
          <w:tcPr>
            <w:tcW w:w="5954" w:type="dxa"/>
            <w:shd w:val="clear" w:color="auto" w:fill="auto"/>
          </w:tcPr>
          <w:p w:rsidR="000C2BB0" w:rsidRDefault="000C2BB0" w:rsidP="00F64F95">
            <w:pPr>
              <w:pStyle w:val="CasesLegislationAppealFrom"/>
              <w:spacing w:after="60"/>
            </w:pPr>
            <w:r>
              <w:t>Catchwords</w:t>
            </w:r>
          </w:p>
        </w:tc>
      </w:tr>
      <w:tr w:rsidR="000C2BB0" w:rsidTr="000C2BB0">
        <w:tc>
          <w:tcPr>
            <w:tcW w:w="3084" w:type="dxa"/>
            <w:shd w:val="clear" w:color="auto" w:fill="auto"/>
          </w:tcPr>
          <w:p w:rsidR="000C2BB0" w:rsidRDefault="000C2BB0" w:rsidP="00F64F95">
            <w:pPr>
              <w:pStyle w:val="Normal1linespace"/>
              <w:widowControl w:val="0"/>
              <w:jc w:val="left"/>
            </w:pPr>
          </w:p>
        </w:tc>
        <w:tc>
          <w:tcPr>
            <w:tcW w:w="5954" w:type="dxa"/>
            <w:shd w:val="clear" w:color="auto" w:fill="auto"/>
          </w:tcPr>
          <w:p w:rsidR="000C2BB0" w:rsidRDefault="000C2BB0" w:rsidP="00F64F95">
            <w:pPr>
              <w:pStyle w:val="CasesLegislationAppealFrom"/>
              <w:spacing w:after="60"/>
            </w:pPr>
          </w:p>
        </w:tc>
      </w:tr>
      <w:tr w:rsidR="000C2BB0" w:rsidTr="000C2BB0">
        <w:tc>
          <w:tcPr>
            <w:tcW w:w="3084" w:type="dxa"/>
            <w:shd w:val="clear" w:color="auto" w:fill="auto"/>
          </w:tcPr>
          <w:p w:rsidR="000C2BB0" w:rsidRDefault="000C2BB0" w:rsidP="00F64F95">
            <w:pPr>
              <w:pStyle w:val="Normal1linespace"/>
              <w:widowControl w:val="0"/>
              <w:jc w:val="left"/>
            </w:pPr>
            <w:r>
              <w:t>Number of paragraphs:</w:t>
            </w:r>
          </w:p>
        </w:tc>
        <w:tc>
          <w:tcPr>
            <w:tcW w:w="5954" w:type="dxa"/>
            <w:shd w:val="clear" w:color="auto" w:fill="auto"/>
          </w:tcPr>
          <w:p w:rsidR="000C2BB0" w:rsidRDefault="005E4EC3" w:rsidP="00F64F95">
            <w:pPr>
              <w:pStyle w:val="CasesLegislationAppealFrom"/>
              <w:spacing w:after="60"/>
            </w:pPr>
            <w:r>
              <w:t>22</w:t>
            </w:r>
          </w:p>
        </w:tc>
      </w:tr>
      <w:tr w:rsidR="000C2BB0" w:rsidTr="000C2BB0">
        <w:tc>
          <w:tcPr>
            <w:tcW w:w="3084" w:type="dxa"/>
            <w:shd w:val="clear" w:color="auto" w:fill="auto"/>
          </w:tcPr>
          <w:p w:rsidR="000C2BB0" w:rsidRDefault="000C2BB0" w:rsidP="00F64F95">
            <w:pPr>
              <w:pStyle w:val="Normal1linespace"/>
              <w:widowControl w:val="0"/>
              <w:jc w:val="left"/>
            </w:pPr>
          </w:p>
        </w:tc>
        <w:tc>
          <w:tcPr>
            <w:tcW w:w="5954" w:type="dxa"/>
            <w:shd w:val="clear" w:color="auto" w:fill="auto"/>
          </w:tcPr>
          <w:p w:rsidR="000C2BB0" w:rsidRDefault="000C2BB0" w:rsidP="00F64F95">
            <w:pPr>
              <w:pStyle w:val="CasesLegislationAppealFrom"/>
              <w:spacing w:after="60"/>
            </w:pPr>
          </w:p>
        </w:tc>
      </w:tr>
      <w:tr w:rsidR="000C2BB0" w:rsidRPr="00D50652" w:rsidTr="000C2BB0">
        <w:tc>
          <w:tcPr>
            <w:tcW w:w="3084" w:type="dxa"/>
            <w:shd w:val="clear" w:color="auto" w:fill="auto"/>
          </w:tcPr>
          <w:p w:rsidR="000C2BB0" w:rsidRDefault="000C2BB0" w:rsidP="005E4EC3">
            <w:pPr>
              <w:pStyle w:val="Normal1linespace"/>
              <w:widowControl w:val="0"/>
              <w:jc w:val="left"/>
            </w:pPr>
            <w:r>
              <w:t xml:space="preserve">Counsel for the </w:t>
            </w:r>
            <w:r w:rsidR="005E4EC3">
              <w:t>First Appellant</w:t>
            </w:r>
            <w:r>
              <w:t>:</w:t>
            </w:r>
          </w:p>
        </w:tc>
        <w:tc>
          <w:tcPr>
            <w:tcW w:w="5954" w:type="dxa"/>
            <w:shd w:val="clear" w:color="auto" w:fill="auto"/>
          </w:tcPr>
          <w:p w:rsidR="000C2BB0" w:rsidRPr="00D50652" w:rsidRDefault="000C2BB0" w:rsidP="005E4EC3">
            <w:pPr>
              <w:pStyle w:val="CasesLegislationAppealFrom"/>
              <w:spacing w:after="60"/>
            </w:pPr>
            <w:r>
              <w:t xml:space="preserve">The </w:t>
            </w:r>
            <w:r w:rsidR="005E4EC3">
              <w:t>first appellant</w:t>
            </w:r>
            <w:r>
              <w:t xml:space="preserve"> appeared in person assisted by an interpreter</w:t>
            </w:r>
          </w:p>
        </w:tc>
      </w:tr>
      <w:tr w:rsidR="005E4EC3" w:rsidRPr="00D50652" w:rsidTr="000C2BB0">
        <w:tc>
          <w:tcPr>
            <w:tcW w:w="3084" w:type="dxa"/>
            <w:shd w:val="clear" w:color="auto" w:fill="auto"/>
          </w:tcPr>
          <w:p w:rsidR="005E4EC3" w:rsidRDefault="005E4EC3" w:rsidP="005E4EC3">
            <w:pPr>
              <w:pStyle w:val="Normal1linespace"/>
              <w:widowControl w:val="0"/>
              <w:jc w:val="left"/>
            </w:pPr>
          </w:p>
        </w:tc>
        <w:tc>
          <w:tcPr>
            <w:tcW w:w="5954" w:type="dxa"/>
            <w:shd w:val="clear" w:color="auto" w:fill="auto"/>
          </w:tcPr>
          <w:p w:rsidR="005E4EC3" w:rsidRDefault="005E4EC3" w:rsidP="005E4EC3">
            <w:pPr>
              <w:pStyle w:val="CasesLegislationAppealFrom"/>
              <w:spacing w:after="60"/>
            </w:pPr>
          </w:p>
        </w:tc>
      </w:tr>
      <w:tr w:rsidR="005E4EC3" w:rsidRPr="00D50652" w:rsidTr="000C2BB0">
        <w:tc>
          <w:tcPr>
            <w:tcW w:w="3084" w:type="dxa"/>
            <w:shd w:val="clear" w:color="auto" w:fill="auto"/>
          </w:tcPr>
          <w:p w:rsidR="005E4EC3" w:rsidRDefault="005E4EC3" w:rsidP="005E4EC3">
            <w:pPr>
              <w:pStyle w:val="Normal1linespace"/>
              <w:widowControl w:val="0"/>
              <w:jc w:val="left"/>
            </w:pPr>
            <w:r>
              <w:t>Counsel for the Second Appellant:</w:t>
            </w:r>
          </w:p>
        </w:tc>
        <w:tc>
          <w:tcPr>
            <w:tcW w:w="5954" w:type="dxa"/>
            <w:shd w:val="clear" w:color="auto" w:fill="auto"/>
          </w:tcPr>
          <w:p w:rsidR="005E4EC3" w:rsidRDefault="005E4EC3" w:rsidP="005E4EC3">
            <w:pPr>
              <w:pStyle w:val="CasesLegislationAppealFrom"/>
              <w:spacing w:after="60"/>
            </w:pPr>
            <w:r>
              <w:t>The second appellant did not appear</w:t>
            </w:r>
          </w:p>
        </w:tc>
      </w:tr>
      <w:tr w:rsidR="000C2BB0" w:rsidRPr="001F6CF7" w:rsidTr="000C2BB0">
        <w:tc>
          <w:tcPr>
            <w:tcW w:w="3084" w:type="dxa"/>
            <w:shd w:val="clear" w:color="auto" w:fill="auto"/>
          </w:tcPr>
          <w:p w:rsidR="000C2BB0" w:rsidRDefault="000C2BB0" w:rsidP="00F64F95">
            <w:pPr>
              <w:pStyle w:val="Normal1linespace"/>
              <w:widowControl w:val="0"/>
              <w:jc w:val="left"/>
            </w:pPr>
          </w:p>
        </w:tc>
        <w:tc>
          <w:tcPr>
            <w:tcW w:w="5954" w:type="dxa"/>
            <w:shd w:val="clear" w:color="auto" w:fill="auto"/>
          </w:tcPr>
          <w:p w:rsidR="000C2BB0" w:rsidRPr="000C2BB0" w:rsidRDefault="000C2BB0" w:rsidP="00F64F95">
            <w:pPr>
              <w:pStyle w:val="CasesLegislationAppealFrom"/>
              <w:spacing w:after="60"/>
            </w:pPr>
          </w:p>
        </w:tc>
      </w:tr>
      <w:tr w:rsidR="005E4EC3" w:rsidRPr="00D50652" w:rsidTr="000C2BB0">
        <w:tc>
          <w:tcPr>
            <w:tcW w:w="3084" w:type="dxa"/>
            <w:shd w:val="clear" w:color="auto" w:fill="auto"/>
          </w:tcPr>
          <w:p w:rsidR="005E4EC3" w:rsidRDefault="005E4EC3" w:rsidP="00F64F95">
            <w:pPr>
              <w:pStyle w:val="Normal1linespace"/>
              <w:widowControl w:val="0"/>
              <w:jc w:val="left"/>
            </w:pPr>
            <w:r>
              <w:t>Counsel for the First Respondent</w:t>
            </w:r>
            <w:r w:rsidR="00EF2FA2">
              <w:t>:</w:t>
            </w:r>
          </w:p>
        </w:tc>
        <w:tc>
          <w:tcPr>
            <w:tcW w:w="5954" w:type="dxa"/>
            <w:shd w:val="clear" w:color="auto" w:fill="auto"/>
          </w:tcPr>
          <w:p w:rsidR="005E4EC3" w:rsidRPr="00D50652" w:rsidRDefault="005E4EC3" w:rsidP="00F64F95">
            <w:pPr>
              <w:pStyle w:val="CasesLegislationAppealFrom"/>
              <w:spacing w:after="60"/>
            </w:pPr>
            <w:r>
              <w:t>G Johnson</w:t>
            </w:r>
          </w:p>
        </w:tc>
      </w:tr>
      <w:tr w:rsidR="005E4EC3" w:rsidRPr="00D50652" w:rsidTr="000C2BB0">
        <w:tc>
          <w:tcPr>
            <w:tcW w:w="3084" w:type="dxa"/>
            <w:shd w:val="clear" w:color="auto" w:fill="auto"/>
          </w:tcPr>
          <w:p w:rsidR="005E4EC3" w:rsidRDefault="005E4EC3" w:rsidP="00F64F95">
            <w:pPr>
              <w:pStyle w:val="Normal1linespace"/>
              <w:widowControl w:val="0"/>
              <w:jc w:val="left"/>
            </w:pPr>
          </w:p>
        </w:tc>
        <w:tc>
          <w:tcPr>
            <w:tcW w:w="5954" w:type="dxa"/>
            <w:shd w:val="clear" w:color="auto" w:fill="auto"/>
          </w:tcPr>
          <w:p w:rsidR="005E4EC3" w:rsidRPr="00D50652" w:rsidRDefault="005E4EC3" w:rsidP="00F64F95">
            <w:pPr>
              <w:pStyle w:val="CasesLegislationAppealFrom"/>
              <w:spacing w:after="60"/>
            </w:pPr>
          </w:p>
        </w:tc>
      </w:tr>
      <w:tr w:rsidR="000C2BB0" w:rsidRPr="00D50652" w:rsidTr="000C2BB0">
        <w:tc>
          <w:tcPr>
            <w:tcW w:w="3084" w:type="dxa"/>
            <w:shd w:val="clear" w:color="auto" w:fill="auto"/>
          </w:tcPr>
          <w:p w:rsidR="000C2BB0" w:rsidRDefault="000C2BB0" w:rsidP="00F64F95">
            <w:pPr>
              <w:pStyle w:val="Normal1linespace"/>
              <w:widowControl w:val="0"/>
              <w:jc w:val="left"/>
            </w:pPr>
            <w:r>
              <w:lastRenderedPageBreak/>
              <w:t>Solicitor for the First Respondent:</w:t>
            </w:r>
          </w:p>
        </w:tc>
        <w:tc>
          <w:tcPr>
            <w:tcW w:w="5954" w:type="dxa"/>
            <w:shd w:val="clear" w:color="auto" w:fill="auto"/>
          </w:tcPr>
          <w:p w:rsidR="000C2BB0" w:rsidRPr="00D50652" w:rsidRDefault="005E4EC3" w:rsidP="00F64F95">
            <w:pPr>
              <w:pStyle w:val="CasesLegislationAppealFrom"/>
              <w:spacing w:after="60"/>
            </w:pPr>
            <w:r>
              <w:t xml:space="preserve">Sparke </w:t>
            </w:r>
            <w:proofErr w:type="spellStart"/>
            <w:r>
              <w:t>Helmore</w:t>
            </w:r>
            <w:proofErr w:type="spellEnd"/>
            <w:r>
              <w:t xml:space="preserve"> Lawyers</w:t>
            </w:r>
          </w:p>
        </w:tc>
      </w:tr>
      <w:tr w:rsidR="000C2BB0" w:rsidTr="000C2BB0">
        <w:tc>
          <w:tcPr>
            <w:tcW w:w="3084" w:type="dxa"/>
            <w:shd w:val="clear" w:color="auto" w:fill="auto"/>
          </w:tcPr>
          <w:p w:rsidR="000C2BB0" w:rsidRDefault="000C2BB0" w:rsidP="00F64F95">
            <w:pPr>
              <w:pStyle w:val="Normal1linespace"/>
              <w:widowControl w:val="0"/>
              <w:jc w:val="left"/>
            </w:pPr>
          </w:p>
        </w:tc>
        <w:tc>
          <w:tcPr>
            <w:tcW w:w="5954" w:type="dxa"/>
            <w:shd w:val="clear" w:color="auto" w:fill="auto"/>
          </w:tcPr>
          <w:p w:rsidR="000C2BB0" w:rsidRDefault="000C2BB0" w:rsidP="00F64F95">
            <w:pPr>
              <w:pStyle w:val="CasesLegislationAppealFrom"/>
              <w:spacing w:after="60"/>
            </w:pPr>
          </w:p>
        </w:tc>
      </w:tr>
      <w:tr w:rsidR="000C2BB0" w:rsidTr="000C2BB0">
        <w:tc>
          <w:tcPr>
            <w:tcW w:w="3084" w:type="dxa"/>
            <w:shd w:val="clear" w:color="auto" w:fill="auto"/>
          </w:tcPr>
          <w:p w:rsidR="000C2BB0" w:rsidRDefault="000C2BB0" w:rsidP="00F64F95">
            <w:pPr>
              <w:pStyle w:val="Normal1linespace"/>
              <w:widowControl w:val="0"/>
              <w:jc w:val="left"/>
            </w:pPr>
            <w:r>
              <w:t>Counsel for the Second Respondent:</w:t>
            </w:r>
          </w:p>
        </w:tc>
        <w:tc>
          <w:tcPr>
            <w:tcW w:w="5954" w:type="dxa"/>
            <w:shd w:val="clear" w:color="auto" w:fill="auto"/>
          </w:tcPr>
          <w:p w:rsidR="000C2BB0" w:rsidRDefault="000C2BB0" w:rsidP="00F64F95">
            <w:pPr>
              <w:pStyle w:val="CasesLegislationAppealFrom"/>
              <w:spacing w:after="60"/>
            </w:pPr>
            <w:r>
              <w:t>The second respondent filed a submitting notice save as to costs</w:t>
            </w:r>
          </w:p>
        </w:tc>
      </w:tr>
      <w:bookmarkEnd w:id="5"/>
    </w:tbl>
    <w:p w:rsidR="00395B24" w:rsidRDefault="00395B24">
      <w:pPr>
        <w:pStyle w:val="Normal1linespace"/>
        <w:sectPr w:rsidR="00395B24">
          <w:footerReference w:type="first" r:id="rId7"/>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8F4ACD" w:rsidP="00F92355">
            <w:pPr>
              <w:pStyle w:val="NormalHeadings"/>
              <w:jc w:val="right"/>
            </w:pPr>
            <w:bookmarkStart w:id="6" w:name="FileNo"/>
            <w:r>
              <w:t>NSD 10</w:t>
            </w:r>
            <w:r w:rsidR="001E6847">
              <w:t>7</w:t>
            </w:r>
            <w:r>
              <w:t>7 of 2019</w:t>
            </w:r>
            <w:bookmarkEnd w:id="6"/>
          </w:p>
        </w:tc>
      </w:tr>
      <w:tr w:rsidR="00A76C13" w:rsidTr="00F461A4">
        <w:tc>
          <w:tcPr>
            <w:tcW w:w="9242" w:type="dxa"/>
            <w:gridSpan w:val="3"/>
          </w:tcPr>
          <w:p w:rsidR="00A76C13" w:rsidRPr="00A76C13" w:rsidRDefault="008F4ACD" w:rsidP="008F4ACD">
            <w:pPr>
              <w:pStyle w:val="NormalHeadings"/>
              <w:jc w:val="left"/>
            </w:pPr>
            <w:bookmarkStart w:id="7" w:name="InTheMatterOf"/>
            <w:r>
              <w:t xml:space="preserve"> </w:t>
            </w:r>
            <w:bookmarkEnd w:id="7"/>
          </w:p>
        </w:tc>
      </w:tr>
      <w:tr w:rsidR="00A46CCC" w:rsidTr="005041F0">
        <w:trPr>
          <w:trHeight w:val="386"/>
        </w:trPr>
        <w:tc>
          <w:tcPr>
            <w:tcW w:w="2376" w:type="dxa"/>
          </w:tcPr>
          <w:p w:rsidR="00A46CCC" w:rsidRDefault="00A46CCC" w:rsidP="005041F0">
            <w:pPr>
              <w:pStyle w:val="NormalHeadings"/>
              <w:jc w:val="left"/>
              <w:rPr>
                <w:caps/>
                <w:szCs w:val="24"/>
              </w:rPr>
            </w:pPr>
            <w:bookmarkStart w:id="8" w:name="Parties"/>
            <w:r>
              <w:rPr>
                <w:caps/>
                <w:szCs w:val="24"/>
              </w:rPr>
              <w:t>BETWEEN:</w:t>
            </w:r>
          </w:p>
        </w:tc>
        <w:tc>
          <w:tcPr>
            <w:tcW w:w="6866" w:type="dxa"/>
            <w:gridSpan w:val="2"/>
          </w:tcPr>
          <w:p w:rsidR="008F4ACD" w:rsidRDefault="008F4ACD" w:rsidP="008F4ACD">
            <w:pPr>
              <w:pStyle w:val="NormalHeadings"/>
              <w:jc w:val="left"/>
            </w:pPr>
            <w:bookmarkStart w:id="9" w:name="Applicant"/>
            <w:r>
              <w:t>CLN15</w:t>
            </w:r>
          </w:p>
          <w:p w:rsidR="008F4ACD" w:rsidRDefault="008F4ACD" w:rsidP="008F4ACD">
            <w:pPr>
              <w:pStyle w:val="PartyType"/>
            </w:pPr>
            <w:r>
              <w:t>First Appellant</w:t>
            </w:r>
          </w:p>
          <w:p w:rsidR="008F4ACD" w:rsidRDefault="008F4ACD" w:rsidP="005041F0">
            <w:pPr>
              <w:pStyle w:val="NormalHeadings"/>
              <w:jc w:val="left"/>
              <w:rPr>
                <w:szCs w:val="24"/>
              </w:rPr>
            </w:pPr>
          </w:p>
          <w:p w:rsidR="008F4ACD" w:rsidRDefault="008F4ACD" w:rsidP="008F4ACD">
            <w:pPr>
              <w:pStyle w:val="NormalHeadings"/>
              <w:jc w:val="left"/>
            </w:pPr>
            <w:r>
              <w:t>CLO15</w:t>
            </w:r>
          </w:p>
          <w:p w:rsidR="008F4ACD" w:rsidRDefault="008F4ACD" w:rsidP="008F4ACD">
            <w:pPr>
              <w:pStyle w:val="PartyType"/>
            </w:pPr>
            <w:r>
              <w:t>Second Appellant</w:t>
            </w:r>
          </w:p>
          <w:bookmarkEnd w:id="9"/>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8F4ACD" w:rsidRDefault="008F4ACD" w:rsidP="008F4ACD">
            <w:pPr>
              <w:pStyle w:val="NormalHeadings"/>
              <w:jc w:val="left"/>
            </w:pPr>
            <w:bookmarkStart w:id="10" w:name="Respondent"/>
            <w:r>
              <w:t>MINISTER FOR IMMIGRATION CITIZENSHIP, MIGRANT SERVICES AND MULTICULTURAL AFFAIRS</w:t>
            </w:r>
          </w:p>
          <w:p w:rsidR="008F4ACD" w:rsidRDefault="008F4ACD" w:rsidP="008F4ACD">
            <w:pPr>
              <w:pStyle w:val="PartyType"/>
            </w:pPr>
            <w:r>
              <w:t>First Respondent</w:t>
            </w:r>
          </w:p>
          <w:p w:rsidR="008F4ACD" w:rsidRDefault="008F4ACD" w:rsidP="005041F0">
            <w:pPr>
              <w:pStyle w:val="NormalHeadings"/>
              <w:jc w:val="left"/>
              <w:rPr>
                <w:szCs w:val="24"/>
              </w:rPr>
            </w:pPr>
          </w:p>
          <w:p w:rsidR="008F4ACD" w:rsidRDefault="008F4ACD" w:rsidP="008F4ACD">
            <w:pPr>
              <w:pStyle w:val="NormalHeadings"/>
              <w:jc w:val="left"/>
            </w:pPr>
            <w:r>
              <w:t>ADMINISTRATIVE APPEALS TRIBUNAL</w:t>
            </w:r>
          </w:p>
          <w:p w:rsidR="008F4ACD" w:rsidRDefault="008F4ACD" w:rsidP="008F4ACD">
            <w:pPr>
              <w:pStyle w:val="PartyType"/>
            </w:pPr>
            <w:r>
              <w:t>Second Respondent</w:t>
            </w:r>
          </w:p>
          <w:bookmarkEnd w:id="10"/>
          <w:p w:rsidR="00A46CCC" w:rsidRPr="006555B4" w:rsidRDefault="00A46CCC" w:rsidP="005041F0">
            <w:pPr>
              <w:pStyle w:val="NormalHeadings"/>
              <w:jc w:val="left"/>
            </w:pPr>
          </w:p>
        </w:tc>
      </w:tr>
    </w:tbl>
    <w:p w:rsidR="00395B24" w:rsidRDefault="00395B24">
      <w:pPr>
        <w:pStyle w:val="NormalHeadings"/>
      </w:pPr>
      <w:bookmarkStart w:id="11" w:name="CrossClaimPosition"/>
      <w:bookmarkEnd w:id="8"/>
      <w:bookmarkEnd w:id="11"/>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8F4ACD">
            <w:pPr>
              <w:pStyle w:val="NormalHeadings"/>
              <w:spacing w:after="120"/>
              <w:jc w:val="left"/>
              <w:rPr>
                <w:caps/>
                <w:szCs w:val="24"/>
              </w:rPr>
            </w:pPr>
            <w:bookmarkStart w:id="12" w:name="JudgeText"/>
            <w:r>
              <w:rPr>
                <w:caps/>
                <w:szCs w:val="24"/>
              </w:rPr>
              <w:t>JUDGE</w:t>
            </w:r>
            <w:bookmarkEnd w:id="12"/>
            <w:r w:rsidR="002C7385">
              <w:rPr>
                <w:caps/>
                <w:szCs w:val="24"/>
              </w:rPr>
              <w:t>:</w:t>
            </w:r>
          </w:p>
        </w:tc>
        <w:tc>
          <w:tcPr>
            <w:tcW w:w="6866" w:type="dxa"/>
          </w:tcPr>
          <w:p w:rsidR="00395B24" w:rsidRDefault="008F4ACD">
            <w:pPr>
              <w:pStyle w:val="NormalHeadings"/>
              <w:jc w:val="left"/>
              <w:rPr>
                <w:caps/>
                <w:szCs w:val="24"/>
              </w:rPr>
            </w:pPr>
            <w:bookmarkStart w:id="13" w:name="Judge"/>
            <w:r>
              <w:rPr>
                <w:caps/>
                <w:szCs w:val="24"/>
              </w:rPr>
              <w:t>STEWART J</w:t>
            </w:r>
            <w:bookmarkEnd w:id="13"/>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5E4EC3">
            <w:pPr>
              <w:pStyle w:val="NormalHeadings"/>
              <w:jc w:val="left"/>
              <w:rPr>
                <w:caps/>
                <w:szCs w:val="24"/>
              </w:rPr>
            </w:pPr>
            <w:bookmarkStart w:id="14" w:name="Judgment_Dated"/>
            <w:r>
              <w:rPr>
                <w:caps/>
                <w:szCs w:val="24"/>
              </w:rPr>
              <w:t xml:space="preserve">11 </w:t>
            </w:r>
            <w:r w:rsidR="008F4ACD">
              <w:rPr>
                <w:caps/>
                <w:szCs w:val="24"/>
              </w:rPr>
              <w:t>NOVEMBER 2019</w:t>
            </w:r>
            <w:bookmarkEnd w:id="14"/>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5303FA" w:rsidP="00274F5B">
      <w:pPr>
        <w:pStyle w:val="Order1"/>
      </w:pPr>
      <w:bookmarkStart w:id="15" w:name="Order_Start_Text"/>
      <w:bookmarkEnd w:id="15"/>
      <w:r>
        <w:t>T</w:t>
      </w:r>
      <w:r w:rsidR="00130A45">
        <w:t>he appeal is dismissed.</w:t>
      </w:r>
    </w:p>
    <w:p w:rsidR="005303FA" w:rsidRDefault="005303FA" w:rsidP="00274F5B">
      <w:pPr>
        <w:pStyle w:val="Order1"/>
      </w:pPr>
      <w:r>
        <w:t xml:space="preserve">The </w:t>
      </w:r>
      <w:r w:rsidR="005E4EC3">
        <w:t>appellants</w:t>
      </w:r>
      <w:r>
        <w:t xml:space="preserve"> are to pay the first respondent’s costs.</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16" w:name="ReasonsPage"/>
      <w:bookmarkEnd w:id="16"/>
      <w:r w:rsidRPr="00045BB7">
        <w:rPr>
          <w:sz w:val="28"/>
          <w:szCs w:val="28"/>
        </w:rPr>
        <w:lastRenderedPageBreak/>
        <w:t>REASONS FOR JUDGMENT</w:t>
      </w:r>
    </w:p>
    <w:p w:rsidR="00395B24" w:rsidRDefault="000C2BB0" w:rsidP="005E0510">
      <w:pPr>
        <w:pStyle w:val="NormalHeadings"/>
        <w:spacing w:line="360" w:lineRule="auto"/>
        <w:jc w:val="left"/>
        <w:rPr>
          <w:sz w:val="26"/>
          <w:szCs w:val="26"/>
        </w:rPr>
      </w:pPr>
      <w:r>
        <w:rPr>
          <w:sz w:val="26"/>
          <w:szCs w:val="26"/>
        </w:rPr>
        <w:t>STEWART J</w:t>
      </w:r>
      <w:r w:rsidR="00484F6D" w:rsidRPr="00EA03CE">
        <w:rPr>
          <w:sz w:val="26"/>
          <w:szCs w:val="26"/>
        </w:rPr>
        <w:t>:</w:t>
      </w:r>
    </w:p>
    <w:p w:rsidR="00F23625" w:rsidRPr="00EA03CE" w:rsidRDefault="00F23625" w:rsidP="00F23625">
      <w:pPr>
        <w:pStyle w:val="Heading2"/>
      </w:pPr>
      <w:r>
        <w:t>Introduction</w:t>
      </w:r>
    </w:p>
    <w:p w:rsidR="00484F6D" w:rsidRDefault="000C2BB0" w:rsidP="008F4ACD">
      <w:pPr>
        <w:pStyle w:val="ParaNumbering"/>
      </w:pPr>
      <w:r>
        <w:t xml:space="preserve">This is an appeal from the orders and judgment </w:t>
      </w:r>
      <w:r w:rsidR="00F23625">
        <w:t xml:space="preserve">of the Federal Circuit Court </w:t>
      </w:r>
      <w:r w:rsidR="00E275F1">
        <w:t xml:space="preserve">of Australia </w:t>
      </w:r>
      <w:r w:rsidR="00F23625">
        <w:t>(</w:t>
      </w:r>
      <w:r w:rsidR="00F23625">
        <w:rPr>
          <w:b/>
        </w:rPr>
        <w:t>FCCA</w:t>
      </w:r>
      <w:r w:rsidR="00F23625">
        <w:t xml:space="preserve">) made on 11 June 2019. </w:t>
      </w:r>
      <w:r w:rsidR="00E275F1">
        <w:t xml:space="preserve"> </w:t>
      </w:r>
      <w:r w:rsidR="00F23625">
        <w:t xml:space="preserve">The primary judge dismissed an application for judicial review of a decision of the second respondent, the Administrative Appeals </w:t>
      </w:r>
      <w:r w:rsidR="00F23625" w:rsidRPr="00E275F1">
        <w:rPr>
          <w:b/>
        </w:rPr>
        <w:t>Tribunal</w:t>
      </w:r>
      <w:r w:rsidR="00F23625">
        <w:t xml:space="preserve">, which affirmed a decision of a delegate of the first respondent, the </w:t>
      </w:r>
      <w:r w:rsidR="00F23625">
        <w:rPr>
          <w:b/>
        </w:rPr>
        <w:t>Minister</w:t>
      </w:r>
      <w:r w:rsidR="00F23625">
        <w:t>, refusing to grant the appellants Protection (Class XA) visas.</w:t>
      </w:r>
    </w:p>
    <w:p w:rsidR="00F23625" w:rsidRDefault="0056641D" w:rsidP="00F23625">
      <w:pPr>
        <w:pStyle w:val="Heading2"/>
      </w:pPr>
      <w:r>
        <w:t>The Delegate’s decision</w:t>
      </w:r>
    </w:p>
    <w:p w:rsidR="00F23625" w:rsidRDefault="00384F4C" w:rsidP="008F4ACD">
      <w:pPr>
        <w:pStyle w:val="ParaNumbering"/>
      </w:pPr>
      <w:r>
        <w:t xml:space="preserve">The first </w:t>
      </w:r>
      <w:r w:rsidRPr="00E275F1">
        <w:t>appellant</w:t>
      </w:r>
      <w:r>
        <w:t xml:space="preserve"> is a citizen of Malaysia and applied for a protection visa on 24 November 2014. </w:t>
      </w:r>
      <w:r w:rsidR="00E275F1">
        <w:t xml:space="preserve"> </w:t>
      </w:r>
      <w:r>
        <w:t xml:space="preserve">The second appellant is a citizen of Indonesia and claimed to be the de facto partner of the </w:t>
      </w:r>
      <w:r w:rsidR="00E275F1">
        <w:t xml:space="preserve">first </w:t>
      </w:r>
      <w:r>
        <w:t xml:space="preserve">appellant and was included on the first appellant’s protection visa application as a member of the </w:t>
      </w:r>
      <w:r w:rsidR="00E275F1">
        <w:t xml:space="preserve">first </w:t>
      </w:r>
      <w:r>
        <w:t xml:space="preserve">appellant’s family unit. </w:t>
      </w:r>
      <w:r w:rsidR="00E275F1">
        <w:t xml:space="preserve"> </w:t>
      </w:r>
      <w:r>
        <w:t>The second appellant did not advance any separate claims as to her entitlement to the grant of a protection visa.</w:t>
      </w:r>
    </w:p>
    <w:p w:rsidR="00077CEF" w:rsidRDefault="00384F4C" w:rsidP="008F4ACD">
      <w:pPr>
        <w:pStyle w:val="ParaNumbering"/>
      </w:pPr>
      <w:r>
        <w:t xml:space="preserve">The </w:t>
      </w:r>
      <w:r w:rsidR="00E275F1">
        <w:t xml:space="preserve">first </w:t>
      </w:r>
      <w:r>
        <w:t xml:space="preserve">appellant’s claims to fear of harm were set out in the body of his visa application. </w:t>
      </w:r>
      <w:r w:rsidR="00E275F1">
        <w:t xml:space="preserve"> </w:t>
      </w:r>
      <w:r>
        <w:t xml:space="preserve">In summary, he claimed to fear harm on return to Malaysia for reason of having borrowed money from “loan sharks” which he was unable to repay. He claimed that the loan sharks had threatened to kill him with knives and guns, and had physically assaulted him in the past. </w:t>
      </w:r>
    </w:p>
    <w:p w:rsidR="00384F4C" w:rsidRDefault="00E82C04" w:rsidP="008F4ACD">
      <w:pPr>
        <w:pStyle w:val="ParaNumbering"/>
      </w:pPr>
      <w:r>
        <w:t>By letter dated</w:t>
      </w:r>
      <w:r w:rsidR="00077CEF">
        <w:t xml:space="preserve"> 23 February 2015, t</w:t>
      </w:r>
      <w:r w:rsidR="00384F4C">
        <w:t xml:space="preserve">he </w:t>
      </w:r>
      <w:r w:rsidR="00E275F1">
        <w:t xml:space="preserve">first </w:t>
      </w:r>
      <w:r w:rsidR="00384F4C">
        <w:t>appellant was invited to</w:t>
      </w:r>
      <w:r w:rsidR="00077CEF">
        <w:t xml:space="preserve"> attend an interview with the delegate</w:t>
      </w:r>
      <w:r>
        <w:t xml:space="preserve"> on 30 March 2015 but he</w:t>
      </w:r>
      <w:r w:rsidR="00077CEF">
        <w:t xml:space="preserve"> </w:t>
      </w:r>
      <w:r w:rsidR="00E275F1" w:rsidRPr="00A026BA">
        <w:t>failed</w:t>
      </w:r>
      <w:r w:rsidR="00E275F1">
        <w:t xml:space="preserve"> </w:t>
      </w:r>
      <w:r w:rsidR="00077CEF">
        <w:t>to attend the interview.</w:t>
      </w:r>
    </w:p>
    <w:p w:rsidR="0056641D" w:rsidRDefault="00077CEF" w:rsidP="008F4ACD">
      <w:pPr>
        <w:pStyle w:val="ParaNumbering"/>
      </w:pPr>
      <w:r>
        <w:t xml:space="preserve">On 23 March 2015, the Minister’s delegate refused to grant the </w:t>
      </w:r>
      <w:r w:rsidR="00E275F1">
        <w:t xml:space="preserve">first </w:t>
      </w:r>
      <w:r>
        <w:t xml:space="preserve">appellant a protection visa on the basis that he was unable to be satisfied that the </w:t>
      </w:r>
      <w:r w:rsidR="00E275F1">
        <w:t xml:space="preserve">first </w:t>
      </w:r>
      <w:r>
        <w:t>appellant met the criteria for the grant of the visa, either pursuant to s 36(2)(a) or s 36(2)(aa)</w:t>
      </w:r>
      <w:r w:rsidR="00E275F1">
        <w:t xml:space="preserve"> of the </w:t>
      </w:r>
      <w:r w:rsidR="00E275F1" w:rsidRPr="00E275F1">
        <w:rPr>
          <w:i/>
        </w:rPr>
        <w:t xml:space="preserve">Migration </w:t>
      </w:r>
      <w:r w:rsidR="00E275F1" w:rsidRPr="00E275F1">
        <w:rPr>
          <w:b/>
          <w:i/>
        </w:rPr>
        <w:t>Act</w:t>
      </w:r>
      <w:r w:rsidR="00E275F1" w:rsidRPr="00E275F1">
        <w:rPr>
          <w:i/>
        </w:rPr>
        <w:t xml:space="preserve"> 1958</w:t>
      </w:r>
      <w:r w:rsidR="00E275F1">
        <w:t xml:space="preserve"> (Cth)</w:t>
      </w:r>
      <w:r>
        <w:t xml:space="preserve">. </w:t>
      </w:r>
    </w:p>
    <w:p w:rsidR="0056641D" w:rsidRDefault="0056641D" w:rsidP="0056641D">
      <w:pPr>
        <w:pStyle w:val="Heading2"/>
      </w:pPr>
      <w:r>
        <w:t>The Tribunal’s decision</w:t>
      </w:r>
    </w:p>
    <w:p w:rsidR="00077CEF" w:rsidRDefault="00077CEF" w:rsidP="008F4ACD">
      <w:pPr>
        <w:pStyle w:val="ParaNumbering"/>
      </w:pPr>
      <w:r>
        <w:t>The</w:t>
      </w:r>
      <w:r w:rsidR="00E275F1">
        <w:t xml:space="preserve"> first</w:t>
      </w:r>
      <w:r>
        <w:t xml:space="preserve"> appellant applied to the Tribunal for review of the delegate’s decision. The Tribunal invited </w:t>
      </w:r>
      <w:r w:rsidR="00E82C04">
        <w:t>both</w:t>
      </w:r>
      <w:r>
        <w:t xml:space="preserve"> appellants to appear at a hearing. </w:t>
      </w:r>
      <w:r w:rsidR="00E82C04">
        <w:t xml:space="preserve"> </w:t>
      </w:r>
      <w:r>
        <w:t xml:space="preserve">Only the </w:t>
      </w:r>
      <w:r w:rsidR="00E275F1">
        <w:t xml:space="preserve">first </w:t>
      </w:r>
      <w:r>
        <w:t>appellant attended.</w:t>
      </w:r>
    </w:p>
    <w:p w:rsidR="002D7AAB" w:rsidRDefault="0056641D" w:rsidP="008F4ACD">
      <w:pPr>
        <w:pStyle w:val="ParaNumbering"/>
      </w:pPr>
      <w:r>
        <w:t xml:space="preserve">The Tribunal affirmed the decision under review. </w:t>
      </w:r>
      <w:r w:rsidR="00E275F1">
        <w:t xml:space="preserve"> </w:t>
      </w:r>
      <w:r>
        <w:t xml:space="preserve">It identified the issue in the case as being the credibility of the </w:t>
      </w:r>
      <w:r w:rsidR="00E275F1">
        <w:t xml:space="preserve">first </w:t>
      </w:r>
      <w:r>
        <w:t xml:space="preserve">appellant and whether on </w:t>
      </w:r>
      <w:r w:rsidR="00E82C04">
        <w:t>any</w:t>
      </w:r>
      <w:r>
        <w:t xml:space="preserve"> </w:t>
      </w:r>
      <w:r w:rsidR="00E82C04">
        <w:t xml:space="preserve">accepted </w:t>
      </w:r>
      <w:r>
        <w:t xml:space="preserve">claims he met the criteria for the grant of a protection visa. </w:t>
      </w:r>
      <w:r w:rsidR="00E275F1">
        <w:t xml:space="preserve"> </w:t>
      </w:r>
      <w:r>
        <w:t xml:space="preserve">The Tribunal found that the </w:t>
      </w:r>
      <w:r w:rsidR="00E275F1">
        <w:t xml:space="preserve">first </w:t>
      </w:r>
      <w:r>
        <w:t xml:space="preserve">appellant’s claims were “vague, </w:t>
      </w:r>
      <w:r>
        <w:lastRenderedPageBreak/>
        <w:t xml:space="preserve">lacking detail, inconsistent and contradictory”. </w:t>
      </w:r>
      <w:r w:rsidR="00E275F1">
        <w:t xml:space="preserve"> </w:t>
      </w:r>
      <w:r>
        <w:t>The Tribunal</w:t>
      </w:r>
      <w:r w:rsidR="002D7AAB">
        <w:t xml:space="preserve"> set out the specific bases for its view that the </w:t>
      </w:r>
      <w:r w:rsidR="00E275F1">
        <w:t>first appellant</w:t>
      </w:r>
      <w:r w:rsidR="002D7AAB">
        <w:t xml:space="preserve"> was not a credible witness, including by reference to:</w:t>
      </w:r>
    </w:p>
    <w:p w:rsidR="002D7AAB" w:rsidRDefault="002D7AAB" w:rsidP="00E275F1">
      <w:pPr>
        <w:pStyle w:val="ListNo2"/>
        <w:numPr>
          <w:ilvl w:val="1"/>
          <w:numId w:val="49"/>
        </w:numPr>
        <w:tabs>
          <w:tab w:val="clear" w:pos="1440"/>
          <w:tab w:val="num" w:pos="709"/>
        </w:tabs>
        <w:ind w:left="709" w:hanging="567"/>
      </w:pPr>
      <w:r>
        <w:t>His having spent several years in Australia as an unlawful non-citizen prior to making his protection visa application, and without having offered satisfactory explanation for the delay;</w:t>
      </w:r>
    </w:p>
    <w:p w:rsidR="002D7AAB" w:rsidRDefault="002D7AAB" w:rsidP="00E275F1">
      <w:pPr>
        <w:pStyle w:val="ListNo2"/>
        <w:numPr>
          <w:ilvl w:val="1"/>
          <w:numId w:val="49"/>
        </w:numPr>
        <w:tabs>
          <w:tab w:val="clear" w:pos="1440"/>
          <w:tab w:val="num" w:pos="709"/>
        </w:tabs>
        <w:ind w:left="709" w:hanging="567"/>
      </w:pPr>
      <w:r>
        <w:t>His having given contradictory evidence including as to his work history;</w:t>
      </w:r>
    </w:p>
    <w:p w:rsidR="002D7AAB" w:rsidRDefault="002D7AAB" w:rsidP="00E275F1">
      <w:pPr>
        <w:pStyle w:val="ListNo2"/>
        <w:numPr>
          <w:ilvl w:val="1"/>
          <w:numId w:val="49"/>
        </w:numPr>
        <w:tabs>
          <w:tab w:val="clear" w:pos="1440"/>
          <w:tab w:val="num" w:pos="709"/>
        </w:tabs>
        <w:ind w:left="709" w:hanging="567"/>
      </w:pPr>
      <w:r>
        <w:t>His unconvincing evidence regarding the loan that was at the heart of his claims to fear of harm, which the Tribunal concluded was a fabrication;</w:t>
      </w:r>
    </w:p>
    <w:p w:rsidR="002D7AAB" w:rsidRDefault="002D7AAB" w:rsidP="00E275F1">
      <w:pPr>
        <w:pStyle w:val="ListNo2"/>
        <w:numPr>
          <w:ilvl w:val="1"/>
          <w:numId w:val="49"/>
        </w:numPr>
        <w:tabs>
          <w:tab w:val="clear" w:pos="1440"/>
          <w:tab w:val="num" w:pos="709"/>
        </w:tabs>
        <w:ind w:left="709" w:hanging="567"/>
      </w:pPr>
      <w:r>
        <w:t>His unconvincing evidence regarding his claims to have operated a business;</w:t>
      </w:r>
    </w:p>
    <w:p w:rsidR="0056641D" w:rsidRDefault="008073E3" w:rsidP="00E275F1">
      <w:pPr>
        <w:pStyle w:val="ListNo2"/>
        <w:numPr>
          <w:ilvl w:val="1"/>
          <w:numId w:val="49"/>
        </w:numPr>
        <w:tabs>
          <w:tab w:val="clear" w:pos="1440"/>
          <w:tab w:val="num" w:pos="709"/>
        </w:tabs>
        <w:ind w:left="709" w:hanging="567"/>
      </w:pPr>
      <w:r>
        <w:t xml:space="preserve">Contradictory evidence the </w:t>
      </w:r>
      <w:r w:rsidR="00E275F1">
        <w:t>first appellant</w:t>
      </w:r>
      <w:r>
        <w:t xml:space="preserve"> gave in relation to any actual harm experienced in Malaysia;</w:t>
      </w:r>
    </w:p>
    <w:p w:rsidR="008073E3" w:rsidRDefault="008073E3" w:rsidP="00E275F1">
      <w:pPr>
        <w:pStyle w:val="ListNo2"/>
        <w:numPr>
          <w:ilvl w:val="1"/>
          <w:numId w:val="49"/>
        </w:numPr>
        <w:tabs>
          <w:tab w:val="clear" w:pos="1440"/>
          <w:tab w:val="num" w:pos="709"/>
        </w:tabs>
        <w:ind w:left="709" w:hanging="567"/>
      </w:pPr>
      <w:r>
        <w:t xml:space="preserve">A concern about whether the </w:t>
      </w:r>
      <w:r w:rsidR="00E275F1">
        <w:t>first appellant</w:t>
      </w:r>
      <w:r>
        <w:t xml:space="preserve"> was actually a Malaysian citizen (although the Tribunal was prepared to proceed on the basis that he was).</w:t>
      </w:r>
    </w:p>
    <w:p w:rsidR="008073E3" w:rsidRDefault="008073E3" w:rsidP="008073E3">
      <w:pPr>
        <w:pStyle w:val="ParaNumbering"/>
      </w:pPr>
      <w:r>
        <w:t xml:space="preserve">For the reasons listed above, the Tribunal concluded that it did not find the </w:t>
      </w:r>
      <w:r w:rsidR="00E275F1">
        <w:t>first appellant</w:t>
      </w:r>
      <w:r>
        <w:t xml:space="preserve"> to be a credible witness. The Tribunal was not satisfied that </w:t>
      </w:r>
      <w:r w:rsidR="00E275F1">
        <w:t>either</w:t>
      </w:r>
      <w:r>
        <w:t xml:space="preserve"> of the appellants was a person in respect of whom Australia had protection obligations under s 36(2)(a) or s 36(2)(aa) of the Act.</w:t>
      </w:r>
    </w:p>
    <w:p w:rsidR="0056641D" w:rsidRDefault="0056641D" w:rsidP="0056641D">
      <w:pPr>
        <w:pStyle w:val="Heading2"/>
      </w:pPr>
      <w:r>
        <w:t>The FCCA decision</w:t>
      </w:r>
    </w:p>
    <w:p w:rsidR="00077CEF" w:rsidRDefault="002963B3" w:rsidP="008073E3">
      <w:pPr>
        <w:pStyle w:val="ParaNumbering"/>
      </w:pPr>
      <w:r>
        <w:t>On 23 November 2015, the appellants sought to challenge the Tribunal’s decision by filing an application for judicial review in the FCCA under s 476 of the Act.</w:t>
      </w:r>
    </w:p>
    <w:p w:rsidR="002963B3" w:rsidRDefault="002963B3" w:rsidP="008073E3">
      <w:pPr>
        <w:pStyle w:val="ParaNumbering"/>
      </w:pPr>
      <w:r>
        <w:t>The appellants advanced</w:t>
      </w:r>
      <w:r w:rsidR="00696F9E">
        <w:t xml:space="preserve"> the following</w:t>
      </w:r>
      <w:r>
        <w:t xml:space="preserve"> three grounds:</w:t>
      </w:r>
    </w:p>
    <w:p w:rsidR="002963B3" w:rsidRDefault="00696F9E" w:rsidP="002963B3">
      <w:pPr>
        <w:pStyle w:val="FCBullets"/>
      </w:pPr>
      <w:r>
        <w:rPr>
          <w:i/>
        </w:rPr>
        <w:t xml:space="preserve">Ground One: </w:t>
      </w:r>
      <w:r>
        <w:t>Th</w:t>
      </w:r>
      <w:r w:rsidR="002963B3">
        <w:t>at the Tribunal “is not fair to me and has bias against me”</w:t>
      </w:r>
      <w:r w:rsidR="00A5101A">
        <w:t>.</w:t>
      </w:r>
    </w:p>
    <w:p w:rsidR="002963B3" w:rsidRDefault="00696F9E" w:rsidP="00D00B9F">
      <w:pPr>
        <w:pStyle w:val="FCBullets"/>
      </w:pPr>
      <w:r w:rsidRPr="00696F9E">
        <w:rPr>
          <w:i/>
        </w:rPr>
        <w:t>Ground Two</w:t>
      </w:r>
      <w:r>
        <w:t xml:space="preserve">: That </w:t>
      </w:r>
      <w:r w:rsidR="00A5101A">
        <w:t>the Tribunal “asked me a lot of irrelevant questions, such as name of Malay states”.</w:t>
      </w:r>
      <w:r w:rsidR="002963B3">
        <w:t xml:space="preserve"> </w:t>
      </w:r>
    </w:p>
    <w:p w:rsidR="002963B3" w:rsidRDefault="00696F9E" w:rsidP="002963B3">
      <w:pPr>
        <w:pStyle w:val="FCBullets"/>
      </w:pPr>
      <w:r>
        <w:rPr>
          <w:i/>
        </w:rPr>
        <w:t xml:space="preserve">Ground Three: </w:t>
      </w:r>
      <w:r>
        <w:t>T</w:t>
      </w:r>
      <w:r w:rsidR="00A5101A">
        <w:t xml:space="preserve">hat the Tribunal “is not reasonable </w:t>
      </w:r>
      <w:r w:rsidR="00E82C04">
        <w:t>for</w:t>
      </w:r>
      <w:r w:rsidR="00A5101A">
        <w:t xml:space="preserve"> questioning my credibility when I don’t remember that I helped my father with pig farmer when I was only 7 years. This is normal I forget things long time ago</w:t>
      </w:r>
      <w:r w:rsidR="00E275F1">
        <w:t>.</w:t>
      </w:r>
      <w:r w:rsidR="00A5101A">
        <w:t>”</w:t>
      </w:r>
    </w:p>
    <w:p w:rsidR="00A5101A" w:rsidRDefault="00A5101A" w:rsidP="00A5101A">
      <w:pPr>
        <w:pStyle w:val="ParaNumbering"/>
      </w:pPr>
      <w:r>
        <w:t>Ultimately, the primary judge made orders dismissing the appellants’ application.</w:t>
      </w:r>
    </w:p>
    <w:p w:rsidR="00A5101A" w:rsidRDefault="00E82C04" w:rsidP="00A5101A">
      <w:pPr>
        <w:pStyle w:val="ParaNumbering"/>
      </w:pPr>
      <w:r>
        <w:t>The</w:t>
      </w:r>
      <w:r w:rsidR="00696F9E">
        <w:t xml:space="preserve"> primary judge held that the assertion in the first ground did not identify relevant error by the Tribunal. </w:t>
      </w:r>
      <w:r w:rsidR="00E275F1">
        <w:t xml:space="preserve"> </w:t>
      </w:r>
      <w:r w:rsidR="00696F9E">
        <w:t xml:space="preserve">His Honour observed that the Tribunal had made adverse credibility findings </w:t>
      </w:r>
      <w:r w:rsidR="00696F9E">
        <w:lastRenderedPageBreak/>
        <w:t xml:space="preserve">against </w:t>
      </w:r>
      <w:r w:rsidR="00D00B9F">
        <w:t xml:space="preserve">the </w:t>
      </w:r>
      <w:r w:rsidR="00E275F1">
        <w:t>first appellant</w:t>
      </w:r>
      <w:r w:rsidR="00D00B9F">
        <w:t xml:space="preserve"> concerning his claim to fear of harm from loan sharks. </w:t>
      </w:r>
      <w:r w:rsidR="00E275F1">
        <w:t xml:space="preserve"> </w:t>
      </w:r>
      <w:r w:rsidR="00D00B9F">
        <w:t xml:space="preserve">His Honour held that those findings were open on the material before the Tribunal, and that the </w:t>
      </w:r>
      <w:r w:rsidR="00E275F1">
        <w:t>first appellant</w:t>
      </w:r>
      <w:r w:rsidR="00D00B9F">
        <w:t xml:space="preserve">’s disagreement with the findings did not identify relevant error. </w:t>
      </w:r>
      <w:r w:rsidR="00E275F1">
        <w:t xml:space="preserve"> </w:t>
      </w:r>
      <w:r w:rsidR="00D00B9F">
        <w:t xml:space="preserve">In relation to the complaint of bias, the primary judge held that no allegation of bias was properly pleaded or made out. </w:t>
      </w:r>
      <w:r w:rsidR="00E275F1">
        <w:t xml:space="preserve"> </w:t>
      </w:r>
      <w:r w:rsidR="00D00B9F">
        <w:t>Neither did his Honour consider that any apprehended bias arose from the Tribunal’s decision.</w:t>
      </w:r>
      <w:r w:rsidR="00BB4E9D">
        <w:t xml:space="preserve"> </w:t>
      </w:r>
    </w:p>
    <w:p w:rsidR="00D00B9F" w:rsidRDefault="00D00B9F" w:rsidP="00A5101A">
      <w:pPr>
        <w:pStyle w:val="ParaNumbering"/>
      </w:pPr>
      <w:r>
        <w:t xml:space="preserve">In relation to the second ground the primary judge found that it was open to the Tribunal to explore with the </w:t>
      </w:r>
      <w:r w:rsidR="00E275F1">
        <w:t>first appellant</w:t>
      </w:r>
      <w:r>
        <w:t xml:space="preserve"> his claims, his knowledge in relation to his identity and his credibility. </w:t>
      </w:r>
      <w:r w:rsidR="00E275F1">
        <w:t xml:space="preserve"> </w:t>
      </w:r>
      <w:r>
        <w:t xml:space="preserve">His Honour found that the </w:t>
      </w:r>
      <w:r w:rsidR="00E275F1">
        <w:t>first appellant</w:t>
      </w:r>
      <w:r>
        <w:t xml:space="preserve"> had not identified any irrelevant question asked by the Tribunal.</w:t>
      </w:r>
      <w:r w:rsidR="00E275F1">
        <w:t xml:space="preserve"> </w:t>
      </w:r>
      <w:r>
        <w:t xml:space="preserve"> Further, the primary judge noted that the asking of questions by the Tribunal about the </w:t>
      </w:r>
      <w:r w:rsidR="00E275F1">
        <w:t>first appellant</w:t>
      </w:r>
      <w:r>
        <w:t>’s knowledge and claims did not give rise to apprehended bias.</w:t>
      </w:r>
    </w:p>
    <w:p w:rsidR="00ED6656" w:rsidRDefault="00D00B9F" w:rsidP="00ED6656">
      <w:pPr>
        <w:pStyle w:val="ParaNumbering"/>
      </w:pPr>
      <w:r>
        <w:t>In relation to the third gr</w:t>
      </w:r>
      <w:r w:rsidR="00ED6656">
        <w:t xml:space="preserve">ound the primary judge noted that the ground constituted a disagreement with the adverse credibility findings made by the Tribunal. </w:t>
      </w:r>
      <w:r w:rsidR="00E275F1">
        <w:t xml:space="preserve"> </w:t>
      </w:r>
      <w:r w:rsidR="00ED6656">
        <w:t>His Honour however held that the adverse credibility findings were based on a number of considerations including the appellants’ substantial delay in applying for protection. His Honour found the adverse credibility findings were open to the Tribunal.</w:t>
      </w:r>
    </w:p>
    <w:p w:rsidR="002963B3" w:rsidRDefault="00BE0365" w:rsidP="00BE0365">
      <w:pPr>
        <w:pStyle w:val="Heading2"/>
      </w:pPr>
      <w:r>
        <w:t>Grounds of Appeal</w:t>
      </w:r>
    </w:p>
    <w:p w:rsidR="00BB4E9D" w:rsidRDefault="00BB4E9D" w:rsidP="00BE0365">
      <w:pPr>
        <w:pStyle w:val="ParaNumbering"/>
      </w:pPr>
      <w:r>
        <w:t xml:space="preserve">In this Court the appellants advance three grounds of appeal </w:t>
      </w:r>
      <w:r w:rsidR="00E275F1">
        <w:t>by a</w:t>
      </w:r>
      <w:r>
        <w:t xml:space="preserve"> Notice of Appeal filed on 8 July 2019, namely:</w:t>
      </w:r>
    </w:p>
    <w:p w:rsidR="00BB4E9D" w:rsidRDefault="00BB4E9D" w:rsidP="00BB4E9D">
      <w:pPr>
        <w:pStyle w:val="FCBullets"/>
      </w:pPr>
      <w:r>
        <w:rPr>
          <w:i/>
        </w:rPr>
        <w:t>Ground 1:</w:t>
      </w:r>
      <w:r>
        <w:t xml:space="preserve"> That the “AAT is not fair to me and has bias against me”.</w:t>
      </w:r>
    </w:p>
    <w:p w:rsidR="00BB4E9D" w:rsidRDefault="00BB4E9D" w:rsidP="00BB4E9D">
      <w:pPr>
        <w:pStyle w:val="FCBullets"/>
      </w:pPr>
      <w:r>
        <w:rPr>
          <w:i/>
        </w:rPr>
        <w:t>Ground 2:</w:t>
      </w:r>
      <w:r>
        <w:t xml:space="preserve"> That the “AAT is not reasonable to questioning my credibility when I don’t remember that I helped my father with big farm when I was 7 years old”.</w:t>
      </w:r>
    </w:p>
    <w:p w:rsidR="00BB4E9D" w:rsidRDefault="00BB4E9D" w:rsidP="00BB4E9D">
      <w:pPr>
        <w:pStyle w:val="FCBullets"/>
      </w:pPr>
      <w:r>
        <w:rPr>
          <w:i/>
        </w:rPr>
        <w:t>Ground 3:</w:t>
      </w:r>
      <w:r>
        <w:t xml:space="preserve"> That “this is normal I forget things long time ago”.</w:t>
      </w:r>
    </w:p>
    <w:p w:rsidR="00BE0365" w:rsidRDefault="00E82C04" w:rsidP="00BE0365">
      <w:pPr>
        <w:pStyle w:val="ParaNumbering"/>
      </w:pPr>
      <w:r>
        <w:t xml:space="preserve">These grounds </w:t>
      </w:r>
      <w:r w:rsidR="00BE0365">
        <w:t xml:space="preserve">are repetitious of the first and third grounds of </w:t>
      </w:r>
      <w:r w:rsidR="00BB4E9D">
        <w:t>the appellants’</w:t>
      </w:r>
      <w:r w:rsidR="00BE0365">
        <w:t xml:space="preserve"> judicial review application dismissed by the FCCA.</w:t>
      </w:r>
    </w:p>
    <w:p w:rsidR="00BE0365" w:rsidRDefault="00BE0365" w:rsidP="00BE0365">
      <w:pPr>
        <w:pStyle w:val="ParaNumbering"/>
      </w:pPr>
      <w:r>
        <w:t>The Minister submits that the primary judge correctly determined that neither the first nor third grounds of review identified jurisdictional error by the Tribunal.</w:t>
      </w:r>
    </w:p>
    <w:p w:rsidR="00E82C04" w:rsidRDefault="00E82C04" w:rsidP="00BE0365">
      <w:pPr>
        <w:pStyle w:val="ParaNumbering"/>
      </w:pPr>
      <w:r>
        <w:t>In relation to ground 1, the appellants’ notice of appeal fails to identify any basis upon which it might be concluded that the Tribunal was “not fair” to or showed “bias against” either appellant.  As the appellant</w:t>
      </w:r>
      <w:r w:rsidR="00AA51DC">
        <w:t>s</w:t>
      </w:r>
      <w:r>
        <w:t xml:space="preserve"> were unrepresented before me, I asked </w:t>
      </w:r>
      <w:r w:rsidR="00187D13">
        <w:t xml:space="preserve">the first appellant (who </w:t>
      </w:r>
      <w:r w:rsidR="000B4F71">
        <w:lastRenderedPageBreak/>
        <w:t>said that he spoke</w:t>
      </w:r>
      <w:r w:rsidR="00187D13">
        <w:t xml:space="preserve"> on behalf of the second appellant as well) </w:t>
      </w:r>
      <w:r>
        <w:t>to identify any respects in which they say that the Tribunal was biased o</w:t>
      </w:r>
      <w:r w:rsidR="00AA51DC">
        <w:t>r</w:t>
      </w:r>
      <w:r>
        <w:t xml:space="preserve"> unfa</w:t>
      </w:r>
      <w:r w:rsidRPr="00187D13">
        <w:t xml:space="preserve">ir.  </w:t>
      </w:r>
      <w:r w:rsidR="00C06539">
        <w:t>He was</w:t>
      </w:r>
      <w:r w:rsidRPr="000B4F71">
        <w:t xml:space="preserve"> unable to do so</w:t>
      </w:r>
      <w:r w:rsidRPr="00187D13">
        <w:t>.</w:t>
      </w:r>
      <w:r>
        <w:t xml:space="preserve">  On my review of the record, including scrutiny of the Tribunal’s record of decision, I am not able to identify any unfairness or bias</w:t>
      </w:r>
      <w:r w:rsidR="00AA51DC">
        <w:t>, or any basis on which it might be said that there is a</w:t>
      </w:r>
      <w:r w:rsidR="00C06539">
        <w:t xml:space="preserve"> reasonable</w:t>
      </w:r>
      <w:r w:rsidR="00AA51DC">
        <w:t xml:space="preserve"> apprehension of bias</w:t>
      </w:r>
      <w:r>
        <w:t>.  Ground 1 must fail.</w:t>
      </w:r>
    </w:p>
    <w:p w:rsidR="00BE0365" w:rsidRDefault="00E82C04" w:rsidP="00BE0365">
      <w:pPr>
        <w:pStyle w:val="ParaNumbering"/>
      </w:pPr>
      <w:r>
        <w:t xml:space="preserve">Grounds 2 and 3 can be considered together.  </w:t>
      </w:r>
      <w:r w:rsidR="00BE0365">
        <w:t xml:space="preserve">The Minister </w:t>
      </w:r>
      <w:r>
        <w:t>points out</w:t>
      </w:r>
      <w:r w:rsidR="00BE0365">
        <w:t xml:space="preserve"> that it was the </w:t>
      </w:r>
      <w:r w:rsidR="00E275F1">
        <w:t>first appellant</w:t>
      </w:r>
      <w:r w:rsidR="00BE0365">
        <w:t xml:space="preserve"> himself who had claimed to have worked as a pig farmer. </w:t>
      </w:r>
      <w:r w:rsidR="00E275F1">
        <w:t xml:space="preserve"> </w:t>
      </w:r>
      <w:r w:rsidR="00BE0365">
        <w:t xml:space="preserve">The </w:t>
      </w:r>
      <w:r w:rsidR="00E275F1">
        <w:t>first appellant included this information at q</w:t>
      </w:r>
      <w:r w:rsidR="00BE0365">
        <w:t xml:space="preserve">uestion 42 of his visa application in the section entitled “Employment history”. </w:t>
      </w:r>
      <w:r w:rsidR="00E275F1">
        <w:t xml:space="preserve"> </w:t>
      </w:r>
      <w:r w:rsidR="00BE0365">
        <w:t xml:space="preserve">Further, contrary to what he told the Tribunal – that he was a pig farmer when he was only 7 or 8 years of age – his visa application form indicates that he performed this work for seven years from 2000 to 2007. </w:t>
      </w:r>
      <w:r w:rsidR="00E275F1">
        <w:t xml:space="preserve"> </w:t>
      </w:r>
      <w:r w:rsidR="00BE0365">
        <w:t xml:space="preserve">According to his stated date of birth, the </w:t>
      </w:r>
      <w:r w:rsidR="00E275F1">
        <w:t>first appellant</w:t>
      </w:r>
      <w:r w:rsidR="00BE0365">
        <w:t xml:space="preserve"> would have been about 32 years of a</w:t>
      </w:r>
      <w:r w:rsidR="00BB4E9D">
        <w:t>ge when he commenced this work.</w:t>
      </w:r>
    </w:p>
    <w:p w:rsidR="00BE0365" w:rsidRDefault="00E275F1" w:rsidP="00BE0365">
      <w:pPr>
        <w:pStyle w:val="ParaNumbering"/>
      </w:pPr>
      <w:r>
        <w:t>Contrary to the appellants’ asserted ground</w:t>
      </w:r>
      <w:r w:rsidR="00AA51DC">
        <w:t>s</w:t>
      </w:r>
      <w:r>
        <w:t xml:space="preserve"> of appeal, it was clearly</w:t>
      </w:r>
      <w:r w:rsidR="00BE0365">
        <w:t xml:space="preserve"> open to the Tribunal to question the </w:t>
      </w:r>
      <w:r>
        <w:t>first appellant</w:t>
      </w:r>
      <w:r w:rsidR="00BE0365">
        <w:t xml:space="preserve"> about matters of work history raised by the </w:t>
      </w:r>
      <w:r>
        <w:t>first appellant</w:t>
      </w:r>
      <w:r w:rsidR="00BE0365">
        <w:t xml:space="preserve"> </w:t>
      </w:r>
      <w:r>
        <w:t xml:space="preserve">in </w:t>
      </w:r>
      <w:r w:rsidR="00BE0365">
        <w:t>his work documentation given to the Department</w:t>
      </w:r>
      <w:r w:rsidR="001E6847">
        <w:t xml:space="preserve"> of Immigration and Border Protection</w:t>
      </w:r>
      <w:r w:rsidR="00BE0365">
        <w:t xml:space="preserve">. </w:t>
      </w:r>
      <w:r>
        <w:t xml:space="preserve"> </w:t>
      </w:r>
      <w:r w:rsidR="00BE0365">
        <w:t xml:space="preserve">It was further open to the Tribunal to draw conclusions adverse to the </w:t>
      </w:r>
      <w:r>
        <w:t>first appellant</w:t>
      </w:r>
      <w:r w:rsidR="00BE0365">
        <w:t>’s credibility when he gave answers that were inconsistent with his written claims.</w:t>
      </w:r>
    </w:p>
    <w:p w:rsidR="00BE0365" w:rsidRDefault="00E82C04" w:rsidP="00BE0365">
      <w:pPr>
        <w:pStyle w:val="ParaNumbering"/>
      </w:pPr>
      <w:r>
        <w:t xml:space="preserve">I can find no unreasonableness in the </w:t>
      </w:r>
      <w:r w:rsidR="00AA51DC">
        <w:t>way</w:t>
      </w:r>
      <w:r>
        <w:t xml:space="preserve"> in which the Tribunal questioned the first appellant’s credibility and the conclusions that it reached.  Ground</w:t>
      </w:r>
      <w:r w:rsidR="001E6847">
        <w:t>s</w:t>
      </w:r>
      <w:r>
        <w:t xml:space="preserve"> 2 and 3 also fail.</w:t>
      </w:r>
    </w:p>
    <w:p w:rsidR="00BE0365" w:rsidRDefault="00BE0365" w:rsidP="00BE0365">
      <w:pPr>
        <w:pStyle w:val="Heading2"/>
      </w:pPr>
      <w:r>
        <w:t>Conclusion</w:t>
      </w:r>
    </w:p>
    <w:p w:rsidR="00BE0365" w:rsidRDefault="00AA51DC" w:rsidP="00BE0365">
      <w:pPr>
        <w:pStyle w:val="ParaNumbering"/>
      </w:pPr>
      <w:r>
        <w:t xml:space="preserve">There was no error by the primary judge, or jurisdictional error by the Tribunal.  </w:t>
      </w:r>
      <w:r w:rsidR="00BE0365">
        <w:t xml:space="preserve">The appeal </w:t>
      </w:r>
      <w:r w:rsidR="00E275F1">
        <w:t>falls to be dismissed, and there is no reason why the appellants should not pay the Minister’s costs</w:t>
      </w:r>
      <w:r w:rsidR="00BE0365">
        <w:t>.</w:t>
      </w:r>
    </w:p>
    <w:tbl>
      <w:tblPr>
        <w:tblW w:w="0" w:type="auto"/>
        <w:tblLook w:val="04A0" w:firstRow="1" w:lastRow="0" w:firstColumn="1" w:lastColumn="0" w:noHBand="0" w:noVBand="1"/>
      </w:tblPr>
      <w:tblGrid>
        <w:gridCol w:w="3794"/>
      </w:tblGrid>
      <w:tr w:rsidR="005E4EC3" w:rsidRPr="002A3BC6" w:rsidTr="002C3D9F">
        <w:tc>
          <w:tcPr>
            <w:tcW w:w="3794" w:type="dxa"/>
            <w:shd w:val="clear" w:color="auto" w:fill="auto"/>
          </w:tcPr>
          <w:p w:rsidR="005E4EC3" w:rsidRPr="002A3BC6" w:rsidRDefault="005E4EC3" w:rsidP="005E4EC3">
            <w:pPr>
              <w:pStyle w:val="Normal1linespace"/>
            </w:pPr>
            <w:r w:rsidRPr="002A3BC6">
              <w:t>I certify that the precedin</w:t>
            </w:r>
            <w:r>
              <w:t xml:space="preserve">g twenty-two </w:t>
            </w:r>
            <w:r w:rsidRPr="002A3BC6">
              <w:t>(</w:t>
            </w:r>
            <w:r>
              <w:t>22</w:t>
            </w:r>
            <w:r w:rsidRPr="002A3BC6">
              <w:t xml:space="preserve">) numbered </w:t>
            </w:r>
            <w:bookmarkStart w:id="17" w:name="CertPara"/>
            <w:r w:rsidRPr="002A3BC6">
              <w:t>paragraphs are</w:t>
            </w:r>
            <w:bookmarkEnd w:id="17"/>
            <w:r w:rsidRPr="002A3BC6">
              <w:t xml:space="preserve"> a true copy of the Reasons for Judgment herein of the Honourable </w:t>
            </w:r>
            <w:bookmarkStart w:id="18" w:name="Justice"/>
            <w:r w:rsidRPr="002A3BC6">
              <w:t>Justice Stewart</w:t>
            </w:r>
            <w:bookmarkEnd w:id="18"/>
            <w:r w:rsidRPr="002A3BC6">
              <w:t>.</w:t>
            </w:r>
          </w:p>
        </w:tc>
        <w:bookmarkStart w:id="19" w:name="_GoBack"/>
        <w:bookmarkEnd w:id="19"/>
      </w:tr>
    </w:tbl>
    <w:p w:rsidR="005E4EC3" w:rsidRPr="002A3BC6" w:rsidRDefault="005E4EC3" w:rsidP="005E4EC3">
      <w:pPr>
        <w:pStyle w:val="BodyText"/>
      </w:pPr>
    </w:p>
    <w:p w:rsidR="005E4EC3" w:rsidRPr="002A3BC6" w:rsidRDefault="005E4EC3" w:rsidP="005E4EC3">
      <w:pPr>
        <w:pStyle w:val="BodyText"/>
      </w:pPr>
      <w:r w:rsidRPr="002A3BC6">
        <w:t>Associate:</w:t>
      </w:r>
    </w:p>
    <w:p w:rsidR="00321399" w:rsidRDefault="005E4EC3" w:rsidP="00321399">
      <w:pPr>
        <w:pStyle w:val="BodyText"/>
      </w:pPr>
      <w:r w:rsidRPr="002A3BC6">
        <w:t xml:space="preserve"> </w:t>
      </w:r>
    </w:p>
    <w:p w:rsidR="005E4EC3" w:rsidRPr="00BE0365" w:rsidRDefault="005E4EC3" w:rsidP="00321399">
      <w:pPr>
        <w:pStyle w:val="BodyText"/>
      </w:pPr>
      <w:r w:rsidRPr="002A3BC6">
        <w:t>Dated:</w:t>
      </w:r>
      <w:r w:rsidRPr="002A3BC6">
        <w:tab/>
      </w:r>
      <w:r>
        <w:t>11 November</w:t>
      </w:r>
      <w:r w:rsidRPr="002A3BC6">
        <w:t xml:space="preserve"> 2019</w:t>
      </w:r>
    </w:p>
    <w:sectPr w:rsidR="005E4EC3" w:rsidRPr="00BE0365">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ACD" w:rsidRDefault="008F4ACD">
      <w:pPr>
        <w:spacing w:line="20" w:lineRule="exact"/>
      </w:pPr>
    </w:p>
    <w:p w:rsidR="008F4ACD" w:rsidRDefault="008F4ACD"/>
    <w:p w:rsidR="008F4ACD" w:rsidRDefault="008F4ACD"/>
  </w:endnote>
  <w:endnote w:type="continuationSeparator" w:id="0">
    <w:p w:rsidR="008F4ACD" w:rsidRDefault="008F4ACD">
      <w:r>
        <w:t xml:space="preserve"> </w:t>
      </w:r>
    </w:p>
    <w:p w:rsidR="008F4ACD" w:rsidRDefault="008F4ACD"/>
    <w:p w:rsidR="008F4ACD" w:rsidRDefault="008F4ACD"/>
  </w:endnote>
  <w:endnote w:type="continuationNotice" w:id="1">
    <w:p w:rsidR="008F4ACD" w:rsidRDefault="008F4ACD">
      <w:r>
        <w:t xml:space="preserve"> </w:t>
      </w:r>
    </w:p>
    <w:p w:rsidR="008F4ACD" w:rsidRDefault="008F4ACD"/>
    <w:p w:rsidR="008F4ACD" w:rsidRDefault="008F4A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5E4EC3" w:rsidRDefault="00395B24" w:rsidP="005E4E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49" w:rsidRDefault="005E4EC3" w:rsidP="002F1E49">
    <w:pPr>
      <w:pStyle w:val="Footer"/>
      <w:jc w:val="center"/>
      <w:rPr>
        <w:sz w:val="28"/>
      </w:rPr>
    </w:pPr>
    <w:r>
      <w:rPr>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ACD" w:rsidRDefault="008F4ACD"/>
    <w:p w:rsidR="008F4ACD" w:rsidRDefault="008F4ACD"/>
    <w:p w:rsidR="008F4ACD" w:rsidRDefault="008F4ACD"/>
  </w:footnote>
  <w:footnote w:type="continuationSeparator" w:id="0">
    <w:p w:rsidR="008F4ACD" w:rsidRDefault="008F4ACD">
      <w:r>
        <w:continuationSeparator/>
      </w:r>
    </w:p>
    <w:p w:rsidR="008F4ACD" w:rsidRDefault="008F4ACD"/>
    <w:p w:rsidR="008F4ACD" w:rsidRDefault="008F4AC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9A3A9C">
      <w:rPr>
        <w:noProof/>
      </w:rPr>
      <w:t>ii</w:t>
    </w:r>
    <w:r w:rsidR="0092590B">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fldChar w:fldCharType="begin"/>
    </w:r>
    <w:r>
      <w:instrText>page \* arabic</w:instrText>
    </w:r>
    <w:r>
      <w:fldChar w:fldCharType="separate"/>
    </w:r>
    <w:r w:rsidR="00B77A0A">
      <w:rPr>
        <w:noProof/>
      </w:rPr>
      <w:t>4</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8F0C25"/>
    <w:multiLevelType w:val="multilevel"/>
    <w:tmpl w:val="3D4021C8"/>
    <w:lvl w:ilvl="0">
      <w:start w:val="1"/>
      <w:numFmt w:val="decimal"/>
      <w:lvlRestart w:val="0"/>
      <w:lvlText w:val="(%1)"/>
      <w:lvlJc w:val="left"/>
      <w:pPr>
        <w:tabs>
          <w:tab w:val="num" w:pos="720"/>
        </w:tabs>
        <w:ind w:left="720" w:hanging="720"/>
      </w:pPr>
      <w:rPr>
        <w:rFonts w:ascii="Times New Roman" w:hAnsi="Times New Roman"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2"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6"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7"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9"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0"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1"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3" w15:restartNumberingAfterBreak="0">
    <w:nsid w:val="494817A7"/>
    <w:multiLevelType w:val="multilevel"/>
    <w:tmpl w:val="0F0EC90E"/>
    <w:numStyleLink w:val="FCListNo"/>
  </w:abstractNum>
  <w:abstractNum w:abstractNumId="24"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7"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9"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0"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8"/>
  </w:num>
  <w:num w:numId="2">
    <w:abstractNumId w:val="26"/>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22"/>
  </w:num>
  <w:num w:numId="16">
    <w:abstractNumId w:val="29"/>
  </w:num>
  <w:num w:numId="17">
    <w:abstractNumId w:val="21"/>
  </w:num>
  <w:num w:numId="18">
    <w:abstractNumId w:val="21"/>
  </w:num>
  <w:num w:numId="19">
    <w:abstractNumId w:val="27"/>
  </w:num>
  <w:num w:numId="20">
    <w:abstractNumId w:val="24"/>
  </w:num>
  <w:num w:numId="21">
    <w:abstractNumId w:val="25"/>
  </w:num>
  <w:num w:numId="22">
    <w:abstractNumId w:val="30"/>
  </w:num>
  <w:num w:numId="23">
    <w:abstractNumId w:val="30"/>
  </w:num>
  <w:num w:numId="24">
    <w:abstractNumId w:val="30"/>
  </w:num>
  <w:num w:numId="25">
    <w:abstractNumId w:val="30"/>
  </w:num>
  <w:num w:numId="26">
    <w:abstractNumId w:val="30"/>
  </w:num>
  <w:num w:numId="27">
    <w:abstractNumId w:val="16"/>
  </w:num>
  <w:num w:numId="28">
    <w:abstractNumId w:val="17"/>
  </w:num>
  <w:num w:numId="29">
    <w:abstractNumId w:val="10"/>
  </w:num>
  <w:num w:numId="30">
    <w:abstractNumId w:val="15"/>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2"/>
  </w:num>
  <w:num w:numId="34">
    <w:abstractNumId w:val="20"/>
  </w:num>
  <w:num w:numId="35">
    <w:abstractNumId w:val="23"/>
  </w:num>
  <w:num w:numId="36">
    <w:abstractNumId w:val="23"/>
  </w:num>
  <w:num w:numId="37">
    <w:abstractNumId w:val="23"/>
  </w:num>
  <w:num w:numId="38">
    <w:abstractNumId w:val="15"/>
  </w:num>
  <w:num w:numId="39">
    <w:abstractNumId w:val="23"/>
  </w:num>
  <w:num w:numId="40">
    <w:abstractNumId w:val="23"/>
  </w:num>
  <w:num w:numId="41">
    <w:abstractNumId w:val="23"/>
  </w:num>
  <w:num w:numId="42">
    <w:abstractNumId w:val="19"/>
  </w:num>
  <w:num w:numId="43">
    <w:abstractNumId w:val="19"/>
  </w:num>
  <w:num w:numId="44">
    <w:abstractNumId w:val="19"/>
  </w:num>
  <w:num w:numId="45">
    <w:abstractNumId w:val="19"/>
  </w:num>
  <w:num w:numId="46">
    <w:abstractNumId w:val="19"/>
  </w:num>
  <w:num w:numId="47">
    <w:abstractNumId w:val="19"/>
  </w:num>
  <w:num w:numId="48">
    <w:abstractNumId w:val="19"/>
  </w:num>
  <w:num w:numId="49">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llant" w:val="CLN15|CLO15"/>
    <w:docVar w:name="Cross1AndAnother" w:val="True"/>
    <w:docVar w:name="Cross1AndOthers" w:val="False"/>
    <w:docVar w:name="Cross2AndAnother" w:val="True"/>
    <w:docVar w:name="Cross2AndOthers" w:val="False"/>
    <w:docVar w:name="Defenders" w:val="(and another named in the Schedule)"/>
    <w:docVar w:name="dgnword-docGUID" w:val="{8D8F0720-9C95-4A68-9BB6-63C270ED43F6}"/>
    <w:docVar w:name="dgnword-eventsink" w:val="830151016"/>
    <w:docVar w:name="Division" w:val="General Division"/>
    <w:docVar w:name="DocCreated" w:val="True"/>
    <w:docVar w:name="FileNumbers" w:val="NSD 1017 of 2019"/>
    <w:docVar w:name="Initiators" w:val="(and another named in the Schedule)"/>
    <w:docVar w:name="Judgdate" w:val="## November 2019"/>
    <w:docVar w:name="Judge" w:val="Stewart"/>
    <w:docVar w:name="NSD" w:val="NSD "/>
    <w:docVar w:name="NumApps"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Citizenship, Migrant Services and Multicultural Affairs|Administrative Appeals Tribunal"/>
    <w:docVar w:name="ResState" w:val="New South Wales"/>
    <w:docVar w:name="SubArea" w:val="[none]"/>
  </w:docVars>
  <w:rsids>
    <w:rsidRoot w:val="008F4ACD"/>
    <w:rsid w:val="0001469E"/>
    <w:rsid w:val="00015993"/>
    <w:rsid w:val="00022289"/>
    <w:rsid w:val="00032F9F"/>
    <w:rsid w:val="00040149"/>
    <w:rsid w:val="00041C07"/>
    <w:rsid w:val="00045BB7"/>
    <w:rsid w:val="00055719"/>
    <w:rsid w:val="0005641B"/>
    <w:rsid w:val="00077CEF"/>
    <w:rsid w:val="00081497"/>
    <w:rsid w:val="000A2E76"/>
    <w:rsid w:val="000A4807"/>
    <w:rsid w:val="000A4BE4"/>
    <w:rsid w:val="000B4F71"/>
    <w:rsid w:val="000C023E"/>
    <w:rsid w:val="000C2BB0"/>
    <w:rsid w:val="000C5195"/>
    <w:rsid w:val="000C62EF"/>
    <w:rsid w:val="000D2137"/>
    <w:rsid w:val="000D3FD2"/>
    <w:rsid w:val="000E3FC8"/>
    <w:rsid w:val="000E7BAE"/>
    <w:rsid w:val="000F133D"/>
    <w:rsid w:val="0010536B"/>
    <w:rsid w:val="0011145C"/>
    <w:rsid w:val="001128BD"/>
    <w:rsid w:val="0011419D"/>
    <w:rsid w:val="00130A45"/>
    <w:rsid w:val="00132054"/>
    <w:rsid w:val="001727A4"/>
    <w:rsid w:val="0017376C"/>
    <w:rsid w:val="001738AB"/>
    <w:rsid w:val="001765E0"/>
    <w:rsid w:val="00177759"/>
    <w:rsid w:val="00185E6B"/>
    <w:rsid w:val="00187BBC"/>
    <w:rsid w:val="00187D13"/>
    <w:rsid w:val="001932F3"/>
    <w:rsid w:val="001A4309"/>
    <w:rsid w:val="001B1053"/>
    <w:rsid w:val="001B14AC"/>
    <w:rsid w:val="001B7940"/>
    <w:rsid w:val="001C37CA"/>
    <w:rsid w:val="001D4303"/>
    <w:rsid w:val="001D6746"/>
    <w:rsid w:val="001E3B49"/>
    <w:rsid w:val="001E6847"/>
    <w:rsid w:val="001E7388"/>
    <w:rsid w:val="001F13DD"/>
    <w:rsid w:val="001F2DBC"/>
    <w:rsid w:val="001F35FE"/>
    <w:rsid w:val="001F73E8"/>
    <w:rsid w:val="0020262C"/>
    <w:rsid w:val="00224537"/>
    <w:rsid w:val="00235956"/>
    <w:rsid w:val="00247C9A"/>
    <w:rsid w:val="0025160C"/>
    <w:rsid w:val="002535D0"/>
    <w:rsid w:val="002539B3"/>
    <w:rsid w:val="00257C3E"/>
    <w:rsid w:val="002602C2"/>
    <w:rsid w:val="002666C9"/>
    <w:rsid w:val="00270136"/>
    <w:rsid w:val="00274F5B"/>
    <w:rsid w:val="00280836"/>
    <w:rsid w:val="00282E1A"/>
    <w:rsid w:val="0029113B"/>
    <w:rsid w:val="002934C0"/>
    <w:rsid w:val="002963B3"/>
    <w:rsid w:val="002A1B50"/>
    <w:rsid w:val="002B0E91"/>
    <w:rsid w:val="002B6779"/>
    <w:rsid w:val="002B71C0"/>
    <w:rsid w:val="002B7A34"/>
    <w:rsid w:val="002C31AD"/>
    <w:rsid w:val="002C7385"/>
    <w:rsid w:val="002D07CE"/>
    <w:rsid w:val="002D2DBB"/>
    <w:rsid w:val="002D54A6"/>
    <w:rsid w:val="002D7AAB"/>
    <w:rsid w:val="002E6A7A"/>
    <w:rsid w:val="002F1E49"/>
    <w:rsid w:val="002F4E9C"/>
    <w:rsid w:val="0031256C"/>
    <w:rsid w:val="00314D6C"/>
    <w:rsid w:val="00316D2A"/>
    <w:rsid w:val="00321399"/>
    <w:rsid w:val="00322A7C"/>
    <w:rsid w:val="003402D3"/>
    <w:rsid w:val="00343ABC"/>
    <w:rsid w:val="003463FE"/>
    <w:rsid w:val="003554B3"/>
    <w:rsid w:val="00356632"/>
    <w:rsid w:val="003845A9"/>
    <w:rsid w:val="00384F4C"/>
    <w:rsid w:val="00390883"/>
    <w:rsid w:val="003922F8"/>
    <w:rsid w:val="00395B24"/>
    <w:rsid w:val="003A2D38"/>
    <w:rsid w:val="003A7ECC"/>
    <w:rsid w:val="003B2C72"/>
    <w:rsid w:val="003C1333"/>
    <w:rsid w:val="003C20FF"/>
    <w:rsid w:val="003D2650"/>
    <w:rsid w:val="003D560C"/>
    <w:rsid w:val="003E5874"/>
    <w:rsid w:val="003F193E"/>
    <w:rsid w:val="003F34F1"/>
    <w:rsid w:val="00411AE8"/>
    <w:rsid w:val="00413B74"/>
    <w:rsid w:val="00435C5F"/>
    <w:rsid w:val="00441E98"/>
    <w:rsid w:val="004532F7"/>
    <w:rsid w:val="00472027"/>
    <w:rsid w:val="004804CF"/>
    <w:rsid w:val="00484962"/>
    <w:rsid w:val="00484F6D"/>
    <w:rsid w:val="0049338A"/>
    <w:rsid w:val="0049417F"/>
    <w:rsid w:val="004B3EFA"/>
    <w:rsid w:val="004C2A87"/>
    <w:rsid w:val="004C4D7B"/>
    <w:rsid w:val="004C4ED3"/>
    <w:rsid w:val="004D2EA5"/>
    <w:rsid w:val="004D32A6"/>
    <w:rsid w:val="004D53E5"/>
    <w:rsid w:val="00501A12"/>
    <w:rsid w:val="0051346D"/>
    <w:rsid w:val="00513EAE"/>
    <w:rsid w:val="00516806"/>
    <w:rsid w:val="00525A49"/>
    <w:rsid w:val="005303FA"/>
    <w:rsid w:val="00535613"/>
    <w:rsid w:val="005359EB"/>
    <w:rsid w:val="0054254A"/>
    <w:rsid w:val="005466B5"/>
    <w:rsid w:val="00554314"/>
    <w:rsid w:val="005629B3"/>
    <w:rsid w:val="0056641D"/>
    <w:rsid w:val="00573AC4"/>
    <w:rsid w:val="005801FC"/>
    <w:rsid w:val="00595016"/>
    <w:rsid w:val="00597AAE"/>
    <w:rsid w:val="005A222C"/>
    <w:rsid w:val="005A4DF8"/>
    <w:rsid w:val="005B1426"/>
    <w:rsid w:val="005C0A8E"/>
    <w:rsid w:val="005C1767"/>
    <w:rsid w:val="005C42EF"/>
    <w:rsid w:val="005E02F5"/>
    <w:rsid w:val="005E0510"/>
    <w:rsid w:val="005E176E"/>
    <w:rsid w:val="005E218E"/>
    <w:rsid w:val="005E35A0"/>
    <w:rsid w:val="005E4EC3"/>
    <w:rsid w:val="005F0D1B"/>
    <w:rsid w:val="005F1865"/>
    <w:rsid w:val="006007BD"/>
    <w:rsid w:val="006013C8"/>
    <w:rsid w:val="0060270D"/>
    <w:rsid w:val="00604611"/>
    <w:rsid w:val="00611586"/>
    <w:rsid w:val="00621887"/>
    <w:rsid w:val="00624520"/>
    <w:rsid w:val="00632300"/>
    <w:rsid w:val="00632BB7"/>
    <w:rsid w:val="00635B36"/>
    <w:rsid w:val="00636871"/>
    <w:rsid w:val="00640F4E"/>
    <w:rsid w:val="00643DE0"/>
    <w:rsid w:val="00644E85"/>
    <w:rsid w:val="0066063F"/>
    <w:rsid w:val="00662BB0"/>
    <w:rsid w:val="00663878"/>
    <w:rsid w:val="00667773"/>
    <w:rsid w:val="00670743"/>
    <w:rsid w:val="00690EE2"/>
    <w:rsid w:val="00696F9E"/>
    <w:rsid w:val="006A0E20"/>
    <w:rsid w:val="006A5695"/>
    <w:rsid w:val="006B3904"/>
    <w:rsid w:val="006B5B7D"/>
    <w:rsid w:val="006D0ECF"/>
    <w:rsid w:val="006D4C92"/>
    <w:rsid w:val="006D4EB6"/>
    <w:rsid w:val="006E35BF"/>
    <w:rsid w:val="006E7850"/>
    <w:rsid w:val="007028D9"/>
    <w:rsid w:val="00707218"/>
    <w:rsid w:val="00712B1D"/>
    <w:rsid w:val="007325D9"/>
    <w:rsid w:val="007360CA"/>
    <w:rsid w:val="00760EC0"/>
    <w:rsid w:val="0078003A"/>
    <w:rsid w:val="00780771"/>
    <w:rsid w:val="007929CF"/>
    <w:rsid w:val="007A6F28"/>
    <w:rsid w:val="007B03C6"/>
    <w:rsid w:val="007B0DB1"/>
    <w:rsid w:val="007C3BF6"/>
    <w:rsid w:val="007D0FD2"/>
    <w:rsid w:val="007D2EF8"/>
    <w:rsid w:val="007D561F"/>
    <w:rsid w:val="007D7FD2"/>
    <w:rsid w:val="007E13D9"/>
    <w:rsid w:val="007E41BE"/>
    <w:rsid w:val="007E4DB6"/>
    <w:rsid w:val="007E7CD4"/>
    <w:rsid w:val="007F12AC"/>
    <w:rsid w:val="00801800"/>
    <w:rsid w:val="00801B5B"/>
    <w:rsid w:val="008073E3"/>
    <w:rsid w:val="008276B4"/>
    <w:rsid w:val="00831927"/>
    <w:rsid w:val="00841BD3"/>
    <w:rsid w:val="0084273D"/>
    <w:rsid w:val="00844E3F"/>
    <w:rsid w:val="00845A83"/>
    <w:rsid w:val="00851FC6"/>
    <w:rsid w:val="008712BB"/>
    <w:rsid w:val="008A2484"/>
    <w:rsid w:val="008C26D9"/>
    <w:rsid w:val="008C6D50"/>
    <w:rsid w:val="008C7167"/>
    <w:rsid w:val="008C7503"/>
    <w:rsid w:val="008D1617"/>
    <w:rsid w:val="008E6315"/>
    <w:rsid w:val="008F11E0"/>
    <w:rsid w:val="008F4ACD"/>
    <w:rsid w:val="008F78BC"/>
    <w:rsid w:val="008F7B63"/>
    <w:rsid w:val="008F7D6A"/>
    <w:rsid w:val="009054CB"/>
    <w:rsid w:val="00912F94"/>
    <w:rsid w:val="0092590B"/>
    <w:rsid w:val="00925E60"/>
    <w:rsid w:val="009264B3"/>
    <w:rsid w:val="009365E0"/>
    <w:rsid w:val="00942BA2"/>
    <w:rsid w:val="00944C86"/>
    <w:rsid w:val="00957DE8"/>
    <w:rsid w:val="00960ECB"/>
    <w:rsid w:val="009615D6"/>
    <w:rsid w:val="00967855"/>
    <w:rsid w:val="00980736"/>
    <w:rsid w:val="00981A39"/>
    <w:rsid w:val="00987097"/>
    <w:rsid w:val="009A3A9C"/>
    <w:rsid w:val="009B046C"/>
    <w:rsid w:val="009B13FA"/>
    <w:rsid w:val="009B1E2D"/>
    <w:rsid w:val="009C59FB"/>
    <w:rsid w:val="009C6F3B"/>
    <w:rsid w:val="009D1467"/>
    <w:rsid w:val="009E4FA6"/>
    <w:rsid w:val="009E7D93"/>
    <w:rsid w:val="009F5C33"/>
    <w:rsid w:val="00A026BA"/>
    <w:rsid w:val="00A03EAC"/>
    <w:rsid w:val="00A07244"/>
    <w:rsid w:val="00A11CA6"/>
    <w:rsid w:val="00A20C49"/>
    <w:rsid w:val="00A269CA"/>
    <w:rsid w:val="00A336EE"/>
    <w:rsid w:val="00A359AC"/>
    <w:rsid w:val="00A41413"/>
    <w:rsid w:val="00A45FB1"/>
    <w:rsid w:val="00A46CCC"/>
    <w:rsid w:val="00A5101A"/>
    <w:rsid w:val="00A51CFE"/>
    <w:rsid w:val="00A61BE1"/>
    <w:rsid w:val="00A76C13"/>
    <w:rsid w:val="00A92E79"/>
    <w:rsid w:val="00A950B6"/>
    <w:rsid w:val="00AA51DC"/>
    <w:rsid w:val="00AB41C1"/>
    <w:rsid w:val="00AD12A8"/>
    <w:rsid w:val="00AD53B8"/>
    <w:rsid w:val="00AE023F"/>
    <w:rsid w:val="00AF3577"/>
    <w:rsid w:val="00AF35F9"/>
    <w:rsid w:val="00B05C7D"/>
    <w:rsid w:val="00B346C3"/>
    <w:rsid w:val="00B4471C"/>
    <w:rsid w:val="00B451A6"/>
    <w:rsid w:val="00B722DE"/>
    <w:rsid w:val="00B76C44"/>
    <w:rsid w:val="00B77A0A"/>
    <w:rsid w:val="00B83F87"/>
    <w:rsid w:val="00BA2EFA"/>
    <w:rsid w:val="00BA3DBC"/>
    <w:rsid w:val="00BB2DA2"/>
    <w:rsid w:val="00BB4E9D"/>
    <w:rsid w:val="00BB56DC"/>
    <w:rsid w:val="00BE0365"/>
    <w:rsid w:val="00BE183D"/>
    <w:rsid w:val="00BF5D7A"/>
    <w:rsid w:val="00C02D33"/>
    <w:rsid w:val="00C06539"/>
    <w:rsid w:val="00C1232C"/>
    <w:rsid w:val="00C310D2"/>
    <w:rsid w:val="00C36442"/>
    <w:rsid w:val="00C400CE"/>
    <w:rsid w:val="00C410FD"/>
    <w:rsid w:val="00C539FB"/>
    <w:rsid w:val="00CA246D"/>
    <w:rsid w:val="00CA50D9"/>
    <w:rsid w:val="00CB5636"/>
    <w:rsid w:val="00D00B9F"/>
    <w:rsid w:val="00D10F21"/>
    <w:rsid w:val="00D24806"/>
    <w:rsid w:val="00D34040"/>
    <w:rsid w:val="00D34E69"/>
    <w:rsid w:val="00D375EE"/>
    <w:rsid w:val="00D62699"/>
    <w:rsid w:val="00D82620"/>
    <w:rsid w:val="00D9725F"/>
    <w:rsid w:val="00DA01B1"/>
    <w:rsid w:val="00DA11A2"/>
    <w:rsid w:val="00DA14ED"/>
    <w:rsid w:val="00DB2EF1"/>
    <w:rsid w:val="00DB3DE1"/>
    <w:rsid w:val="00DB5DA0"/>
    <w:rsid w:val="00DB716C"/>
    <w:rsid w:val="00DC1214"/>
    <w:rsid w:val="00DC5C85"/>
    <w:rsid w:val="00DD4236"/>
    <w:rsid w:val="00DD44F1"/>
    <w:rsid w:val="00DE3067"/>
    <w:rsid w:val="00E027BC"/>
    <w:rsid w:val="00E14EA5"/>
    <w:rsid w:val="00E21133"/>
    <w:rsid w:val="00E2327E"/>
    <w:rsid w:val="00E266EF"/>
    <w:rsid w:val="00E275F1"/>
    <w:rsid w:val="00E47428"/>
    <w:rsid w:val="00E66B9F"/>
    <w:rsid w:val="00E710D6"/>
    <w:rsid w:val="00E76E45"/>
    <w:rsid w:val="00E777C9"/>
    <w:rsid w:val="00E81DA6"/>
    <w:rsid w:val="00E82C04"/>
    <w:rsid w:val="00E84212"/>
    <w:rsid w:val="00E9086C"/>
    <w:rsid w:val="00E91A0F"/>
    <w:rsid w:val="00E94A71"/>
    <w:rsid w:val="00EA03CE"/>
    <w:rsid w:val="00EA23E5"/>
    <w:rsid w:val="00EA4E2E"/>
    <w:rsid w:val="00EB2CCB"/>
    <w:rsid w:val="00EC57A7"/>
    <w:rsid w:val="00ED0817"/>
    <w:rsid w:val="00ED6656"/>
    <w:rsid w:val="00ED7DD9"/>
    <w:rsid w:val="00EF2FA2"/>
    <w:rsid w:val="00EF3113"/>
    <w:rsid w:val="00EF3F84"/>
    <w:rsid w:val="00F176AC"/>
    <w:rsid w:val="00F23625"/>
    <w:rsid w:val="00F27714"/>
    <w:rsid w:val="00F3276E"/>
    <w:rsid w:val="00F33D3C"/>
    <w:rsid w:val="00F37A91"/>
    <w:rsid w:val="00F45CF5"/>
    <w:rsid w:val="00F47DB0"/>
    <w:rsid w:val="00F50E34"/>
    <w:rsid w:val="00F53EF7"/>
    <w:rsid w:val="00F54BF2"/>
    <w:rsid w:val="00F63AFD"/>
    <w:rsid w:val="00F92355"/>
    <w:rsid w:val="00F93963"/>
    <w:rsid w:val="00F94291"/>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53397E6"/>
  <w15:docId w15:val="{7754DD3C-E363-4D88-9DD1-378272157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1</TotalTime>
  <Pages>7</Pages>
  <Words>1747</Words>
  <Characters>8904</Characters>
  <Application>Microsoft Office Word</Application>
  <DocSecurity>0</DocSecurity>
  <Lines>254</Lines>
  <Paragraphs>122</Paragraphs>
  <ScaleCrop>false</ScaleCrop>
  <HeadingPairs>
    <vt:vector size="2" baseType="variant">
      <vt:variant>
        <vt:lpstr>Title</vt:lpstr>
      </vt:variant>
      <vt:variant>
        <vt:i4>1</vt:i4>
      </vt:variant>
    </vt:vector>
  </HeadingPairs>
  <TitlesOfParts>
    <vt:vector size="1" baseType="lpstr">
      <vt:lpstr>CLN15 v Minister for Immigration, Citizenship, Migrant Services and Multicultural Affairs [2019] FCA 1854</vt:lpstr>
    </vt:vector>
  </TitlesOfParts>
  <Company>Federal Court of Australia</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CLN15 v Minister for Immigration, Citizenship, Migrant Services and Multicultural Affairs [2019] FCA 1854</dc:title>
  <dc:creator>Phoebe Bates</dc:creator>
  <cp:lastModifiedBy>Sona Muradyan</cp:lastModifiedBy>
  <cp:revision>5</cp:revision>
  <cp:lastPrinted>2019-11-10T22:15:00Z</cp:lastPrinted>
  <dcterms:created xsi:type="dcterms:W3CDTF">2019-11-11T03:52:00Z</dcterms:created>
  <dcterms:modified xsi:type="dcterms:W3CDTF">2019-11-11T03:52:00Z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STEWART J</vt:lpwstr>
  </property>
  <property fmtid="{D5CDD505-2E9C-101B-9397-08002B2CF9AE}" pid="4" name="Judgment_dated" linkTarget="Judgment_dated">
    <vt:lpwstr>11 NOVEMBER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