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71CE3">
      <w:pPr>
        <w:pStyle w:val="MediaNeutralStyle"/>
      </w:pPr>
      <w:bookmarkStart w:id="0" w:name="MNC"/>
      <w:r>
        <w:t>CTG18</w:t>
      </w:r>
      <w:r w:rsidR="00B95171">
        <w:t xml:space="preserve"> v Minister for Home Affairs</w:t>
      </w:r>
      <w:r w:rsidR="001201DA">
        <w:t xml:space="preserve"> </w:t>
      </w:r>
      <w:r w:rsidR="00B95171">
        <w:t xml:space="preserve">[2019] FCA </w:t>
      </w:r>
      <w:r w:rsidR="00A20F44">
        <w:t>1470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7270C">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Pr="00A6420E" w:rsidRDefault="009901FF" w:rsidP="002539B3">
            <w:pPr>
              <w:pStyle w:val="CasesLegislationAppealFrom"/>
              <w:spacing w:after="60"/>
            </w:pPr>
            <w:bookmarkStart w:id="1" w:name="AppealFrom"/>
            <w:r w:rsidRPr="00B13B66">
              <w:rPr>
                <w:i/>
              </w:rPr>
              <w:t>CTG18 &amp; Anor v Minister for Home Affairs &amp; Anor</w:t>
            </w:r>
            <w:r w:rsidRPr="00A6420E">
              <w:t xml:space="preserve"> [2018] FCCA 3313</w:t>
            </w:r>
            <w:r w:rsidR="009264B3" w:rsidRPr="00A6420E">
              <w:t xml:space="preserve"> </w:t>
            </w:r>
            <w:bookmarkEnd w:id="1"/>
          </w:p>
        </w:tc>
      </w:tr>
      <w:tr w:rsidR="00395B24" w:rsidTr="003727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7270C">
        <w:tc>
          <w:tcPr>
            <w:tcW w:w="3085"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B95171" w:rsidRDefault="006B131F" w:rsidP="009901FF">
            <w:pPr>
              <w:pStyle w:val="Normal1linespace"/>
              <w:jc w:val="left"/>
            </w:pPr>
            <w:fldSimple w:instr=" REF  FileNo  \* MERGEFORMAT " w:fldLock="1">
              <w:r w:rsidR="00B95171" w:rsidRPr="00B95171">
                <w:t xml:space="preserve">NSD </w:t>
              </w:r>
              <w:r w:rsidR="00971CE3">
                <w:t>2014</w:t>
              </w:r>
              <w:r w:rsidR="00B95171" w:rsidRPr="00B95171">
                <w:t xml:space="preserve"> of 201</w:t>
              </w:r>
            </w:fldSimple>
            <w:r w:rsidR="009901FF">
              <w:t>8</w:t>
            </w:r>
          </w:p>
        </w:tc>
      </w:tr>
      <w:tr w:rsidR="00395B24" w:rsidTr="003727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7270C">
        <w:tc>
          <w:tcPr>
            <w:tcW w:w="3085" w:type="dxa"/>
            <w:shd w:val="clear" w:color="auto" w:fill="auto"/>
          </w:tcPr>
          <w:p w:rsidR="00395B24" w:rsidRDefault="002C7385" w:rsidP="00663878">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B95171">
              <w:rPr>
                <w:b/>
              </w:rPr>
              <w:fldChar w:fldCharType="begin" w:fldLock="1"/>
            </w:r>
            <w:r w:rsidRPr="00B95171">
              <w:rPr>
                <w:b/>
              </w:rPr>
              <w:instrText xml:space="preserve"> REF  Judge  \* MERGEFORMAT </w:instrText>
            </w:r>
            <w:r w:rsidRPr="00B95171">
              <w:rPr>
                <w:b/>
              </w:rPr>
              <w:fldChar w:fldCharType="separate"/>
            </w:r>
            <w:r w:rsidR="00B95171" w:rsidRPr="00B95171">
              <w:rPr>
                <w:b/>
                <w:caps/>
                <w:szCs w:val="24"/>
              </w:rPr>
              <w:t>ABRAHAM J</w:t>
            </w:r>
            <w:r w:rsidRPr="00B95171">
              <w:rPr>
                <w:b/>
              </w:rPr>
              <w:fldChar w:fldCharType="end"/>
            </w:r>
          </w:p>
        </w:tc>
      </w:tr>
      <w:tr w:rsidR="00395B24" w:rsidTr="003727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7270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A37D4" w:rsidP="00663878">
            <w:pPr>
              <w:pStyle w:val="Normal1linespace"/>
              <w:widowControl w:val="0"/>
              <w:jc w:val="left"/>
            </w:pPr>
            <w:bookmarkStart w:id="2" w:name="JudgmentDate"/>
            <w:r>
              <w:t>6 September 2019</w:t>
            </w:r>
            <w:bookmarkEnd w:id="2"/>
          </w:p>
        </w:tc>
      </w:tr>
      <w:tr w:rsidR="00395B24" w:rsidTr="003727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1792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32552" w:rsidP="00663878">
            <w:pPr>
              <w:pStyle w:val="Normal1linespace"/>
              <w:widowControl w:val="0"/>
              <w:jc w:val="left"/>
            </w:pPr>
            <w:bookmarkStart w:id="3" w:name="Catchwords"/>
            <w:r>
              <w:rPr>
                <w:b/>
              </w:rPr>
              <w:t xml:space="preserve">MIGRATION </w:t>
            </w:r>
            <w:r w:rsidR="002B79EE">
              <w:t>–</w:t>
            </w:r>
            <w:r>
              <w:t xml:space="preserve"> </w:t>
            </w:r>
            <w:r w:rsidR="002B79EE">
              <w:t>where Immigration Assessment Authority affirms decision of the delegate to refuse Safe Haven Enterprise Visas to the appellants – where Federal Circuit Court dismisses application for judicial review – where appellant</w:t>
            </w:r>
            <w:r w:rsidR="001B234F">
              <w:t>s</w:t>
            </w:r>
            <w:r w:rsidR="002B79EE">
              <w:t xml:space="preserve"> raise new claims before the Authority – whether decision of the Authority legally unreasonable – whether Authority should have exercised its discretion under s 473DC</w:t>
            </w:r>
            <w:r w:rsidR="00A20F44">
              <w:t xml:space="preserve"> of the </w:t>
            </w:r>
            <w:r w:rsidR="00A20F44" w:rsidRPr="00A6420E">
              <w:rPr>
                <w:i/>
              </w:rPr>
              <w:t>Migration Act 1958</w:t>
            </w:r>
            <w:r w:rsidR="00A20F44">
              <w:t xml:space="preserve"> (Cth)</w:t>
            </w:r>
            <w:r w:rsidR="002B79EE">
              <w:t xml:space="preserve"> to invite the first appellant to an interview – appeal dismissed</w:t>
            </w:r>
            <w:r w:rsidR="002C7385">
              <w:t xml:space="preserve"> </w:t>
            </w:r>
            <w:bookmarkEnd w:id="3"/>
          </w:p>
        </w:tc>
      </w:tr>
      <w:tr w:rsidR="00395B24" w:rsidTr="0051792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1792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9901FF" w:rsidP="00D82620">
            <w:pPr>
              <w:pStyle w:val="CasesLegislationAppealFrom"/>
              <w:spacing w:after="60"/>
            </w:pPr>
            <w:bookmarkStart w:id="4" w:name="Legislation"/>
            <w:r w:rsidRPr="009901FF">
              <w:rPr>
                <w:i/>
              </w:rPr>
              <w:t>Migration Act 1958</w:t>
            </w:r>
            <w:r w:rsidRPr="009901FF">
              <w:t xml:space="preserve"> (Cth) ss</w:t>
            </w:r>
            <w:r w:rsidR="00370186">
              <w:t xml:space="preserve"> </w:t>
            </w:r>
            <w:r w:rsidRPr="009901FF">
              <w:t xml:space="preserve">5H, 36, </w:t>
            </w:r>
            <w:r w:rsidR="002E2E62">
              <w:t xml:space="preserve">473GA, 473GB, 473DA, 473CA, 473DB, </w:t>
            </w:r>
            <w:r w:rsidRPr="009901FF">
              <w:t>473CB, 473DC, 473DD, 476</w:t>
            </w:r>
            <w:r w:rsidR="00C23BE3">
              <w:t>, Pt 7AA</w:t>
            </w:r>
            <w:r w:rsidR="002C7385">
              <w:t xml:space="preserve"> </w:t>
            </w:r>
            <w:bookmarkEnd w:id="4"/>
          </w:p>
        </w:tc>
      </w:tr>
      <w:tr w:rsidR="00395B24" w:rsidTr="0051792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1792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D01B5" w:rsidRDefault="00AD01B5" w:rsidP="00D82620">
            <w:pPr>
              <w:pStyle w:val="CasesLegislationAppealFrom"/>
              <w:spacing w:after="60"/>
            </w:pPr>
            <w:bookmarkStart w:id="5" w:name="Cases_Cited"/>
            <w:r w:rsidRPr="001700A7">
              <w:rPr>
                <w:i/>
              </w:rPr>
              <w:t>Minister for Immigration</w:t>
            </w:r>
            <w:r>
              <w:rPr>
                <w:i/>
              </w:rPr>
              <w:t xml:space="preserve"> and Citizenship</w:t>
            </w:r>
            <w:r w:rsidRPr="001700A7">
              <w:rPr>
                <w:i/>
              </w:rPr>
              <w:t xml:space="preserve"> v Li</w:t>
            </w:r>
            <w:r>
              <w:t xml:space="preserve"> [2013] HCA 18; (2013) 249 CLR 332</w:t>
            </w:r>
          </w:p>
          <w:p w:rsidR="00AD01B5" w:rsidRDefault="00AD01B5" w:rsidP="00D82620">
            <w:pPr>
              <w:pStyle w:val="CasesLegislationAppealFrom"/>
              <w:spacing w:after="60"/>
            </w:pPr>
            <w:r w:rsidRPr="003430E5">
              <w:rPr>
                <w:i/>
                <w:spacing w:val="-4"/>
              </w:rPr>
              <w:t xml:space="preserve">Minister </w:t>
            </w:r>
            <w:r w:rsidRPr="003430E5">
              <w:rPr>
                <w:i/>
              </w:rPr>
              <w:t xml:space="preserve">for Immigration and </w:t>
            </w:r>
            <w:r w:rsidRPr="003430E5">
              <w:rPr>
                <w:i/>
                <w:spacing w:val="-9"/>
              </w:rPr>
              <w:t xml:space="preserve">Border </w:t>
            </w:r>
            <w:r w:rsidRPr="003430E5">
              <w:rPr>
                <w:i/>
                <w:spacing w:val="-5"/>
              </w:rPr>
              <w:t xml:space="preserve">Protection </w:t>
            </w:r>
            <w:r w:rsidRPr="003430E5">
              <w:rPr>
                <w:i/>
              </w:rPr>
              <w:t xml:space="preserve">v CRY16 </w:t>
            </w:r>
            <w:r w:rsidRPr="003430E5">
              <w:rPr>
                <w:spacing w:val="1"/>
              </w:rPr>
              <w:t>[2017</w:t>
            </w:r>
            <w:r w:rsidRPr="003430E5">
              <w:t>]</w:t>
            </w:r>
            <w:r w:rsidRPr="003430E5">
              <w:rPr>
                <w:i/>
              </w:rPr>
              <w:t xml:space="preserve"> </w:t>
            </w:r>
            <w:r w:rsidRPr="003430E5">
              <w:t xml:space="preserve">FCAFC </w:t>
            </w:r>
            <w:r w:rsidRPr="003430E5">
              <w:rPr>
                <w:spacing w:val="-3"/>
              </w:rPr>
              <w:t>21</w:t>
            </w:r>
            <w:r>
              <w:rPr>
                <w:spacing w:val="-3"/>
              </w:rPr>
              <w:t>0</w:t>
            </w:r>
            <w:r w:rsidRPr="003430E5">
              <w:rPr>
                <w:spacing w:val="-3"/>
              </w:rPr>
              <w:t xml:space="preserve">; (2017) </w:t>
            </w:r>
            <w:r w:rsidRPr="003430E5">
              <w:t>253 FCR 475</w:t>
            </w:r>
          </w:p>
          <w:p w:rsidR="00AD01B5" w:rsidRDefault="00AD01B5" w:rsidP="00D82620">
            <w:pPr>
              <w:pStyle w:val="CasesLegislationAppealFrom"/>
              <w:spacing w:after="60"/>
            </w:pPr>
            <w:r w:rsidRPr="00BC3776">
              <w:rPr>
                <w:i/>
              </w:rPr>
              <w:t xml:space="preserve">DCP16 v Minister for Immigration and Border Protection </w:t>
            </w:r>
            <w:r w:rsidRPr="00BC3776">
              <w:t xml:space="preserve">[2019] FCAFC 91 </w:t>
            </w:r>
          </w:p>
          <w:p w:rsidR="00AD01B5" w:rsidRDefault="00AD01B5" w:rsidP="00D82620">
            <w:pPr>
              <w:pStyle w:val="CasesLegislationAppealFrom"/>
              <w:spacing w:after="60"/>
              <w:rPr>
                <w:lang w:val="en"/>
              </w:rPr>
            </w:pPr>
            <w:r w:rsidRPr="00415331">
              <w:rPr>
                <w:i/>
                <w:lang w:val="en"/>
              </w:rPr>
              <w:t>Singh v Minister for Home Affairs</w:t>
            </w:r>
            <w:r w:rsidRPr="00415331">
              <w:rPr>
                <w:lang w:val="en"/>
              </w:rPr>
              <w:t xml:space="preserve"> [2019] FCAFC 3</w:t>
            </w:r>
          </w:p>
          <w:p w:rsidR="00AD01B5" w:rsidRDefault="00AD01B5" w:rsidP="00D82620">
            <w:pPr>
              <w:pStyle w:val="CasesLegislationAppealFrom"/>
              <w:spacing w:after="60"/>
              <w:rPr>
                <w:lang w:val="en" w:eastAsia="en-AU"/>
              </w:rPr>
            </w:pPr>
            <w:r w:rsidRPr="00653EB8">
              <w:rPr>
                <w:i/>
                <w:lang w:val="en" w:eastAsia="en-AU"/>
              </w:rPr>
              <w:t>Minister for Immigration and Border Protection v</w:t>
            </w:r>
            <w:r w:rsidRPr="00653EB8">
              <w:rPr>
                <w:lang w:val="en" w:eastAsia="en-AU"/>
              </w:rPr>
              <w:t xml:space="preserve"> </w:t>
            </w:r>
            <w:r w:rsidRPr="00653EB8">
              <w:rPr>
                <w:i/>
                <w:iCs/>
                <w:lang w:val="en" w:eastAsia="en-AU"/>
              </w:rPr>
              <w:t>SZVFW</w:t>
            </w:r>
            <w:r w:rsidRPr="00653EB8">
              <w:rPr>
                <w:lang w:val="en" w:eastAsia="en-AU"/>
              </w:rPr>
              <w:t xml:space="preserve">  [2018] HCA 30; (2018) 92 ALJR 713</w:t>
            </w:r>
          </w:p>
          <w:p w:rsidR="00AD01B5" w:rsidRDefault="00AD01B5" w:rsidP="00D82620">
            <w:pPr>
              <w:pStyle w:val="CasesLegislationAppealFrom"/>
              <w:spacing w:after="60"/>
              <w:rPr>
                <w:iCs/>
                <w:lang w:val="en" w:eastAsia="en-AU"/>
              </w:rPr>
            </w:pPr>
            <w:r w:rsidRPr="00411400">
              <w:rPr>
                <w:i/>
                <w:iCs/>
                <w:lang w:val="en" w:eastAsia="en-AU"/>
              </w:rPr>
              <w:t xml:space="preserve">Minister for Immigration and Border Protection v Stretton </w:t>
            </w:r>
            <w:r w:rsidRPr="00411400">
              <w:rPr>
                <w:iCs/>
                <w:lang w:val="en" w:eastAsia="en-AU"/>
              </w:rPr>
              <w:t>[2016] FCAFC 11; (2016) 237 FCR 1</w:t>
            </w:r>
            <w:r w:rsidRPr="00411400">
              <w:rPr>
                <w:lang w:val="en" w:eastAsia="en-AU"/>
              </w:rPr>
              <w:t xml:space="preserve"> </w:t>
            </w:r>
            <w:r w:rsidRPr="00CB05CB">
              <w:rPr>
                <w:iCs/>
                <w:lang w:val="en" w:eastAsia="en-AU"/>
              </w:rPr>
              <w:t xml:space="preserve"> </w:t>
            </w:r>
          </w:p>
          <w:p w:rsidR="00183C17" w:rsidRDefault="00AD01B5" w:rsidP="00D82620">
            <w:pPr>
              <w:pStyle w:val="CasesLegislationAppealFrom"/>
              <w:spacing w:after="60"/>
              <w:rPr>
                <w:lang w:val="en" w:eastAsia="en-AU"/>
              </w:rPr>
            </w:pPr>
            <w:r w:rsidRPr="00411400">
              <w:rPr>
                <w:i/>
                <w:iCs/>
                <w:lang w:val="en" w:eastAsia="en-AU"/>
              </w:rPr>
              <w:t>Muggeridge v Minister for Immigration and Border Protection</w:t>
            </w:r>
            <w:r w:rsidRPr="00411400">
              <w:rPr>
                <w:lang w:val="en" w:eastAsia="en-AU"/>
              </w:rPr>
              <w:t xml:space="preserve"> [2017] FCAFC 200; (2017) 255 FCR 81</w:t>
            </w:r>
          </w:p>
          <w:p w:rsidR="00183C17" w:rsidRDefault="00183C17" w:rsidP="00D82620">
            <w:pPr>
              <w:pStyle w:val="CasesLegislationAppealFrom"/>
              <w:spacing w:after="60"/>
              <w:rPr>
                <w:lang w:val="en"/>
              </w:rPr>
            </w:pPr>
            <w:r w:rsidRPr="00653EB8">
              <w:rPr>
                <w:i/>
                <w:iCs/>
                <w:lang w:val="en"/>
              </w:rPr>
              <w:t>Plaintiff M174/2016 v Minister for Immigration and Border Protection</w:t>
            </w:r>
            <w:r w:rsidRPr="00653EB8">
              <w:rPr>
                <w:lang w:val="en"/>
              </w:rPr>
              <w:t xml:space="preserve"> [2018] HCA 16; (2018) 353 ALR 600 </w:t>
            </w:r>
          </w:p>
          <w:p w:rsidR="00E54BAA" w:rsidRDefault="00183C17" w:rsidP="00D82620">
            <w:pPr>
              <w:pStyle w:val="CasesLegislationAppealFrom"/>
              <w:spacing w:after="60"/>
              <w:rPr>
                <w:lang w:val="en" w:eastAsia="en-AU"/>
              </w:rPr>
            </w:pPr>
            <w:r w:rsidRPr="00653EB8">
              <w:rPr>
                <w:bCs/>
                <w:i/>
                <w:iCs/>
              </w:rPr>
              <w:t xml:space="preserve">Minister for Immigration and Border Protection v DZU16 </w:t>
            </w:r>
            <w:r w:rsidRPr="00616306">
              <w:rPr>
                <w:bCs/>
                <w:iCs/>
              </w:rPr>
              <w:t>[2018] FCAFC 32; (2018) 253 FCR 526</w:t>
            </w:r>
            <w:r w:rsidRPr="00653EB8">
              <w:rPr>
                <w:bCs/>
                <w:i/>
                <w:iCs/>
              </w:rPr>
              <w:t xml:space="preserve"> </w:t>
            </w:r>
            <w:r w:rsidR="00AD01B5" w:rsidRPr="00411400">
              <w:rPr>
                <w:lang w:val="en" w:eastAsia="en-AU"/>
              </w:rPr>
              <w:t xml:space="preserve"> </w:t>
            </w:r>
            <w:r w:rsidR="00AD01B5" w:rsidRPr="00653EB8">
              <w:rPr>
                <w:lang w:val="en" w:eastAsia="en-AU"/>
              </w:rPr>
              <w:t xml:space="preserve"> </w:t>
            </w:r>
          </w:p>
          <w:p w:rsidR="00395B24" w:rsidRDefault="00E54BAA" w:rsidP="00D82620">
            <w:pPr>
              <w:pStyle w:val="CasesLegislationAppealFrom"/>
              <w:spacing w:after="60"/>
            </w:pPr>
            <w:r w:rsidRPr="00E62823">
              <w:rPr>
                <w:i/>
              </w:rPr>
              <w:t>Minister for Immigration and Multicultural Affairs v Rajalingam</w:t>
            </w:r>
            <w:r>
              <w:t xml:space="preserve"> </w:t>
            </w:r>
            <w:r w:rsidRPr="00367DAC">
              <w:rPr>
                <w:lang w:val="en"/>
              </w:rPr>
              <w:t>[1999] FCA 719</w:t>
            </w:r>
            <w:r>
              <w:rPr>
                <w:lang w:val="en"/>
              </w:rPr>
              <w:t>;</w:t>
            </w:r>
            <w:r w:rsidRPr="00367DAC">
              <w:t xml:space="preserve"> </w:t>
            </w:r>
            <w:r>
              <w:t xml:space="preserve">(1999) 93 FCR 220 </w:t>
            </w:r>
            <w:r w:rsidR="00AD01B5" w:rsidRPr="00415331">
              <w:rPr>
                <w:lang w:val="en"/>
              </w:rPr>
              <w:t xml:space="preserve"> </w:t>
            </w:r>
            <w:r w:rsidR="00AD01B5" w:rsidRPr="003430E5">
              <w:t xml:space="preserve"> </w:t>
            </w:r>
            <w:r w:rsidR="002C7385">
              <w:t xml:space="preserve"> </w:t>
            </w:r>
            <w:bookmarkEnd w:id="5"/>
          </w:p>
        </w:tc>
      </w:tr>
      <w:tr w:rsidR="00653EB8" w:rsidRPr="00653EB8" w:rsidTr="00517922">
        <w:tc>
          <w:tcPr>
            <w:tcW w:w="3085" w:type="dxa"/>
            <w:shd w:val="clear" w:color="auto" w:fill="auto"/>
          </w:tcPr>
          <w:p w:rsidR="00653EB8" w:rsidRPr="00653EB8" w:rsidRDefault="00653EB8" w:rsidP="00517922">
            <w:pPr>
              <w:pStyle w:val="Normal1linespace"/>
              <w:jc w:val="left"/>
            </w:pPr>
            <w:bookmarkStart w:id="6" w:name="CounselTable"/>
          </w:p>
        </w:tc>
        <w:tc>
          <w:tcPr>
            <w:tcW w:w="5989" w:type="dxa"/>
            <w:shd w:val="clear" w:color="auto" w:fill="auto"/>
          </w:tcPr>
          <w:p w:rsidR="00653EB8" w:rsidRPr="00653EB8" w:rsidRDefault="00653EB8" w:rsidP="00517922">
            <w:pPr>
              <w:pStyle w:val="Normal1linespace"/>
              <w:jc w:val="left"/>
            </w:pPr>
          </w:p>
        </w:tc>
      </w:tr>
      <w:tr w:rsidR="00653EB8" w:rsidRPr="00653EB8" w:rsidTr="00517922">
        <w:tc>
          <w:tcPr>
            <w:tcW w:w="3085" w:type="dxa"/>
            <w:shd w:val="clear" w:color="auto" w:fill="auto"/>
          </w:tcPr>
          <w:p w:rsidR="00653EB8" w:rsidRPr="00653EB8" w:rsidRDefault="00653EB8" w:rsidP="00517922">
            <w:pPr>
              <w:pStyle w:val="Normal1linespace"/>
              <w:jc w:val="left"/>
            </w:pPr>
            <w:bookmarkStart w:id="7" w:name="CounselDate" w:colFirst="0" w:colLast="2"/>
            <w:r w:rsidRPr="00653EB8">
              <w:t>Date of hearing:</w:t>
            </w:r>
          </w:p>
        </w:tc>
        <w:tc>
          <w:tcPr>
            <w:tcW w:w="5989" w:type="dxa"/>
            <w:shd w:val="clear" w:color="auto" w:fill="auto"/>
          </w:tcPr>
          <w:p w:rsidR="00653EB8" w:rsidRPr="00653EB8" w:rsidRDefault="00653EB8" w:rsidP="00517922">
            <w:pPr>
              <w:pStyle w:val="Normal1linespace"/>
              <w:jc w:val="left"/>
            </w:pPr>
            <w:bookmarkStart w:id="8" w:name="HearingDate"/>
            <w:r>
              <w:t>27 June 2019</w:t>
            </w:r>
            <w:bookmarkEnd w:id="8"/>
          </w:p>
        </w:tc>
      </w:tr>
      <w:tr w:rsidR="00653EB8" w:rsidRPr="00653EB8" w:rsidTr="00517922">
        <w:tc>
          <w:tcPr>
            <w:tcW w:w="3085" w:type="dxa"/>
            <w:shd w:val="clear" w:color="auto" w:fill="auto"/>
          </w:tcPr>
          <w:p w:rsidR="00653EB8" w:rsidRPr="00653EB8" w:rsidRDefault="00653EB8" w:rsidP="00517922">
            <w:pPr>
              <w:pStyle w:val="Normal1linespace"/>
              <w:jc w:val="left"/>
            </w:pPr>
          </w:p>
        </w:tc>
        <w:tc>
          <w:tcPr>
            <w:tcW w:w="5989" w:type="dxa"/>
            <w:shd w:val="clear" w:color="auto" w:fill="auto"/>
          </w:tcPr>
          <w:p w:rsidR="00653EB8" w:rsidRPr="00653EB8" w:rsidRDefault="00653EB8" w:rsidP="00517922">
            <w:pPr>
              <w:pStyle w:val="Normal1linespace"/>
              <w:jc w:val="left"/>
            </w:pPr>
          </w:p>
        </w:tc>
      </w:tr>
      <w:bookmarkEnd w:id="7"/>
      <w:tr w:rsidR="00653EB8" w:rsidTr="00517922">
        <w:tc>
          <w:tcPr>
            <w:tcW w:w="3085" w:type="dxa"/>
            <w:shd w:val="clear" w:color="auto" w:fill="auto"/>
          </w:tcPr>
          <w:p w:rsidR="00653EB8" w:rsidRDefault="00653EB8" w:rsidP="00517922">
            <w:pPr>
              <w:pStyle w:val="Normal1linespace"/>
              <w:widowControl w:val="0"/>
              <w:jc w:val="left"/>
            </w:pPr>
            <w:r>
              <w:t>Registry:</w:t>
            </w:r>
          </w:p>
        </w:tc>
        <w:tc>
          <w:tcPr>
            <w:tcW w:w="5989" w:type="dxa"/>
            <w:shd w:val="clear" w:color="auto" w:fill="auto"/>
          </w:tcPr>
          <w:p w:rsidR="00653EB8" w:rsidRPr="00F17599" w:rsidRDefault="00E73DDE" w:rsidP="00653EB8">
            <w:pPr>
              <w:pStyle w:val="Normal1linespace"/>
              <w:widowControl w:val="0"/>
              <w:jc w:val="left"/>
            </w:pPr>
            <w:r>
              <w:fldChar w:fldCharType="begin" w:fldLock="1"/>
            </w:r>
            <w:r>
              <w:instrText xml:space="preserve"> DOCPROPERTY  Registry </w:instrText>
            </w:r>
            <w:r>
              <w:fldChar w:fldCharType="separate"/>
            </w:r>
            <w:r w:rsidR="00653EB8">
              <w:t>New South Wales</w:t>
            </w:r>
            <w:r>
              <w:fldChar w:fldCharType="end"/>
            </w:r>
          </w:p>
        </w:tc>
      </w:tr>
      <w:tr w:rsidR="00653EB8" w:rsidTr="00517922">
        <w:tc>
          <w:tcPr>
            <w:tcW w:w="3085" w:type="dxa"/>
            <w:shd w:val="clear" w:color="auto" w:fill="auto"/>
          </w:tcPr>
          <w:p w:rsidR="00653EB8" w:rsidRDefault="00653EB8" w:rsidP="00517922">
            <w:pPr>
              <w:pStyle w:val="Normal1linespace"/>
              <w:widowControl w:val="0"/>
              <w:jc w:val="left"/>
            </w:pPr>
          </w:p>
        </w:tc>
        <w:tc>
          <w:tcPr>
            <w:tcW w:w="5989" w:type="dxa"/>
            <w:shd w:val="clear" w:color="auto" w:fill="auto"/>
          </w:tcPr>
          <w:p w:rsidR="00653EB8" w:rsidRDefault="00653EB8" w:rsidP="00653EB8">
            <w:pPr>
              <w:pStyle w:val="Normal1linespace"/>
              <w:widowControl w:val="0"/>
              <w:jc w:val="left"/>
            </w:pPr>
          </w:p>
        </w:tc>
      </w:tr>
      <w:tr w:rsidR="00653EB8" w:rsidTr="00517922">
        <w:tc>
          <w:tcPr>
            <w:tcW w:w="3085" w:type="dxa"/>
            <w:shd w:val="clear" w:color="auto" w:fill="auto"/>
          </w:tcPr>
          <w:p w:rsidR="00653EB8" w:rsidRDefault="00653EB8" w:rsidP="00517922">
            <w:pPr>
              <w:pStyle w:val="Normal1linespace"/>
              <w:widowControl w:val="0"/>
              <w:jc w:val="left"/>
            </w:pPr>
            <w:r>
              <w:t>Division:</w:t>
            </w:r>
          </w:p>
        </w:tc>
        <w:tc>
          <w:tcPr>
            <w:tcW w:w="5989" w:type="dxa"/>
            <w:shd w:val="clear" w:color="auto" w:fill="auto"/>
          </w:tcPr>
          <w:p w:rsidR="00653EB8" w:rsidRPr="00F17599" w:rsidRDefault="00E73DDE" w:rsidP="00653EB8">
            <w:pPr>
              <w:pStyle w:val="Normal1linespace"/>
              <w:widowControl w:val="0"/>
              <w:jc w:val="left"/>
            </w:pPr>
            <w:r>
              <w:fldChar w:fldCharType="begin" w:fldLock="1"/>
            </w:r>
            <w:r>
              <w:instrText xml:space="preserve"> DOCPROPERTY  Division </w:instrText>
            </w:r>
            <w:r>
              <w:fldChar w:fldCharType="separate"/>
            </w:r>
            <w:r w:rsidR="00653EB8">
              <w:t>General Division</w:t>
            </w:r>
            <w:r>
              <w:fldChar w:fldCharType="end"/>
            </w:r>
          </w:p>
        </w:tc>
      </w:tr>
      <w:tr w:rsidR="00653EB8" w:rsidTr="00517922">
        <w:tc>
          <w:tcPr>
            <w:tcW w:w="3085" w:type="dxa"/>
            <w:shd w:val="clear" w:color="auto" w:fill="auto"/>
          </w:tcPr>
          <w:p w:rsidR="00653EB8" w:rsidRDefault="00653EB8" w:rsidP="00517922">
            <w:pPr>
              <w:pStyle w:val="Normal1linespace"/>
              <w:widowControl w:val="0"/>
              <w:jc w:val="left"/>
            </w:pPr>
          </w:p>
        </w:tc>
        <w:tc>
          <w:tcPr>
            <w:tcW w:w="5989" w:type="dxa"/>
            <w:shd w:val="clear" w:color="auto" w:fill="auto"/>
          </w:tcPr>
          <w:p w:rsidR="00653EB8" w:rsidRPr="00F17599" w:rsidRDefault="00653EB8" w:rsidP="00653EB8">
            <w:pPr>
              <w:pStyle w:val="Normal1linespace"/>
              <w:widowControl w:val="0"/>
              <w:jc w:val="left"/>
              <w:rPr>
                <w:b/>
              </w:rPr>
            </w:pPr>
          </w:p>
        </w:tc>
      </w:tr>
      <w:tr w:rsidR="00653EB8" w:rsidRPr="00653EB8" w:rsidTr="00517922">
        <w:tc>
          <w:tcPr>
            <w:tcW w:w="3085" w:type="dxa"/>
            <w:shd w:val="clear" w:color="auto" w:fill="auto"/>
          </w:tcPr>
          <w:p w:rsidR="00653EB8" w:rsidRPr="00653EB8" w:rsidRDefault="00653EB8" w:rsidP="00517922">
            <w:pPr>
              <w:pStyle w:val="Normal1linespace"/>
              <w:widowControl w:val="0"/>
              <w:jc w:val="left"/>
            </w:pPr>
            <w:r w:rsidRPr="00653EB8">
              <w:t>National Practice Area:</w:t>
            </w:r>
          </w:p>
        </w:tc>
        <w:tc>
          <w:tcPr>
            <w:tcW w:w="5989" w:type="dxa"/>
            <w:shd w:val="clear" w:color="auto" w:fill="auto"/>
          </w:tcPr>
          <w:p w:rsidR="00653EB8" w:rsidRPr="00653EB8" w:rsidRDefault="00964B50" w:rsidP="00653EB8">
            <w:pPr>
              <w:pStyle w:val="Normal1linespace"/>
              <w:widowControl w:val="0"/>
              <w:jc w:val="left"/>
              <w:rPr>
                <w:b/>
              </w:rPr>
            </w:pPr>
            <w:r>
              <w:t>Administrative and Constitutional Law and Human Rights</w:t>
            </w:r>
          </w:p>
        </w:tc>
      </w:tr>
      <w:tr w:rsidR="00653EB8" w:rsidTr="00517922">
        <w:tc>
          <w:tcPr>
            <w:tcW w:w="3085" w:type="dxa"/>
            <w:shd w:val="clear" w:color="auto" w:fill="auto"/>
          </w:tcPr>
          <w:p w:rsidR="00653EB8" w:rsidRPr="00653EB8" w:rsidRDefault="00653EB8" w:rsidP="00517922">
            <w:pPr>
              <w:pStyle w:val="Normal1linespace"/>
              <w:widowControl w:val="0"/>
              <w:jc w:val="left"/>
            </w:pPr>
          </w:p>
        </w:tc>
        <w:tc>
          <w:tcPr>
            <w:tcW w:w="5989" w:type="dxa"/>
            <w:shd w:val="clear" w:color="auto" w:fill="auto"/>
          </w:tcPr>
          <w:p w:rsidR="00653EB8" w:rsidRPr="00CB05CB" w:rsidRDefault="00653EB8" w:rsidP="00653EB8">
            <w:pPr>
              <w:pStyle w:val="Normal1linespace"/>
              <w:widowControl w:val="0"/>
              <w:jc w:val="left"/>
            </w:pPr>
          </w:p>
        </w:tc>
      </w:tr>
      <w:tr w:rsidR="00653EB8" w:rsidTr="00517922">
        <w:tc>
          <w:tcPr>
            <w:tcW w:w="3085" w:type="dxa"/>
            <w:shd w:val="clear" w:color="auto" w:fill="auto"/>
          </w:tcPr>
          <w:p w:rsidR="00653EB8" w:rsidRPr="00653EB8" w:rsidRDefault="00653EB8" w:rsidP="00517922">
            <w:pPr>
              <w:pStyle w:val="Normal1linespace"/>
              <w:widowControl w:val="0"/>
              <w:jc w:val="left"/>
            </w:pPr>
            <w:r w:rsidRPr="00653EB8">
              <w:t>Category:</w:t>
            </w:r>
          </w:p>
        </w:tc>
        <w:tc>
          <w:tcPr>
            <w:tcW w:w="5989" w:type="dxa"/>
            <w:shd w:val="clear" w:color="auto" w:fill="auto"/>
          </w:tcPr>
          <w:p w:rsidR="00653EB8" w:rsidRPr="00653EB8" w:rsidRDefault="00653EB8" w:rsidP="00653EB8">
            <w:pPr>
              <w:pStyle w:val="Normal1linespace"/>
              <w:widowControl w:val="0"/>
              <w:jc w:val="left"/>
            </w:pPr>
            <w:r w:rsidRPr="00517922">
              <w:t xml:space="preserve">Catchwords </w:t>
            </w:r>
          </w:p>
        </w:tc>
      </w:tr>
      <w:tr w:rsidR="00653EB8" w:rsidTr="00517922">
        <w:tc>
          <w:tcPr>
            <w:tcW w:w="3085" w:type="dxa"/>
            <w:shd w:val="clear" w:color="auto" w:fill="auto"/>
          </w:tcPr>
          <w:p w:rsidR="00653EB8" w:rsidRDefault="00653EB8" w:rsidP="00517922">
            <w:pPr>
              <w:pStyle w:val="Normal1linespace"/>
              <w:widowControl w:val="0"/>
              <w:jc w:val="left"/>
            </w:pPr>
          </w:p>
        </w:tc>
        <w:tc>
          <w:tcPr>
            <w:tcW w:w="5989" w:type="dxa"/>
            <w:shd w:val="clear" w:color="auto" w:fill="auto"/>
          </w:tcPr>
          <w:p w:rsidR="00653EB8" w:rsidRDefault="00653EB8" w:rsidP="00653EB8">
            <w:pPr>
              <w:pStyle w:val="Normal1linespace"/>
              <w:widowControl w:val="0"/>
              <w:jc w:val="left"/>
            </w:pPr>
          </w:p>
        </w:tc>
      </w:tr>
      <w:tr w:rsidR="00653EB8" w:rsidTr="00517922">
        <w:tc>
          <w:tcPr>
            <w:tcW w:w="3085" w:type="dxa"/>
            <w:shd w:val="clear" w:color="auto" w:fill="auto"/>
          </w:tcPr>
          <w:p w:rsidR="00653EB8" w:rsidRDefault="00653EB8" w:rsidP="00517922">
            <w:pPr>
              <w:pStyle w:val="Normal1linespace"/>
              <w:widowControl w:val="0"/>
              <w:jc w:val="left"/>
            </w:pPr>
            <w:r>
              <w:t>Number of paragraphs:</w:t>
            </w:r>
          </w:p>
        </w:tc>
        <w:tc>
          <w:tcPr>
            <w:tcW w:w="5989" w:type="dxa"/>
            <w:shd w:val="clear" w:color="auto" w:fill="auto"/>
          </w:tcPr>
          <w:p w:rsidR="00653EB8" w:rsidRDefault="00517941" w:rsidP="00653EB8">
            <w:pPr>
              <w:pStyle w:val="Normal1linespace"/>
              <w:widowControl w:val="0"/>
              <w:jc w:val="left"/>
            </w:pPr>
            <w:bookmarkStart w:id="9" w:name="PlaceCategoryParagraphs"/>
            <w:r>
              <w:t>4</w:t>
            </w:r>
            <w:r w:rsidR="005644D5">
              <w:t>1</w:t>
            </w:r>
            <w:bookmarkEnd w:id="9"/>
          </w:p>
        </w:tc>
      </w:tr>
      <w:tr w:rsidR="00653EB8" w:rsidTr="00517922">
        <w:tc>
          <w:tcPr>
            <w:tcW w:w="3085" w:type="dxa"/>
            <w:shd w:val="clear" w:color="auto" w:fill="auto"/>
          </w:tcPr>
          <w:p w:rsidR="00653EB8" w:rsidRDefault="00653EB8" w:rsidP="00517922">
            <w:pPr>
              <w:pStyle w:val="Normal1linespace"/>
              <w:widowControl w:val="0"/>
              <w:jc w:val="left"/>
            </w:pPr>
          </w:p>
        </w:tc>
        <w:tc>
          <w:tcPr>
            <w:tcW w:w="5989" w:type="dxa"/>
            <w:shd w:val="clear" w:color="auto" w:fill="auto"/>
          </w:tcPr>
          <w:p w:rsidR="00653EB8" w:rsidRDefault="00653EB8" w:rsidP="00653EB8">
            <w:pPr>
              <w:pStyle w:val="Normal1linespace"/>
              <w:widowControl w:val="0"/>
              <w:jc w:val="left"/>
            </w:pPr>
          </w:p>
        </w:tc>
      </w:tr>
      <w:tr w:rsidR="00653EB8" w:rsidTr="00517922">
        <w:tc>
          <w:tcPr>
            <w:tcW w:w="3085" w:type="dxa"/>
            <w:shd w:val="clear" w:color="auto" w:fill="auto"/>
          </w:tcPr>
          <w:p w:rsidR="00653EB8" w:rsidRDefault="00653EB8" w:rsidP="00964B50">
            <w:pPr>
              <w:pStyle w:val="Normal1linespace"/>
              <w:widowControl w:val="0"/>
              <w:jc w:val="left"/>
            </w:pPr>
            <w:bookmarkStart w:id="10" w:name="Counsel" w:colFirst="0" w:colLast="2"/>
            <w:r>
              <w:t>Counsel for the</w:t>
            </w:r>
            <w:r w:rsidR="001B234F">
              <w:t xml:space="preserve"> </w:t>
            </w:r>
            <w:r>
              <w:t>Appellant</w:t>
            </w:r>
            <w:r w:rsidR="00BA19A0">
              <w:t>s</w:t>
            </w:r>
            <w:r>
              <w:t>:</w:t>
            </w:r>
          </w:p>
        </w:tc>
        <w:tc>
          <w:tcPr>
            <w:tcW w:w="5989" w:type="dxa"/>
            <w:shd w:val="clear" w:color="auto" w:fill="auto"/>
          </w:tcPr>
          <w:p w:rsidR="00653EB8" w:rsidRDefault="00653EB8" w:rsidP="00653EB8">
            <w:pPr>
              <w:pStyle w:val="Normal1linespace"/>
              <w:widowControl w:val="0"/>
              <w:jc w:val="left"/>
            </w:pPr>
            <w:bookmarkStart w:id="11" w:name="AppCounsel"/>
            <w:bookmarkEnd w:id="11"/>
            <w:r>
              <w:t>G Foster</w:t>
            </w:r>
          </w:p>
        </w:tc>
      </w:tr>
      <w:tr w:rsidR="00653EB8" w:rsidTr="00653EB8">
        <w:tc>
          <w:tcPr>
            <w:tcW w:w="3085" w:type="dxa"/>
            <w:shd w:val="clear" w:color="auto" w:fill="auto"/>
          </w:tcPr>
          <w:p w:rsidR="00653EB8" w:rsidRDefault="00653EB8" w:rsidP="00653EB8">
            <w:pPr>
              <w:pStyle w:val="Normal1linespace"/>
              <w:widowControl w:val="0"/>
              <w:jc w:val="left"/>
            </w:pPr>
          </w:p>
        </w:tc>
        <w:tc>
          <w:tcPr>
            <w:tcW w:w="5989" w:type="dxa"/>
            <w:shd w:val="clear" w:color="auto" w:fill="auto"/>
          </w:tcPr>
          <w:p w:rsidR="00653EB8" w:rsidRDefault="00653EB8" w:rsidP="00653EB8">
            <w:pPr>
              <w:pStyle w:val="Normal1linespace"/>
              <w:widowControl w:val="0"/>
              <w:jc w:val="left"/>
            </w:pPr>
          </w:p>
        </w:tc>
      </w:tr>
      <w:tr w:rsidR="00653EB8" w:rsidTr="00517922">
        <w:tc>
          <w:tcPr>
            <w:tcW w:w="3085" w:type="dxa"/>
            <w:shd w:val="clear" w:color="auto" w:fill="auto"/>
          </w:tcPr>
          <w:p w:rsidR="00653EB8" w:rsidRDefault="00653EB8" w:rsidP="00964B50">
            <w:pPr>
              <w:pStyle w:val="Normal1linespace"/>
              <w:widowControl w:val="0"/>
              <w:jc w:val="left"/>
            </w:pPr>
            <w:r>
              <w:t>Solicitor for the Appel</w:t>
            </w:r>
            <w:r w:rsidR="00517922">
              <w:t>l</w:t>
            </w:r>
            <w:r>
              <w:t>ants:</w:t>
            </w:r>
          </w:p>
        </w:tc>
        <w:tc>
          <w:tcPr>
            <w:tcW w:w="5989" w:type="dxa"/>
            <w:shd w:val="clear" w:color="auto" w:fill="auto"/>
          </w:tcPr>
          <w:p w:rsidR="00653EB8" w:rsidRDefault="00653EB8" w:rsidP="00653EB8">
            <w:pPr>
              <w:pStyle w:val="Normal1linespace"/>
              <w:widowControl w:val="0"/>
              <w:jc w:val="left"/>
            </w:pPr>
            <w:r>
              <w:t>Sentil Solicitor &amp; Barrister</w:t>
            </w:r>
          </w:p>
        </w:tc>
      </w:tr>
      <w:tr w:rsidR="00653EB8" w:rsidTr="00653EB8">
        <w:tc>
          <w:tcPr>
            <w:tcW w:w="3085" w:type="dxa"/>
            <w:shd w:val="clear" w:color="auto" w:fill="auto"/>
          </w:tcPr>
          <w:p w:rsidR="00653EB8" w:rsidRDefault="00653EB8" w:rsidP="00653EB8">
            <w:pPr>
              <w:pStyle w:val="Normal1linespace"/>
              <w:widowControl w:val="0"/>
              <w:jc w:val="left"/>
            </w:pPr>
          </w:p>
        </w:tc>
        <w:tc>
          <w:tcPr>
            <w:tcW w:w="5989" w:type="dxa"/>
            <w:shd w:val="clear" w:color="auto" w:fill="auto"/>
          </w:tcPr>
          <w:p w:rsidR="00653EB8" w:rsidRDefault="00653EB8" w:rsidP="00653EB8">
            <w:pPr>
              <w:pStyle w:val="Normal1linespace"/>
              <w:widowControl w:val="0"/>
              <w:jc w:val="left"/>
            </w:pPr>
          </w:p>
        </w:tc>
      </w:tr>
      <w:tr w:rsidR="00653EB8" w:rsidTr="00517922">
        <w:tc>
          <w:tcPr>
            <w:tcW w:w="3085" w:type="dxa"/>
            <w:shd w:val="clear" w:color="auto" w:fill="auto"/>
          </w:tcPr>
          <w:p w:rsidR="00653EB8" w:rsidRDefault="00653EB8" w:rsidP="00653EB8">
            <w:pPr>
              <w:pStyle w:val="Normal1linespace"/>
              <w:widowControl w:val="0"/>
              <w:jc w:val="left"/>
            </w:pPr>
            <w:r>
              <w:t>Counsel for the First Respondent:</w:t>
            </w:r>
          </w:p>
        </w:tc>
        <w:tc>
          <w:tcPr>
            <w:tcW w:w="5989" w:type="dxa"/>
            <w:shd w:val="clear" w:color="auto" w:fill="auto"/>
          </w:tcPr>
          <w:p w:rsidR="00653EB8" w:rsidRDefault="00653EB8" w:rsidP="00653EB8">
            <w:pPr>
              <w:pStyle w:val="Normal1linespace"/>
              <w:widowControl w:val="0"/>
              <w:jc w:val="left"/>
            </w:pPr>
            <w:r>
              <w:t>T Liu</w:t>
            </w:r>
          </w:p>
        </w:tc>
      </w:tr>
      <w:tr w:rsidR="00653EB8" w:rsidTr="00653EB8">
        <w:tc>
          <w:tcPr>
            <w:tcW w:w="3085" w:type="dxa"/>
            <w:shd w:val="clear" w:color="auto" w:fill="auto"/>
          </w:tcPr>
          <w:p w:rsidR="00653EB8" w:rsidRDefault="00653EB8" w:rsidP="00653EB8">
            <w:pPr>
              <w:pStyle w:val="Normal1linespace"/>
              <w:widowControl w:val="0"/>
              <w:jc w:val="left"/>
            </w:pPr>
          </w:p>
        </w:tc>
        <w:tc>
          <w:tcPr>
            <w:tcW w:w="5989" w:type="dxa"/>
            <w:shd w:val="clear" w:color="auto" w:fill="auto"/>
          </w:tcPr>
          <w:p w:rsidR="00653EB8" w:rsidRDefault="00653EB8" w:rsidP="00653EB8">
            <w:pPr>
              <w:pStyle w:val="Normal1linespace"/>
              <w:widowControl w:val="0"/>
              <w:jc w:val="left"/>
            </w:pPr>
          </w:p>
        </w:tc>
      </w:tr>
      <w:tr w:rsidR="00653EB8" w:rsidTr="00653EB8">
        <w:tc>
          <w:tcPr>
            <w:tcW w:w="3085" w:type="dxa"/>
            <w:shd w:val="clear" w:color="auto" w:fill="auto"/>
          </w:tcPr>
          <w:p w:rsidR="00653EB8" w:rsidRDefault="00653EB8" w:rsidP="00653EB8">
            <w:pPr>
              <w:pStyle w:val="Normal1linespace"/>
              <w:widowControl w:val="0"/>
              <w:jc w:val="left"/>
            </w:pPr>
            <w:r>
              <w:t>Solicitor for the First Respondent:</w:t>
            </w:r>
          </w:p>
        </w:tc>
        <w:tc>
          <w:tcPr>
            <w:tcW w:w="5989" w:type="dxa"/>
            <w:shd w:val="clear" w:color="auto" w:fill="auto"/>
          </w:tcPr>
          <w:p w:rsidR="00653EB8" w:rsidRDefault="00653EB8" w:rsidP="00653EB8">
            <w:pPr>
              <w:pStyle w:val="Normal1linespace"/>
              <w:widowControl w:val="0"/>
              <w:jc w:val="left"/>
            </w:pPr>
            <w:r>
              <w:t>Clayton Utz</w:t>
            </w:r>
          </w:p>
        </w:tc>
      </w:tr>
      <w:tr w:rsidR="00653EB8" w:rsidTr="00653EB8">
        <w:tc>
          <w:tcPr>
            <w:tcW w:w="3085" w:type="dxa"/>
            <w:shd w:val="clear" w:color="auto" w:fill="auto"/>
          </w:tcPr>
          <w:p w:rsidR="00653EB8" w:rsidRDefault="00653EB8" w:rsidP="00653EB8">
            <w:pPr>
              <w:pStyle w:val="Normal1linespace"/>
              <w:widowControl w:val="0"/>
              <w:jc w:val="left"/>
            </w:pPr>
          </w:p>
        </w:tc>
        <w:tc>
          <w:tcPr>
            <w:tcW w:w="5989" w:type="dxa"/>
            <w:shd w:val="clear" w:color="auto" w:fill="auto"/>
          </w:tcPr>
          <w:p w:rsidR="00653EB8" w:rsidRDefault="00653EB8" w:rsidP="00653EB8">
            <w:pPr>
              <w:pStyle w:val="Normal1linespace"/>
              <w:widowControl w:val="0"/>
              <w:jc w:val="left"/>
            </w:pPr>
          </w:p>
        </w:tc>
      </w:tr>
      <w:tr w:rsidR="00653EB8" w:rsidTr="00653EB8">
        <w:tc>
          <w:tcPr>
            <w:tcW w:w="3085" w:type="dxa"/>
            <w:shd w:val="clear" w:color="auto" w:fill="auto"/>
          </w:tcPr>
          <w:p w:rsidR="00653EB8" w:rsidRDefault="00653EB8" w:rsidP="00653EB8">
            <w:pPr>
              <w:pStyle w:val="Normal1linespace"/>
              <w:widowControl w:val="0"/>
              <w:jc w:val="left"/>
            </w:pPr>
            <w:r>
              <w:t>Solicitor for the Second Respondent:</w:t>
            </w:r>
          </w:p>
        </w:tc>
        <w:tc>
          <w:tcPr>
            <w:tcW w:w="5989" w:type="dxa"/>
            <w:shd w:val="clear" w:color="auto" w:fill="auto"/>
          </w:tcPr>
          <w:p w:rsidR="00653EB8" w:rsidRDefault="002B79EE" w:rsidP="00653EB8">
            <w:pPr>
              <w:pStyle w:val="Normal1linespace"/>
              <w:widowControl w:val="0"/>
              <w:jc w:val="left"/>
            </w:pPr>
            <w:r>
              <w:t>The Second R</w:t>
            </w:r>
            <w:r w:rsidR="00653EB8">
              <w:t>espondent filed a submitting notice save as to costs</w:t>
            </w:r>
          </w:p>
        </w:tc>
      </w:tr>
      <w:bookmarkEnd w:id="6"/>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95171" w:rsidP="009901FF">
            <w:pPr>
              <w:pStyle w:val="NormalHeadings"/>
              <w:jc w:val="right"/>
            </w:pPr>
            <w:bookmarkStart w:id="12" w:name="FileNo"/>
            <w:r>
              <w:t xml:space="preserve">NSD </w:t>
            </w:r>
            <w:r w:rsidR="009901FF">
              <w:t>2014</w:t>
            </w:r>
            <w:r>
              <w:t xml:space="preserve"> of 2018</w:t>
            </w:r>
            <w:bookmarkEnd w:id="12"/>
          </w:p>
        </w:tc>
      </w:tr>
      <w:tr w:rsidR="00A76C13" w:rsidTr="00E7267F">
        <w:tc>
          <w:tcPr>
            <w:tcW w:w="9242" w:type="dxa"/>
            <w:gridSpan w:val="3"/>
          </w:tcPr>
          <w:p w:rsidR="00A76C13" w:rsidRPr="00A76C13" w:rsidRDefault="00B95171" w:rsidP="00B95171">
            <w:pPr>
              <w:pStyle w:val="NormalHeadings"/>
              <w:jc w:val="left"/>
            </w:pPr>
            <w:bookmarkStart w:id="13" w:name="InTheMatterOf"/>
            <w:r>
              <w:t xml:space="preserve"> </w:t>
            </w:r>
            <w:bookmarkEnd w:id="13"/>
          </w:p>
        </w:tc>
      </w:tr>
      <w:tr w:rsidR="00A46CCC" w:rsidTr="00E7267F">
        <w:trPr>
          <w:trHeight w:val="386"/>
        </w:trPr>
        <w:tc>
          <w:tcPr>
            <w:tcW w:w="2376" w:type="dxa"/>
          </w:tcPr>
          <w:p w:rsidR="00A46CCC" w:rsidRDefault="00A46CCC" w:rsidP="00E7267F">
            <w:pPr>
              <w:pStyle w:val="NormalHeadings"/>
              <w:jc w:val="left"/>
              <w:rPr>
                <w:caps/>
                <w:szCs w:val="24"/>
              </w:rPr>
            </w:pPr>
            <w:bookmarkStart w:id="14" w:name="Parties"/>
            <w:r>
              <w:rPr>
                <w:caps/>
                <w:szCs w:val="24"/>
              </w:rPr>
              <w:t>BETWEEN:</w:t>
            </w:r>
          </w:p>
        </w:tc>
        <w:tc>
          <w:tcPr>
            <w:tcW w:w="6866" w:type="dxa"/>
            <w:gridSpan w:val="2"/>
          </w:tcPr>
          <w:p w:rsidR="00B95171" w:rsidRDefault="009901FF" w:rsidP="00B95171">
            <w:pPr>
              <w:pStyle w:val="NormalHeadings"/>
              <w:jc w:val="left"/>
            </w:pPr>
            <w:bookmarkStart w:id="15" w:name="Applicant"/>
            <w:r>
              <w:t>CTG18</w:t>
            </w:r>
          </w:p>
          <w:p w:rsidR="00B95171" w:rsidRDefault="009901FF" w:rsidP="00B95171">
            <w:pPr>
              <w:pStyle w:val="PartyType"/>
            </w:pPr>
            <w:r>
              <w:t xml:space="preserve">First </w:t>
            </w:r>
            <w:r w:rsidR="00B95171">
              <w:t>Appellant</w:t>
            </w:r>
          </w:p>
          <w:p w:rsidR="009901FF" w:rsidRDefault="009901FF" w:rsidP="00B95171">
            <w:pPr>
              <w:pStyle w:val="PartyType"/>
            </w:pPr>
          </w:p>
          <w:p w:rsidR="009901FF" w:rsidRPr="009901FF" w:rsidRDefault="0043323A" w:rsidP="00B95171">
            <w:pPr>
              <w:pStyle w:val="PartyType"/>
              <w:rPr>
                <w:b/>
              </w:rPr>
            </w:pPr>
            <w:r>
              <w:rPr>
                <w:b/>
              </w:rPr>
              <w:t>C</w:t>
            </w:r>
            <w:r w:rsidR="009901FF" w:rsidRPr="009901FF">
              <w:rPr>
                <w:b/>
              </w:rPr>
              <w:t>TJ18</w:t>
            </w:r>
          </w:p>
          <w:p w:rsidR="009901FF" w:rsidRDefault="009901FF" w:rsidP="00B95171">
            <w:pPr>
              <w:pStyle w:val="PartyType"/>
            </w:pPr>
            <w:r>
              <w:t>Second Appellant</w:t>
            </w:r>
          </w:p>
          <w:bookmarkEnd w:id="15"/>
          <w:p w:rsidR="00A46CCC" w:rsidRPr="006555B4" w:rsidRDefault="00A46CCC" w:rsidP="00E7267F">
            <w:pPr>
              <w:pStyle w:val="NormalHeadings"/>
              <w:jc w:val="left"/>
            </w:pPr>
          </w:p>
        </w:tc>
      </w:tr>
      <w:tr w:rsidR="00A46CCC" w:rsidTr="00E7267F">
        <w:trPr>
          <w:trHeight w:val="386"/>
        </w:trPr>
        <w:tc>
          <w:tcPr>
            <w:tcW w:w="2376" w:type="dxa"/>
          </w:tcPr>
          <w:p w:rsidR="00A46CCC" w:rsidRDefault="00A46CCC" w:rsidP="00E7267F">
            <w:pPr>
              <w:pStyle w:val="NormalHeadings"/>
              <w:jc w:val="left"/>
              <w:rPr>
                <w:caps/>
                <w:szCs w:val="24"/>
              </w:rPr>
            </w:pPr>
            <w:r>
              <w:rPr>
                <w:caps/>
                <w:szCs w:val="24"/>
              </w:rPr>
              <w:t>AND:</w:t>
            </w:r>
          </w:p>
        </w:tc>
        <w:tc>
          <w:tcPr>
            <w:tcW w:w="6866" w:type="dxa"/>
            <w:gridSpan w:val="2"/>
          </w:tcPr>
          <w:p w:rsidR="00B95171" w:rsidRDefault="00B95171" w:rsidP="00B95171">
            <w:pPr>
              <w:pStyle w:val="NormalHeadings"/>
              <w:jc w:val="left"/>
            </w:pPr>
            <w:bookmarkStart w:id="16" w:name="Respondent"/>
            <w:r>
              <w:t>MINISTER FOR HOME AFFAIRS</w:t>
            </w:r>
          </w:p>
          <w:p w:rsidR="00B95171" w:rsidRDefault="00B95171" w:rsidP="00B95171">
            <w:pPr>
              <w:pStyle w:val="PartyType"/>
            </w:pPr>
            <w:r>
              <w:t>First Respondent</w:t>
            </w:r>
          </w:p>
          <w:p w:rsidR="00B95171" w:rsidRDefault="00B95171" w:rsidP="00E7267F">
            <w:pPr>
              <w:pStyle w:val="NormalHeadings"/>
              <w:jc w:val="left"/>
              <w:rPr>
                <w:szCs w:val="24"/>
              </w:rPr>
            </w:pPr>
          </w:p>
          <w:p w:rsidR="00B95171" w:rsidRDefault="00B95171" w:rsidP="00B95171">
            <w:pPr>
              <w:pStyle w:val="NormalHeadings"/>
              <w:jc w:val="left"/>
            </w:pPr>
            <w:r>
              <w:t>IMMIGRATION ASSESSMENT AUTHORITY</w:t>
            </w:r>
          </w:p>
          <w:p w:rsidR="00B95171" w:rsidRDefault="00B95171" w:rsidP="00B95171">
            <w:pPr>
              <w:pStyle w:val="PartyType"/>
            </w:pPr>
            <w:r>
              <w:t>Second Respondent</w:t>
            </w:r>
          </w:p>
          <w:bookmarkEnd w:id="16"/>
          <w:p w:rsidR="00A46CCC" w:rsidRPr="006555B4" w:rsidRDefault="00A46CCC" w:rsidP="00E7267F">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95171">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B95171">
            <w:pPr>
              <w:pStyle w:val="NormalHeadings"/>
              <w:jc w:val="left"/>
              <w:rPr>
                <w:caps/>
                <w:szCs w:val="24"/>
              </w:rPr>
            </w:pPr>
            <w:bookmarkStart w:id="19" w:name="Judge"/>
            <w:r>
              <w:rPr>
                <w:caps/>
                <w:szCs w:val="24"/>
              </w:rPr>
              <w:t>ABRAHAM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20F44">
            <w:pPr>
              <w:pStyle w:val="NormalHeadings"/>
              <w:jc w:val="left"/>
              <w:rPr>
                <w:caps/>
                <w:szCs w:val="24"/>
              </w:rPr>
            </w:pPr>
            <w:bookmarkStart w:id="20" w:name="Judgment_Dated"/>
            <w:r>
              <w:rPr>
                <w:caps/>
                <w:szCs w:val="24"/>
              </w:rPr>
              <w:t>6 september 2019</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9D282C" w:rsidRDefault="009D282C" w:rsidP="009D282C">
      <w:pPr>
        <w:pStyle w:val="Order1"/>
      </w:pPr>
      <w:bookmarkStart w:id="21" w:name="Order_Start_Text"/>
      <w:bookmarkEnd w:id="21"/>
      <w:r>
        <w:t xml:space="preserve">The appeal be </w:t>
      </w:r>
      <w:r w:rsidR="002B79EE">
        <w:t>dismissed</w:t>
      </w:r>
      <w:r>
        <w:t xml:space="preserve">.  </w:t>
      </w:r>
    </w:p>
    <w:p w:rsidR="009D282C" w:rsidRPr="009D282C" w:rsidRDefault="009D282C" w:rsidP="009D282C">
      <w:pPr>
        <w:pStyle w:val="Order1"/>
      </w:pPr>
      <w:r w:rsidRPr="009D282C">
        <w:t xml:space="preserve">The </w:t>
      </w:r>
      <w:r w:rsidR="002B79EE">
        <w:t>first and second appellants to</w:t>
      </w:r>
      <w:r w:rsidRPr="009D282C">
        <w:t xml:space="preserve"> pay the costs of the </w:t>
      </w:r>
      <w:r w:rsidR="002B79EE">
        <w:t>first respondent</w:t>
      </w:r>
      <w:r w:rsidRPr="009D282C">
        <w:t xml:space="preserve"> to be agreed or taxed. </w:t>
      </w:r>
    </w:p>
    <w:p w:rsidR="00395B24" w:rsidRDefault="00395B24" w:rsidP="009D282C">
      <w:pPr>
        <w:pStyle w:val="Order1"/>
        <w:numPr>
          <w:ilvl w:val="0"/>
          <w:numId w:val="0"/>
        </w:numPr>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B95171" w:rsidP="005E0510">
      <w:pPr>
        <w:pStyle w:val="NormalHeadings"/>
        <w:spacing w:line="360" w:lineRule="auto"/>
        <w:jc w:val="left"/>
        <w:rPr>
          <w:sz w:val="26"/>
          <w:szCs w:val="26"/>
        </w:rPr>
      </w:pPr>
      <w:r>
        <w:rPr>
          <w:sz w:val="26"/>
          <w:szCs w:val="26"/>
        </w:rPr>
        <w:t>ABRAHAM J</w:t>
      </w:r>
      <w:r w:rsidR="00484F6D" w:rsidRPr="00EA03CE">
        <w:rPr>
          <w:sz w:val="26"/>
          <w:szCs w:val="26"/>
        </w:rPr>
        <w:t>:</w:t>
      </w:r>
    </w:p>
    <w:p w:rsidR="00D52B64" w:rsidRPr="00653EB8" w:rsidRDefault="00D52B64" w:rsidP="009D282C">
      <w:pPr>
        <w:pStyle w:val="ParaNumbering"/>
      </w:pPr>
      <w:r w:rsidRPr="00D31B60">
        <w:t xml:space="preserve">This is an appeal from an order made by the Federal </w:t>
      </w:r>
      <w:r w:rsidR="0084745B">
        <w:t>Circuit Court of Australia on 31</w:t>
      </w:r>
      <w:r w:rsidRPr="00D31B60">
        <w:t xml:space="preserve"> </w:t>
      </w:r>
      <w:r w:rsidR="0084745B">
        <w:t>October</w:t>
      </w:r>
      <w:r w:rsidRPr="00D31B60">
        <w:t xml:space="preserve"> 2018 dismissing an application for judicial review of a decision of the Immigratio</w:t>
      </w:r>
      <w:r>
        <w:t xml:space="preserve">n Assessment Authority (the Authority) made on </w:t>
      </w:r>
      <w:r w:rsidR="009D282C">
        <w:t>14 May 2018</w:t>
      </w:r>
      <w:r w:rsidR="0084745B">
        <w:t>, which</w:t>
      </w:r>
      <w:r>
        <w:t xml:space="preserve"> affirm</w:t>
      </w:r>
      <w:r w:rsidR="0084745B">
        <w:t xml:space="preserve">ed </w:t>
      </w:r>
      <w:r w:rsidRPr="00D31B60">
        <w:t>the decision of the Minister’s delegate to refuse</w:t>
      </w:r>
      <w:r w:rsidR="00C83CF7">
        <w:t xml:space="preserve"> the grant of</w:t>
      </w:r>
      <w:r>
        <w:t xml:space="preserve"> </w:t>
      </w:r>
      <w:r w:rsidR="00811872">
        <w:t xml:space="preserve">a </w:t>
      </w:r>
      <w:r w:rsidR="00C83CF7">
        <w:t>Safe Haven Enterprise Visa (SHEV)</w:t>
      </w:r>
      <w:r w:rsidR="009D282C">
        <w:t xml:space="preserve"> to the </w:t>
      </w:r>
      <w:r w:rsidR="00345E6F">
        <w:t>f</w:t>
      </w:r>
      <w:r w:rsidR="009D282C">
        <w:t xml:space="preserve">irst and </w:t>
      </w:r>
      <w:r w:rsidR="00345E6F">
        <w:t>s</w:t>
      </w:r>
      <w:r w:rsidR="009D282C">
        <w:t xml:space="preserve">econd </w:t>
      </w:r>
      <w:r w:rsidR="00345E6F">
        <w:t>a</w:t>
      </w:r>
      <w:r w:rsidR="009D282C">
        <w:t>ppellant</w:t>
      </w:r>
      <w:r w:rsidR="00C83CF7">
        <w:t>s</w:t>
      </w:r>
      <w:r w:rsidR="009D282C">
        <w:t xml:space="preserve"> (the </w:t>
      </w:r>
      <w:r w:rsidR="00345E6F">
        <w:t>a</w:t>
      </w:r>
      <w:r w:rsidR="009D282C">
        <w:t>ppellants): see</w:t>
      </w:r>
      <w:r w:rsidR="009D282C" w:rsidRPr="009D282C">
        <w:t xml:space="preserve"> </w:t>
      </w:r>
      <w:r w:rsidR="009D282C" w:rsidRPr="009D282C">
        <w:rPr>
          <w:i/>
        </w:rPr>
        <w:t xml:space="preserve">CTG18 &amp; Anor v Minister for Home Affairs &amp; Anor </w:t>
      </w:r>
      <w:r w:rsidR="009D282C" w:rsidRPr="0074436E">
        <w:t xml:space="preserve">[2018] </w:t>
      </w:r>
      <w:r w:rsidR="009D282C" w:rsidRPr="00653EB8">
        <w:t xml:space="preserve">FCCA 3313. </w:t>
      </w:r>
    </w:p>
    <w:p w:rsidR="00D52B64" w:rsidRPr="00CB05CB" w:rsidRDefault="00D52B64" w:rsidP="00D52B64">
      <w:pPr>
        <w:pStyle w:val="ParaNumbering"/>
        <w:numPr>
          <w:ilvl w:val="0"/>
          <w:numId w:val="0"/>
        </w:numPr>
        <w:rPr>
          <w:b/>
        </w:rPr>
      </w:pPr>
      <w:r w:rsidRPr="00CB05CB">
        <w:rPr>
          <w:b/>
        </w:rPr>
        <w:t>Background</w:t>
      </w:r>
    </w:p>
    <w:p w:rsidR="00C83CF7" w:rsidRDefault="00C83CF7" w:rsidP="00C87EC2">
      <w:pPr>
        <w:pStyle w:val="ParaNumbering"/>
      </w:pPr>
      <w:r>
        <w:t xml:space="preserve">The </w:t>
      </w:r>
      <w:r w:rsidR="001201DA">
        <w:t>a</w:t>
      </w:r>
      <w:r>
        <w:t xml:space="preserve">ppellants are husband and wife and are citizens of Sri Lanka. </w:t>
      </w:r>
      <w:r w:rsidRPr="00747295">
        <w:t>They arrived in Australia as unauthorised maritime arrival</w:t>
      </w:r>
      <w:r w:rsidR="00B45C44" w:rsidRPr="00747295">
        <w:t>s</w:t>
      </w:r>
      <w:r w:rsidRPr="00747295">
        <w:t xml:space="preserve"> on 3 November 2012</w:t>
      </w:r>
      <w:r>
        <w:t>. On 14 March 2017</w:t>
      </w:r>
      <w:r w:rsidR="00D628D6">
        <w:t>,</w:t>
      </w:r>
      <w:r>
        <w:t xml:space="preserve"> the </w:t>
      </w:r>
      <w:r w:rsidR="001201DA">
        <w:t>a</w:t>
      </w:r>
      <w:r>
        <w:t xml:space="preserve">ppellants lodged an application for a protection visa. On 12 September 2017, the Minister’s delegate refused the application and the matter was referred to the Authority for review pursuant to Part 7AA of the </w:t>
      </w:r>
      <w:r w:rsidRPr="00C83CF7">
        <w:rPr>
          <w:i/>
        </w:rPr>
        <w:t>Migration Act 1958</w:t>
      </w:r>
      <w:r>
        <w:t xml:space="preserve"> (Cth) (Migration Act). </w:t>
      </w:r>
    </w:p>
    <w:p w:rsidR="0047499B" w:rsidRPr="00C83CF7" w:rsidRDefault="000D1F13" w:rsidP="00C83CF7">
      <w:pPr>
        <w:pStyle w:val="ParaNumbering"/>
      </w:pPr>
      <w:r>
        <w:t xml:space="preserve">For the reasons below the grounds of appeal are not established. </w:t>
      </w:r>
    </w:p>
    <w:p w:rsidR="00C83CF7" w:rsidRPr="00653EB8" w:rsidRDefault="00C83CF7" w:rsidP="00C83CF7">
      <w:pPr>
        <w:pStyle w:val="ParaNumbering"/>
        <w:numPr>
          <w:ilvl w:val="0"/>
          <w:numId w:val="0"/>
        </w:numPr>
        <w:rPr>
          <w:b/>
        </w:rPr>
      </w:pPr>
      <w:r w:rsidRPr="00653EB8">
        <w:rPr>
          <w:b/>
        </w:rPr>
        <w:t>The Authority</w:t>
      </w:r>
    </w:p>
    <w:p w:rsidR="00AD0C36" w:rsidRDefault="0047499B" w:rsidP="00AD0C36">
      <w:pPr>
        <w:pStyle w:val="ParaNumbering"/>
      </w:pPr>
      <w:r>
        <w:t>The basis of the appellants</w:t>
      </w:r>
      <w:r w:rsidR="001F0A81">
        <w:t>’</w:t>
      </w:r>
      <w:r>
        <w:t xml:space="preserve"> </w:t>
      </w:r>
      <w:r w:rsidR="00AD0C36">
        <w:t xml:space="preserve">claim in support of a protection visa are summarised in the reasons of the Authority as follows: </w:t>
      </w:r>
    </w:p>
    <w:p w:rsidR="00DE500A" w:rsidRDefault="0037270C" w:rsidP="00517922">
      <w:pPr>
        <w:pStyle w:val="Quote1"/>
      </w:pPr>
      <w:r>
        <w:t xml:space="preserve">  </w:t>
      </w:r>
      <w:r w:rsidR="00DE500A" w:rsidRPr="00DE500A">
        <w:t>Applicant 1’s claims can be summarised as follows:</w:t>
      </w:r>
    </w:p>
    <w:p w:rsidR="00DE500A" w:rsidRDefault="00DE500A" w:rsidP="00517922">
      <w:pPr>
        <w:pStyle w:val="Quote1Bullet"/>
      </w:pPr>
      <w:r w:rsidRPr="00DE500A">
        <w:t>He never had any involvement with the LTTE. However,</w:t>
      </w:r>
      <w:r>
        <w:t xml:space="preserve"> as he and other fishermen used </w:t>
      </w:r>
      <w:r w:rsidRPr="00DE500A">
        <w:t>to fish in the Vanni, he was accused of being an LTTE member and providing them with</w:t>
      </w:r>
      <w:r>
        <w:t xml:space="preserve"> </w:t>
      </w:r>
      <w:r w:rsidRPr="00DE500A">
        <w:t>assistance.</w:t>
      </w:r>
    </w:p>
    <w:p w:rsidR="00DE500A" w:rsidRDefault="00DE500A" w:rsidP="00517922">
      <w:pPr>
        <w:pStyle w:val="Quote1Bullet"/>
      </w:pPr>
      <w:r w:rsidRPr="00DE500A">
        <w:t>Because of those allegations, they started having pr</w:t>
      </w:r>
      <w:r>
        <w:t xml:space="preserve">oblems with the Sri Lankan Navy </w:t>
      </w:r>
      <w:r w:rsidRPr="00DE500A">
        <w:t>(SLN). They would burn their fishing boats, beaten and kidnap Tamils.</w:t>
      </w:r>
    </w:p>
    <w:p w:rsidR="00DE500A" w:rsidRDefault="00DE500A" w:rsidP="00517922">
      <w:pPr>
        <w:pStyle w:val="Quote1Bullet"/>
      </w:pPr>
      <w:r w:rsidRPr="00DE500A">
        <w:t>On one occasion, he witnessed the SLN set fire to a b</w:t>
      </w:r>
      <w:r>
        <w:t xml:space="preserve">oat and he saw people he worked </w:t>
      </w:r>
      <w:r w:rsidRPr="00DE500A">
        <w:t>with burnt alive. He escaped with a beating.</w:t>
      </w:r>
    </w:p>
    <w:p w:rsidR="00DE500A" w:rsidRDefault="00DE500A" w:rsidP="00517922">
      <w:pPr>
        <w:pStyle w:val="Quote1Bullet"/>
      </w:pPr>
      <w:r w:rsidRPr="00DE500A">
        <w:t>Following this incident, he went to India in Ma</w:t>
      </w:r>
      <w:r>
        <w:t xml:space="preserve">y 2008 and worked as a painter. </w:t>
      </w:r>
      <w:r w:rsidRPr="00DE500A">
        <w:t>Approximately two months after arriving, the Indian CID questioned him regarding his</w:t>
      </w:r>
      <w:r>
        <w:t xml:space="preserve"> </w:t>
      </w:r>
      <w:r w:rsidRPr="00DE500A">
        <w:t>LTTE links and on 19 July 2008 was arrested. The Indian CID alleged he helped smuggle</w:t>
      </w:r>
      <w:r>
        <w:t xml:space="preserve"> </w:t>
      </w:r>
      <w:r w:rsidRPr="00DE500A">
        <w:t>engines to Sri Lanka for the LTTE.</w:t>
      </w:r>
    </w:p>
    <w:p w:rsidR="00DE500A" w:rsidRDefault="00DE500A" w:rsidP="00517922">
      <w:pPr>
        <w:pStyle w:val="Quote1Bullet"/>
      </w:pPr>
      <w:r w:rsidRPr="00DE500A">
        <w:t>In the days following his arrest, his name was publishe</w:t>
      </w:r>
      <w:r>
        <w:t xml:space="preserve">d in both Indian and Sri Lankan </w:t>
      </w:r>
      <w:r w:rsidRPr="00DE500A">
        <w:t>newspapers and television alleging he was a member of the LTTE. As a result, the Sri</w:t>
      </w:r>
      <w:r>
        <w:t xml:space="preserve"> </w:t>
      </w:r>
      <w:r w:rsidRPr="00DE500A">
        <w:t>Lankan CID visited his wife at their home in Sri Lanka and told her that if the applicant</w:t>
      </w:r>
      <w:r>
        <w:t xml:space="preserve"> </w:t>
      </w:r>
      <w:r w:rsidRPr="00DE500A">
        <w:t xml:space="preserve">were to return to Sri Lanka, they would kill him </w:t>
      </w:r>
      <w:r w:rsidRPr="00DE500A">
        <w:lastRenderedPageBreak/>
        <w:t>and put his head out the front of their</w:t>
      </w:r>
      <w:r>
        <w:t xml:space="preserve"> </w:t>
      </w:r>
      <w:r w:rsidRPr="00DE500A">
        <w:t>house.</w:t>
      </w:r>
    </w:p>
    <w:p w:rsidR="00DE500A" w:rsidRDefault="00DE500A" w:rsidP="00517922">
      <w:pPr>
        <w:pStyle w:val="Quote1Bullet"/>
      </w:pPr>
      <w:r w:rsidRPr="00DE500A">
        <w:t>He spent three years in custody, two of which were spen</w:t>
      </w:r>
      <w:r>
        <w:t xml:space="preserve">t in prison and then a CID camp </w:t>
      </w:r>
      <w:r w:rsidRPr="00DE500A">
        <w:t>for one year where he was continuously interrogated about his alleged links to the LTTE.</w:t>
      </w:r>
    </w:p>
    <w:p w:rsidR="00DE500A" w:rsidRDefault="00DE500A" w:rsidP="00517922">
      <w:pPr>
        <w:pStyle w:val="Quote1Bullet"/>
      </w:pPr>
      <w:r w:rsidRPr="00DE500A">
        <w:t>He returned to Sri Lanka in March 2012. He suffered a wor</w:t>
      </w:r>
      <w:r>
        <w:t xml:space="preserve">k injury and while in hospital, </w:t>
      </w:r>
      <w:r w:rsidRPr="00DE500A">
        <w:t>the SLN CID went to his home in search of him and beat his wife.</w:t>
      </w:r>
    </w:p>
    <w:p w:rsidR="00DE500A" w:rsidRDefault="00DE500A" w:rsidP="00517922">
      <w:pPr>
        <w:pStyle w:val="Quote1Bullet"/>
      </w:pPr>
      <w:r w:rsidRPr="00DE500A">
        <w:t>Several months later, he was near the bus stop in town a</w:t>
      </w:r>
      <w:r>
        <w:t xml:space="preserve">nd was kidnapped by members </w:t>
      </w:r>
      <w:r w:rsidRPr="00DE500A">
        <w:t>of the ‘white van’ network. There were lots of Tamil people around who blocked the</w:t>
      </w:r>
      <w:r>
        <w:t xml:space="preserve"> </w:t>
      </w:r>
      <w:r w:rsidRPr="00DE500A">
        <w:t>van. He was beaten and thrown out of the van. They threatened they would kill him.</w:t>
      </w:r>
      <w:r>
        <w:t xml:space="preserve"> </w:t>
      </w:r>
      <w:r w:rsidRPr="00DE500A">
        <w:t>As a result of this incident, the applicant and his wife decided to leave Sri Lanka.</w:t>
      </w:r>
    </w:p>
    <w:p w:rsidR="00DE500A" w:rsidRDefault="00DE500A" w:rsidP="00517922">
      <w:pPr>
        <w:pStyle w:val="Quote1Bullet"/>
      </w:pPr>
      <w:r w:rsidRPr="00DE500A">
        <w:t>He heard in 2016 that a fisherman friend of his was ca</w:t>
      </w:r>
      <w:r>
        <w:t xml:space="preserve">ptured and killed by members of </w:t>
      </w:r>
      <w:r w:rsidRPr="00DE500A">
        <w:t>the SLN CID. His arms, legs and head were cut off. He fears he will suffer the same fate.</w:t>
      </w:r>
    </w:p>
    <w:p w:rsidR="00DE500A" w:rsidRDefault="00DE500A" w:rsidP="00517922">
      <w:pPr>
        <w:pStyle w:val="Quote1Bullet"/>
      </w:pPr>
      <w:r w:rsidRPr="00DE500A">
        <w:t>Members of the SLN CID have visited his mother sever</w:t>
      </w:r>
      <w:r>
        <w:t xml:space="preserve">al times asking where he is and </w:t>
      </w:r>
      <w:r w:rsidRPr="00DE500A">
        <w:t>whether she has seen him. They have found out he is now in Australia.</w:t>
      </w:r>
    </w:p>
    <w:p w:rsidR="00DE500A" w:rsidRDefault="00DE500A" w:rsidP="00517922">
      <w:pPr>
        <w:pStyle w:val="Quote1Bullet"/>
      </w:pPr>
      <w:r w:rsidRPr="00DE500A">
        <w:t>They were affected by the Department’s data breach in 2014.</w:t>
      </w:r>
    </w:p>
    <w:p w:rsidR="00DE500A" w:rsidRDefault="00DE500A" w:rsidP="00517922">
      <w:pPr>
        <w:pStyle w:val="Quote1"/>
      </w:pPr>
      <w:r>
        <w:t xml:space="preserve"> </w:t>
      </w:r>
      <w:r w:rsidRPr="00DE500A">
        <w:t>Applicant 2’s claims can be summarised as follows:</w:t>
      </w:r>
    </w:p>
    <w:p w:rsidR="00DE500A" w:rsidRDefault="00DE500A" w:rsidP="00517922">
      <w:pPr>
        <w:pStyle w:val="Quote1Bullet"/>
      </w:pPr>
      <w:r w:rsidRPr="00DE500A">
        <w:t xml:space="preserve">She fears the Sri Lankan authorities on account of </w:t>
      </w:r>
      <w:r>
        <w:t xml:space="preserve">her husband’s imputed political </w:t>
      </w:r>
      <w:r w:rsidRPr="00DE500A">
        <w:t>opinion following his detention in India.</w:t>
      </w:r>
    </w:p>
    <w:p w:rsidR="00DE500A" w:rsidRDefault="00DE500A" w:rsidP="00517922">
      <w:pPr>
        <w:pStyle w:val="Quote1Bullet"/>
      </w:pPr>
      <w:r w:rsidRPr="00DE500A">
        <w:t>She was visited by the CID in 2008 following her</w:t>
      </w:r>
      <w:r>
        <w:t xml:space="preserve"> husband’s arrest and shown the </w:t>
      </w:r>
      <w:r w:rsidRPr="00DE500A">
        <w:t>newspaper articles related to the case against him. The CID threatened that if her</w:t>
      </w:r>
      <w:r>
        <w:t xml:space="preserve"> </w:t>
      </w:r>
      <w:r w:rsidRPr="00DE500A">
        <w:t>husband returned to Sri Lanka, they would cut off his head and hang it outside their</w:t>
      </w:r>
      <w:r>
        <w:t xml:space="preserve"> </w:t>
      </w:r>
      <w:r w:rsidRPr="00DE500A">
        <w:t>home.</w:t>
      </w:r>
    </w:p>
    <w:p w:rsidR="00DE500A" w:rsidRDefault="00DE500A" w:rsidP="00517922">
      <w:pPr>
        <w:pStyle w:val="Quote1Bullet"/>
      </w:pPr>
      <w:r w:rsidRPr="00DE500A">
        <w:t>Shortly after her husband’s return in March</w:t>
      </w:r>
      <w:r>
        <w:t xml:space="preserve"> 2012, the CID came again. They </w:t>
      </w:r>
      <w:r w:rsidRPr="00DE500A">
        <w:t>interviewed her and her husband with the help of her father interpreting as he speaks</w:t>
      </w:r>
      <w:r>
        <w:t xml:space="preserve"> </w:t>
      </w:r>
      <w:r w:rsidRPr="00DE500A">
        <w:t>Tamil and Sinhalese. They were asking about her husband’s movements. After that</w:t>
      </w:r>
      <w:r>
        <w:t xml:space="preserve"> </w:t>
      </w:r>
      <w:r w:rsidRPr="00DE500A">
        <w:t>interview, they started to harass them; they were searching for her husband.</w:t>
      </w:r>
    </w:p>
    <w:p w:rsidR="00DE500A" w:rsidRDefault="00DE500A" w:rsidP="00517922">
      <w:pPr>
        <w:pStyle w:val="Quote1Bullet"/>
      </w:pPr>
      <w:r w:rsidRPr="00DE500A">
        <w:t>The Sri Lankan authorities came in search of him when</w:t>
      </w:r>
      <w:r>
        <w:t xml:space="preserve"> he was in hospital. They asked </w:t>
      </w:r>
      <w:r w:rsidRPr="00DE500A">
        <w:t>where he was, assaulted her and kept her detained in the room. They beat her and she</w:t>
      </w:r>
      <w:r>
        <w:t xml:space="preserve"> </w:t>
      </w:r>
      <w:r w:rsidRPr="00DE500A">
        <w:t>suffered swelling to her neck, ribs and back. They told her that if she was hiding her</w:t>
      </w:r>
      <w:r>
        <w:t xml:space="preserve"> </w:t>
      </w:r>
      <w:r w:rsidRPr="00DE500A">
        <w:t>husband, they would take the whole family. They told her if he comes back, she was to</w:t>
      </w:r>
      <w:r>
        <w:t xml:space="preserve"> </w:t>
      </w:r>
      <w:r w:rsidRPr="00DE500A">
        <w:t>take him to their camp and if she didn’t, they would take the family.</w:t>
      </w:r>
    </w:p>
    <w:p w:rsidR="00DE500A" w:rsidRDefault="00DE500A" w:rsidP="00517922">
      <w:pPr>
        <w:pStyle w:val="Quote1Bullet"/>
      </w:pPr>
      <w:r w:rsidRPr="00DE500A">
        <w:t>In July 2012 they tried to kidnap her husband in a w</w:t>
      </w:r>
      <w:r>
        <w:t xml:space="preserve">hite van. Members of the public </w:t>
      </w:r>
      <w:r w:rsidRPr="00DE500A">
        <w:t>intervened and stopped it. As a result of this incident, they left in fear. For a while they</w:t>
      </w:r>
      <w:r>
        <w:t xml:space="preserve"> </w:t>
      </w:r>
      <w:r w:rsidRPr="00DE500A">
        <w:t>were hiding out. The CID were searching for them. They searched everywhere for them</w:t>
      </w:r>
      <w:r>
        <w:t xml:space="preserve"> </w:t>
      </w:r>
      <w:r w:rsidRPr="00DE500A">
        <w:t>and were asking different family members if they knew where they were.</w:t>
      </w:r>
    </w:p>
    <w:p w:rsidR="00B85E93" w:rsidRDefault="00B85E93" w:rsidP="00517922">
      <w:pPr>
        <w:pStyle w:val="Quote1Bullet"/>
      </w:pPr>
      <w:r w:rsidRPr="00B85E93">
        <w:t>Since they left, the authorities have been to her uncle’s</w:t>
      </w:r>
      <w:r>
        <w:t xml:space="preserve"> house looking for her husband. </w:t>
      </w:r>
      <w:r w:rsidRPr="00B85E93">
        <w:t>Her uncle told the CID her husband wasn’t there.</w:t>
      </w:r>
    </w:p>
    <w:p w:rsidR="0047499B" w:rsidRPr="006D5EAE" w:rsidRDefault="0047499B" w:rsidP="0047499B">
      <w:pPr>
        <w:pStyle w:val="ParaNumbering"/>
      </w:pPr>
      <w:r w:rsidRPr="0047499B">
        <w:lastRenderedPageBreak/>
        <w:t xml:space="preserve">The appellants </w:t>
      </w:r>
      <w:r>
        <w:t xml:space="preserve">put new material before the Authority in </w:t>
      </w:r>
      <w:r w:rsidR="002E2EB5">
        <w:t xml:space="preserve">the form of a </w:t>
      </w:r>
      <w:r w:rsidR="00E7267F">
        <w:t xml:space="preserve">submission </w:t>
      </w:r>
      <w:r w:rsidR="002E2EB5">
        <w:t xml:space="preserve">which raised five new claims relating to the involvement of the </w:t>
      </w:r>
      <w:r w:rsidR="00F3453E">
        <w:t xml:space="preserve">first </w:t>
      </w:r>
      <w:r w:rsidR="00BC4E1D">
        <w:t>appellant</w:t>
      </w:r>
      <w:r w:rsidR="00F238EE">
        <w:t>,</w:t>
      </w:r>
      <w:r w:rsidR="00BC4E1D">
        <w:t xml:space="preserve"> </w:t>
      </w:r>
      <w:r w:rsidR="002E2EB5">
        <w:t>CTG18</w:t>
      </w:r>
      <w:r w:rsidR="00F238EE">
        <w:t>,</w:t>
      </w:r>
      <w:r w:rsidR="002E2EB5">
        <w:t xml:space="preserve"> with the Liberation Tigers of </w:t>
      </w:r>
      <w:r w:rsidR="002E2EB5" w:rsidRPr="006D5EAE">
        <w:t>Tamil Eelam (LTTE), which are accurately described in the Authority’s reasons as follows:</w:t>
      </w:r>
    </w:p>
    <w:p w:rsidR="00DA5826" w:rsidRPr="006D5EAE" w:rsidRDefault="00DA5826" w:rsidP="00D435EE">
      <w:pPr>
        <w:pStyle w:val="ListNo1"/>
      </w:pPr>
      <w:r w:rsidRPr="00660101">
        <w:t>CTG18 travel</w:t>
      </w:r>
      <w:r w:rsidR="006D5EAE" w:rsidRPr="0037270C">
        <w:t>led</w:t>
      </w:r>
      <w:r w:rsidRPr="006D5EAE">
        <w:t xml:space="preserve"> to India in order to work for the LTTE;</w:t>
      </w:r>
    </w:p>
    <w:p w:rsidR="00DA5826" w:rsidRPr="006D5EAE" w:rsidRDefault="006D5EAE" w:rsidP="00D435EE">
      <w:pPr>
        <w:pStyle w:val="ListNo1"/>
      </w:pPr>
      <w:r w:rsidRPr="0037270C">
        <w:t xml:space="preserve">CTG18 </w:t>
      </w:r>
      <w:r w:rsidR="00DA5826" w:rsidRPr="006D5EAE">
        <w:t>smuggled boat engines for the LTTE and was caught red-handed b</w:t>
      </w:r>
      <w:r w:rsidR="00DA5826" w:rsidRPr="00660101">
        <w:t>y the Indian authorities;</w:t>
      </w:r>
    </w:p>
    <w:p w:rsidR="00DA5826" w:rsidRPr="006D5EAE" w:rsidRDefault="00DA5826" w:rsidP="00D435EE">
      <w:pPr>
        <w:pStyle w:val="ListNo1"/>
      </w:pPr>
      <w:r w:rsidRPr="006D5EAE">
        <w:t xml:space="preserve">the Sri Lankan Criminal Investigation Department (CID) knew he </w:t>
      </w:r>
      <w:r w:rsidR="006D5EAE" w:rsidRPr="006D5EAE">
        <w:t xml:space="preserve">had </w:t>
      </w:r>
      <w:r w:rsidRPr="006D5EAE">
        <w:t>smuggled engines on behalf of the LTTE, so he will be detained for longer on his return to Sri Lanka and subjected to physical harm;</w:t>
      </w:r>
    </w:p>
    <w:p w:rsidR="00DA5826" w:rsidRPr="006D5EAE" w:rsidRDefault="00DA5826" w:rsidP="00D435EE">
      <w:pPr>
        <w:pStyle w:val="ListNo1"/>
      </w:pPr>
      <w:r w:rsidRPr="006D5EAE">
        <w:t xml:space="preserve">the CID was still looking for him to harm him; and </w:t>
      </w:r>
    </w:p>
    <w:p w:rsidR="00DA5826" w:rsidRPr="006D5EAE" w:rsidRDefault="00DA5826" w:rsidP="00D435EE">
      <w:pPr>
        <w:pStyle w:val="ListNo1"/>
      </w:pPr>
      <w:r w:rsidRPr="006D5EAE">
        <w:t xml:space="preserve">as he obtained a passport to travel to India through a Sinhalese person he does not know </w:t>
      </w:r>
      <w:r w:rsidR="006D5EAE" w:rsidRPr="0037270C">
        <w:t xml:space="preserve">if </w:t>
      </w:r>
      <w:r w:rsidRPr="006D5EAE">
        <w:t>the passport is genuine or not.</w:t>
      </w:r>
    </w:p>
    <w:p w:rsidR="0047499B" w:rsidRDefault="00EA0198" w:rsidP="00EA0198">
      <w:pPr>
        <w:pStyle w:val="ParaNumbering"/>
      </w:pPr>
      <w:r w:rsidRPr="00747295">
        <w:t xml:space="preserve">The new information related to </w:t>
      </w:r>
      <w:r w:rsidR="00F3453E">
        <w:t xml:space="preserve">the first </w:t>
      </w:r>
      <w:r w:rsidR="00BC4E1D">
        <w:t>appellant</w:t>
      </w:r>
      <w:r w:rsidR="00BC4E1D" w:rsidRPr="00747295">
        <w:t xml:space="preserve"> </w:t>
      </w:r>
      <w:r w:rsidRPr="00747295">
        <w:t>CT</w:t>
      </w:r>
      <w:r w:rsidR="00660101">
        <w:t>G</w:t>
      </w:r>
      <w:r w:rsidR="0037270C">
        <w:t xml:space="preserve">18 </w:t>
      </w:r>
      <w:r w:rsidR="0037270C" w:rsidRPr="006F5512">
        <w:t xml:space="preserve">but </w:t>
      </w:r>
      <w:r w:rsidRPr="006F5512">
        <w:t>was</w:t>
      </w:r>
      <w:r w:rsidRPr="00747295">
        <w:t xml:space="preserve"> said to have an impact on the position of his wife, </w:t>
      </w:r>
      <w:r w:rsidR="00F3453E">
        <w:t xml:space="preserve">the second </w:t>
      </w:r>
      <w:r w:rsidR="00BC4E1D">
        <w:t>appellant</w:t>
      </w:r>
      <w:r w:rsidRPr="00747295">
        <w:t xml:space="preserve"> CTJ18. </w:t>
      </w:r>
    </w:p>
    <w:p w:rsidR="0037270C" w:rsidRPr="00747295" w:rsidRDefault="0037270C" w:rsidP="00EA0198">
      <w:pPr>
        <w:pStyle w:val="ParaNumbering"/>
      </w:pPr>
      <w:r>
        <w:t xml:space="preserve">In that </w:t>
      </w:r>
      <w:r w:rsidRPr="006F5512">
        <w:t>submission</w:t>
      </w:r>
      <w:r w:rsidR="00F238EE">
        <w:t>,</w:t>
      </w:r>
      <w:r>
        <w:t xml:space="preserve"> </w:t>
      </w:r>
      <w:r w:rsidRPr="00747295">
        <w:t>CT</w:t>
      </w:r>
      <w:r>
        <w:t>G</w:t>
      </w:r>
      <w:r w:rsidRPr="00747295">
        <w:t>18 said he was willing to attend an interview</w:t>
      </w:r>
      <w:r>
        <w:t xml:space="preserve"> before the Authority</w:t>
      </w:r>
      <w:r w:rsidRPr="00747295">
        <w:t xml:space="preserve"> relating to the new protection visa claims and why th</w:t>
      </w:r>
      <w:r>
        <w:t>ey</w:t>
      </w:r>
      <w:r w:rsidRPr="00747295">
        <w:t xml:space="preserve"> had not been previously made.</w:t>
      </w:r>
    </w:p>
    <w:p w:rsidR="0084745B" w:rsidRPr="00517922" w:rsidRDefault="009A5033" w:rsidP="00327240">
      <w:pPr>
        <w:pStyle w:val="ParaNumbering"/>
        <w:rPr>
          <w:b/>
        </w:rPr>
      </w:pPr>
      <w:bookmarkStart w:id="23" w:name="_Ref18315032"/>
      <w:r w:rsidRPr="00747295">
        <w:t>Consequently, r</w:t>
      </w:r>
      <w:r w:rsidR="0047499B" w:rsidRPr="00747295">
        <w:t xml:space="preserve">elevant to this appeal, is the </w:t>
      </w:r>
      <w:r w:rsidR="004F4EE6" w:rsidRPr="003106B1">
        <w:t>Authority</w:t>
      </w:r>
      <w:r w:rsidR="0047499B" w:rsidRPr="003106B1">
        <w:t xml:space="preserve">’s findings in relation to the new information. Given the prominence of the reasoning </w:t>
      </w:r>
      <w:r w:rsidR="0037270C" w:rsidRPr="006F5512">
        <w:t>to the grounds as argued</w:t>
      </w:r>
      <w:r w:rsidR="0037270C">
        <w:t xml:space="preserve">, </w:t>
      </w:r>
      <w:r w:rsidR="0047499B" w:rsidRPr="00747295">
        <w:t xml:space="preserve">it is appropriate to cite it in </w:t>
      </w:r>
      <w:r w:rsidRPr="00517922">
        <w:t>full. After summarising the new claims, the Authority concluded:</w:t>
      </w:r>
      <w:bookmarkEnd w:id="23"/>
      <w:r w:rsidRPr="00517922">
        <w:t xml:space="preserve">  </w:t>
      </w:r>
    </w:p>
    <w:p w:rsidR="00AE1A56" w:rsidRDefault="00D22328" w:rsidP="00517922">
      <w:pPr>
        <w:pStyle w:val="Quote1"/>
      </w:pPr>
      <w:r>
        <w:t xml:space="preserve">5. </w:t>
      </w:r>
      <w:r w:rsidR="00AE1A56">
        <w:t>All of the LTTE claims pre-date the delegate’s decision. Applicant 1 stated in his submission to the IAA that he did not put forward his true claims to the Department as he was afraid he would be sent back to Sri Lanka or detained in Australia; he’d heard in immigration detention that LTTE linked people were being sent back or detained. He now realises that the IAA is his last opportunity to tell his true claims. He did not reveal this information at his SHEV interview because he did not come to Australia willingly but to protect his life. He was also scared he might be deported to Sri Lanka or jailed and he did not want to experience the hardships he suffered in jail previously again.</w:t>
      </w:r>
    </w:p>
    <w:p w:rsidR="00AE1A56" w:rsidRDefault="00D22328" w:rsidP="00517922">
      <w:pPr>
        <w:pStyle w:val="Quote1"/>
      </w:pPr>
      <w:r>
        <w:t xml:space="preserve">6. </w:t>
      </w:r>
      <w:r w:rsidR="00AE1A56" w:rsidRPr="00AE1A56">
        <w:t>The applicants were made aware at the beginning of their SHEV interview of the importan</w:t>
      </w:r>
      <w:r w:rsidR="00AE1A56">
        <w:t xml:space="preserve">ce of </w:t>
      </w:r>
      <w:r w:rsidR="00AE1A56" w:rsidRPr="00AE1A56">
        <w:t>providing all their claims and information in support as soon as possible as they may not have</w:t>
      </w:r>
      <w:r w:rsidR="00AE1A56">
        <w:t xml:space="preserve"> </w:t>
      </w:r>
      <w:r w:rsidR="00AE1A56" w:rsidRPr="00AE1A56">
        <w:t>another opportunity to do so. They attended the SHEV interview with their representative,</w:t>
      </w:r>
      <w:r w:rsidR="00AE1A56">
        <w:t xml:space="preserve"> </w:t>
      </w:r>
      <w:r w:rsidR="00AE1A56" w:rsidRPr="00AE1A56">
        <w:t>stated their lawyer had explained everything to them about the process, and when asked</w:t>
      </w:r>
      <w:r w:rsidR="00AE1A56">
        <w:t xml:space="preserve"> </w:t>
      </w:r>
      <w:r w:rsidR="00AE1A56" w:rsidRPr="00AE1A56">
        <w:t>stated there was nothing in their application they wanted to correct. They provided additional</w:t>
      </w:r>
      <w:r w:rsidR="00AE1A56">
        <w:t xml:space="preserve"> </w:t>
      </w:r>
      <w:r w:rsidR="00AE1A56" w:rsidRPr="00AE1A56">
        <w:t>documents in support during that interview and afterwards their representative provided the</w:t>
      </w:r>
      <w:r w:rsidR="00AE1A56">
        <w:t xml:space="preserve"> </w:t>
      </w:r>
      <w:r w:rsidR="00AE1A56" w:rsidRPr="00AE1A56">
        <w:t>delegate with a detailed post-interview submission and another lengthy document which</w:t>
      </w:r>
      <w:r w:rsidR="00AE1A56">
        <w:t xml:space="preserve"> </w:t>
      </w:r>
      <w:r w:rsidR="00AE1A56" w:rsidRPr="00AE1A56">
        <w:t xml:space="preserve">compiled country information about </w:t>
      </w:r>
      <w:r w:rsidR="00AE1A56" w:rsidRPr="00AE1A56">
        <w:lastRenderedPageBreak/>
        <w:t>Sri Lanka. In his entry interview Applicant 1 was asked</w:t>
      </w:r>
      <w:r w:rsidR="00AE1A56">
        <w:t xml:space="preserve"> </w:t>
      </w:r>
      <w:r w:rsidR="00AE1A56" w:rsidRPr="00AE1A56">
        <w:t>specific questions about whether he or any members of his family had been associated or</w:t>
      </w:r>
      <w:r w:rsidR="00AE1A56">
        <w:t xml:space="preserve"> </w:t>
      </w:r>
      <w:r w:rsidR="00AE1A56" w:rsidRPr="00AE1A56">
        <w:t>involved with any political group or organisation and whether he or any family members had</w:t>
      </w:r>
      <w:r w:rsidR="00AE1A56">
        <w:t xml:space="preserve"> </w:t>
      </w:r>
      <w:r w:rsidR="00AE1A56" w:rsidRPr="00AE1A56">
        <w:t>been involved in activities or protests against the government. He answered no. In his</w:t>
      </w:r>
      <w:r w:rsidR="00AE1A56">
        <w:t xml:space="preserve"> </w:t>
      </w:r>
      <w:r w:rsidR="00AE1A56" w:rsidRPr="00AE1A56">
        <w:t>statutory declaration submitted with the SHEV application he stated he never had any links</w:t>
      </w:r>
      <w:r w:rsidR="00AE1A56">
        <w:t xml:space="preserve"> </w:t>
      </w:r>
      <w:r w:rsidR="00AE1A56" w:rsidRPr="00AE1A56">
        <w:t xml:space="preserve">with the LTTE. In his SHEV interview he stated he lived in an </w:t>
      </w:r>
      <w:r w:rsidR="00AE1A56">
        <w:t xml:space="preserve">area that had always been under </w:t>
      </w:r>
      <w:r w:rsidR="00AE1A56" w:rsidRPr="00AE1A56">
        <w:t>the control of the army, didn’t know anything about the LTTE and its recruitment practices and</w:t>
      </w:r>
      <w:r w:rsidR="00AE1A56">
        <w:t xml:space="preserve"> </w:t>
      </w:r>
      <w:r w:rsidR="00AE1A56" w:rsidRPr="00AE1A56">
        <w:t>said he was put in prison in India on suspicion of LTTE activities but that when he was arrested</w:t>
      </w:r>
      <w:r w:rsidR="00AE1A56">
        <w:t xml:space="preserve"> </w:t>
      </w:r>
      <w:r w:rsidR="00AE1A56" w:rsidRPr="00AE1A56">
        <w:t>he didn’t know what the case against him was.</w:t>
      </w:r>
    </w:p>
    <w:p w:rsidR="00AE1A56" w:rsidRDefault="00D22328" w:rsidP="00517922">
      <w:pPr>
        <w:pStyle w:val="Quote1"/>
      </w:pPr>
      <w:r>
        <w:t xml:space="preserve">7. </w:t>
      </w:r>
      <w:r w:rsidR="00AE1A56" w:rsidRPr="00AE1A56">
        <w:t>I accept that a person with the history that Applicant 1 now claim</w:t>
      </w:r>
      <w:r w:rsidR="00AE1A56">
        <w:t xml:space="preserve">s may initially fear disclosing </w:t>
      </w:r>
      <w:r w:rsidR="00AE1A56" w:rsidRPr="00AE1A56">
        <w:t>his LTTE connections for the reasons stated in his submission. When first interviewed the</w:t>
      </w:r>
      <w:r w:rsidR="00AE1A56">
        <w:t xml:space="preserve"> </w:t>
      </w:r>
      <w:r w:rsidR="00AE1A56" w:rsidRPr="00AE1A56">
        <w:t>applicants had recently arrived and did not have legal representation. However, since then</w:t>
      </w:r>
      <w:r w:rsidR="00AE1A56">
        <w:t xml:space="preserve"> </w:t>
      </w:r>
      <w:r w:rsidR="00AE1A56" w:rsidRPr="00AE1A56">
        <w:t>they were released from detention and have had professional legal assistance to prepare their</w:t>
      </w:r>
      <w:r w:rsidR="00AE1A56">
        <w:t xml:space="preserve"> </w:t>
      </w:r>
      <w:r w:rsidR="00AE1A56" w:rsidRPr="00AE1A56">
        <w:t>SHEV application. I note that when the applicants were advised at the end of their SHEV</w:t>
      </w:r>
      <w:r w:rsidR="00AE1A56">
        <w:t xml:space="preserve"> </w:t>
      </w:r>
      <w:r w:rsidR="00AE1A56" w:rsidRPr="00AE1A56">
        <w:t>interview that any further information provided could be considered up to the date of the</w:t>
      </w:r>
      <w:r w:rsidR="00AE1A56">
        <w:t xml:space="preserve"> </w:t>
      </w:r>
      <w:r w:rsidR="00AE1A56" w:rsidRPr="00AE1A56">
        <w:t>delegate’s decision, Applicant 1 stated they had given all their evidence to the delegate. A</w:t>
      </w:r>
      <w:r w:rsidR="00AE1A56">
        <w:t xml:space="preserve"> </w:t>
      </w:r>
      <w:r w:rsidR="00AE1A56" w:rsidRPr="00AE1A56">
        <w:t>further period of some three months elapsed following their SHEV interview which I consider</w:t>
      </w:r>
      <w:r w:rsidR="00AE1A56">
        <w:t xml:space="preserve"> </w:t>
      </w:r>
      <w:r w:rsidR="00AE1A56" w:rsidRPr="00AE1A56">
        <w:t>more than adequate for the applicants to raise with their representative any concerns they had</w:t>
      </w:r>
      <w:r w:rsidR="00AE1A56">
        <w:t xml:space="preserve"> </w:t>
      </w:r>
      <w:r w:rsidR="00AE1A56" w:rsidRPr="00AE1A56">
        <w:t>about being sent back to Sri Lanka or detained for a longer period if they disclosed Applicant</w:t>
      </w:r>
      <w:r w:rsidR="00AE1A56">
        <w:t xml:space="preserve"> </w:t>
      </w:r>
      <w:r w:rsidR="00AE1A56" w:rsidRPr="00AE1A56">
        <w:t>1’s LTTE connections. No credible explanation has been provided for why the applicants</w:t>
      </w:r>
      <w:r w:rsidR="00AE1A56">
        <w:t xml:space="preserve"> </w:t>
      </w:r>
      <w:r w:rsidR="00AE1A56" w:rsidRPr="00AE1A56">
        <w:t>waited until being informed of the delegate’s decision to raise this important new claim. I also</w:t>
      </w:r>
      <w:r w:rsidR="00AE1A56">
        <w:t xml:space="preserve"> </w:t>
      </w:r>
      <w:r w:rsidR="00AE1A56" w:rsidRPr="00AE1A56">
        <w:t>place weight on the fact that Applicant 1 stated under oath in his SHEV interview that he knew</w:t>
      </w:r>
      <w:r w:rsidR="00AE1A56">
        <w:t xml:space="preserve"> </w:t>
      </w:r>
      <w:r w:rsidR="00AE1A56" w:rsidRPr="00AE1A56">
        <w:t>nothing about the LTTE. This new information directly contradicts the earlier sworn evidence.</w:t>
      </w:r>
      <w:r w:rsidR="00AE1A56">
        <w:t xml:space="preserve"> </w:t>
      </w:r>
      <w:r w:rsidR="00AE1A56" w:rsidRPr="00AE1A56">
        <w:t>I do not accept that Applicant 1 did not provide truthful information in his previous statutory</w:t>
      </w:r>
      <w:r w:rsidR="00AE1A56">
        <w:t xml:space="preserve"> </w:t>
      </w:r>
      <w:r w:rsidR="00AE1A56" w:rsidRPr="00AE1A56">
        <w:t>declaration submitted with his SHEV application and during his SHEV interview because he was</w:t>
      </w:r>
      <w:r w:rsidR="00AE1A56">
        <w:t xml:space="preserve"> </w:t>
      </w:r>
      <w:r w:rsidR="00AE1A56" w:rsidRPr="00AE1A56">
        <w:t>afraid of the consequences of doing so. Applicant 1 has not satisfied me that the information</w:t>
      </w:r>
      <w:r w:rsidR="00AE1A56">
        <w:t xml:space="preserve"> </w:t>
      </w:r>
      <w:r w:rsidR="00AE1A56" w:rsidRPr="00AE1A56">
        <w:t>could not have been given to the Minister prior to the decision being made nor that the new</w:t>
      </w:r>
      <w:r w:rsidR="00AE1A56">
        <w:t xml:space="preserve"> </w:t>
      </w:r>
      <w:r w:rsidR="00AE1A56" w:rsidRPr="00AE1A56">
        <w:t>information in the submission is credible personal information which was not previously</w:t>
      </w:r>
      <w:r w:rsidR="00AE1A56">
        <w:t xml:space="preserve"> </w:t>
      </w:r>
      <w:r w:rsidR="00AE1A56" w:rsidRPr="00AE1A56">
        <w:t>known and had it been known, may have affected consideration of the applicants’ claims. The</w:t>
      </w:r>
      <w:r w:rsidR="00AE1A56">
        <w:t xml:space="preserve"> </w:t>
      </w:r>
      <w:r w:rsidR="00AE1A56" w:rsidRPr="00AE1A56">
        <w:t>new information does not meet the requirements of s.473DD(b) and I am unable to consider it.</w:t>
      </w:r>
    </w:p>
    <w:p w:rsidR="00AF1838" w:rsidRPr="00517922" w:rsidRDefault="00D22328" w:rsidP="00517922">
      <w:pPr>
        <w:pStyle w:val="Quote1"/>
      </w:pPr>
      <w:r>
        <w:t xml:space="preserve">8. </w:t>
      </w:r>
      <w:r w:rsidR="00AF1838" w:rsidRPr="00AF1838">
        <w:t>Applicant 1 states he is willing to attend an interview rela</w:t>
      </w:r>
      <w:r w:rsidR="00AF1838">
        <w:t xml:space="preserve">ting to “my new protection visa </w:t>
      </w:r>
      <w:r w:rsidR="00AF1838" w:rsidRPr="00AF1838">
        <w:t>claims” explaining why the new information could not have been given to the Department</w:t>
      </w:r>
      <w:r w:rsidR="00AF1838">
        <w:t xml:space="preserve"> </w:t>
      </w:r>
      <w:r w:rsidR="00AF1838" w:rsidRPr="00AF1838">
        <w:t>before it made the decision and/or why the claims are credible; he states he trusts the IAA will</w:t>
      </w:r>
      <w:r w:rsidR="00AF1838">
        <w:t xml:space="preserve"> </w:t>
      </w:r>
      <w:r w:rsidR="00AF1838" w:rsidRPr="00AF1838">
        <w:t>invite him for an interview if required as natural justice to him. It is not clear from this</w:t>
      </w:r>
      <w:r w:rsidR="00AF1838">
        <w:t xml:space="preserve"> </w:t>
      </w:r>
      <w:r w:rsidR="00AF1838" w:rsidRPr="00AF1838">
        <w:t>whether he is requesting that the IAA invite him for an interview. I have, in any case, decided</w:t>
      </w:r>
      <w:r w:rsidR="00AF1838">
        <w:t xml:space="preserve"> </w:t>
      </w:r>
      <w:r w:rsidR="00AF1838" w:rsidRPr="00AF1838">
        <w:t>not to invite Applicant 1 for an interview. I am conducting a fast-track review under the Act.</w:t>
      </w:r>
      <w:r w:rsidR="00AF1838">
        <w:t xml:space="preserve"> </w:t>
      </w:r>
      <w:r w:rsidR="00AF1838" w:rsidRPr="00AF1838">
        <w:t>The IAA is not obliged to invite an applicant to provide new information whether in writing or</w:t>
      </w:r>
      <w:r w:rsidR="00AF1838">
        <w:t xml:space="preserve"> </w:t>
      </w:r>
      <w:r w:rsidR="00AF1838" w:rsidRPr="00AF1838">
        <w:t>at an interview, simply because the person requests it. Given these are new claims, any</w:t>
      </w:r>
      <w:r w:rsidR="00AF1838">
        <w:t xml:space="preserve"> </w:t>
      </w:r>
      <w:r w:rsidR="00AF1838" w:rsidRPr="00AF1838">
        <w:t>additional information given by Applicant 1 in an interview would be new information under</w:t>
      </w:r>
      <w:r w:rsidR="00AF1838">
        <w:t xml:space="preserve"> </w:t>
      </w:r>
      <w:r w:rsidR="00AF1838" w:rsidRPr="00AF1838">
        <w:t>s.473DC and, as discussed above, subject to the restrictions in s.473DD. Taking all of the</w:t>
      </w:r>
      <w:r w:rsidR="00AF1838">
        <w:t xml:space="preserve"> </w:t>
      </w:r>
      <w:r w:rsidR="00AF1838" w:rsidRPr="00AF1838">
        <w:t>circumstances into account, I am not satisfied the circumstances of this case require me to</w:t>
      </w:r>
      <w:r w:rsidR="00AF1838">
        <w:t xml:space="preserve"> </w:t>
      </w:r>
      <w:r w:rsidR="00AF1838" w:rsidRPr="00AF1838">
        <w:t>invite Applicant 1 to attend an interview.</w:t>
      </w:r>
      <w:r w:rsidR="00AF1838">
        <w:t xml:space="preserve"> </w:t>
      </w:r>
    </w:p>
    <w:p w:rsidR="00327240" w:rsidRPr="00653EB8" w:rsidRDefault="0047499B" w:rsidP="001700A7">
      <w:pPr>
        <w:pStyle w:val="ParaNumbering"/>
      </w:pPr>
      <w:r w:rsidRPr="0047499B">
        <w:t xml:space="preserve">In relation </w:t>
      </w:r>
      <w:r>
        <w:t xml:space="preserve">to its review, the Authority made a number of </w:t>
      </w:r>
      <w:r w:rsidR="001700A7">
        <w:t xml:space="preserve">adverse findings </w:t>
      </w:r>
      <w:r w:rsidR="00DA5826">
        <w:t>aga</w:t>
      </w:r>
      <w:r w:rsidR="001700A7">
        <w:t xml:space="preserve">inst the </w:t>
      </w:r>
      <w:r w:rsidR="00BC4E1D">
        <w:t xml:space="preserve">appellants </w:t>
      </w:r>
      <w:r w:rsidR="001700A7">
        <w:t xml:space="preserve">which </w:t>
      </w:r>
      <w:r w:rsidR="001700A7" w:rsidRPr="00653EB8">
        <w:t xml:space="preserve">were summarised </w:t>
      </w:r>
      <w:r w:rsidR="00327240" w:rsidRPr="00653EB8">
        <w:t>as follows:</w:t>
      </w:r>
    </w:p>
    <w:p w:rsidR="00327240" w:rsidRPr="00653EB8" w:rsidRDefault="00A20F44" w:rsidP="00E73DDE">
      <w:pPr>
        <w:pStyle w:val="Quote1"/>
      </w:pPr>
      <w:r>
        <w:t xml:space="preserve">36. </w:t>
      </w:r>
      <w:r w:rsidR="00327240" w:rsidRPr="00CB05CB">
        <w:t xml:space="preserve">In summary, I do not accept that either before </w:t>
      </w:r>
      <w:r w:rsidR="004A2224" w:rsidRPr="00CB05CB">
        <w:t xml:space="preserve">or </w:t>
      </w:r>
      <w:r w:rsidR="00327240" w:rsidRPr="00CB05CB">
        <w:t>after he returned to Sri Lanka th</w:t>
      </w:r>
      <w:r w:rsidR="008C5632" w:rsidRPr="00CB05CB">
        <w:t xml:space="preserve">e authorities were looking for </w:t>
      </w:r>
      <w:r w:rsidR="00552B1A">
        <w:t>Applicant 1</w:t>
      </w:r>
      <w:r w:rsidR="00327240" w:rsidRPr="00E54BAA">
        <w:t>, that they went to his home on many occasions,</w:t>
      </w:r>
      <w:r w:rsidR="008C5632" w:rsidRPr="00E54BAA">
        <w:t xml:space="preserve"> threatened and beat </w:t>
      </w:r>
      <w:r w:rsidR="008B34CE">
        <w:t>Applicant 2</w:t>
      </w:r>
      <w:r w:rsidR="00327240" w:rsidRPr="00DA1BD3">
        <w:t>, a</w:t>
      </w:r>
      <w:r w:rsidR="008C5632" w:rsidRPr="00DA1BD3">
        <w:t xml:space="preserve">ttempted to kidnap </w:t>
      </w:r>
      <w:r w:rsidR="00DD163A">
        <w:t>Applicant 1</w:t>
      </w:r>
      <w:r w:rsidR="00327240" w:rsidRPr="00DA1BD3">
        <w:t xml:space="preserve"> in a white van, </w:t>
      </w:r>
      <w:r w:rsidR="008C5632" w:rsidRPr="00DA1BD3">
        <w:t xml:space="preserve">that </w:t>
      </w:r>
      <w:r w:rsidR="00327240" w:rsidRPr="00DA1BD3">
        <w:t xml:space="preserve">they were hiding from the authorities and that they went to India immediately </w:t>
      </w:r>
      <w:r w:rsidR="00327240" w:rsidRPr="00DA1BD3">
        <w:lastRenderedPageBreak/>
        <w:t>after the white van incident to escape the authorities.</w:t>
      </w:r>
      <w:r w:rsidR="008C5632" w:rsidRPr="00653EB8">
        <w:t xml:space="preserve"> I find</w:t>
      </w:r>
      <w:r w:rsidR="004A2224" w:rsidRPr="00653EB8">
        <w:t xml:space="preserve"> that</w:t>
      </w:r>
      <w:r w:rsidR="008C5632" w:rsidRPr="00653EB8">
        <w:t xml:space="preserve"> </w:t>
      </w:r>
      <w:r w:rsidR="00370535">
        <w:t>Applicant 1</w:t>
      </w:r>
      <w:r w:rsidR="00327240" w:rsidRPr="00653EB8">
        <w:t xml:space="preserve"> was not a person of adverse interest to the Sri Lanka authorities because of anything that occurred in India and that after his release from the </w:t>
      </w:r>
      <w:r w:rsidR="004A2224" w:rsidRPr="00653EB8">
        <w:t xml:space="preserve">camp in </w:t>
      </w:r>
      <w:r w:rsidR="00327240" w:rsidRPr="00653EB8">
        <w:t>India in March 2012 and return to Sri Lanka, he ex</w:t>
      </w:r>
      <w:r w:rsidR="008C5632" w:rsidRPr="00653EB8">
        <w:t>perienced no adverse interest from</w:t>
      </w:r>
      <w:r w:rsidR="00327240" w:rsidRPr="00653EB8">
        <w:t xml:space="preserve"> the Sri Lankan authorities. While I accept that, as a Tamil fishermen from the north, he was subject to some instances of routine monitoring, harassment, occasional threats and beatings, these occur</w:t>
      </w:r>
      <w:r w:rsidR="004A2224" w:rsidRPr="00653EB8">
        <w:t>red</w:t>
      </w:r>
      <w:r w:rsidR="00327240" w:rsidRPr="00653EB8">
        <w:t xml:space="preserve"> prior to 2008 in the context of the civil war during which many Tamils were subjected to similar treatment and I</w:t>
      </w:r>
      <w:r w:rsidR="008C5632" w:rsidRPr="00653EB8">
        <w:t xml:space="preserve"> am not satisfied </w:t>
      </w:r>
      <w:r w:rsidR="002C74B1">
        <w:t>Applicant 1</w:t>
      </w:r>
      <w:r w:rsidR="00327240" w:rsidRPr="00653EB8">
        <w:t xml:space="preserve"> was of adverse interest to the authorities at the time he left Sri Lanka because he was suspected of involvement in smuggling engines </w:t>
      </w:r>
      <w:r w:rsidR="004A2224" w:rsidRPr="00653EB8">
        <w:t xml:space="preserve">for </w:t>
      </w:r>
      <w:r w:rsidR="00327240" w:rsidRPr="00653EB8">
        <w:t>the LTTE, spent time in prison</w:t>
      </w:r>
      <w:r w:rsidR="004A2224" w:rsidRPr="00653EB8">
        <w:t xml:space="preserve"> in</w:t>
      </w:r>
      <w:r w:rsidR="00327240" w:rsidRPr="00653EB8">
        <w:t xml:space="preserve"> India because of it</w:t>
      </w:r>
      <w:r w:rsidR="008C5632" w:rsidRPr="00653EB8">
        <w:t xml:space="preserve"> or that his details were </w:t>
      </w:r>
      <w:r w:rsidR="00327240" w:rsidRPr="00653EB8">
        <w:t xml:space="preserve">published so that </w:t>
      </w:r>
      <w:r w:rsidR="004A2224" w:rsidRPr="00653EB8">
        <w:t xml:space="preserve">the </w:t>
      </w:r>
      <w:r w:rsidR="00327240" w:rsidRPr="00653EB8">
        <w:t>Sri Lankan authorities became aware of the charges.</w:t>
      </w:r>
      <w:r w:rsidR="008C5632" w:rsidRPr="00653EB8">
        <w:t xml:space="preserve"> I do not accept </w:t>
      </w:r>
      <w:r w:rsidR="004A2224" w:rsidRPr="00653EB8">
        <w:t xml:space="preserve">that </w:t>
      </w:r>
      <w:r w:rsidR="002C74B1">
        <w:t>Applicant 2</w:t>
      </w:r>
      <w:r w:rsidR="00327240" w:rsidRPr="00653EB8">
        <w:t xml:space="preserve"> was question</w:t>
      </w:r>
      <w:r w:rsidR="008C5632" w:rsidRPr="00653EB8">
        <w:t>ed</w:t>
      </w:r>
      <w:r w:rsidR="00327240" w:rsidRPr="00653EB8">
        <w:t xml:space="preserve"> and threatened at home in 2008</w:t>
      </w:r>
      <w:r w:rsidR="008C5632" w:rsidRPr="00653EB8">
        <w:t xml:space="preserve"> about </w:t>
      </w:r>
      <w:r w:rsidR="002C74B1">
        <w:t>Applicant 1</w:t>
      </w:r>
      <w:r w:rsidR="00327240" w:rsidRPr="00653EB8">
        <w:t>, interviewed at hom</w:t>
      </w:r>
      <w:r w:rsidR="008C5632" w:rsidRPr="00653EB8">
        <w:t xml:space="preserve">e with </w:t>
      </w:r>
      <w:r w:rsidR="00643487">
        <w:t>Applicant 1</w:t>
      </w:r>
      <w:r w:rsidR="00327240" w:rsidRPr="00653EB8">
        <w:t xml:space="preserve"> by the authorities in early 2012, was detained in a room, beaten and threatened in around June 2012, or that she was routinely subject to visits and harassment by the authorities wh</w:t>
      </w:r>
      <w:r w:rsidR="008C5632" w:rsidRPr="00653EB8">
        <w:t xml:space="preserve">o were looking for </w:t>
      </w:r>
      <w:r w:rsidR="00B71B66">
        <w:t>Applicant 1</w:t>
      </w:r>
      <w:r w:rsidR="00327240" w:rsidRPr="00653EB8">
        <w:t>.</w:t>
      </w:r>
    </w:p>
    <w:p w:rsidR="00327240" w:rsidRPr="00653EB8" w:rsidRDefault="00A20F44" w:rsidP="00E73DDE">
      <w:pPr>
        <w:pStyle w:val="Quote1"/>
      </w:pPr>
      <w:r>
        <w:t xml:space="preserve">37. </w:t>
      </w:r>
      <w:r w:rsidR="00327240" w:rsidRPr="00653EB8">
        <w:t>As I do not accept that they were of any interest to the authorities at the time they left, I do not accept the authorities were searching for them</w:t>
      </w:r>
      <w:r w:rsidR="008C5632" w:rsidRPr="00653EB8">
        <w:t xml:space="preserve"> either </w:t>
      </w:r>
      <w:r w:rsidR="003E55B3" w:rsidRPr="00653EB8">
        <w:t xml:space="preserve">at </w:t>
      </w:r>
      <w:r w:rsidR="00315C0C">
        <w:t>Applicant 1’s</w:t>
      </w:r>
      <w:r w:rsidR="00327240" w:rsidRPr="00653EB8">
        <w:t xml:space="preserve"> mother’s home or at</w:t>
      </w:r>
      <w:r w:rsidR="008C5632" w:rsidRPr="00653EB8">
        <w:t xml:space="preserve"> </w:t>
      </w:r>
      <w:r w:rsidR="00315C0C">
        <w:t>Applicant 2’s</w:t>
      </w:r>
      <w:r w:rsidR="008C5632" w:rsidRPr="00653EB8">
        <w:t xml:space="preserve"> uncle’s home</w:t>
      </w:r>
      <w:r w:rsidR="00327240" w:rsidRPr="00653EB8">
        <w:t xml:space="preserve"> and I consider this as a further embellishment designed to bolster the</w:t>
      </w:r>
      <w:r w:rsidR="003E55B3" w:rsidRPr="00653EB8">
        <w:t>ir</w:t>
      </w:r>
      <w:r w:rsidR="00327240" w:rsidRPr="00653EB8">
        <w:t xml:space="preserve"> claims for protection.</w:t>
      </w:r>
    </w:p>
    <w:p w:rsidR="00327240" w:rsidRPr="00653EB8" w:rsidRDefault="00A20F44" w:rsidP="00E73DDE">
      <w:pPr>
        <w:pStyle w:val="Quote1"/>
      </w:pPr>
      <w:r>
        <w:t xml:space="preserve">38. </w:t>
      </w:r>
      <w:r w:rsidR="00315C0C">
        <w:t>Applicant 1</w:t>
      </w:r>
      <w:r w:rsidR="00327240" w:rsidRPr="00653EB8">
        <w:t xml:space="preserve"> did not refer in his</w:t>
      </w:r>
      <w:r w:rsidR="008C5632" w:rsidRPr="00653EB8">
        <w:t xml:space="preserve"> SHEV </w:t>
      </w:r>
      <w:r w:rsidR="00327240" w:rsidRPr="00653EB8">
        <w:t>interview to the claim that heard in 2016 that a friend of his was captured and killed by members</w:t>
      </w:r>
      <w:r w:rsidR="008C5632" w:rsidRPr="00653EB8">
        <w:t xml:space="preserve"> of the SLN </w:t>
      </w:r>
      <w:r w:rsidR="00327240" w:rsidRPr="00653EB8">
        <w:t>CID and he fears he will suffer a similar fate. In view of his failure to refer to this matter in his</w:t>
      </w:r>
      <w:r w:rsidR="008C5632" w:rsidRPr="00653EB8">
        <w:t xml:space="preserve"> SHEV </w:t>
      </w:r>
      <w:r w:rsidR="00327240" w:rsidRPr="00653EB8">
        <w:t>interview, I</w:t>
      </w:r>
      <w:r w:rsidR="008C5632" w:rsidRPr="00653EB8">
        <w:t xml:space="preserve"> am not satisfied </w:t>
      </w:r>
      <w:r w:rsidR="00A7524A" w:rsidRPr="00653EB8">
        <w:t xml:space="preserve">it </w:t>
      </w:r>
      <w:r w:rsidR="008C5632" w:rsidRPr="00653EB8">
        <w:t>occurred.</w:t>
      </w:r>
    </w:p>
    <w:p w:rsidR="009D282C" w:rsidRPr="00653EB8" w:rsidRDefault="00F90A11" w:rsidP="0084745B">
      <w:pPr>
        <w:pStyle w:val="ParaNumbering"/>
        <w:numPr>
          <w:ilvl w:val="0"/>
          <w:numId w:val="0"/>
        </w:numPr>
        <w:rPr>
          <w:b/>
        </w:rPr>
      </w:pPr>
      <w:r w:rsidRPr="00653EB8">
        <w:rPr>
          <w:b/>
        </w:rPr>
        <w:t>Federal Circuit Court</w:t>
      </w:r>
    </w:p>
    <w:p w:rsidR="00F90A11" w:rsidRDefault="00F90A11">
      <w:pPr>
        <w:pStyle w:val="ParaNumbering"/>
      </w:pPr>
      <w:r w:rsidRPr="00F90A11">
        <w:t xml:space="preserve">In the </w:t>
      </w:r>
      <w:r w:rsidR="0034541C">
        <w:t>C</w:t>
      </w:r>
      <w:r w:rsidRPr="00F90A11">
        <w:t xml:space="preserve">ourt below the </w:t>
      </w:r>
      <w:r w:rsidR="00394D92">
        <w:t>a</w:t>
      </w:r>
      <w:r w:rsidR="00B45C44">
        <w:t>ppellants</w:t>
      </w:r>
      <w:r w:rsidRPr="00F90A11">
        <w:t xml:space="preserve"> filed </w:t>
      </w:r>
      <w:r w:rsidR="00C83CF7">
        <w:t>1</w:t>
      </w:r>
      <w:r w:rsidRPr="00F90A11">
        <w:t xml:space="preserve">3 grounds of </w:t>
      </w:r>
      <w:r w:rsidR="00495806">
        <w:t xml:space="preserve">review, but only pressed three grounds, identified as </w:t>
      </w:r>
      <w:r w:rsidR="00495806" w:rsidRPr="00F565C2">
        <w:t xml:space="preserve">grounds 11, 12 and </w:t>
      </w:r>
      <w:r w:rsidR="00C83CF7" w:rsidRPr="00F565C2">
        <w:t>13 in the amended application.</w:t>
      </w:r>
      <w:r w:rsidR="00495806" w:rsidRPr="00F565C2">
        <w:t xml:space="preserve"> The grou</w:t>
      </w:r>
      <w:r w:rsidR="0037270C" w:rsidRPr="00F565C2">
        <w:t xml:space="preserve">nds </w:t>
      </w:r>
      <w:r w:rsidR="0037270C" w:rsidRPr="006F5512">
        <w:t>were</w:t>
      </w:r>
      <w:r w:rsidR="00495806" w:rsidRPr="00F565C2">
        <w:t xml:space="preserve"> interrelated, and </w:t>
      </w:r>
      <w:r w:rsidR="00495806" w:rsidRPr="006F5512">
        <w:t>concern</w:t>
      </w:r>
      <w:r w:rsidR="0037270C" w:rsidRPr="006F5512">
        <w:t>ed</w:t>
      </w:r>
      <w:r w:rsidR="00495806" w:rsidRPr="006F5512">
        <w:t xml:space="preserve"> </w:t>
      </w:r>
      <w:r w:rsidR="0037270C" w:rsidRPr="006F5512">
        <w:t xml:space="preserve">the </w:t>
      </w:r>
      <w:r w:rsidR="00495806" w:rsidRPr="006F5512">
        <w:t>new</w:t>
      </w:r>
      <w:r w:rsidR="00495806">
        <w:t xml:space="preserve"> information put to</w:t>
      </w:r>
      <w:r w:rsidR="00481B64">
        <w:t xml:space="preserve"> the</w:t>
      </w:r>
      <w:r w:rsidR="00495806">
        <w:t xml:space="preserve"> Authority. Only grounds 11 and 13 were grounds before this </w:t>
      </w:r>
      <w:r w:rsidR="00481B64">
        <w:t>C</w:t>
      </w:r>
      <w:r w:rsidR="00495806">
        <w:t>ourt.</w:t>
      </w:r>
      <w:r w:rsidR="00275A23">
        <w:t xml:space="preserve"> As ground 12</w:t>
      </w:r>
      <w:r w:rsidR="00481B64">
        <w:t>,</w:t>
      </w:r>
      <w:r w:rsidR="00275A23">
        <w:t xml:space="preserve"> which alleged the Authority did not consider s 473DD according to law and thereby committed jurisdictional error</w:t>
      </w:r>
      <w:r w:rsidR="00481B64">
        <w:t>,</w:t>
      </w:r>
      <w:r w:rsidR="00275A23">
        <w:t xml:space="preserve"> was not pressed in this Court it is unnecessary </w:t>
      </w:r>
      <w:r w:rsidR="0034541C">
        <w:t xml:space="preserve">to </w:t>
      </w:r>
      <w:r w:rsidR="00275A23">
        <w:t xml:space="preserve">recite the reasons of the Court </w:t>
      </w:r>
      <w:r w:rsidR="00275A23" w:rsidRPr="00E55F7E">
        <w:t>below</w:t>
      </w:r>
      <w:r w:rsidR="006F5512" w:rsidRPr="00E55F7E">
        <w:t xml:space="preserve"> in relation to that ground</w:t>
      </w:r>
      <w:r w:rsidR="00275A23" w:rsidRPr="00E55F7E">
        <w:t>.</w:t>
      </w:r>
      <w:r w:rsidR="00275A23">
        <w:t xml:space="preserve"> Suffice to say the Court rejected the submission. </w:t>
      </w:r>
    </w:p>
    <w:p w:rsidR="00275A23" w:rsidRDefault="00495806">
      <w:pPr>
        <w:pStyle w:val="ParaNumbering"/>
      </w:pPr>
      <w:r>
        <w:t xml:space="preserve">Ground 11 alleged that the Authority committed jurisdictional error when it did not invite the </w:t>
      </w:r>
      <w:r w:rsidR="00BC4E1D">
        <w:t xml:space="preserve">first appellant </w:t>
      </w:r>
      <w:r>
        <w:t>for an interview.</w:t>
      </w:r>
      <w:r w:rsidR="0047499B">
        <w:t xml:space="preserve"> After reciting the findings of the Authority</w:t>
      </w:r>
      <w:r w:rsidR="004C5753">
        <w:t>, and observing that this include</w:t>
      </w:r>
      <w:r w:rsidR="00AF3570">
        <w:t>d</w:t>
      </w:r>
      <w:r w:rsidR="004C5753">
        <w:t xml:space="preserve"> its conclusion that the new information did not meet the criteria in s 473DD,</w:t>
      </w:r>
      <w:r w:rsidR="0047499B">
        <w:t xml:space="preserve"> </w:t>
      </w:r>
      <w:r w:rsidR="00AF3570">
        <w:t xml:space="preserve">the primary judge </w:t>
      </w:r>
      <w:r w:rsidR="0047499B">
        <w:t xml:space="preserve">concluded that </w:t>
      </w:r>
      <w:r w:rsidR="004C5753">
        <w:t xml:space="preserve">the Authority’s reasons for not exercising the power under s 473DC cannot be said to lack an evident and intelligible justification. </w:t>
      </w:r>
    </w:p>
    <w:p w:rsidR="00EA0198" w:rsidRDefault="00495806">
      <w:pPr>
        <w:pStyle w:val="ParaNumbering"/>
      </w:pPr>
      <w:r>
        <w:t xml:space="preserve">Ground 13 alleged that the Authority committed jurisdictional error when it did not give the </w:t>
      </w:r>
      <w:r w:rsidR="006A4E7B">
        <w:t xml:space="preserve">first </w:t>
      </w:r>
      <w:r>
        <w:t xml:space="preserve">appellant the benefit of the doubt as to the basis upon which he did not make the new </w:t>
      </w:r>
      <w:r>
        <w:lastRenderedPageBreak/>
        <w:t xml:space="preserve">claims before the </w:t>
      </w:r>
      <w:r w:rsidR="0034541C">
        <w:t>d</w:t>
      </w:r>
      <w:r>
        <w:t>elegate.</w:t>
      </w:r>
      <w:r w:rsidR="000D1F13">
        <w:t xml:space="preserve"> This ground was dependent on ground 12, and as that ground was dismissed, </w:t>
      </w:r>
      <w:r w:rsidR="00EA0198">
        <w:t>this ground was also dismissed.</w:t>
      </w:r>
    </w:p>
    <w:p w:rsidR="00EA0198" w:rsidRPr="00653EB8" w:rsidRDefault="004F4EE6" w:rsidP="00EA0198">
      <w:pPr>
        <w:pStyle w:val="ParaNumbering"/>
        <w:numPr>
          <w:ilvl w:val="0"/>
          <w:numId w:val="0"/>
        </w:numPr>
      </w:pPr>
      <w:r w:rsidRPr="00653EB8">
        <w:rPr>
          <w:b/>
        </w:rPr>
        <w:t>Consideration</w:t>
      </w:r>
      <w:bookmarkStart w:id="24" w:name="Heading193"/>
      <w:bookmarkEnd w:id="24"/>
    </w:p>
    <w:p w:rsidR="00EA0198" w:rsidRDefault="000D1F13" w:rsidP="00EA0198">
      <w:pPr>
        <w:pStyle w:val="ParaNumbering"/>
      </w:pPr>
      <w:r>
        <w:t>As initially filed, the notice of appeal only alleged one ground. Amended grounds of appeal were filed and, a</w:t>
      </w:r>
      <w:r w:rsidR="00495806">
        <w:t xml:space="preserve">s noted above, only grounds 11 and 13 </w:t>
      </w:r>
      <w:r>
        <w:t xml:space="preserve">in the </w:t>
      </w:r>
      <w:r w:rsidR="00AF3570">
        <w:t>C</w:t>
      </w:r>
      <w:r>
        <w:t xml:space="preserve">ourt below </w:t>
      </w:r>
      <w:r w:rsidR="00644BC0">
        <w:t>are</w:t>
      </w:r>
      <w:r w:rsidR="00495806">
        <w:t xml:space="preserve"> the subject of this appeal.</w:t>
      </w:r>
      <w:r>
        <w:t xml:space="preserve"> </w:t>
      </w:r>
    </w:p>
    <w:p w:rsidR="00495806" w:rsidRPr="00653EB8" w:rsidRDefault="00495806" w:rsidP="00E7267F">
      <w:pPr>
        <w:pStyle w:val="ParaNumbering"/>
        <w:numPr>
          <w:ilvl w:val="0"/>
          <w:numId w:val="0"/>
        </w:numPr>
        <w:rPr>
          <w:b/>
        </w:rPr>
      </w:pPr>
      <w:r w:rsidRPr="00653EB8">
        <w:rPr>
          <w:b/>
        </w:rPr>
        <w:t xml:space="preserve">Ground 11: invitation by the Authority to the </w:t>
      </w:r>
      <w:r w:rsidR="00D93B5F">
        <w:rPr>
          <w:b/>
        </w:rPr>
        <w:t xml:space="preserve">first </w:t>
      </w:r>
      <w:r w:rsidRPr="00653EB8">
        <w:rPr>
          <w:b/>
        </w:rPr>
        <w:t>appellant for an interview</w:t>
      </w:r>
    </w:p>
    <w:p w:rsidR="00495806" w:rsidRDefault="00275A23">
      <w:pPr>
        <w:pStyle w:val="ParaNumbering"/>
      </w:pPr>
      <w:r>
        <w:t>This ground relates t</w:t>
      </w:r>
      <w:r w:rsidR="0037270C">
        <w:t xml:space="preserve">o the 5 new </w:t>
      </w:r>
      <w:r w:rsidR="0037270C" w:rsidRPr="00C449AA">
        <w:t xml:space="preserve">claims </w:t>
      </w:r>
      <w:r w:rsidR="0037270C" w:rsidRPr="006F5512">
        <w:t xml:space="preserve">before the Authority </w:t>
      </w:r>
      <w:r w:rsidR="005E4A08" w:rsidRPr="00C449AA">
        <w:t>which</w:t>
      </w:r>
      <w:r w:rsidR="005E4A08">
        <w:t xml:space="preserve"> are described at paragraph [5] above</w:t>
      </w:r>
      <w:r>
        <w:t xml:space="preserve">. </w:t>
      </w:r>
      <w:r w:rsidR="00E02A01">
        <w:t xml:space="preserve">The effect of this </w:t>
      </w:r>
      <w:r w:rsidR="00E02A01" w:rsidRPr="00C449AA">
        <w:t>groun</w:t>
      </w:r>
      <w:r w:rsidR="0037270C" w:rsidRPr="00C449AA">
        <w:t>d</w:t>
      </w:r>
      <w:r w:rsidR="0037270C" w:rsidRPr="006F5512">
        <w:t>, as described in its</w:t>
      </w:r>
      <w:r w:rsidR="00E02A01" w:rsidRPr="006F5512">
        <w:t xml:space="preserve"> particulars</w:t>
      </w:r>
      <w:r w:rsidR="0032547D" w:rsidRPr="006F5512">
        <w:t>,</w:t>
      </w:r>
      <w:r w:rsidR="00E02A01">
        <w:t xml:space="preserve"> is that the Authority </w:t>
      </w:r>
      <w:r w:rsidR="001700A7">
        <w:t>did not invite CT</w:t>
      </w:r>
      <w:r w:rsidR="004C3233">
        <w:t>G</w:t>
      </w:r>
      <w:r w:rsidR="001700A7">
        <w:t>18</w:t>
      </w:r>
      <w:r w:rsidR="00E02A01">
        <w:t xml:space="preserve"> to an interview when it ought to have done so, and accordingly acted unreasonably in refusing him the opportunity to explain the matters which the Authority refused to consider as new information</w:t>
      </w:r>
      <w:r w:rsidR="00AE212A">
        <w:t>,</w:t>
      </w:r>
      <w:r w:rsidR="00E02A01">
        <w:t xml:space="preserve"> contrary to </w:t>
      </w:r>
      <w:r w:rsidR="00E02A01" w:rsidRPr="001700A7">
        <w:rPr>
          <w:i/>
        </w:rPr>
        <w:t>Minister for Immigration</w:t>
      </w:r>
      <w:r w:rsidR="00D26934">
        <w:rPr>
          <w:i/>
        </w:rPr>
        <w:t xml:space="preserve"> and Citizenship</w:t>
      </w:r>
      <w:r w:rsidR="00E02A01" w:rsidRPr="001700A7">
        <w:rPr>
          <w:i/>
        </w:rPr>
        <w:t xml:space="preserve"> v Li</w:t>
      </w:r>
      <w:r w:rsidR="00E02A01">
        <w:t xml:space="preserve"> </w:t>
      </w:r>
      <w:r w:rsidR="00D26934">
        <w:t xml:space="preserve">[2013] HCA 18; </w:t>
      </w:r>
      <w:r w:rsidR="00E02A01">
        <w:t>(2013) 249 CLR 332</w:t>
      </w:r>
      <w:r w:rsidR="00A20F44">
        <w:t xml:space="preserve"> (</w:t>
      </w:r>
      <w:r w:rsidR="00A20F44" w:rsidRPr="00A6420E">
        <w:rPr>
          <w:i/>
        </w:rPr>
        <w:t>Li</w:t>
      </w:r>
      <w:r w:rsidR="00A20F44">
        <w:t>)</w:t>
      </w:r>
      <w:r w:rsidR="00E02A01">
        <w:t xml:space="preserve">, thereby committing jurisdictional error. </w:t>
      </w:r>
    </w:p>
    <w:p w:rsidR="000B0945" w:rsidRPr="00747295" w:rsidRDefault="008B7930" w:rsidP="000B0945">
      <w:pPr>
        <w:pStyle w:val="ParaNumbering"/>
        <w:tabs>
          <w:tab w:val="clear" w:pos="720"/>
        </w:tabs>
        <w:rPr>
          <w:lang w:val="en"/>
        </w:rPr>
      </w:pPr>
      <w:r w:rsidRPr="009A7895">
        <w:rPr>
          <w:lang w:val="en"/>
        </w:rPr>
        <w:t xml:space="preserve">The </w:t>
      </w:r>
      <w:r w:rsidRPr="006F5512">
        <w:rPr>
          <w:lang w:val="en"/>
        </w:rPr>
        <w:t>app</w:t>
      </w:r>
      <w:r w:rsidR="00215A5E" w:rsidRPr="006F5512">
        <w:rPr>
          <w:lang w:val="en"/>
        </w:rPr>
        <w:t>ellant</w:t>
      </w:r>
      <w:r w:rsidR="00C861DB" w:rsidRPr="006F5512">
        <w:rPr>
          <w:lang w:val="en"/>
        </w:rPr>
        <w:t>s</w:t>
      </w:r>
      <w:r w:rsidR="00C543BD" w:rsidRPr="006F5512">
        <w:rPr>
          <w:lang w:val="en"/>
        </w:rPr>
        <w:t>’ primary submission was based on the propositions</w:t>
      </w:r>
      <w:r w:rsidRPr="006F5512">
        <w:rPr>
          <w:lang w:val="en"/>
        </w:rPr>
        <w:t xml:space="preserve"> that</w:t>
      </w:r>
      <w:r>
        <w:rPr>
          <w:lang w:val="en"/>
        </w:rPr>
        <w:t xml:space="preserve"> the new claims that were made were serious, </w:t>
      </w:r>
      <w:r w:rsidRPr="00AF764F">
        <w:rPr>
          <w:lang w:val="en"/>
        </w:rPr>
        <w:t>significant</w:t>
      </w:r>
      <w:r w:rsidR="00AF764F" w:rsidRPr="0037270C">
        <w:rPr>
          <w:lang w:val="en"/>
        </w:rPr>
        <w:t>,</w:t>
      </w:r>
      <w:r w:rsidRPr="00AF764F">
        <w:rPr>
          <w:lang w:val="en"/>
        </w:rPr>
        <w:t xml:space="preserve"> </w:t>
      </w:r>
      <w:r w:rsidR="00E7267F">
        <w:rPr>
          <w:lang w:val="en"/>
        </w:rPr>
        <w:t xml:space="preserve">and </w:t>
      </w:r>
      <w:r w:rsidRPr="00AF764F">
        <w:rPr>
          <w:lang w:val="en"/>
        </w:rPr>
        <w:t xml:space="preserve">a credible explanation for failing to inform </w:t>
      </w:r>
      <w:r w:rsidRPr="008005F2">
        <w:rPr>
          <w:lang w:val="en"/>
        </w:rPr>
        <w:t xml:space="preserve">the </w:t>
      </w:r>
      <w:r w:rsidRPr="006F5512">
        <w:rPr>
          <w:lang w:val="en"/>
        </w:rPr>
        <w:t>delegate of this information</w:t>
      </w:r>
      <w:r w:rsidR="00AF764F" w:rsidRPr="006F5512">
        <w:rPr>
          <w:lang w:val="en"/>
        </w:rPr>
        <w:t xml:space="preserve"> had been provided</w:t>
      </w:r>
      <w:r w:rsidRPr="006F5512">
        <w:rPr>
          <w:lang w:val="en"/>
        </w:rPr>
        <w:t xml:space="preserve">. </w:t>
      </w:r>
      <w:r w:rsidR="00C543BD" w:rsidRPr="006F5512">
        <w:rPr>
          <w:lang w:val="en"/>
        </w:rPr>
        <w:t>It was on that basis, the appellants argued that CT</w:t>
      </w:r>
      <w:r w:rsidR="009A7895" w:rsidRPr="006F5512">
        <w:rPr>
          <w:lang w:val="en"/>
        </w:rPr>
        <w:t>G</w:t>
      </w:r>
      <w:r w:rsidR="00C543BD" w:rsidRPr="006F5512">
        <w:rPr>
          <w:lang w:val="en"/>
        </w:rPr>
        <w:t xml:space="preserve">18 ought to have been invited by the Authority to give evidence. </w:t>
      </w:r>
      <w:r w:rsidRPr="006F5512">
        <w:rPr>
          <w:lang w:val="en"/>
        </w:rPr>
        <w:t xml:space="preserve">The </w:t>
      </w:r>
      <w:r w:rsidR="00215A5E" w:rsidRPr="006F5512">
        <w:rPr>
          <w:lang w:val="en"/>
        </w:rPr>
        <w:t>app</w:t>
      </w:r>
      <w:r w:rsidR="00DA1BD3" w:rsidRPr="006F5512">
        <w:rPr>
          <w:lang w:val="en"/>
        </w:rPr>
        <w:t>ellan</w:t>
      </w:r>
      <w:r w:rsidR="00215A5E" w:rsidRPr="006F5512">
        <w:rPr>
          <w:lang w:val="en"/>
        </w:rPr>
        <w:t xml:space="preserve">ts </w:t>
      </w:r>
      <w:r w:rsidRPr="006F5512">
        <w:rPr>
          <w:lang w:val="en"/>
        </w:rPr>
        <w:t>drew support from the Authority’s statement that it accepted that a person with the</w:t>
      </w:r>
      <w:r w:rsidRPr="001511CC">
        <w:rPr>
          <w:lang w:val="en"/>
        </w:rPr>
        <w:t xml:space="preserve"> history that CT</w:t>
      </w:r>
      <w:r w:rsidR="0043641C">
        <w:rPr>
          <w:lang w:val="en"/>
        </w:rPr>
        <w:t>G</w:t>
      </w:r>
      <w:r w:rsidRPr="001511CC">
        <w:rPr>
          <w:lang w:val="en"/>
        </w:rPr>
        <w:t>18 now claims, may initially fear disclosing his LTTE connections for the reasons he gives. The app</w:t>
      </w:r>
      <w:r w:rsidR="00215A5E">
        <w:rPr>
          <w:lang w:val="en"/>
        </w:rPr>
        <w:t>ellants</w:t>
      </w:r>
      <w:r w:rsidRPr="001511CC">
        <w:rPr>
          <w:lang w:val="en"/>
        </w:rPr>
        <w:t xml:space="preserve"> </w:t>
      </w:r>
      <w:r w:rsidR="00215A5E">
        <w:rPr>
          <w:lang w:val="en"/>
        </w:rPr>
        <w:t>are</w:t>
      </w:r>
      <w:r w:rsidRPr="001511CC">
        <w:rPr>
          <w:lang w:val="en"/>
        </w:rPr>
        <w:t xml:space="preserve"> critical of the reasonin</w:t>
      </w:r>
      <w:r w:rsidRPr="00747295">
        <w:rPr>
          <w:lang w:val="en"/>
        </w:rPr>
        <w:t>g of the Authority thereafter</w:t>
      </w:r>
      <w:r w:rsidR="00E878F6">
        <w:rPr>
          <w:lang w:val="en"/>
        </w:rPr>
        <w:t>,</w:t>
      </w:r>
      <w:r w:rsidRPr="00747295">
        <w:rPr>
          <w:lang w:val="en"/>
        </w:rPr>
        <w:t xml:space="preserve"> particularly in the reference to time in paragraph [7] and the conclusion in</w:t>
      </w:r>
      <w:r w:rsidR="00AE68F4">
        <w:rPr>
          <w:lang w:val="en"/>
        </w:rPr>
        <w:t xml:space="preserve"> paragraph</w:t>
      </w:r>
      <w:r w:rsidRPr="00747295">
        <w:rPr>
          <w:lang w:val="en"/>
        </w:rPr>
        <w:t xml:space="preserve"> [8]</w:t>
      </w:r>
      <w:r w:rsidR="00AE68F4">
        <w:rPr>
          <w:lang w:val="en"/>
        </w:rPr>
        <w:t xml:space="preserve"> of the Authority’s reasons</w:t>
      </w:r>
      <w:r w:rsidRPr="00747295">
        <w:rPr>
          <w:lang w:val="en"/>
        </w:rPr>
        <w:t xml:space="preserve">, cited above. The </w:t>
      </w:r>
      <w:r w:rsidR="00215A5E" w:rsidRPr="00747295">
        <w:rPr>
          <w:lang w:val="en"/>
        </w:rPr>
        <w:t>app</w:t>
      </w:r>
      <w:r w:rsidR="00215A5E">
        <w:rPr>
          <w:lang w:val="en"/>
        </w:rPr>
        <w:t>ellants</w:t>
      </w:r>
      <w:r w:rsidR="00215A5E" w:rsidRPr="00747295">
        <w:rPr>
          <w:lang w:val="en"/>
        </w:rPr>
        <w:t xml:space="preserve"> </w:t>
      </w:r>
      <w:r w:rsidRPr="00747295">
        <w:rPr>
          <w:lang w:val="en"/>
        </w:rPr>
        <w:t>w</w:t>
      </w:r>
      <w:r w:rsidR="00215A5E">
        <w:rPr>
          <w:lang w:val="en"/>
        </w:rPr>
        <w:t>ere</w:t>
      </w:r>
      <w:r w:rsidRPr="00747295">
        <w:rPr>
          <w:lang w:val="en"/>
        </w:rPr>
        <w:t xml:space="preserve"> also critical of the conclusion of the Court below.</w:t>
      </w:r>
      <w:r w:rsidR="000B0945" w:rsidRPr="00747295">
        <w:rPr>
          <w:lang w:val="en"/>
        </w:rPr>
        <w:t xml:space="preserve"> </w:t>
      </w:r>
    </w:p>
    <w:p w:rsidR="00091974" w:rsidRPr="003430E5" w:rsidRDefault="00091974">
      <w:pPr>
        <w:pStyle w:val="ParaNumbering"/>
      </w:pPr>
      <w:r w:rsidRPr="003430E5">
        <w:rPr>
          <w:w w:val="105"/>
        </w:rPr>
        <w:t xml:space="preserve">The </w:t>
      </w:r>
      <w:r w:rsidRPr="003430E5">
        <w:t xml:space="preserve">issue </w:t>
      </w:r>
      <w:r w:rsidR="002575DC" w:rsidRPr="003430E5">
        <w:t xml:space="preserve">is </w:t>
      </w:r>
      <w:r w:rsidR="0032547D" w:rsidRPr="003430E5">
        <w:t xml:space="preserve">whether </w:t>
      </w:r>
      <w:r w:rsidR="0032547D" w:rsidRPr="003430E5">
        <w:rPr>
          <w:w w:val="105"/>
        </w:rPr>
        <w:t>the primary judge was</w:t>
      </w:r>
      <w:r w:rsidR="00DA1BD3">
        <w:rPr>
          <w:w w:val="105"/>
        </w:rPr>
        <w:t xml:space="preserve"> </w:t>
      </w:r>
      <w:r w:rsidR="0032547D" w:rsidRPr="003430E5">
        <w:rPr>
          <w:w w:val="105"/>
        </w:rPr>
        <w:t xml:space="preserve">in error </w:t>
      </w:r>
      <w:r w:rsidR="001700A7" w:rsidRPr="003430E5">
        <w:rPr>
          <w:w w:val="105"/>
        </w:rPr>
        <w:t xml:space="preserve">in </w:t>
      </w:r>
      <w:r w:rsidR="0032547D" w:rsidRPr="003430E5">
        <w:rPr>
          <w:w w:val="105"/>
        </w:rPr>
        <w:t xml:space="preserve">concluding that </w:t>
      </w:r>
      <w:r w:rsidRPr="003430E5">
        <w:rPr>
          <w:w w:val="105"/>
        </w:rPr>
        <w:t>the Authority’s decision</w:t>
      </w:r>
      <w:r w:rsidRPr="003430E5">
        <w:t xml:space="preserve"> </w:t>
      </w:r>
      <w:r w:rsidRPr="003430E5">
        <w:rPr>
          <w:w w:val="105"/>
        </w:rPr>
        <w:t>not to</w:t>
      </w:r>
      <w:r w:rsidR="0032547D" w:rsidRPr="003430E5">
        <w:rPr>
          <w:w w:val="105"/>
        </w:rPr>
        <w:t xml:space="preserve"> </w:t>
      </w:r>
      <w:r w:rsidRPr="003430E5">
        <w:rPr>
          <w:spacing w:val="2"/>
        </w:rPr>
        <w:t>invit</w:t>
      </w:r>
      <w:r w:rsidR="0032547D" w:rsidRPr="003430E5">
        <w:rPr>
          <w:spacing w:val="2"/>
        </w:rPr>
        <w:t xml:space="preserve">e </w:t>
      </w:r>
      <w:r w:rsidR="001700A7" w:rsidRPr="003430E5">
        <w:t>CTG18</w:t>
      </w:r>
      <w:r w:rsidR="0032547D" w:rsidRPr="003430E5">
        <w:t xml:space="preserve"> for an interview was not attended by jurisdictional error. To put it another way, </w:t>
      </w:r>
      <w:r w:rsidR="0032547D" w:rsidRPr="003430E5">
        <w:rPr>
          <w:w w:val="105"/>
        </w:rPr>
        <w:t xml:space="preserve">whether the Authority’s decision not to </w:t>
      </w:r>
      <w:r w:rsidR="0032547D" w:rsidRPr="003430E5">
        <w:rPr>
          <w:spacing w:val="2"/>
        </w:rPr>
        <w:t xml:space="preserve">invite </w:t>
      </w:r>
      <w:r w:rsidR="001700A7" w:rsidRPr="003430E5">
        <w:t>CTG18</w:t>
      </w:r>
      <w:r w:rsidR="0032547D" w:rsidRPr="003430E5">
        <w:t xml:space="preserve"> for an interview was within </w:t>
      </w:r>
      <w:r w:rsidR="000851A7" w:rsidRPr="003430E5">
        <w:t xml:space="preserve">the bounds of </w:t>
      </w:r>
      <w:r w:rsidR="0032547D" w:rsidRPr="003430E5">
        <w:t>reasonabl</w:t>
      </w:r>
      <w:r w:rsidR="000851A7" w:rsidRPr="003430E5">
        <w:t>e</w:t>
      </w:r>
      <w:r w:rsidR="0032547D" w:rsidRPr="003430E5">
        <w:t>ne</w:t>
      </w:r>
      <w:r w:rsidR="000851A7" w:rsidRPr="003430E5">
        <w:t xml:space="preserve">ss, having regard to the </w:t>
      </w:r>
      <w:r w:rsidR="0032547D" w:rsidRPr="003430E5">
        <w:t xml:space="preserve">circumstances and the </w:t>
      </w:r>
      <w:r w:rsidR="0032547D" w:rsidRPr="003430E5">
        <w:rPr>
          <w:spacing w:val="1"/>
        </w:rPr>
        <w:t>statutor</w:t>
      </w:r>
      <w:r w:rsidR="002575DC" w:rsidRPr="003430E5">
        <w:rPr>
          <w:spacing w:val="1"/>
        </w:rPr>
        <w:t xml:space="preserve">y </w:t>
      </w:r>
      <w:r w:rsidR="0032547D" w:rsidRPr="003430E5">
        <w:t>purpos</w:t>
      </w:r>
      <w:r w:rsidR="000851A7" w:rsidRPr="003430E5">
        <w:t xml:space="preserve">e </w:t>
      </w:r>
      <w:r w:rsidR="0032547D" w:rsidRPr="003430E5">
        <w:t>for</w:t>
      </w:r>
      <w:r w:rsidR="000851A7" w:rsidRPr="003430E5">
        <w:t xml:space="preserve"> which the </w:t>
      </w:r>
      <w:r w:rsidR="002575DC" w:rsidRPr="003430E5">
        <w:t xml:space="preserve">discretion </w:t>
      </w:r>
      <w:r w:rsidR="0032547D" w:rsidRPr="003430E5">
        <w:t>t</w:t>
      </w:r>
      <w:r w:rsidR="002575DC" w:rsidRPr="003430E5">
        <w:t xml:space="preserve">o </w:t>
      </w:r>
      <w:r w:rsidR="0032547D" w:rsidRPr="003430E5">
        <w:t>g</w:t>
      </w:r>
      <w:r w:rsidR="002575DC" w:rsidRPr="003430E5">
        <w:t>et</w:t>
      </w:r>
      <w:r w:rsidR="0032547D" w:rsidRPr="003430E5">
        <w:t xml:space="preserve"> </w:t>
      </w:r>
      <w:r w:rsidR="002575DC" w:rsidRPr="003430E5">
        <w:t xml:space="preserve">new information </w:t>
      </w:r>
      <w:r w:rsidR="0032547D" w:rsidRPr="003430E5">
        <w:rPr>
          <w:spacing w:val="-5"/>
        </w:rPr>
        <w:t xml:space="preserve">was </w:t>
      </w:r>
      <w:r w:rsidR="0032547D" w:rsidRPr="003430E5">
        <w:t xml:space="preserve">directed: </w:t>
      </w:r>
      <w:r w:rsidR="0032547D" w:rsidRPr="003430E5">
        <w:rPr>
          <w:i/>
          <w:spacing w:val="-4"/>
        </w:rPr>
        <w:t xml:space="preserve">Minister </w:t>
      </w:r>
      <w:r w:rsidR="0032547D" w:rsidRPr="003430E5">
        <w:rPr>
          <w:i/>
        </w:rPr>
        <w:t xml:space="preserve">for Immigration and </w:t>
      </w:r>
      <w:r w:rsidR="0032547D" w:rsidRPr="003430E5">
        <w:rPr>
          <w:i/>
          <w:spacing w:val="-9"/>
        </w:rPr>
        <w:t xml:space="preserve">Border </w:t>
      </w:r>
      <w:r w:rsidR="0032547D" w:rsidRPr="003430E5">
        <w:rPr>
          <w:i/>
          <w:spacing w:val="-5"/>
        </w:rPr>
        <w:t xml:space="preserve">Protection </w:t>
      </w:r>
      <w:r w:rsidR="0032547D" w:rsidRPr="003430E5">
        <w:rPr>
          <w:i/>
        </w:rPr>
        <w:t xml:space="preserve">v CRY16 </w:t>
      </w:r>
      <w:r w:rsidR="0032547D" w:rsidRPr="003430E5">
        <w:rPr>
          <w:spacing w:val="1"/>
        </w:rPr>
        <w:t>[201</w:t>
      </w:r>
      <w:r w:rsidR="002575DC" w:rsidRPr="003430E5">
        <w:rPr>
          <w:spacing w:val="1"/>
        </w:rPr>
        <w:t>7</w:t>
      </w:r>
      <w:r w:rsidR="0032547D" w:rsidRPr="003430E5">
        <w:t>]</w:t>
      </w:r>
      <w:r w:rsidR="0032547D" w:rsidRPr="003430E5">
        <w:rPr>
          <w:i/>
        </w:rPr>
        <w:t xml:space="preserve"> </w:t>
      </w:r>
      <w:r w:rsidR="002575DC" w:rsidRPr="003430E5">
        <w:t xml:space="preserve">FCAFC </w:t>
      </w:r>
      <w:r w:rsidR="0032547D" w:rsidRPr="003430E5">
        <w:rPr>
          <w:spacing w:val="-3"/>
        </w:rPr>
        <w:t>21</w:t>
      </w:r>
      <w:r w:rsidR="00215A5E">
        <w:rPr>
          <w:spacing w:val="-3"/>
        </w:rPr>
        <w:t>0</w:t>
      </w:r>
      <w:r w:rsidR="0032547D" w:rsidRPr="003430E5">
        <w:rPr>
          <w:spacing w:val="-3"/>
        </w:rPr>
        <w:t xml:space="preserve">; </w:t>
      </w:r>
      <w:r w:rsidR="002575DC" w:rsidRPr="003430E5">
        <w:rPr>
          <w:spacing w:val="-3"/>
        </w:rPr>
        <w:t xml:space="preserve">(2017) </w:t>
      </w:r>
      <w:r w:rsidR="001700A7" w:rsidRPr="003430E5">
        <w:t xml:space="preserve">253 </w:t>
      </w:r>
      <w:r w:rsidR="0032547D" w:rsidRPr="003430E5">
        <w:t xml:space="preserve">FCR 475 </w:t>
      </w:r>
      <w:r w:rsidR="00A20F44">
        <w:t>(</w:t>
      </w:r>
      <w:r w:rsidR="00A20F44" w:rsidRPr="00A6420E">
        <w:rPr>
          <w:i/>
        </w:rPr>
        <w:t>CRY16</w:t>
      </w:r>
      <w:r w:rsidR="00A20F44">
        <w:t xml:space="preserve">) </w:t>
      </w:r>
      <w:r w:rsidR="0032547D" w:rsidRPr="003430E5">
        <w:t>at</w:t>
      </w:r>
      <w:r w:rsidR="0032547D" w:rsidRPr="003430E5">
        <w:rPr>
          <w:spacing w:val="13"/>
        </w:rPr>
        <w:t xml:space="preserve"> </w:t>
      </w:r>
      <w:r w:rsidR="0032547D" w:rsidRPr="003430E5">
        <w:t>[83].</w:t>
      </w:r>
      <w:r w:rsidR="00A45B74" w:rsidRPr="003430E5">
        <w:t xml:space="preserve">  </w:t>
      </w:r>
    </w:p>
    <w:p w:rsidR="001700A7" w:rsidRPr="00BC3776" w:rsidRDefault="001700A7" w:rsidP="001700A7">
      <w:pPr>
        <w:pStyle w:val="ParaNumbering"/>
      </w:pPr>
      <w:r w:rsidRPr="00BC3776">
        <w:t xml:space="preserve">This ground directs attention to s 473DC of the Migration Act. Whether a statutory power is exercised reasonably, requires a consideration of the statutory terms, context, subject matter </w:t>
      </w:r>
      <w:r w:rsidRPr="00BC3776">
        <w:lastRenderedPageBreak/>
        <w:t xml:space="preserve">and purpose of the provisions under which the power is exercised: </w:t>
      </w:r>
      <w:r w:rsidRPr="00BC3776">
        <w:rPr>
          <w:i/>
        </w:rPr>
        <w:t xml:space="preserve">DCP16 v Minister for Immigration and Border Protection </w:t>
      </w:r>
      <w:r w:rsidRPr="00BC3776">
        <w:t xml:space="preserve">[2019] FCAFC 91 at [106].  </w:t>
      </w:r>
    </w:p>
    <w:p w:rsidR="001700A7" w:rsidRPr="00BC3776" w:rsidRDefault="001700A7" w:rsidP="00AE68F4">
      <w:pPr>
        <w:pStyle w:val="ParaNumbering"/>
      </w:pPr>
      <w:r w:rsidRPr="00BC3776">
        <w:rPr>
          <w:lang w:val="en"/>
        </w:rPr>
        <w:t>Division 3 of Pt 7AA, together with s</w:t>
      </w:r>
      <w:r w:rsidR="00215A5E">
        <w:rPr>
          <w:lang w:val="en"/>
        </w:rPr>
        <w:t>s</w:t>
      </w:r>
      <w:r w:rsidRPr="00BC3776">
        <w:rPr>
          <w:lang w:val="en"/>
        </w:rPr>
        <w:t xml:space="preserve"> 473GA and 473GB</w:t>
      </w:r>
      <w:r w:rsidR="00AE68F4" w:rsidRPr="00AE68F4">
        <w:rPr>
          <w:lang w:val="en"/>
        </w:rPr>
        <w:t xml:space="preserve"> </w:t>
      </w:r>
      <w:r w:rsidR="00AE68F4" w:rsidRPr="00BC3776">
        <w:rPr>
          <w:lang w:val="en"/>
        </w:rPr>
        <w:t>of the Migration Act</w:t>
      </w:r>
      <w:r w:rsidRPr="00BC3776">
        <w:rPr>
          <w:lang w:val="en"/>
        </w:rPr>
        <w:t xml:space="preserve">, is taken to be an exhaustive statement of the requirements of the natural justice hearing rule in relation to reviews conducted by the Authority: s 473DA(1). </w:t>
      </w:r>
      <w:r w:rsidRPr="00BC3776">
        <w:t>Pt 7AA requires the Authority to review a fast track reviewable decision referred to it under s 473CA by considering the review material, as defined in s 473CB, without accepting or requesting new information and without interviewing the referred applicant: s 473DB(1)</w:t>
      </w:r>
      <w:r w:rsidR="002510A8">
        <w:t>.</w:t>
      </w:r>
      <w:r w:rsidRPr="00BC3776">
        <w:t xml:space="preserve"> This is subject to s 473DC, </w:t>
      </w:r>
      <w:r w:rsidR="00BC3776">
        <w:t>which includes</w:t>
      </w:r>
      <w:r w:rsidRPr="00BC3776">
        <w:t xml:space="preserve"> subsection (2), which states that there is no duty upon the Authority to get, request or accept any new information.</w:t>
      </w:r>
    </w:p>
    <w:p w:rsidR="00AE2489" w:rsidRPr="00415331" w:rsidRDefault="00AE2489" w:rsidP="00AE2489">
      <w:pPr>
        <w:pStyle w:val="ParaNumbering"/>
      </w:pPr>
      <w:r w:rsidRPr="00415331">
        <w:rPr>
          <w:lang w:val="en"/>
        </w:rPr>
        <w:t xml:space="preserve">Recently, the Full Court in </w:t>
      </w:r>
      <w:r w:rsidRPr="00415331">
        <w:rPr>
          <w:i/>
          <w:lang w:val="en"/>
        </w:rPr>
        <w:t>Singh v Minister for Home Affairs</w:t>
      </w:r>
      <w:r w:rsidRPr="00415331">
        <w:rPr>
          <w:lang w:val="en"/>
        </w:rPr>
        <w:t xml:space="preserve"> [2019] FCAFC 3 at [61] per Reeves, O’Callaghan and Thawley JJ, summarised the position as to whether a decision is legally unreasonable as follows: </w:t>
      </w:r>
    </w:p>
    <w:p w:rsidR="00AE2489" w:rsidRPr="00D203EB" w:rsidRDefault="00AE2489" w:rsidP="00AE2489">
      <w:pPr>
        <w:pStyle w:val="Quote1"/>
        <w:rPr>
          <w:lang w:val="en" w:eastAsia="en-AU"/>
        </w:rPr>
      </w:pPr>
      <w:r w:rsidRPr="00D203EB">
        <w:rPr>
          <w:lang w:val="en" w:eastAsia="en-AU"/>
        </w:rPr>
        <w:t xml:space="preserve">The question of whether a decision is legally unreasonable is answered by reference to whether or not the decision is within the scope of the statutory authority conferred on the decision-maker; it involves an assessment of whether the decision was lawful or authorised having regard to the scope, purpose and objects of the statutory source of power: </w:t>
      </w:r>
      <w:r w:rsidRPr="00D203EB">
        <w:rPr>
          <w:i/>
          <w:iCs/>
          <w:lang w:val="en" w:eastAsia="en-AU"/>
        </w:rPr>
        <w:t xml:space="preserve">Minister for Immigration and Border Protection v </w:t>
      </w:r>
      <w:r w:rsidRPr="00D203EB">
        <w:rPr>
          <w:bCs/>
          <w:i/>
          <w:iCs/>
          <w:lang w:val="en" w:eastAsia="en-AU"/>
        </w:rPr>
        <w:t>Stretton</w:t>
      </w:r>
      <w:r w:rsidRPr="00D203EB">
        <w:rPr>
          <w:lang w:val="en" w:eastAsia="en-AU"/>
        </w:rPr>
        <w:t xml:space="preserve"> </w:t>
      </w:r>
      <w:r w:rsidRPr="00B05113">
        <w:rPr>
          <w:lang w:val="en" w:eastAsia="en-AU"/>
        </w:rPr>
        <w:t>[2016] FCAFC 11;</w:t>
      </w:r>
      <w:r w:rsidRPr="00D203EB">
        <w:rPr>
          <w:lang w:val="en" w:eastAsia="en-AU"/>
        </w:rPr>
        <w:t xml:space="preserve"> (2016) 237 FCR 1; </w:t>
      </w:r>
      <w:r w:rsidRPr="00D203EB">
        <w:rPr>
          <w:i/>
          <w:iCs/>
          <w:lang w:val="en" w:eastAsia="en-AU"/>
        </w:rPr>
        <w:t xml:space="preserve">Minister for Immigration and Border Protection v </w:t>
      </w:r>
      <w:r w:rsidRPr="00D203EB">
        <w:rPr>
          <w:bCs/>
          <w:i/>
          <w:iCs/>
          <w:lang w:val="en" w:eastAsia="en-AU"/>
        </w:rPr>
        <w:t>SZVFW</w:t>
      </w:r>
      <w:r w:rsidRPr="00D203EB">
        <w:rPr>
          <w:lang w:val="en" w:eastAsia="en-AU"/>
        </w:rPr>
        <w:t xml:space="preserve"> </w:t>
      </w:r>
      <w:r w:rsidRPr="00B05113">
        <w:rPr>
          <w:lang w:val="en" w:eastAsia="en-AU"/>
        </w:rPr>
        <w:t>[2018] HCA 30</w:t>
      </w:r>
      <w:r w:rsidRPr="00D203EB">
        <w:rPr>
          <w:lang w:val="en" w:eastAsia="en-AU"/>
        </w:rPr>
        <w:t xml:space="preserve">; (2018) 357 ALR 408 at [54]-[60] (Gageler J); [78]-[79] (Nettle and Gordon JJ); [135] (Edelman J). </w:t>
      </w:r>
    </w:p>
    <w:p w:rsidR="00AE2FC4" w:rsidRPr="00653EB8" w:rsidRDefault="00AE2FC4" w:rsidP="00517922">
      <w:pPr>
        <w:pStyle w:val="ParaNumbering"/>
        <w:rPr>
          <w:lang w:val="en" w:eastAsia="en-AU"/>
        </w:rPr>
      </w:pPr>
      <w:r w:rsidRPr="00653EB8">
        <w:rPr>
          <w:lang w:val="en" w:eastAsia="en-AU"/>
        </w:rPr>
        <w:t xml:space="preserve">The Court provided the following examples. A decision might be legally unreasonable if it is “illogical”, though an inference of unreasonableness will not be supported merely because a decision appears to be irrational: </w:t>
      </w:r>
      <w:r w:rsidRPr="00653EB8">
        <w:rPr>
          <w:i/>
          <w:lang w:val="en" w:eastAsia="en-AU"/>
        </w:rPr>
        <w:t>Minister for Immigration and Border Protection v</w:t>
      </w:r>
      <w:r w:rsidRPr="00653EB8">
        <w:rPr>
          <w:lang w:val="en" w:eastAsia="en-AU"/>
        </w:rPr>
        <w:t xml:space="preserve"> </w:t>
      </w:r>
      <w:r w:rsidRPr="00653EB8">
        <w:rPr>
          <w:i/>
          <w:iCs/>
          <w:lang w:val="en" w:eastAsia="en-AU"/>
        </w:rPr>
        <w:t>SZVFW</w:t>
      </w:r>
      <w:r w:rsidRPr="00653EB8">
        <w:rPr>
          <w:lang w:val="en" w:eastAsia="en-AU"/>
        </w:rPr>
        <w:t xml:space="preserve"> [2018] HCA 30; (2018) 92 ALJR 713 </w:t>
      </w:r>
      <w:r w:rsidR="00A20F44" w:rsidRPr="00653EB8">
        <w:rPr>
          <w:lang w:val="en" w:eastAsia="en-AU"/>
        </w:rPr>
        <w:t>(</w:t>
      </w:r>
      <w:r w:rsidR="00A20F44" w:rsidRPr="00653EB8">
        <w:rPr>
          <w:i/>
          <w:lang w:val="en" w:eastAsia="en-AU"/>
        </w:rPr>
        <w:t>SZVFW</w:t>
      </w:r>
      <w:r w:rsidR="00A20F44" w:rsidRPr="00653EB8">
        <w:rPr>
          <w:lang w:val="en" w:eastAsia="en-AU"/>
        </w:rPr>
        <w:t xml:space="preserve">) </w:t>
      </w:r>
      <w:r w:rsidRPr="00653EB8">
        <w:rPr>
          <w:lang w:val="en" w:eastAsia="en-AU"/>
        </w:rPr>
        <w:t xml:space="preserve">at [10] per Kiefel CJ; [82] per Nettle and Gordon JJ; </w:t>
      </w:r>
      <w:r w:rsidRPr="00CB05CB">
        <w:rPr>
          <w:bCs/>
          <w:i/>
          <w:iCs/>
          <w:lang w:val="en" w:eastAsia="en-AU"/>
        </w:rPr>
        <w:t>Li</w:t>
      </w:r>
      <w:r w:rsidRPr="00CB05CB">
        <w:rPr>
          <w:i/>
          <w:iCs/>
          <w:lang w:val="en" w:eastAsia="en-AU"/>
        </w:rPr>
        <w:t xml:space="preserve"> </w:t>
      </w:r>
      <w:r w:rsidRPr="00CB05CB">
        <w:rPr>
          <w:iCs/>
          <w:lang w:val="en" w:eastAsia="en-AU"/>
        </w:rPr>
        <w:t xml:space="preserve">at [68] </w:t>
      </w:r>
      <w:r w:rsidRPr="00CB05CB">
        <w:rPr>
          <w:lang w:val="en" w:eastAsia="en-AU"/>
        </w:rPr>
        <w:t xml:space="preserve">per Hayne, Kiefel and Bell JJ; or it “lacks an evident and intelligible justification”: </w:t>
      </w:r>
      <w:r w:rsidRPr="00411400">
        <w:rPr>
          <w:i/>
          <w:iCs/>
          <w:lang w:val="en" w:eastAsia="en-AU"/>
        </w:rPr>
        <w:t>Li</w:t>
      </w:r>
      <w:r w:rsidRPr="00411400">
        <w:rPr>
          <w:lang w:val="en" w:eastAsia="en-AU"/>
        </w:rPr>
        <w:t xml:space="preserve"> at [76] per Hayne, Kiefel and Bell JJ; </w:t>
      </w:r>
      <w:r w:rsidRPr="00411400">
        <w:rPr>
          <w:i/>
          <w:iCs/>
          <w:lang w:val="en" w:eastAsia="en-AU"/>
        </w:rPr>
        <w:t>SZVFW</w:t>
      </w:r>
      <w:r w:rsidRPr="00411400">
        <w:rPr>
          <w:lang w:val="en" w:eastAsia="en-AU"/>
        </w:rPr>
        <w:t xml:space="preserve"> at [10] per Kiefel CJ</w:t>
      </w:r>
      <w:r w:rsidR="00AE212A">
        <w:rPr>
          <w:lang w:val="en" w:eastAsia="en-AU"/>
        </w:rPr>
        <w:t>;</w:t>
      </w:r>
      <w:r w:rsidRPr="00411400">
        <w:rPr>
          <w:lang w:val="en" w:eastAsia="en-AU"/>
        </w:rPr>
        <w:t xml:space="preserve"> [82] per Nettle and Gordon JJ; or it is plainly unjust, arbitrary, capricious or lacking common</w:t>
      </w:r>
      <w:r w:rsidR="00EC79DD">
        <w:rPr>
          <w:lang w:val="en" w:eastAsia="en-AU"/>
        </w:rPr>
        <w:t xml:space="preserve"> </w:t>
      </w:r>
      <w:r w:rsidRPr="00411400">
        <w:rPr>
          <w:lang w:val="en" w:eastAsia="en-AU"/>
        </w:rPr>
        <w:t xml:space="preserve">sense: </w:t>
      </w:r>
      <w:r w:rsidRPr="00411400">
        <w:rPr>
          <w:i/>
          <w:iCs/>
          <w:lang w:val="en" w:eastAsia="en-AU"/>
        </w:rPr>
        <w:t xml:space="preserve">Minister for Immigration and Border Protection v Stretton </w:t>
      </w:r>
      <w:r w:rsidRPr="00411400">
        <w:rPr>
          <w:iCs/>
          <w:lang w:val="en" w:eastAsia="en-AU"/>
        </w:rPr>
        <w:t>[2016] FCAFC 11; (2016) 237 FCR 1</w:t>
      </w:r>
      <w:r w:rsidRPr="00411400">
        <w:rPr>
          <w:lang w:val="en" w:eastAsia="en-AU"/>
        </w:rPr>
        <w:t xml:space="preserve"> at [11] per Allsop CJ, with whom Griffiths and Wigney JJ relevantly agreed at [87], [90]; </w:t>
      </w:r>
      <w:r w:rsidRPr="00411400">
        <w:rPr>
          <w:i/>
          <w:iCs/>
          <w:lang w:val="en" w:eastAsia="en-AU"/>
        </w:rPr>
        <w:t>Muggeridge v Minister for Immigration and Border Protection</w:t>
      </w:r>
      <w:r w:rsidRPr="00411400">
        <w:rPr>
          <w:lang w:val="en" w:eastAsia="en-AU"/>
        </w:rPr>
        <w:t xml:space="preserve"> [2017] FCAFC 200; (2017) 255 FCR 81 at [35] per Charlesworth J with whom Flick an</w:t>
      </w:r>
      <w:r w:rsidR="00C543BD">
        <w:rPr>
          <w:lang w:val="en" w:eastAsia="en-AU"/>
        </w:rPr>
        <w:t>d Perry JJ agreed at [1], [2].</w:t>
      </w:r>
    </w:p>
    <w:p w:rsidR="00AE2489" w:rsidRPr="00501D78" w:rsidRDefault="00AE2489" w:rsidP="00AE2489">
      <w:pPr>
        <w:pStyle w:val="ParaNumbering"/>
        <w:rPr>
          <w:lang w:val="en" w:eastAsia="en-AU"/>
        </w:rPr>
      </w:pPr>
      <w:r w:rsidRPr="008172CC">
        <w:rPr>
          <w:lang w:val="en" w:eastAsia="en-AU"/>
        </w:rPr>
        <w:lastRenderedPageBreak/>
        <w:t xml:space="preserve">As the High Court </w:t>
      </w:r>
      <w:r w:rsidRPr="00415331">
        <w:rPr>
          <w:lang w:val="en" w:eastAsia="en-AU"/>
        </w:rPr>
        <w:t>has</w:t>
      </w:r>
      <w:r w:rsidRPr="008172CC">
        <w:rPr>
          <w:lang w:val="en" w:eastAsia="en-AU"/>
        </w:rPr>
        <w:t xml:space="preserve"> observed</w:t>
      </w:r>
      <w:r>
        <w:rPr>
          <w:lang w:val="en" w:eastAsia="en-AU"/>
        </w:rPr>
        <w:t xml:space="preserve">, </w:t>
      </w:r>
      <w:r w:rsidRPr="002D7F81">
        <w:rPr>
          <w:lang w:val="en" w:eastAsia="en-AU"/>
        </w:rPr>
        <w:t>the test of legal unreasonableness is necessarily stringent:</w:t>
      </w:r>
      <w:r w:rsidRPr="00DB7693">
        <w:rPr>
          <w:i/>
          <w:lang w:val="en" w:eastAsia="en-AU"/>
        </w:rPr>
        <w:t xml:space="preserve"> SZVFW</w:t>
      </w:r>
      <w:r w:rsidRPr="002D7F81">
        <w:rPr>
          <w:lang w:val="en" w:eastAsia="en-AU"/>
        </w:rPr>
        <w:t xml:space="preserve"> at [11] per Kiefel CJ; and see [51]-[60] per Gageler J</w:t>
      </w:r>
      <w:r w:rsidR="001B13CE">
        <w:rPr>
          <w:lang w:val="en" w:eastAsia="en-AU"/>
        </w:rPr>
        <w:t>;</w:t>
      </w:r>
      <w:r w:rsidRPr="002D7F81">
        <w:rPr>
          <w:lang w:val="en" w:eastAsia="en-AU"/>
        </w:rPr>
        <w:t xml:space="preserve"> [78]-[87] per </w:t>
      </w:r>
      <w:r w:rsidRPr="002D7F81">
        <w:rPr>
          <w:lang w:val="en"/>
        </w:rPr>
        <w:t>Nettle and Gordon JJ</w:t>
      </w:r>
      <w:r w:rsidR="001B13CE">
        <w:rPr>
          <w:lang w:val="en"/>
        </w:rPr>
        <w:t>;</w:t>
      </w:r>
      <w:r w:rsidRPr="002D7F81">
        <w:rPr>
          <w:lang w:val="en"/>
        </w:rPr>
        <w:t xml:space="preserve"> </w:t>
      </w:r>
      <w:r w:rsidRPr="00501D78">
        <w:rPr>
          <w:lang w:val="en"/>
        </w:rPr>
        <w:t xml:space="preserve">[131]–[135] per Edelman J. </w:t>
      </w:r>
    </w:p>
    <w:p w:rsidR="00AE2489" w:rsidRPr="00517922" w:rsidRDefault="00AE2489" w:rsidP="004D3026">
      <w:pPr>
        <w:pStyle w:val="ParaNumbering"/>
        <w:rPr>
          <w:bCs/>
          <w:i/>
          <w:iCs/>
        </w:rPr>
      </w:pPr>
      <w:bookmarkStart w:id="25" w:name="_Ref18315087"/>
      <w:r w:rsidRPr="00653EB8">
        <w:rPr>
          <w:lang w:val="en"/>
        </w:rPr>
        <w:t xml:space="preserve">It may be accepted that there may be circumstances in which it would be legally unreasonable for the Authority to fail to exercise the discretion in s 473DC(3): </w:t>
      </w:r>
      <w:r w:rsidRPr="00653EB8">
        <w:rPr>
          <w:i/>
          <w:iCs/>
          <w:lang w:val="en"/>
        </w:rPr>
        <w:t>Plaintiff M174/2016 v Minister for Immigration and Border Protection</w:t>
      </w:r>
      <w:r w:rsidRPr="00653EB8">
        <w:rPr>
          <w:lang w:val="en"/>
        </w:rPr>
        <w:t xml:space="preserve"> [2018] HCA 16; (2018) 353 ALR 600</w:t>
      </w:r>
      <w:r w:rsidR="00A20F44">
        <w:rPr>
          <w:lang w:val="en"/>
        </w:rPr>
        <w:t xml:space="preserve"> (</w:t>
      </w:r>
      <w:r w:rsidR="00A20F44" w:rsidRPr="00A6420E">
        <w:rPr>
          <w:i/>
          <w:lang w:val="en"/>
        </w:rPr>
        <w:t>Plaintiff M174/2016</w:t>
      </w:r>
      <w:r w:rsidR="00A20F44">
        <w:rPr>
          <w:lang w:val="en"/>
        </w:rPr>
        <w:t>)</w:t>
      </w:r>
      <w:r w:rsidRPr="00653EB8">
        <w:rPr>
          <w:lang w:val="en"/>
        </w:rPr>
        <w:t xml:space="preserve"> at [21]</w:t>
      </w:r>
      <w:r w:rsidR="00C67E70">
        <w:rPr>
          <w:lang w:val="en"/>
        </w:rPr>
        <w:t xml:space="preserve">. See </w:t>
      </w:r>
      <w:r w:rsidR="004D3026" w:rsidRPr="00653EB8">
        <w:rPr>
          <w:lang w:val="en"/>
        </w:rPr>
        <w:t>for example:</w:t>
      </w:r>
      <w:r w:rsidR="004D3026" w:rsidRPr="00653EB8">
        <w:rPr>
          <w:bCs/>
          <w:i/>
          <w:iCs/>
          <w:lang w:val="en"/>
        </w:rPr>
        <w:t xml:space="preserve"> </w:t>
      </w:r>
      <w:r w:rsidR="004D3026" w:rsidRPr="00653EB8">
        <w:rPr>
          <w:bCs/>
          <w:i/>
          <w:iCs/>
        </w:rPr>
        <w:t xml:space="preserve">CRY16 </w:t>
      </w:r>
      <w:r w:rsidR="004D3026" w:rsidRPr="00653EB8">
        <w:rPr>
          <w:lang w:val="en"/>
        </w:rPr>
        <w:t xml:space="preserve">at [82]; </w:t>
      </w:r>
      <w:r w:rsidR="004D3026" w:rsidRPr="00653EB8">
        <w:rPr>
          <w:bCs/>
          <w:i/>
          <w:iCs/>
        </w:rPr>
        <w:t xml:space="preserve">Minister for Immigration and Border Protection v DZU16 </w:t>
      </w:r>
      <w:r w:rsidR="004D3026" w:rsidRPr="00517922">
        <w:rPr>
          <w:bCs/>
          <w:iCs/>
        </w:rPr>
        <w:t>[2018] FCAFC 32; (2018) 253 FCR 526</w:t>
      </w:r>
      <w:r w:rsidR="004D3026" w:rsidRPr="00653EB8">
        <w:rPr>
          <w:bCs/>
          <w:i/>
          <w:iCs/>
        </w:rPr>
        <w:t xml:space="preserve"> </w:t>
      </w:r>
      <w:r w:rsidR="00C543BD">
        <w:rPr>
          <w:lang w:val="en"/>
        </w:rPr>
        <w:t>at [80], [81].</w:t>
      </w:r>
      <w:r w:rsidRPr="00653EB8">
        <w:rPr>
          <w:lang w:val="en"/>
        </w:rPr>
        <w:t xml:space="preserve"> However, this is not one of those cases.</w:t>
      </w:r>
      <w:bookmarkEnd w:id="25"/>
    </w:p>
    <w:p w:rsidR="00AE2489" w:rsidRDefault="008B7930" w:rsidP="00AE2489">
      <w:pPr>
        <w:pStyle w:val="ParaNumbering"/>
        <w:tabs>
          <w:tab w:val="clear" w:pos="720"/>
        </w:tabs>
        <w:rPr>
          <w:lang w:val="en"/>
        </w:rPr>
      </w:pPr>
      <w:r>
        <w:t xml:space="preserve">As </w:t>
      </w:r>
      <w:r w:rsidR="000B0945">
        <w:t>noted above, the Authority</w:t>
      </w:r>
      <w:r w:rsidR="00AE2489">
        <w:t xml:space="preserve"> considered the new information</w:t>
      </w:r>
      <w:r w:rsidR="001B13CE">
        <w:t>,</w:t>
      </w:r>
      <w:r w:rsidR="00AE2489">
        <w:t xml:space="preserve"> and</w:t>
      </w:r>
      <w:r w:rsidR="000B0945">
        <w:t xml:space="preserve"> is apparent</w:t>
      </w:r>
      <w:r>
        <w:t xml:space="preserve"> from the passages cited</w:t>
      </w:r>
      <w:r w:rsidR="009651BE">
        <w:t xml:space="preserve"> at [</w:t>
      </w:r>
      <w:r w:rsidR="00545B29">
        <w:fldChar w:fldCharType="begin" w:fldLock="1"/>
      </w:r>
      <w:r w:rsidR="00545B29">
        <w:instrText xml:space="preserve"> REF _Ref18315032 \r \h </w:instrText>
      </w:r>
      <w:r w:rsidR="00545B29">
        <w:fldChar w:fldCharType="separate"/>
      </w:r>
      <w:r w:rsidR="00ED4453">
        <w:t>8</w:t>
      </w:r>
      <w:r w:rsidR="00545B29">
        <w:fldChar w:fldCharType="end"/>
      </w:r>
      <w:r w:rsidR="009651BE">
        <w:t>]</w:t>
      </w:r>
      <w:r>
        <w:t xml:space="preserve"> </w:t>
      </w:r>
      <w:r w:rsidR="00AE2489">
        <w:t>above (at [</w:t>
      </w:r>
      <w:r w:rsidR="009651BE">
        <w:t>5</w:t>
      </w:r>
      <w:r w:rsidR="00AE2489">
        <w:t>]-[</w:t>
      </w:r>
      <w:r w:rsidR="009651BE">
        <w:t>8</w:t>
      </w:r>
      <w:r w:rsidR="00AE2489">
        <w:t>]</w:t>
      </w:r>
      <w:r w:rsidR="00C168B8">
        <w:t xml:space="preserve"> of its reasons</w:t>
      </w:r>
      <w:r w:rsidR="00AE2489">
        <w:t xml:space="preserve">), </w:t>
      </w:r>
      <w:r>
        <w:t>gave detailed consi</w:t>
      </w:r>
      <w:r w:rsidR="00AE2489">
        <w:t>deration to whether this new information satisfied s 473DD</w:t>
      </w:r>
      <w:r w:rsidR="000B0945">
        <w:t xml:space="preserve">. </w:t>
      </w:r>
    </w:p>
    <w:p w:rsidR="00D649C2" w:rsidRPr="00DB7D56" w:rsidRDefault="00AE2489" w:rsidP="00DB7D56">
      <w:pPr>
        <w:pStyle w:val="ParaNumbering"/>
        <w:tabs>
          <w:tab w:val="clear" w:pos="720"/>
        </w:tabs>
        <w:rPr>
          <w:lang w:val="en"/>
        </w:rPr>
      </w:pPr>
      <w:r>
        <w:rPr>
          <w:lang w:val="en"/>
        </w:rPr>
        <w:t xml:space="preserve">While, as </w:t>
      </w:r>
      <w:r w:rsidR="00BC4E1D">
        <w:rPr>
          <w:lang w:val="en"/>
        </w:rPr>
        <w:t xml:space="preserve">counsel for the appellants </w:t>
      </w:r>
      <w:r>
        <w:rPr>
          <w:lang w:val="en"/>
        </w:rPr>
        <w:t>po</w:t>
      </w:r>
      <w:r w:rsidRPr="00E55F7E">
        <w:rPr>
          <w:lang w:val="en"/>
        </w:rPr>
        <w:t>in</w:t>
      </w:r>
      <w:r w:rsidR="006F5512" w:rsidRPr="00E55F7E">
        <w:rPr>
          <w:lang w:val="en"/>
        </w:rPr>
        <w:t>ted</w:t>
      </w:r>
      <w:r>
        <w:rPr>
          <w:lang w:val="en"/>
        </w:rPr>
        <w:t xml:space="preserve"> out</w:t>
      </w:r>
      <w:r w:rsidR="00C543BD">
        <w:rPr>
          <w:lang w:val="en"/>
        </w:rPr>
        <w:t>,</w:t>
      </w:r>
      <w:r>
        <w:rPr>
          <w:lang w:val="en"/>
        </w:rPr>
        <w:t xml:space="preserve"> the </w:t>
      </w:r>
      <w:r>
        <w:t>Authority did accept that a person with the history</w:t>
      </w:r>
      <w:r w:rsidR="00473CB9">
        <w:t xml:space="preserve"> that</w:t>
      </w:r>
      <w:r>
        <w:t xml:space="preserve"> CT</w:t>
      </w:r>
      <w:r w:rsidR="009651BE">
        <w:t>G</w:t>
      </w:r>
      <w:r>
        <w:t>18 claimed may initially fear disclosing his LTTE connections for the reasons he gave, it rejected th</w:t>
      </w:r>
      <w:r w:rsidR="00DB7D56">
        <w:t xml:space="preserve">e submission as to why it was not put before the delegate. The Authority concluded in the circumstances that there was no credible explanation for why the </w:t>
      </w:r>
      <w:r w:rsidR="003B0864">
        <w:t xml:space="preserve">appellants </w:t>
      </w:r>
      <w:r w:rsidR="00DB7D56">
        <w:t>waited until after the delegate</w:t>
      </w:r>
      <w:r w:rsidR="004F4ACA">
        <w:t>’</w:t>
      </w:r>
      <w:r w:rsidR="00DB7D56">
        <w:t>s decision to make the claim.</w:t>
      </w:r>
      <w:r w:rsidR="00784191">
        <w:t xml:space="preserve"> T</w:t>
      </w:r>
      <w:r w:rsidR="00DB7D56">
        <w:t xml:space="preserve">he Authority </w:t>
      </w:r>
      <w:r w:rsidR="00784191">
        <w:t xml:space="preserve">also </w:t>
      </w:r>
      <w:r w:rsidR="00DB7D56">
        <w:t xml:space="preserve">placed weight on the fact that the new information directly contradicted the </w:t>
      </w:r>
      <w:r w:rsidR="003B0864">
        <w:t xml:space="preserve">first </w:t>
      </w:r>
      <w:r w:rsidR="00DB7D56">
        <w:t>app</w:t>
      </w:r>
      <w:r w:rsidR="003B0864">
        <w:t>ellant</w:t>
      </w:r>
      <w:r w:rsidR="00DB7D56">
        <w:t xml:space="preserve">’s earlier sworn evidence. The Authority concluded neither condition in s 473DD(b) was satisfied. </w:t>
      </w:r>
    </w:p>
    <w:p w:rsidR="008B7930" w:rsidRPr="003430E5" w:rsidRDefault="00D649C2" w:rsidP="000D01B3">
      <w:pPr>
        <w:pStyle w:val="ParaNumbering"/>
      </w:pPr>
      <w:r w:rsidRPr="003430E5">
        <w:t>It was in that contex</w:t>
      </w:r>
      <w:r w:rsidR="000D01B3" w:rsidRPr="003430E5">
        <w:t xml:space="preserve">t </w:t>
      </w:r>
      <w:r w:rsidRPr="003430E5">
        <w:t xml:space="preserve">that </w:t>
      </w:r>
      <w:r w:rsidRPr="003430E5">
        <w:rPr>
          <w:w w:val="105"/>
        </w:rPr>
        <w:t xml:space="preserve">the Authority </w:t>
      </w:r>
      <w:r w:rsidR="000D01B3" w:rsidRPr="003430E5">
        <w:rPr>
          <w:w w:val="105"/>
        </w:rPr>
        <w:t xml:space="preserve">decided </w:t>
      </w:r>
      <w:r w:rsidRPr="003430E5">
        <w:rPr>
          <w:w w:val="105"/>
        </w:rPr>
        <w:t xml:space="preserve">it would not invite </w:t>
      </w:r>
      <w:r w:rsidRPr="003430E5">
        <w:rPr>
          <w:spacing w:val="1"/>
          <w:w w:val="105"/>
        </w:rPr>
        <w:t>CT</w:t>
      </w:r>
      <w:r w:rsidR="00183C17">
        <w:rPr>
          <w:spacing w:val="1"/>
          <w:w w:val="105"/>
        </w:rPr>
        <w:t>G</w:t>
      </w:r>
      <w:r w:rsidRPr="003430E5">
        <w:rPr>
          <w:spacing w:val="1"/>
          <w:w w:val="105"/>
        </w:rPr>
        <w:t>18</w:t>
      </w:r>
      <w:r w:rsidRPr="003430E5">
        <w:rPr>
          <w:w w:val="105"/>
        </w:rPr>
        <w:t xml:space="preserve"> for an interview. </w:t>
      </w:r>
      <w:r w:rsidR="000D01B3" w:rsidRPr="003430E5">
        <w:rPr>
          <w:w w:val="105"/>
        </w:rPr>
        <w:t>It</w:t>
      </w:r>
      <w:r w:rsidR="000D01B3" w:rsidRPr="003430E5">
        <w:t xml:space="preserve"> </w:t>
      </w:r>
      <w:r w:rsidRPr="003430E5">
        <w:rPr>
          <w:w w:val="105"/>
        </w:rPr>
        <w:t xml:space="preserve">gave detailed reasons for that decision. It </w:t>
      </w:r>
      <w:r w:rsidRPr="003430E5">
        <w:rPr>
          <w:spacing w:val="-4"/>
          <w:w w:val="105"/>
        </w:rPr>
        <w:t xml:space="preserve">was </w:t>
      </w:r>
      <w:r w:rsidRPr="003430E5">
        <w:rPr>
          <w:w w:val="105"/>
        </w:rPr>
        <w:t>open to the Authority to decline</w:t>
      </w:r>
      <w:r w:rsidRPr="003430E5">
        <w:rPr>
          <w:spacing w:val="-3"/>
          <w:w w:val="105"/>
        </w:rPr>
        <w:t xml:space="preserve"> </w:t>
      </w:r>
      <w:r w:rsidRPr="003430E5">
        <w:rPr>
          <w:w w:val="105"/>
        </w:rPr>
        <w:t xml:space="preserve">to exercise the </w:t>
      </w:r>
      <w:r w:rsidRPr="003430E5">
        <w:rPr>
          <w:spacing w:val="1"/>
          <w:w w:val="105"/>
        </w:rPr>
        <w:t>discretion</w:t>
      </w:r>
      <w:r w:rsidRPr="003430E5">
        <w:rPr>
          <w:w w:val="105"/>
        </w:rPr>
        <w:t xml:space="preserve"> in s </w:t>
      </w:r>
      <w:r w:rsidR="000D01B3" w:rsidRPr="003430E5">
        <w:rPr>
          <w:w w:val="105"/>
        </w:rPr>
        <w:t xml:space="preserve">473DC(3)(b). </w:t>
      </w:r>
    </w:p>
    <w:p w:rsidR="000D01B3" w:rsidRDefault="000D01B3" w:rsidP="009E7F14">
      <w:pPr>
        <w:pStyle w:val="ParaNumbering"/>
        <w:tabs>
          <w:tab w:val="clear" w:pos="720"/>
        </w:tabs>
        <w:rPr>
          <w:lang w:val="en"/>
        </w:rPr>
      </w:pPr>
      <w:r>
        <w:rPr>
          <w:lang w:val="en"/>
        </w:rPr>
        <w:t xml:space="preserve">During the course of oral submissions the </w:t>
      </w:r>
      <w:r w:rsidR="003B0864">
        <w:rPr>
          <w:lang w:val="en"/>
        </w:rPr>
        <w:t xml:space="preserve">appellants </w:t>
      </w:r>
      <w:r>
        <w:rPr>
          <w:lang w:val="en"/>
        </w:rPr>
        <w:t>raised a number of matters, some of which were not the subject of the</w:t>
      </w:r>
      <w:r w:rsidR="0038715D">
        <w:rPr>
          <w:lang w:val="en"/>
        </w:rPr>
        <w:t>ir</w:t>
      </w:r>
      <w:r>
        <w:rPr>
          <w:lang w:val="en"/>
        </w:rPr>
        <w:t xml:space="preserve"> written submission</w:t>
      </w:r>
      <w:r w:rsidR="0038715D">
        <w:rPr>
          <w:lang w:val="en"/>
        </w:rPr>
        <w:t>s</w:t>
      </w:r>
      <w:r>
        <w:rPr>
          <w:lang w:val="en"/>
        </w:rPr>
        <w:t>.</w:t>
      </w:r>
    </w:p>
    <w:p w:rsidR="0010528C" w:rsidRPr="00DA1BD3" w:rsidRDefault="00784191" w:rsidP="0010528C">
      <w:pPr>
        <w:pStyle w:val="ParaNumbering"/>
        <w:tabs>
          <w:tab w:val="clear" w:pos="720"/>
        </w:tabs>
        <w:rPr>
          <w:lang w:val="en"/>
        </w:rPr>
      </w:pPr>
      <w:r w:rsidRPr="00653EB8">
        <w:rPr>
          <w:i/>
          <w:lang w:val="en"/>
        </w:rPr>
        <w:t>First</w:t>
      </w:r>
      <w:r w:rsidRPr="00653EB8">
        <w:rPr>
          <w:lang w:val="en"/>
        </w:rPr>
        <w:t xml:space="preserve">, the </w:t>
      </w:r>
      <w:r w:rsidR="003B0864">
        <w:rPr>
          <w:lang w:val="en"/>
        </w:rPr>
        <w:t>appellants</w:t>
      </w:r>
      <w:r w:rsidR="003B0864" w:rsidRPr="00653EB8">
        <w:rPr>
          <w:lang w:val="en"/>
        </w:rPr>
        <w:t xml:space="preserve"> </w:t>
      </w:r>
      <w:r w:rsidRPr="00653EB8">
        <w:rPr>
          <w:lang w:val="en"/>
        </w:rPr>
        <w:t xml:space="preserve">ultimately submitted </w:t>
      </w:r>
      <w:r w:rsidRPr="00190C5B">
        <w:rPr>
          <w:lang w:val="en"/>
        </w:rPr>
        <w:t xml:space="preserve">that </w:t>
      </w:r>
      <w:r w:rsidRPr="006F5512">
        <w:rPr>
          <w:lang w:val="en"/>
        </w:rPr>
        <w:t xml:space="preserve">the </w:t>
      </w:r>
      <w:r w:rsidRPr="00190C5B">
        <w:rPr>
          <w:lang w:val="en"/>
        </w:rPr>
        <w:t>aspect</w:t>
      </w:r>
      <w:r w:rsidRPr="00653EB8">
        <w:rPr>
          <w:lang w:val="en"/>
        </w:rPr>
        <w:t xml:space="preserve"> of paragraph [7] of the Authority’s reasons (</w:t>
      </w:r>
      <w:r w:rsidRPr="00190C5B">
        <w:rPr>
          <w:lang w:val="en"/>
        </w:rPr>
        <w:t xml:space="preserve">recited </w:t>
      </w:r>
      <w:r w:rsidRPr="006F5512">
        <w:rPr>
          <w:lang w:val="en"/>
        </w:rPr>
        <w:t>above at [</w:t>
      </w:r>
      <w:r w:rsidR="00545B29">
        <w:rPr>
          <w:lang w:val="en"/>
        </w:rPr>
        <w:fldChar w:fldCharType="begin" w:fldLock="1"/>
      </w:r>
      <w:r w:rsidR="00545B29">
        <w:rPr>
          <w:lang w:val="en"/>
        </w:rPr>
        <w:instrText xml:space="preserve"> REF _Ref18315032 \r \h </w:instrText>
      </w:r>
      <w:r w:rsidR="00545B29">
        <w:rPr>
          <w:lang w:val="en"/>
        </w:rPr>
      </w:r>
      <w:r w:rsidR="00545B29">
        <w:rPr>
          <w:lang w:val="en"/>
        </w:rPr>
        <w:fldChar w:fldCharType="separate"/>
      </w:r>
      <w:r w:rsidR="00ED4453">
        <w:rPr>
          <w:lang w:val="en"/>
        </w:rPr>
        <w:t>8</w:t>
      </w:r>
      <w:r w:rsidR="00545B29">
        <w:rPr>
          <w:lang w:val="en"/>
        </w:rPr>
        <w:fldChar w:fldCharType="end"/>
      </w:r>
      <w:r w:rsidRPr="006F5512">
        <w:rPr>
          <w:lang w:val="en"/>
        </w:rPr>
        <w:t>]),</w:t>
      </w:r>
      <w:r w:rsidRPr="00653EB8">
        <w:rPr>
          <w:lang w:val="en"/>
        </w:rPr>
        <w:t xml:space="preserve"> which was irrational and illogical was the reference to the three month delay. The </w:t>
      </w:r>
      <w:r w:rsidR="003B0864">
        <w:rPr>
          <w:lang w:val="en"/>
        </w:rPr>
        <w:t>appellants</w:t>
      </w:r>
      <w:r w:rsidRPr="00653EB8">
        <w:rPr>
          <w:lang w:val="en"/>
        </w:rPr>
        <w:t xml:space="preserve"> submitted that the Authority discounted the new claims </w:t>
      </w:r>
      <w:r w:rsidRPr="00E55F7E">
        <w:rPr>
          <w:lang w:val="en"/>
        </w:rPr>
        <w:t xml:space="preserve">because of the length of time it took before the </w:t>
      </w:r>
      <w:r w:rsidR="003B0864" w:rsidRPr="00E55F7E">
        <w:rPr>
          <w:lang w:val="en"/>
        </w:rPr>
        <w:t xml:space="preserve">appellants’ </w:t>
      </w:r>
      <w:r w:rsidRPr="00E55F7E">
        <w:rPr>
          <w:lang w:val="en"/>
        </w:rPr>
        <w:t xml:space="preserve">claims were raised, but for </w:t>
      </w:r>
      <w:r w:rsidR="001C0389" w:rsidRPr="00E55F7E">
        <w:rPr>
          <w:lang w:val="en"/>
        </w:rPr>
        <w:t xml:space="preserve">which </w:t>
      </w:r>
      <w:r w:rsidR="00F50B8D" w:rsidRPr="00E55F7E">
        <w:rPr>
          <w:lang w:val="en"/>
        </w:rPr>
        <w:t>the Authority</w:t>
      </w:r>
      <w:r w:rsidRPr="00E55F7E">
        <w:rPr>
          <w:lang w:val="en"/>
        </w:rPr>
        <w:t xml:space="preserve"> would have accepted the explanation</w:t>
      </w:r>
      <w:r w:rsidR="00F50B8D" w:rsidRPr="00E55F7E">
        <w:rPr>
          <w:lang w:val="en"/>
        </w:rPr>
        <w:t xml:space="preserve"> for the delay in</w:t>
      </w:r>
      <w:r w:rsidR="00C543BD" w:rsidRPr="00E55F7E">
        <w:rPr>
          <w:lang w:val="en"/>
        </w:rPr>
        <w:t xml:space="preserve"> making the claims.</w:t>
      </w:r>
      <w:r w:rsidRPr="00E55F7E">
        <w:rPr>
          <w:lang w:val="en"/>
        </w:rPr>
        <w:t xml:space="preserve"> However, that submission is not supported by the reasons. It is apparent that the time </w:t>
      </w:r>
      <w:r w:rsidR="00566435" w:rsidRPr="00E55F7E">
        <w:rPr>
          <w:lang w:val="en"/>
        </w:rPr>
        <w:t xml:space="preserve">period </w:t>
      </w:r>
      <w:r w:rsidR="007A0D88" w:rsidRPr="00E55F7E">
        <w:rPr>
          <w:lang w:val="en"/>
        </w:rPr>
        <w:t xml:space="preserve">was only one factor. It was also in </w:t>
      </w:r>
      <w:r w:rsidRPr="00E55F7E">
        <w:rPr>
          <w:lang w:val="en"/>
        </w:rPr>
        <w:t xml:space="preserve">the context of </w:t>
      </w:r>
      <w:r w:rsidR="007A0D88" w:rsidRPr="00E55F7E">
        <w:rPr>
          <w:lang w:val="en"/>
        </w:rPr>
        <w:t xml:space="preserve">the appellants </w:t>
      </w:r>
      <w:r w:rsidRPr="00E55F7E">
        <w:rPr>
          <w:lang w:val="en"/>
        </w:rPr>
        <w:t xml:space="preserve">having professional help, </w:t>
      </w:r>
      <w:r w:rsidR="007A0D88" w:rsidRPr="00E55F7E">
        <w:rPr>
          <w:lang w:val="en"/>
        </w:rPr>
        <w:t xml:space="preserve">the appellants </w:t>
      </w:r>
      <w:r w:rsidR="00F50B8D" w:rsidRPr="00E55F7E">
        <w:rPr>
          <w:lang w:val="en"/>
        </w:rPr>
        <w:t>not</w:t>
      </w:r>
      <w:r w:rsidR="00F50B8D" w:rsidRPr="006F5512">
        <w:rPr>
          <w:lang w:val="en"/>
        </w:rPr>
        <w:t xml:space="preserve"> </w:t>
      </w:r>
      <w:r w:rsidR="00F50B8D" w:rsidRPr="006F5512">
        <w:rPr>
          <w:lang w:val="en"/>
        </w:rPr>
        <w:lastRenderedPageBreak/>
        <w:t>being in</w:t>
      </w:r>
      <w:r w:rsidRPr="00CB05CB">
        <w:rPr>
          <w:lang w:val="en"/>
        </w:rPr>
        <w:t xml:space="preserve"> detention, what the </w:t>
      </w:r>
      <w:r w:rsidR="003B0864">
        <w:rPr>
          <w:lang w:val="en"/>
        </w:rPr>
        <w:t>appellants’</w:t>
      </w:r>
      <w:r w:rsidR="003B0864" w:rsidRPr="00CB05CB">
        <w:rPr>
          <w:lang w:val="en"/>
        </w:rPr>
        <w:t xml:space="preserve"> </w:t>
      </w:r>
      <w:r w:rsidRPr="00CB05CB">
        <w:rPr>
          <w:lang w:val="en"/>
        </w:rPr>
        <w:t xml:space="preserve">said in their interview, and a lack of a credible </w:t>
      </w:r>
      <w:r w:rsidRPr="00E55F7E">
        <w:rPr>
          <w:lang w:val="en"/>
        </w:rPr>
        <w:t>explanation for the delay</w:t>
      </w:r>
      <w:r w:rsidR="001C0389" w:rsidRPr="00E55F7E">
        <w:rPr>
          <w:lang w:val="en"/>
        </w:rPr>
        <w:t xml:space="preserve"> which the Authority took into account in making its finding</w:t>
      </w:r>
      <w:r w:rsidRPr="00E55F7E">
        <w:rPr>
          <w:lang w:val="en"/>
        </w:rPr>
        <w:t>.</w:t>
      </w:r>
      <w:r w:rsidR="00F50B8D" w:rsidRPr="00E55F7E">
        <w:t xml:space="preserve"> The Authority </w:t>
      </w:r>
      <w:r w:rsidR="007A0D88" w:rsidRPr="00E55F7E">
        <w:t>also concluded</w:t>
      </w:r>
      <w:r w:rsidR="00F50B8D" w:rsidRPr="006F5512">
        <w:t xml:space="preserve"> that </w:t>
      </w:r>
      <w:r w:rsidR="00F129D8" w:rsidRPr="006F5512">
        <w:t xml:space="preserve">the </w:t>
      </w:r>
      <w:r w:rsidR="00F50B8D" w:rsidRPr="006F5512">
        <w:t>new information directly contradicted the earlier sworn evidence. It did not accept that CTG18 did not provide truthful information in his previous statutory declaration submitted with his application and during his SHEV interview because he was afraid of the consequences of doing so.</w:t>
      </w:r>
      <w:r w:rsidRPr="00F129D8">
        <w:rPr>
          <w:lang w:val="en"/>
        </w:rPr>
        <w:t xml:space="preserve"> </w:t>
      </w:r>
      <w:r w:rsidR="0010528C" w:rsidRPr="00F129D8">
        <w:rPr>
          <w:lang w:val="en"/>
        </w:rPr>
        <w:t>In</w:t>
      </w:r>
      <w:r w:rsidR="0010528C" w:rsidRPr="003B0864">
        <w:rPr>
          <w:lang w:val="en"/>
        </w:rPr>
        <w:t xml:space="preserve"> addition, as noted above, the Authority concluded that the new information was not credible personal information. The Authority was not satisfied of either of the conditions in s 473DD(b).</w:t>
      </w:r>
    </w:p>
    <w:p w:rsidR="00F431C5" w:rsidRPr="00EE6BCE" w:rsidRDefault="00784191" w:rsidP="00EE6BCE">
      <w:pPr>
        <w:pStyle w:val="ParaNumbering"/>
        <w:tabs>
          <w:tab w:val="clear" w:pos="720"/>
        </w:tabs>
        <w:rPr>
          <w:lang w:val="en"/>
        </w:rPr>
      </w:pPr>
      <w:r>
        <w:rPr>
          <w:i/>
          <w:lang w:val="en"/>
        </w:rPr>
        <w:t>Second</w:t>
      </w:r>
      <w:r w:rsidR="000D01B3">
        <w:rPr>
          <w:lang w:val="en"/>
        </w:rPr>
        <w:t xml:space="preserve">, when </w:t>
      </w:r>
      <w:r w:rsidR="00D649C2" w:rsidRPr="000D01B3">
        <w:rPr>
          <w:lang w:val="en"/>
        </w:rPr>
        <w:t xml:space="preserve">attempting to address that the Authority concluded that the new information did not satisfy s 473DD, the </w:t>
      </w:r>
      <w:r w:rsidR="003B0864">
        <w:rPr>
          <w:lang w:val="en"/>
        </w:rPr>
        <w:t xml:space="preserve">appellants </w:t>
      </w:r>
      <w:r w:rsidR="004C5753" w:rsidRPr="000D01B3">
        <w:rPr>
          <w:lang w:val="en"/>
        </w:rPr>
        <w:t>submitted that the new claims were not new information for the purposes of s 473DC</w:t>
      </w:r>
      <w:r w:rsidR="000D01B3">
        <w:rPr>
          <w:lang w:val="en"/>
        </w:rPr>
        <w:t xml:space="preserve">. The argument was </w:t>
      </w:r>
      <w:r w:rsidR="0060477D">
        <w:rPr>
          <w:lang w:val="en"/>
        </w:rPr>
        <w:t xml:space="preserve">that </w:t>
      </w:r>
      <w:r w:rsidR="000D01B3">
        <w:rPr>
          <w:lang w:val="en"/>
        </w:rPr>
        <w:t>a “claim” is “nothing more than an assertion</w:t>
      </w:r>
      <w:r w:rsidR="00F431C5">
        <w:rPr>
          <w:lang w:val="en"/>
        </w:rPr>
        <w:t xml:space="preserve"> or perhaps a combination of argument” and therefore s 473DD was irrelevant. </w:t>
      </w:r>
      <w:r w:rsidR="00EE6BCE">
        <w:rPr>
          <w:lang w:val="en"/>
        </w:rPr>
        <w:t>It is not entirely clear where this argument led.</w:t>
      </w:r>
      <w:r>
        <w:rPr>
          <w:lang w:val="en"/>
        </w:rPr>
        <w:t xml:space="preserve"> I</w:t>
      </w:r>
      <w:r w:rsidR="00EE6BCE">
        <w:rPr>
          <w:lang w:val="en"/>
        </w:rPr>
        <w:t>n any event, the submission is incorrect.</w:t>
      </w:r>
    </w:p>
    <w:p w:rsidR="00F431C5" w:rsidRPr="00653EB8" w:rsidRDefault="00F431C5" w:rsidP="009E7F14">
      <w:pPr>
        <w:pStyle w:val="ParaNumbering"/>
        <w:tabs>
          <w:tab w:val="clear" w:pos="720"/>
        </w:tabs>
        <w:rPr>
          <w:lang w:val="en"/>
        </w:rPr>
      </w:pPr>
      <w:r>
        <w:rPr>
          <w:lang w:val="en"/>
        </w:rPr>
        <w:t xml:space="preserve">As the High Court concluded in </w:t>
      </w:r>
      <w:r w:rsidRPr="000D01B3">
        <w:rPr>
          <w:i/>
          <w:lang w:val="en"/>
        </w:rPr>
        <w:t>Plaintiff M174/2016</w:t>
      </w:r>
      <w:r>
        <w:rPr>
          <w:lang w:val="en"/>
        </w:rPr>
        <w:t xml:space="preserve"> at [24] per Gageler, Keane and Nettle JJ</w:t>
      </w:r>
      <w:r w:rsidR="00EE6BCE">
        <w:rPr>
          <w:lang w:val="en"/>
        </w:rPr>
        <w:t xml:space="preserve"> (</w:t>
      </w:r>
      <w:r w:rsidR="00EE6BCE" w:rsidRPr="00653EB8">
        <w:rPr>
          <w:lang w:val="en"/>
        </w:rPr>
        <w:t>citations omitted)</w:t>
      </w:r>
      <w:r w:rsidRPr="00653EB8">
        <w:rPr>
          <w:lang w:val="en"/>
        </w:rPr>
        <w:t>:</w:t>
      </w:r>
    </w:p>
    <w:p w:rsidR="00EE6BCE" w:rsidRPr="00E7267F" w:rsidRDefault="00EE6BCE" w:rsidP="00E73DDE">
      <w:pPr>
        <w:pStyle w:val="Quote1"/>
        <w:rPr>
          <w:lang w:val="en"/>
        </w:rPr>
      </w:pPr>
      <w:r w:rsidRPr="00CB05CB">
        <w:rPr>
          <w:lang w:val="en"/>
        </w:rPr>
        <w:t>The term "new information" must be read consistently when used in ss 473DC, 473DD and 473DE as limited to "information" (which may or may not be recorded in a document), in the ordinary sense of a communication of knowledge about some particular fact, subject or event</w:t>
      </w:r>
      <w:r w:rsidR="00FA1660">
        <w:rPr>
          <w:lang w:val="en"/>
        </w:rPr>
        <w:t>,</w:t>
      </w:r>
      <w:r w:rsidRPr="00CB05CB">
        <w:rPr>
          <w:lang w:val="en"/>
        </w:rPr>
        <w:t xml:space="preserve"> that meets the two conditions set out in s 473DC(1)(a) and (b). The first is that the info</w:t>
      </w:r>
      <w:bookmarkStart w:id="26" w:name="_GoBack"/>
      <w:bookmarkEnd w:id="26"/>
      <w:r w:rsidRPr="00CB05CB">
        <w:rPr>
          <w:lang w:val="en"/>
        </w:rPr>
        <w:t>rmation was not bef</w:t>
      </w:r>
      <w:r w:rsidRPr="00E7267F">
        <w:rPr>
          <w:lang w:val="en"/>
        </w:rPr>
        <w:t xml:space="preserve">ore the Minister or delegate at the time of making the decision to refuse to grant the protection visa. The second is that the Authority considers that the information may be relevant. </w:t>
      </w:r>
    </w:p>
    <w:p w:rsidR="009E7F14" w:rsidRPr="00653EB8" w:rsidRDefault="000D3FEE" w:rsidP="00F431C5">
      <w:pPr>
        <w:pStyle w:val="ParaNumbering"/>
        <w:numPr>
          <w:ilvl w:val="0"/>
          <w:numId w:val="0"/>
        </w:numPr>
        <w:rPr>
          <w:lang w:val="en"/>
        </w:rPr>
      </w:pPr>
      <w:r w:rsidRPr="00DA1BD3">
        <w:rPr>
          <w:lang w:val="en"/>
        </w:rPr>
        <w:t xml:space="preserve">The five new claims </w:t>
      </w:r>
      <w:r w:rsidR="00EE6BCE" w:rsidRPr="00DA1BD3">
        <w:rPr>
          <w:lang w:val="en"/>
        </w:rPr>
        <w:t>plainly fall within that description and satisfy</w:t>
      </w:r>
      <w:r w:rsidRPr="00DA1BD3">
        <w:rPr>
          <w:lang w:val="en"/>
        </w:rPr>
        <w:t xml:space="preserve"> the cri</w:t>
      </w:r>
      <w:r w:rsidR="00F50B8D">
        <w:rPr>
          <w:lang w:val="en"/>
        </w:rPr>
        <w:t>teria in s 473DC(1)(a) and (b).</w:t>
      </w:r>
      <w:r w:rsidR="008005F2" w:rsidRPr="00653EB8">
        <w:rPr>
          <w:lang w:val="en"/>
        </w:rPr>
        <w:t xml:space="preserve"> </w:t>
      </w:r>
    </w:p>
    <w:p w:rsidR="00BF472A" w:rsidRDefault="00784191" w:rsidP="00BF472A">
      <w:pPr>
        <w:pStyle w:val="ParaNumbering"/>
        <w:tabs>
          <w:tab w:val="clear" w:pos="720"/>
        </w:tabs>
        <w:rPr>
          <w:lang w:val="en"/>
        </w:rPr>
      </w:pPr>
      <w:r w:rsidRPr="00784191">
        <w:rPr>
          <w:i/>
          <w:lang w:val="en"/>
        </w:rPr>
        <w:t>Third</w:t>
      </w:r>
      <w:r>
        <w:rPr>
          <w:lang w:val="en"/>
        </w:rPr>
        <w:t>, the app</w:t>
      </w:r>
      <w:r w:rsidR="00CC55CD">
        <w:rPr>
          <w:lang w:val="en"/>
        </w:rPr>
        <w:t>ellant</w:t>
      </w:r>
      <w:r w:rsidR="00C35D6A">
        <w:rPr>
          <w:lang w:val="en"/>
        </w:rPr>
        <w:t>s</w:t>
      </w:r>
      <w:r>
        <w:rPr>
          <w:lang w:val="en"/>
        </w:rPr>
        <w:t xml:space="preserve"> submitted, that in the event I concluded against </w:t>
      </w:r>
      <w:r w:rsidR="0060477D">
        <w:rPr>
          <w:lang w:val="en"/>
        </w:rPr>
        <w:t xml:space="preserve">them </w:t>
      </w:r>
      <w:r>
        <w:rPr>
          <w:lang w:val="en"/>
        </w:rPr>
        <w:t xml:space="preserve">in relation to whether the claims were new information, the decision to invite the </w:t>
      </w:r>
      <w:r w:rsidR="003B0864">
        <w:rPr>
          <w:lang w:val="en"/>
        </w:rPr>
        <w:t xml:space="preserve">first appellant </w:t>
      </w:r>
      <w:r>
        <w:rPr>
          <w:lang w:val="en"/>
        </w:rPr>
        <w:t xml:space="preserve">for an interview should have occurred before the decision in relation to s 473DD(b) was made. </w:t>
      </w:r>
      <w:r w:rsidR="009E6866">
        <w:rPr>
          <w:lang w:val="en"/>
        </w:rPr>
        <w:t xml:space="preserve">However, the </w:t>
      </w:r>
      <w:r w:rsidR="00CC55CD" w:rsidRPr="009B2086">
        <w:rPr>
          <w:lang w:val="en"/>
        </w:rPr>
        <w:t xml:space="preserve">Authority’s </w:t>
      </w:r>
      <w:r w:rsidR="009E6866" w:rsidRPr="009B2086">
        <w:rPr>
          <w:lang w:val="en"/>
        </w:rPr>
        <w:t xml:space="preserve">decision not to invite the </w:t>
      </w:r>
      <w:r w:rsidR="003B0864" w:rsidRPr="00545B29">
        <w:rPr>
          <w:lang w:val="en"/>
        </w:rPr>
        <w:t xml:space="preserve">first appellant </w:t>
      </w:r>
      <w:r w:rsidR="00CC55CD" w:rsidRPr="00545B29">
        <w:rPr>
          <w:lang w:val="en"/>
        </w:rPr>
        <w:t xml:space="preserve">to an interview </w:t>
      </w:r>
      <w:r w:rsidR="009E6866" w:rsidRPr="00545B29">
        <w:rPr>
          <w:lang w:val="en"/>
        </w:rPr>
        <w:t xml:space="preserve">was based on a number of factors, including </w:t>
      </w:r>
      <w:r w:rsidR="009E6866" w:rsidRPr="009B2086">
        <w:rPr>
          <w:lang w:val="en"/>
        </w:rPr>
        <w:t xml:space="preserve">the scheme in Pt 7AA. There is nothing in this case that renders it unreasonable </w:t>
      </w:r>
      <w:r w:rsidR="00F50B8D" w:rsidRPr="009B2086">
        <w:rPr>
          <w:lang w:val="en"/>
        </w:rPr>
        <w:t xml:space="preserve">for </w:t>
      </w:r>
      <w:r w:rsidR="00F50B8D" w:rsidRPr="006F5512">
        <w:rPr>
          <w:lang w:val="en"/>
        </w:rPr>
        <w:t>the Authority</w:t>
      </w:r>
      <w:r w:rsidR="00F50B8D" w:rsidRPr="009B2086">
        <w:rPr>
          <w:lang w:val="en"/>
        </w:rPr>
        <w:t xml:space="preserve"> </w:t>
      </w:r>
      <w:r w:rsidR="009E6866" w:rsidRPr="009B2086">
        <w:rPr>
          <w:lang w:val="en"/>
        </w:rPr>
        <w:t>to first</w:t>
      </w:r>
      <w:r w:rsidR="009E6866">
        <w:rPr>
          <w:lang w:val="en"/>
        </w:rPr>
        <w:t xml:space="preserve"> consider the new information and whether it satisfies s 473DD</w:t>
      </w:r>
      <w:r w:rsidR="00CC55CD">
        <w:rPr>
          <w:lang w:val="en"/>
        </w:rPr>
        <w:t xml:space="preserve"> before deciding whether to exercise the discretion in s 473DC to invite the appellant for an interview</w:t>
      </w:r>
      <w:r w:rsidR="009E6866">
        <w:rPr>
          <w:lang w:val="en"/>
        </w:rPr>
        <w:t xml:space="preserve">. </w:t>
      </w:r>
      <w:r w:rsidR="00500BF3">
        <w:rPr>
          <w:lang w:val="en"/>
        </w:rPr>
        <w:t xml:space="preserve">Indeed, as the respondent submitted it may be considered prudent to first consider all the relevant circumstances of the new information before making the decision whether to exercise the discretion to invite the </w:t>
      </w:r>
      <w:r w:rsidR="003B0864">
        <w:rPr>
          <w:lang w:val="en"/>
        </w:rPr>
        <w:t xml:space="preserve">first appellant </w:t>
      </w:r>
      <w:r w:rsidR="00500BF3">
        <w:rPr>
          <w:lang w:val="en"/>
        </w:rPr>
        <w:t>to an interview. Therefore</w:t>
      </w:r>
      <w:r w:rsidR="000B153E">
        <w:rPr>
          <w:lang w:val="en"/>
        </w:rPr>
        <w:t>,</w:t>
      </w:r>
      <w:r w:rsidR="00500BF3">
        <w:rPr>
          <w:lang w:val="en"/>
        </w:rPr>
        <w:t xml:space="preserve"> the </w:t>
      </w:r>
      <w:r w:rsidR="00500BF3">
        <w:rPr>
          <w:lang w:val="en"/>
        </w:rPr>
        <w:lastRenderedPageBreak/>
        <w:t>manner in which the Authority addressed the issues cannot be said to lack an evident and intelligible justification.</w:t>
      </w:r>
      <w:r w:rsidR="00BF472A">
        <w:rPr>
          <w:lang w:val="en"/>
        </w:rPr>
        <w:t xml:space="preserve"> </w:t>
      </w:r>
    </w:p>
    <w:p w:rsidR="00FC045D" w:rsidRDefault="00FC045D" w:rsidP="009E6866">
      <w:pPr>
        <w:pStyle w:val="ParaNumbering"/>
        <w:tabs>
          <w:tab w:val="clear" w:pos="720"/>
        </w:tabs>
        <w:rPr>
          <w:lang w:val="en"/>
        </w:rPr>
      </w:pPr>
      <w:r>
        <w:rPr>
          <w:i/>
          <w:lang w:val="en"/>
        </w:rPr>
        <w:t xml:space="preserve">Fourth, </w:t>
      </w:r>
      <w:r>
        <w:rPr>
          <w:lang w:val="en"/>
        </w:rPr>
        <w:t xml:space="preserve">the </w:t>
      </w:r>
      <w:r w:rsidR="00F3453E">
        <w:rPr>
          <w:lang w:val="en"/>
        </w:rPr>
        <w:t xml:space="preserve">appellants </w:t>
      </w:r>
      <w:r w:rsidR="003B0864">
        <w:rPr>
          <w:lang w:val="en"/>
        </w:rPr>
        <w:t xml:space="preserve">rely </w:t>
      </w:r>
      <w:r>
        <w:rPr>
          <w:lang w:val="en"/>
        </w:rPr>
        <w:t xml:space="preserve">on the UNHCR Handbook of Procedures at [196] </w:t>
      </w:r>
      <w:r w:rsidR="00500BF3">
        <w:rPr>
          <w:lang w:val="en"/>
        </w:rPr>
        <w:t>to submit that it placed</w:t>
      </w:r>
      <w:r>
        <w:rPr>
          <w:lang w:val="en"/>
        </w:rPr>
        <w:t xml:space="preserve"> an obligation on the Authority to consider the true facts. </w:t>
      </w:r>
      <w:r w:rsidRPr="00545B29">
        <w:rPr>
          <w:lang w:val="en"/>
        </w:rPr>
        <w:t>Based on this, given the seriousness and consequences of the new claims</w:t>
      </w:r>
      <w:r w:rsidR="00F50B8D" w:rsidRPr="00545B29">
        <w:rPr>
          <w:lang w:val="en"/>
        </w:rPr>
        <w:t xml:space="preserve">, </w:t>
      </w:r>
      <w:r w:rsidR="00F50B8D" w:rsidRPr="006F5512">
        <w:rPr>
          <w:lang w:val="en"/>
        </w:rPr>
        <w:t>it was submitted that</w:t>
      </w:r>
      <w:r w:rsidRPr="00545B29">
        <w:rPr>
          <w:lang w:val="en"/>
        </w:rPr>
        <w:t xml:space="preserve"> the Authority</w:t>
      </w:r>
      <w:r>
        <w:rPr>
          <w:lang w:val="en"/>
        </w:rPr>
        <w:t xml:space="preserve"> should have invited the </w:t>
      </w:r>
      <w:r w:rsidR="00F3453E">
        <w:rPr>
          <w:lang w:val="en"/>
        </w:rPr>
        <w:t xml:space="preserve">first appellant </w:t>
      </w:r>
      <w:r>
        <w:rPr>
          <w:lang w:val="en"/>
        </w:rPr>
        <w:t>to give further evidence.</w:t>
      </w:r>
      <w:r w:rsidR="0010528C">
        <w:rPr>
          <w:lang w:val="en"/>
        </w:rPr>
        <w:t xml:space="preserve"> However, the relevant statutory </w:t>
      </w:r>
      <w:r w:rsidR="00EB75D8">
        <w:rPr>
          <w:lang w:val="en"/>
        </w:rPr>
        <w:t>regime</w:t>
      </w:r>
      <w:r w:rsidR="0060477D">
        <w:rPr>
          <w:lang w:val="en"/>
        </w:rPr>
        <w:t xml:space="preserve"> governing the Authority’s review</w:t>
      </w:r>
      <w:r w:rsidR="0010528C">
        <w:rPr>
          <w:lang w:val="en"/>
        </w:rPr>
        <w:t xml:space="preserve"> is that set out in Pt 7AA of the Migration Act. Nothing in the UNHCR guidelines can, in that context, impose such an obligation. </w:t>
      </w:r>
      <w:r>
        <w:rPr>
          <w:i/>
          <w:lang w:val="en"/>
        </w:rPr>
        <w:t xml:space="preserve"> </w:t>
      </w:r>
    </w:p>
    <w:p w:rsidR="00784191" w:rsidRPr="0010528C" w:rsidRDefault="009E6866" w:rsidP="003E658D">
      <w:pPr>
        <w:pStyle w:val="ParaNumbering"/>
        <w:tabs>
          <w:tab w:val="clear" w:pos="720"/>
        </w:tabs>
        <w:rPr>
          <w:lang w:val="en"/>
        </w:rPr>
      </w:pPr>
      <w:r w:rsidRPr="0010528C">
        <w:rPr>
          <w:i/>
          <w:lang w:val="en"/>
        </w:rPr>
        <w:t>Finally,</w:t>
      </w:r>
      <w:r w:rsidRPr="0010528C">
        <w:rPr>
          <w:lang w:val="en"/>
        </w:rPr>
        <w:t xml:space="preserve"> the </w:t>
      </w:r>
      <w:r w:rsidR="00F3453E">
        <w:rPr>
          <w:lang w:val="en"/>
        </w:rPr>
        <w:t>appellants</w:t>
      </w:r>
      <w:r w:rsidRPr="0010528C">
        <w:rPr>
          <w:lang w:val="en"/>
        </w:rPr>
        <w:t xml:space="preserve"> submi</w:t>
      </w:r>
      <w:r w:rsidR="00A11536">
        <w:rPr>
          <w:lang w:val="en"/>
        </w:rPr>
        <w:t>tted</w:t>
      </w:r>
      <w:r w:rsidRPr="0010528C">
        <w:rPr>
          <w:lang w:val="en"/>
        </w:rPr>
        <w:t xml:space="preserve"> that the decision was unreasonable because the claims were significant and serious and, if true would place the </w:t>
      </w:r>
      <w:r w:rsidR="00F3453E">
        <w:rPr>
          <w:lang w:val="en"/>
        </w:rPr>
        <w:t>appellants</w:t>
      </w:r>
      <w:r w:rsidR="00F3453E" w:rsidRPr="0010528C">
        <w:rPr>
          <w:lang w:val="en"/>
        </w:rPr>
        <w:t xml:space="preserve"> </w:t>
      </w:r>
      <w:r w:rsidRPr="0010528C">
        <w:rPr>
          <w:lang w:val="en"/>
        </w:rPr>
        <w:t>at greater risk of persecution. That, without more, was said to be</w:t>
      </w:r>
      <w:r w:rsidR="00F50B8D">
        <w:rPr>
          <w:lang w:val="en"/>
        </w:rPr>
        <w:t xml:space="preserve"> sufficient. </w:t>
      </w:r>
      <w:r w:rsidR="00F50B8D" w:rsidRPr="006F5512">
        <w:rPr>
          <w:lang w:val="en"/>
        </w:rPr>
        <w:t xml:space="preserve">However </w:t>
      </w:r>
      <w:r w:rsidRPr="006F5512">
        <w:rPr>
          <w:lang w:val="en"/>
        </w:rPr>
        <w:t>that description may apply to new information presented to the Authority in a number of cases</w:t>
      </w:r>
      <w:r w:rsidRPr="00545B29">
        <w:rPr>
          <w:lang w:val="en"/>
        </w:rPr>
        <w:t>.</w:t>
      </w:r>
      <w:r w:rsidRPr="0010528C">
        <w:rPr>
          <w:lang w:val="en"/>
        </w:rPr>
        <w:t xml:space="preserve"> The submission ignores the structure of Pt 7AA. It also considers t</w:t>
      </w:r>
      <w:r w:rsidR="0010528C" w:rsidRPr="0010528C">
        <w:rPr>
          <w:lang w:val="en"/>
        </w:rPr>
        <w:t>he new information in isolation fr</w:t>
      </w:r>
      <w:r w:rsidR="0041031D">
        <w:rPr>
          <w:lang w:val="en"/>
        </w:rPr>
        <w:t>o</w:t>
      </w:r>
      <w:r w:rsidR="0010528C" w:rsidRPr="0010528C">
        <w:rPr>
          <w:lang w:val="en"/>
        </w:rPr>
        <w:t>m all other relevant material before the Authority. There is no logical reason why that should be done.</w:t>
      </w:r>
      <w:r w:rsidR="00411400">
        <w:rPr>
          <w:lang w:val="en"/>
        </w:rPr>
        <w:t xml:space="preserve"> </w:t>
      </w:r>
      <w:r w:rsidR="00411400" w:rsidRPr="00545B29">
        <w:rPr>
          <w:lang w:val="en"/>
        </w:rPr>
        <w:t>Further, this s</w:t>
      </w:r>
      <w:r w:rsidR="00411400" w:rsidRPr="00DA3F42">
        <w:rPr>
          <w:lang w:val="en"/>
        </w:rPr>
        <w:t>u</w:t>
      </w:r>
      <w:r w:rsidR="00183C17" w:rsidRPr="00DA3F42">
        <w:rPr>
          <w:lang w:val="en"/>
        </w:rPr>
        <w:t xml:space="preserve">bmission </w:t>
      </w:r>
      <w:r w:rsidR="0060477D" w:rsidRPr="00DA3F42">
        <w:rPr>
          <w:lang w:val="en"/>
        </w:rPr>
        <w:t>does not address</w:t>
      </w:r>
      <w:r w:rsidR="00411400" w:rsidRPr="00DA3F42">
        <w:rPr>
          <w:lang w:val="en"/>
        </w:rPr>
        <w:t xml:space="preserve"> the</w:t>
      </w:r>
      <w:r w:rsidR="008510D8" w:rsidRPr="00DA3F42">
        <w:rPr>
          <w:lang w:val="en"/>
        </w:rPr>
        <w:t xml:space="preserve"> limited circumstances in which </w:t>
      </w:r>
      <w:r w:rsidR="00411400" w:rsidRPr="00DA3F42">
        <w:rPr>
          <w:lang w:val="en"/>
        </w:rPr>
        <w:t xml:space="preserve">a failure </w:t>
      </w:r>
      <w:r w:rsidR="00F50B8D" w:rsidRPr="00DA3F42">
        <w:rPr>
          <w:lang w:val="en"/>
        </w:rPr>
        <w:t xml:space="preserve">by the Authority </w:t>
      </w:r>
      <w:r w:rsidR="00411400" w:rsidRPr="00DA3F42">
        <w:rPr>
          <w:lang w:val="en"/>
        </w:rPr>
        <w:t>to consider exercising the discretion in s 473DC(3) may co</w:t>
      </w:r>
      <w:r w:rsidR="008510D8" w:rsidRPr="00DA3F42">
        <w:rPr>
          <w:lang w:val="en"/>
        </w:rPr>
        <w:t>nstitute legal unreasonableness: see for example [</w:t>
      </w:r>
      <w:r w:rsidR="008510D8" w:rsidRPr="00DA3F42">
        <w:rPr>
          <w:lang w:val="en"/>
        </w:rPr>
        <w:fldChar w:fldCharType="begin" w:fldLock="1"/>
      </w:r>
      <w:r w:rsidR="008510D8" w:rsidRPr="00DA3F42">
        <w:rPr>
          <w:lang w:val="en"/>
        </w:rPr>
        <w:instrText xml:space="preserve"> REF _Ref18315087 \r \h  \* MERGEFORMAT </w:instrText>
      </w:r>
      <w:r w:rsidR="008510D8" w:rsidRPr="00DA3F42">
        <w:rPr>
          <w:lang w:val="en"/>
        </w:rPr>
      </w:r>
      <w:r w:rsidR="008510D8" w:rsidRPr="00DA3F42">
        <w:rPr>
          <w:lang w:val="en"/>
        </w:rPr>
        <w:fldChar w:fldCharType="separate"/>
      </w:r>
      <w:r w:rsidR="00ED4453">
        <w:rPr>
          <w:lang w:val="en"/>
        </w:rPr>
        <w:t>22</w:t>
      </w:r>
      <w:r w:rsidR="008510D8" w:rsidRPr="00DA3F42">
        <w:rPr>
          <w:lang w:val="en"/>
        </w:rPr>
        <w:fldChar w:fldCharType="end"/>
      </w:r>
      <w:r w:rsidR="008510D8" w:rsidRPr="00DA3F42">
        <w:rPr>
          <w:lang w:val="en"/>
        </w:rPr>
        <w:t>] above.</w:t>
      </w:r>
    </w:p>
    <w:p w:rsidR="00BF472A" w:rsidRPr="00653EB8" w:rsidRDefault="00BF472A" w:rsidP="00BF472A">
      <w:pPr>
        <w:pStyle w:val="ParaNumbering"/>
        <w:rPr>
          <w:lang w:val="en"/>
        </w:rPr>
      </w:pPr>
      <w:r w:rsidRPr="00653EB8">
        <w:rPr>
          <w:lang w:val="en"/>
        </w:rPr>
        <w:t>The Authority’s choice not to exercise its power under s 473DC(3</w:t>
      </w:r>
      <w:r w:rsidR="0010528C" w:rsidRPr="00653EB8">
        <w:rPr>
          <w:lang w:val="en"/>
        </w:rPr>
        <w:t>) to interview CT</w:t>
      </w:r>
      <w:r w:rsidR="009B7BC3" w:rsidRPr="00653EB8">
        <w:rPr>
          <w:lang w:val="en"/>
        </w:rPr>
        <w:t>G</w:t>
      </w:r>
      <w:r w:rsidR="0010528C" w:rsidRPr="00653EB8">
        <w:rPr>
          <w:lang w:val="en"/>
        </w:rPr>
        <w:t>18 involved a considered decision based on</w:t>
      </w:r>
      <w:r w:rsidRPr="00653EB8">
        <w:rPr>
          <w:lang w:val="en"/>
        </w:rPr>
        <w:t xml:space="preserve"> reasons which the Authority recorded. The exercise of the discretion </w:t>
      </w:r>
      <w:r w:rsidR="00232792" w:rsidRPr="00653EB8">
        <w:rPr>
          <w:lang w:val="en"/>
        </w:rPr>
        <w:t xml:space="preserve">in not inviting the first appellant for an interview </w:t>
      </w:r>
      <w:r w:rsidRPr="00653EB8">
        <w:rPr>
          <w:lang w:val="en"/>
        </w:rPr>
        <w:t>was open to it</w:t>
      </w:r>
      <w:r w:rsidR="00C308C1" w:rsidRPr="00653EB8">
        <w:rPr>
          <w:lang w:val="en"/>
        </w:rPr>
        <w:t>.</w:t>
      </w:r>
      <w:r w:rsidR="00C62E60">
        <w:rPr>
          <w:lang w:val="en"/>
        </w:rPr>
        <w:t xml:space="preserve"> </w:t>
      </w:r>
    </w:p>
    <w:p w:rsidR="00784191" w:rsidRPr="0041031D" w:rsidRDefault="003E658D" w:rsidP="00784191">
      <w:pPr>
        <w:pStyle w:val="ParaNumbering"/>
      </w:pPr>
      <w:r w:rsidRPr="0041031D">
        <w:rPr>
          <w:w w:val="105"/>
        </w:rPr>
        <w:t>T</w:t>
      </w:r>
      <w:r w:rsidR="00784191" w:rsidRPr="0041031D">
        <w:rPr>
          <w:w w:val="105"/>
        </w:rPr>
        <w:t xml:space="preserve">he primary judge </w:t>
      </w:r>
      <w:r w:rsidR="00784191" w:rsidRPr="00517922">
        <w:rPr>
          <w:w w:val="105"/>
        </w:rPr>
        <w:t xml:space="preserve">correctly </w:t>
      </w:r>
      <w:r w:rsidR="00784191" w:rsidRPr="00517922">
        <w:rPr>
          <w:spacing w:val="3"/>
          <w:w w:val="105"/>
        </w:rPr>
        <w:t>co</w:t>
      </w:r>
      <w:r w:rsidR="00784191" w:rsidRPr="0041031D">
        <w:rPr>
          <w:spacing w:val="3"/>
          <w:w w:val="105"/>
        </w:rPr>
        <w:t xml:space="preserve">ncluded </w:t>
      </w:r>
      <w:r w:rsidRPr="0041031D">
        <w:rPr>
          <w:spacing w:val="3"/>
          <w:w w:val="105"/>
        </w:rPr>
        <w:t xml:space="preserve">that </w:t>
      </w:r>
      <w:r w:rsidR="00784191" w:rsidRPr="0041031D">
        <w:rPr>
          <w:w w:val="105"/>
        </w:rPr>
        <w:t>the Authority</w:t>
      </w:r>
      <w:r w:rsidR="00784191" w:rsidRPr="00517922">
        <w:rPr>
          <w:w w:val="105"/>
        </w:rPr>
        <w:t xml:space="preserve">'s </w:t>
      </w:r>
      <w:r w:rsidR="00784191" w:rsidRPr="0041031D">
        <w:rPr>
          <w:w w:val="105"/>
        </w:rPr>
        <w:t>rea</w:t>
      </w:r>
      <w:r w:rsidR="00784191" w:rsidRPr="00517922">
        <w:rPr>
          <w:w w:val="105"/>
        </w:rPr>
        <w:t>s</w:t>
      </w:r>
      <w:r w:rsidR="00784191" w:rsidRPr="0041031D">
        <w:rPr>
          <w:w w:val="105"/>
        </w:rPr>
        <w:t>on</w:t>
      </w:r>
      <w:r w:rsidR="00784191" w:rsidRPr="00517922">
        <w:rPr>
          <w:w w:val="105"/>
        </w:rPr>
        <w:t xml:space="preserve">s for not exercising </w:t>
      </w:r>
      <w:r w:rsidR="00784191" w:rsidRPr="0041031D">
        <w:rPr>
          <w:w w:val="105"/>
        </w:rPr>
        <w:t>its power under</w:t>
      </w:r>
      <w:r w:rsidR="00784191" w:rsidRPr="0041031D">
        <w:rPr>
          <w:spacing w:val="5"/>
          <w:w w:val="105"/>
        </w:rPr>
        <w:t xml:space="preserve"> </w:t>
      </w:r>
      <w:r w:rsidR="00784191" w:rsidRPr="00517922">
        <w:rPr>
          <w:w w:val="105"/>
        </w:rPr>
        <w:t xml:space="preserve">s </w:t>
      </w:r>
      <w:r w:rsidR="00784191" w:rsidRPr="00517922">
        <w:rPr>
          <w:spacing w:val="1"/>
          <w:w w:val="105"/>
        </w:rPr>
        <w:t xml:space="preserve">473DC </w:t>
      </w:r>
      <w:r w:rsidR="00784191" w:rsidRPr="00517922">
        <w:rPr>
          <w:w w:val="105"/>
        </w:rPr>
        <w:t xml:space="preserve">did </w:t>
      </w:r>
      <w:r w:rsidR="00784191" w:rsidRPr="00C62E60">
        <w:rPr>
          <w:w w:val="105"/>
        </w:rPr>
        <w:t>not lack an evide</w:t>
      </w:r>
      <w:r w:rsidR="00784191" w:rsidRPr="007643F1">
        <w:rPr>
          <w:w w:val="105"/>
        </w:rPr>
        <w:t xml:space="preserve">nt </w:t>
      </w:r>
      <w:r w:rsidR="00784191" w:rsidRPr="007643F1">
        <w:rPr>
          <w:spacing w:val="-8"/>
          <w:w w:val="105"/>
        </w:rPr>
        <w:t xml:space="preserve">and </w:t>
      </w:r>
      <w:r w:rsidR="00784191" w:rsidRPr="00DD7E9C">
        <w:rPr>
          <w:spacing w:val="-5"/>
          <w:w w:val="105"/>
        </w:rPr>
        <w:t xml:space="preserve">intelligible </w:t>
      </w:r>
      <w:r w:rsidR="00784191" w:rsidRPr="007643F1">
        <w:rPr>
          <w:spacing w:val="-8"/>
          <w:w w:val="105"/>
        </w:rPr>
        <w:t>justification</w:t>
      </w:r>
      <w:r w:rsidR="00784191" w:rsidRPr="007643F1">
        <w:rPr>
          <w:i/>
          <w:spacing w:val="-8"/>
          <w:w w:val="105"/>
        </w:rPr>
        <w:t xml:space="preserve">. </w:t>
      </w:r>
      <w:r w:rsidR="00550AF1" w:rsidRPr="0034034A">
        <w:rPr>
          <w:w w:val="105"/>
        </w:rPr>
        <w:t xml:space="preserve">The Authority's decision </w:t>
      </w:r>
      <w:r w:rsidR="00784191" w:rsidRPr="0034034A">
        <w:rPr>
          <w:w w:val="105"/>
        </w:rPr>
        <w:t xml:space="preserve">was not </w:t>
      </w:r>
      <w:r w:rsidR="00784191" w:rsidRPr="0034034A">
        <w:rPr>
          <w:spacing w:val="2"/>
          <w:w w:val="105"/>
        </w:rPr>
        <w:t>legally unreasonable</w:t>
      </w:r>
      <w:r w:rsidR="00784191" w:rsidRPr="007643F1">
        <w:rPr>
          <w:spacing w:val="2"/>
          <w:w w:val="105"/>
        </w:rPr>
        <w:t>.</w:t>
      </w:r>
    </w:p>
    <w:p w:rsidR="000D1F13" w:rsidRPr="00653EB8" w:rsidRDefault="000D1F13" w:rsidP="00784191">
      <w:pPr>
        <w:pStyle w:val="ParaNumbering"/>
      </w:pPr>
      <w:r w:rsidRPr="00653EB8">
        <w:rPr>
          <w:color w:val="111111"/>
          <w:spacing w:val="2"/>
          <w:w w:val="105"/>
        </w:rPr>
        <w:t>This ground of appeal is not established.</w:t>
      </w:r>
    </w:p>
    <w:p w:rsidR="00784191" w:rsidRPr="00CB05CB" w:rsidRDefault="00C308C1" w:rsidP="00C308C1">
      <w:pPr>
        <w:pStyle w:val="ParaNumbering"/>
        <w:numPr>
          <w:ilvl w:val="0"/>
          <w:numId w:val="0"/>
        </w:numPr>
        <w:rPr>
          <w:b/>
          <w:lang w:val="en"/>
        </w:rPr>
      </w:pPr>
      <w:r w:rsidRPr="00CB05CB">
        <w:rPr>
          <w:b/>
          <w:lang w:val="en"/>
        </w:rPr>
        <w:t xml:space="preserve">Ground 13: the Authority did not give the </w:t>
      </w:r>
      <w:r w:rsidR="00F3453E">
        <w:rPr>
          <w:b/>
          <w:lang w:val="en"/>
        </w:rPr>
        <w:t>appellants</w:t>
      </w:r>
      <w:r w:rsidRPr="00CB05CB">
        <w:rPr>
          <w:b/>
          <w:lang w:val="en"/>
        </w:rPr>
        <w:t xml:space="preserve"> the benefit of the doubt</w:t>
      </w:r>
    </w:p>
    <w:p w:rsidR="00C308C1" w:rsidRDefault="00C308C1" w:rsidP="009E7F14">
      <w:pPr>
        <w:pStyle w:val="ParaNumbering"/>
        <w:tabs>
          <w:tab w:val="clear" w:pos="720"/>
        </w:tabs>
        <w:rPr>
          <w:lang w:val="en"/>
        </w:rPr>
      </w:pPr>
      <w:r>
        <w:rPr>
          <w:lang w:val="en"/>
        </w:rPr>
        <w:t xml:space="preserve">The problem with this ground of appeal is that in the </w:t>
      </w:r>
      <w:r w:rsidR="00A11536">
        <w:rPr>
          <w:lang w:val="en"/>
        </w:rPr>
        <w:t>C</w:t>
      </w:r>
      <w:r>
        <w:rPr>
          <w:lang w:val="en"/>
        </w:rPr>
        <w:t>ourt below the app</w:t>
      </w:r>
      <w:r w:rsidR="00A11536">
        <w:rPr>
          <w:lang w:val="en"/>
        </w:rPr>
        <w:t>ellant</w:t>
      </w:r>
      <w:r>
        <w:rPr>
          <w:lang w:val="en"/>
        </w:rPr>
        <w:t>s accepted it was dependent on ground</w:t>
      </w:r>
      <w:r w:rsidR="00A11536">
        <w:rPr>
          <w:lang w:val="en"/>
        </w:rPr>
        <w:t xml:space="preserve"> 12</w:t>
      </w:r>
      <w:r>
        <w:rPr>
          <w:lang w:val="en"/>
        </w:rPr>
        <w:t>, which challenged the application of s 473DD. As ground 12 is not pursued in this Court</w:t>
      </w:r>
      <w:r w:rsidR="00411CF8">
        <w:rPr>
          <w:lang w:val="en"/>
        </w:rPr>
        <w:t xml:space="preserve"> the</w:t>
      </w:r>
      <w:r w:rsidR="00163406">
        <w:rPr>
          <w:lang w:val="en"/>
        </w:rPr>
        <w:t xml:space="preserve"> </w:t>
      </w:r>
      <w:r>
        <w:rPr>
          <w:lang w:val="en"/>
        </w:rPr>
        <w:t>ground</w:t>
      </w:r>
      <w:r w:rsidR="00163406">
        <w:rPr>
          <w:lang w:val="en"/>
        </w:rPr>
        <w:t xml:space="preserve"> cannot succeed</w:t>
      </w:r>
      <w:r>
        <w:rPr>
          <w:lang w:val="en"/>
        </w:rPr>
        <w:t xml:space="preserve">. </w:t>
      </w:r>
      <w:r w:rsidR="0022054B">
        <w:rPr>
          <w:lang w:val="en"/>
        </w:rPr>
        <w:t>As such,</w:t>
      </w:r>
      <w:r w:rsidR="00411CF8">
        <w:rPr>
          <w:lang w:val="en"/>
        </w:rPr>
        <w:t xml:space="preserve"> </w:t>
      </w:r>
      <w:r w:rsidR="00A11536">
        <w:rPr>
          <w:lang w:val="en"/>
        </w:rPr>
        <w:t xml:space="preserve">counsel for the </w:t>
      </w:r>
      <w:r w:rsidR="00411CF8">
        <w:rPr>
          <w:lang w:val="en"/>
        </w:rPr>
        <w:t>app</w:t>
      </w:r>
      <w:r w:rsidR="00A11536">
        <w:rPr>
          <w:lang w:val="en"/>
        </w:rPr>
        <w:t>ellan</w:t>
      </w:r>
      <w:r w:rsidR="00411CF8">
        <w:rPr>
          <w:lang w:val="en"/>
        </w:rPr>
        <w:t>t</w:t>
      </w:r>
      <w:r w:rsidR="00A11536">
        <w:rPr>
          <w:lang w:val="en"/>
        </w:rPr>
        <w:t>s</w:t>
      </w:r>
      <w:r w:rsidR="00411CF8">
        <w:rPr>
          <w:lang w:val="en"/>
        </w:rPr>
        <w:t xml:space="preserve"> then abandoned the written submission he had advance</w:t>
      </w:r>
      <w:r w:rsidR="00A11536">
        <w:rPr>
          <w:lang w:val="en"/>
        </w:rPr>
        <w:t>d</w:t>
      </w:r>
      <w:r w:rsidR="00411CF8">
        <w:rPr>
          <w:lang w:val="en"/>
        </w:rPr>
        <w:t xml:space="preserve"> in favo</w:t>
      </w:r>
      <w:r w:rsidR="002C026D">
        <w:rPr>
          <w:lang w:val="en"/>
        </w:rPr>
        <w:t>u</w:t>
      </w:r>
      <w:r w:rsidR="00411CF8">
        <w:rPr>
          <w:lang w:val="en"/>
        </w:rPr>
        <w:t>r of ground</w:t>
      </w:r>
      <w:r w:rsidR="00A11536">
        <w:rPr>
          <w:lang w:val="en"/>
        </w:rPr>
        <w:t xml:space="preserve"> 13</w:t>
      </w:r>
      <w:r w:rsidR="00411CF8">
        <w:rPr>
          <w:lang w:val="en"/>
        </w:rPr>
        <w:t xml:space="preserve">. </w:t>
      </w:r>
    </w:p>
    <w:p w:rsidR="00C308C1" w:rsidRPr="002E0935" w:rsidRDefault="00163406" w:rsidP="00C62E60">
      <w:pPr>
        <w:pStyle w:val="ParaNumbering"/>
        <w:tabs>
          <w:tab w:val="clear" w:pos="720"/>
        </w:tabs>
        <w:rPr>
          <w:lang w:val="en"/>
        </w:rPr>
      </w:pPr>
      <w:r>
        <w:rPr>
          <w:lang w:val="en"/>
        </w:rPr>
        <w:lastRenderedPageBreak/>
        <w:t>Consequently, d</w:t>
      </w:r>
      <w:r w:rsidR="00C308C1">
        <w:rPr>
          <w:lang w:val="en"/>
        </w:rPr>
        <w:t xml:space="preserve">uring </w:t>
      </w:r>
      <w:r>
        <w:rPr>
          <w:lang w:val="en"/>
        </w:rPr>
        <w:t xml:space="preserve">the course of </w:t>
      </w:r>
      <w:r w:rsidR="00C308C1">
        <w:rPr>
          <w:lang w:val="en"/>
        </w:rPr>
        <w:t>submissions the ground was recast, with the argument being that based on the UNHCR guidelines the Authority ought to have given the app</w:t>
      </w:r>
      <w:r w:rsidR="00801CDE">
        <w:rPr>
          <w:lang w:val="en"/>
        </w:rPr>
        <w:t>ellan</w:t>
      </w:r>
      <w:r w:rsidR="00C308C1">
        <w:rPr>
          <w:lang w:val="en"/>
        </w:rPr>
        <w:t>ts the benefit of the doubt in relation to the existence of the new claims.</w:t>
      </w:r>
      <w:r w:rsidR="00411CF8">
        <w:rPr>
          <w:lang w:val="en"/>
        </w:rPr>
        <w:t xml:space="preserve"> The aspect of the guidelines relied upon </w:t>
      </w:r>
      <w:r w:rsidR="00801CDE">
        <w:rPr>
          <w:lang w:val="en"/>
        </w:rPr>
        <w:t xml:space="preserve">in support of this </w:t>
      </w:r>
      <w:r w:rsidR="00411CF8">
        <w:rPr>
          <w:lang w:val="en"/>
        </w:rPr>
        <w:t xml:space="preserve">was “if the applicant’s account appears to be credible, he should, unless there </w:t>
      </w:r>
      <w:r w:rsidR="002C026D">
        <w:rPr>
          <w:lang w:val="en"/>
        </w:rPr>
        <w:t>are</w:t>
      </w:r>
      <w:r w:rsidR="00411CF8">
        <w:rPr>
          <w:lang w:val="en"/>
        </w:rPr>
        <w:t xml:space="preserve"> good reasons to the contrary, be given the benefit of the doubt</w:t>
      </w:r>
      <w:r w:rsidR="00771A1D">
        <w:rPr>
          <w:lang w:val="en"/>
        </w:rPr>
        <w:t>”</w:t>
      </w:r>
      <w:r w:rsidR="00411CF8">
        <w:rPr>
          <w:lang w:val="en"/>
        </w:rPr>
        <w:t xml:space="preserve">. The </w:t>
      </w:r>
      <w:r w:rsidR="00F3453E">
        <w:rPr>
          <w:lang w:val="en"/>
        </w:rPr>
        <w:t xml:space="preserve">appellants </w:t>
      </w:r>
      <w:r w:rsidR="00411CF8">
        <w:rPr>
          <w:lang w:val="en"/>
        </w:rPr>
        <w:t xml:space="preserve">submitted that </w:t>
      </w:r>
      <w:r w:rsidR="00411CF8" w:rsidRPr="00E62823">
        <w:rPr>
          <w:i/>
        </w:rPr>
        <w:t>Minister for Immigration and Multicultural Affairs v Rajalingam</w:t>
      </w:r>
      <w:r w:rsidR="00411CF8">
        <w:t xml:space="preserve"> </w:t>
      </w:r>
      <w:r w:rsidR="00367DAC" w:rsidRPr="00367DAC">
        <w:rPr>
          <w:lang w:val="en"/>
        </w:rPr>
        <w:t>[1999] FCA 719</w:t>
      </w:r>
      <w:r w:rsidR="00367DAC">
        <w:rPr>
          <w:lang w:val="en"/>
        </w:rPr>
        <w:t>;</w:t>
      </w:r>
      <w:r w:rsidR="00367DAC" w:rsidRPr="00367DAC">
        <w:t xml:space="preserve"> </w:t>
      </w:r>
      <w:r w:rsidR="00411CF8">
        <w:t xml:space="preserve">(1999) 93 FCR 220 </w:t>
      </w:r>
      <w:r w:rsidR="00CB1B3A">
        <w:t>(</w:t>
      </w:r>
      <w:r w:rsidR="00CB1B3A" w:rsidRPr="00CB1B3A">
        <w:rPr>
          <w:i/>
        </w:rPr>
        <w:t>Rajalingam</w:t>
      </w:r>
      <w:r w:rsidR="00CB1B3A">
        <w:t xml:space="preserve">) </w:t>
      </w:r>
      <w:r w:rsidR="00411CF8" w:rsidRPr="00CB1B3A">
        <w:rPr>
          <w:lang w:val="en"/>
        </w:rPr>
        <w:t>is</w:t>
      </w:r>
      <w:r w:rsidR="00411CF8">
        <w:rPr>
          <w:lang w:val="en"/>
        </w:rPr>
        <w:t xml:space="preserve"> a reflection of that principle.</w:t>
      </w:r>
      <w:r w:rsidR="000D1F13">
        <w:rPr>
          <w:lang w:val="en"/>
        </w:rPr>
        <w:t xml:space="preserve"> It was accepted that this </w:t>
      </w:r>
      <w:r w:rsidR="000D1F13" w:rsidRPr="002E0935">
        <w:rPr>
          <w:lang w:val="en"/>
        </w:rPr>
        <w:t xml:space="preserve">ground, as recast, was dependent on ground 11. </w:t>
      </w:r>
    </w:p>
    <w:p w:rsidR="00411CF8" w:rsidRPr="002E0935" w:rsidRDefault="00411CF8" w:rsidP="00411CF8">
      <w:pPr>
        <w:pStyle w:val="ParaNumbering"/>
      </w:pPr>
      <w:r w:rsidRPr="002E0935">
        <w:t xml:space="preserve">The relevant </w:t>
      </w:r>
      <w:r w:rsidR="008B03BE" w:rsidRPr="002E0935">
        <w:t>aspect of</w:t>
      </w:r>
      <w:r w:rsidRPr="002E0935">
        <w:t xml:space="preserve"> </w:t>
      </w:r>
      <w:r w:rsidRPr="002E0935">
        <w:rPr>
          <w:i/>
        </w:rPr>
        <w:t>Rajalingam</w:t>
      </w:r>
      <w:r w:rsidRPr="002E0935">
        <w:t xml:space="preserve"> relied on is</w:t>
      </w:r>
      <w:r w:rsidR="008B03BE" w:rsidRPr="002E0935">
        <w:t xml:space="preserve"> that a tribunal might be required to consider the possibility that its</w:t>
      </w:r>
      <w:r w:rsidR="0037194A" w:rsidRPr="002E0935">
        <w:t xml:space="preserve"> </w:t>
      </w:r>
      <w:r w:rsidR="008B03BE" w:rsidRPr="002E0935">
        <w:t xml:space="preserve">findings of fact might not have been correct (thereby giving the applicant the benefit of the doubt). </w:t>
      </w:r>
      <w:r w:rsidR="0037194A" w:rsidRPr="002E0935">
        <w:t xml:space="preserve">This is determined by reference to the tribunal’s reasons. </w:t>
      </w:r>
      <w:r w:rsidR="006425B8" w:rsidRPr="002E0935">
        <w:t>T</w:t>
      </w:r>
      <w:r w:rsidR="008B03BE" w:rsidRPr="002E0935">
        <w:t>he relevant passages in that case demonstrate th</w:t>
      </w:r>
      <w:r w:rsidR="006425B8" w:rsidRPr="002E0935">
        <w:t>is</w:t>
      </w:r>
      <w:r w:rsidR="008B03BE" w:rsidRPr="002E0935">
        <w:t xml:space="preserve"> </w:t>
      </w:r>
      <w:r w:rsidR="00486ED8" w:rsidRPr="002E0935">
        <w:t>only applies where</w:t>
      </w:r>
      <w:r w:rsidR="008B03BE" w:rsidRPr="002E0935">
        <w:t xml:space="preserve"> a fair reading of the tribunal’s reasons (here the Authority’s reasons) show</w:t>
      </w:r>
      <w:r w:rsidR="002E0935" w:rsidRPr="002E0935">
        <w:t>s</w:t>
      </w:r>
      <w:r w:rsidR="008B03BE" w:rsidRPr="002E0935">
        <w:t xml:space="preserve"> </w:t>
      </w:r>
      <w:r w:rsidR="006425B8" w:rsidRPr="002E0935">
        <w:t>it</w:t>
      </w:r>
      <w:r w:rsidR="008B03BE" w:rsidRPr="002E0935">
        <w:t xml:space="preserve"> had a real doubt as to whether </w:t>
      </w:r>
      <w:r w:rsidR="006425B8" w:rsidRPr="002E0935">
        <w:t>it</w:t>
      </w:r>
      <w:r w:rsidR="008B03BE" w:rsidRPr="002E0935">
        <w:t xml:space="preserve"> w</w:t>
      </w:r>
      <w:r w:rsidR="006425B8" w:rsidRPr="002E0935">
        <w:t>as</w:t>
      </w:r>
      <w:r w:rsidR="008B03BE" w:rsidRPr="002E0935">
        <w:t xml:space="preserve"> correct: see </w:t>
      </w:r>
      <w:r w:rsidR="008B03BE" w:rsidRPr="002E0935">
        <w:rPr>
          <w:i/>
        </w:rPr>
        <w:t xml:space="preserve">Rajalingam </w:t>
      </w:r>
      <w:r w:rsidR="008B03BE" w:rsidRPr="002E0935">
        <w:t>[67]</w:t>
      </w:r>
      <w:r w:rsidR="00486ED8" w:rsidRPr="002E0935">
        <w:t>, [61].</w:t>
      </w:r>
      <w:r w:rsidRPr="002E0935">
        <w:t xml:space="preserve"> </w:t>
      </w:r>
      <w:r w:rsidR="006425B8" w:rsidRPr="002E0935">
        <w:t xml:space="preserve"> </w:t>
      </w:r>
      <w:r w:rsidRPr="002E0935">
        <w:t>In</w:t>
      </w:r>
      <w:r>
        <w:t xml:space="preserve"> this case the Authority did not express any doubts as to its final conclusion. To the contrary, the Authority rejected the claims. It was not required to take into account the possibility that the </w:t>
      </w:r>
      <w:r w:rsidRPr="002E0935">
        <w:t>appellants</w:t>
      </w:r>
      <w:r w:rsidR="00C037CC" w:rsidRPr="002E0935">
        <w:t>’</w:t>
      </w:r>
      <w:r w:rsidRPr="002E0935">
        <w:t xml:space="preserve"> claims concerning past events were true. </w:t>
      </w:r>
    </w:p>
    <w:p w:rsidR="00411CF8" w:rsidRPr="002E0935" w:rsidRDefault="00411CF8" w:rsidP="00411CF8">
      <w:pPr>
        <w:pStyle w:val="ParaNumbering"/>
      </w:pPr>
      <w:r w:rsidRPr="002E0935">
        <w:t xml:space="preserve">There is nothing in </w:t>
      </w:r>
      <w:r w:rsidRPr="002E0935">
        <w:rPr>
          <w:i/>
        </w:rPr>
        <w:t>Rajalingam</w:t>
      </w:r>
      <w:r w:rsidRPr="002E0935">
        <w:t xml:space="preserve"> to support the app</w:t>
      </w:r>
      <w:r w:rsidR="0022054B" w:rsidRPr="002E0935">
        <w:t>ellan</w:t>
      </w:r>
      <w:r w:rsidRPr="002E0935">
        <w:t>ts</w:t>
      </w:r>
      <w:r w:rsidR="0084515E" w:rsidRPr="002E0935">
        <w:t>’</w:t>
      </w:r>
      <w:r w:rsidRPr="002E0935">
        <w:t xml:space="preserve"> contention that the reasoning a</w:t>
      </w:r>
      <w:r w:rsidR="0034034A" w:rsidRPr="002E0935">
        <w:t xml:space="preserve">pplies to new information </w:t>
      </w:r>
      <w:r w:rsidR="000D1F13" w:rsidRPr="002E0935">
        <w:t xml:space="preserve">such that </w:t>
      </w:r>
      <w:r w:rsidRPr="002E0935">
        <w:t xml:space="preserve">the </w:t>
      </w:r>
      <w:r w:rsidR="00EF3023" w:rsidRPr="002E0935">
        <w:t xml:space="preserve">first appellant </w:t>
      </w:r>
      <w:r w:rsidRPr="002E0935">
        <w:t>ought</w:t>
      </w:r>
      <w:r w:rsidR="00EF3023" w:rsidRPr="002E0935">
        <w:t xml:space="preserve"> to</w:t>
      </w:r>
      <w:r w:rsidRPr="002E0935">
        <w:t xml:space="preserve"> </w:t>
      </w:r>
      <w:r w:rsidR="005C0580" w:rsidRPr="002E0935">
        <w:t xml:space="preserve">have </w:t>
      </w:r>
      <w:r w:rsidRPr="002E0935">
        <w:t>be</w:t>
      </w:r>
      <w:r w:rsidR="005C0580" w:rsidRPr="002E0935">
        <w:t>en</w:t>
      </w:r>
      <w:r w:rsidRPr="002E0935">
        <w:t xml:space="preserve"> given the</w:t>
      </w:r>
      <w:r w:rsidR="000D1F13" w:rsidRPr="002E0935">
        <w:t xml:space="preserve"> benefit of the doubt </w:t>
      </w:r>
      <w:r w:rsidR="0034034A" w:rsidRPr="002E0935">
        <w:t xml:space="preserve">about that information </w:t>
      </w:r>
      <w:r w:rsidR="000D1F13" w:rsidRPr="002E0935">
        <w:t xml:space="preserve">and </w:t>
      </w:r>
      <w:r w:rsidRPr="002E0935">
        <w:t>invited to an interview</w:t>
      </w:r>
      <w:r w:rsidR="0034034A" w:rsidRPr="002E0935">
        <w:t xml:space="preserve">. </w:t>
      </w:r>
    </w:p>
    <w:p w:rsidR="00411CF8" w:rsidRDefault="000D1F13" w:rsidP="009E7F14">
      <w:pPr>
        <w:pStyle w:val="ParaNumbering"/>
        <w:tabs>
          <w:tab w:val="clear" w:pos="720"/>
        </w:tabs>
        <w:rPr>
          <w:lang w:val="en"/>
        </w:rPr>
      </w:pPr>
      <w:r>
        <w:rPr>
          <w:lang w:val="en"/>
        </w:rPr>
        <w:t>This ground is not established.</w:t>
      </w:r>
    </w:p>
    <w:p w:rsidR="000D1F13" w:rsidRPr="00653EB8" w:rsidRDefault="000D1F13" w:rsidP="000D1F13">
      <w:pPr>
        <w:pStyle w:val="ParaNumbering"/>
        <w:numPr>
          <w:ilvl w:val="0"/>
          <w:numId w:val="0"/>
        </w:numPr>
        <w:rPr>
          <w:b/>
          <w:lang w:val="en"/>
        </w:rPr>
      </w:pPr>
      <w:r w:rsidRPr="00653EB8">
        <w:rPr>
          <w:b/>
          <w:lang w:val="en"/>
        </w:rPr>
        <w:t xml:space="preserve">Conclusion </w:t>
      </w:r>
    </w:p>
    <w:p w:rsidR="00EF3023" w:rsidRPr="008351C9" w:rsidRDefault="000D1F13" w:rsidP="008351C9">
      <w:pPr>
        <w:pStyle w:val="ParaNumbering"/>
        <w:tabs>
          <w:tab w:val="clear" w:pos="720"/>
        </w:tabs>
        <w:rPr>
          <w:lang w:val="en"/>
        </w:rPr>
      </w:pPr>
      <w:r>
        <w:rPr>
          <w:lang w:val="en"/>
        </w:rPr>
        <w:t xml:space="preserve">The appeal </w:t>
      </w:r>
      <w:r w:rsidR="003A1ECD">
        <w:rPr>
          <w:lang w:val="en"/>
        </w:rPr>
        <w:t>is</w:t>
      </w:r>
      <w:r>
        <w:rPr>
          <w:lang w:val="en"/>
        </w:rPr>
        <w:t xml:space="preserve"> dismissed. The app</w:t>
      </w:r>
      <w:r w:rsidR="00DE500A">
        <w:rPr>
          <w:lang w:val="en"/>
        </w:rPr>
        <w:t>ellants</w:t>
      </w:r>
      <w:r>
        <w:rPr>
          <w:lang w:val="en"/>
        </w:rPr>
        <w:t xml:space="preserve"> pay the cost of the first respondent to be agreed or taxed.</w:t>
      </w:r>
    </w:p>
    <w:p w:rsidR="00653EB8" w:rsidRDefault="00653EB8" w:rsidP="0037270C">
      <w:pPr>
        <w:pStyle w:val="BodyText"/>
        <w:spacing w:line="240" w:lineRule="auto"/>
      </w:pPr>
      <w:bookmarkStart w:id="27" w:name="Certification"/>
    </w:p>
    <w:tbl>
      <w:tblPr>
        <w:tblW w:w="0" w:type="auto"/>
        <w:tblLook w:val="04A0" w:firstRow="1" w:lastRow="0" w:firstColumn="1" w:lastColumn="0" w:noHBand="0" w:noVBand="1"/>
      </w:tblPr>
      <w:tblGrid>
        <w:gridCol w:w="3794"/>
      </w:tblGrid>
      <w:tr w:rsidR="00653EB8" w:rsidRPr="00653EB8">
        <w:tc>
          <w:tcPr>
            <w:tcW w:w="3794" w:type="dxa"/>
            <w:shd w:val="clear" w:color="auto" w:fill="auto"/>
          </w:tcPr>
          <w:p w:rsidR="00653EB8" w:rsidRPr="00653EB8" w:rsidRDefault="00653EB8" w:rsidP="0037270C">
            <w:pPr>
              <w:spacing w:line="240" w:lineRule="auto"/>
            </w:pPr>
            <w:r w:rsidRPr="00653EB8">
              <w:t xml:space="preserve">I certify that the preceding </w:t>
            </w:r>
            <w:bookmarkStart w:id="28" w:name="NumberWord"/>
            <w:r w:rsidR="00183C17">
              <w:t>forty-</w:t>
            </w:r>
            <w:r w:rsidR="005644D5">
              <w:t>one</w:t>
            </w:r>
            <w:bookmarkEnd w:id="28"/>
            <w:r w:rsidRPr="00653EB8">
              <w:t xml:space="preserve"> (</w:t>
            </w:r>
            <w:bookmarkStart w:id="29" w:name="NumberNumeral"/>
            <w:r w:rsidR="00183C17">
              <w:t>4</w:t>
            </w:r>
            <w:r w:rsidR="005644D5">
              <w:t>1</w:t>
            </w:r>
            <w:bookmarkEnd w:id="29"/>
            <w:r w:rsidRPr="00653EB8">
              <w:t xml:space="preserve">) numbered </w:t>
            </w:r>
            <w:bookmarkStart w:id="30" w:name="CertPara"/>
            <w:r>
              <w:t>paragraphs are</w:t>
            </w:r>
            <w:bookmarkEnd w:id="30"/>
            <w:r w:rsidRPr="00653EB8">
              <w:t xml:space="preserve"> a true copy of the Reasons for Judgment herein of the Honourable </w:t>
            </w:r>
            <w:bookmarkStart w:id="31" w:name="Justice"/>
            <w:r>
              <w:t>Justice Abraham</w:t>
            </w:r>
            <w:bookmarkEnd w:id="31"/>
            <w:r w:rsidRPr="00653EB8">
              <w:t>.</w:t>
            </w:r>
          </w:p>
        </w:tc>
      </w:tr>
    </w:tbl>
    <w:p w:rsidR="00653EB8" w:rsidRDefault="00653EB8" w:rsidP="0037270C">
      <w:pPr>
        <w:pStyle w:val="BodyText"/>
        <w:spacing w:line="240" w:lineRule="auto"/>
      </w:pPr>
    </w:p>
    <w:p w:rsidR="00653EB8" w:rsidRDefault="00653EB8" w:rsidP="0037270C">
      <w:pPr>
        <w:pStyle w:val="BodyText"/>
        <w:spacing w:line="240" w:lineRule="auto"/>
      </w:pPr>
      <w:r>
        <w:t>Associate:</w:t>
      </w:r>
    </w:p>
    <w:p w:rsidR="00653EB8" w:rsidRDefault="00653EB8" w:rsidP="0037270C">
      <w:pPr>
        <w:pStyle w:val="BodyText"/>
        <w:spacing w:line="240" w:lineRule="auto"/>
      </w:pPr>
    </w:p>
    <w:p w:rsidR="00653EB8" w:rsidRDefault="00653EB8" w:rsidP="0037270C">
      <w:pPr>
        <w:pStyle w:val="BodyText"/>
        <w:tabs>
          <w:tab w:val="left" w:pos="1134"/>
        </w:tabs>
        <w:spacing w:line="240" w:lineRule="auto"/>
      </w:pPr>
      <w:r w:rsidRPr="00653EB8">
        <w:t>Dated:</w:t>
      </w:r>
      <w:r w:rsidRPr="00653EB8">
        <w:tab/>
      </w:r>
      <w:r w:rsidR="00B13B66">
        <w:t>6 September 2019</w:t>
      </w:r>
    </w:p>
    <w:bookmarkEnd w:id="27"/>
    <w:p w:rsidR="00EF3023" w:rsidRPr="0037270C" w:rsidRDefault="00EF3023" w:rsidP="0037270C">
      <w:pPr>
        <w:pStyle w:val="ParaNumbering"/>
        <w:numPr>
          <w:ilvl w:val="0"/>
          <w:numId w:val="0"/>
        </w:numPr>
        <w:rPr>
          <w:highlight w:val="yellow"/>
          <w:lang w:val="en"/>
        </w:rPr>
      </w:pPr>
    </w:p>
    <w:sectPr w:rsidR="00EF3023" w:rsidRPr="0037270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7F" w:rsidRDefault="00E7267F">
      <w:pPr>
        <w:spacing w:line="20" w:lineRule="exact"/>
      </w:pPr>
    </w:p>
    <w:p w:rsidR="00E7267F" w:rsidRDefault="00E7267F"/>
    <w:p w:rsidR="00E7267F" w:rsidRDefault="00E7267F"/>
  </w:endnote>
  <w:endnote w:type="continuationSeparator" w:id="0">
    <w:p w:rsidR="00E7267F" w:rsidRDefault="00E7267F">
      <w:r>
        <w:t xml:space="preserve"> </w:t>
      </w:r>
    </w:p>
    <w:p w:rsidR="00E7267F" w:rsidRDefault="00E7267F"/>
    <w:p w:rsidR="00E7267F" w:rsidRDefault="00E7267F"/>
  </w:endnote>
  <w:endnote w:type="continuationNotice" w:id="1">
    <w:p w:rsidR="00E7267F" w:rsidRDefault="00E7267F">
      <w:r>
        <w:t xml:space="preserve"> </w:t>
      </w:r>
    </w:p>
    <w:p w:rsidR="00E7267F" w:rsidRDefault="00E7267F"/>
    <w:p w:rsidR="00E7267F" w:rsidRDefault="00E72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Default="00E7267F">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Pr="00624520" w:rsidRDefault="00E7267F"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Default="00E7267F"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7F" w:rsidRDefault="00E7267F"/>
    <w:p w:rsidR="00E7267F" w:rsidRDefault="00E7267F"/>
    <w:p w:rsidR="00E7267F" w:rsidRDefault="00E7267F"/>
  </w:footnote>
  <w:footnote w:type="continuationSeparator" w:id="0">
    <w:p w:rsidR="00E7267F" w:rsidRDefault="00E7267F">
      <w:r>
        <w:continuationSeparator/>
      </w:r>
    </w:p>
    <w:p w:rsidR="00E7267F" w:rsidRDefault="00E7267F"/>
    <w:p w:rsidR="00E7267F" w:rsidRDefault="00E726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Default="00E7267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Default="00E7267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Default="00E7267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Default="00E7267F">
    <w:pPr>
      <w:tabs>
        <w:tab w:val="center" w:pos="4512"/>
      </w:tabs>
      <w:suppressAutoHyphens/>
    </w:pPr>
    <w:r>
      <w:tab/>
      <w:t xml:space="preserve">- </w:t>
    </w:r>
    <w:r>
      <w:fldChar w:fldCharType="begin"/>
    </w:r>
    <w:r>
      <w:instrText>page \* arabic</w:instrText>
    </w:r>
    <w:r>
      <w:fldChar w:fldCharType="separate"/>
    </w:r>
    <w:r w:rsidR="00E73DDE">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7F" w:rsidRDefault="00E7267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1941B30"/>
    <w:multiLevelType w:val="multilevel"/>
    <w:tmpl w:val="90EAD01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D574171"/>
    <w:multiLevelType w:val="hybridMultilevel"/>
    <w:tmpl w:val="9F5ACB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9AE3DD1"/>
    <w:multiLevelType w:val="singleLevel"/>
    <w:tmpl w:val="11E01628"/>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A0936AA"/>
    <w:multiLevelType w:val="hybridMultilevel"/>
    <w:tmpl w:val="B3C6573E"/>
    <w:lvl w:ilvl="0" w:tplc="3A6CA1D8">
      <w:start w:val="13"/>
      <w:numFmt w:val="decimal"/>
      <w:lvlText w:val="%1."/>
      <w:lvlJc w:val="left"/>
      <w:pPr>
        <w:ind w:left="692" w:hanging="550"/>
        <w:jc w:val="right"/>
      </w:pPr>
      <w:rPr>
        <w:rFonts w:hint="default"/>
        <w:spacing w:val="-1"/>
        <w:w w:val="97"/>
      </w:rPr>
    </w:lvl>
    <w:lvl w:ilvl="1" w:tplc="440E1D04">
      <w:numFmt w:val="bullet"/>
      <w:lvlText w:val="•"/>
      <w:lvlJc w:val="left"/>
      <w:pPr>
        <w:ind w:left="1778" w:hanging="550"/>
      </w:pPr>
      <w:rPr>
        <w:rFonts w:hint="default"/>
      </w:rPr>
    </w:lvl>
    <w:lvl w:ilvl="2" w:tplc="6DA8357C">
      <w:numFmt w:val="bullet"/>
      <w:lvlText w:val="•"/>
      <w:lvlJc w:val="left"/>
      <w:pPr>
        <w:ind w:left="2676" w:hanging="550"/>
      </w:pPr>
      <w:rPr>
        <w:rFonts w:hint="default"/>
      </w:rPr>
    </w:lvl>
    <w:lvl w:ilvl="3" w:tplc="4850B95A">
      <w:numFmt w:val="bullet"/>
      <w:lvlText w:val="•"/>
      <w:lvlJc w:val="left"/>
      <w:pPr>
        <w:ind w:left="3574" w:hanging="550"/>
      </w:pPr>
      <w:rPr>
        <w:rFonts w:hint="default"/>
      </w:rPr>
    </w:lvl>
    <w:lvl w:ilvl="4" w:tplc="1FBAA5C6">
      <w:numFmt w:val="bullet"/>
      <w:lvlText w:val="•"/>
      <w:lvlJc w:val="left"/>
      <w:pPr>
        <w:ind w:left="4472" w:hanging="550"/>
      </w:pPr>
      <w:rPr>
        <w:rFonts w:hint="default"/>
      </w:rPr>
    </w:lvl>
    <w:lvl w:ilvl="5" w:tplc="3AD2E164">
      <w:numFmt w:val="bullet"/>
      <w:lvlText w:val="•"/>
      <w:lvlJc w:val="left"/>
      <w:pPr>
        <w:ind w:left="5370" w:hanging="550"/>
      </w:pPr>
      <w:rPr>
        <w:rFonts w:hint="default"/>
      </w:rPr>
    </w:lvl>
    <w:lvl w:ilvl="6" w:tplc="6DD4DA52">
      <w:numFmt w:val="bullet"/>
      <w:lvlText w:val="•"/>
      <w:lvlJc w:val="left"/>
      <w:pPr>
        <w:ind w:left="6268" w:hanging="550"/>
      </w:pPr>
      <w:rPr>
        <w:rFonts w:hint="default"/>
      </w:rPr>
    </w:lvl>
    <w:lvl w:ilvl="7" w:tplc="274AABFE">
      <w:numFmt w:val="bullet"/>
      <w:lvlText w:val="•"/>
      <w:lvlJc w:val="left"/>
      <w:pPr>
        <w:ind w:left="7166" w:hanging="550"/>
      </w:pPr>
      <w:rPr>
        <w:rFonts w:hint="default"/>
      </w:rPr>
    </w:lvl>
    <w:lvl w:ilvl="8" w:tplc="B4EAEE0E">
      <w:numFmt w:val="bullet"/>
      <w:lvlText w:val="•"/>
      <w:lvlJc w:val="left"/>
      <w:pPr>
        <w:ind w:left="8064" w:hanging="550"/>
      </w:pPr>
      <w:rPr>
        <w:rFont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8AE4D22"/>
    <w:multiLevelType w:val="multilevel"/>
    <w:tmpl w:val="C92EA2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7825DF"/>
    <w:multiLevelType w:val="hybridMultilevel"/>
    <w:tmpl w:val="50901D6C"/>
    <w:lvl w:ilvl="0" w:tplc="D6A644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0"/>
  </w:num>
  <w:num w:numId="15">
    <w:abstractNumId w:val="21"/>
  </w:num>
  <w:num w:numId="16">
    <w:abstractNumId w:val="26"/>
  </w:num>
  <w:num w:numId="17">
    <w:abstractNumId w:val="13"/>
  </w:num>
  <w:num w:numId="18">
    <w:abstractNumId w:val="25"/>
  </w:num>
  <w:num w:numId="19">
    <w:abstractNumId w:val="10"/>
  </w:num>
  <w:num w:numId="20">
    <w:abstractNumId w:val="17"/>
  </w:num>
  <w:num w:numId="21">
    <w:abstractNumId w:val="19"/>
  </w:num>
  <w:num w:numId="22">
    <w:abstractNumId w:val="16"/>
  </w:num>
  <w:num w:numId="23">
    <w:abstractNumId w:val="16"/>
  </w:num>
  <w:num w:numId="24">
    <w:abstractNumId w:val="11"/>
    <w:lvlOverride w:ilvl="0">
      <w:startOverride w:val="15"/>
    </w:lvlOverride>
  </w:num>
  <w:num w:numId="25">
    <w:abstractNumId w:val="11"/>
    <w:lvlOverride w:ilvl="0">
      <w:startOverride w:val="16"/>
    </w:lvlOverride>
  </w:num>
  <w:num w:numId="26">
    <w:abstractNumId w:val="11"/>
    <w:lvlOverride w:ilvl="0">
      <w:startOverride w:val="17"/>
    </w:lvlOverride>
  </w:num>
  <w:num w:numId="27">
    <w:abstractNumId w:val="14"/>
  </w:num>
  <w:num w:numId="28">
    <w:abstractNumId w:val="22"/>
    <w:lvlOverride w:ilvl="0">
      <w:startOverride w:val="4"/>
    </w:lvlOverride>
  </w:num>
  <w:num w:numId="29">
    <w:abstractNumId w:val="15"/>
  </w:num>
  <w:num w:numId="30">
    <w:abstractNumId w:val="15"/>
  </w:num>
  <w:num w:numId="31">
    <w:abstractNumId w:val="18"/>
  </w:num>
  <w:num w:numId="32">
    <w:abstractNumId w:val="23"/>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15"/>
    <w:lvlOverride w:ilvl="0">
      <w:startOverride w:val="1"/>
    </w:lvlOverride>
  </w:num>
  <w:num w:numId="61">
    <w:abstractNumId w:val="15"/>
  </w:num>
  <w:num w:numId="62">
    <w:abstractNumId w:val="19"/>
  </w:num>
  <w:num w:numId="63">
    <w:abstractNumId w:val="19"/>
  </w:num>
  <w:num w:numId="64">
    <w:abstractNumId w:val="19"/>
  </w:num>
  <w:num w:numId="65">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ERQ17"/>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E03D644C-9D6C-4C6F-B57D-808373842378}"/>
    <w:docVar w:name="dgnword-eventsink" w:val="602974800"/>
    <w:docVar w:name="Division" w:val="General Division"/>
    <w:docVar w:name="DocCreated" w:val="True"/>
    <w:docVar w:name="FileNumbers" w:val="NSD 2330 of 2018"/>
    <w:docVar w:name="HearingDate" w:val="27 June 2019"/>
    <w:docVar w:name="Initiators" w:val="(and another named in the Schedule)"/>
    <w:docVar w:name="Judgdate" w:val="##"/>
    <w:docVar w:name="Judge" w:val="Abraham"/>
    <w:docVar w:name="Justices" w:val="Justice"/>
    <w:docVar w:name="lstEntryList" w:val="-1"/>
    <w:docVar w:name="myEntryList" w:val="Counsel for the Appellant=G Foster|Counsel for the First Respondent=T Liu"/>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HOME AFFAIRS|IMMIGRATION ASSESSMENT AUTHORITY"/>
    <w:docVar w:name="ResState" w:val="New South Wales"/>
    <w:docVar w:name="SubArea" w:val="[none]"/>
  </w:docVars>
  <w:rsids>
    <w:rsidRoot w:val="00B95171"/>
    <w:rsid w:val="0001469E"/>
    <w:rsid w:val="00015993"/>
    <w:rsid w:val="00015E74"/>
    <w:rsid w:val="00022289"/>
    <w:rsid w:val="00032F9F"/>
    <w:rsid w:val="00041C07"/>
    <w:rsid w:val="00045BB7"/>
    <w:rsid w:val="00053F8F"/>
    <w:rsid w:val="00055719"/>
    <w:rsid w:val="0005641B"/>
    <w:rsid w:val="00062828"/>
    <w:rsid w:val="00063CB2"/>
    <w:rsid w:val="00081497"/>
    <w:rsid w:val="000851A7"/>
    <w:rsid w:val="00085C90"/>
    <w:rsid w:val="00091974"/>
    <w:rsid w:val="000A2E76"/>
    <w:rsid w:val="000A4807"/>
    <w:rsid w:val="000A4BE4"/>
    <w:rsid w:val="000B0945"/>
    <w:rsid w:val="000B153E"/>
    <w:rsid w:val="000C023E"/>
    <w:rsid w:val="000C2AAC"/>
    <w:rsid w:val="000C3059"/>
    <w:rsid w:val="000C5195"/>
    <w:rsid w:val="000C62EF"/>
    <w:rsid w:val="000D01B3"/>
    <w:rsid w:val="000D1F13"/>
    <w:rsid w:val="000D2137"/>
    <w:rsid w:val="000D336D"/>
    <w:rsid w:val="000D3FD2"/>
    <w:rsid w:val="000D3FEE"/>
    <w:rsid w:val="000D73F8"/>
    <w:rsid w:val="000E3FC8"/>
    <w:rsid w:val="000E7A8C"/>
    <w:rsid w:val="000E7BAE"/>
    <w:rsid w:val="000F0ACB"/>
    <w:rsid w:val="000F133D"/>
    <w:rsid w:val="000F1985"/>
    <w:rsid w:val="0010528C"/>
    <w:rsid w:val="0010536B"/>
    <w:rsid w:val="0011145C"/>
    <w:rsid w:val="001128BD"/>
    <w:rsid w:val="0011419D"/>
    <w:rsid w:val="001201DA"/>
    <w:rsid w:val="00132054"/>
    <w:rsid w:val="001511CC"/>
    <w:rsid w:val="00163406"/>
    <w:rsid w:val="001644D1"/>
    <w:rsid w:val="001700A7"/>
    <w:rsid w:val="00170506"/>
    <w:rsid w:val="001727A4"/>
    <w:rsid w:val="0017376C"/>
    <w:rsid w:val="001738AB"/>
    <w:rsid w:val="001765E0"/>
    <w:rsid w:val="00177759"/>
    <w:rsid w:val="00177CA4"/>
    <w:rsid w:val="00183C17"/>
    <w:rsid w:val="00185E6B"/>
    <w:rsid w:val="00187BBC"/>
    <w:rsid w:val="00190C5B"/>
    <w:rsid w:val="001932F3"/>
    <w:rsid w:val="001A4309"/>
    <w:rsid w:val="001A76A8"/>
    <w:rsid w:val="001B1053"/>
    <w:rsid w:val="001B13CE"/>
    <w:rsid w:val="001B14AC"/>
    <w:rsid w:val="001B234F"/>
    <w:rsid w:val="001B249F"/>
    <w:rsid w:val="001B7940"/>
    <w:rsid w:val="001C0389"/>
    <w:rsid w:val="001C1B94"/>
    <w:rsid w:val="001C37CA"/>
    <w:rsid w:val="001D4303"/>
    <w:rsid w:val="001D6746"/>
    <w:rsid w:val="001D6D17"/>
    <w:rsid w:val="001E3B49"/>
    <w:rsid w:val="001E48FC"/>
    <w:rsid w:val="001E60B7"/>
    <w:rsid w:val="001E7388"/>
    <w:rsid w:val="001F0A81"/>
    <w:rsid w:val="001F1369"/>
    <w:rsid w:val="001F13DD"/>
    <w:rsid w:val="001F2DBC"/>
    <w:rsid w:val="001F73E8"/>
    <w:rsid w:val="0020262C"/>
    <w:rsid w:val="00215A5E"/>
    <w:rsid w:val="0022054B"/>
    <w:rsid w:val="00224537"/>
    <w:rsid w:val="00230586"/>
    <w:rsid w:val="00232792"/>
    <w:rsid w:val="00235956"/>
    <w:rsid w:val="00235AB2"/>
    <w:rsid w:val="00237C18"/>
    <w:rsid w:val="00242035"/>
    <w:rsid w:val="00247C9A"/>
    <w:rsid w:val="002510A8"/>
    <w:rsid w:val="0025160C"/>
    <w:rsid w:val="002535D0"/>
    <w:rsid w:val="002539B3"/>
    <w:rsid w:val="002575DC"/>
    <w:rsid w:val="00257C3E"/>
    <w:rsid w:val="002602C2"/>
    <w:rsid w:val="00264DD7"/>
    <w:rsid w:val="002666C9"/>
    <w:rsid w:val="00270136"/>
    <w:rsid w:val="00274F5B"/>
    <w:rsid w:val="00275A23"/>
    <w:rsid w:val="00280836"/>
    <w:rsid w:val="00282E1A"/>
    <w:rsid w:val="0029113B"/>
    <w:rsid w:val="002934C0"/>
    <w:rsid w:val="002A1B50"/>
    <w:rsid w:val="002B0E91"/>
    <w:rsid w:val="002B2274"/>
    <w:rsid w:val="002B6779"/>
    <w:rsid w:val="002B71C0"/>
    <w:rsid w:val="002B79EE"/>
    <w:rsid w:val="002B7A34"/>
    <w:rsid w:val="002C026D"/>
    <w:rsid w:val="002C31AD"/>
    <w:rsid w:val="002C7385"/>
    <w:rsid w:val="002C74B1"/>
    <w:rsid w:val="002D1EC9"/>
    <w:rsid w:val="002D2DBB"/>
    <w:rsid w:val="002D54A6"/>
    <w:rsid w:val="002D59BD"/>
    <w:rsid w:val="002E0935"/>
    <w:rsid w:val="002E2E62"/>
    <w:rsid w:val="002E2EB5"/>
    <w:rsid w:val="002E3E85"/>
    <w:rsid w:val="002E6A7A"/>
    <w:rsid w:val="002F1E49"/>
    <w:rsid w:val="002F4E9C"/>
    <w:rsid w:val="00307902"/>
    <w:rsid w:val="003106B1"/>
    <w:rsid w:val="0031256C"/>
    <w:rsid w:val="00314D6C"/>
    <w:rsid w:val="00315C0C"/>
    <w:rsid w:val="00316D2A"/>
    <w:rsid w:val="00320CA5"/>
    <w:rsid w:val="00322A7C"/>
    <w:rsid w:val="0032547D"/>
    <w:rsid w:val="00327240"/>
    <w:rsid w:val="003402D3"/>
    <w:rsid w:val="0034034A"/>
    <w:rsid w:val="003430E5"/>
    <w:rsid w:val="003439FC"/>
    <w:rsid w:val="00343ABC"/>
    <w:rsid w:val="0034541C"/>
    <w:rsid w:val="00345E6F"/>
    <w:rsid w:val="003463FE"/>
    <w:rsid w:val="003554B3"/>
    <w:rsid w:val="00356632"/>
    <w:rsid w:val="003660AB"/>
    <w:rsid w:val="0036781C"/>
    <w:rsid w:val="00367DAC"/>
    <w:rsid w:val="00370186"/>
    <w:rsid w:val="00370535"/>
    <w:rsid w:val="0037194A"/>
    <w:rsid w:val="0037270C"/>
    <w:rsid w:val="00375895"/>
    <w:rsid w:val="00384410"/>
    <w:rsid w:val="003845A9"/>
    <w:rsid w:val="003850C0"/>
    <w:rsid w:val="0038715D"/>
    <w:rsid w:val="00390883"/>
    <w:rsid w:val="003922F8"/>
    <w:rsid w:val="00394D92"/>
    <w:rsid w:val="00395B24"/>
    <w:rsid w:val="003A1ECD"/>
    <w:rsid w:val="003A2D38"/>
    <w:rsid w:val="003A2D50"/>
    <w:rsid w:val="003A7ECC"/>
    <w:rsid w:val="003B0864"/>
    <w:rsid w:val="003B19E4"/>
    <w:rsid w:val="003B2C72"/>
    <w:rsid w:val="003C097F"/>
    <w:rsid w:val="003C1333"/>
    <w:rsid w:val="003C20FF"/>
    <w:rsid w:val="003D2650"/>
    <w:rsid w:val="003D560C"/>
    <w:rsid w:val="003E55B3"/>
    <w:rsid w:val="003E5874"/>
    <w:rsid w:val="003E658D"/>
    <w:rsid w:val="003F193E"/>
    <w:rsid w:val="003F34F1"/>
    <w:rsid w:val="0041031D"/>
    <w:rsid w:val="00411400"/>
    <w:rsid w:val="00411AE8"/>
    <w:rsid w:val="00411CF8"/>
    <w:rsid w:val="00413B74"/>
    <w:rsid w:val="0043323A"/>
    <w:rsid w:val="00435C5F"/>
    <w:rsid w:val="0043641C"/>
    <w:rsid w:val="00441E98"/>
    <w:rsid w:val="004532F7"/>
    <w:rsid w:val="00460ED8"/>
    <w:rsid w:val="00472027"/>
    <w:rsid w:val="00473CB9"/>
    <w:rsid w:val="0047499B"/>
    <w:rsid w:val="004804CF"/>
    <w:rsid w:val="00481B64"/>
    <w:rsid w:val="00484962"/>
    <w:rsid w:val="00484D1A"/>
    <w:rsid w:val="00484F6D"/>
    <w:rsid w:val="00486ED8"/>
    <w:rsid w:val="00491727"/>
    <w:rsid w:val="0049338A"/>
    <w:rsid w:val="0049417F"/>
    <w:rsid w:val="00495806"/>
    <w:rsid w:val="004A0A5F"/>
    <w:rsid w:val="004A2224"/>
    <w:rsid w:val="004B3EFA"/>
    <w:rsid w:val="004B52CD"/>
    <w:rsid w:val="004B744F"/>
    <w:rsid w:val="004C2A87"/>
    <w:rsid w:val="004C3233"/>
    <w:rsid w:val="004C4D7B"/>
    <w:rsid w:val="004C4ED3"/>
    <w:rsid w:val="004C5753"/>
    <w:rsid w:val="004D2EA5"/>
    <w:rsid w:val="004D3026"/>
    <w:rsid w:val="004D32A6"/>
    <w:rsid w:val="004D46F5"/>
    <w:rsid w:val="004D53E5"/>
    <w:rsid w:val="004F2B0F"/>
    <w:rsid w:val="004F3D95"/>
    <w:rsid w:val="004F4ACA"/>
    <w:rsid w:val="004F4EE6"/>
    <w:rsid w:val="00500BF3"/>
    <w:rsid w:val="00501A12"/>
    <w:rsid w:val="0051346D"/>
    <w:rsid w:val="00513EAE"/>
    <w:rsid w:val="00516806"/>
    <w:rsid w:val="00517922"/>
    <w:rsid w:val="00517941"/>
    <w:rsid w:val="005217D4"/>
    <w:rsid w:val="00523D11"/>
    <w:rsid w:val="00525A49"/>
    <w:rsid w:val="00535613"/>
    <w:rsid w:val="005359EB"/>
    <w:rsid w:val="0054254A"/>
    <w:rsid w:val="00545B29"/>
    <w:rsid w:val="005466B5"/>
    <w:rsid w:val="00550AF1"/>
    <w:rsid w:val="00552B1A"/>
    <w:rsid w:val="00554314"/>
    <w:rsid w:val="005629B3"/>
    <w:rsid w:val="005644D5"/>
    <w:rsid w:val="00566435"/>
    <w:rsid w:val="00573AC4"/>
    <w:rsid w:val="0057565C"/>
    <w:rsid w:val="005801FC"/>
    <w:rsid w:val="00595016"/>
    <w:rsid w:val="00597AAE"/>
    <w:rsid w:val="005A222C"/>
    <w:rsid w:val="005A4DF8"/>
    <w:rsid w:val="005B1426"/>
    <w:rsid w:val="005B6216"/>
    <w:rsid w:val="005C0580"/>
    <w:rsid w:val="005C0A8E"/>
    <w:rsid w:val="005C1767"/>
    <w:rsid w:val="005C4084"/>
    <w:rsid w:val="005C42EF"/>
    <w:rsid w:val="005C4A5E"/>
    <w:rsid w:val="005E02F5"/>
    <w:rsid w:val="005E0510"/>
    <w:rsid w:val="005E176E"/>
    <w:rsid w:val="005E218E"/>
    <w:rsid w:val="005E35A0"/>
    <w:rsid w:val="005E49A8"/>
    <w:rsid w:val="005E4A08"/>
    <w:rsid w:val="005F0D1B"/>
    <w:rsid w:val="005F1865"/>
    <w:rsid w:val="006007BD"/>
    <w:rsid w:val="006013C8"/>
    <w:rsid w:val="0060270D"/>
    <w:rsid w:val="00604611"/>
    <w:rsid w:val="0060477D"/>
    <w:rsid w:val="00611586"/>
    <w:rsid w:val="00621887"/>
    <w:rsid w:val="00624520"/>
    <w:rsid w:val="00632300"/>
    <w:rsid w:val="00632BB7"/>
    <w:rsid w:val="00635B36"/>
    <w:rsid w:val="00636871"/>
    <w:rsid w:val="00640F4E"/>
    <w:rsid w:val="006425B8"/>
    <w:rsid w:val="00643487"/>
    <w:rsid w:val="00643DE0"/>
    <w:rsid w:val="00644BC0"/>
    <w:rsid w:val="00644E85"/>
    <w:rsid w:val="00653EB8"/>
    <w:rsid w:val="00660101"/>
    <w:rsid w:val="0066063F"/>
    <w:rsid w:val="0066102F"/>
    <w:rsid w:val="00662BB0"/>
    <w:rsid w:val="00663878"/>
    <w:rsid w:val="00667773"/>
    <w:rsid w:val="00670743"/>
    <w:rsid w:val="0067683D"/>
    <w:rsid w:val="00690EE2"/>
    <w:rsid w:val="006A0215"/>
    <w:rsid w:val="006A0E20"/>
    <w:rsid w:val="006A4E7B"/>
    <w:rsid w:val="006A5695"/>
    <w:rsid w:val="006B131F"/>
    <w:rsid w:val="006B2865"/>
    <w:rsid w:val="006B3904"/>
    <w:rsid w:val="006B5B7D"/>
    <w:rsid w:val="006C2E87"/>
    <w:rsid w:val="006C5127"/>
    <w:rsid w:val="006D0ECF"/>
    <w:rsid w:val="006D4C92"/>
    <w:rsid w:val="006D4EB6"/>
    <w:rsid w:val="006D5EAE"/>
    <w:rsid w:val="006E35BF"/>
    <w:rsid w:val="006E7850"/>
    <w:rsid w:val="006F5512"/>
    <w:rsid w:val="007028D9"/>
    <w:rsid w:val="0070425F"/>
    <w:rsid w:val="00705058"/>
    <w:rsid w:val="00707218"/>
    <w:rsid w:val="00712B1D"/>
    <w:rsid w:val="00712E8D"/>
    <w:rsid w:val="0072460A"/>
    <w:rsid w:val="007325D9"/>
    <w:rsid w:val="00732A91"/>
    <w:rsid w:val="007360CA"/>
    <w:rsid w:val="0074436E"/>
    <w:rsid w:val="00747295"/>
    <w:rsid w:val="00747FBA"/>
    <w:rsid w:val="00760EC0"/>
    <w:rsid w:val="007643F1"/>
    <w:rsid w:val="00771A1D"/>
    <w:rsid w:val="0077452B"/>
    <w:rsid w:val="0077497C"/>
    <w:rsid w:val="00775D4D"/>
    <w:rsid w:val="0078003A"/>
    <w:rsid w:val="00780771"/>
    <w:rsid w:val="00781981"/>
    <w:rsid w:val="00784191"/>
    <w:rsid w:val="00787A5E"/>
    <w:rsid w:val="007929CF"/>
    <w:rsid w:val="007A0D88"/>
    <w:rsid w:val="007A6F28"/>
    <w:rsid w:val="007B03C6"/>
    <w:rsid w:val="007B0DB1"/>
    <w:rsid w:val="007B356D"/>
    <w:rsid w:val="007C3BF6"/>
    <w:rsid w:val="007C790A"/>
    <w:rsid w:val="007D0FD2"/>
    <w:rsid w:val="007D2EF8"/>
    <w:rsid w:val="007D561F"/>
    <w:rsid w:val="007D7FD2"/>
    <w:rsid w:val="007E13BD"/>
    <w:rsid w:val="007E13D9"/>
    <w:rsid w:val="007E41BE"/>
    <w:rsid w:val="007E4DB6"/>
    <w:rsid w:val="007E7CD4"/>
    <w:rsid w:val="007F12AC"/>
    <w:rsid w:val="008005F2"/>
    <w:rsid w:val="00801800"/>
    <w:rsid w:val="00801B5B"/>
    <w:rsid w:val="00801CDE"/>
    <w:rsid w:val="00811872"/>
    <w:rsid w:val="00812FCD"/>
    <w:rsid w:val="0082336E"/>
    <w:rsid w:val="008276B4"/>
    <w:rsid w:val="00831927"/>
    <w:rsid w:val="008351C9"/>
    <w:rsid w:val="00841BD3"/>
    <w:rsid w:val="0084273D"/>
    <w:rsid w:val="00844E3F"/>
    <w:rsid w:val="0084515E"/>
    <w:rsid w:val="00845A83"/>
    <w:rsid w:val="0084745B"/>
    <w:rsid w:val="008510D8"/>
    <w:rsid w:val="00861636"/>
    <w:rsid w:val="008712BB"/>
    <w:rsid w:val="008A2484"/>
    <w:rsid w:val="008A33DD"/>
    <w:rsid w:val="008B03BE"/>
    <w:rsid w:val="008B34CE"/>
    <w:rsid w:val="008B7930"/>
    <w:rsid w:val="008C26D9"/>
    <w:rsid w:val="008C5632"/>
    <w:rsid w:val="008C58AD"/>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1090"/>
    <w:rsid w:val="009364E7"/>
    <w:rsid w:val="009365E0"/>
    <w:rsid w:val="009418C2"/>
    <w:rsid w:val="00942BA2"/>
    <w:rsid w:val="00944C86"/>
    <w:rsid w:val="00957DE8"/>
    <w:rsid w:val="00960ECB"/>
    <w:rsid w:val="009615D6"/>
    <w:rsid w:val="00964B50"/>
    <w:rsid w:val="009651BE"/>
    <w:rsid w:val="00967855"/>
    <w:rsid w:val="00971CE3"/>
    <w:rsid w:val="00980736"/>
    <w:rsid w:val="00981A39"/>
    <w:rsid w:val="00987097"/>
    <w:rsid w:val="009901FF"/>
    <w:rsid w:val="009A3A9C"/>
    <w:rsid w:val="009A5033"/>
    <w:rsid w:val="009A7895"/>
    <w:rsid w:val="009B046C"/>
    <w:rsid w:val="009B0BE1"/>
    <w:rsid w:val="009B13FA"/>
    <w:rsid w:val="009B1E2D"/>
    <w:rsid w:val="009B2086"/>
    <w:rsid w:val="009B4871"/>
    <w:rsid w:val="009B7BC3"/>
    <w:rsid w:val="009C59FB"/>
    <w:rsid w:val="009C6F3B"/>
    <w:rsid w:val="009D1467"/>
    <w:rsid w:val="009D282C"/>
    <w:rsid w:val="009E4FA6"/>
    <w:rsid w:val="009E6866"/>
    <w:rsid w:val="009E7D93"/>
    <w:rsid w:val="009E7F14"/>
    <w:rsid w:val="009F04A2"/>
    <w:rsid w:val="009F5C33"/>
    <w:rsid w:val="00A0249B"/>
    <w:rsid w:val="00A03EAC"/>
    <w:rsid w:val="00A03F44"/>
    <w:rsid w:val="00A04A3E"/>
    <w:rsid w:val="00A11536"/>
    <w:rsid w:val="00A11CA6"/>
    <w:rsid w:val="00A14D8E"/>
    <w:rsid w:val="00A20C49"/>
    <w:rsid w:val="00A20F44"/>
    <w:rsid w:val="00A269CA"/>
    <w:rsid w:val="00A336EE"/>
    <w:rsid w:val="00A359AC"/>
    <w:rsid w:val="00A41413"/>
    <w:rsid w:val="00A45B74"/>
    <w:rsid w:val="00A45FB1"/>
    <w:rsid w:val="00A46CCC"/>
    <w:rsid w:val="00A51CFE"/>
    <w:rsid w:val="00A6420E"/>
    <w:rsid w:val="00A7524A"/>
    <w:rsid w:val="00A76C13"/>
    <w:rsid w:val="00A87468"/>
    <w:rsid w:val="00A92E79"/>
    <w:rsid w:val="00A950B6"/>
    <w:rsid w:val="00AA61E5"/>
    <w:rsid w:val="00AB41C1"/>
    <w:rsid w:val="00AB7243"/>
    <w:rsid w:val="00AC216C"/>
    <w:rsid w:val="00AD01B5"/>
    <w:rsid w:val="00AD0C36"/>
    <w:rsid w:val="00AD12A8"/>
    <w:rsid w:val="00AE023F"/>
    <w:rsid w:val="00AE1A56"/>
    <w:rsid w:val="00AE212A"/>
    <w:rsid w:val="00AE2489"/>
    <w:rsid w:val="00AE2FC4"/>
    <w:rsid w:val="00AE68F4"/>
    <w:rsid w:val="00AF1838"/>
    <w:rsid w:val="00AF3570"/>
    <w:rsid w:val="00AF3577"/>
    <w:rsid w:val="00AF35F9"/>
    <w:rsid w:val="00AF49B1"/>
    <w:rsid w:val="00AF764F"/>
    <w:rsid w:val="00B00BB9"/>
    <w:rsid w:val="00B05113"/>
    <w:rsid w:val="00B05C7D"/>
    <w:rsid w:val="00B07BC8"/>
    <w:rsid w:val="00B12C04"/>
    <w:rsid w:val="00B13B66"/>
    <w:rsid w:val="00B346C3"/>
    <w:rsid w:val="00B40EA5"/>
    <w:rsid w:val="00B4471C"/>
    <w:rsid w:val="00B451A6"/>
    <w:rsid w:val="00B45C44"/>
    <w:rsid w:val="00B4771C"/>
    <w:rsid w:val="00B553B3"/>
    <w:rsid w:val="00B71B66"/>
    <w:rsid w:val="00B722DE"/>
    <w:rsid w:val="00B76C44"/>
    <w:rsid w:val="00B83F87"/>
    <w:rsid w:val="00B85E93"/>
    <w:rsid w:val="00B86D4A"/>
    <w:rsid w:val="00B87A25"/>
    <w:rsid w:val="00B95171"/>
    <w:rsid w:val="00B972E2"/>
    <w:rsid w:val="00BA19A0"/>
    <w:rsid w:val="00BA2EFA"/>
    <w:rsid w:val="00BA37D4"/>
    <w:rsid w:val="00BA3DBC"/>
    <w:rsid w:val="00BB2674"/>
    <w:rsid w:val="00BB2DA2"/>
    <w:rsid w:val="00BB56DC"/>
    <w:rsid w:val="00BB5C90"/>
    <w:rsid w:val="00BC3776"/>
    <w:rsid w:val="00BC4E1D"/>
    <w:rsid w:val="00BE183D"/>
    <w:rsid w:val="00BF472A"/>
    <w:rsid w:val="00BF5D7A"/>
    <w:rsid w:val="00C02D33"/>
    <w:rsid w:val="00C037CC"/>
    <w:rsid w:val="00C1232C"/>
    <w:rsid w:val="00C168B8"/>
    <w:rsid w:val="00C23BE3"/>
    <w:rsid w:val="00C308C1"/>
    <w:rsid w:val="00C32552"/>
    <w:rsid w:val="00C35D6A"/>
    <w:rsid w:val="00C36442"/>
    <w:rsid w:val="00C400CE"/>
    <w:rsid w:val="00C410FD"/>
    <w:rsid w:val="00C449AA"/>
    <w:rsid w:val="00C539FB"/>
    <w:rsid w:val="00C543BD"/>
    <w:rsid w:val="00C62E60"/>
    <w:rsid w:val="00C67E70"/>
    <w:rsid w:val="00C83CF7"/>
    <w:rsid w:val="00C861DB"/>
    <w:rsid w:val="00C87EC2"/>
    <w:rsid w:val="00CA246D"/>
    <w:rsid w:val="00CA50D9"/>
    <w:rsid w:val="00CB05CB"/>
    <w:rsid w:val="00CB1B3A"/>
    <w:rsid w:val="00CB5636"/>
    <w:rsid w:val="00CC55CD"/>
    <w:rsid w:val="00CE7EE1"/>
    <w:rsid w:val="00D10F21"/>
    <w:rsid w:val="00D22328"/>
    <w:rsid w:val="00D24806"/>
    <w:rsid w:val="00D26934"/>
    <w:rsid w:val="00D34040"/>
    <w:rsid w:val="00D34340"/>
    <w:rsid w:val="00D34E69"/>
    <w:rsid w:val="00D375EE"/>
    <w:rsid w:val="00D37B9A"/>
    <w:rsid w:val="00D435EE"/>
    <w:rsid w:val="00D52B64"/>
    <w:rsid w:val="00D62699"/>
    <w:rsid w:val="00D628D6"/>
    <w:rsid w:val="00D649C2"/>
    <w:rsid w:val="00D7187B"/>
    <w:rsid w:val="00D76D61"/>
    <w:rsid w:val="00D82620"/>
    <w:rsid w:val="00D93B5F"/>
    <w:rsid w:val="00D9725F"/>
    <w:rsid w:val="00DA01B1"/>
    <w:rsid w:val="00DA11A2"/>
    <w:rsid w:val="00DA14ED"/>
    <w:rsid w:val="00DA1BD3"/>
    <w:rsid w:val="00DA3F42"/>
    <w:rsid w:val="00DA5826"/>
    <w:rsid w:val="00DB2EF1"/>
    <w:rsid w:val="00DB3DE1"/>
    <w:rsid w:val="00DB5DA0"/>
    <w:rsid w:val="00DB716C"/>
    <w:rsid w:val="00DB7D56"/>
    <w:rsid w:val="00DC5C85"/>
    <w:rsid w:val="00DD163A"/>
    <w:rsid w:val="00DD4236"/>
    <w:rsid w:val="00DD44F1"/>
    <w:rsid w:val="00DD7E9C"/>
    <w:rsid w:val="00DE2D20"/>
    <w:rsid w:val="00DE3067"/>
    <w:rsid w:val="00DE461B"/>
    <w:rsid w:val="00DE500A"/>
    <w:rsid w:val="00DF5E14"/>
    <w:rsid w:val="00E027BC"/>
    <w:rsid w:val="00E02A01"/>
    <w:rsid w:val="00E14EA5"/>
    <w:rsid w:val="00E15381"/>
    <w:rsid w:val="00E163CB"/>
    <w:rsid w:val="00E21133"/>
    <w:rsid w:val="00E2327E"/>
    <w:rsid w:val="00E266EF"/>
    <w:rsid w:val="00E47428"/>
    <w:rsid w:val="00E54BAA"/>
    <w:rsid w:val="00E55F7E"/>
    <w:rsid w:val="00E66B9F"/>
    <w:rsid w:val="00E67978"/>
    <w:rsid w:val="00E710D6"/>
    <w:rsid w:val="00E7267F"/>
    <w:rsid w:val="00E73DDE"/>
    <w:rsid w:val="00E76E45"/>
    <w:rsid w:val="00E777C9"/>
    <w:rsid w:val="00E81DA6"/>
    <w:rsid w:val="00E84212"/>
    <w:rsid w:val="00E875C1"/>
    <w:rsid w:val="00E878F6"/>
    <w:rsid w:val="00E9086C"/>
    <w:rsid w:val="00E91A0F"/>
    <w:rsid w:val="00E94A71"/>
    <w:rsid w:val="00EA0198"/>
    <w:rsid w:val="00EA03CE"/>
    <w:rsid w:val="00EA23E5"/>
    <w:rsid w:val="00EA4E2E"/>
    <w:rsid w:val="00EB2CCB"/>
    <w:rsid w:val="00EB6A34"/>
    <w:rsid w:val="00EB75D8"/>
    <w:rsid w:val="00EC57A7"/>
    <w:rsid w:val="00EC644D"/>
    <w:rsid w:val="00EC79DD"/>
    <w:rsid w:val="00ED0817"/>
    <w:rsid w:val="00ED4453"/>
    <w:rsid w:val="00ED7DD9"/>
    <w:rsid w:val="00EE5528"/>
    <w:rsid w:val="00EE6BCE"/>
    <w:rsid w:val="00EF3023"/>
    <w:rsid w:val="00EF3113"/>
    <w:rsid w:val="00EF3F84"/>
    <w:rsid w:val="00EF48B8"/>
    <w:rsid w:val="00EF5801"/>
    <w:rsid w:val="00F129D8"/>
    <w:rsid w:val="00F148C9"/>
    <w:rsid w:val="00F176AC"/>
    <w:rsid w:val="00F238EE"/>
    <w:rsid w:val="00F24763"/>
    <w:rsid w:val="00F27714"/>
    <w:rsid w:val="00F3276E"/>
    <w:rsid w:val="00F33D3C"/>
    <w:rsid w:val="00F3453E"/>
    <w:rsid w:val="00F37A91"/>
    <w:rsid w:val="00F431C5"/>
    <w:rsid w:val="00F45CF5"/>
    <w:rsid w:val="00F477F2"/>
    <w:rsid w:val="00F47DB0"/>
    <w:rsid w:val="00F50B8D"/>
    <w:rsid w:val="00F50E34"/>
    <w:rsid w:val="00F53EF7"/>
    <w:rsid w:val="00F53F16"/>
    <w:rsid w:val="00F54BF2"/>
    <w:rsid w:val="00F565C2"/>
    <w:rsid w:val="00F90A11"/>
    <w:rsid w:val="00F92355"/>
    <w:rsid w:val="00F93963"/>
    <w:rsid w:val="00F94291"/>
    <w:rsid w:val="00F97A8E"/>
    <w:rsid w:val="00FA1660"/>
    <w:rsid w:val="00FB7982"/>
    <w:rsid w:val="00FC045D"/>
    <w:rsid w:val="00FC0734"/>
    <w:rsid w:val="00FC0FC5"/>
    <w:rsid w:val="00FC588F"/>
    <w:rsid w:val="00FD663B"/>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C0F51D49-780B-454E-A7CE-F57C35BF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1644D1"/>
    <w:pPr>
      <w:spacing w:after="160" w:line="259" w:lineRule="auto"/>
      <w:ind w:left="720"/>
      <w:contextualSpacing/>
      <w:jc w:val="left"/>
    </w:pPr>
    <w:rPr>
      <w:rFonts w:asciiTheme="minorHAnsi" w:eastAsiaTheme="minorHAnsi" w:hAnsiTheme="minorHAnsi" w:cstheme="minorBidi"/>
      <w:sz w:val="22"/>
      <w:szCs w:val="22"/>
    </w:rPr>
  </w:style>
  <w:style w:type="character" w:customStyle="1" w:styleId="sup">
    <w:name w:val="sup"/>
    <w:basedOn w:val="DefaultParagraphFont"/>
    <w:rsid w:val="009E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0152">
      <w:bodyDiv w:val="1"/>
      <w:marLeft w:val="0"/>
      <w:marRight w:val="0"/>
      <w:marTop w:val="0"/>
      <w:marBottom w:val="0"/>
      <w:divBdr>
        <w:top w:val="none" w:sz="0" w:space="0" w:color="auto"/>
        <w:left w:val="none" w:sz="0" w:space="0" w:color="auto"/>
        <w:bottom w:val="none" w:sz="0" w:space="0" w:color="auto"/>
        <w:right w:val="none" w:sz="0" w:space="0" w:color="auto"/>
      </w:divBdr>
      <w:divsChild>
        <w:div w:id="27997002">
          <w:marLeft w:val="0"/>
          <w:marRight w:val="0"/>
          <w:marTop w:val="0"/>
          <w:marBottom w:val="0"/>
          <w:divBdr>
            <w:top w:val="none" w:sz="0" w:space="0" w:color="auto"/>
            <w:left w:val="none" w:sz="0" w:space="0" w:color="auto"/>
            <w:bottom w:val="none" w:sz="0" w:space="0" w:color="auto"/>
            <w:right w:val="none" w:sz="0" w:space="0" w:color="auto"/>
          </w:divBdr>
          <w:divsChild>
            <w:div w:id="10431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5166">
      <w:bodyDiv w:val="1"/>
      <w:marLeft w:val="0"/>
      <w:marRight w:val="0"/>
      <w:marTop w:val="0"/>
      <w:marBottom w:val="0"/>
      <w:divBdr>
        <w:top w:val="none" w:sz="0" w:space="0" w:color="auto"/>
        <w:left w:val="none" w:sz="0" w:space="0" w:color="auto"/>
        <w:bottom w:val="none" w:sz="0" w:space="0" w:color="auto"/>
        <w:right w:val="none" w:sz="0" w:space="0" w:color="auto"/>
      </w:divBdr>
      <w:divsChild>
        <w:div w:id="1102529078">
          <w:marLeft w:val="0"/>
          <w:marRight w:val="0"/>
          <w:marTop w:val="0"/>
          <w:marBottom w:val="0"/>
          <w:divBdr>
            <w:top w:val="none" w:sz="0" w:space="0" w:color="auto"/>
            <w:left w:val="none" w:sz="0" w:space="0" w:color="auto"/>
            <w:bottom w:val="none" w:sz="0" w:space="0" w:color="auto"/>
            <w:right w:val="none" w:sz="0" w:space="0" w:color="auto"/>
          </w:divBdr>
          <w:divsChild>
            <w:div w:id="2411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14</Pages>
  <Words>5589</Words>
  <Characters>27666</Characters>
  <Application>Microsoft Office Word</Application>
  <DocSecurity>0</DocSecurity>
  <Lines>564</Lines>
  <Paragraphs>185</Paragraphs>
  <ScaleCrop>false</ScaleCrop>
  <HeadingPairs>
    <vt:vector size="2" baseType="variant">
      <vt:variant>
        <vt:lpstr>Title</vt:lpstr>
      </vt:variant>
      <vt:variant>
        <vt:i4>1</vt:i4>
      </vt:variant>
    </vt:vector>
  </HeadingPairs>
  <TitlesOfParts>
    <vt:vector size="1" baseType="lpstr">
      <vt:lpstr>CTG18 v Minister for Home Affairs [2019] FCA 1470 </vt:lpstr>
    </vt:vector>
  </TitlesOfParts>
  <Company>Federal Court of Australia</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CTG18 v Minister for Home Affairs [2019] FCA 1470</dc:title>
  <dc:creator>Georgia Alexander</dc:creator>
  <cp:lastModifiedBy>Sona Muradyan</cp:lastModifiedBy>
  <cp:revision>6</cp:revision>
  <cp:lastPrinted>2019-09-05T03:52:00Z</cp:lastPrinted>
  <dcterms:created xsi:type="dcterms:W3CDTF">2019-09-06T00:29:00Z</dcterms:created>
  <dcterms:modified xsi:type="dcterms:W3CDTF">2019-09-06T00:53:00Z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ABRAHAM J</vt:lpwstr>
  </property>
  <property fmtid="{D5CDD505-2E9C-101B-9397-08002B2CF9AE}" pid="4" name="Judgment_dated" linkTarget="Judgment_dated">
    <vt:lpwstr>6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