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0CE03" w14:textId="77777777" w:rsidR="00395B24" w:rsidRDefault="002C7385">
      <w:pPr>
        <w:pStyle w:val="NormalHeadings"/>
        <w:jc w:val="center"/>
        <w:rPr>
          <w:sz w:val="32"/>
        </w:rPr>
      </w:pPr>
      <w:r>
        <w:rPr>
          <w:sz w:val="32"/>
        </w:rPr>
        <w:t>FEDERAL COURT OF AUSTRALIA</w:t>
      </w:r>
    </w:p>
    <w:p w14:paraId="0C0C14FF" w14:textId="77777777" w:rsidR="00395B24" w:rsidRDefault="00395B24">
      <w:pPr>
        <w:pStyle w:val="NormalHeadings"/>
        <w:jc w:val="center"/>
        <w:rPr>
          <w:sz w:val="32"/>
        </w:rPr>
      </w:pPr>
    </w:p>
    <w:p w14:paraId="468E2E30" w14:textId="21663A84" w:rsidR="00395B24" w:rsidRDefault="00882726">
      <w:pPr>
        <w:pStyle w:val="MediaNeutralStyle"/>
      </w:pPr>
      <w:bookmarkStart w:id="0" w:name="MNC"/>
      <w:r>
        <w:t xml:space="preserve">Singh v Minister for Immigration and Border Protection </w:t>
      </w:r>
      <w:r w:rsidR="00D17A09">
        <w:t>[2018] FCA 1392</w:t>
      </w:r>
      <w:r w:rsidR="002C7385">
        <w:t xml:space="preserve"> </w:t>
      </w:r>
      <w:bookmarkEnd w:id="0"/>
    </w:p>
    <w:p w14:paraId="578EC014"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FB676BD" w14:textId="77777777" w:rsidTr="00505B8C">
        <w:tc>
          <w:tcPr>
            <w:tcW w:w="3085" w:type="dxa"/>
            <w:shd w:val="clear" w:color="auto" w:fill="auto"/>
          </w:tcPr>
          <w:p w14:paraId="1A6B9489" w14:textId="77777777" w:rsidR="00395B24" w:rsidRDefault="002C7385" w:rsidP="002539B3">
            <w:pPr>
              <w:pStyle w:val="Normal1linespace"/>
              <w:widowControl w:val="0"/>
              <w:spacing w:after="60"/>
              <w:jc w:val="left"/>
            </w:pPr>
            <w:r>
              <w:t>Appeal from:</w:t>
            </w:r>
          </w:p>
        </w:tc>
        <w:tc>
          <w:tcPr>
            <w:tcW w:w="5989" w:type="dxa"/>
            <w:shd w:val="clear" w:color="auto" w:fill="auto"/>
          </w:tcPr>
          <w:p w14:paraId="2C2E1A5F" w14:textId="378D521D" w:rsidR="00395B24" w:rsidRDefault="00D17A09" w:rsidP="002539B3">
            <w:pPr>
              <w:pStyle w:val="CasesLegislationAppealFrom"/>
              <w:spacing w:after="60"/>
            </w:pPr>
            <w:bookmarkStart w:id="1" w:name="AppealFrom"/>
            <w:r>
              <w:rPr>
                <w:i/>
              </w:rPr>
              <w:t xml:space="preserve">Singh v Minister for Immigration and Border Protection </w:t>
            </w:r>
            <w:r>
              <w:t>[2017] FCCA 1923</w:t>
            </w:r>
            <w:r w:rsidR="009264B3">
              <w:t xml:space="preserve"> </w:t>
            </w:r>
            <w:bookmarkEnd w:id="1"/>
          </w:p>
        </w:tc>
      </w:tr>
      <w:tr w:rsidR="00395B24" w14:paraId="02677595" w14:textId="77777777" w:rsidTr="00505B8C">
        <w:tc>
          <w:tcPr>
            <w:tcW w:w="3085" w:type="dxa"/>
            <w:shd w:val="clear" w:color="auto" w:fill="auto"/>
          </w:tcPr>
          <w:p w14:paraId="15F634C3" w14:textId="77777777" w:rsidR="00395B24" w:rsidRDefault="00395B24" w:rsidP="00663878">
            <w:pPr>
              <w:pStyle w:val="Normal1linespace"/>
              <w:widowControl w:val="0"/>
              <w:jc w:val="left"/>
            </w:pPr>
          </w:p>
        </w:tc>
        <w:tc>
          <w:tcPr>
            <w:tcW w:w="5989" w:type="dxa"/>
            <w:shd w:val="clear" w:color="auto" w:fill="auto"/>
          </w:tcPr>
          <w:p w14:paraId="2152D94F" w14:textId="77777777" w:rsidR="00395B24" w:rsidRDefault="00395B24" w:rsidP="00663878">
            <w:pPr>
              <w:pStyle w:val="Normal1linespace"/>
              <w:widowControl w:val="0"/>
              <w:jc w:val="left"/>
            </w:pPr>
          </w:p>
        </w:tc>
      </w:tr>
      <w:tr w:rsidR="00395B24" w14:paraId="0CC6031D" w14:textId="77777777" w:rsidTr="00505B8C">
        <w:tc>
          <w:tcPr>
            <w:tcW w:w="3085" w:type="dxa"/>
            <w:shd w:val="clear" w:color="auto" w:fill="auto"/>
          </w:tcPr>
          <w:p w14:paraId="56168C5A" w14:textId="5216C252" w:rsidR="00395B24" w:rsidRDefault="009079C5" w:rsidP="00663878">
            <w:pPr>
              <w:pStyle w:val="Normal1linespace"/>
              <w:widowControl w:val="0"/>
              <w:jc w:val="left"/>
            </w:pPr>
            <w:r>
              <w:t>File number</w:t>
            </w:r>
            <w:r w:rsidR="002C7385">
              <w:t>:</w:t>
            </w:r>
          </w:p>
        </w:tc>
        <w:tc>
          <w:tcPr>
            <w:tcW w:w="5989" w:type="dxa"/>
            <w:shd w:val="clear" w:color="auto" w:fill="auto"/>
          </w:tcPr>
          <w:p w14:paraId="3A132D84" w14:textId="77777777" w:rsidR="00395B24" w:rsidRPr="00882726" w:rsidRDefault="004B3B05" w:rsidP="00882726">
            <w:pPr>
              <w:pStyle w:val="Normal1linespace"/>
              <w:jc w:val="left"/>
            </w:pPr>
            <w:r>
              <w:fldChar w:fldCharType="begin" w:fldLock="1"/>
            </w:r>
            <w:r>
              <w:instrText xml:space="preserve"> REF  FileNo  \* MERGEFORMAT </w:instrText>
            </w:r>
            <w:r>
              <w:fldChar w:fldCharType="separate"/>
            </w:r>
            <w:r w:rsidR="00882726" w:rsidRPr="00882726">
              <w:t>VID 886 of 2017</w:t>
            </w:r>
            <w:r>
              <w:fldChar w:fldCharType="end"/>
            </w:r>
          </w:p>
        </w:tc>
      </w:tr>
      <w:tr w:rsidR="00395B24" w14:paraId="69618012" w14:textId="77777777" w:rsidTr="00505B8C">
        <w:tc>
          <w:tcPr>
            <w:tcW w:w="3085" w:type="dxa"/>
            <w:shd w:val="clear" w:color="auto" w:fill="auto"/>
          </w:tcPr>
          <w:p w14:paraId="23722111" w14:textId="77777777" w:rsidR="00395B24" w:rsidRDefault="00395B24" w:rsidP="00663878">
            <w:pPr>
              <w:pStyle w:val="Normal1linespace"/>
              <w:widowControl w:val="0"/>
              <w:jc w:val="left"/>
            </w:pPr>
          </w:p>
        </w:tc>
        <w:tc>
          <w:tcPr>
            <w:tcW w:w="5989" w:type="dxa"/>
            <w:shd w:val="clear" w:color="auto" w:fill="auto"/>
          </w:tcPr>
          <w:p w14:paraId="6C6B3F1F" w14:textId="77777777" w:rsidR="00395B24" w:rsidRDefault="00395B24" w:rsidP="00663878">
            <w:pPr>
              <w:pStyle w:val="Normal1linespace"/>
              <w:widowControl w:val="0"/>
              <w:jc w:val="left"/>
            </w:pPr>
          </w:p>
        </w:tc>
      </w:tr>
      <w:tr w:rsidR="00395B24" w14:paraId="22AA311B" w14:textId="77777777" w:rsidTr="00505B8C">
        <w:tc>
          <w:tcPr>
            <w:tcW w:w="3085" w:type="dxa"/>
            <w:shd w:val="clear" w:color="auto" w:fill="auto"/>
          </w:tcPr>
          <w:p w14:paraId="5C7B1D76" w14:textId="4F4CE055" w:rsidR="00395B24" w:rsidRDefault="009079C5" w:rsidP="00663878">
            <w:pPr>
              <w:pStyle w:val="Normal1linespace"/>
              <w:widowControl w:val="0"/>
              <w:jc w:val="left"/>
            </w:pPr>
            <w:r>
              <w:t>Judge</w:t>
            </w:r>
            <w:r w:rsidR="002C7385">
              <w:t>:</w:t>
            </w:r>
          </w:p>
        </w:tc>
        <w:tc>
          <w:tcPr>
            <w:tcW w:w="5989" w:type="dxa"/>
            <w:shd w:val="clear" w:color="auto" w:fill="auto"/>
          </w:tcPr>
          <w:p w14:paraId="7A26196C" w14:textId="77777777" w:rsidR="00395B24" w:rsidRDefault="002C7385" w:rsidP="00663878">
            <w:pPr>
              <w:pStyle w:val="Normal1linespace"/>
              <w:widowControl w:val="0"/>
              <w:jc w:val="left"/>
              <w:rPr>
                <w:b/>
              </w:rPr>
            </w:pPr>
            <w:r w:rsidRPr="00882726">
              <w:rPr>
                <w:b/>
              </w:rPr>
              <w:fldChar w:fldCharType="begin" w:fldLock="1"/>
            </w:r>
            <w:r w:rsidRPr="00882726">
              <w:rPr>
                <w:b/>
              </w:rPr>
              <w:instrText xml:space="preserve"> REF  Judge  \* MERGEFORMAT </w:instrText>
            </w:r>
            <w:r w:rsidRPr="00882726">
              <w:rPr>
                <w:b/>
              </w:rPr>
              <w:fldChar w:fldCharType="separate"/>
            </w:r>
            <w:r w:rsidR="00882726" w:rsidRPr="00882726">
              <w:rPr>
                <w:b/>
                <w:caps/>
                <w:szCs w:val="24"/>
              </w:rPr>
              <w:t>DAVIES J</w:t>
            </w:r>
            <w:r w:rsidRPr="00882726">
              <w:rPr>
                <w:b/>
              </w:rPr>
              <w:fldChar w:fldCharType="end"/>
            </w:r>
          </w:p>
        </w:tc>
      </w:tr>
      <w:tr w:rsidR="00395B24" w14:paraId="4CA5A75D" w14:textId="77777777" w:rsidTr="00505B8C">
        <w:tc>
          <w:tcPr>
            <w:tcW w:w="3085" w:type="dxa"/>
            <w:shd w:val="clear" w:color="auto" w:fill="auto"/>
          </w:tcPr>
          <w:p w14:paraId="762AAFCC" w14:textId="77777777" w:rsidR="00395B24" w:rsidRDefault="00395B24" w:rsidP="00663878">
            <w:pPr>
              <w:pStyle w:val="Normal1linespace"/>
              <w:widowControl w:val="0"/>
              <w:jc w:val="left"/>
            </w:pPr>
          </w:p>
        </w:tc>
        <w:tc>
          <w:tcPr>
            <w:tcW w:w="5989" w:type="dxa"/>
            <w:shd w:val="clear" w:color="auto" w:fill="auto"/>
          </w:tcPr>
          <w:p w14:paraId="5EA720E4" w14:textId="77777777" w:rsidR="00395B24" w:rsidRDefault="00395B24" w:rsidP="00663878">
            <w:pPr>
              <w:pStyle w:val="Normal1linespace"/>
              <w:widowControl w:val="0"/>
              <w:jc w:val="left"/>
            </w:pPr>
          </w:p>
        </w:tc>
      </w:tr>
      <w:tr w:rsidR="00395B24" w14:paraId="71BB523D" w14:textId="77777777" w:rsidTr="00505B8C">
        <w:tc>
          <w:tcPr>
            <w:tcW w:w="3085" w:type="dxa"/>
            <w:shd w:val="clear" w:color="auto" w:fill="auto"/>
          </w:tcPr>
          <w:p w14:paraId="0A128124" w14:textId="77777777" w:rsidR="00395B24" w:rsidRDefault="002C7385" w:rsidP="00663878">
            <w:pPr>
              <w:pStyle w:val="Normal1linespace"/>
              <w:widowControl w:val="0"/>
              <w:jc w:val="left"/>
            </w:pPr>
            <w:r>
              <w:t>Date of judgment:</w:t>
            </w:r>
          </w:p>
        </w:tc>
        <w:tc>
          <w:tcPr>
            <w:tcW w:w="5989" w:type="dxa"/>
            <w:shd w:val="clear" w:color="auto" w:fill="auto"/>
          </w:tcPr>
          <w:p w14:paraId="02F0FA34" w14:textId="44968B2E" w:rsidR="00395B24" w:rsidRDefault="00B50C63" w:rsidP="00B50C63">
            <w:pPr>
              <w:pStyle w:val="Normal1linespace"/>
              <w:widowControl w:val="0"/>
              <w:jc w:val="left"/>
            </w:pPr>
            <w:r>
              <w:t>13 September 2018</w:t>
            </w:r>
          </w:p>
        </w:tc>
      </w:tr>
      <w:tr w:rsidR="00395B24" w14:paraId="60FF8ACD" w14:textId="77777777" w:rsidTr="00505B8C">
        <w:tc>
          <w:tcPr>
            <w:tcW w:w="3085" w:type="dxa"/>
            <w:shd w:val="clear" w:color="auto" w:fill="auto"/>
          </w:tcPr>
          <w:p w14:paraId="3A4ED497" w14:textId="77777777" w:rsidR="00395B24" w:rsidRDefault="00395B24" w:rsidP="00663878">
            <w:pPr>
              <w:pStyle w:val="Normal1linespace"/>
              <w:widowControl w:val="0"/>
              <w:jc w:val="left"/>
            </w:pPr>
          </w:p>
        </w:tc>
        <w:tc>
          <w:tcPr>
            <w:tcW w:w="5989" w:type="dxa"/>
            <w:shd w:val="clear" w:color="auto" w:fill="auto"/>
          </w:tcPr>
          <w:p w14:paraId="7D3E7AF2" w14:textId="77777777" w:rsidR="00395B24" w:rsidRDefault="00395B24" w:rsidP="00663878">
            <w:pPr>
              <w:pStyle w:val="Normal1linespace"/>
              <w:widowControl w:val="0"/>
              <w:jc w:val="left"/>
            </w:pPr>
          </w:p>
        </w:tc>
      </w:tr>
      <w:tr w:rsidR="00395B24" w14:paraId="19294B92" w14:textId="77777777" w:rsidTr="00505B8C">
        <w:tc>
          <w:tcPr>
            <w:tcW w:w="3085" w:type="dxa"/>
            <w:shd w:val="clear" w:color="auto" w:fill="auto"/>
          </w:tcPr>
          <w:p w14:paraId="467CC219" w14:textId="77777777" w:rsidR="00395B24" w:rsidRDefault="002C7385" w:rsidP="00663878">
            <w:pPr>
              <w:pStyle w:val="Normal1linespace"/>
              <w:widowControl w:val="0"/>
              <w:jc w:val="left"/>
            </w:pPr>
            <w:r>
              <w:t>Catchwords:</w:t>
            </w:r>
          </w:p>
        </w:tc>
        <w:tc>
          <w:tcPr>
            <w:tcW w:w="5989" w:type="dxa"/>
            <w:shd w:val="clear" w:color="auto" w:fill="auto"/>
          </w:tcPr>
          <w:p w14:paraId="3B2F1AF0" w14:textId="49CB8F9D" w:rsidR="00395B24" w:rsidRPr="004138E9" w:rsidRDefault="00B50C63" w:rsidP="00090B7E">
            <w:pPr>
              <w:pStyle w:val="Normal1linespace"/>
              <w:widowControl w:val="0"/>
              <w:jc w:val="left"/>
            </w:pPr>
            <w:bookmarkStart w:id="2" w:name="Catchwords"/>
            <w:r w:rsidRPr="004138E9">
              <w:rPr>
                <w:b/>
              </w:rPr>
              <w:t>MIGRATION</w:t>
            </w:r>
            <w:r w:rsidR="00E21D42" w:rsidRPr="004138E9">
              <w:rPr>
                <w:b/>
              </w:rPr>
              <w:t xml:space="preserve"> – </w:t>
            </w:r>
            <w:r w:rsidR="00E21D42" w:rsidRPr="004138E9">
              <w:t xml:space="preserve">appeal from dismissal of application for judicial review of decision of Administrative Appeals Tribunal – where appellant denied visa for not satisfying requirements of PIC 4020 in </w:t>
            </w:r>
            <w:r w:rsidR="00E21D42" w:rsidRPr="004138E9">
              <w:rPr>
                <w:i/>
              </w:rPr>
              <w:t>Migration Regulations 1994</w:t>
            </w:r>
            <w:r w:rsidR="00E21D42" w:rsidRPr="004138E9">
              <w:t xml:space="preserve"> (Cth) – where evidence that visa applicant gave or caused to given to the Minister a bogus document within the meaning of s 5 of the </w:t>
            </w:r>
            <w:r w:rsidR="00E21D42" w:rsidRPr="004138E9">
              <w:rPr>
                <w:i/>
              </w:rPr>
              <w:t>Migration Act 1958</w:t>
            </w:r>
            <w:r w:rsidR="00D617C4">
              <w:t xml:space="preserve"> (Cth) </w:t>
            </w:r>
            <w:r w:rsidR="00D617C4" w:rsidRPr="004138E9">
              <w:t>–</w:t>
            </w:r>
            <w:r w:rsidR="00E21D42" w:rsidRPr="004138E9">
              <w:t xml:space="preserve"> whether Tribunal erred in law by failing to make specific findings about appellant’s involvement in fraud – whether Tribunal required to address appellant’s knowled</w:t>
            </w:r>
            <w:r w:rsidR="00D617C4">
              <w:t xml:space="preserve">ge of and involvement in fraud </w:t>
            </w:r>
            <w:r w:rsidR="00D617C4" w:rsidRPr="004138E9">
              <w:t>–</w:t>
            </w:r>
            <w:r w:rsidR="00E21D42" w:rsidRPr="004138E9">
              <w:t xml:space="preserve"> whether Tribunal failed to afford procedural fairness by not providing clear particulars</w:t>
            </w:r>
            <w:r w:rsidR="002C7385" w:rsidRPr="004138E9">
              <w:t xml:space="preserve"> </w:t>
            </w:r>
            <w:bookmarkEnd w:id="2"/>
          </w:p>
        </w:tc>
      </w:tr>
      <w:tr w:rsidR="00395B24" w14:paraId="1B19B9DB" w14:textId="77777777" w:rsidTr="00505B8C">
        <w:tc>
          <w:tcPr>
            <w:tcW w:w="3085" w:type="dxa"/>
            <w:shd w:val="clear" w:color="auto" w:fill="auto"/>
          </w:tcPr>
          <w:p w14:paraId="6044E678" w14:textId="77777777" w:rsidR="00395B24" w:rsidRDefault="00395B24" w:rsidP="00663878">
            <w:pPr>
              <w:pStyle w:val="Normal1linespace"/>
              <w:widowControl w:val="0"/>
              <w:jc w:val="left"/>
            </w:pPr>
          </w:p>
        </w:tc>
        <w:tc>
          <w:tcPr>
            <w:tcW w:w="5989" w:type="dxa"/>
            <w:shd w:val="clear" w:color="auto" w:fill="auto"/>
          </w:tcPr>
          <w:p w14:paraId="4E4A7FE8" w14:textId="77777777" w:rsidR="00395B24" w:rsidRDefault="00395B24" w:rsidP="00663878">
            <w:pPr>
              <w:pStyle w:val="Normal1linespace"/>
              <w:widowControl w:val="0"/>
              <w:jc w:val="left"/>
            </w:pPr>
          </w:p>
        </w:tc>
      </w:tr>
      <w:tr w:rsidR="00395B24" w14:paraId="5D30D589" w14:textId="77777777" w:rsidTr="00505B8C">
        <w:tc>
          <w:tcPr>
            <w:tcW w:w="3085" w:type="dxa"/>
            <w:shd w:val="clear" w:color="auto" w:fill="auto"/>
          </w:tcPr>
          <w:p w14:paraId="44FBC07A" w14:textId="77777777" w:rsidR="00395B24" w:rsidRDefault="002C7385" w:rsidP="00663878">
            <w:pPr>
              <w:pStyle w:val="Normal1linespace"/>
              <w:widowControl w:val="0"/>
              <w:jc w:val="left"/>
            </w:pPr>
            <w:r>
              <w:t>Legislation:</w:t>
            </w:r>
          </w:p>
        </w:tc>
        <w:tc>
          <w:tcPr>
            <w:tcW w:w="5989" w:type="dxa"/>
            <w:shd w:val="clear" w:color="auto" w:fill="auto"/>
          </w:tcPr>
          <w:p w14:paraId="017FEB74" w14:textId="77777777" w:rsidR="00E21D42" w:rsidRPr="004138E9" w:rsidRDefault="00670695" w:rsidP="00D82620">
            <w:pPr>
              <w:pStyle w:val="CasesLegislationAppealFrom"/>
              <w:spacing w:after="60"/>
            </w:pPr>
            <w:bookmarkStart w:id="3" w:name="Legislation"/>
            <w:r w:rsidRPr="004138E9">
              <w:rPr>
                <w:i/>
              </w:rPr>
              <w:t xml:space="preserve">Migration Act 1958 </w:t>
            </w:r>
            <w:r w:rsidRPr="004138E9">
              <w:t>(Cth)</w:t>
            </w:r>
          </w:p>
          <w:p w14:paraId="0913F1D3" w14:textId="2ED8BEBB" w:rsidR="00395B24" w:rsidRPr="004138E9" w:rsidRDefault="00E21D42" w:rsidP="00D82620">
            <w:pPr>
              <w:pStyle w:val="CasesLegislationAppealFrom"/>
              <w:spacing w:after="60"/>
            </w:pPr>
            <w:r w:rsidRPr="004138E9">
              <w:rPr>
                <w:i/>
              </w:rPr>
              <w:t>Migration Regulations 1994</w:t>
            </w:r>
            <w:r w:rsidRPr="004138E9">
              <w:t xml:space="preserve"> (Cth)</w:t>
            </w:r>
            <w:r w:rsidR="002C7385" w:rsidRPr="004138E9">
              <w:t xml:space="preserve"> </w:t>
            </w:r>
            <w:bookmarkEnd w:id="3"/>
          </w:p>
        </w:tc>
      </w:tr>
      <w:tr w:rsidR="00395B24" w14:paraId="247E454B" w14:textId="77777777" w:rsidTr="00505B8C">
        <w:tc>
          <w:tcPr>
            <w:tcW w:w="3085" w:type="dxa"/>
            <w:shd w:val="clear" w:color="auto" w:fill="auto"/>
          </w:tcPr>
          <w:p w14:paraId="357CD737" w14:textId="77777777" w:rsidR="00395B24" w:rsidRDefault="00395B24" w:rsidP="00663878">
            <w:pPr>
              <w:pStyle w:val="Normal1linespace"/>
              <w:widowControl w:val="0"/>
              <w:jc w:val="left"/>
            </w:pPr>
          </w:p>
        </w:tc>
        <w:tc>
          <w:tcPr>
            <w:tcW w:w="5989" w:type="dxa"/>
            <w:shd w:val="clear" w:color="auto" w:fill="auto"/>
          </w:tcPr>
          <w:p w14:paraId="115928C8" w14:textId="77777777" w:rsidR="00395B24" w:rsidRPr="004138E9" w:rsidRDefault="00395B24" w:rsidP="00663878">
            <w:pPr>
              <w:pStyle w:val="Normal1linespace"/>
              <w:widowControl w:val="0"/>
              <w:jc w:val="left"/>
            </w:pPr>
          </w:p>
        </w:tc>
      </w:tr>
      <w:tr w:rsidR="00395B24" w14:paraId="28A88EB3" w14:textId="77777777" w:rsidTr="00505B8C">
        <w:tc>
          <w:tcPr>
            <w:tcW w:w="3085" w:type="dxa"/>
            <w:shd w:val="clear" w:color="auto" w:fill="auto"/>
          </w:tcPr>
          <w:p w14:paraId="1B351069" w14:textId="77777777" w:rsidR="00395B24" w:rsidRDefault="002C7385" w:rsidP="00663878">
            <w:pPr>
              <w:pStyle w:val="Normal1linespace"/>
              <w:widowControl w:val="0"/>
              <w:jc w:val="left"/>
            </w:pPr>
            <w:r>
              <w:t>Cases cited:</w:t>
            </w:r>
          </w:p>
        </w:tc>
        <w:tc>
          <w:tcPr>
            <w:tcW w:w="5989" w:type="dxa"/>
            <w:shd w:val="clear" w:color="auto" w:fill="auto"/>
          </w:tcPr>
          <w:p w14:paraId="57627241" w14:textId="195C6E75" w:rsidR="00C03955" w:rsidRPr="004138E9" w:rsidRDefault="00C03955" w:rsidP="00D82620">
            <w:pPr>
              <w:pStyle w:val="CasesLegislationAppealFrom"/>
              <w:spacing w:after="60"/>
            </w:pPr>
            <w:bookmarkStart w:id="4" w:name="Cases_Cited"/>
            <w:r w:rsidRPr="004138E9">
              <w:rPr>
                <w:i/>
              </w:rPr>
              <w:t xml:space="preserve">Gill v Minister for Immigration and Border Protection </w:t>
            </w:r>
            <w:r w:rsidRPr="004138E9">
              <w:t>(2016) 248 FCR 398</w:t>
            </w:r>
          </w:p>
          <w:p w14:paraId="0A062C4A" w14:textId="75730198" w:rsidR="006B0157" w:rsidRPr="004138E9" w:rsidRDefault="006B0157" w:rsidP="00D82620">
            <w:pPr>
              <w:pStyle w:val="CasesLegislationAppealFrom"/>
              <w:spacing w:after="60"/>
            </w:pPr>
            <w:r w:rsidRPr="004138E9">
              <w:rPr>
                <w:i/>
              </w:rPr>
              <w:t>Maharjan v Minister for Immigration and Border Protection</w:t>
            </w:r>
            <w:r w:rsidRPr="004138E9">
              <w:t xml:space="preserve"> [2017] FCAFC 213</w:t>
            </w:r>
          </w:p>
          <w:p w14:paraId="0BAFC716" w14:textId="0EF7E6EB" w:rsidR="00C03955" w:rsidRPr="004138E9" w:rsidRDefault="00C03955" w:rsidP="00D82620">
            <w:pPr>
              <w:pStyle w:val="CasesLegislationAppealFrom"/>
              <w:spacing w:after="60"/>
            </w:pPr>
            <w:r w:rsidRPr="004138E9">
              <w:rPr>
                <w:i/>
              </w:rPr>
              <w:t xml:space="preserve">Singh v Minister for Immigration and Border Protection </w:t>
            </w:r>
            <w:r w:rsidRPr="004138E9">
              <w:t>(2016) 247 FCR 554</w:t>
            </w:r>
          </w:p>
          <w:p w14:paraId="5DC34E88" w14:textId="20DAF9D9" w:rsidR="00395B24" w:rsidRPr="004138E9" w:rsidRDefault="00670695" w:rsidP="00D82620">
            <w:pPr>
              <w:pStyle w:val="CasesLegislationAppealFrom"/>
              <w:spacing w:after="60"/>
            </w:pPr>
            <w:r w:rsidRPr="004138E9">
              <w:rPr>
                <w:i/>
              </w:rPr>
              <w:t xml:space="preserve">Trivedi v Minister for Immigration and Border Protection </w:t>
            </w:r>
            <w:r w:rsidRPr="004138E9">
              <w:t>(2014) 220 FCR 169</w:t>
            </w:r>
            <w:r w:rsidR="002C7385" w:rsidRPr="004138E9">
              <w:t xml:space="preserve"> </w:t>
            </w:r>
            <w:bookmarkEnd w:id="4"/>
          </w:p>
        </w:tc>
      </w:tr>
      <w:tr w:rsidR="00505B8C" w:rsidRPr="00505B8C" w14:paraId="1D6763D8" w14:textId="77777777" w:rsidTr="00505B8C">
        <w:tc>
          <w:tcPr>
            <w:tcW w:w="3085" w:type="dxa"/>
            <w:shd w:val="clear" w:color="auto" w:fill="auto"/>
          </w:tcPr>
          <w:p w14:paraId="0BFD64BB" w14:textId="77777777" w:rsidR="00505B8C" w:rsidRPr="00505B8C" w:rsidRDefault="00505B8C" w:rsidP="00505B8C">
            <w:pPr>
              <w:pStyle w:val="Normal1linespace"/>
              <w:jc w:val="left"/>
            </w:pPr>
          </w:p>
        </w:tc>
        <w:tc>
          <w:tcPr>
            <w:tcW w:w="5989" w:type="dxa"/>
            <w:shd w:val="clear" w:color="auto" w:fill="auto"/>
          </w:tcPr>
          <w:p w14:paraId="130E0F23" w14:textId="77777777" w:rsidR="00505B8C" w:rsidRPr="00505B8C" w:rsidRDefault="00505B8C" w:rsidP="00505B8C">
            <w:pPr>
              <w:pStyle w:val="Normal1linespace"/>
              <w:jc w:val="left"/>
            </w:pPr>
          </w:p>
        </w:tc>
      </w:tr>
      <w:tr w:rsidR="00505B8C" w:rsidRPr="00505B8C" w14:paraId="2845D9E9" w14:textId="77777777" w:rsidTr="00505B8C">
        <w:tc>
          <w:tcPr>
            <w:tcW w:w="3085" w:type="dxa"/>
            <w:shd w:val="clear" w:color="auto" w:fill="auto"/>
          </w:tcPr>
          <w:p w14:paraId="226E1CCD" w14:textId="77777777" w:rsidR="00505B8C" w:rsidRPr="00505B8C" w:rsidRDefault="00505B8C" w:rsidP="00505B8C">
            <w:pPr>
              <w:pStyle w:val="Normal1linespace"/>
              <w:jc w:val="left"/>
            </w:pPr>
            <w:bookmarkStart w:id="5" w:name="CounselDate" w:colFirst="0" w:colLast="2"/>
            <w:r w:rsidRPr="00505B8C">
              <w:t>Date of hearing:</w:t>
            </w:r>
          </w:p>
        </w:tc>
        <w:tc>
          <w:tcPr>
            <w:tcW w:w="5989" w:type="dxa"/>
            <w:shd w:val="clear" w:color="auto" w:fill="auto"/>
          </w:tcPr>
          <w:p w14:paraId="7553BB50" w14:textId="2794AE4D" w:rsidR="00505B8C" w:rsidRPr="00505B8C" w:rsidRDefault="00505B8C" w:rsidP="00505B8C">
            <w:pPr>
              <w:pStyle w:val="Normal1linespace"/>
              <w:jc w:val="left"/>
            </w:pPr>
            <w:bookmarkStart w:id="6" w:name="HearingDate"/>
            <w:bookmarkEnd w:id="6"/>
            <w:r>
              <w:t>27 August 2018</w:t>
            </w:r>
          </w:p>
        </w:tc>
      </w:tr>
      <w:tr w:rsidR="00505B8C" w:rsidRPr="00505B8C" w14:paraId="60B00B08" w14:textId="77777777" w:rsidTr="00505B8C">
        <w:tc>
          <w:tcPr>
            <w:tcW w:w="3085" w:type="dxa"/>
            <w:shd w:val="clear" w:color="auto" w:fill="auto"/>
          </w:tcPr>
          <w:p w14:paraId="1AC57E36" w14:textId="77777777" w:rsidR="00505B8C" w:rsidRPr="00505B8C" w:rsidRDefault="00505B8C" w:rsidP="00505B8C">
            <w:pPr>
              <w:pStyle w:val="Normal1linespace"/>
              <w:jc w:val="left"/>
            </w:pPr>
          </w:p>
        </w:tc>
        <w:tc>
          <w:tcPr>
            <w:tcW w:w="5989" w:type="dxa"/>
            <w:shd w:val="clear" w:color="auto" w:fill="auto"/>
          </w:tcPr>
          <w:p w14:paraId="2587AACC" w14:textId="77777777" w:rsidR="00505B8C" w:rsidRPr="00505B8C" w:rsidRDefault="00505B8C" w:rsidP="00505B8C">
            <w:pPr>
              <w:pStyle w:val="Normal1linespace"/>
              <w:jc w:val="left"/>
            </w:pPr>
          </w:p>
        </w:tc>
      </w:tr>
      <w:bookmarkEnd w:id="5"/>
      <w:tr w:rsidR="00505B8C" w14:paraId="4403D6C9" w14:textId="77777777" w:rsidTr="00505B8C">
        <w:tc>
          <w:tcPr>
            <w:tcW w:w="3085" w:type="dxa"/>
            <w:shd w:val="clear" w:color="auto" w:fill="auto"/>
          </w:tcPr>
          <w:p w14:paraId="6889292C" w14:textId="77777777" w:rsidR="00505B8C" w:rsidRDefault="00505B8C" w:rsidP="00505B8C">
            <w:pPr>
              <w:pStyle w:val="Normal1linespace"/>
              <w:widowControl w:val="0"/>
              <w:jc w:val="left"/>
            </w:pPr>
            <w:r>
              <w:t>Registry:</w:t>
            </w:r>
          </w:p>
        </w:tc>
        <w:tc>
          <w:tcPr>
            <w:tcW w:w="5989" w:type="dxa"/>
            <w:shd w:val="clear" w:color="auto" w:fill="auto"/>
          </w:tcPr>
          <w:p w14:paraId="70FD6475" w14:textId="760212CC" w:rsidR="00505B8C" w:rsidRPr="00F17599" w:rsidRDefault="004B3B05" w:rsidP="00505B8C">
            <w:pPr>
              <w:pStyle w:val="Normal1linespace"/>
              <w:widowControl w:val="0"/>
              <w:jc w:val="left"/>
            </w:pPr>
            <w:r>
              <w:fldChar w:fldCharType="begin"/>
            </w:r>
            <w:r>
              <w:instrText xml:space="preserve"> DOCPROPERTY  Registry </w:instrText>
            </w:r>
            <w:r>
              <w:fldChar w:fldCharType="separate"/>
            </w:r>
            <w:r w:rsidR="00505B8C">
              <w:t>Victoria</w:t>
            </w:r>
            <w:r>
              <w:fldChar w:fldCharType="end"/>
            </w:r>
          </w:p>
        </w:tc>
      </w:tr>
      <w:tr w:rsidR="00505B8C" w14:paraId="0F50331F" w14:textId="77777777" w:rsidTr="00505B8C">
        <w:tc>
          <w:tcPr>
            <w:tcW w:w="3085" w:type="dxa"/>
            <w:shd w:val="clear" w:color="auto" w:fill="auto"/>
          </w:tcPr>
          <w:p w14:paraId="6253C7A4" w14:textId="77777777" w:rsidR="00505B8C" w:rsidRDefault="00505B8C" w:rsidP="00505B8C">
            <w:pPr>
              <w:pStyle w:val="Normal1linespace"/>
              <w:widowControl w:val="0"/>
              <w:jc w:val="left"/>
            </w:pPr>
          </w:p>
        </w:tc>
        <w:tc>
          <w:tcPr>
            <w:tcW w:w="5989" w:type="dxa"/>
            <w:shd w:val="clear" w:color="auto" w:fill="auto"/>
          </w:tcPr>
          <w:p w14:paraId="431ECAA0" w14:textId="77777777" w:rsidR="00505B8C" w:rsidRDefault="00505B8C" w:rsidP="00505B8C">
            <w:pPr>
              <w:pStyle w:val="Normal1linespace"/>
              <w:widowControl w:val="0"/>
              <w:jc w:val="left"/>
            </w:pPr>
          </w:p>
        </w:tc>
      </w:tr>
      <w:tr w:rsidR="00505B8C" w14:paraId="5E2859B8" w14:textId="77777777" w:rsidTr="00505B8C">
        <w:tc>
          <w:tcPr>
            <w:tcW w:w="3085" w:type="dxa"/>
            <w:shd w:val="clear" w:color="auto" w:fill="auto"/>
          </w:tcPr>
          <w:p w14:paraId="12C5DB52" w14:textId="77777777" w:rsidR="00505B8C" w:rsidRDefault="00505B8C" w:rsidP="00505B8C">
            <w:pPr>
              <w:pStyle w:val="Normal1linespace"/>
              <w:widowControl w:val="0"/>
              <w:jc w:val="left"/>
            </w:pPr>
            <w:r>
              <w:t>Division:</w:t>
            </w:r>
          </w:p>
        </w:tc>
        <w:tc>
          <w:tcPr>
            <w:tcW w:w="5989" w:type="dxa"/>
            <w:shd w:val="clear" w:color="auto" w:fill="auto"/>
          </w:tcPr>
          <w:p w14:paraId="4B7B8EF6" w14:textId="0EE7965C" w:rsidR="00505B8C" w:rsidRPr="00F17599" w:rsidRDefault="004B3B05" w:rsidP="00505B8C">
            <w:pPr>
              <w:pStyle w:val="Normal1linespace"/>
              <w:widowControl w:val="0"/>
              <w:jc w:val="left"/>
            </w:pPr>
            <w:r>
              <w:fldChar w:fldCharType="begin"/>
            </w:r>
            <w:r>
              <w:instrText xml:space="preserve"> DOCPROPERTY  Division </w:instrText>
            </w:r>
            <w:r>
              <w:fldChar w:fldCharType="separate"/>
            </w:r>
            <w:r w:rsidR="00505B8C">
              <w:t>General Division</w:t>
            </w:r>
            <w:r>
              <w:fldChar w:fldCharType="end"/>
            </w:r>
          </w:p>
        </w:tc>
      </w:tr>
      <w:tr w:rsidR="00505B8C" w14:paraId="6EBF777F" w14:textId="77777777" w:rsidTr="00505B8C">
        <w:tc>
          <w:tcPr>
            <w:tcW w:w="3085" w:type="dxa"/>
            <w:shd w:val="clear" w:color="auto" w:fill="auto"/>
          </w:tcPr>
          <w:p w14:paraId="4D06C654" w14:textId="77777777" w:rsidR="00505B8C" w:rsidRDefault="00505B8C" w:rsidP="00505B8C">
            <w:pPr>
              <w:pStyle w:val="Normal1linespace"/>
              <w:widowControl w:val="0"/>
              <w:jc w:val="left"/>
            </w:pPr>
          </w:p>
        </w:tc>
        <w:tc>
          <w:tcPr>
            <w:tcW w:w="5989" w:type="dxa"/>
            <w:shd w:val="clear" w:color="auto" w:fill="auto"/>
          </w:tcPr>
          <w:p w14:paraId="17F3603B" w14:textId="77777777" w:rsidR="00505B8C" w:rsidRPr="00F17599" w:rsidRDefault="00505B8C" w:rsidP="00505B8C">
            <w:pPr>
              <w:pStyle w:val="Normal1linespace"/>
              <w:widowControl w:val="0"/>
              <w:jc w:val="left"/>
              <w:rPr>
                <w:b/>
              </w:rPr>
            </w:pPr>
          </w:p>
        </w:tc>
      </w:tr>
      <w:tr w:rsidR="00505B8C" w:rsidRPr="00505B8C" w14:paraId="3F95BBF5" w14:textId="77777777" w:rsidTr="00505B8C">
        <w:tc>
          <w:tcPr>
            <w:tcW w:w="3085" w:type="dxa"/>
            <w:shd w:val="clear" w:color="auto" w:fill="auto"/>
          </w:tcPr>
          <w:p w14:paraId="42582897" w14:textId="77777777" w:rsidR="00505B8C" w:rsidRPr="00505B8C" w:rsidRDefault="00505B8C" w:rsidP="00505B8C">
            <w:pPr>
              <w:pStyle w:val="Normal1linespace"/>
              <w:widowControl w:val="0"/>
              <w:jc w:val="left"/>
            </w:pPr>
            <w:r w:rsidRPr="00505B8C">
              <w:t>National Practice Area:</w:t>
            </w:r>
          </w:p>
        </w:tc>
        <w:tc>
          <w:tcPr>
            <w:tcW w:w="5989" w:type="dxa"/>
            <w:shd w:val="clear" w:color="auto" w:fill="auto"/>
          </w:tcPr>
          <w:p w14:paraId="4B1A0099" w14:textId="74F2C64E" w:rsidR="00505B8C" w:rsidRPr="00505B8C" w:rsidRDefault="00505B8C" w:rsidP="00505B8C">
            <w:pPr>
              <w:pStyle w:val="Normal1linespace"/>
              <w:widowControl w:val="0"/>
              <w:jc w:val="left"/>
              <w:rPr>
                <w:b/>
              </w:rPr>
            </w:pPr>
            <w:r w:rsidRPr="00505B8C">
              <w:t>Administrative and Constitutional Law and Human Rights</w:t>
            </w:r>
          </w:p>
        </w:tc>
      </w:tr>
      <w:tr w:rsidR="00505B8C" w14:paraId="0D4E91B1" w14:textId="77777777" w:rsidTr="00505B8C">
        <w:tc>
          <w:tcPr>
            <w:tcW w:w="3085" w:type="dxa"/>
            <w:shd w:val="clear" w:color="auto" w:fill="auto"/>
          </w:tcPr>
          <w:p w14:paraId="6E587FB1" w14:textId="77777777" w:rsidR="00505B8C" w:rsidRDefault="00505B8C" w:rsidP="00505B8C">
            <w:pPr>
              <w:pStyle w:val="Normal1linespace"/>
              <w:widowControl w:val="0"/>
              <w:jc w:val="left"/>
            </w:pPr>
          </w:p>
        </w:tc>
        <w:tc>
          <w:tcPr>
            <w:tcW w:w="5989" w:type="dxa"/>
            <w:shd w:val="clear" w:color="auto" w:fill="auto"/>
          </w:tcPr>
          <w:p w14:paraId="54279366" w14:textId="77777777" w:rsidR="00505B8C" w:rsidRDefault="00505B8C" w:rsidP="00505B8C">
            <w:pPr>
              <w:pStyle w:val="Normal1linespace"/>
              <w:widowControl w:val="0"/>
              <w:jc w:val="left"/>
            </w:pPr>
          </w:p>
        </w:tc>
      </w:tr>
      <w:tr w:rsidR="00505B8C" w14:paraId="3CD25357" w14:textId="77777777" w:rsidTr="00505B8C">
        <w:tc>
          <w:tcPr>
            <w:tcW w:w="3085" w:type="dxa"/>
            <w:shd w:val="clear" w:color="auto" w:fill="auto"/>
          </w:tcPr>
          <w:p w14:paraId="4BD327EF" w14:textId="77777777" w:rsidR="00505B8C" w:rsidRDefault="00505B8C" w:rsidP="00505B8C">
            <w:pPr>
              <w:pStyle w:val="Normal1linespace"/>
              <w:widowControl w:val="0"/>
              <w:jc w:val="left"/>
            </w:pPr>
            <w:r>
              <w:t>Category:</w:t>
            </w:r>
          </w:p>
        </w:tc>
        <w:tc>
          <w:tcPr>
            <w:tcW w:w="5989" w:type="dxa"/>
            <w:shd w:val="clear" w:color="auto" w:fill="auto"/>
          </w:tcPr>
          <w:p w14:paraId="7EAFE432" w14:textId="5FCEB5DB" w:rsidR="00505B8C" w:rsidRDefault="00505B8C" w:rsidP="00505B8C">
            <w:pPr>
              <w:pStyle w:val="Normal1linespace"/>
              <w:widowControl w:val="0"/>
              <w:jc w:val="left"/>
            </w:pPr>
            <w:r>
              <w:t>Catchwords</w:t>
            </w:r>
          </w:p>
        </w:tc>
      </w:tr>
      <w:tr w:rsidR="00505B8C" w14:paraId="4CFC5A39" w14:textId="77777777" w:rsidTr="00505B8C">
        <w:tc>
          <w:tcPr>
            <w:tcW w:w="3085" w:type="dxa"/>
            <w:shd w:val="clear" w:color="auto" w:fill="auto"/>
          </w:tcPr>
          <w:p w14:paraId="6BD41023" w14:textId="77777777" w:rsidR="00505B8C" w:rsidRDefault="00505B8C" w:rsidP="00505B8C">
            <w:pPr>
              <w:pStyle w:val="Normal1linespace"/>
              <w:widowControl w:val="0"/>
              <w:jc w:val="left"/>
            </w:pPr>
          </w:p>
        </w:tc>
        <w:tc>
          <w:tcPr>
            <w:tcW w:w="5989" w:type="dxa"/>
            <w:shd w:val="clear" w:color="auto" w:fill="auto"/>
          </w:tcPr>
          <w:p w14:paraId="417BFF42" w14:textId="77777777" w:rsidR="00505B8C" w:rsidRDefault="00505B8C" w:rsidP="00505B8C">
            <w:pPr>
              <w:pStyle w:val="Normal1linespace"/>
              <w:widowControl w:val="0"/>
              <w:jc w:val="left"/>
            </w:pPr>
          </w:p>
        </w:tc>
      </w:tr>
      <w:tr w:rsidR="00505B8C" w14:paraId="78C5D5D6" w14:textId="77777777" w:rsidTr="00505B8C">
        <w:tc>
          <w:tcPr>
            <w:tcW w:w="3085" w:type="dxa"/>
            <w:shd w:val="clear" w:color="auto" w:fill="auto"/>
          </w:tcPr>
          <w:p w14:paraId="081E0EFB" w14:textId="77777777" w:rsidR="00505B8C" w:rsidRDefault="00505B8C" w:rsidP="00505B8C">
            <w:pPr>
              <w:pStyle w:val="Normal1linespace"/>
              <w:widowControl w:val="0"/>
              <w:jc w:val="left"/>
            </w:pPr>
            <w:r>
              <w:t>Number of paragraphs:</w:t>
            </w:r>
          </w:p>
        </w:tc>
        <w:tc>
          <w:tcPr>
            <w:tcW w:w="5989" w:type="dxa"/>
            <w:shd w:val="clear" w:color="auto" w:fill="auto"/>
          </w:tcPr>
          <w:p w14:paraId="04317799" w14:textId="561D6B07" w:rsidR="00505B8C" w:rsidRDefault="00505B8C" w:rsidP="00505B8C">
            <w:pPr>
              <w:pStyle w:val="Normal1linespace"/>
              <w:widowControl w:val="0"/>
              <w:jc w:val="left"/>
            </w:pPr>
            <w:bookmarkStart w:id="7" w:name="PlaceCategoryParagraphs"/>
            <w:r>
              <w:t>12</w:t>
            </w:r>
            <w:bookmarkEnd w:id="7"/>
          </w:p>
        </w:tc>
      </w:tr>
      <w:tr w:rsidR="00505B8C" w14:paraId="379BF6D9" w14:textId="77777777" w:rsidTr="00505B8C">
        <w:tc>
          <w:tcPr>
            <w:tcW w:w="3085" w:type="dxa"/>
            <w:shd w:val="clear" w:color="auto" w:fill="auto"/>
          </w:tcPr>
          <w:p w14:paraId="419FDE09" w14:textId="77777777" w:rsidR="00505B8C" w:rsidRDefault="00505B8C" w:rsidP="00505B8C">
            <w:pPr>
              <w:pStyle w:val="Normal1linespace"/>
              <w:widowControl w:val="0"/>
              <w:jc w:val="left"/>
            </w:pPr>
          </w:p>
        </w:tc>
        <w:tc>
          <w:tcPr>
            <w:tcW w:w="5989" w:type="dxa"/>
            <w:shd w:val="clear" w:color="auto" w:fill="auto"/>
          </w:tcPr>
          <w:p w14:paraId="2D15C7BA" w14:textId="77777777" w:rsidR="00505B8C" w:rsidRDefault="00505B8C" w:rsidP="00505B8C">
            <w:pPr>
              <w:pStyle w:val="Normal1linespace"/>
              <w:widowControl w:val="0"/>
              <w:jc w:val="left"/>
            </w:pPr>
          </w:p>
        </w:tc>
      </w:tr>
      <w:tr w:rsidR="00505B8C" w14:paraId="7BFE8E3F" w14:textId="77777777" w:rsidTr="00505B8C">
        <w:tc>
          <w:tcPr>
            <w:tcW w:w="3085" w:type="dxa"/>
            <w:shd w:val="clear" w:color="auto" w:fill="auto"/>
          </w:tcPr>
          <w:p w14:paraId="54C335DB" w14:textId="57862929" w:rsidR="00505B8C" w:rsidRDefault="00505B8C" w:rsidP="00505B8C">
            <w:pPr>
              <w:pStyle w:val="Normal1linespace"/>
              <w:widowControl w:val="0"/>
              <w:jc w:val="left"/>
            </w:pPr>
            <w:r>
              <w:t>Counsel for the Appellant:</w:t>
            </w:r>
          </w:p>
        </w:tc>
        <w:tc>
          <w:tcPr>
            <w:tcW w:w="5989" w:type="dxa"/>
            <w:shd w:val="clear" w:color="auto" w:fill="auto"/>
          </w:tcPr>
          <w:p w14:paraId="5FF603D9" w14:textId="1EB1B688" w:rsidR="00505B8C" w:rsidRDefault="00505B8C" w:rsidP="00505B8C">
            <w:pPr>
              <w:pStyle w:val="Normal1linespace"/>
              <w:widowControl w:val="0"/>
              <w:jc w:val="left"/>
            </w:pPr>
            <w:r>
              <w:t>Mr R Sorensen</w:t>
            </w:r>
          </w:p>
        </w:tc>
      </w:tr>
      <w:tr w:rsidR="00482DDC" w14:paraId="6FCB340B" w14:textId="77777777" w:rsidTr="00505B8C">
        <w:tc>
          <w:tcPr>
            <w:tcW w:w="3085" w:type="dxa"/>
            <w:shd w:val="clear" w:color="auto" w:fill="auto"/>
          </w:tcPr>
          <w:p w14:paraId="5CE23B48" w14:textId="77777777" w:rsidR="00482DDC" w:rsidRDefault="00482DDC" w:rsidP="00505B8C">
            <w:pPr>
              <w:pStyle w:val="Normal1linespace"/>
              <w:widowControl w:val="0"/>
              <w:jc w:val="left"/>
            </w:pPr>
          </w:p>
        </w:tc>
        <w:tc>
          <w:tcPr>
            <w:tcW w:w="5989" w:type="dxa"/>
            <w:shd w:val="clear" w:color="auto" w:fill="auto"/>
          </w:tcPr>
          <w:p w14:paraId="6E092487" w14:textId="77777777" w:rsidR="00482DDC" w:rsidRDefault="00482DDC" w:rsidP="00505B8C">
            <w:pPr>
              <w:pStyle w:val="Normal1linespace"/>
              <w:widowControl w:val="0"/>
              <w:jc w:val="left"/>
            </w:pPr>
          </w:p>
        </w:tc>
      </w:tr>
      <w:tr w:rsidR="00482DDC" w14:paraId="4938BB4E" w14:textId="77777777" w:rsidTr="00505B8C">
        <w:tc>
          <w:tcPr>
            <w:tcW w:w="3085" w:type="dxa"/>
            <w:shd w:val="clear" w:color="auto" w:fill="auto"/>
          </w:tcPr>
          <w:p w14:paraId="1FD2CA49" w14:textId="1949A88F" w:rsidR="00482DDC" w:rsidRDefault="00482DDC" w:rsidP="00482DDC">
            <w:pPr>
              <w:pStyle w:val="Normal1linespace"/>
              <w:widowControl w:val="0"/>
              <w:jc w:val="left"/>
            </w:pPr>
            <w:r>
              <w:t>Solicitor for the Appellant:</w:t>
            </w:r>
          </w:p>
        </w:tc>
        <w:tc>
          <w:tcPr>
            <w:tcW w:w="5989" w:type="dxa"/>
            <w:shd w:val="clear" w:color="auto" w:fill="auto"/>
          </w:tcPr>
          <w:p w14:paraId="74A71760" w14:textId="39D43BEF" w:rsidR="00482DDC" w:rsidRDefault="00482DDC" w:rsidP="00482DDC">
            <w:pPr>
              <w:pStyle w:val="Normal1linespace"/>
              <w:widowControl w:val="0"/>
              <w:jc w:val="left"/>
            </w:pPr>
            <w:proofErr w:type="spellStart"/>
            <w:r>
              <w:t>Goz</w:t>
            </w:r>
            <w:proofErr w:type="spellEnd"/>
            <w:r>
              <w:t xml:space="preserve"> Chambers Lawyers</w:t>
            </w:r>
          </w:p>
        </w:tc>
      </w:tr>
      <w:tr w:rsidR="00482DDC" w14:paraId="544C1851" w14:textId="77777777" w:rsidTr="00505B8C">
        <w:tc>
          <w:tcPr>
            <w:tcW w:w="3085" w:type="dxa"/>
            <w:shd w:val="clear" w:color="auto" w:fill="auto"/>
          </w:tcPr>
          <w:p w14:paraId="7EB1D001" w14:textId="77777777" w:rsidR="00482DDC" w:rsidRDefault="00482DDC" w:rsidP="00482DDC">
            <w:pPr>
              <w:pStyle w:val="Normal1linespace"/>
              <w:widowControl w:val="0"/>
              <w:jc w:val="left"/>
            </w:pPr>
          </w:p>
        </w:tc>
        <w:tc>
          <w:tcPr>
            <w:tcW w:w="5989" w:type="dxa"/>
            <w:shd w:val="clear" w:color="auto" w:fill="auto"/>
          </w:tcPr>
          <w:p w14:paraId="0685C10F" w14:textId="77777777" w:rsidR="00482DDC" w:rsidRDefault="00482DDC" w:rsidP="00482DDC">
            <w:pPr>
              <w:pStyle w:val="Normal1linespace"/>
              <w:widowControl w:val="0"/>
              <w:jc w:val="left"/>
            </w:pPr>
          </w:p>
        </w:tc>
      </w:tr>
      <w:tr w:rsidR="00482DDC" w14:paraId="77778CC6" w14:textId="77777777" w:rsidTr="00505B8C">
        <w:tc>
          <w:tcPr>
            <w:tcW w:w="3085" w:type="dxa"/>
            <w:shd w:val="clear" w:color="auto" w:fill="auto"/>
          </w:tcPr>
          <w:p w14:paraId="07783290" w14:textId="209243DE" w:rsidR="00482DDC" w:rsidRDefault="00482DDC" w:rsidP="00482DDC">
            <w:pPr>
              <w:pStyle w:val="Normal1linespace"/>
              <w:widowControl w:val="0"/>
              <w:jc w:val="left"/>
            </w:pPr>
            <w:r>
              <w:t>Counsel for the First Respondent:</w:t>
            </w:r>
          </w:p>
        </w:tc>
        <w:tc>
          <w:tcPr>
            <w:tcW w:w="5989" w:type="dxa"/>
            <w:shd w:val="clear" w:color="auto" w:fill="auto"/>
          </w:tcPr>
          <w:p w14:paraId="29387F47" w14:textId="13B4D620" w:rsidR="00482DDC" w:rsidRDefault="00482DDC" w:rsidP="00482DDC">
            <w:pPr>
              <w:pStyle w:val="Normal1linespace"/>
              <w:widowControl w:val="0"/>
              <w:jc w:val="left"/>
            </w:pPr>
            <w:r>
              <w:t>Ms C Symons</w:t>
            </w:r>
          </w:p>
        </w:tc>
      </w:tr>
      <w:tr w:rsidR="00482DDC" w14:paraId="4E741D6F" w14:textId="77777777" w:rsidTr="00505B8C">
        <w:tc>
          <w:tcPr>
            <w:tcW w:w="3085" w:type="dxa"/>
            <w:shd w:val="clear" w:color="auto" w:fill="auto"/>
          </w:tcPr>
          <w:p w14:paraId="167AD7D3" w14:textId="77777777" w:rsidR="00482DDC" w:rsidRDefault="00482DDC" w:rsidP="00482DDC">
            <w:pPr>
              <w:pStyle w:val="Normal1linespace"/>
              <w:widowControl w:val="0"/>
              <w:jc w:val="left"/>
            </w:pPr>
          </w:p>
        </w:tc>
        <w:tc>
          <w:tcPr>
            <w:tcW w:w="5989" w:type="dxa"/>
            <w:shd w:val="clear" w:color="auto" w:fill="auto"/>
          </w:tcPr>
          <w:p w14:paraId="01B66CAF" w14:textId="77777777" w:rsidR="00482DDC" w:rsidRDefault="00482DDC" w:rsidP="00482DDC">
            <w:pPr>
              <w:pStyle w:val="Normal1linespace"/>
              <w:widowControl w:val="0"/>
              <w:jc w:val="left"/>
            </w:pPr>
          </w:p>
        </w:tc>
      </w:tr>
      <w:tr w:rsidR="00482DDC" w14:paraId="2F1FD673" w14:textId="77777777" w:rsidTr="00505B8C">
        <w:tc>
          <w:tcPr>
            <w:tcW w:w="3085" w:type="dxa"/>
            <w:shd w:val="clear" w:color="auto" w:fill="auto"/>
          </w:tcPr>
          <w:p w14:paraId="753C690F" w14:textId="394068E5" w:rsidR="00482DDC" w:rsidRDefault="00482DDC" w:rsidP="00482DDC">
            <w:pPr>
              <w:pStyle w:val="Normal1linespace"/>
              <w:widowControl w:val="0"/>
              <w:jc w:val="left"/>
            </w:pPr>
            <w:r>
              <w:t>Solicitor for the First Respondent:</w:t>
            </w:r>
          </w:p>
        </w:tc>
        <w:tc>
          <w:tcPr>
            <w:tcW w:w="5989" w:type="dxa"/>
            <w:shd w:val="clear" w:color="auto" w:fill="auto"/>
          </w:tcPr>
          <w:p w14:paraId="29975EE2" w14:textId="3E94B560" w:rsidR="00482DDC" w:rsidRDefault="00482DDC" w:rsidP="00482DDC">
            <w:pPr>
              <w:pStyle w:val="Normal1linespace"/>
              <w:widowControl w:val="0"/>
              <w:jc w:val="left"/>
            </w:pPr>
            <w:r>
              <w:t>DLA Piper Australia</w:t>
            </w:r>
          </w:p>
        </w:tc>
      </w:tr>
      <w:tr w:rsidR="00482DDC" w14:paraId="0941A4F4" w14:textId="77777777" w:rsidTr="00505B8C">
        <w:tc>
          <w:tcPr>
            <w:tcW w:w="3085" w:type="dxa"/>
            <w:shd w:val="clear" w:color="auto" w:fill="auto"/>
          </w:tcPr>
          <w:p w14:paraId="7559B939" w14:textId="77777777" w:rsidR="00482DDC" w:rsidRDefault="00482DDC" w:rsidP="00482DDC">
            <w:pPr>
              <w:pStyle w:val="Normal1linespace"/>
              <w:widowControl w:val="0"/>
              <w:jc w:val="left"/>
            </w:pPr>
            <w:bookmarkStart w:id="8" w:name="Counsel" w:colFirst="0" w:colLast="2"/>
          </w:p>
        </w:tc>
        <w:tc>
          <w:tcPr>
            <w:tcW w:w="5989" w:type="dxa"/>
            <w:shd w:val="clear" w:color="auto" w:fill="auto"/>
          </w:tcPr>
          <w:p w14:paraId="0E23AA1C" w14:textId="77777777" w:rsidR="00482DDC" w:rsidRDefault="00482DDC" w:rsidP="00482DDC">
            <w:pPr>
              <w:pStyle w:val="Normal1linespace"/>
              <w:widowControl w:val="0"/>
              <w:jc w:val="left"/>
            </w:pPr>
            <w:bookmarkStart w:id="9" w:name="AppCounsel"/>
            <w:bookmarkEnd w:id="9"/>
          </w:p>
        </w:tc>
      </w:tr>
      <w:bookmarkEnd w:id="8"/>
    </w:tbl>
    <w:p w14:paraId="657733F4" w14:textId="0A3E1D79" w:rsidR="00395B24" w:rsidRDefault="00395B24">
      <w:pPr>
        <w:pStyle w:val="Normal1linespace"/>
      </w:pPr>
    </w:p>
    <w:p w14:paraId="29110A0F" w14:textId="77777777" w:rsidR="0092590B" w:rsidRDefault="0092590B">
      <w:pPr>
        <w:pStyle w:val="Normal1linespace"/>
      </w:pPr>
    </w:p>
    <w:p w14:paraId="0DBBA2F1"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7266A195" w14:textId="29B5F4B2"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301912F" w14:textId="77777777" w:rsidTr="00E81DA6">
        <w:tc>
          <w:tcPr>
            <w:tcW w:w="6912" w:type="dxa"/>
            <w:gridSpan w:val="2"/>
          </w:tcPr>
          <w:p w14:paraId="6651CD82" w14:textId="77777777" w:rsidR="00A46CCC" w:rsidRPr="001765E0" w:rsidRDefault="00A46CCC" w:rsidP="00525A49">
            <w:pPr>
              <w:pStyle w:val="NormalHeadings"/>
            </w:pPr>
          </w:p>
        </w:tc>
        <w:tc>
          <w:tcPr>
            <w:tcW w:w="2330" w:type="dxa"/>
          </w:tcPr>
          <w:p w14:paraId="6B45E225" w14:textId="77777777" w:rsidR="00A46CCC" w:rsidRDefault="00882726" w:rsidP="00F92355">
            <w:pPr>
              <w:pStyle w:val="NormalHeadings"/>
              <w:jc w:val="right"/>
            </w:pPr>
            <w:bookmarkStart w:id="10" w:name="FileNo"/>
            <w:r>
              <w:t>VID 886 of 2017</w:t>
            </w:r>
            <w:bookmarkEnd w:id="10"/>
          </w:p>
        </w:tc>
      </w:tr>
      <w:tr w:rsidR="00A76C13" w14:paraId="0F744018" w14:textId="77777777" w:rsidTr="00F461A4">
        <w:tc>
          <w:tcPr>
            <w:tcW w:w="9242" w:type="dxa"/>
            <w:gridSpan w:val="3"/>
          </w:tcPr>
          <w:p w14:paraId="1E2BC012" w14:textId="77777777" w:rsidR="00A76C13" w:rsidRPr="00A76C13" w:rsidRDefault="00882726" w:rsidP="00882726">
            <w:pPr>
              <w:pStyle w:val="NormalHeadings"/>
              <w:jc w:val="left"/>
            </w:pPr>
            <w:bookmarkStart w:id="11" w:name="InTheMatterOf"/>
            <w:r>
              <w:t xml:space="preserve"> </w:t>
            </w:r>
            <w:bookmarkEnd w:id="11"/>
          </w:p>
        </w:tc>
      </w:tr>
      <w:tr w:rsidR="00A46CCC" w14:paraId="2BCF740B" w14:textId="77777777" w:rsidTr="005041F0">
        <w:trPr>
          <w:trHeight w:val="386"/>
        </w:trPr>
        <w:tc>
          <w:tcPr>
            <w:tcW w:w="2376" w:type="dxa"/>
          </w:tcPr>
          <w:p w14:paraId="79CB8C1E" w14:textId="77777777" w:rsidR="00A46CCC" w:rsidRDefault="00A46CCC" w:rsidP="005041F0">
            <w:pPr>
              <w:pStyle w:val="NormalHeadings"/>
              <w:jc w:val="left"/>
              <w:rPr>
                <w:caps/>
                <w:szCs w:val="24"/>
              </w:rPr>
            </w:pPr>
            <w:bookmarkStart w:id="12" w:name="Parties"/>
            <w:r>
              <w:rPr>
                <w:caps/>
                <w:szCs w:val="24"/>
              </w:rPr>
              <w:t>BETWEEN:</w:t>
            </w:r>
          </w:p>
        </w:tc>
        <w:tc>
          <w:tcPr>
            <w:tcW w:w="6866" w:type="dxa"/>
            <w:gridSpan w:val="2"/>
          </w:tcPr>
          <w:p w14:paraId="10CB4BF8" w14:textId="77777777" w:rsidR="00882726" w:rsidRDefault="00882726" w:rsidP="00882726">
            <w:pPr>
              <w:pStyle w:val="NormalHeadings"/>
              <w:jc w:val="left"/>
            </w:pPr>
            <w:bookmarkStart w:id="13" w:name="Applicant"/>
            <w:r>
              <w:t>KULDEEP SINGH</w:t>
            </w:r>
          </w:p>
          <w:p w14:paraId="622E2050" w14:textId="77777777" w:rsidR="00882726" w:rsidRDefault="00882726" w:rsidP="00882726">
            <w:pPr>
              <w:pStyle w:val="PartyType"/>
            </w:pPr>
            <w:r>
              <w:t>App</w:t>
            </w:r>
            <w:r w:rsidR="00A834EC">
              <w:t>ellan</w:t>
            </w:r>
            <w:r>
              <w:t>t</w:t>
            </w:r>
          </w:p>
          <w:bookmarkEnd w:id="13"/>
          <w:p w14:paraId="1E9A983F" w14:textId="77777777" w:rsidR="00A46CCC" w:rsidRPr="006555B4" w:rsidRDefault="00A46CCC" w:rsidP="005041F0">
            <w:pPr>
              <w:pStyle w:val="NormalHeadings"/>
              <w:jc w:val="left"/>
            </w:pPr>
          </w:p>
        </w:tc>
      </w:tr>
      <w:tr w:rsidR="00A46CCC" w14:paraId="3FF2AEC1" w14:textId="77777777" w:rsidTr="005041F0">
        <w:trPr>
          <w:trHeight w:val="386"/>
        </w:trPr>
        <w:tc>
          <w:tcPr>
            <w:tcW w:w="2376" w:type="dxa"/>
          </w:tcPr>
          <w:p w14:paraId="50A38497" w14:textId="77777777" w:rsidR="00A46CCC" w:rsidRDefault="00A46CCC" w:rsidP="005041F0">
            <w:pPr>
              <w:pStyle w:val="NormalHeadings"/>
              <w:jc w:val="left"/>
              <w:rPr>
                <w:caps/>
                <w:szCs w:val="24"/>
              </w:rPr>
            </w:pPr>
            <w:r>
              <w:rPr>
                <w:caps/>
                <w:szCs w:val="24"/>
              </w:rPr>
              <w:t>AND:</w:t>
            </w:r>
          </w:p>
        </w:tc>
        <w:tc>
          <w:tcPr>
            <w:tcW w:w="6866" w:type="dxa"/>
            <w:gridSpan w:val="2"/>
          </w:tcPr>
          <w:p w14:paraId="2C227058" w14:textId="77777777" w:rsidR="00882726" w:rsidRDefault="00882726" w:rsidP="00882726">
            <w:pPr>
              <w:pStyle w:val="NormalHeadings"/>
              <w:jc w:val="left"/>
            </w:pPr>
            <w:bookmarkStart w:id="14" w:name="Respondent"/>
            <w:r>
              <w:t>MINISTER FOR IMMIGRATION AND BORDER PROTECTION</w:t>
            </w:r>
          </w:p>
          <w:p w14:paraId="403CB17E" w14:textId="77777777" w:rsidR="00882726" w:rsidRDefault="00882726" w:rsidP="00882726">
            <w:pPr>
              <w:pStyle w:val="PartyType"/>
            </w:pPr>
            <w:r>
              <w:t>First Respondent</w:t>
            </w:r>
          </w:p>
          <w:p w14:paraId="7371FA39" w14:textId="77777777" w:rsidR="00882726" w:rsidRDefault="00882726" w:rsidP="005041F0">
            <w:pPr>
              <w:pStyle w:val="NormalHeadings"/>
              <w:jc w:val="left"/>
              <w:rPr>
                <w:szCs w:val="24"/>
              </w:rPr>
            </w:pPr>
          </w:p>
          <w:p w14:paraId="76995989" w14:textId="77777777" w:rsidR="00882726" w:rsidRDefault="00882726" w:rsidP="00882726">
            <w:pPr>
              <w:pStyle w:val="NormalHeadings"/>
              <w:jc w:val="left"/>
            </w:pPr>
            <w:r>
              <w:t>ADMINISTRATIVE APPEALS TRIBUNAL</w:t>
            </w:r>
          </w:p>
          <w:p w14:paraId="740CCE48" w14:textId="77777777" w:rsidR="00882726" w:rsidRDefault="00882726" w:rsidP="00882726">
            <w:pPr>
              <w:pStyle w:val="PartyType"/>
            </w:pPr>
            <w:r>
              <w:t>Second Respondent</w:t>
            </w:r>
          </w:p>
          <w:bookmarkEnd w:id="14"/>
          <w:p w14:paraId="2A52A78E" w14:textId="77777777" w:rsidR="00A46CCC" w:rsidRPr="006555B4" w:rsidRDefault="00A46CCC" w:rsidP="005041F0">
            <w:pPr>
              <w:pStyle w:val="NormalHeadings"/>
              <w:jc w:val="left"/>
            </w:pPr>
          </w:p>
        </w:tc>
      </w:tr>
    </w:tbl>
    <w:p w14:paraId="5C26F67B"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411FE890" w14:textId="77777777">
        <w:tc>
          <w:tcPr>
            <w:tcW w:w="2376" w:type="dxa"/>
          </w:tcPr>
          <w:p w14:paraId="5DCABAC0" w14:textId="77777777" w:rsidR="00395B24" w:rsidRDefault="00882726">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456B516F" w14:textId="77777777" w:rsidR="00395B24" w:rsidRDefault="00882726">
            <w:pPr>
              <w:pStyle w:val="NormalHeadings"/>
              <w:jc w:val="left"/>
              <w:rPr>
                <w:caps/>
                <w:szCs w:val="24"/>
              </w:rPr>
            </w:pPr>
            <w:bookmarkStart w:id="17" w:name="Judge"/>
            <w:r>
              <w:rPr>
                <w:caps/>
                <w:szCs w:val="24"/>
              </w:rPr>
              <w:t>DAVIES J</w:t>
            </w:r>
            <w:bookmarkEnd w:id="17"/>
          </w:p>
        </w:tc>
      </w:tr>
      <w:tr w:rsidR="00395B24" w14:paraId="153117CD" w14:textId="77777777">
        <w:tc>
          <w:tcPr>
            <w:tcW w:w="2376" w:type="dxa"/>
          </w:tcPr>
          <w:p w14:paraId="0029C2F8" w14:textId="77777777" w:rsidR="00395B24" w:rsidRDefault="002C7385">
            <w:pPr>
              <w:pStyle w:val="NormalHeadings"/>
              <w:spacing w:after="120"/>
              <w:jc w:val="left"/>
              <w:rPr>
                <w:caps/>
                <w:szCs w:val="24"/>
              </w:rPr>
            </w:pPr>
            <w:r>
              <w:rPr>
                <w:caps/>
                <w:szCs w:val="24"/>
              </w:rPr>
              <w:t>DATE OF ORDER:</w:t>
            </w:r>
          </w:p>
        </w:tc>
        <w:tc>
          <w:tcPr>
            <w:tcW w:w="6866" w:type="dxa"/>
          </w:tcPr>
          <w:p w14:paraId="5D2951B9" w14:textId="467B2547" w:rsidR="00395B24" w:rsidRDefault="00B636E5">
            <w:pPr>
              <w:pStyle w:val="NormalHeadings"/>
              <w:jc w:val="left"/>
              <w:rPr>
                <w:caps/>
                <w:szCs w:val="24"/>
              </w:rPr>
            </w:pPr>
            <w:bookmarkStart w:id="18" w:name="Judgment_Dated"/>
            <w:r>
              <w:rPr>
                <w:caps/>
                <w:szCs w:val="24"/>
              </w:rPr>
              <w:t>13 september</w:t>
            </w:r>
            <w:r w:rsidR="00882726">
              <w:rPr>
                <w:caps/>
                <w:szCs w:val="24"/>
              </w:rPr>
              <w:t xml:space="preserve"> 2018</w:t>
            </w:r>
            <w:bookmarkEnd w:id="18"/>
          </w:p>
        </w:tc>
      </w:tr>
    </w:tbl>
    <w:p w14:paraId="176AE36D" w14:textId="77777777" w:rsidR="00395B24" w:rsidRDefault="00395B24">
      <w:pPr>
        <w:pStyle w:val="NormalHeadings"/>
        <w:rPr>
          <w:b w:val="0"/>
        </w:rPr>
      </w:pPr>
    </w:p>
    <w:p w14:paraId="7AA378CD" w14:textId="77777777" w:rsidR="008D1617" w:rsidRDefault="008D1617">
      <w:pPr>
        <w:pStyle w:val="NormalHeadings"/>
        <w:rPr>
          <w:b w:val="0"/>
        </w:rPr>
      </w:pPr>
    </w:p>
    <w:p w14:paraId="6C5E571E" w14:textId="77777777" w:rsidR="00395B24" w:rsidRPr="004138E9" w:rsidRDefault="002C7385">
      <w:pPr>
        <w:pStyle w:val="NormalHeadings"/>
      </w:pPr>
      <w:r w:rsidRPr="004138E9">
        <w:t>THE COURT ORDERS THAT:</w:t>
      </w:r>
    </w:p>
    <w:p w14:paraId="7A410378" w14:textId="77777777" w:rsidR="00395B24" w:rsidRPr="004138E9" w:rsidRDefault="00395B24">
      <w:pPr>
        <w:pStyle w:val="NormalHeadings"/>
      </w:pPr>
    </w:p>
    <w:p w14:paraId="2B2F1040" w14:textId="0BFB7A5E" w:rsidR="00395B24" w:rsidRPr="004138E9" w:rsidRDefault="009079C5" w:rsidP="00274F5B">
      <w:pPr>
        <w:pStyle w:val="Order1"/>
      </w:pPr>
      <w:bookmarkStart w:id="19" w:name="Order_Start_Text"/>
      <w:bookmarkEnd w:id="19"/>
      <w:r w:rsidRPr="004138E9">
        <w:t xml:space="preserve">The appeal be dismissed. </w:t>
      </w:r>
    </w:p>
    <w:p w14:paraId="49921EEC" w14:textId="3CDE9A4A" w:rsidR="009079C5" w:rsidRPr="004138E9" w:rsidRDefault="009079C5" w:rsidP="00274F5B">
      <w:pPr>
        <w:pStyle w:val="Order1"/>
      </w:pPr>
      <w:r w:rsidRPr="004138E9">
        <w:t xml:space="preserve">The appellant pay the costs of the </w:t>
      </w:r>
      <w:r w:rsidR="00D617C4">
        <w:t>f</w:t>
      </w:r>
      <w:r w:rsidRPr="004138E9">
        <w:t xml:space="preserve">irst </w:t>
      </w:r>
      <w:r w:rsidR="00D617C4">
        <w:t>r</w:t>
      </w:r>
      <w:r w:rsidRPr="004138E9">
        <w:t xml:space="preserve">espondent, such costs to be taxed in default of agreement. </w:t>
      </w:r>
    </w:p>
    <w:p w14:paraId="478F3241" w14:textId="77777777" w:rsidR="00636871" w:rsidRDefault="00636871" w:rsidP="002B0E91">
      <w:pPr>
        <w:pStyle w:val="BodyText"/>
      </w:pPr>
    </w:p>
    <w:p w14:paraId="5B87BAA2" w14:textId="77777777" w:rsidR="00395B24" w:rsidRDefault="00395B24" w:rsidP="002B0E91">
      <w:pPr>
        <w:pStyle w:val="BodyText"/>
      </w:pPr>
    </w:p>
    <w:p w14:paraId="010FBC96" w14:textId="77777777" w:rsidR="00395B24" w:rsidRDefault="002C7385" w:rsidP="004D53E5">
      <w:pPr>
        <w:pStyle w:val="SingleSpace"/>
      </w:pPr>
      <w:r>
        <w:t>Note:</w:t>
      </w:r>
      <w:r>
        <w:tab/>
        <w:t xml:space="preserve">Entry of orders is dealt with in Rule 39.32 of the </w:t>
      </w:r>
      <w:r>
        <w:rPr>
          <w:i/>
        </w:rPr>
        <w:t>Federal Court Rules 2011</w:t>
      </w:r>
      <w:r>
        <w:t>.</w:t>
      </w:r>
    </w:p>
    <w:p w14:paraId="53C270E7" w14:textId="77777777" w:rsidR="00395B24" w:rsidRDefault="00395B24" w:rsidP="002B0E91">
      <w:pPr>
        <w:pStyle w:val="BodyText"/>
      </w:pPr>
    </w:p>
    <w:p w14:paraId="6572206A" w14:textId="77777777" w:rsidR="00395B24" w:rsidRDefault="00395B24" w:rsidP="001F2DBC">
      <w:pPr>
        <w:pStyle w:val="BodyText"/>
      </w:pPr>
    </w:p>
    <w:p w14:paraId="66526749" w14:textId="77777777" w:rsidR="0092590B" w:rsidRDefault="0092590B" w:rsidP="002B0E91">
      <w:pPr>
        <w:pStyle w:val="BodyText"/>
      </w:pPr>
    </w:p>
    <w:p w14:paraId="02514120"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023C27CB"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58CF4EF2" w14:textId="77777777" w:rsidR="00395B24" w:rsidRPr="00EA03CE" w:rsidRDefault="00882726" w:rsidP="005E0510">
      <w:pPr>
        <w:pStyle w:val="NormalHeadings"/>
        <w:spacing w:line="360" w:lineRule="auto"/>
        <w:jc w:val="left"/>
        <w:rPr>
          <w:sz w:val="26"/>
          <w:szCs w:val="26"/>
        </w:rPr>
      </w:pPr>
      <w:r>
        <w:rPr>
          <w:sz w:val="26"/>
          <w:szCs w:val="26"/>
        </w:rPr>
        <w:t>DAVIES J</w:t>
      </w:r>
      <w:r w:rsidR="00484F6D" w:rsidRPr="00EA03CE">
        <w:rPr>
          <w:sz w:val="26"/>
          <w:szCs w:val="26"/>
        </w:rPr>
        <w:t>:</w:t>
      </w:r>
    </w:p>
    <w:p w14:paraId="24146D3B" w14:textId="53F7CF8D" w:rsidR="00484F6D" w:rsidRDefault="00882726" w:rsidP="00882726">
      <w:pPr>
        <w:pStyle w:val="ParaNumbering"/>
      </w:pPr>
      <w:r>
        <w:t>The appellant has appealed the decision of the Federal Circuit Court of Australia (“</w:t>
      </w:r>
      <w:r>
        <w:rPr>
          <w:b/>
        </w:rPr>
        <w:t>FCC</w:t>
      </w:r>
      <w:r>
        <w:t>”) dismissing his application for judicial review of a decision of the Administrative Appeals Tribunal (“</w:t>
      </w:r>
      <w:r>
        <w:rPr>
          <w:b/>
        </w:rPr>
        <w:t>the Tribunal</w:t>
      </w:r>
      <w:r>
        <w:t xml:space="preserve">”) which affirmed the decision of a delegate of the first respondent not to grant </w:t>
      </w:r>
      <w:r w:rsidRPr="004138E9">
        <w:t xml:space="preserve">the </w:t>
      </w:r>
      <w:r w:rsidR="002F6AC2" w:rsidRPr="004138E9">
        <w:t>appellant</w:t>
      </w:r>
      <w:r w:rsidRPr="004138E9">
        <w:t xml:space="preserve"> a Skilled (Provisional</w:t>
      </w:r>
      <w:r>
        <w:t>) (Class VC) visa.</w:t>
      </w:r>
    </w:p>
    <w:p w14:paraId="3EAF4208" w14:textId="082CF59B" w:rsidR="00882726" w:rsidRPr="00505B8C" w:rsidRDefault="00882726" w:rsidP="006C4F6E">
      <w:pPr>
        <w:pStyle w:val="ParaNumbering"/>
      </w:pPr>
      <w:r w:rsidRPr="00505B8C">
        <w:t xml:space="preserve">The appellant is a </w:t>
      </w:r>
      <w:r w:rsidR="00A834EC" w:rsidRPr="00505B8C">
        <w:t xml:space="preserve">citizen of India.  In May 2009 he applied for the visa and submitted </w:t>
      </w:r>
      <w:r w:rsidR="002F6AC2" w:rsidRPr="00505B8C">
        <w:t xml:space="preserve">documents </w:t>
      </w:r>
      <w:r w:rsidR="00A834EC" w:rsidRPr="00505B8C">
        <w:t xml:space="preserve">with his application that included a Trades </w:t>
      </w:r>
      <w:r w:rsidR="00A834EC" w:rsidRPr="007E450A">
        <w:t>Recognition Australia (“</w:t>
      </w:r>
      <w:r w:rsidR="00A834EC" w:rsidRPr="007E450A">
        <w:rPr>
          <w:b/>
        </w:rPr>
        <w:t>TRA</w:t>
      </w:r>
      <w:r w:rsidR="00A834EC" w:rsidRPr="007E450A">
        <w:t xml:space="preserve">”) skills assessment dated 30 August 2008 for the appellant’s nominated occupation of cook and a work reference letter from Salera’s Pizza </w:t>
      </w:r>
      <w:r w:rsidR="00C972C3" w:rsidRPr="007E450A">
        <w:t>&amp;</w:t>
      </w:r>
      <w:r w:rsidR="00A834EC" w:rsidRPr="007E450A">
        <w:t xml:space="preserve"> Pasta dated 3 August 20</w:t>
      </w:r>
      <w:r w:rsidR="00E83FDC" w:rsidRPr="007E450A">
        <w:t xml:space="preserve">08.  </w:t>
      </w:r>
      <w:r w:rsidR="006C4F6E" w:rsidRPr="007E450A">
        <w:t>A delegate</w:t>
      </w:r>
      <w:r w:rsidR="00E83FDC" w:rsidRPr="007E450A">
        <w:t xml:space="preserve"> of the Minister </w:t>
      </w:r>
      <w:r w:rsidR="001B2F58" w:rsidRPr="007E450A">
        <w:t xml:space="preserve">refused to grant the visa on the basis that </w:t>
      </w:r>
      <w:r w:rsidR="00264D9A" w:rsidRPr="007E450A">
        <w:t>the delegate</w:t>
      </w:r>
      <w:r w:rsidR="006C4F6E" w:rsidRPr="007E450A">
        <w:t xml:space="preserve"> was not satisfied that </w:t>
      </w:r>
      <w:r w:rsidR="001B2F58" w:rsidRPr="007E450A">
        <w:t>the appellant met the requirement</w:t>
      </w:r>
      <w:r w:rsidR="006C4F6E" w:rsidRPr="007E450A">
        <w:t>s</w:t>
      </w:r>
      <w:r w:rsidR="001B2F58" w:rsidRPr="007E450A">
        <w:t xml:space="preserve"> in P</w:t>
      </w:r>
      <w:r w:rsidR="00242005" w:rsidRPr="007E450A">
        <w:t xml:space="preserve">ublic </w:t>
      </w:r>
      <w:r w:rsidR="001B2F58" w:rsidRPr="007E450A">
        <w:t>I</w:t>
      </w:r>
      <w:r w:rsidR="00242005" w:rsidRPr="007E450A">
        <w:t>nterest Criterion (“</w:t>
      </w:r>
      <w:r w:rsidR="00242005" w:rsidRPr="007E450A">
        <w:rPr>
          <w:b/>
        </w:rPr>
        <w:t>PIC</w:t>
      </w:r>
      <w:r w:rsidR="00242005" w:rsidRPr="007E450A">
        <w:t>”)</w:t>
      </w:r>
      <w:r w:rsidR="001B2F58" w:rsidRPr="007E450A">
        <w:t xml:space="preserve"> 4020.  PIC</w:t>
      </w:r>
      <w:r w:rsidR="003119CC" w:rsidRPr="007E450A">
        <w:t> </w:t>
      </w:r>
      <w:r w:rsidR="001B2F58" w:rsidRPr="007E450A">
        <w:t xml:space="preserve">4020(1) </w:t>
      </w:r>
      <w:r w:rsidR="00940521" w:rsidRPr="007E450A">
        <w:t>requires</w:t>
      </w:r>
      <w:r w:rsidR="001B2F58" w:rsidRPr="007E450A">
        <w:t xml:space="preserve"> that there is no evidence that the visa applicant has given or caused to be given</w:t>
      </w:r>
      <w:r w:rsidR="007B4B68" w:rsidRPr="007E450A">
        <w:t xml:space="preserve"> </w:t>
      </w:r>
      <w:r w:rsidR="001B2F58" w:rsidRPr="007E450A">
        <w:t>to the Minister a bogus document or information that is false or misleading in a material</w:t>
      </w:r>
      <w:r w:rsidR="001B2F58" w:rsidRPr="00505B8C">
        <w:t xml:space="preserve"> particular in relation to </w:t>
      </w:r>
      <w:r w:rsidR="00940521" w:rsidRPr="00505B8C">
        <w:t>the</w:t>
      </w:r>
      <w:r w:rsidR="001B2F58" w:rsidRPr="00505B8C">
        <w:t xml:space="preserve"> application for the visa.  The term “bogus document” is defined in s 5 of the </w:t>
      </w:r>
      <w:r w:rsidR="001B2F58" w:rsidRPr="00505B8C">
        <w:rPr>
          <w:i/>
        </w:rPr>
        <w:t>Migration Act 1958</w:t>
      </w:r>
      <w:r w:rsidR="001B2F58" w:rsidRPr="00505B8C">
        <w:t xml:space="preserve"> </w:t>
      </w:r>
      <w:r w:rsidR="004F0F71" w:rsidRPr="00505B8C">
        <w:t xml:space="preserve">(Cth) </w:t>
      </w:r>
      <w:r w:rsidR="001B2F58" w:rsidRPr="00505B8C">
        <w:t>(“</w:t>
      </w:r>
      <w:r w:rsidR="001B2F58" w:rsidRPr="00505B8C">
        <w:rPr>
          <w:b/>
        </w:rPr>
        <w:t>the Act</w:t>
      </w:r>
      <w:r w:rsidR="001B2F58" w:rsidRPr="00505B8C">
        <w:t>”) to mean a document that the Minister reasonably suspects is a document that:</w:t>
      </w:r>
    </w:p>
    <w:p w14:paraId="6484FF53" w14:textId="1D0C4D8F" w:rsidR="001B2F58" w:rsidRDefault="001B2F58" w:rsidP="001B2F58">
      <w:pPr>
        <w:pStyle w:val="ListNo2"/>
      </w:pPr>
      <w:r>
        <w:t xml:space="preserve">purports to have been, but was not, issued in </w:t>
      </w:r>
      <w:r w:rsidRPr="004138E9">
        <w:t xml:space="preserve">respect of </w:t>
      </w:r>
      <w:r w:rsidR="004F0F71" w:rsidRPr="004138E9">
        <w:t>[</w:t>
      </w:r>
      <w:r w:rsidRPr="004138E9">
        <w:t>the visa applicant</w:t>
      </w:r>
      <w:r w:rsidR="004F0F71" w:rsidRPr="004138E9">
        <w:t>]</w:t>
      </w:r>
      <w:r w:rsidRPr="004138E9">
        <w:t>;</w:t>
      </w:r>
      <w:r>
        <w:t xml:space="preserve"> or</w:t>
      </w:r>
    </w:p>
    <w:p w14:paraId="5D440BDC" w14:textId="77777777" w:rsidR="001B2F58" w:rsidRDefault="001B2F58" w:rsidP="001B2F58">
      <w:pPr>
        <w:pStyle w:val="ListNo2"/>
      </w:pPr>
      <w:r>
        <w:t>is counterfeit or has been altered by a person who does not have authority to do so; or</w:t>
      </w:r>
    </w:p>
    <w:p w14:paraId="1687E8AA" w14:textId="77777777" w:rsidR="001B2F58" w:rsidRDefault="001B2F58" w:rsidP="001B2F58">
      <w:pPr>
        <w:pStyle w:val="ListNo2"/>
      </w:pPr>
      <w:proofErr w:type="gramStart"/>
      <w:r>
        <w:t>was</w:t>
      </w:r>
      <w:proofErr w:type="gramEnd"/>
      <w:r>
        <w:t xml:space="preserve"> obtained because of a false or misleading statement, whether or not made knowingly.</w:t>
      </w:r>
    </w:p>
    <w:p w14:paraId="76F59141" w14:textId="5403D00D" w:rsidR="001B2F58" w:rsidRPr="00B103AE" w:rsidRDefault="001B2F58" w:rsidP="00882726">
      <w:pPr>
        <w:pStyle w:val="ParaNumbering"/>
      </w:pPr>
      <w:r>
        <w:t xml:space="preserve">The requirement in PIC 4020(1) </w:t>
      </w:r>
      <w:r w:rsidR="001E7D70">
        <w:t>applies whether or not the Minister became aware of the bogus document or information that is false or misleading in a material particular because of information given by the visa applicant (PIC 4020(3))</w:t>
      </w:r>
      <w:r w:rsidR="00242005">
        <w:t>,</w:t>
      </w:r>
      <w:r w:rsidR="001E7D70">
        <w:t xml:space="preserve"> and whether or not </w:t>
      </w:r>
      <w:r w:rsidR="001E7D70" w:rsidRPr="00B103AE">
        <w:t>the visa applicant was aware that the information was purposely untrue</w:t>
      </w:r>
      <w:r w:rsidR="00242005" w:rsidRPr="00B103AE">
        <w:t xml:space="preserve"> when </w:t>
      </w:r>
      <w:r w:rsidR="004138E9" w:rsidRPr="00B103AE">
        <w:t>he or she</w:t>
      </w:r>
      <w:r w:rsidR="00242005" w:rsidRPr="00B103AE">
        <w:t xml:space="preserve"> provided it</w:t>
      </w:r>
      <w:r w:rsidR="001E7D70" w:rsidRPr="00B103AE">
        <w:t xml:space="preserve">: </w:t>
      </w:r>
      <w:r w:rsidR="006C622F" w:rsidRPr="00B103AE">
        <w:t xml:space="preserve">see </w:t>
      </w:r>
      <w:r w:rsidR="001E7D70" w:rsidRPr="00B103AE">
        <w:rPr>
          <w:i/>
        </w:rPr>
        <w:t xml:space="preserve">Trivedi v </w:t>
      </w:r>
      <w:r w:rsidR="00F811BB" w:rsidRPr="00B103AE">
        <w:rPr>
          <w:i/>
        </w:rPr>
        <w:t> </w:t>
      </w:r>
      <w:r w:rsidR="001E7D70" w:rsidRPr="00B103AE">
        <w:rPr>
          <w:i/>
        </w:rPr>
        <w:t xml:space="preserve">Minister for Immigration and Border Protection </w:t>
      </w:r>
      <w:r w:rsidR="00033660" w:rsidRPr="00B103AE">
        <w:t>(2014) 220 FCR 169 (“</w:t>
      </w:r>
      <w:r w:rsidR="00033660" w:rsidRPr="00B103AE">
        <w:rPr>
          <w:b/>
          <w:i/>
        </w:rPr>
        <w:t>Trivedi</w:t>
      </w:r>
      <w:r w:rsidR="00033660" w:rsidRPr="00B103AE">
        <w:t>”)</w:t>
      </w:r>
      <w:r w:rsidR="006C622F" w:rsidRPr="00B103AE">
        <w:t xml:space="preserve"> at</w:t>
      </w:r>
      <w:r w:rsidR="00D617C4" w:rsidRPr="00B103AE">
        <w:t xml:space="preserve"> [27]</w:t>
      </w:r>
      <w:r w:rsidR="00D617C4" w:rsidRPr="00B103AE">
        <w:noBreakHyphen/>
        <w:t>[28], [49]</w:t>
      </w:r>
      <w:r w:rsidR="00D617C4" w:rsidRPr="00B103AE">
        <w:noBreakHyphen/>
      </w:r>
      <w:r w:rsidR="006C622F" w:rsidRPr="00B103AE">
        <w:t>[50], [52]</w:t>
      </w:r>
      <w:r w:rsidR="00242005" w:rsidRPr="00B103AE">
        <w:t xml:space="preserve"> and [54]</w:t>
      </w:r>
      <w:r w:rsidR="001E7D70" w:rsidRPr="00B103AE">
        <w:t xml:space="preserve">.  However, an element of fraud or deception by some person is necessary to attract the operation of the provision: </w:t>
      </w:r>
      <w:r w:rsidR="001E7D70" w:rsidRPr="00B103AE">
        <w:rPr>
          <w:i/>
        </w:rPr>
        <w:t>Trivedi</w:t>
      </w:r>
      <w:r w:rsidR="006C622F" w:rsidRPr="00B103AE">
        <w:t xml:space="preserve"> at </w:t>
      </w:r>
      <w:r w:rsidR="006340B3" w:rsidRPr="00B103AE">
        <w:t>[33]</w:t>
      </w:r>
      <w:r w:rsidR="001E7D70" w:rsidRPr="00B103AE">
        <w:t xml:space="preserve">.  </w:t>
      </w:r>
    </w:p>
    <w:p w14:paraId="45D2601A" w14:textId="2B7AEABA" w:rsidR="002778F1" w:rsidRPr="000B0362" w:rsidRDefault="001E7D70" w:rsidP="002778F1">
      <w:pPr>
        <w:pStyle w:val="ParaNumbering"/>
      </w:pPr>
      <w:r>
        <w:lastRenderedPageBreak/>
        <w:t xml:space="preserve">In this </w:t>
      </w:r>
      <w:r w:rsidRPr="000B0362">
        <w:t xml:space="preserve">case, </w:t>
      </w:r>
      <w:r w:rsidR="00C972C3" w:rsidRPr="000B0362">
        <w:t>a delegate of the Minister</w:t>
      </w:r>
      <w:r w:rsidRPr="000B0362">
        <w:t xml:space="preserve"> determined that the skills assessment issued by the TRA for the appellant which the appellant submitted with his visa application was a bogus document.  The delegate noted that the skills assessment by the TRA was based on documents supplied to the TRA </w:t>
      </w:r>
      <w:r w:rsidR="009D30B1" w:rsidRPr="000B0362">
        <w:t xml:space="preserve">which included a work reference </w:t>
      </w:r>
      <w:r w:rsidRPr="000B0362">
        <w:t xml:space="preserve">supporting </w:t>
      </w:r>
      <w:r w:rsidR="00C972C3" w:rsidRPr="000B0362">
        <w:t xml:space="preserve">the claim </w:t>
      </w:r>
      <w:r w:rsidR="008A308B" w:rsidRPr="000B0362">
        <w:t>that</w:t>
      </w:r>
      <w:r w:rsidRPr="000B0362">
        <w:t xml:space="preserve"> the appellant had 900 hours</w:t>
      </w:r>
      <w:r w:rsidR="00805657" w:rsidRPr="000B0362">
        <w:t xml:space="preserve"> of </w:t>
      </w:r>
      <w:r w:rsidRPr="000B0362">
        <w:t xml:space="preserve">work experience at Salera’s Pizza </w:t>
      </w:r>
      <w:r w:rsidR="00C972C3" w:rsidRPr="000B0362">
        <w:t>&amp;</w:t>
      </w:r>
      <w:r w:rsidRPr="000B0362">
        <w:t xml:space="preserve"> Pasta</w:t>
      </w:r>
      <w:r w:rsidR="008A308B" w:rsidRPr="000B0362">
        <w:t xml:space="preserve">.  </w:t>
      </w:r>
      <w:r w:rsidR="00F92378" w:rsidRPr="000B0362">
        <w:t xml:space="preserve">The appellant </w:t>
      </w:r>
      <w:r w:rsidR="00C972C3" w:rsidRPr="000B0362">
        <w:t>was</w:t>
      </w:r>
      <w:r w:rsidR="00F92378" w:rsidRPr="000B0362">
        <w:t xml:space="preserve"> invited to comment on th</w:t>
      </w:r>
      <w:r w:rsidR="00CF1910" w:rsidRPr="000B0362">
        <w:t>e information that a Mr Amarante</w:t>
      </w:r>
      <w:r w:rsidR="00F92378" w:rsidRPr="000B0362">
        <w:t xml:space="preserve"> had </w:t>
      </w:r>
      <w:r w:rsidR="008A308B" w:rsidRPr="000B0362">
        <w:t xml:space="preserve">pleaded guilty to the manufacture and sale of fraudulent work references from Salera’s Pizza </w:t>
      </w:r>
      <w:r w:rsidR="00C972C3" w:rsidRPr="000B0362">
        <w:t>&amp;</w:t>
      </w:r>
      <w:r w:rsidR="008A308B" w:rsidRPr="000B0362">
        <w:t xml:space="preserve"> Pasta which he created to assist visa applicants</w:t>
      </w:r>
      <w:r w:rsidR="002778F1" w:rsidRPr="000B0362">
        <w:t>, including the appellant,</w:t>
      </w:r>
      <w:r w:rsidR="008A308B" w:rsidRPr="000B0362">
        <w:t xml:space="preserve"> to apply for a TRA skills assessment in suppo</w:t>
      </w:r>
      <w:r w:rsidR="002778F1" w:rsidRPr="000B0362">
        <w:t xml:space="preserve">rt of their visa applications. </w:t>
      </w:r>
      <w:r w:rsidR="009E1D9D" w:rsidRPr="000B0362">
        <w:t xml:space="preserve"> </w:t>
      </w:r>
      <w:r w:rsidR="002778F1" w:rsidRPr="000B0362">
        <w:t xml:space="preserve">In response to the invitation the appellant produced various documents, including a statutory declaration that the work reference he provided to the TRA was provided to him by his employer and </w:t>
      </w:r>
      <w:r w:rsidR="0018011E" w:rsidRPr="000B0362">
        <w:t xml:space="preserve">that </w:t>
      </w:r>
      <w:r w:rsidR="002778F1" w:rsidRPr="000B0362">
        <w:t xml:space="preserve">he had worked at Salera’s Pizza </w:t>
      </w:r>
      <w:r w:rsidR="002B30AE">
        <w:t xml:space="preserve">&amp; </w:t>
      </w:r>
      <w:r w:rsidR="002778F1" w:rsidRPr="000B0362">
        <w:t>Pasta during 2007 and 2008</w:t>
      </w:r>
      <w:r w:rsidR="009E1D9D" w:rsidRPr="000B0362">
        <w:t xml:space="preserve">.  </w:t>
      </w:r>
      <w:r w:rsidR="0018011E" w:rsidRPr="000B0362">
        <w:t>A</w:t>
      </w:r>
      <w:r w:rsidR="002778F1" w:rsidRPr="000B0362">
        <w:t xml:space="preserve"> </w:t>
      </w:r>
      <w:r w:rsidR="00E41C1C">
        <w:t> </w:t>
      </w:r>
      <w:r w:rsidR="002778F1" w:rsidRPr="000B0362">
        <w:t>delegate</w:t>
      </w:r>
      <w:r w:rsidR="0018011E" w:rsidRPr="000B0362">
        <w:t xml:space="preserve"> of the Minister</w:t>
      </w:r>
      <w:r w:rsidR="002778F1" w:rsidRPr="000B0362">
        <w:t xml:space="preserve"> took into account the additional information but considered that the information was insufficient to counter the admissions made by </w:t>
      </w:r>
      <w:r w:rsidR="00CF1910" w:rsidRPr="000B0362">
        <w:t>Mr Amarante</w:t>
      </w:r>
      <w:r w:rsidR="002778F1" w:rsidRPr="000B0362">
        <w:t xml:space="preserve"> about the manufacture and sale of fraudulent work references from Salera’s Pizza </w:t>
      </w:r>
      <w:r w:rsidR="0018011E" w:rsidRPr="000B0362">
        <w:t>&amp;</w:t>
      </w:r>
      <w:r w:rsidR="002778F1" w:rsidRPr="000B0362">
        <w:t xml:space="preserve"> Pasta and, as a result, the delegate was satisfied that the skills assessment was a bogus document </w:t>
      </w:r>
    </w:p>
    <w:p w14:paraId="32BD9818" w14:textId="4FAB4486" w:rsidR="008A308B" w:rsidRPr="000B0362" w:rsidRDefault="008A308B" w:rsidP="00882726">
      <w:pPr>
        <w:pStyle w:val="ParaNumbering"/>
      </w:pPr>
      <w:r w:rsidRPr="000B0362">
        <w:t xml:space="preserve">The appellant applied to the </w:t>
      </w:r>
      <w:r w:rsidR="00940521" w:rsidRPr="000B0362">
        <w:t>Tribunal</w:t>
      </w:r>
      <w:r w:rsidRPr="000B0362">
        <w:t xml:space="preserve"> for review of the delegate’s decision.  The Tribunal noted that the “central evidentiary issue” in dispute was whether it reasonably suspected that the TRA skills assessment that the appellant provided with his visa application was a document </w:t>
      </w:r>
      <w:r w:rsidR="00940521" w:rsidRPr="000B0362">
        <w:t>that</w:t>
      </w:r>
      <w:r w:rsidRPr="000B0362">
        <w:t xml:space="preserve"> was obtained because of false or misleading statements regarding the hours of work experience as a cook that he had completed at Salera’s Pizza </w:t>
      </w:r>
      <w:r w:rsidR="00270B3F" w:rsidRPr="000B0362">
        <w:t>&amp;</w:t>
      </w:r>
      <w:r w:rsidRPr="000B0362">
        <w:t xml:space="preserve"> Pasta as set out in </w:t>
      </w:r>
      <w:r w:rsidR="00270B3F" w:rsidRPr="000B0362">
        <w:t>the</w:t>
      </w:r>
      <w:r w:rsidRPr="000B0362">
        <w:t xml:space="preserve"> work reference.  The Tribunal affirmed the decision of the delegate.  In reaching its decision the Tribunal placed significant weight on all the information gathered during the course of the criminal investigation</w:t>
      </w:r>
      <w:r w:rsidR="00CF1910" w:rsidRPr="000B0362">
        <w:t xml:space="preserve"> and the plea of guilty by Mr Am</w:t>
      </w:r>
      <w:r w:rsidRPr="000B0362">
        <w:t xml:space="preserve">arante to the charges relating to the manufacture and sale of fraudulent work references from Salera’s Pizza </w:t>
      </w:r>
      <w:r w:rsidR="00270B3F" w:rsidRPr="000B0362">
        <w:t>&amp;</w:t>
      </w:r>
      <w:r w:rsidRPr="000B0362">
        <w:t xml:space="preserve"> Pasta</w:t>
      </w:r>
      <w:r w:rsidR="00CF1910" w:rsidRPr="000B0362">
        <w:t>,</w:t>
      </w:r>
      <w:r w:rsidRPr="000B0362">
        <w:t xml:space="preserve"> and </w:t>
      </w:r>
      <w:r w:rsidR="00940521" w:rsidRPr="000B0362">
        <w:t>that</w:t>
      </w:r>
      <w:r w:rsidRPr="000B0362">
        <w:t xml:space="preserve"> they were created to assist persons to apply for permanent residence.  The </w:t>
      </w:r>
      <w:r w:rsidR="00940521" w:rsidRPr="000B0362">
        <w:t>Tribunal</w:t>
      </w:r>
      <w:r w:rsidRPr="000B0362">
        <w:t xml:space="preserve"> also placed significant weight on a document located on </w:t>
      </w:r>
      <w:r w:rsidR="00C54295" w:rsidRPr="000B0362">
        <w:t>a</w:t>
      </w:r>
      <w:r w:rsidR="009E1D9D" w:rsidRPr="000B0362">
        <w:t xml:space="preserve"> USB stick at the home of Mr </w:t>
      </w:r>
      <w:r w:rsidR="00CF1910" w:rsidRPr="000B0362">
        <w:t>Am</w:t>
      </w:r>
      <w:r w:rsidRPr="000B0362">
        <w:t xml:space="preserve">arante which was an exhibit in the criminal proceedings and which had the personal information of the appellant and the period of his employment at Salera’s Pizza </w:t>
      </w:r>
      <w:r w:rsidR="00CF1910" w:rsidRPr="000B0362">
        <w:t>&amp;</w:t>
      </w:r>
      <w:r w:rsidRPr="000B0362">
        <w:t xml:space="preserve"> Pasta</w:t>
      </w:r>
      <w:r w:rsidR="00C54295" w:rsidRPr="000B0362">
        <w:t>,</w:t>
      </w:r>
      <w:r w:rsidRPr="000B0362">
        <w:t xml:space="preserve"> which the Tribunal noted was in </w:t>
      </w:r>
      <w:r w:rsidR="00940521" w:rsidRPr="000B0362">
        <w:t>identical</w:t>
      </w:r>
      <w:r w:rsidRPr="000B0362">
        <w:t xml:space="preserve"> terms to the work reference </w:t>
      </w:r>
      <w:r w:rsidR="00C54295" w:rsidRPr="000B0362">
        <w:t>letter</w:t>
      </w:r>
      <w:r w:rsidRPr="000B0362">
        <w:t xml:space="preserve"> which the owner of Salera’s Pizza </w:t>
      </w:r>
      <w:r w:rsidR="00CF1910" w:rsidRPr="000B0362">
        <w:t>&amp;</w:t>
      </w:r>
      <w:r w:rsidRPr="000B0362">
        <w:t xml:space="preserve"> Pasta supplied to the TRA in support of the skills assessment application for the appellant.</w:t>
      </w:r>
    </w:p>
    <w:p w14:paraId="2E80919C" w14:textId="3ABB19A0" w:rsidR="008A308B" w:rsidRPr="004138E9" w:rsidRDefault="008A308B" w:rsidP="00C03955">
      <w:pPr>
        <w:pStyle w:val="ParaNumbering"/>
      </w:pPr>
      <w:r>
        <w:t xml:space="preserve">The appellant sought judicial review of the </w:t>
      </w:r>
      <w:r w:rsidR="00940521">
        <w:t>Tribunal’s</w:t>
      </w:r>
      <w:r>
        <w:t xml:space="preserve"> decision.  Seven grounds of review were identified, raising two substantive issues.  The first </w:t>
      </w:r>
      <w:r w:rsidR="00384F6F">
        <w:t xml:space="preserve">substantive </w:t>
      </w:r>
      <w:r>
        <w:t xml:space="preserve">issue was whether the Tribunal erred in law by failing to make specific findings about the appellant’s involvement in the fraud.  </w:t>
      </w:r>
      <w:r>
        <w:lastRenderedPageBreak/>
        <w:t xml:space="preserve">In support of his </w:t>
      </w:r>
      <w:r w:rsidR="003919DB">
        <w:t xml:space="preserve">submission that the </w:t>
      </w:r>
      <w:r w:rsidR="003919DB" w:rsidRPr="004138E9">
        <w:t xml:space="preserve">Tribunal was </w:t>
      </w:r>
      <w:r w:rsidRPr="004138E9">
        <w:t>required</w:t>
      </w:r>
      <w:r>
        <w:t xml:space="preserve"> to address the level of knowledge and/or involvement of the appellant in the fraud in determining whether PIC 4020 was engaged</w:t>
      </w:r>
      <w:r w:rsidR="00B96A6D">
        <w:t>,</w:t>
      </w:r>
      <w:r>
        <w:t xml:space="preserve"> the appellant </w:t>
      </w:r>
      <w:r w:rsidRPr="004138E9">
        <w:t xml:space="preserve">relied </w:t>
      </w:r>
      <w:r w:rsidR="00B96A6D" w:rsidRPr="004138E9">
        <w:t>up</w:t>
      </w:r>
      <w:r w:rsidRPr="004138E9">
        <w:t>on</w:t>
      </w:r>
      <w:r>
        <w:t xml:space="preserve"> </w:t>
      </w:r>
      <w:r>
        <w:rPr>
          <w:i/>
        </w:rPr>
        <w:t xml:space="preserve">Singh v Minister for Immigration and Border </w:t>
      </w:r>
      <w:r w:rsidRPr="004138E9">
        <w:rPr>
          <w:i/>
        </w:rPr>
        <w:t xml:space="preserve">Protection </w:t>
      </w:r>
      <w:r w:rsidR="00C03955" w:rsidRPr="004138E9">
        <w:t>(2016) 247 FCR 554 (“</w:t>
      </w:r>
      <w:r w:rsidR="00C03955" w:rsidRPr="004138E9">
        <w:rPr>
          <w:b/>
          <w:i/>
        </w:rPr>
        <w:t>Singh</w:t>
      </w:r>
      <w:r w:rsidR="00C03955" w:rsidRPr="004138E9">
        <w:t xml:space="preserve">”) </w:t>
      </w:r>
      <w:r w:rsidRPr="004138E9">
        <w:t xml:space="preserve">and </w:t>
      </w:r>
      <w:r w:rsidRPr="004138E9">
        <w:rPr>
          <w:i/>
        </w:rPr>
        <w:t xml:space="preserve">Gill v Minister for Immigration and Border Protection </w:t>
      </w:r>
      <w:r w:rsidR="00C03955" w:rsidRPr="004138E9">
        <w:t>(2016)</w:t>
      </w:r>
      <w:r w:rsidRPr="004138E9">
        <w:t xml:space="preserve"> </w:t>
      </w:r>
      <w:r w:rsidR="00C03955" w:rsidRPr="004138E9">
        <w:t>248 FCR 398 (“</w:t>
      </w:r>
      <w:r w:rsidR="00C03955" w:rsidRPr="004138E9">
        <w:rPr>
          <w:b/>
          <w:i/>
        </w:rPr>
        <w:t>Gill</w:t>
      </w:r>
      <w:r w:rsidR="00C03955" w:rsidRPr="004138E9">
        <w:t>”)</w:t>
      </w:r>
      <w:r w:rsidRPr="004138E9">
        <w:t>.  The FCC distinguished</w:t>
      </w:r>
      <w:r w:rsidR="00C03955" w:rsidRPr="004138E9">
        <w:t xml:space="preserve"> the appellant’s circumstances from</w:t>
      </w:r>
      <w:r w:rsidRPr="004138E9">
        <w:t xml:space="preserve"> those</w:t>
      </w:r>
      <w:r w:rsidR="00B96A6D" w:rsidRPr="004138E9">
        <w:t xml:space="preserve"> at issue in </w:t>
      </w:r>
      <w:r w:rsidR="00B96A6D" w:rsidRPr="004138E9">
        <w:rPr>
          <w:i/>
        </w:rPr>
        <w:t xml:space="preserve">Singh </w:t>
      </w:r>
      <w:r w:rsidR="00B96A6D" w:rsidRPr="004138E9">
        <w:t xml:space="preserve">and </w:t>
      </w:r>
      <w:r w:rsidR="00B96A6D" w:rsidRPr="004138E9">
        <w:rPr>
          <w:i/>
        </w:rPr>
        <w:t>Gill</w:t>
      </w:r>
      <w:r w:rsidR="00B96A6D" w:rsidRPr="004138E9">
        <w:t xml:space="preserve">, </w:t>
      </w:r>
      <w:r w:rsidRPr="004138E9">
        <w:t>reasoning as follows at [14]–[15]:</w:t>
      </w:r>
    </w:p>
    <w:p w14:paraId="155ECCB1" w14:textId="31375AE0" w:rsidR="004D76C1" w:rsidRPr="00E41C1C" w:rsidRDefault="004D76C1" w:rsidP="00E41C1C">
      <w:pPr>
        <w:pStyle w:val="Quote1"/>
      </w:pPr>
      <w:r w:rsidRPr="00E41C1C">
        <w:t>The argument pressed forcefully by counsel for the applicant was that the Tribunal failed to make a specific finding as to the extent of the applicant’s involvement in any fraudulent act</w:t>
      </w:r>
      <w:r w:rsidR="009E1D9D" w:rsidRPr="00E41C1C">
        <w:t xml:space="preserve">.  </w:t>
      </w:r>
      <w:r w:rsidRPr="00E41C1C">
        <w:t>It seems that, at best, this becomes an argument to the effect that whilst the applicant obtained the reference that he says was submitted to the TRA from his employer</w:t>
      </w:r>
      <w:r w:rsidR="008940A3" w:rsidRPr="00E41C1C">
        <w:t>…</w:t>
      </w:r>
      <w:r w:rsidRPr="00E41C1C">
        <w:t>, that in some way, either his agent or somebody else replaced it with a fraudulent document or, for some other unexplained reason, a copy of it ended up on the USB stick of the fraudster.</w:t>
      </w:r>
    </w:p>
    <w:p w14:paraId="70DF4C8F" w14:textId="77777777" w:rsidR="004D76C1" w:rsidRPr="00E41C1C" w:rsidRDefault="004D76C1" w:rsidP="00E41C1C">
      <w:pPr>
        <w:pStyle w:val="Quote1"/>
      </w:pPr>
      <w:r w:rsidRPr="00E41C1C">
        <w:t xml:space="preserve">It appears to me that this is not a case in the style of Singh where the issue was whether or not the agent had ever been instructed to make application for the particular visa category type that the applicant had formally sought from the Department or was aware or indifferent to a fraud by an agent.  This is a case where the applicant was actively pursuing this particular visa and, on the applicant’s case, a genuine work reference was provided.  The real issue in this case was simply whether or not the reference provided was genuine or bogus, which turned upon whether or not to accept the direct evidence of the applicant or rely upon the circumstantial evidence of the document or copy of the document being found on the fraudster’s USB stick.  The case as articulated to the Tribunal did not go higher than that and was not put as a case that the applicant had not sought to obtain this type of visa or, in some other way, was distanced from the fraud involved.  This is certainly not a case where the applicant ever suggested that this was not a visa application that he had ever sought to progress.  It therefore seems to me that these arguments do not provide a proper basis for judicial review, but in reality are only an argument to pursue a merits review on the facts and circumstances of the case.  </w:t>
      </w:r>
    </w:p>
    <w:p w14:paraId="4188F4DF" w14:textId="18C9E6E9" w:rsidR="008A308B" w:rsidRPr="004138E9" w:rsidRDefault="004D76C1" w:rsidP="00882726">
      <w:pPr>
        <w:pStyle w:val="ParaNumbering"/>
      </w:pPr>
      <w:r>
        <w:t xml:space="preserve">The second substantive issue was whether the Tribunal failed to afford the appellant procedural fairness by failing to give the appellant clear particulars of information which the Tribunal considered would be a reason for </w:t>
      </w:r>
      <w:r w:rsidR="00384F6F">
        <w:t xml:space="preserve">a </w:t>
      </w:r>
      <w:r>
        <w:t xml:space="preserve">refusal </w:t>
      </w:r>
      <w:r w:rsidR="00384F6F">
        <w:t xml:space="preserve">of the visa </w:t>
      </w:r>
      <w:r>
        <w:t>and to invite him to comment on it or to respond to it.  The FCC</w:t>
      </w:r>
      <w:r w:rsidR="00A941EC">
        <w:t xml:space="preserve"> rejected that submission reasoning that pursuant to</w:t>
      </w:r>
      <w:r w:rsidR="009E1D9D">
        <w:t xml:space="preserve"> s </w:t>
      </w:r>
      <w:r w:rsidR="00A941EC">
        <w:t>3</w:t>
      </w:r>
      <w:r w:rsidR="00384F6F">
        <w:t>59AA of the Act the Tribunal had</w:t>
      </w:r>
      <w:r w:rsidR="00A941EC">
        <w:t xml:space="preserve"> </w:t>
      </w:r>
      <w:r w:rsidR="00A941EC" w:rsidRPr="00B103AE">
        <w:t xml:space="preserve">invited the appellant to comment at the hearing on the information provided to the Tribunal by the </w:t>
      </w:r>
      <w:r w:rsidR="00DB3CA4" w:rsidRPr="00B103AE">
        <w:t>Minister</w:t>
      </w:r>
      <w:r w:rsidR="00A941EC" w:rsidRPr="00B103AE">
        <w:t xml:space="preserve"> and the TRA and </w:t>
      </w:r>
      <w:r w:rsidR="00384F6F" w:rsidRPr="00B103AE">
        <w:t xml:space="preserve">in its reasons had </w:t>
      </w:r>
      <w:r w:rsidR="00A941EC" w:rsidRPr="00B103AE">
        <w:t>referred to the appellant’s response to this information.  The FCC</w:t>
      </w:r>
      <w:r w:rsidR="00A941EC" w:rsidRPr="004138E9">
        <w:t xml:space="preserve"> found that the Tribunal had provided the appellant with ample notice of the issues on the rev</w:t>
      </w:r>
      <w:r w:rsidR="00384F6F" w:rsidRPr="004138E9">
        <w:t xml:space="preserve">iew. </w:t>
      </w:r>
    </w:p>
    <w:p w14:paraId="3E26F0A5" w14:textId="5E6281FA" w:rsidR="00A941EC" w:rsidRPr="004138E9" w:rsidRDefault="007C599A" w:rsidP="00882726">
      <w:pPr>
        <w:pStyle w:val="ParaNumbering"/>
      </w:pPr>
      <w:r w:rsidRPr="004138E9">
        <w:t>The</w:t>
      </w:r>
      <w:r w:rsidR="00A941EC" w:rsidRPr="004138E9">
        <w:t xml:space="preserve"> appellant has advanced the same two contentions</w:t>
      </w:r>
      <w:r w:rsidRPr="004138E9">
        <w:t xml:space="preserve"> on appeal</w:t>
      </w:r>
      <w:r w:rsidR="00A941EC" w:rsidRPr="004138E9">
        <w:t>.</w:t>
      </w:r>
    </w:p>
    <w:p w14:paraId="76EAB76A" w14:textId="07F0827A" w:rsidR="0090005D" w:rsidRPr="004138E9" w:rsidRDefault="00016593" w:rsidP="00C03955">
      <w:pPr>
        <w:pStyle w:val="ParaNumbering"/>
      </w:pPr>
      <w:r>
        <w:t>Since the FCC decision, the Full Court handed down its decision</w:t>
      </w:r>
      <w:r w:rsidRPr="00016593">
        <w:t xml:space="preserve"> </w:t>
      </w:r>
      <w:r>
        <w:t xml:space="preserve">in </w:t>
      </w:r>
      <w:r>
        <w:rPr>
          <w:i/>
        </w:rPr>
        <w:t xml:space="preserve">Maharjan v Minister for Immigration and Border Protection </w:t>
      </w:r>
      <w:r>
        <w:t xml:space="preserve">[2017] FCAFC </w:t>
      </w:r>
      <w:r w:rsidRPr="004138E9">
        <w:t>213</w:t>
      </w:r>
      <w:r w:rsidR="00C03955" w:rsidRPr="004138E9">
        <w:t xml:space="preserve"> (“</w:t>
      </w:r>
      <w:r w:rsidR="00C03955" w:rsidRPr="004138E9">
        <w:rPr>
          <w:b/>
          <w:i/>
        </w:rPr>
        <w:t>Maharjan</w:t>
      </w:r>
      <w:r w:rsidR="00C03955" w:rsidRPr="004138E9">
        <w:t>”),</w:t>
      </w:r>
      <w:r w:rsidRPr="004138E9">
        <w:t xml:space="preserve"> which considered</w:t>
      </w:r>
      <w:r>
        <w:t xml:space="preserve"> </w:t>
      </w:r>
      <w:r>
        <w:rPr>
          <w:i/>
        </w:rPr>
        <w:t xml:space="preserve">Gill, </w:t>
      </w:r>
      <w:r>
        <w:rPr>
          <w:i/>
        </w:rPr>
        <w:lastRenderedPageBreak/>
        <w:t>Singh</w:t>
      </w:r>
      <w:r w:rsidRPr="00016593">
        <w:t xml:space="preserve"> and</w:t>
      </w:r>
      <w:r>
        <w:rPr>
          <w:i/>
        </w:rPr>
        <w:t xml:space="preserve"> </w:t>
      </w:r>
      <w:r w:rsidRPr="004138E9">
        <w:rPr>
          <w:i/>
        </w:rPr>
        <w:t>Trivedi</w:t>
      </w:r>
      <w:r w:rsidR="00C03955" w:rsidRPr="004138E9">
        <w:t xml:space="preserve">. </w:t>
      </w:r>
      <w:r w:rsidR="00F811BB">
        <w:t xml:space="preserve"> </w:t>
      </w:r>
      <w:r w:rsidR="00C03955" w:rsidRPr="004138E9">
        <w:t xml:space="preserve">The appellant relies on </w:t>
      </w:r>
      <w:r w:rsidR="00C03955" w:rsidRPr="004138E9">
        <w:rPr>
          <w:i/>
        </w:rPr>
        <w:t>Maharjan</w:t>
      </w:r>
      <w:r w:rsidR="00C03955" w:rsidRPr="004138E9">
        <w:t xml:space="preserve"> in support of ground 1, in addition to </w:t>
      </w:r>
      <w:r w:rsidR="00C03955" w:rsidRPr="004138E9">
        <w:rPr>
          <w:i/>
        </w:rPr>
        <w:t>Gill</w:t>
      </w:r>
      <w:r w:rsidR="00C03955" w:rsidRPr="004138E9">
        <w:t xml:space="preserve"> and </w:t>
      </w:r>
      <w:r w:rsidR="00C03955" w:rsidRPr="004138E9">
        <w:rPr>
          <w:i/>
        </w:rPr>
        <w:t>Singh</w:t>
      </w:r>
      <w:r w:rsidR="00C03955" w:rsidRPr="004138E9">
        <w:t>, as authority that</w:t>
      </w:r>
      <w:r w:rsidR="0090005D" w:rsidRPr="004138E9">
        <w:t xml:space="preserve"> the Tribunal was required to address the appellant’s knowledge of and involvement in the fraud</w:t>
      </w:r>
      <w:r w:rsidR="00E74493" w:rsidRPr="004138E9">
        <w:t>.</w:t>
      </w:r>
    </w:p>
    <w:p w14:paraId="258B56AB" w14:textId="2DE59162" w:rsidR="00A941EC" w:rsidRPr="004138E9" w:rsidRDefault="0090005D" w:rsidP="00832027">
      <w:pPr>
        <w:pStyle w:val="ParaNumbering"/>
      </w:pPr>
      <w:r w:rsidRPr="004138E9">
        <w:t xml:space="preserve">In </w:t>
      </w:r>
      <w:r w:rsidR="00016593" w:rsidRPr="004138E9">
        <w:rPr>
          <w:i/>
        </w:rPr>
        <w:t>Mahar</w:t>
      </w:r>
      <w:r w:rsidR="00A941EC" w:rsidRPr="004138E9">
        <w:rPr>
          <w:i/>
        </w:rPr>
        <w:t xml:space="preserve">jan </w:t>
      </w:r>
      <w:r w:rsidRPr="004138E9">
        <w:t>the Full Court</w:t>
      </w:r>
      <w:r>
        <w:t xml:space="preserve"> affirmed the correctness of </w:t>
      </w:r>
      <w:bookmarkStart w:id="21" w:name="_Ref490661258"/>
      <w:bookmarkEnd w:id="21"/>
      <w:r w:rsidRPr="0090005D">
        <w:rPr>
          <w:i/>
          <w:iCs/>
        </w:rPr>
        <w:t>Trivedi</w:t>
      </w:r>
      <w:r>
        <w:rPr>
          <w:i/>
          <w:iCs/>
        </w:rPr>
        <w:t xml:space="preserve"> </w:t>
      </w:r>
      <w:r>
        <w:rPr>
          <w:iCs/>
        </w:rPr>
        <w:t xml:space="preserve">that </w:t>
      </w:r>
      <w:r w:rsidRPr="0090005D">
        <w:t>PIC 4020</w:t>
      </w:r>
      <w:r>
        <w:t>,</w:t>
      </w:r>
      <w:r w:rsidRPr="0090005D">
        <w:t xml:space="preserve"> </w:t>
      </w:r>
      <w:r>
        <w:t xml:space="preserve">on its proper construction, </w:t>
      </w:r>
      <w:r w:rsidRPr="0090005D">
        <w:t xml:space="preserve">does not require the Minister </w:t>
      </w:r>
      <w:r>
        <w:t xml:space="preserve">(or Tribunal on review) </w:t>
      </w:r>
      <w:r w:rsidRPr="0090005D">
        <w:t xml:space="preserve">to form any positive state of satisfaction about the knowledge of a visa </w:t>
      </w:r>
      <w:r w:rsidRPr="004138E9">
        <w:t>applicant</w:t>
      </w:r>
      <w:r w:rsidR="00B93EFD" w:rsidRPr="004138E9">
        <w:t xml:space="preserve"> as to the fraudulent nature of information provided in a visa application</w:t>
      </w:r>
      <w:r w:rsidR="009E1D9D" w:rsidRPr="004138E9">
        <w:t xml:space="preserve">.  </w:t>
      </w:r>
      <w:r w:rsidRPr="004138E9">
        <w:rPr>
          <w:i/>
        </w:rPr>
        <w:t>Gill, Singh</w:t>
      </w:r>
      <w:r w:rsidRPr="004138E9">
        <w:t xml:space="preserve"> and</w:t>
      </w:r>
      <w:r w:rsidRPr="004138E9">
        <w:rPr>
          <w:i/>
        </w:rPr>
        <w:t xml:space="preserve"> Maharjan </w:t>
      </w:r>
      <w:r w:rsidRPr="004138E9">
        <w:t xml:space="preserve">all addressed </w:t>
      </w:r>
      <w:r w:rsidR="00116CB5" w:rsidRPr="004138E9">
        <w:t xml:space="preserve">a </w:t>
      </w:r>
      <w:r w:rsidRPr="004138E9">
        <w:t xml:space="preserve">different issue, namely </w:t>
      </w:r>
      <w:r w:rsidR="00E74493" w:rsidRPr="004138E9">
        <w:t>the effect of an alleged fraud committed on the visa applicant during the visa application process</w:t>
      </w:r>
      <w:r w:rsidR="009E1D9D" w:rsidRPr="004138E9">
        <w:t xml:space="preserve">.  </w:t>
      </w:r>
      <w:r w:rsidR="00E74493" w:rsidRPr="004138E9">
        <w:t>Those cases are authority</w:t>
      </w:r>
      <w:r w:rsidR="00B93EFD" w:rsidRPr="004138E9">
        <w:t xml:space="preserve"> for the proposition</w:t>
      </w:r>
      <w:r w:rsidR="00E74493" w:rsidRPr="004138E9">
        <w:t xml:space="preserve"> that where an applicant has claimed that there has been fraud by a third party on the visa applicant </w:t>
      </w:r>
      <w:r w:rsidR="00832027" w:rsidRPr="004138E9">
        <w:t>in relation to the visa application process</w:t>
      </w:r>
      <w:r w:rsidR="00B93EFD" w:rsidRPr="004138E9">
        <w:t>,</w:t>
      </w:r>
      <w:r w:rsidR="00832027" w:rsidRPr="004138E9">
        <w:t xml:space="preserve"> thereby putting into issue the </w:t>
      </w:r>
      <w:r w:rsidR="00E74493" w:rsidRPr="004138E9">
        <w:t xml:space="preserve">validity of the </w:t>
      </w:r>
      <w:r w:rsidR="00832027" w:rsidRPr="004138E9">
        <w:t>visa application, the question of whether the visa application is valid will involve consideration of the appellant’s knowledge of and involvement in the fraud</w:t>
      </w:r>
      <w:r w:rsidR="009E1D9D" w:rsidRPr="004138E9">
        <w:t xml:space="preserve">.  </w:t>
      </w:r>
      <w:r w:rsidR="00832027" w:rsidRPr="004138E9">
        <w:t>That is not this case</w:t>
      </w:r>
      <w:r w:rsidR="009E1D9D" w:rsidRPr="004138E9">
        <w:t xml:space="preserve">.  </w:t>
      </w:r>
      <w:r w:rsidR="00832027" w:rsidRPr="004138E9">
        <w:t>The appellant had not claimed before the Tribunal that he was a victim of a fraud</w:t>
      </w:r>
      <w:r w:rsidR="009E1D9D" w:rsidRPr="004138E9">
        <w:t xml:space="preserve">.  </w:t>
      </w:r>
      <w:r w:rsidR="00832027" w:rsidRPr="004138E9">
        <w:t xml:space="preserve">To the contrary, the appellant’s case was that a genuine work reference was provided to the TRA and </w:t>
      </w:r>
      <w:r w:rsidR="003149E5" w:rsidRPr="004138E9">
        <w:t xml:space="preserve">so </w:t>
      </w:r>
      <w:r w:rsidR="00832027" w:rsidRPr="004138E9">
        <w:t xml:space="preserve">the issue as to whether </w:t>
      </w:r>
      <w:r w:rsidR="0006719F" w:rsidRPr="004138E9">
        <w:t xml:space="preserve">the visa application was invalidated by a fraud committed on the appellant did not arise. </w:t>
      </w:r>
      <w:r w:rsidR="00832027" w:rsidRPr="004138E9">
        <w:t xml:space="preserve"> </w:t>
      </w:r>
      <w:r w:rsidR="00C03955" w:rsidRPr="004138E9">
        <w:t>For the reasons given, t</w:t>
      </w:r>
      <w:r w:rsidR="0006719F" w:rsidRPr="004138E9">
        <w:t>he FCC was correct</w:t>
      </w:r>
      <w:r w:rsidR="00C03955" w:rsidRPr="004138E9">
        <w:t xml:space="preserve"> to</w:t>
      </w:r>
      <w:r w:rsidR="0006719F" w:rsidRPr="004138E9">
        <w:t xml:space="preserve"> hold that the Tribunal did not fall into legal error by not determining whether the appellant was an innocent victim of the fraud. </w:t>
      </w:r>
    </w:p>
    <w:p w14:paraId="6D88AD05" w14:textId="77777777" w:rsidR="0006719F" w:rsidRDefault="0006719F" w:rsidP="004937DC">
      <w:pPr>
        <w:pStyle w:val="ParaNumbering"/>
      </w:pPr>
      <w:r>
        <w:t>Counsel for the appellant advised that the claim of denial of procedural fairness was based on the proposition that the Tribunal was required to provide the appellant with the opportunity to satisfy the Tribunal that he was not involved in the fraud</w:t>
      </w:r>
      <w:r w:rsidR="009E1D9D">
        <w:t xml:space="preserve">.  </w:t>
      </w:r>
      <w:r>
        <w:t xml:space="preserve">As </w:t>
      </w:r>
      <w:r w:rsidR="004937DC">
        <w:t>that contention is rejected, the claim of denial of procedural fairness also fails.</w:t>
      </w:r>
    </w:p>
    <w:p w14:paraId="2F627CEC" w14:textId="43CDFDB1" w:rsidR="004937DC" w:rsidRDefault="004937DC" w:rsidP="004937DC">
      <w:pPr>
        <w:pStyle w:val="ParaNumbering"/>
      </w:pPr>
      <w:r>
        <w:t xml:space="preserve">Accordingly the appeal should be dismissed. </w:t>
      </w:r>
    </w:p>
    <w:p w14:paraId="4528F454" w14:textId="77777777" w:rsidR="00505B8C" w:rsidRDefault="00505B8C" w:rsidP="00815065">
      <w:pPr>
        <w:pStyle w:val="BodyText"/>
      </w:pPr>
      <w:bookmarkStart w:id="22" w:name="Certification"/>
    </w:p>
    <w:tbl>
      <w:tblPr>
        <w:tblW w:w="0" w:type="auto"/>
        <w:tblLook w:val="04A0" w:firstRow="1" w:lastRow="0" w:firstColumn="1" w:lastColumn="0" w:noHBand="0" w:noVBand="1"/>
      </w:tblPr>
      <w:tblGrid>
        <w:gridCol w:w="3794"/>
      </w:tblGrid>
      <w:tr w:rsidR="00505B8C" w:rsidRPr="00505B8C" w14:paraId="4F5AB7B2" w14:textId="77777777">
        <w:tc>
          <w:tcPr>
            <w:tcW w:w="3794" w:type="dxa"/>
            <w:shd w:val="clear" w:color="auto" w:fill="auto"/>
          </w:tcPr>
          <w:p w14:paraId="4F3214F4" w14:textId="251189BA" w:rsidR="00505B8C" w:rsidRPr="00505B8C" w:rsidRDefault="00505B8C" w:rsidP="00505B8C">
            <w:pPr>
              <w:pStyle w:val="Normal1linespace"/>
            </w:pPr>
            <w:r w:rsidRPr="00505B8C">
              <w:t xml:space="preserve">I certify that the preceding </w:t>
            </w:r>
            <w:bookmarkStart w:id="23" w:name="NumberWord"/>
            <w:r>
              <w:t>twelve</w:t>
            </w:r>
            <w:bookmarkEnd w:id="23"/>
            <w:r w:rsidRPr="00505B8C">
              <w:t xml:space="preserve"> (</w:t>
            </w:r>
            <w:bookmarkStart w:id="24" w:name="NumberNumeral"/>
            <w:r>
              <w:t>12</w:t>
            </w:r>
            <w:bookmarkEnd w:id="24"/>
            <w:r w:rsidRPr="00505B8C">
              <w:t xml:space="preserve">) numbered </w:t>
            </w:r>
            <w:bookmarkStart w:id="25" w:name="CertPara"/>
            <w:r>
              <w:t>paragraphs are</w:t>
            </w:r>
            <w:bookmarkEnd w:id="25"/>
            <w:r w:rsidRPr="00505B8C">
              <w:t xml:space="preserve"> a true copy of the Reasons for Judgment herein of the Honourable </w:t>
            </w:r>
            <w:bookmarkStart w:id="26" w:name="Justice"/>
            <w:r>
              <w:t>Justice Davies</w:t>
            </w:r>
            <w:bookmarkEnd w:id="26"/>
            <w:r w:rsidRPr="00505B8C">
              <w:t>.</w:t>
            </w:r>
          </w:p>
        </w:tc>
      </w:tr>
    </w:tbl>
    <w:p w14:paraId="644E44F1" w14:textId="1A9B7BDC" w:rsidR="00505B8C" w:rsidRDefault="00505B8C" w:rsidP="00815065">
      <w:pPr>
        <w:pStyle w:val="BodyText"/>
      </w:pPr>
    </w:p>
    <w:p w14:paraId="082DF65F" w14:textId="417D9975" w:rsidR="00505B8C" w:rsidRDefault="00505B8C" w:rsidP="00815065">
      <w:pPr>
        <w:pStyle w:val="BodyText"/>
      </w:pPr>
      <w:r>
        <w:t>Associate:</w:t>
      </w:r>
      <w:r w:rsidR="00B103AE">
        <w:tab/>
      </w:r>
      <w:bookmarkStart w:id="27" w:name="_GoBack"/>
      <w:bookmarkEnd w:id="27"/>
    </w:p>
    <w:p w14:paraId="508A4AA3" w14:textId="759EAAAF" w:rsidR="00505B8C" w:rsidRDefault="00505B8C" w:rsidP="009075A0">
      <w:pPr>
        <w:pStyle w:val="BodyText"/>
        <w:tabs>
          <w:tab w:val="left" w:pos="1134"/>
        </w:tabs>
      </w:pPr>
      <w:r>
        <w:t>Dated:</w:t>
      </w:r>
      <w:r>
        <w:tab/>
      </w:r>
      <w:bookmarkStart w:id="28" w:name="CertifyDated"/>
      <w:r w:rsidR="00D0433F">
        <w:t xml:space="preserve">13 September </w:t>
      </w:r>
      <w:r>
        <w:t>2018</w:t>
      </w:r>
      <w:bookmarkEnd w:id="28"/>
      <w:bookmarkEnd w:id="22"/>
    </w:p>
    <w:sectPr w:rsidR="00505B8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2050" w14:textId="77777777" w:rsidR="00882726" w:rsidRDefault="00882726">
      <w:pPr>
        <w:spacing w:line="20" w:lineRule="exact"/>
      </w:pPr>
    </w:p>
    <w:p w14:paraId="6EEF54F5" w14:textId="77777777" w:rsidR="00882726" w:rsidRDefault="00882726"/>
    <w:p w14:paraId="6E9B282C" w14:textId="77777777" w:rsidR="00882726" w:rsidRDefault="00882726"/>
  </w:endnote>
  <w:endnote w:type="continuationSeparator" w:id="0">
    <w:p w14:paraId="141CFA35" w14:textId="77777777" w:rsidR="00882726" w:rsidRDefault="00882726">
      <w:r>
        <w:t xml:space="preserve"> </w:t>
      </w:r>
    </w:p>
    <w:p w14:paraId="36B781E5" w14:textId="77777777" w:rsidR="00882726" w:rsidRDefault="00882726"/>
    <w:p w14:paraId="38FF0256" w14:textId="77777777" w:rsidR="00882726" w:rsidRDefault="00882726"/>
  </w:endnote>
  <w:endnote w:type="continuationNotice" w:id="1">
    <w:p w14:paraId="48105377" w14:textId="77777777" w:rsidR="00882726" w:rsidRDefault="00882726">
      <w:r>
        <w:t xml:space="preserve"> </w:t>
      </w:r>
    </w:p>
    <w:p w14:paraId="355ED459" w14:textId="77777777" w:rsidR="00882726" w:rsidRDefault="00882726"/>
    <w:p w14:paraId="12052530" w14:textId="77777777" w:rsidR="00882726" w:rsidRDefault="0088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4549" w14:textId="562AA044" w:rsidR="00395B24" w:rsidRDefault="009551A9">
    <w:pPr>
      <w:pStyle w:val="Footer"/>
      <w:jc w:val="center"/>
      <w:rPr>
        <w:sz w:val="28"/>
      </w:rPr>
    </w:pP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2F3E" w14:textId="7E4424B0"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1E98" w14:textId="30F139FF"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08C52" w14:textId="77777777" w:rsidR="00882726" w:rsidRDefault="00882726"/>
    <w:p w14:paraId="27640AA5" w14:textId="77777777" w:rsidR="00882726" w:rsidRDefault="00882726"/>
    <w:p w14:paraId="43F92226" w14:textId="77777777" w:rsidR="00882726" w:rsidRDefault="00882726"/>
  </w:footnote>
  <w:footnote w:type="continuationSeparator" w:id="0">
    <w:p w14:paraId="5D5C0F8D" w14:textId="77777777" w:rsidR="00882726" w:rsidRDefault="00882726">
      <w:r>
        <w:continuationSeparator/>
      </w:r>
    </w:p>
    <w:p w14:paraId="2FCD7362" w14:textId="77777777" w:rsidR="00882726" w:rsidRDefault="00882726"/>
    <w:p w14:paraId="77D0444D" w14:textId="77777777" w:rsidR="00882726" w:rsidRDefault="008827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58D1"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1CD"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E02E"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AA6A" w14:textId="6C03A62A" w:rsidR="00395B24" w:rsidRDefault="002C7385">
    <w:pPr>
      <w:tabs>
        <w:tab w:val="center" w:pos="4512"/>
      </w:tabs>
      <w:suppressAutoHyphens/>
    </w:pPr>
    <w:r>
      <w:tab/>
      <w:t xml:space="preserve">- </w:t>
    </w:r>
    <w:r>
      <w:fldChar w:fldCharType="begin"/>
    </w:r>
    <w:r>
      <w:instrText>page \* arabic</w:instrText>
    </w:r>
    <w:r>
      <w:fldChar w:fldCharType="separate"/>
    </w:r>
    <w:r w:rsidR="004B3B05">
      <w:rPr>
        <w:noProof/>
      </w:rP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B73A"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88E4668"/>
    <w:multiLevelType w:val="multilevel"/>
    <w:tmpl w:val="354CFAA6"/>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418"/>
        </w:tabs>
        <w:ind w:left="1418" w:hanging="567"/>
      </w:pPr>
      <w:rPr>
        <w:rFonts w:cs="Times New Roman" w:hint="default"/>
      </w:rPr>
    </w:lvl>
    <w:lvl w:ilvl="2">
      <w:start w:val="1"/>
      <w:numFmt w:val="lowerRoman"/>
      <w:lvlText w:val="%3)"/>
      <w:lvlJc w:val="left"/>
      <w:pPr>
        <w:tabs>
          <w:tab w:val="num" w:pos="2138"/>
        </w:tabs>
        <w:ind w:left="1985" w:hanging="567"/>
      </w:pPr>
      <w:rPr>
        <w:rFonts w:cs="Times New Roman" w:hint="default"/>
      </w:rPr>
    </w:lvl>
    <w:lvl w:ilvl="3">
      <w:start w:val="1"/>
      <w:numFmt w:val="decimal"/>
      <w:isLgl/>
      <w:lvlText w:val="(%4)"/>
      <w:lvlJc w:val="left"/>
      <w:pPr>
        <w:tabs>
          <w:tab w:val="num" w:pos="1418"/>
        </w:tabs>
        <w:ind w:left="1418" w:hanging="567"/>
      </w:pPr>
      <w:rPr>
        <w:rFonts w:cs="Times New Roman" w:hint="default"/>
      </w:rPr>
    </w:lvl>
    <w:lvl w:ilvl="4">
      <w:start w:val="1"/>
      <w:numFmt w:val="lowerLetter"/>
      <w:lvlText w:val="(%5)"/>
      <w:lvlJc w:val="left"/>
      <w:pPr>
        <w:tabs>
          <w:tab w:val="num" w:pos="1985"/>
        </w:tabs>
        <w:ind w:left="198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KULDEEP SINGH"/>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886 of 2017"/>
    <w:docVar w:name="Initiators" w:val="(and another named in the Schedule)"/>
    <w:docVar w:name="Judgdate" w:val="27 August 2018"/>
    <w:docVar w:name="Judge" w:val="DAVIES"/>
    <w:docVar w:name="Justices" w:val="Justice"/>
    <w:docVar w:name="lstEntryList" w:val="-1"/>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immigration and border protection|administrative appeals tribunal"/>
    <w:docVar w:name="ResState" w:val="Victoria"/>
    <w:docVar w:name="SubArea" w:val="[none]"/>
  </w:docVars>
  <w:rsids>
    <w:rsidRoot w:val="00882726"/>
    <w:rsid w:val="0001469E"/>
    <w:rsid w:val="00015993"/>
    <w:rsid w:val="00016593"/>
    <w:rsid w:val="00022289"/>
    <w:rsid w:val="00032F9F"/>
    <w:rsid w:val="00033660"/>
    <w:rsid w:val="00041C07"/>
    <w:rsid w:val="00045BB7"/>
    <w:rsid w:val="00055719"/>
    <w:rsid w:val="0005641B"/>
    <w:rsid w:val="0006719F"/>
    <w:rsid w:val="00081497"/>
    <w:rsid w:val="00090B7E"/>
    <w:rsid w:val="000A2E76"/>
    <w:rsid w:val="000A4807"/>
    <w:rsid w:val="000A4BE4"/>
    <w:rsid w:val="000B0362"/>
    <w:rsid w:val="000C023E"/>
    <w:rsid w:val="000C5195"/>
    <w:rsid w:val="000C62EF"/>
    <w:rsid w:val="000D2137"/>
    <w:rsid w:val="000D3FD2"/>
    <w:rsid w:val="000E3FC8"/>
    <w:rsid w:val="000E7BAE"/>
    <w:rsid w:val="000F133D"/>
    <w:rsid w:val="0010536B"/>
    <w:rsid w:val="0011145C"/>
    <w:rsid w:val="001128BD"/>
    <w:rsid w:val="0011419D"/>
    <w:rsid w:val="00116CB5"/>
    <w:rsid w:val="00132054"/>
    <w:rsid w:val="00163364"/>
    <w:rsid w:val="00165370"/>
    <w:rsid w:val="001727A4"/>
    <w:rsid w:val="0017376C"/>
    <w:rsid w:val="001738AB"/>
    <w:rsid w:val="001765E0"/>
    <w:rsid w:val="00177759"/>
    <w:rsid w:val="0018011E"/>
    <w:rsid w:val="00185E6B"/>
    <w:rsid w:val="00187BBC"/>
    <w:rsid w:val="001932F3"/>
    <w:rsid w:val="0019632E"/>
    <w:rsid w:val="001A4309"/>
    <w:rsid w:val="001B1053"/>
    <w:rsid w:val="001B14AC"/>
    <w:rsid w:val="001B2F58"/>
    <w:rsid w:val="001B7940"/>
    <w:rsid w:val="001C37CA"/>
    <w:rsid w:val="001D4303"/>
    <w:rsid w:val="001D6746"/>
    <w:rsid w:val="001E0D50"/>
    <w:rsid w:val="001E3B49"/>
    <w:rsid w:val="001E7388"/>
    <w:rsid w:val="001E7D70"/>
    <w:rsid w:val="001F13DD"/>
    <w:rsid w:val="001F2DBC"/>
    <w:rsid w:val="001F73E8"/>
    <w:rsid w:val="0020262C"/>
    <w:rsid w:val="00224537"/>
    <w:rsid w:val="00235956"/>
    <w:rsid w:val="00242005"/>
    <w:rsid w:val="00247C9A"/>
    <w:rsid w:val="0025160C"/>
    <w:rsid w:val="002535D0"/>
    <w:rsid w:val="002539B3"/>
    <w:rsid w:val="00257C3E"/>
    <w:rsid w:val="002602C2"/>
    <w:rsid w:val="00264D9A"/>
    <w:rsid w:val="002666C9"/>
    <w:rsid w:val="00270136"/>
    <w:rsid w:val="00270B3F"/>
    <w:rsid w:val="00274F5B"/>
    <w:rsid w:val="002778F1"/>
    <w:rsid w:val="00280836"/>
    <w:rsid w:val="00282E1A"/>
    <w:rsid w:val="0029113B"/>
    <w:rsid w:val="002934C0"/>
    <w:rsid w:val="002972A9"/>
    <w:rsid w:val="002A1B50"/>
    <w:rsid w:val="002B0E91"/>
    <w:rsid w:val="002B30AE"/>
    <w:rsid w:val="002B6779"/>
    <w:rsid w:val="002B71C0"/>
    <w:rsid w:val="002B7A34"/>
    <w:rsid w:val="002C31AD"/>
    <w:rsid w:val="002C7385"/>
    <w:rsid w:val="002D2DBB"/>
    <w:rsid w:val="002D54A6"/>
    <w:rsid w:val="002E61CA"/>
    <w:rsid w:val="002E6A7A"/>
    <w:rsid w:val="002F1E49"/>
    <w:rsid w:val="002F3A10"/>
    <w:rsid w:val="002F4E9C"/>
    <w:rsid w:val="002F6AC2"/>
    <w:rsid w:val="003119CC"/>
    <w:rsid w:val="0031256C"/>
    <w:rsid w:val="003149E5"/>
    <w:rsid w:val="00314D6C"/>
    <w:rsid w:val="00316D2A"/>
    <w:rsid w:val="00322A7C"/>
    <w:rsid w:val="003402D3"/>
    <w:rsid w:val="00343ABC"/>
    <w:rsid w:val="003463FE"/>
    <w:rsid w:val="003554B3"/>
    <w:rsid w:val="00356632"/>
    <w:rsid w:val="003845A9"/>
    <w:rsid w:val="00384F6F"/>
    <w:rsid w:val="00390883"/>
    <w:rsid w:val="003919DB"/>
    <w:rsid w:val="003922F8"/>
    <w:rsid w:val="00395B24"/>
    <w:rsid w:val="003A2D38"/>
    <w:rsid w:val="003A7ECC"/>
    <w:rsid w:val="003B2C72"/>
    <w:rsid w:val="003C1333"/>
    <w:rsid w:val="003C20FF"/>
    <w:rsid w:val="003D2650"/>
    <w:rsid w:val="003D560C"/>
    <w:rsid w:val="003E5874"/>
    <w:rsid w:val="003F193E"/>
    <w:rsid w:val="003F34F1"/>
    <w:rsid w:val="003F469B"/>
    <w:rsid w:val="00407FD2"/>
    <w:rsid w:val="00411AE8"/>
    <w:rsid w:val="004138E9"/>
    <w:rsid w:val="00413B74"/>
    <w:rsid w:val="00435C5F"/>
    <w:rsid w:val="00441E98"/>
    <w:rsid w:val="004532F7"/>
    <w:rsid w:val="00454D88"/>
    <w:rsid w:val="00472027"/>
    <w:rsid w:val="004804CF"/>
    <w:rsid w:val="00482DDC"/>
    <w:rsid w:val="00484962"/>
    <w:rsid w:val="00484F6D"/>
    <w:rsid w:val="0049338A"/>
    <w:rsid w:val="004937DC"/>
    <w:rsid w:val="0049417F"/>
    <w:rsid w:val="004A4D1B"/>
    <w:rsid w:val="004B3B05"/>
    <w:rsid w:val="004B3EFA"/>
    <w:rsid w:val="004C2A87"/>
    <w:rsid w:val="004C4D7B"/>
    <w:rsid w:val="004C4ED3"/>
    <w:rsid w:val="004D10DE"/>
    <w:rsid w:val="004D2EA5"/>
    <w:rsid w:val="004D32A6"/>
    <w:rsid w:val="004D53E5"/>
    <w:rsid w:val="004D76C1"/>
    <w:rsid w:val="004F0F71"/>
    <w:rsid w:val="00501A12"/>
    <w:rsid w:val="00505B8C"/>
    <w:rsid w:val="0051346D"/>
    <w:rsid w:val="00513EAE"/>
    <w:rsid w:val="00516806"/>
    <w:rsid w:val="00525A49"/>
    <w:rsid w:val="00535613"/>
    <w:rsid w:val="005359EB"/>
    <w:rsid w:val="0054254A"/>
    <w:rsid w:val="005466B5"/>
    <w:rsid w:val="00554314"/>
    <w:rsid w:val="005629B3"/>
    <w:rsid w:val="00573AC4"/>
    <w:rsid w:val="005801FC"/>
    <w:rsid w:val="005812BB"/>
    <w:rsid w:val="00584807"/>
    <w:rsid w:val="00591A64"/>
    <w:rsid w:val="00595016"/>
    <w:rsid w:val="00596607"/>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40B3"/>
    <w:rsid w:val="00635B36"/>
    <w:rsid w:val="00636871"/>
    <w:rsid w:val="00640F4E"/>
    <w:rsid w:val="00643DE0"/>
    <w:rsid w:val="00644E85"/>
    <w:rsid w:val="0066063F"/>
    <w:rsid w:val="00662BB0"/>
    <w:rsid w:val="00663878"/>
    <w:rsid w:val="00667773"/>
    <w:rsid w:val="00670695"/>
    <w:rsid w:val="00670743"/>
    <w:rsid w:val="00690EE2"/>
    <w:rsid w:val="006A0E20"/>
    <w:rsid w:val="006A5695"/>
    <w:rsid w:val="006B0157"/>
    <w:rsid w:val="006B3904"/>
    <w:rsid w:val="006B5B7D"/>
    <w:rsid w:val="006C4F6E"/>
    <w:rsid w:val="006C622F"/>
    <w:rsid w:val="006D0ECF"/>
    <w:rsid w:val="006D4C92"/>
    <w:rsid w:val="006D4EB6"/>
    <w:rsid w:val="006E35BF"/>
    <w:rsid w:val="006E7850"/>
    <w:rsid w:val="007028D9"/>
    <w:rsid w:val="00707218"/>
    <w:rsid w:val="00712B1D"/>
    <w:rsid w:val="007325D9"/>
    <w:rsid w:val="007360CA"/>
    <w:rsid w:val="00760EC0"/>
    <w:rsid w:val="0078003A"/>
    <w:rsid w:val="00780771"/>
    <w:rsid w:val="007910BA"/>
    <w:rsid w:val="007929CF"/>
    <w:rsid w:val="00792A59"/>
    <w:rsid w:val="007A6F28"/>
    <w:rsid w:val="007B03C6"/>
    <w:rsid w:val="007B0DB1"/>
    <w:rsid w:val="007B4B68"/>
    <w:rsid w:val="007C047F"/>
    <w:rsid w:val="007C3BF6"/>
    <w:rsid w:val="007C599A"/>
    <w:rsid w:val="007D0FD2"/>
    <w:rsid w:val="007D2EF8"/>
    <w:rsid w:val="007D561F"/>
    <w:rsid w:val="007D7FD2"/>
    <w:rsid w:val="007E13D9"/>
    <w:rsid w:val="007E41BE"/>
    <w:rsid w:val="007E450A"/>
    <w:rsid w:val="007E4DB6"/>
    <w:rsid w:val="007E7CD4"/>
    <w:rsid w:val="007F12AC"/>
    <w:rsid w:val="00801800"/>
    <w:rsid w:val="00801B5B"/>
    <w:rsid w:val="00805657"/>
    <w:rsid w:val="008276B4"/>
    <w:rsid w:val="00831927"/>
    <w:rsid w:val="00832027"/>
    <w:rsid w:val="00841BD3"/>
    <w:rsid w:val="0084273D"/>
    <w:rsid w:val="00844E3F"/>
    <w:rsid w:val="00845A83"/>
    <w:rsid w:val="008712BB"/>
    <w:rsid w:val="00882726"/>
    <w:rsid w:val="008940A3"/>
    <w:rsid w:val="008A2484"/>
    <w:rsid w:val="008A308B"/>
    <w:rsid w:val="008C26D9"/>
    <w:rsid w:val="008C6D50"/>
    <w:rsid w:val="008C7167"/>
    <w:rsid w:val="008C7503"/>
    <w:rsid w:val="008D1617"/>
    <w:rsid w:val="008E6315"/>
    <w:rsid w:val="008F11E0"/>
    <w:rsid w:val="008F78BC"/>
    <w:rsid w:val="008F7B63"/>
    <w:rsid w:val="008F7D6A"/>
    <w:rsid w:val="0090005D"/>
    <w:rsid w:val="009054CB"/>
    <w:rsid w:val="009075A0"/>
    <w:rsid w:val="009079C5"/>
    <w:rsid w:val="00912F94"/>
    <w:rsid w:val="00917CBF"/>
    <w:rsid w:val="0092082E"/>
    <w:rsid w:val="0092590B"/>
    <w:rsid w:val="00925E60"/>
    <w:rsid w:val="009264B3"/>
    <w:rsid w:val="009365E0"/>
    <w:rsid w:val="00940521"/>
    <w:rsid w:val="00942BA2"/>
    <w:rsid w:val="00944C86"/>
    <w:rsid w:val="009551A9"/>
    <w:rsid w:val="00957DE8"/>
    <w:rsid w:val="00960ECB"/>
    <w:rsid w:val="009615D6"/>
    <w:rsid w:val="00967855"/>
    <w:rsid w:val="00980736"/>
    <w:rsid w:val="00981A39"/>
    <w:rsid w:val="00987097"/>
    <w:rsid w:val="009A3A9C"/>
    <w:rsid w:val="009A715A"/>
    <w:rsid w:val="009B046C"/>
    <w:rsid w:val="009B13FA"/>
    <w:rsid w:val="009B1E2D"/>
    <w:rsid w:val="009C59FB"/>
    <w:rsid w:val="009C6F3B"/>
    <w:rsid w:val="009D1467"/>
    <w:rsid w:val="009D30B1"/>
    <w:rsid w:val="009E1D9D"/>
    <w:rsid w:val="009E4FA6"/>
    <w:rsid w:val="009E7D93"/>
    <w:rsid w:val="009F5C33"/>
    <w:rsid w:val="00A03EAC"/>
    <w:rsid w:val="00A04129"/>
    <w:rsid w:val="00A11CA6"/>
    <w:rsid w:val="00A20C49"/>
    <w:rsid w:val="00A269CA"/>
    <w:rsid w:val="00A336EE"/>
    <w:rsid w:val="00A359AC"/>
    <w:rsid w:val="00A41413"/>
    <w:rsid w:val="00A45FB1"/>
    <w:rsid w:val="00A46CCC"/>
    <w:rsid w:val="00A51CFE"/>
    <w:rsid w:val="00A76C13"/>
    <w:rsid w:val="00A834EC"/>
    <w:rsid w:val="00A92E79"/>
    <w:rsid w:val="00A941EC"/>
    <w:rsid w:val="00A950B6"/>
    <w:rsid w:val="00AB41C1"/>
    <w:rsid w:val="00AC2A10"/>
    <w:rsid w:val="00AC4959"/>
    <w:rsid w:val="00AD12A8"/>
    <w:rsid w:val="00AE023F"/>
    <w:rsid w:val="00AF3577"/>
    <w:rsid w:val="00AF35F9"/>
    <w:rsid w:val="00B05C7D"/>
    <w:rsid w:val="00B103AE"/>
    <w:rsid w:val="00B346C3"/>
    <w:rsid w:val="00B4471C"/>
    <w:rsid w:val="00B451A6"/>
    <w:rsid w:val="00B50C63"/>
    <w:rsid w:val="00B636E5"/>
    <w:rsid w:val="00B722DE"/>
    <w:rsid w:val="00B76C44"/>
    <w:rsid w:val="00B83F87"/>
    <w:rsid w:val="00B93EFD"/>
    <w:rsid w:val="00B96A6D"/>
    <w:rsid w:val="00BA2EFA"/>
    <w:rsid w:val="00BA3DBC"/>
    <w:rsid w:val="00BB2DA2"/>
    <w:rsid w:val="00BB56DC"/>
    <w:rsid w:val="00BE183D"/>
    <w:rsid w:val="00BE54E3"/>
    <w:rsid w:val="00BF5D7A"/>
    <w:rsid w:val="00C02D33"/>
    <w:rsid w:val="00C03955"/>
    <w:rsid w:val="00C1232C"/>
    <w:rsid w:val="00C227BD"/>
    <w:rsid w:val="00C36442"/>
    <w:rsid w:val="00C400CE"/>
    <w:rsid w:val="00C410FD"/>
    <w:rsid w:val="00C539FB"/>
    <w:rsid w:val="00C54295"/>
    <w:rsid w:val="00C972C3"/>
    <w:rsid w:val="00CA246D"/>
    <w:rsid w:val="00CA50D9"/>
    <w:rsid w:val="00CB5636"/>
    <w:rsid w:val="00CF1910"/>
    <w:rsid w:val="00D0433F"/>
    <w:rsid w:val="00D10F21"/>
    <w:rsid w:val="00D17A09"/>
    <w:rsid w:val="00D24806"/>
    <w:rsid w:val="00D34040"/>
    <w:rsid w:val="00D34E69"/>
    <w:rsid w:val="00D375EE"/>
    <w:rsid w:val="00D617C4"/>
    <w:rsid w:val="00D62699"/>
    <w:rsid w:val="00D82620"/>
    <w:rsid w:val="00D9725F"/>
    <w:rsid w:val="00DA01B1"/>
    <w:rsid w:val="00DA11A2"/>
    <w:rsid w:val="00DA14ED"/>
    <w:rsid w:val="00DB2EF1"/>
    <w:rsid w:val="00DB3CA4"/>
    <w:rsid w:val="00DB3DE1"/>
    <w:rsid w:val="00DB5DA0"/>
    <w:rsid w:val="00DB716C"/>
    <w:rsid w:val="00DC2D43"/>
    <w:rsid w:val="00DC5C85"/>
    <w:rsid w:val="00DD4236"/>
    <w:rsid w:val="00DD44F1"/>
    <w:rsid w:val="00DE3067"/>
    <w:rsid w:val="00E027BC"/>
    <w:rsid w:val="00E14EA5"/>
    <w:rsid w:val="00E21133"/>
    <w:rsid w:val="00E21D42"/>
    <w:rsid w:val="00E2327E"/>
    <w:rsid w:val="00E266EF"/>
    <w:rsid w:val="00E27066"/>
    <w:rsid w:val="00E41C1C"/>
    <w:rsid w:val="00E47428"/>
    <w:rsid w:val="00E66B9F"/>
    <w:rsid w:val="00E710D6"/>
    <w:rsid w:val="00E74493"/>
    <w:rsid w:val="00E76E45"/>
    <w:rsid w:val="00E777C9"/>
    <w:rsid w:val="00E81DA6"/>
    <w:rsid w:val="00E83FDC"/>
    <w:rsid w:val="00E84212"/>
    <w:rsid w:val="00E9086C"/>
    <w:rsid w:val="00E91A0F"/>
    <w:rsid w:val="00E94A71"/>
    <w:rsid w:val="00EA03CE"/>
    <w:rsid w:val="00EA23E5"/>
    <w:rsid w:val="00EA4E2E"/>
    <w:rsid w:val="00EB2CCB"/>
    <w:rsid w:val="00EC4B9A"/>
    <w:rsid w:val="00EC57A7"/>
    <w:rsid w:val="00ED0817"/>
    <w:rsid w:val="00ED7DD9"/>
    <w:rsid w:val="00EE7ADC"/>
    <w:rsid w:val="00EF3113"/>
    <w:rsid w:val="00EF3F84"/>
    <w:rsid w:val="00F176AC"/>
    <w:rsid w:val="00F27714"/>
    <w:rsid w:val="00F3276E"/>
    <w:rsid w:val="00F33D3C"/>
    <w:rsid w:val="00F37A91"/>
    <w:rsid w:val="00F45CF5"/>
    <w:rsid w:val="00F47DB0"/>
    <w:rsid w:val="00F50E34"/>
    <w:rsid w:val="00F53EF7"/>
    <w:rsid w:val="00F54BF2"/>
    <w:rsid w:val="00F579CD"/>
    <w:rsid w:val="00F811BB"/>
    <w:rsid w:val="00F92355"/>
    <w:rsid w:val="00F92378"/>
    <w:rsid w:val="00F93963"/>
    <w:rsid w:val="00F94291"/>
    <w:rsid w:val="00FB7982"/>
    <w:rsid w:val="00FC0734"/>
    <w:rsid w:val="00FC0FC5"/>
    <w:rsid w:val="00FC588F"/>
    <w:rsid w:val="00FD074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0E8C394"/>
  <w15:docId w15:val="{93F7D66B-312F-4E30-AADC-565B23E1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uiPriority w:val="99"/>
    <w:pPr>
      <w:spacing w:after="120" w:line="480" w:lineRule="auto"/>
    </w:pPr>
  </w:style>
  <w:style w:type="paragraph" w:styleId="BodyText3">
    <w:name w:val="Body Text 3"/>
    <w:basedOn w:val="Normal"/>
    <w:uiPriority w:val="99"/>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4Char">
    <w:name w:val="Heading 4 Char"/>
    <w:basedOn w:val="DefaultParagraphFont"/>
    <w:link w:val="Heading4"/>
    <w:uiPriority w:val="9"/>
    <w:rsid w:val="004D76C1"/>
    <w:rPr>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7</Pages>
  <Words>2149</Words>
  <Characters>10978</Characters>
  <Application>Microsoft Office Word</Application>
  <DocSecurity>0</DocSecurity>
  <Lines>274</Lines>
  <Paragraphs>97</Paragraphs>
  <ScaleCrop>false</ScaleCrop>
  <HeadingPairs>
    <vt:vector size="2" baseType="variant">
      <vt:variant>
        <vt:lpstr>Title</vt:lpstr>
      </vt:variant>
      <vt:variant>
        <vt:i4>1</vt:i4>
      </vt:variant>
    </vt:vector>
  </HeadingPairs>
  <TitlesOfParts>
    <vt:vector size="1" baseType="lpstr">
      <vt:lpstr>Singh v Minister for Immigration and Border Protection [2018] FCA 1392</vt:lpstr>
    </vt:vector>
  </TitlesOfParts>
  <Company>Federal Court of Australia</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and Border Protection [2018] FCA 1392</dc:title>
  <dc:creator>Federal Court of Australia</dc:creator>
  <cp:lastModifiedBy>Anna Masters</cp:lastModifiedBy>
  <cp:revision>3</cp:revision>
  <cp:lastPrinted>2018-09-12T22:35:00Z</cp:lastPrinted>
  <dcterms:created xsi:type="dcterms:W3CDTF">2018-09-13T00:54:00Z</dcterms:created>
  <dcterms:modified xsi:type="dcterms:W3CDTF">2018-09-13T00:54:00Z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DAVIES J</vt:lpwstr>
  </property>
  <property fmtid="{D5CDD505-2E9C-101B-9397-08002B2CF9AE}" pid="4" name="Judgment_dated" linkTarget="Judgment_dated">
    <vt:lpwstr>13 september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