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5B24" w:rsidRPr="00924038" w:rsidRDefault="002C7385">
      <w:pPr>
        <w:pStyle w:val="NormalHeadings"/>
        <w:jc w:val="center"/>
        <w:rPr>
          <w:sz w:val="32"/>
        </w:rPr>
      </w:pPr>
      <w:r w:rsidRPr="00924038">
        <w:rPr>
          <w:sz w:val="32"/>
        </w:rPr>
        <w:t>FEDERAL COURT OF AUSTRALIA</w:t>
      </w:r>
    </w:p>
    <w:p w:rsidR="00395B24" w:rsidRPr="00924038" w:rsidRDefault="00395B24">
      <w:pPr>
        <w:pStyle w:val="NormalHeadings"/>
        <w:jc w:val="center"/>
        <w:rPr>
          <w:sz w:val="32"/>
        </w:rPr>
      </w:pPr>
    </w:p>
    <w:p w:rsidR="00395B24" w:rsidRPr="00924038" w:rsidRDefault="006330D5">
      <w:pPr>
        <w:pStyle w:val="MediaNeutralStyle"/>
      </w:pPr>
      <w:bookmarkStart w:id="0" w:name="MNC"/>
      <w:r w:rsidRPr="00924038">
        <w:t>Perera v</w:t>
      </w:r>
      <w:r w:rsidR="00467990" w:rsidRPr="00924038">
        <w:t xml:space="preserve"> Get</w:t>
      </w:r>
      <w:r w:rsidR="00FC4CEF" w:rsidRPr="00924038">
        <w:t>S</w:t>
      </w:r>
      <w:r w:rsidR="00467990" w:rsidRPr="00924038">
        <w:t xml:space="preserve">wift </w:t>
      </w:r>
      <w:proofErr w:type="gramStart"/>
      <w:r w:rsidR="00467990" w:rsidRPr="00924038">
        <w:t>L</w:t>
      </w:r>
      <w:r w:rsidR="00747B06">
        <w:t>imi</w:t>
      </w:r>
      <w:r w:rsidR="00467990" w:rsidRPr="00924038">
        <w:t>t</w:t>
      </w:r>
      <w:r w:rsidR="00747B06">
        <w:t>e</w:t>
      </w:r>
      <w:r w:rsidR="00467990" w:rsidRPr="00924038">
        <w:t>d</w:t>
      </w:r>
      <w:proofErr w:type="gramEnd"/>
      <w:r w:rsidRPr="00924038">
        <w:t xml:space="preserve"> [2018] FCA </w:t>
      </w:r>
      <w:r w:rsidR="00747B06">
        <w:t>732</w:t>
      </w:r>
      <w:r w:rsidR="002C7385" w:rsidRPr="00924038">
        <w:t xml:space="preserve"> </w:t>
      </w:r>
      <w:bookmarkEnd w:id="0"/>
    </w:p>
    <w:p w:rsidR="00395B24" w:rsidRPr="00924038" w:rsidRDefault="00395B24">
      <w:pPr>
        <w:pStyle w:val="Normal1linespace"/>
      </w:pPr>
    </w:p>
    <w:tbl>
      <w:tblPr>
        <w:tblW w:w="9074" w:type="dxa"/>
        <w:tblLayout w:type="fixed"/>
        <w:tblLook w:val="01E0" w:firstRow="1" w:lastRow="1" w:firstColumn="1" w:lastColumn="1" w:noHBand="0" w:noVBand="0"/>
        <w:tblCaption w:val="Cover Table"/>
        <w:tblDescription w:val="Cover Table"/>
      </w:tblPr>
      <w:tblGrid>
        <w:gridCol w:w="3085"/>
        <w:gridCol w:w="5989"/>
      </w:tblGrid>
      <w:tr w:rsidR="00924038" w:rsidRPr="00924038" w:rsidTr="007D3F20">
        <w:tc>
          <w:tcPr>
            <w:tcW w:w="3085" w:type="dxa"/>
            <w:shd w:val="clear" w:color="auto" w:fill="auto"/>
          </w:tcPr>
          <w:p w:rsidR="00395B24" w:rsidRPr="00924038" w:rsidRDefault="002C7385" w:rsidP="006330D5">
            <w:pPr>
              <w:pStyle w:val="Normal1linespace"/>
              <w:widowControl w:val="0"/>
              <w:jc w:val="left"/>
            </w:pPr>
            <w:r w:rsidRPr="00924038">
              <w:t>File numbers:</w:t>
            </w:r>
          </w:p>
        </w:tc>
        <w:tc>
          <w:tcPr>
            <w:tcW w:w="5989" w:type="dxa"/>
            <w:shd w:val="clear" w:color="auto" w:fill="auto"/>
          </w:tcPr>
          <w:p w:rsidR="00395B24" w:rsidRPr="00924038" w:rsidRDefault="00DA3088" w:rsidP="006330D5">
            <w:pPr>
              <w:pStyle w:val="Normal1linespace"/>
              <w:jc w:val="left"/>
            </w:pPr>
            <w:fldSimple w:instr=" REF  FileNo  \* MERGEFORMAT " w:fldLock="1">
              <w:r w:rsidR="006330D5" w:rsidRPr="00924038">
                <w:t>NSD 226 of 2018</w:t>
              </w:r>
            </w:fldSimple>
          </w:p>
          <w:p w:rsidR="006330D5" w:rsidRPr="00924038" w:rsidRDefault="006330D5" w:rsidP="00763E9C">
            <w:pPr>
              <w:pStyle w:val="Normal1linespace"/>
              <w:jc w:val="left"/>
            </w:pPr>
            <w:r w:rsidRPr="00924038">
              <w:t>NSD 440 of 2018</w:t>
            </w:r>
          </w:p>
          <w:p w:rsidR="00974A62" w:rsidRPr="00924038" w:rsidRDefault="00974A62" w:rsidP="00763E9C">
            <w:pPr>
              <w:pStyle w:val="Normal1linespace"/>
              <w:jc w:val="left"/>
            </w:pPr>
            <w:r w:rsidRPr="00924038">
              <w:t>NSD 580 of 2018</w:t>
            </w:r>
          </w:p>
        </w:tc>
      </w:tr>
      <w:tr w:rsidR="00924038" w:rsidRPr="00924038" w:rsidTr="007D3F20">
        <w:tc>
          <w:tcPr>
            <w:tcW w:w="3085" w:type="dxa"/>
            <w:shd w:val="clear" w:color="auto" w:fill="auto"/>
          </w:tcPr>
          <w:p w:rsidR="00395B24" w:rsidRPr="00924038" w:rsidRDefault="00395B24" w:rsidP="00663878">
            <w:pPr>
              <w:pStyle w:val="Normal1linespace"/>
              <w:widowControl w:val="0"/>
              <w:jc w:val="left"/>
            </w:pPr>
          </w:p>
        </w:tc>
        <w:tc>
          <w:tcPr>
            <w:tcW w:w="5989" w:type="dxa"/>
            <w:shd w:val="clear" w:color="auto" w:fill="auto"/>
          </w:tcPr>
          <w:p w:rsidR="00395B24" w:rsidRPr="00924038" w:rsidRDefault="00395B24" w:rsidP="00663878">
            <w:pPr>
              <w:pStyle w:val="Normal1linespace"/>
              <w:widowControl w:val="0"/>
              <w:jc w:val="left"/>
            </w:pPr>
          </w:p>
        </w:tc>
      </w:tr>
      <w:tr w:rsidR="00924038" w:rsidRPr="00924038" w:rsidTr="007D3F20">
        <w:tc>
          <w:tcPr>
            <w:tcW w:w="3085" w:type="dxa"/>
            <w:shd w:val="clear" w:color="auto" w:fill="auto"/>
          </w:tcPr>
          <w:p w:rsidR="00395B24" w:rsidRPr="00924038" w:rsidRDefault="006330D5" w:rsidP="006330D5">
            <w:pPr>
              <w:pStyle w:val="Normal1linespace"/>
              <w:widowControl w:val="0"/>
              <w:jc w:val="left"/>
            </w:pPr>
            <w:r w:rsidRPr="00924038">
              <w:t>Judge</w:t>
            </w:r>
            <w:r w:rsidR="002C7385" w:rsidRPr="00924038">
              <w:t>:</w:t>
            </w:r>
          </w:p>
        </w:tc>
        <w:tc>
          <w:tcPr>
            <w:tcW w:w="5989" w:type="dxa"/>
            <w:shd w:val="clear" w:color="auto" w:fill="auto"/>
          </w:tcPr>
          <w:p w:rsidR="00395B24" w:rsidRPr="00924038" w:rsidRDefault="002C7385" w:rsidP="00663878">
            <w:pPr>
              <w:pStyle w:val="Normal1linespace"/>
              <w:widowControl w:val="0"/>
              <w:jc w:val="left"/>
              <w:rPr>
                <w:b/>
              </w:rPr>
            </w:pPr>
            <w:r w:rsidRPr="00924038">
              <w:rPr>
                <w:b/>
              </w:rPr>
              <w:fldChar w:fldCharType="begin" w:fldLock="1"/>
            </w:r>
            <w:r w:rsidRPr="00924038">
              <w:rPr>
                <w:b/>
              </w:rPr>
              <w:instrText xml:space="preserve"> REF  Judge  \* MERGEFORMAT </w:instrText>
            </w:r>
            <w:r w:rsidRPr="00924038">
              <w:rPr>
                <w:b/>
              </w:rPr>
              <w:fldChar w:fldCharType="separate"/>
            </w:r>
            <w:r w:rsidR="006330D5" w:rsidRPr="00924038">
              <w:rPr>
                <w:b/>
                <w:caps/>
                <w:szCs w:val="24"/>
              </w:rPr>
              <w:t>LEE J</w:t>
            </w:r>
            <w:r w:rsidRPr="00924038">
              <w:rPr>
                <w:b/>
              </w:rPr>
              <w:fldChar w:fldCharType="end"/>
            </w:r>
          </w:p>
        </w:tc>
      </w:tr>
      <w:tr w:rsidR="00924038" w:rsidRPr="00924038" w:rsidTr="007D3F20">
        <w:tc>
          <w:tcPr>
            <w:tcW w:w="3085" w:type="dxa"/>
            <w:shd w:val="clear" w:color="auto" w:fill="auto"/>
          </w:tcPr>
          <w:p w:rsidR="00395B24" w:rsidRPr="00924038" w:rsidRDefault="00395B24" w:rsidP="00663878">
            <w:pPr>
              <w:pStyle w:val="Normal1linespace"/>
              <w:widowControl w:val="0"/>
              <w:jc w:val="left"/>
            </w:pPr>
          </w:p>
        </w:tc>
        <w:tc>
          <w:tcPr>
            <w:tcW w:w="5989" w:type="dxa"/>
            <w:shd w:val="clear" w:color="auto" w:fill="auto"/>
          </w:tcPr>
          <w:p w:rsidR="00395B24" w:rsidRPr="00924038" w:rsidRDefault="00395B24" w:rsidP="00663878">
            <w:pPr>
              <w:pStyle w:val="Normal1linespace"/>
              <w:widowControl w:val="0"/>
              <w:jc w:val="left"/>
            </w:pPr>
          </w:p>
        </w:tc>
      </w:tr>
      <w:tr w:rsidR="00924038" w:rsidRPr="00924038" w:rsidTr="007D3F20">
        <w:tc>
          <w:tcPr>
            <w:tcW w:w="3085" w:type="dxa"/>
            <w:shd w:val="clear" w:color="auto" w:fill="auto"/>
          </w:tcPr>
          <w:p w:rsidR="00395B24" w:rsidRPr="00924038" w:rsidRDefault="002C7385" w:rsidP="00663878">
            <w:pPr>
              <w:pStyle w:val="Normal1linespace"/>
              <w:widowControl w:val="0"/>
              <w:jc w:val="left"/>
            </w:pPr>
            <w:r w:rsidRPr="00924038">
              <w:t>Date of judgment:</w:t>
            </w:r>
          </w:p>
        </w:tc>
        <w:tc>
          <w:tcPr>
            <w:tcW w:w="5989" w:type="dxa"/>
            <w:shd w:val="clear" w:color="auto" w:fill="auto"/>
          </w:tcPr>
          <w:p w:rsidR="00395B24" w:rsidRPr="00924038" w:rsidRDefault="00AD6DA3" w:rsidP="007D3F20">
            <w:pPr>
              <w:pStyle w:val="Normal1linespace"/>
              <w:widowControl w:val="0"/>
              <w:jc w:val="left"/>
            </w:pPr>
            <w:bookmarkStart w:id="1" w:name="JudgmentDate"/>
            <w:r w:rsidRPr="00924038">
              <w:t>23</w:t>
            </w:r>
            <w:r w:rsidR="007D3F20" w:rsidRPr="00924038">
              <w:t xml:space="preserve"> May 2018</w:t>
            </w:r>
            <w:bookmarkEnd w:id="1"/>
          </w:p>
        </w:tc>
      </w:tr>
      <w:tr w:rsidR="00924038" w:rsidRPr="00924038" w:rsidTr="007D3F20">
        <w:tc>
          <w:tcPr>
            <w:tcW w:w="3085" w:type="dxa"/>
            <w:shd w:val="clear" w:color="auto" w:fill="auto"/>
          </w:tcPr>
          <w:p w:rsidR="00395B24" w:rsidRPr="00924038" w:rsidRDefault="00395B24" w:rsidP="00663878">
            <w:pPr>
              <w:pStyle w:val="Normal1linespace"/>
              <w:widowControl w:val="0"/>
              <w:jc w:val="left"/>
            </w:pPr>
          </w:p>
        </w:tc>
        <w:tc>
          <w:tcPr>
            <w:tcW w:w="5989" w:type="dxa"/>
            <w:shd w:val="clear" w:color="auto" w:fill="auto"/>
          </w:tcPr>
          <w:p w:rsidR="00395B24" w:rsidRPr="00924038" w:rsidRDefault="00395B24" w:rsidP="00663878">
            <w:pPr>
              <w:pStyle w:val="Normal1linespace"/>
              <w:widowControl w:val="0"/>
              <w:jc w:val="left"/>
            </w:pPr>
          </w:p>
        </w:tc>
      </w:tr>
      <w:tr w:rsidR="00924038" w:rsidRPr="00924038" w:rsidTr="007D3F20">
        <w:tc>
          <w:tcPr>
            <w:tcW w:w="3085" w:type="dxa"/>
            <w:shd w:val="clear" w:color="auto" w:fill="auto"/>
          </w:tcPr>
          <w:p w:rsidR="00395B24" w:rsidRPr="00924038" w:rsidRDefault="002C7385" w:rsidP="00663878">
            <w:pPr>
              <w:pStyle w:val="Normal1linespace"/>
              <w:widowControl w:val="0"/>
              <w:jc w:val="left"/>
            </w:pPr>
            <w:r w:rsidRPr="00924038">
              <w:t>Catchwords:</w:t>
            </w:r>
          </w:p>
        </w:tc>
        <w:tc>
          <w:tcPr>
            <w:tcW w:w="5989" w:type="dxa"/>
            <w:shd w:val="clear" w:color="auto" w:fill="auto"/>
          </w:tcPr>
          <w:p w:rsidR="00CA1491" w:rsidRDefault="00CA1491" w:rsidP="00663878">
            <w:pPr>
              <w:pStyle w:val="Normal1linespace"/>
              <w:widowControl w:val="0"/>
              <w:jc w:val="left"/>
            </w:pPr>
            <w:bookmarkStart w:id="2" w:name="Catchwords"/>
            <w:r w:rsidRPr="00CA1491">
              <w:rPr>
                <w:b/>
                <w:bCs/>
              </w:rPr>
              <w:t>REPRESENTATIVE PROCEEDINGS</w:t>
            </w:r>
            <w:r w:rsidRPr="00CA1491">
              <w:t xml:space="preserve"> – t</w:t>
            </w:r>
            <w:r w:rsidR="00FB31A2">
              <w:t>hree</w:t>
            </w:r>
            <w:r w:rsidRPr="00CA1491">
              <w:t xml:space="preserve"> overlapping open </w:t>
            </w:r>
            <w:r w:rsidR="00A634CB">
              <w:t xml:space="preserve">securities </w:t>
            </w:r>
            <w:r w:rsidRPr="00CA1491">
              <w:t xml:space="preserve">class </w:t>
            </w:r>
            <w:r w:rsidR="00A634CB">
              <w:t>actions</w:t>
            </w:r>
            <w:r w:rsidRPr="00CA1491">
              <w:t xml:space="preserve"> against the same respondent – </w:t>
            </w:r>
            <w:r w:rsidR="00A634CB">
              <w:t xml:space="preserve">consideration of circumstances which have led to the rise of competing securities class actions </w:t>
            </w:r>
            <w:r w:rsidR="00A634CB" w:rsidRPr="00CA1491">
              <w:t>–</w:t>
            </w:r>
            <w:r w:rsidR="00A634CB">
              <w:t xml:space="preserve"> consideration of remedial response to competing class actions in Australia and North America </w:t>
            </w:r>
            <w:r w:rsidR="00A634CB" w:rsidRPr="00CA1491">
              <w:t>–</w:t>
            </w:r>
            <w:r w:rsidR="00A634CB">
              <w:t xml:space="preserve"> identification of </w:t>
            </w:r>
            <w:r w:rsidR="000A12B8">
              <w:t xml:space="preserve">multiple </w:t>
            </w:r>
            <w:r w:rsidR="00A634CB">
              <w:t xml:space="preserve">factors relevant to response </w:t>
            </w:r>
            <w:r w:rsidR="00A634CB" w:rsidRPr="00CA1491">
              <w:t>–</w:t>
            </w:r>
            <w:r w:rsidR="00A634CB">
              <w:t xml:space="preserve"> </w:t>
            </w:r>
            <w:r w:rsidRPr="00CA1491">
              <w:t>substantially the same claims and substanti</w:t>
            </w:r>
            <w:r w:rsidR="00A634CB">
              <w:t xml:space="preserve">ally the same causes of action </w:t>
            </w:r>
            <w:r w:rsidR="002A465F" w:rsidRPr="00CA1491">
              <w:t>–</w:t>
            </w:r>
            <w:r w:rsidR="002A465F">
              <w:t xml:space="preserve"> consideration of proposed common fund order and advantages of a funding model linking risk and return to funders by reference to costs incurred </w:t>
            </w:r>
            <w:r w:rsidR="002A465F" w:rsidRPr="00CA1491">
              <w:t>–</w:t>
            </w:r>
            <w:r w:rsidR="002A465F">
              <w:t xml:space="preserve"> comparative analysis of proceedings including proposals for reducing legal costs and likely return to group members </w:t>
            </w:r>
            <w:r w:rsidR="002A465F" w:rsidRPr="00CA1491">
              <w:t>–</w:t>
            </w:r>
            <w:r w:rsidR="002A465F">
              <w:t xml:space="preserve"> </w:t>
            </w:r>
            <w:r w:rsidR="002A465F" w:rsidRPr="00CA1491">
              <w:t xml:space="preserve">whether a </w:t>
            </w:r>
            <w:r w:rsidR="002A465F">
              <w:t xml:space="preserve">continuation of duplicative proceedings would amount to an abuse of process </w:t>
            </w:r>
            <w:r w:rsidR="002A465F" w:rsidRPr="00CA1491">
              <w:t>–</w:t>
            </w:r>
            <w:r w:rsidR="002A465F">
              <w:t xml:space="preserve"> </w:t>
            </w:r>
            <w:r w:rsidRPr="00CA1491">
              <w:t xml:space="preserve">whether </w:t>
            </w:r>
            <w:r w:rsidR="002A465F">
              <w:t xml:space="preserve">equity should intervene to enjoin parties to prevent multiplicity of proceedings </w:t>
            </w:r>
            <w:r w:rsidRPr="00CA1491">
              <w:t xml:space="preserve">– </w:t>
            </w:r>
            <w:r w:rsidR="002A465F" w:rsidRPr="00CA1491">
              <w:t xml:space="preserve">whether a “declassing” order should be made under s 33N(1) </w:t>
            </w:r>
            <w:r w:rsidR="00B62B84">
              <w:t xml:space="preserve">or s 33ZF </w:t>
            </w:r>
            <w:r w:rsidR="002A465F" w:rsidRPr="00CA1491">
              <w:t xml:space="preserve">of the </w:t>
            </w:r>
            <w:r w:rsidR="002A465F" w:rsidRPr="00CA1491">
              <w:rPr>
                <w:i/>
                <w:iCs/>
              </w:rPr>
              <w:t>Federal Court of Australia Act 1976</w:t>
            </w:r>
            <w:r w:rsidR="002A465F" w:rsidRPr="00CA1491">
              <w:t xml:space="preserve"> (Cth) –</w:t>
            </w:r>
            <w:r w:rsidR="00842139">
              <w:t xml:space="preserve"> </w:t>
            </w:r>
            <w:r w:rsidRPr="00CA1491">
              <w:t xml:space="preserve">application for a permanent stay of </w:t>
            </w:r>
            <w:r w:rsidR="007276D0">
              <w:t xml:space="preserve">two </w:t>
            </w:r>
            <w:r w:rsidRPr="00CA1491">
              <w:t xml:space="preserve">of the proceedings </w:t>
            </w:r>
            <w:r w:rsidR="007276D0">
              <w:t xml:space="preserve">allowed </w:t>
            </w:r>
            <w:r w:rsidRPr="00CA1491">
              <w:t xml:space="preserve">– orders </w:t>
            </w:r>
            <w:r w:rsidR="007276D0">
              <w:t>facilitating stay of two proceedings and continuation of one open class proceeding</w:t>
            </w:r>
          </w:p>
          <w:p w:rsidR="00CA1491" w:rsidRDefault="00CA1491" w:rsidP="00663878">
            <w:pPr>
              <w:pStyle w:val="Normal1linespace"/>
              <w:widowControl w:val="0"/>
              <w:jc w:val="left"/>
            </w:pPr>
          </w:p>
          <w:p w:rsidR="00395B24" w:rsidRPr="00CA1491" w:rsidRDefault="00CA1491" w:rsidP="00C04903">
            <w:pPr>
              <w:pStyle w:val="Normal1linespace"/>
              <w:widowControl w:val="0"/>
              <w:jc w:val="left"/>
              <w:rPr>
                <w:b/>
              </w:rPr>
            </w:pPr>
            <w:r w:rsidRPr="00CA1491">
              <w:rPr>
                <w:b/>
              </w:rPr>
              <w:t xml:space="preserve">EQUITY </w:t>
            </w:r>
            <w:r w:rsidR="00FB31A2" w:rsidRPr="00FB31A2">
              <w:t xml:space="preserve">– equitable remedies </w:t>
            </w:r>
            <w:r w:rsidR="00FB31A2">
              <w:t xml:space="preserve">to control </w:t>
            </w:r>
            <w:r w:rsidR="002A465F">
              <w:t xml:space="preserve">multiple proceedings </w:t>
            </w:r>
            <w:r w:rsidR="00FB31A2">
              <w:t>before the Court</w:t>
            </w:r>
            <w:r w:rsidR="002A465F">
              <w:t xml:space="preserve"> and protecting the processes of the Court</w:t>
            </w:r>
            <w:r w:rsidR="00FB31A2">
              <w:t xml:space="preserve"> – bill</w:t>
            </w:r>
            <w:r w:rsidR="00C04903">
              <w:t>s</w:t>
            </w:r>
            <w:r w:rsidR="00FB31A2">
              <w:t xml:space="preserve"> of </w:t>
            </w:r>
            <w:r w:rsidR="00C04903">
              <w:t>peace</w:t>
            </w:r>
            <w:r w:rsidR="002C7385" w:rsidRPr="00CA1491">
              <w:rPr>
                <w:b/>
              </w:rPr>
              <w:t xml:space="preserve"> </w:t>
            </w:r>
            <w:bookmarkEnd w:id="2"/>
          </w:p>
        </w:tc>
      </w:tr>
      <w:tr w:rsidR="00924038" w:rsidRPr="00924038" w:rsidTr="007D3F20">
        <w:tc>
          <w:tcPr>
            <w:tcW w:w="3085" w:type="dxa"/>
            <w:shd w:val="clear" w:color="auto" w:fill="auto"/>
          </w:tcPr>
          <w:p w:rsidR="00395B24" w:rsidRPr="00924038" w:rsidRDefault="00395B24" w:rsidP="00663878">
            <w:pPr>
              <w:pStyle w:val="Normal1linespace"/>
              <w:widowControl w:val="0"/>
              <w:jc w:val="left"/>
            </w:pPr>
          </w:p>
        </w:tc>
        <w:tc>
          <w:tcPr>
            <w:tcW w:w="5989" w:type="dxa"/>
            <w:shd w:val="clear" w:color="auto" w:fill="auto"/>
          </w:tcPr>
          <w:p w:rsidR="00395B24" w:rsidRPr="00924038" w:rsidRDefault="00395B24" w:rsidP="00663878">
            <w:pPr>
              <w:pStyle w:val="Normal1linespace"/>
              <w:widowControl w:val="0"/>
              <w:jc w:val="left"/>
            </w:pPr>
          </w:p>
        </w:tc>
      </w:tr>
      <w:tr w:rsidR="00924038" w:rsidRPr="00924038" w:rsidTr="007D3F20">
        <w:tc>
          <w:tcPr>
            <w:tcW w:w="3085" w:type="dxa"/>
            <w:shd w:val="clear" w:color="auto" w:fill="auto"/>
          </w:tcPr>
          <w:p w:rsidR="00395B24" w:rsidRPr="00924038" w:rsidRDefault="002C7385" w:rsidP="00663878">
            <w:pPr>
              <w:pStyle w:val="Normal1linespace"/>
              <w:widowControl w:val="0"/>
              <w:jc w:val="left"/>
            </w:pPr>
            <w:r w:rsidRPr="00924038">
              <w:t>Legislation:</w:t>
            </w:r>
          </w:p>
        </w:tc>
        <w:tc>
          <w:tcPr>
            <w:tcW w:w="5989" w:type="dxa"/>
            <w:shd w:val="clear" w:color="auto" w:fill="auto"/>
          </w:tcPr>
          <w:p w:rsidR="00BE53B5" w:rsidRPr="00924038" w:rsidRDefault="00BE53B5" w:rsidP="00D82620">
            <w:pPr>
              <w:pStyle w:val="CasesLegislationAppealFrom"/>
              <w:spacing w:after="60"/>
              <w:rPr>
                <w:rFonts w:eastAsia="Times New Roman"/>
                <w:i/>
                <w:iCs/>
                <w:lang w:eastAsia="en-AU"/>
              </w:rPr>
            </w:pPr>
            <w:bookmarkStart w:id="3" w:name="Legislation"/>
            <w:r w:rsidRPr="00924038">
              <w:rPr>
                <w:i/>
                <w:iCs/>
                <w:szCs w:val="24"/>
                <w:lang w:eastAsia="en-AU"/>
              </w:rPr>
              <w:t>Acts Interpretation Act 1901</w:t>
            </w:r>
            <w:r w:rsidRPr="00924038">
              <w:rPr>
                <w:szCs w:val="24"/>
                <w:lang w:eastAsia="en-AU"/>
              </w:rPr>
              <w:t xml:space="preserve"> (Cth), s 15AA</w:t>
            </w:r>
          </w:p>
          <w:p w:rsidR="00BE53B5" w:rsidRPr="00924038" w:rsidRDefault="00BE53B5" w:rsidP="00D82620">
            <w:pPr>
              <w:pStyle w:val="CasesLegislationAppealFrom"/>
              <w:spacing w:after="60"/>
              <w:rPr>
                <w:rFonts w:eastAsia="Times New Roman"/>
                <w:i/>
                <w:iCs/>
                <w:lang w:eastAsia="en-AU"/>
              </w:rPr>
            </w:pPr>
            <w:r w:rsidRPr="00924038">
              <w:rPr>
                <w:rFonts w:eastAsia="Times New Roman"/>
                <w:i/>
                <w:iCs/>
                <w:lang w:eastAsia="en-AU"/>
              </w:rPr>
              <w:t xml:space="preserve">Civil Dispute Resolution Act 2011 </w:t>
            </w:r>
            <w:r w:rsidRPr="00924038">
              <w:rPr>
                <w:rFonts w:eastAsia="Times New Roman"/>
                <w:iCs/>
                <w:lang w:eastAsia="en-AU"/>
              </w:rPr>
              <w:t>(Cth)</w:t>
            </w:r>
          </w:p>
          <w:p w:rsidR="00721AEC" w:rsidRPr="00924038" w:rsidRDefault="008E30F5" w:rsidP="00D82620">
            <w:pPr>
              <w:pStyle w:val="CasesLegislationAppealFrom"/>
              <w:spacing w:after="60"/>
            </w:pPr>
            <w:r w:rsidRPr="00924038">
              <w:rPr>
                <w:rFonts w:eastAsia="Times New Roman"/>
                <w:i/>
                <w:iCs/>
                <w:lang w:eastAsia="en-AU"/>
              </w:rPr>
              <w:t>Corporations Act 2001</w:t>
            </w:r>
            <w:r w:rsidRPr="00924038">
              <w:rPr>
                <w:rFonts w:eastAsia="Times New Roman"/>
                <w:lang w:eastAsia="en-AU"/>
              </w:rPr>
              <w:t xml:space="preserve"> (Cth)</w:t>
            </w:r>
            <w:r w:rsidR="00BE53B5" w:rsidRPr="00924038">
              <w:rPr>
                <w:rFonts w:eastAsia="Times New Roman"/>
                <w:lang w:eastAsia="en-AU"/>
              </w:rPr>
              <w:t>, Pt 9.6A, s 1041E</w:t>
            </w:r>
            <w:r w:rsidRPr="00924038">
              <w:t xml:space="preserve"> </w:t>
            </w:r>
          </w:p>
          <w:p w:rsidR="00EF7955" w:rsidRPr="00924038" w:rsidRDefault="008E30F5" w:rsidP="00BE53B5">
            <w:pPr>
              <w:pStyle w:val="CasesLegislationAppealFrom"/>
              <w:spacing w:after="60"/>
            </w:pPr>
            <w:r w:rsidRPr="00924038">
              <w:rPr>
                <w:i/>
                <w:szCs w:val="24"/>
                <w:lang w:eastAsia="en-AU"/>
              </w:rPr>
              <w:t>Federal Court of Australia Act 1976</w:t>
            </w:r>
            <w:r w:rsidRPr="00924038">
              <w:rPr>
                <w:szCs w:val="24"/>
                <w:lang w:eastAsia="en-AU"/>
              </w:rPr>
              <w:t xml:space="preserve"> (Cth)</w:t>
            </w:r>
            <w:r w:rsidR="00721AEC" w:rsidRPr="00924038">
              <w:rPr>
                <w:szCs w:val="24"/>
                <w:lang w:eastAsia="en-AU"/>
              </w:rPr>
              <w:t>,</w:t>
            </w:r>
            <w:r w:rsidR="00A91DB6" w:rsidRPr="00924038">
              <w:rPr>
                <w:szCs w:val="24"/>
                <w:lang w:eastAsia="en-AU"/>
              </w:rPr>
              <w:t xml:space="preserve"> Pt IVA,</w:t>
            </w:r>
            <w:r w:rsidR="00721AEC" w:rsidRPr="00924038">
              <w:rPr>
                <w:szCs w:val="24"/>
                <w:lang w:eastAsia="en-AU"/>
              </w:rPr>
              <w:t xml:space="preserve"> </w:t>
            </w:r>
            <w:r w:rsidR="00BE53B5" w:rsidRPr="00924038">
              <w:rPr>
                <w:szCs w:val="24"/>
                <w:lang w:eastAsia="en-AU"/>
              </w:rPr>
              <w:t xml:space="preserve">ss 5(2), 22, 23, 33A, </w:t>
            </w:r>
            <w:r w:rsidR="006C35E3">
              <w:rPr>
                <w:szCs w:val="24"/>
                <w:lang w:eastAsia="en-AU"/>
              </w:rPr>
              <w:t xml:space="preserve">33C, 33C(1), 33D, </w:t>
            </w:r>
            <w:r w:rsidR="00BE53B5" w:rsidRPr="00924038">
              <w:rPr>
                <w:szCs w:val="24"/>
                <w:lang w:eastAsia="en-AU"/>
              </w:rPr>
              <w:t xml:space="preserve">33H,  33J, 33L, 33N(1), 33N(1)(a), 33N(1)(b), 33N(1)(c), 33N(1)(d), 33Q, 33R, 33S, 33T, 33V, 33X, 33Z, </w:t>
            </w:r>
            <w:r w:rsidR="006C35E3">
              <w:rPr>
                <w:szCs w:val="24"/>
                <w:lang w:eastAsia="en-AU"/>
              </w:rPr>
              <w:t xml:space="preserve">33Y, </w:t>
            </w:r>
            <w:r w:rsidR="00BE53B5" w:rsidRPr="00924038">
              <w:rPr>
                <w:szCs w:val="24"/>
                <w:lang w:eastAsia="en-AU"/>
              </w:rPr>
              <w:t>33ZB, 33ZF,</w:t>
            </w:r>
            <w:r w:rsidR="006C35E3">
              <w:rPr>
                <w:szCs w:val="24"/>
                <w:lang w:eastAsia="en-AU"/>
              </w:rPr>
              <w:t xml:space="preserve"> 33ZF(1),</w:t>
            </w:r>
            <w:r w:rsidR="00BE53B5" w:rsidRPr="00924038">
              <w:rPr>
                <w:szCs w:val="24"/>
                <w:lang w:eastAsia="en-AU"/>
              </w:rPr>
              <w:t xml:space="preserve"> 37M(3), 37P(2)</w:t>
            </w:r>
          </w:p>
          <w:p w:rsidR="002B443D" w:rsidRPr="00924038" w:rsidRDefault="00BE53B5" w:rsidP="00A91DB6">
            <w:pPr>
              <w:pStyle w:val="CasesLegislationAppealFrom"/>
              <w:spacing w:after="60"/>
              <w:rPr>
                <w:szCs w:val="24"/>
              </w:rPr>
            </w:pPr>
            <w:r w:rsidRPr="00924038">
              <w:rPr>
                <w:i/>
                <w:szCs w:val="24"/>
              </w:rPr>
              <w:t>Federal Court Rules 2011</w:t>
            </w:r>
            <w:r w:rsidRPr="00924038">
              <w:rPr>
                <w:szCs w:val="24"/>
              </w:rPr>
              <w:t xml:space="preserve">, r </w:t>
            </w:r>
            <w:r w:rsidR="00EF7955" w:rsidRPr="00924038">
              <w:rPr>
                <w:szCs w:val="24"/>
              </w:rPr>
              <w:t>1.32</w:t>
            </w:r>
          </w:p>
          <w:p w:rsidR="00A37750" w:rsidRPr="00924038" w:rsidRDefault="00A37750" w:rsidP="00A91DB6">
            <w:pPr>
              <w:pStyle w:val="CasesLegislationAppealFrom"/>
              <w:spacing w:after="60"/>
            </w:pPr>
          </w:p>
          <w:p w:rsidR="00FA5036" w:rsidRPr="00924038" w:rsidRDefault="00FA5036" w:rsidP="00721AEC">
            <w:pPr>
              <w:pStyle w:val="CasesLegislationAppealFrom"/>
              <w:spacing w:after="60"/>
              <w:rPr>
                <w:rFonts w:eastAsia="Times New Roman"/>
                <w:spacing w:val="2"/>
                <w:szCs w:val="24"/>
                <w:lang w:val="en" w:eastAsia="en-AU"/>
              </w:rPr>
            </w:pPr>
            <w:r w:rsidRPr="00924038">
              <w:rPr>
                <w:rFonts w:eastAsia="Times New Roman"/>
                <w:spacing w:val="3"/>
                <w:szCs w:val="24"/>
                <w:lang w:val="en" w:eastAsia="en-AU"/>
              </w:rPr>
              <w:t>28 USC § 1407 (2012)</w:t>
            </w:r>
            <w:r w:rsidRPr="00924038">
              <w:rPr>
                <w:rFonts w:eastAsia="Times New Roman"/>
                <w:spacing w:val="2"/>
                <w:szCs w:val="24"/>
                <w:lang w:val="en" w:eastAsia="en-AU"/>
              </w:rPr>
              <w:t xml:space="preserve"> </w:t>
            </w:r>
            <w:r w:rsidR="00D241F0">
              <w:rPr>
                <w:rFonts w:eastAsia="Times New Roman"/>
                <w:spacing w:val="2"/>
                <w:szCs w:val="24"/>
                <w:lang w:val="en" w:eastAsia="en-AU"/>
              </w:rPr>
              <w:t>(US)</w:t>
            </w:r>
          </w:p>
          <w:p w:rsidR="00FA5036" w:rsidRPr="00924038" w:rsidRDefault="00FA5036" w:rsidP="00721AEC">
            <w:pPr>
              <w:pStyle w:val="CasesLegislationAppealFrom"/>
              <w:spacing w:after="60"/>
              <w:rPr>
                <w:rFonts w:eastAsia="Times New Roman"/>
                <w:spacing w:val="3"/>
                <w:szCs w:val="24"/>
                <w:lang w:val="en" w:eastAsia="en-AU"/>
              </w:rPr>
            </w:pPr>
            <w:r w:rsidRPr="00924038">
              <w:rPr>
                <w:spacing w:val="3"/>
                <w:szCs w:val="24"/>
                <w:lang w:val="en"/>
              </w:rPr>
              <w:t>All Writs Act 28 USC § 1651 (2012)</w:t>
            </w:r>
            <w:r w:rsidRPr="00924038">
              <w:rPr>
                <w:rFonts w:eastAsia="Times New Roman"/>
                <w:spacing w:val="3"/>
                <w:szCs w:val="24"/>
                <w:lang w:val="en" w:eastAsia="en-AU"/>
              </w:rPr>
              <w:t xml:space="preserve"> </w:t>
            </w:r>
            <w:r w:rsidR="00D241F0">
              <w:rPr>
                <w:rFonts w:eastAsia="Times New Roman"/>
                <w:spacing w:val="3"/>
                <w:szCs w:val="24"/>
                <w:lang w:val="en" w:eastAsia="en-AU"/>
              </w:rPr>
              <w:t>(US)</w:t>
            </w:r>
          </w:p>
          <w:p w:rsidR="00FA5036" w:rsidRPr="00924038" w:rsidRDefault="00FA5036" w:rsidP="00721AEC">
            <w:pPr>
              <w:pStyle w:val="CasesLegislationAppealFrom"/>
              <w:spacing w:after="60"/>
              <w:rPr>
                <w:spacing w:val="3"/>
                <w:szCs w:val="24"/>
                <w:lang w:val="en"/>
              </w:rPr>
            </w:pPr>
            <w:r w:rsidRPr="00924038">
              <w:rPr>
                <w:spacing w:val="3"/>
                <w:szCs w:val="24"/>
                <w:lang w:val="en"/>
              </w:rPr>
              <w:t xml:space="preserve">Anti-Injunction Act 28 USC § 2283 (2012) </w:t>
            </w:r>
            <w:r w:rsidR="00D241F0">
              <w:rPr>
                <w:spacing w:val="3"/>
                <w:szCs w:val="24"/>
                <w:lang w:val="en"/>
              </w:rPr>
              <w:t>(US)</w:t>
            </w:r>
          </w:p>
          <w:p w:rsidR="00FA5036" w:rsidRPr="00924038" w:rsidRDefault="00FA5036" w:rsidP="00721AEC">
            <w:pPr>
              <w:pStyle w:val="CasesLegislationAppealFrom"/>
              <w:spacing w:after="60"/>
              <w:rPr>
                <w:rFonts w:eastAsia="Times New Roman"/>
                <w:iCs/>
                <w:szCs w:val="24"/>
                <w:lang w:eastAsia="en-AU"/>
              </w:rPr>
            </w:pPr>
            <w:r w:rsidRPr="00924038">
              <w:rPr>
                <w:rFonts w:eastAsia="Times New Roman"/>
                <w:iCs/>
                <w:szCs w:val="24"/>
                <w:lang w:eastAsia="en-AU"/>
              </w:rPr>
              <w:t>Federal Rules of Civil Procedure, r 23</w:t>
            </w:r>
          </w:p>
          <w:p w:rsidR="00FA5036" w:rsidRPr="00924038" w:rsidRDefault="00FA5036" w:rsidP="00721AEC">
            <w:pPr>
              <w:pStyle w:val="CasesLegislationAppealFrom"/>
              <w:spacing w:after="60"/>
            </w:pPr>
            <w:r w:rsidRPr="00924038">
              <w:rPr>
                <w:rFonts w:eastAsia="Times New Roman"/>
                <w:spacing w:val="2"/>
                <w:szCs w:val="24"/>
                <w:lang w:val="en" w:eastAsia="en-AU"/>
              </w:rPr>
              <w:t>Private Securities Litigation Reform Act of 1995, Pub L No 104-67, 109 Stat 737 (US)</w:t>
            </w:r>
          </w:p>
          <w:p w:rsidR="00FA5036" w:rsidRPr="00924038" w:rsidRDefault="00FA5036" w:rsidP="00721AEC">
            <w:pPr>
              <w:pStyle w:val="CasesLegislationAppealFrom"/>
              <w:spacing w:after="60"/>
              <w:rPr>
                <w:rFonts w:eastAsia="Times New Roman"/>
                <w:spacing w:val="2"/>
                <w:szCs w:val="24"/>
                <w:lang w:val="en" w:eastAsia="en-AU"/>
              </w:rPr>
            </w:pPr>
            <w:r w:rsidRPr="00924038">
              <w:rPr>
                <w:rFonts w:eastAsia="Times New Roman"/>
                <w:spacing w:val="2"/>
                <w:szCs w:val="24"/>
                <w:lang w:val="en" w:eastAsia="en-AU"/>
              </w:rPr>
              <w:t>Securities Litigation Uniform Standards Act of 1998, Pub L No 105-353, 112 Stat 3227 (US)</w:t>
            </w:r>
          </w:p>
          <w:p w:rsidR="00395B24" w:rsidRPr="00924038" w:rsidRDefault="00FA5036" w:rsidP="00FA5036">
            <w:pPr>
              <w:pStyle w:val="CasesLegislationAppealFrom"/>
              <w:spacing w:after="60"/>
            </w:pPr>
            <w:r w:rsidRPr="00924038">
              <w:t xml:space="preserve">Supreme Court of Judicature Act 1873 (UK)   </w:t>
            </w:r>
            <w:r w:rsidR="002C7385" w:rsidRPr="00924038">
              <w:t xml:space="preserve"> </w:t>
            </w:r>
            <w:bookmarkEnd w:id="3"/>
          </w:p>
        </w:tc>
      </w:tr>
      <w:tr w:rsidR="00924038" w:rsidRPr="00924038" w:rsidTr="007D3F20">
        <w:tc>
          <w:tcPr>
            <w:tcW w:w="3085" w:type="dxa"/>
            <w:shd w:val="clear" w:color="auto" w:fill="auto"/>
          </w:tcPr>
          <w:p w:rsidR="00395B24" w:rsidRPr="00924038" w:rsidRDefault="00395B24" w:rsidP="00663878">
            <w:pPr>
              <w:pStyle w:val="Normal1linespace"/>
              <w:widowControl w:val="0"/>
              <w:jc w:val="left"/>
            </w:pPr>
          </w:p>
        </w:tc>
        <w:tc>
          <w:tcPr>
            <w:tcW w:w="5989" w:type="dxa"/>
            <w:shd w:val="clear" w:color="auto" w:fill="auto"/>
          </w:tcPr>
          <w:p w:rsidR="00395B24" w:rsidRPr="00924038" w:rsidRDefault="00395B24" w:rsidP="00663878">
            <w:pPr>
              <w:pStyle w:val="Normal1linespace"/>
              <w:widowControl w:val="0"/>
              <w:jc w:val="left"/>
            </w:pPr>
          </w:p>
        </w:tc>
      </w:tr>
      <w:tr w:rsidR="00924038" w:rsidRPr="00924038" w:rsidTr="007D3F20">
        <w:tc>
          <w:tcPr>
            <w:tcW w:w="3085" w:type="dxa"/>
            <w:shd w:val="clear" w:color="auto" w:fill="auto"/>
          </w:tcPr>
          <w:p w:rsidR="00395B24" w:rsidRPr="00924038" w:rsidRDefault="002C7385" w:rsidP="00663878">
            <w:pPr>
              <w:pStyle w:val="Normal1linespace"/>
              <w:widowControl w:val="0"/>
              <w:jc w:val="left"/>
            </w:pPr>
            <w:r w:rsidRPr="00924038">
              <w:t>Cases cited:</w:t>
            </w:r>
          </w:p>
        </w:tc>
        <w:tc>
          <w:tcPr>
            <w:tcW w:w="5989" w:type="dxa"/>
            <w:shd w:val="clear" w:color="auto" w:fill="auto"/>
          </w:tcPr>
          <w:p w:rsidR="00842139" w:rsidRPr="00924038" w:rsidRDefault="00842139" w:rsidP="006E78EF">
            <w:pPr>
              <w:pStyle w:val="CasesLegislationAppealFrom"/>
              <w:spacing w:after="60"/>
            </w:pPr>
            <w:bookmarkStart w:id="4" w:name="Cases_Cited"/>
            <w:r w:rsidRPr="00924038">
              <w:rPr>
                <w:i/>
                <w:iCs/>
                <w:lang w:val="en"/>
              </w:rPr>
              <w:t>ABN AMRO Bank NV v Bathurst Regional Council</w:t>
            </w:r>
            <w:r w:rsidRPr="00924038">
              <w:rPr>
                <w:lang w:val="en"/>
              </w:rPr>
              <w:t xml:space="preserve"> [2014] FCAFC 65; (2014) 224 FCR 1</w:t>
            </w:r>
          </w:p>
          <w:p w:rsidR="00842139" w:rsidRPr="00924038" w:rsidRDefault="00842139" w:rsidP="00A3161C">
            <w:pPr>
              <w:pStyle w:val="CasesLegislationAppealFrom"/>
              <w:spacing w:after="60"/>
              <w:rPr>
                <w:i/>
              </w:rPr>
            </w:pPr>
            <w:r w:rsidRPr="00924038">
              <w:rPr>
                <w:i/>
              </w:rPr>
              <w:t xml:space="preserve">Ahmed v Chowdhury </w:t>
            </w:r>
            <w:r w:rsidRPr="00924038">
              <w:t>[2012] NSWSC 1452</w:t>
            </w:r>
            <w:r w:rsidRPr="00924038">
              <w:rPr>
                <w:i/>
              </w:rPr>
              <w:t xml:space="preserve"> </w:t>
            </w:r>
          </w:p>
          <w:p w:rsidR="00842139" w:rsidRPr="00924038" w:rsidRDefault="00842139" w:rsidP="00A3161C">
            <w:pPr>
              <w:pStyle w:val="CasesLegislationAppealFrom"/>
              <w:spacing w:after="60"/>
              <w:rPr>
                <w:i/>
              </w:rPr>
            </w:pPr>
            <w:r w:rsidRPr="00924038">
              <w:rPr>
                <w:i/>
              </w:rPr>
              <w:t xml:space="preserve">Angelides v James Stedman Hendersons Sweets Limited </w:t>
            </w:r>
            <w:r w:rsidRPr="00924038">
              <w:t>(1927) 40 CLR 43</w:t>
            </w:r>
            <w:r w:rsidRPr="00924038">
              <w:rPr>
                <w:i/>
              </w:rPr>
              <w:t xml:space="preserve"> </w:t>
            </w:r>
          </w:p>
          <w:p w:rsidR="00842139" w:rsidRPr="00924038" w:rsidRDefault="00842139" w:rsidP="00A3161C">
            <w:pPr>
              <w:pStyle w:val="CasesLegislationAppealFrom"/>
              <w:spacing w:after="60"/>
              <w:rPr>
                <w:lang w:eastAsia="en-AU"/>
              </w:rPr>
            </w:pPr>
            <w:r w:rsidRPr="00924038">
              <w:rPr>
                <w:i/>
              </w:rPr>
              <w:t xml:space="preserve">Batistatos v Roads and Traffic Authority of New South Wales </w:t>
            </w:r>
            <w:r w:rsidRPr="00924038">
              <w:t>[2006] HCA 27; (2006) 226 CLR 256</w:t>
            </w:r>
          </w:p>
          <w:p w:rsidR="00842139" w:rsidRDefault="00842139" w:rsidP="00071A89">
            <w:pPr>
              <w:pStyle w:val="CasesLegislationAppealFrom"/>
              <w:spacing w:after="60"/>
              <w:rPr>
                <w:szCs w:val="24"/>
              </w:rPr>
            </w:pPr>
            <w:r w:rsidRPr="00924038">
              <w:rPr>
                <w:i/>
                <w:szCs w:val="24"/>
              </w:rPr>
              <w:t xml:space="preserve">Beecham (Australia) Pty Ltd v Rogue Pty Ltd </w:t>
            </w:r>
            <w:r w:rsidRPr="00924038">
              <w:rPr>
                <w:szCs w:val="24"/>
              </w:rPr>
              <w:t>(1987) 11 NSWLR 1</w:t>
            </w:r>
          </w:p>
          <w:p w:rsidR="00842139" w:rsidRPr="00924038" w:rsidRDefault="00842139" w:rsidP="0054549D">
            <w:pPr>
              <w:pStyle w:val="CasesLegislationAppealFrom"/>
              <w:spacing w:after="60"/>
              <w:rPr>
                <w:i/>
                <w:iCs/>
                <w:lang w:val="en"/>
              </w:rPr>
            </w:pPr>
            <w:r w:rsidRPr="00924038">
              <w:rPr>
                <w:i/>
                <w:iCs/>
                <w:lang w:val="en"/>
              </w:rPr>
              <w:t xml:space="preserve">Blairgowrie Trading Ltd v Allco Finance Group Ltd (recs and mgrs apptd) (in liq) (No 3) </w:t>
            </w:r>
            <w:r w:rsidRPr="00924038">
              <w:rPr>
                <w:iCs/>
                <w:lang w:val="en"/>
              </w:rPr>
              <w:t>[2017] FCA 330; (2017) 343 ALR 476</w:t>
            </w:r>
          </w:p>
          <w:p w:rsidR="00842139" w:rsidRPr="00924038" w:rsidRDefault="00842139" w:rsidP="00A3161C">
            <w:pPr>
              <w:pStyle w:val="CasesLegislationAppealFrom"/>
              <w:spacing w:after="60"/>
            </w:pPr>
            <w:r w:rsidRPr="00924038">
              <w:rPr>
                <w:i/>
              </w:rPr>
              <w:t xml:space="preserve">Blairgowrie Trading Ltd v Allco Finance Group Ltd (recs and mgrs apptd) (in liq) </w:t>
            </w:r>
            <w:r w:rsidRPr="00924038">
              <w:t>[2015] FCA 811; (2015) 325 ALR 539</w:t>
            </w:r>
          </w:p>
          <w:p w:rsidR="00842139" w:rsidRPr="00071A89" w:rsidRDefault="00842139" w:rsidP="00A3161C">
            <w:pPr>
              <w:pStyle w:val="CasesLegislationAppealFrom"/>
              <w:spacing w:after="60"/>
              <w:rPr>
                <w:i/>
              </w:rPr>
            </w:pPr>
            <w:r w:rsidRPr="00071A89">
              <w:rPr>
                <w:i/>
              </w:rPr>
              <w:t xml:space="preserve">Blue Oil Energy Pty Limited v Tan </w:t>
            </w:r>
            <w:r w:rsidRPr="00071A89">
              <w:t>[2014] NSWCA 81</w:t>
            </w:r>
          </w:p>
          <w:p w:rsidR="00842139" w:rsidRDefault="00842139" w:rsidP="00071A89">
            <w:pPr>
              <w:pStyle w:val="CasesLegislationAppealFrom"/>
              <w:spacing w:after="60"/>
            </w:pPr>
            <w:r w:rsidRPr="00924038">
              <w:rPr>
                <w:i/>
              </w:rPr>
              <w:t>Bray v F Hoffman-La Roche Ltd</w:t>
            </w:r>
            <w:r w:rsidRPr="00071A89">
              <w:rPr>
                <w:i/>
              </w:rPr>
              <w:t xml:space="preserve"> </w:t>
            </w:r>
            <w:r w:rsidRPr="00071A89">
              <w:t>[2002] FCA 1405</w:t>
            </w:r>
          </w:p>
          <w:p w:rsidR="003F3D83" w:rsidRPr="00071A89" w:rsidRDefault="00F81429" w:rsidP="00F81429">
            <w:pPr>
              <w:pStyle w:val="Normal1linespace"/>
              <w:spacing w:after="60"/>
            </w:pPr>
            <w:r w:rsidRPr="00F81429">
              <w:rPr>
                <w:i/>
              </w:rPr>
              <w:t>Brookfield Multiplex Ltd v International Litigation Funding Partners Pte Ltd</w:t>
            </w:r>
            <w:r>
              <w:t xml:space="preserve"> </w:t>
            </w:r>
            <w:r w:rsidR="003F3D83" w:rsidRPr="00924038">
              <w:t>[2009] FCAFC 147; (2009) 180 FCR 11</w:t>
            </w:r>
          </w:p>
          <w:p w:rsidR="00842139" w:rsidRPr="00924038" w:rsidRDefault="00842139" w:rsidP="006E78EF">
            <w:pPr>
              <w:pStyle w:val="CasesLegislationAppealFrom"/>
              <w:spacing w:after="60"/>
            </w:pPr>
            <w:r w:rsidRPr="00924038">
              <w:rPr>
                <w:i/>
                <w:szCs w:val="24"/>
              </w:rPr>
              <w:t>Caason Investments Pty Limited v Cao (No 2)</w:t>
            </w:r>
            <w:r w:rsidRPr="00924038">
              <w:rPr>
                <w:szCs w:val="24"/>
              </w:rPr>
              <w:t xml:space="preserve"> [2018] FCA 527</w:t>
            </w:r>
          </w:p>
          <w:p w:rsidR="00842139" w:rsidRPr="00924038" w:rsidRDefault="00842139" w:rsidP="006E78EF">
            <w:pPr>
              <w:pStyle w:val="CasesLegislationAppealFrom"/>
              <w:spacing w:after="60"/>
            </w:pPr>
            <w:r w:rsidRPr="00924038">
              <w:rPr>
                <w:i/>
                <w:iCs/>
              </w:rPr>
              <w:t xml:space="preserve">Caason Investments Pty Ltd v Cao </w:t>
            </w:r>
            <w:r w:rsidRPr="00924038">
              <w:t xml:space="preserve">[2015] FCAFC 94; </w:t>
            </w:r>
            <w:r w:rsidR="00DF5DFC">
              <w:rPr>
                <w:szCs w:val="24"/>
              </w:rPr>
              <w:t>(2015) 236 FCR 322</w:t>
            </w:r>
          </w:p>
          <w:p w:rsidR="00842139" w:rsidRDefault="00842139" w:rsidP="00A3161C">
            <w:pPr>
              <w:pStyle w:val="CasesLegislationAppealFrom"/>
              <w:spacing w:after="60"/>
            </w:pPr>
            <w:r w:rsidRPr="007D1B36">
              <w:rPr>
                <w:i/>
              </w:rPr>
              <w:t xml:space="preserve">Campbells Cash </w:t>
            </w:r>
            <w:r>
              <w:rPr>
                <w:i/>
              </w:rPr>
              <w:t>and</w:t>
            </w:r>
            <w:r w:rsidRPr="007D1B36">
              <w:rPr>
                <w:i/>
              </w:rPr>
              <w:t xml:space="preserve"> Carry Pty Limited v Fostif Pty Limited </w:t>
            </w:r>
            <w:r w:rsidRPr="00924038">
              <w:t>[2006] HCA 41; (2006) 229 CLR 386</w:t>
            </w:r>
          </w:p>
          <w:p w:rsidR="00842139" w:rsidRPr="00924038" w:rsidRDefault="00842139" w:rsidP="00D82620">
            <w:pPr>
              <w:pStyle w:val="CasesLegislationAppealFrom"/>
              <w:spacing w:after="60"/>
              <w:rPr>
                <w:i/>
              </w:rPr>
            </w:pPr>
            <w:r w:rsidRPr="00924038">
              <w:rPr>
                <w:i/>
                <w:szCs w:val="24"/>
              </w:rPr>
              <w:t xml:space="preserve">Cantor v Audi Australia Pty Limited (No 2) </w:t>
            </w:r>
            <w:r w:rsidRPr="00924038">
              <w:rPr>
                <w:szCs w:val="24"/>
              </w:rPr>
              <w:t>[2017] FCA 1042</w:t>
            </w:r>
            <w:r w:rsidRPr="00924038">
              <w:rPr>
                <w:i/>
              </w:rPr>
              <w:t xml:space="preserve"> </w:t>
            </w:r>
          </w:p>
          <w:p w:rsidR="00842139" w:rsidRDefault="00842139" w:rsidP="00071A89">
            <w:pPr>
              <w:pStyle w:val="CasesLegislationAppealFrom"/>
              <w:spacing w:after="60"/>
            </w:pPr>
            <w:r w:rsidRPr="00924038">
              <w:rPr>
                <w:i/>
              </w:rPr>
              <w:t>Capic v Ford Motor Company (No 2)</w:t>
            </w:r>
            <w:r w:rsidRPr="00071A89">
              <w:rPr>
                <w:i/>
              </w:rPr>
              <w:t xml:space="preserve"> </w:t>
            </w:r>
            <w:r w:rsidRPr="00071A89">
              <w:t>[2016] FCA 1178</w:t>
            </w:r>
          </w:p>
          <w:p w:rsidR="00842139" w:rsidRPr="00924038" w:rsidRDefault="00842139" w:rsidP="006E78EF">
            <w:pPr>
              <w:pStyle w:val="CasesLegislationAppealFrom"/>
              <w:spacing w:after="60"/>
            </w:pPr>
            <w:r w:rsidRPr="00924038">
              <w:rPr>
                <w:i/>
              </w:rPr>
              <w:t>Chowder Bay Pty Ltd v Paganin</w:t>
            </w:r>
            <w:r w:rsidRPr="00924038">
              <w:t xml:space="preserve"> [2018] FCAFC 25</w:t>
            </w:r>
          </w:p>
          <w:p w:rsidR="00842139" w:rsidRPr="00924038" w:rsidRDefault="00842139" w:rsidP="00D82620">
            <w:pPr>
              <w:pStyle w:val="CasesLegislationAppealFrom"/>
              <w:spacing w:after="60"/>
            </w:pPr>
            <w:r w:rsidRPr="00924038">
              <w:rPr>
                <w:i/>
              </w:rPr>
              <w:t>Clarke v Sandhurst Trustees Limited (No 2)</w:t>
            </w:r>
            <w:r w:rsidRPr="00924038">
              <w:t xml:space="preserve"> [2018] FCA 511 </w:t>
            </w:r>
          </w:p>
          <w:p w:rsidR="00842139" w:rsidRPr="00924038" w:rsidRDefault="00842139" w:rsidP="00A3161C">
            <w:pPr>
              <w:pStyle w:val="CasesLegislationAppealFrom"/>
              <w:spacing w:after="60"/>
              <w:rPr>
                <w:i/>
              </w:rPr>
            </w:pPr>
            <w:r w:rsidRPr="00924038">
              <w:rPr>
                <w:i/>
              </w:rPr>
              <w:t xml:space="preserve">Coal and Allied Operations Pty Ltd v Australian Industrial Relations Commission </w:t>
            </w:r>
            <w:r w:rsidRPr="00924038">
              <w:t xml:space="preserve">[2000] HCA 47; (2000) 203 CLR </w:t>
            </w:r>
            <w:r w:rsidRPr="00924038">
              <w:lastRenderedPageBreak/>
              <w:t>194</w:t>
            </w:r>
          </w:p>
          <w:p w:rsidR="00842139" w:rsidRPr="00924038" w:rsidRDefault="00842139" w:rsidP="00A3161C">
            <w:pPr>
              <w:pStyle w:val="CasesLegislationAppealFrom"/>
              <w:spacing w:after="60"/>
              <w:rPr>
                <w:i/>
              </w:rPr>
            </w:pPr>
            <w:r w:rsidRPr="00924038">
              <w:rPr>
                <w:i/>
              </w:rPr>
              <w:t xml:space="preserve">CPB Contractors Pty Limited v Celsus Pty Limited (formerly known as SA Health Partnership Nominees Pty Ltd) </w:t>
            </w:r>
            <w:r w:rsidRPr="00924038">
              <w:t>[2017] FCA 1620</w:t>
            </w:r>
          </w:p>
          <w:p w:rsidR="00842139" w:rsidRPr="00924038" w:rsidRDefault="00842139" w:rsidP="00A3161C">
            <w:pPr>
              <w:pStyle w:val="CasesLegislationAppealFrom"/>
              <w:spacing w:after="60"/>
              <w:rPr>
                <w:i/>
              </w:rPr>
            </w:pPr>
            <w:r w:rsidRPr="00924038">
              <w:rPr>
                <w:i/>
              </w:rPr>
              <w:t xml:space="preserve">CSR Limited v Cigna Insurance Australia Limited </w:t>
            </w:r>
            <w:r w:rsidRPr="00924038">
              <w:t>(1997) 189 CLR 345</w:t>
            </w:r>
            <w:r w:rsidRPr="00924038">
              <w:rPr>
                <w:i/>
              </w:rPr>
              <w:t xml:space="preserve"> </w:t>
            </w:r>
          </w:p>
          <w:p w:rsidR="00842139" w:rsidRPr="00924038" w:rsidRDefault="00842139" w:rsidP="001B6FBC">
            <w:pPr>
              <w:pStyle w:val="CasesLegislationAppealFrom"/>
              <w:spacing w:after="60"/>
              <w:rPr>
                <w:rFonts w:eastAsia="Times New Roman"/>
                <w:i/>
                <w:iCs/>
                <w:spacing w:val="3"/>
                <w:szCs w:val="24"/>
                <w:lang w:val="en" w:eastAsia="en-AU"/>
              </w:rPr>
            </w:pPr>
            <w:r w:rsidRPr="00924038">
              <w:rPr>
                <w:rFonts w:eastAsia="Times New Roman"/>
                <w:bCs/>
                <w:i/>
                <w:kern w:val="36"/>
                <w:szCs w:val="24"/>
                <w:lang w:val="en" w:eastAsia="en-AU"/>
              </w:rPr>
              <w:t>Cyan Inc v Beaver County Employees Retirement Fund</w:t>
            </w:r>
            <w:r w:rsidRPr="00924038">
              <w:rPr>
                <w:rFonts w:eastAsia="Times New Roman"/>
                <w:bCs/>
                <w:caps/>
                <w:kern w:val="36"/>
                <w:szCs w:val="24"/>
                <w:lang w:val="en" w:eastAsia="en-AU"/>
              </w:rPr>
              <w:t xml:space="preserve"> </w:t>
            </w:r>
            <w:r w:rsidRPr="00924038">
              <w:rPr>
                <w:rFonts w:eastAsia="Times New Roman"/>
                <w:spacing w:val="2"/>
                <w:szCs w:val="24"/>
                <w:lang w:val="en" w:eastAsia="en-AU"/>
              </w:rPr>
              <w:t>138 S Ct 1061</w:t>
            </w:r>
            <w:r w:rsidRPr="00924038">
              <w:rPr>
                <w:rFonts w:eastAsia="Times New Roman"/>
                <w:bCs/>
                <w:caps/>
                <w:kern w:val="36"/>
                <w:szCs w:val="24"/>
                <w:lang w:val="en" w:eastAsia="en-AU"/>
              </w:rPr>
              <w:t xml:space="preserve"> </w:t>
            </w:r>
            <w:r w:rsidRPr="00924038">
              <w:rPr>
                <w:rFonts w:eastAsia="Times New Roman"/>
                <w:bCs/>
                <w:kern w:val="36"/>
                <w:szCs w:val="24"/>
                <w:lang w:val="en" w:eastAsia="en-AU"/>
              </w:rPr>
              <w:t>(2018)</w:t>
            </w:r>
            <w:r w:rsidRPr="00924038">
              <w:rPr>
                <w:rFonts w:eastAsia="Times New Roman"/>
                <w:i/>
                <w:iCs/>
                <w:spacing w:val="3"/>
                <w:szCs w:val="24"/>
                <w:lang w:val="en" w:eastAsia="en-AU"/>
              </w:rPr>
              <w:t xml:space="preserve"> </w:t>
            </w:r>
          </w:p>
          <w:p w:rsidR="00842139" w:rsidRPr="00071A89" w:rsidRDefault="00842139" w:rsidP="00071A89">
            <w:pPr>
              <w:pStyle w:val="CasesLegislationAppealFrom"/>
              <w:spacing w:after="60"/>
              <w:rPr>
                <w:i/>
              </w:rPr>
            </w:pPr>
            <w:r w:rsidRPr="00924038">
              <w:rPr>
                <w:i/>
              </w:rPr>
              <w:t xml:space="preserve">De Jong v Carnival PLC (No 3) </w:t>
            </w:r>
            <w:r w:rsidRPr="00071A89">
              <w:t>[2016] NSWSC 1461</w:t>
            </w:r>
          </w:p>
          <w:p w:rsidR="00842139" w:rsidRPr="00924038" w:rsidRDefault="00842139" w:rsidP="00A3161C">
            <w:pPr>
              <w:pStyle w:val="CasesLegislationAppealFrom"/>
              <w:spacing w:after="60"/>
              <w:rPr>
                <w:i/>
              </w:rPr>
            </w:pPr>
            <w:r w:rsidRPr="00924038">
              <w:rPr>
                <w:i/>
              </w:rPr>
              <w:t xml:space="preserve">Dillon v RBS Group (Australia) Pty Ltd </w:t>
            </w:r>
            <w:r w:rsidRPr="00924038">
              <w:t>[2017] FCA 896; (2017) 252 FCR 150</w:t>
            </w:r>
            <w:r w:rsidRPr="00924038">
              <w:rPr>
                <w:i/>
              </w:rPr>
              <w:t xml:space="preserve"> </w:t>
            </w:r>
          </w:p>
          <w:p w:rsidR="00842139" w:rsidRPr="00924038" w:rsidRDefault="00F81429" w:rsidP="00D82620">
            <w:pPr>
              <w:pStyle w:val="CasesLegislationAppealFrom"/>
              <w:spacing w:after="60"/>
            </w:pPr>
            <w:r w:rsidRPr="00F81429">
              <w:rPr>
                <w:i/>
              </w:rPr>
              <w:t>Dorajay Pty Ltd v Aristocrat Leisure Ltd</w:t>
            </w:r>
            <w:r>
              <w:t xml:space="preserve"> </w:t>
            </w:r>
            <w:r w:rsidR="00842139" w:rsidRPr="00924038">
              <w:t>[2005] FCA 1483; (2005) 147 FCR 394</w:t>
            </w:r>
          </w:p>
          <w:p w:rsidR="00842139" w:rsidRPr="00924038" w:rsidRDefault="00842139" w:rsidP="0054549D">
            <w:pPr>
              <w:pStyle w:val="CasesLegislationAppealFrom"/>
              <w:spacing w:after="60"/>
              <w:rPr>
                <w:i/>
                <w:iCs/>
                <w:lang w:val="en"/>
              </w:rPr>
            </w:pPr>
            <w:r w:rsidRPr="00924038">
              <w:rPr>
                <w:i/>
                <w:iCs/>
                <w:lang w:val="en"/>
              </w:rPr>
              <w:t xml:space="preserve">Earglow Pty Ltd v Newcrest Mining Limited </w:t>
            </w:r>
            <w:r w:rsidRPr="00924038">
              <w:rPr>
                <w:iCs/>
                <w:lang w:val="en"/>
              </w:rPr>
              <w:t>[2016] FCA 1433</w:t>
            </w:r>
          </w:p>
          <w:p w:rsidR="00842139" w:rsidRDefault="00842139" w:rsidP="0054549D">
            <w:pPr>
              <w:pStyle w:val="CasesLegislationAppealFrom"/>
              <w:spacing w:after="60"/>
              <w:rPr>
                <w:iCs/>
                <w:lang w:val="en"/>
              </w:rPr>
            </w:pPr>
            <w:r w:rsidRPr="00924038">
              <w:rPr>
                <w:i/>
                <w:iCs/>
                <w:lang w:val="en"/>
              </w:rPr>
              <w:t xml:space="preserve">Femcare Ltd v Bright </w:t>
            </w:r>
            <w:r w:rsidRPr="00924038">
              <w:rPr>
                <w:iCs/>
                <w:lang w:val="en"/>
              </w:rPr>
              <w:t>[2000] FCA 512; (2000) 100 FCR 331</w:t>
            </w:r>
          </w:p>
          <w:p w:rsidR="00842139" w:rsidRPr="00924038" w:rsidRDefault="00842139" w:rsidP="00A3161C">
            <w:pPr>
              <w:pStyle w:val="CasesLegislationAppealFrom"/>
              <w:spacing w:after="60"/>
              <w:rPr>
                <w:i/>
              </w:rPr>
            </w:pPr>
            <w:r w:rsidRPr="00924038">
              <w:rPr>
                <w:i/>
                <w:iCs/>
              </w:rPr>
              <w:t>Gee</w:t>
            </w:r>
            <w:r w:rsidRPr="00924038">
              <w:rPr>
                <w:i/>
              </w:rPr>
              <w:t xml:space="preserve"> v </w:t>
            </w:r>
            <w:r w:rsidRPr="00924038">
              <w:rPr>
                <w:i/>
                <w:iCs/>
              </w:rPr>
              <w:t>Pritchard</w:t>
            </w:r>
            <w:r w:rsidRPr="00924038">
              <w:rPr>
                <w:i/>
              </w:rPr>
              <w:t xml:space="preserve"> </w:t>
            </w:r>
            <w:r w:rsidRPr="00924038">
              <w:t>(1818) 2 Swans 402; 36 ER 670</w:t>
            </w:r>
            <w:r w:rsidRPr="00924038">
              <w:rPr>
                <w:i/>
              </w:rPr>
              <w:t xml:space="preserve"> </w:t>
            </w:r>
          </w:p>
          <w:p w:rsidR="00842139" w:rsidRPr="00924038" w:rsidRDefault="00842139" w:rsidP="00D82620">
            <w:pPr>
              <w:pStyle w:val="CasesLegislationAppealFrom"/>
              <w:spacing w:after="60"/>
              <w:rPr>
                <w:i/>
                <w:szCs w:val="24"/>
              </w:rPr>
            </w:pPr>
            <w:r w:rsidRPr="00924038">
              <w:rPr>
                <w:i/>
                <w:szCs w:val="24"/>
              </w:rPr>
              <w:t>Gorecki v Canada (AG)</w:t>
            </w:r>
            <w:r w:rsidRPr="00924038">
              <w:rPr>
                <w:szCs w:val="24"/>
              </w:rPr>
              <w:t xml:space="preserve"> 2004 CarswellOnt 1266; (2004) 47 CPC (5th) 151</w:t>
            </w:r>
            <w:r w:rsidRPr="00924038">
              <w:rPr>
                <w:i/>
                <w:szCs w:val="24"/>
              </w:rPr>
              <w:t xml:space="preserve"> </w:t>
            </w:r>
          </w:p>
          <w:p w:rsidR="00842139" w:rsidRPr="00924038" w:rsidRDefault="00842139" w:rsidP="006E78EF">
            <w:pPr>
              <w:pStyle w:val="CasesLegislationAppealFrom"/>
              <w:spacing w:after="60"/>
            </w:pPr>
            <w:r w:rsidRPr="00924038">
              <w:rPr>
                <w:i/>
                <w:iCs/>
              </w:rPr>
              <w:t xml:space="preserve">Grant-Taylor v Babcock and Brown Ltd (in liq) </w:t>
            </w:r>
            <w:r w:rsidRPr="00924038">
              <w:t>[2015] FCA 149; (2015) 322 ALR 723</w:t>
            </w:r>
          </w:p>
          <w:p w:rsidR="00842139" w:rsidRPr="00924038" w:rsidRDefault="00842139" w:rsidP="0054549D">
            <w:pPr>
              <w:pStyle w:val="CasesLegislationAppealFrom"/>
              <w:spacing w:after="60"/>
              <w:rPr>
                <w:i/>
                <w:iCs/>
                <w:lang w:val="en"/>
              </w:rPr>
            </w:pPr>
            <w:r w:rsidRPr="00924038">
              <w:rPr>
                <w:i/>
                <w:iCs/>
                <w:lang w:val="en"/>
              </w:rPr>
              <w:t xml:space="preserve">Hardy v Reckitt Benckiser (Australia) Pty Limited (No 3) </w:t>
            </w:r>
            <w:r w:rsidRPr="00924038">
              <w:rPr>
                <w:iCs/>
                <w:lang w:val="en"/>
              </w:rPr>
              <w:t>[2017] FCA 1165</w:t>
            </w:r>
          </w:p>
          <w:p w:rsidR="00842139" w:rsidRPr="00924038" w:rsidRDefault="00842139" w:rsidP="00D82620">
            <w:pPr>
              <w:pStyle w:val="CasesLegislationAppealFrom"/>
              <w:spacing w:after="60"/>
              <w:rPr>
                <w:i/>
              </w:rPr>
            </w:pPr>
            <w:r w:rsidRPr="00924038">
              <w:rPr>
                <w:i/>
              </w:rPr>
              <w:t xml:space="preserve">Hassid v Queensland Bulk Water Supply Authority </w:t>
            </w:r>
            <w:r w:rsidRPr="00924038">
              <w:t>[2017] NSWSC 599</w:t>
            </w:r>
            <w:r w:rsidRPr="00924038">
              <w:rPr>
                <w:i/>
              </w:rPr>
              <w:t xml:space="preserve"> </w:t>
            </w:r>
          </w:p>
          <w:p w:rsidR="00842139" w:rsidRPr="00924038" w:rsidRDefault="00842139" w:rsidP="00A3161C">
            <w:pPr>
              <w:pStyle w:val="CasesLegislationAppealFrom"/>
              <w:spacing w:after="60"/>
              <w:rPr>
                <w:i/>
              </w:rPr>
            </w:pPr>
            <w:r w:rsidRPr="00924038">
              <w:rPr>
                <w:i/>
              </w:rPr>
              <w:t xml:space="preserve">Henry v Henry </w:t>
            </w:r>
            <w:r w:rsidRPr="00924038">
              <w:t>(1996) 185 CLR 571</w:t>
            </w:r>
          </w:p>
          <w:p w:rsidR="00842139" w:rsidRDefault="00842139" w:rsidP="00A3161C">
            <w:pPr>
              <w:pStyle w:val="CasesLegislationAppealFrom"/>
              <w:spacing w:after="60"/>
              <w:rPr>
                <w:szCs w:val="24"/>
              </w:rPr>
            </w:pPr>
            <w:r w:rsidRPr="00636FB8">
              <w:rPr>
                <w:i/>
                <w:szCs w:val="24"/>
              </w:rPr>
              <w:t xml:space="preserve">Hunter v Chief Constable of the West Midlands Police </w:t>
            </w:r>
            <w:r w:rsidRPr="00636FB8">
              <w:rPr>
                <w:szCs w:val="24"/>
              </w:rPr>
              <w:t>[1982] AC 529</w:t>
            </w:r>
          </w:p>
          <w:p w:rsidR="00842139" w:rsidRPr="00924038" w:rsidRDefault="00842139" w:rsidP="00A3161C">
            <w:pPr>
              <w:pStyle w:val="CasesLegislationAppealFrom"/>
              <w:spacing w:after="60"/>
            </w:pPr>
            <w:r w:rsidRPr="00924038">
              <w:rPr>
                <w:i/>
              </w:rPr>
              <w:t>In r</w:t>
            </w:r>
            <w:r w:rsidRPr="00924038">
              <w:rPr>
                <w:i/>
                <w:iCs/>
              </w:rPr>
              <w:t>e Diplock; Diplock v Wintle</w:t>
            </w:r>
            <w:r w:rsidRPr="00924038">
              <w:rPr>
                <w:i/>
              </w:rPr>
              <w:t xml:space="preserve"> </w:t>
            </w:r>
            <w:r w:rsidRPr="00924038">
              <w:t>[1948] Ch 465</w:t>
            </w:r>
          </w:p>
          <w:p w:rsidR="00842139" w:rsidRPr="00924038" w:rsidRDefault="00842139" w:rsidP="00A3161C">
            <w:pPr>
              <w:pStyle w:val="CasesLegislationAppealFrom"/>
              <w:spacing w:after="60"/>
              <w:rPr>
                <w:i/>
              </w:rPr>
            </w:pPr>
            <w:r w:rsidRPr="00924038">
              <w:rPr>
                <w:i/>
              </w:rPr>
              <w:t xml:space="preserve">Jackson v Sterling Industries Ltd </w:t>
            </w:r>
            <w:r w:rsidRPr="00924038">
              <w:t>(1987) 162 CLR 612</w:t>
            </w:r>
          </w:p>
          <w:p w:rsidR="004D6AD5" w:rsidRPr="004D6AD5" w:rsidRDefault="004D6AD5" w:rsidP="00D82620">
            <w:pPr>
              <w:pStyle w:val="CasesLegislationAppealFrom"/>
              <w:spacing w:after="60"/>
            </w:pPr>
            <w:r>
              <w:rPr>
                <w:i/>
              </w:rPr>
              <w:t xml:space="preserve">Jameson v Professional Investment Services Pty Ltd </w:t>
            </w:r>
            <w:r>
              <w:t>[2007] NSWSC 1437; (2007) 215 FLR 377</w:t>
            </w:r>
          </w:p>
          <w:p w:rsidR="00842139" w:rsidRPr="00924038" w:rsidRDefault="00842139" w:rsidP="00D82620">
            <w:pPr>
              <w:pStyle w:val="CasesLegislationAppealFrom"/>
              <w:spacing w:after="60"/>
              <w:rPr>
                <w:i/>
              </w:rPr>
            </w:pPr>
            <w:r w:rsidRPr="00924038">
              <w:rPr>
                <w:i/>
              </w:rPr>
              <w:t>Jeffery &amp; Katauskas Pty Limited v SST Consulting Pty Ltd</w:t>
            </w:r>
            <w:r w:rsidRPr="00924038">
              <w:t xml:space="preserve"> [2009] HCA 43; (2009) 239 CLR 75</w:t>
            </w:r>
            <w:r w:rsidRPr="00924038">
              <w:rPr>
                <w:i/>
              </w:rPr>
              <w:t xml:space="preserve"> </w:t>
            </w:r>
          </w:p>
          <w:p w:rsidR="00842139" w:rsidRPr="00DF2AA1" w:rsidRDefault="00842139" w:rsidP="0054549D">
            <w:pPr>
              <w:pStyle w:val="CasesLegislationAppealFrom"/>
              <w:spacing w:after="60"/>
              <w:rPr>
                <w:i/>
              </w:rPr>
            </w:pPr>
            <w:r w:rsidRPr="00924038">
              <w:rPr>
                <w:i/>
              </w:rPr>
              <w:t xml:space="preserve">Johnson Tiles Pty Ltd v Esso Australia Limited </w:t>
            </w:r>
            <w:r w:rsidRPr="00924038">
              <w:rPr>
                <w:bCs/>
                <w:szCs w:val="24"/>
              </w:rPr>
              <w:t>[1999] FCA 56</w:t>
            </w:r>
            <w:r w:rsidRPr="00924038">
              <w:t>; (1999) ATPR 41-679</w:t>
            </w:r>
            <w:r w:rsidR="00DF2AA1">
              <w:rPr>
                <w:i/>
              </w:rPr>
              <w:t xml:space="preserve"> </w:t>
            </w:r>
          </w:p>
          <w:p w:rsidR="00842139" w:rsidRPr="00924038" w:rsidRDefault="00842139" w:rsidP="0054549D">
            <w:pPr>
              <w:pStyle w:val="CasesLegislationAppealFrom"/>
              <w:spacing w:after="60"/>
              <w:rPr>
                <w:i/>
                <w:iCs/>
                <w:lang w:val="en"/>
              </w:rPr>
            </w:pPr>
            <w:r w:rsidRPr="00924038">
              <w:rPr>
                <w:i/>
                <w:iCs/>
                <w:lang w:val="en"/>
              </w:rPr>
              <w:t xml:space="preserve">Kelly v Willmott Forests Ltd (in liquidation) (No 2) </w:t>
            </w:r>
            <w:r w:rsidRPr="00924038">
              <w:rPr>
                <w:iCs/>
                <w:lang w:val="en"/>
              </w:rPr>
              <w:t>[2013] FCA 732</w:t>
            </w:r>
          </w:p>
          <w:p w:rsidR="00842139" w:rsidRPr="00924038" w:rsidRDefault="00842139" w:rsidP="0054549D">
            <w:pPr>
              <w:pStyle w:val="CasesLegislationAppealFrom"/>
              <w:spacing w:after="60"/>
              <w:rPr>
                <w:i/>
                <w:iCs/>
                <w:lang w:val="en"/>
              </w:rPr>
            </w:pPr>
            <w:r w:rsidRPr="00924038">
              <w:rPr>
                <w:i/>
                <w:iCs/>
                <w:lang w:val="en"/>
              </w:rPr>
              <w:t xml:space="preserve">Kelly v Willmott Forests Ltd (in liquidation) (No 4) </w:t>
            </w:r>
            <w:r w:rsidRPr="00924038">
              <w:rPr>
                <w:iCs/>
                <w:lang w:val="en"/>
              </w:rPr>
              <w:t>[2016] FCA 323; (2016) 335 ALR 439</w:t>
            </w:r>
          </w:p>
          <w:p w:rsidR="00842139" w:rsidRPr="00924038" w:rsidRDefault="00842139" w:rsidP="00D82620">
            <w:pPr>
              <w:pStyle w:val="CasesLegislationAppealFrom"/>
              <w:spacing w:after="60"/>
              <w:rPr>
                <w:i/>
              </w:rPr>
            </w:pPr>
            <w:r w:rsidRPr="00924038">
              <w:rPr>
                <w:i/>
              </w:rPr>
              <w:t xml:space="preserve">King v GIO Australia Holdings Ltd </w:t>
            </w:r>
            <w:r w:rsidRPr="00924038">
              <w:t>[2000] FCA 617; (2000) 100 FCR 209</w:t>
            </w:r>
            <w:r w:rsidRPr="00924038">
              <w:rPr>
                <w:i/>
              </w:rPr>
              <w:t xml:space="preserve"> </w:t>
            </w:r>
          </w:p>
          <w:p w:rsidR="00842139" w:rsidRPr="00924038" w:rsidRDefault="00842139" w:rsidP="00D82620">
            <w:pPr>
              <w:pStyle w:val="CasesLegislationAppealFrom"/>
              <w:spacing w:after="60"/>
              <w:rPr>
                <w:i/>
              </w:rPr>
            </w:pPr>
            <w:r w:rsidRPr="00924038">
              <w:rPr>
                <w:i/>
              </w:rPr>
              <w:t xml:space="preserve">Kirby v Centro Properties Ltd </w:t>
            </w:r>
            <w:r w:rsidRPr="00924038">
              <w:t>[2008] FCA 1505; (2008) 253 ALR 65</w:t>
            </w:r>
            <w:r w:rsidRPr="00924038">
              <w:rPr>
                <w:i/>
              </w:rPr>
              <w:t xml:space="preserve"> </w:t>
            </w:r>
          </w:p>
          <w:p w:rsidR="00842139" w:rsidRPr="00924038" w:rsidRDefault="00842139" w:rsidP="001B6FBC">
            <w:pPr>
              <w:pStyle w:val="CasesLegislationAppealFrom"/>
              <w:spacing w:after="60"/>
              <w:rPr>
                <w:szCs w:val="24"/>
              </w:rPr>
            </w:pPr>
            <w:r w:rsidRPr="00924038">
              <w:rPr>
                <w:i/>
                <w:szCs w:val="24"/>
              </w:rPr>
              <w:lastRenderedPageBreak/>
              <w:t xml:space="preserve">Locking v Armtec Infrastracture Inc </w:t>
            </w:r>
            <w:r w:rsidRPr="00924038">
              <w:rPr>
                <w:szCs w:val="24"/>
              </w:rPr>
              <w:t xml:space="preserve">2013 ONSC 331; (2013) 303 OAC 299 </w:t>
            </w:r>
          </w:p>
          <w:p w:rsidR="00842139" w:rsidRPr="00924038" w:rsidRDefault="00842139" w:rsidP="0054549D">
            <w:pPr>
              <w:pStyle w:val="CasesLegislationAppealFrom"/>
              <w:spacing w:after="60"/>
              <w:rPr>
                <w:i/>
                <w:iCs/>
                <w:lang w:val="en"/>
              </w:rPr>
            </w:pPr>
            <w:r w:rsidRPr="00924038">
              <w:rPr>
                <w:i/>
                <w:iCs/>
                <w:lang w:val="en"/>
              </w:rPr>
              <w:t xml:space="preserve">Madgwick v Kelly </w:t>
            </w:r>
            <w:r w:rsidRPr="00924038">
              <w:rPr>
                <w:iCs/>
                <w:lang w:val="en"/>
              </w:rPr>
              <w:t>[2013] FCAFC 61; (2013) 212 FCR 1</w:t>
            </w:r>
          </w:p>
          <w:p w:rsidR="00842139" w:rsidRPr="00924038" w:rsidRDefault="00842139" w:rsidP="001B6FBC">
            <w:pPr>
              <w:pStyle w:val="CasesLegislationAppealFrom"/>
              <w:spacing w:after="60"/>
              <w:rPr>
                <w:szCs w:val="24"/>
              </w:rPr>
            </w:pPr>
            <w:r w:rsidRPr="00924038">
              <w:rPr>
                <w:i/>
                <w:szCs w:val="24"/>
              </w:rPr>
              <w:t xml:space="preserve">Mancinelli v Barrick Gold Corporation </w:t>
            </w:r>
            <w:r w:rsidRPr="00924038">
              <w:rPr>
                <w:szCs w:val="24"/>
              </w:rPr>
              <w:t>2015 ONSC 2717; (2015) 126 OR (3d) 296</w:t>
            </w:r>
          </w:p>
          <w:p w:rsidR="00842139" w:rsidRPr="00924038" w:rsidRDefault="00842139" w:rsidP="00A3161C">
            <w:pPr>
              <w:pStyle w:val="CasesLegislationAppealFrom"/>
              <w:spacing w:after="60"/>
              <w:rPr>
                <w:i/>
              </w:rPr>
            </w:pPr>
            <w:r w:rsidRPr="00924038">
              <w:rPr>
                <w:i/>
              </w:rPr>
              <w:t xml:space="preserve">Markt &amp; Co Limited v Knight Steamship Company Limited </w:t>
            </w:r>
            <w:r w:rsidRPr="00924038">
              <w:t>[1910] 2 KB 1021</w:t>
            </w:r>
            <w:r w:rsidRPr="00924038">
              <w:rPr>
                <w:i/>
              </w:rPr>
              <w:t xml:space="preserve"> </w:t>
            </w:r>
          </w:p>
          <w:p w:rsidR="00842139" w:rsidRPr="00924038" w:rsidRDefault="00842139" w:rsidP="00D82620">
            <w:pPr>
              <w:pStyle w:val="CasesLegislationAppealFrom"/>
              <w:spacing w:after="60"/>
              <w:rPr>
                <w:i/>
              </w:rPr>
            </w:pPr>
            <w:r w:rsidRPr="00924038">
              <w:rPr>
                <w:i/>
              </w:rPr>
              <w:t>McKay Super Solutions Pty Ltd (Trustee) v Bellamy’s Australia Ltd</w:t>
            </w:r>
            <w:r w:rsidRPr="00924038">
              <w:t xml:space="preserve"> [2017] FCA 947</w:t>
            </w:r>
            <w:r w:rsidRPr="00924038">
              <w:rPr>
                <w:i/>
              </w:rPr>
              <w:t xml:space="preserve"> </w:t>
            </w:r>
          </w:p>
          <w:p w:rsidR="00842139" w:rsidRPr="00924038" w:rsidRDefault="00842139" w:rsidP="00A3161C">
            <w:pPr>
              <w:pStyle w:val="CasesLegislationAppealFrom"/>
              <w:spacing w:after="60"/>
              <w:rPr>
                <w:i/>
              </w:rPr>
            </w:pPr>
            <w:r w:rsidRPr="00924038">
              <w:rPr>
                <w:i/>
              </w:rPr>
              <w:t xml:space="preserve">McMullin v ICI Australia Operations Pty Ltd </w:t>
            </w:r>
            <w:r w:rsidRPr="00924038">
              <w:t>(1998) 84 FCR 1</w:t>
            </w:r>
          </w:p>
          <w:p w:rsidR="00842139" w:rsidRPr="00924038" w:rsidRDefault="00842139" w:rsidP="00A3161C">
            <w:pPr>
              <w:pStyle w:val="CasesLegislationAppealFrom"/>
              <w:spacing w:after="60"/>
              <w:rPr>
                <w:i/>
              </w:rPr>
            </w:pPr>
            <w:r w:rsidRPr="00924038">
              <w:rPr>
                <w:i/>
              </w:rPr>
              <w:t xml:space="preserve">Melbourne City Investments Pty Ltd v Myer Holdings Limited </w:t>
            </w:r>
            <w:r w:rsidRPr="00924038">
              <w:t>[2017] VSCA 187</w:t>
            </w:r>
          </w:p>
          <w:p w:rsidR="00842139" w:rsidRPr="00924038" w:rsidRDefault="00842139" w:rsidP="0054549D">
            <w:pPr>
              <w:pStyle w:val="CasesLegislationAppealFrom"/>
              <w:spacing w:after="60"/>
              <w:rPr>
                <w:i/>
                <w:iCs/>
                <w:lang w:val="en"/>
              </w:rPr>
            </w:pPr>
            <w:r w:rsidRPr="00924038">
              <w:rPr>
                <w:rFonts w:eastAsia="Times New Roman"/>
                <w:i/>
                <w:szCs w:val="24"/>
                <w:lang w:val="en-US" w:eastAsia="en-AU"/>
              </w:rPr>
              <w:t>Melbourne City Investments Pty L</w:t>
            </w:r>
            <w:r>
              <w:rPr>
                <w:rFonts w:eastAsia="Times New Roman"/>
                <w:i/>
                <w:szCs w:val="24"/>
                <w:lang w:val="en-US" w:eastAsia="en-AU"/>
              </w:rPr>
              <w:t>td</w:t>
            </w:r>
            <w:r w:rsidRPr="00924038">
              <w:rPr>
                <w:rFonts w:eastAsia="Times New Roman"/>
                <w:i/>
                <w:szCs w:val="24"/>
                <w:lang w:val="en-US" w:eastAsia="en-AU"/>
              </w:rPr>
              <w:t xml:space="preserve"> v Treasury Wine Estates L</w:t>
            </w:r>
            <w:r>
              <w:rPr>
                <w:rFonts w:eastAsia="Times New Roman"/>
                <w:i/>
                <w:szCs w:val="24"/>
                <w:lang w:val="en-US" w:eastAsia="en-AU"/>
              </w:rPr>
              <w:t>td</w:t>
            </w:r>
            <w:r w:rsidRPr="00924038">
              <w:rPr>
                <w:rFonts w:eastAsia="Times New Roman"/>
                <w:i/>
                <w:szCs w:val="24"/>
                <w:lang w:val="en-US" w:eastAsia="en-AU"/>
              </w:rPr>
              <w:t xml:space="preserve"> </w:t>
            </w:r>
            <w:r w:rsidRPr="00924038">
              <w:rPr>
                <w:rFonts w:eastAsia="Times New Roman"/>
                <w:szCs w:val="24"/>
                <w:lang w:val="en-US" w:eastAsia="en-AU"/>
              </w:rPr>
              <w:t>[2016] FCA 787; (2016) 243 FCR 474</w:t>
            </w:r>
          </w:p>
          <w:p w:rsidR="001B0F99" w:rsidRPr="001B0F99" w:rsidRDefault="001B0F99" w:rsidP="0054549D">
            <w:pPr>
              <w:pStyle w:val="CasesLegislationAppealFrom"/>
              <w:spacing w:after="60"/>
              <w:rPr>
                <w:iCs/>
                <w:lang w:val="en"/>
              </w:rPr>
            </w:pPr>
            <w:r>
              <w:rPr>
                <w:i/>
                <w:iCs/>
                <w:lang w:val="en"/>
              </w:rPr>
              <w:t>Melbourne City Investments Pty Ltd v Treasury Wine Estates Ltd</w:t>
            </w:r>
            <w:r>
              <w:rPr>
                <w:iCs/>
                <w:lang w:val="en"/>
              </w:rPr>
              <w:t xml:space="preserve"> [2017] FCAFC 98; (2017) 252 FCR 1</w:t>
            </w:r>
          </w:p>
          <w:p w:rsidR="00842139" w:rsidRPr="00924038" w:rsidRDefault="00842139" w:rsidP="0054549D">
            <w:pPr>
              <w:pStyle w:val="CasesLegislationAppealFrom"/>
              <w:spacing w:after="60"/>
              <w:rPr>
                <w:i/>
                <w:iCs/>
                <w:lang w:val="en"/>
              </w:rPr>
            </w:pPr>
            <w:r w:rsidRPr="00924038">
              <w:rPr>
                <w:i/>
                <w:iCs/>
                <w:lang w:val="en"/>
              </w:rPr>
              <w:t xml:space="preserve">Mitic v OZ Minerals Limited (No 2) </w:t>
            </w:r>
            <w:r w:rsidRPr="00924038">
              <w:rPr>
                <w:iCs/>
                <w:lang w:val="en"/>
              </w:rPr>
              <w:t>[2017] FCA 409</w:t>
            </w:r>
          </w:p>
          <w:p w:rsidR="00842139" w:rsidRPr="00924038" w:rsidRDefault="00842139" w:rsidP="00A3161C">
            <w:pPr>
              <w:pStyle w:val="CasesLegislationAppealFrom"/>
              <w:spacing w:after="60"/>
              <w:rPr>
                <w:i/>
              </w:rPr>
            </w:pPr>
            <w:r w:rsidRPr="00924038">
              <w:rPr>
                <w:i/>
              </w:rPr>
              <w:t xml:space="preserve">Moore v Inglis </w:t>
            </w:r>
            <w:r w:rsidRPr="00924038">
              <w:t>(1976) 50 ALJR 589</w:t>
            </w:r>
          </w:p>
          <w:p w:rsidR="007A45DE" w:rsidRPr="007A45DE" w:rsidRDefault="007A45DE" w:rsidP="00A3161C">
            <w:pPr>
              <w:pStyle w:val="CasesLegislationAppealFrom"/>
              <w:spacing w:after="60"/>
            </w:pPr>
            <w:r>
              <w:rPr>
                <w:i/>
              </w:rPr>
              <w:t xml:space="preserve">Multiplex Funds Management Ltd v P Dawson Nominees Pty Ltd </w:t>
            </w:r>
            <w:r>
              <w:t>[2007] FCAFC 200; (2007) 164 FCR 275</w:t>
            </w:r>
          </w:p>
          <w:p w:rsidR="00842139" w:rsidRPr="00924038" w:rsidRDefault="00842139" w:rsidP="00A3161C">
            <w:pPr>
              <w:pStyle w:val="CasesLegislationAppealFrom"/>
              <w:spacing w:after="60"/>
            </w:pPr>
            <w:r w:rsidRPr="00924038">
              <w:rPr>
                <w:i/>
              </w:rPr>
              <w:t xml:space="preserve">National Mutual Holdings Pty Ltd v The Sentry Corporation </w:t>
            </w:r>
            <w:r w:rsidRPr="00924038">
              <w:t xml:space="preserve">(1989) 22 FCR 209 </w:t>
            </w:r>
          </w:p>
          <w:p w:rsidR="00842139" w:rsidRPr="00924038" w:rsidRDefault="00842139" w:rsidP="00D82620">
            <w:pPr>
              <w:pStyle w:val="CasesLegislationAppealFrom"/>
              <w:spacing w:after="60"/>
            </w:pPr>
            <w:r w:rsidRPr="00924038">
              <w:rPr>
                <w:i/>
              </w:rPr>
              <w:t xml:space="preserve">Nixon v Philip Morris (Australia) Ltd </w:t>
            </w:r>
            <w:r w:rsidRPr="00924038">
              <w:t>[1999] FCA 1107; (1999) 95 FCR 453</w:t>
            </w:r>
          </w:p>
          <w:p w:rsidR="00842139" w:rsidRPr="00924038" w:rsidRDefault="00842139" w:rsidP="00D82620">
            <w:pPr>
              <w:pStyle w:val="CasesLegislationAppealFrom"/>
              <w:spacing w:after="60"/>
              <w:rPr>
                <w:i/>
              </w:rPr>
            </w:pPr>
            <w:r w:rsidRPr="00924038">
              <w:rPr>
                <w:i/>
              </w:rPr>
              <w:t>Oliver v Commonwealth Bank of Australia (No 2)</w:t>
            </w:r>
            <w:r w:rsidRPr="00924038">
              <w:t xml:space="preserve"> [2012] FCA 755; (2012) 205 FCR 540</w:t>
            </w:r>
            <w:r w:rsidRPr="00924038">
              <w:rPr>
                <w:i/>
              </w:rPr>
              <w:t xml:space="preserve"> </w:t>
            </w:r>
          </w:p>
          <w:p w:rsidR="00842139" w:rsidRPr="00924038" w:rsidRDefault="00842139" w:rsidP="00A3161C">
            <w:pPr>
              <w:pStyle w:val="CasesLegislationAppealFrom"/>
              <w:spacing w:after="60"/>
              <w:rPr>
                <w:i/>
              </w:rPr>
            </w:pPr>
            <w:r w:rsidRPr="00924038">
              <w:rPr>
                <w:i/>
              </w:rPr>
              <w:t xml:space="preserve">Palavi v Queensland Newspapers Pty Ltd </w:t>
            </w:r>
            <w:r w:rsidRPr="00924038">
              <w:t>[2012] NSWCA 182; (2012) 84 NSWLR 523</w:t>
            </w:r>
          </w:p>
          <w:p w:rsidR="00842139" w:rsidRPr="00924038" w:rsidRDefault="00842139" w:rsidP="00A3161C">
            <w:pPr>
              <w:pStyle w:val="CasesLegislationAppealFrom"/>
              <w:spacing w:after="60"/>
              <w:rPr>
                <w:i/>
              </w:rPr>
            </w:pPr>
            <w:r w:rsidRPr="00924038">
              <w:rPr>
                <w:i/>
              </w:rPr>
              <w:t xml:space="preserve">Patrick Stevedores Operations No 2 Pty Ltd v Maritime Union of Australia </w:t>
            </w:r>
            <w:r w:rsidRPr="00924038">
              <w:t>[1998] HCA 30; (1998) 195 CLR 1</w:t>
            </w:r>
          </w:p>
          <w:p w:rsidR="00842139" w:rsidRDefault="00842139" w:rsidP="00A3161C">
            <w:pPr>
              <w:pStyle w:val="CasesLegislationAppealFrom"/>
              <w:spacing w:after="60"/>
            </w:pPr>
            <w:r w:rsidRPr="00924038">
              <w:rPr>
                <w:i/>
              </w:rPr>
              <w:t xml:space="preserve">Pearson v State of Queensland </w:t>
            </w:r>
            <w:r w:rsidRPr="00924038">
              <w:t>[2017] FCA 1096</w:t>
            </w:r>
          </w:p>
          <w:p w:rsidR="00842139" w:rsidRPr="00924038" w:rsidRDefault="00842139" w:rsidP="0054549D">
            <w:pPr>
              <w:pStyle w:val="CasesLegislationAppealFrom"/>
              <w:spacing w:after="60"/>
              <w:rPr>
                <w:i/>
                <w:iCs/>
                <w:lang w:val="en"/>
              </w:rPr>
            </w:pPr>
            <w:r w:rsidRPr="00924038">
              <w:rPr>
                <w:i/>
                <w:iCs/>
                <w:lang w:val="en"/>
              </w:rPr>
              <w:t xml:space="preserve">Petersen Superannuation Fund Pty Ltd v Bank of Queensland Limited </w:t>
            </w:r>
            <w:r w:rsidRPr="00924038">
              <w:rPr>
                <w:iCs/>
                <w:lang w:val="en"/>
              </w:rPr>
              <w:t>[2017] FCA 699</w:t>
            </w:r>
          </w:p>
          <w:p w:rsidR="00842139" w:rsidRPr="002A4111" w:rsidRDefault="00842139" w:rsidP="002A4111">
            <w:pPr>
              <w:pStyle w:val="CasesLegislationAppealFrom"/>
              <w:spacing w:after="60"/>
              <w:rPr>
                <w:i/>
                <w:szCs w:val="24"/>
              </w:rPr>
            </w:pPr>
            <w:r w:rsidRPr="002A4111">
              <w:rPr>
                <w:i/>
                <w:szCs w:val="24"/>
              </w:rPr>
              <w:t xml:space="preserve">PNJ v The Queen </w:t>
            </w:r>
            <w:r w:rsidRPr="002A4111">
              <w:rPr>
                <w:szCs w:val="24"/>
              </w:rPr>
              <w:t>[2009] HCA 6; (2009) 83 ALJR 384</w:t>
            </w:r>
          </w:p>
          <w:p w:rsidR="00842139" w:rsidRPr="00924038" w:rsidRDefault="00842139" w:rsidP="00A3161C">
            <w:pPr>
              <w:pStyle w:val="CasesLegislationAppealFrom"/>
              <w:spacing w:after="60"/>
              <w:rPr>
                <w:i/>
              </w:rPr>
            </w:pPr>
            <w:r w:rsidRPr="00924038">
              <w:rPr>
                <w:i/>
              </w:rPr>
              <w:t xml:space="preserve">Port of Melbourne Authority v Anshun Pty Ltd </w:t>
            </w:r>
            <w:r w:rsidRPr="00924038">
              <w:t>(1981) 147 CLR 589</w:t>
            </w:r>
          </w:p>
          <w:p w:rsidR="00842139" w:rsidRPr="00924038" w:rsidRDefault="00842139" w:rsidP="00A3161C">
            <w:pPr>
              <w:pStyle w:val="CasesLegislationAppealFrom"/>
              <w:spacing w:after="60"/>
              <w:rPr>
                <w:i/>
              </w:rPr>
            </w:pPr>
            <w:r w:rsidRPr="00924038">
              <w:rPr>
                <w:i/>
              </w:rPr>
              <w:t xml:space="preserve">Project Blue Sky Inc v Australian Broadcasting Authority </w:t>
            </w:r>
            <w:r w:rsidRPr="00924038">
              <w:t>[1998] HCA 28; (1998) 194 CLR 355</w:t>
            </w:r>
          </w:p>
          <w:p w:rsidR="00842139" w:rsidRPr="00924038" w:rsidRDefault="00842139" w:rsidP="006E78EF">
            <w:pPr>
              <w:pStyle w:val="CasesLegislationAppealFrom"/>
              <w:spacing w:after="60"/>
            </w:pPr>
            <w:r w:rsidRPr="00924038">
              <w:rPr>
                <w:i/>
              </w:rPr>
              <w:t xml:space="preserve">Re </w:t>
            </w:r>
            <w:r w:rsidRPr="00924038">
              <w:rPr>
                <w:i/>
                <w:iCs/>
              </w:rPr>
              <w:t xml:space="preserve">HIH Insurance Ltd (in liq) </w:t>
            </w:r>
            <w:r w:rsidRPr="00924038">
              <w:t>[2016] NSWSC 482; (2016) 335 ALR 320</w:t>
            </w:r>
          </w:p>
          <w:p w:rsidR="00842139" w:rsidRPr="00924038" w:rsidRDefault="00842139" w:rsidP="00A3161C">
            <w:pPr>
              <w:pStyle w:val="CasesLegislationAppealFrom"/>
              <w:spacing w:after="60"/>
              <w:rPr>
                <w:i/>
              </w:rPr>
            </w:pPr>
            <w:r w:rsidRPr="00924038">
              <w:rPr>
                <w:i/>
              </w:rPr>
              <w:t xml:space="preserve">Re Lethbridge v Mitchell </w:t>
            </w:r>
            <w:r w:rsidRPr="00924038">
              <w:t>(1887) 8 LR (NSW) 249</w:t>
            </w:r>
            <w:r w:rsidRPr="00924038">
              <w:rPr>
                <w:i/>
              </w:rPr>
              <w:t xml:space="preserve"> </w:t>
            </w:r>
          </w:p>
          <w:p w:rsidR="00842139" w:rsidRPr="00924038" w:rsidRDefault="00842139" w:rsidP="00A3161C">
            <w:pPr>
              <w:pStyle w:val="CasesLegislationAppealFrom"/>
              <w:spacing w:after="60"/>
              <w:rPr>
                <w:i/>
              </w:rPr>
            </w:pPr>
            <w:r w:rsidRPr="00924038">
              <w:rPr>
                <w:i/>
              </w:rPr>
              <w:t xml:space="preserve">Regie Nationale des Usines Renault SA v Zhang </w:t>
            </w:r>
            <w:r w:rsidRPr="00924038">
              <w:t>[2002] HCA 10; (2002) 210 CLR 491</w:t>
            </w:r>
          </w:p>
          <w:p w:rsidR="00842139" w:rsidRDefault="00842139" w:rsidP="002A4111">
            <w:pPr>
              <w:pStyle w:val="CasesLegislationAppealFrom"/>
              <w:spacing w:after="60"/>
            </w:pPr>
            <w:r w:rsidRPr="002A4111">
              <w:rPr>
                <w:i/>
                <w:szCs w:val="24"/>
              </w:rPr>
              <w:lastRenderedPageBreak/>
              <w:t xml:space="preserve">Ridgeway v The Queen </w:t>
            </w:r>
            <w:r w:rsidRPr="002A4111">
              <w:rPr>
                <w:szCs w:val="24"/>
              </w:rPr>
              <w:t>(1995) 184 CLR 19</w:t>
            </w:r>
            <w:r>
              <w:rPr>
                <w:rFonts w:eastAsia="Times New Roman"/>
                <w:szCs w:val="24"/>
                <w:lang w:eastAsia="en-AU"/>
              </w:rPr>
              <w:t xml:space="preserve"> </w:t>
            </w:r>
          </w:p>
          <w:p w:rsidR="00842139" w:rsidRPr="00924038" w:rsidRDefault="00842139" w:rsidP="008E30F5">
            <w:pPr>
              <w:pStyle w:val="CasesLegislationAppealFrom"/>
              <w:spacing w:after="60"/>
              <w:rPr>
                <w:rStyle w:val="Emphasis"/>
              </w:rPr>
            </w:pPr>
            <w:r w:rsidRPr="00924038">
              <w:rPr>
                <w:rStyle w:val="Emphasis"/>
              </w:rPr>
              <w:t xml:space="preserve">Rod Investments (Vic) Pty Ltd v Clark </w:t>
            </w:r>
            <w:r w:rsidRPr="00924038">
              <w:rPr>
                <w:rStyle w:val="Emphasis"/>
                <w:i w:val="0"/>
              </w:rPr>
              <w:t>[2005] VSC 449</w:t>
            </w:r>
          </w:p>
          <w:p w:rsidR="00842139" w:rsidRDefault="00842139" w:rsidP="002A4111">
            <w:pPr>
              <w:pStyle w:val="CasesLegislationAppealFrom"/>
              <w:spacing w:after="60"/>
              <w:rPr>
                <w:szCs w:val="24"/>
              </w:rPr>
            </w:pPr>
            <w:r w:rsidRPr="002A4111">
              <w:rPr>
                <w:i/>
                <w:szCs w:val="24"/>
              </w:rPr>
              <w:t xml:space="preserve">Rogers v The Queen </w:t>
            </w:r>
            <w:r w:rsidRPr="002A4111">
              <w:rPr>
                <w:szCs w:val="24"/>
              </w:rPr>
              <w:t>(1994) 181 CLR 251</w:t>
            </w:r>
          </w:p>
          <w:p w:rsidR="00842139" w:rsidRDefault="00842139" w:rsidP="00A3161C">
            <w:pPr>
              <w:pStyle w:val="CasesLegislationAppealFrom"/>
              <w:spacing w:after="60"/>
            </w:pPr>
            <w:r w:rsidRPr="00924038">
              <w:rPr>
                <w:i/>
              </w:rPr>
              <w:t>Rosengrens L</w:t>
            </w:r>
            <w:r>
              <w:rPr>
                <w:i/>
              </w:rPr>
              <w:t>imi</w:t>
            </w:r>
            <w:r w:rsidRPr="00924038">
              <w:rPr>
                <w:i/>
              </w:rPr>
              <w:t>t</w:t>
            </w:r>
            <w:r>
              <w:rPr>
                <w:i/>
              </w:rPr>
              <w:t>e</w:t>
            </w:r>
            <w:r w:rsidRPr="00924038">
              <w:rPr>
                <w:i/>
              </w:rPr>
              <w:t>d v Safe Deposit Centres L</w:t>
            </w:r>
            <w:r>
              <w:rPr>
                <w:i/>
              </w:rPr>
              <w:t>imi</w:t>
            </w:r>
            <w:r w:rsidRPr="00924038">
              <w:rPr>
                <w:i/>
              </w:rPr>
              <w:t>t</w:t>
            </w:r>
            <w:r>
              <w:rPr>
                <w:i/>
              </w:rPr>
              <w:t>e</w:t>
            </w:r>
            <w:r w:rsidRPr="00924038">
              <w:rPr>
                <w:i/>
              </w:rPr>
              <w:t xml:space="preserve">d </w:t>
            </w:r>
            <w:r w:rsidRPr="00924038">
              <w:t>[1984] 3 All ER 198</w:t>
            </w:r>
          </w:p>
          <w:p w:rsidR="00842139" w:rsidRPr="00924038" w:rsidRDefault="00842139" w:rsidP="00D82620">
            <w:pPr>
              <w:pStyle w:val="CasesLegislationAppealFrom"/>
              <w:spacing w:after="60"/>
              <w:rPr>
                <w:i/>
                <w:szCs w:val="24"/>
              </w:rPr>
            </w:pPr>
            <w:r w:rsidRPr="00924038">
              <w:rPr>
                <w:i/>
                <w:szCs w:val="24"/>
              </w:rPr>
              <w:t>Setterington v Merck Frosst Canada Ltd</w:t>
            </w:r>
            <w:r w:rsidRPr="00924038">
              <w:rPr>
                <w:szCs w:val="24"/>
              </w:rPr>
              <w:t xml:space="preserve"> 2006 CarswellOnt 506; (2006) 26 CPC (6th) 173</w:t>
            </w:r>
            <w:r w:rsidRPr="00924038">
              <w:rPr>
                <w:i/>
                <w:szCs w:val="24"/>
              </w:rPr>
              <w:t xml:space="preserve"> </w:t>
            </w:r>
          </w:p>
          <w:p w:rsidR="00842139" w:rsidRPr="00924038" w:rsidRDefault="00842139" w:rsidP="00A3161C">
            <w:pPr>
              <w:rPr>
                <w:i/>
              </w:rPr>
            </w:pPr>
            <w:r w:rsidRPr="00924038">
              <w:rPr>
                <w:i/>
              </w:rPr>
              <w:t xml:space="preserve">Sheffield Waterworks v Yeomans </w:t>
            </w:r>
            <w:r w:rsidRPr="00924038">
              <w:t>(1866) LR 2 Ch App 8</w:t>
            </w:r>
            <w:r w:rsidRPr="00924038">
              <w:rPr>
                <w:i/>
              </w:rPr>
              <w:t xml:space="preserve"> </w:t>
            </w:r>
          </w:p>
          <w:p w:rsidR="00842139" w:rsidRPr="00924038" w:rsidRDefault="00842139" w:rsidP="00D82620">
            <w:pPr>
              <w:pStyle w:val="CasesLegislationAppealFrom"/>
              <w:spacing w:after="60"/>
            </w:pPr>
            <w:r w:rsidRPr="00924038">
              <w:rPr>
                <w:i/>
              </w:rPr>
              <w:t>Smith v Australian Executor Trustees Limited</w:t>
            </w:r>
            <w:r w:rsidRPr="00924038">
              <w:t xml:space="preserve"> [2016] NSWSC 17</w:t>
            </w:r>
          </w:p>
          <w:p w:rsidR="00842139" w:rsidRPr="00924038" w:rsidRDefault="00842139" w:rsidP="001B6FBC">
            <w:pPr>
              <w:pStyle w:val="CasesLegislationAppealFrom"/>
              <w:spacing w:after="60"/>
              <w:rPr>
                <w:rFonts w:eastAsia="Times New Roman"/>
                <w:spacing w:val="3"/>
                <w:szCs w:val="24"/>
                <w:lang w:val="en" w:eastAsia="en-AU"/>
              </w:rPr>
            </w:pPr>
            <w:r w:rsidRPr="00924038">
              <w:rPr>
                <w:rFonts w:eastAsia="Times New Roman"/>
                <w:i/>
                <w:iCs/>
                <w:spacing w:val="3"/>
                <w:szCs w:val="24"/>
                <w:lang w:val="en" w:eastAsia="en-AU"/>
              </w:rPr>
              <w:t>Smith v Bayer Corp</w:t>
            </w:r>
            <w:r w:rsidRPr="00924038">
              <w:rPr>
                <w:rFonts w:eastAsia="Times New Roman"/>
                <w:i/>
                <w:spacing w:val="3"/>
                <w:szCs w:val="24"/>
                <w:lang w:val="en" w:eastAsia="en-AU"/>
              </w:rPr>
              <w:t>oration</w:t>
            </w:r>
            <w:r w:rsidRPr="00924038">
              <w:rPr>
                <w:rFonts w:eastAsia="Times New Roman"/>
                <w:spacing w:val="3"/>
                <w:szCs w:val="24"/>
                <w:lang w:val="en" w:eastAsia="en-AU"/>
              </w:rPr>
              <w:t xml:space="preserve"> 564 US 299 (2011); 131 S Ct 2368 (2011)</w:t>
            </w:r>
          </w:p>
          <w:p w:rsidR="00842139" w:rsidRPr="00924038" w:rsidRDefault="00842139" w:rsidP="00A3161C">
            <w:pPr>
              <w:pStyle w:val="CasesLegislationAppealFrom"/>
              <w:spacing w:after="60"/>
              <w:rPr>
                <w:i/>
              </w:rPr>
            </w:pPr>
            <w:r w:rsidRPr="00924038">
              <w:rPr>
                <w:i/>
              </w:rPr>
              <w:t xml:space="preserve">The Owners of the Ship “Shin Kobe Maru” v Empire Shipping Company Inc </w:t>
            </w:r>
            <w:r w:rsidRPr="00924038">
              <w:t>(1994) 181 CLR 404</w:t>
            </w:r>
          </w:p>
          <w:p w:rsidR="00842139" w:rsidRDefault="00842139" w:rsidP="00A3161C">
            <w:pPr>
              <w:pStyle w:val="CasesLegislationAppealFrom"/>
              <w:spacing w:after="60"/>
            </w:pPr>
            <w:r>
              <w:rPr>
                <w:i/>
              </w:rPr>
              <w:t xml:space="preserve">Treasury Wine Estates Ltd v Melbourne City Investments Pty Ltd </w:t>
            </w:r>
            <w:r w:rsidRPr="0046577D">
              <w:t>[2014] VSCA 351;</w:t>
            </w:r>
            <w:r w:rsidRPr="0046577D">
              <w:rPr>
                <w:i/>
              </w:rPr>
              <w:t xml:space="preserve"> </w:t>
            </w:r>
            <w:r>
              <w:t>(2014) 45 VR 585</w:t>
            </w:r>
          </w:p>
          <w:p w:rsidR="00C608A3" w:rsidRPr="00C608A3" w:rsidRDefault="00C608A3" w:rsidP="00A3161C">
            <w:pPr>
              <w:pStyle w:val="CasesLegislationAppealFrom"/>
              <w:spacing w:after="60"/>
            </w:pPr>
            <w:r>
              <w:rPr>
                <w:i/>
              </w:rPr>
              <w:t>TW McConnell Pty Ltd v SurfStitch Group Ltd</w:t>
            </w:r>
            <w:r>
              <w:t xml:space="preserve"> [2017] NSWSC 1755</w:t>
            </w:r>
          </w:p>
          <w:p w:rsidR="00842139" w:rsidRPr="00924038" w:rsidRDefault="00842139" w:rsidP="00A3161C">
            <w:pPr>
              <w:pStyle w:val="CasesLegislationAppealFrom"/>
              <w:spacing w:after="60"/>
              <w:rPr>
                <w:i/>
              </w:rPr>
            </w:pPr>
            <w:r w:rsidRPr="00924038">
              <w:rPr>
                <w:i/>
              </w:rPr>
              <w:t xml:space="preserve">Voth v Manildra Flour Mills Pty Ltd </w:t>
            </w:r>
            <w:r w:rsidRPr="00924038">
              <w:t>(1990) 171 CLR 538</w:t>
            </w:r>
          </w:p>
          <w:p w:rsidR="00842139" w:rsidRPr="00924038" w:rsidRDefault="00842139" w:rsidP="00A3161C">
            <w:pPr>
              <w:pStyle w:val="CasesLegislationAppealFrom"/>
              <w:spacing w:after="60"/>
              <w:rPr>
                <w:i/>
              </w:rPr>
            </w:pPr>
            <w:r w:rsidRPr="00924038">
              <w:rPr>
                <w:i/>
              </w:rPr>
              <w:t xml:space="preserve">Walton v Gardiner </w:t>
            </w:r>
            <w:r w:rsidRPr="00924038">
              <w:t>(1993) 177 CLR 378</w:t>
            </w:r>
          </w:p>
          <w:p w:rsidR="00842139" w:rsidRPr="00924038" w:rsidRDefault="00842139" w:rsidP="00A3161C">
            <w:pPr>
              <w:pStyle w:val="CasesLegislationAppealFrom"/>
              <w:spacing w:after="60"/>
              <w:rPr>
                <w:i/>
              </w:rPr>
            </w:pPr>
            <w:r w:rsidRPr="00924038">
              <w:rPr>
                <w:i/>
              </w:rPr>
              <w:t xml:space="preserve">Williams v Spautz </w:t>
            </w:r>
            <w:r w:rsidRPr="00924038">
              <w:t>(1992) 174 CLR 509</w:t>
            </w:r>
          </w:p>
          <w:p w:rsidR="00842139" w:rsidRDefault="00842139" w:rsidP="00A3161C">
            <w:pPr>
              <w:pStyle w:val="CasesLegislationAppealFrom"/>
              <w:spacing w:after="60"/>
            </w:pPr>
            <w:r w:rsidRPr="00924038">
              <w:rPr>
                <w:i/>
              </w:rPr>
              <w:t xml:space="preserve">Wong v Silkfield Pty Limited </w:t>
            </w:r>
            <w:r w:rsidRPr="00924038">
              <w:t>[1999] HCA 48; (1999) 19</w:t>
            </w:r>
            <w:r w:rsidR="00983CDF">
              <w:t>9</w:t>
            </w:r>
            <w:r w:rsidRPr="00924038">
              <w:t xml:space="preserve"> CLR 255</w:t>
            </w:r>
          </w:p>
          <w:p w:rsidR="00842139" w:rsidRDefault="00842139" w:rsidP="00A3161C">
            <w:pPr>
              <w:pStyle w:val="CasesLegislationAppealFrom"/>
              <w:spacing w:after="60"/>
            </w:pPr>
          </w:p>
          <w:p w:rsidR="00842139" w:rsidRPr="00924038" w:rsidRDefault="00842139" w:rsidP="00842139">
            <w:pPr>
              <w:pStyle w:val="CasesLegislationAppealFrom"/>
              <w:spacing w:after="60"/>
            </w:pPr>
            <w:r w:rsidRPr="00924038">
              <w:t>Derrington SC, ‘Litigation Funding Inquiry’ (Speech delivered at the Increased Regulation of Litigation Funding – A Timely Crackdown or a Regulatory Solution in Search of a Problem</w:t>
            </w:r>
            <w:proofErr w:type="gramStart"/>
            <w:r w:rsidRPr="00924038">
              <w:t xml:space="preserve">? </w:t>
            </w:r>
            <w:proofErr w:type="gramEnd"/>
            <w:r w:rsidRPr="00924038">
              <w:t>Seminar, Monash University, 9 April 2018)</w:t>
            </w:r>
          </w:p>
          <w:p w:rsidR="00842139" w:rsidRPr="00924038" w:rsidRDefault="00842139" w:rsidP="00842139">
            <w:pPr>
              <w:pStyle w:val="CasesLegislationAppealFrom"/>
              <w:spacing w:after="60"/>
            </w:pPr>
            <w:r w:rsidRPr="00924038">
              <w:t>Heydon JD,</w:t>
            </w:r>
            <w:r>
              <w:t xml:space="preserve"> Leeming MJ and Turner PG,</w:t>
            </w:r>
            <w:r w:rsidRPr="00924038">
              <w:t xml:space="preserve"> </w:t>
            </w:r>
            <w:r w:rsidRPr="00924038">
              <w:rPr>
                <w:i/>
              </w:rPr>
              <w:t>Meagher, Gummow and Lehane’s Equity: Doctrines and Remedies</w:t>
            </w:r>
            <w:r w:rsidRPr="00924038">
              <w:t xml:space="preserve"> (5th ed, LexisNexis Butterworths, 2015)</w:t>
            </w:r>
          </w:p>
          <w:p w:rsidR="00842139" w:rsidRPr="00924038" w:rsidRDefault="00842139" w:rsidP="00842139">
            <w:pPr>
              <w:pStyle w:val="CasesLegislationAppealFrom"/>
              <w:spacing w:after="60"/>
            </w:pPr>
            <w:r w:rsidRPr="00924038">
              <w:t xml:space="preserve">Legg M, “A Critical Assessment of Shareholder Class Action Settlements – The Allco Class Action” (2018) 46 </w:t>
            </w:r>
            <w:r w:rsidRPr="00924038">
              <w:rPr>
                <w:i/>
              </w:rPr>
              <w:t>Australian Business Law Review</w:t>
            </w:r>
            <w:r w:rsidRPr="00924038">
              <w:t xml:space="preserve"> 54</w:t>
            </w:r>
          </w:p>
          <w:p w:rsidR="00842139" w:rsidRPr="00924038" w:rsidRDefault="00842139" w:rsidP="00842139">
            <w:pPr>
              <w:pStyle w:val="CasesLegislationAppealFrom"/>
              <w:spacing w:after="60"/>
              <w:rPr>
                <w:i/>
              </w:rPr>
            </w:pPr>
            <w:r w:rsidRPr="00924038">
              <w:t xml:space="preserve">LexisNexis, </w:t>
            </w:r>
            <w:r w:rsidRPr="00924038">
              <w:rPr>
                <w:i/>
              </w:rPr>
              <w:t>Halsbury’s Laws of England</w:t>
            </w:r>
          </w:p>
          <w:p w:rsidR="00842139" w:rsidRPr="00924038" w:rsidRDefault="00842139" w:rsidP="00842139">
            <w:pPr>
              <w:pStyle w:val="CasesLegislationAppealFrom"/>
              <w:spacing w:after="60"/>
            </w:pPr>
            <w:r w:rsidRPr="00924038">
              <w:t>Mark S, ‘The Regulation of Third Party Litigation Funding in Australia – Discussion Paper’ (Discussion paper, New South Wales Office of the Legal Services Commissioner, March 2012)</w:t>
            </w:r>
          </w:p>
          <w:p w:rsidR="00842139" w:rsidRPr="00924038" w:rsidRDefault="00842139" w:rsidP="00842139">
            <w:pPr>
              <w:pStyle w:val="CasesLegislationAppealFrom"/>
              <w:spacing w:after="60"/>
            </w:pPr>
            <w:r>
              <w:t xml:space="preserve">Morabito V and Hatcher N, “Security for Costs in Unfunded Federal Class Actions: Back to the Future” (2018) 92 </w:t>
            </w:r>
            <w:r w:rsidRPr="00247EEC">
              <w:rPr>
                <w:i/>
              </w:rPr>
              <w:t>Australian Law Journal</w:t>
            </w:r>
            <w:r>
              <w:t xml:space="preserve"> 105</w:t>
            </w:r>
            <w:r>
              <w:rPr>
                <w:spacing w:val="3"/>
                <w:szCs w:val="24"/>
                <w:lang w:val="en"/>
              </w:rPr>
              <w:t xml:space="preserve">   </w:t>
            </w:r>
            <w:r w:rsidRPr="00924038">
              <w:t xml:space="preserve"> </w:t>
            </w:r>
          </w:p>
          <w:p w:rsidR="00842139" w:rsidRPr="00924038" w:rsidRDefault="00842139" w:rsidP="00842139">
            <w:pPr>
              <w:pStyle w:val="CasesLegislationAppealFrom"/>
              <w:spacing w:after="60"/>
            </w:pPr>
            <w:r w:rsidRPr="00924038">
              <w:t>Morabito V, “Replacing Inadequate Class Representatives in Federal Class Actions: Quo Vadis?</w:t>
            </w:r>
            <w:proofErr w:type="gramStart"/>
            <w:r w:rsidRPr="00924038">
              <w:t xml:space="preserve">” </w:t>
            </w:r>
            <w:proofErr w:type="gramEnd"/>
            <w:r w:rsidRPr="00924038">
              <w:t xml:space="preserve">(2015) 38(1) </w:t>
            </w:r>
            <w:r w:rsidRPr="00924038">
              <w:rPr>
                <w:i/>
              </w:rPr>
              <w:t>University of New South Wales Law Journal</w:t>
            </w:r>
            <w:r w:rsidRPr="00924038">
              <w:t xml:space="preserve"> 146</w:t>
            </w:r>
          </w:p>
          <w:p w:rsidR="00842139" w:rsidRPr="00924038" w:rsidRDefault="00842139" w:rsidP="00842139">
            <w:pPr>
              <w:pStyle w:val="CasesLegislationAppealFrom"/>
              <w:spacing w:after="60"/>
            </w:pPr>
            <w:r w:rsidRPr="00924038">
              <w:lastRenderedPageBreak/>
              <w:t xml:space="preserve">Morabito V, </w:t>
            </w:r>
            <w:r w:rsidRPr="00924038">
              <w:rPr>
                <w:i/>
              </w:rPr>
              <w:t>An Empirical Study of Australia’s Class Action Regimes, Fifth Report: The First Twenty-Five Years of Class Actions in Australia</w:t>
            </w:r>
            <w:r w:rsidRPr="00924038">
              <w:t xml:space="preserve"> (Report, Monash University, 20 July 2017) &lt;https://ssrn.com/abstract=3005901&gt;</w:t>
            </w:r>
          </w:p>
          <w:p w:rsidR="00842139" w:rsidRPr="00924038" w:rsidRDefault="00842139" w:rsidP="00842139">
            <w:pPr>
              <w:pStyle w:val="CasesLegislationAppealFrom"/>
              <w:spacing w:after="60"/>
              <w:rPr>
                <w:i/>
              </w:rPr>
            </w:pPr>
            <w:r w:rsidRPr="00924038">
              <w:t xml:space="preserve">Pomeroy JN, </w:t>
            </w:r>
            <w:r w:rsidRPr="00924038">
              <w:rPr>
                <w:i/>
              </w:rPr>
              <w:t xml:space="preserve">A Treatise on Equity Jurisprudence, as Administered in the United States of America </w:t>
            </w:r>
            <w:r w:rsidRPr="00924038">
              <w:t>(5th ed, Bancroft-Whitney Company, 1941)</w:t>
            </w:r>
          </w:p>
          <w:p w:rsidR="00842139" w:rsidRPr="00924038" w:rsidRDefault="00842139" w:rsidP="00842139">
            <w:pPr>
              <w:pStyle w:val="CasesLegislationAppealFrom"/>
              <w:spacing w:after="60"/>
              <w:rPr>
                <w:i/>
              </w:rPr>
            </w:pPr>
            <w:r w:rsidRPr="00924038">
              <w:t>Redesdale</w:t>
            </w:r>
            <w:r w:rsidRPr="00924038">
              <w:rPr>
                <w:i/>
              </w:rPr>
              <w:t>,</w:t>
            </w:r>
            <w:r w:rsidRPr="00924038">
              <w:t xml:space="preserve"> J Mitford, Baron,</w:t>
            </w:r>
            <w:r w:rsidRPr="00924038">
              <w:rPr>
                <w:i/>
              </w:rPr>
              <w:t xml:space="preserve"> A Treatise on the Pleadings in Suits in the Court of Chancery by English Bill </w:t>
            </w:r>
            <w:r w:rsidRPr="00924038">
              <w:t>(AL Bancroft and Company, 1881)</w:t>
            </w:r>
            <w:r w:rsidRPr="00924038">
              <w:rPr>
                <w:i/>
              </w:rPr>
              <w:t xml:space="preserve"> </w:t>
            </w:r>
          </w:p>
          <w:p w:rsidR="00842139" w:rsidRPr="00924038" w:rsidRDefault="00842139" w:rsidP="00842139">
            <w:pPr>
              <w:pStyle w:val="CasesLegislationAppealFrom"/>
              <w:spacing w:after="60"/>
            </w:pPr>
            <w:r w:rsidRPr="00924038">
              <w:t xml:space="preserve">Rowe T, “A Distant Mirror: The Bill of Peace in Early American Mass Torts and Its Implications for Modern Class Actions” (1997) 39 </w:t>
            </w:r>
            <w:r w:rsidRPr="00924038">
              <w:rPr>
                <w:i/>
              </w:rPr>
              <w:t>Arizona Law Review</w:t>
            </w:r>
            <w:r w:rsidRPr="00924038">
              <w:t xml:space="preserve"> 711</w:t>
            </w:r>
          </w:p>
          <w:p w:rsidR="00842139" w:rsidRPr="00924038" w:rsidRDefault="00842139" w:rsidP="00842139">
            <w:pPr>
              <w:pStyle w:val="CasesLegislationAppealFrom"/>
              <w:spacing w:after="60"/>
              <w:rPr>
                <w:i/>
              </w:rPr>
            </w:pPr>
            <w:r w:rsidRPr="00924038">
              <w:t>Story J</w:t>
            </w:r>
            <w:r w:rsidRPr="00924038">
              <w:rPr>
                <w:i/>
              </w:rPr>
              <w:t xml:space="preserve">, Commentaries on Equity Jurisprudence as Administered in England and America </w:t>
            </w:r>
            <w:r w:rsidRPr="00924038">
              <w:t>(</w:t>
            </w:r>
            <w:r w:rsidR="009555EA">
              <w:t>1</w:t>
            </w:r>
            <w:r w:rsidR="009555EA" w:rsidRPr="009555EA">
              <w:rPr>
                <w:vertAlign w:val="superscript"/>
              </w:rPr>
              <w:t>st</w:t>
            </w:r>
            <w:r w:rsidR="009555EA">
              <w:t xml:space="preserve"> English</w:t>
            </w:r>
            <w:r w:rsidRPr="00924038">
              <w:t xml:space="preserve"> ed, </w:t>
            </w:r>
            <w:r w:rsidR="009555EA">
              <w:t>Stevens and Hayes</w:t>
            </w:r>
            <w:r w:rsidRPr="00924038">
              <w:t xml:space="preserve">, </w:t>
            </w:r>
            <w:r w:rsidR="009555EA">
              <w:t>1884</w:t>
            </w:r>
            <w:r w:rsidRPr="00924038">
              <w:t>)</w:t>
            </w:r>
            <w:r w:rsidRPr="00924038">
              <w:rPr>
                <w:i/>
              </w:rPr>
              <w:t xml:space="preserve"> </w:t>
            </w:r>
          </w:p>
          <w:p w:rsidR="00842139" w:rsidRPr="00924038" w:rsidRDefault="00842139" w:rsidP="00842139">
            <w:pPr>
              <w:pStyle w:val="CasesLegislationAppealFrom"/>
              <w:spacing w:after="60"/>
            </w:pPr>
            <w:r w:rsidRPr="00924038">
              <w:t>Weiner W and Szyndrowski D</w:t>
            </w:r>
            <w:r w:rsidRPr="00924038">
              <w:rPr>
                <w:i/>
              </w:rPr>
              <w:t xml:space="preserve">, </w:t>
            </w:r>
            <w:r w:rsidRPr="00924038">
              <w:t>“The Class Action, from the English Bill of Peace to Federal Rule of Civil Procedure 23: Is There a Common Thread”</w:t>
            </w:r>
            <w:r w:rsidRPr="00924038">
              <w:rPr>
                <w:i/>
              </w:rPr>
              <w:t xml:space="preserve"> </w:t>
            </w:r>
            <w:r w:rsidRPr="00924038">
              <w:t>(1987) 8</w:t>
            </w:r>
            <w:r w:rsidRPr="00924038">
              <w:rPr>
                <w:i/>
              </w:rPr>
              <w:t xml:space="preserve"> Whittier Law Review </w:t>
            </w:r>
            <w:r w:rsidRPr="00924038">
              <w:t xml:space="preserve">935 </w:t>
            </w:r>
          </w:p>
          <w:p w:rsidR="00395B24" w:rsidRPr="00924038" w:rsidRDefault="00842139" w:rsidP="00842139">
            <w:pPr>
              <w:pStyle w:val="CasesLegislationAppealFrom"/>
              <w:spacing w:after="60"/>
            </w:pPr>
            <w:r w:rsidRPr="00924038">
              <w:rPr>
                <w:spacing w:val="3"/>
                <w:szCs w:val="24"/>
                <w:lang w:val="en"/>
              </w:rPr>
              <w:t xml:space="preserve">Weinstein AS, “Avoiding the Race to Res Judicata: Federal Antisuit Injunctions of Competing State Class Actions” (2000) 75 </w:t>
            </w:r>
            <w:r w:rsidRPr="00924038">
              <w:rPr>
                <w:i/>
                <w:spacing w:val="3"/>
                <w:szCs w:val="24"/>
                <w:lang w:val="en"/>
              </w:rPr>
              <w:t>New York University Law Review</w:t>
            </w:r>
            <w:r w:rsidRPr="00924038">
              <w:rPr>
                <w:spacing w:val="3"/>
                <w:szCs w:val="24"/>
                <w:lang w:val="en"/>
              </w:rPr>
              <w:t xml:space="preserve"> 1085</w:t>
            </w:r>
            <w:r>
              <w:rPr>
                <w:spacing w:val="3"/>
                <w:szCs w:val="24"/>
                <w:lang w:val="en"/>
              </w:rPr>
              <w:t xml:space="preserve">   </w:t>
            </w:r>
            <w:r w:rsidR="00A3161C" w:rsidRPr="00924038">
              <w:rPr>
                <w:i/>
              </w:rPr>
              <w:t xml:space="preserve"> </w:t>
            </w:r>
            <w:bookmarkEnd w:id="4"/>
          </w:p>
        </w:tc>
      </w:tr>
      <w:tr w:rsidR="00924038" w:rsidRPr="00924038" w:rsidTr="007D3F20">
        <w:tc>
          <w:tcPr>
            <w:tcW w:w="3085" w:type="dxa"/>
            <w:shd w:val="clear" w:color="auto" w:fill="auto"/>
          </w:tcPr>
          <w:p w:rsidR="007D3F20" w:rsidRPr="00924038" w:rsidRDefault="007D3F20" w:rsidP="007D3F20">
            <w:pPr>
              <w:pStyle w:val="Normal1linespace"/>
              <w:jc w:val="left"/>
            </w:pPr>
          </w:p>
        </w:tc>
        <w:tc>
          <w:tcPr>
            <w:tcW w:w="5989" w:type="dxa"/>
            <w:shd w:val="clear" w:color="auto" w:fill="auto"/>
          </w:tcPr>
          <w:p w:rsidR="007D3F20" w:rsidRPr="00924038" w:rsidRDefault="007D3F20" w:rsidP="007D3F20">
            <w:pPr>
              <w:pStyle w:val="Normal1linespace"/>
              <w:jc w:val="left"/>
            </w:pPr>
          </w:p>
        </w:tc>
      </w:tr>
      <w:tr w:rsidR="00924038" w:rsidRPr="00924038" w:rsidTr="007D3F20">
        <w:tc>
          <w:tcPr>
            <w:tcW w:w="3085" w:type="dxa"/>
            <w:shd w:val="clear" w:color="auto" w:fill="auto"/>
          </w:tcPr>
          <w:p w:rsidR="007D3F20" w:rsidRPr="00924038" w:rsidRDefault="007D3F20" w:rsidP="007D3F20">
            <w:pPr>
              <w:pStyle w:val="Normal1linespace"/>
              <w:jc w:val="left"/>
            </w:pPr>
            <w:bookmarkStart w:id="5" w:name="CounselDate" w:colFirst="0" w:colLast="2"/>
            <w:r w:rsidRPr="00924038">
              <w:t>Date of hearing:</w:t>
            </w:r>
          </w:p>
        </w:tc>
        <w:tc>
          <w:tcPr>
            <w:tcW w:w="5989" w:type="dxa"/>
            <w:shd w:val="clear" w:color="auto" w:fill="auto"/>
          </w:tcPr>
          <w:p w:rsidR="007D3F20" w:rsidRPr="00924038" w:rsidRDefault="007D3F20" w:rsidP="007D3F20">
            <w:pPr>
              <w:pStyle w:val="Normal1linespace"/>
              <w:jc w:val="left"/>
            </w:pPr>
            <w:bookmarkStart w:id="6" w:name="HearingDate"/>
            <w:r w:rsidRPr="00924038">
              <w:t>11, 13, 24</w:t>
            </w:r>
            <w:r w:rsidR="003A6B03" w:rsidRPr="00924038">
              <w:t>, 27</w:t>
            </w:r>
            <w:r w:rsidRPr="00924038">
              <w:t xml:space="preserve"> April, 7 May 2018</w:t>
            </w:r>
            <w:bookmarkEnd w:id="6"/>
          </w:p>
        </w:tc>
      </w:tr>
      <w:tr w:rsidR="00924038" w:rsidRPr="00924038" w:rsidTr="007D3F20">
        <w:tc>
          <w:tcPr>
            <w:tcW w:w="3085" w:type="dxa"/>
            <w:shd w:val="clear" w:color="auto" w:fill="auto"/>
          </w:tcPr>
          <w:p w:rsidR="007D3F20" w:rsidRPr="00924038" w:rsidRDefault="007D3F20" w:rsidP="007D3F20">
            <w:pPr>
              <w:pStyle w:val="Normal1linespace"/>
              <w:jc w:val="left"/>
            </w:pPr>
          </w:p>
        </w:tc>
        <w:tc>
          <w:tcPr>
            <w:tcW w:w="5989" w:type="dxa"/>
            <w:shd w:val="clear" w:color="auto" w:fill="auto"/>
          </w:tcPr>
          <w:p w:rsidR="007D3F20" w:rsidRPr="00924038" w:rsidRDefault="007D3F20" w:rsidP="007D3F20">
            <w:pPr>
              <w:pStyle w:val="Normal1linespace"/>
              <w:jc w:val="left"/>
            </w:pPr>
          </w:p>
        </w:tc>
      </w:tr>
      <w:bookmarkEnd w:id="5"/>
      <w:tr w:rsidR="00924038" w:rsidRPr="00924038" w:rsidTr="007D3F20">
        <w:tc>
          <w:tcPr>
            <w:tcW w:w="3085" w:type="dxa"/>
            <w:shd w:val="clear" w:color="auto" w:fill="auto"/>
          </w:tcPr>
          <w:p w:rsidR="007D3F20" w:rsidRPr="00924038" w:rsidRDefault="007D3F20" w:rsidP="007D3F20">
            <w:pPr>
              <w:pStyle w:val="Normal1linespace"/>
              <w:widowControl w:val="0"/>
              <w:jc w:val="left"/>
            </w:pPr>
            <w:r w:rsidRPr="00924038">
              <w:t>Registry:</w:t>
            </w:r>
          </w:p>
        </w:tc>
        <w:tc>
          <w:tcPr>
            <w:tcW w:w="5989" w:type="dxa"/>
            <w:shd w:val="clear" w:color="auto" w:fill="auto"/>
          </w:tcPr>
          <w:p w:rsidR="007D3F20" w:rsidRPr="00924038" w:rsidRDefault="00DA3088" w:rsidP="007D3F20">
            <w:pPr>
              <w:pStyle w:val="Normal1linespace"/>
              <w:widowControl w:val="0"/>
              <w:jc w:val="left"/>
            </w:pPr>
            <w:r>
              <w:fldChar w:fldCharType="begin"/>
            </w:r>
            <w:r>
              <w:instrText xml:space="preserve"> DOCPROPERTY  Registry </w:instrText>
            </w:r>
            <w:r>
              <w:fldChar w:fldCharType="separate"/>
            </w:r>
            <w:r w:rsidR="007D3F20" w:rsidRPr="00924038">
              <w:t>New South Wales</w:t>
            </w:r>
            <w:r>
              <w:fldChar w:fldCharType="end"/>
            </w: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pP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r w:rsidRPr="00924038">
              <w:t>Division:</w:t>
            </w:r>
          </w:p>
        </w:tc>
        <w:tc>
          <w:tcPr>
            <w:tcW w:w="5989" w:type="dxa"/>
            <w:shd w:val="clear" w:color="auto" w:fill="auto"/>
          </w:tcPr>
          <w:p w:rsidR="007D3F20" w:rsidRPr="00924038" w:rsidRDefault="00DA3088" w:rsidP="007D3F20">
            <w:pPr>
              <w:pStyle w:val="Normal1linespace"/>
              <w:widowControl w:val="0"/>
              <w:jc w:val="left"/>
            </w:pPr>
            <w:r>
              <w:fldChar w:fldCharType="begin"/>
            </w:r>
            <w:r>
              <w:instrText xml:space="preserve"> DOCPROPERTY  Division </w:instrText>
            </w:r>
            <w:r>
              <w:fldChar w:fldCharType="separate"/>
            </w:r>
            <w:r w:rsidR="007D3F20" w:rsidRPr="00924038">
              <w:t>General Division</w:t>
            </w:r>
            <w:r>
              <w:fldChar w:fldCharType="end"/>
            </w: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rPr>
                <w:b/>
              </w:rPr>
            </w:pP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r w:rsidRPr="00924038">
              <w:t>National Practice Area:</w:t>
            </w:r>
          </w:p>
        </w:tc>
        <w:tc>
          <w:tcPr>
            <w:tcW w:w="5989" w:type="dxa"/>
            <w:shd w:val="clear" w:color="auto" w:fill="auto"/>
          </w:tcPr>
          <w:p w:rsidR="007D3F20" w:rsidRPr="00924038" w:rsidRDefault="00DA3088" w:rsidP="007D3F20">
            <w:pPr>
              <w:pStyle w:val="Normal1linespace"/>
              <w:widowControl w:val="0"/>
              <w:jc w:val="left"/>
              <w:rPr>
                <w:b/>
              </w:rPr>
            </w:pPr>
            <w:fldSimple w:instr=" DOCPROPERTY  &quot;Practice Area&quot;  \* MERGEFORMAT ">
              <w:r w:rsidR="007D3F20" w:rsidRPr="00924038">
                <w:t>Commercial and Corporations</w:t>
              </w:r>
            </w:fldSimple>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pP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r w:rsidRPr="00924038">
              <w:t>Sub-area:</w:t>
            </w:r>
          </w:p>
        </w:tc>
        <w:tc>
          <w:tcPr>
            <w:tcW w:w="5989" w:type="dxa"/>
            <w:shd w:val="clear" w:color="auto" w:fill="auto"/>
          </w:tcPr>
          <w:p w:rsidR="007D3F20" w:rsidRPr="00924038" w:rsidRDefault="00DA3088" w:rsidP="007D3F20">
            <w:pPr>
              <w:pStyle w:val="Normal1linespace"/>
              <w:widowControl w:val="0"/>
              <w:jc w:val="left"/>
            </w:pPr>
            <w:fldSimple w:instr=" DOCPROPERTY  &quot;Sub Area&quot;  \* MERGEFORMAT ">
              <w:r w:rsidR="007D3F20" w:rsidRPr="00924038">
                <w:rPr>
                  <w:bCs/>
                  <w:lang w:val="en-US"/>
                </w:rPr>
                <w:t>Corporations and Corporate</w:t>
              </w:r>
              <w:r w:rsidR="007D3F20" w:rsidRPr="00924038">
                <w:t xml:space="preserve"> Insolvency</w:t>
              </w:r>
            </w:fldSimple>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rPr>
                <w:b/>
              </w:rPr>
            </w:pP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r w:rsidRPr="00924038">
              <w:t>Category:</w:t>
            </w:r>
          </w:p>
        </w:tc>
        <w:tc>
          <w:tcPr>
            <w:tcW w:w="5989" w:type="dxa"/>
            <w:shd w:val="clear" w:color="auto" w:fill="auto"/>
          </w:tcPr>
          <w:p w:rsidR="007D3F20" w:rsidRPr="00924038" w:rsidRDefault="007D3F20" w:rsidP="007D3F20">
            <w:pPr>
              <w:pStyle w:val="Normal1linespace"/>
              <w:widowControl w:val="0"/>
              <w:jc w:val="left"/>
            </w:pPr>
            <w:r w:rsidRPr="00924038">
              <w:t>Catchwords</w:t>
            </w: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pP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r w:rsidRPr="00924038">
              <w:t>Number of paragraphs:</w:t>
            </w:r>
          </w:p>
        </w:tc>
        <w:tc>
          <w:tcPr>
            <w:tcW w:w="5989" w:type="dxa"/>
            <w:shd w:val="clear" w:color="auto" w:fill="auto"/>
          </w:tcPr>
          <w:p w:rsidR="007D3F20" w:rsidRPr="00924038" w:rsidRDefault="00C27BB2" w:rsidP="007D3F20">
            <w:pPr>
              <w:pStyle w:val="Normal1linespace"/>
              <w:widowControl w:val="0"/>
              <w:jc w:val="left"/>
            </w:pPr>
            <w:bookmarkStart w:id="7" w:name="PlaceCategoryParagraphs"/>
            <w:r>
              <w:t>380</w:t>
            </w:r>
            <w:bookmarkEnd w:id="7"/>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pPr>
          </w:p>
        </w:tc>
      </w:tr>
      <w:tr w:rsidR="00924038" w:rsidRPr="00924038" w:rsidTr="007D3F20">
        <w:tc>
          <w:tcPr>
            <w:tcW w:w="3085" w:type="dxa"/>
            <w:shd w:val="clear" w:color="auto" w:fill="auto"/>
          </w:tcPr>
          <w:p w:rsidR="007D3F20" w:rsidRPr="00924038" w:rsidRDefault="007D3F20" w:rsidP="0043026B">
            <w:pPr>
              <w:pStyle w:val="Normal1linespace"/>
              <w:widowControl w:val="0"/>
              <w:jc w:val="left"/>
            </w:pPr>
            <w:bookmarkStart w:id="8" w:name="Counsel" w:colFirst="0" w:colLast="2"/>
            <w:r w:rsidRPr="00924038">
              <w:t xml:space="preserve">Counsel for the </w:t>
            </w:r>
            <w:r w:rsidR="0043026B" w:rsidRPr="00924038">
              <w:t>Applicant in NSD226/2018</w:t>
            </w:r>
            <w:r w:rsidRPr="00924038">
              <w:t>:</w:t>
            </w:r>
          </w:p>
        </w:tc>
        <w:tc>
          <w:tcPr>
            <w:tcW w:w="5989" w:type="dxa"/>
            <w:shd w:val="clear" w:color="auto" w:fill="auto"/>
          </w:tcPr>
          <w:p w:rsidR="007D3F20" w:rsidRPr="00924038" w:rsidRDefault="007D3F20" w:rsidP="0043026B">
            <w:pPr>
              <w:pStyle w:val="Normal1linespace"/>
              <w:widowControl w:val="0"/>
              <w:jc w:val="left"/>
            </w:pPr>
            <w:bookmarkStart w:id="9" w:name="AppCounsel"/>
            <w:bookmarkEnd w:id="9"/>
            <w:r w:rsidRPr="00924038">
              <w:t>Mr WAD Edwards</w:t>
            </w:r>
            <w:r w:rsidR="0043026B" w:rsidRPr="00924038">
              <w:t xml:space="preserve"> (11, 13, 24, 27 April 2018)</w:t>
            </w:r>
            <w:r w:rsidR="0043026B" w:rsidRPr="00924038">
              <w:br/>
              <w:t>Ms A Banton</w:t>
            </w:r>
            <w:r w:rsidR="00206FD8">
              <w:t xml:space="preserve"> of </w:t>
            </w:r>
            <w:r w:rsidR="00206FD8" w:rsidRPr="00924038">
              <w:t>Squire Patton Boggs</w:t>
            </w:r>
            <w:r w:rsidR="0043026B" w:rsidRPr="00924038">
              <w:t xml:space="preserve"> (7 May 2018)</w:t>
            </w: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pPr>
          </w:p>
        </w:tc>
      </w:tr>
      <w:tr w:rsidR="00924038" w:rsidRPr="00924038" w:rsidTr="007D3F20">
        <w:tc>
          <w:tcPr>
            <w:tcW w:w="3085" w:type="dxa"/>
            <w:shd w:val="clear" w:color="auto" w:fill="auto"/>
          </w:tcPr>
          <w:p w:rsidR="007D3F20" w:rsidRPr="00924038" w:rsidRDefault="007D3F20" w:rsidP="0043026B">
            <w:pPr>
              <w:pStyle w:val="Normal1linespace"/>
              <w:widowControl w:val="0"/>
              <w:jc w:val="left"/>
            </w:pPr>
            <w:r w:rsidRPr="00924038">
              <w:t xml:space="preserve">Solicitor for the </w:t>
            </w:r>
            <w:r w:rsidR="0043026B" w:rsidRPr="00924038">
              <w:t>Applicant in NSD226/2018</w:t>
            </w:r>
            <w:r w:rsidRPr="00924038">
              <w:t>:</w:t>
            </w:r>
          </w:p>
        </w:tc>
        <w:tc>
          <w:tcPr>
            <w:tcW w:w="5989" w:type="dxa"/>
            <w:shd w:val="clear" w:color="auto" w:fill="auto"/>
          </w:tcPr>
          <w:p w:rsidR="007D3F20" w:rsidRPr="00924038" w:rsidRDefault="007D3F20" w:rsidP="007D3F20">
            <w:pPr>
              <w:pStyle w:val="Normal1linespace"/>
              <w:widowControl w:val="0"/>
              <w:jc w:val="left"/>
            </w:pPr>
            <w:r w:rsidRPr="00924038">
              <w:t>Squire Patton Boggs</w:t>
            </w: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pPr>
          </w:p>
        </w:tc>
      </w:tr>
      <w:tr w:rsidR="00924038" w:rsidRPr="00924038" w:rsidTr="007D3F20">
        <w:tc>
          <w:tcPr>
            <w:tcW w:w="3085" w:type="dxa"/>
            <w:shd w:val="clear" w:color="auto" w:fill="auto"/>
          </w:tcPr>
          <w:p w:rsidR="007D3F20" w:rsidRPr="00924038" w:rsidRDefault="007D3F20" w:rsidP="0043026B">
            <w:pPr>
              <w:pStyle w:val="Normal1linespace"/>
              <w:widowControl w:val="0"/>
              <w:jc w:val="left"/>
            </w:pPr>
            <w:r w:rsidRPr="00924038">
              <w:t xml:space="preserve">Counsel for the </w:t>
            </w:r>
            <w:r w:rsidR="0043026B" w:rsidRPr="00924038">
              <w:t>Applicant in NSD440/2018</w:t>
            </w:r>
            <w:r w:rsidRPr="00924038">
              <w:t>:</w:t>
            </w:r>
          </w:p>
        </w:tc>
        <w:tc>
          <w:tcPr>
            <w:tcW w:w="5989" w:type="dxa"/>
            <w:shd w:val="clear" w:color="auto" w:fill="auto"/>
          </w:tcPr>
          <w:p w:rsidR="007D3F20" w:rsidRPr="00924038" w:rsidRDefault="007D3F20" w:rsidP="007D3F20">
            <w:pPr>
              <w:pStyle w:val="Normal1linespace"/>
              <w:widowControl w:val="0"/>
              <w:jc w:val="left"/>
            </w:pPr>
            <w:r w:rsidRPr="00924038">
              <w:t>Mr P Brereton SC and Dr B Kremer</w:t>
            </w:r>
            <w:r w:rsidR="0043026B" w:rsidRPr="00924038">
              <w:t xml:space="preserve"> (13 April 2018)</w:t>
            </w:r>
            <w:r w:rsidR="0043026B" w:rsidRPr="00924038">
              <w:br/>
              <w:t>Dr B Kremer (11, 24, 27 April 2018, 7 May 2018)</w:t>
            </w: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pPr>
          </w:p>
        </w:tc>
      </w:tr>
      <w:tr w:rsidR="00924038" w:rsidRPr="00924038" w:rsidTr="007D3F20">
        <w:tc>
          <w:tcPr>
            <w:tcW w:w="3085" w:type="dxa"/>
            <w:shd w:val="clear" w:color="auto" w:fill="auto"/>
          </w:tcPr>
          <w:p w:rsidR="007D3F20" w:rsidRPr="00924038" w:rsidRDefault="007D3F20" w:rsidP="0043026B">
            <w:pPr>
              <w:pStyle w:val="Normal1linespace"/>
              <w:widowControl w:val="0"/>
              <w:jc w:val="left"/>
            </w:pPr>
            <w:r w:rsidRPr="00924038">
              <w:t xml:space="preserve">Solicitor for the </w:t>
            </w:r>
            <w:r w:rsidR="0043026B" w:rsidRPr="00924038">
              <w:t xml:space="preserve">Applicant in </w:t>
            </w:r>
            <w:r w:rsidR="0043026B" w:rsidRPr="00924038">
              <w:lastRenderedPageBreak/>
              <w:t>NSD440/2018</w:t>
            </w:r>
            <w:r w:rsidRPr="00924038">
              <w:t>:</w:t>
            </w:r>
          </w:p>
        </w:tc>
        <w:tc>
          <w:tcPr>
            <w:tcW w:w="5989" w:type="dxa"/>
            <w:shd w:val="clear" w:color="auto" w:fill="auto"/>
          </w:tcPr>
          <w:p w:rsidR="007D3F20" w:rsidRPr="00924038" w:rsidRDefault="007D3F20" w:rsidP="007D3F20">
            <w:pPr>
              <w:pStyle w:val="Normal1linespace"/>
              <w:widowControl w:val="0"/>
              <w:jc w:val="left"/>
            </w:pPr>
            <w:r w:rsidRPr="00924038">
              <w:lastRenderedPageBreak/>
              <w:t>Corrs Chambers Westgarth</w:t>
            </w: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pPr>
          </w:p>
        </w:tc>
      </w:tr>
      <w:tr w:rsidR="00924038" w:rsidRPr="00924038" w:rsidTr="007D3F20">
        <w:tc>
          <w:tcPr>
            <w:tcW w:w="3085" w:type="dxa"/>
            <w:shd w:val="clear" w:color="auto" w:fill="auto"/>
          </w:tcPr>
          <w:p w:rsidR="007D3F20" w:rsidRPr="00924038" w:rsidRDefault="007D3F20" w:rsidP="0043026B">
            <w:pPr>
              <w:pStyle w:val="Normal1linespace"/>
              <w:widowControl w:val="0"/>
              <w:jc w:val="left"/>
            </w:pPr>
            <w:r w:rsidRPr="00924038">
              <w:t xml:space="preserve">Counsel for the </w:t>
            </w:r>
            <w:r w:rsidR="0043026B" w:rsidRPr="00924038">
              <w:t>Applicant in NSD580/2018</w:t>
            </w:r>
            <w:r w:rsidRPr="00924038">
              <w:t>:</w:t>
            </w:r>
          </w:p>
        </w:tc>
        <w:tc>
          <w:tcPr>
            <w:tcW w:w="5989" w:type="dxa"/>
            <w:shd w:val="clear" w:color="auto" w:fill="auto"/>
          </w:tcPr>
          <w:p w:rsidR="007D3F20" w:rsidRPr="00924038" w:rsidRDefault="007D3F20" w:rsidP="00EF7955">
            <w:pPr>
              <w:pStyle w:val="Normal1linespace"/>
              <w:widowControl w:val="0"/>
              <w:jc w:val="left"/>
            </w:pPr>
            <w:r w:rsidRPr="00924038">
              <w:t xml:space="preserve">Mr D Collins QC and </w:t>
            </w:r>
            <w:r w:rsidR="00EF7955" w:rsidRPr="00924038">
              <w:t>D</w:t>
            </w:r>
            <w:r w:rsidRPr="00924038">
              <w:t>r O Bigos</w:t>
            </w:r>
            <w:r w:rsidR="0043026B" w:rsidRPr="00924038">
              <w:t xml:space="preserve"> </w:t>
            </w:r>
            <w:r w:rsidR="00AA7C85" w:rsidRPr="00924038">
              <w:t>(11, 13, 24 April 2018)</w:t>
            </w:r>
            <w:r w:rsidR="00AA7C85" w:rsidRPr="00924038">
              <w:br/>
              <w:t>Mr T Finney of Phi Finney McDonald (27 April 2018)</w:t>
            </w:r>
            <w:r w:rsidR="00AA7C85" w:rsidRPr="00924038">
              <w:br/>
              <w:t>Mr D Collins QC (7 May 2018)</w:t>
            </w:r>
          </w:p>
        </w:tc>
      </w:tr>
      <w:tr w:rsidR="00924038" w:rsidRPr="00924038" w:rsidTr="007D3F20">
        <w:tc>
          <w:tcPr>
            <w:tcW w:w="3085" w:type="dxa"/>
            <w:shd w:val="clear" w:color="auto" w:fill="auto"/>
          </w:tcPr>
          <w:p w:rsidR="007D3F20" w:rsidRPr="00924038" w:rsidRDefault="007D3F20" w:rsidP="007D3F20">
            <w:pPr>
              <w:pStyle w:val="Normal1linespace"/>
              <w:widowControl w:val="0"/>
              <w:jc w:val="left"/>
            </w:pPr>
          </w:p>
        </w:tc>
        <w:tc>
          <w:tcPr>
            <w:tcW w:w="5989" w:type="dxa"/>
            <w:shd w:val="clear" w:color="auto" w:fill="auto"/>
          </w:tcPr>
          <w:p w:rsidR="007D3F20" w:rsidRPr="00924038" w:rsidRDefault="007D3F20" w:rsidP="007D3F20">
            <w:pPr>
              <w:pStyle w:val="Normal1linespace"/>
              <w:widowControl w:val="0"/>
              <w:jc w:val="left"/>
            </w:pPr>
          </w:p>
        </w:tc>
      </w:tr>
      <w:tr w:rsidR="00924038" w:rsidRPr="00924038" w:rsidTr="007D3F20">
        <w:tc>
          <w:tcPr>
            <w:tcW w:w="3085" w:type="dxa"/>
            <w:shd w:val="clear" w:color="auto" w:fill="auto"/>
          </w:tcPr>
          <w:p w:rsidR="007D3F20" w:rsidRPr="00924038" w:rsidRDefault="007D3F20" w:rsidP="0043026B">
            <w:pPr>
              <w:pStyle w:val="Normal1linespace"/>
              <w:widowControl w:val="0"/>
              <w:jc w:val="left"/>
            </w:pPr>
            <w:r w:rsidRPr="00924038">
              <w:t xml:space="preserve">Solicitor for the </w:t>
            </w:r>
            <w:r w:rsidR="0043026B" w:rsidRPr="00924038">
              <w:t>Applicant in NSD580/2018</w:t>
            </w:r>
            <w:r w:rsidRPr="00924038">
              <w:t>:</w:t>
            </w:r>
          </w:p>
        </w:tc>
        <w:tc>
          <w:tcPr>
            <w:tcW w:w="5989" w:type="dxa"/>
            <w:shd w:val="clear" w:color="auto" w:fill="auto"/>
          </w:tcPr>
          <w:p w:rsidR="007D3F20" w:rsidRPr="00924038" w:rsidRDefault="007D3F20" w:rsidP="007D3F20">
            <w:pPr>
              <w:pStyle w:val="Normal1linespace"/>
              <w:widowControl w:val="0"/>
              <w:jc w:val="left"/>
            </w:pPr>
            <w:r w:rsidRPr="00924038">
              <w:t>Phi Finney McDonald</w:t>
            </w:r>
          </w:p>
        </w:tc>
      </w:tr>
      <w:tr w:rsidR="00924038" w:rsidRPr="00924038" w:rsidTr="007D3F20">
        <w:tc>
          <w:tcPr>
            <w:tcW w:w="3085" w:type="dxa"/>
            <w:shd w:val="clear" w:color="auto" w:fill="auto"/>
          </w:tcPr>
          <w:p w:rsidR="0043026B" w:rsidRPr="00924038" w:rsidRDefault="0043026B" w:rsidP="007D3F20">
            <w:pPr>
              <w:pStyle w:val="Normal1linespace"/>
              <w:widowControl w:val="0"/>
              <w:jc w:val="left"/>
            </w:pPr>
          </w:p>
        </w:tc>
        <w:tc>
          <w:tcPr>
            <w:tcW w:w="5989" w:type="dxa"/>
            <w:shd w:val="clear" w:color="auto" w:fill="auto"/>
          </w:tcPr>
          <w:p w:rsidR="0043026B" w:rsidRPr="00924038" w:rsidRDefault="0043026B" w:rsidP="007D3F20">
            <w:pPr>
              <w:pStyle w:val="Normal1linespace"/>
              <w:widowControl w:val="0"/>
              <w:jc w:val="left"/>
            </w:pPr>
          </w:p>
        </w:tc>
      </w:tr>
      <w:tr w:rsidR="00924038" w:rsidRPr="00924038" w:rsidTr="007D3F20">
        <w:tc>
          <w:tcPr>
            <w:tcW w:w="3085" w:type="dxa"/>
            <w:shd w:val="clear" w:color="auto" w:fill="auto"/>
          </w:tcPr>
          <w:p w:rsidR="0043026B" w:rsidRPr="00924038" w:rsidRDefault="0043026B" w:rsidP="0043026B">
            <w:pPr>
              <w:pStyle w:val="Normal1linespace"/>
              <w:widowControl w:val="0"/>
              <w:jc w:val="left"/>
            </w:pPr>
            <w:r w:rsidRPr="00924038">
              <w:t>Counsel for the Respondents in all proceedings:</w:t>
            </w:r>
          </w:p>
        </w:tc>
        <w:tc>
          <w:tcPr>
            <w:tcW w:w="5989" w:type="dxa"/>
            <w:shd w:val="clear" w:color="auto" w:fill="auto"/>
          </w:tcPr>
          <w:p w:rsidR="0043026B" w:rsidRPr="00924038" w:rsidRDefault="0043026B" w:rsidP="00AA7C85">
            <w:pPr>
              <w:pStyle w:val="Normal1linespace"/>
              <w:widowControl w:val="0"/>
              <w:jc w:val="left"/>
            </w:pPr>
            <w:r w:rsidRPr="00924038">
              <w:t>Mr A Shearer</w:t>
            </w:r>
            <w:r w:rsidR="00AA7C85" w:rsidRPr="00924038">
              <w:t xml:space="preserve"> (11, 13, 24 April 2018)</w:t>
            </w:r>
            <w:r w:rsidR="00AA7C85" w:rsidRPr="00924038">
              <w:br/>
              <w:t>Ms M Fox of Quinn Emanuel Urquhart Sullivan (27 April, 7 May 2018)</w:t>
            </w:r>
          </w:p>
        </w:tc>
      </w:tr>
      <w:tr w:rsidR="00924038" w:rsidRPr="00924038" w:rsidTr="007D3F20">
        <w:tc>
          <w:tcPr>
            <w:tcW w:w="3085" w:type="dxa"/>
            <w:shd w:val="clear" w:color="auto" w:fill="auto"/>
          </w:tcPr>
          <w:p w:rsidR="0043026B" w:rsidRPr="00924038" w:rsidRDefault="0043026B" w:rsidP="0043026B">
            <w:pPr>
              <w:pStyle w:val="Normal1linespace"/>
              <w:widowControl w:val="0"/>
              <w:jc w:val="left"/>
            </w:pPr>
          </w:p>
        </w:tc>
        <w:tc>
          <w:tcPr>
            <w:tcW w:w="5989" w:type="dxa"/>
            <w:shd w:val="clear" w:color="auto" w:fill="auto"/>
          </w:tcPr>
          <w:p w:rsidR="0043026B" w:rsidRPr="00924038" w:rsidRDefault="0043026B" w:rsidP="007D3F20">
            <w:pPr>
              <w:pStyle w:val="Normal1linespace"/>
              <w:widowControl w:val="0"/>
              <w:jc w:val="left"/>
            </w:pPr>
          </w:p>
        </w:tc>
      </w:tr>
      <w:tr w:rsidR="0043026B" w:rsidRPr="00924038" w:rsidTr="007D3F20">
        <w:tc>
          <w:tcPr>
            <w:tcW w:w="3085" w:type="dxa"/>
            <w:shd w:val="clear" w:color="auto" w:fill="auto"/>
          </w:tcPr>
          <w:p w:rsidR="0043026B" w:rsidRPr="00924038" w:rsidRDefault="0043026B" w:rsidP="0043026B">
            <w:pPr>
              <w:pStyle w:val="Normal1linespace"/>
              <w:widowControl w:val="0"/>
              <w:jc w:val="left"/>
            </w:pPr>
            <w:r w:rsidRPr="00924038">
              <w:t>Solicitor for the Respondents in all proceedings:</w:t>
            </w:r>
          </w:p>
        </w:tc>
        <w:tc>
          <w:tcPr>
            <w:tcW w:w="5989" w:type="dxa"/>
            <w:shd w:val="clear" w:color="auto" w:fill="auto"/>
          </w:tcPr>
          <w:p w:rsidR="0043026B" w:rsidRPr="00924038" w:rsidRDefault="0043026B" w:rsidP="007D3F20">
            <w:pPr>
              <w:pStyle w:val="Normal1linespace"/>
              <w:widowControl w:val="0"/>
              <w:jc w:val="left"/>
            </w:pPr>
            <w:r w:rsidRPr="00924038">
              <w:t>Quinn Emanuel Urquhart Sullivan</w:t>
            </w:r>
          </w:p>
        </w:tc>
      </w:tr>
      <w:bookmarkEnd w:id="8"/>
    </w:tbl>
    <w:p w:rsidR="00395B24" w:rsidRPr="00924038" w:rsidRDefault="00395B24">
      <w:pPr>
        <w:pStyle w:val="Normal1linespace"/>
      </w:pPr>
    </w:p>
    <w:p w:rsidR="0092590B" w:rsidRDefault="0092590B">
      <w:pPr>
        <w:pStyle w:val="Normal1linespace"/>
      </w:pPr>
    </w:p>
    <w:tbl>
      <w:tblPr>
        <w:tblpPr w:leftFromText="181" w:rightFromText="181" w:tblpYSpec="bottom"/>
        <w:tblOverlap w:val="never"/>
        <w:tblW w:w="9044" w:type="dxa"/>
        <w:tblLayout w:type="fixed"/>
        <w:tblLook w:val="01E0" w:firstRow="1" w:lastRow="1" w:firstColumn="1" w:lastColumn="1" w:noHBand="0" w:noVBand="0"/>
      </w:tblPr>
      <w:tblGrid>
        <w:gridCol w:w="3052"/>
        <w:gridCol w:w="5992"/>
      </w:tblGrid>
      <w:tr w:rsidR="00E9140A" w:rsidTr="00DF537B">
        <w:tc>
          <w:tcPr>
            <w:tcW w:w="3050" w:type="dxa"/>
            <w:shd w:val="clear" w:color="auto" w:fill="auto"/>
          </w:tcPr>
          <w:p w:rsidR="00E9140A" w:rsidRPr="00223FB4" w:rsidRDefault="00E9140A" w:rsidP="00DF537B">
            <w:pPr>
              <w:pStyle w:val="Normal1linespace"/>
              <w:jc w:val="left"/>
              <w:rPr>
                <w:b/>
              </w:rPr>
            </w:pPr>
            <w:r w:rsidRPr="00223FB4">
              <w:rPr>
                <w:b/>
              </w:rPr>
              <w:t>Table of Corrections</w:t>
            </w:r>
          </w:p>
        </w:tc>
        <w:tc>
          <w:tcPr>
            <w:tcW w:w="5989" w:type="dxa"/>
            <w:shd w:val="clear" w:color="auto" w:fill="auto"/>
          </w:tcPr>
          <w:p w:rsidR="00E9140A" w:rsidRDefault="00E9140A" w:rsidP="00DF537B">
            <w:pPr>
              <w:pStyle w:val="Normal1linespace"/>
              <w:widowControl w:val="0"/>
              <w:jc w:val="left"/>
              <w:rPr>
                <w:b/>
              </w:rPr>
            </w:pPr>
          </w:p>
        </w:tc>
      </w:tr>
      <w:tr w:rsidR="00E9140A" w:rsidTr="00DF537B">
        <w:tc>
          <w:tcPr>
            <w:tcW w:w="3050" w:type="dxa"/>
            <w:shd w:val="clear" w:color="auto" w:fill="auto"/>
          </w:tcPr>
          <w:p w:rsidR="00E9140A" w:rsidRDefault="00E9140A" w:rsidP="00DF537B">
            <w:pPr>
              <w:pStyle w:val="Normal1linespace"/>
              <w:widowControl w:val="0"/>
              <w:jc w:val="left"/>
            </w:pPr>
          </w:p>
        </w:tc>
        <w:tc>
          <w:tcPr>
            <w:tcW w:w="5989" w:type="dxa"/>
            <w:shd w:val="clear" w:color="auto" w:fill="auto"/>
          </w:tcPr>
          <w:p w:rsidR="00E9140A" w:rsidRDefault="00E9140A" w:rsidP="00DF537B">
            <w:pPr>
              <w:pStyle w:val="Normal1linespace"/>
              <w:widowControl w:val="0"/>
              <w:jc w:val="left"/>
            </w:pPr>
          </w:p>
        </w:tc>
      </w:tr>
      <w:tr w:rsidR="00E9140A" w:rsidTr="00DF537B">
        <w:tc>
          <w:tcPr>
            <w:tcW w:w="3050" w:type="dxa"/>
            <w:shd w:val="clear" w:color="auto" w:fill="auto"/>
          </w:tcPr>
          <w:p w:rsidR="00E9140A" w:rsidRDefault="00E9140A" w:rsidP="00DF537B">
            <w:pPr>
              <w:pStyle w:val="Normal1linespace"/>
              <w:widowControl w:val="0"/>
              <w:jc w:val="left"/>
            </w:pPr>
            <w:bookmarkStart w:id="10" w:name="SelectMe"/>
            <w:bookmarkEnd w:id="10"/>
            <w:r>
              <w:t>25 May 2018</w:t>
            </w:r>
          </w:p>
        </w:tc>
        <w:tc>
          <w:tcPr>
            <w:tcW w:w="5989" w:type="dxa"/>
            <w:shd w:val="clear" w:color="auto" w:fill="auto"/>
          </w:tcPr>
          <w:p w:rsidR="00E9140A" w:rsidRPr="00E9140A" w:rsidRDefault="00E9140A" w:rsidP="00DF537B">
            <w:pPr>
              <w:pStyle w:val="Normal1linespace"/>
              <w:widowControl w:val="0"/>
              <w:jc w:val="left"/>
            </w:pPr>
            <w:r>
              <w:t>At paragraph [99], the heading “</w:t>
            </w:r>
            <w:r>
              <w:rPr>
                <w:i/>
              </w:rPr>
              <w:t>D.2.1 Stays &amp; Abuse of Process</w:t>
            </w:r>
            <w:r>
              <w:t>” has been removed.</w:t>
            </w:r>
          </w:p>
        </w:tc>
      </w:tr>
      <w:tr w:rsidR="00791CA9" w:rsidTr="00DF537B">
        <w:tc>
          <w:tcPr>
            <w:tcW w:w="3050" w:type="dxa"/>
            <w:shd w:val="clear" w:color="auto" w:fill="auto"/>
          </w:tcPr>
          <w:p w:rsidR="00791CA9" w:rsidRDefault="00791CA9" w:rsidP="00DF537B">
            <w:pPr>
              <w:pStyle w:val="Normal1linespace"/>
              <w:widowControl w:val="0"/>
              <w:jc w:val="left"/>
            </w:pPr>
          </w:p>
        </w:tc>
        <w:tc>
          <w:tcPr>
            <w:tcW w:w="5989" w:type="dxa"/>
            <w:shd w:val="clear" w:color="auto" w:fill="auto"/>
          </w:tcPr>
          <w:p w:rsidR="00791CA9" w:rsidRDefault="00791CA9" w:rsidP="00DF537B">
            <w:pPr>
              <w:pStyle w:val="Normal1linespace"/>
              <w:widowControl w:val="0"/>
              <w:jc w:val="left"/>
            </w:pPr>
          </w:p>
        </w:tc>
      </w:tr>
      <w:tr w:rsidR="00791CA9" w:rsidTr="00DF537B">
        <w:tc>
          <w:tcPr>
            <w:tcW w:w="3050" w:type="dxa"/>
            <w:shd w:val="clear" w:color="auto" w:fill="auto"/>
          </w:tcPr>
          <w:p w:rsidR="00791CA9" w:rsidRDefault="00791CA9" w:rsidP="00DF537B">
            <w:pPr>
              <w:pStyle w:val="Normal1linespace"/>
              <w:widowControl w:val="0"/>
              <w:jc w:val="left"/>
            </w:pPr>
            <w:r>
              <w:t>14 June 2018</w:t>
            </w:r>
          </w:p>
        </w:tc>
        <w:tc>
          <w:tcPr>
            <w:tcW w:w="5989" w:type="dxa"/>
            <w:shd w:val="clear" w:color="auto" w:fill="auto"/>
          </w:tcPr>
          <w:p w:rsidR="00791CA9" w:rsidRDefault="00791CA9" w:rsidP="00DF537B">
            <w:pPr>
              <w:pStyle w:val="Normal1linespace"/>
              <w:widowControl w:val="0"/>
              <w:jc w:val="left"/>
            </w:pPr>
            <w:r>
              <w:t>At paragraph [255], the word “not” has been inserted between the words “were” and “identified”.</w:t>
            </w:r>
          </w:p>
        </w:tc>
      </w:tr>
    </w:tbl>
    <w:p w:rsidR="00E9140A" w:rsidRPr="00924038" w:rsidRDefault="00E9140A">
      <w:pPr>
        <w:pStyle w:val="Normal1linespace"/>
      </w:pPr>
    </w:p>
    <w:p w:rsidR="00395B24" w:rsidRPr="00924038" w:rsidRDefault="00395B24">
      <w:pPr>
        <w:pStyle w:val="Normal1linespace"/>
        <w:sectPr w:rsidR="00395B24" w:rsidRPr="00924038">
          <w:headerReference w:type="even" r:id="rId9"/>
          <w:headerReference w:type="default" r:id="rId10"/>
          <w:footerReference w:type="even" r:id="rId11"/>
          <w:footerReference w:type="default" r:id="rId12"/>
          <w:headerReference w:type="first" r:id="rId13"/>
          <w:footerReference w:type="first" r:id="rId14"/>
          <w:endnotePr>
            <w:numFmt w:val="decimal"/>
          </w:endnotePr>
          <w:type w:val="continuous"/>
          <w:pgSz w:w="11907" w:h="16840" w:code="9"/>
          <w:pgMar w:top="1440" w:right="1440" w:bottom="1440" w:left="1440" w:header="851" w:footer="851" w:gutter="0"/>
          <w:pgNumType w:start="1"/>
          <w:cols w:space="720"/>
          <w:noEndnote/>
          <w:titlePg/>
        </w:sectPr>
      </w:pPr>
    </w:p>
    <w:p w:rsidR="008C7167" w:rsidRPr="00924038" w:rsidRDefault="0011419D" w:rsidP="00045BB7">
      <w:pPr>
        <w:pStyle w:val="NormalHeadings"/>
        <w:spacing w:line="480" w:lineRule="auto"/>
        <w:jc w:val="center"/>
        <w:rPr>
          <w:sz w:val="28"/>
          <w:szCs w:val="28"/>
        </w:rPr>
      </w:pPr>
      <w:r w:rsidRPr="00924038">
        <w:rPr>
          <w:sz w:val="28"/>
          <w:szCs w:val="28"/>
        </w:rPr>
        <w:lastRenderedPageBreak/>
        <w:t>ORDERS</w:t>
      </w:r>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924038" w:rsidRPr="00924038" w:rsidTr="00E81DA6">
        <w:tc>
          <w:tcPr>
            <w:tcW w:w="6912" w:type="dxa"/>
            <w:gridSpan w:val="2"/>
          </w:tcPr>
          <w:p w:rsidR="00A46CCC" w:rsidRPr="00924038" w:rsidRDefault="00A46CCC" w:rsidP="00525A49">
            <w:pPr>
              <w:pStyle w:val="NormalHeadings"/>
            </w:pPr>
          </w:p>
        </w:tc>
        <w:tc>
          <w:tcPr>
            <w:tcW w:w="2330" w:type="dxa"/>
          </w:tcPr>
          <w:p w:rsidR="006330D5" w:rsidRPr="00924038" w:rsidRDefault="006330D5" w:rsidP="00F92355">
            <w:pPr>
              <w:pStyle w:val="NormalHeadings"/>
              <w:jc w:val="right"/>
            </w:pPr>
            <w:bookmarkStart w:id="11" w:name="FileNo"/>
            <w:r w:rsidRPr="00924038">
              <w:t>NSD 226 of 2018</w:t>
            </w:r>
            <w:bookmarkEnd w:id="11"/>
          </w:p>
        </w:tc>
      </w:tr>
      <w:tr w:rsidR="00924038" w:rsidRPr="00924038" w:rsidTr="00A53622">
        <w:tc>
          <w:tcPr>
            <w:tcW w:w="9242" w:type="dxa"/>
            <w:gridSpan w:val="3"/>
          </w:tcPr>
          <w:p w:rsidR="00A76C13" w:rsidRPr="00924038" w:rsidRDefault="00A76C13" w:rsidP="006330D5">
            <w:pPr>
              <w:pStyle w:val="NormalHeadings"/>
              <w:jc w:val="left"/>
            </w:pPr>
          </w:p>
        </w:tc>
      </w:tr>
      <w:tr w:rsidR="00924038" w:rsidRPr="00924038" w:rsidTr="00A53622">
        <w:trPr>
          <w:trHeight w:val="386"/>
        </w:trPr>
        <w:tc>
          <w:tcPr>
            <w:tcW w:w="2376" w:type="dxa"/>
          </w:tcPr>
          <w:p w:rsidR="00A46CCC" w:rsidRPr="00924038" w:rsidRDefault="00A46CCC" w:rsidP="00A53622">
            <w:pPr>
              <w:pStyle w:val="NormalHeadings"/>
              <w:jc w:val="left"/>
              <w:rPr>
                <w:caps/>
                <w:szCs w:val="24"/>
              </w:rPr>
            </w:pPr>
            <w:bookmarkStart w:id="12" w:name="Parties"/>
            <w:r w:rsidRPr="00924038">
              <w:rPr>
                <w:caps/>
                <w:szCs w:val="24"/>
              </w:rPr>
              <w:t>BETWEEN:</w:t>
            </w:r>
          </w:p>
        </w:tc>
        <w:tc>
          <w:tcPr>
            <w:tcW w:w="6866" w:type="dxa"/>
            <w:gridSpan w:val="2"/>
          </w:tcPr>
          <w:p w:rsidR="006330D5" w:rsidRPr="00924038" w:rsidRDefault="006330D5" w:rsidP="006330D5">
            <w:pPr>
              <w:pStyle w:val="NormalHeadings"/>
              <w:jc w:val="left"/>
            </w:pPr>
            <w:bookmarkStart w:id="13" w:name="Applicant"/>
            <w:r w:rsidRPr="00924038">
              <w:t>DWAYNE CAVAN SHANAHAN PERERA</w:t>
            </w:r>
          </w:p>
          <w:p w:rsidR="006330D5" w:rsidRPr="00924038" w:rsidRDefault="0050459F" w:rsidP="006330D5">
            <w:pPr>
              <w:pStyle w:val="PartyType"/>
            </w:pPr>
            <w:r w:rsidRPr="00924038">
              <w:t>Applicant</w:t>
            </w:r>
          </w:p>
          <w:bookmarkEnd w:id="13"/>
          <w:p w:rsidR="00A46CCC" w:rsidRPr="00924038" w:rsidRDefault="00A46CCC" w:rsidP="00763E9C">
            <w:pPr>
              <w:pStyle w:val="NormalHeadings"/>
              <w:jc w:val="left"/>
            </w:pPr>
          </w:p>
        </w:tc>
      </w:tr>
      <w:tr w:rsidR="00924038" w:rsidRPr="00924038" w:rsidTr="00A53622">
        <w:trPr>
          <w:trHeight w:val="386"/>
        </w:trPr>
        <w:tc>
          <w:tcPr>
            <w:tcW w:w="2376" w:type="dxa"/>
          </w:tcPr>
          <w:p w:rsidR="00A46CCC" w:rsidRPr="00924038" w:rsidRDefault="00A46CCC" w:rsidP="00A53622">
            <w:pPr>
              <w:pStyle w:val="NormalHeadings"/>
              <w:jc w:val="left"/>
              <w:rPr>
                <w:caps/>
                <w:szCs w:val="24"/>
              </w:rPr>
            </w:pPr>
            <w:r w:rsidRPr="00924038">
              <w:rPr>
                <w:caps/>
                <w:szCs w:val="24"/>
              </w:rPr>
              <w:t>AND:</w:t>
            </w:r>
          </w:p>
        </w:tc>
        <w:tc>
          <w:tcPr>
            <w:tcW w:w="6866" w:type="dxa"/>
            <w:gridSpan w:val="2"/>
          </w:tcPr>
          <w:p w:rsidR="006330D5" w:rsidRPr="00924038" w:rsidRDefault="006330D5" w:rsidP="006330D5">
            <w:pPr>
              <w:pStyle w:val="NormalHeadings"/>
              <w:jc w:val="left"/>
            </w:pPr>
            <w:bookmarkStart w:id="14" w:name="Respondent"/>
            <w:r w:rsidRPr="00924038">
              <w:t>GETSWIFT LTD</w:t>
            </w:r>
          </w:p>
          <w:p w:rsidR="006330D5" w:rsidRPr="00924038" w:rsidRDefault="006330D5" w:rsidP="006330D5">
            <w:pPr>
              <w:pStyle w:val="PartyType"/>
            </w:pPr>
            <w:r w:rsidRPr="00924038">
              <w:t xml:space="preserve">First </w:t>
            </w:r>
            <w:r w:rsidR="0050459F" w:rsidRPr="00924038">
              <w:t>Respondent</w:t>
            </w:r>
          </w:p>
          <w:p w:rsidR="006330D5" w:rsidRPr="00924038" w:rsidRDefault="006330D5" w:rsidP="00763E9C">
            <w:pPr>
              <w:pStyle w:val="NormalHeadings"/>
              <w:jc w:val="left"/>
            </w:pPr>
          </w:p>
          <w:p w:rsidR="006330D5" w:rsidRPr="00924038" w:rsidRDefault="006330D5" w:rsidP="006330D5">
            <w:pPr>
              <w:pStyle w:val="NormalHeadings"/>
              <w:jc w:val="left"/>
            </w:pPr>
            <w:r w:rsidRPr="00924038">
              <w:t>JOEL MACDONALD</w:t>
            </w:r>
          </w:p>
          <w:p w:rsidR="006330D5" w:rsidRPr="00924038" w:rsidRDefault="006330D5" w:rsidP="006330D5">
            <w:pPr>
              <w:pStyle w:val="PartyType"/>
            </w:pPr>
            <w:r w:rsidRPr="00924038">
              <w:t xml:space="preserve">Second </w:t>
            </w:r>
            <w:r w:rsidR="0050459F" w:rsidRPr="00924038">
              <w:t>Respondent</w:t>
            </w:r>
          </w:p>
          <w:bookmarkEnd w:id="14"/>
          <w:p w:rsidR="00A46CCC" w:rsidRPr="00924038" w:rsidRDefault="00A46CCC" w:rsidP="00763E9C">
            <w:pPr>
              <w:pStyle w:val="NormalHeadings"/>
              <w:jc w:val="left"/>
            </w:pPr>
          </w:p>
        </w:tc>
      </w:tr>
      <w:tr w:rsidR="00924038" w:rsidRPr="00924038">
        <w:tc>
          <w:tcPr>
            <w:tcW w:w="2376" w:type="dxa"/>
          </w:tcPr>
          <w:p w:rsidR="00395B24" w:rsidRPr="00924038" w:rsidRDefault="006330D5">
            <w:pPr>
              <w:pStyle w:val="NormalHeadings"/>
              <w:spacing w:after="120"/>
              <w:jc w:val="left"/>
              <w:rPr>
                <w:caps/>
                <w:szCs w:val="24"/>
              </w:rPr>
            </w:pPr>
            <w:bookmarkStart w:id="15" w:name="CrossClaimPosition"/>
            <w:bookmarkStart w:id="16" w:name="JudgeText"/>
            <w:bookmarkEnd w:id="12"/>
            <w:bookmarkEnd w:id="15"/>
            <w:r w:rsidRPr="00924038">
              <w:rPr>
                <w:caps/>
                <w:szCs w:val="24"/>
              </w:rPr>
              <w:t>JUDGE</w:t>
            </w:r>
            <w:bookmarkEnd w:id="16"/>
            <w:r w:rsidR="002C7385" w:rsidRPr="00924038">
              <w:rPr>
                <w:caps/>
                <w:szCs w:val="24"/>
              </w:rPr>
              <w:t>:</w:t>
            </w:r>
          </w:p>
        </w:tc>
        <w:tc>
          <w:tcPr>
            <w:tcW w:w="6866" w:type="dxa"/>
            <w:gridSpan w:val="2"/>
          </w:tcPr>
          <w:p w:rsidR="00395B24" w:rsidRPr="00924038" w:rsidRDefault="006330D5">
            <w:pPr>
              <w:pStyle w:val="NormalHeadings"/>
              <w:jc w:val="left"/>
              <w:rPr>
                <w:caps/>
                <w:szCs w:val="24"/>
              </w:rPr>
            </w:pPr>
            <w:bookmarkStart w:id="17" w:name="Judge"/>
            <w:r w:rsidRPr="00924038">
              <w:rPr>
                <w:caps/>
                <w:szCs w:val="24"/>
              </w:rPr>
              <w:t>LEE J</w:t>
            </w:r>
            <w:bookmarkEnd w:id="17"/>
          </w:p>
          <w:p w:rsidR="00E7500C" w:rsidRPr="00924038" w:rsidRDefault="00E7500C">
            <w:pPr>
              <w:pStyle w:val="NormalHeadings"/>
              <w:jc w:val="left"/>
              <w:rPr>
                <w:caps/>
                <w:szCs w:val="24"/>
              </w:rPr>
            </w:pPr>
          </w:p>
        </w:tc>
      </w:tr>
      <w:tr w:rsidR="00395B24" w:rsidRPr="00924038">
        <w:tc>
          <w:tcPr>
            <w:tcW w:w="2376" w:type="dxa"/>
          </w:tcPr>
          <w:p w:rsidR="00395B24" w:rsidRPr="00924038" w:rsidRDefault="002C7385">
            <w:pPr>
              <w:pStyle w:val="NormalHeadings"/>
              <w:spacing w:after="120"/>
              <w:jc w:val="left"/>
              <w:rPr>
                <w:caps/>
                <w:szCs w:val="24"/>
              </w:rPr>
            </w:pPr>
            <w:r w:rsidRPr="00924038">
              <w:rPr>
                <w:caps/>
                <w:szCs w:val="24"/>
              </w:rPr>
              <w:t>DATE OF ORDER:</w:t>
            </w:r>
          </w:p>
        </w:tc>
        <w:tc>
          <w:tcPr>
            <w:tcW w:w="6866" w:type="dxa"/>
            <w:gridSpan w:val="2"/>
          </w:tcPr>
          <w:p w:rsidR="00395B24" w:rsidRPr="00924038" w:rsidRDefault="00AD6DA3">
            <w:pPr>
              <w:pStyle w:val="NormalHeadings"/>
              <w:jc w:val="left"/>
              <w:rPr>
                <w:caps/>
                <w:szCs w:val="24"/>
              </w:rPr>
            </w:pPr>
            <w:r w:rsidRPr="00924038">
              <w:rPr>
                <w:caps/>
                <w:szCs w:val="24"/>
              </w:rPr>
              <w:t>23</w:t>
            </w:r>
            <w:r w:rsidR="00AD1AF9" w:rsidRPr="00924038">
              <w:rPr>
                <w:caps/>
                <w:szCs w:val="24"/>
              </w:rPr>
              <w:t xml:space="preserve"> May 2018</w:t>
            </w:r>
          </w:p>
        </w:tc>
      </w:tr>
    </w:tbl>
    <w:p w:rsidR="00395B24" w:rsidRPr="00924038" w:rsidRDefault="00395B24">
      <w:pPr>
        <w:pStyle w:val="NormalHeadings"/>
        <w:rPr>
          <w:b w:val="0"/>
        </w:rPr>
      </w:pPr>
    </w:p>
    <w:p w:rsidR="008D1617" w:rsidRPr="00924038" w:rsidRDefault="008D1617">
      <w:pPr>
        <w:pStyle w:val="NormalHeadings"/>
        <w:rPr>
          <w:b w:val="0"/>
        </w:rPr>
      </w:pPr>
    </w:p>
    <w:p w:rsidR="00395B24" w:rsidRPr="00924038" w:rsidRDefault="002C7385">
      <w:pPr>
        <w:pStyle w:val="NormalHeadings"/>
      </w:pPr>
      <w:r w:rsidRPr="00924038">
        <w:t>THE COURT ORDERS THAT:</w:t>
      </w:r>
    </w:p>
    <w:p w:rsidR="00395B24" w:rsidRPr="00924038" w:rsidRDefault="00395B24">
      <w:pPr>
        <w:pStyle w:val="NormalHeadings"/>
      </w:pPr>
    </w:p>
    <w:p w:rsidR="00395B24" w:rsidRPr="00924038" w:rsidRDefault="00B526E8" w:rsidP="000F2CC0">
      <w:pPr>
        <w:pStyle w:val="Order1"/>
      </w:pPr>
      <w:bookmarkStart w:id="18" w:name="Order_Start_Text"/>
      <w:bookmarkEnd w:id="18"/>
      <w:r w:rsidRPr="00924038">
        <w:t xml:space="preserve">This proceeding </w:t>
      </w:r>
      <w:proofErr w:type="gramStart"/>
      <w:r w:rsidRPr="00924038">
        <w:t>be</w:t>
      </w:r>
      <w:proofErr w:type="gramEnd"/>
      <w:r w:rsidRPr="00924038">
        <w:t xml:space="preserve"> permanently stayed.  </w:t>
      </w:r>
    </w:p>
    <w:p w:rsidR="00B526E8" w:rsidRPr="00924038" w:rsidRDefault="00B526E8" w:rsidP="00B526E8">
      <w:pPr>
        <w:pStyle w:val="Order1"/>
      </w:pPr>
      <w:bookmarkStart w:id="19" w:name="_Ref514417858"/>
      <w:r w:rsidRPr="00924038">
        <w:t xml:space="preserve">For the avoidance of doubt, the permanent stay of this proceeding does not prevent the applicant making </w:t>
      </w:r>
      <w:r w:rsidR="00540D60" w:rsidRPr="00924038">
        <w:t xml:space="preserve">and moving upon </w:t>
      </w:r>
      <w:r w:rsidRPr="00924038">
        <w:t xml:space="preserve">any application as a group member in proceedings NSD 580 of 2018 pursuant to s 33T of the </w:t>
      </w:r>
      <w:r w:rsidRPr="00924038">
        <w:rPr>
          <w:i/>
        </w:rPr>
        <w:t xml:space="preserve">Federal Court of Australia Act 1976 </w:t>
      </w:r>
      <w:r w:rsidRPr="00924038">
        <w:t>(Cth)</w:t>
      </w:r>
      <w:r w:rsidR="0026081F" w:rsidRPr="00924038">
        <w:rPr>
          <w:lang w:val="en"/>
        </w:rPr>
        <w:t xml:space="preserve"> where </w:t>
      </w:r>
      <w:r w:rsidR="00540D60" w:rsidRPr="00924038">
        <w:rPr>
          <w:lang w:val="en"/>
        </w:rPr>
        <w:t xml:space="preserve">he contends that </w:t>
      </w:r>
      <w:r w:rsidR="0026081F" w:rsidRPr="00924038">
        <w:rPr>
          <w:lang w:val="en"/>
        </w:rPr>
        <w:t>Mr Webb, the applicant in that proceeding, is not able adequately to represent the interests of the group members</w:t>
      </w:r>
      <w:r w:rsidRPr="00924038">
        <w:t xml:space="preserve"> </w:t>
      </w:r>
      <w:r w:rsidR="0026081F" w:rsidRPr="00924038">
        <w:t xml:space="preserve">in that proceeding </w:t>
      </w:r>
      <w:r w:rsidRPr="00924038">
        <w:t xml:space="preserve">including, without limitation, in circumstances where </w:t>
      </w:r>
      <w:r w:rsidR="0026081F" w:rsidRPr="00924038">
        <w:t xml:space="preserve">Mr Webb </w:t>
      </w:r>
      <w:r w:rsidRPr="00924038">
        <w:t>has failed to comply with any order relating to security for costs.</w:t>
      </w:r>
      <w:bookmarkEnd w:id="19"/>
    </w:p>
    <w:p w:rsidR="00395B24" w:rsidRPr="00924038" w:rsidRDefault="00395B24" w:rsidP="002B0E91">
      <w:pPr>
        <w:pStyle w:val="BodyText"/>
      </w:pPr>
    </w:p>
    <w:p w:rsidR="00395B24" w:rsidRPr="00924038" w:rsidRDefault="002C7385" w:rsidP="004D53E5">
      <w:pPr>
        <w:pStyle w:val="SingleSpace"/>
      </w:pPr>
      <w:r w:rsidRPr="00924038">
        <w:t>Note:</w:t>
      </w:r>
      <w:r w:rsidRPr="00924038">
        <w:tab/>
        <w:t xml:space="preserve">Entry of orders is dealt with in Rule 39.32 of the </w:t>
      </w:r>
      <w:r w:rsidRPr="00924038">
        <w:rPr>
          <w:i/>
        </w:rPr>
        <w:t>Federal Court Rules 2011</w:t>
      </w:r>
      <w:r w:rsidRPr="00924038">
        <w:t>.</w:t>
      </w:r>
    </w:p>
    <w:p w:rsidR="0092590B" w:rsidRPr="00924038" w:rsidRDefault="0092590B" w:rsidP="002B0E91">
      <w:pPr>
        <w:pStyle w:val="BodyText"/>
      </w:pPr>
    </w:p>
    <w:p w:rsidR="00395B24" w:rsidRPr="00924038" w:rsidRDefault="00395B24">
      <w:pPr>
        <w:pStyle w:val="NormalHeadings"/>
        <w:spacing w:before="240" w:after="120"/>
        <w:rPr>
          <w:b w:val="0"/>
        </w:rPr>
        <w:sectPr w:rsidR="00395B24" w:rsidRPr="00924038" w:rsidSect="0092590B">
          <w:headerReference w:type="default" r:id="rId15"/>
          <w:headerReference w:type="first" r:id="rId16"/>
          <w:endnotePr>
            <w:numFmt w:val="decimal"/>
          </w:endnotePr>
          <w:pgSz w:w="11907" w:h="16840" w:code="9"/>
          <w:pgMar w:top="1440" w:right="1440" w:bottom="1440" w:left="1440" w:header="851" w:footer="851" w:gutter="0"/>
          <w:pgNumType w:fmt="lowerRoman" w:start="1"/>
          <w:cols w:space="720"/>
          <w:noEndnote/>
          <w:titlePg/>
        </w:sectPr>
      </w:pPr>
    </w:p>
    <w:p w:rsidR="001557E2" w:rsidRPr="00924038" w:rsidRDefault="001557E2" w:rsidP="00045BB7">
      <w:pPr>
        <w:pStyle w:val="NormalHeadings"/>
        <w:spacing w:line="480" w:lineRule="auto"/>
        <w:jc w:val="center"/>
        <w:rPr>
          <w:sz w:val="28"/>
          <w:szCs w:val="28"/>
        </w:rPr>
      </w:pPr>
      <w:r w:rsidRPr="00924038">
        <w:rPr>
          <w:sz w:val="28"/>
          <w:szCs w:val="28"/>
        </w:rPr>
        <w:lastRenderedPageBreak/>
        <w:t>ORDERS</w:t>
      </w:r>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924038" w:rsidRPr="00924038" w:rsidTr="00E81DA6">
        <w:tc>
          <w:tcPr>
            <w:tcW w:w="6912" w:type="dxa"/>
            <w:gridSpan w:val="2"/>
          </w:tcPr>
          <w:p w:rsidR="001557E2" w:rsidRPr="00924038" w:rsidRDefault="001557E2" w:rsidP="00823D3F">
            <w:pPr>
              <w:pStyle w:val="NormalHeadings"/>
            </w:pPr>
          </w:p>
        </w:tc>
        <w:tc>
          <w:tcPr>
            <w:tcW w:w="2330" w:type="dxa"/>
          </w:tcPr>
          <w:p w:rsidR="001557E2" w:rsidRPr="00924038" w:rsidRDefault="001557E2" w:rsidP="008516FE">
            <w:pPr>
              <w:pStyle w:val="NormalHeadings"/>
              <w:jc w:val="right"/>
            </w:pPr>
            <w:r w:rsidRPr="00924038">
              <w:rPr>
                <w:caps/>
                <w:szCs w:val="24"/>
              </w:rPr>
              <w:t xml:space="preserve">NSD 440 </w:t>
            </w:r>
            <w:r w:rsidR="008516FE" w:rsidRPr="00924038">
              <w:t>of</w:t>
            </w:r>
            <w:r w:rsidRPr="00924038">
              <w:rPr>
                <w:caps/>
                <w:szCs w:val="24"/>
              </w:rPr>
              <w:t xml:space="preserve"> 2018</w:t>
            </w:r>
          </w:p>
        </w:tc>
      </w:tr>
      <w:tr w:rsidR="00924038" w:rsidRPr="00924038" w:rsidTr="00823D3F">
        <w:tc>
          <w:tcPr>
            <w:tcW w:w="9242" w:type="dxa"/>
            <w:gridSpan w:val="3"/>
          </w:tcPr>
          <w:p w:rsidR="001557E2" w:rsidRPr="00924038" w:rsidRDefault="001557E2" w:rsidP="00823D3F">
            <w:pPr>
              <w:pStyle w:val="NormalHeadings"/>
              <w:jc w:val="left"/>
            </w:pPr>
          </w:p>
        </w:tc>
      </w:tr>
      <w:tr w:rsidR="00924038" w:rsidRPr="00924038" w:rsidTr="00823D3F">
        <w:trPr>
          <w:trHeight w:val="386"/>
        </w:trPr>
        <w:tc>
          <w:tcPr>
            <w:tcW w:w="2376" w:type="dxa"/>
          </w:tcPr>
          <w:p w:rsidR="001557E2" w:rsidRPr="00924038" w:rsidRDefault="001557E2" w:rsidP="00823D3F">
            <w:pPr>
              <w:pStyle w:val="NormalHeadings"/>
              <w:jc w:val="left"/>
              <w:rPr>
                <w:caps/>
                <w:szCs w:val="24"/>
              </w:rPr>
            </w:pPr>
            <w:r w:rsidRPr="00924038">
              <w:rPr>
                <w:caps/>
                <w:szCs w:val="24"/>
              </w:rPr>
              <w:t>BETWEEN:</w:t>
            </w:r>
          </w:p>
        </w:tc>
        <w:tc>
          <w:tcPr>
            <w:tcW w:w="6866" w:type="dxa"/>
            <w:gridSpan w:val="2"/>
          </w:tcPr>
          <w:p w:rsidR="001557E2" w:rsidRPr="00924038" w:rsidRDefault="001557E2" w:rsidP="001557E2">
            <w:pPr>
              <w:pStyle w:val="NormalHeadings"/>
              <w:jc w:val="left"/>
            </w:pPr>
            <w:r w:rsidRPr="00924038">
              <w:t>SHAUN MCTAGGART</w:t>
            </w:r>
          </w:p>
          <w:p w:rsidR="001557E2" w:rsidRPr="00924038" w:rsidRDefault="00611BDE" w:rsidP="001557E2">
            <w:pPr>
              <w:pStyle w:val="PartyType"/>
            </w:pPr>
            <w:r>
              <w:t xml:space="preserve">First </w:t>
            </w:r>
            <w:r w:rsidR="0050459F" w:rsidRPr="00924038">
              <w:t>Applicant</w:t>
            </w:r>
          </w:p>
          <w:p w:rsidR="001557E2" w:rsidRDefault="001557E2" w:rsidP="001557E2">
            <w:pPr>
              <w:pStyle w:val="PartyType"/>
            </w:pPr>
          </w:p>
          <w:p w:rsidR="00611BDE" w:rsidRDefault="00611BDE" w:rsidP="001557E2">
            <w:pPr>
              <w:pStyle w:val="PartyType"/>
              <w:rPr>
                <w:b/>
              </w:rPr>
            </w:pPr>
            <w:r>
              <w:rPr>
                <w:b/>
              </w:rPr>
              <w:t>SAMANTHA MCTAGGART</w:t>
            </w:r>
          </w:p>
          <w:p w:rsidR="00611BDE" w:rsidRDefault="00611BDE" w:rsidP="001557E2">
            <w:pPr>
              <w:pStyle w:val="PartyType"/>
            </w:pPr>
            <w:r>
              <w:t>Second Applicant</w:t>
            </w:r>
          </w:p>
          <w:p w:rsidR="00611BDE" w:rsidRPr="00611BDE" w:rsidRDefault="00611BDE" w:rsidP="001557E2">
            <w:pPr>
              <w:pStyle w:val="PartyType"/>
            </w:pPr>
          </w:p>
        </w:tc>
      </w:tr>
      <w:tr w:rsidR="001557E2" w:rsidRPr="00924038" w:rsidTr="00823D3F">
        <w:trPr>
          <w:trHeight w:val="386"/>
        </w:trPr>
        <w:tc>
          <w:tcPr>
            <w:tcW w:w="2376" w:type="dxa"/>
          </w:tcPr>
          <w:p w:rsidR="001557E2" w:rsidRPr="00924038" w:rsidRDefault="001557E2" w:rsidP="00823D3F">
            <w:pPr>
              <w:pStyle w:val="NormalHeadings"/>
              <w:jc w:val="left"/>
              <w:rPr>
                <w:caps/>
                <w:szCs w:val="24"/>
              </w:rPr>
            </w:pPr>
            <w:r w:rsidRPr="00924038">
              <w:rPr>
                <w:caps/>
                <w:szCs w:val="24"/>
              </w:rPr>
              <w:t>AND:</w:t>
            </w:r>
          </w:p>
        </w:tc>
        <w:tc>
          <w:tcPr>
            <w:tcW w:w="6866" w:type="dxa"/>
            <w:gridSpan w:val="2"/>
          </w:tcPr>
          <w:p w:rsidR="001557E2" w:rsidRPr="00924038" w:rsidRDefault="001557E2" w:rsidP="001557E2">
            <w:pPr>
              <w:pStyle w:val="NormalHeadings"/>
              <w:jc w:val="left"/>
            </w:pPr>
            <w:r w:rsidRPr="00924038">
              <w:t>GETSWIFT LTD</w:t>
            </w:r>
          </w:p>
          <w:p w:rsidR="001557E2" w:rsidRPr="00924038" w:rsidRDefault="001557E2" w:rsidP="001557E2">
            <w:pPr>
              <w:pStyle w:val="PartyType"/>
            </w:pPr>
            <w:r w:rsidRPr="00924038">
              <w:t xml:space="preserve">First </w:t>
            </w:r>
            <w:r w:rsidR="0050459F" w:rsidRPr="00924038">
              <w:t>Respondent</w:t>
            </w:r>
          </w:p>
          <w:p w:rsidR="001557E2" w:rsidRPr="00924038" w:rsidRDefault="001557E2" w:rsidP="001557E2">
            <w:pPr>
              <w:pStyle w:val="NormalHeadings"/>
              <w:jc w:val="left"/>
            </w:pPr>
          </w:p>
          <w:p w:rsidR="001557E2" w:rsidRPr="00924038" w:rsidRDefault="001557E2" w:rsidP="001557E2">
            <w:pPr>
              <w:pStyle w:val="NormalHeadings"/>
              <w:jc w:val="left"/>
            </w:pPr>
            <w:r w:rsidRPr="00924038">
              <w:t>JOEL MACDONALD</w:t>
            </w:r>
          </w:p>
          <w:p w:rsidR="001557E2" w:rsidRPr="00924038" w:rsidRDefault="001557E2" w:rsidP="001557E2">
            <w:pPr>
              <w:pStyle w:val="PartyType"/>
            </w:pPr>
            <w:r w:rsidRPr="00924038">
              <w:t xml:space="preserve">Second </w:t>
            </w:r>
            <w:r w:rsidR="0050459F" w:rsidRPr="00924038">
              <w:t>Respondent</w:t>
            </w:r>
          </w:p>
          <w:p w:rsidR="001557E2" w:rsidRPr="00924038" w:rsidRDefault="001557E2" w:rsidP="001557E2">
            <w:pPr>
              <w:pStyle w:val="PartyType"/>
            </w:pPr>
          </w:p>
          <w:p w:rsidR="001557E2" w:rsidRPr="00924038" w:rsidRDefault="001557E2" w:rsidP="001557E2">
            <w:pPr>
              <w:pStyle w:val="PartyType"/>
              <w:rPr>
                <w:b/>
              </w:rPr>
            </w:pPr>
            <w:r w:rsidRPr="00924038">
              <w:rPr>
                <w:b/>
              </w:rPr>
              <w:t>BANE HUNTER</w:t>
            </w:r>
          </w:p>
          <w:p w:rsidR="001557E2" w:rsidRPr="00924038" w:rsidRDefault="001557E2" w:rsidP="0050459F">
            <w:pPr>
              <w:pStyle w:val="NormalHeadings"/>
            </w:pPr>
            <w:r w:rsidRPr="00924038">
              <w:rPr>
                <w:b w:val="0"/>
              </w:rPr>
              <w:t xml:space="preserve">Third </w:t>
            </w:r>
            <w:r w:rsidR="0050459F" w:rsidRPr="00924038">
              <w:rPr>
                <w:b w:val="0"/>
              </w:rPr>
              <w:t>Respondent</w:t>
            </w:r>
            <w:r w:rsidRPr="00924038">
              <w:t xml:space="preserve"> </w:t>
            </w:r>
          </w:p>
        </w:tc>
      </w:tr>
    </w:tbl>
    <w:p w:rsidR="001557E2" w:rsidRPr="00924038" w:rsidRDefault="001557E2">
      <w:pPr>
        <w:pStyle w:val="NormalHeadings"/>
      </w:pPr>
    </w:p>
    <w:tbl>
      <w:tblPr>
        <w:tblW w:w="0" w:type="auto"/>
        <w:tblLayout w:type="fixed"/>
        <w:tblLook w:val="0000" w:firstRow="0" w:lastRow="0" w:firstColumn="0" w:lastColumn="0" w:noHBand="0" w:noVBand="0"/>
        <w:tblCaption w:val="Judge"/>
        <w:tblDescription w:val="Judge"/>
      </w:tblPr>
      <w:tblGrid>
        <w:gridCol w:w="2376"/>
        <w:gridCol w:w="6866"/>
      </w:tblGrid>
      <w:tr w:rsidR="00924038" w:rsidRPr="00924038">
        <w:tc>
          <w:tcPr>
            <w:tcW w:w="2376" w:type="dxa"/>
          </w:tcPr>
          <w:p w:rsidR="001557E2" w:rsidRPr="00924038" w:rsidRDefault="001557E2">
            <w:pPr>
              <w:pStyle w:val="NormalHeadings"/>
              <w:spacing w:after="120"/>
              <w:jc w:val="left"/>
              <w:rPr>
                <w:caps/>
                <w:szCs w:val="24"/>
              </w:rPr>
            </w:pPr>
            <w:r w:rsidRPr="00924038">
              <w:rPr>
                <w:caps/>
                <w:szCs w:val="24"/>
              </w:rPr>
              <w:t>JUDGE:</w:t>
            </w:r>
          </w:p>
        </w:tc>
        <w:tc>
          <w:tcPr>
            <w:tcW w:w="6866" w:type="dxa"/>
          </w:tcPr>
          <w:p w:rsidR="001557E2" w:rsidRPr="00924038" w:rsidRDefault="001557E2">
            <w:pPr>
              <w:pStyle w:val="NormalHeadings"/>
              <w:jc w:val="left"/>
              <w:rPr>
                <w:caps/>
                <w:szCs w:val="24"/>
              </w:rPr>
            </w:pPr>
            <w:r w:rsidRPr="00924038">
              <w:rPr>
                <w:caps/>
                <w:szCs w:val="24"/>
              </w:rPr>
              <w:t>LEE J</w:t>
            </w:r>
          </w:p>
          <w:p w:rsidR="001557E2" w:rsidRPr="00924038" w:rsidRDefault="001557E2">
            <w:pPr>
              <w:pStyle w:val="NormalHeadings"/>
              <w:jc w:val="left"/>
              <w:rPr>
                <w:caps/>
                <w:szCs w:val="24"/>
              </w:rPr>
            </w:pPr>
          </w:p>
        </w:tc>
      </w:tr>
      <w:tr w:rsidR="001557E2" w:rsidRPr="00924038">
        <w:tc>
          <w:tcPr>
            <w:tcW w:w="2376" w:type="dxa"/>
          </w:tcPr>
          <w:p w:rsidR="001557E2" w:rsidRPr="00924038" w:rsidRDefault="001557E2">
            <w:pPr>
              <w:pStyle w:val="NormalHeadings"/>
              <w:spacing w:after="120"/>
              <w:jc w:val="left"/>
              <w:rPr>
                <w:caps/>
                <w:szCs w:val="24"/>
              </w:rPr>
            </w:pPr>
            <w:r w:rsidRPr="00924038">
              <w:rPr>
                <w:caps/>
                <w:szCs w:val="24"/>
              </w:rPr>
              <w:t>DATE OF ORDER:</w:t>
            </w:r>
          </w:p>
        </w:tc>
        <w:tc>
          <w:tcPr>
            <w:tcW w:w="6866" w:type="dxa"/>
          </w:tcPr>
          <w:p w:rsidR="001557E2" w:rsidRPr="00924038" w:rsidRDefault="00AD6DA3" w:rsidP="00AD1AF9">
            <w:pPr>
              <w:pStyle w:val="NormalHeadings"/>
              <w:jc w:val="left"/>
              <w:rPr>
                <w:caps/>
                <w:szCs w:val="24"/>
              </w:rPr>
            </w:pPr>
            <w:r w:rsidRPr="00924038">
              <w:rPr>
                <w:caps/>
                <w:szCs w:val="24"/>
              </w:rPr>
              <w:t>23</w:t>
            </w:r>
            <w:r w:rsidR="00AD1AF9" w:rsidRPr="00924038">
              <w:rPr>
                <w:caps/>
                <w:szCs w:val="24"/>
              </w:rPr>
              <w:t xml:space="preserve"> may 2018</w:t>
            </w:r>
          </w:p>
        </w:tc>
      </w:tr>
    </w:tbl>
    <w:p w:rsidR="001557E2" w:rsidRPr="00924038" w:rsidRDefault="001557E2">
      <w:pPr>
        <w:pStyle w:val="NormalHeadings"/>
        <w:rPr>
          <w:b w:val="0"/>
        </w:rPr>
      </w:pPr>
    </w:p>
    <w:p w:rsidR="001557E2" w:rsidRPr="00924038" w:rsidRDefault="001557E2">
      <w:pPr>
        <w:pStyle w:val="NormalHeadings"/>
        <w:rPr>
          <w:b w:val="0"/>
        </w:rPr>
      </w:pPr>
    </w:p>
    <w:p w:rsidR="001557E2" w:rsidRPr="00924038" w:rsidRDefault="001557E2">
      <w:pPr>
        <w:pStyle w:val="NormalHeadings"/>
      </w:pPr>
      <w:r w:rsidRPr="00924038">
        <w:t>THE COURT ORDERS THAT:</w:t>
      </w:r>
    </w:p>
    <w:p w:rsidR="001557E2" w:rsidRPr="00924038" w:rsidRDefault="001557E2">
      <w:pPr>
        <w:pStyle w:val="NormalHeadings"/>
      </w:pPr>
    </w:p>
    <w:p w:rsidR="00450774" w:rsidRDefault="000A6B3A" w:rsidP="00450774">
      <w:pPr>
        <w:pStyle w:val="Order1"/>
        <w:numPr>
          <w:ilvl w:val="0"/>
          <w:numId w:val="47"/>
        </w:numPr>
      </w:pPr>
      <w:r w:rsidRPr="00924038">
        <w:t xml:space="preserve">This proceeding </w:t>
      </w:r>
      <w:proofErr w:type="gramStart"/>
      <w:r w:rsidRPr="00924038">
        <w:t>be</w:t>
      </w:r>
      <w:proofErr w:type="gramEnd"/>
      <w:r w:rsidRPr="00924038">
        <w:t xml:space="preserve"> permanently stayed.  </w:t>
      </w:r>
    </w:p>
    <w:p w:rsidR="0026081F" w:rsidRPr="00924038" w:rsidRDefault="0026081F" w:rsidP="00450774">
      <w:pPr>
        <w:pStyle w:val="Order1"/>
        <w:numPr>
          <w:ilvl w:val="0"/>
          <w:numId w:val="47"/>
        </w:numPr>
      </w:pPr>
      <w:r w:rsidRPr="00924038">
        <w:t>For the avoidance of doubt, the permanent stay of this proceeding does not prevent the applicant</w:t>
      </w:r>
      <w:r w:rsidR="008C734A">
        <w:t>s</w:t>
      </w:r>
      <w:r w:rsidRPr="00924038">
        <w:t xml:space="preserve"> making </w:t>
      </w:r>
      <w:r w:rsidR="00540D60" w:rsidRPr="00924038">
        <w:t xml:space="preserve">and moving upon </w:t>
      </w:r>
      <w:r w:rsidR="008C734A">
        <w:t xml:space="preserve">any application as </w:t>
      </w:r>
      <w:r w:rsidRPr="00924038">
        <w:t>group member</w:t>
      </w:r>
      <w:r w:rsidR="008C734A">
        <w:t>s</w:t>
      </w:r>
      <w:r w:rsidRPr="00924038">
        <w:t xml:space="preserve"> in proceedings NSD 580 of 2018 pursuant to s 33T of the </w:t>
      </w:r>
      <w:r w:rsidRPr="00450774">
        <w:rPr>
          <w:i/>
        </w:rPr>
        <w:t xml:space="preserve">Federal Court of Australia Act 1976 </w:t>
      </w:r>
      <w:r w:rsidRPr="00924038">
        <w:t>(Cth)</w:t>
      </w:r>
      <w:r w:rsidRPr="00450774">
        <w:rPr>
          <w:lang w:val="en"/>
        </w:rPr>
        <w:t xml:space="preserve"> where </w:t>
      </w:r>
      <w:r w:rsidR="008C734A" w:rsidRPr="00450774">
        <w:rPr>
          <w:lang w:val="en"/>
        </w:rPr>
        <w:t>t</w:t>
      </w:r>
      <w:r w:rsidR="00540D60" w:rsidRPr="00450774">
        <w:rPr>
          <w:lang w:val="en"/>
        </w:rPr>
        <w:t>he</w:t>
      </w:r>
      <w:r w:rsidR="008C734A" w:rsidRPr="00450774">
        <w:rPr>
          <w:lang w:val="en"/>
        </w:rPr>
        <w:t>y contend</w:t>
      </w:r>
      <w:r w:rsidR="00540D60" w:rsidRPr="00450774">
        <w:rPr>
          <w:lang w:val="en"/>
        </w:rPr>
        <w:t xml:space="preserve"> that </w:t>
      </w:r>
      <w:r w:rsidRPr="00450774">
        <w:rPr>
          <w:lang w:val="en"/>
        </w:rPr>
        <w:t>Mr Webb, the applicant in that proceeding, is not able adequately to represent the interests of the group members</w:t>
      </w:r>
      <w:r w:rsidRPr="00924038">
        <w:t xml:space="preserve"> in that proceeding including, without limitation, in circumstances where Mr Webb has failed to comply with any order relating to security for costs.</w:t>
      </w:r>
    </w:p>
    <w:p w:rsidR="001557E2" w:rsidRPr="00924038" w:rsidRDefault="001557E2" w:rsidP="002B0E91">
      <w:pPr>
        <w:pStyle w:val="BodyText"/>
      </w:pPr>
    </w:p>
    <w:p w:rsidR="00FF3F61" w:rsidRPr="00924038" w:rsidRDefault="001557E2" w:rsidP="004D53E5">
      <w:pPr>
        <w:pStyle w:val="SingleSpace"/>
      </w:pPr>
      <w:r w:rsidRPr="00924038">
        <w:t>Note:</w:t>
      </w:r>
      <w:r w:rsidRPr="00924038">
        <w:tab/>
        <w:t xml:space="preserve">Entry of orders is dealt with in Rule 39.32 of the </w:t>
      </w:r>
      <w:r w:rsidRPr="00924038">
        <w:rPr>
          <w:i/>
        </w:rPr>
        <w:t>Federal Court Rules 2011</w:t>
      </w:r>
      <w:r w:rsidRPr="00924038">
        <w:t>.</w:t>
      </w:r>
    </w:p>
    <w:p w:rsidR="00FF3F61" w:rsidRPr="00924038" w:rsidRDefault="00FF3F61" w:rsidP="00FF3F61">
      <w:pPr>
        <w:pStyle w:val="BodyText"/>
      </w:pPr>
    </w:p>
    <w:p w:rsidR="00FF3F61" w:rsidRPr="00924038" w:rsidRDefault="00FF3F61" w:rsidP="00FF3F61">
      <w:pPr>
        <w:pStyle w:val="BodyText"/>
      </w:pPr>
    </w:p>
    <w:p w:rsidR="00FF3F61" w:rsidRPr="00924038" w:rsidRDefault="00FF3F61" w:rsidP="00FF3F61">
      <w:pPr>
        <w:pStyle w:val="NormalHeadings"/>
        <w:spacing w:before="240" w:after="120"/>
        <w:rPr>
          <w:b w:val="0"/>
        </w:rPr>
        <w:sectPr w:rsidR="00FF3F61" w:rsidRPr="00924038" w:rsidSect="00EF7955">
          <w:headerReference w:type="default" r:id="rId17"/>
          <w:headerReference w:type="first" r:id="rId18"/>
          <w:endnotePr>
            <w:numFmt w:val="decimal"/>
          </w:endnotePr>
          <w:pgSz w:w="11907" w:h="16840" w:code="9"/>
          <w:pgMar w:top="1440" w:right="1440" w:bottom="1440" w:left="1440" w:header="851" w:footer="851" w:gutter="0"/>
          <w:pgNumType w:fmt="lowerRoman"/>
          <w:cols w:space="720"/>
          <w:noEndnote/>
          <w:titlePg/>
        </w:sectPr>
      </w:pPr>
    </w:p>
    <w:p w:rsidR="000F2CC0" w:rsidRPr="00924038" w:rsidRDefault="000F2CC0" w:rsidP="00045BB7">
      <w:pPr>
        <w:pStyle w:val="NormalHeadings"/>
        <w:spacing w:line="480" w:lineRule="auto"/>
        <w:jc w:val="center"/>
        <w:rPr>
          <w:sz w:val="28"/>
          <w:szCs w:val="28"/>
        </w:rPr>
      </w:pPr>
      <w:r w:rsidRPr="00924038">
        <w:rPr>
          <w:sz w:val="28"/>
          <w:szCs w:val="28"/>
        </w:rPr>
        <w:lastRenderedPageBreak/>
        <w:t>ORDERS</w:t>
      </w:r>
    </w:p>
    <w:tbl>
      <w:tblPr>
        <w:tblW w:w="0" w:type="auto"/>
        <w:tblLayout w:type="fixed"/>
        <w:tblLook w:val="0000" w:firstRow="0" w:lastRow="0" w:firstColumn="0" w:lastColumn="0" w:noHBand="0" w:noVBand="0"/>
        <w:tblCaption w:val="Parties"/>
        <w:tblDescription w:val="Parties"/>
      </w:tblPr>
      <w:tblGrid>
        <w:gridCol w:w="2376"/>
        <w:gridCol w:w="4536"/>
        <w:gridCol w:w="2330"/>
      </w:tblGrid>
      <w:tr w:rsidR="00924038" w:rsidRPr="00924038" w:rsidTr="00E81DA6">
        <w:tc>
          <w:tcPr>
            <w:tcW w:w="6912" w:type="dxa"/>
            <w:gridSpan w:val="2"/>
          </w:tcPr>
          <w:p w:rsidR="000F2CC0" w:rsidRPr="00924038" w:rsidRDefault="000F2CC0" w:rsidP="008F0FF4">
            <w:pPr>
              <w:pStyle w:val="NormalHeadings"/>
            </w:pPr>
          </w:p>
        </w:tc>
        <w:tc>
          <w:tcPr>
            <w:tcW w:w="2330" w:type="dxa"/>
          </w:tcPr>
          <w:p w:rsidR="000F2CC0" w:rsidRPr="00924038" w:rsidRDefault="000F2CC0" w:rsidP="000F2CC0">
            <w:pPr>
              <w:pStyle w:val="NormalHeadings"/>
              <w:jc w:val="right"/>
            </w:pPr>
            <w:r w:rsidRPr="00924038">
              <w:rPr>
                <w:caps/>
                <w:szCs w:val="24"/>
              </w:rPr>
              <w:t xml:space="preserve">NSD 580 </w:t>
            </w:r>
            <w:r w:rsidR="008516FE" w:rsidRPr="00924038">
              <w:t xml:space="preserve">of </w:t>
            </w:r>
            <w:r w:rsidRPr="00924038">
              <w:rPr>
                <w:caps/>
                <w:szCs w:val="24"/>
              </w:rPr>
              <w:t>2018</w:t>
            </w:r>
          </w:p>
        </w:tc>
      </w:tr>
      <w:tr w:rsidR="00924038" w:rsidRPr="00924038" w:rsidTr="008F0FF4">
        <w:tc>
          <w:tcPr>
            <w:tcW w:w="9242" w:type="dxa"/>
            <w:gridSpan w:val="3"/>
          </w:tcPr>
          <w:p w:rsidR="000F2CC0" w:rsidRPr="00924038" w:rsidRDefault="000F2CC0" w:rsidP="008F0FF4">
            <w:pPr>
              <w:pStyle w:val="NormalHeadings"/>
              <w:jc w:val="left"/>
            </w:pPr>
          </w:p>
        </w:tc>
      </w:tr>
      <w:tr w:rsidR="00924038" w:rsidRPr="00924038" w:rsidTr="008F0FF4">
        <w:trPr>
          <w:trHeight w:val="386"/>
        </w:trPr>
        <w:tc>
          <w:tcPr>
            <w:tcW w:w="2376" w:type="dxa"/>
          </w:tcPr>
          <w:p w:rsidR="000F2CC0" w:rsidRPr="00924038" w:rsidRDefault="000F2CC0" w:rsidP="008F0FF4">
            <w:pPr>
              <w:pStyle w:val="NormalHeadings"/>
              <w:jc w:val="left"/>
              <w:rPr>
                <w:caps/>
                <w:szCs w:val="24"/>
              </w:rPr>
            </w:pPr>
            <w:r w:rsidRPr="00924038">
              <w:rPr>
                <w:caps/>
                <w:szCs w:val="24"/>
              </w:rPr>
              <w:t>BETWEEN:</w:t>
            </w:r>
          </w:p>
        </w:tc>
        <w:tc>
          <w:tcPr>
            <w:tcW w:w="6866" w:type="dxa"/>
            <w:gridSpan w:val="2"/>
          </w:tcPr>
          <w:p w:rsidR="000F2CC0" w:rsidRPr="00924038" w:rsidRDefault="000F2CC0" w:rsidP="000F2CC0">
            <w:pPr>
              <w:pStyle w:val="NormalHeadings"/>
              <w:jc w:val="left"/>
            </w:pPr>
            <w:r w:rsidRPr="00924038">
              <w:t>RAFFAELE WEBB</w:t>
            </w:r>
          </w:p>
          <w:p w:rsidR="000F2CC0" w:rsidRPr="00924038" w:rsidRDefault="0050459F" w:rsidP="000F2CC0">
            <w:pPr>
              <w:pStyle w:val="NormalHeadings"/>
              <w:rPr>
                <w:b w:val="0"/>
              </w:rPr>
            </w:pPr>
            <w:r w:rsidRPr="00924038">
              <w:rPr>
                <w:b w:val="0"/>
              </w:rPr>
              <w:t>Applicant</w:t>
            </w:r>
          </w:p>
          <w:p w:rsidR="000F2CC0" w:rsidRPr="00924038" w:rsidRDefault="000F2CC0" w:rsidP="000F2CC0">
            <w:pPr>
              <w:pStyle w:val="PartyType"/>
            </w:pPr>
          </w:p>
        </w:tc>
      </w:tr>
      <w:tr w:rsidR="000F2CC0" w:rsidRPr="00924038" w:rsidTr="008F0FF4">
        <w:trPr>
          <w:trHeight w:val="386"/>
        </w:trPr>
        <w:tc>
          <w:tcPr>
            <w:tcW w:w="2376" w:type="dxa"/>
          </w:tcPr>
          <w:p w:rsidR="000F2CC0" w:rsidRPr="00924038" w:rsidRDefault="000F2CC0" w:rsidP="008F0FF4">
            <w:pPr>
              <w:pStyle w:val="NormalHeadings"/>
              <w:jc w:val="left"/>
              <w:rPr>
                <w:caps/>
                <w:szCs w:val="24"/>
              </w:rPr>
            </w:pPr>
            <w:r w:rsidRPr="00924038">
              <w:rPr>
                <w:caps/>
                <w:szCs w:val="24"/>
              </w:rPr>
              <w:t>AND:</w:t>
            </w:r>
          </w:p>
        </w:tc>
        <w:tc>
          <w:tcPr>
            <w:tcW w:w="6866" w:type="dxa"/>
            <w:gridSpan w:val="2"/>
          </w:tcPr>
          <w:p w:rsidR="000F2CC0" w:rsidRPr="00924038" w:rsidRDefault="000F2CC0" w:rsidP="000F2CC0">
            <w:pPr>
              <w:pStyle w:val="NormalHeadings"/>
              <w:jc w:val="left"/>
            </w:pPr>
            <w:r w:rsidRPr="00924038">
              <w:t>GETSWIFT LTD</w:t>
            </w:r>
          </w:p>
          <w:p w:rsidR="000F2CC0" w:rsidRPr="00924038" w:rsidRDefault="0050459F" w:rsidP="000F2CC0">
            <w:pPr>
              <w:pStyle w:val="PartyType"/>
            </w:pPr>
            <w:r w:rsidRPr="00924038">
              <w:t>First Respondent</w:t>
            </w:r>
          </w:p>
          <w:p w:rsidR="0050459F" w:rsidRPr="00924038" w:rsidRDefault="0050459F" w:rsidP="000F2CC0">
            <w:pPr>
              <w:pStyle w:val="PartyType"/>
            </w:pPr>
          </w:p>
          <w:p w:rsidR="0050459F" w:rsidRPr="00924038" w:rsidRDefault="0050459F" w:rsidP="0050459F">
            <w:pPr>
              <w:pStyle w:val="NormalHeadings"/>
              <w:jc w:val="left"/>
            </w:pPr>
            <w:r w:rsidRPr="00924038">
              <w:t>JOEL MACDONALD</w:t>
            </w:r>
          </w:p>
          <w:p w:rsidR="0050459F" w:rsidRPr="00924038" w:rsidRDefault="0050459F" w:rsidP="0050459F">
            <w:pPr>
              <w:pStyle w:val="PartyType"/>
            </w:pPr>
            <w:r w:rsidRPr="00924038">
              <w:t>Second Respondent</w:t>
            </w:r>
          </w:p>
          <w:p w:rsidR="000F2CC0" w:rsidRPr="00924038" w:rsidRDefault="000F2CC0" w:rsidP="008F0FF4">
            <w:pPr>
              <w:pStyle w:val="NormalHeadings"/>
            </w:pPr>
          </w:p>
        </w:tc>
      </w:tr>
    </w:tbl>
    <w:p w:rsidR="000F2CC0" w:rsidRPr="00924038" w:rsidRDefault="000F2CC0">
      <w:pPr>
        <w:pStyle w:val="NormalHeadings"/>
      </w:pPr>
    </w:p>
    <w:tbl>
      <w:tblPr>
        <w:tblW w:w="0" w:type="auto"/>
        <w:tblLayout w:type="fixed"/>
        <w:tblLook w:val="0000" w:firstRow="0" w:lastRow="0" w:firstColumn="0" w:lastColumn="0" w:noHBand="0" w:noVBand="0"/>
        <w:tblCaption w:val="Judge"/>
        <w:tblDescription w:val="Judge"/>
      </w:tblPr>
      <w:tblGrid>
        <w:gridCol w:w="2376"/>
        <w:gridCol w:w="6866"/>
      </w:tblGrid>
      <w:tr w:rsidR="00924038" w:rsidRPr="00924038">
        <w:tc>
          <w:tcPr>
            <w:tcW w:w="2376" w:type="dxa"/>
          </w:tcPr>
          <w:p w:rsidR="000F2CC0" w:rsidRPr="00924038" w:rsidRDefault="000F2CC0">
            <w:pPr>
              <w:pStyle w:val="NormalHeadings"/>
              <w:spacing w:after="120"/>
              <w:jc w:val="left"/>
              <w:rPr>
                <w:caps/>
                <w:szCs w:val="24"/>
              </w:rPr>
            </w:pPr>
            <w:r w:rsidRPr="00924038">
              <w:rPr>
                <w:caps/>
                <w:szCs w:val="24"/>
              </w:rPr>
              <w:t>JUDGE:</w:t>
            </w:r>
          </w:p>
        </w:tc>
        <w:tc>
          <w:tcPr>
            <w:tcW w:w="6866" w:type="dxa"/>
          </w:tcPr>
          <w:p w:rsidR="000F2CC0" w:rsidRPr="00924038" w:rsidRDefault="000F2CC0" w:rsidP="000F2CC0">
            <w:pPr>
              <w:pStyle w:val="NormalHeadings"/>
              <w:jc w:val="left"/>
              <w:rPr>
                <w:caps/>
                <w:szCs w:val="24"/>
              </w:rPr>
            </w:pPr>
            <w:r w:rsidRPr="00924038">
              <w:rPr>
                <w:caps/>
                <w:szCs w:val="24"/>
              </w:rPr>
              <w:t>LEE J</w:t>
            </w:r>
          </w:p>
          <w:p w:rsidR="000F2CC0" w:rsidRPr="00924038" w:rsidRDefault="000F2CC0" w:rsidP="000F2CC0">
            <w:pPr>
              <w:pStyle w:val="NormalHeadings"/>
              <w:jc w:val="left"/>
              <w:rPr>
                <w:caps/>
                <w:szCs w:val="24"/>
              </w:rPr>
            </w:pPr>
          </w:p>
        </w:tc>
      </w:tr>
      <w:tr w:rsidR="000F2CC0" w:rsidRPr="00924038">
        <w:tc>
          <w:tcPr>
            <w:tcW w:w="2376" w:type="dxa"/>
          </w:tcPr>
          <w:p w:rsidR="000F2CC0" w:rsidRPr="00924038" w:rsidRDefault="000F2CC0">
            <w:pPr>
              <w:pStyle w:val="NormalHeadings"/>
              <w:spacing w:after="120"/>
              <w:jc w:val="left"/>
              <w:rPr>
                <w:caps/>
                <w:szCs w:val="24"/>
              </w:rPr>
            </w:pPr>
            <w:r w:rsidRPr="00924038">
              <w:rPr>
                <w:caps/>
                <w:szCs w:val="24"/>
              </w:rPr>
              <w:t>DATE OF ORDER:</w:t>
            </w:r>
          </w:p>
        </w:tc>
        <w:tc>
          <w:tcPr>
            <w:tcW w:w="6866" w:type="dxa"/>
          </w:tcPr>
          <w:p w:rsidR="000F2CC0" w:rsidRPr="00924038" w:rsidRDefault="000F2CC0">
            <w:pPr>
              <w:pStyle w:val="NormalHeadings"/>
              <w:jc w:val="left"/>
              <w:rPr>
                <w:caps/>
                <w:szCs w:val="24"/>
              </w:rPr>
            </w:pPr>
            <w:r w:rsidRPr="00924038">
              <w:rPr>
                <w:caps/>
                <w:szCs w:val="24"/>
              </w:rPr>
              <w:t>23 MAY 2018</w:t>
            </w:r>
          </w:p>
        </w:tc>
      </w:tr>
    </w:tbl>
    <w:p w:rsidR="000F2CC0" w:rsidRPr="00924038" w:rsidRDefault="000F2CC0">
      <w:pPr>
        <w:pStyle w:val="NormalHeadings"/>
        <w:rPr>
          <w:b w:val="0"/>
        </w:rPr>
      </w:pPr>
    </w:p>
    <w:p w:rsidR="000F2CC0" w:rsidRPr="00924038" w:rsidRDefault="000F2CC0">
      <w:pPr>
        <w:pStyle w:val="NormalHeadings"/>
        <w:rPr>
          <w:b w:val="0"/>
        </w:rPr>
      </w:pPr>
    </w:p>
    <w:p w:rsidR="000F2CC0" w:rsidRPr="00924038" w:rsidRDefault="000F2CC0">
      <w:pPr>
        <w:pStyle w:val="NormalHeadings"/>
      </w:pPr>
      <w:r w:rsidRPr="00924038">
        <w:t>THE COURT ORDERS THAT:</w:t>
      </w:r>
    </w:p>
    <w:p w:rsidR="000F2CC0" w:rsidRPr="00924038" w:rsidRDefault="000F2CC0">
      <w:pPr>
        <w:pStyle w:val="NormalHeadings"/>
      </w:pPr>
    </w:p>
    <w:p w:rsidR="00450774" w:rsidRDefault="000F2CC0" w:rsidP="000F2CC0">
      <w:pPr>
        <w:pStyle w:val="Order1"/>
        <w:numPr>
          <w:ilvl w:val="0"/>
          <w:numId w:val="22"/>
        </w:numPr>
      </w:pPr>
      <w:r w:rsidRPr="00924038">
        <w:t xml:space="preserve">The </w:t>
      </w:r>
      <w:proofErr w:type="gramStart"/>
      <w:r w:rsidRPr="00924038">
        <w:t>applicant file</w:t>
      </w:r>
      <w:proofErr w:type="gramEnd"/>
      <w:r w:rsidRPr="00924038">
        <w:t xml:space="preserve"> and serve a statement of claim on or by 4:00 </w:t>
      </w:r>
      <w:r w:rsidR="00113B92">
        <w:t>pm</w:t>
      </w:r>
      <w:r w:rsidRPr="00924038">
        <w:t xml:space="preserve"> on 28 May 2018.  </w:t>
      </w:r>
    </w:p>
    <w:p w:rsidR="00450774" w:rsidRDefault="000F2CC0" w:rsidP="000F2CC0">
      <w:pPr>
        <w:pStyle w:val="Order1"/>
        <w:numPr>
          <w:ilvl w:val="0"/>
          <w:numId w:val="22"/>
        </w:numPr>
      </w:pPr>
      <w:r w:rsidRPr="00924038">
        <w:t>The respondent</w:t>
      </w:r>
      <w:r w:rsidR="00113B92">
        <w:t>s</w:t>
      </w:r>
      <w:r w:rsidRPr="00924038">
        <w:t xml:space="preserve"> file and serve a defence to the statement of claim on or by 4:00 </w:t>
      </w:r>
      <w:r w:rsidR="00113B92">
        <w:t>pm</w:t>
      </w:r>
      <w:r w:rsidRPr="00924038">
        <w:t xml:space="preserve"> on 6 June 2018.</w:t>
      </w:r>
    </w:p>
    <w:p w:rsidR="00450774" w:rsidRDefault="000F2CC0" w:rsidP="000F2CC0">
      <w:pPr>
        <w:pStyle w:val="Order1"/>
        <w:numPr>
          <w:ilvl w:val="0"/>
          <w:numId w:val="22"/>
        </w:numPr>
      </w:pPr>
      <w:r w:rsidRPr="00924038">
        <w:t xml:space="preserve">On or by 2:00 </w:t>
      </w:r>
      <w:r w:rsidR="00113B92">
        <w:t>pm</w:t>
      </w:r>
      <w:r w:rsidRPr="00924038">
        <w:t xml:space="preserve"> on 7 June 2018, the applicants serve on the respondent and the solicitor for Mr </w:t>
      </w:r>
      <w:r w:rsidR="005D49C1">
        <w:t xml:space="preserve">Perera and the solicitor for the </w:t>
      </w:r>
      <w:r w:rsidRPr="00924038">
        <w:t>McTaggart</w:t>
      </w:r>
      <w:r w:rsidR="005D49C1">
        <w:t xml:space="preserve"> applicants</w:t>
      </w:r>
      <w:r w:rsidRPr="00924038">
        <w:t xml:space="preserve"> a copy of a proposed opt out notice and provide a copy to the Associate to Justice Lee. </w:t>
      </w:r>
    </w:p>
    <w:p w:rsidR="00450774" w:rsidRDefault="000F2CC0" w:rsidP="000F2CC0">
      <w:pPr>
        <w:pStyle w:val="Order1"/>
        <w:numPr>
          <w:ilvl w:val="0"/>
          <w:numId w:val="22"/>
        </w:numPr>
      </w:pPr>
      <w:r w:rsidRPr="00924038">
        <w:t xml:space="preserve">On or by 2:00 </w:t>
      </w:r>
      <w:r w:rsidR="00113B92">
        <w:t>pm</w:t>
      </w:r>
      <w:r w:rsidRPr="00924038">
        <w:t xml:space="preserve"> on 7 June 2018, the applicants serve on the respondent a copy of a draft common fund order and provide a copy to the Associate to Justice Lee. </w:t>
      </w:r>
    </w:p>
    <w:p w:rsidR="00450774" w:rsidRDefault="000F2CC0" w:rsidP="000F2CC0">
      <w:pPr>
        <w:pStyle w:val="Order1"/>
        <w:numPr>
          <w:ilvl w:val="0"/>
          <w:numId w:val="22"/>
        </w:numPr>
      </w:pPr>
      <w:r w:rsidRPr="00924038">
        <w:t>The matter be listed for a case management hearing at 9:00</w:t>
      </w:r>
      <w:r w:rsidR="00113B92">
        <w:t xml:space="preserve"> am</w:t>
      </w:r>
      <w:r w:rsidRPr="00924038">
        <w:t xml:space="preserve"> on 8 June 2018, for the purpose, among other things, of making orders in relation to the form and distribution of the opt out notice and that Mr Perera and </w:t>
      </w:r>
      <w:r w:rsidR="005D49C1">
        <w:t xml:space="preserve">the </w:t>
      </w:r>
      <w:r w:rsidR="005D49C1" w:rsidRPr="00924038">
        <w:t>McTaggart</w:t>
      </w:r>
      <w:r w:rsidR="005D49C1">
        <w:t xml:space="preserve"> applicants</w:t>
      </w:r>
      <w:r w:rsidRPr="00924038">
        <w:t>, International Litigation Partners No 18 Pte Ltd and Vannin Capital Ltd have leave to intervene, if they so wish, at the case management hearing for the purposes of making submissions as to the form of the opt out notice.</w:t>
      </w:r>
    </w:p>
    <w:p w:rsidR="00450774" w:rsidRDefault="000F2CC0" w:rsidP="000F2CC0">
      <w:pPr>
        <w:pStyle w:val="Order1"/>
        <w:numPr>
          <w:ilvl w:val="0"/>
          <w:numId w:val="22"/>
        </w:numPr>
      </w:pPr>
      <w:r w:rsidRPr="00924038">
        <w:t>Leave be granted to the applicants to issue a subpoena to ComputerShare Investor Services Pty Ltd in substantially the same form as comprises Annexure “A” to the interlocutory application filed in NSD 226 of 2018 dated 9 March 2018.</w:t>
      </w:r>
    </w:p>
    <w:p w:rsidR="000F2CC0" w:rsidRPr="00924038" w:rsidRDefault="000F2CC0" w:rsidP="000F2CC0">
      <w:pPr>
        <w:pStyle w:val="Order1"/>
        <w:numPr>
          <w:ilvl w:val="0"/>
          <w:numId w:val="22"/>
        </w:numPr>
      </w:pPr>
      <w:r w:rsidRPr="00924038">
        <w:t xml:space="preserve">Costs of the proceedings to date </w:t>
      </w:r>
      <w:proofErr w:type="gramStart"/>
      <w:r w:rsidRPr="00924038">
        <w:t>be</w:t>
      </w:r>
      <w:proofErr w:type="gramEnd"/>
      <w:r w:rsidRPr="00924038">
        <w:t xml:space="preserve"> reserved.</w:t>
      </w:r>
    </w:p>
    <w:p w:rsidR="000F2CC0" w:rsidRPr="00924038" w:rsidRDefault="000F2CC0" w:rsidP="002B0E91">
      <w:pPr>
        <w:pStyle w:val="BodyText"/>
      </w:pPr>
    </w:p>
    <w:p w:rsidR="000F2CC0" w:rsidRPr="00924038" w:rsidRDefault="000F2CC0" w:rsidP="002B0E91">
      <w:pPr>
        <w:pStyle w:val="BodyText"/>
      </w:pPr>
    </w:p>
    <w:p w:rsidR="000F2CC0" w:rsidRPr="00924038" w:rsidRDefault="000F2CC0" w:rsidP="004D53E5">
      <w:pPr>
        <w:pStyle w:val="SingleSpace"/>
      </w:pPr>
      <w:r w:rsidRPr="00924038">
        <w:t>Note:</w:t>
      </w:r>
      <w:r w:rsidRPr="00924038">
        <w:tab/>
        <w:t xml:space="preserve">Entry of orders is dealt with in Rule 39.32 of the </w:t>
      </w:r>
      <w:r w:rsidRPr="00924038">
        <w:rPr>
          <w:i/>
        </w:rPr>
        <w:t>Federal Court Rules 2011</w:t>
      </w:r>
      <w:r w:rsidRPr="00924038">
        <w:t>.</w:t>
      </w:r>
    </w:p>
    <w:p w:rsidR="000F2CC0" w:rsidRPr="00924038" w:rsidRDefault="000F2CC0" w:rsidP="002B0E91">
      <w:pPr>
        <w:pStyle w:val="BodyText"/>
      </w:pPr>
    </w:p>
    <w:p w:rsidR="000F2CC0" w:rsidRPr="00924038" w:rsidRDefault="000F2CC0" w:rsidP="002B0E91">
      <w:pPr>
        <w:pStyle w:val="BodyText"/>
      </w:pPr>
    </w:p>
    <w:p w:rsidR="000F2CC0" w:rsidRPr="00924038" w:rsidRDefault="000F2CC0">
      <w:pPr>
        <w:pStyle w:val="NormalHeadings"/>
        <w:spacing w:before="240" w:after="120"/>
        <w:rPr>
          <w:b w:val="0"/>
        </w:rPr>
        <w:sectPr w:rsidR="000F2CC0" w:rsidRPr="00924038" w:rsidSect="008F0FF4">
          <w:headerReference w:type="default" r:id="rId19"/>
          <w:headerReference w:type="first" r:id="rId20"/>
          <w:endnotePr>
            <w:numFmt w:val="decimal"/>
          </w:endnotePr>
          <w:pgSz w:w="11907" w:h="16840" w:code="9"/>
          <w:pgMar w:top="1440" w:right="1440" w:bottom="1440" w:left="1440" w:header="851" w:footer="851" w:gutter="0"/>
          <w:pgNumType w:fmt="lowerRoman"/>
          <w:cols w:space="720"/>
          <w:noEndnote/>
          <w:titlePg/>
        </w:sectPr>
      </w:pPr>
    </w:p>
    <w:p w:rsidR="00436C57" w:rsidRPr="00924038" w:rsidRDefault="00436C57" w:rsidP="00436C57">
      <w:pPr>
        <w:pStyle w:val="NormalHeadings"/>
        <w:spacing w:line="480" w:lineRule="auto"/>
        <w:jc w:val="center"/>
        <w:rPr>
          <w:sz w:val="28"/>
          <w:szCs w:val="28"/>
        </w:rPr>
      </w:pPr>
      <w:bookmarkStart w:id="20" w:name="ReasonsPage"/>
      <w:bookmarkEnd w:id="20"/>
    </w:p>
    <w:p w:rsidR="00165452" w:rsidRPr="00924038" w:rsidRDefault="00165452" w:rsidP="00436C57">
      <w:pPr>
        <w:pStyle w:val="NormalHeadings"/>
        <w:spacing w:line="480" w:lineRule="auto"/>
        <w:jc w:val="center"/>
        <w:rPr>
          <w:sz w:val="28"/>
          <w:szCs w:val="28"/>
        </w:rPr>
        <w:sectPr w:rsidR="00165452" w:rsidRPr="00924038" w:rsidSect="00027E6D">
          <w:headerReference w:type="even" r:id="rId21"/>
          <w:headerReference w:type="default" r:id="rId22"/>
          <w:footerReference w:type="default" r:id="rId23"/>
          <w:headerReference w:type="first" r:id="rId24"/>
          <w:footerReference w:type="first" r:id="rId25"/>
          <w:endnotePr>
            <w:numFmt w:val="decimal"/>
          </w:endnotePr>
          <w:type w:val="continuous"/>
          <w:pgSz w:w="11907" w:h="16840" w:code="9"/>
          <w:pgMar w:top="1440" w:right="1440" w:bottom="1440" w:left="1440" w:header="851" w:footer="851" w:gutter="0"/>
          <w:pgNumType w:start="1"/>
          <w:cols w:space="720"/>
          <w:noEndnote/>
          <w:titlePg/>
        </w:sectPr>
      </w:pPr>
    </w:p>
    <w:p w:rsidR="00436C57" w:rsidRPr="00924038" w:rsidRDefault="00436C57" w:rsidP="00436C57">
      <w:pPr>
        <w:pStyle w:val="NormalHeadings"/>
        <w:spacing w:line="480" w:lineRule="auto"/>
        <w:jc w:val="center"/>
        <w:rPr>
          <w:sz w:val="28"/>
          <w:szCs w:val="28"/>
        </w:rPr>
      </w:pPr>
      <w:r w:rsidRPr="00924038">
        <w:rPr>
          <w:sz w:val="28"/>
          <w:szCs w:val="28"/>
        </w:rPr>
        <w:lastRenderedPageBreak/>
        <w:t>REASONS FOR JUDGMENT</w:t>
      </w:r>
    </w:p>
    <w:p w:rsidR="00436C57" w:rsidRPr="00924038" w:rsidRDefault="00436C57" w:rsidP="00436C57">
      <w:pPr>
        <w:pStyle w:val="NormalHeadings"/>
        <w:spacing w:line="360" w:lineRule="auto"/>
        <w:jc w:val="left"/>
        <w:rPr>
          <w:sz w:val="26"/>
          <w:szCs w:val="26"/>
        </w:rPr>
      </w:pPr>
      <w:r w:rsidRPr="00924038">
        <w:rPr>
          <w:sz w:val="26"/>
          <w:szCs w:val="26"/>
        </w:rPr>
        <w:t>LEE J:</w:t>
      </w:r>
    </w:p>
    <w:p w:rsidR="001E66AA" w:rsidRPr="00924038" w:rsidRDefault="001E66AA" w:rsidP="005E0510">
      <w:pPr>
        <w:pStyle w:val="NormalHeadings"/>
        <w:spacing w:line="360" w:lineRule="auto"/>
        <w:jc w:val="left"/>
        <w:rPr>
          <w:sz w:val="26"/>
          <w:szCs w:val="26"/>
        </w:rPr>
      </w:pPr>
    </w:p>
    <w:tbl>
      <w:tblPr>
        <w:tblW w:w="9507" w:type="dxa"/>
        <w:tblLook w:val="01E0" w:firstRow="1" w:lastRow="1" w:firstColumn="1" w:lastColumn="1" w:noHBand="0" w:noVBand="0"/>
      </w:tblPr>
      <w:tblGrid>
        <w:gridCol w:w="8507"/>
        <w:gridCol w:w="1000"/>
      </w:tblGrid>
      <w:tr w:rsidR="00E9140A" w:rsidRPr="00D326DB" w:rsidTr="00E9140A">
        <w:tc>
          <w:tcPr>
            <w:tcW w:w="8507" w:type="dxa"/>
            <w:shd w:val="clear" w:color="auto" w:fill="auto"/>
          </w:tcPr>
          <w:bookmarkStart w:id="21" w:name="PTOC"/>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_Ref514405597 \h </w:instrText>
            </w:r>
            <w:r>
              <w:rPr>
                <w:lang w:eastAsia="en-AU"/>
              </w:rPr>
            </w:r>
            <w:r>
              <w:rPr>
                <w:lang w:eastAsia="en-AU"/>
              </w:rPr>
              <w:fldChar w:fldCharType="separate"/>
            </w:r>
            <w:r w:rsidR="00871F2E" w:rsidRPr="00924038">
              <w:t>A</w:t>
            </w:r>
            <w:r w:rsidR="00871F2E" w:rsidRPr="00924038">
              <w:tab/>
              <w:t>Introduction</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_Ref514405598 \h </w:instrText>
            </w:r>
            <w:r>
              <w:rPr>
                <w:lang w:eastAsia="en-AU"/>
              </w:rPr>
            </w:r>
            <w:r>
              <w:rPr>
                <w:lang w:eastAsia="en-AU"/>
              </w:rPr>
              <w:fldChar w:fldCharType="separate"/>
            </w:r>
            <w:r w:rsidR="00871F2E" w:rsidRPr="00924038">
              <w:t>B</w:t>
            </w:r>
            <w:r w:rsidR="00871F2E" w:rsidRPr="00924038">
              <w:tab/>
              <w:t>Contextual Matters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[10]</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_Ref514405599 \h </w:instrText>
            </w:r>
            <w:r>
              <w:rPr>
                <w:lang w:eastAsia="en-AU"/>
              </w:rPr>
            </w:r>
            <w:r>
              <w:rPr>
                <w:lang w:eastAsia="en-AU"/>
              </w:rPr>
              <w:fldChar w:fldCharType="separate"/>
            </w:r>
            <w:r w:rsidR="00871F2E" w:rsidRPr="00924038">
              <w:t>B.1</w:t>
            </w:r>
            <w:r w:rsidR="00871F2E" w:rsidRPr="00924038">
              <w:tab/>
              <w:t>The Competing Securities Class Action Emerges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[10]</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_Ref514405600 \h </w:instrText>
            </w:r>
            <w:r>
              <w:rPr>
                <w:lang w:eastAsia="en-AU"/>
              </w:rPr>
            </w:r>
            <w:r>
              <w:rPr>
                <w:lang w:eastAsia="en-AU"/>
              </w:rPr>
              <w:fldChar w:fldCharType="separate"/>
            </w:r>
            <w:r w:rsidR="00871F2E" w:rsidRPr="00924038">
              <w:t>B.2</w:t>
            </w:r>
            <w:r w:rsidR="00871F2E" w:rsidRPr="00924038">
              <w:tab/>
              <w:t>The Procedural Contradiction of Securities Class Actions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[30]</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_Ref514405601 \h </w:instrText>
            </w:r>
            <w:r>
              <w:rPr>
                <w:lang w:eastAsia="en-AU"/>
              </w:rPr>
            </w:r>
            <w:r>
              <w:rPr>
                <w:lang w:eastAsia="en-AU"/>
              </w:rPr>
              <w:fldChar w:fldCharType="separate"/>
            </w:r>
            <w:r w:rsidR="00871F2E" w:rsidRPr="00924038">
              <w:t>C</w:t>
            </w:r>
            <w:r w:rsidR="00871F2E" w:rsidRPr="00924038">
              <w:tab/>
              <w:t>The Factual &amp; Procedural History of the Matter</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[38]</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_Ref514405602 \h </w:instrText>
            </w:r>
            <w:r>
              <w:rPr>
                <w:lang w:eastAsia="en-AU"/>
              </w:rPr>
            </w:r>
            <w:r>
              <w:rPr>
                <w:lang w:eastAsia="en-AU"/>
              </w:rPr>
              <w:fldChar w:fldCharType="separate"/>
            </w:r>
            <w:r w:rsidR="00871F2E" w:rsidRPr="00924038">
              <w:t>C.1</w:t>
            </w:r>
            <w:r w:rsidR="00871F2E" w:rsidRPr="00924038">
              <w:tab/>
              <w:t>Pre-Proceeding Background</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[38]</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_Ref514405603 \h </w:instrText>
            </w:r>
            <w:r>
              <w:rPr>
                <w:lang w:eastAsia="en-AU"/>
              </w:rPr>
            </w:r>
            <w:r>
              <w:rPr>
                <w:lang w:eastAsia="en-AU"/>
              </w:rPr>
              <w:fldChar w:fldCharType="separate"/>
            </w:r>
            <w:r w:rsidR="00871F2E" w:rsidRPr="00924038">
              <w:t>C.2</w:t>
            </w:r>
            <w:r w:rsidR="00871F2E" w:rsidRPr="00924038">
              <w:tab/>
              <w:t>The Competing Actions Emerge and the Court Orders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[44]</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_Ref514405604 \h </w:instrText>
            </w:r>
            <w:r>
              <w:rPr>
                <w:lang w:eastAsia="en-AU"/>
              </w:rPr>
            </w:r>
            <w:r>
              <w:rPr>
                <w:lang w:eastAsia="en-AU"/>
              </w:rPr>
              <w:fldChar w:fldCharType="separate"/>
            </w:r>
            <w:r w:rsidR="00871F2E" w:rsidRPr="00924038">
              <w:t>C.3</w:t>
            </w:r>
            <w:r w:rsidR="00871F2E" w:rsidRPr="00924038">
              <w:tab/>
              <w:t>The Conduct of the Hearing and Summary of the Proposals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[63]</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_Ref514405605 \h </w:instrText>
            </w:r>
            <w:r>
              <w:rPr>
                <w:lang w:eastAsia="en-AU"/>
              </w:rPr>
            </w:r>
            <w:r>
              <w:rPr>
                <w:lang w:eastAsia="en-AU"/>
              </w:rPr>
              <w:fldChar w:fldCharType="separate"/>
            </w:r>
            <w:r w:rsidR="00871F2E" w:rsidRPr="00924038">
              <w:t>C.3.1</w:t>
            </w:r>
            <w:r w:rsidR="00871F2E" w:rsidRPr="00924038">
              <w:tab/>
            </w:r>
            <w:r w:rsidR="00871F2E">
              <w:t xml:space="preserve">Mr </w:t>
            </w:r>
            <w:r w:rsidR="00871F2E" w:rsidRPr="00924038">
              <w:t>Perera</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[65]</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_Ref514405606 \h </w:instrText>
            </w:r>
            <w:r>
              <w:rPr>
                <w:lang w:eastAsia="en-AU"/>
              </w:rPr>
            </w:r>
            <w:r>
              <w:rPr>
                <w:lang w:eastAsia="en-AU"/>
              </w:rPr>
              <w:fldChar w:fldCharType="separate"/>
            </w:r>
            <w:r w:rsidR="00871F2E" w:rsidRPr="00924038">
              <w:t>C.3.2</w:t>
            </w:r>
            <w:r w:rsidR="00871F2E" w:rsidRPr="00924038">
              <w:tab/>
              <w:t>McTaggart Applicants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[69]</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_Ref514405607 \h </w:instrText>
            </w:r>
            <w:r>
              <w:rPr>
                <w:lang w:eastAsia="en-AU"/>
              </w:rPr>
            </w:r>
            <w:r>
              <w:rPr>
                <w:lang w:eastAsia="en-AU"/>
              </w:rPr>
              <w:fldChar w:fldCharType="separate"/>
            </w:r>
            <w:r w:rsidR="00871F2E" w:rsidRPr="00643191">
              <w:t>C.3.3</w:t>
            </w:r>
            <w:r w:rsidR="00871F2E" w:rsidRPr="00643191">
              <w:tab/>
              <w:t>Mr Webb</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[72]</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_Ref514405608 \h </w:instrText>
            </w:r>
            <w:r>
              <w:rPr>
                <w:lang w:eastAsia="en-AU"/>
              </w:rPr>
            </w:r>
            <w:r>
              <w:rPr>
                <w:lang w:eastAsia="en-AU"/>
              </w:rPr>
              <w:fldChar w:fldCharType="separate"/>
            </w:r>
            <w:r w:rsidR="00871F2E" w:rsidRPr="00924038">
              <w:t>C.3.4</w:t>
            </w:r>
            <w:r w:rsidR="00871F2E" w:rsidRPr="00924038">
              <w:tab/>
              <w:t>GetSwift</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[74]</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_Ref514405609 \h </w:instrText>
            </w:r>
            <w:r>
              <w:rPr>
                <w:lang w:eastAsia="en-AU"/>
              </w:rPr>
            </w:r>
            <w:r>
              <w:rPr>
                <w:lang w:eastAsia="en-AU"/>
              </w:rPr>
              <w:fldChar w:fldCharType="separate"/>
            </w:r>
            <w:r w:rsidR="00871F2E" w:rsidRPr="00924038">
              <w:t>C.4</w:t>
            </w:r>
            <w:r w:rsidR="00871F2E" w:rsidRPr="00924038">
              <w:tab/>
              <w:t>Group Definition and Overlap – A Logical Difficulty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[76]</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_Ref514405610 \h </w:instrText>
            </w:r>
            <w:r>
              <w:rPr>
                <w:lang w:eastAsia="en-AU"/>
              </w:rPr>
            </w:r>
            <w:r>
              <w:rPr>
                <w:lang w:eastAsia="en-AU"/>
              </w:rPr>
              <w:fldChar w:fldCharType="separate"/>
            </w:r>
            <w:r w:rsidR="00871F2E" w:rsidRPr="00924038">
              <w:t>D</w:t>
            </w:r>
            <w:r w:rsidR="00871F2E" w:rsidRPr="00924038">
              <w:tab/>
              <w:t>Remedial Response to Competing Class Actions: A Survey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[83]</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_Ref514405611 \h </w:instrText>
            </w:r>
            <w:r>
              <w:rPr>
                <w:lang w:eastAsia="en-AU"/>
              </w:rPr>
            </w:r>
            <w:r>
              <w:rPr>
                <w:lang w:eastAsia="en-AU"/>
              </w:rPr>
              <w:fldChar w:fldCharType="separate"/>
            </w:r>
            <w:r w:rsidR="00871F2E" w:rsidRPr="00924038">
              <w:t>D.1</w:t>
            </w:r>
            <w:r w:rsidR="00871F2E" w:rsidRPr="00924038">
              <w:tab/>
              <w:t>The Australian Experience</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[83]</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_Ref514405612 \h </w:instrText>
            </w:r>
            <w:r>
              <w:rPr>
                <w:lang w:eastAsia="en-AU"/>
              </w:rPr>
            </w:r>
            <w:r>
              <w:rPr>
                <w:lang w:eastAsia="en-AU"/>
              </w:rPr>
              <w:fldChar w:fldCharType="separate"/>
            </w:r>
            <w:r w:rsidR="00871F2E" w:rsidRPr="00924038">
              <w:t>D.2</w:t>
            </w:r>
            <w:r w:rsidR="00871F2E" w:rsidRPr="00924038">
              <w:tab/>
              <w:t>The North American Experience</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[95]</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_Ref514405613 \h </w:instrText>
            </w:r>
            <w:r>
              <w:rPr>
                <w:lang w:eastAsia="en-AU"/>
              </w:rPr>
            </w:r>
            <w:r>
              <w:rPr>
                <w:lang w:eastAsia="en-AU"/>
              </w:rPr>
              <w:fldChar w:fldCharType="separate"/>
            </w:r>
            <w:r w:rsidR="00871F2E" w:rsidRPr="00924038">
              <w:t xml:space="preserve">E </w:t>
            </w:r>
            <w:r w:rsidR="00871F2E" w:rsidRPr="00924038">
              <w:tab/>
              <w:t xml:space="preserve">Remedial Responses: Power &amp; </w:t>
            </w:r>
            <w:r w:rsidR="00871F2E">
              <w:t>Applicable Principles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[105]</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_Ref514405614 \h </w:instrText>
            </w:r>
            <w:r>
              <w:rPr>
                <w:lang w:eastAsia="en-AU"/>
              </w:rPr>
            </w:r>
            <w:r>
              <w:rPr>
                <w:lang w:eastAsia="en-AU"/>
              </w:rPr>
              <w:fldChar w:fldCharType="separate"/>
            </w:r>
            <w:r w:rsidR="00871F2E" w:rsidRPr="00924038">
              <w:t>E.1</w:t>
            </w:r>
            <w:r w:rsidR="00871F2E" w:rsidRPr="00924038">
              <w:tab/>
              <w:t>Identifying the Available Responses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[105]</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_Ref514668585 \h </w:instrText>
            </w:r>
            <w:r>
              <w:rPr>
                <w:lang w:eastAsia="en-AU"/>
              </w:rPr>
            </w:r>
            <w:r>
              <w:rPr>
                <w:lang w:eastAsia="en-AU"/>
              </w:rPr>
              <w:fldChar w:fldCharType="separate"/>
            </w:r>
            <w:r w:rsidR="00871F2E" w:rsidRPr="00924038">
              <w:t>E.2</w:t>
            </w:r>
            <w:r w:rsidR="00871F2E" w:rsidRPr="00924038">
              <w:tab/>
              <w:t>Questions of Power</w:t>
            </w:r>
            <w:r w:rsidR="00871F2E">
              <w:t xml:space="preserve"> &amp; Applicable Principles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[109]</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_Ref514405616 \h </w:instrText>
            </w:r>
            <w:r>
              <w:rPr>
                <w:lang w:eastAsia="en-AU"/>
              </w:rPr>
            </w:r>
            <w:r>
              <w:rPr>
                <w:lang w:eastAsia="en-AU"/>
              </w:rPr>
              <w:fldChar w:fldCharType="separate"/>
            </w:r>
            <w:r w:rsidR="00871F2E" w:rsidRPr="00924038">
              <w:t>E.2.1</w:t>
            </w:r>
            <w:r w:rsidR="00871F2E" w:rsidRPr="00924038">
              <w:tab/>
            </w:r>
            <w:r w:rsidR="00871F2E">
              <w:t xml:space="preserve">Permanent </w:t>
            </w:r>
            <w:r w:rsidR="00871F2E" w:rsidRPr="00924038">
              <w:t>Stays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[109]</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_Ref514405617 \h </w:instrText>
            </w:r>
            <w:r>
              <w:rPr>
                <w:lang w:eastAsia="en-AU"/>
              </w:rPr>
            </w:r>
            <w:r>
              <w:rPr>
                <w:lang w:eastAsia="en-AU"/>
              </w:rPr>
              <w:fldChar w:fldCharType="separate"/>
            </w:r>
            <w:r w:rsidR="00871F2E" w:rsidRPr="00924038">
              <w:t>E.2.2</w:t>
            </w:r>
            <w:r w:rsidR="00871F2E" w:rsidRPr="00924038">
              <w:tab/>
              <w:t>Declassing</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[125]</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_Ref514405618 \h </w:instrText>
            </w:r>
            <w:r>
              <w:rPr>
                <w:lang w:eastAsia="en-AU"/>
              </w:rPr>
            </w:r>
            <w:r>
              <w:rPr>
                <w:lang w:eastAsia="en-AU"/>
              </w:rPr>
              <w:fldChar w:fldCharType="separate"/>
            </w:r>
            <w:r w:rsidR="00871F2E" w:rsidRPr="00924038">
              <w:t>E.2.3</w:t>
            </w:r>
            <w:r w:rsidR="00871F2E" w:rsidRPr="00924038">
              <w:tab/>
              <w:t>Equitable Jurisdiction</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[145]</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_Ref514405619 \h </w:instrText>
            </w:r>
            <w:r>
              <w:rPr>
                <w:lang w:eastAsia="en-AU"/>
              </w:rPr>
            </w:r>
            <w:r>
              <w:rPr>
                <w:lang w:eastAsia="en-AU"/>
              </w:rPr>
              <w:fldChar w:fldCharType="separate"/>
            </w:r>
            <w:r w:rsidR="00871F2E" w:rsidRPr="00924038">
              <w:t>E.3</w:t>
            </w:r>
            <w:r w:rsidR="00871F2E" w:rsidRPr="00924038">
              <w:tab/>
              <w:t>Conclusions as to Questions of Power</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[166]</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_Ref514405620 \h </w:instrText>
            </w:r>
            <w:r>
              <w:rPr>
                <w:lang w:eastAsia="en-AU"/>
              </w:rPr>
            </w:r>
            <w:r>
              <w:rPr>
                <w:lang w:eastAsia="en-AU"/>
              </w:rPr>
              <w:fldChar w:fldCharType="separate"/>
            </w:r>
            <w:r w:rsidR="00871F2E" w:rsidRPr="00924038">
              <w:t>F</w:t>
            </w:r>
            <w:r w:rsidR="00871F2E" w:rsidRPr="00924038">
              <w:tab/>
              <w:t>Factors Other Than Possible Comparative Net Returns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[168]</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_Ref514405621 \h </w:instrText>
            </w:r>
            <w:r>
              <w:rPr>
                <w:lang w:eastAsia="en-AU"/>
              </w:rPr>
            </w:r>
            <w:r>
              <w:rPr>
                <w:lang w:eastAsia="en-AU"/>
              </w:rPr>
              <w:fldChar w:fldCharType="separate"/>
            </w:r>
            <w:r w:rsidR="00871F2E" w:rsidRPr="00924038">
              <w:t>F.1</w:t>
            </w:r>
            <w:r w:rsidR="00871F2E" w:rsidRPr="00924038">
              <w:tab/>
              <w:t>Introduction &amp; Relevant Factors Relied Upon</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[168]</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_Ref514405622 \h </w:instrText>
            </w:r>
            <w:r>
              <w:rPr>
                <w:lang w:eastAsia="en-AU"/>
              </w:rPr>
            </w:r>
            <w:r>
              <w:rPr>
                <w:lang w:eastAsia="en-AU"/>
              </w:rPr>
              <w:fldChar w:fldCharType="separate"/>
            </w:r>
            <w:r w:rsidR="00871F2E" w:rsidRPr="00924038">
              <w:t>F.2</w:t>
            </w:r>
            <w:r w:rsidR="00871F2E" w:rsidRPr="00924038">
              <w:tab/>
              <w:t>Experience of Legal Practitioners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[172]</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_Ref514405623 \h </w:instrText>
            </w:r>
            <w:r>
              <w:rPr>
                <w:lang w:eastAsia="en-AU"/>
              </w:rPr>
            </w:r>
            <w:r>
              <w:rPr>
                <w:lang w:eastAsia="en-AU"/>
              </w:rPr>
              <w:fldChar w:fldCharType="separate"/>
            </w:r>
            <w:r w:rsidR="00871F2E" w:rsidRPr="00924038">
              <w:t>F.3</w:t>
            </w:r>
            <w:r w:rsidR="00871F2E" w:rsidRPr="00924038">
              <w:tab/>
              <w:t>Available Legal Resources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[173]</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lastRenderedPageBreak/>
              <w:fldChar w:fldCharType="begin"/>
            </w:r>
            <w:r>
              <w:rPr>
                <w:lang w:eastAsia="en-AU"/>
              </w:rPr>
              <w:instrText xml:space="preserve"> REF _Ref514405624 \h </w:instrText>
            </w:r>
            <w:r>
              <w:rPr>
                <w:lang w:eastAsia="en-AU"/>
              </w:rPr>
            </w:r>
            <w:r>
              <w:rPr>
                <w:lang w:eastAsia="en-AU"/>
              </w:rPr>
              <w:fldChar w:fldCharType="separate"/>
            </w:r>
            <w:r w:rsidR="00871F2E" w:rsidRPr="00924038">
              <w:t>F.4</w:t>
            </w:r>
            <w:r w:rsidR="00871F2E" w:rsidRPr="00924038">
              <w:tab/>
              <w:t>State of Preparation</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[174]</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_Ref514405625 \h </w:instrText>
            </w:r>
            <w:r>
              <w:rPr>
                <w:lang w:eastAsia="en-AU"/>
              </w:rPr>
            </w:r>
            <w:r>
              <w:rPr>
                <w:lang w:eastAsia="en-AU"/>
              </w:rPr>
              <w:fldChar w:fldCharType="separate"/>
            </w:r>
            <w:r w:rsidR="00871F2E" w:rsidRPr="00924038">
              <w:t>F.5</w:t>
            </w:r>
            <w:r w:rsidR="00871F2E" w:rsidRPr="00924038">
              <w:tab/>
              <w:t>Funding Resources Available Including Security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[176]</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_Ref514405626 \h </w:instrText>
            </w:r>
            <w:r>
              <w:rPr>
                <w:lang w:eastAsia="en-AU"/>
              </w:rPr>
            </w:r>
            <w:r>
              <w:rPr>
                <w:lang w:eastAsia="en-AU"/>
              </w:rPr>
              <w:fldChar w:fldCharType="separate"/>
            </w:r>
            <w:r w:rsidR="00871F2E" w:rsidRPr="00924038">
              <w:t>F.5.1</w:t>
            </w:r>
            <w:r w:rsidR="00871F2E" w:rsidRPr="00924038">
              <w:tab/>
              <w:t>The Funders’ Financial Position Generally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[177]</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_Ref514405627 \h </w:instrText>
            </w:r>
            <w:r>
              <w:rPr>
                <w:lang w:eastAsia="en-AU"/>
              </w:rPr>
            </w:r>
            <w:r>
              <w:rPr>
                <w:lang w:eastAsia="en-AU"/>
              </w:rPr>
              <w:fldChar w:fldCharType="separate"/>
            </w:r>
            <w:r w:rsidR="00871F2E" w:rsidRPr="00924038">
              <w:t>F.5.2</w:t>
            </w:r>
            <w:r w:rsidR="00871F2E" w:rsidRPr="00924038">
              <w:tab/>
              <w:t>The Proposals for Security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[185]</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_Ref514405628 \h </w:instrText>
            </w:r>
            <w:r>
              <w:rPr>
                <w:lang w:eastAsia="en-AU"/>
              </w:rPr>
            </w:r>
            <w:r>
              <w:rPr>
                <w:lang w:eastAsia="en-AU"/>
              </w:rPr>
              <w:fldChar w:fldCharType="separate"/>
            </w:r>
            <w:r w:rsidR="00871F2E" w:rsidRPr="00924038">
              <w:t>F.6</w:t>
            </w:r>
            <w:r w:rsidR="00871F2E" w:rsidRPr="00924038">
              <w:tab/>
              <w:t>Substantive Merits of Proceedings Generally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[199]</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_Ref514405629 \h </w:instrText>
            </w:r>
            <w:r>
              <w:rPr>
                <w:lang w:eastAsia="en-AU"/>
              </w:rPr>
            </w:r>
            <w:r>
              <w:rPr>
                <w:lang w:eastAsia="en-AU"/>
              </w:rPr>
              <w:fldChar w:fldCharType="separate"/>
            </w:r>
            <w:r w:rsidR="00871F2E" w:rsidRPr="00924038">
              <w:t>F.7</w:t>
            </w:r>
            <w:r w:rsidR="00871F2E" w:rsidRPr="00924038">
              <w:tab/>
              <w:t xml:space="preserve">Substantive Merits of </w:t>
            </w:r>
            <w:r w:rsidR="00871F2E">
              <w:t xml:space="preserve">the </w:t>
            </w:r>
            <w:r w:rsidR="00871F2E" w:rsidRPr="00924038">
              <w:t xml:space="preserve">Individual Cases of </w:t>
            </w:r>
            <w:r w:rsidR="00871F2E">
              <w:t xml:space="preserve">the </w:t>
            </w:r>
            <w:r w:rsidR="00871F2E" w:rsidRPr="00924038">
              <w:t>Applicants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[206]</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_Ref514405630 \h </w:instrText>
            </w:r>
            <w:r>
              <w:rPr>
                <w:lang w:eastAsia="en-AU"/>
              </w:rPr>
            </w:r>
            <w:r>
              <w:rPr>
                <w:lang w:eastAsia="en-AU"/>
              </w:rPr>
              <w:fldChar w:fldCharType="separate"/>
            </w:r>
            <w:r w:rsidR="00871F2E" w:rsidRPr="00924038">
              <w:t>F.8</w:t>
            </w:r>
            <w:r w:rsidR="00871F2E" w:rsidRPr="00924038">
              <w:tab/>
              <w:t>The Existence of Funding Agreements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[210]</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_Ref514405631 \h </w:instrText>
            </w:r>
            <w:r>
              <w:rPr>
                <w:lang w:eastAsia="en-AU"/>
              </w:rPr>
            </w:r>
            <w:r>
              <w:rPr>
                <w:lang w:eastAsia="en-AU"/>
              </w:rPr>
              <w:fldChar w:fldCharType="separate"/>
            </w:r>
            <w:r w:rsidR="00871F2E" w:rsidRPr="00924038">
              <w:t>F.9</w:t>
            </w:r>
            <w:r w:rsidR="00871F2E" w:rsidRPr="00924038">
              <w:tab/>
              <w:t>The Number of Funded Group Members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[216]</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_Ref514405632 \h </w:instrText>
            </w:r>
            <w:r>
              <w:rPr>
                <w:lang w:eastAsia="en-AU"/>
              </w:rPr>
            </w:r>
            <w:r>
              <w:rPr>
                <w:lang w:eastAsia="en-AU"/>
              </w:rPr>
              <w:fldChar w:fldCharType="separate"/>
            </w:r>
            <w:r w:rsidR="00871F2E" w:rsidRPr="00924038">
              <w:t>F.10</w:t>
            </w:r>
            <w:r w:rsidR="00871F2E" w:rsidRPr="00924038">
              <w:tab/>
              <w:t>Moral Hazard and Absence of Deadlock Provision</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[218]</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_Ref514405633 \h </w:instrText>
            </w:r>
            <w:r>
              <w:rPr>
                <w:lang w:eastAsia="en-AU"/>
              </w:rPr>
            </w:r>
            <w:r>
              <w:rPr>
                <w:lang w:eastAsia="en-AU"/>
              </w:rPr>
              <w:fldChar w:fldCharType="separate"/>
            </w:r>
            <w:r w:rsidR="00871F2E" w:rsidRPr="00924038">
              <w:t>F.11</w:t>
            </w:r>
            <w:r w:rsidR="00871F2E" w:rsidRPr="00924038">
              <w:tab/>
              <w:t>Estimated Cost</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[225]</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_Ref514405634 \h </w:instrText>
            </w:r>
            <w:r>
              <w:rPr>
                <w:lang w:eastAsia="en-AU"/>
              </w:rPr>
            </w:r>
            <w:r>
              <w:rPr>
                <w:lang w:eastAsia="en-AU"/>
              </w:rPr>
              <w:fldChar w:fldCharType="separate"/>
            </w:r>
            <w:r w:rsidR="00871F2E" w:rsidRPr="00924038">
              <w:t>F.12</w:t>
            </w:r>
            <w:r w:rsidR="00871F2E" w:rsidRPr="00924038">
              <w:tab/>
              <w:t>Measures for Controlling Legal Costs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[226]</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_Ref514405635 \h </w:instrText>
            </w:r>
            <w:r>
              <w:rPr>
                <w:lang w:eastAsia="en-AU"/>
              </w:rPr>
            </w:r>
            <w:r>
              <w:rPr>
                <w:lang w:eastAsia="en-AU"/>
              </w:rPr>
              <w:fldChar w:fldCharType="separate"/>
            </w:r>
            <w:r w:rsidR="00871F2E" w:rsidRPr="00924038">
              <w:t>F.13</w:t>
            </w:r>
            <w:r w:rsidR="00871F2E" w:rsidRPr="00924038">
              <w:tab/>
              <w:t>Measures to Control Expert Costs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[231]</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_Ref514405636 \h </w:instrText>
            </w:r>
            <w:r>
              <w:rPr>
                <w:lang w:eastAsia="en-AU"/>
              </w:rPr>
            </w:r>
            <w:r>
              <w:rPr>
                <w:lang w:eastAsia="en-AU"/>
              </w:rPr>
              <w:fldChar w:fldCharType="separate"/>
            </w:r>
            <w:r w:rsidR="00871F2E" w:rsidRPr="00924038">
              <w:t>F.14</w:t>
            </w:r>
            <w:r w:rsidR="00871F2E" w:rsidRPr="00924038">
              <w:tab/>
              <w:t>The Webb Proceeding and Public Policy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[235]</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_Ref514405637 \h </w:instrText>
            </w:r>
            <w:r>
              <w:rPr>
                <w:lang w:eastAsia="en-AU"/>
              </w:rPr>
            </w:r>
            <w:r>
              <w:rPr>
                <w:lang w:eastAsia="en-AU"/>
              </w:rPr>
              <w:fldChar w:fldCharType="separate"/>
            </w:r>
            <w:r w:rsidR="00871F2E" w:rsidRPr="00924038">
              <w:t>F.15</w:t>
            </w:r>
            <w:r w:rsidR="00871F2E" w:rsidRPr="00924038">
              <w:tab/>
              <w:t>Prejudice to Third Parties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[240]</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_Ref514405638 \h </w:instrText>
            </w:r>
            <w:r>
              <w:rPr>
                <w:lang w:eastAsia="en-AU"/>
              </w:rPr>
            </w:r>
            <w:r>
              <w:rPr>
                <w:lang w:eastAsia="en-AU"/>
              </w:rPr>
              <w:fldChar w:fldCharType="separate"/>
            </w:r>
            <w:r w:rsidR="00871F2E" w:rsidRPr="00924038">
              <w:t>G</w:t>
            </w:r>
            <w:r w:rsidR="00871F2E" w:rsidRPr="00924038">
              <w:tab/>
              <w:t>Should a Common Fund Order be m</w:t>
            </w:r>
            <w:r w:rsidR="00871F2E">
              <w:t>ade?</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[242]</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_Ref514405639 \h </w:instrText>
            </w:r>
            <w:r>
              <w:rPr>
                <w:lang w:eastAsia="en-AU"/>
              </w:rPr>
            </w:r>
            <w:r>
              <w:rPr>
                <w:lang w:eastAsia="en-AU"/>
              </w:rPr>
              <w:fldChar w:fldCharType="separate"/>
            </w:r>
            <w:r w:rsidR="00871F2E" w:rsidRPr="00924038">
              <w:t>G.1</w:t>
            </w:r>
            <w:r w:rsidR="00871F2E" w:rsidRPr="00924038">
              <w:tab/>
              <w:t>Introduction</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[242]</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_Ref514405640 \h </w:instrText>
            </w:r>
            <w:r>
              <w:rPr>
                <w:lang w:eastAsia="en-AU"/>
              </w:rPr>
            </w:r>
            <w:r>
              <w:rPr>
                <w:lang w:eastAsia="en-AU"/>
              </w:rPr>
              <w:fldChar w:fldCharType="separate"/>
            </w:r>
            <w:r w:rsidR="00871F2E" w:rsidRPr="00924038">
              <w:t>G.2</w:t>
            </w:r>
            <w:r w:rsidR="00871F2E" w:rsidRPr="00924038">
              <w:tab/>
              <w:t>The Timing of Common Fund Order</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[244]</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_Ref514405641 \h </w:instrText>
            </w:r>
            <w:r>
              <w:rPr>
                <w:lang w:eastAsia="en-AU"/>
              </w:rPr>
            </w:r>
            <w:r>
              <w:rPr>
                <w:lang w:eastAsia="en-AU"/>
              </w:rPr>
              <w:fldChar w:fldCharType="separate"/>
            </w:r>
            <w:r w:rsidR="00871F2E" w:rsidRPr="00924038">
              <w:t>G.3</w:t>
            </w:r>
            <w:r w:rsidR="00871F2E" w:rsidRPr="00924038">
              <w:tab/>
              <w:t>An Order is Appropriate</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[247]</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_Ref514668587 \h </w:instrText>
            </w:r>
            <w:r>
              <w:rPr>
                <w:lang w:eastAsia="en-AU"/>
              </w:rPr>
            </w:r>
            <w:r>
              <w:rPr>
                <w:lang w:eastAsia="en-AU"/>
              </w:rPr>
              <w:fldChar w:fldCharType="separate"/>
            </w:r>
            <w:r w:rsidR="00871F2E" w:rsidRPr="00924038">
              <w:t>H</w:t>
            </w:r>
            <w:r w:rsidR="00871F2E" w:rsidRPr="00924038">
              <w:tab/>
              <w:t xml:space="preserve">Comparative Estimates </w:t>
            </w:r>
            <w:r w:rsidR="00871F2E">
              <w:t xml:space="preserve">of Likely </w:t>
            </w:r>
            <w:r w:rsidR="00871F2E" w:rsidRPr="00924038">
              <w:t>Returns</w:t>
            </w:r>
            <w:r w:rsidR="00871F2E">
              <w:t xml:space="preserve"> to the Group</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[250]</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_Ref514405643 \h </w:instrText>
            </w:r>
            <w:r>
              <w:rPr>
                <w:lang w:eastAsia="en-AU"/>
              </w:rPr>
            </w:r>
            <w:r>
              <w:rPr>
                <w:lang w:eastAsia="en-AU"/>
              </w:rPr>
              <w:fldChar w:fldCharType="separate"/>
            </w:r>
            <w:r w:rsidR="00871F2E" w:rsidRPr="00924038">
              <w:t>H.1</w:t>
            </w:r>
            <w:r w:rsidR="00871F2E" w:rsidRPr="00924038">
              <w:tab/>
              <w:t>The Comparative Analysis – the Approach Taken</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[250]</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_Ref514405644 \h </w:instrText>
            </w:r>
            <w:r>
              <w:rPr>
                <w:lang w:eastAsia="en-AU"/>
              </w:rPr>
            </w:r>
            <w:r>
              <w:rPr>
                <w:lang w:eastAsia="en-AU"/>
              </w:rPr>
              <w:fldChar w:fldCharType="separate"/>
            </w:r>
            <w:r w:rsidR="00871F2E" w:rsidRPr="00924038">
              <w:t>H.1.1</w:t>
            </w:r>
            <w:r w:rsidR="00871F2E" w:rsidRPr="00924038">
              <w:tab/>
              <w:t>Assumptions in Orders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[251]</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_Ref514405645 \h </w:instrText>
            </w:r>
            <w:r>
              <w:rPr>
                <w:lang w:eastAsia="en-AU"/>
              </w:rPr>
            </w:r>
            <w:r>
              <w:rPr>
                <w:lang w:eastAsia="en-AU"/>
              </w:rPr>
              <w:fldChar w:fldCharType="separate"/>
            </w:r>
            <w:r w:rsidR="00871F2E" w:rsidRPr="00924038">
              <w:t>H.1.2</w:t>
            </w:r>
            <w:r w:rsidR="00871F2E" w:rsidRPr="00924038">
              <w:tab/>
              <w:t>Differences Between Funding Proposals and Other Costs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[253]</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_Ref514405646 \h </w:instrText>
            </w:r>
            <w:r>
              <w:rPr>
                <w:lang w:eastAsia="en-AU"/>
              </w:rPr>
            </w:r>
            <w:r>
              <w:rPr>
                <w:lang w:eastAsia="en-AU"/>
              </w:rPr>
              <w:fldChar w:fldCharType="separate"/>
            </w:r>
            <w:r w:rsidR="00871F2E" w:rsidRPr="00924038">
              <w:t>H.2</w:t>
            </w:r>
            <w:r w:rsidR="00871F2E" w:rsidRPr="00924038">
              <w:tab/>
              <w:t xml:space="preserve">Miscellaneous Contentions </w:t>
            </w:r>
            <w:r w:rsidR="00871F2E">
              <w:t>as to</w:t>
            </w:r>
            <w:r w:rsidR="00871F2E" w:rsidRPr="00924038">
              <w:t xml:space="preserve"> Comparative </w:t>
            </w:r>
            <w:r w:rsidR="00871F2E">
              <w:t xml:space="preserve">Financial </w:t>
            </w:r>
            <w:r w:rsidR="00871F2E" w:rsidRPr="00924038">
              <w:t>Analysis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[258]</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_Ref514405647 \h </w:instrText>
            </w:r>
            <w:r>
              <w:rPr>
                <w:lang w:eastAsia="en-AU"/>
              </w:rPr>
            </w:r>
            <w:r>
              <w:rPr>
                <w:lang w:eastAsia="en-AU"/>
              </w:rPr>
              <w:fldChar w:fldCharType="separate"/>
            </w:r>
            <w:r w:rsidR="00871F2E" w:rsidRPr="00924038">
              <w:t>H.2.1</w:t>
            </w:r>
            <w:r w:rsidR="00871F2E" w:rsidRPr="00924038">
              <w:tab/>
              <w:t>Mr Perera’s Fundamental Objection to the Process Adopted</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[260]</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_Ref514405648 \h </w:instrText>
            </w:r>
            <w:r>
              <w:rPr>
                <w:lang w:eastAsia="en-AU"/>
              </w:rPr>
            </w:r>
            <w:r>
              <w:rPr>
                <w:lang w:eastAsia="en-AU"/>
              </w:rPr>
              <w:fldChar w:fldCharType="separate"/>
            </w:r>
            <w:r w:rsidR="00871F2E" w:rsidRPr="00924038">
              <w:t>H.2.2</w:t>
            </w:r>
            <w:r w:rsidR="00871F2E" w:rsidRPr="00924038">
              <w:tab/>
              <w:t>Mr Perera’s more Specific Objection as to Contingencies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[264]</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_Ref514405649 \h </w:instrText>
            </w:r>
            <w:r>
              <w:rPr>
                <w:lang w:eastAsia="en-AU"/>
              </w:rPr>
            </w:r>
            <w:r>
              <w:rPr>
                <w:lang w:eastAsia="en-AU"/>
              </w:rPr>
              <w:fldChar w:fldCharType="separate"/>
            </w:r>
            <w:r w:rsidR="00871F2E" w:rsidRPr="00924038">
              <w:t>H.2.3</w:t>
            </w:r>
            <w:r w:rsidR="00871F2E" w:rsidRPr="00924038">
              <w:tab/>
              <w:t>The McTaggart Applicants’ Objections as to ATE Costs in the Webb Proceeding</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[265]</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_Ref514405650 \h </w:instrText>
            </w:r>
            <w:r>
              <w:rPr>
                <w:lang w:eastAsia="en-AU"/>
              </w:rPr>
            </w:r>
            <w:r>
              <w:rPr>
                <w:lang w:eastAsia="en-AU"/>
              </w:rPr>
              <w:fldChar w:fldCharType="separate"/>
            </w:r>
            <w:r w:rsidR="00871F2E" w:rsidRPr="00924038">
              <w:t>H.2.4</w:t>
            </w:r>
            <w:r w:rsidR="00871F2E" w:rsidRPr="00924038">
              <w:tab/>
              <w:t>The McTaggart Applicants’ Submissions as to Webb “book</w:t>
            </w:r>
            <w:r w:rsidR="00871F2E">
              <w:t xml:space="preserve"> build</w:t>
            </w:r>
            <w:r w:rsidR="00871F2E" w:rsidRPr="00924038">
              <w:t>” Costs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[276]</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_Ref514405651 \h </w:instrText>
            </w:r>
            <w:r>
              <w:rPr>
                <w:lang w:eastAsia="en-AU"/>
              </w:rPr>
            </w:r>
            <w:r>
              <w:rPr>
                <w:lang w:eastAsia="en-AU"/>
              </w:rPr>
              <w:fldChar w:fldCharType="separate"/>
            </w:r>
            <w:r w:rsidR="00871F2E" w:rsidRPr="00924038">
              <w:t>H.2.5</w:t>
            </w:r>
            <w:r w:rsidR="00871F2E" w:rsidRPr="00924038">
              <w:tab/>
              <w:t>Varying Costs as to Interlocutory Applications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[277]</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lastRenderedPageBreak/>
              <w:fldChar w:fldCharType="begin"/>
            </w:r>
            <w:r>
              <w:rPr>
                <w:lang w:eastAsia="en-AU"/>
              </w:rPr>
              <w:instrText xml:space="preserve"> REF _Ref514405652 \h </w:instrText>
            </w:r>
            <w:r>
              <w:rPr>
                <w:lang w:eastAsia="en-AU"/>
              </w:rPr>
            </w:r>
            <w:r>
              <w:rPr>
                <w:lang w:eastAsia="en-AU"/>
              </w:rPr>
              <w:fldChar w:fldCharType="separate"/>
            </w:r>
            <w:r w:rsidR="00871F2E" w:rsidRPr="00924038">
              <w:t>H.2.6</w:t>
            </w:r>
            <w:r w:rsidR="00871F2E" w:rsidRPr="00924038">
              <w:tab/>
              <w:t>The Evidence in Relation to the Late Mediation and Evidence in Reply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[279]</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_Ref514405653 \h </w:instrText>
            </w:r>
            <w:r>
              <w:rPr>
                <w:lang w:eastAsia="en-AU"/>
              </w:rPr>
            </w:r>
            <w:r>
              <w:rPr>
                <w:lang w:eastAsia="en-AU"/>
              </w:rPr>
              <w:fldChar w:fldCharType="separate"/>
            </w:r>
            <w:r w:rsidR="00871F2E" w:rsidRPr="00924038">
              <w:t>H.3</w:t>
            </w:r>
            <w:r w:rsidR="00871F2E" w:rsidRPr="00924038">
              <w:tab/>
              <w:t>The Need for Common Assumptions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[280]</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_Ref514405654 \h </w:instrText>
            </w:r>
            <w:r>
              <w:rPr>
                <w:lang w:eastAsia="en-AU"/>
              </w:rPr>
            </w:r>
            <w:r>
              <w:rPr>
                <w:lang w:eastAsia="en-AU"/>
              </w:rPr>
              <w:fldChar w:fldCharType="separate"/>
            </w:r>
            <w:r w:rsidR="00871F2E" w:rsidRPr="00924038">
              <w:t>H.4</w:t>
            </w:r>
            <w:r w:rsidR="00871F2E" w:rsidRPr="00924038">
              <w:tab/>
              <w:t>The Funding Models Generally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[283]</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_Ref514668588 \h </w:instrText>
            </w:r>
            <w:r>
              <w:rPr>
                <w:lang w:eastAsia="en-AU"/>
              </w:rPr>
            </w:r>
            <w:r>
              <w:rPr>
                <w:lang w:eastAsia="en-AU"/>
              </w:rPr>
              <w:fldChar w:fldCharType="separate"/>
            </w:r>
            <w:r w:rsidR="00871F2E" w:rsidRPr="00924038">
              <w:t>H.5</w:t>
            </w:r>
            <w:r w:rsidR="00871F2E" w:rsidRPr="00924038">
              <w:tab/>
              <w:t xml:space="preserve">The Results of the Comparison: MFI </w:t>
            </w:r>
            <w:r w:rsidR="00871F2E">
              <w:t>B</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[295]</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_Ref514405656 \h </w:instrText>
            </w:r>
            <w:r>
              <w:rPr>
                <w:lang w:eastAsia="en-AU"/>
              </w:rPr>
            </w:r>
            <w:r>
              <w:rPr>
                <w:lang w:eastAsia="en-AU"/>
              </w:rPr>
              <w:fldChar w:fldCharType="separate"/>
            </w:r>
            <w:r w:rsidR="00871F2E" w:rsidRPr="00924038">
              <w:t>I</w:t>
            </w:r>
            <w:r w:rsidR="00871F2E" w:rsidRPr="00924038">
              <w:tab/>
              <w:t>Summary of Findings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[305]</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_Ref514405657 \h </w:instrText>
            </w:r>
            <w:r>
              <w:rPr>
                <w:lang w:eastAsia="en-AU"/>
              </w:rPr>
            </w:r>
            <w:r>
              <w:rPr>
                <w:lang w:eastAsia="en-AU"/>
              </w:rPr>
              <w:fldChar w:fldCharType="separate"/>
            </w:r>
            <w:r w:rsidR="00871F2E" w:rsidRPr="00924038">
              <w:t>J</w:t>
            </w:r>
            <w:r w:rsidR="00871F2E" w:rsidRPr="00924038">
              <w:tab/>
              <w:t>An Assessment Of What Should Be Done</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[325]</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_Ref514405658 \h </w:instrText>
            </w:r>
            <w:r>
              <w:rPr>
                <w:lang w:eastAsia="en-AU"/>
              </w:rPr>
            </w:r>
            <w:r>
              <w:rPr>
                <w:lang w:eastAsia="en-AU"/>
              </w:rPr>
              <w:fldChar w:fldCharType="separate"/>
            </w:r>
            <w:r w:rsidR="00871F2E" w:rsidRPr="00924038">
              <w:t>J.1</w:t>
            </w:r>
            <w:r w:rsidR="00871F2E" w:rsidRPr="00924038">
              <w:tab/>
              <w:t>The Need for a Multifactorial Approach</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[325]</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_Ref514668589 \h </w:instrText>
            </w:r>
            <w:r>
              <w:rPr>
                <w:lang w:eastAsia="en-AU"/>
              </w:rPr>
            </w:r>
            <w:r>
              <w:rPr>
                <w:lang w:eastAsia="en-AU"/>
              </w:rPr>
              <w:fldChar w:fldCharType="separate"/>
            </w:r>
            <w:r w:rsidR="00871F2E" w:rsidRPr="00924038">
              <w:t>J.2</w:t>
            </w:r>
            <w:r w:rsidR="00871F2E" w:rsidRPr="00924038">
              <w:tab/>
              <w:t xml:space="preserve">Conclusions on the Comparative </w:t>
            </w:r>
            <w:r w:rsidR="00871F2E">
              <w:t xml:space="preserve">Multifactorial </w:t>
            </w:r>
            <w:r w:rsidR="00871F2E" w:rsidRPr="00924038">
              <w:t>Assessment</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[328]</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_Ref514405661 \h </w:instrText>
            </w:r>
            <w:r>
              <w:rPr>
                <w:lang w:eastAsia="en-AU"/>
              </w:rPr>
            </w:r>
            <w:r>
              <w:rPr>
                <w:lang w:eastAsia="en-AU"/>
              </w:rPr>
              <w:fldChar w:fldCharType="separate"/>
            </w:r>
            <w:r w:rsidR="00871F2E" w:rsidRPr="00924038">
              <w:t>K</w:t>
            </w:r>
            <w:r w:rsidR="00871F2E" w:rsidRPr="00924038">
              <w:tab/>
              <w:t>Orders as to the Other Proceedings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[331]</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_Ref514405662 \h </w:instrText>
            </w:r>
            <w:r>
              <w:rPr>
                <w:lang w:eastAsia="en-AU"/>
              </w:rPr>
            </w:r>
            <w:r>
              <w:rPr>
                <w:lang w:eastAsia="en-AU"/>
              </w:rPr>
              <w:fldChar w:fldCharType="separate"/>
            </w:r>
            <w:r w:rsidR="00871F2E" w:rsidRPr="00924038">
              <w:t>K.1</w:t>
            </w:r>
            <w:r w:rsidR="00871F2E" w:rsidRPr="00924038">
              <w:tab/>
              <w:t>Permanent Stay the Appropriate Remedy</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[331]</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_Ref514405663 \h </w:instrText>
            </w:r>
            <w:r>
              <w:rPr>
                <w:lang w:eastAsia="en-AU"/>
              </w:rPr>
            </w:r>
            <w:r>
              <w:rPr>
                <w:lang w:eastAsia="en-AU"/>
              </w:rPr>
              <w:fldChar w:fldCharType="separate"/>
            </w:r>
            <w:r w:rsidR="00871F2E" w:rsidRPr="00924038">
              <w:t>K.2</w:t>
            </w:r>
            <w:r w:rsidR="00871F2E" w:rsidRPr="00924038">
              <w:tab/>
              <w:t>Alternative Relief</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[350]</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_Ref514764836 \h </w:instrText>
            </w:r>
            <w:r>
              <w:rPr>
                <w:lang w:eastAsia="en-AU"/>
              </w:rPr>
            </w:r>
            <w:r>
              <w:rPr>
                <w:lang w:eastAsia="en-AU"/>
              </w:rPr>
              <w:fldChar w:fldCharType="separate"/>
            </w:r>
            <w:r w:rsidR="00871F2E" w:rsidRPr="00B74A6E">
              <w:t>K.2.</w:t>
            </w:r>
            <w:r w:rsidR="00871F2E">
              <w:t>1</w:t>
            </w:r>
            <w:r w:rsidR="00871F2E">
              <w:tab/>
              <w:t>Equitable Relief</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[350]</w:t>
            </w:r>
          </w:p>
        </w:tc>
      </w:tr>
      <w:tr w:rsidR="00E9140A" w:rsidRPr="00D326DB" w:rsidTr="00E9140A">
        <w:tc>
          <w:tcPr>
            <w:tcW w:w="8507" w:type="dxa"/>
            <w:shd w:val="clear" w:color="auto" w:fill="auto"/>
          </w:tcPr>
          <w:p w:rsidR="00E9140A" w:rsidRPr="00E9140A" w:rsidRDefault="00E9140A" w:rsidP="00E9140A">
            <w:pPr>
              <w:pStyle w:val="FTOC3"/>
              <w:tabs>
                <w:tab w:val="clear" w:pos="9072"/>
              </w:tabs>
              <w:rPr>
                <w:i w:val="0"/>
                <w:lang w:eastAsia="en-AU"/>
              </w:rPr>
            </w:pPr>
            <w:r>
              <w:rPr>
                <w:lang w:eastAsia="en-AU"/>
              </w:rPr>
              <w:fldChar w:fldCharType="begin"/>
            </w:r>
            <w:r>
              <w:rPr>
                <w:lang w:eastAsia="en-AU"/>
              </w:rPr>
              <w:instrText xml:space="preserve"> REF _Ref514764837 \h </w:instrText>
            </w:r>
            <w:r>
              <w:rPr>
                <w:lang w:eastAsia="en-AU"/>
              </w:rPr>
            </w:r>
            <w:r>
              <w:rPr>
                <w:lang w:eastAsia="en-AU"/>
              </w:rPr>
              <w:fldChar w:fldCharType="separate"/>
            </w:r>
            <w:r w:rsidR="00871F2E" w:rsidRPr="00D84C3C">
              <w:t>K.2.2</w:t>
            </w:r>
            <w:r w:rsidR="00871F2E" w:rsidRPr="00D84C3C">
              <w:tab/>
              <w:t>Declassing</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[351]</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_Ref514405664 \h </w:instrText>
            </w:r>
            <w:r>
              <w:rPr>
                <w:lang w:eastAsia="en-AU"/>
              </w:rPr>
            </w:r>
            <w:r>
              <w:rPr>
                <w:lang w:eastAsia="en-AU"/>
              </w:rPr>
              <w:fldChar w:fldCharType="separate"/>
            </w:r>
            <w:r w:rsidR="00871F2E" w:rsidRPr="00924038">
              <w:t>K.3</w:t>
            </w:r>
            <w:r w:rsidR="00871F2E" w:rsidRPr="00924038">
              <w:tab/>
              <w:t>The ‘Remedy’ of s 33T and Case Management Powers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[356]</w:t>
            </w:r>
          </w:p>
        </w:tc>
      </w:tr>
      <w:tr w:rsidR="00E9140A" w:rsidRPr="00D326DB" w:rsidTr="00E9140A">
        <w:tc>
          <w:tcPr>
            <w:tcW w:w="8507" w:type="dxa"/>
            <w:shd w:val="clear" w:color="auto" w:fill="auto"/>
          </w:tcPr>
          <w:p w:rsidR="00E9140A" w:rsidRPr="00E9140A" w:rsidRDefault="00E9140A" w:rsidP="00E9140A">
            <w:pPr>
              <w:pStyle w:val="FTOC2"/>
              <w:tabs>
                <w:tab w:val="clear" w:pos="9072"/>
              </w:tabs>
              <w:rPr>
                <w:lang w:eastAsia="en-AU"/>
              </w:rPr>
            </w:pPr>
            <w:r>
              <w:rPr>
                <w:lang w:eastAsia="en-AU"/>
              </w:rPr>
              <w:fldChar w:fldCharType="begin"/>
            </w:r>
            <w:r>
              <w:rPr>
                <w:lang w:eastAsia="en-AU"/>
              </w:rPr>
              <w:instrText xml:space="preserve"> REF _Ref514405665 \h </w:instrText>
            </w:r>
            <w:r>
              <w:rPr>
                <w:lang w:eastAsia="en-AU"/>
              </w:rPr>
            </w:r>
            <w:r>
              <w:rPr>
                <w:lang w:eastAsia="en-AU"/>
              </w:rPr>
              <w:fldChar w:fldCharType="separate"/>
            </w:r>
            <w:r w:rsidR="00871F2E" w:rsidRPr="00924038">
              <w:t>K.4</w:t>
            </w:r>
            <w:r w:rsidR="00871F2E" w:rsidRPr="00924038">
              <w:tab/>
              <w:t>Opt Out, Funding Agreements &amp; Intervention</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[362]</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_Ref514405666 \h </w:instrText>
            </w:r>
            <w:r>
              <w:rPr>
                <w:lang w:eastAsia="en-AU"/>
              </w:rPr>
            </w:r>
            <w:r>
              <w:rPr>
                <w:lang w:eastAsia="en-AU"/>
              </w:rPr>
              <w:fldChar w:fldCharType="separate"/>
            </w:r>
            <w:r w:rsidR="00871F2E" w:rsidRPr="00924038">
              <w:t>L</w:t>
            </w:r>
            <w:r w:rsidR="00871F2E" w:rsidRPr="00924038">
              <w:tab/>
              <w:t>Arbitraging Procedure, A Potential Issue</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[371]</w:t>
            </w:r>
          </w:p>
        </w:tc>
      </w:tr>
      <w:tr w:rsidR="00E9140A" w:rsidRPr="00D326DB" w:rsidTr="00E9140A">
        <w:tc>
          <w:tcPr>
            <w:tcW w:w="8507" w:type="dxa"/>
            <w:shd w:val="clear" w:color="auto" w:fill="auto"/>
          </w:tcPr>
          <w:p w:rsidR="00E9140A" w:rsidRPr="00E9140A" w:rsidRDefault="00E9140A" w:rsidP="00E9140A">
            <w:pPr>
              <w:pStyle w:val="FTOC1"/>
              <w:tabs>
                <w:tab w:val="clear" w:pos="9072"/>
              </w:tabs>
              <w:rPr>
                <w:lang w:eastAsia="en-AU"/>
              </w:rPr>
            </w:pPr>
            <w:r>
              <w:rPr>
                <w:lang w:eastAsia="en-AU"/>
              </w:rPr>
              <w:fldChar w:fldCharType="begin"/>
            </w:r>
            <w:r>
              <w:rPr>
                <w:lang w:eastAsia="en-AU"/>
              </w:rPr>
              <w:instrText xml:space="preserve"> REF _Ref514405667 \h </w:instrText>
            </w:r>
            <w:r>
              <w:rPr>
                <w:lang w:eastAsia="en-AU"/>
              </w:rPr>
            </w:r>
            <w:r>
              <w:rPr>
                <w:lang w:eastAsia="en-AU"/>
              </w:rPr>
              <w:fldChar w:fldCharType="separate"/>
            </w:r>
            <w:r w:rsidR="00871F2E" w:rsidRPr="00924038">
              <w:t>M</w:t>
            </w:r>
            <w:r w:rsidR="00871F2E" w:rsidRPr="00924038">
              <w:tab/>
              <w:t>Conclusion &amp; Orders</w:t>
            </w:r>
            <w:r>
              <w:rPr>
                <w:lang w:eastAsia="en-AU"/>
              </w:rPr>
              <w:fldChar w:fldCharType="end"/>
            </w:r>
          </w:p>
        </w:tc>
        <w:tc>
          <w:tcPr>
            <w:tcW w:w="1000" w:type="dxa"/>
            <w:shd w:val="clear" w:color="auto" w:fill="auto"/>
            <w:vAlign w:val="bottom"/>
          </w:tcPr>
          <w:p w:rsidR="00E9140A" w:rsidRDefault="00E9140A">
            <w:pPr>
              <w:jc w:val="right"/>
              <w:rPr>
                <w:szCs w:val="24"/>
              </w:rPr>
            </w:pPr>
            <w:r>
              <w:rPr>
                <w:szCs w:val="24"/>
              </w:rPr>
              <w:t>[377]</w:t>
            </w:r>
          </w:p>
        </w:tc>
      </w:tr>
      <w:bookmarkEnd w:id="21"/>
    </w:tbl>
    <w:p w:rsidR="00506E7A" w:rsidRPr="00924038" w:rsidRDefault="00506E7A" w:rsidP="005E0510">
      <w:pPr>
        <w:pStyle w:val="NormalHeadings"/>
        <w:spacing w:line="360" w:lineRule="auto"/>
        <w:jc w:val="left"/>
        <w:rPr>
          <w:sz w:val="26"/>
          <w:szCs w:val="26"/>
        </w:rPr>
      </w:pPr>
    </w:p>
    <w:p w:rsidR="00484F6D" w:rsidRPr="00924038" w:rsidRDefault="006330D5" w:rsidP="006330D5">
      <w:pPr>
        <w:pStyle w:val="Heading1"/>
      </w:pPr>
      <w:bookmarkStart w:id="22" w:name="_Ref514405597"/>
      <w:r w:rsidRPr="00924038">
        <w:t>A</w:t>
      </w:r>
      <w:r w:rsidRPr="00924038">
        <w:tab/>
      </w:r>
      <w:r w:rsidR="00584E9B" w:rsidRPr="00924038">
        <w:t>Introduction</w:t>
      </w:r>
      <w:bookmarkEnd w:id="22"/>
    </w:p>
    <w:p w:rsidR="00B6671B" w:rsidRPr="00924038" w:rsidRDefault="00B6671B" w:rsidP="00B6671B">
      <w:pPr>
        <w:pStyle w:val="ParaNumbering"/>
      </w:pPr>
      <w:r w:rsidRPr="00924038">
        <w:t xml:space="preserve">The controversy between the </w:t>
      </w:r>
      <w:r w:rsidR="004F75CD" w:rsidRPr="00924038">
        <w:t xml:space="preserve">first </w:t>
      </w:r>
      <w:r w:rsidRPr="00924038">
        <w:t>respondent (</w:t>
      </w:r>
      <w:r w:rsidRPr="00924038">
        <w:rPr>
          <w:b/>
        </w:rPr>
        <w:t>GetSwift</w:t>
      </w:r>
      <w:r w:rsidRPr="00924038">
        <w:t xml:space="preserve">) and persons who acquired an interest in its listed securities presents for consideration a problem of signal importance relating to the conduct in this Court of Part IVA representative proceedings: the Court’s response to the phenomenon of competing </w:t>
      </w:r>
      <w:r w:rsidR="00F354DD" w:rsidRPr="00924038">
        <w:t xml:space="preserve">securities </w:t>
      </w:r>
      <w:r w:rsidRPr="00924038">
        <w:t xml:space="preserve">class actions.  </w:t>
      </w:r>
    </w:p>
    <w:p w:rsidR="00B6671B" w:rsidRPr="00924038" w:rsidRDefault="00B6671B" w:rsidP="00B6671B">
      <w:pPr>
        <w:pStyle w:val="ParaNumbering"/>
      </w:pPr>
      <w:bookmarkStart w:id="23" w:name="_Ref514417934"/>
      <w:r w:rsidRPr="00924038">
        <w:t>In this matter (to use that word in its constitutional sense)</w:t>
      </w:r>
      <w:r w:rsidR="00AA7C85" w:rsidRPr="00924038">
        <w:t>,</w:t>
      </w:r>
      <w:r w:rsidRPr="00924038">
        <w:t xml:space="preserve"> three open</w:t>
      </w:r>
      <w:r w:rsidR="00A40F19">
        <w:t xml:space="preserve"> class action</w:t>
      </w:r>
      <w:r w:rsidRPr="00924038">
        <w:t>s have been brought at the instigation of three different firms of solicitors, each with the support of different litigation funders</w:t>
      </w:r>
      <w:r w:rsidR="0009151A" w:rsidRPr="00924038">
        <w:t>: NSD 226 of 2018 (</w:t>
      </w:r>
      <w:r w:rsidR="0009151A" w:rsidRPr="00924038">
        <w:rPr>
          <w:b/>
        </w:rPr>
        <w:t>Perera Proceeding</w:t>
      </w:r>
      <w:r w:rsidR="0009151A" w:rsidRPr="00924038">
        <w:t>), NSD</w:t>
      </w:r>
      <w:r w:rsidR="00DE46BF" w:rsidRPr="00924038">
        <w:t> </w:t>
      </w:r>
      <w:r w:rsidR="0009151A" w:rsidRPr="00924038">
        <w:t>440 of 20</w:t>
      </w:r>
      <w:r w:rsidR="00AA7C85" w:rsidRPr="00924038">
        <w:t>1</w:t>
      </w:r>
      <w:r w:rsidR="0009151A" w:rsidRPr="00924038">
        <w:t>8 (</w:t>
      </w:r>
      <w:r w:rsidR="0009151A" w:rsidRPr="00924038">
        <w:rPr>
          <w:b/>
        </w:rPr>
        <w:t>McTaggart Proceeding</w:t>
      </w:r>
      <w:r w:rsidR="0009151A" w:rsidRPr="00924038">
        <w:t>) and NSD 580 of 2018 (</w:t>
      </w:r>
      <w:r w:rsidR="0009151A" w:rsidRPr="00924038">
        <w:rPr>
          <w:b/>
        </w:rPr>
        <w:t>Webb Proceeding</w:t>
      </w:r>
      <w:r w:rsidR="0009151A" w:rsidRPr="00924038">
        <w:t>)</w:t>
      </w:r>
      <w:r w:rsidRPr="00924038">
        <w:t>.</w:t>
      </w:r>
      <w:bookmarkEnd w:id="23"/>
    </w:p>
    <w:p w:rsidR="001A339E" w:rsidRPr="00924038" w:rsidRDefault="000136AD" w:rsidP="004F75CD">
      <w:pPr>
        <w:pStyle w:val="ParaNumbering"/>
      </w:pPr>
      <w:r w:rsidRPr="00924038">
        <w:t xml:space="preserve">It is </w:t>
      </w:r>
      <w:r w:rsidR="001A339E" w:rsidRPr="00924038">
        <w:t>beyond the scope of these reasons to conduct an economic analysis</w:t>
      </w:r>
      <w:r w:rsidRPr="00924038">
        <w:t xml:space="preserve"> of litigation funding and to deal, in any </w:t>
      </w:r>
      <w:r w:rsidR="00F354DD" w:rsidRPr="00924038">
        <w:t xml:space="preserve">exhaustive </w:t>
      </w:r>
      <w:r w:rsidRPr="00924038">
        <w:t xml:space="preserve">way, with </w:t>
      </w:r>
      <w:r w:rsidR="001A339E" w:rsidRPr="00924038">
        <w:t xml:space="preserve">how the commercial opportunities presented to </w:t>
      </w:r>
      <w:r w:rsidR="001A339E" w:rsidRPr="00924038">
        <w:lastRenderedPageBreak/>
        <w:t xml:space="preserve">funders, and </w:t>
      </w:r>
      <w:r w:rsidR="0050459F" w:rsidRPr="00924038">
        <w:t xml:space="preserve">to </w:t>
      </w:r>
      <w:r w:rsidR="001A339E" w:rsidRPr="00924038">
        <w:t>sol</w:t>
      </w:r>
      <w:r w:rsidR="005357CE" w:rsidRPr="00924038">
        <w:t>icitors with commercial</w:t>
      </w:r>
      <w:r w:rsidR="001A339E" w:rsidRPr="00924038">
        <w:t xml:space="preserve"> relationships with funders</w:t>
      </w:r>
      <w:r w:rsidR="002F0090" w:rsidRPr="00924038">
        <w:t>,</w:t>
      </w:r>
      <w:r w:rsidR="001A339E" w:rsidRPr="00924038">
        <w:t xml:space="preserve"> intersect with the </w:t>
      </w:r>
      <w:r w:rsidR="002F0090" w:rsidRPr="00924038">
        <w:t xml:space="preserve">role of the Court as an arm of government and the roles </w:t>
      </w:r>
      <w:r w:rsidR="001A339E" w:rsidRPr="00924038">
        <w:t>of solicitors</w:t>
      </w:r>
      <w:r w:rsidR="002F0090" w:rsidRPr="00924038">
        <w:t xml:space="preserve"> as fiduciaries </w:t>
      </w:r>
      <w:r w:rsidR="00AA7C85" w:rsidRPr="00924038">
        <w:t xml:space="preserve">and officers of the Court in </w:t>
      </w:r>
      <w:r w:rsidR="002F0090" w:rsidRPr="00924038">
        <w:t>the administration of justice – these are very large</w:t>
      </w:r>
      <w:r w:rsidR="00AA7C85" w:rsidRPr="00924038">
        <w:t xml:space="preserve"> and complex</w:t>
      </w:r>
      <w:r w:rsidR="002F0090" w:rsidRPr="00924038">
        <w:t xml:space="preserve"> topics</w:t>
      </w:r>
      <w:r w:rsidR="00974A62" w:rsidRPr="00924038">
        <w:t xml:space="preserve">.  What </w:t>
      </w:r>
      <w:r w:rsidR="00C338DD" w:rsidRPr="00924038">
        <w:t xml:space="preserve">requires </w:t>
      </w:r>
      <w:r w:rsidR="00F354DD" w:rsidRPr="00924038">
        <w:t xml:space="preserve">present </w:t>
      </w:r>
      <w:r w:rsidR="00BB5990">
        <w:t xml:space="preserve">attention </w:t>
      </w:r>
      <w:r w:rsidR="00C338DD" w:rsidRPr="00924038">
        <w:t xml:space="preserve">is </w:t>
      </w:r>
      <w:r w:rsidR="00BB5990">
        <w:t xml:space="preserve">how the Court deals with competing commercial enterprises which seek to use the processes of the Court to make money and </w:t>
      </w:r>
      <w:r w:rsidR="00C338DD" w:rsidRPr="00924038">
        <w:t>the role of the Court</w:t>
      </w:r>
      <w:r w:rsidR="002F0090" w:rsidRPr="00924038">
        <w:t xml:space="preserve"> </w:t>
      </w:r>
      <w:r w:rsidR="00AA7C85" w:rsidRPr="00924038">
        <w:t>in</w:t>
      </w:r>
      <w:r w:rsidR="002F0090" w:rsidRPr="00924038">
        <w:t xml:space="preserve"> ensur</w:t>
      </w:r>
      <w:r w:rsidR="008F0FF4" w:rsidRPr="00924038">
        <w:t>ing</w:t>
      </w:r>
      <w:r w:rsidR="002F0090" w:rsidRPr="00924038">
        <w:t xml:space="preserve"> the use of those processes </w:t>
      </w:r>
      <w:r w:rsidR="008F0FF4" w:rsidRPr="00924038">
        <w:t>for their proper purpose and</w:t>
      </w:r>
      <w:r w:rsidR="00AA7C85" w:rsidRPr="00924038">
        <w:t xml:space="preserve"> </w:t>
      </w:r>
      <w:r w:rsidR="00974A62" w:rsidRPr="00924038">
        <w:t xml:space="preserve">informed by </w:t>
      </w:r>
      <w:r w:rsidR="002F0090" w:rsidRPr="00924038">
        <w:t>considerations</w:t>
      </w:r>
      <w:r w:rsidR="00AA7C85" w:rsidRPr="00924038">
        <w:t xml:space="preserve"> including</w:t>
      </w:r>
      <w:r w:rsidR="00C338DD" w:rsidRPr="00924038">
        <w:t xml:space="preserve">: (a) </w:t>
      </w:r>
      <w:r w:rsidR="004F75CD" w:rsidRPr="00924038">
        <w:t xml:space="preserve">the statutory mandate (s 37M(3) of the </w:t>
      </w:r>
      <w:r w:rsidR="004F75CD" w:rsidRPr="00924038">
        <w:rPr>
          <w:i/>
        </w:rPr>
        <w:t>Federal Court of Australia Act 1976</w:t>
      </w:r>
      <w:r w:rsidR="004F75CD" w:rsidRPr="00924038">
        <w:t xml:space="preserve"> (Cth) (</w:t>
      </w:r>
      <w:r w:rsidR="004F75CD" w:rsidRPr="00924038">
        <w:rPr>
          <w:b/>
        </w:rPr>
        <w:t>A</w:t>
      </w:r>
      <w:r w:rsidR="00C338DD" w:rsidRPr="00924038">
        <w:rPr>
          <w:b/>
        </w:rPr>
        <w:t>ct</w:t>
      </w:r>
      <w:r w:rsidR="004F75CD" w:rsidRPr="00924038">
        <w:t xml:space="preserve">)) to </w:t>
      </w:r>
      <w:r w:rsidR="004F75CD" w:rsidRPr="00924038">
        <w:rPr>
          <w:lang w:val="en"/>
        </w:rPr>
        <w:t>facilitate</w:t>
      </w:r>
      <w:r w:rsidR="008F0FF4" w:rsidRPr="00924038">
        <w:rPr>
          <w:lang w:val="en"/>
        </w:rPr>
        <w:t xml:space="preserve"> the just resolution of disputed claims </w:t>
      </w:r>
      <w:bookmarkStart w:id="24" w:name="paragraph"/>
      <w:r w:rsidR="004F75CD" w:rsidRPr="00924038">
        <w:rPr>
          <w:lang w:val="en"/>
        </w:rPr>
        <w:t>according to law and</w:t>
      </w:r>
      <w:bookmarkEnd w:id="24"/>
      <w:r w:rsidR="004F75CD" w:rsidRPr="00924038">
        <w:rPr>
          <w:lang w:val="en"/>
        </w:rPr>
        <w:t xml:space="preserve"> as quickly, inexpensively and efficiently as possible</w:t>
      </w:r>
      <w:r w:rsidR="00C338DD" w:rsidRPr="00924038">
        <w:rPr>
          <w:lang w:val="en"/>
        </w:rPr>
        <w:t>;</w:t>
      </w:r>
      <w:r w:rsidR="004F75CD" w:rsidRPr="00924038">
        <w:rPr>
          <w:lang w:val="en"/>
        </w:rPr>
        <w:t xml:space="preserve"> </w:t>
      </w:r>
      <w:r w:rsidR="002F0090" w:rsidRPr="00924038">
        <w:t xml:space="preserve">and </w:t>
      </w:r>
      <w:r w:rsidR="00C338DD" w:rsidRPr="00924038">
        <w:t xml:space="preserve">(b) </w:t>
      </w:r>
      <w:r w:rsidR="002F0090" w:rsidRPr="00924038">
        <w:t>the furtherance of the Court’s supervisory an</w:t>
      </w:r>
      <w:r w:rsidR="004F75CD" w:rsidRPr="00924038">
        <w:t>d protective role in relation</w:t>
      </w:r>
      <w:r w:rsidR="002F0090" w:rsidRPr="00924038">
        <w:t xml:space="preserve"> to group members. </w:t>
      </w:r>
    </w:p>
    <w:p w:rsidR="008F0FF4" w:rsidRPr="00924038" w:rsidRDefault="004F75CD" w:rsidP="00304C67">
      <w:pPr>
        <w:pStyle w:val="ParaNumbering"/>
      </w:pPr>
      <w:r w:rsidRPr="00924038">
        <w:t xml:space="preserve">I will make orders ensuring that only one of the three current </w:t>
      </w:r>
      <w:r w:rsidR="00974A62" w:rsidRPr="00924038">
        <w:t xml:space="preserve">open class actions </w:t>
      </w:r>
      <w:r w:rsidR="00F35F7E" w:rsidRPr="00924038">
        <w:t>continues</w:t>
      </w:r>
      <w:r w:rsidRPr="00924038">
        <w:t xml:space="preserve">.  </w:t>
      </w:r>
      <w:r w:rsidR="00F35F7E" w:rsidRPr="00924038">
        <w:t xml:space="preserve">This result, and the ancillary orders facilitating that result, </w:t>
      </w:r>
      <w:r w:rsidR="00196749">
        <w:t xml:space="preserve">ensures protection of the Court’s processes and </w:t>
      </w:r>
      <w:r w:rsidR="00F35F7E" w:rsidRPr="00924038">
        <w:t>gives</w:t>
      </w:r>
      <w:r w:rsidR="001F71A2" w:rsidRPr="00924038">
        <w:t xml:space="preserve"> effect </w:t>
      </w:r>
      <w:r w:rsidR="00974A62" w:rsidRPr="00924038">
        <w:t xml:space="preserve">to the </w:t>
      </w:r>
      <w:r w:rsidR="001F71A2" w:rsidRPr="00924038">
        <w:t xml:space="preserve">considerations to which I have </w:t>
      </w:r>
      <w:r w:rsidR="00C338DD" w:rsidRPr="00924038">
        <w:t xml:space="preserve">just </w:t>
      </w:r>
      <w:r w:rsidR="001F71A2" w:rsidRPr="00924038">
        <w:t xml:space="preserve">referred.  </w:t>
      </w:r>
      <w:r w:rsidR="008F0FF4" w:rsidRPr="00924038">
        <w:t xml:space="preserve"> </w:t>
      </w:r>
    </w:p>
    <w:p w:rsidR="008F0FF4" w:rsidRPr="00924038" w:rsidRDefault="008F0FF4" w:rsidP="00304C67">
      <w:pPr>
        <w:pStyle w:val="ParaNumbering"/>
      </w:pPr>
      <w:r w:rsidRPr="00924038">
        <w:t>Regrettably, these reasons are lengthy because of a perceived need to explain the background as to how the issue of multiplicity of competing class actions has arisen, deal with complex and contested issues as to power</w:t>
      </w:r>
      <w:r w:rsidR="00196749">
        <w:t xml:space="preserve"> deal and then, following a comparative analysis, </w:t>
      </w:r>
      <w:r w:rsidR="00D241F0">
        <w:t xml:space="preserve">to </w:t>
      </w:r>
      <w:r w:rsidRPr="00924038">
        <w:t xml:space="preserve">make a determination as </w:t>
      </w:r>
      <w:r w:rsidR="0050459F" w:rsidRPr="00924038">
        <w:t xml:space="preserve">to </w:t>
      </w:r>
      <w:r w:rsidRPr="00924038">
        <w:t xml:space="preserve">an appropriate remedial response.  At </w:t>
      </w:r>
      <w:r w:rsidR="00F354DD" w:rsidRPr="00924038">
        <w:t xml:space="preserve">the </w:t>
      </w:r>
      <w:r w:rsidRPr="00924038">
        <w:t>outset,</w:t>
      </w:r>
      <w:r w:rsidR="000124E6" w:rsidRPr="00924038">
        <w:t xml:space="preserve"> however, I wish to emphasis</w:t>
      </w:r>
      <w:r w:rsidR="0050459F" w:rsidRPr="00924038">
        <w:t>e</w:t>
      </w:r>
      <w:r w:rsidR="000124E6" w:rsidRPr="00924038">
        <w:t xml:space="preserve"> three</w:t>
      </w:r>
      <w:r w:rsidRPr="00924038">
        <w:t xml:space="preserve"> things. </w:t>
      </w:r>
    </w:p>
    <w:p w:rsidR="00852AC0" w:rsidRPr="00924038" w:rsidRDefault="008F0FF4" w:rsidP="00304C67">
      <w:pPr>
        <w:pStyle w:val="ParaNumbering"/>
      </w:pPr>
      <w:r w:rsidRPr="00924038">
        <w:rPr>
          <w:i/>
        </w:rPr>
        <w:t>First</w:t>
      </w:r>
      <w:r w:rsidRPr="00924038">
        <w:t>, a</w:t>
      </w:r>
      <w:r w:rsidR="00974A62" w:rsidRPr="00924038">
        <w:t>s I will explain, o</w:t>
      </w:r>
      <w:r w:rsidR="001F71A2" w:rsidRPr="00924038">
        <w:t xml:space="preserve">ther occasions of competing class actions have led to different procedural outcomes (and may </w:t>
      </w:r>
      <w:r w:rsidR="005357CE" w:rsidRPr="00924038">
        <w:t xml:space="preserve">well </w:t>
      </w:r>
      <w:r w:rsidR="001F71A2" w:rsidRPr="00924038">
        <w:t>do so in the future)</w:t>
      </w:r>
      <w:r w:rsidR="00974A62" w:rsidRPr="00924038">
        <w:t>;</w:t>
      </w:r>
      <w:r w:rsidR="001F71A2" w:rsidRPr="00924038">
        <w:t xml:space="preserve"> this is, after all, a case management decision rooted in the</w:t>
      </w:r>
      <w:r w:rsidR="004F75CD" w:rsidRPr="00924038">
        <w:t xml:space="preserve"> particular circumstances</w:t>
      </w:r>
      <w:r w:rsidR="00974A62" w:rsidRPr="00924038">
        <w:t xml:space="preserve"> of the</w:t>
      </w:r>
      <w:r w:rsidR="001F71A2" w:rsidRPr="00924038">
        <w:t xml:space="preserve"> case</w:t>
      </w:r>
      <w:r w:rsidR="00974A62" w:rsidRPr="00924038">
        <w:t xml:space="preserve">s </w:t>
      </w:r>
      <w:r w:rsidR="00D241F0">
        <w:t>subject to</w:t>
      </w:r>
      <w:r w:rsidR="00974A62" w:rsidRPr="00924038">
        <w:t xml:space="preserve"> </w:t>
      </w:r>
      <w:r w:rsidR="00AA7C85" w:rsidRPr="00924038">
        <w:t xml:space="preserve">case </w:t>
      </w:r>
      <w:r w:rsidR="00974A62" w:rsidRPr="00924038">
        <w:t>management</w:t>
      </w:r>
      <w:r w:rsidR="001F71A2" w:rsidRPr="00924038">
        <w:t>.  Here</w:t>
      </w:r>
      <w:r w:rsidR="00AA7C85" w:rsidRPr="00924038">
        <w:t>,</w:t>
      </w:r>
      <w:r w:rsidR="001F71A2" w:rsidRPr="00924038">
        <w:t xml:space="preserve"> the issue has emerged </w:t>
      </w:r>
      <w:r w:rsidR="00E21532" w:rsidRPr="00924038">
        <w:t xml:space="preserve">very </w:t>
      </w:r>
      <w:r w:rsidR="001F71A2" w:rsidRPr="00924038">
        <w:t>early</w:t>
      </w:r>
      <w:r w:rsidR="0050459F" w:rsidRPr="00924038">
        <w:t>,</w:t>
      </w:r>
      <w:r w:rsidR="005357CE" w:rsidRPr="00924038">
        <w:t xml:space="preserve"> the cases proposed to be advanced are substantially the same,</w:t>
      </w:r>
      <w:r w:rsidR="001F71A2" w:rsidRPr="00924038">
        <w:t xml:space="preserve"> and </w:t>
      </w:r>
      <w:r w:rsidR="004F75CD" w:rsidRPr="00924038">
        <w:t>all interest</w:t>
      </w:r>
      <w:r w:rsidR="00E21532" w:rsidRPr="00924038">
        <w:t xml:space="preserve">ed parties are agreed that grasping the nettle now </w:t>
      </w:r>
      <w:r w:rsidR="004F75CD" w:rsidRPr="00924038">
        <w:t>makes sense (although each of the repres</w:t>
      </w:r>
      <w:r w:rsidR="001F71A2" w:rsidRPr="00924038">
        <w:t xml:space="preserve">entative </w:t>
      </w:r>
      <w:r w:rsidR="004F75CD" w:rsidRPr="00924038">
        <w:t>applicants, unsurp</w:t>
      </w:r>
      <w:r w:rsidR="001F71A2" w:rsidRPr="00924038">
        <w:t>ri</w:t>
      </w:r>
      <w:r w:rsidR="004F75CD" w:rsidRPr="00924038">
        <w:t xml:space="preserve">singly, </w:t>
      </w:r>
      <w:r w:rsidR="00E21532" w:rsidRPr="00924038">
        <w:t xml:space="preserve">differs as to the </w:t>
      </w:r>
      <w:r w:rsidR="00AA7C85" w:rsidRPr="00924038">
        <w:t xml:space="preserve">particular remedial </w:t>
      </w:r>
      <w:r w:rsidR="00E21532" w:rsidRPr="00924038">
        <w:t xml:space="preserve">response </w:t>
      </w:r>
      <w:r w:rsidR="00AA7C85" w:rsidRPr="00924038">
        <w:t xml:space="preserve">for which </w:t>
      </w:r>
      <w:r w:rsidR="00E21532" w:rsidRPr="00924038">
        <w:t>they advocate</w:t>
      </w:r>
      <w:r w:rsidR="001F71A2" w:rsidRPr="00924038">
        <w:t xml:space="preserve">).  </w:t>
      </w:r>
      <w:r w:rsidR="00FB6F34" w:rsidRPr="00924038">
        <w:t>This may not be the case in subsequent cases whe</w:t>
      </w:r>
      <w:r w:rsidR="000136AD" w:rsidRPr="00924038">
        <w:t>re apparently competing a</w:t>
      </w:r>
      <w:r w:rsidR="00A42367" w:rsidRPr="00924038">
        <w:t>ctions may raise different common</w:t>
      </w:r>
      <w:r w:rsidR="002E1C3E">
        <w:t xml:space="preserve"> issues for consideration</w:t>
      </w:r>
      <w:r w:rsidR="00764CCA">
        <w:t>, or span different time period</w:t>
      </w:r>
      <w:r w:rsidR="00D241F0">
        <w:t>s</w:t>
      </w:r>
      <w:r w:rsidR="00B778C7">
        <w:t>,</w:t>
      </w:r>
      <w:r w:rsidR="00764CCA">
        <w:t xml:space="preserve"> </w:t>
      </w:r>
      <w:r w:rsidR="005357CE" w:rsidRPr="00924038">
        <w:t>or advance conflicting case theories</w:t>
      </w:r>
      <w:r w:rsidR="00B778C7">
        <w:t xml:space="preserve"> (that is, </w:t>
      </w:r>
      <w:r w:rsidR="00B778C7" w:rsidRPr="00B778C7">
        <w:rPr>
          <w:i/>
        </w:rPr>
        <w:t>bona fide</w:t>
      </w:r>
      <w:r w:rsidR="00B778C7">
        <w:t xml:space="preserve"> and not as a stratagem to distinguish one case from another).  In some cases </w:t>
      </w:r>
      <w:r w:rsidR="005357CE" w:rsidRPr="00924038">
        <w:t xml:space="preserve">there may be </w:t>
      </w:r>
      <w:r w:rsidR="002E1C3E">
        <w:t>a sound reason to think the various promotors of the class action may, without undue delay, come to a consensus as to how the issue of competing claims is resolved which is acceptable to the Court.</w:t>
      </w:r>
      <w:r w:rsidR="00852AC0" w:rsidRPr="00924038">
        <w:t xml:space="preserve">  Each instance of competing class actions needs to be managed by reference to the bespoke circumstances before the Court.  Having said this, although</w:t>
      </w:r>
      <w:r w:rsidR="00E21532" w:rsidRPr="00924038">
        <w:t xml:space="preserve"> this case management </w:t>
      </w:r>
      <w:r w:rsidR="00E21532" w:rsidRPr="00924038">
        <w:lastRenderedPageBreak/>
        <w:t>decision is focussed o</w:t>
      </w:r>
      <w:r w:rsidR="00D241F0">
        <w:t>n the particular circumstances</w:t>
      </w:r>
      <w:r w:rsidR="001F71A2" w:rsidRPr="00924038">
        <w:t xml:space="preserve">, for reasons I will explain, the issues </w:t>
      </w:r>
      <w:r w:rsidR="00E21532" w:rsidRPr="00924038">
        <w:t xml:space="preserve">with which I am confronted </w:t>
      </w:r>
      <w:r w:rsidR="001F71A2" w:rsidRPr="00924038">
        <w:t xml:space="preserve">reflect themes </w:t>
      </w:r>
      <w:r w:rsidR="00E21532" w:rsidRPr="00924038">
        <w:t xml:space="preserve">which now </w:t>
      </w:r>
      <w:r w:rsidR="000136AD" w:rsidRPr="00924038">
        <w:t xml:space="preserve">increasingly </w:t>
      </w:r>
      <w:r w:rsidR="00E21532" w:rsidRPr="00924038">
        <w:t xml:space="preserve">recur in what has emerged as the usual </w:t>
      </w:r>
      <w:r w:rsidR="001F71A2" w:rsidRPr="00924038">
        <w:t>form of securities class actions</w:t>
      </w:r>
      <w:r w:rsidR="0001627D" w:rsidRPr="00924038">
        <w:t xml:space="preserve">.  </w:t>
      </w:r>
    </w:p>
    <w:p w:rsidR="00283C5C" w:rsidRPr="00924038" w:rsidRDefault="00283C5C" w:rsidP="00E447AC">
      <w:pPr>
        <w:pStyle w:val="ParaNumbering"/>
      </w:pPr>
      <w:r w:rsidRPr="00924038">
        <w:rPr>
          <w:i/>
        </w:rPr>
        <w:t>Secondly</w:t>
      </w:r>
      <w:r w:rsidRPr="00924038">
        <w:t xml:space="preserve">, the </w:t>
      </w:r>
      <w:r w:rsidR="002F46CE">
        <w:t xml:space="preserve">comparative </w:t>
      </w:r>
      <w:r w:rsidRPr="00924038">
        <w:t>assessment undertaken b</w:t>
      </w:r>
      <w:r w:rsidR="00A42367" w:rsidRPr="00924038">
        <w:t xml:space="preserve">elow is </w:t>
      </w:r>
      <w:r w:rsidRPr="00924038">
        <w:t xml:space="preserve">a multifactorial one reflecting the </w:t>
      </w:r>
      <w:r w:rsidR="00A42367" w:rsidRPr="00924038">
        <w:t xml:space="preserve">considerations </w:t>
      </w:r>
      <w:r w:rsidRPr="00924038">
        <w:t xml:space="preserve">identified by the parties and also the accumulated experience of how analogous multiplicity issues have been </w:t>
      </w:r>
      <w:r w:rsidR="00F354DD" w:rsidRPr="00924038">
        <w:t>handled by courts in Australia</w:t>
      </w:r>
      <w:r w:rsidR="00D241F0">
        <w:t>,</w:t>
      </w:r>
      <w:r w:rsidR="00F354DD" w:rsidRPr="00924038">
        <w:t xml:space="preserve"> and also how North American c</w:t>
      </w:r>
      <w:r w:rsidRPr="00924038">
        <w:t>ourts have deal</w:t>
      </w:r>
      <w:r w:rsidR="00E447AC" w:rsidRPr="00924038">
        <w:t>t</w:t>
      </w:r>
      <w:r w:rsidRPr="00924038">
        <w:t xml:space="preserve"> with competing class actions, albeit in the different context of certification.  </w:t>
      </w:r>
      <w:r w:rsidR="00E447AC" w:rsidRPr="00924038">
        <w:t xml:space="preserve">It should be stressed that </w:t>
      </w:r>
      <w:r w:rsidRPr="00924038">
        <w:t>an</w:t>
      </w:r>
      <w:r w:rsidR="00F354DD" w:rsidRPr="00924038">
        <w:t>y principled</w:t>
      </w:r>
      <w:r w:rsidRPr="00924038">
        <w:t xml:space="preserve"> assessment </w:t>
      </w:r>
      <w:r w:rsidR="00F354DD" w:rsidRPr="00924038">
        <w:t>between class actions</w:t>
      </w:r>
      <w:r w:rsidRPr="00924038">
        <w:t xml:space="preserve"> </w:t>
      </w:r>
      <w:r w:rsidR="00F354DD" w:rsidRPr="00924038">
        <w:t xml:space="preserve">is not </w:t>
      </w:r>
      <w:r w:rsidR="0070030C" w:rsidRPr="00924038">
        <w:t>s</w:t>
      </w:r>
      <w:r w:rsidR="00F354DD" w:rsidRPr="00924038">
        <w:t xml:space="preserve">o </w:t>
      </w:r>
      <w:r w:rsidRPr="00924038">
        <w:t xml:space="preserve">crude </w:t>
      </w:r>
      <w:r w:rsidR="00F354DD" w:rsidRPr="00924038">
        <w:t>so as to be</w:t>
      </w:r>
      <w:r w:rsidRPr="00924038">
        <w:t xml:space="preserve"> </w:t>
      </w:r>
      <w:r w:rsidR="00F354DD" w:rsidRPr="00924038">
        <w:t>determined by reference only to</w:t>
      </w:r>
      <w:r w:rsidRPr="00924038">
        <w:t xml:space="preserve"> the relative size of </w:t>
      </w:r>
      <w:r w:rsidR="0050459F" w:rsidRPr="00924038">
        <w:t xml:space="preserve">the </w:t>
      </w:r>
      <w:r w:rsidRPr="00924038">
        <w:t>funding commission</w:t>
      </w:r>
      <w:r w:rsidR="00E447AC" w:rsidRPr="00924038">
        <w:t xml:space="preserve"> spruiked in promotional material</w:t>
      </w:r>
      <w:r w:rsidR="00F354DD" w:rsidRPr="00924038">
        <w:t xml:space="preserve">.  It is </w:t>
      </w:r>
      <w:r w:rsidRPr="00924038">
        <w:t>inconsistent with the principled exercise of judicial power</w:t>
      </w:r>
      <w:r w:rsidR="00F354DD" w:rsidRPr="00924038">
        <w:t>,</w:t>
      </w:r>
      <w:r w:rsidRPr="00924038">
        <w:t xml:space="preserve"> a</w:t>
      </w:r>
      <w:r w:rsidR="00F354DD" w:rsidRPr="00924038">
        <w:t xml:space="preserve">nd also </w:t>
      </w:r>
      <w:r w:rsidRPr="00924038">
        <w:t>unedifying</w:t>
      </w:r>
      <w:r w:rsidR="0070030C" w:rsidRPr="00924038">
        <w:t>,</w:t>
      </w:r>
      <w:r w:rsidRPr="00924038">
        <w:t xml:space="preserve"> </w:t>
      </w:r>
      <w:r w:rsidR="002F46CE">
        <w:t>for the Court to be perceived</w:t>
      </w:r>
      <w:r w:rsidR="00E447AC" w:rsidRPr="00924038">
        <w:t xml:space="preserve"> as a</w:t>
      </w:r>
      <w:r w:rsidR="002F46CE">
        <w:t>kin to a</w:t>
      </w:r>
      <w:r w:rsidR="00E447AC" w:rsidRPr="00924038">
        <w:t xml:space="preserve"> metaphorical auctioneer going around the room adopting the</w:t>
      </w:r>
      <w:r w:rsidR="0070030C" w:rsidRPr="00924038">
        <w:t xml:space="preserve"> curial</w:t>
      </w:r>
      <w:r w:rsidR="00E447AC" w:rsidRPr="00924038">
        <w:t xml:space="preserve"> equivalent of entreating: “Are we all done</w:t>
      </w:r>
      <w:proofErr w:type="gramStart"/>
      <w:r w:rsidR="00E447AC" w:rsidRPr="00924038">
        <w:t xml:space="preserve">? </w:t>
      </w:r>
      <w:proofErr w:type="gramEnd"/>
      <w:r w:rsidR="00E447AC" w:rsidRPr="00924038">
        <w:t>It’s now going to go under the hammer!”  T</w:t>
      </w:r>
      <w:r w:rsidR="00A42367" w:rsidRPr="00924038">
        <w:t xml:space="preserve">he Court’s role is to quell controversies in accordance with Chapter III of the </w:t>
      </w:r>
      <w:r w:rsidR="00A42367" w:rsidRPr="00924038">
        <w:rPr>
          <w:i/>
        </w:rPr>
        <w:t xml:space="preserve">Constitution </w:t>
      </w:r>
      <w:r w:rsidR="00A42367" w:rsidRPr="00924038">
        <w:t>and, in doing so, ensure its processes are used for the purposes for which they were designed.  T</w:t>
      </w:r>
      <w:r w:rsidR="00E447AC" w:rsidRPr="00924038">
        <w:t>o the extent a determination is required as to which open class securities class action goes forward, the weight</w:t>
      </w:r>
      <w:r w:rsidR="000124E6" w:rsidRPr="00924038">
        <w:t xml:space="preserve"> to be given to a particular</w:t>
      </w:r>
      <w:r w:rsidR="00E447AC" w:rsidRPr="00924038">
        <w:t xml:space="preserve"> relevant consideration, including ‘headline’ commission rates of funders, will necessarily </w:t>
      </w:r>
      <w:r w:rsidR="000124E6" w:rsidRPr="00924038">
        <w:t xml:space="preserve">vary </w:t>
      </w:r>
      <w:r w:rsidR="00E447AC" w:rsidRPr="00924038">
        <w:t>depend</w:t>
      </w:r>
      <w:r w:rsidR="000124E6" w:rsidRPr="00924038">
        <w:t>ing</w:t>
      </w:r>
      <w:r w:rsidR="00E447AC" w:rsidRPr="00924038">
        <w:t xml:space="preserve"> on the p</w:t>
      </w:r>
      <w:r w:rsidR="00D241F0">
        <w:t>articular circumstances</w:t>
      </w:r>
      <w:r w:rsidR="00A42367" w:rsidRPr="00924038">
        <w:t>.</w:t>
      </w:r>
    </w:p>
    <w:p w:rsidR="000124E6" w:rsidRPr="00924038" w:rsidRDefault="000124E6" w:rsidP="00F217C0">
      <w:pPr>
        <w:pStyle w:val="ParaNumbering"/>
      </w:pPr>
      <w:r w:rsidRPr="00924038">
        <w:rPr>
          <w:i/>
        </w:rPr>
        <w:t xml:space="preserve">Thirdly, </w:t>
      </w:r>
      <w:r w:rsidRPr="00924038">
        <w:t>much of what follows has, as its point of departure</w:t>
      </w:r>
      <w:r w:rsidR="002F46CE">
        <w:t>, the expectation that this dispute</w:t>
      </w:r>
      <w:r w:rsidRPr="00924038">
        <w:t xml:space="preserve"> will resolve in the same way as all other securities class action</w:t>
      </w:r>
      <w:r w:rsidR="0050459F" w:rsidRPr="00924038">
        <w:t>s</w:t>
      </w:r>
      <w:r w:rsidRPr="00924038">
        <w:t xml:space="preserve"> have done to date: by way of a </w:t>
      </w:r>
      <w:r w:rsidRPr="00924038">
        <w:rPr>
          <w:szCs w:val="24"/>
        </w:rPr>
        <w:t xml:space="preserve">paction sanctioned by the Court.  I have not yet seen a defence, let alone evidence.  </w:t>
      </w:r>
      <w:r w:rsidRPr="00924038">
        <w:rPr>
          <w:rStyle w:val="ilfuvd"/>
          <w:bCs/>
          <w:szCs w:val="24"/>
        </w:rPr>
        <w:t>Ratiocination</w:t>
      </w:r>
      <w:r w:rsidR="00F217C0" w:rsidRPr="00924038">
        <w:rPr>
          <w:rStyle w:val="ilfuvd"/>
          <w:bCs/>
          <w:szCs w:val="24"/>
        </w:rPr>
        <w:t>s</w:t>
      </w:r>
      <w:r w:rsidRPr="00924038">
        <w:rPr>
          <w:rStyle w:val="ilfuvd"/>
          <w:bCs/>
          <w:szCs w:val="24"/>
        </w:rPr>
        <w:t xml:space="preserve"> premised on th</w:t>
      </w:r>
      <w:r w:rsidR="002E1C3E">
        <w:rPr>
          <w:rStyle w:val="ilfuvd"/>
          <w:bCs/>
          <w:szCs w:val="24"/>
        </w:rPr>
        <w:t>is settlement</w:t>
      </w:r>
      <w:r w:rsidRPr="00924038">
        <w:rPr>
          <w:rStyle w:val="ilfuvd"/>
          <w:bCs/>
          <w:szCs w:val="24"/>
        </w:rPr>
        <w:t xml:space="preserve"> assumption are </w:t>
      </w:r>
      <w:r w:rsidR="00F217C0" w:rsidRPr="00924038">
        <w:rPr>
          <w:rStyle w:val="ilfuvd"/>
          <w:bCs/>
          <w:szCs w:val="24"/>
        </w:rPr>
        <w:t xml:space="preserve">based on </w:t>
      </w:r>
      <w:r w:rsidRPr="00924038">
        <w:rPr>
          <w:rStyle w:val="ilfuvd"/>
          <w:bCs/>
          <w:szCs w:val="24"/>
        </w:rPr>
        <w:t xml:space="preserve">nothing more than </w:t>
      </w:r>
      <w:r w:rsidR="00F217C0" w:rsidRPr="00924038">
        <w:rPr>
          <w:rStyle w:val="ilfuvd"/>
          <w:bCs/>
          <w:szCs w:val="24"/>
        </w:rPr>
        <w:t xml:space="preserve">empirical evidence </w:t>
      </w:r>
      <w:r w:rsidRPr="00924038">
        <w:rPr>
          <w:rStyle w:val="ilfuvd"/>
          <w:bCs/>
          <w:szCs w:val="24"/>
        </w:rPr>
        <w:t xml:space="preserve">as to what is </w:t>
      </w:r>
      <w:r w:rsidR="002E1C3E" w:rsidRPr="00924038">
        <w:rPr>
          <w:rStyle w:val="ilfuvd"/>
          <w:bCs/>
          <w:szCs w:val="24"/>
        </w:rPr>
        <w:t>likely</w:t>
      </w:r>
      <w:r w:rsidR="00D241F0">
        <w:rPr>
          <w:rStyle w:val="ilfuvd"/>
          <w:bCs/>
          <w:szCs w:val="24"/>
        </w:rPr>
        <w:t>,</w:t>
      </w:r>
      <w:r w:rsidR="002E1C3E">
        <w:rPr>
          <w:rStyle w:val="ilfuvd"/>
          <w:bCs/>
          <w:szCs w:val="24"/>
        </w:rPr>
        <w:t xml:space="preserve"> and </w:t>
      </w:r>
      <w:r w:rsidR="00EB0329">
        <w:rPr>
          <w:rStyle w:val="ilfuvd"/>
          <w:bCs/>
          <w:szCs w:val="24"/>
        </w:rPr>
        <w:t>must not be seen as</w:t>
      </w:r>
      <w:r w:rsidR="002E1C3E">
        <w:rPr>
          <w:rStyle w:val="ilfuvd"/>
          <w:bCs/>
          <w:szCs w:val="24"/>
        </w:rPr>
        <w:t xml:space="preserve"> an</w:t>
      </w:r>
      <w:r w:rsidRPr="00924038">
        <w:rPr>
          <w:rStyle w:val="ilfuvd"/>
          <w:bCs/>
          <w:szCs w:val="24"/>
        </w:rPr>
        <w:t xml:space="preserve"> indication that this </w:t>
      </w:r>
      <w:r w:rsidR="0050459F" w:rsidRPr="00924038">
        <w:rPr>
          <w:rStyle w:val="ilfuvd"/>
          <w:bCs/>
          <w:szCs w:val="24"/>
        </w:rPr>
        <w:t>matter</w:t>
      </w:r>
      <w:r w:rsidRPr="00924038">
        <w:rPr>
          <w:rStyle w:val="ilfuvd"/>
          <w:bCs/>
          <w:szCs w:val="24"/>
        </w:rPr>
        <w:t xml:space="preserve"> is one </w:t>
      </w:r>
      <w:r w:rsidR="00F217C0" w:rsidRPr="00924038">
        <w:t>GetSwift</w:t>
      </w:r>
      <w:r w:rsidR="00F217C0" w:rsidRPr="00924038">
        <w:rPr>
          <w:rStyle w:val="ilfuvd"/>
          <w:bCs/>
          <w:szCs w:val="24"/>
        </w:rPr>
        <w:t xml:space="preserve"> </w:t>
      </w:r>
      <w:r w:rsidR="00EB0329">
        <w:rPr>
          <w:rStyle w:val="ilfuvd"/>
          <w:bCs/>
          <w:szCs w:val="24"/>
        </w:rPr>
        <w:t xml:space="preserve">should or </w:t>
      </w:r>
      <w:r w:rsidRPr="00924038">
        <w:rPr>
          <w:rStyle w:val="ilfuvd"/>
          <w:bCs/>
          <w:szCs w:val="24"/>
        </w:rPr>
        <w:t>will necessarily settle</w:t>
      </w:r>
      <w:r w:rsidR="002E1C3E">
        <w:rPr>
          <w:rStyle w:val="ilfuvd"/>
          <w:bCs/>
          <w:szCs w:val="24"/>
        </w:rPr>
        <w:t>;</w:t>
      </w:r>
      <w:r w:rsidRPr="00924038">
        <w:rPr>
          <w:rStyle w:val="ilfuvd"/>
          <w:bCs/>
          <w:szCs w:val="24"/>
        </w:rPr>
        <w:t xml:space="preserve"> </w:t>
      </w:r>
      <w:r w:rsidR="002E1C3E">
        <w:rPr>
          <w:rStyle w:val="ilfuvd"/>
          <w:bCs/>
          <w:szCs w:val="24"/>
        </w:rPr>
        <w:t xml:space="preserve">nor </w:t>
      </w:r>
      <w:r w:rsidR="00EB0329">
        <w:rPr>
          <w:rStyle w:val="ilfuvd"/>
          <w:bCs/>
          <w:szCs w:val="24"/>
        </w:rPr>
        <w:t xml:space="preserve">that </w:t>
      </w:r>
      <w:r w:rsidRPr="00924038">
        <w:rPr>
          <w:rStyle w:val="ilfuvd"/>
          <w:bCs/>
          <w:szCs w:val="24"/>
        </w:rPr>
        <w:t xml:space="preserve">any settlement will involve the payment of substantial compensation to group </w:t>
      </w:r>
      <w:r w:rsidR="00F217C0" w:rsidRPr="00924038">
        <w:rPr>
          <w:rStyle w:val="ilfuvd"/>
          <w:bCs/>
          <w:szCs w:val="24"/>
        </w:rPr>
        <w:t>members</w:t>
      </w:r>
      <w:r w:rsidRPr="00924038">
        <w:rPr>
          <w:rStyle w:val="ilfuvd"/>
          <w:bCs/>
          <w:szCs w:val="24"/>
        </w:rPr>
        <w:t>.</w:t>
      </w:r>
      <w:r w:rsidR="00756C28">
        <w:rPr>
          <w:rStyle w:val="ilfuvd"/>
          <w:bCs/>
          <w:szCs w:val="24"/>
        </w:rPr>
        <w:t xml:space="preserve">  Moreover, as will be seen, this judgment involves reference to modelling done by reference to various damages scenarios.  It should be obvious, but is worth emphasising, that these scenarios have been chosen to reflect var</w:t>
      </w:r>
      <w:r w:rsidR="00B62B84">
        <w:rPr>
          <w:rStyle w:val="ilfuvd"/>
          <w:bCs/>
          <w:szCs w:val="24"/>
        </w:rPr>
        <w:t>ious hypotheses based on r</w:t>
      </w:r>
      <w:r w:rsidR="00756C28">
        <w:rPr>
          <w:rStyle w:val="ilfuvd"/>
          <w:bCs/>
          <w:szCs w:val="24"/>
        </w:rPr>
        <w:t xml:space="preserve">anges </w:t>
      </w:r>
      <w:r w:rsidR="00B62B84">
        <w:rPr>
          <w:rStyle w:val="ilfuvd"/>
          <w:bCs/>
          <w:szCs w:val="24"/>
        </w:rPr>
        <w:t xml:space="preserve">of damages </w:t>
      </w:r>
      <w:r w:rsidR="00756C28">
        <w:rPr>
          <w:rStyle w:val="ilfuvd"/>
          <w:bCs/>
          <w:szCs w:val="24"/>
        </w:rPr>
        <w:t xml:space="preserve">suggested by the applicants’ solicitors (including estimates which have been disavowed as </w:t>
      </w:r>
      <w:r w:rsidR="00426AF2">
        <w:rPr>
          <w:rStyle w:val="ilfuvd"/>
          <w:bCs/>
          <w:szCs w:val="24"/>
        </w:rPr>
        <w:t xml:space="preserve">not </w:t>
      </w:r>
      <w:r w:rsidR="00756C28">
        <w:rPr>
          <w:rStyle w:val="ilfuvd"/>
          <w:bCs/>
          <w:szCs w:val="24"/>
        </w:rPr>
        <w:t>reflecting the reality of a particularised claim).  Modelling needs inputs and, in the absence of any evidence, nothing should be made of the figures chosen which, at least in part, simply reflect past experience of cases of this sort.</w:t>
      </w:r>
    </w:p>
    <w:p w:rsidR="00B6671B" w:rsidRPr="00924038" w:rsidRDefault="00A42367" w:rsidP="00304C67">
      <w:pPr>
        <w:pStyle w:val="ParaNumbering"/>
      </w:pPr>
      <w:r w:rsidRPr="00924038">
        <w:lastRenderedPageBreak/>
        <w:t>I will return to the</w:t>
      </w:r>
      <w:r w:rsidR="00F217C0" w:rsidRPr="00924038">
        <w:t xml:space="preserve"> first two of these matters </w:t>
      </w:r>
      <w:r w:rsidRPr="00924038">
        <w:t>below, but p</w:t>
      </w:r>
      <w:r w:rsidR="00A110E8" w:rsidRPr="00924038">
        <w:t>art of working out how to manage and resolve a p</w:t>
      </w:r>
      <w:r w:rsidR="00C338DD" w:rsidRPr="00924038">
        <w:t>erceived problem</w:t>
      </w:r>
      <w:r w:rsidR="00756C28">
        <w:t>,</w:t>
      </w:r>
      <w:r w:rsidR="00C338DD" w:rsidRPr="00924038">
        <w:t xml:space="preserve"> is </w:t>
      </w:r>
      <w:r w:rsidR="00852AC0" w:rsidRPr="00924038">
        <w:t>appreciating</w:t>
      </w:r>
      <w:r w:rsidR="00C338DD" w:rsidRPr="00924038">
        <w:t xml:space="preserve"> </w:t>
      </w:r>
      <w:r w:rsidR="00A110E8" w:rsidRPr="00924038">
        <w:t xml:space="preserve">why it exists.  </w:t>
      </w:r>
      <w:r w:rsidR="0001627D" w:rsidRPr="00924038">
        <w:t>With this in</w:t>
      </w:r>
      <w:r w:rsidR="001F71A2" w:rsidRPr="00924038">
        <w:t xml:space="preserve"> mind</w:t>
      </w:r>
      <w:r w:rsidR="0001627D" w:rsidRPr="00924038">
        <w:t>,</w:t>
      </w:r>
      <w:r w:rsidR="001F71A2" w:rsidRPr="00924038">
        <w:t xml:space="preserve"> it is </w:t>
      </w:r>
      <w:r w:rsidR="00A110E8" w:rsidRPr="00924038">
        <w:t xml:space="preserve">useful </w:t>
      </w:r>
      <w:r w:rsidR="001F71A2" w:rsidRPr="00924038">
        <w:t xml:space="preserve">to start with </w:t>
      </w:r>
      <w:r w:rsidR="00A110E8" w:rsidRPr="00924038">
        <w:t xml:space="preserve">asking the question: </w:t>
      </w:r>
      <w:r w:rsidR="001F71A2" w:rsidRPr="00924038">
        <w:t xml:space="preserve">how </w:t>
      </w:r>
      <w:r w:rsidR="00FB6F34" w:rsidRPr="00924038">
        <w:t xml:space="preserve">did </w:t>
      </w:r>
      <w:r w:rsidR="00AA7C85" w:rsidRPr="00924038">
        <w:t xml:space="preserve">we </w:t>
      </w:r>
      <w:r w:rsidR="00FB6F34" w:rsidRPr="00924038">
        <w:t>get</w:t>
      </w:r>
      <w:r w:rsidR="00E21532" w:rsidRPr="00924038">
        <w:t xml:space="preserve"> here? </w:t>
      </w:r>
      <w:r w:rsidR="009A7AB4" w:rsidRPr="00924038">
        <w:t xml:space="preserve"> </w:t>
      </w:r>
      <w:r w:rsidR="00E21532" w:rsidRPr="00924038">
        <w:t xml:space="preserve">Or, </w:t>
      </w:r>
      <w:r w:rsidR="00FB6F34" w:rsidRPr="00924038">
        <w:t xml:space="preserve">put </w:t>
      </w:r>
      <w:r w:rsidR="00E21532" w:rsidRPr="00924038">
        <w:t xml:space="preserve">more particularly, how </w:t>
      </w:r>
      <w:r w:rsidR="00FB6F34" w:rsidRPr="00924038">
        <w:t xml:space="preserve">did </w:t>
      </w:r>
      <w:r w:rsidR="00D33A22" w:rsidRPr="00924038">
        <w:t>the phenomenon</w:t>
      </w:r>
      <w:r w:rsidR="001F71A2" w:rsidRPr="00924038">
        <w:t xml:space="preserve"> o</w:t>
      </w:r>
      <w:r w:rsidR="00D33A22" w:rsidRPr="00924038">
        <w:t xml:space="preserve">f competing </w:t>
      </w:r>
      <w:r w:rsidR="006964CF" w:rsidRPr="00924038">
        <w:t xml:space="preserve">securities </w:t>
      </w:r>
      <w:r w:rsidR="00D33A22" w:rsidRPr="00924038">
        <w:t>class action</w:t>
      </w:r>
      <w:r w:rsidR="00AA7C85" w:rsidRPr="00924038">
        <w:t>s</w:t>
      </w:r>
      <w:r w:rsidR="00D33A22" w:rsidRPr="00924038">
        <w:t xml:space="preserve"> ari</w:t>
      </w:r>
      <w:r w:rsidR="001F71A2" w:rsidRPr="00924038">
        <w:t>se?</w:t>
      </w:r>
    </w:p>
    <w:p w:rsidR="00AC2E6B" w:rsidRPr="00924038" w:rsidRDefault="00AC2E6B" w:rsidP="00C41363">
      <w:pPr>
        <w:pStyle w:val="Heading1"/>
      </w:pPr>
      <w:bookmarkStart w:id="25" w:name="_Ref514405598"/>
      <w:r w:rsidRPr="00924038">
        <w:t>B</w:t>
      </w:r>
      <w:r w:rsidRPr="00924038">
        <w:tab/>
      </w:r>
      <w:r w:rsidR="00584E9B" w:rsidRPr="00924038">
        <w:t>Contextual Matters</w:t>
      </w:r>
      <w:bookmarkEnd w:id="25"/>
      <w:r w:rsidR="00584E9B" w:rsidRPr="00924038">
        <w:t xml:space="preserve"> </w:t>
      </w:r>
    </w:p>
    <w:p w:rsidR="00304C67" w:rsidRPr="00924038" w:rsidRDefault="0001627D" w:rsidP="00304C67">
      <w:pPr>
        <w:pStyle w:val="Heading2"/>
      </w:pPr>
      <w:bookmarkStart w:id="26" w:name="_Ref514405599"/>
      <w:r w:rsidRPr="00924038">
        <w:t>B</w:t>
      </w:r>
      <w:r w:rsidR="00AA7C85" w:rsidRPr="00924038">
        <w:t>.</w:t>
      </w:r>
      <w:r w:rsidR="00AC2E6B" w:rsidRPr="00924038">
        <w:t>1</w:t>
      </w:r>
      <w:r w:rsidR="00ED439B" w:rsidRPr="00924038">
        <w:tab/>
      </w:r>
      <w:proofErr w:type="gramStart"/>
      <w:r w:rsidR="00ED439B" w:rsidRPr="00924038">
        <w:t>The</w:t>
      </w:r>
      <w:proofErr w:type="gramEnd"/>
      <w:r w:rsidR="00ED439B" w:rsidRPr="00924038">
        <w:t xml:space="preserve"> Competing </w:t>
      </w:r>
      <w:r w:rsidR="000136AD" w:rsidRPr="00924038">
        <w:t xml:space="preserve">Securities </w:t>
      </w:r>
      <w:r w:rsidR="00ED439B" w:rsidRPr="00924038">
        <w:t>Class Action</w:t>
      </w:r>
      <w:r w:rsidR="00304C67" w:rsidRPr="00924038">
        <w:t xml:space="preserve"> Emerges</w:t>
      </w:r>
      <w:bookmarkEnd w:id="26"/>
    </w:p>
    <w:p w:rsidR="006330D5" w:rsidRPr="00924038" w:rsidRDefault="006330D5" w:rsidP="006330D5">
      <w:pPr>
        <w:pStyle w:val="ParaNumbering"/>
      </w:pPr>
      <w:r w:rsidRPr="00924038">
        <w:t xml:space="preserve">The first </w:t>
      </w:r>
      <w:r w:rsidR="000C2385" w:rsidRPr="00924038">
        <w:t xml:space="preserve">Australian </w:t>
      </w:r>
      <w:r w:rsidRPr="00924038">
        <w:t xml:space="preserve">securities </w:t>
      </w:r>
      <w:r w:rsidR="0001627D" w:rsidRPr="00924038">
        <w:t xml:space="preserve">class action which bears all </w:t>
      </w:r>
      <w:r w:rsidRPr="00924038">
        <w:t xml:space="preserve">the </w:t>
      </w:r>
      <w:r w:rsidR="0001627D" w:rsidRPr="00924038">
        <w:t>essential characteristics of the</w:t>
      </w:r>
      <w:r w:rsidR="00A2066C" w:rsidRPr="00924038">
        <w:t xml:space="preserve"> genus was the </w:t>
      </w:r>
      <w:r w:rsidR="00A2066C" w:rsidRPr="00924038">
        <w:rPr>
          <w:i/>
        </w:rPr>
        <w:t>Aristocrat</w:t>
      </w:r>
      <w:r w:rsidR="00A2066C" w:rsidRPr="00924038">
        <w:t xml:space="preserve"> class action</w:t>
      </w:r>
      <w:r w:rsidR="00F35F7E" w:rsidRPr="00924038">
        <w:t xml:space="preserve"> (</w:t>
      </w:r>
      <w:r w:rsidR="00AA7C85" w:rsidRPr="00924038">
        <w:rPr>
          <w:lang w:val="en"/>
        </w:rPr>
        <w:t xml:space="preserve">NSD 362 of 2004 </w:t>
      </w:r>
      <w:r w:rsidR="00F35F7E" w:rsidRPr="00924038">
        <w:rPr>
          <w:i/>
          <w:lang w:val="en"/>
        </w:rPr>
        <w:t>Dorajay Pty Ltd v Aristocrat Leisure Ltd</w:t>
      </w:r>
      <w:r w:rsidR="00F35F7E" w:rsidRPr="00924038">
        <w:rPr>
          <w:lang w:val="en"/>
        </w:rPr>
        <w:t>)</w:t>
      </w:r>
      <w:r w:rsidR="00A2066C" w:rsidRPr="00924038">
        <w:t xml:space="preserve">.  As an illustration of how </w:t>
      </w:r>
      <w:r w:rsidR="0001627D" w:rsidRPr="00924038">
        <w:t>things have changed</w:t>
      </w:r>
      <w:r w:rsidR="003D67D8" w:rsidRPr="00924038">
        <w:t>,</w:t>
      </w:r>
      <w:r w:rsidR="0001627D" w:rsidRPr="00924038">
        <w:t xml:space="preserve"> and how </w:t>
      </w:r>
      <w:r w:rsidR="00A2066C" w:rsidRPr="00924038">
        <w:t xml:space="preserve">the </w:t>
      </w:r>
      <w:r w:rsidR="0001282A" w:rsidRPr="00924038">
        <w:t xml:space="preserve">possibility of civil liability </w:t>
      </w:r>
      <w:r w:rsidR="003D67D8" w:rsidRPr="00924038">
        <w:t xml:space="preserve">to investors </w:t>
      </w:r>
      <w:r w:rsidR="0001282A" w:rsidRPr="00924038">
        <w:t>for a breach of continuous disclosure obligations has seeped into the legal consciousness, it is well to remember the circumstances th</w:t>
      </w:r>
      <w:r w:rsidR="000136AD" w:rsidRPr="00924038">
        <w:t>at gave rise to that litigation.  A</w:t>
      </w:r>
      <w:r w:rsidR="008F2D6B" w:rsidRPr="00924038">
        <w:t xml:space="preserve"> </w:t>
      </w:r>
      <w:r w:rsidR="0001282A" w:rsidRPr="00924038">
        <w:t>senior executive of Aristocrat had brought an action for wrongful dismissal.  In the defence</w:t>
      </w:r>
      <w:r w:rsidR="0001627D" w:rsidRPr="00924038">
        <w:t xml:space="preserve">, </w:t>
      </w:r>
      <w:r w:rsidR="00234901" w:rsidRPr="00924038">
        <w:t>Aristocrat, a</w:t>
      </w:r>
      <w:r w:rsidR="0001627D" w:rsidRPr="00924038">
        <w:t xml:space="preserve"> listed company</w:t>
      </w:r>
      <w:r w:rsidR="00234901" w:rsidRPr="00924038">
        <w:t>,</w:t>
      </w:r>
      <w:r w:rsidR="0001627D" w:rsidRPr="00924038">
        <w:t xml:space="preserve"> </w:t>
      </w:r>
      <w:r w:rsidR="00D73988" w:rsidRPr="00924038">
        <w:t>contended</w:t>
      </w:r>
      <w:r w:rsidR="0001282A" w:rsidRPr="00924038">
        <w:t xml:space="preserve"> that it was entitled to dismiss the executive for a number of reasons</w:t>
      </w:r>
      <w:r w:rsidR="003D67D8" w:rsidRPr="00924038">
        <w:t>,</w:t>
      </w:r>
      <w:r w:rsidR="0001282A" w:rsidRPr="00924038">
        <w:t xml:space="preserve"> including the fact that he had </w:t>
      </w:r>
      <w:r w:rsidR="003D67D8" w:rsidRPr="00924038">
        <w:t>been responsible for failing</w:t>
      </w:r>
      <w:r w:rsidR="0001282A" w:rsidRPr="00924038">
        <w:t xml:space="preserve"> </w:t>
      </w:r>
      <w:r w:rsidR="0001627D" w:rsidRPr="00924038">
        <w:t>to disclose</w:t>
      </w:r>
      <w:r w:rsidR="0001282A" w:rsidRPr="00924038">
        <w:t xml:space="preserve"> material information to the market of investors in Aristocrat shares.  </w:t>
      </w:r>
      <w:r w:rsidR="0001627D" w:rsidRPr="00924038">
        <w:t>T</w:t>
      </w:r>
      <w:r w:rsidR="00C315DC" w:rsidRPr="00924038">
        <w:t xml:space="preserve">he notion of a </w:t>
      </w:r>
      <w:r w:rsidR="000136AD" w:rsidRPr="00924038">
        <w:t xml:space="preserve">listed entity </w:t>
      </w:r>
      <w:r w:rsidR="00C315DC" w:rsidRPr="00924038">
        <w:t xml:space="preserve">defending </w:t>
      </w:r>
      <w:r w:rsidR="0001627D" w:rsidRPr="00924038">
        <w:t xml:space="preserve">a </w:t>
      </w:r>
      <w:r w:rsidR="00C315DC" w:rsidRPr="00924038">
        <w:t xml:space="preserve">legal </w:t>
      </w:r>
      <w:r w:rsidR="0001627D" w:rsidRPr="00924038">
        <w:t xml:space="preserve">proceeding by impliedly admitting </w:t>
      </w:r>
      <w:r w:rsidR="003D67D8" w:rsidRPr="00924038">
        <w:t>that i</w:t>
      </w:r>
      <w:r w:rsidR="006964CF" w:rsidRPr="00924038">
        <w:t>ts investors may have</w:t>
      </w:r>
      <w:r w:rsidR="00C315DC" w:rsidRPr="00924038">
        <w:t xml:space="preserve"> been </w:t>
      </w:r>
      <w:r w:rsidR="001030BB" w:rsidRPr="00924038">
        <w:t>misled</w:t>
      </w:r>
      <w:r w:rsidR="0001627D" w:rsidRPr="00924038">
        <w:t xml:space="preserve"> is something which seems</w:t>
      </w:r>
      <w:r w:rsidR="00C315DC" w:rsidRPr="00924038">
        <w:t xml:space="preserve"> from another </w:t>
      </w:r>
      <w:r w:rsidR="00226E74" w:rsidRPr="00924038">
        <w:t>age</w:t>
      </w:r>
      <w:r w:rsidR="0001627D" w:rsidRPr="00924038">
        <w:t>,</w:t>
      </w:r>
      <w:r w:rsidR="00226E74" w:rsidRPr="00924038">
        <w:t xml:space="preserve"> and yet it is less than a generation ago.</w:t>
      </w:r>
    </w:p>
    <w:p w:rsidR="000C2385" w:rsidRPr="00924038" w:rsidRDefault="007B0017" w:rsidP="00060A61">
      <w:pPr>
        <w:pStyle w:val="ParaNumbering"/>
      </w:pPr>
      <w:r w:rsidRPr="00924038">
        <w:t>Th</w:t>
      </w:r>
      <w:r w:rsidR="003D67D8" w:rsidRPr="00924038">
        <w:t>e post</w:t>
      </w:r>
      <w:r w:rsidR="00234901" w:rsidRPr="00924038">
        <w:t>-</w:t>
      </w:r>
      <w:r w:rsidR="003D67D8" w:rsidRPr="00924038">
        <w:rPr>
          <w:i/>
        </w:rPr>
        <w:t>Aristocrat</w:t>
      </w:r>
      <w:r w:rsidR="003D67D8" w:rsidRPr="00924038">
        <w:t xml:space="preserve"> </w:t>
      </w:r>
      <w:r w:rsidRPr="00924038">
        <w:t xml:space="preserve">securities class action </w:t>
      </w:r>
      <w:r w:rsidR="003D67D8" w:rsidRPr="00924038">
        <w:t xml:space="preserve">not only </w:t>
      </w:r>
      <w:r w:rsidRPr="00924038">
        <w:t>has a common form</w:t>
      </w:r>
      <w:r w:rsidR="003D67D8" w:rsidRPr="00924038">
        <w:t xml:space="preserve">, but </w:t>
      </w:r>
      <w:r w:rsidR="00FB6F34" w:rsidRPr="00924038">
        <w:t xml:space="preserve">often has </w:t>
      </w:r>
      <w:r w:rsidR="003D67D8" w:rsidRPr="00924038">
        <w:t>a familiar genesis</w:t>
      </w:r>
      <w:r w:rsidR="00060A61" w:rsidRPr="00924038">
        <w:t xml:space="preserve"> and development</w:t>
      </w:r>
      <w:r w:rsidRPr="00924038">
        <w:t xml:space="preserve">.  A </w:t>
      </w:r>
      <w:r w:rsidR="003D67D8" w:rsidRPr="00924038">
        <w:rPr>
          <w:szCs w:val="24"/>
        </w:rPr>
        <w:t xml:space="preserve">significant </w:t>
      </w:r>
      <w:r w:rsidRPr="00924038">
        <w:rPr>
          <w:szCs w:val="24"/>
        </w:rPr>
        <w:t>drop in the value of securities</w:t>
      </w:r>
      <w:r w:rsidR="003D67D8" w:rsidRPr="00924038">
        <w:rPr>
          <w:szCs w:val="24"/>
        </w:rPr>
        <w:t xml:space="preserve"> </w:t>
      </w:r>
      <w:r w:rsidRPr="00924038">
        <w:rPr>
          <w:szCs w:val="24"/>
        </w:rPr>
        <w:t xml:space="preserve">is </w:t>
      </w:r>
      <w:r w:rsidR="000343E2" w:rsidRPr="00924038">
        <w:rPr>
          <w:szCs w:val="24"/>
        </w:rPr>
        <w:t xml:space="preserve">scrutinised </w:t>
      </w:r>
      <w:r w:rsidR="0001627D" w:rsidRPr="00924038">
        <w:rPr>
          <w:szCs w:val="24"/>
        </w:rPr>
        <w:t xml:space="preserve">to determine whether </w:t>
      </w:r>
      <w:r w:rsidR="00D21291" w:rsidRPr="00924038">
        <w:rPr>
          <w:szCs w:val="24"/>
        </w:rPr>
        <w:t xml:space="preserve">it is likely that the relevant drop had been occasioned by the late revelation of material information.  </w:t>
      </w:r>
      <w:r w:rsidR="00FB6F34" w:rsidRPr="00924038">
        <w:rPr>
          <w:szCs w:val="24"/>
        </w:rPr>
        <w:t xml:space="preserve">Premised on </w:t>
      </w:r>
      <w:r w:rsidR="00060A61" w:rsidRPr="00924038">
        <w:rPr>
          <w:szCs w:val="24"/>
        </w:rPr>
        <w:t xml:space="preserve">assumptions that: (a) </w:t>
      </w:r>
      <w:r w:rsidR="000136AD" w:rsidRPr="00924038">
        <w:rPr>
          <w:szCs w:val="24"/>
        </w:rPr>
        <w:t xml:space="preserve">the value of the </w:t>
      </w:r>
      <w:r w:rsidR="006964CF" w:rsidRPr="00924038">
        <w:rPr>
          <w:szCs w:val="24"/>
        </w:rPr>
        <w:t xml:space="preserve">relevant </w:t>
      </w:r>
      <w:r w:rsidR="000136AD" w:rsidRPr="00924038">
        <w:rPr>
          <w:szCs w:val="24"/>
        </w:rPr>
        <w:t>security</w:t>
      </w:r>
      <w:r w:rsidR="00060A61" w:rsidRPr="00924038">
        <w:rPr>
          <w:szCs w:val="24"/>
        </w:rPr>
        <w:t xml:space="preserve"> </w:t>
      </w:r>
      <w:r w:rsidR="003D67D8" w:rsidRPr="00924038">
        <w:rPr>
          <w:szCs w:val="24"/>
        </w:rPr>
        <w:t xml:space="preserve">reflects the expected discounted value of future cash flows to </w:t>
      </w:r>
      <w:r w:rsidR="00060A61" w:rsidRPr="00924038">
        <w:rPr>
          <w:szCs w:val="24"/>
        </w:rPr>
        <w:t>the security holders; and (b) that the security operates in an efficient market, the information released prior to the price</w:t>
      </w:r>
      <w:r w:rsidR="00234901" w:rsidRPr="00924038">
        <w:rPr>
          <w:szCs w:val="24"/>
        </w:rPr>
        <w:t>-</w:t>
      </w:r>
      <w:r w:rsidR="00060A61" w:rsidRPr="00924038">
        <w:rPr>
          <w:szCs w:val="24"/>
        </w:rPr>
        <w:t xml:space="preserve">drop is reviewed to ascertain whether it was likely to have caused the market to </w:t>
      </w:r>
      <w:r w:rsidR="003D67D8" w:rsidRPr="00924038">
        <w:rPr>
          <w:szCs w:val="24"/>
        </w:rPr>
        <w:t xml:space="preserve">alter its expectation of future cash flows </w:t>
      </w:r>
      <w:r w:rsidR="00060A61" w:rsidRPr="00924038">
        <w:rPr>
          <w:szCs w:val="24"/>
        </w:rPr>
        <w:t xml:space="preserve">(hence causing a </w:t>
      </w:r>
      <w:r w:rsidR="003D67D8" w:rsidRPr="00924038">
        <w:rPr>
          <w:szCs w:val="24"/>
        </w:rPr>
        <w:t xml:space="preserve">repricing of the </w:t>
      </w:r>
      <w:r w:rsidR="00060A61" w:rsidRPr="00924038">
        <w:rPr>
          <w:szCs w:val="24"/>
        </w:rPr>
        <w:t xml:space="preserve">security </w:t>
      </w:r>
      <w:r w:rsidR="003D67D8" w:rsidRPr="00924038">
        <w:rPr>
          <w:szCs w:val="24"/>
        </w:rPr>
        <w:t>to reflect the</w:t>
      </w:r>
      <w:r w:rsidR="00060A61" w:rsidRPr="00924038">
        <w:rPr>
          <w:szCs w:val="24"/>
        </w:rPr>
        <w:t xml:space="preserve">se altered </w:t>
      </w:r>
      <w:r w:rsidR="003D67D8" w:rsidRPr="00924038">
        <w:rPr>
          <w:szCs w:val="24"/>
        </w:rPr>
        <w:t>expectations</w:t>
      </w:r>
      <w:r w:rsidR="00060A61" w:rsidRPr="00924038">
        <w:rPr>
          <w:szCs w:val="24"/>
        </w:rPr>
        <w:t>)</w:t>
      </w:r>
      <w:r w:rsidR="003D67D8" w:rsidRPr="00924038">
        <w:rPr>
          <w:szCs w:val="24"/>
        </w:rPr>
        <w:t>.</w:t>
      </w:r>
      <w:r w:rsidR="00060A61" w:rsidRPr="00924038">
        <w:rPr>
          <w:szCs w:val="24"/>
        </w:rPr>
        <w:t xml:space="preserve">  </w:t>
      </w:r>
      <w:r w:rsidR="000C2385" w:rsidRPr="00924038">
        <w:rPr>
          <w:szCs w:val="24"/>
        </w:rPr>
        <w:t>Analysis</w:t>
      </w:r>
      <w:r w:rsidR="001030BB" w:rsidRPr="00924038">
        <w:rPr>
          <w:szCs w:val="24"/>
        </w:rPr>
        <w:t xml:space="preserve"> </w:t>
      </w:r>
      <w:r w:rsidR="00060A61" w:rsidRPr="00924038">
        <w:rPr>
          <w:szCs w:val="24"/>
        </w:rPr>
        <w:t xml:space="preserve">takes place </w:t>
      </w:r>
      <w:r w:rsidR="00D21291" w:rsidRPr="00924038">
        <w:rPr>
          <w:szCs w:val="24"/>
        </w:rPr>
        <w:t>as to whether there is a sufficient basis for assuming the existence of contravening conduct during a period an</w:t>
      </w:r>
      <w:r w:rsidR="0001627D" w:rsidRPr="00924038">
        <w:rPr>
          <w:szCs w:val="24"/>
        </w:rPr>
        <w:t>terior to the</w:t>
      </w:r>
      <w:r w:rsidR="0001627D" w:rsidRPr="00924038">
        <w:t xml:space="preserve"> revelation</w:t>
      </w:r>
      <w:r w:rsidR="000C2385" w:rsidRPr="00924038">
        <w:t xml:space="preserve"> (this will usually involve close consideration of any</w:t>
      </w:r>
      <w:r w:rsidR="00B64916" w:rsidRPr="00924038">
        <w:t xml:space="preserve"> </w:t>
      </w:r>
      <w:r w:rsidR="000C2385" w:rsidRPr="00924038">
        <w:rPr>
          <w:szCs w:val="24"/>
        </w:rPr>
        <w:t xml:space="preserve">relevant disclosures and available analyst reports). </w:t>
      </w:r>
      <w:r w:rsidR="000C2385" w:rsidRPr="00924038">
        <w:t xml:space="preserve"> </w:t>
      </w:r>
      <w:r w:rsidR="00B64916" w:rsidRPr="00924038">
        <w:t>Further</w:t>
      </w:r>
      <w:r w:rsidR="000136AD" w:rsidRPr="00924038">
        <w:t xml:space="preserve"> analysis is undertaken as to</w:t>
      </w:r>
      <w:r w:rsidR="00D21291" w:rsidRPr="00924038">
        <w:t xml:space="preserve"> the size of the potential loss that may </w:t>
      </w:r>
      <w:r w:rsidR="00A85963" w:rsidRPr="00924038">
        <w:t xml:space="preserve">be related to </w:t>
      </w:r>
      <w:r w:rsidR="0001627D" w:rsidRPr="00924038">
        <w:t xml:space="preserve">the </w:t>
      </w:r>
      <w:r w:rsidR="000C2385" w:rsidRPr="00924038">
        <w:t xml:space="preserve">suspected </w:t>
      </w:r>
      <w:r w:rsidR="0001627D" w:rsidRPr="00924038">
        <w:t>contravening conduct</w:t>
      </w:r>
      <w:r w:rsidR="000C2385" w:rsidRPr="00924038">
        <w:t xml:space="preserve"> over an identified </w:t>
      </w:r>
      <w:r w:rsidR="00060A61" w:rsidRPr="00924038">
        <w:t>period</w:t>
      </w:r>
      <w:r w:rsidR="000C2385" w:rsidRPr="00924038">
        <w:t xml:space="preserve"> (the duration of which is identified by the preceding analysis)</w:t>
      </w:r>
      <w:r w:rsidR="0001627D" w:rsidRPr="00924038">
        <w:t xml:space="preserve">.  </w:t>
      </w:r>
    </w:p>
    <w:p w:rsidR="00D21291" w:rsidRPr="00924038" w:rsidRDefault="000C2385" w:rsidP="00060A61">
      <w:pPr>
        <w:pStyle w:val="ParaNumbering"/>
      </w:pPr>
      <w:bookmarkStart w:id="27" w:name="_Ref514417951"/>
      <w:r w:rsidRPr="00924038">
        <w:lastRenderedPageBreak/>
        <w:t>Following this, i</w:t>
      </w:r>
      <w:r w:rsidR="0001627D" w:rsidRPr="00924038">
        <w:t xml:space="preserve">f </w:t>
      </w:r>
      <w:r w:rsidR="00060A61" w:rsidRPr="00924038">
        <w:t xml:space="preserve">all </w:t>
      </w:r>
      <w:r w:rsidR="0001627D" w:rsidRPr="00924038">
        <w:t xml:space="preserve">the </w:t>
      </w:r>
      <w:r w:rsidR="00060A61" w:rsidRPr="00924038">
        <w:t xml:space="preserve">relevant </w:t>
      </w:r>
      <w:r w:rsidR="0001627D" w:rsidRPr="00924038">
        <w:t>boxes are ticked</w:t>
      </w:r>
      <w:r w:rsidR="00D21291" w:rsidRPr="00924038">
        <w:t xml:space="preserve">, </w:t>
      </w:r>
      <w:r w:rsidR="0001627D" w:rsidRPr="00924038">
        <w:t>the bugle i</w:t>
      </w:r>
      <w:r w:rsidR="00DA0AC8" w:rsidRPr="00924038">
        <w:t>s sounded</w:t>
      </w:r>
      <w:r w:rsidR="0001627D" w:rsidRPr="00924038">
        <w:t xml:space="preserve">.  Funding terms are discussed </w:t>
      </w:r>
      <w:r w:rsidR="00D21291" w:rsidRPr="00924038">
        <w:t xml:space="preserve">and </w:t>
      </w:r>
      <w:r w:rsidR="00060A61" w:rsidRPr="00924038">
        <w:t xml:space="preserve">(at least prior to the advent of common funds orders) </w:t>
      </w:r>
      <w:r w:rsidR="00D21291" w:rsidRPr="00924038">
        <w:t xml:space="preserve">there </w:t>
      </w:r>
      <w:r w:rsidR="00060A61" w:rsidRPr="00924038">
        <w:t>is</w:t>
      </w:r>
      <w:r w:rsidR="000136AD" w:rsidRPr="00924038">
        <w:t xml:space="preserve"> a concerted </w:t>
      </w:r>
      <w:r w:rsidR="00D21291" w:rsidRPr="00924038">
        <w:t>effort to sign up institutional and other group members.  A</w:t>
      </w:r>
      <w:r w:rsidR="00B64916" w:rsidRPr="00924038">
        <w:t>t some time during this developmental stage, a</w:t>
      </w:r>
      <w:r w:rsidR="00D21291" w:rsidRPr="00924038">
        <w:t>n announcement might be made of a potential class action</w:t>
      </w:r>
      <w:r w:rsidRPr="00924038">
        <w:t>,</w:t>
      </w:r>
      <w:r w:rsidR="00D21291" w:rsidRPr="00924038">
        <w:t xml:space="preserve"> garnering media atten</w:t>
      </w:r>
      <w:r w:rsidR="00060A61" w:rsidRPr="00924038">
        <w:t>tion which may augment</w:t>
      </w:r>
      <w:r w:rsidR="00D21291" w:rsidRPr="00924038">
        <w:t xml:space="preserve"> the number of affected shareholders who may wish</w:t>
      </w:r>
      <w:r w:rsidR="00C50D87" w:rsidRPr="00924038">
        <w:t xml:space="preserve"> to participate actively in the </w:t>
      </w:r>
      <w:r w:rsidR="00060A61" w:rsidRPr="00924038">
        <w:t xml:space="preserve">proposed </w:t>
      </w:r>
      <w:r w:rsidR="00C50D87" w:rsidRPr="00924038">
        <w:t>class action</w:t>
      </w:r>
      <w:r w:rsidR="00234901" w:rsidRPr="00924038">
        <w:t>,</w:t>
      </w:r>
      <w:r w:rsidRPr="00924038">
        <w:t xml:space="preserve"> but also may precipitate a further decline in the price of the securities</w:t>
      </w:r>
      <w:r w:rsidR="00C50D87" w:rsidRPr="00924038">
        <w:t>.</w:t>
      </w:r>
      <w:bookmarkEnd w:id="27"/>
      <w:r w:rsidR="00C338DD" w:rsidRPr="00924038">
        <w:t xml:space="preserve"> </w:t>
      </w:r>
      <w:r w:rsidR="00C50D87" w:rsidRPr="00924038">
        <w:t xml:space="preserve"> </w:t>
      </w:r>
    </w:p>
    <w:p w:rsidR="00465CA7" w:rsidRPr="00924038" w:rsidRDefault="000136AD" w:rsidP="006330D5">
      <w:pPr>
        <w:pStyle w:val="ParaNumbering"/>
      </w:pPr>
      <w:bookmarkStart w:id="28" w:name="_Ref514417920"/>
      <w:r w:rsidRPr="00924038">
        <w:t>Of course, s</w:t>
      </w:r>
      <w:r w:rsidR="00D33A22" w:rsidRPr="00924038">
        <w:t>ome actions may have different origins, such as an approach by a ‘whistle-blower’ or revelations through public inquiries</w:t>
      </w:r>
      <w:r w:rsidRPr="00924038">
        <w:t>,</w:t>
      </w:r>
      <w:r w:rsidR="000C2385" w:rsidRPr="00924038">
        <w:t xml:space="preserve"> and </w:t>
      </w:r>
      <w:r w:rsidR="00465CA7" w:rsidRPr="00924038">
        <w:t xml:space="preserve">the </w:t>
      </w:r>
      <w:r w:rsidR="000C2385" w:rsidRPr="00924038">
        <w:t>time needed for the analysis</w:t>
      </w:r>
      <w:r w:rsidR="00465CA7" w:rsidRPr="00924038">
        <w:t xml:space="preserve"> </w:t>
      </w:r>
      <w:r w:rsidR="000C2385" w:rsidRPr="00924038">
        <w:t>may vary considerably</w:t>
      </w:r>
      <w:r w:rsidR="00D33A22" w:rsidRPr="00924038">
        <w:t xml:space="preserve">, but </w:t>
      </w:r>
      <w:r w:rsidR="001030BB" w:rsidRPr="00924038">
        <w:t>to</w:t>
      </w:r>
      <w:r w:rsidR="00C50D87" w:rsidRPr="00924038">
        <w:t xml:space="preserve"> anyone who has been involved </w:t>
      </w:r>
      <w:r w:rsidR="001030BB" w:rsidRPr="00924038">
        <w:t xml:space="preserve">actively </w:t>
      </w:r>
      <w:r w:rsidR="00C50D87" w:rsidRPr="00924038">
        <w:t xml:space="preserve">in securities class actions </w:t>
      </w:r>
      <w:r w:rsidR="001030BB" w:rsidRPr="00924038">
        <w:t>since their advent</w:t>
      </w:r>
      <w:r w:rsidR="0001627D" w:rsidRPr="00924038">
        <w:t>,</w:t>
      </w:r>
      <w:r w:rsidR="00D33A22" w:rsidRPr="00924038">
        <w:t xml:space="preserve"> the</w:t>
      </w:r>
      <w:r w:rsidR="00B64916" w:rsidRPr="00924038">
        <w:t xml:space="preserve"> pattern</w:t>
      </w:r>
      <w:r w:rsidR="00D33A22" w:rsidRPr="00924038">
        <w:t xml:space="preserve"> described above</w:t>
      </w:r>
      <w:r w:rsidR="00B64916" w:rsidRPr="00924038">
        <w:t xml:space="preserve"> is familiar</w:t>
      </w:r>
      <w:r w:rsidR="00C50D87" w:rsidRPr="00924038">
        <w:t>.</w:t>
      </w:r>
      <w:bookmarkEnd w:id="28"/>
      <w:r w:rsidR="00C50D87" w:rsidRPr="00924038">
        <w:t xml:space="preserve">  </w:t>
      </w:r>
    </w:p>
    <w:p w:rsidR="00C50D87" w:rsidRPr="00924038" w:rsidRDefault="00B64916" w:rsidP="006330D5">
      <w:pPr>
        <w:pStyle w:val="ParaNumbering"/>
      </w:pPr>
      <w:r w:rsidRPr="00924038">
        <w:t xml:space="preserve">I hasten to add that </w:t>
      </w:r>
      <w:r w:rsidR="00B62B84">
        <w:t>by identifying a commonplace</w:t>
      </w:r>
      <w:r w:rsidR="00465CA7" w:rsidRPr="00924038">
        <w:t xml:space="preserve"> pattern, </w:t>
      </w:r>
      <w:r w:rsidRPr="00924038">
        <w:t xml:space="preserve">I </w:t>
      </w:r>
      <w:r w:rsidR="00465CA7" w:rsidRPr="00924038">
        <w:t xml:space="preserve">do not </w:t>
      </w:r>
      <w:r w:rsidRPr="00924038">
        <w:t xml:space="preserve">suggest </w:t>
      </w:r>
      <w:r w:rsidR="001030BB" w:rsidRPr="00924038">
        <w:t>that the</w:t>
      </w:r>
      <w:r w:rsidR="00C50D87" w:rsidRPr="00924038">
        <w:t xml:space="preserve"> development </w:t>
      </w:r>
      <w:r w:rsidR="001030BB" w:rsidRPr="00924038">
        <w:t xml:space="preserve">of </w:t>
      </w:r>
      <w:r w:rsidR="00465CA7" w:rsidRPr="00924038">
        <w:t>t</w:t>
      </w:r>
      <w:r w:rsidR="00B62B84">
        <w:t>he usual</w:t>
      </w:r>
      <w:r w:rsidR="00465CA7" w:rsidRPr="00924038">
        <w:t xml:space="preserve"> form of </w:t>
      </w:r>
      <w:r w:rsidR="001030BB" w:rsidRPr="00924038">
        <w:t xml:space="preserve">securities class actions </w:t>
      </w:r>
      <w:r w:rsidR="006964CF" w:rsidRPr="00924038">
        <w:t>should be looked upon askance</w:t>
      </w:r>
      <w:r w:rsidR="00C50D87" w:rsidRPr="00924038">
        <w:t xml:space="preserve">.  </w:t>
      </w:r>
      <w:r w:rsidR="001030BB" w:rsidRPr="00924038">
        <w:t>To the contrary, a</w:t>
      </w:r>
      <w:r w:rsidRPr="00924038">
        <w:t xml:space="preserve">n informed observer would </w:t>
      </w:r>
      <w:r w:rsidR="001030BB" w:rsidRPr="00924038">
        <w:t xml:space="preserve">likely </w:t>
      </w:r>
      <w:r w:rsidR="00C50D87" w:rsidRPr="00924038">
        <w:t>reco</w:t>
      </w:r>
      <w:r w:rsidRPr="00924038">
        <w:t>gnise that a consequence of the</w:t>
      </w:r>
      <w:r w:rsidR="001030BB" w:rsidRPr="00924038">
        <w:t>se development</w:t>
      </w:r>
      <w:r w:rsidRPr="00924038">
        <w:t xml:space="preserve">s </w:t>
      </w:r>
      <w:r w:rsidR="00C50D87" w:rsidRPr="00924038">
        <w:t xml:space="preserve">has been a heightened awareness </w:t>
      </w:r>
      <w:r w:rsidRPr="00924038">
        <w:t>among</w:t>
      </w:r>
      <w:r w:rsidR="00C50D87" w:rsidRPr="00924038">
        <w:t xml:space="preserve"> corporations</w:t>
      </w:r>
      <w:r w:rsidRPr="00924038">
        <w:t>, through their officers,</w:t>
      </w:r>
      <w:r w:rsidR="00C50D87" w:rsidRPr="00924038">
        <w:t xml:space="preserve"> of their obligations to act in such a way as to avoid continuous disclosure breaches and </w:t>
      </w:r>
      <w:r w:rsidR="00B62B84">
        <w:t xml:space="preserve">contravention </w:t>
      </w:r>
      <w:r w:rsidR="00C50D87" w:rsidRPr="00924038">
        <w:t>of the norms prohibiting misleading and deceptive conduct.  This is not the place</w:t>
      </w:r>
      <w:r w:rsidRPr="00924038">
        <w:t xml:space="preserve"> to debate the </w:t>
      </w:r>
      <w:r w:rsidR="006964CF" w:rsidRPr="00924038">
        <w:t xml:space="preserve">social </w:t>
      </w:r>
      <w:r w:rsidRPr="00924038">
        <w:t>utility</w:t>
      </w:r>
      <w:r w:rsidR="00C50D87" w:rsidRPr="00924038">
        <w:t xml:space="preserve"> of securities class actions</w:t>
      </w:r>
      <w:r w:rsidR="00234901" w:rsidRPr="00924038">
        <w:t>;</w:t>
      </w:r>
      <w:r w:rsidR="00C50D87" w:rsidRPr="00924038">
        <w:t xml:space="preserve"> </w:t>
      </w:r>
      <w:r w:rsidR="006964CF" w:rsidRPr="00924038">
        <w:t>this would</w:t>
      </w:r>
      <w:r w:rsidR="00B410D7" w:rsidRPr="00924038">
        <w:t xml:space="preserve"> involve a range of considerations which raise complex and collateral assessments (such as, for example, its impact on the price of D&amp;O </w:t>
      </w:r>
      <w:r w:rsidR="006C362F" w:rsidRPr="00924038">
        <w:t xml:space="preserve">and ‘Side C’ </w:t>
      </w:r>
      <w:r w:rsidR="00B410D7" w:rsidRPr="00924038">
        <w:t>liab</w:t>
      </w:r>
      <w:r w:rsidR="006C362F" w:rsidRPr="00924038">
        <w:t>ility cover</w:t>
      </w:r>
      <w:r w:rsidR="00B410D7" w:rsidRPr="00924038">
        <w:t xml:space="preserve">), </w:t>
      </w:r>
      <w:r w:rsidR="00C50D87" w:rsidRPr="00924038">
        <w:t xml:space="preserve">but </w:t>
      </w:r>
      <w:r w:rsidRPr="00924038">
        <w:t>despite what some would describe as their ‘commercialisation’</w:t>
      </w:r>
      <w:r w:rsidR="00465CA7" w:rsidRPr="00924038">
        <w:t xml:space="preserve"> and concerns which may arise concerning a prematur</w:t>
      </w:r>
      <w:r w:rsidR="006964CF" w:rsidRPr="00924038">
        <w:t xml:space="preserve">e announcement of a proposed </w:t>
      </w:r>
      <w:r w:rsidR="00234901" w:rsidRPr="00924038">
        <w:t xml:space="preserve">class </w:t>
      </w:r>
      <w:r w:rsidR="00465CA7" w:rsidRPr="00924038">
        <w:t>action that never proceeds</w:t>
      </w:r>
      <w:r w:rsidRPr="00924038">
        <w:t xml:space="preserve">, it can be argued </w:t>
      </w:r>
      <w:r w:rsidR="005E47E9" w:rsidRPr="00924038">
        <w:t xml:space="preserve">cogently </w:t>
      </w:r>
      <w:r w:rsidR="00C50D87" w:rsidRPr="00924038">
        <w:t>that they have served</w:t>
      </w:r>
      <w:r w:rsidR="0001627D" w:rsidRPr="00924038">
        <w:t>,</w:t>
      </w:r>
      <w:r w:rsidR="00C50D87" w:rsidRPr="00924038">
        <w:t xml:space="preserve"> and continue to serve</w:t>
      </w:r>
      <w:r w:rsidR="006964CF" w:rsidRPr="00924038">
        <w:t>,</w:t>
      </w:r>
      <w:r w:rsidRPr="00924038">
        <w:t xml:space="preserve"> </w:t>
      </w:r>
      <w:r w:rsidR="00ED15A3" w:rsidRPr="00924038">
        <w:t xml:space="preserve">a role </w:t>
      </w:r>
      <w:r w:rsidR="00E677E8" w:rsidRPr="00924038">
        <w:t xml:space="preserve">in </w:t>
      </w:r>
      <w:r w:rsidR="0009151A" w:rsidRPr="00924038">
        <w:t xml:space="preserve">not only </w:t>
      </w:r>
      <w:r w:rsidR="00E677E8" w:rsidRPr="00924038">
        <w:t>providing for</w:t>
      </w:r>
      <w:r w:rsidR="00D33A22" w:rsidRPr="00924038">
        <w:t xml:space="preserve"> significant amounts to </w:t>
      </w:r>
      <w:r w:rsidR="00E677E8" w:rsidRPr="00924038">
        <w:t xml:space="preserve">be paid to investors </w:t>
      </w:r>
      <w:r w:rsidR="00D33A22" w:rsidRPr="00924038">
        <w:t xml:space="preserve">for claimed losses occasioned by allegations of corporate malefaction </w:t>
      </w:r>
      <w:r w:rsidR="00E677E8" w:rsidRPr="00924038">
        <w:t>(</w:t>
      </w:r>
      <w:r w:rsidR="00D33A22" w:rsidRPr="00924038">
        <w:t xml:space="preserve">that would, absent securities class actions, never have </w:t>
      </w:r>
      <w:r w:rsidR="00E677E8" w:rsidRPr="00924038">
        <w:t>been paid)</w:t>
      </w:r>
      <w:r w:rsidR="00D33A22" w:rsidRPr="00924038">
        <w:t xml:space="preserve">, </w:t>
      </w:r>
      <w:r w:rsidRPr="00924038">
        <w:t xml:space="preserve">but </w:t>
      </w:r>
      <w:r w:rsidR="00D33A22" w:rsidRPr="00924038">
        <w:t xml:space="preserve">they </w:t>
      </w:r>
      <w:r w:rsidRPr="00924038">
        <w:t xml:space="preserve">also </w:t>
      </w:r>
      <w:r w:rsidR="00ED15A3" w:rsidRPr="00924038">
        <w:t xml:space="preserve">have </w:t>
      </w:r>
      <w:r w:rsidR="006964CF" w:rsidRPr="00924038">
        <w:t>occasioned</w:t>
      </w:r>
      <w:r w:rsidR="0001627D" w:rsidRPr="00924038">
        <w:t xml:space="preserve"> a</w:t>
      </w:r>
      <w:r w:rsidR="00C50D87" w:rsidRPr="00924038">
        <w:t xml:space="preserve"> private regulatory discipline on the </w:t>
      </w:r>
      <w:r w:rsidR="002E2E35" w:rsidRPr="00924038">
        <w:t xml:space="preserve">conduct of listed companies and their dealings with the market of investors in their securities.  </w:t>
      </w:r>
    </w:p>
    <w:p w:rsidR="002E2E35" w:rsidRPr="00924038" w:rsidRDefault="00ED15A3" w:rsidP="006330D5">
      <w:pPr>
        <w:pStyle w:val="ParaNumbering"/>
      </w:pPr>
      <w:r w:rsidRPr="00924038">
        <w:t xml:space="preserve">The </w:t>
      </w:r>
      <w:r w:rsidR="002E2E35" w:rsidRPr="00924038">
        <w:t>securities class action</w:t>
      </w:r>
      <w:r w:rsidR="00234901" w:rsidRPr="00924038">
        <w:t xml:space="preserve"> has</w:t>
      </w:r>
      <w:r w:rsidR="002E2E35" w:rsidRPr="00924038">
        <w:t xml:space="preserve"> </w:t>
      </w:r>
      <w:r w:rsidR="0001627D" w:rsidRPr="00924038">
        <w:t xml:space="preserve">also been </w:t>
      </w:r>
      <w:r w:rsidRPr="00924038">
        <w:t xml:space="preserve">important as </w:t>
      </w:r>
      <w:r w:rsidR="0001627D" w:rsidRPr="00924038">
        <w:t>the vehicle driving</w:t>
      </w:r>
      <w:r w:rsidR="002E2E35" w:rsidRPr="00924038">
        <w:t xml:space="preserve"> the procedural development of Part IVA of the </w:t>
      </w:r>
      <w:r w:rsidR="008F2D6B" w:rsidRPr="00924038">
        <w:t>Act</w:t>
      </w:r>
      <w:r w:rsidR="002E2E35" w:rsidRPr="00924038">
        <w:t xml:space="preserve">.  </w:t>
      </w:r>
      <w:r w:rsidRPr="00924038">
        <w:t>One of these developments is of</w:t>
      </w:r>
      <w:r w:rsidR="003C133E" w:rsidRPr="00924038">
        <w:t xml:space="preserve"> direct relevance to the </w:t>
      </w:r>
      <w:r w:rsidR="00ED6C4A" w:rsidRPr="00924038">
        <w:t>present issue.</w:t>
      </w:r>
      <w:r w:rsidRPr="00924038">
        <w:t xml:space="preserve">  It </w:t>
      </w:r>
      <w:r w:rsidR="002E2E35" w:rsidRPr="00924038">
        <w:t xml:space="preserve">can be traced back to </w:t>
      </w:r>
      <w:r w:rsidR="002E2E35" w:rsidRPr="00924038">
        <w:rPr>
          <w:i/>
        </w:rPr>
        <w:t>Aristocrat</w:t>
      </w:r>
      <w:r w:rsidR="00234901" w:rsidRPr="00924038">
        <w:t>,</w:t>
      </w:r>
      <w:r w:rsidR="002E2E35" w:rsidRPr="00924038">
        <w:t xml:space="preserve"> where the primary judge, in an interlocutory hearing, took the view that a closed class</w:t>
      </w:r>
      <w:r w:rsidRPr="00924038">
        <w:t xml:space="preserve"> (</w:t>
      </w:r>
      <w:r w:rsidR="002E2E35" w:rsidRPr="00924038">
        <w:t>wh</w:t>
      </w:r>
      <w:r w:rsidR="004834D0" w:rsidRPr="00924038">
        <w:t xml:space="preserve">ich included a </w:t>
      </w:r>
      <w:r w:rsidRPr="00924038">
        <w:t xml:space="preserve">criterion </w:t>
      </w:r>
      <w:r w:rsidR="00C770C1" w:rsidRPr="00924038">
        <w:t xml:space="preserve">restricting composition </w:t>
      </w:r>
      <w:r w:rsidR="004834D0" w:rsidRPr="00924038">
        <w:t xml:space="preserve">of the group </w:t>
      </w:r>
      <w:r w:rsidR="00C770C1" w:rsidRPr="00924038">
        <w:t>to those who had retained the solicitors for the applicant</w:t>
      </w:r>
      <w:r w:rsidRPr="00924038">
        <w:t>)</w:t>
      </w:r>
      <w:r w:rsidR="00C770C1" w:rsidRPr="00924038">
        <w:t xml:space="preserve"> </w:t>
      </w:r>
      <w:r w:rsidRPr="00924038">
        <w:rPr>
          <w:lang w:val="en"/>
        </w:rPr>
        <w:t xml:space="preserve">was </w:t>
      </w:r>
      <w:r w:rsidRPr="00924038">
        <w:rPr>
          <w:lang w:val="en"/>
        </w:rPr>
        <w:lastRenderedPageBreak/>
        <w:t>inappropriate because closed classes had the effect that “</w:t>
      </w:r>
      <w:r w:rsidRPr="00924038">
        <w:rPr>
          <w:i/>
          <w:lang w:val="en"/>
        </w:rPr>
        <w:t>the clear legislative intention [of Part IVA] is subverted</w:t>
      </w:r>
      <w:r w:rsidRPr="00924038">
        <w:rPr>
          <w:lang w:val="en"/>
        </w:rPr>
        <w:t xml:space="preserve">”: </w:t>
      </w:r>
      <w:r w:rsidRPr="00924038">
        <w:t xml:space="preserve">see </w:t>
      </w:r>
      <w:r w:rsidRPr="00924038">
        <w:rPr>
          <w:rStyle w:val="Emphasis"/>
        </w:rPr>
        <w:t>Dorajay Pty L</w:t>
      </w:r>
      <w:r w:rsidR="00234901" w:rsidRPr="00924038">
        <w:rPr>
          <w:rStyle w:val="Emphasis"/>
        </w:rPr>
        <w:t>td</w:t>
      </w:r>
      <w:r w:rsidRPr="00924038">
        <w:rPr>
          <w:rStyle w:val="Emphasis"/>
        </w:rPr>
        <w:t xml:space="preserve"> v Aristocrat Leisure Ltd</w:t>
      </w:r>
      <w:r w:rsidRPr="00924038">
        <w:t xml:space="preserve"> </w:t>
      </w:r>
      <w:r w:rsidR="00234901" w:rsidRPr="00924038">
        <w:t xml:space="preserve">[2005] FCA 1483; </w:t>
      </w:r>
      <w:r w:rsidRPr="00924038">
        <w:t>(2005) 147 FCR 394</w:t>
      </w:r>
      <w:r w:rsidR="00234901" w:rsidRPr="00924038">
        <w:t xml:space="preserve"> at 433 [135] per Stone J</w:t>
      </w:r>
      <w:r w:rsidRPr="00924038">
        <w:t xml:space="preserve">. </w:t>
      </w:r>
      <w:r w:rsidR="007A493D" w:rsidRPr="00924038">
        <w:t xml:space="preserve"> </w:t>
      </w:r>
      <w:r w:rsidRPr="00924038">
        <w:t xml:space="preserve">That decision </w:t>
      </w:r>
      <w:r w:rsidR="005D75A0" w:rsidRPr="00924038">
        <w:t>was</w:t>
      </w:r>
      <w:r w:rsidRPr="00924038">
        <w:t xml:space="preserve"> followed shortly thereafter</w:t>
      </w:r>
      <w:r w:rsidR="00ED6C4A" w:rsidRPr="00924038">
        <w:t xml:space="preserve">: see </w:t>
      </w:r>
      <w:r w:rsidRPr="00924038">
        <w:rPr>
          <w:rStyle w:val="Emphasis"/>
        </w:rPr>
        <w:t>Rod Investments (Vic) Pty L</w:t>
      </w:r>
      <w:r w:rsidR="00F22C46" w:rsidRPr="00924038">
        <w:rPr>
          <w:rStyle w:val="Emphasis"/>
        </w:rPr>
        <w:t>td</w:t>
      </w:r>
      <w:r w:rsidRPr="00924038">
        <w:rPr>
          <w:rStyle w:val="Emphasis"/>
        </w:rPr>
        <w:t xml:space="preserve"> v Clark</w:t>
      </w:r>
      <w:r w:rsidRPr="00924038">
        <w:t xml:space="preserve"> [2005] VSC 449</w:t>
      </w:r>
      <w:r w:rsidR="00F22C46" w:rsidRPr="00924038">
        <w:t xml:space="preserve"> (Hansen J)</w:t>
      </w:r>
      <w:r w:rsidRPr="00924038">
        <w:t xml:space="preserve">) and </w:t>
      </w:r>
      <w:r w:rsidRPr="00924038">
        <w:rPr>
          <w:rStyle w:val="Emphasis"/>
        </w:rPr>
        <w:t>Jameson v Professional Investment Services Pty Ltd</w:t>
      </w:r>
      <w:r w:rsidRPr="00924038">
        <w:t xml:space="preserve"> </w:t>
      </w:r>
      <w:r w:rsidR="00F22C46" w:rsidRPr="00924038">
        <w:t xml:space="preserve">[2007] NSWSC 1437; </w:t>
      </w:r>
      <w:r w:rsidRPr="00924038">
        <w:t>(2007) 215 FLR 377</w:t>
      </w:r>
      <w:r w:rsidR="00ED6C4A" w:rsidRPr="00924038">
        <w:t xml:space="preserve"> (Young CJ in Eq</w:t>
      </w:r>
      <w:r w:rsidRPr="00924038">
        <w:t>).</w:t>
      </w:r>
      <w:r w:rsidR="00E677E8" w:rsidRPr="00924038">
        <w:t xml:space="preserve">  The</w:t>
      </w:r>
      <w:r w:rsidR="00C770C1" w:rsidRPr="00924038">
        <w:t xml:space="preserve"> </w:t>
      </w:r>
      <w:r w:rsidR="00582118" w:rsidRPr="00924038">
        <w:t>heterodoxy that a class defined by reference to a funding or similar criterion was invalid</w:t>
      </w:r>
      <w:r w:rsidR="00C770C1" w:rsidRPr="00924038">
        <w:t xml:space="preserve"> was, however,</w:t>
      </w:r>
      <w:r w:rsidR="009C38A9" w:rsidRPr="00924038">
        <w:t xml:space="preserve"> </w:t>
      </w:r>
      <w:r w:rsidR="003C133E" w:rsidRPr="00924038">
        <w:t xml:space="preserve">eventually exposed </w:t>
      </w:r>
      <w:r w:rsidR="00582118" w:rsidRPr="00924038">
        <w:t xml:space="preserve">in </w:t>
      </w:r>
      <w:r w:rsidR="00582118" w:rsidRPr="00924038">
        <w:rPr>
          <w:rStyle w:val="Emphasis"/>
        </w:rPr>
        <w:t>Multiplex Funds Management Ltd v P Dawson Nominees Pty Ltd</w:t>
      </w:r>
      <w:r w:rsidR="00582118" w:rsidRPr="00924038">
        <w:t xml:space="preserve"> </w:t>
      </w:r>
      <w:r w:rsidR="00F22C46" w:rsidRPr="00924038">
        <w:t xml:space="preserve">[2007] FCAFC 200; </w:t>
      </w:r>
      <w:r w:rsidR="00582118" w:rsidRPr="00924038">
        <w:t>(2007) 164 FCR 275 (French, Lin</w:t>
      </w:r>
      <w:r w:rsidR="003C133E" w:rsidRPr="00924038">
        <w:t>dgren and Jacobson JJ)</w:t>
      </w:r>
      <w:r w:rsidR="0009151A" w:rsidRPr="00924038">
        <w:t>,</w:t>
      </w:r>
      <w:r w:rsidR="00582118" w:rsidRPr="00924038">
        <w:t xml:space="preserve"> </w:t>
      </w:r>
      <w:r w:rsidR="00780D19" w:rsidRPr="00924038">
        <w:t xml:space="preserve">in essence </w:t>
      </w:r>
      <w:r w:rsidR="009C38A9" w:rsidRPr="00924038">
        <w:t>because of the</w:t>
      </w:r>
      <w:r w:rsidR="00C770C1" w:rsidRPr="00924038">
        <w:t xml:space="preserve"> text of a critical prov</w:t>
      </w:r>
      <w:r w:rsidR="00780D19" w:rsidRPr="00924038">
        <w:t>ision within</w:t>
      </w:r>
      <w:r w:rsidR="00582118" w:rsidRPr="00924038">
        <w:t xml:space="preserve"> Part IVA, s 33C, </w:t>
      </w:r>
      <w:r w:rsidR="00E677E8" w:rsidRPr="00924038">
        <w:t xml:space="preserve">which </w:t>
      </w:r>
      <w:r w:rsidR="00C770C1" w:rsidRPr="00924038">
        <w:t xml:space="preserve">expressly </w:t>
      </w:r>
      <w:r w:rsidR="00B410D7" w:rsidRPr="00924038">
        <w:t xml:space="preserve">provided that </w:t>
      </w:r>
      <w:r w:rsidR="00C770C1" w:rsidRPr="00924038">
        <w:t xml:space="preserve">a </w:t>
      </w:r>
      <w:r w:rsidR="00E677E8" w:rsidRPr="00924038">
        <w:t>proceeding could</w:t>
      </w:r>
      <w:r w:rsidR="00C770C1" w:rsidRPr="00924038">
        <w:t xml:space="preserve"> be commenced by only </w:t>
      </w:r>
      <w:r w:rsidR="00C770C1" w:rsidRPr="00924038">
        <w:rPr>
          <w:i/>
        </w:rPr>
        <w:t>some</w:t>
      </w:r>
      <w:r w:rsidR="00C770C1" w:rsidRPr="00924038">
        <w:t xml:space="preserve"> of the persons who ha</w:t>
      </w:r>
      <w:r w:rsidR="00582118" w:rsidRPr="00924038">
        <w:t>d claims against a respondent</w:t>
      </w:r>
      <w:r w:rsidR="00A657EB" w:rsidRPr="00924038">
        <w:t>.</w:t>
      </w:r>
    </w:p>
    <w:p w:rsidR="00657895" w:rsidRPr="00924038" w:rsidRDefault="00BD77E8" w:rsidP="006330D5">
      <w:pPr>
        <w:pStyle w:val="ParaNumbering"/>
        <w:rPr>
          <w:szCs w:val="24"/>
        </w:rPr>
      </w:pPr>
      <w:r w:rsidRPr="00924038">
        <w:t xml:space="preserve">This was a boon to litigation funders.  It meant </w:t>
      </w:r>
      <w:r w:rsidR="00F22C46" w:rsidRPr="00924038">
        <w:t xml:space="preserve">that </w:t>
      </w:r>
      <w:r w:rsidRPr="00924038">
        <w:t xml:space="preserve">a class could be constructed of persons who had signed funding agreements </w:t>
      </w:r>
      <w:r w:rsidR="00B25ED7" w:rsidRPr="00924038">
        <w:t>with an individual funder</w:t>
      </w:r>
      <w:r w:rsidR="00E677E8" w:rsidRPr="00924038">
        <w:t>,</w:t>
      </w:r>
      <w:r w:rsidR="00B25ED7" w:rsidRPr="00924038">
        <w:t xml:space="preserve"> thus eliminating the difficulty of</w:t>
      </w:r>
      <w:r w:rsidR="00780D19" w:rsidRPr="00924038">
        <w:t xml:space="preserve"> so-called ‘free riders’, that is</w:t>
      </w:r>
      <w:r w:rsidR="005D75A0" w:rsidRPr="00924038">
        <w:t>,</w:t>
      </w:r>
      <w:r w:rsidR="00780D19" w:rsidRPr="00924038">
        <w:t xml:space="preserve"> persons who had not signed funding agreements but who would be part of any open class</w:t>
      </w:r>
      <w:r w:rsidR="00B25ED7" w:rsidRPr="00924038">
        <w:t xml:space="preserve">.  </w:t>
      </w:r>
      <w:r w:rsidR="0009151A" w:rsidRPr="00924038">
        <w:t>However, l</w:t>
      </w:r>
      <w:r w:rsidR="00BA15A6" w:rsidRPr="00924038">
        <w:t>ike a ‘</w:t>
      </w:r>
      <w:r w:rsidR="00F22C46" w:rsidRPr="00924038">
        <w:t>W</w:t>
      </w:r>
      <w:r w:rsidR="00BA15A6" w:rsidRPr="00924038">
        <w:t>hac-</w:t>
      </w:r>
      <w:r w:rsidR="00F22C46" w:rsidRPr="00924038">
        <w:t>A</w:t>
      </w:r>
      <w:r w:rsidR="00BA15A6" w:rsidRPr="00924038">
        <w:t>-</w:t>
      </w:r>
      <w:r w:rsidR="00F22C46" w:rsidRPr="00924038">
        <w:t>M</w:t>
      </w:r>
      <w:r w:rsidR="00BA15A6" w:rsidRPr="00924038">
        <w:t>ole’ game</w:t>
      </w:r>
      <w:r w:rsidR="00742186" w:rsidRPr="00924038">
        <w:t>,</w:t>
      </w:r>
      <w:r w:rsidR="00BA15A6" w:rsidRPr="00924038">
        <w:t xml:space="preserve"> where one mole is whacked by a mallet but another pops </w:t>
      </w:r>
      <w:r w:rsidR="00F22C46" w:rsidRPr="00924038">
        <w:t>up</w:t>
      </w:r>
      <w:r w:rsidR="00BA15A6" w:rsidRPr="00924038">
        <w:t>, a further problem then emerged – if closed classes were allowed</w:t>
      </w:r>
      <w:r w:rsidR="00742186" w:rsidRPr="00924038">
        <w:t>, how</w:t>
      </w:r>
      <w:r w:rsidR="00BA15A6" w:rsidRPr="00924038">
        <w:t xml:space="preserve"> did a respondent obtain </w:t>
      </w:r>
      <w:r w:rsidR="00F22C46" w:rsidRPr="00924038">
        <w:t>certainty against</w:t>
      </w:r>
      <w:r w:rsidR="00BA15A6" w:rsidRPr="00924038">
        <w:t xml:space="preserve"> additional claims by settling only a closed class? </w:t>
      </w:r>
      <w:r w:rsidR="00B410D7" w:rsidRPr="00924038">
        <w:t xml:space="preserve"> </w:t>
      </w:r>
      <w:r w:rsidR="00995A43" w:rsidRPr="00924038">
        <w:t>A further pro</w:t>
      </w:r>
      <w:r w:rsidR="00657895" w:rsidRPr="00924038">
        <w:t xml:space="preserve">cedural expedient </w:t>
      </w:r>
      <w:r w:rsidR="00E14C1B" w:rsidRPr="00924038">
        <w:t>resulted</w:t>
      </w:r>
      <w:r w:rsidR="003C133E" w:rsidRPr="00924038">
        <w:t>:</w:t>
      </w:r>
      <w:r w:rsidR="00E14C1B" w:rsidRPr="00924038">
        <w:t xml:space="preserve"> allowing the </w:t>
      </w:r>
      <w:r w:rsidR="003C133E" w:rsidRPr="00924038">
        <w:t>‘</w:t>
      </w:r>
      <w:r w:rsidR="00995A43" w:rsidRPr="00924038">
        <w:t>opening up</w:t>
      </w:r>
      <w:r w:rsidR="003C133E" w:rsidRPr="00924038">
        <w:t>’</w:t>
      </w:r>
      <w:r w:rsidR="00995A43" w:rsidRPr="00924038">
        <w:t xml:space="preserve"> and then </w:t>
      </w:r>
      <w:r w:rsidR="003C133E" w:rsidRPr="00924038">
        <w:t>‘</w:t>
      </w:r>
      <w:r w:rsidR="00995A43" w:rsidRPr="00924038">
        <w:t>closing down</w:t>
      </w:r>
      <w:r w:rsidR="003C133E" w:rsidRPr="00924038">
        <w:t>’</w:t>
      </w:r>
      <w:r w:rsidR="00995A43" w:rsidRPr="00924038">
        <w:t xml:space="preserve"> </w:t>
      </w:r>
      <w:r w:rsidR="003C133E" w:rsidRPr="00924038">
        <w:t xml:space="preserve">of </w:t>
      </w:r>
      <w:r w:rsidR="00995A43" w:rsidRPr="00924038">
        <w:t>a class</w:t>
      </w:r>
      <w:r w:rsidR="003C133E" w:rsidRPr="00924038">
        <w:t xml:space="preserve"> </w:t>
      </w:r>
      <w:r w:rsidR="00C97680" w:rsidRPr="00924038">
        <w:t>–</w:t>
      </w:r>
      <w:r w:rsidR="003C133E" w:rsidRPr="00924038">
        <w:t xml:space="preserve"> this </w:t>
      </w:r>
      <w:r w:rsidR="00995A43" w:rsidRPr="00924038">
        <w:t>allowed certainty to be delivered to a respondent in settling what had originally been</w:t>
      </w:r>
      <w:r w:rsidR="003C133E" w:rsidRPr="00924038">
        <w:t xml:space="preserve"> commenced</w:t>
      </w:r>
      <w:r w:rsidR="00995A43" w:rsidRPr="00924038">
        <w:t xml:space="preserve"> </w:t>
      </w:r>
      <w:r w:rsidR="00F22C46" w:rsidRPr="00924038">
        <w:t xml:space="preserve">as </w:t>
      </w:r>
      <w:r w:rsidR="00995A43" w:rsidRPr="00924038">
        <w:t>closed class</w:t>
      </w:r>
      <w:r w:rsidR="000214F8" w:rsidRPr="00924038">
        <w:t xml:space="preserve"> proceedings</w:t>
      </w:r>
      <w:r w:rsidR="00B410D7" w:rsidRPr="00924038">
        <w:t xml:space="preserve"> (</w:t>
      </w:r>
      <w:r w:rsidR="00B410D7" w:rsidRPr="00924038">
        <w:rPr>
          <w:szCs w:val="24"/>
        </w:rPr>
        <w:t>although this, in turn created its own controversies</w:t>
      </w:r>
      <w:r w:rsidR="00F22C46" w:rsidRPr="00924038">
        <w:rPr>
          <w:szCs w:val="24"/>
        </w:rPr>
        <w:t>,</w:t>
      </w:r>
      <w:r w:rsidR="00F32E9E" w:rsidRPr="00924038">
        <w:rPr>
          <w:szCs w:val="24"/>
        </w:rPr>
        <w:t xml:space="preserve"> which now appear </w:t>
      </w:r>
      <w:r w:rsidR="009C1DAA" w:rsidRPr="00924038">
        <w:rPr>
          <w:szCs w:val="24"/>
        </w:rPr>
        <w:t xml:space="preserve">to be largely </w:t>
      </w:r>
      <w:r w:rsidR="00F32E9E" w:rsidRPr="00924038">
        <w:rPr>
          <w:szCs w:val="24"/>
        </w:rPr>
        <w:t>resolved: see</w:t>
      </w:r>
      <w:r w:rsidR="009C1DAA" w:rsidRPr="00924038">
        <w:rPr>
          <w:i/>
          <w:szCs w:val="24"/>
        </w:rPr>
        <w:t xml:space="preserve"> </w:t>
      </w:r>
      <w:r w:rsidR="00F32E9E" w:rsidRPr="00924038">
        <w:rPr>
          <w:i/>
          <w:szCs w:val="24"/>
        </w:rPr>
        <w:t xml:space="preserve">Melbourne City Investments Pty Ltd v Treasury Wine Estates Ltd </w:t>
      </w:r>
      <w:r w:rsidR="009C1DAA" w:rsidRPr="00924038">
        <w:rPr>
          <w:lang w:val="en"/>
        </w:rPr>
        <w:t>[2017] FCAFC 98</w:t>
      </w:r>
      <w:r w:rsidR="00F22C46" w:rsidRPr="00924038">
        <w:rPr>
          <w:lang w:val="en"/>
        </w:rPr>
        <w:t>; (2017) 252 FCR 1</w:t>
      </w:r>
      <w:r w:rsidR="009C1DAA" w:rsidRPr="00924038">
        <w:rPr>
          <w:szCs w:val="24"/>
        </w:rPr>
        <w:t xml:space="preserve"> at </w:t>
      </w:r>
      <w:r w:rsidR="00F22C46" w:rsidRPr="00924038">
        <w:rPr>
          <w:szCs w:val="24"/>
        </w:rPr>
        <w:t xml:space="preserve">20-22 </w:t>
      </w:r>
      <w:r w:rsidR="009C1DAA" w:rsidRPr="00924038">
        <w:rPr>
          <w:szCs w:val="24"/>
        </w:rPr>
        <w:t>[70]</w:t>
      </w:r>
      <w:r w:rsidR="00F22C46" w:rsidRPr="00924038">
        <w:rPr>
          <w:szCs w:val="24"/>
        </w:rPr>
        <w:t>-</w:t>
      </w:r>
      <w:r w:rsidR="009C1DAA" w:rsidRPr="00924038">
        <w:rPr>
          <w:szCs w:val="24"/>
        </w:rPr>
        <w:t>[76]</w:t>
      </w:r>
      <w:r w:rsidR="00F22C46" w:rsidRPr="00924038">
        <w:rPr>
          <w:szCs w:val="24"/>
        </w:rPr>
        <w:t xml:space="preserve"> per Jagot, Yates and Murphy JJ</w:t>
      </w:r>
      <w:r w:rsidR="00D73988" w:rsidRPr="00924038">
        <w:rPr>
          <w:szCs w:val="24"/>
        </w:rPr>
        <w:t>)</w:t>
      </w:r>
      <w:r w:rsidR="00F32E9E" w:rsidRPr="00924038">
        <w:rPr>
          <w:szCs w:val="24"/>
        </w:rPr>
        <w:t>.</w:t>
      </w:r>
    </w:p>
    <w:p w:rsidR="00A67BF8" w:rsidRPr="00924038" w:rsidRDefault="00657895" w:rsidP="00A67BF8">
      <w:pPr>
        <w:pStyle w:val="ParaNumbering"/>
      </w:pPr>
      <w:r w:rsidRPr="00924038">
        <w:t xml:space="preserve">But </w:t>
      </w:r>
      <w:r w:rsidR="00A67BF8" w:rsidRPr="00924038">
        <w:t>how should these arrangements</w:t>
      </w:r>
      <w:r w:rsidR="003C133E" w:rsidRPr="00924038">
        <w:t>,</w:t>
      </w:r>
      <w:r w:rsidR="00A67BF8" w:rsidRPr="00924038">
        <w:t xml:space="preserve"> pursuant </w:t>
      </w:r>
      <w:r w:rsidR="003C133E" w:rsidRPr="00924038">
        <w:t xml:space="preserve">to which </w:t>
      </w:r>
      <w:r w:rsidR="00A67BF8" w:rsidRPr="00924038">
        <w:t>these</w:t>
      </w:r>
      <w:r w:rsidRPr="00924038">
        <w:t xml:space="preserve"> funded proceedings </w:t>
      </w:r>
      <w:r w:rsidR="003C133E" w:rsidRPr="00924038">
        <w:t xml:space="preserve">were brought, </w:t>
      </w:r>
      <w:r w:rsidR="00A67BF8" w:rsidRPr="00924038">
        <w:t>be characterised</w:t>
      </w:r>
      <w:r w:rsidRPr="00924038">
        <w:t xml:space="preserve">?  The </w:t>
      </w:r>
      <w:r w:rsidR="00A67BF8" w:rsidRPr="00924038">
        <w:t xml:space="preserve">superficial answer was </w:t>
      </w:r>
      <w:r w:rsidR="009C1DAA" w:rsidRPr="00924038">
        <w:t xml:space="preserve">simply </w:t>
      </w:r>
      <w:r w:rsidR="00A67BF8" w:rsidRPr="00924038">
        <w:t xml:space="preserve">as a means by which a proceeding governed by Part IVA </w:t>
      </w:r>
      <w:r w:rsidR="00FA2B95" w:rsidRPr="00924038">
        <w:t xml:space="preserve">of the Act </w:t>
      </w:r>
      <w:r w:rsidR="00A67BF8" w:rsidRPr="00924038">
        <w:t xml:space="preserve">could be conducted to the benefit of group members, the funder and the </w:t>
      </w:r>
      <w:r w:rsidR="00920959" w:rsidRPr="00924038">
        <w:t>solicitors</w:t>
      </w:r>
      <w:proofErr w:type="gramStart"/>
      <w:r w:rsidR="00A67BF8" w:rsidRPr="00924038">
        <w:t>.</w:t>
      </w:r>
      <w:r w:rsidR="003C133E" w:rsidRPr="00924038">
        <w:t xml:space="preserve"> </w:t>
      </w:r>
      <w:proofErr w:type="gramEnd"/>
      <w:r w:rsidR="00920959" w:rsidRPr="00924038">
        <w:t xml:space="preserve">A more complex </w:t>
      </w:r>
      <w:r w:rsidRPr="00924038">
        <w:t xml:space="preserve">answer was provided by the Full Court in </w:t>
      </w:r>
      <w:r w:rsidRPr="00924038">
        <w:rPr>
          <w:rStyle w:val="Emphasis"/>
        </w:rPr>
        <w:t>Brookfield Multiplex L</w:t>
      </w:r>
      <w:r w:rsidR="00FA2B95" w:rsidRPr="00924038">
        <w:rPr>
          <w:rStyle w:val="Emphasis"/>
        </w:rPr>
        <w:t>td</w:t>
      </w:r>
      <w:r w:rsidRPr="00924038">
        <w:rPr>
          <w:rStyle w:val="Emphasis"/>
        </w:rPr>
        <w:t xml:space="preserve"> v International Litigation Funding Partners Pte Ltd</w:t>
      </w:r>
      <w:r w:rsidRPr="00924038">
        <w:t xml:space="preserve"> </w:t>
      </w:r>
      <w:r w:rsidR="00FA2B95" w:rsidRPr="00924038">
        <w:t xml:space="preserve">[2009] FCAFC 147; </w:t>
      </w:r>
      <w:r w:rsidRPr="00924038">
        <w:t xml:space="preserve">(2009) 180 FCR 11, where the </w:t>
      </w:r>
      <w:r w:rsidR="00920959" w:rsidRPr="00924038">
        <w:rPr>
          <w:rFonts w:eastAsia="Times New Roman"/>
          <w:lang w:eastAsia="en-AU"/>
        </w:rPr>
        <w:t>majority</w:t>
      </w:r>
      <w:r w:rsidR="00FA2B95" w:rsidRPr="00924038">
        <w:rPr>
          <w:rFonts w:eastAsia="Times New Roman"/>
          <w:lang w:eastAsia="en-AU"/>
        </w:rPr>
        <w:t xml:space="preserve"> (Sundberg and Dowsett JJ)</w:t>
      </w:r>
      <w:r w:rsidR="00920959" w:rsidRPr="00924038">
        <w:rPr>
          <w:rFonts w:eastAsia="Times New Roman"/>
          <w:lang w:eastAsia="en-AU"/>
        </w:rPr>
        <w:t xml:space="preserve"> found </w:t>
      </w:r>
      <w:r w:rsidR="00FA2B95" w:rsidRPr="00924038">
        <w:rPr>
          <w:rFonts w:eastAsia="Times New Roman"/>
          <w:lang w:eastAsia="en-AU"/>
        </w:rPr>
        <w:t xml:space="preserve">that </w:t>
      </w:r>
      <w:r w:rsidR="00920959" w:rsidRPr="00924038">
        <w:rPr>
          <w:rFonts w:eastAsia="Times New Roman"/>
          <w:lang w:eastAsia="en-AU"/>
        </w:rPr>
        <w:t>the</w:t>
      </w:r>
      <w:r w:rsidRPr="00924038">
        <w:rPr>
          <w:rFonts w:eastAsia="Times New Roman"/>
          <w:lang w:eastAsia="en-AU"/>
        </w:rPr>
        <w:t xml:space="preserve"> bilateral (or, with the solicitors, trilateral) arrangements pursuant to which these </w:t>
      </w:r>
      <w:r w:rsidR="00A67BF8" w:rsidRPr="00924038">
        <w:rPr>
          <w:rFonts w:eastAsia="Times New Roman"/>
          <w:lang w:eastAsia="en-AU"/>
        </w:rPr>
        <w:t>funded</w:t>
      </w:r>
      <w:r w:rsidRPr="00924038">
        <w:rPr>
          <w:rFonts w:eastAsia="Times New Roman"/>
          <w:lang w:eastAsia="en-AU"/>
        </w:rPr>
        <w:t xml:space="preserve"> class actions were</w:t>
      </w:r>
      <w:r w:rsidR="00A67BF8" w:rsidRPr="00924038">
        <w:rPr>
          <w:rFonts w:eastAsia="Times New Roman"/>
          <w:lang w:eastAsia="en-AU"/>
        </w:rPr>
        <w:t xml:space="preserve"> conducted were unregistered</w:t>
      </w:r>
      <w:r w:rsidRPr="00924038">
        <w:rPr>
          <w:rFonts w:eastAsia="Times New Roman"/>
          <w:lang w:eastAsia="en-AU"/>
        </w:rPr>
        <w:t xml:space="preserve"> managed investment scheme</w:t>
      </w:r>
      <w:r w:rsidR="00A67BF8" w:rsidRPr="00924038">
        <w:rPr>
          <w:rFonts w:eastAsia="Times New Roman"/>
          <w:lang w:eastAsia="en-AU"/>
        </w:rPr>
        <w:t>s</w:t>
      </w:r>
      <w:r w:rsidRPr="00924038">
        <w:rPr>
          <w:rFonts w:eastAsia="Times New Roman"/>
          <w:lang w:eastAsia="en-AU"/>
        </w:rPr>
        <w:t xml:space="preserve"> for the purposes of the </w:t>
      </w:r>
      <w:r w:rsidRPr="00924038">
        <w:rPr>
          <w:rFonts w:eastAsia="Times New Roman"/>
          <w:i/>
          <w:iCs/>
          <w:lang w:eastAsia="en-AU"/>
        </w:rPr>
        <w:t>Corporations Act 2001</w:t>
      </w:r>
      <w:r w:rsidRPr="00924038">
        <w:rPr>
          <w:rFonts w:eastAsia="Times New Roman"/>
          <w:lang w:eastAsia="en-AU"/>
        </w:rPr>
        <w:t xml:space="preserve"> (Cth).</w:t>
      </w:r>
      <w:r w:rsidR="00A67BF8" w:rsidRPr="00924038">
        <w:t xml:space="preserve"> </w:t>
      </w:r>
      <w:r w:rsidR="00E51819" w:rsidRPr="00924038">
        <w:t xml:space="preserve"> </w:t>
      </w:r>
      <w:r w:rsidR="00D73988" w:rsidRPr="00924038">
        <w:rPr>
          <w:rFonts w:eastAsia="Times New Roman"/>
          <w:lang w:eastAsia="en-AU"/>
        </w:rPr>
        <w:t xml:space="preserve">A majority of the Full Court </w:t>
      </w:r>
      <w:r w:rsidR="003C133E" w:rsidRPr="00924038">
        <w:rPr>
          <w:rFonts w:eastAsia="Times New Roman"/>
          <w:lang w:eastAsia="en-AU"/>
        </w:rPr>
        <w:t>held</w:t>
      </w:r>
      <w:r w:rsidR="00A67BF8" w:rsidRPr="00924038">
        <w:rPr>
          <w:rFonts w:eastAsia="Times New Roman"/>
          <w:lang w:eastAsia="en-AU"/>
        </w:rPr>
        <w:t xml:space="preserve"> that the class </w:t>
      </w:r>
      <w:r w:rsidR="00A67BF8" w:rsidRPr="00924038">
        <w:rPr>
          <w:rFonts w:eastAsia="Times New Roman"/>
          <w:lang w:eastAsia="en-AU"/>
        </w:rPr>
        <w:lastRenderedPageBreak/>
        <w:t>action (or, more particularly, the scheme constituted by the agreements which allowed the class action to be funded and maintained) had the following characteristics: (a) t</w:t>
      </w:r>
      <w:r w:rsidR="00A67BF8" w:rsidRPr="00924038">
        <w:rPr>
          <w:rFonts w:eastAsia="Times New Roman"/>
          <w:szCs w:val="24"/>
          <w:lang w:eastAsia="en-AU"/>
        </w:rPr>
        <w:t xml:space="preserve">he promises given by the </w:t>
      </w:r>
      <w:r w:rsidR="00FA2B95" w:rsidRPr="00924038">
        <w:rPr>
          <w:rFonts w:eastAsia="Times New Roman"/>
          <w:szCs w:val="24"/>
          <w:lang w:eastAsia="en-AU"/>
        </w:rPr>
        <w:t>group</w:t>
      </w:r>
      <w:r w:rsidR="004834D0" w:rsidRPr="00924038">
        <w:rPr>
          <w:rFonts w:eastAsia="Times New Roman"/>
          <w:szCs w:val="24"/>
          <w:lang w:eastAsia="en-AU"/>
        </w:rPr>
        <w:t xml:space="preserve"> members and the funder were ‘money’s worth’</w:t>
      </w:r>
      <w:r w:rsidR="00A67BF8" w:rsidRPr="00924038">
        <w:rPr>
          <w:rFonts w:eastAsia="Times New Roman"/>
          <w:szCs w:val="24"/>
          <w:lang w:eastAsia="en-AU"/>
        </w:rPr>
        <w:t xml:space="preserve"> contributed for the purposes of the litigation funding arrangement made in return for their acquiring rights to share in any judgment sum, and the benefit of the funder</w:t>
      </w:r>
      <w:r w:rsidR="00FA2B95" w:rsidRPr="00924038">
        <w:rPr>
          <w:rFonts w:eastAsia="Times New Roman"/>
          <w:szCs w:val="24"/>
          <w:lang w:eastAsia="en-AU"/>
        </w:rPr>
        <w:t>’</w:t>
      </w:r>
      <w:r w:rsidR="00A67BF8" w:rsidRPr="00924038">
        <w:rPr>
          <w:rFonts w:eastAsia="Times New Roman"/>
          <w:szCs w:val="24"/>
          <w:lang w:eastAsia="en-AU"/>
        </w:rPr>
        <w:t xml:space="preserve">s promises to meet legal costs; (b) the opportunity to prosecute a claim, with virtually no exposure to any costs or outgoings in the event of failure, was a benefit accruing to </w:t>
      </w:r>
      <w:r w:rsidR="00FA2B95" w:rsidRPr="00924038">
        <w:rPr>
          <w:rFonts w:eastAsia="Times New Roman"/>
          <w:szCs w:val="24"/>
          <w:lang w:eastAsia="en-AU"/>
        </w:rPr>
        <w:t>group</w:t>
      </w:r>
      <w:r w:rsidR="00A67BF8" w:rsidRPr="00924038">
        <w:rPr>
          <w:rFonts w:eastAsia="Times New Roman"/>
          <w:szCs w:val="24"/>
          <w:lang w:eastAsia="en-AU"/>
        </w:rPr>
        <w:t xml:space="preserve"> members produced as a result of all parties carrying out their obligations under the scheme and that a successful prosecution of those claims would yield financial benefits to </w:t>
      </w:r>
      <w:r w:rsidR="00FA2B95" w:rsidRPr="00924038">
        <w:rPr>
          <w:rFonts w:eastAsia="Times New Roman"/>
          <w:szCs w:val="24"/>
          <w:lang w:eastAsia="en-AU"/>
        </w:rPr>
        <w:t xml:space="preserve">group </w:t>
      </w:r>
      <w:r w:rsidR="00A67BF8" w:rsidRPr="00924038">
        <w:rPr>
          <w:rFonts w:eastAsia="Times New Roman"/>
          <w:szCs w:val="24"/>
          <w:lang w:eastAsia="en-AU"/>
        </w:rPr>
        <w:t>members, the funder and, indirectly, the solicitors; (c) the pooling of contributions</w:t>
      </w:r>
      <w:r w:rsidR="0050459F" w:rsidRPr="00924038">
        <w:rPr>
          <w:rFonts w:eastAsia="Times New Roman"/>
          <w:szCs w:val="24"/>
          <w:lang w:eastAsia="en-AU"/>
        </w:rPr>
        <w:t xml:space="preserve">, which </w:t>
      </w:r>
      <w:r w:rsidR="005D75A0" w:rsidRPr="00924038">
        <w:rPr>
          <w:rFonts w:eastAsia="Times New Roman"/>
          <w:szCs w:val="24"/>
          <w:lang w:eastAsia="en-AU"/>
        </w:rPr>
        <w:t xml:space="preserve">was effected by the </w:t>
      </w:r>
      <w:r w:rsidR="00FA2B95" w:rsidRPr="00924038">
        <w:rPr>
          <w:rFonts w:eastAsia="Times New Roman"/>
          <w:szCs w:val="24"/>
          <w:lang w:eastAsia="en-AU"/>
        </w:rPr>
        <w:t>group</w:t>
      </w:r>
      <w:r w:rsidR="00A67BF8" w:rsidRPr="00924038">
        <w:rPr>
          <w:rFonts w:eastAsia="Times New Roman"/>
          <w:szCs w:val="24"/>
          <w:lang w:eastAsia="en-AU"/>
        </w:rPr>
        <w:t xml:space="preserve"> members making their individual promises available for the purposes </w:t>
      </w:r>
      <w:r w:rsidR="005D75A0" w:rsidRPr="00924038">
        <w:rPr>
          <w:rFonts w:eastAsia="Times New Roman"/>
          <w:szCs w:val="24"/>
          <w:lang w:eastAsia="en-AU"/>
        </w:rPr>
        <w:t xml:space="preserve">and benefit </w:t>
      </w:r>
      <w:r w:rsidR="00A67BF8" w:rsidRPr="00924038">
        <w:rPr>
          <w:rFonts w:eastAsia="Times New Roman"/>
          <w:szCs w:val="24"/>
          <w:lang w:eastAsia="en-AU"/>
        </w:rPr>
        <w:t>of the scheme and, ultimately, for the funder</w:t>
      </w:r>
      <w:r w:rsidR="00FA2B95" w:rsidRPr="00924038">
        <w:rPr>
          <w:rFonts w:eastAsia="Times New Roman"/>
          <w:szCs w:val="24"/>
          <w:lang w:eastAsia="en-AU"/>
        </w:rPr>
        <w:t>’</w:t>
      </w:r>
      <w:r w:rsidR="00A67BF8" w:rsidRPr="00924038">
        <w:rPr>
          <w:rFonts w:eastAsia="Times New Roman"/>
          <w:szCs w:val="24"/>
          <w:lang w:eastAsia="en-AU"/>
        </w:rPr>
        <w:t>s benefit; (d) the litigation funding arrangement was a common enterprise</w:t>
      </w:r>
      <w:r w:rsidR="0050459F" w:rsidRPr="00924038">
        <w:rPr>
          <w:rFonts w:eastAsia="Times New Roman"/>
          <w:szCs w:val="24"/>
          <w:lang w:eastAsia="en-AU"/>
        </w:rPr>
        <w:t xml:space="preserve"> in that</w:t>
      </w:r>
      <w:r w:rsidR="00A67BF8" w:rsidRPr="00924038">
        <w:rPr>
          <w:rFonts w:eastAsia="Times New Roman"/>
          <w:szCs w:val="24"/>
          <w:lang w:eastAsia="en-AU"/>
        </w:rPr>
        <w:t xml:space="preserve"> there was a shared purpose of pursuing </w:t>
      </w:r>
      <w:r w:rsidR="00FA2B95" w:rsidRPr="00924038">
        <w:rPr>
          <w:rFonts w:eastAsia="Times New Roman"/>
          <w:szCs w:val="24"/>
          <w:lang w:eastAsia="en-AU"/>
        </w:rPr>
        <w:t>group</w:t>
      </w:r>
      <w:r w:rsidR="00A67BF8" w:rsidRPr="00924038">
        <w:rPr>
          <w:rFonts w:eastAsia="Times New Roman"/>
          <w:szCs w:val="24"/>
          <w:lang w:eastAsia="en-AU"/>
        </w:rPr>
        <w:t xml:space="preserve"> mem</w:t>
      </w:r>
      <w:r w:rsidR="004834D0" w:rsidRPr="00924038">
        <w:rPr>
          <w:rFonts w:eastAsia="Times New Roman"/>
          <w:szCs w:val="24"/>
          <w:lang w:eastAsia="en-AU"/>
        </w:rPr>
        <w:t xml:space="preserve">bers’ </w:t>
      </w:r>
      <w:r w:rsidR="00A67BF8" w:rsidRPr="00924038">
        <w:rPr>
          <w:rFonts w:eastAsia="Times New Roman"/>
          <w:szCs w:val="24"/>
          <w:lang w:eastAsia="en-AU"/>
        </w:rPr>
        <w:t xml:space="preserve">claims successfully that would then benefit the </w:t>
      </w:r>
      <w:r w:rsidR="00FA2B95" w:rsidRPr="00924038">
        <w:rPr>
          <w:rFonts w:eastAsia="Times New Roman"/>
          <w:szCs w:val="24"/>
          <w:lang w:eastAsia="en-AU"/>
        </w:rPr>
        <w:t>group</w:t>
      </w:r>
      <w:r w:rsidR="00A67BF8" w:rsidRPr="00924038">
        <w:rPr>
          <w:rFonts w:eastAsia="Times New Roman"/>
          <w:szCs w:val="24"/>
          <w:lang w:eastAsia="en-AU"/>
        </w:rPr>
        <w:t xml:space="preserve"> members, the funder and the solicitors.</w:t>
      </w:r>
    </w:p>
    <w:p w:rsidR="00A67BF8" w:rsidRPr="00924038" w:rsidRDefault="003415E9" w:rsidP="00A67BF8">
      <w:pPr>
        <w:pStyle w:val="ParaNumbering"/>
        <w:rPr>
          <w:rFonts w:eastAsia="Times New Roman"/>
          <w:szCs w:val="24"/>
          <w:lang w:eastAsia="en-AU"/>
        </w:rPr>
      </w:pPr>
      <w:r w:rsidRPr="00924038">
        <w:rPr>
          <w:rFonts w:eastAsia="Times New Roman"/>
          <w:szCs w:val="24"/>
          <w:lang w:eastAsia="en-AU"/>
        </w:rPr>
        <w:t>T</w:t>
      </w:r>
      <w:r w:rsidR="00A67BF8" w:rsidRPr="00924038">
        <w:rPr>
          <w:rFonts w:eastAsia="Times New Roman"/>
          <w:szCs w:val="24"/>
          <w:lang w:eastAsia="en-AU"/>
        </w:rPr>
        <w:t xml:space="preserve">he </w:t>
      </w:r>
      <w:r w:rsidR="00920959" w:rsidRPr="00924038">
        <w:rPr>
          <w:rFonts w:eastAsia="Times New Roman"/>
          <w:szCs w:val="24"/>
          <w:lang w:eastAsia="en-AU"/>
        </w:rPr>
        <w:t xml:space="preserve">Full Court’s </w:t>
      </w:r>
      <w:r w:rsidR="009C1DAA" w:rsidRPr="00924038">
        <w:rPr>
          <w:rFonts w:eastAsia="Times New Roman"/>
          <w:szCs w:val="24"/>
          <w:lang w:eastAsia="en-AU"/>
        </w:rPr>
        <w:t>conclusions</w:t>
      </w:r>
      <w:r w:rsidR="00A67BF8" w:rsidRPr="00924038">
        <w:rPr>
          <w:rFonts w:eastAsia="Times New Roman"/>
          <w:szCs w:val="24"/>
          <w:lang w:eastAsia="en-AU"/>
        </w:rPr>
        <w:t xml:space="preserve"> </w:t>
      </w:r>
      <w:r w:rsidR="009C1DAA" w:rsidRPr="00924038">
        <w:rPr>
          <w:rFonts w:eastAsia="Times New Roman"/>
          <w:szCs w:val="24"/>
          <w:lang w:eastAsia="en-AU"/>
        </w:rPr>
        <w:t xml:space="preserve">remain authoritative </w:t>
      </w:r>
      <w:r w:rsidR="00920959" w:rsidRPr="00924038">
        <w:rPr>
          <w:rFonts w:eastAsia="Times New Roman"/>
          <w:szCs w:val="24"/>
          <w:lang w:eastAsia="en-AU"/>
        </w:rPr>
        <w:t>as a statement of how at least two of the three arrangements put in place for the prosecution of a class action against the present respondent</w:t>
      </w:r>
      <w:r w:rsidR="003B1B4C" w:rsidRPr="00924038">
        <w:rPr>
          <w:rFonts w:eastAsia="Times New Roman"/>
          <w:szCs w:val="24"/>
          <w:lang w:eastAsia="en-AU"/>
        </w:rPr>
        <w:t xml:space="preserve"> should be conceptualised</w:t>
      </w:r>
      <w:r w:rsidR="00920959" w:rsidRPr="00924038">
        <w:rPr>
          <w:rFonts w:eastAsia="Times New Roman"/>
          <w:szCs w:val="24"/>
          <w:lang w:eastAsia="en-AU"/>
        </w:rPr>
        <w:t>.  Th</w:t>
      </w:r>
      <w:r w:rsidR="003B1B4C" w:rsidRPr="00924038">
        <w:rPr>
          <w:rFonts w:eastAsia="Times New Roman"/>
          <w:szCs w:val="24"/>
          <w:lang w:eastAsia="en-AU"/>
        </w:rPr>
        <w:t xml:space="preserve">is is notwithstanding the fact that unlike </w:t>
      </w:r>
      <w:r w:rsidR="00022E40">
        <w:rPr>
          <w:rFonts w:eastAsia="Times New Roman"/>
          <w:i/>
          <w:szCs w:val="24"/>
          <w:lang w:eastAsia="en-AU"/>
        </w:rPr>
        <w:t xml:space="preserve">Brookfield </w:t>
      </w:r>
      <w:r w:rsidR="003B1B4C" w:rsidRPr="00924038">
        <w:rPr>
          <w:rFonts w:eastAsia="Times New Roman"/>
          <w:i/>
          <w:szCs w:val="24"/>
          <w:lang w:eastAsia="en-AU"/>
        </w:rPr>
        <w:t>Multiplex</w:t>
      </w:r>
      <w:r w:rsidR="003B1B4C" w:rsidRPr="00924038">
        <w:rPr>
          <w:rFonts w:eastAsia="Times New Roman"/>
          <w:szCs w:val="24"/>
          <w:lang w:eastAsia="en-AU"/>
        </w:rPr>
        <w:t xml:space="preserve">, all of the class actions with which we are concerned are open class.  </w:t>
      </w:r>
      <w:r w:rsidR="00534E4B" w:rsidRPr="00924038">
        <w:rPr>
          <w:rFonts w:eastAsia="Times New Roman"/>
          <w:szCs w:val="24"/>
          <w:lang w:eastAsia="en-AU"/>
        </w:rPr>
        <w:t>As will be explained, t</w:t>
      </w:r>
      <w:r w:rsidR="003B1B4C" w:rsidRPr="00924038">
        <w:rPr>
          <w:rFonts w:eastAsia="Times New Roman"/>
          <w:szCs w:val="24"/>
          <w:lang w:eastAsia="en-AU"/>
        </w:rPr>
        <w:t xml:space="preserve">wo of the three class actions involve the now familiar arrangement of funding agreements being signed by </w:t>
      </w:r>
      <w:r w:rsidR="00742186" w:rsidRPr="00924038">
        <w:rPr>
          <w:rFonts w:eastAsia="Times New Roman"/>
          <w:szCs w:val="24"/>
          <w:lang w:eastAsia="en-AU"/>
        </w:rPr>
        <w:t>a number</w:t>
      </w:r>
      <w:r w:rsidR="003B1B4C" w:rsidRPr="00924038">
        <w:rPr>
          <w:rFonts w:eastAsia="Times New Roman"/>
          <w:szCs w:val="24"/>
          <w:lang w:eastAsia="en-AU"/>
        </w:rPr>
        <w:t xml:space="preserve"> </w:t>
      </w:r>
      <w:r w:rsidR="00102681" w:rsidRPr="00924038">
        <w:rPr>
          <w:rFonts w:eastAsia="Times New Roman"/>
          <w:szCs w:val="24"/>
          <w:lang w:eastAsia="en-AU"/>
        </w:rPr>
        <w:t xml:space="preserve">of </w:t>
      </w:r>
      <w:r w:rsidR="003B1B4C" w:rsidRPr="00924038">
        <w:rPr>
          <w:rFonts w:eastAsia="Times New Roman"/>
          <w:szCs w:val="24"/>
          <w:lang w:eastAsia="en-AU"/>
        </w:rPr>
        <w:t>group members</w:t>
      </w:r>
      <w:r w:rsidR="00742186" w:rsidRPr="00924038">
        <w:rPr>
          <w:rFonts w:eastAsia="Times New Roman"/>
          <w:szCs w:val="24"/>
          <w:lang w:eastAsia="en-AU"/>
        </w:rPr>
        <w:t xml:space="preserve"> and hence involve contractual relationship</w:t>
      </w:r>
      <w:r w:rsidR="00102681" w:rsidRPr="00924038">
        <w:rPr>
          <w:rFonts w:eastAsia="Times New Roman"/>
          <w:szCs w:val="24"/>
          <w:lang w:eastAsia="en-AU"/>
        </w:rPr>
        <w:t>s</w:t>
      </w:r>
      <w:r w:rsidR="00742186" w:rsidRPr="00924038">
        <w:rPr>
          <w:rFonts w:eastAsia="Times New Roman"/>
          <w:szCs w:val="24"/>
          <w:lang w:eastAsia="en-AU"/>
        </w:rPr>
        <w:t xml:space="preserve"> similar, but not identical, to </w:t>
      </w:r>
      <w:r w:rsidR="00102681" w:rsidRPr="00924038">
        <w:rPr>
          <w:rFonts w:eastAsia="Times New Roman"/>
          <w:szCs w:val="24"/>
          <w:lang w:eastAsia="en-AU"/>
        </w:rPr>
        <w:t xml:space="preserve">those involved in </w:t>
      </w:r>
      <w:r w:rsidR="00022E40">
        <w:rPr>
          <w:rFonts w:eastAsia="Times New Roman"/>
          <w:i/>
          <w:szCs w:val="24"/>
          <w:lang w:eastAsia="en-AU"/>
        </w:rPr>
        <w:t xml:space="preserve">Brookfield </w:t>
      </w:r>
      <w:r w:rsidR="00742186" w:rsidRPr="00924038">
        <w:rPr>
          <w:rFonts w:eastAsia="Times New Roman"/>
          <w:i/>
          <w:szCs w:val="24"/>
          <w:lang w:eastAsia="en-AU"/>
        </w:rPr>
        <w:t>Multiplex</w:t>
      </w:r>
      <w:r w:rsidR="003B1B4C" w:rsidRPr="00924038">
        <w:rPr>
          <w:rFonts w:eastAsia="Times New Roman"/>
          <w:szCs w:val="24"/>
          <w:lang w:eastAsia="en-AU"/>
        </w:rPr>
        <w:t xml:space="preserve">.  The </w:t>
      </w:r>
      <w:r w:rsidR="0009151A" w:rsidRPr="00924038">
        <w:rPr>
          <w:rFonts w:eastAsia="Times New Roman"/>
          <w:szCs w:val="24"/>
          <w:lang w:eastAsia="en-AU"/>
        </w:rPr>
        <w:t>third</w:t>
      </w:r>
      <w:r w:rsidR="003B1B4C" w:rsidRPr="00924038">
        <w:rPr>
          <w:rFonts w:eastAsia="Times New Roman"/>
          <w:szCs w:val="24"/>
          <w:lang w:eastAsia="en-AU"/>
        </w:rPr>
        <w:t xml:space="preserve"> </w:t>
      </w:r>
      <w:r w:rsidR="00742186" w:rsidRPr="00924038">
        <w:rPr>
          <w:rFonts w:eastAsia="Times New Roman"/>
          <w:szCs w:val="24"/>
          <w:lang w:eastAsia="en-AU"/>
        </w:rPr>
        <w:t xml:space="preserve">involves </w:t>
      </w:r>
      <w:r w:rsidR="004834D0" w:rsidRPr="00924038">
        <w:rPr>
          <w:rFonts w:eastAsia="Times New Roman"/>
          <w:szCs w:val="24"/>
          <w:lang w:eastAsia="en-AU"/>
        </w:rPr>
        <w:t>no funding agreements in the conventional sense (as between group members and the funder) but a single agreement to fund the litigation, relying</w:t>
      </w:r>
      <w:r w:rsidR="003B1B4C" w:rsidRPr="00924038">
        <w:rPr>
          <w:rFonts w:eastAsia="Times New Roman"/>
          <w:szCs w:val="24"/>
          <w:lang w:eastAsia="en-AU"/>
        </w:rPr>
        <w:t xml:space="preserve"> on the Court making a common fund order.  This </w:t>
      </w:r>
      <w:r w:rsidR="00742186" w:rsidRPr="00924038">
        <w:rPr>
          <w:rFonts w:eastAsia="Times New Roman"/>
          <w:szCs w:val="24"/>
          <w:lang w:eastAsia="en-AU"/>
        </w:rPr>
        <w:t xml:space="preserve">characterisation </w:t>
      </w:r>
      <w:r w:rsidR="003B1B4C" w:rsidRPr="00924038">
        <w:rPr>
          <w:rFonts w:eastAsia="Times New Roman"/>
          <w:szCs w:val="24"/>
          <w:lang w:eastAsia="en-AU"/>
        </w:rPr>
        <w:t xml:space="preserve">point </w:t>
      </w:r>
      <w:r w:rsidR="000A12B8">
        <w:rPr>
          <w:rFonts w:eastAsia="Times New Roman"/>
          <w:szCs w:val="24"/>
          <w:lang w:eastAsia="en-AU"/>
        </w:rPr>
        <w:t xml:space="preserve">is significant in that this type of litigation, unlike conventional litigation, is one where there exists a </w:t>
      </w:r>
      <w:r w:rsidR="000A12B8" w:rsidRPr="000A12B8">
        <w:rPr>
          <w:rFonts w:eastAsia="Times New Roman"/>
          <w:i/>
          <w:szCs w:val="24"/>
          <w:lang w:eastAsia="en-AU"/>
        </w:rPr>
        <w:t>shared purpose</w:t>
      </w:r>
      <w:r w:rsidR="000A12B8">
        <w:rPr>
          <w:rFonts w:eastAsia="Times New Roman"/>
          <w:szCs w:val="24"/>
          <w:lang w:eastAsia="en-AU"/>
        </w:rPr>
        <w:t xml:space="preserve"> of each of the participants in the enterprise which transcends the representative applicants’ </w:t>
      </w:r>
      <w:r w:rsidR="000A12B8" w:rsidRPr="000A12B8">
        <w:rPr>
          <w:rFonts w:eastAsia="Times New Roman"/>
          <w:i/>
          <w:szCs w:val="24"/>
          <w:lang w:eastAsia="en-AU"/>
        </w:rPr>
        <w:t>individual purpose</w:t>
      </w:r>
      <w:r w:rsidR="000A12B8">
        <w:rPr>
          <w:rFonts w:eastAsia="Times New Roman"/>
          <w:szCs w:val="24"/>
          <w:lang w:eastAsia="en-AU"/>
        </w:rPr>
        <w:t xml:space="preserve"> to maintain their claim for statutory compensation.  It will be necessary to return to thus unusual aspect of Part IVA funded proceedings below.  This characterisation is also useful in </w:t>
      </w:r>
      <w:r w:rsidR="00102681" w:rsidRPr="00924038">
        <w:rPr>
          <w:rFonts w:eastAsia="Times New Roman"/>
          <w:szCs w:val="24"/>
          <w:lang w:eastAsia="en-AU"/>
        </w:rPr>
        <w:t xml:space="preserve">illustrating </w:t>
      </w:r>
      <w:r w:rsidR="00E677E8" w:rsidRPr="00924038">
        <w:rPr>
          <w:rFonts w:eastAsia="Times New Roman"/>
          <w:szCs w:val="24"/>
          <w:lang w:eastAsia="en-AU"/>
        </w:rPr>
        <w:t>that</w:t>
      </w:r>
      <w:r w:rsidR="003B1B4C" w:rsidRPr="00924038">
        <w:rPr>
          <w:rFonts w:eastAsia="Times New Roman"/>
          <w:szCs w:val="24"/>
          <w:lang w:eastAsia="en-AU"/>
        </w:rPr>
        <w:t xml:space="preserve"> despite their differences, each proceeding, in effect, represents </w:t>
      </w:r>
      <w:r w:rsidR="00A67BF8" w:rsidRPr="00924038">
        <w:rPr>
          <w:rFonts w:eastAsia="Times New Roman"/>
          <w:szCs w:val="24"/>
          <w:lang w:eastAsia="en-AU"/>
        </w:rPr>
        <w:t xml:space="preserve">a common enterprise </w:t>
      </w:r>
      <w:r w:rsidR="003B1B4C" w:rsidRPr="00924038">
        <w:rPr>
          <w:rFonts w:eastAsia="Times New Roman"/>
          <w:szCs w:val="24"/>
          <w:lang w:eastAsia="en-AU"/>
        </w:rPr>
        <w:t>of a commercial character which use</w:t>
      </w:r>
      <w:r w:rsidR="005D75A0" w:rsidRPr="00924038">
        <w:rPr>
          <w:rFonts w:eastAsia="Times New Roman"/>
          <w:szCs w:val="24"/>
          <w:lang w:eastAsia="en-AU"/>
        </w:rPr>
        <w:t xml:space="preserve">s </w:t>
      </w:r>
      <w:r w:rsidR="003B1B4C" w:rsidRPr="00924038">
        <w:rPr>
          <w:rFonts w:eastAsia="Times New Roman"/>
          <w:szCs w:val="24"/>
          <w:lang w:eastAsia="en-AU"/>
        </w:rPr>
        <w:t>the Court’s processes to obtain mutual benefits for each of the group members, the funder and the solicitors</w:t>
      </w:r>
      <w:r w:rsidR="00A67BF8" w:rsidRPr="00924038">
        <w:rPr>
          <w:rFonts w:eastAsia="Times New Roman"/>
          <w:szCs w:val="24"/>
          <w:lang w:eastAsia="en-AU"/>
        </w:rPr>
        <w:t>.</w:t>
      </w:r>
      <w:r w:rsidR="00742186" w:rsidRPr="00924038">
        <w:rPr>
          <w:rFonts w:eastAsia="Times New Roman"/>
          <w:szCs w:val="24"/>
          <w:lang w:eastAsia="en-AU"/>
        </w:rPr>
        <w:t xml:space="preserve">  The use of the processes of the Court in this way </w:t>
      </w:r>
      <w:r w:rsidR="005D75A0" w:rsidRPr="00924038">
        <w:rPr>
          <w:rFonts w:eastAsia="Times New Roman"/>
          <w:szCs w:val="24"/>
          <w:lang w:eastAsia="en-AU"/>
        </w:rPr>
        <w:t xml:space="preserve">is, of course, </w:t>
      </w:r>
      <w:r w:rsidR="003C133E" w:rsidRPr="00924038">
        <w:rPr>
          <w:rFonts w:eastAsia="Times New Roman"/>
          <w:szCs w:val="24"/>
          <w:lang w:eastAsia="en-AU"/>
        </w:rPr>
        <w:t xml:space="preserve">entirely </w:t>
      </w:r>
      <w:r w:rsidR="005D75A0" w:rsidRPr="00924038">
        <w:rPr>
          <w:rFonts w:eastAsia="Times New Roman"/>
          <w:szCs w:val="24"/>
          <w:lang w:eastAsia="en-AU"/>
        </w:rPr>
        <w:t xml:space="preserve">licit, but it </w:t>
      </w:r>
      <w:r w:rsidR="003C133E" w:rsidRPr="00924038">
        <w:rPr>
          <w:rFonts w:eastAsia="Times New Roman"/>
          <w:szCs w:val="24"/>
          <w:lang w:eastAsia="en-AU"/>
        </w:rPr>
        <w:t xml:space="preserve">brings into </w:t>
      </w:r>
      <w:r w:rsidR="00742186" w:rsidRPr="00924038">
        <w:rPr>
          <w:rFonts w:eastAsia="Times New Roman"/>
          <w:szCs w:val="24"/>
          <w:lang w:eastAsia="en-AU"/>
        </w:rPr>
        <w:t xml:space="preserve">focus the </w:t>
      </w:r>
      <w:r w:rsidR="004834D0" w:rsidRPr="00924038">
        <w:rPr>
          <w:rFonts w:eastAsia="Times New Roman"/>
          <w:szCs w:val="24"/>
          <w:lang w:eastAsia="en-AU"/>
        </w:rPr>
        <w:t xml:space="preserve">point I made at the outset: the </w:t>
      </w:r>
      <w:r w:rsidR="00742186" w:rsidRPr="00924038">
        <w:rPr>
          <w:rFonts w:eastAsia="Times New Roman"/>
          <w:szCs w:val="24"/>
          <w:lang w:eastAsia="en-AU"/>
        </w:rPr>
        <w:t>necessity of the Court</w:t>
      </w:r>
      <w:r w:rsidR="0050459F" w:rsidRPr="00924038">
        <w:rPr>
          <w:rFonts w:eastAsia="Times New Roman"/>
          <w:szCs w:val="24"/>
          <w:lang w:eastAsia="en-AU"/>
        </w:rPr>
        <w:t>,</w:t>
      </w:r>
      <w:r w:rsidR="00742186" w:rsidRPr="00924038">
        <w:rPr>
          <w:rFonts w:eastAsia="Times New Roman"/>
          <w:szCs w:val="24"/>
          <w:lang w:eastAsia="en-AU"/>
        </w:rPr>
        <w:t xml:space="preserve"> </w:t>
      </w:r>
      <w:r w:rsidR="00D73988" w:rsidRPr="00924038">
        <w:rPr>
          <w:rFonts w:eastAsia="Times New Roman"/>
          <w:szCs w:val="24"/>
          <w:lang w:eastAsia="en-AU"/>
        </w:rPr>
        <w:t>in safeguarding its processes</w:t>
      </w:r>
      <w:r w:rsidR="0050459F" w:rsidRPr="00924038">
        <w:rPr>
          <w:rFonts w:eastAsia="Times New Roman"/>
          <w:szCs w:val="24"/>
          <w:lang w:eastAsia="en-AU"/>
        </w:rPr>
        <w:t>,</w:t>
      </w:r>
      <w:r w:rsidR="00D73988" w:rsidRPr="00924038">
        <w:rPr>
          <w:rFonts w:eastAsia="Times New Roman"/>
          <w:szCs w:val="24"/>
          <w:lang w:eastAsia="en-AU"/>
        </w:rPr>
        <w:t xml:space="preserve"> to control the </w:t>
      </w:r>
      <w:r w:rsidR="0009151A" w:rsidRPr="00924038">
        <w:rPr>
          <w:rFonts w:eastAsia="Times New Roman"/>
          <w:szCs w:val="24"/>
          <w:lang w:eastAsia="en-AU"/>
        </w:rPr>
        <w:lastRenderedPageBreak/>
        <w:t xml:space="preserve">use </w:t>
      </w:r>
      <w:r w:rsidR="00D73988" w:rsidRPr="00924038">
        <w:rPr>
          <w:rFonts w:eastAsia="Times New Roman"/>
          <w:szCs w:val="24"/>
          <w:lang w:eastAsia="en-AU"/>
        </w:rPr>
        <w:t>of those processes</w:t>
      </w:r>
      <w:r w:rsidR="007646F0" w:rsidRPr="00924038">
        <w:rPr>
          <w:rFonts w:eastAsia="Times New Roman"/>
          <w:szCs w:val="24"/>
          <w:lang w:eastAsia="en-AU"/>
        </w:rPr>
        <w:t xml:space="preserve"> for a commercial enterprise</w:t>
      </w:r>
      <w:r w:rsidR="00D73988" w:rsidRPr="00924038">
        <w:rPr>
          <w:rFonts w:eastAsia="Times New Roman"/>
          <w:szCs w:val="24"/>
          <w:lang w:eastAsia="en-AU"/>
        </w:rPr>
        <w:t xml:space="preserve"> </w:t>
      </w:r>
      <w:r w:rsidR="007646F0" w:rsidRPr="00924038">
        <w:rPr>
          <w:rFonts w:eastAsia="Times New Roman"/>
          <w:szCs w:val="24"/>
          <w:lang w:eastAsia="en-AU"/>
        </w:rPr>
        <w:t>and ensure that any such use</w:t>
      </w:r>
      <w:r w:rsidR="00534E4B" w:rsidRPr="00924038">
        <w:rPr>
          <w:rFonts w:eastAsia="Times New Roman"/>
          <w:szCs w:val="24"/>
          <w:lang w:eastAsia="en-AU"/>
        </w:rPr>
        <w:t xml:space="preserve"> </w:t>
      </w:r>
      <w:r w:rsidR="0009151A" w:rsidRPr="00924038">
        <w:rPr>
          <w:rFonts w:eastAsia="Times New Roman"/>
          <w:szCs w:val="24"/>
          <w:lang w:eastAsia="en-AU"/>
        </w:rPr>
        <w:t xml:space="preserve">is consistent with </w:t>
      </w:r>
      <w:r w:rsidR="00742186" w:rsidRPr="00924038">
        <w:rPr>
          <w:rFonts w:eastAsia="Times New Roman"/>
          <w:szCs w:val="24"/>
          <w:lang w:eastAsia="en-AU"/>
        </w:rPr>
        <w:t xml:space="preserve">the </w:t>
      </w:r>
      <w:r w:rsidR="00251755" w:rsidRPr="00924038">
        <w:rPr>
          <w:rFonts w:eastAsia="Times New Roman"/>
          <w:szCs w:val="24"/>
          <w:lang w:eastAsia="en-AU"/>
        </w:rPr>
        <w:t xml:space="preserve">role of the Court, the </w:t>
      </w:r>
      <w:r w:rsidR="0009151A" w:rsidRPr="00924038">
        <w:rPr>
          <w:lang w:val="en"/>
        </w:rPr>
        <w:t>just and efficient resolution of claims</w:t>
      </w:r>
      <w:r w:rsidR="00251755" w:rsidRPr="00924038">
        <w:rPr>
          <w:lang w:val="en"/>
        </w:rPr>
        <w:t>,</w:t>
      </w:r>
      <w:r w:rsidR="0009151A" w:rsidRPr="00924038">
        <w:rPr>
          <w:lang w:val="en"/>
        </w:rPr>
        <w:t xml:space="preserve"> and </w:t>
      </w:r>
      <w:r w:rsidR="0009151A" w:rsidRPr="00924038">
        <w:t>the Court’s supervisory and protective role</w:t>
      </w:r>
      <w:r w:rsidR="005850B4">
        <w:t xml:space="preserve"> towards </w:t>
      </w:r>
      <w:r w:rsidR="00E14C1B" w:rsidRPr="00924038">
        <w:t>group members</w:t>
      </w:r>
      <w:r w:rsidR="0009151A" w:rsidRPr="00924038">
        <w:t>.</w:t>
      </w:r>
      <w:r w:rsidR="00742186" w:rsidRPr="00924038">
        <w:rPr>
          <w:rFonts w:eastAsia="Times New Roman"/>
          <w:szCs w:val="24"/>
          <w:lang w:eastAsia="en-AU"/>
        </w:rPr>
        <w:t xml:space="preserve"> </w:t>
      </w:r>
    </w:p>
    <w:p w:rsidR="00C47D7B" w:rsidRPr="00924038" w:rsidRDefault="003415E9" w:rsidP="00C47D7B">
      <w:pPr>
        <w:pStyle w:val="ParaNumbering"/>
      </w:pPr>
      <w:r w:rsidRPr="00924038">
        <w:t>Returning to the background narrative, i</w:t>
      </w:r>
      <w:r w:rsidR="00C47D7B" w:rsidRPr="00924038">
        <w:t xml:space="preserve">n May 2010, a Class Order </w:t>
      </w:r>
      <w:r w:rsidR="00103A6C" w:rsidRPr="00924038">
        <w:t xml:space="preserve">(Australian Securities and Investments Commission, </w:t>
      </w:r>
      <w:r w:rsidR="00103A6C" w:rsidRPr="00924038">
        <w:rPr>
          <w:i/>
        </w:rPr>
        <w:t>Class Order</w:t>
      </w:r>
      <w:r w:rsidR="00103A6C" w:rsidRPr="00924038">
        <w:t xml:space="preserve">, [CO10/333], 5 May 2018) </w:t>
      </w:r>
      <w:r w:rsidR="00C47D7B" w:rsidRPr="00924038">
        <w:t xml:space="preserve">exempted funded proceedings from the definition of managed investment schemes </w:t>
      </w:r>
      <w:r w:rsidR="00103A6C" w:rsidRPr="00924038">
        <w:t xml:space="preserve">and </w:t>
      </w:r>
      <w:r w:rsidR="00C47D7B" w:rsidRPr="00924038">
        <w:t xml:space="preserve">also exempted </w:t>
      </w:r>
      <w:r w:rsidRPr="00924038">
        <w:t xml:space="preserve">funders and </w:t>
      </w:r>
      <w:r w:rsidR="00C47D7B" w:rsidRPr="00924038">
        <w:t xml:space="preserve">lawyers from the requirement to hold an Australian Financial Service Licence or act as an authorised representative of a licensee to provide financial services associated with funded proceedings.  According to a discussion paper prepared by the New South Wales Office of the Legal Services Commissioner entitled </w:t>
      </w:r>
      <w:r w:rsidR="00EB0329">
        <w:t>“</w:t>
      </w:r>
      <w:r w:rsidR="00C47D7B" w:rsidRPr="00EB0329">
        <w:rPr>
          <w:i/>
        </w:rPr>
        <w:t>The Regulation of Third Party Litigation Finding in Australia</w:t>
      </w:r>
      <w:r w:rsidR="00EB0329">
        <w:t>”</w:t>
      </w:r>
      <w:r w:rsidR="00C47D7B" w:rsidRPr="00924038">
        <w:t xml:space="preserve"> (March 2012), this had been immediately preceded by an announcement</w:t>
      </w:r>
      <w:r w:rsidRPr="00924038">
        <w:t>,</w:t>
      </w:r>
      <w:r w:rsidR="00C47D7B" w:rsidRPr="00924038">
        <w:t xml:space="preserve"> by the then responsible Minister</w:t>
      </w:r>
      <w:r w:rsidRPr="00924038">
        <w:t>,</w:t>
      </w:r>
      <w:r w:rsidR="00C47D7B" w:rsidRPr="00924038">
        <w:t xml:space="preserve"> noting that the Federal Government recognised that class actions are already subject to a regulatory regime consisting of legislation, court rules, and the legal profession rules protecting the interests of clients and, as a consequence, </w:t>
      </w:r>
      <w:r w:rsidR="00103A6C" w:rsidRPr="00924038">
        <w:t xml:space="preserve">that </w:t>
      </w:r>
      <w:r w:rsidR="00C47D7B" w:rsidRPr="00924038">
        <w:t>the government did not consider it necessary to impose further regulatory burdens for litigation funders.</w:t>
      </w:r>
      <w:r w:rsidRPr="00924038">
        <w:t xml:space="preserve">  The result was a reversion to business as usual, allowing conduct of closed class securities actions, and an environment whereby any regulation was as imposed by legislation governing the conduct of class actions and the Court and, indirectly, by the norms governing the conduct of lawyers.</w:t>
      </w:r>
    </w:p>
    <w:p w:rsidR="00585972" w:rsidRPr="00924038" w:rsidRDefault="003415E9" w:rsidP="00C47D7B">
      <w:pPr>
        <w:pStyle w:val="ParaNumbering"/>
      </w:pPr>
      <w:r w:rsidRPr="00924038">
        <w:t>A</w:t>
      </w:r>
      <w:r w:rsidR="00585972" w:rsidRPr="00924038">
        <w:t>n inevitable consequence of th</w:t>
      </w:r>
      <w:r w:rsidRPr="00924038">
        <w:t xml:space="preserve">e rise of the closed class </w:t>
      </w:r>
      <w:r w:rsidR="00103A6C" w:rsidRPr="00924038">
        <w:t xml:space="preserve">representative proceedings </w:t>
      </w:r>
      <w:r w:rsidRPr="00924038">
        <w:t>was</w:t>
      </w:r>
      <w:r w:rsidR="003B1B4C" w:rsidRPr="00924038">
        <w:t xml:space="preserve"> </w:t>
      </w:r>
      <w:r w:rsidR="00585972" w:rsidRPr="00924038">
        <w:t xml:space="preserve">the rise of the competing class action.  </w:t>
      </w:r>
      <w:r w:rsidR="003B1B4C" w:rsidRPr="00924038">
        <w:t xml:space="preserve">The reason was simple: </w:t>
      </w:r>
      <w:r w:rsidR="00006892" w:rsidRPr="00924038">
        <w:t>i</w:t>
      </w:r>
      <w:r w:rsidR="00585972" w:rsidRPr="00924038">
        <w:t>f a proceeding could be commenced on behalf of only some of the investors</w:t>
      </w:r>
      <w:r w:rsidR="00006892" w:rsidRPr="00924038">
        <w:t>,</w:t>
      </w:r>
      <w:r w:rsidR="00585972" w:rsidRPr="00924038">
        <w:t xml:space="preserve"> then this allowed a further</w:t>
      </w:r>
      <w:r w:rsidR="003C133E" w:rsidRPr="00924038">
        <w:t>,</w:t>
      </w:r>
      <w:r w:rsidR="00585972" w:rsidRPr="00924038">
        <w:t xml:space="preserve"> </w:t>
      </w:r>
      <w:r w:rsidR="00006892" w:rsidRPr="00924038">
        <w:t xml:space="preserve">differently funded </w:t>
      </w:r>
      <w:r w:rsidR="00585972" w:rsidRPr="00924038">
        <w:t xml:space="preserve">class action to </w:t>
      </w:r>
      <w:r w:rsidR="00006892" w:rsidRPr="00924038">
        <w:t>‘</w:t>
      </w:r>
      <w:r w:rsidR="00585972" w:rsidRPr="00924038">
        <w:t>hoover up</w:t>
      </w:r>
      <w:r w:rsidR="00006892" w:rsidRPr="00924038">
        <w:t>’</w:t>
      </w:r>
      <w:r w:rsidR="00585972" w:rsidRPr="00924038">
        <w:t xml:space="preserve"> the balance </w:t>
      </w:r>
      <w:r w:rsidR="003C133E" w:rsidRPr="00924038">
        <w:t>(</w:t>
      </w:r>
      <w:r w:rsidR="00585972" w:rsidRPr="00924038">
        <w:t>or a substantial part</w:t>
      </w:r>
      <w:r w:rsidR="003C133E" w:rsidRPr="00924038">
        <w:t>)</w:t>
      </w:r>
      <w:r w:rsidR="00585972" w:rsidRPr="00924038">
        <w:t xml:space="preserve"> of the unsigned class.  </w:t>
      </w:r>
    </w:p>
    <w:p w:rsidR="005337DD" w:rsidRPr="00924038" w:rsidRDefault="00742186" w:rsidP="005337DD">
      <w:pPr>
        <w:pStyle w:val="ParaNumbering"/>
        <w:rPr>
          <w:lang w:val="en" w:eastAsia="en-AU"/>
        </w:rPr>
      </w:pPr>
      <w:r w:rsidRPr="00924038">
        <w:t>If one</w:t>
      </w:r>
      <w:r w:rsidR="009C38A9" w:rsidRPr="00924038">
        <w:t xml:space="preserve"> pause</w:t>
      </w:r>
      <w:r w:rsidRPr="00924038">
        <w:t>s</w:t>
      </w:r>
      <w:r w:rsidR="00E14C1B" w:rsidRPr="00924038">
        <w:t>,</w:t>
      </w:r>
      <w:r w:rsidR="009C38A9" w:rsidRPr="00924038">
        <w:t xml:space="preserve"> </w:t>
      </w:r>
      <w:r w:rsidR="00642EDE" w:rsidRPr="00924038">
        <w:t>one might be</w:t>
      </w:r>
      <w:r w:rsidRPr="00924038">
        <w:t xml:space="preserve"> forgiven for thinking that these</w:t>
      </w:r>
      <w:r w:rsidR="00642EDE" w:rsidRPr="00924038">
        <w:t xml:space="preserve"> development</w:t>
      </w:r>
      <w:r w:rsidRPr="00924038">
        <w:t>s and, in particular, the emergence of these common enterprises</w:t>
      </w:r>
      <w:r w:rsidR="00E677E8" w:rsidRPr="00924038">
        <w:t>,</w:t>
      </w:r>
      <w:r w:rsidR="00642EDE" w:rsidRPr="00924038">
        <w:t xml:space="preserve"> </w:t>
      </w:r>
      <w:r w:rsidR="007B1185" w:rsidRPr="00924038">
        <w:t>would not have been</w:t>
      </w:r>
      <w:r w:rsidR="00642EDE" w:rsidRPr="00924038">
        <w:t xml:space="preserve"> </w:t>
      </w:r>
      <w:r w:rsidR="005D75A0" w:rsidRPr="00924038">
        <w:t xml:space="preserve">expected </w:t>
      </w:r>
      <w:r w:rsidR="007B1185" w:rsidRPr="00924038">
        <w:t>by</w:t>
      </w:r>
      <w:r w:rsidR="00642EDE" w:rsidRPr="00924038">
        <w:t xml:space="preserve"> those who </w:t>
      </w:r>
      <w:r w:rsidR="001C5E09" w:rsidRPr="00924038">
        <w:t xml:space="preserve">were responsible for the </w:t>
      </w:r>
      <w:r w:rsidR="001C5E09" w:rsidRPr="00924038">
        <w:rPr>
          <w:lang w:val="en" w:eastAsia="en-AU"/>
        </w:rPr>
        <w:t>report of the Australian Law Reform Commission (</w:t>
      </w:r>
      <w:r w:rsidR="001C5E09" w:rsidRPr="00924038">
        <w:rPr>
          <w:b/>
          <w:lang w:val="en" w:eastAsia="en-AU"/>
        </w:rPr>
        <w:t>ALRC</w:t>
      </w:r>
      <w:r w:rsidR="001C5E09" w:rsidRPr="00924038">
        <w:rPr>
          <w:lang w:val="en" w:eastAsia="en-AU"/>
        </w:rPr>
        <w:t>) tabled in Parliament in December 1988 entitled ‘Grouped Proceedings in the Federal Court’ (</w:t>
      </w:r>
      <w:r w:rsidR="001C5E09" w:rsidRPr="00924038">
        <w:rPr>
          <w:b/>
          <w:lang w:val="en" w:eastAsia="en-AU"/>
        </w:rPr>
        <w:t>ALRC Report</w:t>
      </w:r>
      <w:r w:rsidR="001C5E09" w:rsidRPr="00924038">
        <w:rPr>
          <w:lang w:val="en" w:eastAsia="en-AU"/>
        </w:rPr>
        <w:t>) upon which Part IVA</w:t>
      </w:r>
      <w:r w:rsidR="00102681" w:rsidRPr="00924038">
        <w:rPr>
          <w:lang w:val="en" w:eastAsia="en-AU"/>
        </w:rPr>
        <w:t xml:space="preserve"> of the Act </w:t>
      </w:r>
      <w:r w:rsidR="001C5E09" w:rsidRPr="00924038">
        <w:rPr>
          <w:lang w:val="en" w:eastAsia="en-AU"/>
        </w:rPr>
        <w:t xml:space="preserve">was largely, but not wholly, based. </w:t>
      </w:r>
      <w:r w:rsidR="001C5E09" w:rsidRPr="00924038">
        <w:t xml:space="preserve"> </w:t>
      </w:r>
      <w:r w:rsidR="005337DD" w:rsidRPr="00924038">
        <w:t>The original design, as noted in the ALRC Report at [92]</w:t>
      </w:r>
      <w:r w:rsidR="00102681" w:rsidRPr="00924038">
        <w:t>,</w:t>
      </w:r>
      <w:r w:rsidR="005337DD" w:rsidRPr="00924038">
        <w:t xml:space="preserve"> was identified as follows:</w:t>
      </w:r>
    </w:p>
    <w:p w:rsidR="00102681" w:rsidRPr="00924038" w:rsidRDefault="005337DD" w:rsidP="00102681">
      <w:pPr>
        <w:pStyle w:val="Quote1"/>
      </w:pPr>
      <w:r w:rsidRPr="00924038">
        <w:t xml:space="preserve">The main objective </w:t>
      </w:r>
      <w:r w:rsidR="00102681" w:rsidRPr="00924038">
        <w:t>of [the class action regime]…</w:t>
      </w:r>
      <w:r w:rsidRPr="00924038">
        <w:t xml:space="preserve">is to secure a single decision on issues common to all and to reduce the cost of determining all related issues arising from the wrongdoing.  To achieve maximum economy in the use of resources and to </w:t>
      </w:r>
      <w:r w:rsidRPr="00924038">
        <w:lastRenderedPageBreak/>
        <w:t xml:space="preserve">reduce the cost of proceedings, </w:t>
      </w:r>
      <w:r w:rsidRPr="00924038">
        <w:rPr>
          <w:b/>
        </w:rPr>
        <w:t>everyone with related claims should be involved in the proceedings and should be bound by the result</w:t>
      </w:r>
      <w:r w:rsidRPr="00924038">
        <w:t xml:space="preserve">.  </w:t>
      </w:r>
    </w:p>
    <w:p w:rsidR="005337DD" w:rsidRPr="00924038" w:rsidRDefault="005337DD" w:rsidP="00102681">
      <w:pPr>
        <w:pStyle w:val="Quote1"/>
      </w:pPr>
      <w:r w:rsidRPr="00924038">
        <w:t>(Emphasis added)</w:t>
      </w:r>
    </w:p>
    <w:p w:rsidR="001C5E09" w:rsidRPr="00924038" w:rsidRDefault="005337DD" w:rsidP="005337DD">
      <w:pPr>
        <w:pStyle w:val="ParaNumbering"/>
        <w:rPr>
          <w:lang w:val="en" w:eastAsia="en-AU"/>
        </w:rPr>
      </w:pPr>
      <w:r w:rsidRPr="00924038">
        <w:t xml:space="preserve">Consistently with this, </w:t>
      </w:r>
      <w:r w:rsidRPr="00924038">
        <w:rPr>
          <w:lang w:val="en" w:eastAsia="en-AU"/>
        </w:rPr>
        <w:t>i</w:t>
      </w:r>
      <w:r w:rsidR="001C5E09" w:rsidRPr="00924038">
        <w:rPr>
          <w:lang w:val="en" w:eastAsia="en-AU"/>
        </w:rPr>
        <w:t>n describing the general objectives of the</w:t>
      </w:r>
      <w:r w:rsidR="00B95743" w:rsidRPr="00924038">
        <w:rPr>
          <w:lang w:val="en" w:eastAsia="en-AU"/>
        </w:rPr>
        <w:t xml:space="preserve"> Bill which inserted Part </w:t>
      </w:r>
      <w:r w:rsidR="007B1185" w:rsidRPr="00924038">
        <w:rPr>
          <w:lang w:val="en" w:eastAsia="en-AU"/>
        </w:rPr>
        <w:t>IVA in the Act,</w:t>
      </w:r>
      <w:r w:rsidR="001C5E09" w:rsidRPr="00924038">
        <w:rPr>
          <w:lang w:val="en" w:eastAsia="en-AU"/>
        </w:rPr>
        <w:t xml:space="preserve"> the then Attorney-General stated</w:t>
      </w:r>
      <w:r w:rsidR="00B95743" w:rsidRPr="00924038">
        <w:rPr>
          <w:lang w:val="en" w:eastAsia="en-AU"/>
        </w:rPr>
        <w:t xml:space="preserve"> that it would</w:t>
      </w:r>
      <w:r w:rsidR="001C5E09" w:rsidRPr="00924038">
        <w:rPr>
          <w:lang w:val="en" w:eastAsia="en-AU"/>
        </w:rPr>
        <w:t>:</w:t>
      </w:r>
    </w:p>
    <w:p w:rsidR="00102681" w:rsidRPr="00924038" w:rsidRDefault="001C5E09" w:rsidP="00102681">
      <w:pPr>
        <w:pStyle w:val="Quote1"/>
        <w:rPr>
          <w:lang w:val="en" w:eastAsia="en-AU"/>
        </w:rPr>
      </w:pPr>
      <w:proofErr w:type="gramStart"/>
      <w:r w:rsidRPr="00924038">
        <w:rPr>
          <w:lang w:val="en" w:eastAsia="en-AU"/>
        </w:rPr>
        <w:t>provide</w:t>
      </w:r>
      <w:proofErr w:type="gramEnd"/>
      <w:r w:rsidRPr="00924038">
        <w:rPr>
          <w:lang w:val="en" w:eastAsia="en-AU"/>
        </w:rPr>
        <w:t xml:space="preserve"> a new representative action procedure in the Federal Court. </w:t>
      </w:r>
      <w:r w:rsidR="005754BD" w:rsidRPr="00924038">
        <w:rPr>
          <w:lang w:val="en" w:eastAsia="en-AU"/>
        </w:rPr>
        <w:t xml:space="preserve"> </w:t>
      </w:r>
      <w:r w:rsidRPr="00924038">
        <w:rPr>
          <w:lang w:val="en" w:eastAsia="en-AU"/>
        </w:rPr>
        <w:t>The new procedure will enhance access to justice, reduce the costs of proceedings and promote efficiency in</w:t>
      </w:r>
      <w:r w:rsidR="00B95743" w:rsidRPr="00924038">
        <w:rPr>
          <w:lang w:val="en" w:eastAsia="en-AU"/>
        </w:rPr>
        <w:t xml:space="preserve"> the use of court resources</w:t>
      </w:r>
      <w:r w:rsidR="00103A6C" w:rsidRPr="00924038">
        <w:rPr>
          <w:lang w:val="en" w:eastAsia="en-AU"/>
        </w:rPr>
        <w:t>…</w:t>
      </w:r>
      <w:r w:rsidRPr="00924038">
        <w:rPr>
          <w:lang w:val="en" w:eastAsia="en-AU"/>
        </w:rPr>
        <w:t xml:space="preserve">The Bill gives the Federal Court an efficient and effective procedure to deal with multiple claims. </w:t>
      </w:r>
      <w:r w:rsidR="005754BD" w:rsidRPr="00924038">
        <w:rPr>
          <w:lang w:val="en" w:eastAsia="en-AU"/>
        </w:rPr>
        <w:t xml:space="preserve"> </w:t>
      </w:r>
      <w:r w:rsidRPr="00924038">
        <w:rPr>
          <w:lang w:val="en" w:eastAsia="en-AU"/>
        </w:rPr>
        <w:t xml:space="preserve">Such a procedure is needed for two purposes. </w:t>
      </w:r>
      <w:r w:rsidR="005754BD" w:rsidRPr="00924038">
        <w:rPr>
          <w:lang w:val="en" w:eastAsia="en-AU"/>
        </w:rPr>
        <w:t xml:space="preserve"> </w:t>
      </w:r>
      <w:r w:rsidRPr="00924038">
        <w:rPr>
          <w:lang w:val="en" w:eastAsia="en-AU"/>
        </w:rPr>
        <w:t>The first is to provide a real remedy where, although many people are affected and the total amount at issue is significant, each person’s loss is small and not economically viable to recover in individual actions.</w:t>
      </w:r>
      <w:r w:rsidR="005754BD" w:rsidRPr="00924038">
        <w:rPr>
          <w:lang w:val="en" w:eastAsia="en-AU"/>
        </w:rPr>
        <w:t xml:space="preserve"> </w:t>
      </w:r>
      <w:r w:rsidRPr="00924038">
        <w:rPr>
          <w:lang w:val="en" w:eastAsia="en-AU"/>
        </w:rPr>
        <w:t xml:space="preserve"> It will thus give access to the courts to those in the community who have been effectively denied justice because of </w:t>
      </w:r>
      <w:r w:rsidR="00B95743" w:rsidRPr="00924038">
        <w:rPr>
          <w:lang w:val="en" w:eastAsia="en-AU"/>
        </w:rPr>
        <w:t>the high cost of taking action.</w:t>
      </w:r>
      <w:r w:rsidR="005754BD" w:rsidRPr="00924038">
        <w:rPr>
          <w:lang w:val="en" w:eastAsia="en-AU"/>
        </w:rPr>
        <w:t xml:space="preserve"> </w:t>
      </w:r>
      <w:r w:rsidR="00B95743" w:rsidRPr="00924038">
        <w:rPr>
          <w:lang w:val="en" w:eastAsia="en-AU"/>
        </w:rPr>
        <w:t xml:space="preserve"> </w:t>
      </w:r>
      <w:r w:rsidRPr="00924038">
        <w:rPr>
          <w:lang w:val="en" w:eastAsia="en-AU"/>
        </w:rPr>
        <w:t>The second purpose of the Bill is to deal efficiently with the situation where the damages sought by each claimant are large enough to justify individual actions and a large number of person wish to sue the respondent.</w:t>
      </w:r>
      <w:r w:rsidR="005754BD" w:rsidRPr="00924038">
        <w:rPr>
          <w:lang w:val="en" w:eastAsia="en-AU"/>
        </w:rPr>
        <w:t xml:space="preserve"> </w:t>
      </w:r>
      <w:r w:rsidRPr="00924038">
        <w:rPr>
          <w:lang w:val="en" w:eastAsia="en-AU"/>
        </w:rPr>
        <w:t xml:space="preserve"> The new procedure will mean that groups of person, whether they are shareholders or investors, or people pursuing consumer claims, will be able to obtain redress and do so more cheaply and efficiently than would be the</w:t>
      </w:r>
      <w:r w:rsidR="00B95743" w:rsidRPr="00924038">
        <w:rPr>
          <w:lang w:val="en" w:eastAsia="en-AU"/>
        </w:rPr>
        <w:t xml:space="preserve"> case with individual actions</w:t>
      </w:r>
      <w:r w:rsidR="00102681" w:rsidRPr="00924038">
        <w:rPr>
          <w:lang w:val="en" w:eastAsia="en-AU"/>
        </w:rPr>
        <w:t>.</w:t>
      </w:r>
    </w:p>
    <w:p w:rsidR="001C5E09" w:rsidRPr="00924038" w:rsidRDefault="00102681" w:rsidP="00102681">
      <w:pPr>
        <w:pStyle w:val="Quote1"/>
        <w:rPr>
          <w:lang w:val="en" w:eastAsia="en-AU"/>
        </w:rPr>
      </w:pPr>
      <w:r w:rsidRPr="00924038">
        <w:rPr>
          <w:lang w:val="en" w:eastAsia="en-AU"/>
        </w:rPr>
        <w:t>(</w:t>
      </w:r>
      <w:r w:rsidR="001C5E09" w:rsidRPr="00924038">
        <w:rPr>
          <w:lang w:val="en" w:eastAsia="en-AU"/>
        </w:rPr>
        <w:t>Second Reading Speech by Attorney-General, House of Representatives, 14</w:t>
      </w:r>
      <w:r w:rsidRPr="00924038">
        <w:rPr>
          <w:lang w:val="en" w:eastAsia="en-AU"/>
        </w:rPr>
        <w:t> </w:t>
      </w:r>
      <w:r w:rsidR="001C5E09" w:rsidRPr="00924038">
        <w:rPr>
          <w:lang w:val="en" w:eastAsia="en-AU"/>
        </w:rPr>
        <w:t xml:space="preserve">November 1991, </w:t>
      </w:r>
      <w:r w:rsidR="001C5E09" w:rsidRPr="00924038">
        <w:rPr>
          <w:i/>
          <w:iCs/>
          <w:lang w:val="en" w:eastAsia="en-AU"/>
        </w:rPr>
        <w:t>Hansard</w:t>
      </w:r>
      <w:r w:rsidRPr="00924038">
        <w:rPr>
          <w:lang w:val="en" w:eastAsia="en-AU"/>
        </w:rPr>
        <w:t xml:space="preserve">, </w:t>
      </w:r>
      <w:r w:rsidR="00103A6C" w:rsidRPr="00924038">
        <w:rPr>
          <w:lang w:val="en" w:eastAsia="en-AU"/>
        </w:rPr>
        <w:t>at pp</w:t>
      </w:r>
      <w:r w:rsidRPr="00924038">
        <w:rPr>
          <w:lang w:val="en" w:eastAsia="en-AU"/>
        </w:rPr>
        <w:t xml:space="preserve"> 3174-3175)</w:t>
      </w:r>
    </w:p>
    <w:p w:rsidR="00265762" w:rsidRPr="00924038" w:rsidRDefault="00B95743" w:rsidP="00661B3E">
      <w:pPr>
        <w:pStyle w:val="ParaNumbering"/>
      </w:pPr>
      <w:r w:rsidRPr="00924038">
        <w:t>Given the</w:t>
      </w:r>
      <w:r w:rsidR="00642EDE" w:rsidRPr="00924038">
        <w:t xml:space="preserve"> policy objectives of Part IVA</w:t>
      </w:r>
      <w:r w:rsidR="00102681" w:rsidRPr="00924038">
        <w:t xml:space="preserve"> of the Act</w:t>
      </w:r>
      <w:r w:rsidRPr="00924038">
        <w:t xml:space="preserve">, </w:t>
      </w:r>
      <w:r w:rsidR="007B1185" w:rsidRPr="00924038">
        <w:t xml:space="preserve">the </w:t>
      </w:r>
      <w:r w:rsidR="00E14C1B" w:rsidRPr="00924038">
        <w:t xml:space="preserve">emergence of the </w:t>
      </w:r>
      <w:r w:rsidR="00E677E8" w:rsidRPr="00924038">
        <w:t>notion</w:t>
      </w:r>
      <w:r w:rsidR="00E14C1B" w:rsidRPr="00924038">
        <w:t xml:space="preserve"> rejected in </w:t>
      </w:r>
      <w:r w:rsidR="00022E40">
        <w:rPr>
          <w:i/>
        </w:rPr>
        <w:t xml:space="preserve">Brookfield </w:t>
      </w:r>
      <w:r w:rsidR="00E14C1B" w:rsidRPr="00924038">
        <w:rPr>
          <w:i/>
        </w:rPr>
        <w:t>Multiplex</w:t>
      </w:r>
      <w:r w:rsidR="00102681" w:rsidRPr="00924038">
        <w:t>,</w:t>
      </w:r>
      <w:r w:rsidR="00E14C1B" w:rsidRPr="00924038">
        <w:t xml:space="preserve"> </w:t>
      </w:r>
      <w:r w:rsidR="007B1185" w:rsidRPr="00924038">
        <w:t xml:space="preserve">preventing closed classes by reference to a solicitor or funding criterion, </w:t>
      </w:r>
      <w:r w:rsidR="00642EDE" w:rsidRPr="00924038">
        <w:t xml:space="preserve">is </w:t>
      </w:r>
      <w:r w:rsidR="00005A3F" w:rsidRPr="00924038">
        <w:t xml:space="preserve">on one level </w:t>
      </w:r>
      <w:r w:rsidR="00642EDE" w:rsidRPr="00924038">
        <w:t>un</w:t>
      </w:r>
      <w:r w:rsidR="007B1185" w:rsidRPr="00924038">
        <w:t>derstandable</w:t>
      </w:r>
      <w:r w:rsidR="007646F0" w:rsidRPr="00924038">
        <w:t>,</w:t>
      </w:r>
      <w:r w:rsidR="007B1185" w:rsidRPr="00924038">
        <w:t xml:space="preserve"> </w:t>
      </w:r>
      <w:r w:rsidR="005D75A0" w:rsidRPr="00924038">
        <w:t>because it was clearly anticipated</w:t>
      </w:r>
      <w:r w:rsidR="007C6E63" w:rsidRPr="00924038">
        <w:t xml:space="preserve"> that open classes of those affected by mass wrongs would be the norm and not the exception.</w:t>
      </w:r>
      <w:r w:rsidR="005D75A0" w:rsidRPr="00924038">
        <w:t xml:space="preserve">  </w:t>
      </w:r>
      <w:r w:rsidR="00713E90" w:rsidRPr="00924038">
        <w:t>T</w:t>
      </w:r>
      <w:r w:rsidR="005D75A0" w:rsidRPr="00924038">
        <w:t xml:space="preserve">he </w:t>
      </w:r>
      <w:r w:rsidR="005D75A0" w:rsidRPr="00924038">
        <w:rPr>
          <w:i/>
        </w:rPr>
        <w:t>leitmotiv</w:t>
      </w:r>
      <w:r w:rsidR="005D75A0" w:rsidRPr="00924038">
        <w:t xml:space="preserve"> of the ALRC Report</w:t>
      </w:r>
      <w:r w:rsidR="00713E90" w:rsidRPr="00924038">
        <w:t xml:space="preserve"> was the provision of access to justice to those with claims that could not be pursued practically by ordinary, </w:t>
      </w:r>
      <w:r w:rsidR="00713E90" w:rsidRPr="00924038">
        <w:rPr>
          <w:i/>
        </w:rPr>
        <w:t>inter partes</w:t>
      </w:r>
      <w:r w:rsidR="00713E90" w:rsidRPr="00924038">
        <w:t xml:space="preserve"> litigation</w:t>
      </w:r>
      <w:r w:rsidR="00E82E96" w:rsidRPr="00924038">
        <w:t xml:space="preserve">; it was not an occasion for </w:t>
      </w:r>
      <w:r w:rsidR="00713E90" w:rsidRPr="00924038">
        <w:t xml:space="preserve">consideration </w:t>
      </w:r>
      <w:r w:rsidR="00E82E96" w:rsidRPr="00924038">
        <w:t xml:space="preserve">being </w:t>
      </w:r>
      <w:r w:rsidR="00713E90" w:rsidRPr="00924038">
        <w:t xml:space="preserve">given to the rise of litigation funding which, it must be said, has allowed Part IVA to be used </w:t>
      </w:r>
      <w:r w:rsidR="00FC433B" w:rsidRPr="00924038">
        <w:t xml:space="preserve">very </w:t>
      </w:r>
      <w:r w:rsidR="00713E90" w:rsidRPr="00924038">
        <w:t>successfully in p</w:t>
      </w:r>
      <w:r w:rsidR="00FC433B" w:rsidRPr="00924038">
        <w:t>rosecuting mass claims.</w:t>
      </w:r>
      <w:r w:rsidR="005337DD" w:rsidRPr="00924038">
        <w:t xml:space="preserve"> </w:t>
      </w:r>
      <w:r w:rsidR="00977976" w:rsidRPr="00924038">
        <w:t xml:space="preserve"> So much so that</w:t>
      </w:r>
      <w:r w:rsidR="00103A6C" w:rsidRPr="00924038">
        <w:t>,</w:t>
      </w:r>
      <w:r w:rsidR="00977976" w:rsidRPr="00924038">
        <w:t xml:space="preserve"> a</w:t>
      </w:r>
      <w:r w:rsidR="00265762" w:rsidRPr="00924038">
        <w:t xml:space="preserve">ccording to </w:t>
      </w:r>
      <w:r w:rsidR="00993C10" w:rsidRPr="00924038">
        <w:t>a</w:t>
      </w:r>
      <w:r w:rsidR="0019643B" w:rsidRPr="00924038">
        <w:t xml:space="preserve"> leading academic expert in Australia’s class action regime, </w:t>
      </w:r>
      <w:r w:rsidR="00265762" w:rsidRPr="00924038">
        <w:t xml:space="preserve">Professor Vince Morabito </w:t>
      </w:r>
      <w:r w:rsidR="00103A6C" w:rsidRPr="00924038">
        <w:t>(</w:t>
      </w:r>
      <w:r w:rsidR="00661B3E" w:rsidRPr="00924038">
        <w:rPr>
          <w:i/>
        </w:rPr>
        <w:t>An Empirical Study of Australia’s Class Action Regimes, Fifth Report: The First Twenty-Five Years of Class Actions in Australia</w:t>
      </w:r>
      <w:r w:rsidR="00661B3E" w:rsidRPr="00924038">
        <w:t xml:space="preserve"> (Report, Monash University, 20 July 2017) </w:t>
      </w:r>
      <w:r w:rsidR="00103A6C" w:rsidRPr="00924038">
        <w:t>https://ssrn.com/abstract=3005901)</w:t>
      </w:r>
      <w:r w:rsidR="00265762" w:rsidRPr="00924038">
        <w:t xml:space="preserve">, since </w:t>
      </w:r>
      <w:r w:rsidR="004E7855" w:rsidRPr="00924038">
        <w:t xml:space="preserve">the introduction of Part IVA in </w:t>
      </w:r>
      <w:r w:rsidR="00265762" w:rsidRPr="00924038">
        <w:t>1992</w:t>
      </w:r>
      <w:r w:rsidR="003415E9" w:rsidRPr="00924038">
        <w:t>,</w:t>
      </w:r>
      <w:r w:rsidR="00265762" w:rsidRPr="00924038">
        <w:t xml:space="preserve"> there have been (at least as at July 2017), over 513 class actions commenced in rel</w:t>
      </w:r>
      <w:r w:rsidR="005754BD" w:rsidRPr="00924038">
        <w:t xml:space="preserve">ation to 335 legal disputes.  </w:t>
      </w:r>
      <w:r w:rsidR="00F90FD9" w:rsidRPr="00924038">
        <w:t xml:space="preserve">Of course, </w:t>
      </w:r>
      <w:r w:rsidR="00005A3F" w:rsidRPr="00924038">
        <w:t xml:space="preserve">a </w:t>
      </w:r>
      <w:r w:rsidR="00F90FD9" w:rsidRPr="00924038">
        <w:t xml:space="preserve">significant number of </w:t>
      </w:r>
      <w:r w:rsidR="00005A3F" w:rsidRPr="00924038">
        <w:t xml:space="preserve">these proceedings are </w:t>
      </w:r>
      <w:r w:rsidR="00F90FD9" w:rsidRPr="00924038">
        <w:t xml:space="preserve">multiple class actions over the same legal dispute, </w:t>
      </w:r>
      <w:r w:rsidR="00005A3F" w:rsidRPr="00924038">
        <w:t xml:space="preserve">as </w:t>
      </w:r>
      <w:r w:rsidR="00F90FD9" w:rsidRPr="00924038">
        <w:t>is evident from these statistics.</w:t>
      </w:r>
    </w:p>
    <w:p w:rsidR="0019643B" w:rsidRPr="00924038" w:rsidRDefault="0019643B" w:rsidP="0019643B">
      <w:pPr>
        <w:pStyle w:val="ParaNumbering"/>
        <w:rPr>
          <w:szCs w:val="24"/>
        </w:rPr>
      </w:pPr>
      <w:r w:rsidRPr="00924038">
        <w:lastRenderedPageBreak/>
        <w:t xml:space="preserve">The prevalence </w:t>
      </w:r>
      <w:r w:rsidR="00B63194" w:rsidRPr="00924038">
        <w:t>and commercial attractiveness to funders of the</w:t>
      </w:r>
      <w:r w:rsidR="00F90FD9" w:rsidRPr="00924038">
        <w:t xml:space="preserve"> </w:t>
      </w:r>
      <w:r w:rsidR="00B63194" w:rsidRPr="00924038">
        <w:t>securities class action</w:t>
      </w:r>
      <w:r w:rsidR="00005A3F" w:rsidRPr="00924038">
        <w:t>,</w:t>
      </w:r>
      <w:r w:rsidR="00F90FD9" w:rsidRPr="00924038">
        <w:t xml:space="preserve"> compared to other types of </w:t>
      </w:r>
      <w:r w:rsidR="00B63194" w:rsidRPr="00924038">
        <w:t xml:space="preserve">class </w:t>
      </w:r>
      <w:r w:rsidR="00F90FD9" w:rsidRPr="00924038">
        <w:t>actions</w:t>
      </w:r>
      <w:r w:rsidR="007646F0" w:rsidRPr="00924038">
        <w:t xml:space="preserve">, </w:t>
      </w:r>
      <w:r w:rsidR="00F90FD9" w:rsidRPr="00924038">
        <w:t xml:space="preserve">is </w:t>
      </w:r>
      <w:r w:rsidRPr="00924038">
        <w:t xml:space="preserve">evident from </w:t>
      </w:r>
      <w:r w:rsidR="00103A6C" w:rsidRPr="00924038">
        <w:t xml:space="preserve">the following </w:t>
      </w:r>
      <w:r w:rsidRPr="00924038">
        <w:t xml:space="preserve">statistics also gathered by Professor Morabito (as provided to the </w:t>
      </w:r>
      <w:r w:rsidR="00103A6C" w:rsidRPr="00924038">
        <w:t>ALR</w:t>
      </w:r>
      <w:r w:rsidRPr="00924038">
        <w:rPr>
          <w:szCs w:val="24"/>
        </w:rPr>
        <w:t xml:space="preserve">C), on substantive claims advanced in funded Part IVA proceedings filed </w:t>
      </w:r>
      <w:r w:rsidR="004E7855" w:rsidRPr="00924038">
        <w:rPr>
          <w:szCs w:val="24"/>
        </w:rPr>
        <w:t xml:space="preserve">between the introduction of Part IVA in 1992 and </w:t>
      </w:r>
      <w:r w:rsidRPr="00924038">
        <w:rPr>
          <w:szCs w:val="24"/>
        </w:rPr>
        <w:t>3 March 2018: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4"/>
        <w:gridCol w:w="3889"/>
      </w:tblGrid>
      <w:tr w:rsidR="00924038" w:rsidRPr="00924038" w:rsidTr="001821D1">
        <w:tc>
          <w:tcPr>
            <w:tcW w:w="2896" w:type="pct"/>
            <w:tcBorders>
              <w:top w:val="single" w:sz="4" w:space="0" w:color="auto"/>
              <w:left w:val="single" w:sz="4" w:space="0" w:color="auto"/>
              <w:bottom w:val="single" w:sz="4" w:space="0" w:color="auto"/>
              <w:right w:val="single" w:sz="4" w:space="0" w:color="auto"/>
            </w:tcBorders>
          </w:tcPr>
          <w:p w:rsidR="0019643B" w:rsidRPr="00924038" w:rsidRDefault="0019643B">
            <w:pPr>
              <w:spacing w:line="256" w:lineRule="auto"/>
              <w:rPr>
                <w:rFonts w:eastAsia="Times New Roman"/>
                <w:szCs w:val="24"/>
                <w:lang w:val="en-US"/>
              </w:rPr>
            </w:pPr>
          </w:p>
          <w:p w:rsidR="0019643B" w:rsidRPr="00924038" w:rsidRDefault="0019643B">
            <w:pPr>
              <w:spacing w:line="256" w:lineRule="auto"/>
              <w:rPr>
                <w:rFonts w:eastAsia="Times New Roman"/>
                <w:b/>
                <w:szCs w:val="24"/>
                <w:lang w:val="en-US"/>
              </w:rPr>
            </w:pPr>
            <w:r w:rsidRPr="00924038">
              <w:rPr>
                <w:b/>
                <w:szCs w:val="24"/>
              </w:rPr>
              <w:t>Types of claims</w:t>
            </w:r>
          </w:p>
        </w:tc>
        <w:tc>
          <w:tcPr>
            <w:tcW w:w="2104" w:type="pct"/>
            <w:tcBorders>
              <w:top w:val="single" w:sz="4" w:space="0" w:color="auto"/>
              <w:left w:val="single" w:sz="4" w:space="0" w:color="auto"/>
              <w:bottom w:val="single" w:sz="4" w:space="0" w:color="auto"/>
              <w:right w:val="single" w:sz="4" w:space="0" w:color="auto"/>
            </w:tcBorders>
          </w:tcPr>
          <w:p w:rsidR="0019643B" w:rsidRPr="00924038" w:rsidRDefault="0019643B">
            <w:pPr>
              <w:spacing w:line="256" w:lineRule="auto"/>
              <w:rPr>
                <w:rFonts w:eastAsia="Times New Roman"/>
                <w:szCs w:val="24"/>
                <w:lang w:val="en-US"/>
              </w:rPr>
            </w:pPr>
          </w:p>
          <w:p w:rsidR="0019643B" w:rsidRPr="00924038" w:rsidRDefault="0019643B">
            <w:pPr>
              <w:spacing w:line="256" w:lineRule="auto"/>
              <w:rPr>
                <w:rFonts w:eastAsia="Times New Roman"/>
                <w:b/>
                <w:szCs w:val="24"/>
                <w:lang w:val="en-US"/>
              </w:rPr>
            </w:pPr>
            <w:r w:rsidRPr="00924038">
              <w:rPr>
                <w:b/>
                <w:szCs w:val="24"/>
              </w:rPr>
              <w:t>Number of class actions</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Claims by shareholders</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61 (52.1%).</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Claims by investors</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25 (21.3%)</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Consumer protection claims </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11 (9.4%)</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Mass tort claims </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  4 (3.4%)</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Claims by employees/workers</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  4 (3.4%)</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Product liability claims</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  4 (3.4%)</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Claims by franchisees, agents &amp;/or distributors </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  4 (3.4%)</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Claims by real estate owners</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  1 (0.8%)</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Claims by alleged victims of racial discrimination in non-migration proceedings </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  1 (0.8%)</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Claims by alleged victims of cartels</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  1 (0.8%)</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Misfeasance in public office claim</w:t>
            </w:r>
          </w:p>
        </w:tc>
        <w:tc>
          <w:tcPr>
            <w:tcW w:w="2104" w:type="pct"/>
            <w:tcBorders>
              <w:top w:val="single" w:sz="4" w:space="0" w:color="auto"/>
              <w:left w:val="single" w:sz="4" w:space="0" w:color="auto"/>
              <w:bottom w:val="single" w:sz="4" w:space="0" w:color="auto"/>
              <w:right w:val="single" w:sz="4" w:space="0" w:color="auto"/>
            </w:tcBorders>
            <w:hideMark/>
          </w:tcPr>
          <w:p w:rsidR="0019643B" w:rsidRPr="00924038" w:rsidRDefault="0019643B">
            <w:pPr>
              <w:spacing w:line="256" w:lineRule="auto"/>
              <w:rPr>
                <w:rFonts w:eastAsia="Times New Roman"/>
                <w:szCs w:val="24"/>
                <w:lang w:val="en-US"/>
              </w:rPr>
            </w:pPr>
            <w:r w:rsidRPr="00924038">
              <w:rPr>
                <w:szCs w:val="24"/>
              </w:rPr>
              <w:t xml:space="preserve">  1 (0.8%)</w:t>
            </w:r>
          </w:p>
        </w:tc>
      </w:tr>
      <w:tr w:rsidR="00924038" w:rsidRPr="00924038" w:rsidTr="001821D1">
        <w:tc>
          <w:tcPr>
            <w:tcW w:w="2896" w:type="pct"/>
            <w:tcBorders>
              <w:top w:val="single" w:sz="4" w:space="0" w:color="auto"/>
              <w:left w:val="single" w:sz="4" w:space="0" w:color="auto"/>
              <w:bottom w:val="single" w:sz="4" w:space="0" w:color="auto"/>
              <w:right w:val="single" w:sz="4" w:space="0" w:color="auto"/>
            </w:tcBorders>
          </w:tcPr>
          <w:p w:rsidR="004E7855" w:rsidRPr="00924038" w:rsidRDefault="004E7855">
            <w:pPr>
              <w:spacing w:line="256" w:lineRule="auto"/>
              <w:rPr>
                <w:b/>
                <w:szCs w:val="24"/>
              </w:rPr>
            </w:pPr>
            <w:r w:rsidRPr="00924038">
              <w:rPr>
                <w:b/>
                <w:szCs w:val="24"/>
              </w:rPr>
              <w:t>Total</w:t>
            </w:r>
          </w:p>
        </w:tc>
        <w:tc>
          <w:tcPr>
            <w:tcW w:w="2104" w:type="pct"/>
            <w:tcBorders>
              <w:top w:val="single" w:sz="4" w:space="0" w:color="auto"/>
              <w:left w:val="single" w:sz="4" w:space="0" w:color="auto"/>
              <w:bottom w:val="single" w:sz="4" w:space="0" w:color="auto"/>
              <w:right w:val="single" w:sz="4" w:space="0" w:color="auto"/>
            </w:tcBorders>
          </w:tcPr>
          <w:p w:rsidR="004E7855" w:rsidRPr="00924038" w:rsidRDefault="004E7855">
            <w:pPr>
              <w:spacing w:line="256" w:lineRule="auto"/>
              <w:rPr>
                <w:b/>
                <w:szCs w:val="24"/>
              </w:rPr>
            </w:pPr>
            <w:r w:rsidRPr="00924038">
              <w:rPr>
                <w:b/>
                <w:szCs w:val="24"/>
              </w:rPr>
              <w:t>117 (100%)</w:t>
            </w:r>
          </w:p>
        </w:tc>
      </w:tr>
    </w:tbl>
    <w:p w:rsidR="00696F39" w:rsidRPr="00924038" w:rsidRDefault="00B95743" w:rsidP="00F90FD9">
      <w:pPr>
        <w:pStyle w:val="ParaNumbering"/>
      </w:pPr>
      <w:r w:rsidRPr="00924038">
        <w:rPr>
          <w:szCs w:val="24"/>
        </w:rPr>
        <w:t>This brings us to the final development of</w:t>
      </w:r>
      <w:r w:rsidRPr="00924038">
        <w:t xml:space="preserve"> which mention ought </w:t>
      </w:r>
      <w:r w:rsidR="00505540" w:rsidRPr="00924038">
        <w:t xml:space="preserve">to </w:t>
      </w:r>
      <w:r w:rsidRPr="00924038">
        <w:t xml:space="preserve">be made and which </w:t>
      </w:r>
      <w:r w:rsidR="00265762" w:rsidRPr="00924038">
        <w:t xml:space="preserve">has </w:t>
      </w:r>
      <w:r w:rsidR="00CC6357" w:rsidRPr="00924038">
        <w:t xml:space="preserve">had the </w:t>
      </w:r>
      <w:r w:rsidR="007B1185" w:rsidRPr="00924038">
        <w:t xml:space="preserve">important </w:t>
      </w:r>
      <w:r w:rsidR="00CC6357" w:rsidRPr="00924038">
        <w:t xml:space="preserve">effect of </w:t>
      </w:r>
      <w:r w:rsidR="00CC6357" w:rsidRPr="00924038">
        <w:rPr>
          <w:szCs w:val="24"/>
        </w:rPr>
        <w:t>encouraging the commencement of open class</w:t>
      </w:r>
      <w:r w:rsidR="00264F94" w:rsidRPr="00924038">
        <w:rPr>
          <w:szCs w:val="24"/>
        </w:rPr>
        <w:t xml:space="preserve"> representative proceedings</w:t>
      </w:r>
      <w:r w:rsidR="00505540" w:rsidRPr="00924038">
        <w:rPr>
          <w:szCs w:val="24"/>
        </w:rPr>
        <w:t xml:space="preserve">.  This was </w:t>
      </w:r>
      <w:r w:rsidR="00CC6357" w:rsidRPr="00924038">
        <w:rPr>
          <w:szCs w:val="24"/>
        </w:rPr>
        <w:t xml:space="preserve">the </w:t>
      </w:r>
      <w:r w:rsidR="00757878" w:rsidRPr="00924038">
        <w:rPr>
          <w:szCs w:val="24"/>
        </w:rPr>
        <w:t xml:space="preserve">emergence </w:t>
      </w:r>
      <w:r w:rsidR="00CC6357" w:rsidRPr="00924038">
        <w:rPr>
          <w:szCs w:val="24"/>
        </w:rPr>
        <w:t>of the common fund order</w:t>
      </w:r>
      <w:r w:rsidR="00757878" w:rsidRPr="00924038">
        <w:rPr>
          <w:szCs w:val="24"/>
        </w:rPr>
        <w:t xml:space="preserve"> in </w:t>
      </w:r>
      <w:r w:rsidR="00C16917" w:rsidRPr="00924038">
        <w:rPr>
          <w:rStyle w:val="Emphasis"/>
          <w:szCs w:val="24"/>
          <w:lang w:val="en"/>
        </w:rPr>
        <w:t xml:space="preserve">Money Max Int Pty Ltd (Trustee) v QBE Insurance Group Limited </w:t>
      </w:r>
      <w:r w:rsidR="00346C9A" w:rsidRPr="00924038">
        <w:rPr>
          <w:szCs w:val="24"/>
          <w:lang w:val="en"/>
        </w:rPr>
        <w:t>[2016] FCAFC 148; (2016) 245 FCR 191</w:t>
      </w:r>
      <w:r w:rsidR="00103A6C" w:rsidRPr="00924038">
        <w:rPr>
          <w:szCs w:val="24"/>
          <w:lang w:val="en"/>
        </w:rPr>
        <w:t xml:space="preserve"> (Murphy, Gleeson and Beach JJ)</w:t>
      </w:r>
      <w:r w:rsidR="00757878" w:rsidRPr="00924038">
        <w:rPr>
          <w:szCs w:val="24"/>
          <w:lang w:val="en-GB"/>
        </w:rPr>
        <w:t xml:space="preserve">.  </w:t>
      </w:r>
      <w:r w:rsidR="00304C67" w:rsidRPr="00924038">
        <w:rPr>
          <w:szCs w:val="24"/>
        </w:rPr>
        <w:t>Rather than the economics of a class action being dictated by the size of sign</w:t>
      </w:r>
      <w:r w:rsidR="00346C9A" w:rsidRPr="00924038">
        <w:rPr>
          <w:szCs w:val="24"/>
        </w:rPr>
        <w:t>-</w:t>
      </w:r>
      <w:r w:rsidR="00696F39" w:rsidRPr="00924038">
        <w:rPr>
          <w:szCs w:val="24"/>
        </w:rPr>
        <w:t>up, a common fund order allows</w:t>
      </w:r>
      <w:r w:rsidR="00304C67" w:rsidRPr="00924038">
        <w:rPr>
          <w:szCs w:val="24"/>
        </w:rPr>
        <w:t xml:space="preserve"> an open class </w:t>
      </w:r>
      <w:r w:rsidR="00346C9A" w:rsidRPr="00924038">
        <w:rPr>
          <w:szCs w:val="24"/>
        </w:rPr>
        <w:t xml:space="preserve">representative proceeding </w:t>
      </w:r>
      <w:r w:rsidR="00304C67" w:rsidRPr="00924038">
        <w:rPr>
          <w:szCs w:val="24"/>
        </w:rPr>
        <w:t xml:space="preserve">to be commenced </w:t>
      </w:r>
      <w:r w:rsidR="00696F39" w:rsidRPr="00924038">
        <w:rPr>
          <w:szCs w:val="24"/>
        </w:rPr>
        <w:t xml:space="preserve">without the necessity to build a book of group members who have bargained away part of the proceeds of their claim. </w:t>
      </w:r>
      <w:r w:rsidR="00346C9A" w:rsidRPr="00924038">
        <w:rPr>
          <w:szCs w:val="24"/>
        </w:rPr>
        <w:t xml:space="preserve"> </w:t>
      </w:r>
      <w:r w:rsidR="00FC433B" w:rsidRPr="00924038">
        <w:rPr>
          <w:szCs w:val="24"/>
        </w:rPr>
        <w:t>Instead of</w:t>
      </w:r>
      <w:r w:rsidR="00696F39" w:rsidRPr="00924038">
        <w:rPr>
          <w:szCs w:val="24"/>
        </w:rPr>
        <w:t xml:space="preserve"> </w:t>
      </w:r>
      <w:r w:rsidR="00696F39" w:rsidRPr="00924038">
        <w:rPr>
          <w:rFonts w:eastAsia="Times New Roman"/>
          <w:szCs w:val="24"/>
          <w:lang w:val="en" w:eastAsia="en-AU"/>
        </w:rPr>
        <w:t>addressing the ‘free</w:t>
      </w:r>
      <w:r w:rsidR="00103A6C" w:rsidRPr="00924038">
        <w:rPr>
          <w:rFonts w:eastAsia="Times New Roman"/>
          <w:szCs w:val="24"/>
          <w:lang w:val="en" w:eastAsia="en-AU"/>
        </w:rPr>
        <w:t>-</w:t>
      </w:r>
      <w:r w:rsidR="00696F39" w:rsidRPr="00924038">
        <w:rPr>
          <w:rFonts w:eastAsia="Times New Roman"/>
          <w:szCs w:val="24"/>
          <w:lang w:val="en" w:eastAsia="en-AU"/>
        </w:rPr>
        <w:t xml:space="preserve">rider’ problem by making ‘funding equalisation orders’ (to redistribute the additional amounts received ‘in hand’ by unfunded class members </w:t>
      </w:r>
      <w:r w:rsidR="00696F39" w:rsidRPr="00924038">
        <w:rPr>
          <w:rFonts w:eastAsia="Times New Roman"/>
          <w:i/>
          <w:szCs w:val="24"/>
          <w:lang w:val="en" w:eastAsia="en-AU"/>
        </w:rPr>
        <w:t>pro rata</w:t>
      </w:r>
      <w:r w:rsidR="00696F39" w:rsidRPr="00924038">
        <w:rPr>
          <w:rFonts w:eastAsia="Times New Roman"/>
          <w:szCs w:val="24"/>
          <w:lang w:val="en" w:eastAsia="en-AU"/>
        </w:rPr>
        <w:t xml:space="preserve"> across the class as a whole), the</w:t>
      </w:r>
      <w:r w:rsidR="00C14729" w:rsidRPr="00924038">
        <w:rPr>
          <w:rFonts w:eastAsia="Times New Roman"/>
          <w:szCs w:val="24"/>
          <w:lang w:val="en" w:eastAsia="en-AU"/>
        </w:rPr>
        <w:t xml:space="preserve"> Court indicated its willing</w:t>
      </w:r>
      <w:r w:rsidR="00696F39" w:rsidRPr="00924038">
        <w:rPr>
          <w:rFonts w:eastAsia="Times New Roman"/>
          <w:szCs w:val="24"/>
          <w:lang w:val="en" w:eastAsia="en-AU"/>
        </w:rPr>
        <w:t xml:space="preserve">ness to </w:t>
      </w:r>
      <w:r w:rsidR="005D75A0" w:rsidRPr="00924038">
        <w:rPr>
          <w:rFonts w:eastAsia="Times New Roman"/>
          <w:szCs w:val="24"/>
          <w:lang w:val="en" w:eastAsia="en-AU"/>
        </w:rPr>
        <w:t xml:space="preserve">fashion </w:t>
      </w:r>
      <w:r w:rsidR="00696F39" w:rsidRPr="00924038">
        <w:rPr>
          <w:rFonts w:eastAsia="Times New Roman"/>
          <w:szCs w:val="24"/>
          <w:lang w:val="en" w:eastAsia="en-AU"/>
        </w:rPr>
        <w:t xml:space="preserve">a solution whereby the funder, who had borne the risks of the litigation, </w:t>
      </w:r>
      <w:r w:rsidR="004C00B9" w:rsidRPr="00924038">
        <w:rPr>
          <w:rFonts w:eastAsia="Times New Roman"/>
          <w:szCs w:val="24"/>
          <w:lang w:val="en" w:eastAsia="en-AU"/>
        </w:rPr>
        <w:t xml:space="preserve">is </w:t>
      </w:r>
      <w:r w:rsidR="00696F39" w:rsidRPr="00924038">
        <w:rPr>
          <w:rFonts w:eastAsia="Times New Roman"/>
          <w:szCs w:val="24"/>
          <w:lang w:val="en" w:eastAsia="en-AU"/>
        </w:rPr>
        <w:t>recompensed from the common fund of proceeds obtained by the group as a whole.</w:t>
      </w:r>
    </w:p>
    <w:p w:rsidR="00346C9A" w:rsidRPr="00924038" w:rsidRDefault="00C16917" w:rsidP="00FC433B">
      <w:pPr>
        <w:pStyle w:val="ParaNumbering"/>
        <w:rPr>
          <w:rFonts w:eastAsia="Times New Roman"/>
          <w:szCs w:val="24"/>
          <w:lang w:val="en" w:eastAsia="en-AU"/>
        </w:rPr>
      </w:pPr>
      <w:r w:rsidRPr="00924038">
        <w:rPr>
          <w:szCs w:val="24"/>
        </w:rPr>
        <w:t xml:space="preserve">Following on from this, in </w:t>
      </w:r>
      <w:r w:rsidRPr="00924038">
        <w:rPr>
          <w:rStyle w:val="Emphasis"/>
          <w:szCs w:val="24"/>
          <w:lang w:val="en"/>
        </w:rPr>
        <w:t>Blairgowrie Trading Ltd v Allco Finance Group Ltd (</w:t>
      </w:r>
      <w:r w:rsidR="00346C9A" w:rsidRPr="00924038">
        <w:rPr>
          <w:rStyle w:val="Emphasis"/>
          <w:szCs w:val="24"/>
          <w:lang w:val="en"/>
        </w:rPr>
        <w:t>recs and mgrs appt</w:t>
      </w:r>
      <w:r w:rsidRPr="00924038">
        <w:rPr>
          <w:rStyle w:val="Emphasis"/>
          <w:szCs w:val="24"/>
          <w:lang w:val="en"/>
        </w:rPr>
        <w:t>) (</w:t>
      </w:r>
      <w:r w:rsidR="00346C9A" w:rsidRPr="00924038">
        <w:rPr>
          <w:rStyle w:val="Emphasis"/>
          <w:szCs w:val="24"/>
          <w:lang w:val="en"/>
        </w:rPr>
        <w:t>i</w:t>
      </w:r>
      <w:r w:rsidRPr="00924038">
        <w:rPr>
          <w:rStyle w:val="Emphasis"/>
          <w:szCs w:val="24"/>
          <w:lang w:val="en"/>
        </w:rPr>
        <w:t xml:space="preserve">n </w:t>
      </w:r>
      <w:r w:rsidR="00346C9A" w:rsidRPr="00924038">
        <w:rPr>
          <w:rStyle w:val="Emphasis"/>
          <w:szCs w:val="24"/>
          <w:lang w:val="en"/>
        </w:rPr>
        <w:t>l</w:t>
      </w:r>
      <w:r w:rsidRPr="00924038">
        <w:rPr>
          <w:rStyle w:val="Emphasis"/>
          <w:szCs w:val="24"/>
          <w:lang w:val="en"/>
        </w:rPr>
        <w:t>iq) (No 3)</w:t>
      </w:r>
      <w:r w:rsidRPr="00924038">
        <w:rPr>
          <w:szCs w:val="24"/>
          <w:lang w:val="en"/>
        </w:rPr>
        <w:t xml:space="preserve"> </w:t>
      </w:r>
      <w:r w:rsidR="00346C9A" w:rsidRPr="00924038">
        <w:rPr>
          <w:szCs w:val="24"/>
          <w:lang w:val="en"/>
        </w:rPr>
        <w:t>[2017] FCA 330;</w:t>
      </w:r>
      <w:r w:rsidR="00346C9A" w:rsidRPr="00924038">
        <w:rPr>
          <w:rStyle w:val="citation"/>
          <w:szCs w:val="24"/>
          <w:lang w:val="en"/>
        </w:rPr>
        <w:t xml:space="preserve"> </w:t>
      </w:r>
      <w:r w:rsidRPr="00924038">
        <w:rPr>
          <w:rStyle w:val="citation"/>
          <w:szCs w:val="24"/>
          <w:lang w:val="en"/>
        </w:rPr>
        <w:t>(2017) 343 ALR 476</w:t>
      </w:r>
      <w:r w:rsidR="00346C9A" w:rsidRPr="00924038">
        <w:rPr>
          <w:szCs w:val="24"/>
          <w:lang w:val="en"/>
        </w:rPr>
        <w:t>,</w:t>
      </w:r>
      <w:r w:rsidRPr="00924038">
        <w:rPr>
          <w:szCs w:val="24"/>
          <w:lang w:val="en"/>
        </w:rPr>
        <w:t xml:space="preserve"> </w:t>
      </w:r>
      <w:r w:rsidR="00346C9A" w:rsidRPr="00924038">
        <w:rPr>
          <w:szCs w:val="24"/>
        </w:rPr>
        <w:t xml:space="preserve">Beach J </w:t>
      </w:r>
      <w:r w:rsidRPr="00924038">
        <w:rPr>
          <w:rFonts w:eastAsia="Times New Roman"/>
          <w:szCs w:val="24"/>
          <w:lang w:val="en" w:eastAsia="en-AU"/>
        </w:rPr>
        <w:t>accepted</w:t>
      </w:r>
      <w:r w:rsidR="00346C9A" w:rsidRPr="00924038">
        <w:rPr>
          <w:rFonts w:eastAsia="Times New Roman"/>
          <w:szCs w:val="24"/>
          <w:lang w:val="en" w:eastAsia="en-AU"/>
        </w:rPr>
        <w:t xml:space="preserve">, in the context of that case, </w:t>
      </w:r>
      <w:r w:rsidR="00FC433B" w:rsidRPr="00924038">
        <w:rPr>
          <w:rFonts w:eastAsia="Times New Roman"/>
          <w:szCs w:val="24"/>
          <w:lang w:val="en" w:eastAsia="en-AU"/>
        </w:rPr>
        <w:t xml:space="preserve">that </w:t>
      </w:r>
      <w:r w:rsidRPr="00924038">
        <w:rPr>
          <w:rFonts w:eastAsia="Times New Roman"/>
          <w:szCs w:val="24"/>
          <w:lang w:val="en" w:eastAsia="en-AU"/>
        </w:rPr>
        <w:t xml:space="preserve">it was reasonable for the funder to receive a funding commission </w:t>
      </w:r>
      <w:r w:rsidRPr="00924038">
        <w:rPr>
          <w:rFonts w:eastAsia="Times New Roman"/>
          <w:szCs w:val="24"/>
          <w:lang w:val="en" w:eastAsia="en-AU"/>
        </w:rPr>
        <w:lastRenderedPageBreak/>
        <w:t xml:space="preserve">rate of 30% of the net settlement sum having regard </w:t>
      </w:r>
      <w:r w:rsidR="00103A6C" w:rsidRPr="00924038">
        <w:rPr>
          <w:rFonts w:eastAsia="Times New Roman"/>
          <w:szCs w:val="24"/>
          <w:lang w:val="en" w:eastAsia="en-AU"/>
        </w:rPr>
        <w:t xml:space="preserve">to a </w:t>
      </w:r>
      <w:r w:rsidRPr="00924038">
        <w:rPr>
          <w:rFonts w:eastAsia="Times New Roman"/>
          <w:szCs w:val="24"/>
          <w:lang w:val="en" w:eastAsia="en-AU"/>
        </w:rPr>
        <w:t>range of factors</w:t>
      </w:r>
      <w:r w:rsidR="00346C9A" w:rsidRPr="00924038">
        <w:rPr>
          <w:rFonts w:eastAsia="Times New Roman"/>
          <w:szCs w:val="24"/>
          <w:lang w:val="en" w:eastAsia="en-AU"/>
        </w:rPr>
        <w:t>,</w:t>
      </w:r>
      <w:r w:rsidRPr="00924038">
        <w:rPr>
          <w:rFonts w:eastAsia="Times New Roman"/>
          <w:szCs w:val="24"/>
          <w:lang w:val="en" w:eastAsia="en-AU"/>
        </w:rPr>
        <w:t xml:space="preserve"> including</w:t>
      </w:r>
      <w:r w:rsidR="00D912F1" w:rsidRPr="00924038">
        <w:rPr>
          <w:rFonts w:eastAsia="Times New Roman"/>
          <w:szCs w:val="24"/>
          <w:lang w:val="en" w:eastAsia="en-AU"/>
        </w:rPr>
        <w:t xml:space="preserve"> those identified in </w:t>
      </w:r>
      <w:r w:rsidR="00D912F1" w:rsidRPr="00924038">
        <w:rPr>
          <w:rFonts w:eastAsia="Times New Roman"/>
          <w:i/>
          <w:szCs w:val="24"/>
          <w:lang w:val="en" w:eastAsia="en-AU"/>
        </w:rPr>
        <w:t>Money Max</w:t>
      </w:r>
      <w:r w:rsidR="00D912F1" w:rsidRPr="00924038">
        <w:rPr>
          <w:rFonts w:eastAsia="Times New Roman"/>
          <w:szCs w:val="24"/>
          <w:lang w:val="en" w:eastAsia="en-AU"/>
        </w:rPr>
        <w:t xml:space="preserve"> at </w:t>
      </w:r>
      <w:r w:rsidR="00346C9A" w:rsidRPr="00924038">
        <w:rPr>
          <w:rFonts w:eastAsia="Times New Roman"/>
          <w:szCs w:val="24"/>
          <w:lang w:val="en" w:eastAsia="en-AU"/>
        </w:rPr>
        <w:t xml:space="preserve">209 </w:t>
      </w:r>
      <w:r w:rsidR="00D912F1" w:rsidRPr="00924038">
        <w:rPr>
          <w:rFonts w:eastAsia="Times New Roman"/>
          <w:szCs w:val="24"/>
          <w:lang w:val="en" w:eastAsia="en-AU"/>
        </w:rPr>
        <w:t>[80]</w:t>
      </w:r>
      <w:r w:rsidR="00346C9A" w:rsidRPr="00924038">
        <w:rPr>
          <w:rFonts w:eastAsia="Times New Roman"/>
          <w:szCs w:val="24"/>
          <w:lang w:val="en" w:eastAsia="en-AU"/>
        </w:rPr>
        <w:t>,</w:t>
      </w:r>
      <w:r w:rsidR="00D912F1" w:rsidRPr="00924038">
        <w:rPr>
          <w:rFonts w:eastAsia="Times New Roman"/>
          <w:szCs w:val="24"/>
          <w:lang w:val="en" w:eastAsia="en-AU"/>
        </w:rPr>
        <w:t xml:space="preserve"> being</w:t>
      </w:r>
      <w:r w:rsidRPr="00924038">
        <w:rPr>
          <w:rFonts w:eastAsia="Times New Roman"/>
          <w:szCs w:val="24"/>
          <w:lang w:val="en" w:eastAsia="en-AU"/>
        </w:rPr>
        <w:t xml:space="preserve">: </w:t>
      </w:r>
    </w:p>
    <w:p w:rsidR="00346C9A" w:rsidRPr="00924038" w:rsidRDefault="00346C9A" w:rsidP="00346C9A">
      <w:pPr>
        <w:pStyle w:val="Order2"/>
        <w:rPr>
          <w:lang w:val="en" w:eastAsia="en-AU"/>
        </w:rPr>
      </w:pPr>
      <w:r w:rsidRPr="00924038">
        <w:rPr>
          <w:lang w:val="en" w:eastAsia="en-AU"/>
        </w:rPr>
        <w:t>the proportion of group members who had voluntarily accepted the funding agreement, and how the proposed rate under the common fund order compared to the rate recoverable under the funding agreement;</w:t>
      </w:r>
    </w:p>
    <w:p w:rsidR="00346C9A" w:rsidRPr="00924038" w:rsidRDefault="00346C9A" w:rsidP="00346C9A">
      <w:pPr>
        <w:pStyle w:val="Order2"/>
        <w:rPr>
          <w:lang w:val="en" w:eastAsia="en-AU"/>
        </w:rPr>
      </w:pPr>
      <w:r w:rsidRPr="00924038">
        <w:rPr>
          <w:lang w:val="en" w:eastAsia="en-AU"/>
        </w:rPr>
        <w:t>how the proposed rate compared to other funding commission rates available, and to alternative funding mechanisms;</w:t>
      </w:r>
    </w:p>
    <w:p w:rsidR="00EC4375" w:rsidRPr="00924038" w:rsidRDefault="00EC4375" w:rsidP="00346C9A">
      <w:pPr>
        <w:pStyle w:val="Order2"/>
        <w:rPr>
          <w:lang w:val="en" w:eastAsia="en-AU"/>
        </w:rPr>
      </w:pPr>
      <w:r w:rsidRPr="00924038">
        <w:rPr>
          <w:lang w:val="en" w:eastAsia="en-AU"/>
        </w:rPr>
        <w:t>the risks assumed by the funder;</w:t>
      </w:r>
    </w:p>
    <w:p w:rsidR="00EC4375" w:rsidRPr="00924038" w:rsidRDefault="00EC4375" w:rsidP="00346C9A">
      <w:pPr>
        <w:pStyle w:val="Order2"/>
        <w:rPr>
          <w:lang w:val="en" w:eastAsia="en-AU"/>
        </w:rPr>
      </w:pPr>
      <w:r w:rsidRPr="00924038">
        <w:rPr>
          <w:lang w:val="en" w:eastAsia="en-AU"/>
        </w:rPr>
        <w:t>whether the commission to be received by the litigation funder was proportionate to the amount received by the group members;  and</w:t>
      </w:r>
    </w:p>
    <w:p w:rsidR="00EC4375" w:rsidRPr="00924038" w:rsidRDefault="00EC4375" w:rsidP="00346C9A">
      <w:pPr>
        <w:pStyle w:val="Order2"/>
        <w:rPr>
          <w:lang w:val="en" w:eastAsia="en-AU"/>
        </w:rPr>
      </w:pPr>
      <w:proofErr w:type="gramStart"/>
      <w:r w:rsidRPr="00924038">
        <w:rPr>
          <w:lang w:val="en" w:eastAsia="en-AU"/>
        </w:rPr>
        <w:t>whether</w:t>
      </w:r>
      <w:proofErr w:type="gramEnd"/>
      <w:r w:rsidRPr="00924038">
        <w:rPr>
          <w:lang w:val="en" w:eastAsia="en-AU"/>
        </w:rPr>
        <w:t xml:space="preserve"> group me</w:t>
      </w:r>
      <w:r w:rsidR="007E6739">
        <w:rPr>
          <w:lang w:val="en" w:eastAsia="en-AU"/>
        </w:rPr>
        <w:t xml:space="preserve">mbers had an opportunity to opt </w:t>
      </w:r>
      <w:r w:rsidRPr="00924038">
        <w:rPr>
          <w:lang w:val="en" w:eastAsia="en-AU"/>
        </w:rPr>
        <w:t>out of the proceeding, or to notify their objections to the proposed funding commission.</w:t>
      </w:r>
    </w:p>
    <w:p w:rsidR="00C16917" w:rsidRPr="00924038" w:rsidRDefault="00EC4375" w:rsidP="00EC4375">
      <w:pPr>
        <w:pStyle w:val="ParaNumbering"/>
        <w:rPr>
          <w:lang w:val="en" w:eastAsia="en-AU"/>
        </w:rPr>
      </w:pPr>
      <w:r w:rsidRPr="00924038">
        <w:rPr>
          <w:lang w:val="en" w:eastAsia="en-AU"/>
        </w:rPr>
        <w:t>Beach J</w:t>
      </w:r>
      <w:r w:rsidR="00C16917" w:rsidRPr="00924038">
        <w:rPr>
          <w:lang w:val="en" w:eastAsia="en-AU"/>
        </w:rPr>
        <w:t xml:space="preserve"> observed that </w:t>
      </w:r>
      <w:r w:rsidR="007B1185" w:rsidRPr="00924038">
        <w:rPr>
          <w:lang w:eastAsia="en-AU"/>
        </w:rPr>
        <w:t xml:space="preserve">the percentage a funder </w:t>
      </w:r>
      <w:r w:rsidR="00C16917" w:rsidRPr="00924038">
        <w:rPr>
          <w:lang w:eastAsia="en-AU"/>
        </w:rPr>
        <w:t>receive</w:t>
      </w:r>
      <w:r w:rsidR="007B1185" w:rsidRPr="00924038">
        <w:rPr>
          <w:lang w:eastAsia="en-AU"/>
        </w:rPr>
        <w:t>s</w:t>
      </w:r>
      <w:r w:rsidR="00C16917" w:rsidRPr="00924038">
        <w:rPr>
          <w:lang w:eastAsia="en-AU"/>
        </w:rPr>
        <w:t xml:space="preserve"> varies from case to case, but most commonly falls within a range of 25% to 40%</w:t>
      </w:r>
      <w:r w:rsidR="007B1185" w:rsidRPr="00924038">
        <w:rPr>
          <w:lang w:eastAsia="en-AU"/>
        </w:rPr>
        <w:t xml:space="preserve">, and </w:t>
      </w:r>
      <w:r w:rsidRPr="00924038">
        <w:rPr>
          <w:lang w:eastAsia="en-AU"/>
        </w:rPr>
        <w:t xml:space="preserve">that </w:t>
      </w:r>
      <w:r w:rsidR="007B1185" w:rsidRPr="00924038">
        <w:rPr>
          <w:lang w:eastAsia="en-AU"/>
        </w:rPr>
        <w:t>the proposed common fund order</w:t>
      </w:r>
      <w:r w:rsidR="00C16917" w:rsidRPr="00924038">
        <w:rPr>
          <w:lang w:eastAsia="en-AU"/>
        </w:rPr>
        <w:t xml:space="preserve"> was at the lower end of that range. </w:t>
      </w:r>
      <w:r w:rsidR="00AA51AA" w:rsidRPr="00924038">
        <w:rPr>
          <w:lang w:eastAsia="en-AU"/>
        </w:rPr>
        <w:t xml:space="preserve"> </w:t>
      </w:r>
      <w:r w:rsidR="00C16917" w:rsidRPr="00924038">
        <w:rPr>
          <w:lang w:eastAsia="en-AU"/>
        </w:rPr>
        <w:t>Had the gross settlement sum been substantially higher</w:t>
      </w:r>
      <w:r w:rsidR="00FC433B" w:rsidRPr="00924038">
        <w:rPr>
          <w:lang w:eastAsia="en-AU"/>
        </w:rPr>
        <w:t>, Beach J would have applied a ‘sliding scale’</w:t>
      </w:r>
      <w:r w:rsidR="00C16917" w:rsidRPr="00924038">
        <w:rPr>
          <w:lang w:eastAsia="en-AU"/>
        </w:rPr>
        <w:t xml:space="preserve"> to the commission rate an</w:t>
      </w:r>
      <w:r w:rsidR="00FC433B" w:rsidRPr="00924038">
        <w:rPr>
          <w:lang w:eastAsia="en-AU"/>
        </w:rPr>
        <w:t>d accordingly set a lower rate “</w:t>
      </w:r>
      <w:r w:rsidR="00C16917" w:rsidRPr="00924038">
        <w:rPr>
          <w:i/>
          <w:lang w:eastAsia="en-AU"/>
        </w:rPr>
        <w:t>so that the amount paid to the funder would have remained proportionate to the investment and ris</w:t>
      </w:r>
      <w:r w:rsidR="00FC433B" w:rsidRPr="00924038">
        <w:rPr>
          <w:i/>
          <w:lang w:eastAsia="en-AU"/>
        </w:rPr>
        <w:t>k undertaken by the funder</w:t>
      </w:r>
      <w:r w:rsidR="00FC433B" w:rsidRPr="00924038">
        <w:rPr>
          <w:lang w:eastAsia="en-AU"/>
        </w:rPr>
        <w:t>”</w:t>
      </w:r>
      <w:r w:rsidRPr="00924038">
        <w:rPr>
          <w:lang w:eastAsia="en-AU"/>
        </w:rPr>
        <w:t xml:space="preserve"> (at 516 [160])</w:t>
      </w:r>
      <w:r w:rsidR="00FC433B" w:rsidRPr="00924038">
        <w:rPr>
          <w:lang w:eastAsia="en-AU"/>
        </w:rPr>
        <w:t>.</w:t>
      </w:r>
      <w:r w:rsidR="00C16917" w:rsidRPr="00924038">
        <w:rPr>
          <w:lang w:eastAsia="en-AU"/>
        </w:rPr>
        <w:t xml:space="preserve"> </w:t>
      </w:r>
      <w:r w:rsidR="00F90FD9" w:rsidRPr="00924038">
        <w:rPr>
          <w:lang w:eastAsia="en-AU"/>
        </w:rPr>
        <w:t xml:space="preserve"> </w:t>
      </w:r>
    </w:p>
    <w:p w:rsidR="009736CC" w:rsidRPr="00924038" w:rsidRDefault="00265762" w:rsidP="009736CC">
      <w:pPr>
        <w:pStyle w:val="ParaNumbering"/>
        <w:rPr>
          <w:rFonts w:eastAsia="Times New Roman"/>
          <w:szCs w:val="24"/>
          <w:lang w:eastAsia="en-AU"/>
        </w:rPr>
      </w:pPr>
      <w:r w:rsidRPr="00924038">
        <w:rPr>
          <w:szCs w:val="24"/>
        </w:rPr>
        <w:t xml:space="preserve">Most recently, </w:t>
      </w:r>
      <w:r w:rsidR="00D912F1" w:rsidRPr="00924038">
        <w:rPr>
          <w:szCs w:val="24"/>
        </w:rPr>
        <w:t xml:space="preserve">in </w:t>
      </w:r>
      <w:r w:rsidR="00D912F1" w:rsidRPr="00924038">
        <w:rPr>
          <w:i/>
          <w:szCs w:val="24"/>
        </w:rPr>
        <w:t>Caason Investments Pty Limited v Cao (No 2)</w:t>
      </w:r>
      <w:r w:rsidR="00D912F1" w:rsidRPr="00924038">
        <w:rPr>
          <w:szCs w:val="24"/>
        </w:rPr>
        <w:t xml:space="preserve"> [2018] FCA 527 at [159]</w:t>
      </w:r>
      <w:r w:rsidR="00E926B8" w:rsidRPr="00924038">
        <w:rPr>
          <w:szCs w:val="24"/>
        </w:rPr>
        <w:t>-</w:t>
      </w:r>
      <w:r w:rsidR="00D912F1" w:rsidRPr="00924038">
        <w:rPr>
          <w:szCs w:val="24"/>
        </w:rPr>
        <w:t>[174]</w:t>
      </w:r>
      <w:r w:rsidR="00103A6C" w:rsidRPr="00924038">
        <w:rPr>
          <w:szCs w:val="24"/>
        </w:rPr>
        <w:t>, Murphy J</w:t>
      </w:r>
      <w:r w:rsidR="00D912F1" w:rsidRPr="00924038">
        <w:rPr>
          <w:szCs w:val="24"/>
        </w:rPr>
        <w:t xml:space="preserve"> returned to the topic in the context of a funder </w:t>
      </w:r>
      <w:r w:rsidR="00D912F1" w:rsidRPr="00924038">
        <w:rPr>
          <w:rFonts w:eastAsia="Times New Roman"/>
          <w:szCs w:val="24"/>
          <w:lang w:eastAsia="en-AU"/>
        </w:rPr>
        <w:t>seeking a common fund order at a rate of 30% of the gross recovery, which his Honour was prepared to order for reasons</w:t>
      </w:r>
      <w:r w:rsidR="00EB0329">
        <w:rPr>
          <w:rFonts w:eastAsia="Times New Roman"/>
          <w:szCs w:val="24"/>
          <w:lang w:eastAsia="en-AU"/>
        </w:rPr>
        <w:t xml:space="preserve"> which included</w:t>
      </w:r>
      <w:r w:rsidR="00D912F1" w:rsidRPr="00924038">
        <w:rPr>
          <w:rFonts w:eastAsia="Times New Roman"/>
          <w:szCs w:val="24"/>
          <w:lang w:eastAsia="en-AU"/>
        </w:rPr>
        <w:t xml:space="preserve">: </w:t>
      </w:r>
      <w:r w:rsidR="00D912F1" w:rsidRPr="00924038">
        <w:rPr>
          <w:rFonts w:eastAsia="Times New Roman"/>
          <w:i/>
          <w:szCs w:val="24"/>
          <w:lang w:eastAsia="en-AU"/>
        </w:rPr>
        <w:t>first</w:t>
      </w:r>
      <w:r w:rsidR="00D912F1" w:rsidRPr="00924038">
        <w:rPr>
          <w:rFonts w:eastAsia="Times New Roman"/>
          <w:szCs w:val="24"/>
          <w:lang w:eastAsia="en-AU"/>
        </w:rPr>
        <w:t xml:space="preserve">, a common fund order (which involved the funder not seeking </w:t>
      </w:r>
      <w:r w:rsidR="009F17E1" w:rsidRPr="00924038">
        <w:rPr>
          <w:rFonts w:eastAsia="Times New Roman"/>
          <w:szCs w:val="24"/>
          <w:lang w:eastAsia="en-AU"/>
        </w:rPr>
        <w:t>the</w:t>
      </w:r>
      <w:r w:rsidR="00D912F1" w:rsidRPr="00924038">
        <w:rPr>
          <w:rFonts w:eastAsia="Times New Roman"/>
          <w:szCs w:val="24"/>
          <w:lang w:eastAsia="en-AU"/>
        </w:rPr>
        <w:t xml:space="preserve"> commission rate </w:t>
      </w:r>
      <w:r w:rsidR="009F17E1" w:rsidRPr="00924038">
        <w:rPr>
          <w:rFonts w:eastAsia="Times New Roman"/>
          <w:szCs w:val="24"/>
          <w:lang w:eastAsia="en-AU"/>
        </w:rPr>
        <w:t xml:space="preserve">or </w:t>
      </w:r>
      <w:r w:rsidR="00D912F1" w:rsidRPr="00924038">
        <w:rPr>
          <w:rFonts w:eastAsia="Times New Roman"/>
          <w:szCs w:val="24"/>
          <w:lang w:eastAsia="en-AU"/>
        </w:rPr>
        <w:t xml:space="preserve">project management fees to which it was contractually entitled) left all group members better off; </w:t>
      </w:r>
      <w:r w:rsidR="00EB0329">
        <w:rPr>
          <w:rFonts w:eastAsia="Times New Roman"/>
          <w:i/>
          <w:szCs w:val="24"/>
          <w:lang w:eastAsia="en-AU"/>
        </w:rPr>
        <w:t>second</w:t>
      </w:r>
      <w:r w:rsidR="00D912F1" w:rsidRPr="00924038">
        <w:rPr>
          <w:rFonts w:eastAsia="Times New Roman"/>
          <w:i/>
          <w:szCs w:val="24"/>
          <w:lang w:eastAsia="en-AU"/>
        </w:rPr>
        <w:t>ly</w:t>
      </w:r>
      <w:r w:rsidR="009736CC" w:rsidRPr="00924038">
        <w:rPr>
          <w:rFonts w:eastAsia="Times New Roman"/>
          <w:szCs w:val="24"/>
          <w:lang w:eastAsia="en-AU"/>
        </w:rPr>
        <w:t xml:space="preserve">, </w:t>
      </w:r>
      <w:r w:rsidR="00D912F1" w:rsidRPr="00924038">
        <w:rPr>
          <w:rFonts w:eastAsia="Times New Roman"/>
          <w:szCs w:val="24"/>
          <w:lang w:eastAsia="en-AU"/>
        </w:rPr>
        <w:t>it represented a simpler and more transparent mechanism for fairly apportioning funding charges</w:t>
      </w:r>
      <w:r w:rsidR="009736CC" w:rsidRPr="00924038">
        <w:rPr>
          <w:rFonts w:eastAsia="Times New Roman"/>
          <w:szCs w:val="24"/>
          <w:lang w:eastAsia="en-AU"/>
        </w:rPr>
        <w:t xml:space="preserve">; </w:t>
      </w:r>
      <w:r w:rsidR="00EB0329">
        <w:rPr>
          <w:rFonts w:eastAsia="Times New Roman"/>
          <w:i/>
          <w:szCs w:val="24"/>
          <w:lang w:eastAsia="en-AU"/>
        </w:rPr>
        <w:t>thirdly</w:t>
      </w:r>
      <w:r w:rsidR="009736CC" w:rsidRPr="00924038">
        <w:rPr>
          <w:rFonts w:eastAsia="Times New Roman"/>
          <w:szCs w:val="24"/>
          <w:lang w:eastAsia="en-AU"/>
        </w:rPr>
        <w:t xml:space="preserve">, group members </w:t>
      </w:r>
      <w:r w:rsidR="00D912F1" w:rsidRPr="00924038">
        <w:rPr>
          <w:rFonts w:eastAsia="Times New Roman"/>
          <w:szCs w:val="24"/>
          <w:lang w:eastAsia="en-AU"/>
        </w:rPr>
        <w:t>were able to opt</w:t>
      </w:r>
      <w:r w:rsidR="007E6739">
        <w:rPr>
          <w:rFonts w:eastAsia="Times New Roman"/>
          <w:szCs w:val="24"/>
          <w:lang w:eastAsia="en-AU"/>
        </w:rPr>
        <w:t xml:space="preserve"> </w:t>
      </w:r>
      <w:r w:rsidR="00D912F1" w:rsidRPr="00924038">
        <w:rPr>
          <w:rFonts w:eastAsia="Times New Roman"/>
          <w:szCs w:val="24"/>
          <w:lang w:eastAsia="en-AU"/>
        </w:rPr>
        <w:t>out if they wished</w:t>
      </w:r>
      <w:r w:rsidR="009736CC" w:rsidRPr="00924038">
        <w:rPr>
          <w:rFonts w:eastAsia="Times New Roman"/>
          <w:szCs w:val="24"/>
          <w:lang w:eastAsia="en-AU"/>
        </w:rPr>
        <w:t>;</w:t>
      </w:r>
      <w:r w:rsidR="00D912F1" w:rsidRPr="00924038">
        <w:rPr>
          <w:rFonts w:eastAsia="Times New Roman"/>
          <w:szCs w:val="24"/>
          <w:lang w:eastAsia="en-AU"/>
        </w:rPr>
        <w:t xml:space="preserve"> </w:t>
      </w:r>
      <w:r w:rsidR="00EB0329">
        <w:rPr>
          <w:rFonts w:eastAsia="Times New Roman"/>
          <w:i/>
          <w:iCs/>
          <w:szCs w:val="24"/>
          <w:lang w:eastAsia="en-AU"/>
        </w:rPr>
        <w:t>four</w:t>
      </w:r>
      <w:r w:rsidR="00D912F1" w:rsidRPr="00924038">
        <w:rPr>
          <w:rFonts w:eastAsia="Times New Roman"/>
          <w:i/>
          <w:iCs/>
          <w:szCs w:val="24"/>
          <w:lang w:eastAsia="en-AU"/>
        </w:rPr>
        <w:t>th</w:t>
      </w:r>
      <w:r w:rsidR="009736CC" w:rsidRPr="00924038">
        <w:rPr>
          <w:rFonts w:eastAsia="Times New Roman"/>
          <w:i/>
          <w:iCs/>
          <w:szCs w:val="24"/>
          <w:lang w:eastAsia="en-AU"/>
        </w:rPr>
        <w:t>ly</w:t>
      </w:r>
      <w:r w:rsidR="00D912F1" w:rsidRPr="00924038">
        <w:rPr>
          <w:rFonts w:eastAsia="Times New Roman"/>
          <w:szCs w:val="24"/>
          <w:lang w:eastAsia="en-AU"/>
        </w:rPr>
        <w:t xml:space="preserve">, </w:t>
      </w:r>
      <w:r w:rsidR="009736CC" w:rsidRPr="00924038">
        <w:rPr>
          <w:rFonts w:eastAsia="Times New Roman"/>
          <w:szCs w:val="24"/>
          <w:lang w:eastAsia="en-AU"/>
        </w:rPr>
        <w:t xml:space="preserve">the funder’s rate of return was low; and </w:t>
      </w:r>
      <w:r w:rsidR="00EB0329">
        <w:rPr>
          <w:rFonts w:eastAsia="Times New Roman"/>
          <w:i/>
          <w:szCs w:val="24"/>
          <w:lang w:eastAsia="en-AU"/>
        </w:rPr>
        <w:t>fif</w:t>
      </w:r>
      <w:r w:rsidR="009736CC" w:rsidRPr="00924038">
        <w:rPr>
          <w:rFonts w:eastAsia="Times New Roman"/>
          <w:i/>
          <w:szCs w:val="24"/>
          <w:lang w:eastAsia="en-AU"/>
        </w:rPr>
        <w:t>thly</w:t>
      </w:r>
      <w:r w:rsidR="009736CC" w:rsidRPr="00924038">
        <w:rPr>
          <w:rFonts w:eastAsia="Times New Roman"/>
          <w:szCs w:val="24"/>
          <w:lang w:eastAsia="en-AU"/>
        </w:rPr>
        <w:t xml:space="preserve">, it accorded with the </w:t>
      </w:r>
      <w:r w:rsidR="009736CC" w:rsidRPr="00924038">
        <w:rPr>
          <w:rFonts w:eastAsia="Times New Roman"/>
          <w:i/>
          <w:szCs w:val="24"/>
          <w:lang w:eastAsia="en-AU"/>
        </w:rPr>
        <w:t>Money Max</w:t>
      </w:r>
      <w:r w:rsidR="009736CC" w:rsidRPr="00924038">
        <w:rPr>
          <w:rFonts w:eastAsia="Times New Roman"/>
          <w:szCs w:val="24"/>
          <w:lang w:eastAsia="en-AU"/>
        </w:rPr>
        <w:t xml:space="preserve"> factors referred to above</w:t>
      </w:r>
      <w:r w:rsidR="009F17E1" w:rsidRPr="00924038">
        <w:rPr>
          <w:rFonts w:eastAsia="Times New Roman"/>
          <w:szCs w:val="24"/>
          <w:lang w:eastAsia="en-AU"/>
        </w:rPr>
        <w:t>,</w:t>
      </w:r>
      <w:r w:rsidR="009736CC" w:rsidRPr="00924038">
        <w:rPr>
          <w:rFonts w:eastAsia="Times New Roman"/>
          <w:szCs w:val="24"/>
          <w:lang w:eastAsia="en-AU"/>
        </w:rPr>
        <w:t xml:space="preserve"> including</w:t>
      </w:r>
      <w:r w:rsidR="00584C74" w:rsidRPr="00924038">
        <w:rPr>
          <w:rFonts w:eastAsia="Times New Roman"/>
          <w:szCs w:val="24"/>
          <w:lang w:eastAsia="en-AU"/>
        </w:rPr>
        <w:t xml:space="preserve"> that</w:t>
      </w:r>
      <w:r w:rsidR="009736CC" w:rsidRPr="00924038">
        <w:rPr>
          <w:rFonts w:eastAsia="Times New Roman"/>
          <w:szCs w:val="24"/>
          <w:lang w:eastAsia="en-AU"/>
        </w:rPr>
        <w:t xml:space="preserve"> </w:t>
      </w:r>
      <w:r w:rsidR="009F17E1" w:rsidRPr="00924038">
        <w:rPr>
          <w:rFonts w:eastAsia="Times New Roman"/>
          <w:szCs w:val="24"/>
          <w:lang w:eastAsia="en-AU"/>
        </w:rPr>
        <w:t>the rate wa</w:t>
      </w:r>
      <w:r w:rsidR="00D912F1" w:rsidRPr="00924038">
        <w:rPr>
          <w:rFonts w:eastAsia="Times New Roman"/>
          <w:szCs w:val="24"/>
          <w:lang w:eastAsia="en-AU"/>
        </w:rPr>
        <w:t>s within the range of the funding rates available or common in the class a</w:t>
      </w:r>
      <w:r w:rsidR="009736CC" w:rsidRPr="00924038">
        <w:rPr>
          <w:rFonts w:eastAsia="Times New Roman"/>
          <w:szCs w:val="24"/>
          <w:lang w:eastAsia="en-AU"/>
        </w:rPr>
        <w:t>ction litigation funding market</w:t>
      </w:r>
      <w:r w:rsidR="00D912F1" w:rsidRPr="00924038">
        <w:rPr>
          <w:rFonts w:eastAsia="Times New Roman"/>
          <w:szCs w:val="24"/>
          <w:lang w:eastAsia="en-AU"/>
        </w:rPr>
        <w:t xml:space="preserve"> </w:t>
      </w:r>
      <w:r w:rsidR="009736CC" w:rsidRPr="00924038">
        <w:rPr>
          <w:rFonts w:eastAsia="Times New Roman"/>
          <w:iCs/>
          <w:szCs w:val="24"/>
          <w:lang w:eastAsia="en-AU"/>
        </w:rPr>
        <w:t xml:space="preserve">and that it was </w:t>
      </w:r>
      <w:r w:rsidR="009736CC" w:rsidRPr="00924038">
        <w:rPr>
          <w:rFonts w:eastAsia="Times New Roman"/>
          <w:szCs w:val="24"/>
          <w:lang w:eastAsia="en-AU"/>
        </w:rPr>
        <w:t xml:space="preserve">not a large settlement. </w:t>
      </w:r>
      <w:r w:rsidR="00C07487" w:rsidRPr="00924038">
        <w:rPr>
          <w:rFonts w:eastAsia="Times New Roman"/>
          <w:szCs w:val="24"/>
          <w:lang w:eastAsia="en-AU"/>
        </w:rPr>
        <w:t xml:space="preserve"> </w:t>
      </w:r>
      <w:r w:rsidR="00097319" w:rsidRPr="00924038">
        <w:rPr>
          <w:rFonts w:eastAsia="Times New Roman"/>
          <w:szCs w:val="24"/>
          <w:lang w:eastAsia="en-AU"/>
        </w:rPr>
        <w:t>Common fund ord</w:t>
      </w:r>
      <w:r w:rsidR="005850B4">
        <w:rPr>
          <w:rFonts w:eastAsia="Times New Roman"/>
          <w:szCs w:val="24"/>
          <w:lang w:eastAsia="en-AU"/>
        </w:rPr>
        <w:t xml:space="preserve">ers are sought in this case.  </w:t>
      </w:r>
      <w:r w:rsidR="00C07487" w:rsidRPr="00924038">
        <w:rPr>
          <w:rFonts w:eastAsia="Times New Roman"/>
          <w:szCs w:val="24"/>
          <w:lang w:eastAsia="en-AU"/>
        </w:rPr>
        <w:t xml:space="preserve">I </w:t>
      </w:r>
      <w:r w:rsidR="00097319" w:rsidRPr="00924038">
        <w:rPr>
          <w:rFonts w:eastAsia="Times New Roman"/>
          <w:szCs w:val="24"/>
          <w:lang w:eastAsia="en-AU"/>
        </w:rPr>
        <w:t>return below to some criticisms of common fund orders and how the common fund order in this case may address some of these criticisms.</w:t>
      </w:r>
    </w:p>
    <w:p w:rsidR="00CC6357" w:rsidRPr="00924038" w:rsidRDefault="007B1185" w:rsidP="0056094C">
      <w:pPr>
        <w:pStyle w:val="ParaNumbering"/>
        <w:rPr>
          <w:lang w:eastAsia="en-AU"/>
        </w:rPr>
      </w:pPr>
      <w:r w:rsidRPr="00924038">
        <w:rPr>
          <w:lang w:eastAsia="en-AU"/>
        </w:rPr>
        <w:lastRenderedPageBreak/>
        <w:t>The</w:t>
      </w:r>
      <w:r w:rsidR="004B49BE" w:rsidRPr="00924038">
        <w:rPr>
          <w:lang w:eastAsia="en-AU"/>
        </w:rPr>
        <w:t xml:space="preserve"> developments</w:t>
      </w:r>
      <w:r w:rsidRPr="00924038">
        <w:rPr>
          <w:lang w:eastAsia="en-AU"/>
        </w:rPr>
        <w:t xml:space="preserve"> I have traced</w:t>
      </w:r>
      <w:r w:rsidR="004226FA" w:rsidRPr="00924038">
        <w:rPr>
          <w:lang w:eastAsia="en-AU"/>
        </w:rPr>
        <w:t xml:space="preserve">, </w:t>
      </w:r>
      <w:r w:rsidR="004B49BE" w:rsidRPr="00924038">
        <w:rPr>
          <w:lang w:eastAsia="en-AU"/>
        </w:rPr>
        <w:t xml:space="preserve">culminating in the prospects of recovery out of a common fund, </w:t>
      </w:r>
      <w:r w:rsidR="00584C74" w:rsidRPr="00924038">
        <w:rPr>
          <w:lang w:eastAsia="en-AU"/>
        </w:rPr>
        <w:t>have</w:t>
      </w:r>
      <w:r w:rsidR="004B49BE" w:rsidRPr="00924038">
        <w:rPr>
          <w:lang w:eastAsia="en-AU"/>
        </w:rPr>
        <w:t xml:space="preserve"> </w:t>
      </w:r>
      <w:r w:rsidRPr="00924038">
        <w:rPr>
          <w:lang w:eastAsia="en-AU"/>
        </w:rPr>
        <w:t xml:space="preserve">now led to the present </w:t>
      </w:r>
      <w:r w:rsidR="004B49BE" w:rsidRPr="00924038">
        <w:rPr>
          <w:lang w:eastAsia="en-AU"/>
        </w:rPr>
        <w:t xml:space="preserve">competitive market where funders and solicitors are in </w:t>
      </w:r>
      <w:r w:rsidR="00584C74" w:rsidRPr="00924038">
        <w:rPr>
          <w:lang w:eastAsia="en-AU"/>
        </w:rPr>
        <w:t>competition</w:t>
      </w:r>
      <w:r w:rsidR="004B49BE" w:rsidRPr="00924038">
        <w:rPr>
          <w:lang w:eastAsia="en-AU"/>
        </w:rPr>
        <w:t xml:space="preserve"> </w:t>
      </w:r>
      <w:r w:rsidRPr="00924038">
        <w:rPr>
          <w:lang w:eastAsia="en-AU"/>
        </w:rPr>
        <w:t xml:space="preserve">for carriage of </w:t>
      </w:r>
      <w:r w:rsidR="004B49BE" w:rsidRPr="00924038">
        <w:rPr>
          <w:lang w:eastAsia="en-AU"/>
        </w:rPr>
        <w:t>class action</w:t>
      </w:r>
      <w:r w:rsidRPr="00924038">
        <w:rPr>
          <w:lang w:eastAsia="en-AU"/>
        </w:rPr>
        <w:t xml:space="preserve">s which </w:t>
      </w:r>
      <w:r w:rsidR="00E677E8" w:rsidRPr="00924038">
        <w:rPr>
          <w:lang w:eastAsia="en-AU"/>
        </w:rPr>
        <w:t xml:space="preserve">they </w:t>
      </w:r>
      <w:r w:rsidRPr="00924038">
        <w:rPr>
          <w:lang w:eastAsia="en-AU"/>
        </w:rPr>
        <w:t xml:space="preserve">subjectively </w:t>
      </w:r>
      <w:r w:rsidR="004B49BE" w:rsidRPr="00924038">
        <w:rPr>
          <w:lang w:eastAsia="en-AU"/>
        </w:rPr>
        <w:t xml:space="preserve">perceive as having prospects of success and hence the </w:t>
      </w:r>
      <w:r w:rsidR="00CC316E" w:rsidRPr="00924038">
        <w:rPr>
          <w:lang w:eastAsia="en-AU"/>
        </w:rPr>
        <w:t xml:space="preserve">prospect of </w:t>
      </w:r>
      <w:r w:rsidR="00584C74" w:rsidRPr="00924038">
        <w:rPr>
          <w:lang w:eastAsia="en-AU"/>
        </w:rPr>
        <w:t xml:space="preserve">delivering a </w:t>
      </w:r>
      <w:r w:rsidR="00CC316E" w:rsidRPr="00924038">
        <w:rPr>
          <w:lang w:eastAsia="en-AU"/>
        </w:rPr>
        <w:t>commercial return</w:t>
      </w:r>
      <w:r w:rsidR="005850B4">
        <w:rPr>
          <w:lang w:eastAsia="en-AU"/>
        </w:rPr>
        <w:t xml:space="preserve"> (</w:t>
      </w:r>
      <w:r w:rsidR="00920FA6">
        <w:rPr>
          <w:lang w:eastAsia="en-AU"/>
        </w:rPr>
        <w:t>a conclusion which could no doubt have bee</w:t>
      </w:r>
      <w:r w:rsidR="005850B4">
        <w:rPr>
          <w:lang w:eastAsia="en-AU"/>
        </w:rPr>
        <w:t xml:space="preserve">n </w:t>
      </w:r>
      <w:r w:rsidR="00920FA6">
        <w:rPr>
          <w:lang w:eastAsia="en-AU"/>
        </w:rPr>
        <w:t>drawn by even a moderately interested observer</w:t>
      </w:r>
      <w:r w:rsidR="005850B4">
        <w:rPr>
          <w:lang w:eastAsia="en-AU"/>
        </w:rPr>
        <w:t>)</w:t>
      </w:r>
      <w:r w:rsidR="00CC316E" w:rsidRPr="00924038">
        <w:rPr>
          <w:lang w:eastAsia="en-AU"/>
        </w:rPr>
        <w:t>.</w:t>
      </w:r>
      <w:r w:rsidR="00977976" w:rsidRPr="00924038">
        <w:t xml:space="preserve">  According to a recent presentation by the President of the </w:t>
      </w:r>
      <w:r w:rsidR="00103A6C" w:rsidRPr="00924038">
        <w:t>ALRC</w:t>
      </w:r>
      <w:r w:rsidR="00977976" w:rsidRPr="00924038">
        <w:t>, the Honourable Justice SC Derrington entitled</w:t>
      </w:r>
      <w:r w:rsidR="00584C74" w:rsidRPr="00924038">
        <w:t>,</w:t>
      </w:r>
      <w:r w:rsidR="00977976" w:rsidRPr="00924038">
        <w:t xml:space="preserve"> </w:t>
      </w:r>
      <w:r w:rsidR="0056094C" w:rsidRPr="00924038">
        <w:t>‘</w:t>
      </w:r>
      <w:r w:rsidR="00977976" w:rsidRPr="00924038">
        <w:t>Litigation Funding Inquiry</w:t>
      </w:r>
      <w:r w:rsidR="0089166E" w:rsidRPr="00924038">
        <w:t xml:space="preserve">’ </w:t>
      </w:r>
      <w:r w:rsidR="0056094C" w:rsidRPr="00924038">
        <w:t xml:space="preserve">(Speech delivered at the </w:t>
      </w:r>
      <w:r w:rsidR="0089166E" w:rsidRPr="00924038">
        <w:t>Increased Regulation of Litigation Funding – A Timely Crackdown or a Regulatory Solution in Search of a Problem</w:t>
      </w:r>
      <w:proofErr w:type="gramStart"/>
      <w:r w:rsidR="0089166E" w:rsidRPr="00924038">
        <w:t xml:space="preserve">? </w:t>
      </w:r>
      <w:proofErr w:type="gramEnd"/>
      <w:r w:rsidR="0089166E" w:rsidRPr="00924038">
        <w:t xml:space="preserve">Seminar, Monash University, </w:t>
      </w:r>
      <w:proofErr w:type="gramStart"/>
      <w:r w:rsidR="0089166E" w:rsidRPr="00924038">
        <w:t>9</w:t>
      </w:r>
      <w:proofErr w:type="gramEnd"/>
      <w:r w:rsidR="0056094C" w:rsidRPr="00924038">
        <w:t xml:space="preserve"> April 2018</w:t>
      </w:r>
      <w:r w:rsidR="00A233D4" w:rsidRPr="00924038">
        <w:t>)</w:t>
      </w:r>
      <w:r w:rsidR="0056094C" w:rsidRPr="00924038">
        <w:t xml:space="preserve">, </w:t>
      </w:r>
      <w:r w:rsidR="00977976" w:rsidRPr="00924038">
        <w:t>approximately 25 funding entities are currently operating in the Australian market.  Additionally, according to information provided to the ALRC, approximat</w:t>
      </w:r>
      <w:r w:rsidR="00CC316E" w:rsidRPr="00924038">
        <w:t>ely one-quarter of class actions</w:t>
      </w:r>
      <w:r w:rsidR="00977976" w:rsidRPr="00924038">
        <w:t xml:space="preserve"> that were proceeding through the Court in 2015 and 2016 were related actions.</w:t>
      </w:r>
      <w:r w:rsidR="00CC316E" w:rsidRPr="00924038">
        <w:t xml:space="preserve">  The only available conclusion is that this competitive market for funding and the emergence of open class securit</w:t>
      </w:r>
      <w:r w:rsidR="00BE7CE8" w:rsidRPr="00924038">
        <w:t>ies class actions means that this</w:t>
      </w:r>
      <w:r w:rsidR="00CC316E" w:rsidRPr="00924038">
        <w:t xml:space="preserve"> Court is highly likely to continue to be confronted with the spectre of competing funded securities class actions. </w:t>
      </w:r>
      <w:r w:rsidR="00BE7CE8" w:rsidRPr="00924038">
        <w:t xml:space="preserve"> </w:t>
      </w:r>
    </w:p>
    <w:p w:rsidR="00304C67" w:rsidRPr="00924038" w:rsidRDefault="00AC2E6B" w:rsidP="00AC2E0E">
      <w:pPr>
        <w:pStyle w:val="Heading2"/>
      </w:pPr>
      <w:bookmarkStart w:id="29" w:name="_Ref514405600"/>
      <w:r w:rsidRPr="00924038">
        <w:t>B</w:t>
      </w:r>
      <w:r w:rsidR="00AC2E0E" w:rsidRPr="00924038">
        <w:t>.2</w:t>
      </w:r>
      <w:r w:rsidR="00AC2E0E" w:rsidRPr="00924038">
        <w:tab/>
      </w:r>
      <w:proofErr w:type="gramStart"/>
      <w:r w:rsidR="00AC2E0E" w:rsidRPr="00924038">
        <w:t>The</w:t>
      </w:r>
      <w:proofErr w:type="gramEnd"/>
      <w:r w:rsidR="00AC2E0E" w:rsidRPr="00924038">
        <w:t xml:space="preserve"> Procedural Contradiction of Securities Class Actions</w:t>
      </w:r>
      <w:bookmarkEnd w:id="29"/>
    </w:p>
    <w:p w:rsidR="006B08C0" w:rsidRPr="00924038" w:rsidRDefault="00AC2E0E" w:rsidP="006B08C0">
      <w:pPr>
        <w:pStyle w:val="ParaNumbering"/>
      </w:pPr>
      <w:r w:rsidRPr="00924038">
        <w:t xml:space="preserve">One matter left out of this </w:t>
      </w:r>
      <w:r w:rsidR="00FC433B" w:rsidRPr="00924038">
        <w:t xml:space="preserve">historical </w:t>
      </w:r>
      <w:r w:rsidRPr="00924038">
        <w:t xml:space="preserve">survey </w:t>
      </w:r>
      <w:r w:rsidR="00FE71B4" w:rsidRPr="00924038">
        <w:t xml:space="preserve">is </w:t>
      </w:r>
      <w:r w:rsidR="006B08C0" w:rsidRPr="00924038">
        <w:t xml:space="preserve">a characteristic of this </w:t>
      </w:r>
      <w:r w:rsidR="00FE71B4" w:rsidRPr="00924038">
        <w:t xml:space="preserve">type of </w:t>
      </w:r>
      <w:r w:rsidR="006B08C0" w:rsidRPr="00924038">
        <w:t>litigation</w:t>
      </w:r>
      <w:r w:rsidR="00FC433B" w:rsidRPr="00924038">
        <w:t>,</w:t>
      </w:r>
      <w:r w:rsidR="006B08C0" w:rsidRPr="00924038">
        <w:t xml:space="preserve"> which is both striking and singular.  That is</w:t>
      </w:r>
      <w:r w:rsidR="00FE71B4" w:rsidRPr="00924038">
        <w:t>,</w:t>
      </w:r>
      <w:r w:rsidR="006B08C0" w:rsidRPr="00924038">
        <w:t xml:space="preserve"> that since the </w:t>
      </w:r>
      <w:r w:rsidR="006B08C0" w:rsidRPr="00924038">
        <w:rPr>
          <w:i/>
        </w:rPr>
        <w:t>Aristocrat</w:t>
      </w:r>
      <w:r w:rsidR="006B08C0" w:rsidRPr="00924038">
        <w:t xml:space="preserve"> class action</w:t>
      </w:r>
      <w:r w:rsidR="00FE71B4" w:rsidRPr="00924038">
        <w:t>,</w:t>
      </w:r>
      <w:r w:rsidR="006B08C0" w:rsidRPr="00924038">
        <w:t xml:space="preserve"> there have been </w:t>
      </w:r>
      <w:r w:rsidR="00C07487" w:rsidRPr="00924038">
        <w:t xml:space="preserve">over 60 funded </w:t>
      </w:r>
      <w:r w:rsidR="00097319" w:rsidRPr="00924038">
        <w:t xml:space="preserve">securities </w:t>
      </w:r>
      <w:r w:rsidR="00DA0AC8" w:rsidRPr="00924038">
        <w:t xml:space="preserve">class actions </w:t>
      </w:r>
      <w:r w:rsidR="00FC433B" w:rsidRPr="00924038">
        <w:t xml:space="preserve">commenced </w:t>
      </w:r>
      <w:r w:rsidR="00FE71B4" w:rsidRPr="00924038">
        <w:t>but</w:t>
      </w:r>
      <w:r w:rsidR="006B08C0" w:rsidRPr="00924038">
        <w:t xml:space="preserve"> not one of these actions has proceeded to the delivery of judgment following a full</w:t>
      </w:r>
      <w:r w:rsidR="00584C74" w:rsidRPr="00924038">
        <w:t>y</w:t>
      </w:r>
      <w:r w:rsidR="006B08C0" w:rsidRPr="00924038">
        <w:t xml:space="preserve"> contested hearing</w:t>
      </w:r>
      <w:r w:rsidR="00DA0AC8" w:rsidRPr="00924038">
        <w:t xml:space="preserve"> (</w:t>
      </w:r>
      <w:r w:rsidR="00584C74" w:rsidRPr="00924038">
        <w:t>albeit</w:t>
      </w:r>
      <w:r w:rsidR="00DA0AC8" w:rsidRPr="00924038">
        <w:t xml:space="preserve"> two have settled after an initial trial</w:t>
      </w:r>
      <w:r w:rsidR="00584C74" w:rsidRPr="00924038">
        <w:t>,</w:t>
      </w:r>
      <w:r w:rsidR="00DA0AC8" w:rsidRPr="00924038">
        <w:t xml:space="preserve"> but before judgment and at least one has settled during the course of the initial trial)</w:t>
      </w:r>
      <w:r w:rsidR="006B08C0" w:rsidRPr="00924038">
        <w:t xml:space="preserve">.  </w:t>
      </w:r>
    </w:p>
    <w:p w:rsidR="00A61A8B" w:rsidRPr="00924038" w:rsidRDefault="007B1185" w:rsidP="00CB0096">
      <w:pPr>
        <w:pStyle w:val="ParaNumbering"/>
        <w:rPr>
          <w:szCs w:val="24"/>
        </w:rPr>
      </w:pPr>
      <w:r w:rsidRPr="00924038">
        <w:rPr>
          <w:szCs w:val="24"/>
        </w:rPr>
        <w:t>It might be thought</w:t>
      </w:r>
      <w:r w:rsidR="006B08C0" w:rsidRPr="00924038">
        <w:rPr>
          <w:szCs w:val="24"/>
        </w:rPr>
        <w:t xml:space="preserve"> tha</w:t>
      </w:r>
      <w:r w:rsidR="00FE71B4" w:rsidRPr="00924038">
        <w:rPr>
          <w:szCs w:val="24"/>
        </w:rPr>
        <w:t>t there is something odd about Chapter III</w:t>
      </w:r>
      <w:r w:rsidR="00FC433B" w:rsidRPr="00924038">
        <w:rPr>
          <w:szCs w:val="24"/>
        </w:rPr>
        <w:t xml:space="preserve"> ju</w:t>
      </w:r>
      <w:r w:rsidR="006B08C0" w:rsidRPr="00924038">
        <w:rPr>
          <w:szCs w:val="24"/>
        </w:rPr>
        <w:t xml:space="preserve">dicial power being </w:t>
      </w:r>
      <w:r w:rsidR="00584C74" w:rsidRPr="00924038">
        <w:rPr>
          <w:szCs w:val="24"/>
        </w:rPr>
        <w:t>invoked</w:t>
      </w:r>
      <w:r w:rsidR="006B08C0" w:rsidRPr="00924038">
        <w:rPr>
          <w:szCs w:val="24"/>
        </w:rPr>
        <w:t xml:space="preserve"> </w:t>
      </w:r>
      <w:r w:rsidR="00FE71B4" w:rsidRPr="00924038">
        <w:rPr>
          <w:szCs w:val="24"/>
        </w:rPr>
        <w:t>with great regularity without the controversy</w:t>
      </w:r>
      <w:r w:rsidRPr="00924038">
        <w:rPr>
          <w:szCs w:val="24"/>
        </w:rPr>
        <w:t>,</w:t>
      </w:r>
      <w:r w:rsidR="00FE71B4" w:rsidRPr="00924038">
        <w:rPr>
          <w:szCs w:val="24"/>
        </w:rPr>
        <w:t xml:space="preserve"> </w:t>
      </w:r>
      <w:r w:rsidRPr="00924038">
        <w:rPr>
          <w:szCs w:val="24"/>
        </w:rPr>
        <w:t xml:space="preserve">in respect of which jurisdiction is invoked, </w:t>
      </w:r>
      <w:r w:rsidR="009C38A9" w:rsidRPr="00924038">
        <w:rPr>
          <w:szCs w:val="24"/>
        </w:rPr>
        <w:t xml:space="preserve">ever being resolved by </w:t>
      </w:r>
      <w:r w:rsidR="00FE71B4" w:rsidRPr="00924038">
        <w:rPr>
          <w:szCs w:val="24"/>
        </w:rPr>
        <w:t xml:space="preserve">final </w:t>
      </w:r>
      <w:r w:rsidR="009C38A9" w:rsidRPr="00924038">
        <w:rPr>
          <w:szCs w:val="24"/>
        </w:rPr>
        <w:t>determination</w:t>
      </w:r>
      <w:r w:rsidR="00FE71B4" w:rsidRPr="00924038">
        <w:rPr>
          <w:szCs w:val="24"/>
        </w:rPr>
        <w:t xml:space="preserve"> of </w:t>
      </w:r>
      <w:r w:rsidR="00A61A8B" w:rsidRPr="00924038">
        <w:rPr>
          <w:szCs w:val="24"/>
        </w:rPr>
        <w:t xml:space="preserve">contested </w:t>
      </w:r>
      <w:r w:rsidR="00FE71B4" w:rsidRPr="00924038">
        <w:rPr>
          <w:szCs w:val="24"/>
        </w:rPr>
        <w:t xml:space="preserve">common </w:t>
      </w:r>
      <w:r w:rsidR="00A61A8B" w:rsidRPr="00924038">
        <w:rPr>
          <w:szCs w:val="24"/>
        </w:rPr>
        <w:t xml:space="preserve">issues between the parties.  </w:t>
      </w:r>
      <w:r w:rsidR="00D241F0">
        <w:rPr>
          <w:szCs w:val="24"/>
        </w:rPr>
        <w:t>There are</w:t>
      </w:r>
      <w:r w:rsidR="00A61A8B" w:rsidRPr="00924038">
        <w:rPr>
          <w:szCs w:val="24"/>
        </w:rPr>
        <w:t xml:space="preserve"> a number of reasons why this might be the case.  </w:t>
      </w:r>
      <w:r w:rsidR="00A61A8B" w:rsidRPr="00924038">
        <w:rPr>
          <w:i/>
          <w:szCs w:val="24"/>
        </w:rPr>
        <w:t>First</w:t>
      </w:r>
      <w:r w:rsidR="00A61A8B" w:rsidRPr="00924038">
        <w:rPr>
          <w:szCs w:val="24"/>
        </w:rPr>
        <w:t xml:space="preserve">, such litigation is expensive.  </w:t>
      </w:r>
      <w:r w:rsidR="00A61A8B" w:rsidRPr="00924038">
        <w:rPr>
          <w:i/>
          <w:szCs w:val="24"/>
        </w:rPr>
        <w:t>Secondly</w:t>
      </w:r>
      <w:r w:rsidR="00A61A8B" w:rsidRPr="00924038">
        <w:rPr>
          <w:szCs w:val="24"/>
        </w:rPr>
        <w:t xml:space="preserve">, </w:t>
      </w:r>
      <w:r w:rsidR="00E677E8" w:rsidRPr="00924038">
        <w:rPr>
          <w:szCs w:val="24"/>
        </w:rPr>
        <w:t xml:space="preserve">it involves risk as </w:t>
      </w:r>
      <w:r w:rsidR="00A61A8B" w:rsidRPr="00924038">
        <w:rPr>
          <w:szCs w:val="24"/>
        </w:rPr>
        <w:t xml:space="preserve">at least one </w:t>
      </w:r>
      <w:r w:rsidR="00C406EA" w:rsidRPr="00924038">
        <w:rPr>
          <w:szCs w:val="24"/>
        </w:rPr>
        <w:t>iss</w:t>
      </w:r>
      <w:r w:rsidR="00FE71B4" w:rsidRPr="00924038">
        <w:rPr>
          <w:szCs w:val="24"/>
        </w:rPr>
        <w:t>ue, commonly described as ‘</w:t>
      </w:r>
      <w:r w:rsidR="00C406EA" w:rsidRPr="00924038">
        <w:rPr>
          <w:szCs w:val="24"/>
        </w:rPr>
        <w:t>market based causation</w:t>
      </w:r>
      <w:r w:rsidR="00FE71B4" w:rsidRPr="00924038">
        <w:rPr>
          <w:szCs w:val="24"/>
        </w:rPr>
        <w:t>’</w:t>
      </w:r>
      <w:r w:rsidR="00FC433B" w:rsidRPr="00924038">
        <w:rPr>
          <w:szCs w:val="24"/>
        </w:rPr>
        <w:t>,</w:t>
      </w:r>
      <w:r w:rsidR="00C406EA" w:rsidRPr="00924038">
        <w:rPr>
          <w:szCs w:val="24"/>
        </w:rPr>
        <w:t xml:space="preserve"> is yet to receive </w:t>
      </w:r>
      <w:r w:rsidR="00D241F0">
        <w:rPr>
          <w:szCs w:val="24"/>
        </w:rPr>
        <w:t>express</w:t>
      </w:r>
      <w:r w:rsidR="00C406EA" w:rsidRPr="00924038">
        <w:rPr>
          <w:szCs w:val="24"/>
        </w:rPr>
        <w:t xml:space="preserve"> acceptanc</w:t>
      </w:r>
      <w:r w:rsidR="00D0400B" w:rsidRPr="00924038">
        <w:rPr>
          <w:szCs w:val="24"/>
        </w:rPr>
        <w:t>e by the High Court</w:t>
      </w:r>
      <w:r w:rsidR="00C406EA" w:rsidRPr="00924038">
        <w:rPr>
          <w:szCs w:val="24"/>
        </w:rPr>
        <w:t xml:space="preserve"> (</w:t>
      </w:r>
      <w:r w:rsidR="00FE71B4" w:rsidRPr="00924038">
        <w:rPr>
          <w:szCs w:val="24"/>
        </w:rPr>
        <w:t>notwithstanding its acceptance by Perram J</w:t>
      </w:r>
      <w:r w:rsidR="00683D9C" w:rsidRPr="00924038">
        <w:rPr>
          <w:szCs w:val="24"/>
        </w:rPr>
        <w:t xml:space="preserve">, </w:t>
      </w:r>
      <w:r w:rsidR="00FE71B4" w:rsidRPr="00924038">
        <w:rPr>
          <w:szCs w:val="24"/>
        </w:rPr>
        <w:t xml:space="preserve">in </w:t>
      </w:r>
      <w:r w:rsidR="00683D9C" w:rsidRPr="00924038">
        <w:rPr>
          <w:szCs w:val="24"/>
        </w:rPr>
        <w:t>obiter,</w:t>
      </w:r>
      <w:r w:rsidR="00FE71B4" w:rsidRPr="00924038">
        <w:rPr>
          <w:szCs w:val="24"/>
        </w:rPr>
        <w:t xml:space="preserve"> in </w:t>
      </w:r>
      <w:r w:rsidR="00FE71B4" w:rsidRPr="00924038">
        <w:rPr>
          <w:i/>
          <w:iCs/>
          <w:szCs w:val="24"/>
        </w:rPr>
        <w:t xml:space="preserve">Grant-Taylor v Babcock and Brown Ltd (in liq) </w:t>
      </w:r>
      <w:r w:rsidR="00FE71B4" w:rsidRPr="00924038">
        <w:rPr>
          <w:szCs w:val="24"/>
        </w:rPr>
        <w:t xml:space="preserve">[2015] FCA 149; (2015) 322 ALR 723 at </w:t>
      </w:r>
      <w:r w:rsidR="00584C74" w:rsidRPr="00924038">
        <w:rPr>
          <w:szCs w:val="24"/>
        </w:rPr>
        <w:t xml:space="preserve">765-766 </w:t>
      </w:r>
      <w:r w:rsidR="00FE71B4" w:rsidRPr="00924038">
        <w:rPr>
          <w:szCs w:val="24"/>
        </w:rPr>
        <w:t xml:space="preserve">[219]-[220]; </w:t>
      </w:r>
      <w:r w:rsidR="00584C74" w:rsidRPr="00924038">
        <w:rPr>
          <w:szCs w:val="24"/>
        </w:rPr>
        <w:t xml:space="preserve">in </w:t>
      </w:r>
      <w:r w:rsidR="00FE71B4" w:rsidRPr="00924038">
        <w:rPr>
          <w:szCs w:val="24"/>
        </w:rPr>
        <w:t xml:space="preserve">the decision of the Full Court (on a pleading dispute) in </w:t>
      </w:r>
      <w:r w:rsidR="00FE71B4" w:rsidRPr="00924038">
        <w:rPr>
          <w:i/>
          <w:iCs/>
          <w:szCs w:val="24"/>
        </w:rPr>
        <w:t>Caason Investments Pty L</w:t>
      </w:r>
      <w:r w:rsidR="00584C74" w:rsidRPr="00924038">
        <w:rPr>
          <w:i/>
          <w:iCs/>
          <w:szCs w:val="24"/>
        </w:rPr>
        <w:t>td</w:t>
      </w:r>
      <w:r w:rsidR="00FE71B4" w:rsidRPr="00924038">
        <w:rPr>
          <w:i/>
          <w:iCs/>
          <w:szCs w:val="24"/>
        </w:rPr>
        <w:t xml:space="preserve"> v Cao </w:t>
      </w:r>
      <w:r w:rsidR="00FE71B4" w:rsidRPr="00924038">
        <w:rPr>
          <w:szCs w:val="24"/>
        </w:rPr>
        <w:t xml:space="preserve">[2015] FCAFC 94; </w:t>
      </w:r>
      <w:r w:rsidR="00632D6C">
        <w:rPr>
          <w:szCs w:val="24"/>
        </w:rPr>
        <w:t xml:space="preserve">(2015) 236 FCR 322 </w:t>
      </w:r>
      <w:r w:rsidR="00EA61EC" w:rsidRPr="00924038">
        <w:rPr>
          <w:szCs w:val="24"/>
        </w:rPr>
        <w:t xml:space="preserve">at </w:t>
      </w:r>
      <w:r w:rsidR="00632D6C">
        <w:rPr>
          <w:szCs w:val="24"/>
        </w:rPr>
        <w:t>333</w:t>
      </w:r>
      <w:r w:rsidR="00584C74" w:rsidRPr="00924038">
        <w:rPr>
          <w:szCs w:val="24"/>
        </w:rPr>
        <w:t xml:space="preserve"> </w:t>
      </w:r>
      <w:r w:rsidR="00EA61EC" w:rsidRPr="00924038">
        <w:rPr>
          <w:szCs w:val="24"/>
        </w:rPr>
        <w:t>[68]</w:t>
      </w:r>
      <w:r w:rsidR="00584C74" w:rsidRPr="00924038">
        <w:rPr>
          <w:szCs w:val="24"/>
        </w:rPr>
        <w:t xml:space="preserve"> per Gilmour and Foster JJ</w:t>
      </w:r>
      <w:r w:rsidR="00FE71B4" w:rsidRPr="00924038">
        <w:rPr>
          <w:szCs w:val="24"/>
        </w:rPr>
        <w:t xml:space="preserve">; the decision of Brereton J in </w:t>
      </w:r>
      <w:r w:rsidR="008029F4" w:rsidRPr="00924038">
        <w:rPr>
          <w:i/>
          <w:szCs w:val="24"/>
        </w:rPr>
        <w:t xml:space="preserve">Re </w:t>
      </w:r>
      <w:r w:rsidR="00FE71B4" w:rsidRPr="00924038">
        <w:rPr>
          <w:i/>
          <w:iCs/>
          <w:szCs w:val="24"/>
        </w:rPr>
        <w:t xml:space="preserve">HIH Insurance </w:t>
      </w:r>
      <w:r w:rsidR="00FE71B4" w:rsidRPr="00924038">
        <w:rPr>
          <w:i/>
          <w:iCs/>
          <w:szCs w:val="24"/>
        </w:rPr>
        <w:lastRenderedPageBreak/>
        <w:t>L</w:t>
      </w:r>
      <w:r w:rsidR="008029F4" w:rsidRPr="00924038">
        <w:rPr>
          <w:i/>
          <w:iCs/>
          <w:szCs w:val="24"/>
        </w:rPr>
        <w:t>td</w:t>
      </w:r>
      <w:r w:rsidR="00FE71B4" w:rsidRPr="00924038">
        <w:rPr>
          <w:i/>
          <w:iCs/>
          <w:szCs w:val="24"/>
        </w:rPr>
        <w:t xml:space="preserve"> (in liq) </w:t>
      </w:r>
      <w:r w:rsidR="00FE71B4" w:rsidRPr="00924038">
        <w:rPr>
          <w:szCs w:val="24"/>
        </w:rPr>
        <w:t>[2016] NSWSC 482</w:t>
      </w:r>
      <w:r w:rsidR="008029F4" w:rsidRPr="00924038">
        <w:rPr>
          <w:szCs w:val="24"/>
        </w:rPr>
        <w:t>; (2016) 335 ALR 320</w:t>
      </w:r>
      <w:r w:rsidR="00103A6C" w:rsidRPr="00924038">
        <w:rPr>
          <w:szCs w:val="24"/>
        </w:rPr>
        <w:t>;</w:t>
      </w:r>
      <w:r w:rsidR="00E677E8" w:rsidRPr="00924038">
        <w:rPr>
          <w:szCs w:val="24"/>
        </w:rPr>
        <w:t xml:space="preserve"> and the </w:t>
      </w:r>
      <w:r w:rsidR="00FC433B" w:rsidRPr="00924038">
        <w:rPr>
          <w:szCs w:val="24"/>
        </w:rPr>
        <w:t xml:space="preserve">relatively </w:t>
      </w:r>
      <w:r w:rsidR="00D0400B" w:rsidRPr="00924038">
        <w:rPr>
          <w:szCs w:val="24"/>
        </w:rPr>
        <w:t xml:space="preserve">recent </w:t>
      </w:r>
      <w:r w:rsidR="00E677E8" w:rsidRPr="00924038">
        <w:rPr>
          <w:szCs w:val="24"/>
        </w:rPr>
        <w:t>observations of two</w:t>
      </w:r>
      <w:r w:rsidR="00CB0096" w:rsidRPr="00924038">
        <w:rPr>
          <w:szCs w:val="24"/>
        </w:rPr>
        <w:t xml:space="preserve"> Full Court</w:t>
      </w:r>
      <w:r w:rsidR="00E677E8" w:rsidRPr="00924038">
        <w:rPr>
          <w:szCs w:val="24"/>
        </w:rPr>
        <w:t>s</w:t>
      </w:r>
      <w:r w:rsidR="00CB0096" w:rsidRPr="00924038">
        <w:rPr>
          <w:szCs w:val="24"/>
        </w:rPr>
        <w:t xml:space="preserve"> </w:t>
      </w:r>
      <w:r w:rsidR="004226FA" w:rsidRPr="00924038">
        <w:rPr>
          <w:szCs w:val="24"/>
        </w:rPr>
        <w:t>as to</w:t>
      </w:r>
      <w:r w:rsidR="00CB0096" w:rsidRPr="00924038">
        <w:rPr>
          <w:szCs w:val="24"/>
        </w:rPr>
        <w:t xml:space="preserve"> indirect causation in </w:t>
      </w:r>
      <w:r w:rsidR="00EA61EC" w:rsidRPr="00924038">
        <w:rPr>
          <w:i/>
          <w:iCs/>
          <w:lang w:val="en"/>
        </w:rPr>
        <w:t>ABN AMRO Bank NV v Bathurst Regional Council</w:t>
      </w:r>
      <w:r w:rsidR="00EA61EC" w:rsidRPr="00924038">
        <w:rPr>
          <w:lang w:val="en"/>
        </w:rPr>
        <w:t xml:space="preserve"> [2014] FCAFC 65; (2014) 224 FCR 1 at </w:t>
      </w:r>
      <w:r w:rsidR="008029F4" w:rsidRPr="00924038">
        <w:rPr>
          <w:lang w:val="en"/>
        </w:rPr>
        <w:t xml:space="preserve">272 </w:t>
      </w:r>
      <w:r w:rsidR="00EA61EC" w:rsidRPr="00924038">
        <w:rPr>
          <w:lang w:val="en"/>
        </w:rPr>
        <w:t xml:space="preserve">[1375]-[1376] </w:t>
      </w:r>
      <w:r w:rsidR="008029F4" w:rsidRPr="00924038">
        <w:rPr>
          <w:lang w:val="en"/>
        </w:rPr>
        <w:t xml:space="preserve">per Jacobson, Gilmour and Gordon JJ </w:t>
      </w:r>
      <w:r w:rsidR="00E677E8" w:rsidRPr="00924038">
        <w:rPr>
          <w:szCs w:val="24"/>
        </w:rPr>
        <w:t xml:space="preserve">and </w:t>
      </w:r>
      <w:r w:rsidR="00CB0096" w:rsidRPr="00924038">
        <w:rPr>
          <w:i/>
          <w:szCs w:val="24"/>
        </w:rPr>
        <w:t>Chowder Bay Pty Ltd v Paganin</w:t>
      </w:r>
      <w:r w:rsidR="00CB0096" w:rsidRPr="00924038">
        <w:rPr>
          <w:szCs w:val="24"/>
        </w:rPr>
        <w:t xml:space="preserve"> [2018] FCAFC 25 at [61]</w:t>
      </w:r>
      <w:r w:rsidR="008029F4" w:rsidRPr="00924038">
        <w:rPr>
          <w:szCs w:val="24"/>
        </w:rPr>
        <w:t xml:space="preserve"> per Besanko, Markovic and Lee JJ</w:t>
      </w:r>
      <w:r w:rsidR="00CB0096" w:rsidRPr="00924038">
        <w:rPr>
          <w:szCs w:val="24"/>
        </w:rPr>
        <w:t>)</w:t>
      </w:r>
      <w:r w:rsidR="00CB0096" w:rsidRPr="00924038">
        <w:t xml:space="preserve">. </w:t>
      </w:r>
      <w:r w:rsidR="0054393E" w:rsidRPr="00924038">
        <w:t xml:space="preserve"> </w:t>
      </w:r>
      <w:r w:rsidR="00A6374C" w:rsidRPr="00924038">
        <w:rPr>
          <w:i/>
        </w:rPr>
        <w:t>Thirdly</w:t>
      </w:r>
      <w:r w:rsidR="00A6374C" w:rsidRPr="00924038">
        <w:t xml:space="preserve">, </w:t>
      </w:r>
      <w:r w:rsidR="00683D9C" w:rsidRPr="00924038">
        <w:t xml:space="preserve">speaking generally, </w:t>
      </w:r>
      <w:r w:rsidR="00FC433B" w:rsidRPr="00924038">
        <w:t>many ca</w:t>
      </w:r>
      <w:r w:rsidR="00DA0AC8" w:rsidRPr="00924038">
        <w:t>ses have involved a real risk for the respondent of proof of contravening conduct</w:t>
      </w:r>
      <w:r w:rsidR="00930035" w:rsidRPr="00924038">
        <w:t>,</w:t>
      </w:r>
      <w:r w:rsidR="00DA0AC8" w:rsidRPr="00924038">
        <w:t xml:space="preserve"> </w:t>
      </w:r>
      <w:r w:rsidR="00FC433B" w:rsidRPr="00924038">
        <w:t xml:space="preserve">as </w:t>
      </w:r>
      <w:r w:rsidR="00A6374C" w:rsidRPr="00924038">
        <w:t xml:space="preserve">such costly litigation is likely to be commenced </w:t>
      </w:r>
      <w:r w:rsidR="00FC433B" w:rsidRPr="00924038">
        <w:t xml:space="preserve">only when </w:t>
      </w:r>
      <w:r w:rsidR="00A6374C" w:rsidRPr="00924038">
        <w:t>the subjective view of those commencing the litigation is that it is likely that contravening conduct will be able to be established</w:t>
      </w:r>
      <w:r w:rsidR="00AA6221" w:rsidRPr="00924038">
        <w:t xml:space="preserve">; this </w:t>
      </w:r>
      <w:r w:rsidR="00FC433B" w:rsidRPr="00924038">
        <w:t>i</w:t>
      </w:r>
      <w:r w:rsidR="00AA6221" w:rsidRPr="00924038">
        <w:t>s</w:t>
      </w:r>
      <w:r w:rsidR="00FC433B" w:rsidRPr="00924038">
        <w:t xml:space="preserve"> because it is only in such </w:t>
      </w:r>
      <w:r w:rsidR="00AA6221" w:rsidRPr="00924038">
        <w:t>circumstances</w:t>
      </w:r>
      <w:r w:rsidR="00A6374C" w:rsidRPr="00924038">
        <w:t xml:space="preserve"> </w:t>
      </w:r>
      <w:r w:rsidR="00AA6221" w:rsidRPr="00924038">
        <w:t>that</w:t>
      </w:r>
      <w:r w:rsidR="00A6374C" w:rsidRPr="00924038">
        <w:t xml:space="preserve"> t</w:t>
      </w:r>
      <w:r w:rsidR="00AA6221" w:rsidRPr="00924038">
        <w:t xml:space="preserve">here </w:t>
      </w:r>
      <w:r w:rsidR="0054393E" w:rsidRPr="00924038">
        <w:t xml:space="preserve">is </w:t>
      </w:r>
      <w:r w:rsidR="00A6374C" w:rsidRPr="00924038">
        <w:t>an efficient allocation o</w:t>
      </w:r>
      <w:r w:rsidR="00683D9C" w:rsidRPr="00924038">
        <w:t xml:space="preserve">f the resources of the funder </w:t>
      </w:r>
      <w:r w:rsidR="00A6374C" w:rsidRPr="00924038">
        <w:t>(although</w:t>
      </w:r>
      <w:r w:rsidR="00FC433B" w:rsidRPr="00924038">
        <w:t>, it must be said,</w:t>
      </w:r>
      <w:r w:rsidR="00A6374C" w:rsidRPr="00924038">
        <w:t xml:space="preserve"> </w:t>
      </w:r>
      <w:r w:rsidR="00AA6221" w:rsidRPr="00924038">
        <w:t xml:space="preserve">these subjective views may well be wrong and </w:t>
      </w:r>
      <w:r w:rsidR="00A6374C" w:rsidRPr="00924038">
        <w:t>a more competitive funding mar</w:t>
      </w:r>
      <w:r w:rsidR="004226FA" w:rsidRPr="00924038">
        <w:t xml:space="preserve">ket and the entry of different </w:t>
      </w:r>
      <w:r w:rsidR="00A6374C" w:rsidRPr="00924038">
        <w:t xml:space="preserve">players </w:t>
      </w:r>
      <w:r w:rsidR="004226FA" w:rsidRPr="00924038">
        <w:t xml:space="preserve">may lead to some </w:t>
      </w:r>
      <w:r w:rsidR="00A6374C" w:rsidRPr="00924038">
        <w:t xml:space="preserve">cases </w:t>
      </w:r>
      <w:r w:rsidR="004226FA" w:rsidRPr="00924038">
        <w:t xml:space="preserve">being </w:t>
      </w:r>
      <w:r w:rsidR="0054393E" w:rsidRPr="00924038">
        <w:t>commenced</w:t>
      </w:r>
      <w:r w:rsidR="00A6374C" w:rsidRPr="00924038">
        <w:t xml:space="preserve"> which would not otherwise have been </w:t>
      </w:r>
      <w:r w:rsidR="004226FA" w:rsidRPr="00924038">
        <w:t xml:space="preserve">prosecuted </w:t>
      </w:r>
      <w:r w:rsidR="00A6374C" w:rsidRPr="00924038">
        <w:t xml:space="preserve">at a more embryonic </w:t>
      </w:r>
      <w:r w:rsidR="00FC433B" w:rsidRPr="00924038">
        <w:t xml:space="preserve">and </w:t>
      </w:r>
      <w:r w:rsidR="00D0400B" w:rsidRPr="00924038">
        <w:t>‘</w:t>
      </w:r>
      <w:r w:rsidR="0054393E" w:rsidRPr="00924038">
        <w:t>risk a</w:t>
      </w:r>
      <w:r w:rsidR="00FC433B" w:rsidRPr="00924038">
        <w:t>verse</w:t>
      </w:r>
      <w:r w:rsidR="00D0400B" w:rsidRPr="00924038">
        <w:t>’</w:t>
      </w:r>
      <w:r w:rsidR="00FC433B" w:rsidRPr="00924038">
        <w:t xml:space="preserve"> </w:t>
      </w:r>
      <w:r w:rsidR="00A6374C" w:rsidRPr="00924038">
        <w:t>stage of the development</w:t>
      </w:r>
      <w:r w:rsidR="00AC2770" w:rsidRPr="00924038">
        <w:t xml:space="preserve"> of securities class actions).</w:t>
      </w:r>
      <w:r w:rsidR="00372DAC" w:rsidRPr="00924038">
        <w:t xml:space="preserve"> </w:t>
      </w:r>
      <w:r w:rsidR="00AC2770" w:rsidRPr="00924038">
        <w:t xml:space="preserve"> </w:t>
      </w:r>
      <w:r w:rsidR="00B63194" w:rsidRPr="00924038">
        <w:rPr>
          <w:i/>
        </w:rPr>
        <w:t>Four</w:t>
      </w:r>
      <w:r w:rsidR="00A6374C" w:rsidRPr="00924038">
        <w:rPr>
          <w:i/>
        </w:rPr>
        <w:t>thly</w:t>
      </w:r>
      <w:r w:rsidR="00A6374C" w:rsidRPr="00924038">
        <w:t xml:space="preserve">, </w:t>
      </w:r>
      <w:r w:rsidR="00EA61EC" w:rsidRPr="00924038">
        <w:t>connected to the previous point, respondents and insurer</w:t>
      </w:r>
      <w:r w:rsidR="004C00B9" w:rsidRPr="00924038">
        <w:t>s</w:t>
      </w:r>
      <w:r w:rsidR="00A6374C" w:rsidRPr="00924038">
        <w:t xml:space="preserve"> </w:t>
      </w:r>
      <w:r w:rsidR="00AC2770" w:rsidRPr="00924038">
        <w:t xml:space="preserve">have generally been </w:t>
      </w:r>
      <w:r w:rsidR="00A6374C" w:rsidRPr="00924038">
        <w:t xml:space="preserve">likely to seek to </w:t>
      </w:r>
      <w:r w:rsidR="00AC2770" w:rsidRPr="00924038">
        <w:t xml:space="preserve">minimise </w:t>
      </w:r>
      <w:r w:rsidR="00A6374C" w:rsidRPr="00924038">
        <w:t>risk by being open to settlement</w:t>
      </w:r>
      <w:r w:rsidR="00AC2770" w:rsidRPr="00924038">
        <w:t>,</w:t>
      </w:r>
      <w:r w:rsidR="00A6374C" w:rsidRPr="00924038">
        <w:t xml:space="preserve"> pr</w:t>
      </w:r>
      <w:r w:rsidR="00920FA6">
        <w:t xml:space="preserve">ovided an acceptable </w:t>
      </w:r>
      <w:r w:rsidR="00A6374C" w:rsidRPr="00924038">
        <w:t>sum can be agreed</w:t>
      </w:r>
      <w:r w:rsidR="00AA31E9" w:rsidRPr="00924038">
        <w:t xml:space="preserve"> (including in cases of real risk for the respondent where the amount paid cannot be characterise</w:t>
      </w:r>
      <w:r w:rsidR="00920FA6">
        <w:t xml:space="preserve">d as </w:t>
      </w:r>
      <w:r w:rsidR="00005A3F" w:rsidRPr="00924038">
        <w:t>payment of a ‘nuisance sum’</w:t>
      </w:r>
      <w:r w:rsidR="00AA31E9" w:rsidRPr="00924038">
        <w:t>)</w:t>
      </w:r>
      <w:r w:rsidR="00A6374C" w:rsidRPr="00924038">
        <w:t xml:space="preserve">.  </w:t>
      </w:r>
    </w:p>
    <w:p w:rsidR="00AA6221" w:rsidRPr="00924038" w:rsidRDefault="009C38A9" w:rsidP="00AA6221">
      <w:pPr>
        <w:pStyle w:val="ParaNumbering"/>
      </w:pPr>
      <w:r w:rsidRPr="00924038">
        <w:t>To this list</w:t>
      </w:r>
      <w:r w:rsidR="00A6374C" w:rsidRPr="00924038">
        <w:t xml:space="preserve"> I would add a further and </w:t>
      </w:r>
      <w:r w:rsidR="00AC2770" w:rsidRPr="00924038">
        <w:t xml:space="preserve">potentially worrisome </w:t>
      </w:r>
      <w:r w:rsidR="00AA6221" w:rsidRPr="00924038">
        <w:t xml:space="preserve">reason for cases not </w:t>
      </w:r>
      <w:r w:rsidR="0054393E" w:rsidRPr="00924038">
        <w:t>proceeding</w:t>
      </w:r>
      <w:r w:rsidR="00AA6221" w:rsidRPr="00924038">
        <w:t xml:space="preserve"> to </w:t>
      </w:r>
      <w:r w:rsidR="00977976" w:rsidRPr="00924038">
        <w:t xml:space="preserve">judgment following an initial </w:t>
      </w:r>
      <w:r w:rsidR="00AA6221" w:rsidRPr="00924038">
        <w:t>trial</w:t>
      </w:r>
      <w:r w:rsidR="00A6374C" w:rsidRPr="00924038">
        <w:t xml:space="preserve">.  </w:t>
      </w:r>
      <w:r w:rsidR="00AC2770" w:rsidRPr="00924038">
        <w:t>B</w:t>
      </w:r>
      <w:r w:rsidR="001B78FD" w:rsidRPr="00924038">
        <w:t xml:space="preserve">y </w:t>
      </w:r>
      <w:r w:rsidR="00AC2770" w:rsidRPr="00924038">
        <w:t xml:space="preserve">reason of </w:t>
      </w:r>
      <w:r w:rsidR="001B78FD" w:rsidRPr="00924038">
        <w:t>th</w:t>
      </w:r>
      <w:r w:rsidR="00AC2770" w:rsidRPr="00924038">
        <w:t xml:space="preserve">e very nature of the commercial </w:t>
      </w:r>
      <w:r w:rsidR="001B78FD" w:rsidRPr="00924038">
        <w:t>model</w:t>
      </w:r>
      <w:r w:rsidR="00AC2770" w:rsidRPr="00924038">
        <w:t xml:space="preserve"> I have described</w:t>
      </w:r>
      <w:r w:rsidR="001B78FD" w:rsidRPr="00924038">
        <w:t xml:space="preserve">, a desire </w:t>
      </w:r>
      <w:r w:rsidR="008830A6" w:rsidRPr="00924038">
        <w:t xml:space="preserve">exists </w:t>
      </w:r>
      <w:r w:rsidR="001B78FD" w:rsidRPr="00924038">
        <w:t>on behalf of the funders</w:t>
      </w:r>
      <w:r w:rsidR="00AC2770" w:rsidRPr="00924038">
        <w:t xml:space="preserve"> to </w:t>
      </w:r>
      <w:r w:rsidR="008830A6" w:rsidRPr="00924038">
        <w:t>not only obtain a return, but</w:t>
      </w:r>
      <w:r w:rsidR="00AC2770" w:rsidRPr="00924038">
        <w:t xml:space="preserve"> to obtain that</w:t>
      </w:r>
      <w:r w:rsidR="001B78FD" w:rsidRPr="00924038">
        <w:t xml:space="preserve"> return </w:t>
      </w:r>
      <w:r w:rsidR="00AC2770" w:rsidRPr="00924038">
        <w:t xml:space="preserve">with celerity.  To those acting for applicants, there is a </w:t>
      </w:r>
      <w:r w:rsidR="001B78FD" w:rsidRPr="00924038">
        <w:t xml:space="preserve">need to be alive to the possibility arising of a conflict between the commercial </w:t>
      </w:r>
      <w:r w:rsidR="00AC2770" w:rsidRPr="00924038">
        <w:t xml:space="preserve">imperatives and </w:t>
      </w:r>
      <w:r w:rsidR="001B78FD" w:rsidRPr="00924038">
        <w:t>demands of the funder</w:t>
      </w:r>
      <w:r w:rsidR="00AC2770" w:rsidRPr="00924038">
        <w:t>,</w:t>
      </w:r>
      <w:r w:rsidR="001B78FD" w:rsidRPr="00924038">
        <w:t xml:space="preserve"> and the interests of the applicants and group members in maximising the recovery of their claims.  </w:t>
      </w:r>
      <w:r w:rsidR="00A53622" w:rsidRPr="00924038">
        <w:t>To suggest simplistically that there is always an alignment between the funder and group members</w:t>
      </w:r>
      <w:r w:rsidR="00AA6221" w:rsidRPr="00924038">
        <w:t xml:space="preserve"> (</w:t>
      </w:r>
      <w:r w:rsidR="00A53622" w:rsidRPr="00924038">
        <w:t xml:space="preserve">because each have an interest in maximising </w:t>
      </w:r>
      <w:r w:rsidR="00AC2770" w:rsidRPr="00924038">
        <w:t xml:space="preserve">relevant </w:t>
      </w:r>
      <w:r w:rsidR="00AA6221" w:rsidRPr="00924038">
        <w:t>claims)</w:t>
      </w:r>
      <w:r w:rsidR="00AC2770" w:rsidRPr="00924038">
        <w:t xml:space="preserve"> </w:t>
      </w:r>
      <w:r w:rsidR="00A53622" w:rsidRPr="00924038">
        <w:t xml:space="preserve">is to fail to appreciate the </w:t>
      </w:r>
      <w:r w:rsidR="00267A2F" w:rsidRPr="00924038">
        <w:t>difference between a commercial enterprise seeking consistent and pr</w:t>
      </w:r>
      <w:r w:rsidRPr="00924038">
        <w:t xml:space="preserve">edictable returns </w:t>
      </w:r>
      <w:r w:rsidR="00EA61EC" w:rsidRPr="00924038">
        <w:t>(</w:t>
      </w:r>
      <w:r w:rsidRPr="00924038">
        <w:t xml:space="preserve">and </w:t>
      </w:r>
      <w:r w:rsidR="00267A2F" w:rsidRPr="00924038">
        <w:t xml:space="preserve">management of risk </w:t>
      </w:r>
      <w:r w:rsidR="00AC2770" w:rsidRPr="00924038">
        <w:t xml:space="preserve">spanning </w:t>
      </w:r>
      <w:r w:rsidRPr="00924038">
        <w:t>a number of projects</w:t>
      </w:r>
      <w:r w:rsidR="00EA61EC" w:rsidRPr="00924038">
        <w:t>)</w:t>
      </w:r>
      <w:r w:rsidR="00AC2770" w:rsidRPr="00924038">
        <w:t>,</w:t>
      </w:r>
      <w:r w:rsidRPr="00924038">
        <w:t xml:space="preserve"> </w:t>
      </w:r>
      <w:r w:rsidR="00267A2F" w:rsidRPr="00924038">
        <w:t xml:space="preserve">with the position of a group member </w:t>
      </w:r>
      <w:r w:rsidR="00EA61EC" w:rsidRPr="00924038">
        <w:t>involved in one</w:t>
      </w:r>
      <w:r w:rsidR="00267A2F" w:rsidRPr="00924038">
        <w:t xml:space="preserve"> action </w:t>
      </w:r>
      <w:r w:rsidR="00EA61EC" w:rsidRPr="00924038">
        <w:t>who has</w:t>
      </w:r>
      <w:r w:rsidR="00267A2F" w:rsidRPr="00924038">
        <w:t xml:space="preserve"> a relatively small amount at stake which the</w:t>
      </w:r>
      <w:r w:rsidR="00AC2770" w:rsidRPr="00924038">
        <w:t xml:space="preserve"> group member</w:t>
      </w:r>
      <w:r w:rsidR="00267A2F" w:rsidRPr="00924038">
        <w:t xml:space="preserve"> may </w:t>
      </w:r>
      <w:r w:rsidR="0054393E" w:rsidRPr="00924038">
        <w:t xml:space="preserve">be </w:t>
      </w:r>
      <w:r w:rsidR="00267A2F" w:rsidRPr="00924038">
        <w:t xml:space="preserve">willing to wager on the possibility of a greater return.  </w:t>
      </w:r>
      <w:r w:rsidR="00AA6221" w:rsidRPr="00924038">
        <w:t xml:space="preserve">I recently discussed this issue </w:t>
      </w:r>
      <w:r w:rsidR="0054393E" w:rsidRPr="00924038">
        <w:t xml:space="preserve">in </w:t>
      </w:r>
      <w:r w:rsidR="0054393E" w:rsidRPr="00924038">
        <w:rPr>
          <w:i/>
        </w:rPr>
        <w:t>Clarke v Sandhurst Trustees Limited (No 2)</w:t>
      </w:r>
      <w:r w:rsidR="0054393E" w:rsidRPr="00924038">
        <w:t xml:space="preserve"> [2018] FCA 511 at [6]</w:t>
      </w:r>
      <w:r w:rsidR="00944F57" w:rsidRPr="00924038">
        <w:t>-</w:t>
      </w:r>
      <w:r w:rsidR="0054393E" w:rsidRPr="00924038">
        <w:t xml:space="preserve">[7] </w:t>
      </w:r>
      <w:r w:rsidR="00AA6221" w:rsidRPr="00924038">
        <w:t xml:space="preserve">in the context of a settlement approval </w:t>
      </w:r>
      <w:r w:rsidR="0054393E" w:rsidRPr="00924038">
        <w:t xml:space="preserve">in a case </w:t>
      </w:r>
      <w:r w:rsidR="00AA6221" w:rsidRPr="00924038">
        <w:t xml:space="preserve">where relatively modest damages were sought, and yet costs and funding charges were large compared to the recovery </w:t>
      </w:r>
      <w:r w:rsidR="0054393E" w:rsidRPr="00924038">
        <w:t xml:space="preserve">ultimately returned </w:t>
      </w:r>
      <w:r w:rsidR="00AA6221" w:rsidRPr="00924038">
        <w:t xml:space="preserve">to group members.  </w:t>
      </w:r>
    </w:p>
    <w:p w:rsidR="00267A2F" w:rsidRPr="00924038" w:rsidRDefault="00267A2F" w:rsidP="006B08C0">
      <w:pPr>
        <w:pStyle w:val="ParaNumbering"/>
      </w:pPr>
      <w:r w:rsidRPr="00924038">
        <w:lastRenderedPageBreak/>
        <w:t xml:space="preserve">No doubt this </w:t>
      </w:r>
      <w:r w:rsidR="00AA6221" w:rsidRPr="00924038">
        <w:t xml:space="preserve">issue </w:t>
      </w:r>
      <w:r w:rsidRPr="00924038">
        <w:t>could p</w:t>
      </w:r>
      <w:r w:rsidR="00EA61EC" w:rsidRPr="00924038">
        <w:t>rove a fertile ground for a</w:t>
      </w:r>
      <w:r w:rsidRPr="00924038">
        <w:t xml:space="preserve"> sophisticated economic </w:t>
      </w:r>
      <w:r w:rsidR="00BE7CE8" w:rsidRPr="00924038">
        <w:t xml:space="preserve">and behavioural </w:t>
      </w:r>
      <w:r w:rsidRPr="00924038">
        <w:t>analysis</w:t>
      </w:r>
      <w:r w:rsidR="00D41156" w:rsidRPr="00924038">
        <w:t>,</w:t>
      </w:r>
      <w:r w:rsidRPr="00924038">
        <w:t xml:space="preserve"> but it suffices</w:t>
      </w:r>
      <w:r w:rsidR="0070030C" w:rsidRPr="00924038">
        <w:t xml:space="preserve"> </w:t>
      </w:r>
      <w:r w:rsidRPr="00924038">
        <w:t xml:space="preserve">to note that </w:t>
      </w:r>
      <w:r w:rsidR="00977976" w:rsidRPr="00924038">
        <w:t>those</w:t>
      </w:r>
      <w:r w:rsidR="00D41156" w:rsidRPr="00924038">
        <w:t xml:space="preserve"> </w:t>
      </w:r>
      <w:r w:rsidRPr="00924038">
        <w:t xml:space="preserve">acting </w:t>
      </w:r>
      <w:r w:rsidR="00AA31E9" w:rsidRPr="00924038">
        <w:t>for applicants</w:t>
      </w:r>
      <w:r w:rsidRPr="00924038">
        <w:t xml:space="preserve"> have an important role in the administration of justi</w:t>
      </w:r>
      <w:r w:rsidR="00D41156" w:rsidRPr="00924038">
        <w:t>ce in</w:t>
      </w:r>
      <w:r w:rsidRPr="00924038">
        <w:t xml:space="preserve"> ensuring that the interests of group members </w:t>
      </w:r>
      <w:r w:rsidR="00D41156" w:rsidRPr="00924038">
        <w:t xml:space="preserve">are </w:t>
      </w:r>
      <w:r w:rsidRPr="00924038">
        <w:t>not swamped by the interest</w:t>
      </w:r>
      <w:r w:rsidR="00D41156" w:rsidRPr="00924038">
        <w:t>s</w:t>
      </w:r>
      <w:r w:rsidRPr="00924038">
        <w:t xml:space="preserve"> of funders in obtaining predictable and early returns.  This </w:t>
      </w:r>
      <w:r w:rsidR="00D41156" w:rsidRPr="00924038">
        <w:t xml:space="preserve">important </w:t>
      </w:r>
      <w:r w:rsidRPr="00924038">
        <w:t xml:space="preserve">role is buttressed by the protective and supervisory role that this Court has in </w:t>
      </w:r>
      <w:r w:rsidR="007B1C28" w:rsidRPr="00924038">
        <w:t>ap</w:t>
      </w:r>
      <w:r w:rsidRPr="00924038">
        <w:t xml:space="preserve">proving settlements of such litigation. </w:t>
      </w:r>
      <w:r w:rsidR="00EA61EC" w:rsidRPr="00924038">
        <w:t xml:space="preserve"> </w:t>
      </w:r>
      <w:r w:rsidR="00D41156" w:rsidRPr="00924038">
        <w:t>I stress that</w:t>
      </w:r>
      <w:r w:rsidR="00920FA6">
        <w:t>,</w:t>
      </w:r>
      <w:r w:rsidR="00D41156" w:rsidRPr="00924038">
        <w:t xml:space="preserve"> </w:t>
      </w:r>
      <w:r w:rsidR="00E84C61" w:rsidRPr="00924038">
        <w:t xml:space="preserve">to the extent relevant, </w:t>
      </w:r>
      <w:r w:rsidR="00D41156" w:rsidRPr="00924038">
        <w:t xml:space="preserve">the history </w:t>
      </w:r>
      <w:r w:rsidR="00E84C61" w:rsidRPr="00924038">
        <w:t xml:space="preserve">of </w:t>
      </w:r>
      <w:r w:rsidR="00D41156" w:rsidRPr="00924038">
        <w:t xml:space="preserve">settlement </w:t>
      </w:r>
      <w:r w:rsidR="00E84C61" w:rsidRPr="00924038">
        <w:t>approvals suggests that there has been</w:t>
      </w:r>
      <w:r w:rsidR="00D41156" w:rsidRPr="00924038">
        <w:t xml:space="preserve"> no difficulty and there is no reason whatsoever to do</w:t>
      </w:r>
      <w:r w:rsidR="0070030C" w:rsidRPr="00924038">
        <w:t xml:space="preserve">ubt the </w:t>
      </w:r>
      <w:r w:rsidR="00D41156" w:rsidRPr="00924038">
        <w:t xml:space="preserve">conscientiousness of those commonly acting for applicants, but </w:t>
      </w:r>
      <w:r w:rsidR="00BE41B0" w:rsidRPr="00924038">
        <w:t xml:space="preserve">it might be thought </w:t>
      </w:r>
      <w:r w:rsidR="00AA31E9" w:rsidRPr="00924038">
        <w:t>at the very least surprising</w:t>
      </w:r>
      <w:r w:rsidR="00BE41B0" w:rsidRPr="00924038">
        <w:t xml:space="preserve"> that this type of litigation never, ever runs to a conclusion</w:t>
      </w:r>
      <w:r w:rsidR="00D41156" w:rsidRPr="00924038">
        <w:t xml:space="preserve">.  For reasons I have explained, the factors favouring resolution of these types of claims are </w:t>
      </w:r>
      <w:r w:rsidR="00BE7CE8" w:rsidRPr="00924038">
        <w:t xml:space="preserve">often </w:t>
      </w:r>
      <w:r w:rsidR="00D41156" w:rsidRPr="00924038">
        <w:t xml:space="preserve">powerful, but given that no cases have </w:t>
      </w:r>
      <w:r w:rsidR="00977976" w:rsidRPr="00924038">
        <w:t>fully run</w:t>
      </w:r>
      <w:r w:rsidR="00D41156" w:rsidRPr="00924038">
        <w:t xml:space="preserve">, one must be alive to the possibility that at least in some cases, </w:t>
      </w:r>
      <w:r w:rsidR="00ED439B" w:rsidRPr="00924038">
        <w:t>the economi</w:t>
      </w:r>
      <w:r w:rsidR="00E84C61" w:rsidRPr="00924038">
        <w:t>c interests of funders may have</w:t>
      </w:r>
      <w:r w:rsidR="00ED439B" w:rsidRPr="00924038">
        <w:t xml:space="preserve"> driven </w:t>
      </w:r>
      <w:r w:rsidR="00E84C61" w:rsidRPr="00924038">
        <w:t xml:space="preserve">or influenced </w:t>
      </w:r>
      <w:r w:rsidR="00ED439B" w:rsidRPr="00924038">
        <w:t xml:space="preserve">compromise in cases where running the case </w:t>
      </w:r>
      <w:r w:rsidR="00977976" w:rsidRPr="00924038">
        <w:t xml:space="preserve">to judgment </w:t>
      </w:r>
      <w:r w:rsidR="00ED439B" w:rsidRPr="00924038">
        <w:t>may have been better</w:t>
      </w:r>
      <w:r w:rsidR="00D0400B" w:rsidRPr="00924038">
        <w:t xml:space="preserve"> f</w:t>
      </w:r>
      <w:r w:rsidR="00EA61EC" w:rsidRPr="00924038">
        <w:t>r</w:t>
      </w:r>
      <w:r w:rsidR="00D0400B" w:rsidRPr="00924038">
        <w:t>om the perspective of</w:t>
      </w:r>
      <w:r w:rsidR="00EA61EC" w:rsidRPr="00924038">
        <w:t xml:space="preserve"> group members</w:t>
      </w:r>
      <w:r w:rsidR="00BE41B0" w:rsidRPr="00924038">
        <w:t>.</w:t>
      </w:r>
      <w:r w:rsidR="00ED439B" w:rsidRPr="00924038">
        <w:t xml:space="preserve">  At</w:t>
      </w:r>
      <w:r w:rsidR="00EA61EC" w:rsidRPr="00924038">
        <w:t xml:space="preserve"> the very least, the notion of the</w:t>
      </w:r>
      <w:r w:rsidR="00ED439B" w:rsidRPr="00924038">
        <w:t xml:space="preserve"> sliding scale </w:t>
      </w:r>
      <w:r w:rsidR="00EA61EC" w:rsidRPr="00924038">
        <w:t>whereby the amount recoverable by a funder increases to reflect the increased risk associated with running a case to a conclusion</w:t>
      </w:r>
      <w:r w:rsidR="00ED439B" w:rsidRPr="00924038">
        <w:t xml:space="preserve"> may serve to operate as an important counterweight in this regard.</w:t>
      </w:r>
      <w:r w:rsidR="00EA61EC" w:rsidRPr="00924038">
        <w:t xml:space="preserve">  </w:t>
      </w:r>
      <w:r w:rsidR="00AA31E9" w:rsidRPr="00924038">
        <w:t>Further</w:t>
      </w:r>
      <w:r w:rsidR="00EA61EC" w:rsidRPr="00924038">
        <w:t xml:space="preserve">, as I will </w:t>
      </w:r>
      <w:r w:rsidR="00E84C61" w:rsidRPr="00924038">
        <w:t>ex</w:t>
      </w:r>
      <w:r w:rsidR="00EA61EC" w:rsidRPr="00924038">
        <w:t>plain below, the relate</w:t>
      </w:r>
      <w:r w:rsidR="00920FA6">
        <w:t>d point is that any funding terms</w:t>
      </w:r>
      <w:r w:rsidR="00EA61EC" w:rsidRPr="00924038">
        <w:t xml:space="preserve"> set at the outset of litigation should reflect the reality that these cases never have </w:t>
      </w:r>
      <w:r w:rsidR="00E84C61" w:rsidRPr="00924038">
        <w:t>resulted in a final judgment</w:t>
      </w:r>
      <w:r w:rsidR="00EA61EC" w:rsidRPr="00924038">
        <w:t>.</w:t>
      </w:r>
    </w:p>
    <w:p w:rsidR="004220C8" w:rsidRPr="00924038" w:rsidRDefault="00C35F73" w:rsidP="006B08C0">
      <w:pPr>
        <w:pStyle w:val="ParaNumbering"/>
      </w:pPr>
      <w:r w:rsidRPr="00924038">
        <w:t xml:space="preserve">The result of all of this is that there is </w:t>
      </w:r>
      <w:r w:rsidR="00E84C61" w:rsidRPr="00924038">
        <w:t xml:space="preserve">potential </w:t>
      </w:r>
      <w:r w:rsidRPr="00924038">
        <w:t>procedural contradiction in the way in which securities class actions are conducted and managed.  On the one hand</w:t>
      </w:r>
      <w:r w:rsidR="00ED439B" w:rsidRPr="00924038">
        <w:t>,</w:t>
      </w:r>
      <w:r w:rsidRPr="00924038">
        <w:t xml:space="preserve"> one goes through the </w:t>
      </w:r>
      <w:r w:rsidR="00ED439B" w:rsidRPr="00924038">
        <w:t>solemnity</w:t>
      </w:r>
      <w:r w:rsidR="00E84C61" w:rsidRPr="00924038">
        <w:t xml:space="preserve"> </w:t>
      </w:r>
      <w:r w:rsidR="00944F57" w:rsidRPr="00924038">
        <w:t xml:space="preserve">of </w:t>
      </w:r>
      <w:r w:rsidR="00ED439B" w:rsidRPr="00924038">
        <w:t xml:space="preserve">making orders on the basis that </w:t>
      </w:r>
      <w:r w:rsidRPr="00924038">
        <w:t>the litigation will be the subject of an initial trial at which contested issues will be determined by the application of judicial power</w:t>
      </w:r>
      <w:r w:rsidR="00E84C61" w:rsidRPr="00924038">
        <w:t>,</w:t>
      </w:r>
      <w:r w:rsidRPr="00924038">
        <w:t xml:space="preserve"> while on the other hand recognising that this, at least until now, never happens.  </w:t>
      </w:r>
      <w:r w:rsidR="00E84C61" w:rsidRPr="00924038">
        <w:t>Vast costs</w:t>
      </w:r>
      <w:r w:rsidR="00AA6221" w:rsidRPr="00924038">
        <w:t xml:space="preserve"> are commonly incurred and </w:t>
      </w:r>
      <w:r w:rsidR="00E84C61" w:rsidRPr="00924038">
        <w:t>often</w:t>
      </w:r>
      <w:r w:rsidR="00AA6221" w:rsidRPr="00924038">
        <w:t>, in the events that happen,</w:t>
      </w:r>
      <w:r w:rsidR="00E84C61" w:rsidRPr="00924038">
        <w:t xml:space="preserve"> </w:t>
      </w:r>
      <w:r w:rsidR="00944F57" w:rsidRPr="00924038">
        <w:t xml:space="preserve">are </w:t>
      </w:r>
      <w:r w:rsidR="00AA6221" w:rsidRPr="00924038">
        <w:t xml:space="preserve">ultimately </w:t>
      </w:r>
      <w:r w:rsidR="00E84C61" w:rsidRPr="00924038">
        <w:t xml:space="preserve">wasted.  </w:t>
      </w:r>
      <w:r w:rsidRPr="00924038">
        <w:t xml:space="preserve">In my view, the time has come for the Court to </w:t>
      </w:r>
      <w:r w:rsidR="00E32498" w:rsidRPr="00924038">
        <w:t>recognise</w:t>
      </w:r>
      <w:r w:rsidR="00BE7CE8" w:rsidRPr="00924038">
        <w:t xml:space="preserve"> the reality (including in the context of applications such as the present),</w:t>
      </w:r>
      <w:r w:rsidR="00E32498" w:rsidRPr="00924038">
        <w:t xml:space="preserve"> that securities class actions, at least as presently structured, are overwhelmingly likely to resolve by </w:t>
      </w:r>
      <w:r w:rsidR="00ED439B" w:rsidRPr="00924038">
        <w:t>a</w:t>
      </w:r>
      <w:r w:rsidR="00F217C0" w:rsidRPr="00924038">
        <w:t xml:space="preserve"> bargain</w:t>
      </w:r>
      <w:r w:rsidR="00ED439B" w:rsidRPr="00924038">
        <w:t xml:space="preserve">, </w:t>
      </w:r>
      <w:r w:rsidR="00E32498" w:rsidRPr="00924038">
        <w:t xml:space="preserve">subject to Court approval.  </w:t>
      </w:r>
      <w:r w:rsidR="009C38A9" w:rsidRPr="00924038">
        <w:t>To use an imperfect metaphor</w:t>
      </w:r>
      <w:r w:rsidR="00944F57" w:rsidRPr="00924038">
        <w:t>,</w:t>
      </w:r>
      <w:r w:rsidR="009C38A9" w:rsidRPr="00924038">
        <w:t xml:space="preserve"> </w:t>
      </w:r>
      <w:r w:rsidR="00D0400B" w:rsidRPr="00924038">
        <w:t xml:space="preserve">managing litigation and </w:t>
      </w:r>
      <w:r w:rsidR="009C38A9" w:rsidRPr="00924038">
        <w:t xml:space="preserve">incurring </w:t>
      </w:r>
      <w:r w:rsidR="00ED439B" w:rsidRPr="00924038">
        <w:t xml:space="preserve">legal </w:t>
      </w:r>
      <w:r w:rsidR="009C38A9" w:rsidRPr="00924038">
        <w:t xml:space="preserve">costs on the basis of an expectation that these cases will run is a bit like </w:t>
      </w:r>
      <w:r w:rsidR="007B1C28" w:rsidRPr="00924038">
        <w:t xml:space="preserve">a passenger purchasing a </w:t>
      </w:r>
      <w:r w:rsidR="009C38A9" w:rsidRPr="00924038">
        <w:t xml:space="preserve">railway </w:t>
      </w:r>
      <w:r w:rsidR="007B1C28" w:rsidRPr="00924038">
        <w:t>ticket every day from Eastwood to Central</w:t>
      </w:r>
      <w:r w:rsidR="00ED439B" w:rsidRPr="00924038">
        <w:t>,</w:t>
      </w:r>
      <w:r w:rsidR="007B1C28" w:rsidRPr="00924038">
        <w:t xml:space="preserve"> while </w:t>
      </w:r>
      <w:r w:rsidR="00ED439B" w:rsidRPr="00924038">
        <w:t xml:space="preserve">knowing it is </w:t>
      </w:r>
      <w:r w:rsidR="00E84C61" w:rsidRPr="00924038">
        <w:t xml:space="preserve">almost </w:t>
      </w:r>
      <w:r w:rsidR="00ED439B" w:rsidRPr="00924038">
        <w:t xml:space="preserve">inevitable that they will be </w:t>
      </w:r>
      <w:r w:rsidR="007B1C28" w:rsidRPr="00924038">
        <w:t xml:space="preserve">getting off </w:t>
      </w:r>
      <w:r w:rsidR="00ED439B" w:rsidRPr="00924038">
        <w:t xml:space="preserve">the train </w:t>
      </w:r>
      <w:r w:rsidR="007B1C28" w:rsidRPr="00924038">
        <w:t>every day at Strathfield, or</w:t>
      </w:r>
      <w:r w:rsidR="00454492" w:rsidRPr="00924038">
        <w:t>,</w:t>
      </w:r>
      <w:r w:rsidR="007B1C28" w:rsidRPr="00924038">
        <w:t xml:space="preserve"> </w:t>
      </w:r>
      <w:r w:rsidR="009C38A9" w:rsidRPr="00924038">
        <w:t xml:space="preserve">as </w:t>
      </w:r>
      <w:r w:rsidR="007B1C28" w:rsidRPr="00924038">
        <w:t xml:space="preserve">is </w:t>
      </w:r>
      <w:r w:rsidR="00E84C61" w:rsidRPr="00924038">
        <w:t xml:space="preserve">unfortunately </w:t>
      </w:r>
      <w:r w:rsidR="007B1C28" w:rsidRPr="00924038">
        <w:t>mor</w:t>
      </w:r>
      <w:r w:rsidR="00944F57" w:rsidRPr="00924038">
        <w:t>e commonly the case, at Redfern</w:t>
      </w:r>
      <w:r w:rsidR="007B1C28" w:rsidRPr="00924038">
        <w:t xml:space="preserve"> </w:t>
      </w:r>
      <w:r w:rsidR="00CC316E" w:rsidRPr="00924038">
        <w:t>(</w:t>
      </w:r>
      <w:r w:rsidR="00944F57" w:rsidRPr="00924038">
        <w:t>f</w:t>
      </w:r>
      <w:r w:rsidR="00E84C61" w:rsidRPr="00924038">
        <w:t>or the Victorians in the present matter</w:t>
      </w:r>
      <w:r w:rsidR="004220C8" w:rsidRPr="00924038">
        <w:t>,</w:t>
      </w:r>
      <w:r w:rsidR="00E84C61" w:rsidRPr="00924038">
        <w:t xml:space="preserve"> </w:t>
      </w:r>
      <w:r w:rsidR="00454492" w:rsidRPr="00924038">
        <w:t xml:space="preserve">one can </w:t>
      </w:r>
      <w:r w:rsidR="004220C8" w:rsidRPr="00924038">
        <w:t>replace</w:t>
      </w:r>
      <w:r w:rsidR="00E84C61" w:rsidRPr="00924038">
        <w:t xml:space="preserve"> the destinations</w:t>
      </w:r>
      <w:r w:rsidR="00454492" w:rsidRPr="00924038">
        <w:t xml:space="preserve"> used in the </w:t>
      </w:r>
      <w:r w:rsidR="00454492" w:rsidRPr="00924038">
        <w:lastRenderedPageBreak/>
        <w:t>last sentence</w:t>
      </w:r>
      <w:r w:rsidR="00E84C61" w:rsidRPr="00924038">
        <w:t xml:space="preserve"> </w:t>
      </w:r>
      <w:r w:rsidR="00985F19" w:rsidRPr="00924038">
        <w:t xml:space="preserve">with </w:t>
      </w:r>
      <w:r w:rsidR="00E84C61" w:rsidRPr="00924038">
        <w:t>Williamstown Beach</w:t>
      </w:r>
      <w:r w:rsidR="004220C8" w:rsidRPr="00924038">
        <w:t xml:space="preserve"> to Flinders Street</w:t>
      </w:r>
      <w:r w:rsidR="00E84C61" w:rsidRPr="00924038">
        <w:t xml:space="preserve">, </w:t>
      </w:r>
      <w:r w:rsidR="004220C8" w:rsidRPr="00924038">
        <w:t>Footscray and North Melbourne</w:t>
      </w:r>
      <w:r w:rsidR="00454492" w:rsidRPr="00924038">
        <w:t>,</w:t>
      </w:r>
      <w:r w:rsidR="004220C8" w:rsidRPr="00924038">
        <w:t xml:space="preserve"> respectively).</w:t>
      </w:r>
    </w:p>
    <w:p w:rsidR="00AA31E9" w:rsidRPr="00924038" w:rsidRDefault="00AA31E9" w:rsidP="00AA31E9">
      <w:pPr>
        <w:pStyle w:val="ParaNumbering"/>
      </w:pPr>
      <w:r w:rsidRPr="00924038">
        <w:t>In saying this</w:t>
      </w:r>
      <w:r w:rsidR="00CC316E" w:rsidRPr="00924038">
        <w:t>,</w:t>
      </w:r>
      <w:r w:rsidRPr="00924038">
        <w:t xml:space="preserve"> it must be recognised that the settlements do not happen by accident. </w:t>
      </w:r>
      <w:r w:rsidR="00372DAC" w:rsidRPr="00924038">
        <w:t xml:space="preserve"> </w:t>
      </w:r>
      <w:r w:rsidR="000369F6" w:rsidRPr="00924038">
        <w:t xml:space="preserve">A determined, </w:t>
      </w:r>
      <w:r w:rsidRPr="00924038">
        <w:t>well-resourced respondent will not make a substantia</w:t>
      </w:r>
      <w:r w:rsidR="000369F6" w:rsidRPr="00924038">
        <w:t xml:space="preserve">l settlement offer unless </w:t>
      </w:r>
      <w:r w:rsidRPr="00924038">
        <w:t>persuaded that the applicant is prepared</w:t>
      </w:r>
      <w:r w:rsidR="00D0400B" w:rsidRPr="00924038">
        <w:t xml:space="preserve">, absent settlement, to run the case and </w:t>
      </w:r>
      <w:r w:rsidR="000369F6" w:rsidRPr="00924038">
        <w:t>is</w:t>
      </w:r>
      <w:r w:rsidRPr="00924038">
        <w:t xml:space="preserve"> </w:t>
      </w:r>
      <w:r w:rsidR="000369F6" w:rsidRPr="00924038">
        <w:t xml:space="preserve">capable of </w:t>
      </w:r>
      <w:r w:rsidR="00D0400B" w:rsidRPr="00924038">
        <w:t>doing so.  Sett</w:t>
      </w:r>
      <w:r w:rsidR="000369F6" w:rsidRPr="00924038">
        <w:t xml:space="preserve">lements also usually reflect </w:t>
      </w:r>
      <w:r w:rsidRPr="00924038">
        <w:t>a material risk that the applicant will succeed on liability</w:t>
      </w:r>
      <w:r w:rsidR="000369F6" w:rsidRPr="00924038">
        <w:t xml:space="preserve"> </w:t>
      </w:r>
      <w:r w:rsidR="00BA5E37" w:rsidRPr="00924038">
        <w:t xml:space="preserve">and </w:t>
      </w:r>
      <w:r w:rsidR="000369F6" w:rsidRPr="00924038">
        <w:t>can establish</w:t>
      </w:r>
      <w:r w:rsidRPr="00924038">
        <w:t xml:space="preserve"> losses suffered by the class. </w:t>
      </w:r>
      <w:r w:rsidR="00372DAC" w:rsidRPr="00924038">
        <w:t xml:space="preserve"> </w:t>
      </w:r>
      <w:r w:rsidR="000369F6" w:rsidRPr="00924038">
        <w:t xml:space="preserve">For a respondent to be </w:t>
      </w:r>
      <w:r w:rsidRPr="00924038">
        <w:t xml:space="preserve">persuaded </w:t>
      </w:r>
      <w:r w:rsidR="000369F6" w:rsidRPr="00924038">
        <w:t xml:space="preserve">of such a risk </w:t>
      </w:r>
      <w:r w:rsidRPr="00924038">
        <w:t>usually requires the applicant’s lawyers to undertake substan</w:t>
      </w:r>
      <w:r w:rsidR="00D0400B" w:rsidRPr="00924038">
        <w:t>tial work</w:t>
      </w:r>
      <w:r w:rsidRPr="00924038">
        <w:t xml:space="preserve">. </w:t>
      </w:r>
      <w:r w:rsidR="00372DAC" w:rsidRPr="00924038">
        <w:t xml:space="preserve"> </w:t>
      </w:r>
      <w:r w:rsidRPr="00924038">
        <w:t>Similarly, a conscientious applicant will not accept</w:t>
      </w:r>
      <w:r w:rsidR="000369F6" w:rsidRPr="00924038">
        <w:t xml:space="preserve"> a low settlement offer unless </w:t>
      </w:r>
      <w:r w:rsidRPr="00924038">
        <w:t xml:space="preserve">persuaded that there is a significant risk that the case will fail on liability or that the claimed losses will not be established. </w:t>
      </w:r>
      <w:r w:rsidR="00372DAC" w:rsidRPr="00924038">
        <w:t xml:space="preserve"> </w:t>
      </w:r>
      <w:r w:rsidRPr="00924038">
        <w:t xml:space="preserve">To be in a position to accept a </w:t>
      </w:r>
      <w:r w:rsidR="006A6183" w:rsidRPr="00924038">
        <w:t xml:space="preserve">conditional </w:t>
      </w:r>
      <w:r w:rsidRPr="00924038">
        <w:t xml:space="preserve">settlement offer </w:t>
      </w:r>
      <w:r w:rsidR="00CC316E" w:rsidRPr="00924038">
        <w:t xml:space="preserve">requires work, </w:t>
      </w:r>
      <w:r w:rsidRPr="00924038">
        <w:t xml:space="preserve">often </w:t>
      </w:r>
      <w:r w:rsidR="00C07487" w:rsidRPr="00924038">
        <w:t xml:space="preserve">very </w:t>
      </w:r>
      <w:r w:rsidRPr="00924038">
        <w:t>substantial work.</w:t>
      </w:r>
      <w:r w:rsidR="00977976" w:rsidRPr="00924038">
        <w:t xml:space="preserve">  </w:t>
      </w:r>
    </w:p>
    <w:p w:rsidR="00ED439B" w:rsidRPr="00924038" w:rsidRDefault="00BA5E37" w:rsidP="005120DC">
      <w:pPr>
        <w:pStyle w:val="ParaNumbering"/>
      </w:pPr>
      <w:r w:rsidRPr="00924038">
        <w:t xml:space="preserve">Having noted this, </w:t>
      </w:r>
      <w:r w:rsidR="00E32498" w:rsidRPr="00924038">
        <w:t xml:space="preserve">the Court </w:t>
      </w:r>
      <w:r w:rsidR="00454492" w:rsidRPr="00924038">
        <w:t xml:space="preserve">is </w:t>
      </w:r>
      <w:r w:rsidR="00E32498" w:rsidRPr="00924038">
        <w:t xml:space="preserve">to facilitate </w:t>
      </w:r>
      <w:r w:rsidR="00DD68E2" w:rsidRPr="00924038">
        <w:t>the quick and efficient</w:t>
      </w:r>
      <w:r w:rsidR="00D0400B" w:rsidRPr="00924038">
        <w:t xml:space="preserve"> disposition of </w:t>
      </w:r>
      <w:r w:rsidR="00DD68E2" w:rsidRPr="00924038">
        <w:t>litigation</w:t>
      </w:r>
      <w:r w:rsidR="00D0400B" w:rsidRPr="00924038">
        <w:t>.  In the case of securities class actions</w:t>
      </w:r>
      <w:r w:rsidR="0061196C" w:rsidRPr="00924038">
        <w:t xml:space="preserve"> which will likely settle,</w:t>
      </w:r>
      <w:r w:rsidR="00D0400B" w:rsidRPr="00924038">
        <w:t xml:space="preserve"> this seems to me </w:t>
      </w:r>
      <w:r w:rsidRPr="00924038">
        <w:t xml:space="preserve">to </w:t>
      </w:r>
      <w:r w:rsidR="008830A6" w:rsidRPr="00924038">
        <w:t>require</w:t>
      </w:r>
      <w:r w:rsidR="00D0400B" w:rsidRPr="00924038">
        <w:t xml:space="preserve"> the Court to take an active role</w:t>
      </w:r>
      <w:r w:rsidR="0061196C" w:rsidRPr="00924038">
        <w:t xml:space="preserve"> (including by fashioning interlocutory</w:t>
      </w:r>
      <w:r w:rsidR="009B424A" w:rsidRPr="00924038">
        <w:t xml:space="preserve"> orders as to discovery and</w:t>
      </w:r>
      <w:r w:rsidR="0061196C" w:rsidRPr="00924038">
        <w:t xml:space="preserve"> evidence) so</w:t>
      </w:r>
      <w:r w:rsidR="00DD68E2" w:rsidRPr="00924038">
        <w:t xml:space="preserve"> that if, as anticipated, the case settles</w:t>
      </w:r>
      <w:r w:rsidR="009C38A9" w:rsidRPr="00924038">
        <w:t>,</w:t>
      </w:r>
      <w:r w:rsidR="00DD68E2" w:rsidRPr="00924038">
        <w:t xml:space="preserve"> it settles </w:t>
      </w:r>
      <w:r w:rsidR="00454492" w:rsidRPr="00924038">
        <w:t xml:space="preserve">with alacrity or at least </w:t>
      </w:r>
      <w:r w:rsidR="00DD68E2" w:rsidRPr="00924038">
        <w:t>as early as p</w:t>
      </w:r>
      <w:r w:rsidR="00E939FA" w:rsidRPr="00924038">
        <w:t>racticable</w:t>
      </w:r>
      <w:r w:rsidR="00454492" w:rsidRPr="00924038">
        <w:t>,</w:t>
      </w:r>
      <w:r w:rsidR="00DD68E2" w:rsidRPr="00924038">
        <w:t xml:space="preserve"> with the minimum of cost for </w:t>
      </w:r>
      <w:r w:rsidR="00AC2E6B" w:rsidRPr="00924038">
        <w:t>all parties and group members</w:t>
      </w:r>
      <w:r w:rsidR="00DD68E2" w:rsidRPr="00924038">
        <w:t xml:space="preserve">. </w:t>
      </w:r>
      <w:r w:rsidR="009B424A" w:rsidRPr="00924038">
        <w:t xml:space="preserve"> Moreover, any orders as to common funds ought to reflect the reality of the empirical data as to prevalence of settlement of these cases</w:t>
      </w:r>
      <w:r w:rsidR="00944F57" w:rsidRPr="00924038">
        <w:t>,</w:t>
      </w:r>
      <w:r w:rsidR="009B424A" w:rsidRPr="00924038">
        <w:t xml:space="preserve"> bearing in mind that the risk of a funder paying adverse costs of a trial in </w:t>
      </w:r>
      <w:r w:rsidRPr="00924038">
        <w:t xml:space="preserve">a securities class action </w:t>
      </w:r>
      <w:r w:rsidR="009B424A" w:rsidRPr="00924038">
        <w:t xml:space="preserve">has never </w:t>
      </w:r>
      <w:r w:rsidRPr="00924038">
        <w:t xml:space="preserve">once </w:t>
      </w:r>
      <w:r w:rsidR="009B424A" w:rsidRPr="00924038">
        <w:t xml:space="preserve">materialised. </w:t>
      </w:r>
      <w:r w:rsidR="00DD68E2" w:rsidRPr="00924038">
        <w:t xml:space="preserve"> </w:t>
      </w:r>
    </w:p>
    <w:p w:rsidR="00BE41B0" w:rsidRPr="00924038" w:rsidRDefault="00DD68E2" w:rsidP="006B08C0">
      <w:pPr>
        <w:pStyle w:val="ParaNumbering"/>
      </w:pPr>
      <w:r w:rsidRPr="00924038">
        <w:t xml:space="preserve">It is against the background of these </w:t>
      </w:r>
      <w:r w:rsidR="00454492" w:rsidRPr="00924038">
        <w:t xml:space="preserve">historical and </w:t>
      </w:r>
      <w:r w:rsidRPr="00924038">
        <w:t>contextual matters</w:t>
      </w:r>
      <w:r w:rsidR="00ED439B" w:rsidRPr="00924038">
        <w:t>,</w:t>
      </w:r>
      <w:r w:rsidRPr="00924038">
        <w:t xml:space="preserve"> that I come to th</w:t>
      </w:r>
      <w:r w:rsidR="00454492" w:rsidRPr="00924038">
        <w:t>e present issue</w:t>
      </w:r>
      <w:r w:rsidRPr="00924038">
        <w:t xml:space="preserve">.  </w:t>
      </w:r>
    </w:p>
    <w:p w:rsidR="00DD68E2" w:rsidRPr="00924038" w:rsidRDefault="00AC2E6B" w:rsidP="00084E53">
      <w:pPr>
        <w:pStyle w:val="Heading1"/>
      </w:pPr>
      <w:bookmarkStart w:id="30" w:name="_Ref514405601"/>
      <w:r w:rsidRPr="00924038">
        <w:t>C</w:t>
      </w:r>
      <w:r w:rsidR="00084E53" w:rsidRPr="00924038">
        <w:tab/>
      </w:r>
      <w:r w:rsidR="00584E9B" w:rsidRPr="00924038">
        <w:t xml:space="preserve">The Factual &amp; Procedural History </w:t>
      </w:r>
      <w:r w:rsidR="00726DC4" w:rsidRPr="00924038">
        <w:t xml:space="preserve">of the </w:t>
      </w:r>
      <w:r w:rsidR="00584E9B" w:rsidRPr="00924038">
        <w:t>Matter</w:t>
      </w:r>
      <w:bookmarkEnd w:id="30"/>
    </w:p>
    <w:p w:rsidR="00084E53" w:rsidRPr="00924038" w:rsidRDefault="00ED439B" w:rsidP="00A75FE4">
      <w:pPr>
        <w:pStyle w:val="Heading2"/>
      </w:pPr>
      <w:bookmarkStart w:id="31" w:name="_Ref514405602"/>
      <w:r w:rsidRPr="00924038">
        <w:t>C</w:t>
      </w:r>
      <w:r w:rsidR="009D0E3E" w:rsidRPr="00924038">
        <w:t>.1</w:t>
      </w:r>
      <w:r w:rsidR="009D0E3E" w:rsidRPr="00924038">
        <w:tab/>
        <w:t>Pre-</w:t>
      </w:r>
      <w:r w:rsidRPr="00924038">
        <w:t>Proceeding Background</w:t>
      </w:r>
      <w:bookmarkEnd w:id="31"/>
    </w:p>
    <w:p w:rsidR="007D27A3" w:rsidRPr="00924038" w:rsidRDefault="007D27A3" w:rsidP="00B93C96">
      <w:pPr>
        <w:pStyle w:val="ParaNumbering"/>
        <w:rPr>
          <w:szCs w:val="24"/>
        </w:rPr>
      </w:pPr>
      <w:r w:rsidRPr="00924038">
        <w:rPr>
          <w:noProof/>
          <w:szCs w:val="24"/>
          <w:lang w:eastAsia="en-AU"/>
        </w:rPr>
        <mc:AlternateContent>
          <mc:Choice Requires="wps">
            <w:drawing>
              <wp:anchor distT="0" distB="0" distL="114300" distR="114300" simplePos="0" relativeHeight="251659264" behindDoc="0" locked="0" layoutInCell="1" allowOverlap="1" wp14:anchorId="02CC8BFF" wp14:editId="7C237001">
                <wp:simplePos x="0" y="0"/>
                <wp:positionH relativeFrom="page">
                  <wp:posOffset>38735</wp:posOffset>
                </wp:positionH>
                <wp:positionV relativeFrom="paragraph">
                  <wp:posOffset>1477010</wp:posOffset>
                </wp:positionV>
                <wp:extent cx="0" cy="0"/>
                <wp:effectExtent l="10160" t="738505" r="8890" b="74676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78">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269443A7" id="Straight Connector 4"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5pt,116.3pt" to="3.05pt,1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" strokeweight=".1272mm">
                <w10:wrap anchorx="page"/>
              </v:line>
            </w:pict>
          </mc:Fallback>
        </mc:AlternateContent>
      </w:r>
      <w:r w:rsidRPr="00924038">
        <w:rPr>
          <w:szCs w:val="24"/>
        </w:rPr>
        <w:t>GetSwift is a technology com</w:t>
      </w:r>
      <w:r w:rsidR="00454492" w:rsidRPr="00924038">
        <w:rPr>
          <w:szCs w:val="24"/>
        </w:rPr>
        <w:t xml:space="preserve">pany founded in 2015, </w:t>
      </w:r>
      <w:r w:rsidRPr="00924038">
        <w:rPr>
          <w:szCs w:val="24"/>
        </w:rPr>
        <w:t xml:space="preserve">listed in 2016, </w:t>
      </w:r>
      <w:r w:rsidR="00454492" w:rsidRPr="00924038">
        <w:rPr>
          <w:szCs w:val="24"/>
        </w:rPr>
        <w:t xml:space="preserve">and </w:t>
      </w:r>
      <w:r w:rsidRPr="00924038">
        <w:rPr>
          <w:szCs w:val="24"/>
        </w:rPr>
        <w:t>which relevantly provides software for businesses to manage what are described as ‘last-mile’ delivery</w:t>
      </w:r>
      <w:r w:rsidR="00454492" w:rsidRPr="00924038">
        <w:rPr>
          <w:szCs w:val="24"/>
        </w:rPr>
        <w:t xml:space="preserve"> functions</w:t>
      </w:r>
      <w:r w:rsidRPr="00924038">
        <w:rPr>
          <w:szCs w:val="24"/>
        </w:rPr>
        <w:t xml:space="preserve">.  After listing, </w:t>
      </w:r>
      <w:r w:rsidR="00944F57" w:rsidRPr="00924038">
        <w:rPr>
          <w:szCs w:val="24"/>
        </w:rPr>
        <w:t>GetSwift</w:t>
      </w:r>
      <w:r w:rsidRPr="00924038">
        <w:rPr>
          <w:szCs w:val="24"/>
        </w:rPr>
        <w:t xml:space="preserve">, at various times, made announcements to the ASX about agreements and </w:t>
      </w:r>
      <w:r w:rsidR="00454492" w:rsidRPr="00924038">
        <w:rPr>
          <w:szCs w:val="24"/>
        </w:rPr>
        <w:t>‘</w:t>
      </w:r>
      <w:r w:rsidRPr="00924038">
        <w:rPr>
          <w:szCs w:val="24"/>
        </w:rPr>
        <w:t>partnerships</w:t>
      </w:r>
      <w:r w:rsidR="00454492" w:rsidRPr="00924038">
        <w:rPr>
          <w:szCs w:val="24"/>
        </w:rPr>
        <w:t>’</w:t>
      </w:r>
      <w:r w:rsidRPr="00924038">
        <w:rPr>
          <w:szCs w:val="24"/>
        </w:rPr>
        <w:t xml:space="preserve"> signed with clients.  On 11 December 2017, the company announced a $75 million capital </w:t>
      </w:r>
      <w:proofErr w:type="gramStart"/>
      <w:r w:rsidRPr="00924038">
        <w:rPr>
          <w:szCs w:val="24"/>
        </w:rPr>
        <w:t>raising</w:t>
      </w:r>
      <w:proofErr w:type="gramEnd"/>
      <w:r w:rsidR="00B93C96" w:rsidRPr="00924038">
        <w:rPr>
          <w:szCs w:val="24"/>
        </w:rPr>
        <w:t>,</w:t>
      </w:r>
      <w:r w:rsidRPr="00924038">
        <w:rPr>
          <w:szCs w:val="24"/>
        </w:rPr>
        <w:t xml:space="preserve"> at $4.00 per share.  On </w:t>
      </w:r>
      <w:r w:rsidR="00671268">
        <w:rPr>
          <w:szCs w:val="24"/>
        </w:rPr>
        <w:t>19</w:t>
      </w:r>
      <w:r w:rsidRPr="00924038">
        <w:rPr>
          <w:szCs w:val="24"/>
        </w:rPr>
        <w:t xml:space="preserve"> January 2018, the </w:t>
      </w:r>
      <w:r w:rsidRPr="00924038">
        <w:rPr>
          <w:i/>
          <w:szCs w:val="24"/>
        </w:rPr>
        <w:t>Australian Financial Review</w:t>
      </w:r>
      <w:r w:rsidRPr="00924038">
        <w:rPr>
          <w:szCs w:val="24"/>
        </w:rPr>
        <w:t xml:space="preserve"> reported that GetSwift had allegedly failed to inform the market that its agreements with some customers had been terminated, and further alleged that it had </w:t>
      </w:r>
      <w:r w:rsidRPr="00924038">
        <w:rPr>
          <w:szCs w:val="24"/>
        </w:rPr>
        <w:lastRenderedPageBreak/>
        <w:t>announced t</w:t>
      </w:r>
      <w:r w:rsidR="00454492" w:rsidRPr="00924038">
        <w:rPr>
          <w:szCs w:val="24"/>
        </w:rPr>
        <w:t xml:space="preserve">he revenue forecasts tied to an agreement with the Commonwealth Bank </w:t>
      </w:r>
      <w:r w:rsidR="00103A6C" w:rsidRPr="00924038">
        <w:rPr>
          <w:szCs w:val="24"/>
        </w:rPr>
        <w:t xml:space="preserve">of Australia </w:t>
      </w:r>
      <w:r w:rsidRPr="00924038">
        <w:rPr>
          <w:szCs w:val="24"/>
        </w:rPr>
        <w:t>prematurely.  Shortly thereafter, on 22 January 2018, GetSwift shares were placed in a tradin</w:t>
      </w:r>
      <w:r w:rsidR="00454492" w:rsidRPr="00924038">
        <w:rPr>
          <w:szCs w:val="24"/>
        </w:rPr>
        <w:t xml:space="preserve">g halt, and two days later </w:t>
      </w:r>
      <w:r w:rsidRPr="00924038">
        <w:rPr>
          <w:szCs w:val="24"/>
        </w:rPr>
        <w:t>were suspended from official quotation, pending the company</w:t>
      </w:r>
      <w:r w:rsidR="00944F57" w:rsidRPr="00924038">
        <w:rPr>
          <w:szCs w:val="24"/>
        </w:rPr>
        <w:t>’</w:t>
      </w:r>
      <w:r w:rsidRPr="00924038">
        <w:rPr>
          <w:szCs w:val="24"/>
        </w:rPr>
        <w:t>s response to questions from the ASX.</w:t>
      </w:r>
      <w:r w:rsidR="00B93C96" w:rsidRPr="00924038">
        <w:rPr>
          <w:szCs w:val="24"/>
        </w:rPr>
        <w:t xml:space="preserve">  A number of a</w:t>
      </w:r>
      <w:r w:rsidRPr="00924038">
        <w:rPr>
          <w:szCs w:val="24"/>
        </w:rPr>
        <w:t xml:space="preserve">nnouncements relevant to </w:t>
      </w:r>
      <w:r w:rsidR="00B93C96" w:rsidRPr="00924038">
        <w:rPr>
          <w:szCs w:val="24"/>
        </w:rPr>
        <w:t>the company’s</w:t>
      </w:r>
      <w:r w:rsidRPr="00924038">
        <w:rPr>
          <w:szCs w:val="24"/>
        </w:rPr>
        <w:t xml:space="preserve"> suspension from official quotation </w:t>
      </w:r>
      <w:r w:rsidR="00B93C96" w:rsidRPr="00924038">
        <w:rPr>
          <w:szCs w:val="24"/>
        </w:rPr>
        <w:t xml:space="preserve">(including </w:t>
      </w:r>
      <w:r w:rsidRPr="00924038">
        <w:rPr>
          <w:szCs w:val="24"/>
        </w:rPr>
        <w:t>questions raised by the ASX</w:t>
      </w:r>
      <w:r w:rsidR="00B93C96" w:rsidRPr="00924038">
        <w:rPr>
          <w:szCs w:val="24"/>
        </w:rPr>
        <w:t>)</w:t>
      </w:r>
      <w:r w:rsidRPr="00924038">
        <w:rPr>
          <w:szCs w:val="24"/>
        </w:rPr>
        <w:t xml:space="preserve"> </w:t>
      </w:r>
      <w:r w:rsidR="00B93C96" w:rsidRPr="00924038">
        <w:rPr>
          <w:szCs w:val="24"/>
        </w:rPr>
        <w:t>were then apparently released up to reinstatement to official quotation on 19 February 2018</w:t>
      </w:r>
      <w:r w:rsidRPr="00924038">
        <w:rPr>
          <w:szCs w:val="24"/>
        </w:rPr>
        <w:t>.</w:t>
      </w:r>
    </w:p>
    <w:p w:rsidR="007D27A3" w:rsidRPr="00924038" w:rsidRDefault="00CE78CF" w:rsidP="00CE78CF">
      <w:pPr>
        <w:pStyle w:val="ParaNumbering"/>
        <w:rPr>
          <w:szCs w:val="24"/>
        </w:rPr>
      </w:pPr>
      <w:r w:rsidRPr="00924038">
        <w:rPr>
          <w:szCs w:val="24"/>
        </w:rPr>
        <w:t xml:space="preserve">The evidence on </w:t>
      </w:r>
      <w:r w:rsidR="00944F57" w:rsidRPr="00924038">
        <w:rPr>
          <w:szCs w:val="24"/>
        </w:rPr>
        <w:t xml:space="preserve">this </w:t>
      </w:r>
      <w:r w:rsidRPr="00924038">
        <w:rPr>
          <w:szCs w:val="24"/>
        </w:rPr>
        <w:t xml:space="preserve">application suggests that before entering the trading halt on </w:t>
      </w:r>
      <w:r w:rsidR="00103A6C" w:rsidRPr="00924038">
        <w:rPr>
          <w:szCs w:val="24"/>
        </w:rPr>
        <w:t>22 </w:t>
      </w:r>
      <w:r w:rsidRPr="00924038">
        <w:rPr>
          <w:szCs w:val="24"/>
        </w:rPr>
        <w:t>January</w:t>
      </w:r>
      <w:r w:rsidR="00103A6C" w:rsidRPr="00924038">
        <w:rPr>
          <w:szCs w:val="24"/>
        </w:rPr>
        <w:t> </w:t>
      </w:r>
      <w:r w:rsidRPr="00924038">
        <w:rPr>
          <w:szCs w:val="24"/>
        </w:rPr>
        <w:t>2018, GetSwift’s share price was $</w:t>
      </w:r>
      <w:proofErr w:type="gramStart"/>
      <w:r w:rsidRPr="00924038">
        <w:rPr>
          <w:szCs w:val="24"/>
        </w:rPr>
        <w:t>2.92,</w:t>
      </w:r>
      <w:proofErr w:type="gramEnd"/>
      <w:r w:rsidRPr="00924038">
        <w:rPr>
          <w:szCs w:val="24"/>
        </w:rPr>
        <w:t xml:space="preserve"> however, following reinstatement, it declined to $0.51 as at the close of trade on 21 February 2018 </w:t>
      </w:r>
      <w:r w:rsidR="00944F57" w:rsidRPr="00924038">
        <w:rPr>
          <w:szCs w:val="24"/>
        </w:rPr>
        <w:t xml:space="preserve">– a </w:t>
      </w:r>
      <w:r w:rsidRPr="00924038">
        <w:rPr>
          <w:szCs w:val="24"/>
        </w:rPr>
        <w:t>total decline of approximately 82.5%.</w:t>
      </w:r>
    </w:p>
    <w:p w:rsidR="000C0C13" w:rsidRPr="00924038" w:rsidRDefault="00CE78CF" w:rsidP="00CE78CF">
      <w:pPr>
        <w:pStyle w:val="ParaNumbering"/>
        <w:rPr>
          <w:szCs w:val="24"/>
        </w:rPr>
      </w:pPr>
      <w:r w:rsidRPr="00924038">
        <w:rPr>
          <w:szCs w:val="24"/>
        </w:rPr>
        <w:t xml:space="preserve">Ms Banton, a partner </w:t>
      </w:r>
      <w:r w:rsidR="00944F57" w:rsidRPr="00924038">
        <w:rPr>
          <w:szCs w:val="24"/>
        </w:rPr>
        <w:t>of</w:t>
      </w:r>
      <w:r w:rsidRPr="00924038">
        <w:rPr>
          <w:szCs w:val="24"/>
        </w:rPr>
        <w:t xml:space="preserve"> Squire Patton Boggs (</w:t>
      </w:r>
      <w:r w:rsidRPr="00924038">
        <w:rPr>
          <w:b/>
          <w:szCs w:val="24"/>
        </w:rPr>
        <w:t>SPB</w:t>
      </w:r>
      <w:r w:rsidRPr="00924038">
        <w:rPr>
          <w:szCs w:val="24"/>
        </w:rPr>
        <w:t xml:space="preserve">), a large international law firm, gives evidence that SPB began investigating possible claims against GetSwift on 19 January 2018 and published a </w:t>
      </w:r>
      <w:r w:rsidR="00944F57" w:rsidRPr="00924038">
        <w:rPr>
          <w:szCs w:val="24"/>
        </w:rPr>
        <w:t>‘</w:t>
      </w:r>
      <w:r w:rsidRPr="00924038">
        <w:rPr>
          <w:szCs w:val="24"/>
        </w:rPr>
        <w:t>Notice of Investigation</w:t>
      </w:r>
      <w:r w:rsidR="00944F57" w:rsidRPr="00924038">
        <w:rPr>
          <w:szCs w:val="24"/>
        </w:rPr>
        <w:t>’</w:t>
      </w:r>
      <w:r w:rsidRPr="00924038">
        <w:rPr>
          <w:szCs w:val="24"/>
        </w:rPr>
        <w:t xml:space="preserve"> into a potential class action on 2 February 2018 on the SPB website.  Its purpose was to seek to bring the SPB investigations and the potential class action to the attention of shareholders who acquired shares in GetSwift in the period 24</w:t>
      </w:r>
      <w:r w:rsidR="00F81A15" w:rsidRPr="00924038">
        <w:rPr>
          <w:szCs w:val="24"/>
        </w:rPr>
        <w:t> </w:t>
      </w:r>
      <w:r w:rsidRPr="00924038">
        <w:rPr>
          <w:szCs w:val="24"/>
        </w:rPr>
        <w:t xml:space="preserve">February 2017 to 19 January 2018.  </w:t>
      </w:r>
      <w:proofErr w:type="gramStart"/>
      <w:r w:rsidRPr="00924038">
        <w:rPr>
          <w:szCs w:val="24"/>
        </w:rPr>
        <w:t xml:space="preserve">A dedicated </w:t>
      </w:r>
      <w:r w:rsidR="00F81A15" w:rsidRPr="00924038">
        <w:rPr>
          <w:szCs w:val="24"/>
        </w:rPr>
        <w:t>‘</w:t>
      </w:r>
      <w:r w:rsidRPr="00924038">
        <w:rPr>
          <w:szCs w:val="24"/>
        </w:rPr>
        <w:t>GetSwift Class Action</w:t>
      </w:r>
      <w:r w:rsidR="00F81A15" w:rsidRPr="00924038">
        <w:rPr>
          <w:szCs w:val="24"/>
        </w:rPr>
        <w:t>’</w:t>
      </w:r>
      <w:r w:rsidRPr="00924038">
        <w:rPr>
          <w:szCs w:val="24"/>
        </w:rPr>
        <w:t xml:space="preserve"> </w:t>
      </w:r>
      <w:r w:rsidR="00F81A15" w:rsidRPr="00924038">
        <w:rPr>
          <w:szCs w:val="24"/>
        </w:rPr>
        <w:t>web</w:t>
      </w:r>
      <w:r w:rsidRPr="00924038">
        <w:rPr>
          <w:szCs w:val="24"/>
        </w:rPr>
        <w:t>page and email address were</w:t>
      </w:r>
      <w:proofErr w:type="gramEnd"/>
      <w:r w:rsidRPr="00924038">
        <w:rPr>
          <w:szCs w:val="24"/>
        </w:rPr>
        <w:t xml:space="preserve"> </w:t>
      </w:r>
      <w:r w:rsidR="00F81A15" w:rsidRPr="00924038">
        <w:rPr>
          <w:szCs w:val="24"/>
        </w:rPr>
        <w:t>established</w:t>
      </w:r>
      <w:r w:rsidRPr="00924038">
        <w:rPr>
          <w:szCs w:val="24"/>
        </w:rPr>
        <w:t xml:space="preserve"> so that interested investors could register their interest online and obtain more information.  Eventually</w:t>
      </w:r>
      <w:r w:rsidR="00F81A15" w:rsidRPr="00924038">
        <w:rPr>
          <w:szCs w:val="24"/>
        </w:rPr>
        <w:t>,</w:t>
      </w:r>
      <w:r w:rsidRPr="00924038">
        <w:rPr>
          <w:szCs w:val="24"/>
        </w:rPr>
        <w:t xml:space="preserve"> 103 shareholders chose to register with the SPB (</w:t>
      </w:r>
      <w:r w:rsidRPr="00924038">
        <w:rPr>
          <w:b/>
          <w:szCs w:val="24"/>
        </w:rPr>
        <w:t>P</w:t>
      </w:r>
      <w:r w:rsidR="00F81A15" w:rsidRPr="00924038">
        <w:rPr>
          <w:b/>
          <w:szCs w:val="24"/>
        </w:rPr>
        <w:t>er</w:t>
      </w:r>
      <w:r w:rsidRPr="00924038">
        <w:rPr>
          <w:b/>
          <w:szCs w:val="24"/>
        </w:rPr>
        <w:t>era Funded GMs</w:t>
      </w:r>
      <w:r w:rsidRPr="00924038">
        <w:rPr>
          <w:szCs w:val="24"/>
        </w:rPr>
        <w:t>).  The P</w:t>
      </w:r>
      <w:r w:rsidR="00F81A15" w:rsidRPr="00924038">
        <w:rPr>
          <w:szCs w:val="24"/>
        </w:rPr>
        <w:t>er</w:t>
      </w:r>
      <w:r w:rsidRPr="00924038">
        <w:rPr>
          <w:szCs w:val="24"/>
        </w:rPr>
        <w:t>era Funded GMs are persons who also entered into funding arrangements with a funding entity, International Litigation Partners No 18 Pte Ltd (</w:t>
      </w:r>
      <w:r w:rsidRPr="00924038">
        <w:rPr>
          <w:b/>
          <w:szCs w:val="24"/>
        </w:rPr>
        <w:t>ILP18</w:t>
      </w:r>
      <w:r w:rsidRPr="00924038">
        <w:rPr>
          <w:szCs w:val="24"/>
        </w:rPr>
        <w:t>).</w:t>
      </w:r>
    </w:p>
    <w:p w:rsidR="00CE78CF" w:rsidRPr="00924038" w:rsidRDefault="00CE78CF" w:rsidP="00CE78CF">
      <w:pPr>
        <w:pStyle w:val="ParaNumbering"/>
      </w:pPr>
      <w:r w:rsidRPr="00924038">
        <w:t>Mr Pagent, a partner of Corrs Chambers Westgarth (</w:t>
      </w:r>
      <w:r w:rsidRPr="00924038">
        <w:rPr>
          <w:b/>
        </w:rPr>
        <w:t>CCW</w:t>
      </w:r>
      <w:r w:rsidRPr="00924038">
        <w:t>), a large national firm of solicitors, gives evidence that on 20 February 2018, a litigation funder, Vannin Capital Operations Limited (</w:t>
      </w:r>
      <w:r w:rsidRPr="00924038">
        <w:rPr>
          <w:b/>
        </w:rPr>
        <w:t>Vannin</w:t>
      </w:r>
      <w:r w:rsidRPr="00924038">
        <w:t>) announced it was investigating a potential class action against GetSwift and its executive directors and invited shareholders who purchased shares in GetSwift between 24 February 2017 and 19 January 2018 to register their interest in the proposed class action.</w:t>
      </w:r>
      <w:r w:rsidR="00F52F77" w:rsidRPr="00924038">
        <w:t xml:space="preserve"> </w:t>
      </w:r>
      <w:r w:rsidRPr="00924038">
        <w:t xml:space="preserve"> Apparently, 441 investors registered their interest in participating in the class action via the website www.getswiftclassaction.com.au; and 208 investors signed litigation funding agreements with Vannin (</w:t>
      </w:r>
      <w:r w:rsidR="00B1647F" w:rsidRPr="00924038">
        <w:rPr>
          <w:b/>
        </w:rPr>
        <w:t>McTaggart</w:t>
      </w:r>
      <w:r w:rsidRPr="00924038">
        <w:rPr>
          <w:b/>
        </w:rPr>
        <w:t xml:space="preserve"> Funded GMs</w:t>
      </w:r>
      <w:r w:rsidRPr="00924038">
        <w:t xml:space="preserve">).  </w:t>
      </w:r>
    </w:p>
    <w:p w:rsidR="00CE78CF" w:rsidRPr="00924038" w:rsidRDefault="00CE78CF" w:rsidP="00CE78CF">
      <w:pPr>
        <w:pStyle w:val="ParaNumbering"/>
      </w:pPr>
      <w:r w:rsidRPr="00924038">
        <w:t>Mr Phi, a solicitor with Phi Finney McDonald (</w:t>
      </w:r>
      <w:r w:rsidRPr="00924038">
        <w:rPr>
          <w:b/>
        </w:rPr>
        <w:t>PFM</w:t>
      </w:r>
      <w:r w:rsidRPr="00924038">
        <w:t>), which he describes as a “</w:t>
      </w:r>
      <w:r w:rsidRPr="00924038">
        <w:rPr>
          <w:i/>
        </w:rPr>
        <w:t>specialist class action law firm</w:t>
      </w:r>
      <w:r w:rsidRPr="00924038">
        <w:t xml:space="preserve">”, gives evidence that prior to 20 February 2018, preliminary steps were taken by PFM to consider and assess the merits of a potential claim against GetSwift.  </w:t>
      </w:r>
      <w:r w:rsidRPr="00924038">
        <w:lastRenderedPageBreak/>
        <w:t>Preliminary discussions also took place between Mr Phi and representatives of Therium Capital Management Limited (</w:t>
      </w:r>
      <w:r w:rsidRPr="00924038">
        <w:rPr>
          <w:b/>
        </w:rPr>
        <w:t>Therium</w:t>
      </w:r>
      <w:r w:rsidRPr="00924038">
        <w:t xml:space="preserve">) about funding.  Mr Phi </w:t>
      </w:r>
      <w:r w:rsidR="00F52F77" w:rsidRPr="00924038">
        <w:t>gives</w:t>
      </w:r>
      <w:r w:rsidRPr="00924038">
        <w:t xml:space="preserve"> evidence, which I accept, that he decided against announcing a potential class action until after GetSwift resumed trading as, in his experience, announcing a class action prior to the resumption of trading (or even shortly after an alleged corrective disclosure) may allow a respondent to argue that any share price fall was caused, at least in part, by the threat of a class action.  He also deferred because: (a) his view</w:t>
      </w:r>
      <w:r w:rsidR="00F52F77" w:rsidRPr="00924038">
        <w:t xml:space="preserve"> was</w:t>
      </w:r>
      <w:r w:rsidRPr="00924038">
        <w:t xml:space="preserve"> that it was appropriate to review analyst reports and media commentary to form a view as to the precise cause of a particular share price reaction; and (b) his preference was not to announce a class action until after he was satisfied </w:t>
      </w:r>
      <w:r w:rsidR="00F52F77" w:rsidRPr="00924038">
        <w:t xml:space="preserve">that </w:t>
      </w:r>
      <w:r w:rsidRPr="00924038">
        <w:t>appropriate funding could be secured on terms he considered were favourable to group members.  Despite this initial preference, following the filing of the Perera Proceeding on 20</w:t>
      </w:r>
      <w:r w:rsidR="00F52F77" w:rsidRPr="00924038">
        <w:t> </w:t>
      </w:r>
      <w:r w:rsidRPr="00924038">
        <w:t>February 2018, he caused an announcement of PFM</w:t>
      </w:r>
      <w:r w:rsidR="00F52F77" w:rsidRPr="00924038">
        <w:t>’</w:t>
      </w:r>
      <w:r w:rsidRPr="00924038">
        <w:t>s investigation to be published on PFM</w:t>
      </w:r>
      <w:r w:rsidR="00F52F77" w:rsidRPr="00924038">
        <w:t>’</w:t>
      </w:r>
      <w:r w:rsidRPr="00924038">
        <w:t>s website and the potential PFM class action was reported by the media the following day.</w:t>
      </w:r>
    </w:p>
    <w:p w:rsidR="00CE78CF" w:rsidRPr="00924038" w:rsidRDefault="00CE78CF" w:rsidP="00CE78CF">
      <w:pPr>
        <w:pStyle w:val="ParaNumbering"/>
      </w:pPr>
      <w:r w:rsidRPr="00924038">
        <w:t>Mr Phi also deposes to a flurry of activity immediately prior to the filing of the Perera Proceeding.  On 19 February 2018, two further potential class actions were publicly announced before close of trading that day.  The solicitors announcing those potential claims were Gadens and MC Lawyers &amp; Advisers.  I pause to note that nothing further has been heard by any party as to these two, at one time, proposed class actions.</w:t>
      </w:r>
    </w:p>
    <w:p w:rsidR="00846918" w:rsidRPr="00924038" w:rsidRDefault="00846918" w:rsidP="00A75FE4">
      <w:pPr>
        <w:pStyle w:val="Heading2"/>
      </w:pPr>
      <w:bookmarkStart w:id="32" w:name="_Ref514405603"/>
      <w:r w:rsidRPr="00924038">
        <w:t>C.2</w:t>
      </w:r>
      <w:r w:rsidRPr="00924038">
        <w:tab/>
      </w:r>
      <w:proofErr w:type="gramStart"/>
      <w:r w:rsidRPr="00924038">
        <w:t>The</w:t>
      </w:r>
      <w:proofErr w:type="gramEnd"/>
      <w:r w:rsidRPr="00924038">
        <w:t xml:space="preserve"> Competing Actions Emerge and the Court Orders</w:t>
      </w:r>
      <w:bookmarkEnd w:id="32"/>
      <w:r w:rsidRPr="00924038">
        <w:t xml:space="preserve"> </w:t>
      </w:r>
    </w:p>
    <w:p w:rsidR="00CE78CF" w:rsidRPr="00924038" w:rsidRDefault="00CE78CF" w:rsidP="00CE78CF">
      <w:pPr>
        <w:pStyle w:val="ParaNumbering"/>
        <w:rPr>
          <w:szCs w:val="24"/>
        </w:rPr>
      </w:pPr>
      <w:r w:rsidRPr="00924038">
        <w:rPr>
          <w:szCs w:val="24"/>
        </w:rPr>
        <w:t xml:space="preserve">As noted above, the Perera Proceeding was commenced by SPB on 20 February 2018 against GetSwift and Mr Joel Macdonald, </w:t>
      </w:r>
      <w:r w:rsidR="003C3E61">
        <w:rPr>
          <w:szCs w:val="24"/>
        </w:rPr>
        <w:t>a</w:t>
      </w:r>
      <w:r w:rsidRPr="00924038">
        <w:rPr>
          <w:szCs w:val="24"/>
        </w:rPr>
        <w:t xml:space="preserve">n officer of GetSwift.  A report was published by the </w:t>
      </w:r>
      <w:r w:rsidRPr="00924038">
        <w:rPr>
          <w:i/>
          <w:szCs w:val="24"/>
        </w:rPr>
        <w:t>Australian Financial Review</w:t>
      </w:r>
      <w:r w:rsidRPr="00924038">
        <w:rPr>
          <w:szCs w:val="24"/>
        </w:rPr>
        <w:t xml:space="preserve"> the same day reporting that </w:t>
      </w:r>
      <w:r w:rsidR="00F52F77" w:rsidRPr="00924038">
        <w:rPr>
          <w:szCs w:val="24"/>
        </w:rPr>
        <w:t>‘</w:t>
      </w:r>
      <w:r w:rsidRPr="00924038">
        <w:rPr>
          <w:szCs w:val="24"/>
        </w:rPr>
        <w:t>International Litigation Partners</w:t>
      </w:r>
      <w:r w:rsidR="00F52F77" w:rsidRPr="00924038">
        <w:rPr>
          <w:szCs w:val="24"/>
        </w:rPr>
        <w:t>’</w:t>
      </w:r>
      <w:r w:rsidRPr="00924038">
        <w:rPr>
          <w:szCs w:val="24"/>
        </w:rPr>
        <w:t xml:space="preserve"> was the funder.  The </w:t>
      </w:r>
      <w:r w:rsidR="00F52F77" w:rsidRPr="00924038">
        <w:rPr>
          <w:szCs w:val="24"/>
        </w:rPr>
        <w:t>o</w:t>
      </w:r>
      <w:r w:rsidRPr="00924038">
        <w:rPr>
          <w:szCs w:val="24"/>
        </w:rPr>
        <w:t xml:space="preserve">riginating </w:t>
      </w:r>
      <w:r w:rsidR="00F52F77" w:rsidRPr="00924038">
        <w:rPr>
          <w:szCs w:val="24"/>
        </w:rPr>
        <w:t>a</w:t>
      </w:r>
      <w:r w:rsidRPr="00924038">
        <w:rPr>
          <w:szCs w:val="24"/>
        </w:rPr>
        <w:t xml:space="preserve">pplication was listed for </w:t>
      </w:r>
      <w:r w:rsidR="00F52F77" w:rsidRPr="00924038">
        <w:rPr>
          <w:szCs w:val="24"/>
        </w:rPr>
        <w:t>a first</w:t>
      </w:r>
      <w:r w:rsidRPr="00924038">
        <w:rPr>
          <w:szCs w:val="24"/>
        </w:rPr>
        <w:t xml:space="preserve"> case management </w:t>
      </w:r>
      <w:r w:rsidR="00F52F77" w:rsidRPr="00924038">
        <w:rPr>
          <w:szCs w:val="24"/>
        </w:rPr>
        <w:t>hearing</w:t>
      </w:r>
      <w:r w:rsidRPr="00924038">
        <w:rPr>
          <w:szCs w:val="24"/>
        </w:rPr>
        <w:t xml:space="preserve"> on 23 March 2018, which was then adjourned to 29 March 2018.</w:t>
      </w:r>
    </w:p>
    <w:p w:rsidR="003E3C91" w:rsidRPr="00924038" w:rsidRDefault="00A04023" w:rsidP="00A04023">
      <w:pPr>
        <w:pStyle w:val="ParaNumbering"/>
        <w:rPr>
          <w:szCs w:val="24"/>
        </w:rPr>
      </w:pPr>
      <w:r w:rsidRPr="00924038">
        <w:rPr>
          <w:szCs w:val="24"/>
        </w:rPr>
        <w:t>An overl</w:t>
      </w:r>
      <w:r w:rsidR="00CD5DEA" w:rsidRPr="00924038">
        <w:rPr>
          <w:szCs w:val="24"/>
        </w:rPr>
        <w:t>apping class action,</w:t>
      </w:r>
      <w:r w:rsidRPr="00924038">
        <w:rPr>
          <w:szCs w:val="24"/>
        </w:rPr>
        <w:t xml:space="preserve"> </w:t>
      </w:r>
      <w:r w:rsidR="00F52F77" w:rsidRPr="00924038">
        <w:rPr>
          <w:szCs w:val="24"/>
        </w:rPr>
        <w:t xml:space="preserve">being </w:t>
      </w:r>
      <w:r w:rsidR="00CD5DEA" w:rsidRPr="00924038">
        <w:rPr>
          <w:szCs w:val="24"/>
        </w:rPr>
        <w:t>the McTaggart Proceeding,</w:t>
      </w:r>
      <w:r w:rsidRPr="00924038">
        <w:rPr>
          <w:szCs w:val="24"/>
        </w:rPr>
        <w:t xml:space="preserve"> was issued </w:t>
      </w:r>
      <w:r w:rsidR="00CD5DEA" w:rsidRPr="00924038">
        <w:rPr>
          <w:szCs w:val="24"/>
        </w:rPr>
        <w:t xml:space="preserve">by CCW </w:t>
      </w:r>
      <w:r w:rsidRPr="00924038">
        <w:rPr>
          <w:szCs w:val="24"/>
        </w:rPr>
        <w:t>on 26</w:t>
      </w:r>
      <w:r w:rsidR="00F52F77" w:rsidRPr="00924038">
        <w:rPr>
          <w:szCs w:val="24"/>
        </w:rPr>
        <w:t> </w:t>
      </w:r>
      <w:r w:rsidRPr="00924038">
        <w:rPr>
          <w:szCs w:val="24"/>
        </w:rPr>
        <w:t>March 2018 against G</w:t>
      </w:r>
      <w:r w:rsidR="00CD5DEA" w:rsidRPr="00924038">
        <w:rPr>
          <w:szCs w:val="24"/>
        </w:rPr>
        <w:t>etSwift</w:t>
      </w:r>
      <w:r w:rsidRPr="00924038">
        <w:rPr>
          <w:szCs w:val="24"/>
        </w:rPr>
        <w:t xml:space="preserve">, </w:t>
      </w:r>
      <w:r w:rsidR="00CD5DEA" w:rsidRPr="00924038">
        <w:rPr>
          <w:szCs w:val="24"/>
        </w:rPr>
        <w:t xml:space="preserve">Mr </w:t>
      </w:r>
      <w:r w:rsidRPr="00924038">
        <w:rPr>
          <w:szCs w:val="24"/>
        </w:rPr>
        <w:t xml:space="preserve">Macdonald and </w:t>
      </w:r>
      <w:r w:rsidR="00CD5DEA" w:rsidRPr="00924038">
        <w:rPr>
          <w:szCs w:val="24"/>
        </w:rPr>
        <w:t xml:space="preserve">Mr </w:t>
      </w:r>
      <w:r w:rsidRPr="00924038">
        <w:rPr>
          <w:szCs w:val="24"/>
        </w:rPr>
        <w:t>Bane Hunter</w:t>
      </w:r>
      <w:r w:rsidR="00CD5DEA" w:rsidRPr="00924038">
        <w:rPr>
          <w:szCs w:val="24"/>
        </w:rPr>
        <w:t>, the Executive Chairman</w:t>
      </w:r>
      <w:r w:rsidR="00F52F77" w:rsidRPr="00924038">
        <w:rPr>
          <w:szCs w:val="24"/>
        </w:rPr>
        <w:t xml:space="preserve"> of GetSwift</w:t>
      </w:r>
      <w:r w:rsidR="00CD5DEA" w:rsidRPr="00924038">
        <w:rPr>
          <w:szCs w:val="24"/>
        </w:rPr>
        <w:t xml:space="preserve">.  </w:t>
      </w:r>
      <w:r w:rsidR="003E3C91" w:rsidRPr="00924038">
        <w:rPr>
          <w:szCs w:val="24"/>
        </w:rPr>
        <w:t>Following communication with my chambers, this proc</w:t>
      </w:r>
      <w:r w:rsidR="0047679B" w:rsidRPr="00924038">
        <w:rPr>
          <w:szCs w:val="24"/>
        </w:rPr>
        <w:t>eeding was also listed</w:t>
      </w:r>
      <w:r w:rsidR="003E3C91" w:rsidRPr="00924038">
        <w:rPr>
          <w:szCs w:val="24"/>
        </w:rPr>
        <w:t xml:space="preserve"> </w:t>
      </w:r>
      <w:r w:rsidR="00F52F77" w:rsidRPr="00924038">
        <w:rPr>
          <w:szCs w:val="24"/>
        </w:rPr>
        <w:t xml:space="preserve">for a first case management hearing </w:t>
      </w:r>
      <w:r w:rsidR="003E3C91" w:rsidRPr="00924038">
        <w:rPr>
          <w:szCs w:val="24"/>
        </w:rPr>
        <w:t>on 29 March 2018.</w:t>
      </w:r>
    </w:p>
    <w:p w:rsidR="00F52F77" w:rsidRPr="00924038" w:rsidRDefault="00F52F77" w:rsidP="003E3C91">
      <w:pPr>
        <w:pStyle w:val="ParaNumbering"/>
        <w:rPr>
          <w:w w:val="105"/>
          <w:szCs w:val="24"/>
        </w:rPr>
      </w:pPr>
      <w:r w:rsidRPr="00924038">
        <w:rPr>
          <w:szCs w:val="24"/>
        </w:rPr>
        <w:t>On 29 March 2018</w:t>
      </w:r>
      <w:r w:rsidR="003E3C91" w:rsidRPr="00924038">
        <w:rPr>
          <w:szCs w:val="24"/>
        </w:rPr>
        <w:t xml:space="preserve">, following discussion with the parties and </w:t>
      </w:r>
      <w:r w:rsidR="001D0372" w:rsidRPr="00924038">
        <w:rPr>
          <w:szCs w:val="24"/>
        </w:rPr>
        <w:t xml:space="preserve">a </w:t>
      </w:r>
      <w:r w:rsidR="003E3C91" w:rsidRPr="00924038">
        <w:rPr>
          <w:szCs w:val="24"/>
        </w:rPr>
        <w:t>short adjournment</w:t>
      </w:r>
      <w:r w:rsidR="0047679B" w:rsidRPr="00924038">
        <w:rPr>
          <w:szCs w:val="24"/>
        </w:rPr>
        <w:t>,</w:t>
      </w:r>
      <w:r w:rsidR="003E3C91" w:rsidRPr="00924038">
        <w:rPr>
          <w:szCs w:val="24"/>
        </w:rPr>
        <w:t xml:space="preserve"> I indicated that I was disposed to make orders facilitating each of the applicants putting before the Court </w:t>
      </w:r>
      <w:r w:rsidR="003E3C91" w:rsidRPr="00924038">
        <w:rPr>
          <w:szCs w:val="24"/>
        </w:rPr>
        <w:lastRenderedPageBreak/>
        <w:t>their proposals for how the issue of the competing class actions should be dealt with.  The transcript records that there was no opposition to this course by either of the ap</w:t>
      </w:r>
      <w:r w:rsidR="001D0372" w:rsidRPr="00924038">
        <w:rPr>
          <w:szCs w:val="24"/>
        </w:rPr>
        <w:t xml:space="preserve">plicants or GetSwift, and </w:t>
      </w:r>
      <w:r w:rsidR="003E3C91" w:rsidRPr="00924038">
        <w:rPr>
          <w:szCs w:val="24"/>
        </w:rPr>
        <w:t xml:space="preserve">orders were made in the Perera </w:t>
      </w:r>
      <w:r w:rsidR="001D0372" w:rsidRPr="00924038">
        <w:rPr>
          <w:szCs w:val="24"/>
        </w:rPr>
        <w:t xml:space="preserve">Proceeding </w:t>
      </w:r>
      <w:r w:rsidR="003E3C91" w:rsidRPr="00924038">
        <w:rPr>
          <w:szCs w:val="24"/>
        </w:rPr>
        <w:t xml:space="preserve">and </w:t>
      </w:r>
      <w:r w:rsidR="003C3E61">
        <w:rPr>
          <w:szCs w:val="24"/>
        </w:rPr>
        <w:t xml:space="preserve">the </w:t>
      </w:r>
      <w:r w:rsidR="003E3C91" w:rsidRPr="00924038">
        <w:rPr>
          <w:szCs w:val="24"/>
        </w:rPr>
        <w:t xml:space="preserve">McTaggart </w:t>
      </w:r>
      <w:r w:rsidR="001D0372" w:rsidRPr="00924038">
        <w:rPr>
          <w:szCs w:val="24"/>
        </w:rPr>
        <w:t>Proceeding</w:t>
      </w:r>
      <w:r w:rsidR="003E3C91" w:rsidRPr="00924038">
        <w:rPr>
          <w:szCs w:val="24"/>
        </w:rPr>
        <w:t xml:space="preserve"> for the parties</w:t>
      </w:r>
      <w:r w:rsidR="001D0372" w:rsidRPr="00924038">
        <w:rPr>
          <w:szCs w:val="24"/>
        </w:rPr>
        <w:t>,</w:t>
      </w:r>
      <w:r w:rsidR="003E3C91" w:rsidRPr="00924038">
        <w:rPr>
          <w:szCs w:val="24"/>
        </w:rPr>
        <w:t xml:space="preserve"> </w:t>
      </w:r>
      <w:r w:rsidR="0095639B" w:rsidRPr="00924038">
        <w:rPr>
          <w:szCs w:val="24"/>
        </w:rPr>
        <w:t>by 4</w:t>
      </w:r>
      <w:r w:rsidR="003856D4">
        <w:rPr>
          <w:szCs w:val="24"/>
        </w:rPr>
        <w:t xml:space="preserve"> </w:t>
      </w:r>
      <w:r w:rsidR="0095639B" w:rsidRPr="00924038">
        <w:rPr>
          <w:szCs w:val="24"/>
        </w:rPr>
        <w:t>pm on 9 April 2018</w:t>
      </w:r>
      <w:r w:rsidR="001D0372" w:rsidRPr="00924038">
        <w:rPr>
          <w:szCs w:val="24"/>
        </w:rPr>
        <w:t>,</w:t>
      </w:r>
      <w:r w:rsidR="0095639B" w:rsidRPr="00924038">
        <w:rPr>
          <w:szCs w:val="24"/>
        </w:rPr>
        <w:t xml:space="preserve"> </w:t>
      </w:r>
      <w:r w:rsidR="003E3C91" w:rsidRPr="00924038">
        <w:rPr>
          <w:szCs w:val="24"/>
        </w:rPr>
        <w:t xml:space="preserve">to </w:t>
      </w:r>
      <w:r w:rsidR="00A040AE" w:rsidRPr="00924038">
        <w:rPr>
          <w:szCs w:val="24"/>
        </w:rPr>
        <w:t>exchange and then file</w:t>
      </w:r>
      <w:r w:rsidR="003E3C91" w:rsidRPr="00924038">
        <w:rPr>
          <w:szCs w:val="24"/>
        </w:rPr>
        <w:t xml:space="preserve"> any affidavit evidence and submissions directed to: </w:t>
      </w:r>
    </w:p>
    <w:p w:rsidR="00F52F77" w:rsidRDefault="003E3C91" w:rsidP="00744C10">
      <w:pPr>
        <w:pStyle w:val="Order2"/>
        <w:numPr>
          <w:ilvl w:val="1"/>
          <w:numId w:val="24"/>
        </w:numPr>
        <w:rPr>
          <w:lang w:val="en" w:eastAsia="en-AU"/>
        </w:rPr>
      </w:pPr>
      <w:r w:rsidRPr="00D4252B">
        <w:rPr>
          <w:lang w:val="en" w:eastAsia="en-AU"/>
        </w:rPr>
        <w:t xml:space="preserve">the manner and form by which security for costs is to be provided in the respective proceedings; </w:t>
      </w:r>
    </w:p>
    <w:p w:rsidR="00D4252B" w:rsidRDefault="00D4252B" w:rsidP="00744C10">
      <w:pPr>
        <w:pStyle w:val="Order2"/>
        <w:numPr>
          <w:ilvl w:val="1"/>
          <w:numId w:val="24"/>
        </w:numPr>
        <w:rPr>
          <w:lang w:val="en" w:eastAsia="en-AU"/>
        </w:rPr>
      </w:pPr>
      <w:r w:rsidRPr="00924038">
        <w:rPr>
          <w:lang w:val="en" w:eastAsia="en-AU"/>
        </w:rPr>
        <w:t>the details, including any proposed percentage subject to further order, of the terms of any common fund order to be sought in the proceedings;</w:t>
      </w:r>
    </w:p>
    <w:p w:rsidR="00D4252B" w:rsidRDefault="00D4252B" w:rsidP="00744C10">
      <w:pPr>
        <w:pStyle w:val="Order2"/>
        <w:numPr>
          <w:ilvl w:val="1"/>
          <w:numId w:val="24"/>
        </w:numPr>
        <w:rPr>
          <w:lang w:val="en" w:eastAsia="en-AU"/>
        </w:rPr>
      </w:pPr>
      <w:r w:rsidRPr="00924038">
        <w:rPr>
          <w:lang w:val="en" w:eastAsia="en-AU"/>
        </w:rPr>
        <w:t>whether, subject to the filing of a defence, any issues in the proceeding are suitable for reference to a referee or whether a Court appointed or joint expert be appointed or retained in relation to any issue;</w:t>
      </w:r>
    </w:p>
    <w:p w:rsidR="00D4252B" w:rsidRDefault="00D4252B" w:rsidP="00744C10">
      <w:pPr>
        <w:pStyle w:val="Order2"/>
        <w:numPr>
          <w:ilvl w:val="1"/>
          <w:numId w:val="24"/>
        </w:numPr>
        <w:rPr>
          <w:lang w:val="en" w:eastAsia="en-AU"/>
        </w:rPr>
      </w:pPr>
      <w:r w:rsidRPr="00924038">
        <w:rPr>
          <w:lang w:val="en" w:eastAsia="en-AU"/>
        </w:rPr>
        <w:t>an estimate by the applicants’ solicitor</w:t>
      </w:r>
      <w:r>
        <w:rPr>
          <w:lang w:val="en" w:eastAsia="en-AU"/>
        </w:rPr>
        <w:t>s</w:t>
      </w:r>
      <w:r w:rsidRPr="00924038">
        <w:rPr>
          <w:lang w:val="en" w:eastAsia="en-AU"/>
        </w:rPr>
        <w:t>, on affidavit, of the costs that are likely to be incurred (on the assumption) that issues of contravening conduct and causally related loss are in dispute;</w:t>
      </w:r>
    </w:p>
    <w:p w:rsidR="00D4252B" w:rsidRDefault="00D4252B" w:rsidP="00744C10">
      <w:pPr>
        <w:pStyle w:val="Order2"/>
        <w:numPr>
          <w:ilvl w:val="1"/>
          <w:numId w:val="24"/>
        </w:numPr>
        <w:rPr>
          <w:lang w:val="en" w:eastAsia="en-AU"/>
        </w:rPr>
      </w:pPr>
      <w:r w:rsidRPr="00924038">
        <w:rPr>
          <w:lang w:val="en" w:eastAsia="en-AU"/>
        </w:rPr>
        <w:t>the number of funded group members and the aggregate number of shares held by all funded group members;</w:t>
      </w:r>
    </w:p>
    <w:p w:rsidR="00D4252B" w:rsidRDefault="00D4252B" w:rsidP="00744C10">
      <w:pPr>
        <w:pStyle w:val="Order2"/>
        <w:numPr>
          <w:ilvl w:val="1"/>
          <w:numId w:val="24"/>
        </w:numPr>
        <w:rPr>
          <w:lang w:val="en" w:eastAsia="en-AU"/>
        </w:rPr>
      </w:pPr>
      <w:r w:rsidRPr="00924038">
        <w:rPr>
          <w:lang w:val="en" w:eastAsia="en-AU"/>
        </w:rPr>
        <w:t xml:space="preserve">what, if anything, is proposed to deal with potential overlap between the Perera </w:t>
      </w:r>
      <w:r>
        <w:rPr>
          <w:lang w:val="en" w:eastAsia="en-AU"/>
        </w:rPr>
        <w:t xml:space="preserve">Proceeding </w:t>
      </w:r>
      <w:r w:rsidRPr="00924038">
        <w:rPr>
          <w:lang w:val="en" w:eastAsia="en-AU"/>
        </w:rPr>
        <w:t xml:space="preserve">and </w:t>
      </w:r>
      <w:r>
        <w:rPr>
          <w:lang w:val="en" w:eastAsia="en-AU"/>
        </w:rPr>
        <w:t xml:space="preserve">the </w:t>
      </w:r>
      <w:r w:rsidRPr="00924038">
        <w:rPr>
          <w:lang w:val="en" w:eastAsia="en-AU"/>
        </w:rPr>
        <w:t xml:space="preserve">McTaggart </w:t>
      </w:r>
      <w:r>
        <w:rPr>
          <w:lang w:val="en" w:eastAsia="en-AU"/>
        </w:rPr>
        <w:t>P</w:t>
      </w:r>
      <w:r w:rsidRPr="00924038">
        <w:rPr>
          <w:lang w:val="en" w:eastAsia="en-AU"/>
        </w:rPr>
        <w:t xml:space="preserve">roceeding, such as a consolidation of the two proceedings; a permanent stay of one of the proceedings; an order declassing one of the proceedings under either s 33N(1) or s 33ZF of the Act; an order closing the class in one (but not the other) proceeding; or orders allowing a joint trial of both proceedings with each left constituted as open </w:t>
      </w:r>
      <w:r>
        <w:rPr>
          <w:lang w:val="en" w:eastAsia="en-AU"/>
        </w:rPr>
        <w:t xml:space="preserve">class </w:t>
      </w:r>
      <w:r w:rsidRPr="00924038">
        <w:rPr>
          <w:lang w:val="en" w:eastAsia="en-AU"/>
        </w:rPr>
        <w:t>proceedings;</w:t>
      </w:r>
    </w:p>
    <w:p w:rsidR="00D4252B" w:rsidRPr="00D4252B" w:rsidRDefault="00D4252B" w:rsidP="00744C10">
      <w:pPr>
        <w:pStyle w:val="Order2"/>
        <w:numPr>
          <w:ilvl w:val="1"/>
          <w:numId w:val="24"/>
        </w:numPr>
        <w:rPr>
          <w:lang w:val="en" w:eastAsia="en-AU"/>
        </w:rPr>
      </w:pPr>
      <w:proofErr w:type="gramStart"/>
      <w:r w:rsidRPr="00924038">
        <w:rPr>
          <w:lang w:val="en" w:eastAsia="en-AU"/>
        </w:rPr>
        <w:t>in</w:t>
      </w:r>
      <w:proofErr w:type="gramEnd"/>
      <w:r w:rsidRPr="00924038">
        <w:rPr>
          <w:lang w:val="en" w:eastAsia="en-AU"/>
        </w:rPr>
        <w:t xml:space="preserve"> the event a temporary or permanent stay or declassing of a proceeding is proposed, the matters relied upon in support of that contention.</w:t>
      </w:r>
    </w:p>
    <w:p w:rsidR="003E3C91" w:rsidRPr="00924038" w:rsidRDefault="00824059" w:rsidP="00824059">
      <w:pPr>
        <w:pStyle w:val="ParaNumbering"/>
        <w:rPr>
          <w:w w:val="105"/>
          <w:szCs w:val="24"/>
        </w:rPr>
      </w:pPr>
      <w:r w:rsidRPr="00924038">
        <w:rPr>
          <w:szCs w:val="24"/>
        </w:rPr>
        <w:t xml:space="preserve">I then, again without objection, listed the two proceedings for a </w:t>
      </w:r>
      <w:r w:rsidR="00F52F77" w:rsidRPr="00924038">
        <w:rPr>
          <w:szCs w:val="24"/>
        </w:rPr>
        <w:t xml:space="preserve">further </w:t>
      </w:r>
      <w:r w:rsidRPr="00924038">
        <w:rPr>
          <w:szCs w:val="24"/>
        </w:rPr>
        <w:t>case management hearing on 13 April 2018, with a view to determining any application made by any party relating to the matters the subject of submissions filed pursuant to the orders made</w:t>
      </w:r>
      <w:r w:rsidR="00F52F77" w:rsidRPr="00924038">
        <w:rPr>
          <w:szCs w:val="24"/>
        </w:rPr>
        <w:t xml:space="preserve"> on 29 March 2018</w:t>
      </w:r>
      <w:r w:rsidRPr="00924038">
        <w:rPr>
          <w:szCs w:val="24"/>
        </w:rPr>
        <w:t>.</w:t>
      </w:r>
      <w:r w:rsidRPr="00924038">
        <w:rPr>
          <w:w w:val="105"/>
          <w:szCs w:val="24"/>
        </w:rPr>
        <w:t xml:space="preserve">   </w:t>
      </w:r>
    </w:p>
    <w:p w:rsidR="00A040AE" w:rsidRPr="00924038" w:rsidRDefault="00A040AE" w:rsidP="00A040AE">
      <w:pPr>
        <w:pStyle w:val="ParaNumbering"/>
        <w:rPr>
          <w:w w:val="105"/>
          <w:szCs w:val="24"/>
        </w:rPr>
      </w:pPr>
      <w:r w:rsidRPr="00924038">
        <w:rPr>
          <w:szCs w:val="24"/>
        </w:rPr>
        <w:lastRenderedPageBreak/>
        <w:t>In effect, as is evident from the</w:t>
      </w:r>
      <w:r w:rsidR="009C59C2" w:rsidRPr="00924038">
        <w:rPr>
          <w:szCs w:val="24"/>
        </w:rPr>
        <w:t>se</w:t>
      </w:r>
      <w:r w:rsidRPr="00924038">
        <w:rPr>
          <w:szCs w:val="24"/>
        </w:rPr>
        <w:t xml:space="preserve"> orders, I put in place a process by which each of the then applicants could put their ‘best foot forward’ to come up with a detailed proposal and</w:t>
      </w:r>
      <w:r w:rsidR="009C59C2" w:rsidRPr="00924038">
        <w:rPr>
          <w:szCs w:val="24"/>
        </w:rPr>
        <w:t>, if only one proceeding was to</w:t>
      </w:r>
      <w:r w:rsidRPr="00924038">
        <w:rPr>
          <w:szCs w:val="24"/>
        </w:rPr>
        <w:t xml:space="preserve"> go forward, </w:t>
      </w:r>
      <w:r w:rsidR="009C59C2" w:rsidRPr="00924038">
        <w:rPr>
          <w:szCs w:val="24"/>
        </w:rPr>
        <w:t xml:space="preserve">explain </w:t>
      </w:r>
      <w:r w:rsidRPr="00924038">
        <w:rPr>
          <w:szCs w:val="24"/>
        </w:rPr>
        <w:t>why it was that their proceeding should be preferred.  To preserve the integrity of the process</w:t>
      </w:r>
      <w:r w:rsidR="0070030C" w:rsidRPr="00924038">
        <w:rPr>
          <w:szCs w:val="24"/>
        </w:rPr>
        <w:t xml:space="preserve"> as to funding proposals</w:t>
      </w:r>
      <w:r w:rsidRPr="00924038">
        <w:rPr>
          <w:szCs w:val="24"/>
        </w:rPr>
        <w:t>, I further noted in the orders that “</w:t>
      </w:r>
      <w:r w:rsidRPr="00924038">
        <w:rPr>
          <w:i/>
          <w:szCs w:val="24"/>
        </w:rPr>
        <w:t>there should be no discussion between the applicants, the applicants’ lawyers or the funder in this proceeding and the applicant, the applicant’s lawyers or the funder in the Related Proceeding as to the content of the material to be filed and served pursuant to [the orders] until after the exchange provided for by that order</w:t>
      </w:r>
      <w:r w:rsidRPr="00924038">
        <w:rPr>
          <w:szCs w:val="24"/>
        </w:rPr>
        <w:t>”.</w:t>
      </w:r>
      <w:r w:rsidR="0095639B" w:rsidRPr="00924038">
        <w:rPr>
          <w:szCs w:val="24"/>
        </w:rPr>
        <w:t xml:space="preserve">  The parties complied with my orders, albeit slightly late.</w:t>
      </w:r>
    </w:p>
    <w:p w:rsidR="003E3C91" w:rsidRPr="00924038" w:rsidRDefault="001B240E" w:rsidP="00A04023">
      <w:pPr>
        <w:pStyle w:val="ParaNumbering"/>
        <w:rPr>
          <w:szCs w:val="24"/>
        </w:rPr>
      </w:pPr>
      <w:r w:rsidRPr="00924038">
        <w:rPr>
          <w:szCs w:val="24"/>
        </w:rPr>
        <w:t>An unexpected development then arose.</w:t>
      </w:r>
    </w:p>
    <w:p w:rsidR="00CD5DEA" w:rsidRPr="00924038" w:rsidRDefault="0095639B" w:rsidP="0047679B">
      <w:pPr>
        <w:pStyle w:val="ParaNumbering"/>
        <w:rPr>
          <w:sz w:val="20"/>
        </w:rPr>
      </w:pPr>
      <w:r w:rsidRPr="00924038">
        <w:rPr>
          <w:szCs w:val="24"/>
        </w:rPr>
        <w:t xml:space="preserve">Very shortly after the exchange between </w:t>
      </w:r>
      <w:r w:rsidR="003856D4">
        <w:rPr>
          <w:szCs w:val="24"/>
        </w:rPr>
        <w:t xml:space="preserve">Mr Perera and the </w:t>
      </w:r>
      <w:r w:rsidRPr="00924038">
        <w:rPr>
          <w:szCs w:val="24"/>
        </w:rPr>
        <w:t>Mc</w:t>
      </w:r>
      <w:r w:rsidR="004207A8" w:rsidRPr="00924038">
        <w:rPr>
          <w:szCs w:val="24"/>
        </w:rPr>
        <w:t>Tagga</w:t>
      </w:r>
      <w:r w:rsidRPr="00924038">
        <w:rPr>
          <w:szCs w:val="24"/>
        </w:rPr>
        <w:t xml:space="preserve">rt </w:t>
      </w:r>
      <w:r w:rsidR="003856D4">
        <w:rPr>
          <w:szCs w:val="24"/>
        </w:rPr>
        <w:t>applicants</w:t>
      </w:r>
      <w:r w:rsidRPr="00924038">
        <w:rPr>
          <w:szCs w:val="24"/>
        </w:rPr>
        <w:t>, an interlocutory application was filed on behalf of Mr Ra</w:t>
      </w:r>
      <w:r w:rsidR="00391C32" w:rsidRPr="00924038">
        <w:rPr>
          <w:szCs w:val="24"/>
        </w:rPr>
        <w:t>f</w:t>
      </w:r>
      <w:r w:rsidRPr="00924038">
        <w:rPr>
          <w:szCs w:val="24"/>
        </w:rPr>
        <w:t xml:space="preserve">faele Webb seeking </w:t>
      </w:r>
      <w:r w:rsidR="00391C32" w:rsidRPr="00924038">
        <w:rPr>
          <w:szCs w:val="24"/>
        </w:rPr>
        <w:t xml:space="preserve">orders: </w:t>
      </w:r>
      <w:r w:rsidR="00E46566">
        <w:rPr>
          <w:szCs w:val="24"/>
        </w:rPr>
        <w:t>that he</w:t>
      </w:r>
      <w:r w:rsidRPr="00924038">
        <w:rPr>
          <w:szCs w:val="24"/>
        </w:rPr>
        <w:t xml:space="preserve"> </w:t>
      </w:r>
      <w:r w:rsidR="00391C32" w:rsidRPr="00924038">
        <w:rPr>
          <w:szCs w:val="24"/>
        </w:rPr>
        <w:t xml:space="preserve">be granted leave to </w:t>
      </w:r>
      <w:r w:rsidRPr="00924038">
        <w:rPr>
          <w:szCs w:val="24"/>
        </w:rPr>
        <w:t>intervene in both proceedings</w:t>
      </w:r>
      <w:r w:rsidR="00391C32" w:rsidRPr="00924038">
        <w:rPr>
          <w:szCs w:val="24"/>
        </w:rPr>
        <w:t>;</w:t>
      </w:r>
      <w:r w:rsidRPr="00924038">
        <w:rPr>
          <w:szCs w:val="24"/>
        </w:rPr>
        <w:t xml:space="preserve"> </w:t>
      </w:r>
      <w:r w:rsidR="00391C32" w:rsidRPr="00924038">
        <w:rPr>
          <w:szCs w:val="24"/>
        </w:rPr>
        <w:t xml:space="preserve">for </w:t>
      </w:r>
      <w:r w:rsidRPr="00924038">
        <w:rPr>
          <w:szCs w:val="24"/>
        </w:rPr>
        <w:t xml:space="preserve">a regime for a notice to </w:t>
      </w:r>
      <w:r w:rsidR="004207A8" w:rsidRPr="00924038">
        <w:rPr>
          <w:szCs w:val="24"/>
        </w:rPr>
        <w:t xml:space="preserve">group members to </w:t>
      </w:r>
      <w:r w:rsidRPr="00924038">
        <w:rPr>
          <w:szCs w:val="24"/>
        </w:rPr>
        <w:t>be approved</w:t>
      </w:r>
      <w:r w:rsidR="00391C32" w:rsidRPr="00924038">
        <w:rPr>
          <w:szCs w:val="24"/>
        </w:rPr>
        <w:t>;</w:t>
      </w:r>
      <w:r w:rsidRPr="00924038">
        <w:rPr>
          <w:szCs w:val="24"/>
        </w:rPr>
        <w:t xml:space="preserve"> </w:t>
      </w:r>
      <w:r w:rsidR="004207A8" w:rsidRPr="00924038">
        <w:rPr>
          <w:szCs w:val="24"/>
        </w:rPr>
        <w:t xml:space="preserve">as to distribution </w:t>
      </w:r>
      <w:r w:rsidR="00391C32" w:rsidRPr="00924038">
        <w:rPr>
          <w:szCs w:val="24"/>
        </w:rPr>
        <w:t>of the notice;</w:t>
      </w:r>
      <w:r w:rsidRPr="00924038">
        <w:rPr>
          <w:szCs w:val="24"/>
        </w:rPr>
        <w:t xml:space="preserve"> and for an adjournment of the case managem</w:t>
      </w:r>
      <w:r w:rsidR="0047679B" w:rsidRPr="00924038">
        <w:rPr>
          <w:szCs w:val="24"/>
        </w:rPr>
        <w:t xml:space="preserve">ent hearing until </w:t>
      </w:r>
      <w:r w:rsidR="00824059" w:rsidRPr="00924038">
        <w:rPr>
          <w:szCs w:val="24"/>
        </w:rPr>
        <w:t xml:space="preserve">late </w:t>
      </w:r>
      <w:r w:rsidR="0047679B" w:rsidRPr="00924038">
        <w:rPr>
          <w:szCs w:val="24"/>
        </w:rPr>
        <w:t>May or June</w:t>
      </w:r>
      <w:r w:rsidR="00391C32" w:rsidRPr="00924038">
        <w:rPr>
          <w:szCs w:val="24"/>
        </w:rPr>
        <w:t xml:space="preserve"> 2018</w:t>
      </w:r>
      <w:r w:rsidR="0047679B" w:rsidRPr="00924038">
        <w:rPr>
          <w:szCs w:val="24"/>
        </w:rPr>
        <w:t>.</w:t>
      </w:r>
    </w:p>
    <w:p w:rsidR="00846918" w:rsidRPr="00924038" w:rsidRDefault="004207A8" w:rsidP="00131103">
      <w:pPr>
        <w:pStyle w:val="ParaNumbering"/>
      </w:pPr>
      <w:r w:rsidRPr="00924038">
        <w:rPr>
          <w:szCs w:val="24"/>
        </w:rPr>
        <w:t xml:space="preserve">I arranged for the immediate relisting of the matter </w:t>
      </w:r>
      <w:r w:rsidR="00131103" w:rsidRPr="00924038">
        <w:rPr>
          <w:szCs w:val="24"/>
        </w:rPr>
        <w:t>and</w:t>
      </w:r>
      <w:r w:rsidRPr="00924038">
        <w:rPr>
          <w:szCs w:val="24"/>
        </w:rPr>
        <w:t xml:space="preserve"> a fu</w:t>
      </w:r>
      <w:r w:rsidR="00131103" w:rsidRPr="00924038">
        <w:rPr>
          <w:szCs w:val="24"/>
        </w:rPr>
        <w:t>rther case management hearing took place</w:t>
      </w:r>
      <w:r w:rsidRPr="00924038">
        <w:rPr>
          <w:szCs w:val="24"/>
        </w:rPr>
        <w:t xml:space="preserve"> on </w:t>
      </w:r>
      <w:r w:rsidR="006F6F86" w:rsidRPr="00924038">
        <w:rPr>
          <w:szCs w:val="24"/>
        </w:rPr>
        <w:t>11 April 2018.</w:t>
      </w:r>
      <w:r w:rsidR="00131103" w:rsidRPr="00924038">
        <w:rPr>
          <w:szCs w:val="24"/>
        </w:rPr>
        <w:t xml:space="preserve">  </w:t>
      </w:r>
      <w:r w:rsidR="006F6F86" w:rsidRPr="00924038">
        <w:rPr>
          <w:szCs w:val="24"/>
        </w:rPr>
        <w:t>At that time, following exchanges between the Bench and the parties</w:t>
      </w:r>
      <w:r w:rsidR="00131103" w:rsidRPr="00924038">
        <w:rPr>
          <w:szCs w:val="24"/>
        </w:rPr>
        <w:t>,</w:t>
      </w:r>
      <w:r w:rsidR="006F6F86" w:rsidRPr="00924038">
        <w:rPr>
          <w:szCs w:val="24"/>
        </w:rPr>
        <w:t xml:space="preserve"> the adjournment of the case management hearing was not pressed and I made orders that Mr Webb have leave </w:t>
      </w:r>
      <w:r w:rsidR="006F6F86" w:rsidRPr="00924038">
        <w:rPr>
          <w:i/>
          <w:szCs w:val="24"/>
        </w:rPr>
        <w:t>nunc pro tunc</w:t>
      </w:r>
      <w:r w:rsidR="006F6F86" w:rsidRPr="00924038">
        <w:rPr>
          <w:szCs w:val="24"/>
        </w:rPr>
        <w:t xml:space="preserve"> to intervene in the Perera Proceeding and the McTaggart Proceeding for the limited purpose of appearing at the case management hearing on 11 April 2018, and for the purpose of making any application he wished to make on 13</w:t>
      </w:r>
      <w:r w:rsidR="00F1635D" w:rsidRPr="00924038">
        <w:rPr>
          <w:szCs w:val="24"/>
        </w:rPr>
        <w:t> </w:t>
      </w:r>
      <w:r w:rsidR="006F6F86" w:rsidRPr="00924038">
        <w:rPr>
          <w:szCs w:val="24"/>
        </w:rPr>
        <w:t xml:space="preserve">April 2018.  Consistently with the orders earlier made, I ordered Mr Webb to exchange with the other applicants any affidavit evidence, submissions, and any other material related to </w:t>
      </w:r>
      <w:r w:rsidR="00E939FA" w:rsidRPr="00924038">
        <w:rPr>
          <w:szCs w:val="24"/>
        </w:rPr>
        <w:t xml:space="preserve">the </w:t>
      </w:r>
      <w:r w:rsidR="006F6F86" w:rsidRPr="00924038">
        <w:rPr>
          <w:szCs w:val="24"/>
        </w:rPr>
        <w:t>same issues</w:t>
      </w:r>
      <w:r w:rsidR="00E939FA" w:rsidRPr="00924038">
        <w:rPr>
          <w:szCs w:val="24"/>
        </w:rPr>
        <w:t xml:space="preserve"> which were</w:t>
      </w:r>
      <w:r w:rsidR="006F6F86" w:rsidRPr="00924038">
        <w:rPr>
          <w:szCs w:val="24"/>
        </w:rPr>
        <w:t xml:space="preserve"> the subject of the earlier exchange.  I again preserved the integrity of the process by not </w:t>
      </w:r>
      <w:r w:rsidR="00131103" w:rsidRPr="00924038">
        <w:rPr>
          <w:szCs w:val="24"/>
        </w:rPr>
        <w:t>allowing</w:t>
      </w:r>
      <w:r w:rsidR="006F6F86" w:rsidRPr="00924038">
        <w:rPr>
          <w:szCs w:val="24"/>
        </w:rPr>
        <w:t xml:space="preserve"> access by Mr Webb or his </w:t>
      </w:r>
      <w:r w:rsidR="00F1635D" w:rsidRPr="00924038">
        <w:rPr>
          <w:szCs w:val="24"/>
        </w:rPr>
        <w:t>legal advisers</w:t>
      </w:r>
      <w:r w:rsidR="006F6F86" w:rsidRPr="00924038">
        <w:rPr>
          <w:szCs w:val="24"/>
        </w:rPr>
        <w:t xml:space="preserve"> to any material already filed and </w:t>
      </w:r>
      <w:r w:rsidR="00E46566">
        <w:rPr>
          <w:szCs w:val="24"/>
        </w:rPr>
        <w:t>by</w:t>
      </w:r>
      <w:r w:rsidR="006F6F86" w:rsidRPr="00924038">
        <w:rPr>
          <w:szCs w:val="24"/>
        </w:rPr>
        <w:t xml:space="preserve"> noting in the orders that there be no </w:t>
      </w:r>
      <w:r w:rsidR="0047679B" w:rsidRPr="00924038">
        <w:rPr>
          <w:szCs w:val="24"/>
        </w:rPr>
        <w:t>discussions</w:t>
      </w:r>
      <w:r w:rsidR="00F1635D" w:rsidRPr="00924038">
        <w:rPr>
          <w:szCs w:val="24"/>
        </w:rPr>
        <w:t xml:space="preserve"> between the applicants</w:t>
      </w:r>
      <w:r w:rsidR="006F6F86" w:rsidRPr="00924038">
        <w:rPr>
          <w:szCs w:val="24"/>
        </w:rPr>
        <w:t>.</w:t>
      </w:r>
      <w:r w:rsidR="004962FC" w:rsidRPr="00924038">
        <w:rPr>
          <w:szCs w:val="24"/>
        </w:rPr>
        <w:t xml:space="preserve">  Finally, to prevent any procedural vulgarities that might have arisen as to the status of Mr Webb as an intervener, I indicated that I would </w:t>
      </w:r>
      <w:r w:rsidR="00F1635D" w:rsidRPr="00924038">
        <w:rPr>
          <w:szCs w:val="24"/>
        </w:rPr>
        <w:t xml:space="preserve">grant </w:t>
      </w:r>
      <w:r w:rsidR="004962FC" w:rsidRPr="00924038">
        <w:rPr>
          <w:szCs w:val="24"/>
        </w:rPr>
        <w:t>leave to Mr Webb, on 13</w:t>
      </w:r>
      <w:r w:rsidR="00F1635D" w:rsidRPr="00924038">
        <w:rPr>
          <w:szCs w:val="24"/>
        </w:rPr>
        <w:t> </w:t>
      </w:r>
      <w:r w:rsidR="004962FC" w:rsidRPr="00924038">
        <w:rPr>
          <w:szCs w:val="24"/>
        </w:rPr>
        <w:t xml:space="preserve">April 2018, to file in Court, and have returnable </w:t>
      </w:r>
      <w:r w:rsidR="004962FC" w:rsidRPr="00924038">
        <w:rPr>
          <w:i/>
          <w:szCs w:val="24"/>
        </w:rPr>
        <w:t>instanter</w:t>
      </w:r>
      <w:r w:rsidR="004962FC" w:rsidRPr="00924038">
        <w:rPr>
          <w:szCs w:val="24"/>
        </w:rPr>
        <w:t>, an originating application commencing a Part IVA proceeding.</w:t>
      </w:r>
      <w:r w:rsidR="006F6F86" w:rsidRPr="00924038">
        <w:t xml:space="preserve"> </w:t>
      </w:r>
    </w:p>
    <w:p w:rsidR="00C136D2" w:rsidRPr="00924038" w:rsidRDefault="006F6F86" w:rsidP="00C136D2">
      <w:pPr>
        <w:pStyle w:val="ParaNumbering"/>
      </w:pPr>
      <w:r w:rsidRPr="00924038">
        <w:lastRenderedPageBreak/>
        <w:t xml:space="preserve">It is convenient to interrupt the account of what occurred to deal with a matter that has arisen in written submissions filed after oral submissions on behalf of both Mr Perera and </w:t>
      </w:r>
      <w:r w:rsidR="00CF7C0A" w:rsidRPr="00924038">
        <w:t xml:space="preserve">the </w:t>
      </w:r>
      <w:r w:rsidRPr="00924038">
        <w:t>McTaggart</w:t>
      </w:r>
      <w:r w:rsidR="00CF7C0A" w:rsidRPr="00924038">
        <w:t xml:space="preserve"> applicants</w:t>
      </w:r>
      <w:r w:rsidRPr="00924038">
        <w:t xml:space="preserve">.  </w:t>
      </w:r>
      <w:r w:rsidR="00E46566">
        <w:t>T</w:t>
      </w:r>
      <w:r w:rsidR="00DD0789" w:rsidRPr="00924038">
        <w:t xml:space="preserve">hese applicants </w:t>
      </w:r>
      <w:r w:rsidRPr="00924038">
        <w:t xml:space="preserve">submit that Mr Webb obtained some advantage by reason of </w:t>
      </w:r>
      <w:r w:rsidR="0047679B" w:rsidRPr="00924038">
        <w:t>what</w:t>
      </w:r>
      <w:r w:rsidR="00C136D2" w:rsidRPr="00924038">
        <w:t xml:space="preserve"> occurred.  </w:t>
      </w:r>
    </w:p>
    <w:p w:rsidR="00C136D2" w:rsidRPr="00924038" w:rsidRDefault="003300AA" w:rsidP="00C136D2">
      <w:pPr>
        <w:pStyle w:val="ParaNumbering"/>
      </w:pPr>
      <w:r w:rsidRPr="00924038">
        <w:t xml:space="preserve">The </w:t>
      </w:r>
      <w:r w:rsidR="00C136D2" w:rsidRPr="00924038">
        <w:t xml:space="preserve">McTaggart </w:t>
      </w:r>
      <w:r w:rsidRPr="00924038">
        <w:t xml:space="preserve">applicants </w:t>
      </w:r>
      <w:r w:rsidR="00C136D2" w:rsidRPr="00924038">
        <w:t>submit that when the Court comes to weigh up the respective advantages and disadvantages of the competing proposals, the Court should take into account “</w:t>
      </w:r>
      <w:r w:rsidR="00C136D2" w:rsidRPr="00924038">
        <w:rPr>
          <w:i/>
        </w:rPr>
        <w:t>the fact that the Webb applicant enjoyed a process advantage compared with the McTaggart (and Perera) applicants</w:t>
      </w:r>
      <w:r w:rsidR="00C136D2" w:rsidRPr="00924038">
        <w:t xml:space="preserve">”.  This was said to arise because, after setting up what the parties accepted was a </w:t>
      </w:r>
      <w:r w:rsidR="00051447" w:rsidRPr="00924038">
        <w:t>“</w:t>
      </w:r>
      <w:r w:rsidR="00C136D2" w:rsidRPr="00924038">
        <w:rPr>
          <w:i/>
        </w:rPr>
        <w:t>competitive tender</w:t>
      </w:r>
      <w:r w:rsidR="00051447" w:rsidRPr="00924038">
        <w:t>”</w:t>
      </w:r>
      <w:r w:rsidR="00C136D2" w:rsidRPr="00924038">
        <w:t xml:space="preserve"> process, Mr Webb’s “</w:t>
      </w:r>
      <w:r w:rsidR="00C136D2" w:rsidRPr="00924038">
        <w:rPr>
          <w:i/>
        </w:rPr>
        <w:t>late entry put him at a clear advantage</w:t>
      </w:r>
      <w:r w:rsidR="00C136D2" w:rsidRPr="00924038">
        <w:t xml:space="preserve">” apparently because at the time they submitted their respective proposals, </w:t>
      </w:r>
      <w:r w:rsidR="001845B8" w:rsidRPr="00924038">
        <w:t xml:space="preserve">the </w:t>
      </w:r>
      <w:r w:rsidR="00C136D2" w:rsidRPr="00924038">
        <w:t xml:space="preserve">McTaggart </w:t>
      </w:r>
      <w:r w:rsidR="001845B8" w:rsidRPr="00924038">
        <w:t xml:space="preserve">applicants </w:t>
      </w:r>
      <w:r w:rsidR="00C136D2" w:rsidRPr="00924038">
        <w:t>(and Vannin) and Mr Perera (and ILP18) “</w:t>
      </w:r>
      <w:r w:rsidR="0005554B">
        <w:rPr>
          <w:i/>
        </w:rPr>
        <w:t>thought they were in a two-horse race, not a three-</w:t>
      </w:r>
      <w:r w:rsidR="00C136D2" w:rsidRPr="00924038">
        <w:rPr>
          <w:i/>
        </w:rPr>
        <w:t>horse race, and they bid accordingly.</w:t>
      </w:r>
      <w:r w:rsidR="00747273" w:rsidRPr="00924038">
        <w:rPr>
          <w:i/>
        </w:rPr>
        <w:t xml:space="preserve"> </w:t>
      </w:r>
      <w:r w:rsidR="00C136D2" w:rsidRPr="00924038">
        <w:rPr>
          <w:i/>
        </w:rPr>
        <w:t xml:space="preserve"> But Webb knew it was a three-horse race, and he was able to bid accordingly</w:t>
      </w:r>
      <w:r w:rsidR="00C136D2" w:rsidRPr="00924038">
        <w:t xml:space="preserve">”.  It is also said that some apparent unfairness was occasioned because whereas </w:t>
      </w:r>
      <w:r w:rsidR="002E180F" w:rsidRPr="00924038">
        <w:t xml:space="preserve">Mr </w:t>
      </w:r>
      <w:r w:rsidR="00C136D2" w:rsidRPr="00924038">
        <w:t xml:space="preserve">Perera and </w:t>
      </w:r>
      <w:r w:rsidR="002E180F" w:rsidRPr="00924038">
        <w:t xml:space="preserve">the </w:t>
      </w:r>
      <w:r w:rsidR="00C136D2" w:rsidRPr="00924038">
        <w:t xml:space="preserve">McTaggart </w:t>
      </w:r>
      <w:r w:rsidR="002E180F" w:rsidRPr="00924038">
        <w:t xml:space="preserve">applicants </w:t>
      </w:r>
      <w:r w:rsidR="00C136D2" w:rsidRPr="00924038">
        <w:t>were required to submit their evidence and proposals by 4.30</w:t>
      </w:r>
      <w:r w:rsidR="00E46566">
        <w:t xml:space="preserve"> </w:t>
      </w:r>
      <w:r w:rsidR="00C136D2" w:rsidRPr="00924038">
        <w:t>pm on 9 April 2018, Mr Webb was given until 4.30</w:t>
      </w:r>
      <w:r w:rsidR="00E46566">
        <w:t xml:space="preserve"> </w:t>
      </w:r>
      <w:r w:rsidR="00C136D2" w:rsidRPr="00924038">
        <w:t xml:space="preserve">pm on 12 April 2018 and this meant that Mr Webb was allowed to incorporate developments between </w:t>
      </w:r>
      <w:r w:rsidR="00051447" w:rsidRPr="00924038">
        <w:t>9 April and 12 April</w:t>
      </w:r>
      <w:r w:rsidR="00C136D2" w:rsidRPr="00924038">
        <w:t>.</w:t>
      </w:r>
    </w:p>
    <w:p w:rsidR="00D12C5B" w:rsidRPr="00924038" w:rsidRDefault="00C136D2" w:rsidP="00C136D2">
      <w:pPr>
        <w:pStyle w:val="ParaNumbering"/>
        <w:rPr>
          <w:szCs w:val="24"/>
        </w:rPr>
      </w:pPr>
      <w:r w:rsidRPr="00924038">
        <w:t xml:space="preserve">Mr Perera </w:t>
      </w:r>
      <w:r w:rsidR="00920FA6">
        <w:t xml:space="preserve">colourfully </w:t>
      </w:r>
      <w:r w:rsidRPr="00924038">
        <w:t>submits that allowing persons such Mr Webb (PFM/Therium) to come along “</w:t>
      </w:r>
      <w:r w:rsidRPr="00924038">
        <w:rPr>
          <w:i/>
        </w:rPr>
        <w:t>at the heel of the hunt</w:t>
      </w:r>
      <w:r w:rsidR="00D12C5B" w:rsidRPr="00924038">
        <w:t>” would “</w:t>
      </w:r>
      <w:r w:rsidRPr="00924038">
        <w:rPr>
          <w:i/>
        </w:rPr>
        <w:t>encourage a phenomenon of entrepreneurial lawyers and funders parasitically lying in wait to steal the work product of those who have conscientiously been investigating claims on behalf of real people who have retained them</w:t>
      </w:r>
      <w:r w:rsidR="00D12C5B" w:rsidRPr="00924038">
        <w:t>”.  The submission continues:</w:t>
      </w:r>
      <w:r w:rsidR="00D12C5B" w:rsidRPr="00924038">
        <w:rPr>
          <w:w w:val="105"/>
          <w:szCs w:val="24"/>
        </w:rPr>
        <w:t xml:space="preserve"> </w:t>
      </w:r>
    </w:p>
    <w:p w:rsidR="00C136D2" w:rsidRPr="00924038" w:rsidRDefault="00051447" w:rsidP="00A74E58">
      <w:pPr>
        <w:pStyle w:val="Quote1"/>
      </w:pPr>
      <w:r w:rsidRPr="00924038">
        <w:t>It might be added that what the conduct of Webb/PFM/Therium has led to in this case, is undermining the entire point of the competitive bid process which the Court’s orders put in train</w:t>
      </w:r>
      <w:proofErr w:type="gramStart"/>
      <w:r w:rsidRPr="00924038">
        <w:t xml:space="preserve">. </w:t>
      </w:r>
      <w:proofErr w:type="gramEnd"/>
      <w:r w:rsidRPr="00924038">
        <w:t>Had it been known at the outset that there were three tenderers, what occurred would likely have been different, just as one does not go to an auction to buy a house expecting to pay the same price if there is only one other registered bidder, as if there are more than one</w:t>
      </w:r>
      <w:proofErr w:type="gramStart"/>
      <w:r w:rsidRPr="00924038">
        <w:t xml:space="preserve">. </w:t>
      </w:r>
      <w:proofErr w:type="gramEnd"/>
      <w:r w:rsidRPr="00924038">
        <w:t>The market was distorted, and the process will have miscarried to the extent Webb/PFM/Therium’s proposal is considered at all.</w:t>
      </w:r>
    </w:p>
    <w:p w:rsidR="00EC13FF" w:rsidRPr="00924038" w:rsidRDefault="00700257" w:rsidP="006F6F86">
      <w:pPr>
        <w:pStyle w:val="ParaNumbering"/>
      </w:pPr>
      <w:r w:rsidRPr="00924038">
        <w:t>I reject these submissions for at least</w:t>
      </w:r>
      <w:r w:rsidR="00AD6DE8" w:rsidRPr="00924038">
        <w:t xml:space="preserve"> seven</w:t>
      </w:r>
      <w:r w:rsidRPr="00924038">
        <w:t xml:space="preserve"> reasons.  </w:t>
      </w:r>
    </w:p>
    <w:p w:rsidR="00EC13FF" w:rsidRPr="00924038" w:rsidRDefault="00700257" w:rsidP="006F6F86">
      <w:pPr>
        <w:pStyle w:val="ParaNumbering"/>
      </w:pPr>
      <w:r w:rsidRPr="00924038">
        <w:rPr>
          <w:i/>
        </w:rPr>
        <w:t>First</w:t>
      </w:r>
      <w:r w:rsidRPr="00924038">
        <w:t xml:space="preserve">, Mr Webb did not have access to any of the material filed by the other applicants.  He (and PFM and Therium) like Mr Perera (and SPB and ILP18) and </w:t>
      </w:r>
      <w:r w:rsidR="00396D5A" w:rsidRPr="00924038">
        <w:t xml:space="preserve">the </w:t>
      </w:r>
      <w:r w:rsidRPr="00924038">
        <w:t xml:space="preserve">McTaggart </w:t>
      </w:r>
      <w:r w:rsidR="00396D5A" w:rsidRPr="00924038">
        <w:t xml:space="preserve">applicants </w:t>
      </w:r>
      <w:r w:rsidRPr="00924038">
        <w:t>(and CCW and Vannin)</w:t>
      </w:r>
      <w:r w:rsidR="00DA10D8" w:rsidRPr="00924038">
        <w:t>,</w:t>
      </w:r>
      <w:r w:rsidRPr="00924038">
        <w:t xml:space="preserve"> all knew that to the extent the Court was having regard to their </w:t>
      </w:r>
      <w:r w:rsidRPr="00924038">
        <w:lastRenderedPageBreak/>
        <w:t>respective responses to the topics the subject of the common orders, th</w:t>
      </w:r>
      <w:r w:rsidR="00AD6DE8" w:rsidRPr="00924038">
        <w:t xml:space="preserve">ose responses were to be prepared </w:t>
      </w:r>
      <w:r w:rsidRPr="00924038">
        <w:t xml:space="preserve">without contacting or having access to the </w:t>
      </w:r>
      <w:r w:rsidR="0005554B">
        <w:t>material</w:t>
      </w:r>
      <w:r w:rsidRPr="00924038">
        <w:t>s of the other applicants.</w:t>
      </w:r>
      <w:r w:rsidR="00977976" w:rsidRPr="00924038">
        <w:t xml:space="preserve">  </w:t>
      </w:r>
    </w:p>
    <w:p w:rsidR="00EC13FF" w:rsidRPr="00924038" w:rsidRDefault="00700257" w:rsidP="006F6F86">
      <w:pPr>
        <w:pStyle w:val="ParaNumbering"/>
      </w:pPr>
      <w:r w:rsidRPr="00924038">
        <w:rPr>
          <w:i/>
        </w:rPr>
        <w:t>Secondly</w:t>
      </w:r>
      <w:r w:rsidRPr="00924038">
        <w:t xml:space="preserve">, it is notable that the McTaggart </w:t>
      </w:r>
      <w:r w:rsidR="00051447" w:rsidRPr="00924038">
        <w:t xml:space="preserve">applicants’ </w:t>
      </w:r>
      <w:r w:rsidRPr="00924038">
        <w:t xml:space="preserve">submissions are silent as to the </w:t>
      </w:r>
      <w:r w:rsidR="00DA10D8" w:rsidRPr="00924038">
        <w:t xml:space="preserve">details of the </w:t>
      </w:r>
      <w:r w:rsidRPr="00924038">
        <w:t>‘developments</w:t>
      </w:r>
      <w:r w:rsidR="00DA10D8" w:rsidRPr="00924038">
        <w:t>’</w:t>
      </w:r>
      <w:r w:rsidRPr="00924038">
        <w:t xml:space="preserve"> which are asserted to have present</w:t>
      </w:r>
      <w:r w:rsidR="00DA10D8" w:rsidRPr="00924038">
        <w:t>ed</w:t>
      </w:r>
      <w:r w:rsidRPr="00924038">
        <w:t xml:space="preserve"> Mr Webb with a competitive advantage between the first exchange (between Mr Perera and </w:t>
      </w:r>
      <w:r w:rsidR="00396D5A" w:rsidRPr="00924038">
        <w:t xml:space="preserve">the </w:t>
      </w:r>
      <w:r w:rsidRPr="00924038">
        <w:t xml:space="preserve">McTaggart </w:t>
      </w:r>
      <w:r w:rsidR="00396D5A" w:rsidRPr="00924038">
        <w:t xml:space="preserve">applicants </w:t>
      </w:r>
      <w:r w:rsidRPr="00924038">
        <w:t>on 9 April) and the s</w:t>
      </w:r>
      <w:r w:rsidR="00DA10D8" w:rsidRPr="00924038">
        <w:t>e</w:t>
      </w:r>
      <w:r w:rsidRPr="00924038">
        <w:t xml:space="preserve">cond exchange (between Mr Perera and </w:t>
      </w:r>
      <w:r w:rsidR="00396D5A" w:rsidRPr="00924038">
        <w:t xml:space="preserve">the </w:t>
      </w:r>
      <w:r w:rsidRPr="00924038">
        <w:t xml:space="preserve">McTaggart </w:t>
      </w:r>
      <w:r w:rsidR="00396D5A" w:rsidRPr="00924038">
        <w:t xml:space="preserve">applicants </w:t>
      </w:r>
      <w:r w:rsidRPr="00924038">
        <w:t>on the one hand</w:t>
      </w:r>
      <w:r w:rsidR="00DA10D8" w:rsidRPr="00924038">
        <w:t>,</w:t>
      </w:r>
      <w:r w:rsidRPr="00924038">
        <w:t xml:space="preserve"> and Mr W</w:t>
      </w:r>
      <w:r w:rsidR="00131103" w:rsidRPr="00924038">
        <w:t xml:space="preserve">ebb on the other, on 12 April).  Given </w:t>
      </w:r>
      <w:r w:rsidR="00051447" w:rsidRPr="00924038">
        <w:t>Mr</w:t>
      </w:r>
      <w:r w:rsidR="00131103" w:rsidRPr="00924038">
        <w:t xml:space="preserve"> Webb did not have access </w:t>
      </w:r>
      <w:r w:rsidRPr="00924038">
        <w:t xml:space="preserve">to </w:t>
      </w:r>
      <w:r w:rsidR="00131103" w:rsidRPr="00924038">
        <w:t xml:space="preserve">any of the </w:t>
      </w:r>
      <w:r w:rsidRPr="00924038">
        <w:t xml:space="preserve">details of the </w:t>
      </w:r>
      <w:r w:rsidR="00131103" w:rsidRPr="00924038">
        <w:t xml:space="preserve">earlier </w:t>
      </w:r>
      <w:r w:rsidRPr="00924038">
        <w:t>proposals put forward</w:t>
      </w:r>
      <w:r w:rsidR="00DA10D8" w:rsidRPr="00924038">
        <w:t xml:space="preserve">, no relevant </w:t>
      </w:r>
      <w:r w:rsidRPr="00924038">
        <w:t>distortion</w:t>
      </w:r>
      <w:r w:rsidR="00DA10D8" w:rsidRPr="00924038">
        <w:t xml:space="preserve"> occurred</w:t>
      </w:r>
      <w:r w:rsidRPr="00924038">
        <w:t>.</w:t>
      </w:r>
    </w:p>
    <w:p w:rsidR="00EC13FF" w:rsidRPr="00924038" w:rsidRDefault="00DA10D8" w:rsidP="006F6F86">
      <w:pPr>
        <w:pStyle w:val="ParaNumbering"/>
      </w:pPr>
      <w:r w:rsidRPr="00924038">
        <w:rPr>
          <w:i/>
        </w:rPr>
        <w:t>Thirdly</w:t>
      </w:r>
      <w:r w:rsidRPr="00924038">
        <w:t xml:space="preserve">, no complaint </w:t>
      </w:r>
      <w:r w:rsidR="00EC13FF" w:rsidRPr="00924038">
        <w:t xml:space="preserve">whatever </w:t>
      </w:r>
      <w:r w:rsidRPr="00924038">
        <w:t xml:space="preserve">was made by the legal representatives of Mr Perera and </w:t>
      </w:r>
      <w:r w:rsidR="00396D5A" w:rsidRPr="00924038">
        <w:t xml:space="preserve">the </w:t>
      </w:r>
      <w:r w:rsidRPr="00924038">
        <w:t xml:space="preserve">McTaggart </w:t>
      </w:r>
      <w:r w:rsidR="00396D5A" w:rsidRPr="00924038">
        <w:t xml:space="preserve">applicants </w:t>
      </w:r>
      <w:r w:rsidRPr="00924038">
        <w:t xml:space="preserve">at the case management hearing on 11 April 2018 </w:t>
      </w:r>
      <w:r w:rsidR="00AD6DE8" w:rsidRPr="00924038">
        <w:t>as to</w:t>
      </w:r>
      <w:r w:rsidRPr="00924038">
        <w:t xml:space="preserve"> the </w:t>
      </w:r>
      <w:r w:rsidR="00AD6DE8" w:rsidRPr="00924038">
        <w:t xml:space="preserve">orders made on that date binding </w:t>
      </w:r>
      <w:r w:rsidR="00051447" w:rsidRPr="00924038">
        <w:t>Mr</w:t>
      </w:r>
      <w:r w:rsidR="00AD6DE8" w:rsidRPr="00924038">
        <w:t xml:space="preserve"> Webb and the respondent</w:t>
      </w:r>
      <w:r w:rsidR="00051447" w:rsidRPr="00924038">
        <w:t>s</w:t>
      </w:r>
      <w:r w:rsidRPr="00924038">
        <w:t>.  Ultimately</w:t>
      </w:r>
      <w:r w:rsidR="00AD6DE8" w:rsidRPr="00924038">
        <w:t>, and more generally,</w:t>
      </w:r>
      <w:r w:rsidRPr="00924038">
        <w:t xml:space="preserve"> the orders made as </w:t>
      </w:r>
      <w:r w:rsidR="00AD6DE8" w:rsidRPr="00924038">
        <w:t xml:space="preserve">to the process to be adopted were not the subject of </w:t>
      </w:r>
      <w:r w:rsidRPr="00924038">
        <w:t xml:space="preserve">objection by any party.  </w:t>
      </w:r>
    </w:p>
    <w:p w:rsidR="00EC13FF" w:rsidRPr="00924038" w:rsidRDefault="00DA10D8" w:rsidP="006F6F86">
      <w:pPr>
        <w:pStyle w:val="ParaNumbering"/>
      </w:pPr>
      <w:r w:rsidRPr="00924038">
        <w:rPr>
          <w:i/>
        </w:rPr>
        <w:t>Fourthly</w:t>
      </w:r>
      <w:r w:rsidRPr="00924038">
        <w:t xml:space="preserve">, what was put in place was not some process of bargaining between the Court (in its protective role as to group members) and scheme promotors; the analogy to an auction is, with respect, inapt.  Each </w:t>
      </w:r>
      <w:r w:rsidR="00920FA6">
        <w:t xml:space="preserve">applicant </w:t>
      </w:r>
      <w:r w:rsidRPr="00924038">
        <w:t xml:space="preserve">party was to put </w:t>
      </w:r>
      <w:r w:rsidR="00E46566">
        <w:t>its</w:t>
      </w:r>
      <w:r w:rsidRPr="00924038">
        <w:t xml:space="preserve"> best foot forward.  </w:t>
      </w:r>
      <w:r w:rsidR="00E46566">
        <w:t xml:space="preserve">The </w:t>
      </w:r>
      <w:r w:rsidR="00920FA6">
        <w:t xml:space="preserve">applicant </w:t>
      </w:r>
      <w:r w:rsidR="00E46566">
        <w:t>parties</w:t>
      </w:r>
      <w:r w:rsidRPr="00924038">
        <w:t xml:space="preserve"> did so</w:t>
      </w:r>
      <w:r w:rsidR="00131103" w:rsidRPr="00924038">
        <w:t>, and to the</w:t>
      </w:r>
      <w:r w:rsidRPr="00924038">
        <w:t xml:space="preserve"> </w:t>
      </w:r>
      <w:r w:rsidR="00AD6DE8" w:rsidRPr="00924038">
        <w:t xml:space="preserve">extent </w:t>
      </w:r>
      <w:r w:rsidR="00131103" w:rsidRPr="00924038">
        <w:t>I consider relevant</w:t>
      </w:r>
      <w:r w:rsidRPr="00924038">
        <w:t>, the proposals will be judged on their individual merits.</w:t>
      </w:r>
      <w:r w:rsidR="00977976" w:rsidRPr="00924038">
        <w:t xml:space="preserve">  </w:t>
      </w:r>
      <w:r w:rsidR="008A5452" w:rsidRPr="00924038">
        <w:t>In this regard</w:t>
      </w:r>
      <w:r w:rsidR="00E46566">
        <w:t>,</w:t>
      </w:r>
      <w:r w:rsidR="008A5452" w:rsidRPr="00924038">
        <w:t xml:space="preserve"> the evidence </w:t>
      </w:r>
      <w:r w:rsidR="0047679B" w:rsidRPr="00924038">
        <w:t>that ILP</w:t>
      </w:r>
      <w:r w:rsidR="00351114" w:rsidRPr="00924038">
        <w:t>18</w:t>
      </w:r>
      <w:r w:rsidR="00977976" w:rsidRPr="00924038">
        <w:t xml:space="preserve"> would have approached the process differently in the event a third partici</w:t>
      </w:r>
      <w:r w:rsidR="0047679B" w:rsidRPr="00924038">
        <w:t xml:space="preserve">pant was to be involved (and </w:t>
      </w:r>
      <w:r w:rsidR="00977976" w:rsidRPr="00924038">
        <w:t xml:space="preserve">not just </w:t>
      </w:r>
      <w:r w:rsidR="0047679B" w:rsidRPr="00924038">
        <w:t>a competition</w:t>
      </w:r>
      <w:r w:rsidR="00977976" w:rsidRPr="00924038">
        <w:t xml:space="preserve"> with Vannin) is not to the point.  What th</w:t>
      </w:r>
      <w:r w:rsidR="008A5452" w:rsidRPr="00924038">
        <w:t>e orders sought to elicit</w:t>
      </w:r>
      <w:r w:rsidR="00351114" w:rsidRPr="00924038">
        <w:t>, among other things,</w:t>
      </w:r>
      <w:r w:rsidR="008A5452" w:rsidRPr="00924038">
        <w:t xml:space="preserve"> was </w:t>
      </w:r>
      <w:r w:rsidR="0005554B">
        <w:t>a considered</w:t>
      </w:r>
      <w:r w:rsidR="00977976" w:rsidRPr="00924038">
        <w:t xml:space="preserve"> proposal</w:t>
      </w:r>
      <w:r w:rsidR="008A5452" w:rsidRPr="00924038">
        <w:t xml:space="preserve"> which best served the twin ends of furthering the overarching purpose and protecting the interests of group members, not the optimal commerc</w:t>
      </w:r>
      <w:r w:rsidR="00131103" w:rsidRPr="00924038">
        <w:t>ial ‘deal’ for the funder pitched at the level</w:t>
      </w:r>
      <w:r w:rsidR="008A5452" w:rsidRPr="00924038">
        <w:t xml:space="preserve"> to beat </w:t>
      </w:r>
      <w:r w:rsidR="00131103" w:rsidRPr="00924038">
        <w:t xml:space="preserve">(but only just) </w:t>
      </w:r>
      <w:r w:rsidR="008A5452" w:rsidRPr="00924038">
        <w:t>the commercial ‘deal’ likely proposed by another funder.</w:t>
      </w:r>
      <w:r w:rsidR="00977976" w:rsidRPr="00924038">
        <w:t xml:space="preserve"> </w:t>
      </w:r>
      <w:r w:rsidRPr="00924038">
        <w:t xml:space="preserve"> </w:t>
      </w:r>
      <w:r w:rsidR="00700257" w:rsidRPr="00924038">
        <w:t xml:space="preserve"> </w:t>
      </w:r>
    </w:p>
    <w:p w:rsidR="00AD6DE8" w:rsidRPr="00924038" w:rsidRDefault="00DA10D8" w:rsidP="00EC13FF">
      <w:pPr>
        <w:pStyle w:val="ParaNumbering"/>
      </w:pPr>
      <w:r w:rsidRPr="00924038">
        <w:rPr>
          <w:i/>
        </w:rPr>
        <w:t>Fifthly</w:t>
      </w:r>
      <w:r w:rsidRPr="00924038">
        <w:t>, the notion that Mr Webb has acted in a way which can be accurately described as “</w:t>
      </w:r>
      <w:r w:rsidRPr="00924038">
        <w:rPr>
          <w:i/>
        </w:rPr>
        <w:t>parasitically lying in wait to steal the work product</w:t>
      </w:r>
      <w:r w:rsidRPr="00924038">
        <w:t>” of others is, with respect, not a fair characterisation of what has occurred</w:t>
      </w:r>
      <w:r w:rsidR="00EC13FF" w:rsidRPr="00924038">
        <w:t xml:space="preserve">. </w:t>
      </w:r>
      <w:r w:rsidR="00823D3F" w:rsidRPr="00924038">
        <w:t xml:space="preserve"> </w:t>
      </w:r>
      <w:r w:rsidR="004962FC" w:rsidRPr="00924038">
        <w:t xml:space="preserve">Mr Webb did not put up his hand </w:t>
      </w:r>
      <w:r w:rsidR="0005554B">
        <w:t xml:space="preserve">by the time of the first case management hearing </w:t>
      </w:r>
      <w:r w:rsidR="004962FC" w:rsidRPr="00924038">
        <w:t xml:space="preserve">and </w:t>
      </w:r>
      <w:r w:rsidR="00AD6DE8" w:rsidRPr="00924038">
        <w:t xml:space="preserve">indeed </w:t>
      </w:r>
      <w:r w:rsidR="004962FC" w:rsidRPr="00924038">
        <w:t xml:space="preserve">I expressed some criticism of this on 11 April 2018 (when I made it plain that toing and froing between applicant lawyers </w:t>
      </w:r>
      <w:r w:rsidR="00351114" w:rsidRPr="00924038">
        <w:t xml:space="preserve">was not going to defer </w:t>
      </w:r>
      <w:r w:rsidR="004962FC" w:rsidRPr="00924038">
        <w:t xml:space="preserve">progress of the substantive proceeding).  In defence of Mr Webb, however, Mr Phi provided an explanation of why his attention was directed to attempting to negotiate funding terms </w:t>
      </w:r>
      <w:r w:rsidR="004962FC" w:rsidRPr="00924038">
        <w:lastRenderedPageBreak/>
        <w:t xml:space="preserve">(which, on the evidence, only occurred on 4 April 2018) and as to why he deferred the commencement of proceedings.  </w:t>
      </w:r>
      <w:r w:rsidR="0049210B" w:rsidRPr="00924038">
        <w:t xml:space="preserve">For reasons I will come back to, </w:t>
      </w:r>
      <w:r w:rsidR="00920FA6">
        <w:t xml:space="preserve">the evidence revealed </w:t>
      </w:r>
      <w:r w:rsidR="0049210B" w:rsidRPr="00924038">
        <w:t xml:space="preserve">that </w:t>
      </w:r>
      <w:r w:rsidR="00920FA6">
        <w:t xml:space="preserve">this </w:t>
      </w:r>
      <w:r w:rsidR="0049210B" w:rsidRPr="00924038">
        <w:t xml:space="preserve">was time well spent.  </w:t>
      </w:r>
      <w:r w:rsidR="004962FC" w:rsidRPr="00924038">
        <w:t>Moreover, no doubt the orders made by the Court at the first case management hearing were not anticipated by Mr Webb.</w:t>
      </w:r>
      <w:r w:rsidR="00AD6DE8" w:rsidRPr="00924038">
        <w:t xml:space="preserve"> </w:t>
      </w:r>
    </w:p>
    <w:p w:rsidR="00EC13FF" w:rsidRPr="00924038" w:rsidRDefault="00AD6DE8" w:rsidP="00EC13FF">
      <w:pPr>
        <w:pStyle w:val="ParaNumbering"/>
      </w:pPr>
      <w:r w:rsidRPr="00924038">
        <w:rPr>
          <w:i/>
        </w:rPr>
        <w:t xml:space="preserve">Sixthly, </w:t>
      </w:r>
      <w:r w:rsidRPr="00924038">
        <w:t xml:space="preserve">to the extent relevant, senior counsel for </w:t>
      </w:r>
      <w:r w:rsidR="00051447" w:rsidRPr="00924038">
        <w:t>Mr</w:t>
      </w:r>
      <w:r w:rsidRPr="00924038">
        <w:t xml:space="preserve"> Webb has submitted that the proposal put forward by </w:t>
      </w:r>
      <w:r w:rsidR="00051447" w:rsidRPr="00924038">
        <w:t>Mr</w:t>
      </w:r>
      <w:r w:rsidRPr="00924038">
        <w:t xml:space="preserve"> Webb reflects, at least as to </w:t>
      </w:r>
      <w:r w:rsidR="0049210B" w:rsidRPr="00924038">
        <w:t>funding</w:t>
      </w:r>
      <w:r w:rsidRPr="00924038">
        <w:t xml:space="preserve"> rates and budgeted legal costs, those funding terms agreed with Therium and the budget proposed by PFM</w:t>
      </w:r>
      <w:r w:rsidR="008A5452" w:rsidRPr="00924038">
        <w:t xml:space="preserve"> on 4 April 2018 </w:t>
      </w:r>
      <w:r w:rsidR="00823D3F" w:rsidRPr="00924038">
        <w:t>–</w:t>
      </w:r>
      <w:r w:rsidR="008A5452" w:rsidRPr="00924038">
        <w:t xml:space="preserve"> well</w:t>
      </w:r>
      <w:r w:rsidRPr="00924038">
        <w:t xml:space="preserve"> </w:t>
      </w:r>
      <w:r w:rsidR="00051447" w:rsidRPr="00924038">
        <w:t>before</w:t>
      </w:r>
      <w:r w:rsidRPr="00924038">
        <w:t xml:space="preserve"> any orders </w:t>
      </w:r>
      <w:r w:rsidR="00051447" w:rsidRPr="00924038">
        <w:t>were</w:t>
      </w:r>
      <w:r w:rsidRPr="00924038">
        <w:t xml:space="preserve"> made</w:t>
      </w:r>
      <w:r w:rsidR="00805009" w:rsidRPr="00924038">
        <w:t xml:space="preserve"> on 11 April</w:t>
      </w:r>
      <w:r w:rsidR="00051447" w:rsidRPr="00924038">
        <w:t xml:space="preserve"> 2018</w:t>
      </w:r>
      <w:r w:rsidR="00805009" w:rsidRPr="00924038">
        <w:t>.</w:t>
      </w:r>
      <w:r w:rsidRPr="00924038">
        <w:t xml:space="preserve"> </w:t>
      </w:r>
      <w:r w:rsidR="00EC13FF" w:rsidRPr="00924038">
        <w:t xml:space="preserve"> </w:t>
      </w:r>
    </w:p>
    <w:p w:rsidR="00EC13FF" w:rsidRPr="00924038" w:rsidRDefault="00AA5A5E" w:rsidP="005008A4">
      <w:pPr>
        <w:pStyle w:val="ParaNumbering"/>
      </w:pPr>
      <w:r w:rsidRPr="00924038">
        <w:rPr>
          <w:i/>
        </w:rPr>
        <w:t>Seven</w:t>
      </w:r>
      <w:r w:rsidR="00EC13FF" w:rsidRPr="00924038">
        <w:rPr>
          <w:i/>
        </w:rPr>
        <w:t>thly</w:t>
      </w:r>
      <w:r w:rsidR="00EC13FF" w:rsidRPr="00924038">
        <w:t xml:space="preserve">, let me assume for a moment </w:t>
      </w:r>
      <w:r w:rsidR="00051447" w:rsidRPr="00924038">
        <w:t xml:space="preserve">that </w:t>
      </w:r>
      <w:r w:rsidR="00EC13FF" w:rsidRPr="00924038">
        <w:t xml:space="preserve">Mr Webb had some unarticulated process advantage.  There has been no descent into the detail as to how the supposedly superior and well thought through proposals and submissions made by Mr Perera and </w:t>
      </w:r>
      <w:r w:rsidR="00396D5A" w:rsidRPr="00924038">
        <w:t xml:space="preserve">the </w:t>
      </w:r>
      <w:r w:rsidR="00EC13FF" w:rsidRPr="00924038">
        <w:t>McTaggart</w:t>
      </w:r>
      <w:r w:rsidR="00396D5A" w:rsidRPr="00924038">
        <w:t xml:space="preserve"> applicants</w:t>
      </w:r>
      <w:r w:rsidR="00EC13FF" w:rsidRPr="00924038">
        <w:t xml:space="preserve"> would have changed.  Each </w:t>
      </w:r>
      <w:r w:rsidR="00805009" w:rsidRPr="00924038">
        <w:t xml:space="preserve">now submits </w:t>
      </w:r>
      <w:r w:rsidR="00EC13FF" w:rsidRPr="00924038">
        <w:t xml:space="preserve">that their respective proposals are superior, if the Court conducts a principled multifactorial analysis.  </w:t>
      </w:r>
      <w:r w:rsidR="0049210B" w:rsidRPr="00924038">
        <w:t xml:space="preserve">As I noted in the </w:t>
      </w:r>
      <w:r w:rsidR="00E46566">
        <w:t>I</w:t>
      </w:r>
      <w:r w:rsidR="0049210B" w:rsidRPr="00924038">
        <w:t>ntroduction, to proceed on the basis of an auctioneer procuring further bids would not only be unseemly</w:t>
      </w:r>
      <w:r w:rsidR="005008A4" w:rsidRPr="00924038">
        <w:t>,</w:t>
      </w:r>
      <w:r w:rsidR="00EC13FF" w:rsidRPr="00924038">
        <w:t xml:space="preserve"> but also would undermine what the Court was trying to achieve: each </w:t>
      </w:r>
      <w:r w:rsidR="00E939FA" w:rsidRPr="00924038">
        <w:t xml:space="preserve">applicant </w:t>
      </w:r>
      <w:r w:rsidR="00EC13FF" w:rsidRPr="00924038">
        <w:t>party putting forward considered and o</w:t>
      </w:r>
      <w:r w:rsidR="005008A4" w:rsidRPr="00924038">
        <w:t>p</w:t>
      </w:r>
      <w:r w:rsidR="00EC13FF" w:rsidRPr="00924038">
        <w:t xml:space="preserve">timal </w:t>
      </w:r>
      <w:r w:rsidR="00213D75" w:rsidRPr="00924038">
        <w:t xml:space="preserve">funding </w:t>
      </w:r>
      <w:r w:rsidR="00EC13FF" w:rsidRPr="00924038">
        <w:t>proposals</w:t>
      </w:r>
      <w:r w:rsidR="00351114" w:rsidRPr="00924038">
        <w:t xml:space="preserve"> </w:t>
      </w:r>
      <w:r w:rsidR="00EC13FF" w:rsidRPr="00924038">
        <w:t>which</w:t>
      </w:r>
      <w:r w:rsidR="00E46566">
        <w:t>,</w:t>
      </w:r>
      <w:r w:rsidR="00EC13FF" w:rsidRPr="00924038">
        <w:t xml:space="preserve"> </w:t>
      </w:r>
      <w:r w:rsidR="00E939FA" w:rsidRPr="00924038">
        <w:t xml:space="preserve">in the view of that applicant party, </w:t>
      </w:r>
      <w:r w:rsidR="00EC13FF" w:rsidRPr="00924038">
        <w:t xml:space="preserve">would best advance the interests of group </w:t>
      </w:r>
      <w:r w:rsidR="005008A4" w:rsidRPr="00924038">
        <w:t>members</w:t>
      </w:r>
      <w:r w:rsidR="00EC13FF" w:rsidRPr="00924038">
        <w:t>.</w:t>
      </w:r>
    </w:p>
    <w:p w:rsidR="00D736CD" w:rsidRPr="00924038" w:rsidRDefault="00661C35" w:rsidP="00A75FE4">
      <w:pPr>
        <w:pStyle w:val="Heading2"/>
      </w:pPr>
      <w:bookmarkStart w:id="33" w:name="_Ref514405604"/>
      <w:r w:rsidRPr="00924038">
        <w:t>C.3</w:t>
      </w:r>
      <w:r w:rsidRPr="00924038">
        <w:tab/>
      </w:r>
      <w:proofErr w:type="gramStart"/>
      <w:r w:rsidRPr="00924038">
        <w:t>The</w:t>
      </w:r>
      <w:proofErr w:type="gramEnd"/>
      <w:r w:rsidRPr="00924038">
        <w:t xml:space="preserve"> Conduct of the Hearing</w:t>
      </w:r>
      <w:r w:rsidR="00F252DD" w:rsidRPr="00924038">
        <w:t xml:space="preserve"> and Summary of the Proposals</w:t>
      </w:r>
      <w:bookmarkEnd w:id="33"/>
      <w:r w:rsidRPr="00924038">
        <w:t xml:space="preserve"> </w:t>
      </w:r>
    </w:p>
    <w:p w:rsidR="0056260A" w:rsidRPr="00924038" w:rsidRDefault="00F252DD" w:rsidP="007A2903">
      <w:pPr>
        <w:pStyle w:val="ParaNumbering"/>
      </w:pPr>
      <w:r w:rsidRPr="00924038">
        <w:t>When all the proceedings came before the Cour</w:t>
      </w:r>
      <w:r w:rsidR="006A6183" w:rsidRPr="00924038">
        <w:t xml:space="preserve">t for the first time on </w:t>
      </w:r>
      <w:r w:rsidRPr="00924038">
        <w:t xml:space="preserve">13 April 2018, detailed evidence was adduced and submissions were made as to the approach the Court should take to resolve the issue of the competing class actions, the powers of the Court in this regard and the comparative merits of the </w:t>
      </w:r>
      <w:r w:rsidR="00E46566">
        <w:t xml:space="preserve">competing </w:t>
      </w:r>
      <w:r w:rsidRPr="00924038">
        <w:t xml:space="preserve">proposals.  Indeed, in an attempt to conclude argument, the Court sat </w:t>
      </w:r>
      <w:r w:rsidR="0049210B" w:rsidRPr="00924038">
        <w:t>late until</w:t>
      </w:r>
      <w:r w:rsidRPr="00924038">
        <w:t xml:space="preserve"> it became clear that further time was n</w:t>
      </w:r>
      <w:r w:rsidR="00351114" w:rsidRPr="00924038">
        <w:t>eeded to complete submissions</w:t>
      </w:r>
      <w:r w:rsidRPr="00924038">
        <w:t xml:space="preserve">.  </w:t>
      </w:r>
      <w:r w:rsidR="0049210B" w:rsidRPr="00924038">
        <w:t>Indeed, as it happened, f</w:t>
      </w:r>
      <w:r w:rsidR="00351114" w:rsidRPr="00924038">
        <w:t>urther argument then spanned t</w:t>
      </w:r>
      <w:r w:rsidR="0005554B">
        <w:t>hree</w:t>
      </w:r>
      <w:r w:rsidR="00351114" w:rsidRPr="00924038">
        <w:t xml:space="preserve"> further listings with additional submissions and materials being filed after each listing</w:t>
      </w:r>
      <w:r w:rsidR="00940356" w:rsidRPr="00924038">
        <w:t>.</w:t>
      </w:r>
    </w:p>
    <w:p w:rsidR="007A2903" w:rsidRPr="00924038" w:rsidRDefault="007A2903" w:rsidP="0056260A">
      <w:pPr>
        <w:pStyle w:val="ParaNumbering"/>
      </w:pPr>
      <w:r w:rsidRPr="00924038">
        <w:t>By the end of this process</w:t>
      </w:r>
      <w:r w:rsidR="00F91770" w:rsidRPr="00924038">
        <w:t>,</w:t>
      </w:r>
      <w:r w:rsidRPr="00924038">
        <w:t xml:space="preserve"> it was possible to summarise the principal contentions of each of the applicants and GetSwift.  I will return to the various submissions made by each of the applicant parties of a compa</w:t>
      </w:r>
      <w:r w:rsidR="000D3523" w:rsidRPr="00924038">
        <w:t>ra</w:t>
      </w:r>
      <w:r w:rsidRPr="00924038">
        <w:t>tive nature below, but the principal submissions can be broadly summarised as follows.</w:t>
      </w:r>
      <w:r w:rsidR="000D3523" w:rsidRPr="00924038">
        <w:t xml:space="preserve"> </w:t>
      </w:r>
    </w:p>
    <w:p w:rsidR="000D3523" w:rsidRPr="00924038" w:rsidRDefault="000D3523" w:rsidP="00F91770">
      <w:pPr>
        <w:pStyle w:val="Heading3"/>
      </w:pPr>
      <w:bookmarkStart w:id="34" w:name="_Ref514405605"/>
      <w:r w:rsidRPr="00924038">
        <w:lastRenderedPageBreak/>
        <w:t>C.3.1</w:t>
      </w:r>
      <w:r w:rsidRPr="00924038">
        <w:tab/>
      </w:r>
      <w:r w:rsidR="003C3E61">
        <w:t xml:space="preserve">Mr </w:t>
      </w:r>
      <w:r w:rsidRPr="00924038">
        <w:t>Perera</w:t>
      </w:r>
      <w:bookmarkEnd w:id="34"/>
    </w:p>
    <w:p w:rsidR="000D3523" w:rsidRPr="00924038" w:rsidRDefault="000D3523" w:rsidP="000D3523">
      <w:pPr>
        <w:pStyle w:val="ParaNumbering"/>
        <w:rPr>
          <w:szCs w:val="24"/>
        </w:rPr>
      </w:pPr>
      <w:r w:rsidRPr="00924038">
        <w:t>As to power</w:t>
      </w:r>
      <w:r w:rsidR="008546C8">
        <w:t xml:space="preserve"> and the applicable legal principles</w:t>
      </w:r>
      <w:r w:rsidRPr="00924038">
        <w:t xml:space="preserve">, it was submitted </w:t>
      </w:r>
      <w:r w:rsidR="00F91770" w:rsidRPr="00924038">
        <w:t xml:space="preserve">that neither </w:t>
      </w:r>
      <w:r w:rsidRPr="00924038">
        <w:t>Part IVA, nor any other part of the Act</w:t>
      </w:r>
      <w:r w:rsidR="00F91770" w:rsidRPr="00924038">
        <w:t>,</w:t>
      </w:r>
      <w:r w:rsidRPr="00924038">
        <w:t xml:space="preserve"> gives the Court the power to act as regulator with complete discretion and that the structure and words of the statute delimit </w:t>
      </w:r>
      <w:r w:rsidR="00F91770" w:rsidRPr="00924038">
        <w:t>‘</w:t>
      </w:r>
      <w:r w:rsidRPr="00924038">
        <w:t>regulatory activity</w:t>
      </w:r>
      <w:r w:rsidR="00F91770" w:rsidRPr="00924038">
        <w:t>’</w:t>
      </w:r>
      <w:r w:rsidR="002D52C7" w:rsidRPr="00924038">
        <w:t xml:space="preserve"> in</w:t>
      </w:r>
      <w:r w:rsidRPr="00924038">
        <w:t xml:space="preserve"> two ways: </w:t>
      </w:r>
      <w:r w:rsidRPr="00E46566">
        <w:rPr>
          <w:i/>
        </w:rPr>
        <w:t>first</w:t>
      </w:r>
      <w:r w:rsidRPr="00924038">
        <w:t xml:space="preserve">, the foundation of Part IVA is that </w:t>
      </w:r>
      <w:r w:rsidR="00F91770" w:rsidRPr="00924038">
        <w:t>representative</w:t>
      </w:r>
      <w:r w:rsidRPr="00924038">
        <w:t xml:space="preserve"> proceedings can be commenced on behalf of “</w:t>
      </w:r>
      <w:r w:rsidRPr="00924038">
        <w:rPr>
          <w:i/>
        </w:rPr>
        <w:t>some or all</w:t>
      </w:r>
      <w:r w:rsidRPr="00924038">
        <w:t xml:space="preserve">” persons with claims against the same person (s 33C(1)) without their consent, and group members have the statutory right to </w:t>
      </w:r>
      <w:r w:rsidR="00F91770" w:rsidRPr="00924038">
        <w:t>choose to</w:t>
      </w:r>
      <w:r w:rsidRPr="00924038">
        <w:t xml:space="preserve"> opt</w:t>
      </w:r>
      <w:r w:rsidR="007E6739">
        <w:t xml:space="preserve"> </w:t>
      </w:r>
      <w:r w:rsidRPr="00924038">
        <w:t>out (s 33J), necessarily carrying with it a consequential choice to vindicate their rights outside a group proceeding commenced on the</w:t>
      </w:r>
      <w:r w:rsidR="00F91770" w:rsidRPr="00924038">
        <w:t xml:space="preserve">ir behalf. </w:t>
      </w:r>
      <w:r w:rsidRPr="00924038">
        <w:t xml:space="preserve"> </w:t>
      </w:r>
      <w:r w:rsidR="00F91770" w:rsidRPr="00924038">
        <w:t>H</w:t>
      </w:r>
      <w:r w:rsidRPr="00924038">
        <w:t>ence</w:t>
      </w:r>
      <w:r w:rsidR="00F91770" w:rsidRPr="00924038">
        <w:t>,</w:t>
      </w:r>
      <w:r w:rsidRPr="00924038">
        <w:t xml:space="preserve"> Part IVA expressly contemplates that there may be more than one proceeding against the one respondent; and </w:t>
      </w:r>
      <w:r w:rsidRPr="00E46566">
        <w:rPr>
          <w:i/>
        </w:rPr>
        <w:t>secondly</w:t>
      </w:r>
      <w:r w:rsidR="007E6739">
        <w:t xml:space="preserve">, as a consequence of the opt </w:t>
      </w:r>
      <w:r w:rsidRPr="00924038">
        <w:t>out regime</w:t>
      </w:r>
      <w:r w:rsidR="00F91770" w:rsidRPr="00924038">
        <w:t>,</w:t>
      </w:r>
      <w:r w:rsidRPr="00924038">
        <w:t xml:space="preserve"> it is not </w:t>
      </w:r>
      <w:r w:rsidRPr="00924038">
        <w:rPr>
          <w:i/>
        </w:rPr>
        <w:t>prima facie</w:t>
      </w:r>
      <w:r w:rsidRPr="00924038">
        <w:t xml:space="preserve"> vexatious, oppressive or an abuse of process for a group member to commence a separate</w:t>
      </w:r>
      <w:r w:rsidR="00F91770" w:rsidRPr="00924038">
        <w:t>,</w:t>
      </w:r>
      <w:r w:rsidRPr="00924038">
        <w:t xml:space="preserve"> individual proceeding (or </w:t>
      </w:r>
      <w:r w:rsidR="008A150C" w:rsidRPr="00924038">
        <w:t xml:space="preserve">a </w:t>
      </w:r>
      <w:r w:rsidRPr="00924038">
        <w:t>separate class action), unless the group member has not opted</w:t>
      </w:r>
      <w:r w:rsidR="00F91770" w:rsidRPr="00924038">
        <w:t>-</w:t>
      </w:r>
      <w:r w:rsidRPr="00924038">
        <w:t xml:space="preserve">out </w:t>
      </w:r>
      <w:r w:rsidR="00F91770" w:rsidRPr="00924038">
        <w:t>of</w:t>
      </w:r>
      <w:r w:rsidRPr="00924038">
        <w:t xml:space="preserve"> an earlier-commenced class action: see </w:t>
      </w:r>
      <w:r w:rsidRPr="00924038">
        <w:rPr>
          <w:i/>
        </w:rPr>
        <w:t xml:space="preserve">Smith v Australian Executor </w:t>
      </w:r>
      <w:r w:rsidR="00F91770" w:rsidRPr="00924038">
        <w:rPr>
          <w:i/>
        </w:rPr>
        <w:t xml:space="preserve">Trustees </w:t>
      </w:r>
      <w:r w:rsidRPr="00924038">
        <w:rPr>
          <w:i/>
        </w:rPr>
        <w:t>Limited</w:t>
      </w:r>
      <w:r w:rsidRPr="00924038">
        <w:t xml:space="preserve"> [2016] NSWSC 17 at [22] (Ball J); </w:t>
      </w:r>
      <w:r w:rsidRPr="00924038">
        <w:rPr>
          <w:i/>
        </w:rPr>
        <w:t>Oliver v Commonwealth Bank of Australia (No 2)</w:t>
      </w:r>
      <w:r w:rsidRPr="00924038">
        <w:t xml:space="preserve"> </w:t>
      </w:r>
      <w:r w:rsidR="00F91770" w:rsidRPr="00924038">
        <w:t>[2012] FCA 755; (2012) 205 FCR 540 at</w:t>
      </w:r>
      <w:r w:rsidRPr="00924038">
        <w:t xml:space="preserve"> </w:t>
      </w:r>
      <w:r w:rsidR="00F91770" w:rsidRPr="00924038">
        <w:t xml:space="preserve">541-542 </w:t>
      </w:r>
      <w:r w:rsidRPr="00924038">
        <w:t xml:space="preserve">[3] and </w:t>
      </w:r>
      <w:r w:rsidR="00F91770" w:rsidRPr="00924038">
        <w:t xml:space="preserve">544 </w:t>
      </w:r>
      <w:r w:rsidRPr="00924038">
        <w:t>[15] (Perram J).</w:t>
      </w:r>
    </w:p>
    <w:p w:rsidR="00795094" w:rsidRPr="00924038" w:rsidRDefault="008A150C" w:rsidP="00B133C7">
      <w:pPr>
        <w:pStyle w:val="ParaNumbering"/>
        <w:rPr>
          <w:w w:val="105"/>
          <w:szCs w:val="24"/>
        </w:rPr>
      </w:pPr>
      <w:r w:rsidRPr="00924038">
        <w:t xml:space="preserve">It follows, it was submitted, that </w:t>
      </w:r>
      <w:r w:rsidR="00E51C5C" w:rsidRPr="00924038">
        <w:t>t</w:t>
      </w:r>
      <w:r w:rsidRPr="00924038">
        <w:t>he mere fact that a second class action is commenced does not provide a sound basis for permanently staying either the second, or the first, action.  Put another way, it was said to be a “</w:t>
      </w:r>
      <w:r w:rsidR="000D3523" w:rsidRPr="00924038">
        <w:rPr>
          <w:i/>
        </w:rPr>
        <w:t>logical fallacy</w:t>
      </w:r>
      <w:r w:rsidRPr="00924038">
        <w:t>”</w:t>
      </w:r>
      <w:r w:rsidR="000D3523" w:rsidRPr="00924038">
        <w:t xml:space="preserve"> that the mere existence of </w:t>
      </w:r>
      <w:r w:rsidRPr="00924038">
        <w:t>competing class actions</w:t>
      </w:r>
      <w:r w:rsidR="0052544A" w:rsidRPr="00924038">
        <w:t xml:space="preserve"> is a principled </w:t>
      </w:r>
      <w:r w:rsidR="000D3523" w:rsidRPr="00924038">
        <w:t>basis for permanently staying one of them.</w:t>
      </w:r>
      <w:r w:rsidR="00795094" w:rsidRPr="00924038">
        <w:t xml:space="preserve"> </w:t>
      </w:r>
      <w:r w:rsidR="00823D3F" w:rsidRPr="00924038">
        <w:t xml:space="preserve"> </w:t>
      </w:r>
      <w:r w:rsidR="00795094" w:rsidRPr="00924038">
        <w:t xml:space="preserve">Mr Perera recognised that these </w:t>
      </w:r>
      <w:r w:rsidR="00B133C7" w:rsidRPr="00924038">
        <w:t>submissions</w:t>
      </w:r>
      <w:r w:rsidR="00795094" w:rsidRPr="00924038">
        <w:t xml:space="preserve"> as to power were inconsistent with the obiter views expressed by Beach J in </w:t>
      </w:r>
      <w:r w:rsidR="00795094" w:rsidRPr="00924038">
        <w:rPr>
          <w:i/>
        </w:rPr>
        <w:t>McKay Super Solutions Pty Ltd</w:t>
      </w:r>
      <w:r w:rsidR="002222E9" w:rsidRPr="00924038">
        <w:rPr>
          <w:i/>
        </w:rPr>
        <w:t xml:space="preserve"> (Trustee)</w:t>
      </w:r>
      <w:r w:rsidR="00795094" w:rsidRPr="00924038">
        <w:rPr>
          <w:i/>
        </w:rPr>
        <w:t xml:space="preserve"> v Bellamy’s Australia Ltd</w:t>
      </w:r>
      <w:r w:rsidR="00795094" w:rsidRPr="00924038">
        <w:t xml:space="preserve"> [2017] FCA 947, where his Honour observed that were it not for the fact that a substantial number of </w:t>
      </w:r>
      <w:r w:rsidR="00AA5A5E" w:rsidRPr="00924038">
        <w:t>group members had committed</w:t>
      </w:r>
      <w:r w:rsidR="00795094" w:rsidRPr="00924038">
        <w:t xml:space="preserve"> themselves to litigation funding agreements and retainers in each</w:t>
      </w:r>
      <w:r w:rsidR="00E51C5C" w:rsidRPr="00924038">
        <w:t xml:space="preserve"> proceeding before the Court, his Honour</w:t>
      </w:r>
      <w:r w:rsidR="00795094" w:rsidRPr="00924038">
        <w:t xml:space="preserve"> would have permanently stayed one of them: [8], [96]</w:t>
      </w:r>
      <w:r w:rsidR="00823D3F" w:rsidRPr="00924038">
        <w:t>-</w:t>
      </w:r>
      <w:r w:rsidR="00795094" w:rsidRPr="00924038">
        <w:t xml:space="preserve">[97].  It was </w:t>
      </w:r>
      <w:r w:rsidR="002A5180" w:rsidRPr="00924038">
        <w:t xml:space="preserve">further submitted </w:t>
      </w:r>
      <w:r w:rsidR="00795094" w:rsidRPr="00924038">
        <w:t>“</w:t>
      </w:r>
      <w:r w:rsidR="00795094" w:rsidRPr="00924038">
        <w:rPr>
          <w:i/>
        </w:rPr>
        <w:t>it is exceedingly doubtful whether, absent specific legislative warrant, this Court has the power on such grounds to permanently stay a regularly commenced representative proceeding which is not an abuse of process</w:t>
      </w:r>
      <w:r w:rsidR="00B133C7" w:rsidRPr="00924038">
        <w:t>”</w:t>
      </w:r>
      <w:r w:rsidR="002A5180" w:rsidRPr="00924038">
        <w:t xml:space="preserve"> and that</w:t>
      </w:r>
      <w:r w:rsidR="00B133C7" w:rsidRPr="00924038">
        <w:t xml:space="preserve"> a permanent stay “</w:t>
      </w:r>
      <w:r w:rsidR="00795094" w:rsidRPr="00924038">
        <w:rPr>
          <w:i/>
        </w:rPr>
        <w:t>would be a novel step which would almost certainly be appealed, resulting in significant delay to the effective prosecution of group members’ claims</w:t>
      </w:r>
      <w:r w:rsidR="00B133C7" w:rsidRPr="00924038">
        <w:t>”</w:t>
      </w:r>
      <w:r w:rsidR="00795094" w:rsidRPr="00924038">
        <w:t>.</w:t>
      </w:r>
    </w:p>
    <w:p w:rsidR="008A150C" w:rsidRPr="00924038" w:rsidRDefault="008A150C" w:rsidP="00B133C7">
      <w:pPr>
        <w:pStyle w:val="ParaNumbering"/>
        <w:rPr>
          <w:szCs w:val="24"/>
        </w:rPr>
      </w:pPr>
      <w:r w:rsidRPr="00924038">
        <w:t xml:space="preserve">As to the appropriate orders to be made, Mr Perera submitted that the Perera Proceeding should proceed as an open class action, and </w:t>
      </w:r>
      <w:r w:rsidR="004F7C02" w:rsidRPr="00924038">
        <w:t xml:space="preserve">the Court should </w:t>
      </w:r>
      <w:r w:rsidRPr="00924038">
        <w:t xml:space="preserve">temporarily stay, or adjourn, the </w:t>
      </w:r>
      <w:r w:rsidRPr="00924038">
        <w:lastRenderedPageBreak/>
        <w:t>other proceedings until shortly after the date for opt</w:t>
      </w:r>
      <w:r w:rsidR="007E6739">
        <w:t xml:space="preserve"> </w:t>
      </w:r>
      <w:r w:rsidRPr="00924038">
        <w:t>out has passed in the Perera Proceeding and, subject to consideration of the number of persons who opt</w:t>
      </w:r>
      <w:r w:rsidR="007E6739">
        <w:t xml:space="preserve"> </w:t>
      </w:r>
      <w:r w:rsidRPr="00924038">
        <w:t xml:space="preserve">out, </w:t>
      </w:r>
      <w:r w:rsidR="00B133C7" w:rsidRPr="00924038">
        <w:t xml:space="preserve">the remedy was then to </w:t>
      </w:r>
      <w:r w:rsidRPr="00924038">
        <w:t>either close or declass the</w:t>
      </w:r>
      <w:r w:rsidR="00B133C7" w:rsidRPr="00924038">
        <w:t xml:space="preserve"> other proceedings</w:t>
      </w:r>
      <w:r w:rsidRPr="00924038">
        <w:t xml:space="preserve">.  At least when the McTaggart Proceeding was its only </w:t>
      </w:r>
      <w:r w:rsidR="00A27501" w:rsidRPr="00924038">
        <w:t>competitor</w:t>
      </w:r>
      <w:r w:rsidRPr="00924038">
        <w:t xml:space="preserve">, the contention was that the discrimen for </w:t>
      </w:r>
      <w:r w:rsidR="00A27501" w:rsidRPr="00924038">
        <w:t>deciding whether to close</w:t>
      </w:r>
      <w:r w:rsidRPr="00924038">
        <w:t xml:space="preserve"> </w:t>
      </w:r>
      <w:r w:rsidR="00A27501" w:rsidRPr="00924038">
        <w:t>or declass (under s 33N</w:t>
      </w:r>
      <w:r w:rsidR="000C7B55" w:rsidRPr="00924038">
        <w:t xml:space="preserve"> of the Act</w:t>
      </w:r>
      <w:r w:rsidR="00A27501" w:rsidRPr="00924038">
        <w:t>)</w:t>
      </w:r>
      <w:r w:rsidRPr="00924038">
        <w:t xml:space="preserve"> was whether the McTaggart Proceeding had </w:t>
      </w:r>
      <w:r w:rsidR="00A27501" w:rsidRPr="00924038">
        <w:t>“</w:t>
      </w:r>
      <w:r w:rsidRPr="00924038">
        <w:rPr>
          <w:i/>
        </w:rPr>
        <w:t>insufficient registered group members to justify it continuing as a representative proceeding</w:t>
      </w:r>
      <w:r w:rsidR="00A27501" w:rsidRPr="00924038">
        <w:t>”.</w:t>
      </w:r>
      <w:r w:rsidR="008050A4" w:rsidRPr="00924038">
        <w:t xml:space="preserve">  This submission</w:t>
      </w:r>
      <w:r w:rsidR="00F84B13" w:rsidRPr="00924038">
        <w:t>, and the further submission that the Webb Proceeding should, in any event, be declassed,</w:t>
      </w:r>
      <w:r w:rsidR="008050A4" w:rsidRPr="00924038">
        <w:t xml:space="preserve"> </w:t>
      </w:r>
      <w:r w:rsidR="00F84B13" w:rsidRPr="00924038">
        <w:t xml:space="preserve">necessarily </w:t>
      </w:r>
      <w:r w:rsidR="008050A4" w:rsidRPr="00924038">
        <w:t xml:space="preserve">presupposes </w:t>
      </w:r>
      <w:r w:rsidR="000C7B55" w:rsidRPr="00924038">
        <w:t xml:space="preserve">that </w:t>
      </w:r>
      <w:r w:rsidR="008050A4" w:rsidRPr="00924038">
        <w:t>th</w:t>
      </w:r>
      <w:r w:rsidR="00F84B13" w:rsidRPr="00924038">
        <w:t xml:space="preserve">e Court has such a power </w:t>
      </w:r>
      <w:r w:rsidR="008050A4" w:rsidRPr="00924038">
        <w:t>in the present circumstances.  This contention is controversial and it will be necessary to return to it below.</w:t>
      </w:r>
    </w:p>
    <w:p w:rsidR="00C7756B" w:rsidRPr="00924038" w:rsidRDefault="00C7756B" w:rsidP="0056260A">
      <w:pPr>
        <w:pStyle w:val="ParaNumbering"/>
      </w:pPr>
      <w:r w:rsidRPr="00924038">
        <w:t>As to the proposal of Mr Perera as to the conduct of the Perera Proceeding</w:t>
      </w:r>
      <w:r w:rsidR="004F7C02" w:rsidRPr="00924038">
        <w:t>,</w:t>
      </w:r>
      <w:r w:rsidRPr="00924038">
        <w:t xml:space="preserve"> it had the following components: </w:t>
      </w:r>
    </w:p>
    <w:p w:rsidR="007401F1" w:rsidRDefault="008050A4" w:rsidP="00744C10">
      <w:pPr>
        <w:pStyle w:val="Order2"/>
        <w:numPr>
          <w:ilvl w:val="1"/>
          <w:numId w:val="25"/>
        </w:numPr>
        <w:rPr>
          <w:lang w:val="en" w:eastAsia="en-AU"/>
        </w:rPr>
      </w:pPr>
      <w:r w:rsidRPr="00D4252B">
        <w:rPr>
          <w:lang w:val="en" w:eastAsia="en-AU"/>
        </w:rPr>
        <w:t xml:space="preserve">Mr Perera </w:t>
      </w:r>
      <w:r w:rsidR="0052544A" w:rsidRPr="00D4252B">
        <w:rPr>
          <w:lang w:val="en" w:eastAsia="en-AU"/>
        </w:rPr>
        <w:t xml:space="preserve">is the </w:t>
      </w:r>
      <w:r w:rsidR="00E46566" w:rsidRPr="00D4252B">
        <w:rPr>
          <w:lang w:val="en" w:eastAsia="en-AU"/>
        </w:rPr>
        <w:t>representative party</w:t>
      </w:r>
      <w:r w:rsidR="000C7B55" w:rsidRPr="00D4252B">
        <w:rPr>
          <w:lang w:val="en" w:eastAsia="en-AU"/>
        </w:rPr>
        <w:t>,</w:t>
      </w:r>
      <w:r w:rsidR="0052544A" w:rsidRPr="00D4252B">
        <w:rPr>
          <w:lang w:val="en" w:eastAsia="en-AU"/>
        </w:rPr>
        <w:t xml:space="preserve"> having </w:t>
      </w:r>
      <w:r w:rsidRPr="00D4252B">
        <w:rPr>
          <w:lang w:val="en" w:eastAsia="en-AU"/>
        </w:rPr>
        <w:t>acquired seven parcels of shares</w:t>
      </w:r>
      <w:r w:rsidR="0052544A" w:rsidRPr="00D4252B">
        <w:rPr>
          <w:lang w:val="en" w:eastAsia="en-AU"/>
        </w:rPr>
        <w:t xml:space="preserve"> in November and December 2017 (</w:t>
      </w:r>
      <w:r w:rsidRPr="00D4252B">
        <w:rPr>
          <w:lang w:val="en" w:eastAsia="en-AU"/>
        </w:rPr>
        <w:t>each of which were sold at a profit</w:t>
      </w:r>
      <w:r w:rsidR="000C7B55" w:rsidRPr="00D4252B">
        <w:rPr>
          <w:lang w:val="en" w:eastAsia="en-AU"/>
        </w:rPr>
        <w:t>)</w:t>
      </w:r>
      <w:r w:rsidRPr="00D4252B">
        <w:rPr>
          <w:lang w:val="en" w:eastAsia="en-AU"/>
        </w:rPr>
        <w:t xml:space="preserve"> and </w:t>
      </w:r>
      <w:r w:rsidR="0052544A" w:rsidRPr="00D4252B">
        <w:rPr>
          <w:lang w:val="en" w:eastAsia="en-AU"/>
        </w:rPr>
        <w:t xml:space="preserve">he </w:t>
      </w:r>
      <w:r w:rsidRPr="00D4252B">
        <w:rPr>
          <w:lang w:val="en" w:eastAsia="en-AU"/>
        </w:rPr>
        <w:t>bought his first loss-making shares on 5 January 2018;</w:t>
      </w:r>
    </w:p>
    <w:p w:rsidR="00D4252B" w:rsidRPr="00D4252B" w:rsidRDefault="00D4252B" w:rsidP="00744C10">
      <w:pPr>
        <w:pStyle w:val="Order2"/>
        <w:numPr>
          <w:ilvl w:val="1"/>
          <w:numId w:val="25"/>
        </w:numPr>
        <w:rPr>
          <w:lang w:val="en" w:eastAsia="en-AU"/>
        </w:rPr>
      </w:pPr>
      <w:r w:rsidRPr="00924038">
        <w:t xml:space="preserve">Mr Perera represents group members </w:t>
      </w:r>
      <w:r>
        <w:t>(</w:t>
      </w:r>
      <w:r w:rsidRPr="00924038">
        <w:t>including Perera Funded GMs who comprise 103 members of the class and who acquired 2,575,804 shares in the relevant period</w:t>
      </w:r>
      <w:r>
        <w:t>)</w:t>
      </w:r>
      <w:r w:rsidRPr="00924038">
        <w:t>;</w:t>
      </w:r>
    </w:p>
    <w:p w:rsidR="00D4252B" w:rsidRPr="00D4252B" w:rsidRDefault="00D4252B" w:rsidP="00744C10">
      <w:pPr>
        <w:pStyle w:val="Order2"/>
        <w:numPr>
          <w:ilvl w:val="1"/>
          <w:numId w:val="25"/>
        </w:numPr>
        <w:rPr>
          <w:lang w:val="en" w:eastAsia="en-AU"/>
        </w:rPr>
      </w:pPr>
      <w:r w:rsidRPr="00924038">
        <w:t>the Perera Proceeding is funded by ILP18; this is a special purpose entity and corporations related to ILP18 have monies on trust with SPB;</w:t>
      </w:r>
    </w:p>
    <w:p w:rsidR="00D4252B" w:rsidRPr="00D4252B" w:rsidRDefault="00D4252B" w:rsidP="00744C10">
      <w:pPr>
        <w:pStyle w:val="Order2"/>
        <w:numPr>
          <w:ilvl w:val="1"/>
          <w:numId w:val="25"/>
        </w:numPr>
        <w:rPr>
          <w:lang w:val="en" w:eastAsia="en-AU"/>
        </w:rPr>
      </w:pPr>
      <w:r w:rsidRPr="00924038">
        <w:t>both funding agreements and retainer agreements (between the Perera Funded GMs and SPB) have been entered into with each of the Perera Funded GMs;</w:t>
      </w:r>
    </w:p>
    <w:p w:rsidR="00D4252B" w:rsidRPr="00D4252B" w:rsidRDefault="00D4252B" w:rsidP="00744C10">
      <w:pPr>
        <w:pStyle w:val="Order2"/>
        <w:numPr>
          <w:ilvl w:val="1"/>
          <w:numId w:val="25"/>
        </w:numPr>
        <w:rPr>
          <w:lang w:val="en" w:eastAsia="en-AU"/>
        </w:rPr>
      </w:pPr>
      <w:r w:rsidRPr="00924038">
        <w:t>the ILP18 funding agreement provides for a commission ranging between 25% and 40% (discriminating between group members on the basis of the amount of shares held) but it is proposed that a common fund order be made which involves payment of the lesser of 25% of net proceeds or 22.5% of gross proceeds (which sum will be capped to ensure that it is an amount not greater than 25% of net proceeds);</w:t>
      </w:r>
    </w:p>
    <w:p w:rsidR="00D4252B" w:rsidRPr="00D4252B" w:rsidRDefault="00D4252B" w:rsidP="00744C10">
      <w:pPr>
        <w:pStyle w:val="Order2"/>
        <w:numPr>
          <w:ilvl w:val="1"/>
          <w:numId w:val="25"/>
        </w:numPr>
        <w:rPr>
          <w:lang w:val="en" w:eastAsia="en-AU"/>
        </w:rPr>
      </w:pPr>
      <w:r w:rsidRPr="00924038">
        <w:t>as to a proposal relating to security for costs, Mr Perera indicated that ILP18 was prepared to abide by any order as to security, be it by way of cash deposit, bond or insurance cover;</w:t>
      </w:r>
    </w:p>
    <w:p w:rsidR="00D4252B" w:rsidRPr="00D4252B" w:rsidRDefault="00D4252B" w:rsidP="00744C10">
      <w:pPr>
        <w:pStyle w:val="Order2"/>
        <w:numPr>
          <w:ilvl w:val="1"/>
          <w:numId w:val="25"/>
        </w:numPr>
        <w:rPr>
          <w:lang w:val="en" w:eastAsia="en-AU"/>
        </w:rPr>
      </w:pPr>
      <w:proofErr w:type="gramStart"/>
      <w:r w:rsidRPr="00924038">
        <w:lastRenderedPageBreak/>
        <w:t>no</w:t>
      </w:r>
      <w:proofErr w:type="gramEnd"/>
      <w:r w:rsidRPr="00924038">
        <w:t xml:space="preserve"> suggestion was made that any substantive question could be referred to a referee or be the subject of evidence from a Court appointed expert.</w:t>
      </w:r>
    </w:p>
    <w:p w:rsidR="0056260A" w:rsidRPr="00924038" w:rsidRDefault="00BD6B2E" w:rsidP="000C7B55">
      <w:pPr>
        <w:pStyle w:val="Heading3"/>
      </w:pPr>
      <w:bookmarkStart w:id="35" w:name="_Ref514405606"/>
      <w:r w:rsidRPr="00924038">
        <w:t>C.3.2</w:t>
      </w:r>
      <w:r w:rsidRPr="00924038">
        <w:tab/>
        <w:t>McTaggart Applicant</w:t>
      </w:r>
      <w:r w:rsidR="00396D5A" w:rsidRPr="00924038">
        <w:t>s</w:t>
      </w:r>
      <w:bookmarkEnd w:id="35"/>
    </w:p>
    <w:p w:rsidR="001B40B8" w:rsidRPr="00924038" w:rsidRDefault="00BD6B2E" w:rsidP="00084E53">
      <w:pPr>
        <w:pStyle w:val="ParaNumbering"/>
      </w:pPr>
      <w:r w:rsidRPr="00924038">
        <w:t xml:space="preserve">As to power, the submission made by </w:t>
      </w:r>
      <w:r w:rsidR="004E3314" w:rsidRPr="00924038">
        <w:t xml:space="preserve">the </w:t>
      </w:r>
      <w:r w:rsidRPr="00924038">
        <w:t xml:space="preserve">McTaggart </w:t>
      </w:r>
      <w:r w:rsidR="004E3314" w:rsidRPr="00924038">
        <w:t xml:space="preserve">applicants </w:t>
      </w:r>
      <w:r w:rsidRPr="00924038">
        <w:t xml:space="preserve">is that s 33ZF of the Act includes the power to close a class </w:t>
      </w:r>
      <w:r w:rsidR="001B40B8" w:rsidRPr="00924038">
        <w:t>“</w:t>
      </w:r>
      <w:r w:rsidR="001B40B8" w:rsidRPr="00924038">
        <w:rPr>
          <w:i/>
        </w:rPr>
        <w:t>although it is doubtful whether it permits a permanent stay of a representative proceeding</w:t>
      </w:r>
      <w:r w:rsidR="001B40B8" w:rsidRPr="00924038">
        <w:t xml:space="preserve">”.  </w:t>
      </w:r>
      <w:r w:rsidR="004E3314" w:rsidRPr="00924038">
        <w:t xml:space="preserve">The </w:t>
      </w:r>
      <w:r w:rsidR="001B40B8" w:rsidRPr="00924038">
        <w:t xml:space="preserve">McTaggart </w:t>
      </w:r>
      <w:r w:rsidR="004E3314" w:rsidRPr="00924038">
        <w:t xml:space="preserve">applicants </w:t>
      </w:r>
      <w:r w:rsidR="001B40B8" w:rsidRPr="00924038">
        <w:t xml:space="preserve">point out that the concept of an abuse of process is not at large </w:t>
      </w:r>
      <w:r w:rsidR="0052544A" w:rsidRPr="00924038">
        <w:t>n</w:t>
      </w:r>
      <w:r w:rsidR="001B40B8" w:rsidRPr="00924038">
        <w:t>or w</w:t>
      </w:r>
      <w:r w:rsidR="0052544A" w:rsidRPr="00924038">
        <w:t xml:space="preserve">ithout meaning and it </w:t>
      </w:r>
      <w:r w:rsidR="001B40B8" w:rsidRPr="00924038">
        <w:t xml:space="preserve">usually </w:t>
      </w:r>
      <w:r w:rsidR="0052544A" w:rsidRPr="00924038">
        <w:t xml:space="preserve">is demonstrated when proceedings </w:t>
      </w:r>
      <w:r w:rsidR="001B40B8" w:rsidRPr="00924038">
        <w:t>are ins</w:t>
      </w:r>
      <w:r w:rsidR="0052544A" w:rsidRPr="00924038">
        <w:t>tituted for an improper purpose</w:t>
      </w:r>
      <w:r w:rsidR="001B40B8" w:rsidRPr="00924038">
        <w:t xml:space="preserve">.  It is said to be clear from the authorities that the bar </w:t>
      </w:r>
      <w:r w:rsidR="00807CD4">
        <w:t>for the order of</w:t>
      </w:r>
      <w:r w:rsidR="001B40B8" w:rsidRPr="00924038">
        <w:t xml:space="preserve"> a permanent stay is relatively high, and courts are reluctant to grant them, noting that a party bringing proceedings is entitled to expect them to proceed in the ordinary way in the absence of so</w:t>
      </w:r>
      <w:r w:rsidR="00EB0329">
        <w:t>me countervailing consideration.</w:t>
      </w:r>
    </w:p>
    <w:p w:rsidR="00661C35" w:rsidRPr="00924038" w:rsidRDefault="00786885" w:rsidP="00084E53">
      <w:pPr>
        <w:pStyle w:val="ParaNumbering"/>
      </w:pPr>
      <w:r>
        <w:t>T</w:t>
      </w:r>
      <w:r w:rsidR="001B40B8" w:rsidRPr="00924038">
        <w:t>he ultimate submission is that the McTaggart Proceedi</w:t>
      </w:r>
      <w:r w:rsidR="0052544A" w:rsidRPr="00924038">
        <w:t xml:space="preserve">ng should remain an open class </w:t>
      </w:r>
      <w:r w:rsidR="00EE6EBB" w:rsidRPr="00924038">
        <w:t xml:space="preserve">proceeding </w:t>
      </w:r>
      <w:r w:rsidR="0052544A" w:rsidRPr="00924038">
        <w:t xml:space="preserve">and </w:t>
      </w:r>
      <w:r w:rsidR="001B40B8" w:rsidRPr="00924038">
        <w:t>the Perera Proceeding should be closed under s</w:t>
      </w:r>
      <w:r w:rsidR="00823D3F" w:rsidRPr="00924038">
        <w:t xml:space="preserve"> </w:t>
      </w:r>
      <w:proofErr w:type="gramStart"/>
      <w:r w:rsidR="001B40B8" w:rsidRPr="00924038">
        <w:t>33ZF(</w:t>
      </w:r>
      <w:proofErr w:type="gramEnd"/>
      <w:r w:rsidR="001B40B8" w:rsidRPr="00924038">
        <w:t>1) of the Act.  In relation to the Webb Proceeding, it is submitted that Mr Webb should be notified that the McTaggart Proceeding will be an open class, and the Perera Proceeding will be a closed class.  Following this not</w:t>
      </w:r>
      <w:r w:rsidR="0052544A" w:rsidRPr="00924038">
        <w:t xml:space="preserve">ification, </w:t>
      </w:r>
      <w:r w:rsidR="001B40B8" w:rsidRPr="00924038">
        <w:t xml:space="preserve">if Mr Webb </w:t>
      </w:r>
      <w:r w:rsidR="00B00B5E" w:rsidRPr="00924038">
        <w:t>and Therium wish to continue with the Webb Proceeding, this claim should proceed as a single claim heard together with the other proceedings.  Although not stated directly</w:t>
      </w:r>
      <w:r w:rsidR="0052544A" w:rsidRPr="00924038">
        <w:t>,</w:t>
      </w:r>
      <w:r w:rsidR="00B00B5E" w:rsidRPr="00924038">
        <w:t xml:space="preserve"> this also presupposes that the Court should proceed to declass the Webb Proceeding.  </w:t>
      </w:r>
    </w:p>
    <w:p w:rsidR="00B00B5E" w:rsidRPr="00924038" w:rsidRDefault="00EE6EBB" w:rsidP="0086136C">
      <w:pPr>
        <w:pStyle w:val="ParaNumbering"/>
      </w:pPr>
      <w:r w:rsidRPr="00924038">
        <w:t>T</w:t>
      </w:r>
      <w:r w:rsidR="00B00B5E" w:rsidRPr="00924038">
        <w:t xml:space="preserve">he proposal of </w:t>
      </w:r>
      <w:r w:rsidR="004E3314" w:rsidRPr="00924038">
        <w:t xml:space="preserve">the </w:t>
      </w:r>
      <w:r w:rsidR="00B00B5E" w:rsidRPr="00924038">
        <w:t xml:space="preserve">McTaggart </w:t>
      </w:r>
      <w:r w:rsidR="004E3314" w:rsidRPr="00924038">
        <w:t xml:space="preserve">applicants </w:t>
      </w:r>
      <w:r w:rsidR="00B00B5E" w:rsidRPr="00924038">
        <w:t>as to the conduct of the</w:t>
      </w:r>
      <w:r w:rsidR="004E3314" w:rsidRPr="00924038">
        <w:t>ir p</w:t>
      </w:r>
      <w:r w:rsidR="00B00B5E" w:rsidRPr="00924038">
        <w:t>roceeding had the following components:</w:t>
      </w:r>
    </w:p>
    <w:p w:rsidR="0086136C" w:rsidRDefault="00217A39" w:rsidP="00744C10">
      <w:pPr>
        <w:pStyle w:val="Order2"/>
        <w:numPr>
          <w:ilvl w:val="1"/>
          <w:numId w:val="26"/>
        </w:numPr>
      </w:pPr>
      <w:r w:rsidRPr="00924038">
        <w:t xml:space="preserve">the McTaggart applicants </w:t>
      </w:r>
      <w:r w:rsidR="0052544A" w:rsidRPr="00924038">
        <w:t xml:space="preserve">are the </w:t>
      </w:r>
      <w:r w:rsidR="00327AE3" w:rsidRPr="00924038">
        <w:t>representative part</w:t>
      </w:r>
      <w:r w:rsidR="0005554B">
        <w:t>ies</w:t>
      </w:r>
      <w:r w:rsidR="00F84B13" w:rsidRPr="00924038">
        <w:t>,</w:t>
      </w:r>
      <w:r w:rsidR="0052544A" w:rsidRPr="00924038">
        <w:t xml:space="preserve"> having </w:t>
      </w:r>
      <w:r w:rsidR="00F84B13" w:rsidRPr="00924038">
        <w:t>b</w:t>
      </w:r>
      <w:r w:rsidRPr="00924038">
        <w:t>ou</w:t>
      </w:r>
      <w:r w:rsidR="0052544A" w:rsidRPr="00924038">
        <w:t xml:space="preserve">ght 151,208 shares </w:t>
      </w:r>
      <w:r w:rsidRPr="00924038">
        <w:t>sta</w:t>
      </w:r>
      <w:r w:rsidR="0052544A" w:rsidRPr="00924038">
        <w:t>rting in September 2017 and</w:t>
      </w:r>
      <w:r w:rsidR="00F84B13" w:rsidRPr="00924038">
        <w:t xml:space="preserve">, after selling some at a profit, sold </w:t>
      </w:r>
      <w:r w:rsidRPr="00924038">
        <w:t xml:space="preserve">all the </w:t>
      </w:r>
      <w:r w:rsidR="00F84B13" w:rsidRPr="00924038">
        <w:t xml:space="preserve">remaining </w:t>
      </w:r>
      <w:r w:rsidRPr="00924038">
        <w:t>shares they then held on 19 February 2018, the day trading resumed, which is alleged to have crystallised a loss of $182,223;</w:t>
      </w:r>
    </w:p>
    <w:p w:rsidR="00B07A59" w:rsidRDefault="00B07A59" w:rsidP="00744C10">
      <w:pPr>
        <w:pStyle w:val="Order2"/>
        <w:numPr>
          <w:ilvl w:val="1"/>
          <w:numId w:val="26"/>
        </w:numPr>
      </w:pPr>
      <w:r w:rsidRPr="00924038">
        <w:t>the McTaggart applicants represent group members (including the McTaggart Funded GMs, who comprise 208 members of the class who acquired 1,545,374 shares in the relevant period);</w:t>
      </w:r>
    </w:p>
    <w:p w:rsidR="00B07A59" w:rsidRDefault="00B07A59" w:rsidP="00744C10">
      <w:pPr>
        <w:pStyle w:val="Order2"/>
        <w:numPr>
          <w:ilvl w:val="1"/>
          <w:numId w:val="26"/>
        </w:numPr>
      </w:pPr>
      <w:r w:rsidRPr="00924038">
        <w:t>the McTaggart Proceeding is funded by Vannin which is wholly owned by a substantial corporation known as Vannin Capital PCC, which meets Vannin’s request for funds to finance its litigation funding operations;</w:t>
      </w:r>
    </w:p>
    <w:p w:rsidR="00B07A59" w:rsidRDefault="00B07A59" w:rsidP="00744C10">
      <w:pPr>
        <w:pStyle w:val="Order2"/>
        <w:numPr>
          <w:ilvl w:val="1"/>
          <w:numId w:val="26"/>
        </w:numPr>
      </w:pPr>
      <w:r w:rsidRPr="00924038">
        <w:lastRenderedPageBreak/>
        <w:t>although funding agreements have been entered into between Vannin and each of the McTaggart Funded GMs, no retainer agreements have been entered into between the McTaggart Funded GMs and CCW;</w:t>
      </w:r>
    </w:p>
    <w:p w:rsidR="00B07A59" w:rsidRDefault="00B07A59" w:rsidP="00744C10">
      <w:pPr>
        <w:pStyle w:val="Order2"/>
        <w:numPr>
          <w:ilvl w:val="1"/>
          <w:numId w:val="26"/>
        </w:numPr>
      </w:pPr>
      <w:r w:rsidRPr="00924038">
        <w:t>the funding agreement entered into provides that the funding commission would be 10% if proceeds are received before the end of this year, 20% if received before 26 September 2019 and 30% if received thereafter; the McTaggart applicants did not indicate that they were prepared to make an application for a common fund at the time they initially filed materials in support of their proposal, preferring to abide further developments; notwithstanding this, during the course of oral submissions, it was indicated that the McTaggart applicants would be content with a common fund order which provided for essentially the same terms as in the funding agreement: being 10% of gross proceeds before 31 December 2018, 20% of gross proceeds until a date 42 days prior to the initial trial, and 30% of gross proceeds thereafter;</w:t>
      </w:r>
    </w:p>
    <w:p w:rsidR="00B07A59" w:rsidRDefault="00B07A59" w:rsidP="00744C10">
      <w:pPr>
        <w:pStyle w:val="Order2"/>
        <w:numPr>
          <w:ilvl w:val="1"/>
          <w:numId w:val="26"/>
        </w:numPr>
      </w:pPr>
      <w:r w:rsidRPr="00924038">
        <w:t>as to security, the McTaggart applicants indicated that a sum of $250,000 is presently held in the trust account of CCW and noted that the funding agreement requires Vannin to obtain ATE (After The Event) insurance of an amount well and truly in excess of an amount likely to be awarded for security; alternatively, during the course of oral submissions, it was indicated that the McTaggart applicants were prepared to provide security by way of cash deposit;</w:t>
      </w:r>
    </w:p>
    <w:p w:rsidR="00B07A59" w:rsidRPr="00924038" w:rsidRDefault="00B07A59" w:rsidP="00744C10">
      <w:pPr>
        <w:pStyle w:val="Order2"/>
        <w:numPr>
          <w:ilvl w:val="1"/>
          <w:numId w:val="26"/>
        </w:numPr>
      </w:pPr>
      <w:proofErr w:type="gramStart"/>
      <w:r w:rsidRPr="00924038">
        <w:t>no</w:t>
      </w:r>
      <w:proofErr w:type="gramEnd"/>
      <w:r w:rsidRPr="00924038">
        <w:t xml:space="preserve"> suggestion was made that any substantive question could be referred to a referee or be the subject of </w:t>
      </w:r>
      <w:r w:rsidRPr="00643191">
        <w:t>evidence from a Court appointed expert.</w:t>
      </w:r>
    </w:p>
    <w:p w:rsidR="00661C35" w:rsidRPr="00924038" w:rsidRDefault="005D59A0" w:rsidP="00EE6EBB">
      <w:pPr>
        <w:pStyle w:val="Heading3"/>
      </w:pPr>
      <w:bookmarkStart w:id="36" w:name="_Ref514405607"/>
      <w:r w:rsidRPr="00643191">
        <w:t>C.3.3</w:t>
      </w:r>
      <w:r w:rsidRPr="00643191">
        <w:tab/>
      </w:r>
      <w:r w:rsidR="00643191" w:rsidRPr="00643191">
        <w:t xml:space="preserve">Mr </w:t>
      </w:r>
      <w:r w:rsidRPr="00643191">
        <w:t>Webb</w:t>
      </w:r>
      <w:bookmarkEnd w:id="36"/>
    </w:p>
    <w:p w:rsidR="00225F8B" w:rsidRPr="00924038" w:rsidRDefault="00A63DCD" w:rsidP="006F24AC">
      <w:pPr>
        <w:pStyle w:val="ParaNumbering"/>
      </w:pPr>
      <w:r w:rsidRPr="00924038">
        <w:t>As to power</w:t>
      </w:r>
      <w:r w:rsidR="003C418A" w:rsidRPr="00924038">
        <w:t>,</w:t>
      </w:r>
      <w:r w:rsidRPr="00924038">
        <w:t xml:space="preserve"> </w:t>
      </w:r>
      <w:r w:rsidR="00327AE3" w:rsidRPr="00924038">
        <w:t xml:space="preserve">Mr </w:t>
      </w:r>
      <w:r w:rsidRPr="00924038">
        <w:t xml:space="preserve">Webb </w:t>
      </w:r>
      <w:r w:rsidR="002A5180" w:rsidRPr="00924038">
        <w:t xml:space="preserve">did not </w:t>
      </w:r>
      <w:r w:rsidR="00225F8B" w:rsidRPr="00924038">
        <w:t xml:space="preserve">contend </w:t>
      </w:r>
      <w:r w:rsidR="00EE6EBB" w:rsidRPr="00924038">
        <w:t>that</w:t>
      </w:r>
      <w:r w:rsidR="00225F8B" w:rsidRPr="00924038">
        <w:t xml:space="preserve"> the Court lacked power to either permanently stay or declass proceedings</w:t>
      </w:r>
      <w:r w:rsidR="00786885">
        <w:t xml:space="preserve"> in the present circumstances</w:t>
      </w:r>
      <w:r w:rsidR="00225F8B" w:rsidRPr="00924038">
        <w:t xml:space="preserve">.  What was clear was that </w:t>
      </w:r>
      <w:r w:rsidR="00C96F59" w:rsidRPr="00924038">
        <w:t xml:space="preserve">Mr </w:t>
      </w:r>
      <w:r w:rsidR="00225F8B" w:rsidRPr="00924038">
        <w:t>Webb agreed with both other appl</w:t>
      </w:r>
      <w:r w:rsidR="003C418A" w:rsidRPr="00924038">
        <w:t>icants that only one proceeding</w:t>
      </w:r>
      <w:r w:rsidR="00225F8B" w:rsidRPr="00924038">
        <w:t xml:space="preserve"> should pro</w:t>
      </w:r>
      <w:r w:rsidR="003C418A" w:rsidRPr="00924038">
        <w:t>ceed as an open class</w:t>
      </w:r>
      <w:r w:rsidR="00225F8B" w:rsidRPr="00924038">
        <w:t>.</w:t>
      </w:r>
      <w:r w:rsidR="006F24AC" w:rsidRPr="00924038">
        <w:t xml:space="preserve">  </w:t>
      </w:r>
      <w:r w:rsidR="00225F8B" w:rsidRPr="00924038">
        <w:t xml:space="preserve">As </w:t>
      </w:r>
      <w:r w:rsidR="00C01326">
        <w:t xml:space="preserve">to </w:t>
      </w:r>
      <w:r w:rsidR="00225F8B" w:rsidRPr="00924038">
        <w:t xml:space="preserve">the appropriate orders to be made, Mr Webb </w:t>
      </w:r>
      <w:r w:rsidR="00C35A27">
        <w:t>contended</w:t>
      </w:r>
      <w:r w:rsidR="00225F8B" w:rsidRPr="00924038">
        <w:t xml:space="preserve"> that orders should be made allowing the Webb Proceeding to proceed on behalf of an open class and </w:t>
      </w:r>
      <w:r w:rsidR="00C35A27">
        <w:t xml:space="preserve">variously submitted </w:t>
      </w:r>
      <w:r w:rsidR="00225F8B" w:rsidRPr="00924038">
        <w:t xml:space="preserve">directions should be made to </w:t>
      </w:r>
      <w:proofErr w:type="gramStart"/>
      <w:r w:rsidR="00225F8B" w:rsidRPr="00924038">
        <w:t>either stay</w:t>
      </w:r>
      <w:proofErr w:type="gramEnd"/>
      <w:r w:rsidR="00C07487" w:rsidRPr="00924038">
        <w:t>,</w:t>
      </w:r>
      <w:r w:rsidR="00225F8B" w:rsidRPr="00924038">
        <w:t xml:space="preserve"> declass </w:t>
      </w:r>
      <w:r w:rsidR="00C07487" w:rsidRPr="00924038">
        <w:t xml:space="preserve">or adjourn </w:t>
      </w:r>
      <w:r w:rsidR="00225F8B" w:rsidRPr="00924038">
        <w:t xml:space="preserve">the other proceedings.  </w:t>
      </w:r>
    </w:p>
    <w:p w:rsidR="00225F8B" w:rsidRPr="00924038" w:rsidRDefault="00225F8B" w:rsidP="00A63DCD">
      <w:pPr>
        <w:pStyle w:val="ParaNumbering"/>
      </w:pPr>
      <w:r w:rsidRPr="00924038">
        <w:lastRenderedPageBreak/>
        <w:t>As to the proposal of Mr Webb as to the conduct of the Webb Proceeding, it had the following components:</w:t>
      </w:r>
    </w:p>
    <w:p w:rsidR="00225F8B" w:rsidRDefault="003C418A" w:rsidP="00744C10">
      <w:pPr>
        <w:pStyle w:val="Order2"/>
        <w:numPr>
          <w:ilvl w:val="1"/>
          <w:numId w:val="27"/>
        </w:numPr>
      </w:pPr>
      <w:r w:rsidRPr="00924038">
        <w:t xml:space="preserve">Mr Webb was identified as the applicant having </w:t>
      </w:r>
      <w:r w:rsidR="00225F8B" w:rsidRPr="00924038">
        <w:t>purchased</w:t>
      </w:r>
      <w:r w:rsidRPr="00924038">
        <w:t xml:space="preserve"> shares</w:t>
      </w:r>
      <w:r w:rsidR="00225F8B" w:rsidRPr="00924038">
        <w:t xml:space="preserve"> in GetSwift during the relevant period </w:t>
      </w:r>
      <w:r w:rsidRPr="00924038">
        <w:t>(</w:t>
      </w:r>
      <w:r w:rsidR="00225F8B" w:rsidRPr="00924038">
        <w:t>there was no further evidence as to his purchases</w:t>
      </w:r>
      <w:r w:rsidRPr="00924038">
        <w:t>)</w:t>
      </w:r>
      <w:r w:rsidR="00225F8B" w:rsidRPr="00924038">
        <w:t>;</w:t>
      </w:r>
    </w:p>
    <w:p w:rsidR="00FB5D3C" w:rsidRDefault="00FB5D3C" w:rsidP="00744C10">
      <w:pPr>
        <w:pStyle w:val="Order2"/>
        <w:numPr>
          <w:ilvl w:val="1"/>
          <w:numId w:val="27"/>
        </w:numPr>
      </w:pPr>
      <w:r w:rsidRPr="00924038">
        <w:t>there are no funded group members in the Webb Proceeding;</w:t>
      </w:r>
    </w:p>
    <w:p w:rsidR="00FB5D3C" w:rsidRDefault="00FB5D3C" w:rsidP="00744C10">
      <w:pPr>
        <w:pStyle w:val="Order2"/>
        <w:numPr>
          <w:ilvl w:val="1"/>
          <w:numId w:val="27"/>
        </w:numPr>
      </w:pPr>
      <w:r w:rsidRPr="00924038">
        <w:t>Mr Webb produced a letter from Therium dated 12 April 2018, in which the ‘Investment Committee’ of another Therium entity represented that it had committed a sum for the purposes of Therium funding the costs incurred by PFM and indemnifying Mr Webb in relation to adverse costs;</w:t>
      </w:r>
    </w:p>
    <w:p w:rsidR="00FB5D3C" w:rsidRDefault="00FB5D3C" w:rsidP="00744C10">
      <w:pPr>
        <w:pStyle w:val="Order2"/>
        <w:numPr>
          <w:ilvl w:val="1"/>
          <w:numId w:val="27"/>
        </w:numPr>
      </w:pPr>
      <w:r w:rsidRPr="00924038">
        <w:t>the only retainer agreement entered into is between Mr Webb and PFM; no funding agreement which provides a ‘deadlock’ provision to resolve issues which may arise in the settlement context between Mr Webb and Therium exists;</w:t>
      </w:r>
    </w:p>
    <w:p w:rsidR="00FB5D3C" w:rsidRDefault="00FB5D3C" w:rsidP="00744C10">
      <w:pPr>
        <w:pStyle w:val="Order2"/>
        <w:numPr>
          <w:ilvl w:val="1"/>
          <w:numId w:val="27"/>
        </w:numPr>
      </w:pPr>
      <w:r w:rsidRPr="00924038">
        <w:t xml:space="preserve">the common fund order proposed by Mr Webb would entitle Therium to a funding commission that is the </w:t>
      </w:r>
      <w:r w:rsidRPr="00C35A27">
        <w:rPr>
          <w:i/>
        </w:rPr>
        <w:t>lesser</w:t>
      </w:r>
      <w:r w:rsidRPr="00924038">
        <w:t xml:space="preserve"> of:</w:t>
      </w:r>
    </w:p>
    <w:p w:rsidR="00FB5D3C" w:rsidRDefault="00FB5D3C" w:rsidP="00744C10">
      <w:pPr>
        <w:pStyle w:val="Order3"/>
        <w:numPr>
          <w:ilvl w:val="2"/>
          <w:numId w:val="27"/>
        </w:numPr>
      </w:pPr>
      <w:r w:rsidRPr="00924038">
        <w:t>a multiple of the expenses that Therium has paid in the proceedings, being 2.2 times, if the parties enter into a settlement agreement on or before 12</w:t>
      </w:r>
      <w:r>
        <w:t> </w:t>
      </w:r>
      <w:r w:rsidRPr="00924038">
        <w:t>April</w:t>
      </w:r>
      <w:r>
        <w:t> </w:t>
      </w:r>
      <w:r w:rsidRPr="00924038">
        <w:t xml:space="preserve">2019, or 2.8 times if there is a successful resolution </w:t>
      </w:r>
      <w:r>
        <w:t>after</w:t>
      </w:r>
      <w:r w:rsidRPr="00924038">
        <w:t xml:space="preserve"> 12</w:t>
      </w:r>
      <w:r>
        <w:t> </w:t>
      </w:r>
      <w:r w:rsidRPr="00924038">
        <w:t>April</w:t>
      </w:r>
      <w:r>
        <w:t> </w:t>
      </w:r>
      <w:r w:rsidRPr="00924038">
        <w:t>2019; or</w:t>
      </w:r>
    </w:p>
    <w:p w:rsidR="00FB5D3C" w:rsidRDefault="00FB5D3C" w:rsidP="00744C10">
      <w:pPr>
        <w:pStyle w:val="Order3"/>
        <w:numPr>
          <w:ilvl w:val="2"/>
          <w:numId w:val="27"/>
        </w:numPr>
      </w:pPr>
      <w:r w:rsidRPr="00924038">
        <w:t>20% of the net litigation proceeds (that is, the settlement sum less approved professional fees and disbursements);</w:t>
      </w:r>
    </w:p>
    <w:p w:rsidR="00FB5D3C" w:rsidRDefault="00FB5D3C" w:rsidP="00744C10">
      <w:pPr>
        <w:pStyle w:val="Order2"/>
        <w:numPr>
          <w:ilvl w:val="1"/>
          <w:numId w:val="27"/>
        </w:numPr>
      </w:pPr>
      <w:r w:rsidRPr="00924038">
        <w:t xml:space="preserve">security for costs was proposed to be by way of an ATE policy together with a deed of indemnity but, during the course of oral submissions, Mr Webb indicated he </w:t>
      </w:r>
      <w:r>
        <w:t>was</w:t>
      </w:r>
      <w:r w:rsidRPr="00924038">
        <w:t xml:space="preserve"> prepared to put up cash security should the Court so order (although the latter mode of providing security would involve a greater expense which, it was said, would be incurred by group members);</w:t>
      </w:r>
    </w:p>
    <w:p w:rsidR="00FB5D3C" w:rsidRPr="00924038" w:rsidRDefault="00FB5D3C" w:rsidP="00744C10">
      <w:pPr>
        <w:pStyle w:val="Order2"/>
        <w:numPr>
          <w:ilvl w:val="1"/>
          <w:numId w:val="27"/>
        </w:numPr>
      </w:pPr>
      <w:r w:rsidRPr="00924038">
        <w:t xml:space="preserve">in relation to issues that may be the subject of references or Court appointed experts, Mr Webb asked the Court to appoint a referee to conduct periodic reviews of the reasonableness of Mr Webb’s legal costs, with only those costs assessed as reasonable being costs included for part-payment of Mr Webb’s legal costs; additionally, </w:t>
      </w:r>
      <w:r>
        <w:t xml:space="preserve">Mr Webb </w:t>
      </w:r>
      <w:r w:rsidRPr="00924038">
        <w:t xml:space="preserve">accepts that there is scope for the Court to </w:t>
      </w:r>
      <w:r w:rsidRPr="00924038">
        <w:lastRenderedPageBreak/>
        <w:t>appoint (or for the parties to engage jointly) a forensic economist to assist the Court in respect of matters of loss causation and the quantification of loss and damage.</w:t>
      </w:r>
    </w:p>
    <w:p w:rsidR="008137BF" w:rsidRPr="00924038" w:rsidRDefault="00A75FE4" w:rsidP="006F682A">
      <w:pPr>
        <w:pStyle w:val="Heading3"/>
      </w:pPr>
      <w:bookmarkStart w:id="37" w:name="_Ref514405608"/>
      <w:r w:rsidRPr="00924038">
        <w:t>C.3.4</w:t>
      </w:r>
      <w:r w:rsidRPr="00924038">
        <w:tab/>
      </w:r>
      <w:r w:rsidR="008137BF" w:rsidRPr="00924038">
        <w:t>GetSwift</w:t>
      </w:r>
      <w:bookmarkEnd w:id="37"/>
      <w:r w:rsidR="008137BF" w:rsidRPr="00924038">
        <w:t xml:space="preserve"> </w:t>
      </w:r>
    </w:p>
    <w:p w:rsidR="005D59A0" w:rsidRPr="00924038" w:rsidRDefault="008137BF" w:rsidP="005D59A0">
      <w:pPr>
        <w:pStyle w:val="ParaNumbering"/>
      </w:pPr>
      <w:r w:rsidRPr="00924038">
        <w:t>As to power, GetSwift submitted that this Court had an “</w:t>
      </w:r>
      <w:r w:rsidRPr="00924038">
        <w:rPr>
          <w:i/>
        </w:rPr>
        <w:t>inherent jurisdiction to stay its proceedings</w:t>
      </w:r>
      <w:r w:rsidRPr="00924038">
        <w:t xml:space="preserve">” as either an abuse of process or if the proceedings were unjustifiably oppressive </w:t>
      </w:r>
      <w:r w:rsidR="003C418A" w:rsidRPr="00924038">
        <w:t>or otherwise brought</w:t>
      </w:r>
      <w:r w:rsidRPr="00924038">
        <w:t xml:space="preserve"> the administration o</w:t>
      </w:r>
      <w:r w:rsidR="003C418A" w:rsidRPr="00924038">
        <w:t>f justice into disrepute among</w:t>
      </w:r>
      <w:r w:rsidRPr="00924038">
        <w:t xml:space="preserve"> right</w:t>
      </w:r>
      <w:r w:rsidR="00C01326">
        <w:t>-</w:t>
      </w:r>
      <w:r w:rsidRPr="00924038">
        <w:t>thinking people</w:t>
      </w:r>
      <w:r w:rsidR="00C0579F" w:rsidRPr="00924038">
        <w:t xml:space="preserve">: see </w:t>
      </w:r>
      <w:r w:rsidR="00C0579F" w:rsidRPr="00924038">
        <w:rPr>
          <w:i/>
        </w:rPr>
        <w:t>Jeffery &amp; Katauskas Pty L</w:t>
      </w:r>
      <w:r w:rsidR="006F682A" w:rsidRPr="00924038">
        <w:rPr>
          <w:i/>
        </w:rPr>
        <w:t>imi</w:t>
      </w:r>
      <w:r w:rsidR="00C0579F" w:rsidRPr="00924038">
        <w:rPr>
          <w:i/>
        </w:rPr>
        <w:t>t</w:t>
      </w:r>
      <w:r w:rsidR="006F682A" w:rsidRPr="00924038">
        <w:rPr>
          <w:i/>
        </w:rPr>
        <w:t>e</w:t>
      </w:r>
      <w:r w:rsidR="00C0579F" w:rsidRPr="00924038">
        <w:rPr>
          <w:i/>
        </w:rPr>
        <w:t>d v SST Consulting Pty Ltd</w:t>
      </w:r>
      <w:r w:rsidR="00C0579F" w:rsidRPr="00924038">
        <w:t xml:space="preserve"> </w:t>
      </w:r>
      <w:r w:rsidR="006F682A" w:rsidRPr="00924038">
        <w:t xml:space="preserve">[2009] HCA 43; </w:t>
      </w:r>
      <w:r w:rsidR="00C0579F" w:rsidRPr="00924038">
        <w:t xml:space="preserve">(2009) 239 CLR 75 at </w:t>
      </w:r>
      <w:r w:rsidR="006F682A" w:rsidRPr="00924038">
        <w:t xml:space="preserve">93-94 </w:t>
      </w:r>
      <w:r w:rsidR="00C0579F" w:rsidRPr="00924038">
        <w:t>[28]</w:t>
      </w:r>
      <w:r w:rsidR="006F682A" w:rsidRPr="00924038">
        <w:t xml:space="preserve"> per French CJ, Gummow, Hayne and Crennan JJ</w:t>
      </w:r>
      <w:r w:rsidR="00C0579F" w:rsidRPr="00924038">
        <w:t>.</w:t>
      </w:r>
      <w:r w:rsidR="00F847C1" w:rsidRPr="00924038">
        <w:t xml:space="preserve">  The categories of abuse of process and vexation</w:t>
      </w:r>
      <w:r w:rsidR="00623FE3" w:rsidRPr="00924038">
        <w:t xml:space="preserve"> or </w:t>
      </w:r>
      <w:r w:rsidR="00F847C1" w:rsidRPr="00924038">
        <w:t xml:space="preserve">oppression are not closed and are insusceptible of </w:t>
      </w:r>
      <w:r w:rsidR="00492CD4" w:rsidRPr="00924038">
        <w:t xml:space="preserve">precise </w:t>
      </w:r>
      <w:r w:rsidR="00F847C1" w:rsidRPr="00924038">
        <w:t>formulation.  In the context of P</w:t>
      </w:r>
      <w:r w:rsidR="00623FE3" w:rsidRPr="00924038">
        <w:t>ar</w:t>
      </w:r>
      <w:r w:rsidR="00F847C1" w:rsidRPr="00924038">
        <w:t xml:space="preserve">t </w:t>
      </w:r>
      <w:r w:rsidR="00623FE3" w:rsidRPr="00924038">
        <w:t>IV</w:t>
      </w:r>
      <w:r w:rsidR="003C418A" w:rsidRPr="00924038">
        <w:t xml:space="preserve">A </w:t>
      </w:r>
      <w:r w:rsidR="00F847C1" w:rsidRPr="00924038">
        <w:t>proceedings</w:t>
      </w:r>
      <w:r w:rsidR="00E06D4F" w:rsidRPr="00924038">
        <w:t>,</w:t>
      </w:r>
      <w:r w:rsidR="00F847C1" w:rsidRPr="00924038">
        <w:t xml:space="preserve"> that means </w:t>
      </w:r>
      <w:r w:rsidR="00623FE3" w:rsidRPr="00924038">
        <w:t xml:space="preserve">that </w:t>
      </w:r>
      <w:r w:rsidR="00F847C1" w:rsidRPr="00924038">
        <w:t xml:space="preserve">the Court has power to stay a proceeding if it is likely that one party will be subject to vexation and oppression </w:t>
      </w:r>
      <w:r w:rsidR="00623FE3" w:rsidRPr="00924038">
        <w:t>where “</w:t>
      </w:r>
      <w:r w:rsidR="00623FE3" w:rsidRPr="00924038">
        <w:rPr>
          <w:i/>
        </w:rPr>
        <w:t>two extant civil actions are brought in circumstances where one will suffice to vindicate the rights at issue</w:t>
      </w:r>
      <w:r w:rsidR="00623FE3" w:rsidRPr="00924038">
        <w:t>”.  Additionally</w:t>
      </w:r>
      <w:r w:rsidR="003C418A" w:rsidRPr="00924038">
        <w:t>,</w:t>
      </w:r>
      <w:r w:rsidR="00623FE3" w:rsidRPr="00924038">
        <w:t xml:space="preserve"> GetSwift submitted that there was no issue as to power in relation to declassing any of the class actions.  </w:t>
      </w:r>
    </w:p>
    <w:p w:rsidR="00623FE3" w:rsidRPr="00924038" w:rsidRDefault="00623FE3" w:rsidP="005D59A0">
      <w:pPr>
        <w:pStyle w:val="ParaNumbering"/>
      </w:pPr>
      <w:r w:rsidRPr="00924038">
        <w:t>As to the issue of discretion, apart from the fact that GetSwift submitted that the appropriate form of security ought to be cash paid into Court</w:t>
      </w:r>
      <w:r w:rsidR="00E06D4F" w:rsidRPr="00924038">
        <w:t>,</w:t>
      </w:r>
      <w:r w:rsidRPr="00924038">
        <w:t xml:space="preserve"> and that GetSwift wished to be heard as to the timing and quantification of security, it recognised that ultimately it was a matter for the Court as to which of the three proceedings should go forward.</w:t>
      </w:r>
    </w:p>
    <w:p w:rsidR="00D3230F" w:rsidRPr="00924038" w:rsidRDefault="00D3230F" w:rsidP="003C3E61">
      <w:pPr>
        <w:pStyle w:val="Heading2"/>
      </w:pPr>
      <w:bookmarkStart w:id="38" w:name="_Ref514405609"/>
      <w:r w:rsidRPr="00924038">
        <w:t>C.4</w:t>
      </w:r>
      <w:r w:rsidRPr="00924038">
        <w:tab/>
        <w:t>Group Definition and Overlap – A Logical Difficulty</w:t>
      </w:r>
      <w:bookmarkEnd w:id="38"/>
    </w:p>
    <w:p w:rsidR="00661C35" w:rsidRPr="00924038" w:rsidRDefault="008A295D" w:rsidP="009B424A">
      <w:pPr>
        <w:pStyle w:val="ParaNumbering"/>
      </w:pPr>
      <w:r w:rsidRPr="00924038">
        <w:t xml:space="preserve">Having identified aspects of each proposal </w:t>
      </w:r>
      <w:r w:rsidR="00163A32" w:rsidRPr="00924038">
        <w:t>in general</w:t>
      </w:r>
      <w:r w:rsidRPr="00924038">
        <w:t>,</w:t>
      </w:r>
      <w:r w:rsidR="00DC7E15" w:rsidRPr="00924038">
        <w:t xml:space="preserve"> </w:t>
      </w:r>
      <w:r w:rsidR="00D3230F" w:rsidRPr="00924038">
        <w:t xml:space="preserve">and prior to examining the </w:t>
      </w:r>
      <w:r w:rsidR="00DC7E15" w:rsidRPr="00924038">
        <w:t>approach that has developed in relation to dealing with competing class actions</w:t>
      </w:r>
      <w:r w:rsidR="00D3230F" w:rsidRPr="00924038">
        <w:t xml:space="preserve">, I mention </w:t>
      </w:r>
      <w:r w:rsidRPr="00924038">
        <w:t xml:space="preserve">a matter </w:t>
      </w:r>
      <w:r w:rsidR="00D3230F" w:rsidRPr="00924038">
        <w:t xml:space="preserve">which was </w:t>
      </w:r>
      <w:r w:rsidR="00E06D4F" w:rsidRPr="00924038">
        <w:t xml:space="preserve">not </w:t>
      </w:r>
      <w:r w:rsidR="00D3230F" w:rsidRPr="00924038">
        <w:t>the subject of submissions</w:t>
      </w:r>
      <w:r w:rsidRPr="00924038">
        <w:t>,</w:t>
      </w:r>
      <w:r w:rsidR="00D3230F" w:rsidRPr="00924038">
        <w:t xml:space="preserve"> but creates a logical difficulty in ascertaining whether</w:t>
      </w:r>
      <w:r w:rsidR="00D4627E">
        <w:t>, as assumed by the parties,</w:t>
      </w:r>
      <w:r w:rsidR="00D3230F" w:rsidRPr="00924038">
        <w:t xml:space="preserve"> there exists a perfect overlap of t</w:t>
      </w:r>
      <w:r w:rsidR="007174D1" w:rsidRPr="00924038">
        <w:t>he classes</w:t>
      </w:r>
      <w:r w:rsidR="00D3230F" w:rsidRPr="00924038">
        <w:t xml:space="preserve">.  </w:t>
      </w:r>
      <w:r w:rsidR="00516B16" w:rsidRPr="00924038">
        <w:t>This is the issue of class defi</w:t>
      </w:r>
      <w:r w:rsidR="00D3230F" w:rsidRPr="00924038">
        <w:t>ni</w:t>
      </w:r>
      <w:r w:rsidR="00516B16" w:rsidRPr="00924038">
        <w:t>ti</w:t>
      </w:r>
      <w:r w:rsidR="00D3230F" w:rsidRPr="00924038">
        <w:t>on</w:t>
      </w:r>
      <w:r w:rsidR="00DC7E15" w:rsidRPr="00924038">
        <w:t>.</w:t>
      </w:r>
      <w:r w:rsidR="00516B16" w:rsidRPr="00924038">
        <w:t xml:space="preserve"> </w:t>
      </w:r>
    </w:p>
    <w:p w:rsidR="008A295D" w:rsidRPr="00924038" w:rsidRDefault="00163A32" w:rsidP="00064B49">
      <w:pPr>
        <w:pStyle w:val="ParaNumbering"/>
      </w:pPr>
      <w:r w:rsidRPr="00924038">
        <w:t>All three class definitions</w:t>
      </w:r>
      <w:r w:rsidR="008A295D" w:rsidRPr="00924038">
        <w:t xml:space="preserve"> contain a similar ‘</w:t>
      </w:r>
      <w:r w:rsidR="00C01326">
        <w:t>causally</w:t>
      </w:r>
      <w:r w:rsidR="008A295D" w:rsidRPr="00924038">
        <w:t xml:space="preserve"> connected loss or damage’ criterion defining group membership</w:t>
      </w:r>
      <w:r w:rsidR="005E23F4" w:rsidRPr="00924038">
        <w:t xml:space="preserve">, which are specified </w:t>
      </w:r>
      <w:r w:rsidRPr="00924038">
        <w:t>as follows</w:t>
      </w:r>
      <w:r w:rsidR="008A295D" w:rsidRPr="00924038">
        <w:t xml:space="preserve"> (emphasis added): </w:t>
      </w:r>
    </w:p>
    <w:p w:rsidR="00064B49" w:rsidRDefault="00CB63F5" w:rsidP="00744C10">
      <w:pPr>
        <w:pStyle w:val="Order2"/>
        <w:numPr>
          <w:ilvl w:val="1"/>
          <w:numId w:val="28"/>
        </w:numPr>
      </w:pPr>
      <w:r>
        <w:t>I</w:t>
      </w:r>
      <w:r w:rsidR="008A295D" w:rsidRPr="00924038">
        <w:t>n t</w:t>
      </w:r>
      <w:r w:rsidR="00064B49" w:rsidRPr="00924038">
        <w:t>he amended statement of claim filed in the Perera Proceeding:</w:t>
      </w:r>
      <w:r w:rsidR="00786885">
        <w:t xml:space="preserve"> “</w:t>
      </w:r>
      <w:r w:rsidR="00064B49" w:rsidRPr="00FB5D3C">
        <w:rPr>
          <w:i/>
        </w:rPr>
        <w:t>Suffered loss or damage by, or which resulted from, the conduct of the Respondents, pleaded in this Statement of Claim</w:t>
      </w:r>
      <w:r w:rsidR="00786885">
        <w:t>”</w:t>
      </w:r>
      <w:r w:rsidR="00FB5D3C">
        <w:t xml:space="preserve">. </w:t>
      </w:r>
    </w:p>
    <w:p w:rsidR="00FB5D3C" w:rsidRDefault="00FB5D3C" w:rsidP="00744C10">
      <w:pPr>
        <w:pStyle w:val="Order2"/>
        <w:numPr>
          <w:ilvl w:val="1"/>
          <w:numId w:val="27"/>
        </w:numPr>
      </w:pPr>
      <w:r>
        <w:lastRenderedPageBreak/>
        <w:t>I</w:t>
      </w:r>
      <w:r w:rsidRPr="00924038">
        <w:t>n the statement of claim filed in the McTaggart Proceeding:</w:t>
      </w:r>
      <w:r>
        <w:t xml:space="preserve"> “</w:t>
      </w:r>
      <w:r w:rsidRPr="00924038">
        <w:t xml:space="preserve">Suffered loss or damage by reason of the conduct of the Respondents </w:t>
      </w:r>
      <w:r w:rsidRPr="00786885">
        <w:rPr>
          <w:i/>
        </w:rPr>
        <w:t>pleaded in this Statement of Claim</w:t>
      </w:r>
      <w:r>
        <w:t>”</w:t>
      </w:r>
      <w:r w:rsidRPr="00924038">
        <w:t>.</w:t>
      </w:r>
    </w:p>
    <w:p w:rsidR="00FB5D3C" w:rsidRPr="00924038" w:rsidRDefault="00FB5D3C" w:rsidP="00744C10">
      <w:pPr>
        <w:pStyle w:val="Order2"/>
        <w:numPr>
          <w:ilvl w:val="1"/>
          <w:numId w:val="27"/>
        </w:numPr>
      </w:pPr>
      <w:r>
        <w:t>I</w:t>
      </w:r>
      <w:r w:rsidRPr="00924038">
        <w:t>n the originating application in the Webb Proceeding:</w:t>
      </w:r>
      <w:r>
        <w:t xml:space="preserve"> “</w:t>
      </w:r>
      <w:r w:rsidRPr="00924038">
        <w:t xml:space="preserve">Suffered loss and damage by or resulting from the contravening conduct of the Respondents </w:t>
      </w:r>
      <w:r w:rsidRPr="00786885">
        <w:rPr>
          <w:i/>
        </w:rPr>
        <w:t>as described in the accompanying affidavit</w:t>
      </w:r>
      <w:r>
        <w:t>”</w:t>
      </w:r>
      <w:r w:rsidRPr="00924038">
        <w:t>.</w:t>
      </w:r>
    </w:p>
    <w:p w:rsidR="00064B49" w:rsidRPr="00924038" w:rsidRDefault="00786885" w:rsidP="00064B49">
      <w:pPr>
        <w:pStyle w:val="ParaNumbering"/>
      </w:pPr>
      <w:r>
        <w:t>A</w:t>
      </w:r>
      <w:r w:rsidR="00B75933" w:rsidRPr="00924038">
        <w:t xml:space="preserve"> logical difficulty</w:t>
      </w:r>
      <w:r w:rsidR="00064B49" w:rsidRPr="00924038">
        <w:t xml:space="preserve"> present</w:t>
      </w:r>
      <w:r w:rsidR="00B75933" w:rsidRPr="00924038">
        <w:t>s itself</w:t>
      </w:r>
      <w:r w:rsidR="00064B49" w:rsidRPr="00924038">
        <w:t xml:space="preserve">.  </w:t>
      </w:r>
      <w:r w:rsidR="00163A32" w:rsidRPr="00924038">
        <w:t>T</w:t>
      </w:r>
      <w:r w:rsidR="005E23F4" w:rsidRPr="00924038">
        <w:t xml:space="preserve">he argument advanced by all parties contained the implicit premise </w:t>
      </w:r>
      <w:r w:rsidR="007174D1" w:rsidRPr="00924038">
        <w:t>that all classes were identical, but</w:t>
      </w:r>
      <w:r w:rsidR="005E23F4" w:rsidRPr="00924038">
        <w:t xml:space="preserve"> this is not necessarily the case.  T</w:t>
      </w:r>
      <w:r w:rsidR="00064B49" w:rsidRPr="00924038">
        <w:t>here are differences in the way the contravening conduct is identified.  Although t</w:t>
      </w:r>
      <w:r w:rsidR="007174D1" w:rsidRPr="00924038">
        <w:t xml:space="preserve">hese differences are </w:t>
      </w:r>
      <w:r w:rsidR="00064B49" w:rsidRPr="00924038">
        <w:t xml:space="preserve">minor, it is at least logically possible that loss or damage may have been suffered by one group member arising </w:t>
      </w:r>
      <w:r w:rsidR="00B75933" w:rsidRPr="00924038">
        <w:t xml:space="preserve">only from one </w:t>
      </w:r>
      <w:r w:rsidR="00064B49" w:rsidRPr="00924038">
        <w:t>element of the contravening conduct</w:t>
      </w:r>
      <w:r w:rsidR="00D015B3" w:rsidRPr="00924038">
        <w:t xml:space="preserve"> that</w:t>
      </w:r>
      <w:r w:rsidR="00064B49" w:rsidRPr="00924038">
        <w:t xml:space="preserve"> is advanced in one proceeding</w:t>
      </w:r>
      <w:r w:rsidR="00D015B3" w:rsidRPr="00924038">
        <w:t>,</w:t>
      </w:r>
      <w:r w:rsidR="00064B49" w:rsidRPr="00924038">
        <w:t xml:space="preserve"> but </w:t>
      </w:r>
      <w:r w:rsidR="00B75933" w:rsidRPr="00924038">
        <w:t xml:space="preserve">not </w:t>
      </w:r>
      <w:r w:rsidR="00064B49" w:rsidRPr="00924038">
        <w:t xml:space="preserve">in another.  </w:t>
      </w:r>
    </w:p>
    <w:p w:rsidR="00064B49" w:rsidRPr="00924038" w:rsidRDefault="00D015B3" w:rsidP="00064B49">
      <w:pPr>
        <w:pStyle w:val="ParaNumbering"/>
      </w:pPr>
      <w:r w:rsidRPr="00924038">
        <w:t xml:space="preserve">This is but an </w:t>
      </w:r>
      <w:r w:rsidR="00B75933" w:rsidRPr="00924038">
        <w:t xml:space="preserve">illustration of </w:t>
      </w:r>
      <w:r w:rsidRPr="00924038">
        <w:t xml:space="preserve">a </w:t>
      </w:r>
      <w:r w:rsidR="00C07487" w:rsidRPr="00924038">
        <w:t xml:space="preserve">broader </w:t>
      </w:r>
      <w:r w:rsidR="00064B49" w:rsidRPr="00924038">
        <w:t>logical problem</w:t>
      </w:r>
      <w:r w:rsidRPr="00924038">
        <w:t>, largely ignored, but which is inherent in</w:t>
      </w:r>
      <w:r w:rsidR="00064B49" w:rsidRPr="00924038">
        <w:t xml:space="preserve"> this s</w:t>
      </w:r>
      <w:r w:rsidR="00B75933" w:rsidRPr="00924038">
        <w:t>ort of subjective</w:t>
      </w:r>
      <w:r w:rsidRPr="00924038">
        <w:t>, causative</w:t>
      </w:r>
      <w:r w:rsidR="00B75933" w:rsidRPr="00924038">
        <w:t xml:space="preserve"> element to a</w:t>
      </w:r>
      <w:r w:rsidR="00064B49" w:rsidRPr="00924038">
        <w:t xml:space="preserve"> group definition.  The </w:t>
      </w:r>
      <w:r w:rsidRPr="00924038">
        <w:t xml:space="preserve">argument that </w:t>
      </w:r>
      <w:r w:rsidR="007174D1" w:rsidRPr="00924038">
        <w:t xml:space="preserve">a subjective criterion causes </w:t>
      </w:r>
      <w:r w:rsidRPr="00924038">
        <w:t xml:space="preserve">practical </w:t>
      </w:r>
      <w:r w:rsidR="00064B49" w:rsidRPr="00924038">
        <w:t xml:space="preserve">difficulty was rejected by Wilcox J in </w:t>
      </w:r>
      <w:r w:rsidR="00064B49" w:rsidRPr="00924038">
        <w:rPr>
          <w:i/>
        </w:rPr>
        <w:t xml:space="preserve">Nixon v Philip Morris (Australia) Ltd </w:t>
      </w:r>
      <w:r w:rsidR="00163A32" w:rsidRPr="00924038">
        <w:t xml:space="preserve">[1999] FCA 1107; </w:t>
      </w:r>
      <w:r w:rsidR="00064B49" w:rsidRPr="00924038">
        <w:t xml:space="preserve">(1999) 95 FCR 453 at </w:t>
      </w:r>
      <w:r w:rsidR="00163A32" w:rsidRPr="00924038">
        <w:t xml:space="preserve">486 </w:t>
      </w:r>
      <w:r w:rsidR="00064B49" w:rsidRPr="00924038">
        <w:t>[126]</w:t>
      </w:r>
      <w:r w:rsidR="00163A32" w:rsidRPr="00924038">
        <w:t>-</w:t>
      </w:r>
      <w:r w:rsidR="00064B49" w:rsidRPr="00924038">
        <w:t xml:space="preserve">[127] and Moore J in </w:t>
      </w:r>
      <w:r w:rsidR="00064B49" w:rsidRPr="00924038">
        <w:rPr>
          <w:i/>
        </w:rPr>
        <w:t xml:space="preserve">King v GIO </w:t>
      </w:r>
      <w:r w:rsidR="00163A32" w:rsidRPr="00924038">
        <w:rPr>
          <w:i/>
        </w:rPr>
        <w:t xml:space="preserve">Australia </w:t>
      </w:r>
      <w:r w:rsidR="00064B49" w:rsidRPr="00924038">
        <w:rPr>
          <w:i/>
        </w:rPr>
        <w:t xml:space="preserve">Holdings Ltd </w:t>
      </w:r>
      <w:r w:rsidR="00163A32" w:rsidRPr="00924038">
        <w:t xml:space="preserve">[2000] FCA 617; </w:t>
      </w:r>
      <w:r w:rsidR="00064B49" w:rsidRPr="00924038">
        <w:t xml:space="preserve">(2000) 100 FCR 209 at </w:t>
      </w:r>
      <w:r w:rsidR="00163A32" w:rsidRPr="00924038">
        <w:t xml:space="preserve">226 </w:t>
      </w:r>
      <w:r w:rsidR="00064B49" w:rsidRPr="00924038">
        <w:t>[45].  In particular, Moore J considered that defining group membership by reference to a loss and damag</w:t>
      </w:r>
      <w:r w:rsidR="00B75933" w:rsidRPr="00924038">
        <w:t>e criterion was unobjectionable</w:t>
      </w:r>
      <w:r w:rsidR="00064B49" w:rsidRPr="00924038">
        <w:t>.</w:t>
      </w:r>
    </w:p>
    <w:p w:rsidR="00064B49" w:rsidRPr="00924038" w:rsidRDefault="00064B49" w:rsidP="00064B49">
      <w:pPr>
        <w:pStyle w:val="ParaNumbering"/>
      </w:pPr>
      <w:r w:rsidRPr="00924038">
        <w:t xml:space="preserve">With respect, neither of those cases </w:t>
      </w:r>
      <w:r w:rsidR="00B75933" w:rsidRPr="00924038">
        <w:t xml:space="preserve">really </w:t>
      </w:r>
      <w:r w:rsidRPr="00924038">
        <w:t>grapple</w:t>
      </w:r>
      <w:r w:rsidR="00163A32" w:rsidRPr="00924038">
        <w:t>s</w:t>
      </w:r>
      <w:r w:rsidRPr="00924038">
        <w:t xml:space="preserve"> with the logical difficulty of a </w:t>
      </w:r>
      <w:r w:rsidR="00B75933" w:rsidRPr="00924038">
        <w:t>‘</w:t>
      </w:r>
      <w:r w:rsidR="00130321">
        <w:t>causally</w:t>
      </w:r>
      <w:r w:rsidR="00B75933" w:rsidRPr="00924038">
        <w:t xml:space="preserve"> connected loss or damage’ criterion</w:t>
      </w:r>
      <w:r w:rsidRPr="00924038">
        <w:t xml:space="preserve">.  </w:t>
      </w:r>
      <w:r w:rsidR="00B75933" w:rsidRPr="00924038">
        <w:t xml:space="preserve">Upon commencement of a Part IVA </w:t>
      </w:r>
      <w:r w:rsidR="00163A32" w:rsidRPr="00924038">
        <w:t>proceeding</w:t>
      </w:r>
      <w:r w:rsidR="00B75933" w:rsidRPr="00924038">
        <w:t xml:space="preserve">, </w:t>
      </w:r>
      <w:r w:rsidRPr="00924038">
        <w:t xml:space="preserve">it is necessary to </w:t>
      </w:r>
      <w:r w:rsidR="00B75933" w:rsidRPr="00924038">
        <w:t>identify</w:t>
      </w:r>
      <w:r w:rsidRPr="00924038">
        <w:t xml:space="preserve"> group members </w:t>
      </w:r>
      <w:r w:rsidR="00B75933" w:rsidRPr="00924038">
        <w:t xml:space="preserve">as required by s 33H, </w:t>
      </w:r>
      <w:r w:rsidRPr="00924038">
        <w:t xml:space="preserve">being, in </w:t>
      </w:r>
      <w:r w:rsidR="00B75933" w:rsidRPr="00924038">
        <w:t>accordance with s 33A,</w:t>
      </w:r>
      <w:r w:rsidRPr="00924038">
        <w:t xml:space="preserve"> “</w:t>
      </w:r>
      <w:r w:rsidRPr="00924038">
        <w:rPr>
          <w:i/>
        </w:rPr>
        <w:t>a member of the group of persons on whose behalf a representative proceeding has been commenced</w:t>
      </w:r>
      <w:r w:rsidRPr="00924038">
        <w:t>”.  A large nu</w:t>
      </w:r>
      <w:r w:rsidR="00B75933" w:rsidRPr="00924038">
        <w:t>mber of provisions within Part IV</w:t>
      </w:r>
      <w:r w:rsidR="00EE642E" w:rsidRPr="00924038">
        <w:t>A have embedded within them the notion that it is</w:t>
      </w:r>
      <w:r w:rsidRPr="00924038">
        <w:t xml:space="preserve"> possible to identify, with particularity, during </w:t>
      </w:r>
      <w:r w:rsidR="007174D1" w:rsidRPr="00924038">
        <w:t xml:space="preserve">various stages </w:t>
      </w:r>
      <w:r w:rsidRPr="00924038">
        <w:t>of a proceeding</w:t>
      </w:r>
      <w:r w:rsidR="00B75933" w:rsidRPr="00924038">
        <w:t>,</w:t>
      </w:r>
      <w:r w:rsidRPr="00924038">
        <w:t xml:space="preserve"> who </w:t>
      </w:r>
      <w:r w:rsidR="00EE642E" w:rsidRPr="00924038">
        <w:t xml:space="preserve">in fact </w:t>
      </w:r>
      <w:r w:rsidRPr="00924038">
        <w:t>are the group members</w:t>
      </w:r>
      <w:r w:rsidR="00EE642E" w:rsidRPr="00924038">
        <w:t>, for example:</w:t>
      </w:r>
      <w:r w:rsidR="00B75933" w:rsidRPr="00924038">
        <w:t xml:space="preserve"> s 33J (</w:t>
      </w:r>
      <w:r w:rsidR="00EE642E" w:rsidRPr="00924038">
        <w:t xml:space="preserve">the </w:t>
      </w:r>
      <w:r w:rsidR="00B75933" w:rsidRPr="00924038">
        <w:t>right to opt</w:t>
      </w:r>
      <w:r w:rsidR="007E6739">
        <w:t xml:space="preserve"> </w:t>
      </w:r>
      <w:r w:rsidR="00163A32" w:rsidRPr="00924038">
        <w:t>out);</w:t>
      </w:r>
      <w:r w:rsidR="00B75933" w:rsidRPr="00924038">
        <w:t xml:space="preserve"> s 33L (where there are</w:t>
      </w:r>
      <w:r w:rsidR="00163A32" w:rsidRPr="00924038">
        <w:t xml:space="preserve"> less than seven group members);</w:t>
      </w:r>
      <w:r w:rsidR="00EE642E" w:rsidRPr="00924038">
        <w:t xml:space="preserve"> s 33Q (</w:t>
      </w:r>
      <w:r w:rsidR="00EE642E" w:rsidRPr="00924038">
        <w:rPr>
          <w:lang w:val="en"/>
        </w:rPr>
        <w:t xml:space="preserve">determination of issues where not all issues are common); s 33R (individual issues); </w:t>
      </w:r>
      <w:r w:rsidR="00163A32" w:rsidRPr="00924038">
        <w:rPr>
          <w:lang w:val="en"/>
        </w:rPr>
        <w:t xml:space="preserve">s </w:t>
      </w:r>
      <w:r w:rsidR="00EE642E" w:rsidRPr="00924038">
        <w:rPr>
          <w:lang w:val="en"/>
        </w:rPr>
        <w:t>33S (directions relating to commencement of further proceedings by group members); s 33T (applications by group members as to adequacy of representation);  s 33X (notice to be given to group members of certain matters); s 33ZB (the ‘statutory estoppel’ binding group members to orders).</w:t>
      </w:r>
      <w:r w:rsidR="00B75933" w:rsidRPr="00924038">
        <w:t xml:space="preserve"> </w:t>
      </w:r>
    </w:p>
    <w:p w:rsidR="00064B49" w:rsidRPr="00924038" w:rsidRDefault="00064B49" w:rsidP="00064B49">
      <w:pPr>
        <w:pStyle w:val="ParaNumbering"/>
      </w:pPr>
      <w:r w:rsidRPr="00924038">
        <w:lastRenderedPageBreak/>
        <w:t xml:space="preserve">The difficulty with the criterion to which I have made reference is that </w:t>
      </w:r>
      <w:r w:rsidR="00D015B3" w:rsidRPr="00924038">
        <w:t xml:space="preserve">at no stage is it possible to assert </w:t>
      </w:r>
      <w:r w:rsidR="008830A6" w:rsidRPr="00924038">
        <w:t xml:space="preserve">with certainty </w:t>
      </w:r>
      <w:r w:rsidR="00D015B3" w:rsidRPr="00924038">
        <w:t>that a particular claimant is, in fact, a group member as defined by reference to all criteria specified.  This must be the case because i</w:t>
      </w:r>
      <w:r w:rsidRPr="00924038">
        <w:t xml:space="preserve">n the event that it is </w:t>
      </w:r>
      <w:r w:rsidR="00EE642E" w:rsidRPr="00924038">
        <w:t>ultimately found, following a</w:t>
      </w:r>
      <w:r w:rsidRPr="00924038">
        <w:t xml:space="preserve"> determination of individual issues, that no loss or damage has been suffered by a claimant </w:t>
      </w:r>
      <w:r w:rsidR="00EE642E" w:rsidRPr="00924038">
        <w:t xml:space="preserve">as pleaded, </w:t>
      </w:r>
      <w:r w:rsidR="00D015B3" w:rsidRPr="00924038">
        <w:t xml:space="preserve">it follows inexorably </w:t>
      </w:r>
      <w:r w:rsidRPr="00924038">
        <w:t>that</w:t>
      </w:r>
      <w:r w:rsidR="00EE642E" w:rsidRPr="00924038">
        <w:t xml:space="preserve"> the claimant</w:t>
      </w:r>
      <w:r w:rsidRPr="00924038">
        <w:t xml:space="preserve"> is not</w:t>
      </w:r>
      <w:r w:rsidR="00D015B3" w:rsidRPr="00924038">
        <w:t>,</w:t>
      </w:r>
      <w:r w:rsidRPr="00924038">
        <w:t xml:space="preserve"> and never has been</w:t>
      </w:r>
      <w:r w:rsidR="00D015B3" w:rsidRPr="00924038">
        <w:t>,</w:t>
      </w:r>
      <w:r w:rsidRPr="00924038">
        <w:t xml:space="preserve"> a group member</w:t>
      </w:r>
      <w:r w:rsidR="00EE642E" w:rsidRPr="00924038">
        <w:t xml:space="preserve"> as </w:t>
      </w:r>
      <w:r w:rsidR="007174D1" w:rsidRPr="00924038">
        <w:t xml:space="preserve">presently </w:t>
      </w:r>
      <w:r w:rsidR="00EE642E" w:rsidRPr="00924038">
        <w:t>defined</w:t>
      </w:r>
      <w:r w:rsidRPr="00924038">
        <w:t xml:space="preserve">.  </w:t>
      </w:r>
      <w:r w:rsidR="00175284">
        <w:t xml:space="preserve">To describe that as a topsy-turvey result would be something of an understatement.  </w:t>
      </w:r>
      <w:r w:rsidRPr="00924038">
        <w:t>In my view</w:t>
      </w:r>
      <w:r w:rsidR="00EE642E" w:rsidRPr="00924038">
        <w:t>,</w:t>
      </w:r>
      <w:r w:rsidRPr="00924038">
        <w:t xml:space="preserve"> it is necessary</w:t>
      </w:r>
      <w:r w:rsidR="007174D1" w:rsidRPr="00924038">
        <w:t xml:space="preserve"> </w:t>
      </w:r>
      <w:r w:rsidRPr="00924038">
        <w:t xml:space="preserve">to be able to identify the </w:t>
      </w:r>
      <w:r w:rsidRPr="00924038">
        <w:rPr>
          <w:i/>
        </w:rPr>
        <w:t xml:space="preserve">persons </w:t>
      </w:r>
      <w:r w:rsidRPr="00924038">
        <w:t xml:space="preserve">whose claims are the subject of the class action at all times during the currency of the class action.  The membership of the group is no more than a collection of persons who </w:t>
      </w:r>
      <w:r w:rsidR="00EE642E" w:rsidRPr="00924038">
        <w:t xml:space="preserve">are </w:t>
      </w:r>
      <w:r w:rsidRPr="00924038">
        <w:t xml:space="preserve">identified by name </w:t>
      </w:r>
      <w:r w:rsidR="007C35A9" w:rsidRPr="00924038">
        <w:t>or</w:t>
      </w:r>
      <w:r w:rsidR="00EE642E" w:rsidRPr="00924038">
        <w:t>,</w:t>
      </w:r>
      <w:r w:rsidRPr="00924038">
        <w:t xml:space="preserve"> if not</w:t>
      </w:r>
      <w:r w:rsidR="00D015B3" w:rsidRPr="00924038">
        <w:t xml:space="preserve"> by name</w:t>
      </w:r>
      <w:r w:rsidR="00EE642E" w:rsidRPr="00924038">
        <w:t>,</w:t>
      </w:r>
      <w:r w:rsidRPr="00924038">
        <w:t xml:space="preserve"> by </w:t>
      </w:r>
      <w:r w:rsidR="00EE642E" w:rsidRPr="00924038">
        <w:t xml:space="preserve">the </w:t>
      </w:r>
      <w:r w:rsidRPr="00924038">
        <w:t xml:space="preserve">characteristics which allow them to be ascertainable at the time of the commencement of the </w:t>
      </w:r>
      <w:r w:rsidR="00EE642E" w:rsidRPr="00924038">
        <w:t xml:space="preserve">class action (as required by s 33H) </w:t>
      </w:r>
      <w:r w:rsidRPr="00924038">
        <w:t>and at all times thereafter.</w:t>
      </w:r>
    </w:p>
    <w:p w:rsidR="00516B16" w:rsidRPr="00924038" w:rsidRDefault="00064B49" w:rsidP="00064B49">
      <w:pPr>
        <w:pStyle w:val="ParaNumbering"/>
      </w:pPr>
      <w:r w:rsidRPr="00924038">
        <w:t>Having noted this logical difficulty</w:t>
      </w:r>
      <w:r w:rsidR="00EE642E" w:rsidRPr="00924038">
        <w:t>,</w:t>
      </w:r>
      <w:r w:rsidR="00786885">
        <w:t xml:space="preserve"> all parties </w:t>
      </w:r>
      <w:r w:rsidRPr="00924038">
        <w:t xml:space="preserve">proceeded on the basis that the group membership </w:t>
      </w:r>
      <w:r w:rsidR="00D015B3" w:rsidRPr="00924038">
        <w:t xml:space="preserve">between all three proceedings </w:t>
      </w:r>
      <w:r w:rsidRPr="00924038">
        <w:t>is the same</w:t>
      </w:r>
      <w:r w:rsidR="00D015B3" w:rsidRPr="00924038">
        <w:t>,</w:t>
      </w:r>
      <w:r w:rsidRPr="00924038">
        <w:t xml:space="preserve"> </w:t>
      </w:r>
      <w:r w:rsidR="00D015B3" w:rsidRPr="00924038">
        <w:t xml:space="preserve">simply </w:t>
      </w:r>
      <w:r w:rsidRPr="00924038">
        <w:t>because they all are open class proceedings</w:t>
      </w:r>
      <w:r w:rsidR="00D015B3" w:rsidRPr="00924038">
        <w:t xml:space="preserve"> arising out of the same factual substratum</w:t>
      </w:r>
      <w:r w:rsidRPr="00924038">
        <w:t xml:space="preserve">.  Accordingly, despite my concern that this </w:t>
      </w:r>
      <w:r w:rsidR="00D015B3" w:rsidRPr="00924038">
        <w:t>is</w:t>
      </w:r>
      <w:r w:rsidRPr="00924038">
        <w:t xml:space="preserve"> an oversimplification, I shall proceed to determine the applications on this basis. </w:t>
      </w:r>
      <w:r w:rsidR="00516B16" w:rsidRPr="00924038">
        <w:t xml:space="preserve"> </w:t>
      </w:r>
    </w:p>
    <w:p w:rsidR="00661C35" w:rsidRPr="00924038" w:rsidRDefault="00661C35" w:rsidP="00A75FE4">
      <w:pPr>
        <w:pStyle w:val="Heading1"/>
      </w:pPr>
      <w:bookmarkStart w:id="39" w:name="_Ref514405610"/>
      <w:r w:rsidRPr="00924038">
        <w:t>D</w:t>
      </w:r>
      <w:r w:rsidRPr="00924038">
        <w:tab/>
      </w:r>
      <w:r w:rsidR="00584E9B" w:rsidRPr="00924038">
        <w:t xml:space="preserve">Remedial Response </w:t>
      </w:r>
      <w:r w:rsidR="00726DC4" w:rsidRPr="00924038">
        <w:t xml:space="preserve">to </w:t>
      </w:r>
      <w:r w:rsidR="00584E9B" w:rsidRPr="00924038">
        <w:t>Competing Class Actions: A Survey</w:t>
      </w:r>
      <w:bookmarkEnd w:id="39"/>
    </w:p>
    <w:p w:rsidR="00661C35" w:rsidRPr="00924038" w:rsidRDefault="00661C35" w:rsidP="00A75FE4">
      <w:pPr>
        <w:pStyle w:val="Heading2"/>
      </w:pPr>
      <w:bookmarkStart w:id="40" w:name="_Ref514405611"/>
      <w:r w:rsidRPr="00924038">
        <w:t>D.1</w:t>
      </w:r>
      <w:r w:rsidRPr="00924038">
        <w:tab/>
      </w:r>
      <w:proofErr w:type="gramStart"/>
      <w:r w:rsidRPr="00924038">
        <w:t>The</w:t>
      </w:r>
      <w:proofErr w:type="gramEnd"/>
      <w:r w:rsidRPr="00924038">
        <w:t xml:space="preserve"> Australian Experience</w:t>
      </w:r>
      <w:bookmarkEnd w:id="40"/>
    </w:p>
    <w:p w:rsidR="00661C35" w:rsidRPr="00924038" w:rsidRDefault="00BC4685" w:rsidP="00F46AFC">
      <w:pPr>
        <w:pStyle w:val="ParaNumbering"/>
      </w:pPr>
      <w:r w:rsidRPr="00924038">
        <w:t xml:space="preserve">A survey of competing </w:t>
      </w:r>
      <w:r w:rsidR="008830A6" w:rsidRPr="00924038">
        <w:t>Part IVA c</w:t>
      </w:r>
      <w:r w:rsidRPr="00924038">
        <w:t xml:space="preserve">lass actions commences with </w:t>
      </w:r>
      <w:r w:rsidR="00E25C48" w:rsidRPr="00924038">
        <w:rPr>
          <w:i/>
        </w:rPr>
        <w:t xml:space="preserve">Johnson Tiles Pty Ltd v Esso Australia Limited </w:t>
      </w:r>
      <w:r w:rsidR="00E25C48" w:rsidRPr="00924038">
        <w:rPr>
          <w:bCs/>
          <w:szCs w:val="24"/>
        </w:rPr>
        <w:t>[1999] FCA 56</w:t>
      </w:r>
      <w:r w:rsidR="00E25C48" w:rsidRPr="00924038">
        <w:t>; (1999) ATPR 41-679</w:t>
      </w:r>
      <w:r w:rsidR="00FB4106" w:rsidRPr="00924038">
        <w:t>.  In that case</w:t>
      </w:r>
      <w:r w:rsidR="007C35A9" w:rsidRPr="00924038">
        <w:t>,</w:t>
      </w:r>
      <w:r w:rsidR="00FB4106" w:rsidRPr="00924038">
        <w:t xml:space="preserve"> Merkel J was confronted with three competing class</w:t>
      </w:r>
      <w:r w:rsidR="00D4627E">
        <w:t xml:space="preserve"> actions.  His Honour considered</w:t>
      </w:r>
      <w:r w:rsidR="00FB4106" w:rsidRPr="00924038">
        <w:t xml:space="preserve"> that it would be vexatious and oppressive for the respondent to be subjected to more than one class action and ordered that the first and second proceedings be consolidated and the third proceeding be </w:t>
      </w:r>
      <w:r w:rsidR="008830A6" w:rsidRPr="00924038">
        <w:t xml:space="preserve">declassed and </w:t>
      </w:r>
      <w:r w:rsidR="00FB4106" w:rsidRPr="00924038">
        <w:t>stayed.  The choice of lawyers was dealt with by allowing two firms of solicitors to stay on the record</w:t>
      </w:r>
      <w:r w:rsidR="007C35A9" w:rsidRPr="00924038">
        <w:t>,</w:t>
      </w:r>
      <w:r w:rsidR="00FB4106" w:rsidRPr="00924038">
        <w:t xml:space="preserve"> but requiring them to engage one set of counsel.  </w:t>
      </w:r>
    </w:p>
    <w:p w:rsidR="00FB4106" w:rsidRPr="00924038" w:rsidRDefault="00FB4106" w:rsidP="00F46AFC">
      <w:pPr>
        <w:pStyle w:val="ParaNumbering"/>
      </w:pPr>
      <w:r w:rsidRPr="00924038">
        <w:t>The next case deserving mention was the class action against various Centro entities.  Two class actions were brought by Mr Kirby, who instructed Maurice Blackburn on behalf of a closed group</w:t>
      </w:r>
      <w:r w:rsidR="007C35A9" w:rsidRPr="00924038">
        <w:t>,</w:t>
      </w:r>
      <w:r w:rsidRPr="00924038">
        <w:t xml:space="preserve"> and another action was commenced by Mr Vlachos and others which </w:t>
      </w:r>
      <w:r w:rsidR="007C35A9" w:rsidRPr="00924038">
        <w:t>represented</w:t>
      </w:r>
      <w:r w:rsidRPr="00924038">
        <w:t xml:space="preserve"> the balance of the class</w:t>
      </w:r>
      <w:r w:rsidR="007C35A9" w:rsidRPr="00924038">
        <w:t>,</w:t>
      </w:r>
      <w:r w:rsidRPr="00924038">
        <w:t xml:space="preserve"> excluding </w:t>
      </w:r>
      <w:r w:rsidR="00FA6866" w:rsidRPr="00924038">
        <w:t xml:space="preserve">those who were group members in the class actions commenced by Mr Kirby.  In this way the three class actions did not have overlapping membership but Finkelstein J observed that they shared </w:t>
      </w:r>
      <w:r w:rsidR="006C0470" w:rsidRPr="00924038">
        <w:t xml:space="preserve">a </w:t>
      </w:r>
      <w:r w:rsidR="00FA6866" w:rsidRPr="00924038">
        <w:t xml:space="preserve">nucleus of operative </w:t>
      </w:r>
      <w:r w:rsidR="00FA6866" w:rsidRPr="00924038">
        <w:lastRenderedPageBreak/>
        <w:t>facts and would result in initial trials raising the same or similar issues.  In words redolent of Edward VIII while Prince of Wales, his Honour indicated that “</w:t>
      </w:r>
      <w:r w:rsidR="00FA6866" w:rsidRPr="00924038">
        <w:rPr>
          <w:i/>
        </w:rPr>
        <w:t>something must be done</w:t>
      </w:r>
      <w:r w:rsidR="00FA6866" w:rsidRPr="00924038">
        <w:t xml:space="preserve">” and his Honour considered a number of </w:t>
      </w:r>
      <w:r w:rsidR="006C0470" w:rsidRPr="00924038">
        <w:t xml:space="preserve">options </w:t>
      </w:r>
      <w:r w:rsidR="007C35A9" w:rsidRPr="00924038">
        <w:t xml:space="preserve">in </w:t>
      </w:r>
      <w:r w:rsidR="007C35A9" w:rsidRPr="00924038">
        <w:rPr>
          <w:i/>
        </w:rPr>
        <w:t xml:space="preserve">Kirby v Centro Properties Ltd </w:t>
      </w:r>
      <w:r w:rsidR="007C35A9" w:rsidRPr="00924038">
        <w:t xml:space="preserve">[2008] FCA 1505; (2008) 253 ALR 65, </w:t>
      </w:r>
      <w:r w:rsidR="00FA6866" w:rsidRPr="00924038">
        <w:t xml:space="preserve">including allowing one proceeding to proceed as a test case, consolidation or a joint trial.  </w:t>
      </w:r>
      <w:r w:rsidR="00250BE4" w:rsidRPr="00924038">
        <w:t xml:space="preserve">The suggestion of an independently selected litigation committee was raised which would have solicited the </w:t>
      </w:r>
      <w:r w:rsidR="009D2358" w:rsidRPr="00924038">
        <w:t>views of group members, information about the experience of the solicitors, fees and the terms of litigation funding.  Shortly thereafter</w:t>
      </w:r>
      <w:r w:rsidR="007C35A9" w:rsidRPr="00924038">
        <w:t>,</w:t>
      </w:r>
      <w:r w:rsidR="009D2358" w:rsidRPr="00924038">
        <w:t xml:space="preserve"> Finkelstein J, for entirely unrelated reasons, disqualified himself from hearing the litigation and when the matter was transferred</w:t>
      </w:r>
      <w:r w:rsidR="007C35A9" w:rsidRPr="00924038">
        <w:t>,</w:t>
      </w:r>
      <w:r w:rsidR="009D2358" w:rsidRPr="00924038">
        <w:t xml:space="preserve"> the notion of a litigation committee was not pursued and a joint trial took place.  </w:t>
      </w:r>
    </w:p>
    <w:p w:rsidR="00BC0855" w:rsidRPr="00924038" w:rsidRDefault="009D2358" w:rsidP="00F46AFC">
      <w:pPr>
        <w:pStyle w:val="ParaNumbering"/>
      </w:pPr>
      <w:r w:rsidRPr="00924038">
        <w:t>Without seeking to be exhaustive</w:t>
      </w:r>
      <w:r w:rsidR="007C35A9" w:rsidRPr="00924038">
        <w:t>,</w:t>
      </w:r>
      <w:r w:rsidRPr="00924038">
        <w:t xml:space="preserve"> and </w:t>
      </w:r>
      <w:r w:rsidR="00E01B7A" w:rsidRPr="00924038">
        <w:t xml:space="preserve">leaving to one side those cases where there was suggestion that one competing class </w:t>
      </w:r>
      <w:r w:rsidR="007C35A9" w:rsidRPr="00924038">
        <w:t>action</w:t>
      </w:r>
      <w:r w:rsidR="00E01B7A" w:rsidRPr="00924038">
        <w:t xml:space="preserve"> amounted to an abuse of process for reasons other than </w:t>
      </w:r>
      <w:r w:rsidR="00284EF3" w:rsidRPr="00924038">
        <w:t>it being duplicative, five</w:t>
      </w:r>
      <w:r w:rsidR="0003437B" w:rsidRPr="00924038">
        <w:t xml:space="preserve"> further cases call for some examination.</w:t>
      </w:r>
      <w:r w:rsidR="00BC0855" w:rsidRPr="00924038">
        <w:t xml:space="preserve">  The first two of these cases can, however, be dealt with in a relatively summary way. </w:t>
      </w:r>
    </w:p>
    <w:p w:rsidR="00D0060D" w:rsidRPr="00924038" w:rsidRDefault="0003437B" w:rsidP="00B97C34">
      <w:pPr>
        <w:pStyle w:val="ParaNumbering"/>
        <w:rPr>
          <w:szCs w:val="24"/>
        </w:rPr>
      </w:pPr>
      <w:r w:rsidRPr="00924038">
        <w:t xml:space="preserve">The </w:t>
      </w:r>
      <w:r w:rsidRPr="00924038">
        <w:rPr>
          <w:i/>
        </w:rPr>
        <w:t>first</w:t>
      </w:r>
      <w:r w:rsidRPr="00924038">
        <w:t xml:space="preserve"> is the decision of Ball J in </w:t>
      </w:r>
      <w:r w:rsidR="00B97C34" w:rsidRPr="00924038">
        <w:rPr>
          <w:i/>
        </w:rPr>
        <w:t>Australian Executor Trustees</w:t>
      </w:r>
      <w:r w:rsidR="007C35A9" w:rsidRPr="00924038">
        <w:rPr>
          <w:i/>
        </w:rPr>
        <w:t xml:space="preserve"> </w:t>
      </w:r>
      <w:r w:rsidR="007C35A9" w:rsidRPr="00924038">
        <w:t>to which I have already made reference above</w:t>
      </w:r>
      <w:r w:rsidRPr="00924038">
        <w:t xml:space="preserve">.  </w:t>
      </w:r>
      <w:r w:rsidR="00097319" w:rsidRPr="00924038">
        <w:t xml:space="preserve">This </w:t>
      </w:r>
      <w:r w:rsidR="007C35A9" w:rsidRPr="00924038">
        <w:t xml:space="preserve">case </w:t>
      </w:r>
      <w:r w:rsidR="00C07487" w:rsidRPr="00924038">
        <w:t xml:space="preserve">was not a </w:t>
      </w:r>
      <w:r w:rsidR="00097319" w:rsidRPr="00924038">
        <w:t xml:space="preserve">securities class action and </w:t>
      </w:r>
      <w:r w:rsidR="007C35A9" w:rsidRPr="00924038">
        <w:t xml:space="preserve">was </w:t>
      </w:r>
      <w:r w:rsidR="00097319" w:rsidRPr="00924038">
        <w:t xml:space="preserve">an </w:t>
      </w:r>
      <w:r w:rsidR="007C35A9" w:rsidRPr="00924038">
        <w:t>‘</w:t>
      </w:r>
      <w:r w:rsidR="005D7089" w:rsidRPr="00924038">
        <w:t>outlier</w:t>
      </w:r>
      <w:r w:rsidR="007C35A9" w:rsidRPr="00924038">
        <w:t>’</w:t>
      </w:r>
      <w:r w:rsidR="005D7089" w:rsidRPr="00924038">
        <w:t xml:space="preserve"> in the sense that </w:t>
      </w:r>
      <w:r w:rsidR="00AF419A" w:rsidRPr="00924038">
        <w:t>although there were duplicate representative proceedings</w:t>
      </w:r>
      <w:r w:rsidR="00D5562F" w:rsidRPr="00924038">
        <w:t>,</w:t>
      </w:r>
      <w:r w:rsidR="00AF419A" w:rsidRPr="00924038">
        <w:t xml:space="preserve"> the cases advanced in each </w:t>
      </w:r>
      <w:r w:rsidR="007C35A9" w:rsidRPr="00924038">
        <w:t xml:space="preserve">of the </w:t>
      </w:r>
      <w:r w:rsidR="00AF419A" w:rsidRPr="00924038">
        <w:t>proceedings were sufficiently different that there was a prospect that one case could have won and yet the other may have lost</w:t>
      </w:r>
      <w:r w:rsidR="00D50A46" w:rsidRPr="00924038">
        <w:t xml:space="preserve">.  </w:t>
      </w:r>
      <w:r w:rsidR="0028586F" w:rsidRPr="00924038">
        <w:t xml:space="preserve">Although </w:t>
      </w:r>
      <w:r w:rsidR="007C35A9" w:rsidRPr="00924038">
        <w:t>Ball J</w:t>
      </w:r>
      <w:r w:rsidR="0028586F" w:rsidRPr="00924038">
        <w:t xml:space="preserve"> found it would not be in the interests of justice to let both proceedings continue with overlapping group members, </w:t>
      </w:r>
      <w:r w:rsidR="007C35A9" w:rsidRPr="00924038">
        <w:t>his Honour</w:t>
      </w:r>
      <w:r w:rsidR="00D5562F" w:rsidRPr="00924038">
        <w:t xml:space="preserve"> </w:t>
      </w:r>
      <w:r w:rsidR="0028586F" w:rsidRPr="00924038">
        <w:t xml:space="preserve">was not prepared to stay one of the proceedings </w:t>
      </w:r>
      <w:r w:rsidR="00D5562F" w:rsidRPr="00924038">
        <w:t xml:space="preserve">as it would </w:t>
      </w:r>
      <w:r w:rsidR="0028586F" w:rsidRPr="00924038">
        <w:t xml:space="preserve">involve the Court making a choice between two proceedings in circumstances </w:t>
      </w:r>
      <w:r w:rsidR="007211D4" w:rsidRPr="00924038">
        <w:t xml:space="preserve">where it was inappropriate to express a view on the merits of the </w:t>
      </w:r>
      <w:r w:rsidR="00D5562F" w:rsidRPr="00924038">
        <w:t xml:space="preserve">competing </w:t>
      </w:r>
      <w:r w:rsidR="007211D4" w:rsidRPr="00924038">
        <w:t>claims.  In this regard</w:t>
      </w:r>
      <w:r w:rsidR="00D5562F" w:rsidRPr="00924038">
        <w:t>,</w:t>
      </w:r>
      <w:r w:rsidR="007211D4" w:rsidRPr="00924038">
        <w:t xml:space="preserve"> Ball J indicated that the position may be different if one claim was obviously flawed or the claims brought in one proceeding were a subset of those brought in the other: see [41].  </w:t>
      </w:r>
      <w:r w:rsidR="00786885">
        <w:t>A</w:t>
      </w:r>
      <w:r w:rsidR="007211D4" w:rsidRPr="00924038">
        <w:t xml:space="preserve">n order was made for the two proceedings to be heard together with evidence in one being evidence in the other.  </w:t>
      </w:r>
    </w:p>
    <w:p w:rsidR="007C5CD8" w:rsidRPr="00924038" w:rsidRDefault="007211D4" w:rsidP="00B97C34">
      <w:pPr>
        <w:pStyle w:val="ParaNumbering"/>
        <w:rPr>
          <w:szCs w:val="24"/>
        </w:rPr>
      </w:pPr>
      <w:r w:rsidRPr="00924038">
        <w:t xml:space="preserve">The circumstances arising in the </w:t>
      </w:r>
      <w:r w:rsidRPr="00924038">
        <w:rPr>
          <w:i/>
        </w:rPr>
        <w:t xml:space="preserve">second </w:t>
      </w:r>
      <w:r w:rsidRPr="00924038">
        <w:t>case</w:t>
      </w:r>
      <w:r w:rsidR="007C35A9" w:rsidRPr="00924038">
        <w:t>,</w:t>
      </w:r>
      <w:r w:rsidRPr="00924038">
        <w:t xml:space="preserve"> </w:t>
      </w:r>
      <w:r w:rsidRPr="00924038">
        <w:rPr>
          <w:i/>
        </w:rPr>
        <w:t xml:space="preserve">Hassid v Queensland Bulk Water Supply Authority </w:t>
      </w:r>
      <w:r w:rsidR="007C35A9" w:rsidRPr="00924038">
        <w:t>[2017]</w:t>
      </w:r>
      <w:r w:rsidRPr="00924038">
        <w:t xml:space="preserve"> NSWSC 599</w:t>
      </w:r>
      <w:r w:rsidR="007C35A9" w:rsidRPr="00924038">
        <w:t>,</w:t>
      </w:r>
      <w:r w:rsidRPr="00924038">
        <w:t xml:space="preserve"> were also singular.  This was </w:t>
      </w:r>
      <w:r w:rsidR="00C07487" w:rsidRPr="00924038">
        <w:t xml:space="preserve">also </w:t>
      </w:r>
      <w:r w:rsidR="00097319" w:rsidRPr="00924038">
        <w:t xml:space="preserve">not a securities class action and was a case where </w:t>
      </w:r>
      <w:r w:rsidR="00786885">
        <w:t>the problem could be traced to a</w:t>
      </w:r>
      <w:r w:rsidRPr="00924038">
        <w:t xml:space="preserve"> class action applicant </w:t>
      </w:r>
      <w:r w:rsidR="00786885">
        <w:t>purporting</w:t>
      </w:r>
      <w:r w:rsidRPr="00924038">
        <w:t xml:space="preserve"> to exclude certain group member claims from b</w:t>
      </w:r>
      <w:r w:rsidR="00786885">
        <w:t>eing agitated in the proceeding</w:t>
      </w:r>
      <w:r w:rsidRPr="00924038">
        <w:t xml:space="preserve">.  This course was based on a misapprehension of how group membership in Part IVA proceedings operates.  A point I </w:t>
      </w:r>
      <w:r w:rsidR="00D5562F" w:rsidRPr="00924038">
        <w:t xml:space="preserve">have </w:t>
      </w:r>
      <w:r w:rsidRPr="00924038">
        <w:t xml:space="preserve">made elsewhere </w:t>
      </w:r>
      <w:r w:rsidR="00D5562F" w:rsidRPr="00924038">
        <w:t xml:space="preserve">is </w:t>
      </w:r>
      <w:r w:rsidRPr="00924038">
        <w:t xml:space="preserve">that group membership is a collection of </w:t>
      </w:r>
      <w:r w:rsidRPr="00924038">
        <w:rPr>
          <w:i/>
        </w:rPr>
        <w:t xml:space="preserve">persons </w:t>
      </w:r>
      <w:r w:rsidRPr="00924038">
        <w:t xml:space="preserve">and not a </w:t>
      </w:r>
      <w:r w:rsidRPr="00924038">
        <w:lastRenderedPageBreak/>
        <w:t xml:space="preserve">collection of </w:t>
      </w:r>
      <w:r w:rsidRPr="00924038">
        <w:rPr>
          <w:i/>
        </w:rPr>
        <w:t>claims of those persons</w:t>
      </w:r>
      <w:r w:rsidRPr="00924038">
        <w:t xml:space="preserve">: see </w:t>
      </w:r>
      <w:r w:rsidRPr="00924038">
        <w:rPr>
          <w:i/>
        </w:rPr>
        <w:t>Dillon v R</w:t>
      </w:r>
      <w:r w:rsidR="005F79F8" w:rsidRPr="00924038">
        <w:rPr>
          <w:i/>
        </w:rPr>
        <w:t>B</w:t>
      </w:r>
      <w:r w:rsidRPr="00924038">
        <w:rPr>
          <w:i/>
        </w:rPr>
        <w:t xml:space="preserve">S Group (Australia) Pty Ltd </w:t>
      </w:r>
      <w:r w:rsidRPr="00924038">
        <w:t>[2017] FCA 896</w:t>
      </w:r>
      <w:r w:rsidR="007D1757" w:rsidRPr="00924038">
        <w:t>; (2017) 252 FCR 150</w:t>
      </w:r>
      <w:r w:rsidRPr="00924038">
        <w:t xml:space="preserve"> at </w:t>
      </w:r>
      <w:r w:rsidR="007D1757" w:rsidRPr="00924038">
        <w:t xml:space="preserve">163 </w:t>
      </w:r>
      <w:r w:rsidR="00A40CA9">
        <w:t xml:space="preserve">[58].  </w:t>
      </w:r>
      <w:r w:rsidR="005F79F8" w:rsidRPr="00924038">
        <w:rPr>
          <w:szCs w:val="24"/>
        </w:rPr>
        <w:t>Beech-Jones J made orders which had the effect of removing overlapping group members.</w:t>
      </w:r>
      <w:r w:rsidR="007C5CD8" w:rsidRPr="00924038">
        <w:rPr>
          <w:szCs w:val="24"/>
        </w:rPr>
        <w:t xml:space="preserve"> </w:t>
      </w:r>
    </w:p>
    <w:p w:rsidR="007C5CD8" w:rsidRPr="00924038" w:rsidRDefault="00E72BC0" w:rsidP="00E72BC0">
      <w:pPr>
        <w:pStyle w:val="ParaNumbering"/>
        <w:rPr>
          <w:szCs w:val="24"/>
        </w:rPr>
      </w:pPr>
      <w:r w:rsidRPr="00924038">
        <w:rPr>
          <w:szCs w:val="24"/>
        </w:rPr>
        <w:t xml:space="preserve">The third case is </w:t>
      </w:r>
      <w:r w:rsidRPr="00924038">
        <w:rPr>
          <w:i/>
          <w:szCs w:val="24"/>
        </w:rPr>
        <w:t>Bellamy’s</w:t>
      </w:r>
      <w:r w:rsidRPr="00924038">
        <w:rPr>
          <w:szCs w:val="24"/>
        </w:rPr>
        <w:t xml:space="preserve">, to which reference has </w:t>
      </w:r>
      <w:r w:rsidR="007D1757" w:rsidRPr="00924038">
        <w:rPr>
          <w:szCs w:val="24"/>
        </w:rPr>
        <w:t xml:space="preserve">also </w:t>
      </w:r>
      <w:r w:rsidRPr="00924038">
        <w:rPr>
          <w:szCs w:val="24"/>
        </w:rPr>
        <w:t>already been made.  Before the Court were two open class actions both of which had a very substantial number of group members who had signed funding agreements (one action had 1500 group members who had signed funding agreements, and the other “</w:t>
      </w:r>
      <w:r w:rsidRPr="00924038">
        <w:rPr>
          <w:i/>
          <w:szCs w:val="24"/>
        </w:rPr>
        <w:t>over 1000</w:t>
      </w:r>
      <w:r w:rsidRPr="00924038">
        <w:rPr>
          <w:szCs w:val="24"/>
        </w:rPr>
        <w:t>”: see [2]</w:t>
      </w:r>
      <w:r w:rsidR="007D1757" w:rsidRPr="00924038">
        <w:rPr>
          <w:szCs w:val="24"/>
        </w:rPr>
        <w:t>-[</w:t>
      </w:r>
      <w:r w:rsidRPr="00924038">
        <w:rPr>
          <w:szCs w:val="24"/>
        </w:rPr>
        <w:t xml:space="preserve">3]). </w:t>
      </w:r>
      <w:r w:rsidR="00F72F43">
        <w:rPr>
          <w:szCs w:val="24"/>
        </w:rPr>
        <w:t xml:space="preserve"> </w:t>
      </w:r>
      <w:r w:rsidRPr="00924038">
        <w:rPr>
          <w:szCs w:val="24"/>
        </w:rPr>
        <w:t>His Honour started from the premise that it was necessary to resolve the ov</w:t>
      </w:r>
      <w:r w:rsidR="00786885">
        <w:rPr>
          <w:szCs w:val="24"/>
        </w:rPr>
        <w:t xml:space="preserve">erlap in class </w:t>
      </w:r>
      <w:r w:rsidR="006A6183" w:rsidRPr="00924038">
        <w:rPr>
          <w:szCs w:val="24"/>
        </w:rPr>
        <w:t xml:space="preserve">definitions, </w:t>
      </w:r>
      <w:r w:rsidRPr="00924038">
        <w:rPr>
          <w:szCs w:val="24"/>
        </w:rPr>
        <w:t>and then identified five options (at [9]) being:</w:t>
      </w:r>
    </w:p>
    <w:p w:rsidR="007C5CD8" w:rsidRDefault="007D1757" w:rsidP="00744C10">
      <w:pPr>
        <w:pStyle w:val="Order2"/>
        <w:numPr>
          <w:ilvl w:val="1"/>
          <w:numId w:val="29"/>
        </w:numPr>
      </w:pPr>
      <w:r w:rsidRPr="00FB5D3C">
        <w:t>“</w:t>
      </w:r>
      <w:r w:rsidR="00E72BC0" w:rsidRPr="00FB5D3C">
        <w:rPr>
          <w:i/>
        </w:rPr>
        <w:t>Consolidation</w:t>
      </w:r>
      <w:r w:rsidRPr="00FB5D3C">
        <w:t>”</w:t>
      </w:r>
      <w:r w:rsidR="00E72BC0" w:rsidRPr="00FB5D3C">
        <w:t>, which Beach J considered inappropriate in the absence of agreement</w:t>
      </w:r>
      <w:r w:rsidRPr="00FB5D3C">
        <w:t xml:space="preserve"> in circumstances</w:t>
      </w:r>
      <w:r w:rsidR="00E72BC0" w:rsidRPr="00FB5D3C">
        <w:t xml:space="preserve"> where there were different litigation funders and different solicitors: [11]</w:t>
      </w:r>
      <w:r w:rsidRPr="00FB5D3C">
        <w:t>-</w:t>
      </w:r>
      <w:r w:rsidR="00E72BC0" w:rsidRPr="00FB5D3C">
        <w:t>[14];</w:t>
      </w:r>
    </w:p>
    <w:p w:rsidR="00FB5D3C" w:rsidRPr="00FB5D3C" w:rsidRDefault="00FB5D3C" w:rsidP="00744C10">
      <w:pPr>
        <w:pStyle w:val="Order2"/>
        <w:numPr>
          <w:ilvl w:val="1"/>
          <w:numId w:val="29"/>
        </w:numPr>
      </w:pPr>
      <w:r w:rsidRPr="00924038">
        <w:rPr>
          <w:szCs w:val="24"/>
        </w:rPr>
        <w:t>“</w:t>
      </w:r>
      <w:r w:rsidRPr="00924038">
        <w:rPr>
          <w:i/>
          <w:szCs w:val="24"/>
        </w:rPr>
        <w:t>Declassing</w:t>
      </w:r>
      <w:r w:rsidRPr="00924038">
        <w:rPr>
          <w:szCs w:val="24"/>
        </w:rPr>
        <w:t>”, which Beach J considered was not appropriate in circumstances where s 33N was properly construed as requiring a comparison between a representative proceeding and a non-representative proceeding: [15]-[20] (an issue to which I will return);</w:t>
      </w:r>
    </w:p>
    <w:p w:rsidR="00FB5D3C" w:rsidRPr="00FB5D3C" w:rsidRDefault="00FB5D3C" w:rsidP="00744C10">
      <w:pPr>
        <w:pStyle w:val="Order2"/>
        <w:numPr>
          <w:ilvl w:val="1"/>
          <w:numId w:val="29"/>
        </w:numPr>
      </w:pPr>
      <w:r w:rsidRPr="00924038">
        <w:rPr>
          <w:szCs w:val="24"/>
        </w:rPr>
        <w:t>“</w:t>
      </w:r>
      <w:r w:rsidRPr="00924038">
        <w:rPr>
          <w:i/>
          <w:szCs w:val="24"/>
        </w:rPr>
        <w:t>Wait and see</w:t>
      </w:r>
      <w:r w:rsidRPr="00924038">
        <w:rPr>
          <w:szCs w:val="24"/>
        </w:rPr>
        <w:t>”, the benefits of which Beach J considered were outweighed by the desirability of group members being in no doubt as to their position sooner rather than later, especially where common fund orders were to be sought: [21]-[22];</w:t>
      </w:r>
    </w:p>
    <w:p w:rsidR="00FB5D3C" w:rsidRPr="00FB5D3C" w:rsidRDefault="00FB5D3C" w:rsidP="00744C10">
      <w:pPr>
        <w:pStyle w:val="Order2"/>
        <w:numPr>
          <w:ilvl w:val="1"/>
          <w:numId w:val="29"/>
        </w:numPr>
      </w:pPr>
      <w:r w:rsidRPr="00924038">
        <w:rPr>
          <w:szCs w:val="24"/>
        </w:rPr>
        <w:t>“</w:t>
      </w:r>
      <w:r w:rsidRPr="00924038">
        <w:rPr>
          <w:i/>
          <w:szCs w:val="24"/>
        </w:rPr>
        <w:t>Permanent stay</w:t>
      </w:r>
      <w:r w:rsidRPr="00924038">
        <w:rPr>
          <w:szCs w:val="24"/>
        </w:rPr>
        <w:t>”</w:t>
      </w:r>
      <w:r w:rsidRPr="00924038">
        <w:rPr>
          <w:i/>
          <w:szCs w:val="24"/>
        </w:rPr>
        <w:t xml:space="preserve"> </w:t>
      </w:r>
      <w:r w:rsidRPr="00924038">
        <w:rPr>
          <w:szCs w:val="24"/>
        </w:rPr>
        <w:t>of one proceeding, which, as discussed below, his Honour considered in some detail but, in the particular circumstances of the case, rejected: [26]-[60];</w:t>
      </w:r>
    </w:p>
    <w:p w:rsidR="00FB5D3C" w:rsidRPr="00FB5D3C" w:rsidRDefault="00FB5D3C" w:rsidP="00744C10">
      <w:pPr>
        <w:pStyle w:val="Order2"/>
        <w:numPr>
          <w:ilvl w:val="1"/>
          <w:numId w:val="29"/>
        </w:numPr>
      </w:pPr>
      <w:r w:rsidRPr="00924038">
        <w:rPr>
          <w:szCs w:val="24"/>
        </w:rPr>
        <w:t>“</w:t>
      </w:r>
      <w:r w:rsidRPr="00924038">
        <w:rPr>
          <w:i/>
          <w:szCs w:val="24"/>
        </w:rPr>
        <w:t>Class closure</w:t>
      </w:r>
      <w:r w:rsidRPr="00924038">
        <w:rPr>
          <w:szCs w:val="24"/>
        </w:rPr>
        <w:t>”</w:t>
      </w:r>
      <w:r w:rsidRPr="00924038">
        <w:rPr>
          <w:i/>
          <w:szCs w:val="24"/>
        </w:rPr>
        <w:t xml:space="preserve"> </w:t>
      </w:r>
      <w:r w:rsidRPr="00924038">
        <w:rPr>
          <w:szCs w:val="24"/>
        </w:rPr>
        <w:t>in one proceeding, which was the course ultimately adopted: [61</w:t>
      </w:r>
      <w:proofErr w:type="gramStart"/>
      <w:r w:rsidRPr="00924038">
        <w:rPr>
          <w:szCs w:val="24"/>
        </w:rPr>
        <w:t>]ff</w:t>
      </w:r>
      <w:proofErr w:type="gramEnd"/>
      <w:r w:rsidRPr="00924038">
        <w:rPr>
          <w:szCs w:val="24"/>
        </w:rPr>
        <w:t>.</w:t>
      </w:r>
    </w:p>
    <w:p w:rsidR="009B424A" w:rsidRPr="00924038" w:rsidRDefault="00D37A5C" w:rsidP="00D37A5C">
      <w:pPr>
        <w:pStyle w:val="ParaNumbering"/>
        <w:rPr>
          <w:szCs w:val="24"/>
        </w:rPr>
      </w:pPr>
      <w:r w:rsidRPr="00924038">
        <w:rPr>
          <w:szCs w:val="24"/>
        </w:rPr>
        <w:t>In summary</w:t>
      </w:r>
      <w:r w:rsidR="00A40CA9">
        <w:rPr>
          <w:szCs w:val="24"/>
        </w:rPr>
        <w:t>, his Honour</w:t>
      </w:r>
      <w:r w:rsidRPr="00924038">
        <w:rPr>
          <w:szCs w:val="24"/>
        </w:rPr>
        <w:t xml:space="preserve"> determined not to </w:t>
      </w:r>
      <w:r w:rsidR="00F72F43" w:rsidRPr="00924038">
        <w:rPr>
          <w:szCs w:val="24"/>
        </w:rPr>
        <w:t xml:space="preserve">permanently </w:t>
      </w:r>
      <w:r w:rsidRPr="00924038">
        <w:rPr>
          <w:szCs w:val="24"/>
        </w:rPr>
        <w:t xml:space="preserve">stay one of the proceedings but to close the class in one, allow the other to remain as an open class proceeding, and to have a joint trial of both proceedings.  Group members in the closed class were excluded from the open class to avoid overlapping and mechanisms </w:t>
      </w:r>
      <w:r w:rsidR="00014D42">
        <w:rPr>
          <w:szCs w:val="24"/>
        </w:rPr>
        <w:t xml:space="preserve">were imposed </w:t>
      </w:r>
      <w:r w:rsidRPr="00924038">
        <w:rPr>
          <w:szCs w:val="24"/>
        </w:rPr>
        <w:t xml:space="preserve">to minimise duplication of work and expense.  As noted above, however, Beach J made plain that but for the fact that a substantial number of group members had committed themselves to litigation funding </w:t>
      </w:r>
      <w:r w:rsidRPr="00924038">
        <w:rPr>
          <w:szCs w:val="24"/>
        </w:rPr>
        <w:lastRenderedPageBreak/>
        <w:t xml:space="preserve">agreements and retainers in each proceeding, he would have permanently stayed one of them: </w:t>
      </w:r>
      <w:r w:rsidR="007D1757" w:rsidRPr="00924038">
        <w:rPr>
          <w:szCs w:val="24"/>
        </w:rPr>
        <w:t xml:space="preserve">at </w:t>
      </w:r>
      <w:r w:rsidRPr="00924038">
        <w:rPr>
          <w:szCs w:val="24"/>
        </w:rPr>
        <w:t>[8], [96]</w:t>
      </w:r>
      <w:r w:rsidR="007D1757" w:rsidRPr="00924038">
        <w:rPr>
          <w:szCs w:val="24"/>
        </w:rPr>
        <w:t>-</w:t>
      </w:r>
      <w:r w:rsidRPr="00924038">
        <w:rPr>
          <w:szCs w:val="24"/>
        </w:rPr>
        <w:t>[97].</w:t>
      </w:r>
      <w:r w:rsidR="007C5CD8" w:rsidRPr="00924038">
        <w:rPr>
          <w:szCs w:val="24"/>
        </w:rPr>
        <w:t xml:space="preserve"> </w:t>
      </w:r>
    </w:p>
    <w:p w:rsidR="003A1BDA" w:rsidRPr="00924038" w:rsidRDefault="00867B3C" w:rsidP="00B97C34">
      <w:pPr>
        <w:pStyle w:val="ParaNumbering"/>
        <w:rPr>
          <w:szCs w:val="24"/>
        </w:rPr>
      </w:pPr>
      <w:r w:rsidRPr="00924038">
        <w:rPr>
          <w:i/>
          <w:szCs w:val="24"/>
        </w:rPr>
        <w:t>Fourthly</w:t>
      </w:r>
      <w:r w:rsidRPr="00924038">
        <w:rPr>
          <w:szCs w:val="24"/>
        </w:rPr>
        <w:t xml:space="preserve">, </w:t>
      </w:r>
      <w:r w:rsidR="003A1BDA" w:rsidRPr="00924038">
        <w:rPr>
          <w:szCs w:val="24"/>
        </w:rPr>
        <w:t xml:space="preserve">reference should also be made to the decision of Foster J in </w:t>
      </w:r>
      <w:r w:rsidR="003A1BDA" w:rsidRPr="00924038">
        <w:rPr>
          <w:i/>
          <w:szCs w:val="24"/>
        </w:rPr>
        <w:t>Cantor v Audi Australia Pty L</w:t>
      </w:r>
      <w:r w:rsidR="007D1757" w:rsidRPr="00924038">
        <w:rPr>
          <w:i/>
          <w:szCs w:val="24"/>
        </w:rPr>
        <w:t>imi</w:t>
      </w:r>
      <w:r w:rsidR="003A1BDA" w:rsidRPr="00924038">
        <w:rPr>
          <w:i/>
          <w:szCs w:val="24"/>
        </w:rPr>
        <w:t>t</w:t>
      </w:r>
      <w:r w:rsidR="007D1757" w:rsidRPr="00924038">
        <w:rPr>
          <w:i/>
          <w:szCs w:val="24"/>
        </w:rPr>
        <w:t>e</w:t>
      </w:r>
      <w:r w:rsidR="003A1BDA" w:rsidRPr="00924038">
        <w:rPr>
          <w:i/>
          <w:szCs w:val="24"/>
        </w:rPr>
        <w:t xml:space="preserve">d (No 2) </w:t>
      </w:r>
      <w:r w:rsidR="003A1BDA" w:rsidRPr="00924038">
        <w:rPr>
          <w:szCs w:val="24"/>
        </w:rPr>
        <w:t>[2017] FCA 1042</w:t>
      </w:r>
      <w:r w:rsidR="00164917" w:rsidRPr="00924038">
        <w:rPr>
          <w:szCs w:val="24"/>
        </w:rPr>
        <w:t xml:space="preserve">.  </w:t>
      </w:r>
      <w:r w:rsidR="00014D42">
        <w:rPr>
          <w:szCs w:val="24"/>
        </w:rPr>
        <w:t>This involved</w:t>
      </w:r>
      <w:r w:rsidR="00164917" w:rsidRPr="00924038">
        <w:rPr>
          <w:szCs w:val="24"/>
        </w:rPr>
        <w:t xml:space="preserve"> two class actions commenced by one firm of solicitors and three class actions commenced by another firm</w:t>
      </w:r>
      <w:r w:rsidR="00C85D76" w:rsidRPr="00924038">
        <w:rPr>
          <w:szCs w:val="24"/>
        </w:rPr>
        <w:t xml:space="preserve">.  Further </w:t>
      </w:r>
      <w:r w:rsidR="006A6183" w:rsidRPr="00924038">
        <w:rPr>
          <w:szCs w:val="24"/>
        </w:rPr>
        <w:t xml:space="preserve">related </w:t>
      </w:r>
      <w:r w:rsidR="00C85D76" w:rsidRPr="00924038">
        <w:rPr>
          <w:szCs w:val="24"/>
        </w:rPr>
        <w:t>proceedings were also commenced by the Australian Competition and Consumer Commission</w:t>
      </w:r>
      <w:r w:rsidR="00014D42">
        <w:rPr>
          <w:szCs w:val="24"/>
        </w:rPr>
        <w:t xml:space="preserve">.  All </w:t>
      </w:r>
      <w:r w:rsidR="00C76185" w:rsidRPr="00924038">
        <w:rPr>
          <w:szCs w:val="24"/>
        </w:rPr>
        <w:t xml:space="preserve">proceedings were being case managed together </w:t>
      </w:r>
      <w:r w:rsidR="007D1757" w:rsidRPr="00924038">
        <w:rPr>
          <w:szCs w:val="24"/>
        </w:rPr>
        <w:t>and</w:t>
      </w:r>
      <w:r w:rsidR="00C76185" w:rsidRPr="00924038">
        <w:rPr>
          <w:szCs w:val="24"/>
        </w:rPr>
        <w:t xml:space="preserve"> the Court</w:t>
      </w:r>
      <w:r w:rsidR="007D1757" w:rsidRPr="00924038">
        <w:rPr>
          <w:szCs w:val="24"/>
        </w:rPr>
        <w:t xml:space="preserve"> had</w:t>
      </w:r>
      <w:r w:rsidR="00C76185" w:rsidRPr="00924038">
        <w:rPr>
          <w:szCs w:val="24"/>
        </w:rPr>
        <w:t>, at the time of the judgment, fixed a hearing</w:t>
      </w:r>
      <w:r w:rsidR="007D1757" w:rsidRPr="00924038">
        <w:rPr>
          <w:szCs w:val="24"/>
        </w:rPr>
        <w:t xml:space="preserve"> date</w:t>
      </w:r>
      <w:r w:rsidR="009E1165" w:rsidRPr="00924038">
        <w:rPr>
          <w:szCs w:val="24"/>
        </w:rPr>
        <w:t xml:space="preserve"> for</w:t>
      </w:r>
      <w:r w:rsidR="00E7759E" w:rsidRPr="00924038">
        <w:rPr>
          <w:szCs w:val="24"/>
        </w:rPr>
        <w:t xml:space="preserve"> some issues</w:t>
      </w:r>
      <w:r w:rsidR="00C76185" w:rsidRPr="00924038">
        <w:rPr>
          <w:szCs w:val="24"/>
        </w:rPr>
        <w:t xml:space="preserve">.  Common to all were allegations as to misleading and deceptive conduct and false and misleading representations with respect to motor vehicles.  Enough has already been said to indicate that the case management burden </w:t>
      </w:r>
      <w:r w:rsidR="00014D42">
        <w:rPr>
          <w:szCs w:val="24"/>
        </w:rPr>
        <w:t xml:space="preserve">visited upon </w:t>
      </w:r>
      <w:r w:rsidR="00C76185" w:rsidRPr="00924038">
        <w:rPr>
          <w:szCs w:val="24"/>
        </w:rPr>
        <w:t>his Honour in relation to such a complex series of cases was considerable.  At [38]</w:t>
      </w:r>
      <w:r w:rsidR="007D1757" w:rsidRPr="00924038">
        <w:rPr>
          <w:szCs w:val="24"/>
        </w:rPr>
        <w:t>-</w:t>
      </w:r>
      <w:r w:rsidR="00C76185" w:rsidRPr="00924038">
        <w:rPr>
          <w:szCs w:val="24"/>
        </w:rPr>
        <w:t>[79]</w:t>
      </w:r>
      <w:r w:rsidR="007D1757" w:rsidRPr="00924038">
        <w:rPr>
          <w:szCs w:val="24"/>
        </w:rPr>
        <w:t>,</w:t>
      </w:r>
      <w:r w:rsidR="00C76185" w:rsidRPr="00924038">
        <w:rPr>
          <w:szCs w:val="24"/>
        </w:rPr>
        <w:t xml:space="preserve"> his Honour dealt with what he described as the “</w:t>
      </w:r>
      <w:r w:rsidR="007D1757" w:rsidRPr="00924038">
        <w:rPr>
          <w:i/>
          <w:szCs w:val="24"/>
        </w:rPr>
        <w:t>O</w:t>
      </w:r>
      <w:r w:rsidR="00C76185" w:rsidRPr="00924038">
        <w:rPr>
          <w:i/>
          <w:szCs w:val="24"/>
        </w:rPr>
        <w:t xml:space="preserve">verlapping </w:t>
      </w:r>
      <w:r w:rsidR="007D1757" w:rsidRPr="00924038">
        <w:rPr>
          <w:i/>
          <w:szCs w:val="24"/>
        </w:rPr>
        <w:t>C</w:t>
      </w:r>
      <w:r w:rsidR="00C76185" w:rsidRPr="00924038">
        <w:rPr>
          <w:i/>
          <w:szCs w:val="24"/>
        </w:rPr>
        <w:t xml:space="preserve">lass </w:t>
      </w:r>
      <w:r w:rsidR="007D1757" w:rsidRPr="00924038">
        <w:rPr>
          <w:i/>
          <w:szCs w:val="24"/>
        </w:rPr>
        <w:t>A</w:t>
      </w:r>
      <w:r w:rsidR="00C76185" w:rsidRPr="00924038">
        <w:rPr>
          <w:i/>
          <w:szCs w:val="24"/>
        </w:rPr>
        <w:t>ction</w:t>
      </w:r>
      <w:r w:rsidR="007D1757" w:rsidRPr="00924038">
        <w:rPr>
          <w:i/>
          <w:szCs w:val="24"/>
        </w:rPr>
        <w:t>s</w:t>
      </w:r>
      <w:r w:rsidR="00C76185" w:rsidRPr="00924038">
        <w:rPr>
          <w:i/>
          <w:szCs w:val="24"/>
        </w:rPr>
        <w:t xml:space="preserve"> </w:t>
      </w:r>
      <w:r w:rsidR="007D1757" w:rsidRPr="00924038">
        <w:rPr>
          <w:i/>
          <w:szCs w:val="24"/>
        </w:rPr>
        <w:t>I</w:t>
      </w:r>
      <w:r w:rsidR="00C76185" w:rsidRPr="00924038">
        <w:rPr>
          <w:i/>
          <w:szCs w:val="24"/>
        </w:rPr>
        <w:t>ssue</w:t>
      </w:r>
      <w:r w:rsidR="00C76185" w:rsidRPr="00924038">
        <w:rPr>
          <w:szCs w:val="24"/>
        </w:rPr>
        <w:t xml:space="preserve">”.  </w:t>
      </w:r>
      <w:r w:rsidR="00326B3C" w:rsidRPr="00924038">
        <w:rPr>
          <w:szCs w:val="24"/>
        </w:rPr>
        <w:t xml:space="preserve">This issue involved the question of </w:t>
      </w:r>
      <w:r w:rsidR="00F72F43">
        <w:rPr>
          <w:szCs w:val="24"/>
        </w:rPr>
        <w:t xml:space="preserve">whether </w:t>
      </w:r>
      <w:r w:rsidR="00326B3C" w:rsidRPr="00924038">
        <w:rPr>
          <w:szCs w:val="24"/>
        </w:rPr>
        <w:t xml:space="preserve">the institution of multiple class actions in relation to the same subject matter is an abuse of </w:t>
      </w:r>
      <w:proofErr w:type="gramStart"/>
      <w:r w:rsidR="00326B3C" w:rsidRPr="00924038">
        <w:rPr>
          <w:szCs w:val="24"/>
        </w:rPr>
        <w:t>process,</w:t>
      </w:r>
      <w:proofErr w:type="gramEnd"/>
      <w:r w:rsidR="00326B3C" w:rsidRPr="00924038">
        <w:rPr>
          <w:szCs w:val="24"/>
        </w:rPr>
        <w:t xml:space="preserve"> vexatious and oppressive (see [59]).  At [60] his Honour observed:</w:t>
      </w:r>
    </w:p>
    <w:p w:rsidR="00326B3C" w:rsidRPr="00924038" w:rsidRDefault="00326B3C" w:rsidP="00756AAE">
      <w:pPr>
        <w:pStyle w:val="Quote1"/>
      </w:pPr>
      <w:r w:rsidRPr="00924038">
        <w:t>It is by no means clear or accepted in this Court that the continued maintenance of parallel class action proceedings necessarily constitutes an abuse of process (see, for example, the judgment of Beach J in [</w:t>
      </w:r>
      <w:r w:rsidRPr="00924038">
        <w:rPr>
          <w:i/>
        </w:rPr>
        <w:t>Bellamy’s</w:t>
      </w:r>
      <w:r w:rsidRPr="00924038">
        <w:t>] at [36]).</w:t>
      </w:r>
    </w:p>
    <w:p w:rsidR="0003437B" w:rsidRPr="00924038" w:rsidRDefault="00326B3C" w:rsidP="00B97C34">
      <w:pPr>
        <w:pStyle w:val="ParaNumbering"/>
      </w:pPr>
      <w:r w:rsidRPr="00924038">
        <w:t>At [62</w:t>
      </w:r>
      <w:r w:rsidR="00B61CD1" w:rsidRPr="00924038">
        <w:t>]</w:t>
      </w:r>
      <w:r w:rsidR="00756AAE" w:rsidRPr="00924038">
        <w:t>, his Honour</w:t>
      </w:r>
      <w:r w:rsidR="00B61CD1" w:rsidRPr="00924038">
        <w:t xml:space="preserve"> reproduced the</w:t>
      </w:r>
      <w:r w:rsidRPr="00924038">
        <w:t xml:space="preserve"> remarks of Beach J in </w:t>
      </w:r>
      <w:r w:rsidR="00B61CD1" w:rsidRPr="00924038">
        <w:rPr>
          <w:i/>
        </w:rPr>
        <w:t>Bellamy’s</w:t>
      </w:r>
      <w:r w:rsidRPr="00924038">
        <w:rPr>
          <w:i/>
        </w:rPr>
        <w:t xml:space="preserve"> </w:t>
      </w:r>
      <w:r w:rsidR="00756AAE" w:rsidRPr="00924038">
        <w:t xml:space="preserve">at [22] </w:t>
      </w:r>
      <w:r w:rsidRPr="00924038">
        <w:t>where his Honour said:</w:t>
      </w:r>
    </w:p>
    <w:p w:rsidR="00326B3C" w:rsidRPr="00924038" w:rsidRDefault="00326B3C" w:rsidP="00756AAE">
      <w:pPr>
        <w:pStyle w:val="Quote1"/>
      </w:pPr>
      <w:r w:rsidRPr="00924038">
        <w:t xml:space="preserve">Now there is considerable wisdom in a wait and see approach in some contexts.  And I do not doubt that such an approach has been warranted by other docket judges in other cases.  But in my context where there are two open class proceedings, numerous group members signed up in each of the proceedings to different funding arrangements, and the prospect of a common fund application being made in each of the proceedings, it is desirable that clarity be injected sooner rather than later as to the proceedings to go forward and their constitution.  This is not only in the best interests of group members in each of the proceedings, whether signed up or otherwise, but also in the interests of the respondent, who should not be vexed or oppressed by duplicate classes prosecuting duplicate claims.  Let me elaborate on one aspect justifying the need to resolve these issues sooner rather than later.  The applicant in each of the proceedings is proposing to seek a common fund order.  Whether I grant such an order and its terms will need to be dealt with at an early point.  In those circumstances, it is necessary to resolve the appropriate constitution of each of the proceedings first before dealing with common fund questions.  It is undesirable that a common fund order be made in both proceedings.  That would create considerable uncertainty for group members.  Moreover, the economics of determining whether such an order and its terms are appropriate and in which proceedings would be considerably complicated if I was to endeavour to address the question at the same time in both proceedings as presently constituted.  In summary, I </w:t>
      </w:r>
      <w:r w:rsidRPr="00924038">
        <w:lastRenderedPageBreak/>
        <w:t>do not consider that I can just wait and see what happens.</w:t>
      </w:r>
    </w:p>
    <w:p w:rsidR="00661C35" w:rsidRPr="00924038" w:rsidRDefault="007F1A9D" w:rsidP="00084E53">
      <w:pPr>
        <w:pStyle w:val="ParaNumbering"/>
      </w:pPr>
      <w:r w:rsidRPr="00924038">
        <w:t xml:space="preserve">After </w:t>
      </w:r>
      <w:r w:rsidR="00014D42">
        <w:t>extracting</w:t>
      </w:r>
      <w:r w:rsidRPr="00924038">
        <w:t xml:space="preserve"> the</w:t>
      </w:r>
      <w:r w:rsidR="00B61CD1" w:rsidRPr="00924038">
        <w:t>se</w:t>
      </w:r>
      <w:r w:rsidRPr="00924038">
        <w:t xml:space="preserve"> remarks, Foster J went on to note that </w:t>
      </w:r>
      <w:r w:rsidR="00014D42">
        <w:t>they</w:t>
      </w:r>
      <w:r w:rsidRPr="00924038">
        <w:t xml:space="preserve"> were of “</w:t>
      </w:r>
      <w:r w:rsidRPr="00924038">
        <w:rPr>
          <w:i/>
        </w:rPr>
        <w:t>the most general kind</w:t>
      </w:r>
      <w:r w:rsidRPr="00924038">
        <w:t>” and that his Honour did not consider that, by making those remarks, Beach J was “</w:t>
      </w:r>
      <w:r w:rsidRPr="00924038">
        <w:rPr>
          <w:i/>
        </w:rPr>
        <w:t>going so far as to suggest that the so-called problems of duplicate claims made in more than one set of class actions should be addressed before or as part of the opt out process</w:t>
      </w:r>
      <w:r w:rsidRPr="00924038">
        <w:t xml:space="preserve">”.  </w:t>
      </w:r>
      <w:r w:rsidR="005238CC" w:rsidRPr="00924038">
        <w:t xml:space="preserve">At [74]-[75], Foster J </w:t>
      </w:r>
      <w:r w:rsidR="00B61CD1" w:rsidRPr="00924038">
        <w:t>explained by going on to observe</w:t>
      </w:r>
      <w:r w:rsidR="005238CC" w:rsidRPr="00924038">
        <w:t>:</w:t>
      </w:r>
    </w:p>
    <w:p w:rsidR="005238CC" w:rsidRPr="00924038" w:rsidRDefault="005238CC" w:rsidP="00756AAE">
      <w:pPr>
        <w:pStyle w:val="Quote1"/>
      </w:pPr>
      <w:r w:rsidRPr="00924038">
        <w:t>In my view, it is not helpful in order to resolve particular issues presented by the existence of parallel proceedings in one case to point to general observations made by judges in other cases or even to point to specific solutions deployed by such judges.  There can be no “</w:t>
      </w:r>
      <w:r w:rsidRPr="00924038">
        <w:rPr>
          <w:i/>
        </w:rPr>
        <w:t>one size fits all</w:t>
      </w:r>
      <w:r w:rsidRPr="00924038">
        <w:t>” approach to the various problems that may arise in group proceedings under Pt IVA of the Act</w:t>
      </w:r>
      <w:proofErr w:type="gramStart"/>
      <w:r w:rsidRPr="00924038">
        <w:t xml:space="preserve">. </w:t>
      </w:r>
      <w:proofErr w:type="gramEnd"/>
      <w:r w:rsidRPr="00924038">
        <w:t>Each case must be considered upon the basis of a full and sensible appreciation of the relevant facts involved in the particular case and also by paying due regard to all relevant circumstances in play in the particular case</w:t>
      </w:r>
      <w:proofErr w:type="gramStart"/>
      <w:r w:rsidRPr="00924038">
        <w:t xml:space="preserve">. </w:t>
      </w:r>
      <w:proofErr w:type="gramEnd"/>
      <w:r w:rsidRPr="00924038">
        <w:t>For the most part, decisions to be made by the Court in dealing with the issues raised from time to time in group proceedings under Pt IVA of the Act are discretionary</w:t>
      </w:r>
      <w:proofErr w:type="gramStart"/>
      <w:r w:rsidRPr="00924038">
        <w:t xml:space="preserve">. </w:t>
      </w:r>
      <w:proofErr w:type="gramEnd"/>
      <w:r w:rsidRPr="00924038">
        <w:t>While it is obviously desirable that a consistent approach to problems which surface regularly from time to time is highly desirable, there is always scope, in my view, for judges to respond to particular issues differently and yet to still be appropriately exercising the discretion reposed in them</w:t>
      </w:r>
      <w:proofErr w:type="gramStart"/>
      <w:r w:rsidRPr="00924038">
        <w:t xml:space="preserve">. </w:t>
      </w:r>
      <w:proofErr w:type="gramEnd"/>
      <w:r w:rsidRPr="00924038">
        <w:t>Whilst there may be some common features between cases, it remains the position that different judges may resolve the difficulties with which they are confronted differently depending upon how those judges assess the relevant considerations.</w:t>
      </w:r>
    </w:p>
    <w:p w:rsidR="005238CC" w:rsidRPr="00924038" w:rsidRDefault="005238CC" w:rsidP="00756AAE">
      <w:pPr>
        <w:pStyle w:val="Quote1"/>
      </w:pPr>
      <w:r w:rsidRPr="00924038">
        <w:t>In the present case, I have consistently taken the view that I would permit the two groups of class actions to proceed in parallel for the time being.  My decision to adopt that approach was not taken lightly or without due consideration.  I do not agree that that decision has unduly vexed the respondents or oppressed them.  Nor do I consider that that decision has been productive of undue cost, confusion or delay.  To my way of thinking, the approach which I have taken has been a sensible approach to the problem presented to the Court by the existence of two groups of class actions.  It may be that, in the future, some further action will need to be taken in order to address problems (which are not present at the moment) caused by the continued maintenance of parallel groups of class actions.  This will be a matter to be kept under constant review as the litigation progresses.  As is the way with these matters, the Court is attentive to the case management needs of each matter and will not ignore changes to courses of action previously charted which might become necessary as the interlocutory stages of the cases progress.</w:t>
      </w:r>
    </w:p>
    <w:p w:rsidR="00756AAE" w:rsidRPr="00924038" w:rsidRDefault="00756AAE" w:rsidP="00756AAE">
      <w:pPr>
        <w:pStyle w:val="Quote1"/>
      </w:pPr>
      <w:r w:rsidRPr="00924038">
        <w:t>(Italics in original)</w:t>
      </w:r>
    </w:p>
    <w:p w:rsidR="00867B3C" w:rsidRPr="00924038" w:rsidRDefault="00867B3C" w:rsidP="00F905E9">
      <w:pPr>
        <w:pStyle w:val="ParaNumbering"/>
        <w:rPr>
          <w:rFonts w:ascii="Karla" w:eastAsia="Times New Roman" w:hAnsi="Karla" w:cs="Arial"/>
          <w:spacing w:val="2"/>
          <w:szCs w:val="24"/>
          <w:lang w:val="en-US" w:eastAsia="en-AU"/>
        </w:rPr>
      </w:pPr>
      <w:r w:rsidRPr="00924038">
        <w:rPr>
          <w:i/>
        </w:rPr>
        <w:t>Fifthly</w:t>
      </w:r>
      <w:r w:rsidR="00213D75" w:rsidRPr="00924038">
        <w:t xml:space="preserve">, </w:t>
      </w:r>
      <w:r w:rsidRPr="00924038">
        <w:t xml:space="preserve">Stevenson J in the Supreme Court of New South Wales </w:t>
      </w:r>
      <w:r w:rsidR="00EF06D2" w:rsidRPr="00924038">
        <w:t xml:space="preserve">in </w:t>
      </w:r>
      <w:r w:rsidR="00EF06D2" w:rsidRPr="00924038">
        <w:rPr>
          <w:bCs/>
          <w:i/>
        </w:rPr>
        <w:t>TW McConnell Pty Ltd v SurfStitch Group Ltd</w:t>
      </w:r>
      <w:r w:rsidR="00EF06D2" w:rsidRPr="00924038">
        <w:rPr>
          <w:bCs/>
        </w:rPr>
        <w:t xml:space="preserve"> [2017] NSWSC 1755</w:t>
      </w:r>
      <w:r w:rsidR="00EF06D2" w:rsidRPr="00924038">
        <w:t xml:space="preserve"> was confronted </w:t>
      </w:r>
      <w:r w:rsidR="00F72F43">
        <w:t>with</w:t>
      </w:r>
      <w:r w:rsidR="00EF06D2" w:rsidRPr="00924038">
        <w:t xml:space="preserve"> what his Honour described at [33] as a situation “</w:t>
      </w:r>
      <w:r w:rsidR="00EF06D2" w:rsidRPr="00924038">
        <w:rPr>
          <w:i/>
        </w:rPr>
        <w:t>which is similar to, but perhaps more complex than that considered by Beach J</w:t>
      </w:r>
      <w:r w:rsidR="00EF06D2" w:rsidRPr="00924038">
        <w:t xml:space="preserve">” in </w:t>
      </w:r>
      <w:r w:rsidR="00EF06D2" w:rsidRPr="00924038">
        <w:rPr>
          <w:i/>
        </w:rPr>
        <w:t>Bellamy’s</w:t>
      </w:r>
      <w:r w:rsidR="00EF06D2" w:rsidRPr="00924038">
        <w:t>.  The context for the issue arising was an application for a common fund order</w:t>
      </w:r>
      <w:r w:rsidR="00756AAE" w:rsidRPr="00924038">
        <w:t>,</w:t>
      </w:r>
      <w:r w:rsidR="00EF06D2" w:rsidRPr="00924038">
        <w:t xml:space="preserve"> which was refused.  Relevantly for present purposes, a</w:t>
      </w:r>
      <w:r w:rsidR="00DA0330" w:rsidRPr="00924038">
        <w:t>n open class</w:t>
      </w:r>
      <w:r w:rsidR="00EF06D2" w:rsidRPr="00924038">
        <w:t xml:space="preserve"> </w:t>
      </w:r>
      <w:r w:rsidR="00DA0330" w:rsidRPr="00924038">
        <w:t xml:space="preserve">funded </w:t>
      </w:r>
      <w:r w:rsidR="00EF06D2" w:rsidRPr="00924038">
        <w:t xml:space="preserve">securities class action alleging breaches of disclosure obligations was commenced against the </w:t>
      </w:r>
      <w:r w:rsidR="00EF06D2" w:rsidRPr="00924038">
        <w:lastRenderedPageBreak/>
        <w:t xml:space="preserve">relevant listed entity and its former CEO. </w:t>
      </w:r>
      <w:r w:rsidR="00DA0330" w:rsidRPr="00924038">
        <w:t xml:space="preserve"> Also before the Court was another </w:t>
      </w:r>
      <w:r w:rsidR="00EF06D2" w:rsidRPr="00924038">
        <w:t xml:space="preserve">competing and overlapping class action, also with an open class, which had been commenced earlier, </w:t>
      </w:r>
      <w:r w:rsidR="00DA0330" w:rsidRPr="00924038">
        <w:t xml:space="preserve">promoted by another funder but against the listed company </w:t>
      </w:r>
      <w:r w:rsidR="00756AAE" w:rsidRPr="00924038">
        <w:t>only</w:t>
      </w:r>
      <w:r w:rsidR="00EF06D2" w:rsidRPr="00924038">
        <w:t>.</w:t>
      </w:r>
      <w:r w:rsidR="00DA0330" w:rsidRPr="00924038">
        <w:t xml:space="preserve">  A</w:t>
      </w:r>
      <w:r w:rsidR="00EF06D2" w:rsidRPr="00924038">
        <w:t>ft</w:t>
      </w:r>
      <w:r w:rsidR="00DA0330" w:rsidRPr="00924038">
        <w:t>er both proceedings were issued, the listed entity</w:t>
      </w:r>
      <w:r w:rsidR="00EF06D2" w:rsidRPr="00924038">
        <w:t xml:space="preserve"> enter</w:t>
      </w:r>
      <w:r w:rsidR="00DA0330" w:rsidRPr="00924038">
        <w:t>ed administration</w:t>
      </w:r>
      <w:r w:rsidR="00756AAE" w:rsidRPr="00924038">
        <w:t>,</w:t>
      </w:r>
      <w:r w:rsidR="00DA0330" w:rsidRPr="00924038">
        <w:t xml:space="preserve"> giving rise to a statutory stay with </w:t>
      </w:r>
      <w:r w:rsidR="00756AAE" w:rsidRPr="00924038">
        <w:t>respect</w:t>
      </w:r>
      <w:r w:rsidR="00DA0330" w:rsidRPr="00924038">
        <w:t xml:space="preserve"> to both proceedings </w:t>
      </w:r>
      <w:r w:rsidR="00756AAE" w:rsidRPr="00924038">
        <w:t xml:space="preserve">as </w:t>
      </w:r>
      <w:r w:rsidR="00DA0330" w:rsidRPr="00924038">
        <w:t>against the company in administration</w:t>
      </w:r>
      <w:r w:rsidR="00756AAE" w:rsidRPr="00924038">
        <w:t>,</w:t>
      </w:r>
      <w:r w:rsidR="00DA0330" w:rsidRPr="00924038">
        <w:t xml:space="preserve"> but </w:t>
      </w:r>
      <w:r w:rsidR="00756AAE" w:rsidRPr="00924038">
        <w:t>allowing</w:t>
      </w:r>
      <w:r w:rsidR="00DA0330" w:rsidRPr="00924038">
        <w:t xml:space="preserve"> the </w:t>
      </w:r>
      <w:r w:rsidR="00EF06D2" w:rsidRPr="00924038">
        <w:t xml:space="preserve">proceedings against </w:t>
      </w:r>
      <w:r w:rsidR="00DA0330" w:rsidRPr="00924038">
        <w:t>the CEO</w:t>
      </w:r>
      <w:r w:rsidR="00EF06D2" w:rsidRPr="00924038">
        <w:t xml:space="preserve"> </w:t>
      </w:r>
      <w:r w:rsidR="00756AAE" w:rsidRPr="00924038">
        <w:t>to move forward</w:t>
      </w:r>
      <w:r w:rsidR="00DA0330" w:rsidRPr="00924038">
        <w:t xml:space="preserve">.  The Court noted </w:t>
      </w:r>
      <w:r w:rsidR="00283B47" w:rsidRPr="00924038">
        <w:t>at [32]</w:t>
      </w:r>
      <w:r w:rsidR="00756AAE" w:rsidRPr="00924038">
        <w:t xml:space="preserve"> that</w:t>
      </w:r>
      <w:r w:rsidR="00283B47" w:rsidRPr="00924038">
        <w:t xml:space="preserve"> </w:t>
      </w:r>
      <w:r w:rsidR="00DA0330" w:rsidRPr="00924038">
        <w:t>it wa</w:t>
      </w:r>
      <w:r w:rsidR="00EF06D2" w:rsidRPr="00924038">
        <w:t>s “</w:t>
      </w:r>
      <w:r w:rsidR="00EF06D2" w:rsidRPr="00924038">
        <w:rPr>
          <w:i/>
        </w:rPr>
        <w:t>common ground that it would not be practicable for both proceedings to continue to trial as open class proceedings</w:t>
      </w:r>
      <w:r w:rsidR="00DA0330" w:rsidRPr="00924038">
        <w:t xml:space="preserve">” </w:t>
      </w:r>
      <w:r w:rsidR="00EF06D2" w:rsidRPr="00924038">
        <w:t>and</w:t>
      </w:r>
      <w:r w:rsidR="00DA0330" w:rsidRPr="00924038">
        <w:t xml:space="preserve"> at</w:t>
      </w:r>
      <w:r w:rsidR="00756AAE" w:rsidRPr="00924038">
        <w:t xml:space="preserve"> [37] that at</w:t>
      </w:r>
      <w:r w:rsidR="00DA0330" w:rsidRPr="00924038">
        <w:t xml:space="preserve"> “</w:t>
      </w:r>
      <w:r w:rsidR="00EF06D2" w:rsidRPr="00924038">
        <w:rPr>
          <w:i/>
        </w:rPr>
        <w:t>some stage a decision…will have to be made</w:t>
      </w:r>
      <w:r w:rsidR="00962E81">
        <w:rPr>
          <w:i/>
        </w:rPr>
        <w:t xml:space="preserve"> </w:t>
      </w:r>
      <w:r w:rsidR="00EF06D2" w:rsidRPr="00924038">
        <w:rPr>
          <w:i/>
        </w:rPr>
        <w:t xml:space="preserve">as to how, in the best interests of group members, the progress of </w:t>
      </w:r>
      <w:r w:rsidR="00DA0330" w:rsidRPr="00924038">
        <w:rPr>
          <w:i/>
        </w:rPr>
        <w:t>[both]</w:t>
      </w:r>
      <w:r w:rsidR="00E73AC2" w:rsidRPr="00924038">
        <w:rPr>
          <w:i/>
        </w:rPr>
        <w:t xml:space="preserve"> </w:t>
      </w:r>
      <w:r w:rsidR="00DA0330" w:rsidRPr="00924038">
        <w:rPr>
          <w:i/>
        </w:rPr>
        <w:t>…</w:t>
      </w:r>
      <w:r w:rsidR="00EF06D2" w:rsidRPr="00924038">
        <w:rPr>
          <w:i/>
        </w:rPr>
        <w:t>proceedings is to be managed</w:t>
      </w:r>
      <w:r w:rsidR="00EF06D2" w:rsidRPr="00924038">
        <w:t>”.</w:t>
      </w:r>
      <w:r w:rsidR="00DA0330" w:rsidRPr="00924038">
        <w:t xml:space="preserve">  However, </w:t>
      </w:r>
      <w:r w:rsidR="00EF06D2" w:rsidRPr="00924038">
        <w:t>Stevenson J considered such a decision</w:t>
      </w:r>
      <w:r w:rsidR="00DA0330" w:rsidRPr="00924038">
        <w:t xml:space="preserve">, in the </w:t>
      </w:r>
      <w:r w:rsidR="00283B47" w:rsidRPr="00924038">
        <w:t xml:space="preserve">somewhat unusual </w:t>
      </w:r>
      <w:r w:rsidR="00DA0330" w:rsidRPr="00924038">
        <w:t>facts of the matter before his Honour, would be premature.</w:t>
      </w:r>
    </w:p>
    <w:p w:rsidR="00661C35" w:rsidRPr="00924038" w:rsidRDefault="005238CC" w:rsidP="00020D6A">
      <w:pPr>
        <w:pStyle w:val="ParaNumbering"/>
      </w:pPr>
      <w:r w:rsidRPr="00924038">
        <w:t>What the survey of the cases illustrates is a point I made at the commencement of these reasons.  That is</w:t>
      </w:r>
      <w:r w:rsidR="003850CA" w:rsidRPr="00924038">
        <w:t>,</w:t>
      </w:r>
      <w:r w:rsidRPr="00924038">
        <w:t xml:space="preserve"> at </w:t>
      </w:r>
      <w:r w:rsidR="003850CA" w:rsidRPr="00924038">
        <w:t xml:space="preserve">bottom, </w:t>
      </w:r>
      <w:r w:rsidRPr="00924038">
        <w:t>the remedial response to the issue of overlapping class actions is a case management decision informed by considerations peculiar to the circu</w:t>
      </w:r>
      <w:r w:rsidR="003850CA" w:rsidRPr="00924038">
        <w:t xml:space="preserve">mstances </w:t>
      </w:r>
      <w:r w:rsidR="00756AAE" w:rsidRPr="00924038">
        <w:t xml:space="preserve">of the cases </w:t>
      </w:r>
      <w:r w:rsidR="003850CA" w:rsidRPr="00924038">
        <w:t xml:space="preserve">which </w:t>
      </w:r>
      <w:r w:rsidR="00756AAE" w:rsidRPr="00924038">
        <w:t>are</w:t>
      </w:r>
      <w:r w:rsidR="003850CA" w:rsidRPr="00924038">
        <w:t xml:space="preserve"> being</w:t>
      </w:r>
      <w:r w:rsidRPr="00924038">
        <w:t xml:space="preserve"> managed.  I agree with Foster J that one size does not necessarily fit a</w:t>
      </w:r>
      <w:r w:rsidR="00175284">
        <w:t>ll.  There may be circumstances</w:t>
      </w:r>
      <w:r w:rsidR="003850CA" w:rsidRPr="00924038">
        <w:t>,</w:t>
      </w:r>
      <w:r w:rsidR="00175284">
        <w:t xml:space="preserve"> such as the unusual one that confronted his Honour</w:t>
      </w:r>
      <w:r w:rsidR="003850CA" w:rsidRPr="00924038">
        <w:t>,</w:t>
      </w:r>
      <w:r w:rsidRPr="00924038">
        <w:t xml:space="preserve"> </w:t>
      </w:r>
      <w:r w:rsidR="00175284">
        <w:t xml:space="preserve">where some factors </w:t>
      </w:r>
      <w:r w:rsidRPr="00924038">
        <w:t xml:space="preserve">do militate in favour of adopting a </w:t>
      </w:r>
      <w:r w:rsidR="00756AAE" w:rsidRPr="00924038">
        <w:t>‘</w:t>
      </w:r>
      <w:r w:rsidRPr="00924038">
        <w:t>wait and see</w:t>
      </w:r>
      <w:r w:rsidR="00756AAE" w:rsidRPr="00924038">
        <w:t>’</w:t>
      </w:r>
      <w:r w:rsidRPr="00924038">
        <w:t xml:space="preserve"> </w:t>
      </w:r>
      <w:r w:rsidR="00756AAE" w:rsidRPr="00924038">
        <w:t>approach</w:t>
      </w:r>
      <w:r w:rsidR="00014D42">
        <w:t xml:space="preserve"> or </w:t>
      </w:r>
      <w:r w:rsidR="00175284">
        <w:t xml:space="preserve">others where allowing a </w:t>
      </w:r>
      <w:r w:rsidR="00014D42">
        <w:t>short period for a possible acceptable consensus to emerge</w:t>
      </w:r>
      <w:r w:rsidR="00175284">
        <w:t xml:space="preserve"> would be appropriate</w:t>
      </w:r>
      <w:r w:rsidRPr="00924038">
        <w:t>.  There will</w:t>
      </w:r>
      <w:r w:rsidR="00BC1ADD" w:rsidRPr="00924038">
        <w:t xml:space="preserve">, however, be </w:t>
      </w:r>
      <w:r w:rsidRPr="00924038">
        <w:t xml:space="preserve">cases </w:t>
      </w:r>
      <w:r w:rsidR="003850CA" w:rsidRPr="00924038">
        <w:t xml:space="preserve">(for example, </w:t>
      </w:r>
      <w:r w:rsidRPr="00924038">
        <w:t xml:space="preserve">where </w:t>
      </w:r>
      <w:r w:rsidR="003850CA" w:rsidRPr="00924038">
        <w:t>multiple promoters commence essentially</w:t>
      </w:r>
      <w:r w:rsidR="00F96516" w:rsidRPr="00924038">
        <w:t xml:space="preserve"> </w:t>
      </w:r>
      <w:r w:rsidR="00B61CD1" w:rsidRPr="00924038">
        <w:t xml:space="preserve">similar, funded open class </w:t>
      </w:r>
      <w:r w:rsidR="00BC1ADD" w:rsidRPr="00924038">
        <w:t xml:space="preserve">securities </w:t>
      </w:r>
      <w:r w:rsidR="00B61CD1" w:rsidRPr="00924038">
        <w:t>actions</w:t>
      </w:r>
      <w:r w:rsidR="003850CA" w:rsidRPr="00924038">
        <w:t>)</w:t>
      </w:r>
      <w:r w:rsidR="00B61CD1" w:rsidRPr="00924038">
        <w:t xml:space="preserve">, where </w:t>
      </w:r>
      <w:r w:rsidR="00014D42">
        <w:t xml:space="preserve">it </w:t>
      </w:r>
      <w:r w:rsidR="00175284">
        <w:t xml:space="preserve">might be thought </w:t>
      </w:r>
      <w:r w:rsidR="00014D42">
        <w:t>delay will only increase cost and uncertainty and would simply defer addressing a problem which affects the processes of the C</w:t>
      </w:r>
      <w:r w:rsidR="00175284">
        <w:t>ourt and, as a consequence, should</w:t>
      </w:r>
      <w:r w:rsidR="00014D42">
        <w:t xml:space="preserve"> be resolved</w:t>
      </w:r>
      <w:r w:rsidR="00020D6A" w:rsidRPr="00924038">
        <w:t>.</w:t>
      </w:r>
    </w:p>
    <w:p w:rsidR="00661C35" w:rsidRPr="00924038" w:rsidRDefault="00020D6A" w:rsidP="006F7C3E">
      <w:pPr>
        <w:pStyle w:val="Heading2"/>
      </w:pPr>
      <w:bookmarkStart w:id="41" w:name="_Ref514405612"/>
      <w:r w:rsidRPr="00924038">
        <w:t>D.2</w:t>
      </w:r>
      <w:r w:rsidRPr="00924038">
        <w:tab/>
      </w:r>
      <w:proofErr w:type="gramStart"/>
      <w:r w:rsidRPr="00924038">
        <w:t>The</w:t>
      </w:r>
      <w:proofErr w:type="gramEnd"/>
      <w:r w:rsidRPr="00924038">
        <w:t xml:space="preserve"> North American Experience</w:t>
      </w:r>
      <w:bookmarkEnd w:id="41"/>
      <w:r w:rsidRPr="00924038">
        <w:t xml:space="preserve"> </w:t>
      </w:r>
    </w:p>
    <w:p w:rsidR="00391792" w:rsidRPr="00924038" w:rsidRDefault="008459CC" w:rsidP="000C4C4D">
      <w:pPr>
        <w:pStyle w:val="ParaNumbering"/>
        <w:rPr>
          <w:rFonts w:eastAsia="Times New Roman"/>
          <w:szCs w:val="24"/>
          <w:lang w:eastAsia="en-AU"/>
        </w:rPr>
      </w:pPr>
      <w:r w:rsidRPr="00924038">
        <w:rPr>
          <w:szCs w:val="24"/>
        </w:rPr>
        <w:t xml:space="preserve">The North American experience needs to be approached with </w:t>
      </w:r>
      <w:r w:rsidR="00391792" w:rsidRPr="00924038">
        <w:rPr>
          <w:szCs w:val="24"/>
        </w:rPr>
        <w:t xml:space="preserve">some </w:t>
      </w:r>
      <w:r w:rsidRPr="00924038">
        <w:rPr>
          <w:szCs w:val="24"/>
        </w:rPr>
        <w:t xml:space="preserve">caution because of the existence of a process of certification </w:t>
      </w:r>
      <w:r w:rsidR="00391792" w:rsidRPr="00924038">
        <w:rPr>
          <w:szCs w:val="24"/>
        </w:rPr>
        <w:t xml:space="preserve">of class actions </w:t>
      </w:r>
      <w:r w:rsidRPr="00924038">
        <w:rPr>
          <w:szCs w:val="24"/>
        </w:rPr>
        <w:t>at a pre-commencement hearing.  In t</w:t>
      </w:r>
      <w:r w:rsidRPr="00924038">
        <w:rPr>
          <w:rFonts w:eastAsia="Times New Roman"/>
          <w:szCs w:val="24"/>
          <w:lang w:eastAsia="en-AU"/>
        </w:rPr>
        <w:t xml:space="preserve">he United States, r 23 of the </w:t>
      </w:r>
      <w:r w:rsidRPr="00924038">
        <w:rPr>
          <w:rFonts w:eastAsia="Times New Roman"/>
          <w:i/>
          <w:iCs/>
          <w:szCs w:val="24"/>
          <w:lang w:eastAsia="en-AU"/>
        </w:rPr>
        <w:t>Federal Rules of Civil Procedure</w:t>
      </w:r>
      <w:r w:rsidR="00391792" w:rsidRPr="00924038">
        <w:rPr>
          <w:rFonts w:eastAsia="Times New Roman"/>
          <w:szCs w:val="24"/>
          <w:lang w:eastAsia="en-AU"/>
        </w:rPr>
        <w:t xml:space="preserve"> provides that</w:t>
      </w:r>
      <w:r w:rsidRPr="00924038">
        <w:rPr>
          <w:rFonts w:eastAsia="Times New Roman"/>
          <w:szCs w:val="24"/>
          <w:lang w:eastAsia="en-AU"/>
        </w:rPr>
        <w:t xml:space="preserve"> </w:t>
      </w:r>
      <w:r w:rsidR="00391792" w:rsidRPr="00924038">
        <w:rPr>
          <w:rFonts w:eastAsia="Times New Roman"/>
          <w:szCs w:val="24"/>
          <w:lang w:eastAsia="en-AU"/>
        </w:rPr>
        <w:t>t</w:t>
      </w:r>
      <w:r w:rsidRPr="00924038">
        <w:rPr>
          <w:rFonts w:eastAsia="Times New Roman"/>
          <w:szCs w:val="24"/>
          <w:lang w:eastAsia="en-AU"/>
        </w:rPr>
        <w:t>he court must, at an early practicable time, determine by order whether to certify the action as a class action</w:t>
      </w:r>
      <w:r w:rsidR="000C4C4D" w:rsidRPr="00924038">
        <w:rPr>
          <w:rFonts w:eastAsia="Times New Roman"/>
          <w:szCs w:val="24"/>
          <w:lang w:eastAsia="en-AU"/>
        </w:rPr>
        <w:t xml:space="preserve">.  Procedural criteria need to be </w:t>
      </w:r>
      <w:r w:rsidR="003850CA" w:rsidRPr="00924038">
        <w:rPr>
          <w:rFonts w:eastAsia="Times New Roman"/>
          <w:szCs w:val="24"/>
          <w:lang w:eastAsia="en-AU"/>
        </w:rPr>
        <w:t>met</w:t>
      </w:r>
      <w:r w:rsidR="00AE27A8" w:rsidRPr="00924038">
        <w:rPr>
          <w:rFonts w:eastAsia="Times New Roman"/>
          <w:szCs w:val="24"/>
          <w:lang w:eastAsia="en-AU"/>
        </w:rPr>
        <w:t>,</w:t>
      </w:r>
      <w:r w:rsidR="000C4C4D" w:rsidRPr="00924038">
        <w:rPr>
          <w:rFonts w:eastAsia="Times New Roman"/>
          <w:szCs w:val="24"/>
          <w:lang w:eastAsia="en-AU"/>
        </w:rPr>
        <w:t xml:space="preserve"> including that t</w:t>
      </w:r>
      <w:r w:rsidRPr="00924038">
        <w:rPr>
          <w:rFonts w:eastAsia="Times New Roman"/>
          <w:szCs w:val="24"/>
          <w:lang w:eastAsia="en-AU"/>
        </w:rPr>
        <w:t>here are questions of law or fact common to the class</w:t>
      </w:r>
      <w:r w:rsidR="000C4C4D" w:rsidRPr="00924038">
        <w:rPr>
          <w:rFonts w:eastAsia="Times New Roman"/>
          <w:szCs w:val="24"/>
          <w:lang w:eastAsia="en-AU"/>
        </w:rPr>
        <w:t xml:space="preserve"> and that t</w:t>
      </w:r>
      <w:r w:rsidRPr="00924038">
        <w:rPr>
          <w:rFonts w:eastAsia="Times New Roman"/>
          <w:szCs w:val="24"/>
          <w:lang w:eastAsia="en-AU"/>
        </w:rPr>
        <w:t>he representative parties will fairly and adequately protect the interests of the class</w:t>
      </w:r>
      <w:r w:rsidR="000C4C4D" w:rsidRPr="00924038">
        <w:rPr>
          <w:rFonts w:eastAsia="Times New Roman"/>
          <w:szCs w:val="24"/>
          <w:lang w:eastAsia="en-AU"/>
        </w:rPr>
        <w:t xml:space="preserve">.  Similarly, in Canada, </w:t>
      </w:r>
      <w:r w:rsidRPr="00924038">
        <w:rPr>
          <w:rFonts w:eastAsia="Times New Roman"/>
          <w:szCs w:val="24"/>
          <w:lang w:eastAsia="en-AU"/>
        </w:rPr>
        <w:t xml:space="preserve">eight of the </w:t>
      </w:r>
      <w:r w:rsidR="00AE27A8" w:rsidRPr="00924038">
        <w:rPr>
          <w:rFonts w:eastAsia="Times New Roman"/>
          <w:szCs w:val="24"/>
          <w:lang w:eastAsia="en-AU"/>
        </w:rPr>
        <w:t>ten</w:t>
      </w:r>
      <w:r w:rsidRPr="00924038">
        <w:rPr>
          <w:rFonts w:eastAsia="Times New Roman"/>
          <w:szCs w:val="24"/>
          <w:lang w:eastAsia="en-AU"/>
        </w:rPr>
        <w:t xml:space="preserve"> Canadian jurisdictions that have formal class action regimes use certification</w:t>
      </w:r>
      <w:r w:rsidR="000C4C4D" w:rsidRPr="00924038">
        <w:rPr>
          <w:rFonts w:eastAsia="Times New Roman"/>
          <w:szCs w:val="24"/>
          <w:lang w:eastAsia="en-AU"/>
        </w:rPr>
        <w:t xml:space="preserve">.  </w:t>
      </w:r>
    </w:p>
    <w:p w:rsidR="004A56DD" w:rsidRPr="00924038" w:rsidRDefault="000C4C4D" w:rsidP="00391792">
      <w:pPr>
        <w:pStyle w:val="ParaNumbering"/>
        <w:rPr>
          <w:szCs w:val="24"/>
        </w:rPr>
      </w:pPr>
      <w:r w:rsidRPr="00924038">
        <w:rPr>
          <w:szCs w:val="24"/>
        </w:rPr>
        <w:lastRenderedPageBreak/>
        <w:t xml:space="preserve">Having noted this, issues which arise </w:t>
      </w:r>
      <w:r w:rsidR="00391792" w:rsidRPr="00924038">
        <w:rPr>
          <w:szCs w:val="24"/>
        </w:rPr>
        <w:t xml:space="preserve">in North America </w:t>
      </w:r>
      <w:r w:rsidRPr="00924038">
        <w:rPr>
          <w:szCs w:val="24"/>
        </w:rPr>
        <w:t>at the stage of certification</w:t>
      </w:r>
      <w:r w:rsidR="00391792" w:rsidRPr="00924038">
        <w:rPr>
          <w:szCs w:val="24"/>
        </w:rPr>
        <w:t>, which involve</w:t>
      </w:r>
      <w:r w:rsidRPr="00924038">
        <w:rPr>
          <w:szCs w:val="24"/>
        </w:rPr>
        <w:t xml:space="preserve"> the court exercising a control over whether a particular class action is an effective vehicle to </w:t>
      </w:r>
      <w:r w:rsidR="00391792" w:rsidRPr="00924038">
        <w:rPr>
          <w:szCs w:val="24"/>
        </w:rPr>
        <w:t>pursu</w:t>
      </w:r>
      <w:r w:rsidRPr="00924038">
        <w:rPr>
          <w:szCs w:val="24"/>
        </w:rPr>
        <w:t xml:space="preserve">e the claims of absent </w:t>
      </w:r>
      <w:r w:rsidR="00AE27A8" w:rsidRPr="00924038">
        <w:rPr>
          <w:szCs w:val="24"/>
        </w:rPr>
        <w:t>group</w:t>
      </w:r>
      <w:r w:rsidRPr="00924038">
        <w:rPr>
          <w:szCs w:val="24"/>
        </w:rPr>
        <w:t xml:space="preserve"> members</w:t>
      </w:r>
      <w:r w:rsidR="00391792" w:rsidRPr="00924038">
        <w:rPr>
          <w:szCs w:val="24"/>
        </w:rPr>
        <w:t>,</w:t>
      </w:r>
      <w:r w:rsidRPr="00924038">
        <w:rPr>
          <w:szCs w:val="24"/>
        </w:rPr>
        <w:t xml:space="preserve"> </w:t>
      </w:r>
      <w:r w:rsidR="00962E81">
        <w:rPr>
          <w:szCs w:val="24"/>
        </w:rPr>
        <w:t>are</w:t>
      </w:r>
      <w:r w:rsidRPr="00924038">
        <w:rPr>
          <w:szCs w:val="24"/>
        </w:rPr>
        <w:t xml:space="preserve"> not dissimilar to the issues that confront a court in seeking to resolve the inefficiencies that result from competing class actions. </w:t>
      </w:r>
      <w:r w:rsidR="00391792" w:rsidRPr="00924038">
        <w:rPr>
          <w:szCs w:val="24"/>
        </w:rPr>
        <w:t xml:space="preserve"> This was recognised by Beach J i</w:t>
      </w:r>
      <w:r w:rsidR="00020D6A" w:rsidRPr="00924038">
        <w:rPr>
          <w:szCs w:val="24"/>
        </w:rPr>
        <w:t xml:space="preserve">n </w:t>
      </w:r>
      <w:r w:rsidR="00020D6A" w:rsidRPr="00924038">
        <w:rPr>
          <w:i/>
          <w:szCs w:val="24"/>
        </w:rPr>
        <w:t>Bellamy’s</w:t>
      </w:r>
      <w:r w:rsidR="00391792" w:rsidRPr="00924038">
        <w:rPr>
          <w:szCs w:val="24"/>
        </w:rPr>
        <w:t>, where,</w:t>
      </w:r>
      <w:r w:rsidR="00020D6A" w:rsidRPr="00924038">
        <w:rPr>
          <w:szCs w:val="24"/>
        </w:rPr>
        <w:t xml:space="preserve"> </w:t>
      </w:r>
      <w:r w:rsidR="004A56DD" w:rsidRPr="00924038">
        <w:rPr>
          <w:szCs w:val="24"/>
        </w:rPr>
        <w:t>at [49]</w:t>
      </w:r>
      <w:r w:rsidR="00AE27A8" w:rsidRPr="00924038">
        <w:rPr>
          <w:szCs w:val="24"/>
        </w:rPr>
        <w:t>-</w:t>
      </w:r>
      <w:r w:rsidR="004A56DD" w:rsidRPr="00924038">
        <w:rPr>
          <w:szCs w:val="24"/>
        </w:rPr>
        <w:t xml:space="preserve">[55], reference was made to </w:t>
      </w:r>
      <w:r w:rsidR="00AE27A8" w:rsidRPr="00924038">
        <w:rPr>
          <w:szCs w:val="24"/>
        </w:rPr>
        <w:t xml:space="preserve">the </w:t>
      </w:r>
      <w:r w:rsidR="004A56DD" w:rsidRPr="00924038">
        <w:rPr>
          <w:szCs w:val="24"/>
        </w:rPr>
        <w:t xml:space="preserve">Canadian experience, concluding with the observation that </w:t>
      </w:r>
      <w:r w:rsidR="004A56DD" w:rsidRPr="00924038">
        <w:rPr>
          <w:rFonts w:eastAsia="Times New Roman"/>
          <w:szCs w:val="24"/>
          <w:lang w:eastAsia="en-AU"/>
        </w:rPr>
        <w:t xml:space="preserve">Canadian practice is informative, and that </w:t>
      </w:r>
      <w:r w:rsidR="00AE27A8" w:rsidRPr="00924038">
        <w:rPr>
          <w:rFonts w:eastAsia="Times New Roman"/>
          <w:szCs w:val="24"/>
          <w:lang w:eastAsia="en-AU"/>
        </w:rPr>
        <w:t>his Honour</w:t>
      </w:r>
      <w:r w:rsidR="004A56DD" w:rsidRPr="00924038">
        <w:rPr>
          <w:rFonts w:eastAsia="Times New Roman"/>
          <w:szCs w:val="24"/>
          <w:lang w:eastAsia="en-AU"/>
        </w:rPr>
        <w:t xml:space="preserve"> would have had little difficulty in accepting a ‘carriage motion’ analogue in </w:t>
      </w:r>
      <w:r w:rsidR="00391792" w:rsidRPr="00924038">
        <w:rPr>
          <w:rFonts w:eastAsia="Times New Roman"/>
          <w:szCs w:val="24"/>
          <w:lang w:eastAsia="en-AU"/>
        </w:rPr>
        <w:t xml:space="preserve">a scenario where </w:t>
      </w:r>
      <w:r w:rsidR="004A56DD" w:rsidRPr="00924038">
        <w:rPr>
          <w:rFonts w:eastAsia="Times New Roman"/>
          <w:szCs w:val="24"/>
          <w:lang w:eastAsia="en-AU"/>
        </w:rPr>
        <w:t>neither of the competing proceedings have a substantial number of group members signed up to funding agreements.</w:t>
      </w:r>
    </w:p>
    <w:p w:rsidR="00661C35" w:rsidRPr="00924038" w:rsidRDefault="001D3FD3" w:rsidP="004A56DD">
      <w:pPr>
        <w:pStyle w:val="ParaNumbering"/>
        <w:rPr>
          <w:szCs w:val="24"/>
        </w:rPr>
      </w:pPr>
      <w:r w:rsidRPr="00924038">
        <w:rPr>
          <w:szCs w:val="24"/>
        </w:rPr>
        <w:t>A good summary of this ‘carriage motion’</w:t>
      </w:r>
      <w:r w:rsidR="004A56DD" w:rsidRPr="00924038">
        <w:rPr>
          <w:szCs w:val="24"/>
        </w:rPr>
        <w:t xml:space="preserve"> approach can be seen from two relatively </w:t>
      </w:r>
      <w:r w:rsidR="00020D6A" w:rsidRPr="00924038">
        <w:rPr>
          <w:szCs w:val="24"/>
        </w:rPr>
        <w:t xml:space="preserve">recent appellate decisions from the Ontario Superior Court of Justice, Divisional Court, namely </w:t>
      </w:r>
      <w:r w:rsidR="00020D6A" w:rsidRPr="00924038">
        <w:rPr>
          <w:i/>
          <w:szCs w:val="24"/>
        </w:rPr>
        <w:t>Locking v Armtec Infrastracture</w:t>
      </w:r>
      <w:r w:rsidR="00AE27A8" w:rsidRPr="00924038">
        <w:rPr>
          <w:i/>
          <w:szCs w:val="24"/>
        </w:rPr>
        <w:t xml:space="preserve"> Inc</w:t>
      </w:r>
      <w:r w:rsidR="00020D6A" w:rsidRPr="00924038">
        <w:rPr>
          <w:i/>
          <w:szCs w:val="24"/>
        </w:rPr>
        <w:t xml:space="preserve"> </w:t>
      </w:r>
      <w:r w:rsidR="00C57501" w:rsidRPr="00924038">
        <w:rPr>
          <w:szCs w:val="24"/>
        </w:rPr>
        <w:t>2013 ONSC 331</w:t>
      </w:r>
      <w:r w:rsidR="00AE27A8" w:rsidRPr="00924038">
        <w:rPr>
          <w:szCs w:val="24"/>
        </w:rPr>
        <w:t>; (2013) 303 OAC 299</w:t>
      </w:r>
      <w:r w:rsidR="00020D6A" w:rsidRPr="00924038">
        <w:rPr>
          <w:szCs w:val="24"/>
        </w:rPr>
        <w:t xml:space="preserve"> and </w:t>
      </w:r>
      <w:r w:rsidR="00020D6A" w:rsidRPr="00924038">
        <w:rPr>
          <w:i/>
          <w:szCs w:val="24"/>
        </w:rPr>
        <w:t>Mancinelli v Barrick Gold Corp</w:t>
      </w:r>
      <w:r w:rsidR="00183AD6" w:rsidRPr="00924038">
        <w:rPr>
          <w:i/>
          <w:szCs w:val="24"/>
        </w:rPr>
        <w:t>oration</w:t>
      </w:r>
      <w:r w:rsidR="00020D6A" w:rsidRPr="00924038">
        <w:rPr>
          <w:i/>
          <w:szCs w:val="24"/>
        </w:rPr>
        <w:t xml:space="preserve"> </w:t>
      </w:r>
      <w:r w:rsidR="00020D6A" w:rsidRPr="00924038">
        <w:rPr>
          <w:szCs w:val="24"/>
        </w:rPr>
        <w:t>2015 ONSC 2717</w:t>
      </w:r>
      <w:r w:rsidR="00AE27A8" w:rsidRPr="00924038">
        <w:rPr>
          <w:szCs w:val="24"/>
        </w:rPr>
        <w:t xml:space="preserve">; (2015) </w:t>
      </w:r>
      <w:r w:rsidR="00183AD6" w:rsidRPr="00924038">
        <w:rPr>
          <w:szCs w:val="24"/>
        </w:rPr>
        <w:t>126 OR (3d) 296</w:t>
      </w:r>
      <w:r w:rsidRPr="00924038">
        <w:rPr>
          <w:szCs w:val="24"/>
        </w:rPr>
        <w:t>.  Each provide</w:t>
      </w:r>
      <w:r w:rsidR="00962E81">
        <w:rPr>
          <w:szCs w:val="24"/>
        </w:rPr>
        <w:t>s</w:t>
      </w:r>
      <w:r w:rsidR="00020D6A" w:rsidRPr="00924038">
        <w:rPr>
          <w:szCs w:val="24"/>
        </w:rPr>
        <w:t xml:space="preserve"> useful guidance as to the non-exhaustive factors to be applied</w:t>
      </w:r>
      <w:r w:rsidR="00AE27A8" w:rsidRPr="00924038">
        <w:rPr>
          <w:szCs w:val="24"/>
        </w:rPr>
        <w:t>,</w:t>
      </w:r>
      <w:r w:rsidR="00020D6A" w:rsidRPr="00924038">
        <w:rPr>
          <w:szCs w:val="24"/>
        </w:rPr>
        <w:t xml:space="preserve"> </w:t>
      </w:r>
      <w:r w:rsidR="00C57501" w:rsidRPr="00924038">
        <w:rPr>
          <w:szCs w:val="24"/>
        </w:rPr>
        <w:t xml:space="preserve">which are discussed </w:t>
      </w:r>
      <w:r w:rsidR="00136503" w:rsidRPr="00924038">
        <w:rPr>
          <w:szCs w:val="24"/>
        </w:rPr>
        <w:t xml:space="preserve">in </w:t>
      </w:r>
      <w:r w:rsidR="00136503" w:rsidRPr="00924038">
        <w:rPr>
          <w:i/>
          <w:szCs w:val="24"/>
        </w:rPr>
        <w:t>Bellamy’s</w:t>
      </w:r>
      <w:r w:rsidR="00136503" w:rsidRPr="00924038">
        <w:rPr>
          <w:szCs w:val="24"/>
        </w:rPr>
        <w:t xml:space="preserve"> at [58]: </w:t>
      </w:r>
    </w:p>
    <w:p w:rsidR="006611A1" w:rsidRDefault="006611A1" w:rsidP="00744C10">
      <w:pPr>
        <w:pStyle w:val="Order2"/>
        <w:numPr>
          <w:ilvl w:val="1"/>
          <w:numId w:val="30"/>
        </w:numPr>
      </w:pPr>
      <w:r w:rsidRPr="00924038">
        <w:t>the nature and scope of the causes of action advanced;</w:t>
      </w:r>
    </w:p>
    <w:p w:rsidR="00FB5D3C" w:rsidRDefault="00FB5D3C" w:rsidP="00744C10">
      <w:pPr>
        <w:pStyle w:val="Order2"/>
        <w:numPr>
          <w:ilvl w:val="1"/>
          <w:numId w:val="30"/>
        </w:numPr>
      </w:pPr>
      <w:r w:rsidRPr="00924038">
        <w:t>the theories advanced by counsel as being supportive of the claims advanced;</w:t>
      </w:r>
    </w:p>
    <w:p w:rsidR="00FB5D3C" w:rsidRDefault="00FB5D3C" w:rsidP="00744C10">
      <w:pPr>
        <w:pStyle w:val="Order2"/>
        <w:numPr>
          <w:ilvl w:val="1"/>
          <w:numId w:val="30"/>
        </w:numPr>
      </w:pPr>
      <w:r w:rsidRPr="00924038">
        <w:t>the state of each class action</w:t>
      </w:r>
      <w:r>
        <w:t>,</w:t>
      </w:r>
      <w:r w:rsidRPr="00924038">
        <w:t xml:space="preserve"> including preparation;</w:t>
      </w:r>
    </w:p>
    <w:p w:rsidR="00FB5D3C" w:rsidRDefault="00FB5D3C" w:rsidP="00744C10">
      <w:pPr>
        <w:pStyle w:val="Order2"/>
        <w:numPr>
          <w:ilvl w:val="1"/>
          <w:numId w:val="30"/>
        </w:numPr>
      </w:pPr>
      <w:r w:rsidRPr="00924038">
        <w:t>the number, size and extent of involvement of the proposed representative applicant;</w:t>
      </w:r>
    </w:p>
    <w:p w:rsidR="00FB5D3C" w:rsidRDefault="00FB5D3C" w:rsidP="00744C10">
      <w:pPr>
        <w:pStyle w:val="Order2"/>
        <w:numPr>
          <w:ilvl w:val="1"/>
          <w:numId w:val="30"/>
        </w:numPr>
      </w:pPr>
      <w:r w:rsidRPr="00924038">
        <w:t>the relative priority of commencing the class action;</w:t>
      </w:r>
    </w:p>
    <w:p w:rsidR="00FB5D3C" w:rsidRDefault="00FB5D3C" w:rsidP="00744C10">
      <w:pPr>
        <w:pStyle w:val="Order2"/>
        <w:numPr>
          <w:ilvl w:val="1"/>
          <w:numId w:val="30"/>
        </w:numPr>
      </w:pPr>
      <w:r w:rsidRPr="00924038">
        <w:t>the resources, experience and competence of counsel;</w:t>
      </w:r>
    </w:p>
    <w:p w:rsidR="00FB5D3C" w:rsidRPr="00924038" w:rsidRDefault="00FB5D3C" w:rsidP="00744C10">
      <w:pPr>
        <w:pStyle w:val="Order2"/>
        <w:numPr>
          <w:ilvl w:val="1"/>
          <w:numId w:val="30"/>
        </w:numPr>
      </w:pPr>
      <w:proofErr w:type="gramStart"/>
      <w:r w:rsidRPr="00924038">
        <w:t>the</w:t>
      </w:r>
      <w:proofErr w:type="gramEnd"/>
      <w:r w:rsidRPr="00924038">
        <w:t xml:space="preserve"> presence of any conflict of interest.</w:t>
      </w:r>
    </w:p>
    <w:p w:rsidR="004A56DD" w:rsidRPr="00924038" w:rsidRDefault="00023678" w:rsidP="00023678">
      <w:pPr>
        <w:pStyle w:val="ParaNumbering"/>
        <w:rPr>
          <w:szCs w:val="24"/>
        </w:rPr>
      </w:pPr>
      <w:r w:rsidRPr="00924038">
        <w:rPr>
          <w:szCs w:val="24"/>
        </w:rPr>
        <w:t>What is useful to observe, is that the over</w:t>
      </w:r>
      <w:r w:rsidR="00E7759E" w:rsidRPr="00924038">
        <w:rPr>
          <w:szCs w:val="24"/>
        </w:rPr>
        <w:t>riding</w:t>
      </w:r>
      <w:r w:rsidRPr="00924038">
        <w:rPr>
          <w:szCs w:val="24"/>
        </w:rPr>
        <w:t xml:space="preserve"> consideration as to which of two or more competing class actions ought to </w:t>
      </w:r>
      <w:proofErr w:type="gramStart"/>
      <w:r w:rsidRPr="00924038">
        <w:rPr>
          <w:szCs w:val="24"/>
        </w:rPr>
        <w:t>proceed</w:t>
      </w:r>
      <w:proofErr w:type="gramEnd"/>
      <w:r w:rsidRPr="00924038">
        <w:rPr>
          <w:szCs w:val="24"/>
        </w:rPr>
        <w:t xml:space="preserve"> is, unsurprisingly, the best interests of group members: </w:t>
      </w:r>
      <w:r w:rsidR="00183AD6" w:rsidRPr="00924038">
        <w:rPr>
          <w:szCs w:val="24"/>
        </w:rPr>
        <w:t xml:space="preserve">see </w:t>
      </w:r>
      <w:r w:rsidR="00183AD6" w:rsidRPr="00924038">
        <w:rPr>
          <w:i/>
          <w:szCs w:val="24"/>
        </w:rPr>
        <w:t>Locking</w:t>
      </w:r>
      <w:r w:rsidRPr="00924038">
        <w:rPr>
          <w:szCs w:val="24"/>
        </w:rPr>
        <w:t xml:space="preserve"> at [7] and </w:t>
      </w:r>
      <w:r w:rsidR="00183AD6" w:rsidRPr="00924038">
        <w:rPr>
          <w:i/>
          <w:szCs w:val="24"/>
        </w:rPr>
        <w:t>Mancinelli</w:t>
      </w:r>
      <w:r w:rsidRPr="00924038">
        <w:rPr>
          <w:szCs w:val="24"/>
        </w:rPr>
        <w:t xml:space="preserve"> [15] and [18].  I interpolate that this is not diffe</w:t>
      </w:r>
      <w:r w:rsidR="00183AD6" w:rsidRPr="00924038">
        <w:rPr>
          <w:szCs w:val="24"/>
        </w:rPr>
        <w:t>rent from the approach taken by</w:t>
      </w:r>
      <w:r w:rsidRPr="00924038">
        <w:rPr>
          <w:szCs w:val="24"/>
        </w:rPr>
        <w:t xml:space="preserve"> Finkelstein J </w:t>
      </w:r>
      <w:r w:rsidR="00183AD6" w:rsidRPr="00924038">
        <w:rPr>
          <w:szCs w:val="24"/>
        </w:rPr>
        <w:t xml:space="preserve">in </w:t>
      </w:r>
      <w:r w:rsidRPr="00924038">
        <w:rPr>
          <w:i/>
          <w:szCs w:val="24"/>
        </w:rPr>
        <w:t>Centro</w:t>
      </w:r>
      <w:r w:rsidRPr="00924038">
        <w:rPr>
          <w:szCs w:val="24"/>
        </w:rPr>
        <w:t xml:space="preserve"> at </w:t>
      </w:r>
      <w:r w:rsidR="00183AD6" w:rsidRPr="00924038">
        <w:rPr>
          <w:szCs w:val="24"/>
        </w:rPr>
        <w:t xml:space="preserve">74 </w:t>
      </w:r>
      <w:r w:rsidRPr="00924038">
        <w:rPr>
          <w:szCs w:val="24"/>
        </w:rPr>
        <w:t xml:space="preserve">[37], </w:t>
      </w:r>
      <w:r w:rsidR="00183AD6" w:rsidRPr="00924038">
        <w:rPr>
          <w:szCs w:val="24"/>
        </w:rPr>
        <w:t>where his Honour</w:t>
      </w:r>
      <w:r w:rsidRPr="00924038">
        <w:rPr>
          <w:szCs w:val="24"/>
        </w:rPr>
        <w:t xml:space="preserve"> considered it to be “</w:t>
      </w:r>
      <w:r w:rsidRPr="00924038">
        <w:rPr>
          <w:i/>
          <w:szCs w:val="24"/>
        </w:rPr>
        <w:t>the only important factor</w:t>
      </w:r>
      <w:r w:rsidRPr="00924038">
        <w:rPr>
          <w:szCs w:val="24"/>
        </w:rPr>
        <w:t xml:space="preserve">.”  In Canada, the test is expanded a little, with the </w:t>
      </w:r>
      <w:r w:rsidR="000C6623" w:rsidRPr="00924038">
        <w:rPr>
          <w:szCs w:val="24"/>
        </w:rPr>
        <w:t>C</w:t>
      </w:r>
      <w:r w:rsidRPr="00924038">
        <w:rPr>
          <w:szCs w:val="24"/>
        </w:rPr>
        <w:t>ourt’s objective being “</w:t>
      </w:r>
      <w:r w:rsidRPr="00924038">
        <w:rPr>
          <w:i/>
          <w:szCs w:val="24"/>
        </w:rPr>
        <w:t>to make the selection that is in the best interests of the class, while being fair to the defendants and consistent with the objectives</w:t>
      </w:r>
      <w:r w:rsidR="00163C92" w:rsidRPr="00924038">
        <w:rPr>
          <w:szCs w:val="24"/>
        </w:rPr>
        <w:t>” of the relevant class action legislation, namely “</w:t>
      </w:r>
      <w:r w:rsidRPr="00924038">
        <w:rPr>
          <w:i/>
          <w:szCs w:val="24"/>
        </w:rPr>
        <w:t xml:space="preserve">access to justice, behaviour modification, and judicial economy </w:t>
      </w:r>
      <w:r w:rsidRPr="00924038">
        <w:rPr>
          <w:i/>
          <w:szCs w:val="24"/>
        </w:rPr>
        <w:lastRenderedPageBreak/>
        <w:t>for the parties and for the administration of justice</w:t>
      </w:r>
      <w:r w:rsidRPr="00924038">
        <w:rPr>
          <w:szCs w:val="24"/>
        </w:rPr>
        <w:t xml:space="preserve">”: </w:t>
      </w:r>
      <w:r w:rsidR="00183AD6" w:rsidRPr="00924038">
        <w:rPr>
          <w:szCs w:val="24"/>
        </w:rPr>
        <w:t xml:space="preserve">see </w:t>
      </w:r>
      <w:r w:rsidR="00183AD6" w:rsidRPr="00924038">
        <w:rPr>
          <w:i/>
          <w:szCs w:val="24"/>
        </w:rPr>
        <w:t>Mancinelli</w:t>
      </w:r>
      <w:r w:rsidRPr="00924038">
        <w:rPr>
          <w:szCs w:val="24"/>
        </w:rPr>
        <w:t xml:space="preserve"> at [15].  It is under the umbrella of this objective </w:t>
      </w:r>
      <w:r w:rsidR="00962E81">
        <w:rPr>
          <w:szCs w:val="24"/>
        </w:rPr>
        <w:t>(</w:t>
      </w:r>
      <w:r w:rsidRPr="00924038">
        <w:rPr>
          <w:szCs w:val="24"/>
        </w:rPr>
        <w:t>that the Court must consider what is in the best interests of group members</w:t>
      </w:r>
      <w:r w:rsidR="00962E81">
        <w:rPr>
          <w:szCs w:val="24"/>
        </w:rPr>
        <w:t>)</w:t>
      </w:r>
      <w:r w:rsidRPr="00924038">
        <w:rPr>
          <w:szCs w:val="24"/>
        </w:rPr>
        <w:t>, that the non-exhaustive factors referred to above have emerged as relevant to the Court’s determination.</w:t>
      </w:r>
    </w:p>
    <w:p w:rsidR="004A56DD" w:rsidRPr="00924038" w:rsidRDefault="00D96892" w:rsidP="00D96892">
      <w:pPr>
        <w:pStyle w:val="ParaNumbering"/>
        <w:rPr>
          <w:szCs w:val="24"/>
        </w:rPr>
      </w:pPr>
      <w:r w:rsidRPr="00924038">
        <w:rPr>
          <w:szCs w:val="24"/>
        </w:rPr>
        <w:t xml:space="preserve">In balancing these factors, </w:t>
      </w:r>
      <w:r w:rsidR="000C6623" w:rsidRPr="00924038">
        <w:rPr>
          <w:szCs w:val="24"/>
        </w:rPr>
        <w:t>c</w:t>
      </w:r>
      <w:r w:rsidRPr="00924038">
        <w:rPr>
          <w:szCs w:val="24"/>
        </w:rPr>
        <w:t>ourts in Canada have stated that it is inappropriate to “</w:t>
      </w:r>
      <w:r w:rsidRPr="00924038">
        <w:rPr>
          <w:i/>
          <w:szCs w:val="24"/>
        </w:rPr>
        <w:t>parse the action finely or overly analyse [the respective actions] for the purposes of comparison but rather to scrutinize each for any glaring deficiencies</w:t>
      </w:r>
      <w:r w:rsidRPr="00924038">
        <w:rPr>
          <w:szCs w:val="24"/>
        </w:rPr>
        <w:t xml:space="preserve">”: </w:t>
      </w:r>
      <w:r w:rsidRPr="00924038">
        <w:rPr>
          <w:i/>
          <w:szCs w:val="24"/>
        </w:rPr>
        <w:t>Set</w:t>
      </w:r>
      <w:r w:rsidR="000C6623" w:rsidRPr="00924038">
        <w:rPr>
          <w:i/>
          <w:szCs w:val="24"/>
        </w:rPr>
        <w:t>t</w:t>
      </w:r>
      <w:r w:rsidRPr="00924038">
        <w:rPr>
          <w:i/>
          <w:szCs w:val="24"/>
        </w:rPr>
        <w:t>erington v Merck Fro</w:t>
      </w:r>
      <w:r w:rsidR="000C6623" w:rsidRPr="00924038">
        <w:rPr>
          <w:i/>
          <w:szCs w:val="24"/>
        </w:rPr>
        <w:t>s</w:t>
      </w:r>
      <w:r w:rsidRPr="00924038">
        <w:rPr>
          <w:i/>
          <w:szCs w:val="24"/>
        </w:rPr>
        <w:t>st Canada Ltd</w:t>
      </w:r>
      <w:r w:rsidR="000C6623" w:rsidRPr="00924038">
        <w:rPr>
          <w:szCs w:val="24"/>
        </w:rPr>
        <w:t xml:space="preserve"> </w:t>
      </w:r>
      <w:r w:rsidR="00A13637" w:rsidRPr="00924038">
        <w:rPr>
          <w:szCs w:val="24"/>
        </w:rPr>
        <w:t>2006 CarswellOnt 506</w:t>
      </w:r>
      <w:r w:rsidR="000C6623" w:rsidRPr="00924038">
        <w:rPr>
          <w:szCs w:val="24"/>
        </w:rPr>
        <w:t>; (2006)</w:t>
      </w:r>
      <w:r w:rsidRPr="00924038">
        <w:rPr>
          <w:szCs w:val="24"/>
        </w:rPr>
        <w:t xml:space="preserve"> 26 </w:t>
      </w:r>
      <w:r w:rsidR="000C6623" w:rsidRPr="00924038">
        <w:rPr>
          <w:szCs w:val="24"/>
        </w:rPr>
        <w:t>CPC (6th) 173 at [19] (</w:t>
      </w:r>
      <w:r w:rsidRPr="00924038">
        <w:rPr>
          <w:szCs w:val="24"/>
        </w:rPr>
        <w:t xml:space="preserve">cited with approval in </w:t>
      </w:r>
      <w:r w:rsidR="000C6623" w:rsidRPr="00924038">
        <w:rPr>
          <w:i/>
          <w:szCs w:val="24"/>
        </w:rPr>
        <w:t>Locking</w:t>
      </w:r>
      <w:r w:rsidR="000C6623" w:rsidRPr="00924038">
        <w:rPr>
          <w:szCs w:val="24"/>
        </w:rPr>
        <w:t>)</w:t>
      </w:r>
      <w:r w:rsidRPr="00924038">
        <w:rPr>
          <w:szCs w:val="24"/>
        </w:rPr>
        <w:t xml:space="preserve">.  Further, in considering the causes of action pleaded in each proceeding, the </w:t>
      </w:r>
      <w:r w:rsidR="00962E81">
        <w:rPr>
          <w:szCs w:val="24"/>
        </w:rPr>
        <w:t>c</w:t>
      </w:r>
      <w:r w:rsidRPr="00924038">
        <w:rPr>
          <w:szCs w:val="24"/>
        </w:rPr>
        <w:t xml:space="preserve">ourt need not attempt to determine the ultimate success </w:t>
      </w:r>
      <w:r w:rsidR="00E7759E" w:rsidRPr="00924038">
        <w:rPr>
          <w:szCs w:val="24"/>
        </w:rPr>
        <w:t>of a claim</w:t>
      </w:r>
      <w:r w:rsidR="00A13637" w:rsidRPr="00924038">
        <w:rPr>
          <w:szCs w:val="24"/>
        </w:rPr>
        <w:t>,</w:t>
      </w:r>
      <w:r w:rsidR="00E7759E" w:rsidRPr="00924038">
        <w:rPr>
          <w:szCs w:val="24"/>
        </w:rPr>
        <w:t xml:space="preserve"> only whether one is </w:t>
      </w:r>
      <w:r w:rsidR="00A13637" w:rsidRPr="00924038">
        <w:rPr>
          <w:szCs w:val="24"/>
        </w:rPr>
        <w:t>“</w:t>
      </w:r>
      <w:r w:rsidR="00A13637" w:rsidRPr="00924038">
        <w:rPr>
          <w:i/>
          <w:szCs w:val="24"/>
        </w:rPr>
        <w:t xml:space="preserve">fanciful </w:t>
      </w:r>
      <w:r w:rsidR="00E7759E" w:rsidRPr="00924038">
        <w:rPr>
          <w:i/>
          <w:szCs w:val="24"/>
        </w:rPr>
        <w:t>or</w:t>
      </w:r>
      <w:r w:rsidR="00A13637" w:rsidRPr="00924038">
        <w:rPr>
          <w:i/>
          <w:szCs w:val="24"/>
        </w:rPr>
        <w:t xml:space="preserve"> frivolous</w:t>
      </w:r>
      <w:r w:rsidR="00A13637" w:rsidRPr="00924038">
        <w:rPr>
          <w:szCs w:val="24"/>
        </w:rPr>
        <w:t>”</w:t>
      </w:r>
      <w:r w:rsidRPr="00924038">
        <w:rPr>
          <w:szCs w:val="24"/>
        </w:rPr>
        <w:t xml:space="preserve">: </w:t>
      </w:r>
      <w:r w:rsidRPr="00924038">
        <w:rPr>
          <w:i/>
          <w:szCs w:val="24"/>
        </w:rPr>
        <w:t>Go</w:t>
      </w:r>
      <w:r w:rsidR="00A13637" w:rsidRPr="00924038">
        <w:rPr>
          <w:i/>
          <w:szCs w:val="24"/>
        </w:rPr>
        <w:t>recki v Canada (AG</w:t>
      </w:r>
      <w:r w:rsidRPr="00924038">
        <w:rPr>
          <w:i/>
          <w:szCs w:val="24"/>
        </w:rPr>
        <w:t>)</w:t>
      </w:r>
      <w:r w:rsidRPr="00924038">
        <w:rPr>
          <w:szCs w:val="24"/>
        </w:rPr>
        <w:t xml:space="preserve"> </w:t>
      </w:r>
      <w:r w:rsidR="00A13637" w:rsidRPr="00924038">
        <w:rPr>
          <w:szCs w:val="24"/>
        </w:rPr>
        <w:t xml:space="preserve">2004 CarswellOnt 1266; </w:t>
      </w:r>
      <w:r w:rsidRPr="00924038">
        <w:rPr>
          <w:szCs w:val="24"/>
        </w:rPr>
        <w:t>(2004) 47 CPC (5th) 151</w:t>
      </w:r>
      <w:r w:rsidR="00A13637" w:rsidRPr="00924038">
        <w:rPr>
          <w:szCs w:val="24"/>
        </w:rPr>
        <w:t xml:space="preserve"> at [14]</w:t>
      </w:r>
      <w:r w:rsidRPr="00924038">
        <w:rPr>
          <w:szCs w:val="24"/>
        </w:rPr>
        <w:t xml:space="preserve"> </w:t>
      </w:r>
      <w:r w:rsidR="00962E81">
        <w:rPr>
          <w:szCs w:val="24"/>
        </w:rPr>
        <w:t>(</w:t>
      </w:r>
      <w:r w:rsidRPr="00924038">
        <w:rPr>
          <w:szCs w:val="24"/>
        </w:rPr>
        <w:t xml:space="preserve">cited with approval in </w:t>
      </w:r>
      <w:r w:rsidRPr="00924038">
        <w:rPr>
          <w:i/>
          <w:szCs w:val="24"/>
        </w:rPr>
        <w:t>Set</w:t>
      </w:r>
      <w:r w:rsidR="00A13637" w:rsidRPr="00924038">
        <w:rPr>
          <w:i/>
          <w:szCs w:val="24"/>
        </w:rPr>
        <w:t>t</w:t>
      </w:r>
      <w:r w:rsidRPr="00924038">
        <w:rPr>
          <w:i/>
          <w:szCs w:val="24"/>
        </w:rPr>
        <w:t>erington</w:t>
      </w:r>
      <w:r w:rsidRPr="00924038">
        <w:rPr>
          <w:szCs w:val="24"/>
        </w:rPr>
        <w:t xml:space="preserve"> </w:t>
      </w:r>
      <w:r w:rsidR="00A13637" w:rsidRPr="00924038">
        <w:rPr>
          <w:szCs w:val="24"/>
        </w:rPr>
        <w:t xml:space="preserve">at [19] </w:t>
      </w:r>
      <w:r w:rsidRPr="00924038">
        <w:rPr>
          <w:szCs w:val="24"/>
        </w:rPr>
        <w:t xml:space="preserve">and </w:t>
      </w:r>
      <w:r w:rsidR="00A13637" w:rsidRPr="00924038">
        <w:rPr>
          <w:i/>
          <w:szCs w:val="24"/>
        </w:rPr>
        <w:t>Locking</w:t>
      </w:r>
      <w:r w:rsidR="00A13637" w:rsidRPr="00924038">
        <w:rPr>
          <w:szCs w:val="24"/>
        </w:rPr>
        <w:t xml:space="preserve"> at [7], [8])</w:t>
      </w:r>
      <w:r w:rsidRPr="00924038">
        <w:rPr>
          <w:szCs w:val="24"/>
        </w:rPr>
        <w:t xml:space="preserve">; see also </w:t>
      </w:r>
      <w:r w:rsidR="00A13637" w:rsidRPr="00924038">
        <w:rPr>
          <w:i/>
          <w:szCs w:val="24"/>
        </w:rPr>
        <w:t>Locking</w:t>
      </w:r>
      <w:r w:rsidRPr="00924038">
        <w:rPr>
          <w:szCs w:val="24"/>
        </w:rPr>
        <w:t xml:space="preserve"> at [19].  However, in the event that there is little difference between most of the relevant factors, it may</w:t>
      </w:r>
      <w:r w:rsidR="00E7759E" w:rsidRPr="00924038">
        <w:rPr>
          <w:szCs w:val="24"/>
        </w:rPr>
        <w:t xml:space="preserve"> be necessary for the court to </w:t>
      </w:r>
      <w:r w:rsidRPr="00924038">
        <w:rPr>
          <w:szCs w:val="24"/>
        </w:rPr>
        <w:t>conduct a more detailed and nua</w:t>
      </w:r>
      <w:r w:rsidR="00E7759E" w:rsidRPr="00924038">
        <w:rPr>
          <w:szCs w:val="24"/>
        </w:rPr>
        <w:t>nced analysis</w:t>
      </w:r>
      <w:r w:rsidRPr="00924038">
        <w:rPr>
          <w:szCs w:val="24"/>
        </w:rPr>
        <w:t xml:space="preserve"> of the nature and scope of the causes of action and case theories advanced, “</w:t>
      </w:r>
      <w:r w:rsidRPr="00924038">
        <w:rPr>
          <w:i/>
          <w:szCs w:val="24"/>
        </w:rPr>
        <w:t>because there is no other way to properly distinguish between the actions and chose the proceeding that is in the best interests of the class</w:t>
      </w:r>
      <w:r w:rsidRPr="00924038">
        <w:rPr>
          <w:szCs w:val="24"/>
        </w:rPr>
        <w:t xml:space="preserve">”: </w:t>
      </w:r>
      <w:r w:rsidR="006E5747" w:rsidRPr="00924038">
        <w:rPr>
          <w:i/>
          <w:szCs w:val="24"/>
        </w:rPr>
        <w:t>Locking</w:t>
      </w:r>
      <w:r w:rsidRPr="00924038">
        <w:rPr>
          <w:szCs w:val="24"/>
        </w:rPr>
        <w:t xml:space="preserve"> at [25]; </w:t>
      </w:r>
      <w:r w:rsidR="006E5747" w:rsidRPr="00924038">
        <w:rPr>
          <w:i/>
          <w:szCs w:val="24"/>
        </w:rPr>
        <w:t>Mancinelli</w:t>
      </w:r>
      <w:r w:rsidRPr="00924038">
        <w:rPr>
          <w:szCs w:val="24"/>
        </w:rPr>
        <w:t xml:space="preserve"> at [41].</w:t>
      </w:r>
    </w:p>
    <w:p w:rsidR="00196E97" w:rsidRPr="00924038" w:rsidRDefault="000C479A" w:rsidP="00135968">
      <w:pPr>
        <w:pStyle w:val="ParaNumbering"/>
        <w:rPr>
          <w:rFonts w:eastAsia="Times New Roman"/>
          <w:spacing w:val="2"/>
          <w:szCs w:val="24"/>
          <w:lang w:val="en" w:eastAsia="en-AU"/>
        </w:rPr>
      </w:pPr>
      <w:r w:rsidRPr="00924038">
        <w:rPr>
          <w:szCs w:val="24"/>
        </w:rPr>
        <w:t xml:space="preserve">The position in the United States </w:t>
      </w:r>
      <w:r w:rsidR="00196E97" w:rsidRPr="00924038">
        <w:rPr>
          <w:szCs w:val="24"/>
        </w:rPr>
        <w:t xml:space="preserve">as to securities class actions </w:t>
      </w:r>
      <w:r w:rsidRPr="00924038">
        <w:rPr>
          <w:szCs w:val="24"/>
        </w:rPr>
        <w:t>also merits attention</w:t>
      </w:r>
      <w:r w:rsidR="00181457" w:rsidRPr="00924038">
        <w:rPr>
          <w:szCs w:val="24"/>
        </w:rPr>
        <w:t xml:space="preserve">.  The existence of competing </w:t>
      </w:r>
      <w:r w:rsidR="0047527E" w:rsidRPr="00924038">
        <w:rPr>
          <w:szCs w:val="24"/>
        </w:rPr>
        <w:t xml:space="preserve">securities </w:t>
      </w:r>
      <w:r w:rsidR="00181457" w:rsidRPr="00924038">
        <w:rPr>
          <w:szCs w:val="24"/>
        </w:rPr>
        <w:t xml:space="preserve">class actions </w:t>
      </w:r>
      <w:r w:rsidR="00C57501" w:rsidRPr="00924038">
        <w:rPr>
          <w:szCs w:val="24"/>
        </w:rPr>
        <w:t xml:space="preserve">in that country </w:t>
      </w:r>
      <w:r w:rsidR="00181457" w:rsidRPr="00924038">
        <w:rPr>
          <w:szCs w:val="24"/>
        </w:rPr>
        <w:t xml:space="preserve">has </w:t>
      </w:r>
      <w:r w:rsidR="0047527E" w:rsidRPr="00924038">
        <w:rPr>
          <w:szCs w:val="24"/>
        </w:rPr>
        <w:t xml:space="preserve">to </w:t>
      </w:r>
      <w:r w:rsidR="00181457" w:rsidRPr="00924038">
        <w:rPr>
          <w:szCs w:val="24"/>
        </w:rPr>
        <w:t xml:space="preserve">be understood against a </w:t>
      </w:r>
      <w:r w:rsidR="00175284">
        <w:rPr>
          <w:szCs w:val="24"/>
        </w:rPr>
        <w:t xml:space="preserve">backdrop </w:t>
      </w:r>
      <w:r w:rsidR="00181457" w:rsidRPr="00924038">
        <w:rPr>
          <w:szCs w:val="24"/>
        </w:rPr>
        <w:t xml:space="preserve">of legislative </w:t>
      </w:r>
      <w:r w:rsidR="00175284">
        <w:rPr>
          <w:szCs w:val="24"/>
        </w:rPr>
        <w:t>reform</w:t>
      </w:r>
      <w:r w:rsidR="00962E81">
        <w:rPr>
          <w:szCs w:val="24"/>
        </w:rPr>
        <w:t>,</w:t>
      </w:r>
      <w:r w:rsidR="00181457" w:rsidRPr="00924038">
        <w:rPr>
          <w:szCs w:val="24"/>
        </w:rPr>
        <w:t xml:space="preserve"> such as </w:t>
      </w:r>
      <w:r w:rsidR="00196E97" w:rsidRPr="00924038">
        <w:rPr>
          <w:szCs w:val="24"/>
        </w:rPr>
        <w:t xml:space="preserve">the </w:t>
      </w:r>
      <w:r w:rsidR="00196E97" w:rsidRPr="00924038">
        <w:rPr>
          <w:rFonts w:eastAsia="Times New Roman"/>
          <w:spacing w:val="2"/>
          <w:szCs w:val="24"/>
          <w:lang w:val="en" w:eastAsia="en-AU"/>
        </w:rPr>
        <w:t xml:space="preserve">enactment of the </w:t>
      </w:r>
      <w:r w:rsidR="00196E97" w:rsidRPr="00924038">
        <w:rPr>
          <w:rFonts w:eastAsia="Times New Roman"/>
          <w:i/>
          <w:spacing w:val="2"/>
          <w:szCs w:val="24"/>
          <w:lang w:val="en" w:eastAsia="en-AU"/>
        </w:rPr>
        <w:t>Private Securities Litigation Reform Act of 1995</w:t>
      </w:r>
      <w:r w:rsidR="009A1FDA" w:rsidRPr="00924038">
        <w:rPr>
          <w:rFonts w:eastAsia="Times New Roman"/>
          <w:spacing w:val="2"/>
          <w:szCs w:val="24"/>
          <w:lang w:val="en" w:eastAsia="en-AU"/>
        </w:rPr>
        <w:t xml:space="preserve">, Pub L No 104-67, </w:t>
      </w:r>
      <w:r w:rsidR="0047527E" w:rsidRPr="00924038">
        <w:rPr>
          <w:rFonts w:eastAsia="Times New Roman"/>
          <w:spacing w:val="2"/>
          <w:szCs w:val="24"/>
          <w:lang w:val="en" w:eastAsia="en-AU"/>
        </w:rPr>
        <w:t>109</w:t>
      </w:r>
      <w:r w:rsidR="009A1FDA" w:rsidRPr="00924038">
        <w:rPr>
          <w:rFonts w:eastAsia="Times New Roman"/>
          <w:spacing w:val="2"/>
          <w:szCs w:val="24"/>
          <w:lang w:val="en" w:eastAsia="en-AU"/>
        </w:rPr>
        <w:t xml:space="preserve"> Stat </w:t>
      </w:r>
      <w:r w:rsidR="0047527E" w:rsidRPr="00924038">
        <w:rPr>
          <w:rFonts w:eastAsia="Times New Roman"/>
          <w:spacing w:val="2"/>
          <w:szCs w:val="24"/>
          <w:lang w:val="en" w:eastAsia="en-AU"/>
        </w:rPr>
        <w:t>737</w:t>
      </w:r>
      <w:r w:rsidR="009A1FDA" w:rsidRPr="00924038">
        <w:rPr>
          <w:rFonts w:eastAsia="Times New Roman"/>
          <w:spacing w:val="2"/>
          <w:szCs w:val="24"/>
          <w:lang w:val="en" w:eastAsia="en-AU"/>
        </w:rPr>
        <w:t xml:space="preserve"> (codified as amended in scattered sections of 15 USC)</w:t>
      </w:r>
      <w:r w:rsidR="00196E97" w:rsidRPr="00924038">
        <w:rPr>
          <w:rFonts w:eastAsia="Times New Roman"/>
          <w:spacing w:val="2"/>
          <w:szCs w:val="24"/>
          <w:lang w:val="en" w:eastAsia="en-AU"/>
        </w:rPr>
        <w:t xml:space="preserve"> (</w:t>
      </w:r>
      <w:r w:rsidR="00196E97" w:rsidRPr="00924038">
        <w:rPr>
          <w:rFonts w:eastAsia="Times New Roman"/>
          <w:b/>
          <w:spacing w:val="2"/>
          <w:szCs w:val="24"/>
          <w:lang w:val="en" w:eastAsia="en-AU"/>
        </w:rPr>
        <w:t>PSLRA</w:t>
      </w:r>
      <w:r w:rsidR="00196E97" w:rsidRPr="00924038">
        <w:rPr>
          <w:rFonts w:eastAsia="Times New Roman"/>
          <w:spacing w:val="2"/>
          <w:szCs w:val="24"/>
          <w:lang w:val="en" w:eastAsia="en-AU"/>
        </w:rPr>
        <w:t>) which relevantly imposed various controls on securities class actions</w:t>
      </w:r>
      <w:r w:rsidR="0047527E" w:rsidRPr="00924038">
        <w:rPr>
          <w:rFonts w:eastAsia="Times New Roman"/>
          <w:spacing w:val="2"/>
          <w:szCs w:val="24"/>
          <w:lang w:val="en" w:eastAsia="en-AU"/>
        </w:rPr>
        <w:t>,</w:t>
      </w:r>
      <w:r w:rsidR="00196E97" w:rsidRPr="00924038">
        <w:rPr>
          <w:rFonts w:eastAsia="Times New Roman"/>
          <w:spacing w:val="2"/>
          <w:szCs w:val="24"/>
          <w:lang w:val="en" w:eastAsia="en-AU"/>
        </w:rPr>
        <w:t xml:space="preserve"> including more stringent pleading requirements, a stay of discovery pending a motion brought to dismiss the action, and </w:t>
      </w:r>
      <w:r w:rsidR="0047527E" w:rsidRPr="00924038">
        <w:rPr>
          <w:rFonts w:eastAsia="Times New Roman"/>
          <w:spacing w:val="2"/>
          <w:szCs w:val="24"/>
          <w:lang w:val="en" w:eastAsia="en-AU"/>
        </w:rPr>
        <w:t xml:space="preserve">which </w:t>
      </w:r>
      <w:r w:rsidR="00196E97" w:rsidRPr="00924038">
        <w:rPr>
          <w:rFonts w:eastAsia="Times New Roman"/>
          <w:spacing w:val="2"/>
          <w:szCs w:val="24"/>
          <w:lang w:val="en" w:eastAsia="en-AU"/>
        </w:rPr>
        <w:t>established a process for appointment of lead plaintiff and lead counsel in securities class actions.</w:t>
      </w:r>
      <w:r w:rsidR="00F62540" w:rsidRPr="00924038">
        <w:rPr>
          <w:rFonts w:eastAsia="Times New Roman"/>
          <w:spacing w:val="2"/>
          <w:szCs w:val="24"/>
          <w:lang w:val="en" w:eastAsia="en-AU"/>
        </w:rPr>
        <w:t xml:space="preserve">  Inventive plaintiff lawyers sought to get around</w:t>
      </w:r>
      <w:r w:rsidR="00A02689" w:rsidRPr="00924038">
        <w:rPr>
          <w:rFonts w:eastAsia="Times New Roman"/>
          <w:spacing w:val="2"/>
          <w:szCs w:val="24"/>
          <w:lang w:val="en" w:eastAsia="en-AU"/>
        </w:rPr>
        <w:t xml:space="preserve"> the PSLRA’</w:t>
      </w:r>
      <w:r w:rsidR="00F62540" w:rsidRPr="00924038">
        <w:rPr>
          <w:rFonts w:eastAsia="Times New Roman"/>
          <w:spacing w:val="2"/>
          <w:szCs w:val="24"/>
          <w:lang w:val="en" w:eastAsia="en-AU"/>
        </w:rPr>
        <w:t xml:space="preserve">s restrictions by filing state law claims and federal securities claims in state courts.  The response was </w:t>
      </w:r>
      <w:r w:rsidR="00175284">
        <w:rPr>
          <w:rFonts w:eastAsia="Times New Roman"/>
          <w:spacing w:val="2"/>
          <w:szCs w:val="24"/>
          <w:lang w:val="en" w:eastAsia="en-AU"/>
        </w:rPr>
        <w:t xml:space="preserve">law reform of law reform by </w:t>
      </w:r>
      <w:r w:rsidR="00F62540" w:rsidRPr="00924038">
        <w:rPr>
          <w:rFonts w:eastAsia="Times New Roman"/>
          <w:spacing w:val="2"/>
          <w:szCs w:val="24"/>
          <w:lang w:val="en" w:eastAsia="en-AU"/>
        </w:rPr>
        <w:t xml:space="preserve">Congress enacting the </w:t>
      </w:r>
      <w:r w:rsidR="00F62540" w:rsidRPr="00924038">
        <w:rPr>
          <w:rFonts w:eastAsia="Times New Roman"/>
          <w:i/>
          <w:spacing w:val="2"/>
          <w:szCs w:val="24"/>
          <w:lang w:val="en" w:eastAsia="en-AU"/>
        </w:rPr>
        <w:t>Securities Litigation Uniform Standards Act of 1998</w:t>
      </w:r>
      <w:r w:rsidR="0047527E" w:rsidRPr="00924038">
        <w:rPr>
          <w:rFonts w:eastAsia="Times New Roman"/>
          <w:spacing w:val="2"/>
          <w:szCs w:val="24"/>
          <w:lang w:val="en" w:eastAsia="en-AU"/>
        </w:rPr>
        <w:t xml:space="preserve">, Pub L No 105-353, 112 Stat 3227 (codified </w:t>
      </w:r>
      <w:r w:rsidR="00962E81">
        <w:rPr>
          <w:rFonts w:eastAsia="Times New Roman"/>
          <w:spacing w:val="2"/>
          <w:szCs w:val="24"/>
          <w:lang w:val="en" w:eastAsia="en-AU"/>
        </w:rPr>
        <w:t xml:space="preserve">as amended </w:t>
      </w:r>
      <w:r w:rsidR="0047527E" w:rsidRPr="00924038">
        <w:rPr>
          <w:rFonts w:eastAsia="Times New Roman"/>
          <w:spacing w:val="2"/>
          <w:szCs w:val="24"/>
          <w:lang w:val="en" w:eastAsia="en-AU"/>
        </w:rPr>
        <w:t>in scattered sections of 15 USC)</w:t>
      </w:r>
      <w:r w:rsidR="00A02689" w:rsidRPr="00924038">
        <w:rPr>
          <w:rFonts w:eastAsia="Times New Roman"/>
          <w:i/>
          <w:spacing w:val="2"/>
          <w:szCs w:val="24"/>
          <w:lang w:val="en" w:eastAsia="en-AU"/>
        </w:rPr>
        <w:t>.</w:t>
      </w:r>
      <w:r w:rsidR="00C07487" w:rsidRPr="00924038">
        <w:rPr>
          <w:rFonts w:eastAsia="Times New Roman"/>
          <w:spacing w:val="2"/>
          <w:szCs w:val="24"/>
          <w:lang w:val="en" w:eastAsia="en-AU"/>
        </w:rPr>
        <w:t xml:space="preserve">  </w:t>
      </w:r>
    </w:p>
    <w:p w:rsidR="00181457" w:rsidRPr="00924038" w:rsidRDefault="00ED6F1F" w:rsidP="009D7CD3">
      <w:pPr>
        <w:pStyle w:val="ParaNumbering"/>
        <w:rPr>
          <w:szCs w:val="24"/>
        </w:rPr>
      </w:pPr>
      <w:r w:rsidRPr="00924038">
        <w:rPr>
          <w:rFonts w:eastAsia="Times New Roman"/>
          <w:spacing w:val="3"/>
          <w:szCs w:val="24"/>
          <w:lang w:val="en" w:eastAsia="en-AU"/>
        </w:rPr>
        <w:t xml:space="preserve">In </w:t>
      </w:r>
      <w:r w:rsidRPr="00924038">
        <w:rPr>
          <w:rFonts w:eastAsia="Times New Roman"/>
          <w:i/>
          <w:iCs/>
          <w:spacing w:val="3"/>
          <w:szCs w:val="24"/>
          <w:lang w:val="en" w:eastAsia="en-AU"/>
        </w:rPr>
        <w:t>Smith v Bayer Corp</w:t>
      </w:r>
      <w:r w:rsidR="0047527E" w:rsidRPr="00924038">
        <w:rPr>
          <w:rFonts w:eastAsia="Times New Roman"/>
          <w:i/>
          <w:spacing w:val="3"/>
          <w:szCs w:val="24"/>
          <w:lang w:val="en" w:eastAsia="en-AU"/>
        </w:rPr>
        <w:t>oration</w:t>
      </w:r>
      <w:r w:rsidR="0047527E" w:rsidRPr="00924038">
        <w:rPr>
          <w:rFonts w:eastAsia="Times New Roman"/>
          <w:spacing w:val="3"/>
          <w:szCs w:val="24"/>
          <w:lang w:val="en" w:eastAsia="en-AU"/>
        </w:rPr>
        <w:t xml:space="preserve"> </w:t>
      </w:r>
      <w:r w:rsidR="00BF1D7A" w:rsidRPr="00924038">
        <w:rPr>
          <w:rFonts w:eastAsia="Times New Roman"/>
          <w:spacing w:val="3"/>
          <w:szCs w:val="24"/>
          <w:lang w:val="en" w:eastAsia="en-AU"/>
        </w:rPr>
        <w:t>564 US 299 (2011); 131 S Ct 2368 (2011)</w:t>
      </w:r>
      <w:r w:rsidRPr="00924038">
        <w:rPr>
          <w:rFonts w:eastAsia="Times New Roman"/>
          <w:spacing w:val="3"/>
          <w:szCs w:val="24"/>
          <w:lang w:val="en" w:eastAsia="en-AU"/>
        </w:rPr>
        <w:t>, a non-securities class action, the Supreme Court of the United States held a</w:t>
      </w:r>
      <w:r w:rsidR="00181457" w:rsidRPr="00924038">
        <w:rPr>
          <w:szCs w:val="24"/>
          <w:lang w:val="en-US"/>
        </w:rPr>
        <w:t xml:space="preserve"> federal district court exceeded its authority when it enjoined a state court from considering a request for class certification </w:t>
      </w:r>
      <w:r w:rsidRPr="00924038">
        <w:rPr>
          <w:szCs w:val="24"/>
          <w:lang w:val="en-US"/>
        </w:rPr>
        <w:lastRenderedPageBreak/>
        <w:t>when a federal district court had denied</w:t>
      </w:r>
      <w:r w:rsidR="00181457" w:rsidRPr="00924038">
        <w:rPr>
          <w:szCs w:val="24"/>
          <w:lang w:val="en-US"/>
        </w:rPr>
        <w:t xml:space="preserve"> a similar class-certification request by a different plaintiff</w:t>
      </w:r>
      <w:r w:rsidR="009D7CD3" w:rsidRPr="00924038">
        <w:rPr>
          <w:szCs w:val="24"/>
          <w:lang w:val="en-US"/>
        </w:rPr>
        <w:t xml:space="preserve">.  </w:t>
      </w:r>
      <w:r w:rsidR="009D7CD3" w:rsidRPr="00924038">
        <w:rPr>
          <w:szCs w:val="24"/>
          <w:lang w:eastAsia="en-AU"/>
        </w:rPr>
        <w:t>The Court further held that this is true even if the plaintiff was part of the class for which certification was denied.</w:t>
      </w:r>
      <w:r w:rsidRPr="00924038">
        <w:rPr>
          <w:szCs w:val="24"/>
          <w:lang w:val="en-US"/>
        </w:rPr>
        <w:t xml:space="preserve">  In doing so, Kagan J </w:t>
      </w:r>
      <w:r w:rsidRPr="00924038">
        <w:rPr>
          <w:rFonts w:eastAsia="Times New Roman"/>
          <w:spacing w:val="3"/>
          <w:szCs w:val="24"/>
          <w:lang w:val="en" w:eastAsia="en-AU"/>
        </w:rPr>
        <w:t>remarked upon the problem of “</w:t>
      </w:r>
      <w:r w:rsidRPr="00924038">
        <w:rPr>
          <w:rFonts w:eastAsia="Times New Roman"/>
          <w:i/>
          <w:spacing w:val="3"/>
          <w:szCs w:val="24"/>
          <w:lang w:val="en" w:eastAsia="en-AU"/>
        </w:rPr>
        <w:t>serial relitigation of class certification</w:t>
      </w:r>
      <w:r w:rsidRPr="00924038">
        <w:rPr>
          <w:rFonts w:eastAsia="Times New Roman"/>
          <w:spacing w:val="3"/>
          <w:szCs w:val="24"/>
          <w:lang w:val="en" w:eastAsia="en-AU"/>
        </w:rPr>
        <w:t xml:space="preserve">” but observed that statutory reforms had enabled defendants to remove most significant class </w:t>
      </w:r>
      <w:r w:rsidR="00B260EF" w:rsidRPr="00924038">
        <w:rPr>
          <w:rFonts w:eastAsia="Times New Roman"/>
          <w:spacing w:val="3"/>
          <w:szCs w:val="24"/>
          <w:lang w:val="en" w:eastAsia="en-AU"/>
        </w:rPr>
        <w:t>actions to federal court</w:t>
      </w:r>
      <w:r w:rsidR="0059544D" w:rsidRPr="00924038">
        <w:rPr>
          <w:rFonts w:eastAsia="Times New Roman"/>
          <w:spacing w:val="3"/>
          <w:szCs w:val="24"/>
          <w:lang w:val="en" w:eastAsia="en-AU"/>
        </w:rPr>
        <w:t>s</w:t>
      </w:r>
      <w:r w:rsidR="00B260EF" w:rsidRPr="00924038">
        <w:rPr>
          <w:rFonts w:eastAsia="Times New Roman"/>
          <w:spacing w:val="3"/>
          <w:szCs w:val="24"/>
          <w:lang w:val="en" w:eastAsia="en-AU"/>
        </w:rPr>
        <w:t>, because a defendant can seek a transfer and consolidate all cases into multidistrict litigation (</w:t>
      </w:r>
      <w:r w:rsidR="00B260EF" w:rsidRPr="00924038">
        <w:rPr>
          <w:rFonts w:eastAsia="Times New Roman"/>
          <w:b/>
          <w:spacing w:val="3"/>
          <w:szCs w:val="24"/>
          <w:lang w:val="en" w:eastAsia="en-AU"/>
        </w:rPr>
        <w:t>MDL</w:t>
      </w:r>
      <w:r w:rsidR="0059544D" w:rsidRPr="00924038">
        <w:rPr>
          <w:rFonts w:eastAsia="Times New Roman"/>
          <w:spacing w:val="3"/>
          <w:szCs w:val="24"/>
          <w:lang w:val="en" w:eastAsia="en-AU"/>
        </w:rPr>
        <w:t>) pursuant to 28 USC</w:t>
      </w:r>
      <w:r w:rsidR="00B260EF" w:rsidRPr="00924038">
        <w:rPr>
          <w:rFonts w:eastAsia="Times New Roman"/>
          <w:spacing w:val="3"/>
          <w:szCs w:val="24"/>
          <w:lang w:val="en" w:eastAsia="en-AU"/>
        </w:rPr>
        <w:t xml:space="preserve"> § 1407</w:t>
      </w:r>
      <w:r w:rsidR="0059544D" w:rsidRPr="00924038">
        <w:rPr>
          <w:rFonts w:eastAsia="Times New Roman"/>
          <w:spacing w:val="3"/>
          <w:szCs w:val="24"/>
          <w:lang w:val="en" w:eastAsia="en-AU"/>
        </w:rPr>
        <w:t xml:space="preserve"> (2012)</w:t>
      </w:r>
      <w:r w:rsidR="00B260EF" w:rsidRPr="00924038">
        <w:rPr>
          <w:rFonts w:eastAsia="Times New Roman"/>
          <w:spacing w:val="3"/>
          <w:szCs w:val="24"/>
          <w:lang w:val="en" w:eastAsia="en-AU"/>
        </w:rPr>
        <w:t>.  This reform, together with</w:t>
      </w:r>
      <w:r w:rsidRPr="00924038">
        <w:rPr>
          <w:rFonts w:eastAsia="Times New Roman"/>
          <w:spacing w:val="3"/>
          <w:szCs w:val="24"/>
          <w:lang w:val="en" w:eastAsia="en-AU"/>
        </w:rPr>
        <w:t xml:space="preserve"> </w:t>
      </w:r>
      <w:r w:rsidR="005334EC" w:rsidRPr="00924038">
        <w:rPr>
          <w:rFonts w:eastAsia="Times New Roman"/>
          <w:spacing w:val="3"/>
          <w:szCs w:val="24"/>
          <w:lang w:val="en" w:eastAsia="en-AU"/>
        </w:rPr>
        <w:t>“</w:t>
      </w:r>
      <w:r w:rsidRPr="00924038">
        <w:rPr>
          <w:rFonts w:eastAsia="Times New Roman"/>
          <w:i/>
          <w:spacing w:val="3"/>
          <w:szCs w:val="24"/>
          <w:lang w:val="en" w:eastAsia="en-AU"/>
        </w:rPr>
        <w:t>principles of comity</w:t>
      </w:r>
      <w:r w:rsidR="005334EC" w:rsidRPr="00924038">
        <w:rPr>
          <w:rFonts w:eastAsia="Times New Roman"/>
          <w:spacing w:val="3"/>
          <w:szCs w:val="24"/>
          <w:lang w:val="en" w:eastAsia="en-AU"/>
        </w:rPr>
        <w:t>”</w:t>
      </w:r>
      <w:r w:rsidRPr="00924038">
        <w:rPr>
          <w:rFonts w:eastAsia="Times New Roman"/>
          <w:spacing w:val="3"/>
          <w:szCs w:val="24"/>
          <w:lang w:val="en" w:eastAsia="en-AU"/>
        </w:rPr>
        <w:t xml:space="preserve"> among federal courts should</w:t>
      </w:r>
      <w:r w:rsidR="00B260EF" w:rsidRPr="00924038">
        <w:rPr>
          <w:rFonts w:eastAsia="Times New Roman"/>
          <w:spacing w:val="3"/>
          <w:szCs w:val="24"/>
          <w:lang w:val="en" w:eastAsia="en-AU"/>
        </w:rPr>
        <w:t>, it was suggested,</w:t>
      </w:r>
      <w:r w:rsidRPr="00924038">
        <w:rPr>
          <w:rFonts w:eastAsia="Times New Roman"/>
          <w:spacing w:val="3"/>
          <w:szCs w:val="24"/>
          <w:lang w:val="en" w:eastAsia="en-AU"/>
        </w:rPr>
        <w:t xml:space="preserve"> minimise conflicting certification decisions</w:t>
      </w:r>
      <w:r w:rsidR="005334EC" w:rsidRPr="00924038">
        <w:rPr>
          <w:rFonts w:eastAsia="Times New Roman"/>
          <w:spacing w:val="3"/>
          <w:szCs w:val="24"/>
          <w:lang w:val="en" w:eastAsia="en-AU"/>
        </w:rPr>
        <w:t xml:space="preserve"> (at [16])</w:t>
      </w:r>
      <w:r w:rsidRPr="00924038">
        <w:rPr>
          <w:rFonts w:eastAsia="Times New Roman"/>
          <w:spacing w:val="3"/>
          <w:szCs w:val="24"/>
          <w:lang w:val="en" w:eastAsia="en-AU"/>
        </w:rPr>
        <w:t>.</w:t>
      </w:r>
      <w:r w:rsidR="00181457" w:rsidRPr="00924038">
        <w:rPr>
          <w:szCs w:val="24"/>
        </w:rPr>
        <w:t xml:space="preserve"> </w:t>
      </w:r>
    </w:p>
    <w:p w:rsidR="00D736CD" w:rsidRPr="00924038" w:rsidRDefault="003850CA" w:rsidP="00B260EF">
      <w:pPr>
        <w:pStyle w:val="ParaNumbering"/>
        <w:rPr>
          <w:szCs w:val="24"/>
        </w:rPr>
      </w:pPr>
      <w:r w:rsidRPr="00924038">
        <w:rPr>
          <w:szCs w:val="24"/>
        </w:rPr>
        <w:t xml:space="preserve">A </w:t>
      </w:r>
      <w:r w:rsidR="00BF1D7A" w:rsidRPr="00924038">
        <w:rPr>
          <w:szCs w:val="24"/>
        </w:rPr>
        <w:t>few</w:t>
      </w:r>
      <w:r w:rsidRPr="00924038">
        <w:rPr>
          <w:szCs w:val="24"/>
        </w:rPr>
        <w:t xml:space="preserve"> months ago</w:t>
      </w:r>
      <w:r w:rsidR="008462C1" w:rsidRPr="00924038">
        <w:rPr>
          <w:szCs w:val="24"/>
        </w:rPr>
        <w:t>,</w:t>
      </w:r>
      <w:r w:rsidR="002A015F" w:rsidRPr="00924038">
        <w:rPr>
          <w:rFonts w:eastAsia="Times New Roman"/>
          <w:spacing w:val="2"/>
          <w:szCs w:val="24"/>
          <w:lang w:val="en" w:eastAsia="en-AU"/>
        </w:rPr>
        <w:t xml:space="preserve"> in</w:t>
      </w:r>
      <w:r w:rsidR="00EF7955" w:rsidRPr="00924038">
        <w:rPr>
          <w:rFonts w:eastAsia="Times New Roman"/>
          <w:spacing w:val="2"/>
          <w:szCs w:val="24"/>
          <w:lang w:val="en" w:eastAsia="en-AU"/>
        </w:rPr>
        <w:t xml:space="preserve"> </w:t>
      </w:r>
      <w:r w:rsidR="00BF1D7A" w:rsidRPr="00924038">
        <w:rPr>
          <w:rFonts w:eastAsia="Times New Roman"/>
          <w:bCs/>
          <w:i/>
          <w:kern w:val="36"/>
          <w:szCs w:val="24"/>
          <w:lang w:val="en" w:eastAsia="en-AU"/>
        </w:rPr>
        <w:t>Cyan</w:t>
      </w:r>
      <w:r w:rsidR="002A015F" w:rsidRPr="00924038">
        <w:rPr>
          <w:rFonts w:eastAsia="Times New Roman"/>
          <w:bCs/>
          <w:i/>
          <w:kern w:val="36"/>
          <w:szCs w:val="24"/>
          <w:lang w:val="en" w:eastAsia="en-AU"/>
        </w:rPr>
        <w:t xml:space="preserve"> Inc v Beaver County Employees Retirement Fund</w:t>
      </w:r>
      <w:r w:rsidR="002A015F" w:rsidRPr="00924038">
        <w:rPr>
          <w:rFonts w:eastAsia="Times New Roman"/>
          <w:bCs/>
          <w:caps/>
          <w:kern w:val="36"/>
          <w:szCs w:val="24"/>
          <w:lang w:val="en" w:eastAsia="en-AU"/>
        </w:rPr>
        <w:t xml:space="preserve"> </w:t>
      </w:r>
      <w:r w:rsidR="00EF7955" w:rsidRPr="00924038">
        <w:rPr>
          <w:rFonts w:eastAsia="Times New Roman"/>
          <w:spacing w:val="2"/>
          <w:szCs w:val="24"/>
          <w:lang w:val="en" w:eastAsia="en-AU"/>
        </w:rPr>
        <w:t>138 S Ct 1061</w:t>
      </w:r>
      <w:r w:rsidR="00BF1D7A" w:rsidRPr="00924038">
        <w:rPr>
          <w:rFonts w:eastAsia="Times New Roman"/>
          <w:bCs/>
          <w:caps/>
          <w:kern w:val="36"/>
          <w:szCs w:val="24"/>
          <w:lang w:val="en" w:eastAsia="en-AU"/>
        </w:rPr>
        <w:t xml:space="preserve"> </w:t>
      </w:r>
      <w:r w:rsidR="002A015F" w:rsidRPr="00924038">
        <w:rPr>
          <w:rFonts w:eastAsia="Times New Roman"/>
          <w:bCs/>
          <w:kern w:val="36"/>
          <w:szCs w:val="24"/>
          <w:lang w:val="en" w:eastAsia="en-AU"/>
        </w:rPr>
        <w:t>(2018)</w:t>
      </w:r>
      <w:r w:rsidRPr="00924038">
        <w:rPr>
          <w:szCs w:val="24"/>
        </w:rPr>
        <w:t>,</w:t>
      </w:r>
      <w:r w:rsidR="00F62540" w:rsidRPr="00924038">
        <w:rPr>
          <w:szCs w:val="24"/>
        </w:rPr>
        <w:t xml:space="preserve"> the </w:t>
      </w:r>
      <w:r w:rsidR="00196E97" w:rsidRPr="00924038">
        <w:rPr>
          <w:rFonts w:eastAsia="Times New Roman"/>
          <w:spacing w:val="2"/>
          <w:szCs w:val="24"/>
          <w:lang w:val="en" w:eastAsia="en-AU"/>
        </w:rPr>
        <w:t>Supreme Court had occasion</w:t>
      </w:r>
      <w:r w:rsidR="002A015F" w:rsidRPr="00924038">
        <w:rPr>
          <w:rFonts w:eastAsia="Times New Roman"/>
          <w:spacing w:val="2"/>
          <w:szCs w:val="24"/>
          <w:lang w:val="en" w:eastAsia="en-AU"/>
        </w:rPr>
        <w:t xml:space="preserve"> </w:t>
      </w:r>
      <w:r w:rsidR="00F62540" w:rsidRPr="00924038">
        <w:rPr>
          <w:rFonts w:eastAsia="Times New Roman"/>
          <w:bCs/>
          <w:kern w:val="36"/>
          <w:szCs w:val="24"/>
          <w:lang w:val="en" w:eastAsia="en-AU"/>
        </w:rPr>
        <w:t xml:space="preserve">to consider whether </w:t>
      </w:r>
      <w:r w:rsidR="00B260EF" w:rsidRPr="00924038">
        <w:rPr>
          <w:rFonts w:eastAsia="Times New Roman"/>
          <w:bCs/>
          <w:kern w:val="36"/>
          <w:szCs w:val="24"/>
          <w:lang w:val="en" w:eastAsia="en-AU"/>
        </w:rPr>
        <w:t xml:space="preserve">the legislative reforms relating to alleged securities violations </w:t>
      </w:r>
      <w:r w:rsidR="00196E97" w:rsidRPr="00924038">
        <w:rPr>
          <w:spacing w:val="2"/>
          <w:szCs w:val="24"/>
          <w:lang w:val="en"/>
        </w:rPr>
        <w:t xml:space="preserve">stripped state courts of jurisdiction over </w:t>
      </w:r>
      <w:r w:rsidR="00B260EF" w:rsidRPr="00924038">
        <w:rPr>
          <w:spacing w:val="2"/>
          <w:szCs w:val="24"/>
          <w:lang w:val="en"/>
        </w:rPr>
        <w:t xml:space="preserve">securities </w:t>
      </w:r>
      <w:r w:rsidR="00196E97" w:rsidRPr="00924038">
        <w:rPr>
          <w:spacing w:val="2"/>
          <w:szCs w:val="24"/>
          <w:lang w:val="en"/>
        </w:rPr>
        <w:t xml:space="preserve">class actions and whether defendants </w:t>
      </w:r>
      <w:r w:rsidR="00F62540" w:rsidRPr="00924038">
        <w:rPr>
          <w:spacing w:val="2"/>
          <w:szCs w:val="24"/>
          <w:lang w:val="en"/>
        </w:rPr>
        <w:t>could</w:t>
      </w:r>
      <w:r w:rsidR="00196E97" w:rsidRPr="00924038">
        <w:rPr>
          <w:spacing w:val="2"/>
          <w:szCs w:val="24"/>
          <w:lang w:val="en"/>
        </w:rPr>
        <w:t xml:space="preserve"> remove clas</w:t>
      </w:r>
      <w:r w:rsidR="00F62540" w:rsidRPr="00924038">
        <w:rPr>
          <w:spacing w:val="2"/>
          <w:szCs w:val="24"/>
          <w:lang w:val="en"/>
        </w:rPr>
        <w:t>s</w:t>
      </w:r>
      <w:r w:rsidR="00196E97" w:rsidRPr="00924038">
        <w:rPr>
          <w:spacing w:val="2"/>
          <w:szCs w:val="24"/>
          <w:lang w:val="en"/>
        </w:rPr>
        <w:t xml:space="preserve"> acti</w:t>
      </w:r>
      <w:r w:rsidR="00F62540" w:rsidRPr="00924038">
        <w:rPr>
          <w:spacing w:val="2"/>
          <w:szCs w:val="24"/>
          <w:lang w:val="en"/>
        </w:rPr>
        <w:t>ons</w:t>
      </w:r>
      <w:r w:rsidR="00A02689" w:rsidRPr="00924038">
        <w:rPr>
          <w:spacing w:val="2"/>
          <w:szCs w:val="24"/>
          <w:lang w:val="en"/>
        </w:rPr>
        <w:t>,</w:t>
      </w:r>
      <w:r w:rsidR="00F62540" w:rsidRPr="00924038">
        <w:rPr>
          <w:spacing w:val="2"/>
          <w:szCs w:val="24"/>
          <w:lang w:val="en"/>
        </w:rPr>
        <w:t xml:space="preserve"> alleging such violations</w:t>
      </w:r>
      <w:r w:rsidR="00A02689" w:rsidRPr="00924038">
        <w:rPr>
          <w:spacing w:val="2"/>
          <w:szCs w:val="24"/>
          <w:lang w:val="en"/>
        </w:rPr>
        <w:t>,</w:t>
      </w:r>
      <w:r w:rsidR="00196E97" w:rsidRPr="00924038">
        <w:rPr>
          <w:spacing w:val="2"/>
          <w:szCs w:val="24"/>
          <w:lang w:val="en"/>
        </w:rPr>
        <w:t xml:space="preserve"> from state courts to federal court</w:t>
      </w:r>
      <w:r w:rsidR="00962E81">
        <w:rPr>
          <w:spacing w:val="2"/>
          <w:szCs w:val="24"/>
          <w:lang w:val="en"/>
        </w:rPr>
        <w:t>s</w:t>
      </w:r>
      <w:r w:rsidR="00196E97" w:rsidRPr="00924038">
        <w:rPr>
          <w:spacing w:val="2"/>
          <w:szCs w:val="24"/>
          <w:lang w:val="en"/>
        </w:rPr>
        <w:t xml:space="preserve">.  In effect, the Supreme Court held </w:t>
      </w:r>
      <w:r w:rsidR="00196E97" w:rsidRPr="00924038">
        <w:rPr>
          <w:rFonts w:eastAsia="Times New Roman"/>
          <w:spacing w:val="2"/>
          <w:szCs w:val="24"/>
          <w:lang w:val="en" w:eastAsia="en-AU"/>
        </w:rPr>
        <w:t>that if a plaintiff chooses to file a state co</w:t>
      </w:r>
      <w:r w:rsidR="00F62540" w:rsidRPr="00924038">
        <w:rPr>
          <w:rFonts w:eastAsia="Times New Roman"/>
          <w:spacing w:val="2"/>
          <w:szCs w:val="24"/>
          <w:lang w:val="en" w:eastAsia="en-AU"/>
        </w:rPr>
        <w:t xml:space="preserve">urt class action asserting only securities </w:t>
      </w:r>
      <w:r w:rsidR="00196E97" w:rsidRPr="00924038">
        <w:rPr>
          <w:rFonts w:eastAsia="Times New Roman"/>
          <w:spacing w:val="2"/>
          <w:szCs w:val="24"/>
          <w:lang w:val="en" w:eastAsia="en-AU"/>
        </w:rPr>
        <w:t xml:space="preserve">claims arising from a public offering of a listed security, the case will remain in </w:t>
      </w:r>
      <w:r w:rsidR="002A015F" w:rsidRPr="00924038">
        <w:rPr>
          <w:rFonts w:eastAsia="Times New Roman"/>
          <w:spacing w:val="2"/>
          <w:szCs w:val="24"/>
          <w:lang w:val="en" w:eastAsia="en-AU"/>
        </w:rPr>
        <w:t xml:space="preserve">the </w:t>
      </w:r>
      <w:r w:rsidR="00196E97" w:rsidRPr="00924038">
        <w:rPr>
          <w:rFonts w:eastAsia="Times New Roman"/>
          <w:spacing w:val="2"/>
          <w:szCs w:val="24"/>
          <w:lang w:val="en" w:eastAsia="en-AU"/>
        </w:rPr>
        <w:t>state court</w:t>
      </w:r>
      <w:r w:rsidR="00F62540" w:rsidRPr="00924038">
        <w:rPr>
          <w:rFonts w:eastAsia="Times New Roman"/>
          <w:spacing w:val="2"/>
          <w:szCs w:val="24"/>
          <w:lang w:val="en" w:eastAsia="en-AU"/>
        </w:rPr>
        <w:t xml:space="preserve"> (and hence </w:t>
      </w:r>
      <w:r w:rsidR="00196E97" w:rsidRPr="00924038">
        <w:rPr>
          <w:rFonts w:eastAsia="Times New Roman"/>
          <w:spacing w:val="2"/>
          <w:szCs w:val="24"/>
          <w:lang w:val="en" w:eastAsia="en-AU"/>
        </w:rPr>
        <w:t xml:space="preserve">will not be subject to the procedural requirements </w:t>
      </w:r>
      <w:r w:rsidR="00F62540" w:rsidRPr="00924038">
        <w:rPr>
          <w:rFonts w:eastAsia="Times New Roman"/>
          <w:spacing w:val="2"/>
          <w:szCs w:val="24"/>
          <w:lang w:val="en" w:eastAsia="en-AU"/>
        </w:rPr>
        <w:t xml:space="preserve">imposed on federal </w:t>
      </w:r>
      <w:r w:rsidR="00196E97" w:rsidRPr="00924038">
        <w:rPr>
          <w:rFonts w:eastAsia="Times New Roman"/>
          <w:spacing w:val="2"/>
          <w:szCs w:val="24"/>
          <w:lang w:val="en" w:eastAsia="en-AU"/>
        </w:rPr>
        <w:t>court</w:t>
      </w:r>
      <w:r w:rsidR="002A015F" w:rsidRPr="00924038">
        <w:rPr>
          <w:rFonts w:eastAsia="Times New Roman"/>
          <w:spacing w:val="2"/>
          <w:szCs w:val="24"/>
          <w:lang w:val="en" w:eastAsia="en-AU"/>
        </w:rPr>
        <w:t>s</w:t>
      </w:r>
      <w:r w:rsidR="00196E97" w:rsidRPr="00924038">
        <w:rPr>
          <w:rFonts w:eastAsia="Times New Roman"/>
          <w:spacing w:val="2"/>
          <w:szCs w:val="24"/>
          <w:lang w:val="en" w:eastAsia="en-AU"/>
        </w:rPr>
        <w:t xml:space="preserve"> </w:t>
      </w:r>
      <w:r w:rsidR="00A02689" w:rsidRPr="00924038">
        <w:rPr>
          <w:rFonts w:eastAsia="Times New Roman"/>
          <w:spacing w:val="2"/>
          <w:szCs w:val="24"/>
          <w:lang w:val="en" w:eastAsia="en-AU"/>
        </w:rPr>
        <w:t xml:space="preserve">in </w:t>
      </w:r>
      <w:r w:rsidR="00196E97" w:rsidRPr="00924038">
        <w:rPr>
          <w:rFonts w:eastAsia="Times New Roman"/>
          <w:spacing w:val="2"/>
          <w:szCs w:val="24"/>
          <w:lang w:val="en" w:eastAsia="en-AU"/>
        </w:rPr>
        <w:t>securities class actions</w:t>
      </w:r>
      <w:r w:rsidR="00F62540" w:rsidRPr="00924038">
        <w:rPr>
          <w:rFonts w:eastAsia="Times New Roman"/>
          <w:spacing w:val="2"/>
          <w:szCs w:val="24"/>
          <w:lang w:val="en" w:eastAsia="en-AU"/>
        </w:rPr>
        <w:t>)</w:t>
      </w:r>
      <w:r w:rsidR="00A565C4" w:rsidRPr="00924038">
        <w:rPr>
          <w:szCs w:val="24"/>
        </w:rPr>
        <w:t>.</w:t>
      </w:r>
    </w:p>
    <w:p w:rsidR="004F5461" w:rsidRPr="00924038" w:rsidRDefault="00A565C4" w:rsidP="009D7CD3">
      <w:pPr>
        <w:pStyle w:val="ParaNumbering"/>
        <w:rPr>
          <w:spacing w:val="3"/>
          <w:szCs w:val="24"/>
          <w:lang w:val="en"/>
        </w:rPr>
      </w:pPr>
      <w:r w:rsidRPr="00924038">
        <w:rPr>
          <w:szCs w:val="24"/>
        </w:rPr>
        <w:t xml:space="preserve">This is of significance because in federal courts, </w:t>
      </w:r>
      <w:r w:rsidR="00B260EF" w:rsidRPr="00924038">
        <w:rPr>
          <w:szCs w:val="24"/>
        </w:rPr>
        <w:t xml:space="preserve">as noted above, </w:t>
      </w:r>
      <w:r w:rsidRPr="00924038">
        <w:rPr>
          <w:szCs w:val="24"/>
        </w:rPr>
        <w:t>if</w:t>
      </w:r>
      <w:r w:rsidRPr="00924038">
        <w:rPr>
          <w:rFonts w:eastAsia="Times New Roman"/>
          <w:spacing w:val="3"/>
          <w:szCs w:val="24"/>
          <w:lang w:val="en" w:eastAsia="en-AU"/>
        </w:rPr>
        <w:t xml:space="preserve"> competing class actions with overlapping issues exist</w:t>
      </w:r>
      <w:r w:rsidR="00A02689" w:rsidRPr="00924038">
        <w:rPr>
          <w:rFonts w:eastAsia="Times New Roman"/>
          <w:spacing w:val="3"/>
          <w:szCs w:val="24"/>
          <w:lang w:val="en" w:eastAsia="en-AU"/>
        </w:rPr>
        <w:t>,</w:t>
      </w:r>
      <w:r w:rsidRPr="00924038">
        <w:rPr>
          <w:rFonts w:eastAsia="Times New Roman"/>
          <w:spacing w:val="3"/>
          <w:szCs w:val="24"/>
          <w:lang w:val="en" w:eastAsia="en-AU"/>
        </w:rPr>
        <w:t xml:space="preserve"> a defendant can seek MDL treatment</w:t>
      </w:r>
      <w:r w:rsidR="009D7CD3" w:rsidRPr="00924038">
        <w:rPr>
          <w:rFonts w:eastAsia="Times New Roman"/>
          <w:spacing w:val="3"/>
          <w:szCs w:val="24"/>
          <w:lang w:val="en" w:eastAsia="en-AU"/>
        </w:rPr>
        <w:t>,</w:t>
      </w:r>
      <w:r w:rsidRPr="00924038">
        <w:rPr>
          <w:rFonts w:eastAsia="Times New Roman"/>
          <w:spacing w:val="3"/>
          <w:szCs w:val="24"/>
          <w:lang w:val="en" w:eastAsia="en-AU"/>
        </w:rPr>
        <w:t xml:space="preserve"> </w:t>
      </w:r>
      <w:r w:rsidR="00B260EF" w:rsidRPr="00924038">
        <w:rPr>
          <w:rFonts w:eastAsia="Times New Roman"/>
          <w:spacing w:val="3"/>
          <w:szCs w:val="24"/>
          <w:lang w:val="en" w:eastAsia="en-AU"/>
        </w:rPr>
        <w:t xml:space="preserve">the object of which </w:t>
      </w:r>
      <w:r w:rsidRPr="00924038">
        <w:rPr>
          <w:rFonts w:eastAsia="Times New Roman"/>
          <w:spacing w:val="3"/>
          <w:szCs w:val="24"/>
          <w:lang w:val="en" w:eastAsia="en-AU"/>
        </w:rPr>
        <w:t xml:space="preserve">is to bring all </w:t>
      </w:r>
      <w:r w:rsidR="00A02689" w:rsidRPr="00924038">
        <w:rPr>
          <w:rFonts w:eastAsia="Times New Roman"/>
          <w:spacing w:val="3"/>
          <w:szCs w:val="24"/>
          <w:lang w:val="en" w:eastAsia="en-AU"/>
        </w:rPr>
        <w:t xml:space="preserve">competing </w:t>
      </w:r>
      <w:r w:rsidRPr="00924038">
        <w:rPr>
          <w:rFonts w:eastAsia="Times New Roman"/>
          <w:spacing w:val="3"/>
          <w:szCs w:val="24"/>
          <w:lang w:val="en" w:eastAsia="en-AU"/>
        </w:rPr>
        <w:t>cases together for coordinated discovery and pre</w:t>
      </w:r>
      <w:r w:rsidR="00962E81">
        <w:rPr>
          <w:rFonts w:eastAsia="Times New Roman"/>
          <w:spacing w:val="3"/>
          <w:szCs w:val="24"/>
          <w:lang w:val="en" w:eastAsia="en-AU"/>
        </w:rPr>
        <w:t>-</w:t>
      </w:r>
      <w:r w:rsidRPr="00924038">
        <w:rPr>
          <w:rFonts w:eastAsia="Times New Roman"/>
          <w:spacing w:val="3"/>
          <w:szCs w:val="24"/>
          <w:lang w:val="en" w:eastAsia="en-AU"/>
        </w:rPr>
        <w:t>trial proceedings, including determination of class certification issues.</w:t>
      </w:r>
      <w:r w:rsidRPr="00924038">
        <w:rPr>
          <w:szCs w:val="24"/>
        </w:rPr>
        <w:t xml:space="preserve">  </w:t>
      </w:r>
      <w:r w:rsidR="004F5461" w:rsidRPr="00924038">
        <w:rPr>
          <w:szCs w:val="24"/>
        </w:rPr>
        <w:t xml:space="preserve">The existence of </w:t>
      </w:r>
      <w:r w:rsidR="004F5461" w:rsidRPr="00924038">
        <w:rPr>
          <w:rFonts w:eastAsia="Times New Roman"/>
          <w:spacing w:val="2"/>
          <w:szCs w:val="24"/>
          <w:lang w:val="en" w:eastAsia="en-AU"/>
        </w:rPr>
        <w:t>differing</w:t>
      </w:r>
      <w:r w:rsidR="00D365B3" w:rsidRPr="00924038">
        <w:rPr>
          <w:rFonts w:eastAsia="Times New Roman"/>
          <w:spacing w:val="2"/>
          <w:szCs w:val="24"/>
          <w:lang w:val="en" w:eastAsia="en-AU"/>
        </w:rPr>
        <w:t xml:space="preserve"> fora</w:t>
      </w:r>
      <w:r w:rsidRPr="00924038">
        <w:rPr>
          <w:rFonts w:eastAsia="Times New Roman"/>
          <w:spacing w:val="2"/>
          <w:szCs w:val="24"/>
          <w:lang w:val="en" w:eastAsia="en-AU"/>
        </w:rPr>
        <w:t xml:space="preserve"> </w:t>
      </w:r>
      <w:r w:rsidR="00A02689" w:rsidRPr="00924038">
        <w:rPr>
          <w:rFonts w:eastAsia="Times New Roman"/>
          <w:spacing w:val="2"/>
          <w:szCs w:val="24"/>
          <w:lang w:val="en" w:eastAsia="en-AU"/>
        </w:rPr>
        <w:t xml:space="preserve">for securities class actions </w:t>
      </w:r>
      <w:r w:rsidRPr="00924038">
        <w:rPr>
          <w:rFonts w:eastAsia="Times New Roman"/>
          <w:spacing w:val="2"/>
          <w:szCs w:val="24"/>
          <w:lang w:val="en" w:eastAsia="en-AU"/>
        </w:rPr>
        <w:t xml:space="preserve">(state and federal) </w:t>
      </w:r>
      <w:r w:rsidR="004F5461" w:rsidRPr="00924038">
        <w:rPr>
          <w:rFonts w:eastAsia="Times New Roman"/>
          <w:spacing w:val="2"/>
          <w:szCs w:val="24"/>
          <w:lang w:val="en" w:eastAsia="en-AU"/>
        </w:rPr>
        <w:t xml:space="preserve">and the </w:t>
      </w:r>
      <w:r w:rsidRPr="00924038">
        <w:rPr>
          <w:rFonts w:eastAsia="Times New Roman"/>
          <w:spacing w:val="2"/>
          <w:szCs w:val="24"/>
          <w:lang w:val="en" w:eastAsia="en-AU"/>
        </w:rPr>
        <w:t xml:space="preserve">difficulty of coordinating or consolidating related cases </w:t>
      </w:r>
      <w:r w:rsidR="004F5461" w:rsidRPr="00924038">
        <w:rPr>
          <w:rFonts w:eastAsia="Times New Roman"/>
          <w:spacing w:val="2"/>
          <w:szCs w:val="24"/>
          <w:lang w:val="en" w:eastAsia="en-AU"/>
        </w:rPr>
        <w:t xml:space="preserve">has long been the subject of </w:t>
      </w:r>
      <w:r w:rsidR="004F5461" w:rsidRPr="00924038">
        <w:rPr>
          <w:rFonts w:eastAsia="Times New Roman"/>
          <w:bCs/>
          <w:kern w:val="36"/>
          <w:szCs w:val="24"/>
          <w:lang w:val="en" w:eastAsia="en-AU"/>
        </w:rPr>
        <w:t>d</w:t>
      </w:r>
      <w:r w:rsidR="009D7CD3" w:rsidRPr="00924038">
        <w:rPr>
          <w:rFonts w:eastAsia="Times New Roman"/>
          <w:bCs/>
          <w:kern w:val="36"/>
          <w:szCs w:val="24"/>
          <w:lang w:val="en" w:eastAsia="en-AU"/>
        </w:rPr>
        <w:t xml:space="preserve">ebate </w:t>
      </w:r>
      <w:r w:rsidR="004F5461" w:rsidRPr="00924038">
        <w:rPr>
          <w:rFonts w:eastAsia="Times New Roman"/>
          <w:bCs/>
          <w:kern w:val="36"/>
          <w:szCs w:val="24"/>
          <w:lang w:val="en" w:eastAsia="en-AU"/>
        </w:rPr>
        <w:t>in the United States</w:t>
      </w:r>
      <w:r w:rsidR="002A015F" w:rsidRPr="00924038">
        <w:rPr>
          <w:rFonts w:eastAsia="Times New Roman"/>
          <w:bCs/>
          <w:kern w:val="36"/>
          <w:szCs w:val="24"/>
          <w:lang w:val="en" w:eastAsia="en-AU"/>
        </w:rPr>
        <w:t>,</w:t>
      </w:r>
      <w:r w:rsidR="004F5461" w:rsidRPr="00924038">
        <w:rPr>
          <w:rFonts w:eastAsia="Times New Roman"/>
          <w:bCs/>
          <w:kern w:val="36"/>
          <w:szCs w:val="24"/>
          <w:lang w:val="en" w:eastAsia="en-AU"/>
        </w:rPr>
        <w:t xml:space="preserve"> including the prospect of </w:t>
      </w:r>
      <w:r w:rsidR="009D7CD3" w:rsidRPr="00924038">
        <w:rPr>
          <w:spacing w:val="3"/>
          <w:szCs w:val="24"/>
          <w:lang w:val="en"/>
        </w:rPr>
        <w:t>federal court</w:t>
      </w:r>
      <w:r w:rsidR="004F5461" w:rsidRPr="00924038">
        <w:rPr>
          <w:spacing w:val="3"/>
          <w:szCs w:val="24"/>
          <w:lang w:val="en"/>
        </w:rPr>
        <w:t>s</w:t>
      </w:r>
      <w:r w:rsidR="009D7CD3" w:rsidRPr="00924038">
        <w:rPr>
          <w:spacing w:val="3"/>
          <w:szCs w:val="24"/>
          <w:lang w:val="en"/>
        </w:rPr>
        <w:t xml:space="preserve"> enjoining prosecution of a competing class </w:t>
      </w:r>
      <w:r w:rsidR="00962E81">
        <w:rPr>
          <w:spacing w:val="3"/>
          <w:szCs w:val="24"/>
          <w:lang w:val="en"/>
        </w:rPr>
        <w:t>action</w:t>
      </w:r>
      <w:r w:rsidR="009D7CD3" w:rsidRPr="00924038">
        <w:rPr>
          <w:spacing w:val="3"/>
          <w:szCs w:val="24"/>
          <w:lang w:val="en"/>
        </w:rPr>
        <w:t xml:space="preserve"> under the </w:t>
      </w:r>
      <w:r w:rsidR="009D7CD3" w:rsidRPr="00924038">
        <w:rPr>
          <w:i/>
          <w:spacing w:val="3"/>
          <w:szCs w:val="24"/>
          <w:lang w:val="en"/>
        </w:rPr>
        <w:t>All Writs Act</w:t>
      </w:r>
      <w:r w:rsidR="009D7CD3" w:rsidRPr="00924038">
        <w:rPr>
          <w:spacing w:val="3"/>
          <w:szCs w:val="24"/>
          <w:lang w:val="en"/>
        </w:rPr>
        <w:t xml:space="preserve"> 28 USC § 1651</w:t>
      </w:r>
      <w:r w:rsidR="002A015F" w:rsidRPr="00924038">
        <w:rPr>
          <w:spacing w:val="3"/>
          <w:szCs w:val="24"/>
          <w:lang w:val="en"/>
        </w:rPr>
        <w:t xml:space="preserve"> (2012)</w:t>
      </w:r>
      <w:r w:rsidR="009D7CD3" w:rsidRPr="00924038">
        <w:rPr>
          <w:spacing w:val="3"/>
          <w:szCs w:val="24"/>
          <w:lang w:val="en"/>
        </w:rPr>
        <w:t xml:space="preserve">, and exceptions to the </w:t>
      </w:r>
      <w:r w:rsidR="009D7CD3" w:rsidRPr="00924038">
        <w:rPr>
          <w:i/>
          <w:spacing w:val="3"/>
          <w:szCs w:val="24"/>
          <w:lang w:val="en"/>
        </w:rPr>
        <w:t>Anti</w:t>
      </w:r>
      <w:r w:rsidR="002A015F" w:rsidRPr="00924038">
        <w:rPr>
          <w:i/>
          <w:spacing w:val="3"/>
          <w:szCs w:val="24"/>
          <w:lang w:val="en"/>
        </w:rPr>
        <w:t>-</w:t>
      </w:r>
      <w:r w:rsidR="009D7CD3" w:rsidRPr="00924038">
        <w:rPr>
          <w:i/>
          <w:spacing w:val="3"/>
          <w:szCs w:val="24"/>
          <w:lang w:val="en"/>
        </w:rPr>
        <w:t xml:space="preserve">Injunction Act </w:t>
      </w:r>
      <w:r w:rsidR="009D7CD3" w:rsidRPr="00924038">
        <w:rPr>
          <w:spacing w:val="3"/>
          <w:szCs w:val="24"/>
          <w:lang w:val="en"/>
        </w:rPr>
        <w:t>28 USC § 2283</w:t>
      </w:r>
      <w:r w:rsidR="002A015F" w:rsidRPr="00924038">
        <w:rPr>
          <w:spacing w:val="3"/>
          <w:szCs w:val="24"/>
          <w:lang w:val="en"/>
        </w:rPr>
        <w:t xml:space="preserve"> (2012)</w:t>
      </w:r>
      <w:r w:rsidR="009D7CD3" w:rsidRPr="00924038">
        <w:rPr>
          <w:spacing w:val="3"/>
          <w:szCs w:val="24"/>
          <w:lang w:val="en"/>
        </w:rPr>
        <w:t>: see, for example,</w:t>
      </w:r>
      <w:r w:rsidR="004F5461" w:rsidRPr="00924038">
        <w:rPr>
          <w:spacing w:val="3"/>
          <w:szCs w:val="24"/>
          <w:lang w:val="en"/>
        </w:rPr>
        <w:t xml:space="preserve"> the discussion </w:t>
      </w:r>
      <w:r w:rsidR="008462C1" w:rsidRPr="00924038">
        <w:rPr>
          <w:spacing w:val="3"/>
          <w:szCs w:val="24"/>
          <w:lang w:val="en"/>
        </w:rPr>
        <w:t>by</w:t>
      </w:r>
      <w:r w:rsidR="004F5461" w:rsidRPr="00924038">
        <w:rPr>
          <w:spacing w:val="3"/>
          <w:szCs w:val="24"/>
          <w:lang w:val="en"/>
        </w:rPr>
        <w:t xml:space="preserve"> A</w:t>
      </w:r>
      <w:r w:rsidR="002A015F" w:rsidRPr="00924038">
        <w:rPr>
          <w:spacing w:val="3"/>
          <w:szCs w:val="24"/>
          <w:lang w:val="en"/>
        </w:rPr>
        <w:t>ndrew</w:t>
      </w:r>
      <w:r w:rsidR="004F5461" w:rsidRPr="00924038">
        <w:rPr>
          <w:spacing w:val="3"/>
          <w:szCs w:val="24"/>
          <w:lang w:val="en"/>
        </w:rPr>
        <w:t xml:space="preserve"> S Weinstein</w:t>
      </w:r>
      <w:r w:rsidR="008462C1" w:rsidRPr="00924038">
        <w:rPr>
          <w:spacing w:val="3"/>
          <w:szCs w:val="24"/>
          <w:lang w:val="en"/>
        </w:rPr>
        <w:t xml:space="preserve"> in</w:t>
      </w:r>
      <w:r w:rsidR="004F5461" w:rsidRPr="00924038">
        <w:rPr>
          <w:spacing w:val="3"/>
          <w:szCs w:val="24"/>
          <w:lang w:val="en"/>
        </w:rPr>
        <w:t xml:space="preserve"> </w:t>
      </w:r>
      <w:r w:rsidR="002A015F" w:rsidRPr="00924038">
        <w:rPr>
          <w:spacing w:val="3"/>
          <w:szCs w:val="24"/>
          <w:lang w:val="en"/>
        </w:rPr>
        <w:t>“</w:t>
      </w:r>
      <w:r w:rsidR="004F5461" w:rsidRPr="00924038">
        <w:rPr>
          <w:spacing w:val="3"/>
          <w:szCs w:val="24"/>
          <w:lang w:val="en"/>
        </w:rPr>
        <w:t>Avoiding the Race to Res Judicata: Federal Antisuit Injunctions of Competing State Class Actions</w:t>
      </w:r>
      <w:r w:rsidR="002A015F" w:rsidRPr="00924038">
        <w:rPr>
          <w:spacing w:val="3"/>
          <w:szCs w:val="24"/>
          <w:lang w:val="en"/>
        </w:rPr>
        <w:t>”</w:t>
      </w:r>
      <w:r w:rsidR="004F5461" w:rsidRPr="00924038">
        <w:rPr>
          <w:spacing w:val="3"/>
          <w:szCs w:val="24"/>
          <w:lang w:val="en"/>
        </w:rPr>
        <w:t xml:space="preserve"> </w:t>
      </w:r>
      <w:r w:rsidR="002A015F" w:rsidRPr="00924038">
        <w:rPr>
          <w:spacing w:val="3"/>
          <w:szCs w:val="24"/>
          <w:lang w:val="en"/>
        </w:rPr>
        <w:t xml:space="preserve">(2000) </w:t>
      </w:r>
      <w:r w:rsidR="004F5461" w:rsidRPr="00924038">
        <w:rPr>
          <w:spacing w:val="3"/>
          <w:szCs w:val="24"/>
          <w:lang w:val="en"/>
        </w:rPr>
        <w:t xml:space="preserve">75 </w:t>
      </w:r>
      <w:r w:rsidR="004F5461" w:rsidRPr="00924038">
        <w:rPr>
          <w:i/>
          <w:spacing w:val="3"/>
          <w:szCs w:val="24"/>
          <w:lang w:val="en"/>
        </w:rPr>
        <w:t>New York University Law Review</w:t>
      </w:r>
      <w:r w:rsidR="004F5461" w:rsidRPr="00924038">
        <w:rPr>
          <w:spacing w:val="3"/>
          <w:szCs w:val="24"/>
          <w:lang w:val="en"/>
        </w:rPr>
        <w:t xml:space="preserve"> 1085.</w:t>
      </w:r>
    </w:p>
    <w:p w:rsidR="00183CAF" w:rsidRPr="00924038" w:rsidRDefault="004F5461" w:rsidP="00E227E1">
      <w:pPr>
        <w:pStyle w:val="ParaNumbering"/>
      </w:pPr>
      <w:r w:rsidRPr="00924038">
        <w:t xml:space="preserve">In any event, the experience in North America, albeit in a context requiring class certification, demonstrates that the Australian experience of competing class actions is </w:t>
      </w:r>
      <w:r w:rsidR="00450392" w:rsidRPr="00924038">
        <w:t xml:space="preserve">not unique.  Nor </w:t>
      </w:r>
      <w:r w:rsidR="00962E81">
        <w:t>is</w:t>
      </w:r>
      <w:r w:rsidR="00450392" w:rsidRPr="00924038">
        <w:t xml:space="preserve"> the concern that competing securities class actions undermine the efficiency and fairness goals of the class action mechanism by occasioning duplication of effort, waste of private and public resources</w:t>
      </w:r>
      <w:r w:rsidR="00183CAF" w:rsidRPr="00924038">
        <w:t>,</w:t>
      </w:r>
      <w:r w:rsidR="00450392" w:rsidRPr="00924038">
        <w:t xml:space="preserve"> and vexation of defendants.  </w:t>
      </w:r>
      <w:r w:rsidR="00C57501" w:rsidRPr="00924038">
        <w:t xml:space="preserve">What should also be drawn from </w:t>
      </w:r>
      <w:r w:rsidR="00C57501" w:rsidRPr="00924038">
        <w:lastRenderedPageBreak/>
        <w:t xml:space="preserve">this comparative exercise may not be quite so obvious but, to my mind, is </w:t>
      </w:r>
      <w:r w:rsidR="00E227E1" w:rsidRPr="00924038">
        <w:t>of real importance</w:t>
      </w:r>
      <w:r w:rsidR="00C57501" w:rsidRPr="00924038">
        <w:t xml:space="preserve">.  A certification regime allows the </w:t>
      </w:r>
      <w:r w:rsidR="00B54D2D" w:rsidRPr="00924038">
        <w:t>c</w:t>
      </w:r>
      <w:r w:rsidR="00C57501" w:rsidRPr="00924038">
        <w:t xml:space="preserve">ourt to control the commencement of class actions </w:t>
      </w:r>
      <w:r w:rsidR="00B54D2D" w:rsidRPr="00924038">
        <w:t>in</w:t>
      </w:r>
      <w:r w:rsidR="00C57501" w:rsidRPr="00924038">
        <w:t xml:space="preserve"> such a way as to avoid </w:t>
      </w:r>
      <w:r w:rsidR="00E227E1" w:rsidRPr="00924038">
        <w:t xml:space="preserve">the problems of </w:t>
      </w:r>
      <w:r w:rsidR="00C57501" w:rsidRPr="00924038">
        <w:t xml:space="preserve">duplication and waste.  This </w:t>
      </w:r>
      <w:r w:rsidR="00E227E1" w:rsidRPr="00924038">
        <w:t xml:space="preserve">regime </w:t>
      </w:r>
      <w:r w:rsidR="00C57501" w:rsidRPr="00924038">
        <w:t xml:space="preserve">was rejected, on policy grounds, in Australia, because it was thought </w:t>
      </w:r>
      <w:r w:rsidR="00B54D2D" w:rsidRPr="00924038">
        <w:t xml:space="preserve">that </w:t>
      </w:r>
      <w:r w:rsidR="00C57501" w:rsidRPr="00924038">
        <w:t xml:space="preserve">protections within the </w:t>
      </w:r>
      <w:r w:rsidR="00E227E1" w:rsidRPr="00924038">
        <w:t xml:space="preserve">then proposed </w:t>
      </w:r>
      <w:r w:rsidR="00C57501" w:rsidRPr="00924038">
        <w:t>Bill which, with modification, became Part IVA</w:t>
      </w:r>
      <w:r w:rsidR="00E227E1" w:rsidRPr="00924038">
        <w:t>,</w:t>
      </w:r>
      <w:r w:rsidR="00C57501" w:rsidRPr="00924038">
        <w:t xml:space="preserve"> gave </w:t>
      </w:r>
      <w:r w:rsidR="00B54D2D" w:rsidRPr="00924038">
        <w:t>this</w:t>
      </w:r>
      <w:r w:rsidR="00C57501" w:rsidRPr="00924038">
        <w:t xml:space="preserve"> Court extensive case management powers to prevent </w:t>
      </w:r>
      <w:r w:rsidR="00E227E1" w:rsidRPr="00924038">
        <w:t xml:space="preserve">such </w:t>
      </w:r>
      <w:r w:rsidR="00C57501" w:rsidRPr="00924038">
        <w:t>problems arising</w:t>
      </w:r>
      <w:r w:rsidR="00E227E1" w:rsidRPr="00924038">
        <w:t xml:space="preserve"> </w:t>
      </w:r>
      <w:r w:rsidR="0008108C" w:rsidRPr="00924038">
        <w:t>(</w:t>
      </w:r>
      <w:r w:rsidR="00E227E1" w:rsidRPr="00924038">
        <w:t>or to resolve problems if they arose</w:t>
      </w:r>
      <w:r w:rsidR="0008108C" w:rsidRPr="00924038">
        <w:t>)</w:t>
      </w:r>
      <w:r w:rsidR="00C57501" w:rsidRPr="00924038">
        <w:t>.</w:t>
      </w:r>
      <w:r w:rsidR="00E227E1" w:rsidRPr="00924038">
        <w:t xml:space="preserve">  </w:t>
      </w:r>
      <w:r w:rsidR="00E227E1" w:rsidRPr="00924038">
        <w:rPr>
          <w:lang w:val="en-US"/>
        </w:rPr>
        <w:t>The policy choice in Australia was to adopt a scheme providing ease of commencement (s 33C), tempered by a discretionary ‘control’ mechanism (s 33N</w:t>
      </w:r>
      <w:r w:rsidR="00183CAF" w:rsidRPr="00924038">
        <w:rPr>
          <w:lang w:val="en-US"/>
        </w:rPr>
        <w:t xml:space="preserve"> and the Court’s other case management powers</w:t>
      </w:r>
      <w:r w:rsidR="00E227E1" w:rsidRPr="00924038">
        <w:rPr>
          <w:lang w:val="en-US"/>
        </w:rPr>
        <w:t xml:space="preserve">). </w:t>
      </w:r>
      <w:r w:rsidR="00183CAF" w:rsidRPr="00924038">
        <w:rPr>
          <w:lang w:val="en-US"/>
        </w:rPr>
        <w:t xml:space="preserve">But control mechanisms only control if they are engaged.  A </w:t>
      </w:r>
      <w:r w:rsidR="00E227E1" w:rsidRPr="00924038">
        <w:rPr>
          <w:lang w:val="en-US"/>
        </w:rPr>
        <w:t>sophisticated textual and contextual analysis reveals th</w:t>
      </w:r>
      <w:r w:rsidR="00183CAF" w:rsidRPr="00924038">
        <w:rPr>
          <w:lang w:val="en-US"/>
        </w:rPr>
        <w:t>at absent certification</w:t>
      </w:r>
      <w:r w:rsidR="00E40F17" w:rsidRPr="00924038">
        <w:rPr>
          <w:lang w:val="en-US"/>
        </w:rPr>
        <w:t>,</w:t>
      </w:r>
      <w:r w:rsidR="00183CAF" w:rsidRPr="00924038">
        <w:rPr>
          <w:lang w:val="en-US"/>
        </w:rPr>
        <w:t xml:space="preserve"> th</w:t>
      </w:r>
      <w:r w:rsidR="00E227E1" w:rsidRPr="00924038">
        <w:rPr>
          <w:lang w:val="en-US"/>
        </w:rPr>
        <w:t>e</w:t>
      </w:r>
      <w:r w:rsidR="00183CAF" w:rsidRPr="00924038">
        <w:rPr>
          <w:lang w:val="en-US"/>
        </w:rPr>
        <w:t xml:space="preserve"> Part IVA </w:t>
      </w:r>
      <w:r w:rsidR="00E227E1" w:rsidRPr="00924038">
        <w:rPr>
          <w:lang w:val="en-US"/>
        </w:rPr>
        <w:t>scheme has inbuilt protections and balances</w:t>
      </w:r>
      <w:r w:rsidR="00183CAF" w:rsidRPr="00924038">
        <w:rPr>
          <w:lang w:val="en-US"/>
        </w:rPr>
        <w:t>, but the system only works if</w:t>
      </w:r>
      <w:r w:rsidR="0008108C" w:rsidRPr="00924038">
        <w:rPr>
          <w:lang w:val="en-US"/>
        </w:rPr>
        <w:t>,</w:t>
      </w:r>
      <w:r w:rsidR="00183CAF" w:rsidRPr="00924038">
        <w:rPr>
          <w:lang w:val="en-US"/>
        </w:rPr>
        <w:t xml:space="preserve"> when problems arise</w:t>
      </w:r>
      <w:r w:rsidR="0008108C" w:rsidRPr="00924038">
        <w:rPr>
          <w:lang w:val="en-US"/>
        </w:rPr>
        <w:t>,</w:t>
      </w:r>
      <w:r w:rsidR="00183CAF" w:rsidRPr="00924038">
        <w:rPr>
          <w:lang w:val="en-US"/>
        </w:rPr>
        <w:t xml:space="preserve"> the Court takes active steps to make use of them</w:t>
      </w:r>
      <w:r w:rsidR="0008108C" w:rsidRPr="00924038">
        <w:rPr>
          <w:lang w:val="en-US"/>
        </w:rPr>
        <w:t xml:space="preserve"> </w:t>
      </w:r>
      <w:r w:rsidR="00711A71" w:rsidRPr="00924038">
        <w:rPr>
          <w:lang w:val="en-US"/>
        </w:rPr>
        <w:t xml:space="preserve">and </w:t>
      </w:r>
      <w:r w:rsidR="00825D6D" w:rsidRPr="00924038">
        <w:rPr>
          <w:lang w:val="en-US"/>
        </w:rPr>
        <w:t xml:space="preserve">other powers of the Court </w:t>
      </w:r>
      <w:r w:rsidR="0008108C" w:rsidRPr="00924038">
        <w:rPr>
          <w:lang w:val="en-US"/>
        </w:rPr>
        <w:t xml:space="preserve">to solve problems which, in other class action systems, </w:t>
      </w:r>
      <w:r w:rsidR="00183CAF" w:rsidRPr="00924038">
        <w:rPr>
          <w:lang w:val="en-US"/>
        </w:rPr>
        <w:t>would be addressed at the stage of certification.</w:t>
      </w:r>
      <w:r w:rsidR="002637F7">
        <w:rPr>
          <w:lang w:val="en-US"/>
        </w:rPr>
        <w:t xml:space="preserve">  I will return</w:t>
      </w:r>
      <w:r w:rsidR="00014D42">
        <w:rPr>
          <w:lang w:val="en-US"/>
        </w:rPr>
        <w:t xml:space="preserve"> to this topic when I come to the context relevant to the construction of s 33N of the Act.</w:t>
      </w:r>
    </w:p>
    <w:p w:rsidR="009B424A" w:rsidRPr="00924038" w:rsidRDefault="009B424A" w:rsidP="00905ABC">
      <w:pPr>
        <w:pStyle w:val="Heading1"/>
      </w:pPr>
      <w:bookmarkStart w:id="42" w:name="_Ref514405613"/>
      <w:r w:rsidRPr="00924038">
        <w:t xml:space="preserve">E </w:t>
      </w:r>
      <w:r w:rsidRPr="00924038">
        <w:tab/>
      </w:r>
      <w:r w:rsidR="00913157" w:rsidRPr="00924038">
        <w:t xml:space="preserve">Remedial Responses: Power &amp; </w:t>
      </w:r>
      <w:r w:rsidR="00FE5585">
        <w:t>A</w:t>
      </w:r>
      <w:r w:rsidR="00804A2B">
        <w:t>pplicable</w:t>
      </w:r>
      <w:r w:rsidR="00DB4A07">
        <w:t xml:space="preserve"> Principles</w:t>
      </w:r>
      <w:bookmarkEnd w:id="42"/>
    </w:p>
    <w:p w:rsidR="00D736CD" w:rsidRPr="00924038" w:rsidRDefault="009B424A" w:rsidP="00485549">
      <w:pPr>
        <w:pStyle w:val="Heading2"/>
      </w:pPr>
      <w:bookmarkStart w:id="43" w:name="_Ref514405614"/>
      <w:r w:rsidRPr="00924038">
        <w:t>E.1</w:t>
      </w:r>
      <w:r w:rsidRPr="00924038">
        <w:tab/>
        <w:t>Identifying the Available Responses</w:t>
      </w:r>
      <w:bookmarkEnd w:id="43"/>
    </w:p>
    <w:p w:rsidR="000E3915" w:rsidRPr="006A4BAD" w:rsidRDefault="00DA6BC2" w:rsidP="000E3915">
      <w:pPr>
        <w:pStyle w:val="ParaNumbering"/>
        <w:rPr>
          <w:szCs w:val="24"/>
        </w:rPr>
      </w:pPr>
      <w:r w:rsidRPr="006A4BAD">
        <w:t>As noted at [4</w:t>
      </w:r>
      <w:r w:rsidR="008864A3" w:rsidRPr="006A4BAD">
        <w:t>6</w:t>
      </w:r>
      <w:r w:rsidRPr="006A4BAD">
        <w:t>] above, i</w:t>
      </w:r>
      <w:r w:rsidR="00F96516" w:rsidRPr="006A4BAD">
        <w:t>n the orders made requiring the service of material</w:t>
      </w:r>
      <w:r w:rsidR="009D2551" w:rsidRPr="006A4BAD">
        <w:t>,</w:t>
      </w:r>
      <w:r w:rsidR="00F96516" w:rsidRPr="006A4BAD">
        <w:t xml:space="preserve"> </w:t>
      </w:r>
      <w:r w:rsidR="004C40C9" w:rsidRPr="006A4BAD">
        <w:t xml:space="preserve">various options were </w:t>
      </w:r>
      <w:r w:rsidR="00F96516" w:rsidRPr="006A4BAD">
        <w:t xml:space="preserve">identified </w:t>
      </w:r>
      <w:r w:rsidR="004C40C9" w:rsidRPr="006A4BAD">
        <w:t xml:space="preserve">that </w:t>
      </w:r>
      <w:r w:rsidR="00825310" w:rsidRPr="006A4BAD">
        <w:t xml:space="preserve">may conceivably be </w:t>
      </w:r>
      <w:r w:rsidR="00F96516" w:rsidRPr="006A4BAD">
        <w:t xml:space="preserve">available to deal with the competing </w:t>
      </w:r>
      <w:r w:rsidR="00825310" w:rsidRPr="006A4BAD">
        <w:t>c</w:t>
      </w:r>
      <w:r w:rsidR="000E3915" w:rsidRPr="006A4BAD">
        <w:t>lass actions</w:t>
      </w:r>
      <w:r w:rsidR="00E566EF" w:rsidRPr="006A4BAD">
        <w:t>,</w:t>
      </w:r>
      <w:r w:rsidR="000E3915" w:rsidRPr="006A4BAD">
        <w:t xml:space="preserve"> being: (a) </w:t>
      </w:r>
      <w:r w:rsidRPr="006A4BAD">
        <w:t xml:space="preserve">consolidation of the proceedings; </w:t>
      </w:r>
      <w:r w:rsidR="000E3915" w:rsidRPr="006A4BAD">
        <w:t xml:space="preserve">(b) </w:t>
      </w:r>
      <w:r w:rsidRPr="006A4BAD">
        <w:t xml:space="preserve">a permanent stay of proceedings; </w:t>
      </w:r>
      <w:r w:rsidR="000E3915" w:rsidRPr="006A4BAD">
        <w:t xml:space="preserve">(c) </w:t>
      </w:r>
      <w:r w:rsidRPr="006A4BAD">
        <w:t xml:space="preserve">an order declassing </w:t>
      </w:r>
      <w:r w:rsidR="00E566EF" w:rsidRPr="006A4BAD">
        <w:t>two</w:t>
      </w:r>
      <w:r w:rsidRPr="006A4BAD">
        <w:t xml:space="preserve"> of the proceedings under either s 33N(1) or s</w:t>
      </w:r>
      <w:r w:rsidR="004C40C9" w:rsidRPr="006A4BAD">
        <w:t> </w:t>
      </w:r>
      <w:r w:rsidRPr="006A4BAD">
        <w:t xml:space="preserve">33ZF of the Act; </w:t>
      </w:r>
      <w:r w:rsidR="000E3915" w:rsidRPr="006A4BAD">
        <w:t>(d)</w:t>
      </w:r>
      <w:r w:rsidR="00AD1AF9" w:rsidRPr="006A4BAD">
        <w:t> </w:t>
      </w:r>
      <w:r w:rsidRPr="006A4BAD">
        <w:t xml:space="preserve">an order closing the class in </w:t>
      </w:r>
      <w:r w:rsidR="00E566EF" w:rsidRPr="006A4BAD">
        <w:t>two</w:t>
      </w:r>
      <w:r w:rsidRPr="006A4BAD">
        <w:t xml:space="preserve"> proceeding</w:t>
      </w:r>
      <w:r w:rsidR="00E566EF" w:rsidRPr="006A4BAD">
        <w:t>s</w:t>
      </w:r>
      <w:r w:rsidRPr="006A4BAD">
        <w:t xml:space="preserve">; </w:t>
      </w:r>
      <w:r w:rsidR="000E3915" w:rsidRPr="006A4BAD">
        <w:t>(e)</w:t>
      </w:r>
      <w:r w:rsidR="004C40C9" w:rsidRPr="006A4BAD">
        <w:t> </w:t>
      </w:r>
      <w:r w:rsidRPr="006A4BAD">
        <w:t xml:space="preserve">orders allowing a joint trial of </w:t>
      </w:r>
      <w:r w:rsidR="00E566EF" w:rsidRPr="006A4BAD">
        <w:t>the</w:t>
      </w:r>
      <w:r w:rsidRPr="006A4BAD">
        <w:t xml:space="preserve"> proceedings with each left constituted as open </w:t>
      </w:r>
      <w:r w:rsidR="00E566EF" w:rsidRPr="006A4BAD">
        <w:t xml:space="preserve">class representative </w:t>
      </w:r>
      <w:r w:rsidR="000E3915" w:rsidRPr="006A4BAD">
        <w:t>proceedings.</w:t>
      </w:r>
    </w:p>
    <w:p w:rsidR="00D27683" w:rsidRPr="00D27683" w:rsidRDefault="008546C8" w:rsidP="000E3915">
      <w:pPr>
        <w:pStyle w:val="ParaNumbering"/>
        <w:rPr>
          <w:szCs w:val="24"/>
        </w:rPr>
      </w:pPr>
      <w:r>
        <w:t xml:space="preserve">No participants advocated for consolidation </w:t>
      </w:r>
      <w:r w:rsidR="00D27683">
        <w:t xml:space="preserve">or for permitting each open class proceeding to continue to a joint initial trial.  Consolidation is impractical absent some agreement between the applicant parties and </w:t>
      </w:r>
      <w:r w:rsidR="005767ED">
        <w:t xml:space="preserve">in this case </w:t>
      </w:r>
      <w:r w:rsidR="00D27683">
        <w:t xml:space="preserve">can be put to one side.  For reasons which will become evident in my treatment of the other proposals, the prospect of allowing </w:t>
      </w:r>
      <w:r w:rsidR="00D27683" w:rsidRPr="00924038">
        <w:t>a joint trial of the proceedings with each left constituted as open class representative proceedings</w:t>
      </w:r>
      <w:r w:rsidR="00D27683">
        <w:t>, was rightly seen as an unacceptable option.</w:t>
      </w:r>
    </w:p>
    <w:p w:rsidR="00F96516" w:rsidRPr="00924038" w:rsidRDefault="00E566EF" w:rsidP="000E3915">
      <w:pPr>
        <w:pStyle w:val="ParaNumbering"/>
        <w:rPr>
          <w:szCs w:val="24"/>
        </w:rPr>
      </w:pPr>
      <w:r w:rsidRPr="00924038">
        <w:t>In addition t</w:t>
      </w:r>
      <w:r w:rsidR="000E3915" w:rsidRPr="00924038">
        <w:t>o these proposals</w:t>
      </w:r>
      <w:r w:rsidRPr="00924038">
        <w:t>,</w:t>
      </w:r>
      <w:r w:rsidR="000E3915" w:rsidRPr="00924038">
        <w:t xml:space="preserve"> I raised a further issue during the course of argument and invited further submissions</w:t>
      </w:r>
      <w:r w:rsidRPr="00924038">
        <w:t xml:space="preserve"> as to</w:t>
      </w:r>
      <w:r w:rsidR="000E3915" w:rsidRPr="00924038">
        <w:t xml:space="preserve"> whether, independent of notions of abuse of process stays, </w:t>
      </w:r>
      <w:r w:rsidR="000E3915" w:rsidRPr="00924038">
        <w:lastRenderedPageBreak/>
        <w:t xml:space="preserve">the Court </w:t>
      </w:r>
      <w:r w:rsidR="00825310" w:rsidRPr="00924038">
        <w:t>could</w:t>
      </w:r>
      <w:r w:rsidR="000E3915" w:rsidRPr="00924038">
        <w:t xml:space="preserve"> restrain two of the applicants from maintaining their proceeding </w:t>
      </w:r>
      <w:r w:rsidR="00825310" w:rsidRPr="00924038">
        <w:t>by exercise of the power of courts of equity to manage cases, including the power to enjoin proceedings in order to prevent a multiplicity of suits.</w:t>
      </w:r>
    </w:p>
    <w:p w:rsidR="009B424A" w:rsidRPr="00924038" w:rsidRDefault="00825310" w:rsidP="00D27683">
      <w:pPr>
        <w:pStyle w:val="ParaNumbering"/>
      </w:pPr>
      <w:r w:rsidRPr="00924038">
        <w:t>I</w:t>
      </w:r>
      <w:r w:rsidR="00D27683">
        <w:t xml:space="preserve">ssues of power or legal principle were </w:t>
      </w:r>
      <w:r w:rsidRPr="00924038">
        <w:t>raised in relation to three of these options</w:t>
      </w:r>
      <w:r w:rsidR="00E566EF" w:rsidRPr="00924038">
        <w:t>,</w:t>
      </w:r>
      <w:r w:rsidRPr="00924038">
        <w:t xml:space="preserve"> being: a stay of the proceedings in </w:t>
      </w:r>
      <w:r w:rsidR="002637F7">
        <w:t xml:space="preserve">the present </w:t>
      </w:r>
      <w:r w:rsidRPr="00924038">
        <w:t xml:space="preserve">circumstances; declassing under either s </w:t>
      </w:r>
      <w:proofErr w:type="gramStart"/>
      <w:r w:rsidRPr="00924038">
        <w:t>33N(</w:t>
      </w:r>
      <w:proofErr w:type="gramEnd"/>
      <w:r w:rsidRPr="00924038">
        <w:t xml:space="preserve">1) or s 33ZF of the Act; and the existence of </w:t>
      </w:r>
      <w:r w:rsidR="008864A3">
        <w:t xml:space="preserve">the </w:t>
      </w:r>
      <w:r w:rsidRPr="00924038">
        <w:t>Court’s equitable power to enjoin proceedings.</w:t>
      </w:r>
      <w:r w:rsidRPr="00924038">
        <w:rPr>
          <w:rFonts w:eastAsia="Arial"/>
          <w:w w:val="105"/>
          <w:szCs w:val="24"/>
          <w:lang w:val="en-US"/>
        </w:rPr>
        <w:t xml:space="preserve"> </w:t>
      </w:r>
      <w:r w:rsidR="00D27683">
        <w:t xml:space="preserve"> </w:t>
      </w:r>
      <w:r w:rsidRPr="00924038">
        <w:t xml:space="preserve">It is to these </w:t>
      </w:r>
      <w:r w:rsidR="00D27683">
        <w:t>issues</w:t>
      </w:r>
      <w:r w:rsidRPr="00924038">
        <w:t xml:space="preserve"> </w:t>
      </w:r>
      <w:r w:rsidR="008864A3">
        <w:t>that</w:t>
      </w:r>
      <w:r w:rsidRPr="00924038">
        <w:t xml:space="preserve"> I now turn.</w:t>
      </w:r>
    </w:p>
    <w:p w:rsidR="009B424A" w:rsidRPr="00924038" w:rsidRDefault="001C26FB" w:rsidP="00485549">
      <w:pPr>
        <w:pStyle w:val="Heading2"/>
      </w:pPr>
      <w:bookmarkStart w:id="44" w:name="_Ref514405615"/>
      <w:bookmarkStart w:id="45" w:name="_Ref514668585"/>
      <w:r w:rsidRPr="00924038">
        <w:t>E.2</w:t>
      </w:r>
      <w:r w:rsidRPr="00924038">
        <w:tab/>
        <w:t>Questions of Power</w:t>
      </w:r>
      <w:bookmarkEnd w:id="44"/>
      <w:r w:rsidR="00FE5585">
        <w:t xml:space="preserve"> &amp; Applicable Principles</w:t>
      </w:r>
      <w:bookmarkEnd w:id="45"/>
    </w:p>
    <w:p w:rsidR="009B424A" w:rsidRPr="00924038" w:rsidRDefault="00825310" w:rsidP="00174472">
      <w:pPr>
        <w:pStyle w:val="Heading3"/>
      </w:pPr>
      <w:bookmarkStart w:id="46" w:name="_Ref514405616"/>
      <w:r w:rsidRPr="00924038">
        <w:t>E.2.1</w:t>
      </w:r>
      <w:r w:rsidRPr="00924038">
        <w:tab/>
      </w:r>
      <w:r w:rsidR="005767ED">
        <w:t xml:space="preserve">Permanent </w:t>
      </w:r>
      <w:r w:rsidRPr="00924038">
        <w:t>Stays</w:t>
      </w:r>
      <w:bookmarkEnd w:id="46"/>
    </w:p>
    <w:p w:rsidR="000E65B1" w:rsidRDefault="004F7EDA" w:rsidP="00EC1BE6">
      <w:pPr>
        <w:pStyle w:val="ParaNumbering"/>
      </w:pPr>
      <w:r>
        <w:t>I have referred at [65] above to the submission made that it is “</w:t>
      </w:r>
      <w:r w:rsidRPr="00924038">
        <w:rPr>
          <w:i/>
        </w:rPr>
        <w:t>exceedingly doubtful</w:t>
      </w:r>
      <w:r>
        <w:rPr>
          <w:i/>
        </w:rPr>
        <w:t>”</w:t>
      </w:r>
      <w:r w:rsidRPr="00924038">
        <w:rPr>
          <w:i/>
        </w:rPr>
        <w:t xml:space="preserve"> </w:t>
      </w:r>
      <w:r>
        <w:t xml:space="preserve">in the absence of an express statutory </w:t>
      </w:r>
      <w:r w:rsidRPr="004F7EDA">
        <w:t>power</w:t>
      </w:r>
      <w:r>
        <w:t>, th</w:t>
      </w:r>
      <w:r w:rsidR="005B74DD">
        <w:t>at th</w:t>
      </w:r>
      <w:r>
        <w:t>e Court can</w:t>
      </w:r>
      <w:r w:rsidRPr="004F7EDA">
        <w:t xml:space="preserve"> permanently stay a regularly commenced representative proceeding </w:t>
      </w:r>
      <w:r>
        <w:t>“</w:t>
      </w:r>
      <w:r w:rsidRPr="004F7EDA">
        <w:rPr>
          <w:i/>
        </w:rPr>
        <w:t>which is not an abuse of process</w:t>
      </w:r>
      <w:r w:rsidRPr="004F7EDA">
        <w:t>”</w:t>
      </w:r>
      <w:r w:rsidRPr="00924038">
        <w:t xml:space="preserve"> </w:t>
      </w:r>
      <w:r w:rsidR="009B638A">
        <w:t>which</w:t>
      </w:r>
      <w:r>
        <w:t xml:space="preserve"> would have </w:t>
      </w:r>
      <w:r w:rsidR="009B638A">
        <w:t>occurred</w:t>
      </w:r>
      <w:r>
        <w:t xml:space="preserve"> </w:t>
      </w:r>
      <w:r w:rsidRPr="00924038">
        <w:t xml:space="preserve">in </w:t>
      </w:r>
      <w:r w:rsidRPr="00924038">
        <w:rPr>
          <w:i/>
        </w:rPr>
        <w:t xml:space="preserve">Bellamy’s </w:t>
      </w:r>
      <w:r w:rsidRPr="004F7EDA">
        <w:t xml:space="preserve">but </w:t>
      </w:r>
      <w:r w:rsidRPr="00924038">
        <w:t xml:space="preserve">for </w:t>
      </w:r>
      <w:r>
        <w:t>the</w:t>
      </w:r>
      <w:r w:rsidRPr="00924038">
        <w:t xml:space="preserve"> </w:t>
      </w:r>
      <w:r>
        <w:t xml:space="preserve">existence of a factor absent here (a </w:t>
      </w:r>
      <w:r w:rsidRPr="00924038">
        <w:t xml:space="preserve">substantial number of </w:t>
      </w:r>
      <w:r>
        <w:t xml:space="preserve">group member </w:t>
      </w:r>
      <w:r w:rsidRPr="00924038">
        <w:t xml:space="preserve">funding </w:t>
      </w:r>
      <w:r>
        <w:t xml:space="preserve">and retainer </w:t>
      </w:r>
      <w:r w:rsidRPr="00924038">
        <w:t>agreements</w:t>
      </w:r>
      <w:r w:rsidR="00EC1BE6">
        <w:t>)</w:t>
      </w:r>
      <w:r w:rsidRPr="00924038">
        <w:t>.</w:t>
      </w:r>
      <w:r>
        <w:t xml:space="preserve">  </w:t>
      </w:r>
      <w:r w:rsidR="000E65B1">
        <w:t>This issue as</w:t>
      </w:r>
      <w:r>
        <w:t xml:space="preserve">ide, </w:t>
      </w:r>
      <w:r w:rsidR="00781B9A">
        <w:t>it i</w:t>
      </w:r>
      <w:r w:rsidR="00510F39">
        <w:t>s</w:t>
      </w:r>
      <w:r>
        <w:t>, of course,</w:t>
      </w:r>
      <w:r w:rsidR="00510F39">
        <w:t xml:space="preserve"> uncontroversial the Court has power to stay a proceeding which constitute</w:t>
      </w:r>
      <w:r w:rsidR="008864A3">
        <w:t>s</w:t>
      </w:r>
      <w:r>
        <w:t xml:space="preserve"> an abuse of process;</w:t>
      </w:r>
      <w:r w:rsidR="00EC1BE6">
        <w:t xml:space="preserve"> and debate focussed on </w:t>
      </w:r>
      <w:r w:rsidR="00510F39">
        <w:t xml:space="preserve">whether the existence of a competing </w:t>
      </w:r>
      <w:r w:rsidR="000E65B1" w:rsidRPr="00924038">
        <w:t xml:space="preserve">class action </w:t>
      </w:r>
      <w:r w:rsidR="00510F39">
        <w:t>can</w:t>
      </w:r>
      <w:r w:rsidR="00781B9A">
        <w:t xml:space="preserve"> provide a valid</w:t>
      </w:r>
      <w:r w:rsidR="000E65B1" w:rsidRPr="00924038">
        <w:t xml:space="preserve"> basis for </w:t>
      </w:r>
      <w:r w:rsidR="00510F39">
        <w:t xml:space="preserve">finding </w:t>
      </w:r>
      <w:r w:rsidR="008864A3">
        <w:t xml:space="preserve">that </w:t>
      </w:r>
      <w:r w:rsidR="00510F39">
        <w:t xml:space="preserve">an abuse </w:t>
      </w:r>
      <w:r w:rsidR="00781B9A">
        <w:t xml:space="preserve">of process </w:t>
      </w:r>
      <w:r w:rsidR="00510F39">
        <w:t>exists a</w:t>
      </w:r>
      <w:r w:rsidR="00781B9A">
        <w:t xml:space="preserve">s the precondition to </w:t>
      </w:r>
      <w:r w:rsidR="00510F39">
        <w:t xml:space="preserve">the </w:t>
      </w:r>
      <w:r w:rsidR="008864A3">
        <w:t>imposition</w:t>
      </w:r>
      <w:r w:rsidR="00510F39">
        <w:t xml:space="preserve"> of a </w:t>
      </w:r>
      <w:r w:rsidR="00781B9A">
        <w:t>permanent stay</w:t>
      </w:r>
      <w:r w:rsidR="000E65B1" w:rsidRPr="00924038">
        <w:t xml:space="preserve">.  </w:t>
      </w:r>
      <w:r w:rsidR="00EC1BE6">
        <w:t xml:space="preserve">I will come back </w:t>
      </w:r>
      <w:r w:rsidR="006C1184">
        <w:t xml:space="preserve">at [124] below </w:t>
      </w:r>
      <w:r w:rsidR="00EC1BE6">
        <w:t>to the concept of a stay absent an express finding of abuse of process, but prior to doing so, I will</w:t>
      </w:r>
      <w:r w:rsidR="00510F39">
        <w:t xml:space="preserve">: </w:t>
      </w:r>
      <w:r w:rsidR="00510F39" w:rsidRPr="00EC1BE6">
        <w:rPr>
          <w:i/>
        </w:rPr>
        <w:t>first</w:t>
      </w:r>
      <w:r w:rsidR="00EC1BE6">
        <w:t>, identify</w:t>
      </w:r>
      <w:r w:rsidR="00510F39">
        <w:t xml:space="preserve"> in this section the </w:t>
      </w:r>
      <w:r w:rsidR="00781B9A">
        <w:t xml:space="preserve">legal </w:t>
      </w:r>
      <w:r w:rsidR="00510F39">
        <w:t xml:space="preserve">principles that emerge from the authorities relevant to </w:t>
      </w:r>
      <w:r w:rsidR="00EC1BE6">
        <w:t>stays on the basis of an abuse of process</w:t>
      </w:r>
      <w:r w:rsidR="00510F39">
        <w:t xml:space="preserve">; and </w:t>
      </w:r>
      <w:r w:rsidR="00510F39" w:rsidRPr="00EC1BE6">
        <w:rPr>
          <w:i/>
        </w:rPr>
        <w:t>secondly</w:t>
      </w:r>
      <w:r w:rsidR="00510F39">
        <w:t xml:space="preserve">, whether, based on my findings, an abuse exists and whether the proper response is the grant of </w:t>
      </w:r>
      <w:r w:rsidR="008864A3">
        <w:t xml:space="preserve">a </w:t>
      </w:r>
      <w:r w:rsidR="00510F39">
        <w:t>permanent stay (which I consider in Section K.1 below).</w:t>
      </w:r>
      <w:r w:rsidR="000E65B1">
        <w:t xml:space="preserve"> </w:t>
      </w:r>
    </w:p>
    <w:p w:rsidR="00F00B58" w:rsidRPr="00924038" w:rsidRDefault="00EC1BE6" w:rsidP="005B74DD">
      <w:pPr>
        <w:pStyle w:val="ParaNumbering"/>
      </w:pPr>
      <w:r>
        <w:t xml:space="preserve">Before </w:t>
      </w:r>
      <w:r w:rsidR="005B74DD">
        <w:t>dealing with these issues,</w:t>
      </w:r>
      <w:r>
        <w:t xml:space="preserve"> </w:t>
      </w:r>
      <w:r w:rsidR="00F00B58" w:rsidRPr="00924038">
        <w:t xml:space="preserve">I will </w:t>
      </w:r>
      <w:r w:rsidR="00317FE8" w:rsidRPr="00924038">
        <w:t xml:space="preserve">pause to explain why I prefer to </w:t>
      </w:r>
      <w:r w:rsidR="00F00B58" w:rsidRPr="00924038">
        <w:t xml:space="preserve">use the term </w:t>
      </w:r>
      <w:r w:rsidR="00E566EF" w:rsidRPr="00924038">
        <w:t>‘</w:t>
      </w:r>
      <w:r w:rsidR="00F00B58" w:rsidRPr="00924038">
        <w:t>implied</w:t>
      </w:r>
      <w:r w:rsidR="00E566EF" w:rsidRPr="00924038">
        <w:t>’</w:t>
      </w:r>
      <w:r w:rsidR="00F00B58" w:rsidRPr="00924038">
        <w:t xml:space="preserve"> rather than </w:t>
      </w:r>
      <w:r w:rsidR="00E566EF" w:rsidRPr="00924038">
        <w:t>‘</w:t>
      </w:r>
      <w:r w:rsidR="00F00B58" w:rsidRPr="00924038">
        <w:t>inherent</w:t>
      </w:r>
      <w:r w:rsidR="00E566EF" w:rsidRPr="00924038">
        <w:t>’</w:t>
      </w:r>
      <w:r w:rsidR="005B74DD">
        <w:t xml:space="preserve"> when dealing with the Court’s power to control its own processes</w:t>
      </w:r>
      <w:r w:rsidR="00C371BA" w:rsidRPr="00924038">
        <w:t>.  As I not</w:t>
      </w:r>
      <w:r w:rsidR="00F00B58" w:rsidRPr="00924038">
        <w:t xml:space="preserve">ed in </w:t>
      </w:r>
      <w:r w:rsidR="00F00B58" w:rsidRPr="005B74DD">
        <w:rPr>
          <w:i/>
        </w:rPr>
        <w:t>CPB Contractors Pty L</w:t>
      </w:r>
      <w:r w:rsidR="00E566EF" w:rsidRPr="005B74DD">
        <w:rPr>
          <w:i/>
        </w:rPr>
        <w:t>imite</w:t>
      </w:r>
      <w:r w:rsidR="00F00B58" w:rsidRPr="005B74DD">
        <w:rPr>
          <w:i/>
        </w:rPr>
        <w:t xml:space="preserve">d v </w:t>
      </w:r>
      <w:r w:rsidR="00E566EF" w:rsidRPr="005B74DD">
        <w:rPr>
          <w:rFonts w:eastAsiaTheme="minorHAnsi"/>
          <w:i/>
          <w:szCs w:val="22"/>
        </w:rPr>
        <w:t xml:space="preserve">Celsus Pty Limited (formerly known as SA Health Partnership Nominees Pty Ltd) </w:t>
      </w:r>
      <w:r w:rsidR="00E566EF" w:rsidRPr="005B74DD">
        <w:rPr>
          <w:rFonts w:eastAsiaTheme="minorHAnsi"/>
          <w:szCs w:val="22"/>
        </w:rPr>
        <w:t>[2017] FCA 1620</w:t>
      </w:r>
      <w:r w:rsidR="00643191">
        <w:t xml:space="preserve"> at [52</w:t>
      </w:r>
      <w:r w:rsidR="00F00B58" w:rsidRPr="00924038">
        <w:t>]</w:t>
      </w:r>
      <w:r w:rsidR="00E566EF" w:rsidRPr="00924038">
        <w:t>-</w:t>
      </w:r>
      <w:r w:rsidR="00F00B58" w:rsidRPr="00924038">
        <w:t>[53]:</w:t>
      </w:r>
    </w:p>
    <w:p w:rsidR="00F00B58" w:rsidRPr="00924038" w:rsidRDefault="00F00B58" w:rsidP="00F00B58">
      <w:pPr>
        <w:spacing w:after="200" w:line="240" w:lineRule="auto"/>
        <w:ind w:left="720"/>
        <w:rPr>
          <w:rFonts w:eastAsiaTheme="minorHAnsi"/>
          <w:sz w:val="22"/>
          <w:szCs w:val="22"/>
        </w:rPr>
      </w:pPr>
      <w:r w:rsidRPr="00924038">
        <w:rPr>
          <w:rFonts w:eastAsiaTheme="minorHAnsi"/>
          <w:sz w:val="22"/>
          <w:szCs w:val="22"/>
        </w:rPr>
        <w:t xml:space="preserve">It is well established that only superior courts of record with unlimited jurisdiction are said to possess inherent jurisdiction.  In Australia, the High Court, the Federal Court and the Family Court, all of which are superior courts of record, possess defined jurisdiction granted by either the </w:t>
      </w:r>
      <w:r w:rsidRPr="00924038">
        <w:rPr>
          <w:rFonts w:eastAsiaTheme="minorHAnsi"/>
          <w:i/>
          <w:sz w:val="22"/>
          <w:szCs w:val="22"/>
        </w:rPr>
        <w:t>Constitution</w:t>
      </w:r>
      <w:r w:rsidRPr="00924038">
        <w:rPr>
          <w:rFonts w:eastAsiaTheme="minorHAnsi"/>
          <w:sz w:val="22"/>
          <w:szCs w:val="22"/>
        </w:rPr>
        <w:t xml:space="preserve"> or statute.  As Wilson and Dawson JJ observed in </w:t>
      </w:r>
      <w:r w:rsidRPr="00924038">
        <w:rPr>
          <w:rFonts w:eastAsiaTheme="minorHAnsi"/>
          <w:i/>
          <w:sz w:val="22"/>
          <w:szCs w:val="22"/>
        </w:rPr>
        <w:t>Sterling Industries</w:t>
      </w:r>
      <w:r w:rsidRPr="00924038">
        <w:rPr>
          <w:rFonts w:eastAsiaTheme="minorHAnsi"/>
          <w:sz w:val="22"/>
          <w:szCs w:val="22"/>
        </w:rPr>
        <w:t xml:space="preserve"> at 618:</w:t>
      </w:r>
    </w:p>
    <w:p w:rsidR="00F00B58" w:rsidRPr="00924038" w:rsidRDefault="00F00B58" w:rsidP="00F00B58">
      <w:pPr>
        <w:spacing w:after="200" w:line="240" w:lineRule="auto"/>
        <w:ind w:left="1440"/>
        <w:rPr>
          <w:rFonts w:eastAsiaTheme="minorHAnsi"/>
          <w:sz w:val="22"/>
          <w:szCs w:val="22"/>
        </w:rPr>
      </w:pPr>
      <w:proofErr w:type="gramStart"/>
      <w:r w:rsidRPr="00924038">
        <w:rPr>
          <w:rFonts w:eastAsiaTheme="minorHAnsi"/>
          <w:sz w:val="22"/>
          <w:szCs w:val="22"/>
        </w:rPr>
        <w:lastRenderedPageBreak/>
        <w:t>federal</w:t>
      </w:r>
      <w:proofErr w:type="gramEnd"/>
      <w:r w:rsidRPr="00924038">
        <w:rPr>
          <w:rFonts w:eastAsiaTheme="minorHAnsi"/>
          <w:sz w:val="22"/>
          <w:szCs w:val="22"/>
        </w:rPr>
        <w:t xml:space="preserve"> courts differ from the supreme courts of the States which, although of statutory origin, are truly designated superior courts because they are invested with general jurisdiction by reference to the jurisdiction of the courts at Westminster.</w:t>
      </w:r>
    </w:p>
    <w:p w:rsidR="00F00B58" w:rsidRPr="00924038" w:rsidRDefault="00F00B58" w:rsidP="00F00B58">
      <w:pPr>
        <w:spacing w:after="200" w:line="240" w:lineRule="auto"/>
        <w:ind w:left="720"/>
        <w:rPr>
          <w:rFonts w:eastAsiaTheme="minorHAnsi"/>
          <w:sz w:val="22"/>
          <w:szCs w:val="22"/>
        </w:rPr>
      </w:pPr>
      <w:r w:rsidRPr="00924038">
        <w:rPr>
          <w:rFonts w:eastAsiaTheme="minorHAnsi"/>
          <w:sz w:val="22"/>
          <w:szCs w:val="22"/>
        </w:rPr>
        <w:t>Although federal courts possess similar powers, it is not, in this sense, inherent.  In the same judgment, their Honours held that a declaration by the Federal Court as a superior court of record was to be given effect as far as it could be and that the “</w:t>
      </w:r>
      <w:r w:rsidRPr="00924038">
        <w:rPr>
          <w:rFonts w:eastAsiaTheme="minorHAnsi"/>
          <w:i/>
          <w:sz w:val="22"/>
          <w:szCs w:val="22"/>
        </w:rPr>
        <w:t xml:space="preserve">vesting of judicial power in the specific matters permitted by the Constitution (see ss. 75, 76, 77) carries with it such </w:t>
      </w:r>
      <w:r w:rsidRPr="00924038">
        <w:rPr>
          <w:rFonts w:eastAsiaTheme="minorHAnsi"/>
          <w:b/>
          <w:i/>
          <w:sz w:val="22"/>
          <w:szCs w:val="22"/>
        </w:rPr>
        <w:t>implied power</w:t>
      </w:r>
      <w:r w:rsidRPr="00924038">
        <w:rPr>
          <w:rFonts w:eastAsiaTheme="minorHAnsi"/>
          <w:i/>
          <w:sz w:val="22"/>
          <w:szCs w:val="22"/>
        </w:rPr>
        <w:t xml:space="preserve"> as is necessarily inherent in the nature of the judicial power itself</w:t>
      </w:r>
      <w:r w:rsidRPr="00924038">
        <w:rPr>
          <w:rFonts w:eastAsiaTheme="minorHAnsi"/>
          <w:sz w:val="22"/>
          <w:szCs w:val="22"/>
        </w:rPr>
        <w:t>” (at 619, emphasis added).  Accordingly, although it is less than accurate to say that the Court has an inherent power to grant the relief sought in the Stay Applications, the Court has ample power under s 23 of the FCAA, and by reason of its implied power to control its own proceedings, to grant the relief sought.</w:t>
      </w:r>
    </w:p>
    <w:p w:rsidR="00E566EF" w:rsidRPr="00924038" w:rsidRDefault="00E566EF" w:rsidP="00F00B58">
      <w:pPr>
        <w:spacing w:after="200" w:line="240" w:lineRule="auto"/>
        <w:ind w:left="720"/>
        <w:rPr>
          <w:rFonts w:eastAsiaTheme="minorHAnsi"/>
          <w:sz w:val="22"/>
          <w:szCs w:val="22"/>
        </w:rPr>
      </w:pPr>
      <w:r w:rsidRPr="00924038">
        <w:rPr>
          <w:rFonts w:eastAsiaTheme="minorHAnsi"/>
          <w:sz w:val="22"/>
          <w:szCs w:val="22"/>
        </w:rPr>
        <w:t>(Italics and bolding in original)</w:t>
      </w:r>
    </w:p>
    <w:p w:rsidR="00FF5FF1" w:rsidRPr="00924038" w:rsidRDefault="00150D3C" w:rsidP="00150D3C">
      <w:pPr>
        <w:pStyle w:val="ParaNumbering"/>
        <w:rPr>
          <w:szCs w:val="24"/>
        </w:rPr>
      </w:pPr>
      <w:r w:rsidRPr="00924038">
        <w:t xml:space="preserve">This </w:t>
      </w:r>
      <w:r w:rsidR="00E517A7" w:rsidRPr="00924038">
        <w:t xml:space="preserve">implied power to control </w:t>
      </w:r>
      <w:r w:rsidR="00781B9A">
        <w:t>the Court’s</w:t>
      </w:r>
      <w:r w:rsidRPr="00924038">
        <w:t xml:space="preserve"> </w:t>
      </w:r>
      <w:r w:rsidR="00781B9A">
        <w:t xml:space="preserve">processes </w:t>
      </w:r>
      <w:r w:rsidRPr="00924038">
        <w:rPr>
          <w:szCs w:val="24"/>
        </w:rPr>
        <w:t xml:space="preserve">includes </w:t>
      </w:r>
      <w:r w:rsidR="00781B9A">
        <w:rPr>
          <w:szCs w:val="24"/>
        </w:rPr>
        <w:t xml:space="preserve">the </w:t>
      </w:r>
      <w:r w:rsidR="00E566EF" w:rsidRPr="00924038">
        <w:rPr>
          <w:szCs w:val="24"/>
        </w:rPr>
        <w:t xml:space="preserve">power </w:t>
      </w:r>
      <w:r w:rsidRPr="00924038">
        <w:rPr>
          <w:szCs w:val="24"/>
        </w:rPr>
        <w:t>to prevent conduct which, although not inconsistent with the literal application of procedural rules o</w:t>
      </w:r>
      <w:r w:rsidR="00B932FA" w:rsidRPr="00924038">
        <w:rPr>
          <w:szCs w:val="24"/>
        </w:rPr>
        <w:t xml:space="preserve">f court, would nevertheless be </w:t>
      </w:r>
      <w:r w:rsidRPr="00924038">
        <w:rPr>
          <w:szCs w:val="24"/>
        </w:rPr>
        <w:t xml:space="preserve">manifestly unfair or would otherwise bring the administration of justice into disrepute among right-thinking people:  </w:t>
      </w:r>
      <w:r w:rsidRPr="00924038">
        <w:rPr>
          <w:bCs/>
          <w:i/>
          <w:iCs/>
          <w:szCs w:val="24"/>
        </w:rPr>
        <w:t>Walton v Gardiner</w:t>
      </w:r>
      <w:r w:rsidRPr="00924038">
        <w:rPr>
          <w:szCs w:val="24"/>
        </w:rPr>
        <w:t xml:space="preserve"> (1993) 177 CLR 378</w:t>
      </w:r>
      <w:r w:rsidR="00E566EF" w:rsidRPr="00924038">
        <w:rPr>
          <w:szCs w:val="24"/>
        </w:rPr>
        <w:t xml:space="preserve"> at</w:t>
      </w:r>
      <w:r w:rsidRPr="00924038">
        <w:rPr>
          <w:szCs w:val="24"/>
        </w:rPr>
        <w:t xml:space="preserve"> 393</w:t>
      </w:r>
      <w:r w:rsidR="00E566EF" w:rsidRPr="00924038">
        <w:rPr>
          <w:szCs w:val="24"/>
        </w:rPr>
        <w:t xml:space="preserve"> per Mason CJ, Deane and Dawson JJ</w:t>
      </w:r>
      <w:r w:rsidRPr="00924038">
        <w:rPr>
          <w:szCs w:val="24"/>
        </w:rPr>
        <w:t xml:space="preserve">; </w:t>
      </w:r>
      <w:r w:rsidRPr="00924038">
        <w:rPr>
          <w:bCs/>
          <w:i/>
          <w:iCs/>
          <w:szCs w:val="24"/>
        </w:rPr>
        <w:t xml:space="preserve">Jeffery </w:t>
      </w:r>
      <w:r w:rsidR="00EF7955" w:rsidRPr="00924038">
        <w:rPr>
          <w:bCs/>
          <w:iCs/>
          <w:szCs w:val="24"/>
        </w:rPr>
        <w:t xml:space="preserve">at </w:t>
      </w:r>
      <w:r w:rsidRPr="00924038">
        <w:rPr>
          <w:szCs w:val="24"/>
        </w:rPr>
        <w:t>93 [28]</w:t>
      </w:r>
      <w:r w:rsidR="005F3076" w:rsidRPr="00924038">
        <w:rPr>
          <w:szCs w:val="24"/>
        </w:rPr>
        <w:t xml:space="preserve"> per French CJ, Gummow, Hayne and Crennan JJ.</w:t>
      </w:r>
      <w:r w:rsidR="00FF5FF1" w:rsidRPr="00924038">
        <w:rPr>
          <w:szCs w:val="24"/>
        </w:rPr>
        <w:t xml:space="preserve"> </w:t>
      </w:r>
    </w:p>
    <w:p w:rsidR="009803CA" w:rsidRPr="00924038" w:rsidRDefault="0090158E" w:rsidP="0009552C">
      <w:pPr>
        <w:pStyle w:val="ParaNumbering"/>
        <w:rPr>
          <w:lang w:eastAsia="en-AU"/>
        </w:rPr>
      </w:pPr>
      <w:r w:rsidRPr="00924038">
        <w:rPr>
          <w:rFonts w:eastAsia="Times New Roman"/>
          <w:lang w:eastAsia="en-AU"/>
        </w:rPr>
        <w:t>Abuse of process can take many forms</w:t>
      </w:r>
      <w:r w:rsidR="00786527" w:rsidRPr="00924038">
        <w:rPr>
          <w:rFonts w:eastAsia="Times New Roman"/>
          <w:lang w:eastAsia="en-AU"/>
        </w:rPr>
        <w:t xml:space="preserve">, </w:t>
      </w:r>
      <w:r w:rsidRPr="00924038">
        <w:rPr>
          <w:rFonts w:eastAsia="Times New Roman"/>
          <w:lang w:eastAsia="en-AU"/>
        </w:rPr>
        <w:t>many of which are presently irrelevant</w:t>
      </w:r>
      <w:r w:rsidR="005F3076" w:rsidRPr="00924038">
        <w:rPr>
          <w:rFonts w:eastAsia="Times New Roman"/>
          <w:lang w:eastAsia="en-AU"/>
        </w:rPr>
        <w:t>,</w:t>
      </w:r>
      <w:r w:rsidRPr="00924038">
        <w:rPr>
          <w:rFonts w:eastAsia="Times New Roman"/>
          <w:lang w:eastAsia="en-AU"/>
        </w:rPr>
        <w:t xml:space="preserve"> </w:t>
      </w:r>
      <w:r w:rsidR="0009552C" w:rsidRPr="00924038">
        <w:rPr>
          <w:rFonts w:eastAsia="Times New Roman"/>
          <w:lang w:eastAsia="en-AU"/>
        </w:rPr>
        <w:t>including:</w:t>
      </w:r>
      <w:r w:rsidR="00786527" w:rsidRPr="00924038">
        <w:rPr>
          <w:lang w:eastAsia="en-AU"/>
        </w:rPr>
        <w:t xml:space="preserve"> </w:t>
      </w:r>
      <w:r w:rsidRPr="00924038">
        <w:rPr>
          <w:lang w:eastAsia="en-AU"/>
        </w:rPr>
        <w:t>bringing claims that can no longer</w:t>
      </w:r>
      <w:r w:rsidR="0009552C" w:rsidRPr="00924038">
        <w:rPr>
          <w:lang w:eastAsia="en-AU"/>
        </w:rPr>
        <w:t xml:space="preserve"> be determined justly (</w:t>
      </w:r>
      <w:r w:rsidRPr="00924038">
        <w:rPr>
          <w:i/>
          <w:iCs/>
          <w:lang w:eastAsia="en-AU"/>
        </w:rPr>
        <w:t xml:space="preserve">Batistatos v Roads and Traffic Authority </w:t>
      </w:r>
      <w:r w:rsidR="005F3076" w:rsidRPr="00924038">
        <w:rPr>
          <w:i/>
          <w:iCs/>
          <w:lang w:eastAsia="en-AU"/>
        </w:rPr>
        <w:t xml:space="preserve">of New South Wales </w:t>
      </w:r>
      <w:r w:rsidR="005F3076" w:rsidRPr="00924038">
        <w:rPr>
          <w:iCs/>
          <w:lang w:eastAsia="en-AU"/>
        </w:rPr>
        <w:t>[2006] HCA 27;</w:t>
      </w:r>
      <w:r w:rsidRPr="00924038">
        <w:rPr>
          <w:lang w:eastAsia="en-AU"/>
        </w:rPr>
        <w:t xml:space="preserve"> (2006) 226 CLR 256</w:t>
      </w:r>
      <w:r w:rsidR="0009552C" w:rsidRPr="00924038">
        <w:rPr>
          <w:lang w:eastAsia="en-AU"/>
        </w:rPr>
        <w:t>)</w:t>
      </w:r>
      <w:r w:rsidRPr="00924038">
        <w:rPr>
          <w:lang w:eastAsia="en-AU"/>
        </w:rPr>
        <w:t>;</w:t>
      </w:r>
      <w:r w:rsidR="0009552C" w:rsidRPr="00924038">
        <w:rPr>
          <w:lang w:eastAsia="en-AU"/>
        </w:rPr>
        <w:t xml:space="preserve"> or </w:t>
      </w:r>
      <w:r w:rsidR="005F3076" w:rsidRPr="00924038">
        <w:rPr>
          <w:lang w:eastAsia="en-AU"/>
        </w:rPr>
        <w:t xml:space="preserve">where there has been </w:t>
      </w:r>
      <w:r w:rsidR="0009552C" w:rsidRPr="00924038">
        <w:rPr>
          <w:lang w:eastAsia="en-AU"/>
        </w:rPr>
        <w:t>destruction of evidence (</w:t>
      </w:r>
      <w:r w:rsidR="0009552C" w:rsidRPr="00924038">
        <w:rPr>
          <w:i/>
          <w:iCs/>
          <w:lang w:eastAsia="en-AU"/>
        </w:rPr>
        <w:t>Palavi v Queensland Newspapers Pty Ltd</w:t>
      </w:r>
      <w:r w:rsidR="0009552C" w:rsidRPr="00924038">
        <w:rPr>
          <w:lang w:eastAsia="en-AU"/>
        </w:rPr>
        <w:t xml:space="preserve"> </w:t>
      </w:r>
      <w:r w:rsidR="005F3076" w:rsidRPr="00924038">
        <w:rPr>
          <w:lang w:eastAsia="en-AU"/>
        </w:rPr>
        <w:t xml:space="preserve">[2012] NSWCA 182; </w:t>
      </w:r>
      <w:r w:rsidR="0009552C" w:rsidRPr="00924038">
        <w:rPr>
          <w:lang w:eastAsia="en-AU"/>
        </w:rPr>
        <w:t xml:space="preserve">(2012) 84 NSWLR 523); or </w:t>
      </w:r>
      <w:r w:rsidR="005F3076" w:rsidRPr="00924038">
        <w:rPr>
          <w:lang w:eastAsia="en-AU"/>
        </w:rPr>
        <w:t xml:space="preserve">in circumstances of </w:t>
      </w:r>
      <w:r w:rsidR="0009552C" w:rsidRPr="00924038">
        <w:rPr>
          <w:lang w:eastAsia="en-AU"/>
        </w:rPr>
        <w:t>re-litigation or attempts to litigate issues which could and should have been raised previously (</w:t>
      </w:r>
      <w:r w:rsidR="0009552C" w:rsidRPr="00924038">
        <w:rPr>
          <w:i/>
          <w:iCs/>
          <w:lang w:eastAsia="en-AU"/>
        </w:rPr>
        <w:t>Port of Melbourne Authority v Anshun Pty Ltd</w:t>
      </w:r>
      <w:r w:rsidR="0009552C" w:rsidRPr="00924038">
        <w:rPr>
          <w:lang w:eastAsia="en-AU"/>
        </w:rPr>
        <w:t xml:space="preserve"> (1981) 147 CLR 589).  </w:t>
      </w:r>
    </w:p>
    <w:p w:rsidR="002637F7" w:rsidRDefault="009803CA" w:rsidP="0009552C">
      <w:pPr>
        <w:pStyle w:val="ParaNumbering"/>
        <w:rPr>
          <w:lang w:eastAsia="en-AU"/>
        </w:rPr>
      </w:pPr>
      <w:r w:rsidRPr="00924038">
        <w:rPr>
          <w:lang w:eastAsia="en-AU"/>
        </w:rPr>
        <w:t>The current examination of abuse of process in relation to competing class actions is novel, b</w:t>
      </w:r>
      <w:r w:rsidR="0009552C" w:rsidRPr="00924038">
        <w:rPr>
          <w:lang w:eastAsia="en-AU"/>
        </w:rPr>
        <w:t xml:space="preserve">ut some established categories have a </w:t>
      </w:r>
      <w:r w:rsidR="00786527" w:rsidRPr="00924038">
        <w:rPr>
          <w:lang w:eastAsia="en-AU"/>
        </w:rPr>
        <w:t xml:space="preserve">somewhat </w:t>
      </w:r>
      <w:r w:rsidR="0009552C" w:rsidRPr="00924038">
        <w:rPr>
          <w:lang w:eastAsia="en-AU"/>
        </w:rPr>
        <w:t>closer similarity to the issue that presents itself here</w:t>
      </w:r>
      <w:r w:rsidRPr="00924038">
        <w:rPr>
          <w:lang w:eastAsia="en-AU"/>
        </w:rPr>
        <w:t xml:space="preserve"> than others</w:t>
      </w:r>
      <w:r w:rsidR="0009552C" w:rsidRPr="00924038">
        <w:rPr>
          <w:lang w:eastAsia="en-AU"/>
        </w:rPr>
        <w:t>, such as: t</w:t>
      </w:r>
      <w:r w:rsidR="0090158E" w:rsidRPr="00924038">
        <w:rPr>
          <w:lang w:eastAsia="en-AU"/>
        </w:rPr>
        <w:t>he bringing of concurrent proceedings in different courts relat</w:t>
      </w:r>
      <w:r w:rsidR="00786527" w:rsidRPr="00924038">
        <w:rPr>
          <w:lang w:eastAsia="en-AU"/>
        </w:rPr>
        <w:t>ing to the same subject-matter (</w:t>
      </w:r>
      <w:r w:rsidR="0090158E" w:rsidRPr="00924038">
        <w:rPr>
          <w:i/>
          <w:iCs/>
          <w:lang w:eastAsia="en-AU"/>
        </w:rPr>
        <w:t>Moore v Inglis</w:t>
      </w:r>
      <w:r w:rsidR="0009552C" w:rsidRPr="00924038">
        <w:rPr>
          <w:lang w:eastAsia="en-AU"/>
        </w:rPr>
        <w:t xml:space="preserve"> (1976) 50 ALJR 589)</w:t>
      </w:r>
      <w:r w:rsidR="002637F7">
        <w:rPr>
          <w:lang w:eastAsia="en-AU"/>
        </w:rPr>
        <w:t xml:space="preserve"> and </w:t>
      </w:r>
      <w:r w:rsidR="00BF1514" w:rsidRPr="00924038">
        <w:rPr>
          <w:lang w:eastAsia="en-AU"/>
        </w:rPr>
        <w:t>stays which represent the application of principles relating to</w:t>
      </w:r>
      <w:r w:rsidR="0009552C" w:rsidRPr="00924038">
        <w:rPr>
          <w:lang w:eastAsia="en-AU"/>
        </w:rPr>
        <w:t xml:space="preserve"> f</w:t>
      </w:r>
      <w:r w:rsidR="0090158E" w:rsidRPr="00924038">
        <w:rPr>
          <w:lang w:eastAsia="en-AU"/>
        </w:rPr>
        <w:t>orum non conveniens</w:t>
      </w:r>
      <w:r w:rsidR="002637F7">
        <w:rPr>
          <w:lang w:eastAsia="en-AU"/>
        </w:rPr>
        <w:t>.</w:t>
      </w:r>
    </w:p>
    <w:p w:rsidR="00331FC2" w:rsidRPr="00331FC2" w:rsidRDefault="002637F7" w:rsidP="002637F7">
      <w:pPr>
        <w:pStyle w:val="ParaNumbering"/>
        <w:rPr>
          <w:lang w:eastAsia="en-AU"/>
        </w:rPr>
      </w:pPr>
      <w:r>
        <w:rPr>
          <w:lang w:eastAsia="en-AU"/>
        </w:rPr>
        <w:t>But what is particularly instructive is</w:t>
      </w:r>
      <w:r w:rsidR="00786527" w:rsidRPr="00924038">
        <w:rPr>
          <w:lang w:eastAsia="en-AU"/>
        </w:rPr>
        <w:t xml:space="preserve"> a sub</w:t>
      </w:r>
      <w:r w:rsidR="005F3076" w:rsidRPr="00924038">
        <w:rPr>
          <w:lang w:eastAsia="en-AU"/>
        </w:rPr>
        <w:t>-</w:t>
      </w:r>
      <w:r w:rsidR="00786527" w:rsidRPr="00924038">
        <w:rPr>
          <w:lang w:eastAsia="en-AU"/>
        </w:rPr>
        <w:t xml:space="preserve">species of </w:t>
      </w:r>
      <w:r w:rsidR="00786527" w:rsidRPr="00924038">
        <w:rPr>
          <w:szCs w:val="24"/>
          <w:lang w:eastAsia="en-AU"/>
        </w:rPr>
        <w:t xml:space="preserve">the abuse occasioned </w:t>
      </w:r>
      <w:r w:rsidR="00786527" w:rsidRPr="00924038">
        <w:rPr>
          <w:szCs w:val="24"/>
        </w:rPr>
        <w:t xml:space="preserve">by </w:t>
      </w:r>
      <w:r w:rsidR="00786527" w:rsidRPr="00924038">
        <w:rPr>
          <w:szCs w:val="24"/>
          <w:lang w:eastAsia="en-AU"/>
        </w:rPr>
        <w:t>instituting proceedings for an improper purpose (</w:t>
      </w:r>
      <w:r w:rsidR="00786527" w:rsidRPr="00924038">
        <w:rPr>
          <w:i/>
          <w:iCs/>
          <w:szCs w:val="24"/>
          <w:lang w:eastAsia="en-AU"/>
        </w:rPr>
        <w:t>Williams v Spautz</w:t>
      </w:r>
      <w:r>
        <w:rPr>
          <w:szCs w:val="24"/>
          <w:lang w:eastAsia="en-AU"/>
        </w:rPr>
        <w:t xml:space="preserve"> (1992) 174 CLR 509) </w:t>
      </w:r>
      <w:r w:rsidRPr="002637F7">
        <w:rPr>
          <w:szCs w:val="24"/>
        </w:rPr>
        <w:t xml:space="preserve">in the context of securities class actions </w:t>
      </w:r>
      <w:r>
        <w:rPr>
          <w:szCs w:val="24"/>
        </w:rPr>
        <w:t xml:space="preserve">which </w:t>
      </w:r>
      <w:r w:rsidRPr="002637F7">
        <w:rPr>
          <w:szCs w:val="24"/>
        </w:rPr>
        <w:t xml:space="preserve">can be seen </w:t>
      </w:r>
      <w:r>
        <w:rPr>
          <w:szCs w:val="24"/>
        </w:rPr>
        <w:t>in</w:t>
      </w:r>
      <w:r w:rsidRPr="002637F7">
        <w:rPr>
          <w:szCs w:val="24"/>
        </w:rPr>
        <w:t xml:space="preserve"> a series of cases involving Melbourne City Investments Pty Limited (</w:t>
      </w:r>
      <w:r w:rsidRPr="002637F7">
        <w:rPr>
          <w:b/>
          <w:szCs w:val="24"/>
        </w:rPr>
        <w:t>MCI</w:t>
      </w:r>
      <w:r w:rsidRPr="002637F7">
        <w:rPr>
          <w:szCs w:val="24"/>
        </w:rPr>
        <w:t>)</w:t>
      </w:r>
      <w:r>
        <w:rPr>
          <w:szCs w:val="24"/>
        </w:rPr>
        <w:t xml:space="preserve"> and, most recently,</w:t>
      </w:r>
      <w:r w:rsidRPr="002637F7">
        <w:rPr>
          <w:szCs w:val="24"/>
        </w:rPr>
        <w:t xml:space="preserve"> the consideration by the Victorian Court </w:t>
      </w:r>
      <w:r w:rsidRPr="002637F7">
        <w:rPr>
          <w:szCs w:val="24"/>
        </w:rPr>
        <w:lastRenderedPageBreak/>
        <w:t>of Appeal in</w:t>
      </w:r>
      <w:r w:rsidRPr="002637F7">
        <w:rPr>
          <w:rFonts w:eastAsia="Times New Roman"/>
          <w:szCs w:val="24"/>
          <w:lang w:val="en-US" w:eastAsia="en-AU"/>
        </w:rPr>
        <w:t xml:space="preserve"> </w:t>
      </w:r>
      <w:r>
        <w:rPr>
          <w:rFonts w:eastAsia="Times New Roman"/>
          <w:szCs w:val="24"/>
          <w:lang w:val="en-US" w:eastAsia="en-AU"/>
        </w:rPr>
        <w:t xml:space="preserve">being </w:t>
      </w:r>
      <w:r w:rsidRPr="00924038">
        <w:rPr>
          <w:rFonts w:eastAsia="Times New Roman"/>
          <w:i/>
          <w:iCs/>
          <w:szCs w:val="24"/>
          <w:lang w:val="en-US" w:eastAsia="en-AU"/>
        </w:rPr>
        <w:t>Melbourne City Investments Pty Ltd v Myer Holdings Limited</w:t>
      </w:r>
      <w:r w:rsidRPr="00924038">
        <w:rPr>
          <w:rFonts w:eastAsia="Times New Roman"/>
          <w:szCs w:val="24"/>
          <w:lang w:val="en-US" w:eastAsia="en-AU"/>
        </w:rPr>
        <w:t xml:space="preserve"> [2017] VSCA 187</w:t>
      </w:r>
      <w:r w:rsidRPr="002637F7">
        <w:rPr>
          <w:rFonts w:eastAsia="Times New Roman"/>
          <w:szCs w:val="24"/>
          <w:lang w:val="en-US" w:eastAsia="en-AU"/>
        </w:rPr>
        <w:t xml:space="preserve">.  </w:t>
      </w:r>
      <w:r w:rsidR="00331FC2">
        <w:rPr>
          <w:rFonts w:eastAsia="Times New Roman"/>
          <w:szCs w:val="24"/>
          <w:lang w:val="en-US" w:eastAsia="en-AU"/>
        </w:rPr>
        <w:t xml:space="preserve"> </w:t>
      </w:r>
    </w:p>
    <w:p w:rsidR="00331FC2" w:rsidRPr="00331FC2" w:rsidRDefault="00331FC2" w:rsidP="00331FC2">
      <w:pPr>
        <w:pStyle w:val="ParaNumbering"/>
        <w:rPr>
          <w:lang w:eastAsia="en-AU"/>
        </w:rPr>
      </w:pPr>
      <w:r>
        <w:rPr>
          <w:rFonts w:eastAsia="Times New Roman"/>
          <w:szCs w:val="24"/>
          <w:lang w:val="en-US" w:eastAsia="en-AU"/>
        </w:rPr>
        <w:t xml:space="preserve">In </w:t>
      </w:r>
      <w:r w:rsidRPr="00331FC2">
        <w:rPr>
          <w:rFonts w:eastAsia="Times New Roman"/>
          <w:i/>
          <w:szCs w:val="24"/>
          <w:lang w:val="en-US" w:eastAsia="en-AU"/>
        </w:rPr>
        <w:t>Myer</w:t>
      </w:r>
      <w:r>
        <w:rPr>
          <w:rFonts w:eastAsia="Times New Roman"/>
          <w:szCs w:val="24"/>
          <w:lang w:val="en-US" w:eastAsia="en-AU"/>
        </w:rPr>
        <w:t xml:space="preserve"> t</w:t>
      </w:r>
      <w:r w:rsidR="002637F7" w:rsidRPr="002637F7">
        <w:rPr>
          <w:rFonts w:eastAsia="Times New Roman"/>
          <w:szCs w:val="24"/>
          <w:lang w:val="en-US" w:eastAsia="en-AU"/>
        </w:rPr>
        <w:t xml:space="preserve">he Court upheld a stay because the applicant’s predominant purpose in bringing the proceeding was to generate income from the proceeding itself rather than to seek compensation for any wrong done to it, or to assist group members by acting as an applicant.  Osborn and Ferguson JJA (with whom Whelan JA agreed) examined the applicant’s fundamental argument, which was that it was not an abuse of process to institute and maintain a genuine class action for the purpose of generating income or profit that could be properly earned from that proceeding pursuant to a valid legal process.  This, it was claimed, was especially so when that legal process was sanctioned, controlled and regulated, and overseen by the Court such that no amount which might be earned could be received without close scrutiny by the Court, and a formal order being made (at [31]).  The reasons for rejecting this argument can be seen at [41]-[52], but importantly </w:t>
      </w:r>
      <w:r w:rsidR="009C4A7F">
        <w:rPr>
          <w:rFonts w:eastAsia="Times New Roman"/>
          <w:szCs w:val="24"/>
          <w:lang w:val="en-US" w:eastAsia="en-AU"/>
        </w:rPr>
        <w:t xml:space="preserve">those reasons </w:t>
      </w:r>
      <w:r w:rsidR="002637F7" w:rsidRPr="002637F7">
        <w:rPr>
          <w:rFonts w:eastAsia="Times New Roman"/>
          <w:szCs w:val="24"/>
          <w:lang w:val="en-US" w:eastAsia="en-AU"/>
        </w:rPr>
        <w:t xml:space="preserve">included </w:t>
      </w:r>
      <w:r w:rsidR="00405182">
        <w:rPr>
          <w:rFonts w:eastAsia="Times New Roman"/>
          <w:szCs w:val="24"/>
          <w:lang w:val="en-US" w:eastAsia="en-AU"/>
        </w:rPr>
        <w:t xml:space="preserve">stating </w:t>
      </w:r>
      <w:r w:rsidR="002637F7" w:rsidRPr="002637F7">
        <w:rPr>
          <w:rFonts w:eastAsia="Times New Roman"/>
          <w:szCs w:val="24"/>
          <w:lang w:val="en-US" w:eastAsia="en-AU"/>
        </w:rPr>
        <w:t xml:space="preserve">the proposition that when the proceeding is a representative action, the proper purpose is not limited to the determination of the applicant’s claim, but also involves the determination of the common questions for the benefit of group members.  It follows that, in class actions, the proper purpose of such an action is the enforcement of the substantive rights of the applicant </w:t>
      </w:r>
      <w:r w:rsidR="002637F7" w:rsidRPr="009B638A">
        <w:rPr>
          <w:rFonts w:eastAsia="Times New Roman"/>
          <w:i/>
          <w:szCs w:val="24"/>
          <w:lang w:val="en-US" w:eastAsia="en-AU"/>
        </w:rPr>
        <w:t>and</w:t>
      </w:r>
      <w:r w:rsidR="002637F7" w:rsidRPr="002637F7">
        <w:rPr>
          <w:rFonts w:eastAsia="Times New Roman"/>
          <w:szCs w:val="24"/>
          <w:lang w:val="en-US" w:eastAsia="en-AU"/>
        </w:rPr>
        <w:t xml:space="preserve"> laying the groundwork for enforcing the substantive rights of the group members. </w:t>
      </w:r>
    </w:p>
    <w:p w:rsidR="002637F7" w:rsidRPr="00924038" w:rsidRDefault="002637F7" w:rsidP="002637F7">
      <w:pPr>
        <w:pStyle w:val="ParaNumbering"/>
        <w:rPr>
          <w:rFonts w:eastAsia="Times New Roman"/>
          <w:szCs w:val="24"/>
          <w:lang w:val="en-US" w:eastAsia="en-AU"/>
        </w:rPr>
      </w:pPr>
      <w:r w:rsidRPr="00924038">
        <w:rPr>
          <w:rFonts w:eastAsia="Times New Roman"/>
          <w:szCs w:val="24"/>
          <w:lang w:val="en-US" w:eastAsia="en-AU"/>
        </w:rPr>
        <w:t>In another of the MCI cases</w:t>
      </w:r>
      <w:r>
        <w:rPr>
          <w:rFonts w:eastAsia="Times New Roman"/>
          <w:szCs w:val="24"/>
          <w:lang w:val="en-US" w:eastAsia="en-AU"/>
        </w:rPr>
        <w:t>,</w:t>
      </w:r>
      <w:r w:rsidRPr="00924038">
        <w:rPr>
          <w:rFonts w:eastAsia="Times New Roman"/>
          <w:szCs w:val="24"/>
          <w:lang w:val="en-US" w:eastAsia="en-AU"/>
        </w:rPr>
        <w:t xml:space="preserve"> </w:t>
      </w:r>
      <w:r w:rsidRPr="00924038">
        <w:rPr>
          <w:rFonts w:eastAsia="Times New Roman"/>
          <w:i/>
          <w:szCs w:val="24"/>
          <w:lang w:val="en-US" w:eastAsia="en-AU"/>
        </w:rPr>
        <w:t>Melbourne City Investments Pty L</w:t>
      </w:r>
      <w:r w:rsidR="008864A3">
        <w:rPr>
          <w:rFonts w:eastAsia="Times New Roman"/>
          <w:i/>
          <w:szCs w:val="24"/>
          <w:lang w:val="en-US" w:eastAsia="en-AU"/>
        </w:rPr>
        <w:t>td</w:t>
      </w:r>
      <w:r w:rsidRPr="00924038">
        <w:rPr>
          <w:rFonts w:eastAsia="Times New Roman"/>
          <w:i/>
          <w:szCs w:val="24"/>
          <w:lang w:val="en-US" w:eastAsia="en-AU"/>
        </w:rPr>
        <w:t xml:space="preserve"> v Treasury Wine Estates L</w:t>
      </w:r>
      <w:r w:rsidR="008864A3">
        <w:rPr>
          <w:rFonts w:eastAsia="Times New Roman"/>
          <w:i/>
          <w:szCs w:val="24"/>
          <w:lang w:val="en-US" w:eastAsia="en-AU"/>
        </w:rPr>
        <w:t>td</w:t>
      </w:r>
      <w:r w:rsidRPr="00924038">
        <w:rPr>
          <w:rFonts w:eastAsia="Times New Roman"/>
          <w:i/>
          <w:szCs w:val="24"/>
          <w:lang w:val="en-US" w:eastAsia="en-AU"/>
        </w:rPr>
        <w:t xml:space="preserve"> </w:t>
      </w:r>
      <w:r w:rsidRPr="00924038">
        <w:rPr>
          <w:rFonts w:eastAsia="Times New Roman"/>
          <w:szCs w:val="24"/>
          <w:lang w:val="en-US" w:eastAsia="en-AU"/>
        </w:rPr>
        <w:t xml:space="preserve">[2016] FCA 787; (2016) 243 FCR 474, Foster J, at </w:t>
      </w:r>
      <w:r w:rsidR="008864A3">
        <w:rPr>
          <w:rFonts w:eastAsia="Times New Roman"/>
          <w:szCs w:val="24"/>
          <w:lang w:val="en-US" w:eastAsia="en-AU"/>
        </w:rPr>
        <w:t xml:space="preserve">496-510 </w:t>
      </w:r>
      <w:r w:rsidRPr="00924038">
        <w:rPr>
          <w:rFonts w:eastAsia="Times New Roman"/>
          <w:szCs w:val="24"/>
          <w:lang w:val="en-US" w:eastAsia="en-AU"/>
        </w:rPr>
        <w:t xml:space="preserve">[97]-[146] surveyed the relevant authorities and, at </w:t>
      </w:r>
      <w:r w:rsidR="008864A3">
        <w:rPr>
          <w:rFonts w:eastAsia="Times New Roman"/>
          <w:szCs w:val="24"/>
          <w:lang w:val="en-US" w:eastAsia="en-AU"/>
        </w:rPr>
        <w:t xml:space="preserve">510 </w:t>
      </w:r>
      <w:r w:rsidRPr="00924038">
        <w:rPr>
          <w:rFonts w:eastAsia="Times New Roman"/>
          <w:szCs w:val="24"/>
          <w:lang w:val="en-US" w:eastAsia="en-AU"/>
        </w:rPr>
        <w:t>[147]</w:t>
      </w:r>
      <w:r>
        <w:rPr>
          <w:rFonts w:eastAsia="Times New Roman"/>
          <w:szCs w:val="24"/>
          <w:lang w:val="en-US" w:eastAsia="en-AU"/>
        </w:rPr>
        <w:t>,</w:t>
      </w:r>
      <w:r w:rsidRPr="00924038">
        <w:rPr>
          <w:rFonts w:eastAsia="Times New Roman"/>
          <w:szCs w:val="24"/>
          <w:lang w:val="en-US" w:eastAsia="en-AU"/>
        </w:rPr>
        <w:t xml:space="preserve"> set out</w:t>
      </w:r>
      <w:r>
        <w:rPr>
          <w:rFonts w:eastAsia="Times New Roman"/>
          <w:szCs w:val="24"/>
          <w:lang w:val="en-US" w:eastAsia="en-AU"/>
        </w:rPr>
        <w:t>, among others,</w:t>
      </w:r>
      <w:r w:rsidRPr="00924038">
        <w:rPr>
          <w:rFonts w:eastAsia="Times New Roman"/>
          <w:szCs w:val="24"/>
          <w:lang w:val="en-US" w:eastAsia="en-AU"/>
        </w:rPr>
        <w:t xml:space="preserve"> the following propositions which can be distilled from the leading authorities:</w:t>
      </w:r>
    </w:p>
    <w:p w:rsidR="002637F7" w:rsidRDefault="002637F7" w:rsidP="00744C10">
      <w:pPr>
        <w:pStyle w:val="Order2"/>
        <w:numPr>
          <w:ilvl w:val="1"/>
          <w:numId w:val="31"/>
        </w:numPr>
      </w:pPr>
      <w:r w:rsidRPr="00FB5D3C">
        <w:t>Notions of justice and injustice must reflect contemporary values if the courts and the administration of justice are to continue to enjoy the confidence of the public (</w:t>
      </w:r>
      <w:hyperlink r:id="rId26" w:history="1">
        <w:r w:rsidRPr="00FB5D3C">
          <w:rPr>
            <w:i/>
          </w:rPr>
          <w:t>Ridgeway</w:t>
        </w:r>
      </w:hyperlink>
      <w:r w:rsidRPr="00FB5D3C">
        <w:rPr>
          <w:i/>
        </w:rPr>
        <w:t xml:space="preserve"> </w:t>
      </w:r>
      <w:r w:rsidR="00C32A84" w:rsidRPr="00FB5D3C">
        <w:rPr>
          <w:i/>
        </w:rPr>
        <w:t>v The Queen</w:t>
      </w:r>
      <w:r w:rsidR="00C32A84" w:rsidRPr="00FB5D3C">
        <w:t xml:space="preserve"> (1995) 184 CLR 19 </w:t>
      </w:r>
      <w:r w:rsidRPr="00FB5D3C">
        <w:t xml:space="preserve">at 75). </w:t>
      </w:r>
    </w:p>
    <w:p w:rsidR="00FB5D3C" w:rsidRPr="00FB5D3C" w:rsidRDefault="00FB5D3C" w:rsidP="00744C10">
      <w:pPr>
        <w:pStyle w:val="Order2"/>
        <w:numPr>
          <w:ilvl w:val="1"/>
          <w:numId w:val="30"/>
        </w:numPr>
      </w:pPr>
      <w:r w:rsidRPr="00B51AF5">
        <w:rPr>
          <w:rFonts w:eastAsia="Times New Roman"/>
          <w:szCs w:val="24"/>
          <w:lang w:eastAsia="en-AU"/>
        </w:rPr>
        <w:t>Abuses of procedure usually fall into one of the following three broad categories:</w:t>
      </w:r>
    </w:p>
    <w:p w:rsidR="00FB5D3C" w:rsidRPr="00FB5D3C" w:rsidRDefault="00FB5D3C" w:rsidP="00744C10">
      <w:pPr>
        <w:pStyle w:val="Order3"/>
        <w:numPr>
          <w:ilvl w:val="2"/>
          <w:numId w:val="30"/>
        </w:numPr>
      </w:pPr>
      <w:r>
        <w:rPr>
          <w:rFonts w:eastAsia="Times New Roman"/>
          <w:szCs w:val="24"/>
          <w:lang w:eastAsia="en-AU"/>
        </w:rPr>
        <w:t>t</w:t>
      </w:r>
      <w:r w:rsidRPr="00B51AF5">
        <w:rPr>
          <w:rFonts w:eastAsia="Times New Roman"/>
          <w:szCs w:val="24"/>
          <w:lang w:eastAsia="en-AU"/>
        </w:rPr>
        <w:t>he court’s procedures are invoked for an illegitimate or improper purpose;</w:t>
      </w:r>
    </w:p>
    <w:p w:rsidR="00FB5D3C" w:rsidRPr="00FB5D3C" w:rsidRDefault="00FB5D3C" w:rsidP="00744C10">
      <w:pPr>
        <w:pStyle w:val="Order3"/>
        <w:numPr>
          <w:ilvl w:val="2"/>
          <w:numId w:val="30"/>
        </w:numPr>
      </w:pPr>
      <w:r w:rsidRPr="00875C5B">
        <w:rPr>
          <w:rFonts w:eastAsia="Times New Roman"/>
          <w:szCs w:val="24"/>
          <w:lang w:eastAsia="en-AU"/>
        </w:rPr>
        <w:lastRenderedPageBreak/>
        <w:t>the use of the court’s procedures is unjustifiably oppressive to one of the parties or vexatious; or</w:t>
      </w:r>
    </w:p>
    <w:p w:rsidR="00FB5D3C" w:rsidRPr="00FB5D3C" w:rsidRDefault="00FB5D3C" w:rsidP="00744C10">
      <w:pPr>
        <w:pStyle w:val="Order3"/>
        <w:numPr>
          <w:ilvl w:val="2"/>
          <w:numId w:val="30"/>
        </w:numPr>
      </w:pPr>
      <w:proofErr w:type="gramStart"/>
      <w:r w:rsidRPr="00875C5B">
        <w:rPr>
          <w:rFonts w:eastAsia="Times New Roman"/>
          <w:szCs w:val="24"/>
          <w:lang w:eastAsia="en-AU"/>
        </w:rPr>
        <w:t>the</w:t>
      </w:r>
      <w:proofErr w:type="gramEnd"/>
      <w:r w:rsidRPr="00875C5B">
        <w:rPr>
          <w:rFonts w:eastAsia="Times New Roman"/>
          <w:szCs w:val="24"/>
          <w:lang w:eastAsia="en-AU"/>
        </w:rPr>
        <w:t xml:space="preserve"> use of the court’s procedures in the manner contemplated would bring the administration of justice into disrepute (</w:t>
      </w:r>
      <w:r w:rsidRPr="00875C5B">
        <w:rPr>
          <w:rFonts w:eastAsia="Times New Roman"/>
          <w:i/>
          <w:iCs/>
          <w:szCs w:val="24"/>
          <w:lang w:eastAsia="en-AU"/>
        </w:rPr>
        <w:t>Rogers</w:t>
      </w:r>
      <w:r w:rsidRPr="00875C5B">
        <w:rPr>
          <w:rFonts w:eastAsia="Times New Roman"/>
          <w:szCs w:val="24"/>
          <w:lang w:eastAsia="en-AU"/>
        </w:rPr>
        <w:t xml:space="preserve"> </w:t>
      </w:r>
      <w:r>
        <w:rPr>
          <w:rFonts w:eastAsia="Times New Roman"/>
          <w:i/>
          <w:szCs w:val="24"/>
          <w:lang w:eastAsia="en-AU"/>
        </w:rPr>
        <w:t xml:space="preserve">v The Queen </w:t>
      </w:r>
      <w:r>
        <w:rPr>
          <w:rFonts w:eastAsia="Times New Roman"/>
          <w:szCs w:val="24"/>
          <w:lang w:eastAsia="en-AU"/>
        </w:rPr>
        <w:t xml:space="preserve">(1994) 181 CLR 251 </w:t>
      </w:r>
      <w:r w:rsidRPr="00875C5B">
        <w:rPr>
          <w:rFonts w:eastAsia="Times New Roman"/>
          <w:szCs w:val="24"/>
          <w:lang w:eastAsia="en-AU"/>
        </w:rPr>
        <w:t xml:space="preserve">at 287; </w:t>
      </w:r>
      <w:r w:rsidRPr="00875C5B">
        <w:rPr>
          <w:rFonts w:eastAsia="Times New Roman"/>
          <w:i/>
          <w:iCs/>
          <w:szCs w:val="24"/>
          <w:lang w:eastAsia="en-AU"/>
        </w:rPr>
        <w:t>PNJ</w:t>
      </w:r>
      <w:r>
        <w:rPr>
          <w:rFonts w:eastAsia="Times New Roman"/>
          <w:i/>
          <w:iCs/>
          <w:szCs w:val="24"/>
          <w:lang w:eastAsia="en-AU"/>
        </w:rPr>
        <w:t xml:space="preserve"> v The Queen </w:t>
      </w:r>
      <w:r>
        <w:rPr>
          <w:rFonts w:eastAsia="Times New Roman"/>
          <w:iCs/>
          <w:szCs w:val="24"/>
          <w:lang w:eastAsia="en-AU"/>
        </w:rPr>
        <w:t xml:space="preserve">[2009] HCA 6; (2009) 83 ALJR 384 </w:t>
      </w:r>
      <w:r w:rsidRPr="00875C5B">
        <w:rPr>
          <w:rFonts w:eastAsia="Times New Roman"/>
          <w:szCs w:val="24"/>
          <w:lang w:eastAsia="en-AU"/>
        </w:rPr>
        <w:t>at 613 [3]).</w:t>
      </w:r>
    </w:p>
    <w:p w:rsidR="00FB5D3C" w:rsidRPr="00FB5D3C" w:rsidRDefault="00FB5D3C" w:rsidP="00744C10">
      <w:pPr>
        <w:pStyle w:val="Order2"/>
        <w:numPr>
          <w:ilvl w:val="1"/>
          <w:numId w:val="30"/>
        </w:numPr>
      </w:pPr>
      <w:r w:rsidRPr="00D80B30">
        <w:rPr>
          <w:rFonts w:eastAsia="Times New Roman"/>
          <w:szCs w:val="24"/>
          <w:lang w:eastAsia="en-AU"/>
        </w:rPr>
        <w:t>The onus of proving an abuse in any given case rests upon the party alleging abuse.  That onus is a heavy one (</w:t>
      </w:r>
      <w:r w:rsidRPr="00D80B30">
        <w:rPr>
          <w:rFonts w:eastAsia="Times New Roman"/>
          <w:i/>
          <w:iCs/>
          <w:szCs w:val="24"/>
          <w:lang w:eastAsia="en-AU"/>
        </w:rPr>
        <w:t>Spautz</w:t>
      </w:r>
      <w:r w:rsidRPr="00D80B30">
        <w:rPr>
          <w:rFonts w:eastAsia="Times New Roman"/>
          <w:szCs w:val="24"/>
          <w:lang w:eastAsia="en-AU"/>
        </w:rPr>
        <w:t xml:space="preserve"> at</w:t>
      </w:r>
      <w:r>
        <w:rPr>
          <w:rFonts w:eastAsia="Times New Roman"/>
          <w:szCs w:val="24"/>
          <w:lang w:eastAsia="en-AU"/>
        </w:rPr>
        <w:t xml:space="preserve"> 529).</w:t>
      </w:r>
    </w:p>
    <w:p w:rsidR="0090158E" w:rsidRPr="00924038" w:rsidRDefault="006D35C1" w:rsidP="0009552C">
      <w:pPr>
        <w:pStyle w:val="ParaNumbering"/>
      </w:pPr>
      <w:r w:rsidRPr="00924038">
        <w:rPr>
          <w:lang w:eastAsia="en-AU"/>
        </w:rPr>
        <w:t xml:space="preserve">Some </w:t>
      </w:r>
      <w:r w:rsidR="009C4A7F">
        <w:rPr>
          <w:lang w:eastAsia="en-AU"/>
        </w:rPr>
        <w:t xml:space="preserve">other </w:t>
      </w:r>
      <w:r w:rsidRPr="00924038">
        <w:rPr>
          <w:lang w:eastAsia="en-AU"/>
        </w:rPr>
        <w:t xml:space="preserve">observations as to when abuse exists in other contexts do have present relevance.  </w:t>
      </w:r>
      <w:r w:rsidR="00786527" w:rsidRPr="00924038">
        <w:rPr>
          <w:lang w:eastAsia="en-AU"/>
        </w:rPr>
        <w:t>A good indication of the caution that should guide staying proceedings, which</w:t>
      </w:r>
      <w:r w:rsidR="005F3076" w:rsidRPr="00924038">
        <w:rPr>
          <w:lang w:eastAsia="en-AU"/>
        </w:rPr>
        <w:t>,</w:t>
      </w:r>
      <w:r w:rsidR="00786527" w:rsidRPr="00924038">
        <w:rPr>
          <w:lang w:eastAsia="en-AU"/>
        </w:rPr>
        <w:t xml:space="preserve"> like here, have been regularly commenced</w:t>
      </w:r>
      <w:r w:rsidR="005F3076" w:rsidRPr="00924038">
        <w:rPr>
          <w:lang w:eastAsia="en-AU"/>
        </w:rPr>
        <w:t>,</w:t>
      </w:r>
      <w:r w:rsidR="00786527" w:rsidRPr="00924038">
        <w:rPr>
          <w:lang w:eastAsia="en-AU"/>
        </w:rPr>
        <w:t xml:space="preserve"> can be seen i</w:t>
      </w:r>
      <w:r w:rsidR="0009552C" w:rsidRPr="00924038">
        <w:rPr>
          <w:lang w:eastAsia="en-AU"/>
        </w:rPr>
        <w:t xml:space="preserve">n </w:t>
      </w:r>
      <w:r w:rsidR="0090158E" w:rsidRPr="00924038">
        <w:rPr>
          <w:i/>
          <w:iCs/>
        </w:rPr>
        <w:t>Voth v Manildra Flour Mills Pty Ltd</w:t>
      </w:r>
      <w:r w:rsidR="0090158E" w:rsidRPr="00924038">
        <w:t xml:space="preserve"> (1990) 171</w:t>
      </w:r>
      <w:r w:rsidR="00F7237D" w:rsidRPr="00924038">
        <w:t xml:space="preserve"> </w:t>
      </w:r>
      <w:r w:rsidR="0090158E" w:rsidRPr="00924038">
        <w:t>CLR</w:t>
      </w:r>
      <w:r w:rsidR="00F7237D" w:rsidRPr="00924038">
        <w:t xml:space="preserve"> </w:t>
      </w:r>
      <w:r w:rsidR="0090158E" w:rsidRPr="00924038">
        <w:t>538</w:t>
      </w:r>
      <w:r w:rsidR="0009552C" w:rsidRPr="00924038">
        <w:t xml:space="preserve">, a case involving principles of </w:t>
      </w:r>
      <w:r w:rsidR="0009552C" w:rsidRPr="00924038">
        <w:rPr>
          <w:lang w:eastAsia="en-AU"/>
        </w:rPr>
        <w:t>forum non conveniens</w:t>
      </w:r>
      <w:r w:rsidR="0009552C" w:rsidRPr="00924038">
        <w:t>,</w:t>
      </w:r>
      <w:r w:rsidR="0090158E" w:rsidRPr="00924038">
        <w:t xml:space="preserve"> </w:t>
      </w:r>
      <w:r w:rsidR="00786527" w:rsidRPr="00924038">
        <w:t xml:space="preserve">where </w:t>
      </w:r>
      <w:r w:rsidR="0009552C" w:rsidRPr="00924038">
        <w:rPr>
          <w:iCs/>
        </w:rPr>
        <w:t>the</w:t>
      </w:r>
      <w:r w:rsidR="0090158E" w:rsidRPr="00924038">
        <w:t xml:space="preserve"> following statement of principle appears </w:t>
      </w:r>
      <w:r w:rsidR="0009552C" w:rsidRPr="00924038">
        <w:t>at 554</w:t>
      </w:r>
      <w:r w:rsidR="005F3076" w:rsidRPr="00924038">
        <w:t xml:space="preserve"> per Mason CJ, Deane, Dawson and Crennan JJ</w:t>
      </w:r>
      <w:r w:rsidR="0090158E" w:rsidRPr="00924038">
        <w:t xml:space="preserve">: </w:t>
      </w:r>
    </w:p>
    <w:p w:rsidR="005F3076" w:rsidRPr="00C35A27" w:rsidRDefault="0090158E" w:rsidP="00BC36A7">
      <w:pPr>
        <w:pStyle w:val="Quote1"/>
      </w:pPr>
      <w:r w:rsidRPr="00924038">
        <w:t>First, a plaintiff who has regularly invoked the jurisdiction of a court has a prima facie right to insist upon its exercise</w:t>
      </w:r>
      <w:proofErr w:type="gramStart"/>
      <w:r w:rsidRPr="00924038">
        <w:t xml:space="preserve">. </w:t>
      </w:r>
      <w:proofErr w:type="gramEnd"/>
      <w:r w:rsidRPr="00924038">
        <w:t>Secondly, the traditional power to stay proceedings which have been regularly commenced, on inappropriate forum grounds, is to be exercised in accordance with the general principle empowering a court to dismiss or stay proceedings which are oppressive, vexatious or an abuse of process and the rationale for the exercise of the power to stay is the avoidance of injustice between parties in the particular case</w:t>
      </w:r>
      <w:proofErr w:type="gramStart"/>
      <w:r w:rsidRPr="00924038">
        <w:t xml:space="preserve">. </w:t>
      </w:r>
      <w:proofErr w:type="gramEnd"/>
      <w:r w:rsidRPr="00924038">
        <w:t xml:space="preserve">Thirdly, the mere fact that the balance of convenience favours another jurisdiction or that some other jurisdiction would provide a more appropriate forum does not justify the dismissal of the action or the </w:t>
      </w:r>
      <w:r w:rsidRPr="00C35A27">
        <w:t>grant of a stay</w:t>
      </w:r>
      <w:proofErr w:type="gramStart"/>
      <w:r w:rsidRPr="00C35A27">
        <w:t xml:space="preserve">. </w:t>
      </w:r>
      <w:proofErr w:type="gramEnd"/>
      <w:r w:rsidRPr="00C35A27">
        <w:t>Finally, the jurisdiction to grant a stay or dismiss the action is to be exercised “with great care” or “extreme caution”.</w:t>
      </w:r>
    </w:p>
    <w:p w:rsidR="0090158E" w:rsidRPr="00C35A27" w:rsidRDefault="005F3076" w:rsidP="00BC36A7">
      <w:pPr>
        <w:pStyle w:val="Quote1"/>
      </w:pPr>
      <w:r w:rsidRPr="00C35A27">
        <w:t>(Emphasis in original)</w:t>
      </w:r>
      <w:r w:rsidR="0090158E" w:rsidRPr="00C35A27">
        <w:t xml:space="preserve"> </w:t>
      </w:r>
    </w:p>
    <w:p w:rsidR="0090158E" w:rsidRPr="00C35A27" w:rsidRDefault="006D35C1" w:rsidP="00531922">
      <w:pPr>
        <w:pStyle w:val="NoNum"/>
      </w:pPr>
      <w:r w:rsidRPr="00C35A27">
        <w:t xml:space="preserve">See also </w:t>
      </w:r>
      <w:r w:rsidR="0090158E" w:rsidRPr="00C35A27">
        <w:rPr>
          <w:i/>
          <w:iCs/>
        </w:rPr>
        <w:t>Henry</w:t>
      </w:r>
      <w:r w:rsidR="00AD402E" w:rsidRPr="00C35A27">
        <w:rPr>
          <w:i/>
          <w:iCs/>
        </w:rPr>
        <w:t xml:space="preserve"> </w:t>
      </w:r>
      <w:r w:rsidR="0090158E" w:rsidRPr="00C35A27">
        <w:rPr>
          <w:i/>
          <w:iCs/>
        </w:rPr>
        <w:t>v Henry</w:t>
      </w:r>
      <w:r w:rsidR="0090158E" w:rsidRPr="00C35A27">
        <w:t xml:space="preserve"> (1996) 185</w:t>
      </w:r>
      <w:r w:rsidR="00D47CF7" w:rsidRPr="00C35A27">
        <w:t xml:space="preserve"> </w:t>
      </w:r>
      <w:r w:rsidR="0090158E" w:rsidRPr="00C35A27">
        <w:t>CLR</w:t>
      </w:r>
      <w:r w:rsidR="00D47CF7" w:rsidRPr="00C35A27">
        <w:t xml:space="preserve"> </w:t>
      </w:r>
      <w:r w:rsidR="0090158E" w:rsidRPr="00C35A27">
        <w:t>571 at</w:t>
      </w:r>
      <w:r w:rsidR="00AD402E" w:rsidRPr="00C35A27">
        <w:t xml:space="preserve"> </w:t>
      </w:r>
      <w:r w:rsidR="0090158E" w:rsidRPr="00C35A27">
        <w:t>587</w:t>
      </w:r>
      <w:r w:rsidR="005F3076" w:rsidRPr="00C35A27">
        <w:t xml:space="preserve"> per Dawson, Gaudron, McHugh and Gummow JJ</w:t>
      </w:r>
      <w:r w:rsidR="0090158E" w:rsidRPr="00C35A27">
        <w:t xml:space="preserve"> (</w:t>
      </w:r>
      <w:r w:rsidR="00602529" w:rsidRPr="00C35A27">
        <w:t>later</w:t>
      </w:r>
      <w:r w:rsidR="0090158E" w:rsidRPr="00C35A27">
        <w:t xml:space="preserve"> applied in </w:t>
      </w:r>
      <w:r w:rsidR="0090158E" w:rsidRPr="00C35A27">
        <w:rPr>
          <w:i/>
          <w:iCs/>
        </w:rPr>
        <w:t>Regie Nationale des Usines Renault SA</w:t>
      </w:r>
      <w:r w:rsidR="00F7237D" w:rsidRPr="00C35A27">
        <w:rPr>
          <w:i/>
          <w:iCs/>
        </w:rPr>
        <w:t xml:space="preserve"> </w:t>
      </w:r>
      <w:r w:rsidR="0090158E" w:rsidRPr="00C35A27">
        <w:rPr>
          <w:i/>
          <w:iCs/>
        </w:rPr>
        <w:t>v Zhang</w:t>
      </w:r>
      <w:r w:rsidRPr="00C35A27">
        <w:t xml:space="preserve"> </w:t>
      </w:r>
      <w:r w:rsidR="005F3076" w:rsidRPr="00C35A27">
        <w:t xml:space="preserve">[2002] HCA 10; </w:t>
      </w:r>
      <w:r w:rsidRPr="00C35A27">
        <w:t>(2002) 210</w:t>
      </w:r>
      <w:r w:rsidR="00AD1AF9" w:rsidRPr="00C35A27">
        <w:t xml:space="preserve"> </w:t>
      </w:r>
      <w:r w:rsidRPr="00C35A27">
        <w:t>CLR</w:t>
      </w:r>
      <w:r w:rsidR="00AD1AF9" w:rsidRPr="00C35A27">
        <w:t xml:space="preserve"> </w:t>
      </w:r>
      <w:r w:rsidRPr="00C35A27">
        <w:t>491 at</w:t>
      </w:r>
      <w:r w:rsidR="00AD1AF9" w:rsidRPr="00C35A27">
        <w:t xml:space="preserve"> </w:t>
      </w:r>
      <w:r w:rsidRPr="00C35A27">
        <w:t>504</w:t>
      </w:r>
      <w:r w:rsidR="005F3076" w:rsidRPr="00C35A27">
        <w:t xml:space="preserve"> per Gleeson CJ, Gaudron, McHugh, Gummow and Hayne JJ</w:t>
      </w:r>
      <w:r w:rsidRPr="00C35A27">
        <w:t>).</w:t>
      </w:r>
    </w:p>
    <w:p w:rsidR="0090158E" w:rsidRPr="00924038" w:rsidRDefault="007F033A" w:rsidP="00084E53">
      <w:pPr>
        <w:pStyle w:val="ParaNumbering"/>
        <w:rPr>
          <w:szCs w:val="24"/>
        </w:rPr>
      </w:pPr>
      <w:r w:rsidRPr="00C35A27">
        <w:rPr>
          <w:szCs w:val="24"/>
        </w:rPr>
        <w:t xml:space="preserve">This caution </w:t>
      </w:r>
      <w:r w:rsidR="006D35C1" w:rsidRPr="00C35A27">
        <w:rPr>
          <w:szCs w:val="24"/>
        </w:rPr>
        <w:t>c</w:t>
      </w:r>
      <w:r w:rsidR="006D35C1" w:rsidRPr="00924038">
        <w:rPr>
          <w:szCs w:val="24"/>
        </w:rPr>
        <w:t>an also be seen</w:t>
      </w:r>
      <w:r w:rsidRPr="00924038">
        <w:rPr>
          <w:szCs w:val="24"/>
        </w:rPr>
        <w:t xml:space="preserve"> in the cases involving two actions being brought where one will lie.  In </w:t>
      </w:r>
      <w:r w:rsidRPr="00924038">
        <w:rPr>
          <w:rStyle w:val="jade-incoming-citation"/>
          <w:i/>
          <w:iCs/>
          <w:szCs w:val="24"/>
        </w:rPr>
        <w:t xml:space="preserve">Moore </w:t>
      </w:r>
      <w:r w:rsidRPr="00924038">
        <w:rPr>
          <w:rStyle w:val="jade-incoming-citation"/>
          <w:szCs w:val="24"/>
        </w:rPr>
        <w:t>at 5</w:t>
      </w:r>
      <w:r w:rsidR="0057018F">
        <w:rPr>
          <w:rStyle w:val="jade-incoming-citation"/>
          <w:szCs w:val="24"/>
        </w:rPr>
        <w:t>93</w:t>
      </w:r>
      <w:r w:rsidR="005F3076" w:rsidRPr="00924038">
        <w:rPr>
          <w:rStyle w:val="jade-incoming-citation"/>
          <w:szCs w:val="24"/>
        </w:rPr>
        <w:t xml:space="preserve"> (Mason J)</w:t>
      </w:r>
      <w:r w:rsidRPr="00924038">
        <w:rPr>
          <w:szCs w:val="24"/>
        </w:rPr>
        <w:t xml:space="preserve">, it was said that the power to stay or dismiss proceedings on the ground that they are an abuse of process </w:t>
      </w:r>
      <w:r w:rsidR="005F3076" w:rsidRPr="00924038">
        <w:rPr>
          <w:szCs w:val="24"/>
        </w:rPr>
        <w:t>is to be exercised with caution</w:t>
      </w:r>
      <w:r w:rsidRPr="00924038">
        <w:rPr>
          <w:szCs w:val="24"/>
        </w:rPr>
        <w:t>.</w:t>
      </w:r>
    </w:p>
    <w:p w:rsidR="009803CA" w:rsidRPr="00924038" w:rsidRDefault="009803CA" w:rsidP="009803CA">
      <w:pPr>
        <w:pStyle w:val="ParaNumbering"/>
        <w:rPr>
          <w:szCs w:val="24"/>
          <w:lang w:eastAsia="en-AU"/>
        </w:rPr>
      </w:pPr>
      <w:r w:rsidRPr="00924038">
        <w:rPr>
          <w:rFonts w:eastAsia="Times New Roman"/>
          <w:szCs w:val="24"/>
          <w:lang w:eastAsia="en-AU"/>
        </w:rPr>
        <w:t xml:space="preserve">Apart from caution, another feature of abuse of process to be drawn from the authorities is its dynamism in the sense that the categories where abuse arises are not closed.  </w:t>
      </w:r>
      <w:r w:rsidRPr="00924038">
        <w:rPr>
          <w:szCs w:val="24"/>
        </w:rPr>
        <w:t>In</w:t>
      </w:r>
      <w:r w:rsidRPr="00924038">
        <w:rPr>
          <w:spacing w:val="-14"/>
          <w:szCs w:val="24"/>
        </w:rPr>
        <w:t xml:space="preserve"> </w:t>
      </w:r>
      <w:r w:rsidRPr="00924038">
        <w:rPr>
          <w:i/>
          <w:szCs w:val="24"/>
        </w:rPr>
        <w:t>Batistatos</w:t>
      </w:r>
      <w:r w:rsidRPr="00924038">
        <w:rPr>
          <w:szCs w:val="24"/>
        </w:rPr>
        <w:t>,</w:t>
      </w:r>
      <w:r w:rsidRPr="00924038">
        <w:rPr>
          <w:spacing w:val="-16"/>
          <w:szCs w:val="24"/>
        </w:rPr>
        <w:t xml:space="preserve"> </w:t>
      </w:r>
      <w:r w:rsidRPr="00924038">
        <w:rPr>
          <w:szCs w:val="24"/>
        </w:rPr>
        <w:t>Gleeson CJ, Gummow, Hayne and Crennan JJ observed that “</w:t>
      </w:r>
      <w:r w:rsidRPr="00924038">
        <w:rPr>
          <w:i/>
          <w:szCs w:val="24"/>
        </w:rPr>
        <w:t xml:space="preserve">what amounts to abuse of court </w:t>
      </w:r>
      <w:r w:rsidRPr="00924038">
        <w:rPr>
          <w:i/>
          <w:szCs w:val="24"/>
        </w:rPr>
        <w:lastRenderedPageBreak/>
        <w:t>process is insusceptible of a formulation comprising closed categories</w:t>
      </w:r>
      <w:proofErr w:type="gramStart"/>
      <w:r w:rsidRPr="00924038">
        <w:rPr>
          <w:i/>
          <w:szCs w:val="24"/>
        </w:rPr>
        <w:t xml:space="preserve">. </w:t>
      </w:r>
      <w:proofErr w:type="gramEnd"/>
      <w:r w:rsidRPr="00924038">
        <w:rPr>
          <w:i/>
          <w:szCs w:val="24"/>
        </w:rPr>
        <w:t>Development continues</w:t>
      </w:r>
      <w:r w:rsidRPr="00924038">
        <w:rPr>
          <w:szCs w:val="24"/>
        </w:rPr>
        <w:t>”</w:t>
      </w:r>
      <w:r w:rsidRPr="00924038">
        <w:rPr>
          <w:spacing w:val="-15"/>
          <w:szCs w:val="24"/>
        </w:rPr>
        <w:t xml:space="preserve"> </w:t>
      </w:r>
      <w:r w:rsidRPr="00924038">
        <w:rPr>
          <w:szCs w:val="24"/>
        </w:rPr>
        <w:t>(at</w:t>
      </w:r>
      <w:r w:rsidRPr="00924038">
        <w:rPr>
          <w:spacing w:val="-15"/>
          <w:szCs w:val="24"/>
        </w:rPr>
        <w:t xml:space="preserve"> </w:t>
      </w:r>
      <w:r w:rsidR="005F3076" w:rsidRPr="00924038">
        <w:rPr>
          <w:spacing w:val="-15"/>
          <w:szCs w:val="24"/>
        </w:rPr>
        <w:t xml:space="preserve">265 </w:t>
      </w:r>
      <w:r w:rsidRPr="00924038">
        <w:rPr>
          <w:szCs w:val="24"/>
        </w:rPr>
        <w:t>[9]).</w:t>
      </w:r>
      <w:r w:rsidRPr="00924038">
        <w:rPr>
          <w:spacing w:val="35"/>
          <w:szCs w:val="24"/>
        </w:rPr>
        <w:t xml:space="preserve">  </w:t>
      </w:r>
      <w:r w:rsidRPr="00924038">
        <w:rPr>
          <w:szCs w:val="24"/>
        </w:rPr>
        <w:t>Their</w:t>
      </w:r>
      <w:r w:rsidRPr="00924038">
        <w:rPr>
          <w:spacing w:val="-15"/>
          <w:szCs w:val="24"/>
        </w:rPr>
        <w:t xml:space="preserve"> </w:t>
      </w:r>
      <w:r w:rsidRPr="00924038">
        <w:rPr>
          <w:szCs w:val="24"/>
        </w:rPr>
        <w:t>Honours</w:t>
      </w:r>
      <w:r w:rsidRPr="00924038">
        <w:rPr>
          <w:spacing w:val="-13"/>
          <w:szCs w:val="24"/>
        </w:rPr>
        <w:t xml:space="preserve"> </w:t>
      </w:r>
      <w:r w:rsidRPr="00924038">
        <w:rPr>
          <w:szCs w:val="24"/>
        </w:rPr>
        <w:t>emphasised</w:t>
      </w:r>
      <w:r w:rsidRPr="00924038">
        <w:rPr>
          <w:spacing w:val="-14"/>
          <w:szCs w:val="24"/>
        </w:rPr>
        <w:t xml:space="preserve"> </w:t>
      </w:r>
      <w:r w:rsidRPr="00924038">
        <w:rPr>
          <w:szCs w:val="24"/>
        </w:rPr>
        <w:t>that</w:t>
      </w:r>
      <w:r w:rsidRPr="00924038">
        <w:rPr>
          <w:spacing w:val="-12"/>
          <w:szCs w:val="24"/>
        </w:rPr>
        <w:t xml:space="preserve"> </w:t>
      </w:r>
      <w:r w:rsidRPr="00924038">
        <w:rPr>
          <w:szCs w:val="24"/>
        </w:rPr>
        <w:t>no</w:t>
      </w:r>
      <w:r w:rsidRPr="00924038">
        <w:rPr>
          <w:spacing w:val="-16"/>
          <w:szCs w:val="24"/>
        </w:rPr>
        <w:t xml:space="preserve"> </w:t>
      </w:r>
      <w:r w:rsidRPr="00924038">
        <w:rPr>
          <w:szCs w:val="24"/>
        </w:rPr>
        <w:t>“</w:t>
      </w:r>
      <w:r w:rsidRPr="00924038">
        <w:rPr>
          <w:i/>
          <w:szCs w:val="24"/>
        </w:rPr>
        <w:t>hard</w:t>
      </w:r>
      <w:r w:rsidRPr="00924038">
        <w:rPr>
          <w:i/>
          <w:spacing w:val="-13"/>
          <w:szCs w:val="24"/>
        </w:rPr>
        <w:t xml:space="preserve"> </w:t>
      </w:r>
      <w:r w:rsidRPr="00924038">
        <w:rPr>
          <w:i/>
          <w:szCs w:val="24"/>
        </w:rPr>
        <w:t>and</w:t>
      </w:r>
      <w:r w:rsidRPr="00924038">
        <w:rPr>
          <w:i/>
          <w:spacing w:val="-19"/>
          <w:szCs w:val="24"/>
        </w:rPr>
        <w:t xml:space="preserve"> </w:t>
      </w:r>
      <w:r w:rsidRPr="00924038">
        <w:rPr>
          <w:i/>
          <w:szCs w:val="24"/>
        </w:rPr>
        <w:t>fast</w:t>
      </w:r>
      <w:r w:rsidRPr="00924038">
        <w:rPr>
          <w:i/>
          <w:spacing w:val="-12"/>
          <w:szCs w:val="24"/>
        </w:rPr>
        <w:t xml:space="preserve"> </w:t>
      </w:r>
      <w:r w:rsidRPr="00924038">
        <w:rPr>
          <w:i/>
          <w:szCs w:val="24"/>
        </w:rPr>
        <w:t>definitions</w:t>
      </w:r>
      <w:r w:rsidRPr="00924038">
        <w:rPr>
          <w:szCs w:val="24"/>
        </w:rPr>
        <w:t>”</w:t>
      </w:r>
      <w:r w:rsidRPr="00924038">
        <w:rPr>
          <w:spacing w:val="-12"/>
          <w:szCs w:val="24"/>
        </w:rPr>
        <w:t xml:space="preserve"> </w:t>
      </w:r>
      <w:r w:rsidRPr="00924038">
        <w:rPr>
          <w:szCs w:val="24"/>
        </w:rPr>
        <w:t>of</w:t>
      </w:r>
      <w:r w:rsidRPr="00924038">
        <w:rPr>
          <w:spacing w:val="-12"/>
          <w:szCs w:val="24"/>
        </w:rPr>
        <w:t xml:space="preserve"> </w:t>
      </w:r>
      <w:r w:rsidRPr="00924038">
        <w:rPr>
          <w:szCs w:val="24"/>
        </w:rPr>
        <w:t>abuse of</w:t>
      </w:r>
      <w:r w:rsidRPr="00924038">
        <w:rPr>
          <w:spacing w:val="-3"/>
          <w:szCs w:val="24"/>
        </w:rPr>
        <w:t xml:space="preserve"> </w:t>
      </w:r>
      <w:r w:rsidRPr="00924038">
        <w:rPr>
          <w:szCs w:val="24"/>
        </w:rPr>
        <w:t>process</w:t>
      </w:r>
      <w:r w:rsidRPr="00924038">
        <w:rPr>
          <w:spacing w:val="-6"/>
          <w:szCs w:val="24"/>
        </w:rPr>
        <w:t xml:space="preserve"> </w:t>
      </w:r>
      <w:r w:rsidRPr="00924038">
        <w:rPr>
          <w:szCs w:val="24"/>
        </w:rPr>
        <w:t>could</w:t>
      </w:r>
      <w:r w:rsidRPr="00924038">
        <w:rPr>
          <w:spacing w:val="-6"/>
          <w:szCs w:val="24"/>
        </w:rPr>
        <w:t xml:space="preserve"> </w:t>
      </w:r>
      <w:r w:rsidRPr="00924038">
        <w:rPr>
          <w:szCs w:val="24"/>
        </w:rPr>
        <w:t>be</w:t>
      </w:r>
      <w:r w:rsidRPr="00924038">
        <w:rPr>
          <w:spacing w:val="-6"/>
          <w:szCs w:val="24"/>
        </w:rPr>
        <w:t xml:space="preserve"> </w:t>
      </w:r>
      <w:r w:rsidRPr="00924038">
        <w:rPr>
          <w:szCs w:val="24"/>
        </w:rPr>
        <w:t>laid</w:t>
      </w:r>
      <w:r w:rsidRPr="00924038">
        <w:rPr>
          <w:spacing w:val="-6"/>
          <w:szCs w:val="24"/>
        </w:rPr>
        <w:t xml:space="preserve"> </w:t>
      </w:r>
      <w:r w:rsidRPr="00924038">
        <w:rPr>
          <w:szCs w:val="24"/>
        </w:rPr>
        <w:t>down,</w:t>
      </w:r>
      <w:r w:rsidRPr="00924038">
        <w:rPr>
          <w:spacing w:val="-5"/>
          <w:szCs w:val="24"/>
        </w:rPr>
        <w:t xml:space="preserve"> </w:t>
      </w:r>
      <w:r w:rsidRPr="00924038">
        <w:rPr>
          <w:szCs w:val="24"/>
        </w:rPr>
        <w:t>and</w:t>
      </w:r>
      <w:r w:rsidRPr="00924038">
        <w:rPr>
          <w:spacing w:val="-6"/>
          <w:szCs w:val="24"/>
        </w:rPr>
        <w:t xml:space="preserve"> </w:t>
      </w:r>
      <w:r w:rsidRPr="00924038">
        <w:rPr>
          <w:szCs w:val="24"/>
        </w:rPr>
        <w:t>that</w:t>
      </w:r>
      <w:r w:rsidRPr="00924038">
        <w:rPr>
          <w:spacing w:val="-5"/>
          <w:szCs w:val="24"/>
        </w:rPr>
        <w:t xml:space="preserve"> </w:t>
      </w:r>
      <w:r w:rsidRPr="00924038">
        <w:rPr>
          <w:szCs w:val="24"/>
        </w:rPr>
        <w:t>this</w:t>
      </w:r>
      <w:r w:rsidRPr="00924038">
        <w:rPr>
          <w:spacing w:val="-6"/>
          <w:szCs w:val="24"/>
        </w:rPr>
        <w:t xml:space="preserve"> </w:t>
      </w:r>
      <w:r w:rsidRPr="00924038">
        <w:rPr>
          <w:szCs w:val="24"/>
        </w:rPr>
        <w:t>was</w:t>
      </w:r>
      <w:r w:rsidRPr="00924038">
        <w:rPr>
          <w:spacing w:val="-6"/>
          <w:szCs w:val="24"/>
        </w:rPr>
        <w:t xml:space="preserve"> </w:t>
      </w:r>
      <w:r w:rsidRPr="00924038">
        <w:rPr>
          <w:szCs w:val="24"/>
        </w:rPr>
        <w:t>necessarily</w:t>
      </w:r>
      <w:r w:rsidRPr="00924038">
        <w:rPr>
          <w:spacing w:val="-8"/>
          <w:szCs w:val="24"/>
        </w:rPr>
        <w:t xml:space="preserve"> </w:t>
      </w:r>
      <w:r w:rsidRPr="00924038">
        <w:rPr>
          <w:szCs w:val="24"/>
        </w:rPr>
        <w:t>so</w:t>
      </w:r>
      <w:r w:rsidRPr="00924038">
        <w:rPr>
          <w:spacing w:val="-6"/>
          <w:szCs w:val="24"/>
        </w:rPr>
        <w:t xml:space="preserve"> </w:t>
      </w:r>
      <w:r w:rsidRPr="00924038">
        <w:rPr>
          <w:szCs w:val="24"/>
        </w:rPr>
        <w:t>as</w:t>
      </w:r>
      <w:r w:rsidRPr="00924038">
        <w:rPr>
          <w:spacing w:val="-6"/>
          <w:szCs w:val="24"/>
        </w:rPr>
        <w:t xml:space="preserve"> </w:t>
      </w:r>
      <w:r w:rsidRPr="00924038">
        <w:rPr>
          <w:szCs w:val="24"/>
        </w:rPr>
        <w:t>“</w:t>
      </w:r>
      <w:r w:rsidRPr="00924038">
        <w:rPr>
          <w:i/>
          <w:szCs w:val="24"/>
        </w:rPr>
        <w:t>notions</w:t>
      </w:r>
      <w:r w:rsidRPr="00924038">
        <w:rPr>
          <w:i/>
          <w:spacing w:val="-6"/>
          <w:szCs w:val="24"/>
        </w:rPr>
        <w:t xml:space="preserve"> </w:t>
      </w:r>
      <w:r w:rsidRPr="00924038">
        <w:rPr>
          <w:i/>
          <w:szCs w:val="24"/>
        </w:rPr>
        <w:t>of</w:t>
      </w:r>
      <w:r w:rsidRPr="00924038">
        <w:rPr>
          <w:i/>
          <w:spacing w:val="-5"/>
          <w:szCs w:val="24"/>
        </w:rPr>
        <w:t xml:space="preserve"> </w:t>
      </w:r>
      <w:r w:rsidRPr="00924038">
        <w:rPr>
          <w:i/>
          <w:szCs w:val="24"/>
        </w:rPr>
        <w:t>justice</w:t>
      </w:r>
      <w:r w:rsidRPr="00924038">
        <w:rPr>
          <w:i/>
          <w:spacing w:val="-6"/>
          <w:szCs w:val="24"/>
        </w:rPr>
        <w:t xml:space="preserve"> </w:t>
      </w:r>
      <w:r w:rsidRPr="00924038">
        <w:rPr>
          <w:i/>
          <w:szCs w:val="24"/>
        </w:rPr>
        <w:t>and injustice, as well as other considerations that bear on public confidence in the administration of justice, must reflect contemporary values and, as well, take account of the circumstances of the case</w:t>
      </w:r>
      <w:r w:rsidRPr="00924038">
        <w:rPr>
          <w:szCs w:val="24"/>
        </w:rPr>
        <w:t xml:space="preserve">” (at </w:t>
      </w:r>
      <w:r w:rsidR="005F3076" w:rsidRPr="00924038">
        <w:rPr>
          <w:szCs w:val="24"/>
        </w:rPr>
        <w:t xml:space="preserve">267 </w:t>
      </w:r>
      <w:r w:rsidRPr="00924038">
        <w:rPr>
          <w:szCs w:val="24"/>
        </w:rPr>
        <w:t xml:space="preserve">[14]).  </w:t>
      </w:r>
      <w:r w:rsidRPr="00924038">
        <w:rPr>
          <w:rFonts w:eastAsia="Times New Roman"/>
          <w:szCs w:val="24"/>
          <w:lang w:eastAsia="en-AU"/>
        </w:rPr>
        <w:t xml:space="preserve">As was relevantly explained in </w:t>
      </w:r>
      <w:r w:rsidRPr="00924038">
        <w:rPr>
          <w:bCs/>
          <w:i/>
          <w:iCs/>
          <w:szCs w:val="24"/>
        </w:rPr>
        <w:t xml:space="preserve">Jeffery </w:t>
      </w:r>
      <w:r w:rsidR="005F3076" w:rsidRPr="00924038">
        <w:rPr>
          <w:bCs/>
          <w:iCs/>
          <w:szCs w:val="24"/>
        </w:rPr>
        <w:t>at</w:t>
      </w:r>
      <w:r w:rsidRPr="00924038">
        <w:rPr>
          <w:szCs w:val="24"/>
        </w:rPr>
        <w:t xml:space="preserve"> 93 [28]</w:t>
      </w:r>
      <w:r w:rsidR="005F3076" w:rsidRPr="00924038">
        <w:rPr>
          <w:szCs w:val="24"/>
        </w:rPr>
        <w:t>:</w:t>
      </w:r>
    </w:p>
    <w:p w:rsidR="009803CA" w:rsidRPr="00924038" w:rsidRDefault="009803CA" w:rsidP="005F3076">
      <w:pPr>
        <w:pStyle w:val="Quote1"/>
      </w:pPr>
      <w:r w:rsidRPr="00924038">
        <w:t>It has been said repeatedly in the judgments of this Court that the categories of abuse of process are not closed…This does not mean that abuse of process is a term at large or without meaning</w:t>
      </w:r>
      <w:proofErr w:type="gramStart"/>
      <w:r w:rsidRPr="00924038">
        <w:t xml:space="preserve">.   </w:t>
      </w:r>
      <w:proofErr w:type="gramEnd"/>
      <w:r w:rsidRPr="00924038">
        <w:t xml:space="preserve">Nor does it mean that any conduct of a party or non-party in relation to judicial proceedings is an abuse of process if it can be characterised as in some sense unfair to a party.  It is clear, however, that abuse of process extends to proceedings that are </w:t>
      </w:r>
      <w:r w:rsidR="005F3076" w:rsidRPr="00924038">
        <w:t>“</w:t>
      </w:r>
      <w:r w:rsidRPr="00924038">
        <w:t>seriously and unfairly burdensome, prejudicial or damaging</w:t>
      </w:r>
      <w:r w:rsidR="005F3076" w:rsidRPr="00924038">
        <w:t>”</w:t>
      </w:r>
      <w:r w:rsidRPr="00924038">
        <w:t xml:space="preserve"> or </w:t>
      </w:r>
      <w:r w:rsidR="005F3076" w:rsidRPr="00924038">
        <w:t>“</w:t>
      </w:r>
      <w:r w:rsidRPr="00924038">
        <w:t>productive of serious and unjustified trouble and harassment</w:t>
      </w:r>
      <w:r w:rsidR="005F3076" w:rsidRPr="00924038">
        <w:t>”</w:t>
      </w:r>
      <w:r w:rsidRPr="00924038">
        <w:t>.</w:t>
      </w:r>
    </w:p>
    <w:p w:rsidR="005F3076" w:rsidRPr="00924038" w:rsidRDefault="005F3076" w:rsidP="005F3076">
      <w:pPr>
        <w:pStyle w:val="Quote1"/>
        <w:rPr>
          <w:lang w:eastAsia="en-AU"/>
        </w:rPr>
      </w:pPr>
      <w:r w:rsidRPr="00924038">
        <w:t>(Citations omitted)</w:t>
      </w:r>
    </w:p>
    <w:p w:rsidR="00D80B30" w:rsidRPr="00202A7D" w:rsidRDefault="00670F76" w:rsidP="00202A7D">
      <w:pPr>
        <w:pStyle w:val="ParaNumbering"/>
        <w:rPr>
          <w:rFonts w:eastAsia="Times New Roman"/>
          <w:szCs w:val="24"/>
          <w:lang w:val="en-US" w:eastAsia="en-AU"/>
        </w:rPr>
      </w:pPr>
      <w:r w:rsidRPr="00D80B30">
        <w:rPr>
          <w:rFonts w:eastAsia="Times New Roman"/>
          <w:szCs w:val="24"/>
          <w:lang w:val="en-US" w:eastAsia="en-AU"/>
        </w:rPr>
        <w:t>According to GetSwift</w:t>
      </w:r>
      <w:r w:rsidR="00D80B30">
        <w:rPr>
          <w:rFonts w:eastAsia="Times New Roman"/>
          <w:szCs w:val="24"/>
          <w:lang w:val="en-US" w:eastAsia="en-AU"/>
        </w:rPr>
        <w:t>,</w:t>
      </w:r>
      <w:r w:rsidRPr="00D80B30">
        <w:rPr>
          <w:rFonts w:eastAsia="Times New Roman"/>
          <w:szCs w:val="24"/>
          <w:lang w:val="en-US" w:eastAsia="en-AU"/>
        </w:rPr>
        <w:t xml:space="preserve"> an abuse of process is evident her</w:t>
      </w:r>
      <w:r w:rsidR="00D80B30">
        <w:rPr>
          <w:rFonts w:eastAsia="Times New Roman"/>
          <w:szCs w:val="24"/>
          <w:lang w:val="en-US" w:eastAsia="en-AU"/>
        </w:rPr>
        <w:t>e</w:t>
      </w:r>
      <w:r w:rsidRPr="00D80B30">
        <w:rPr>
          <w:rFonts w:eastAsia="Times New Roman"/>
          <w:szCs w:val="24"/>
          <w:lang w:val="en-US" w:eastAsia="en-AU"/>
        </w:rPr>
        <w:t xml:space="preserve"> because the use of the Court’s procedures has </w:t>
      </w:r>
      <w:r w:rsidR="006159F7">
        <w:rPr>
          <w:rFonts w:eastAsia="Times New Roman"/>
          <w:szCs w:val="24"/>
          <w:lang w:val="en-US" w:eastAsia="en-AU"/>
        </w:rPr>
        <w:t>meant that the Court’s processes would, if more than one open class proceeding continued be being used for an improper purpose.  Additionally, such a duplicative proceeding would be</w:t>
      </w:r>
      <w:r w:rsidRPr="00D80B30">
        <w:rPr>
          <w:rFonts w:eastAsia="Times New Roman"/>
          <w:szCs w:val="24"/>
          <w:lang w:val="en-US" w:eastAsia="en-AU"/>
        </w:rPr>
        <w:t xml:space="preserve"> unjustifiably oppressive and vexatious and</w:t>
      </w:r>
      <w:r w:rsidR="00643191">
        <w:rPr>
          <w:rFonts w:eastAsia="Times New Roman"/>
          <w:szCs w:val="24"/>
          <w:lang w:val="en-US" w:eastAsia="en-AU"/>
        </w:rPr>
        <w:t>/or</w:t>
      </w:r>
      <w:r w:rsidRPr="00D80B30">
        <w:rPr>
          <w:rFonts w:eastAsia="Times New Roman"/>
          <w:szCs w:val="24"/>
          <w:lang w:val="en-US" w:eastAsia="en-AU"/>
        </w:rPr>
        <w:t xml:space="preserve"> the use of the Court’s procedures in the manner contemplated would bring the administrati</w:t>
      </w:r>
      <w:r w:rsidR="00B036AB">
        <w:rPr>
          <w:rFonts w:eastAsia="Times New Roman"/>
          <w:szCs w:val="24"/>
          <w:lang w:val="en-US" w:eastAsia="en-AU"/>
        </w:rPr>
        <w:t>on of justice into disrepute</w:t>
      </w:r>
      <w:r w:rsidR="006B0A0E" w:rsidRPr="00202A7D">
        <w:rPr>
          <w:rFonts w:eastAsia="Times New Roman"/>
          <w:szCs w:val="24"/>
          <w:lang w:eastAsia="en-AU"/>
        </w:rPr>
        <w:t xml:space="preserve">.  </w:t>
      </w:r>
      <w:r w:rsidR="00781B9A">
        <w:rPr>
          <w:rFonts w:eastAsia="Times New Roman"/>
          <w:szCs w:val="24"/>
          <w:lang w:eastAsia="en-AU"/>
        </w:rPr>
        <w:t xml:space="preserve">The question to which I will return in </w:t>
      </w:r>
      <w:r w:rsidR="003A085C">
        <w:rPr>
          <w:rFonts w:eastAsia="Times New Roman"/>
          <w:szCs w:val="24"/>
          <w:lang w:eastAsia="en-AU"/>
        </w:rPr>
        <w:t>S</w:t>
      </w:r>
      <w:r w:rsidR="00781B9A">
        <w:rPr>
          <w:rFonts w:eastAsia="Times New Roman"/>
          <w:szCs w:val="24"/>
          <w:lang w:eastAsia="en-AU"/>
        </w:rPr>
        <w:t xml:space="preserve">ection K.1 below is whether, based on my findings, </w:t>
      </w:r>
      <w:r w:rsidR="00202A7D" w:rsidRPr="00202A7D">
        <w:rPr>
          <w:rFonts w:eastAsia="Times New Roman"/>
          <w:szCs w:val="24"/>
          <w:lang w:eastAsia="en-AU"/>
        </w:rPr>
        <w:t>the</w:t>
      </w:r>
      <w:r w:rsidR="00781B9A">
        <w:rPr>
          <w:rFonts w:eastAsia="Times New Roman"/>
          <w:szCs w:val="24"/>
          <w:lang w:eastAsia="en-AU"/>
        </w:rPr>
        <w:t xml:space="preserve"> present circumstances fall into these or some oth</w:t>
      </w:r>
      <w:r w:rsidR="00B036AB">
        <w:rPr>
          <w:rFonts w:eastAsia="Times New Roman"/>
          <w:szCs w:val="24"/>
          <w:lang w:eastAsia="en-AU"/>
        </w:rPr>
        <w:t>er category of abuse and whether a</w:t>
      </w:r>
      <w:r w:rsidR="00781B9A">
        <w:rPr>
          <w:rFonts w:eastAsia="Times New Roman"/>
          <w:szCs w:val="24"/>
          <w:lang w:eastAsia="en-AU"/>
        </w:rPr>
        <w:t xml:space="preserve"> stay should be ordered.</w:t>
      </w:r>
    </w:p>
    <w:p w:rsidR="00331FC2" w:rsidRPr="00331FC2" w:rsidRDefault="00C43874" w:rsidP="00126638">
      <w:pPr>
        <w:pStyle w:val="ParaNumbering"/>
      </w:pPr>
      <w:r w:rsidRPr="00924038">
        <w:rPr>
          <w:szCs w:val="24"/>
        </w:rPr>
        <w:t xml:space="preserve">Before leaving </w:t>
      </w:r>
      <w:r w:rsidR="00A85C30">
        <w:rPr>
          <w:szCs w:val="24"/>
        </w:rPr>
        <w:t>th</w:t>
      </w:r>
      <w:r w:rsidR="005B74DD">
        <w:rPr>
          <w:szCs w:val="24"/>
        </w:rPr>
        <w:t>is topic</w:t>
      </w:r>
      <w:r w:rsidRPr="00924038">
        <w:rPr>
          <w:szCs w:val="24"/>
        </w:rPr>
        <w:t xml:space="preserve">, </w:t>
      </w:r>
      <w:r w:rsidR="005B74DD">
        <w:rPr>
          <w:szCs w:val="24"/>
        </w:rPr>
        <w:t>it is convenient to make three</w:t>
      </w:r>
      <w:r w:rsidR="00331FC2">
        <w:rPr>
          <w:szCs w:val="24"/>
        </w:rPr>
        <w:t xml:space="preserve"> </w:t>
      </w:r>
      <w:r w:rsidR="00A85C30">
        <w:rPr>
          <w:szCs w:val="24"/>
        </w:rPr>
        <w:t xml:space="preserve">further </w:t>
      </w:r>
      <w:r w:rsidR="003A198C" w:rsidRPr="00924038">
        <w:rPr>
          <w:szCs w:val="24"/>
        </w:rPr>
        <w:t>point</w:t>
      </w:r>
      <w:r w:rsidR="00331FC2">
        <w:rPr>
          <w:szCs w:val="24"/>
        </w:rPr>
        <w:t>s</w:t>
      </w:r>
      <w:r w:rsidR="003A198C" w:rsidRPr="00924038">
        <w:rPr>
          <w:szCs w:val="24"/>
        </w:rPr>
        <w:t xml:space="preserve">.  </w:t>
      </w:r>
    </w:p>
    <w:p w:rsidR="00825310" w:rsidRPr="00331FC2" w:rsidRDefault="00407B0E" w:rsidP="00126638">
      <w:pPr>
        <w:pStyle w:val="ParaNumbering"/>
      </w:pPr>
      <w:r w:rsidRPr="00924038">
        <w:rPr>
          <w:szCs w:val="24"/>
        </w:rPr>
        <w:t xml:space="preserve">I have referred to the repeated warnings as to the need for caution.  </w:t>
      </w:r>
      <w:r w:rsidR="009F3B3E" w:rsidRPr="00924038">
        <w:rPr>
          <w:szCs w:val="24"/>
        </w:rPr>
        <w:t>There is n</w:t>
      </w:r>
      <w:r w:rsidRPr="00924038">
        <w:rPr>
          <w:szCs w:val="24"/>
        </w:rPr>
        <w:t>o doubt</w:t>
      </w:r>
      <w:r w:rsidR="007B34E8" w:rsidRPr="00924038">
        <w:rPr>
          <w:szCs w:val="24"/>
        </w:rPr>
        <w:t xml:space="preserve"> </w:t>
      </w:r>
      <w:r w:rsidR="003A085C">
        <w:rPr>
          <w:szCs w:val="24"/>
        </w:rPr>
        <w:t xml:space="preserve">that </w:t>
      </w:r>
      <w:r w:rsidR="007B34E8" w:rsidRPr="00924038">
        <w:rPr>
          <w:szCs w:val="24"/>
        </w:rPr>
        <w:t xml:space="preserve">caution needs to be exercised in </w:t>
      </w:r>
      <w:r w:rsidRPr="00924038">
        <w:rPr>
          <w:szCs w:val="24"/>
        </w:rPr>
        <w:t>stay</w:t>
      </w:r>
      <w:r w:rsidR="00126638" w:rsidRPr="00924038">
        <w:rPr>
          <w:szCs w:val="24"/>
        </w:rPr>
        <w:t>ing</w:t>
      </w:r>
      <w:r w:rsidRPr="00924038">
        <w:rPr>
          <w:szCs w:val="24"/>
        </w:rPr>
        <w:t xml:space="preserve"> a proceeding </w:t>
      </w:r>
      <w:r w:rsidR="00126638" w:rsidRPr="00924038">
        <w:rPr>
          <w:szCs w:val="24"/>
        </w:rPr>
        <w:t>permanently</w:t>
      </w:r>
      <w:r w:rsidR="00825ED2" w:rsidRPr="00924038">
        <w:rPr>
          <w:szCs w:val="24"/>
        </w:rPr>
        <w:t>,</w:t>
      </w:r>
      <w:r w:rsidR="00126638" w:rsidRPr="00924038">
        <w:rPr>
          <w:szCs w:val="24"/>
        </w:rPr>
        <w:t xml:space="preserve"> but </w:t>
      </w:r>
      <w:r w:rsidRPr="00924038">
        <w:rPr>
          <w:szCs w:val="24"/>
        </w:rPr>
        <w:t xml:space="preserve">an important difference exists </w:t>
      </w:r>
      <w:r w:rsidR="007B34E8" w:rsidRPr="00924038">
        <w:rPr>
          <w:szCs w:val="24"/>
        </w:rPr>
        <w:t xml:space="preserve">in the context of ordinary </w:t>
      </w:r>
      <w:r w:rsidR="007B34E8" w:rsidRPr="00924038">
        <w:rPr>
          <w:i/>
          <w:szCs w:val="24"/>
        </w:rPr>
        <w:t>inter partes</w:t>
      </w:r>
      <w:r w:rsidR="007B34E8" w:rsidRPr="00924038">
        <w:rPr>
          <w:szCs w:val="24"/>
        </w:rPr>
        <w:t xml:space="preserve"> litigation</w:t>
      </w:r>
      <w:r w:rsidR="00126638" w:rsidRPr="00924038">
        <w:rPr>
          <w:szCs w:val="24"/>
        </w:rPr>
        <w:t>,</w:t>
      </w:r>
      <w:r w:rsidRPr="00924038">
        <w:rPr>
          <w:szCs w:val="24"/>
        </w:rPr>
        <w:t xml:space="preserve"> and in the context of class actions.  In ordinary litigation, leaving aside forum non conveniens stays, the</w:t>
      </w:r>
      <w:r w:rsidR="00126638" w:rsidRPr="00924038">
        <w:rPr>
          <w:szCs w:val="24"/>
        </w:rPr>
        <w:t xml:space="preserve"> </w:t>
      </w:r>
      <w:r w:rsidR="007B34E8" w:rsidRPr="00924038">
        <w:rPr>
          <w:szCs w:val="24"/>
        </w:rPr>
        <w:t xml:space="preserve">consequence of a permanent stay </w:t>
      </w:r>
      <w:r w:rsidR="003A198C" w:rsidRPr="00924038">
        <w:rPr>
          <w:szCs w:val="24"/>
        </w:rPr>
        <w:t xml:space="preserve">is that the party whose claim is stayed is </w:t>
      </w:r>
      <w:r w:rsidR="007B34E8" w:rsidRPr="00924038">
        <w:rPr>
          <w:szCs w:val="24"/>
        </w:rPr>
        <w:t xml:space="preserve">shut out </w:t>
      </w:r>
      <w:r w:rsidR="003A198C" w:rsidRPr="00924038">
        <w:rPr>
          <w:szCs w:val="24"/>
        </w:rPr>
        <w:t xml:space="preserve">from </w:t>
      </w:r>
      <w:r w:rsidR="00825ED2" w:rsidRPr="00924038">
        <w:rPr>
          <w:szCs w:val="24"/>
        </w:rPr>
        <w:t>being able</w:t>
      </w:r>
      <w:r w:rsidR="007B34E8" w:rsidRPr="00924038">
        <w:rPr>
          <w:szCs w:val="24"/>
        </w:rPr>
        <w:t xml:space="preserve"> to vindicate </w:t>
      </w:r>
      <w:r w:rsidR="00825ED2" w:rsidRPr="00924038">
        <w:rPr>
          <w:szCs w:val="24"/>
        </w:rPr>
        <w:t>its</w:t>
      </w:r>
      <w:r w:rsidR="003A198C" w:rsidRPr="00924038">
        <w:rPr>
          <w:szCs w:val="24"/>
        </w:rPr>
        <w:t xml:space="preserve"> </w:t>
      </w:r>
      <w:r w:rsidR="007B34E8" w:rsidRPr="00924038">
        <w:rPr>
          <w:szCs w:val="24"/>
        </w:rPr>
        <w:t xml:space="preserve">rights.  </w:t>
      </w:r>
      <w:r w:rsidRPr="00924038">
        <w:rPr>
          <w:szCs w:val="24"/>
        </w:rPr>
        <w:t xml:space="preserve">Preventing a litigant </w:t>
      </w:r>
      <w:r w:rsidR="00825ED2" w:rsidRPr="00924038">
        <w:rPr>
          <w:szCs w:val="24"/>
        </w:rPr>
        <w:t xml:space="preserve">from </w:t>
      </w:r>
      <w:r w:rsidRPr="00924038">
        <w:rPr>
          <w:szCs w:val="24"/>
        </w:rPr>
        <w:t xml:space="preserve">vindicating their claim is a </w:t>
      </w:r>
      <w:r w:rsidR="00126638" w:rsidRPr="00924038">
        <w:rPr>
          <w:szCs w:val="24"/>
        </w:rPr>
        <w:t xml:space="preserve">very </w:t>
      </w:r>
      <w:r w:rsidRPr="00924038">
        <w:rPr>
          <w:szCs w:val="24"/>
        </w:rPr>
        <w:t xml:space="preserve">serious step.  </w:t>
      </w:r>
      <w:r w:rsidR="007B34E8" w:rsidRPr="00924038">
        <w:rPr>
          <w:szCs w:val="24"/>
        </w:rPr>
        <w:t>This consideration does not</w:t>
      </w:r>
      <w:r w:rsidRPr="00924038">
        <w:rPr>
          <w:szCs w:val="24"/>
        </w:rPr>
        <w:t>, however,</w:t>
      </w:r>
      <w:r w:rsidR="00126638" w:rsidRPr="00924038">
        <w:rPr>
          <w:szCs w:val="24"/>
        </w:rPr>
        <w:t xml:space="preserve"> apply</w:t>
      </w:r>
      <w:r w:rsidRPr="00924038">
        <w:rPr>
          <w:szCs w:val="24"/>
        </w:rPr>
        <w:t xml:space="preserve"> </w:t>
      </w:r>
      <w:r w:rsidR="007B34E8" w:rsidRPr="00924038">
        <w:rPr>
          <w:szCs w:val="24"/>
        </w:rPr>
        <w:t xml:space="preserve">in the </w:t>
      </w:r>
      <w:r w:rsidR="009F3B3E" w:rsidRPr="00924038">
        <w:rPr>
          <w:szCs w:val="24"/>
        </w:rPr>
        <w:t xml:space="preserve">same way in the </w:t>
      </w:r>
      <w:r w:rsidR="007B34E8" w:rsidRPr="00924038">
        <w:rPr>
          <w:szCs w:val="24"/>
        </w:rPr>
        <w:t>current circumstances</w:t>
      </w:r>
      <w:r w:rsidR="00710E70" w:rsidRPr="00924038">
        <w:rPr>
          <w:szCs w:val="24"/>
        </w:rPr>
        <w:t xml:space="preserve">.  </w:t>
      </w:r>
      <w:r w:rsidRPr="00924038">
        <w:rPr>
          <w:szCs w:val="24"/>
        </w:rPr>
        <w:t>If</w:t>
      </w:r>
      <w:r w:rsidR="003A198C" w:rsidRPr="00924038">
        <w:rPr>
          <w:szCs w:val="24"/>
        </w:rPr>
        <w:t xml:space="preserve"> </w:t>
      </w:r>
      <w:r w:rsidRPr="00924038">
        <w:rPr>
          <w:szCs w:val="24"/>
        </w:rPr>
        <w:t xml:space="preserve">a </w:t>
      </w:r>
      <w:r w:rsidR="003A198C" w:rsidRPr="00924038">
        <w:rPr>
          <w:szCs w:val="24"/>
        </w:rPr>
        <w:t>permanent s</w:t>
      </w:r>
      <w:r w:rsidR="00825ED2" w:rsidRPr="00924038">
        <w:rPr>
          <w:szCs w:val="24"/>
        </w:rPr>
        <w:t>t</w:t>
      </w:r>
      <w:r w:rsidR="003A198C" w:rsidRPr="00924038">
        <w:rPr>
          <w:szCs w:val="24"/>
        </w:rPr>
        <w:t xml:space="preserve">ay is granted, </w:t>
      </w:r>
      <w:r w:rsidRPr="00924038">
        <w:rPr>
          <w:szCs w:val="24"/>
        </w:rPr>
        <w:t xml:space="preserve">this will not prevent </w:t>
      </w:r>
      <w:r w:rsidR="003A198C" w:rsidRPr="00924038">
        <w:rPr>
          <w:szCs w:val="24"/>
        </w:rPr>
        <w:t>t</w:t>
      </w:r>
      <w:r w:rsidR="00710E70" w:rsidRPr="00924038">
        <w:rPr>
          <w:szCs w:val="24"/>
        </w:rPr>
        <w:t xml:space="preserve">he </w:t>
      </w:r>
      <w:r w:rsidR="003A198C" w:rsidRPr="00924038">
        <w:rPr>
          <w:szCs w:val="24"/>
        </w:rPr>
        <w:t xml:space="preserve">‘claim’ of the </w:t>
      </w:r>
      <w:r w:rsidRPr="00924038">
        <w:rPr>
          <w:szCs w:val="24"/>
        </w:rPr>
        <w:t xml:space="preserve">stayed </w:t>
      </w:r>
      <w:r w:rsidR="00126638" w:rsidRPr="00924038">
        <w:rPr>
          <w:szCs w:val="24"/>
        </w:rPr>
        <w:t>applicants (</w:t>
      </w:r>
      <w:r w:rsidRPr="00924038">
        <w:rPr>
          <w:szCs w:val="24"/>
        </w:rPr>
        <w:t>which have</w:t>
      </w:r>
      <w:r w:rsidR="003A198C" w:rsidRPr="00924038">
        <w:rPr>
          <w:szCs w:val="24"/>
        </w:rPr>
        <w:t xml:space="preserve"> an existence separate from, and anterior</w:t>
      </w:r>
      <w:r w:rsidRPr="00924038">
        <w:rPr>
          <w:szCs w:val="24"/>
        </w:rPr>
        <w:t xml:space="preserve"> to, the proceeding</w:t>
      </w:r>
      <w:r w:rsidR="00126638" w:rsidRPr="00924038">
        <w:rPr>
          <w:szCs w:val="24"/>
        </w:rPr>
        <w:t>s</w:t>
      </w:r>
      <w:r w:rsidRPr="00924038">
        <w:rPr>
          <w:szCs w:val="24"/>
        </w:rPr>
        <w:t xml:space="preserve"> they commenced</w:t>
      </w:r>
      <w:r w:rsidR="00126638" w:rsidRPr="00924038">
        <w:rPr>
          <w:szCs w:val="24"/>
        </w:rPr>
        <w:t>)</w:t>
      </w:r>
      <w:r w:rsidRPr="00924038">
        <w:rPr>
          <w:szCs w:val="24"/>
        </w:rPr>
        <w:t xml:space="preserve"> </w:t>
      </w:r>
      <w:r w:rsidR="003A198C" w:rsidRPr="00924038">
        <w:rPr>
          <w:szCs w:val="24"/>
        </w:rPr>
        <w:t>be</w:t>
      </w:r>
      <w:r w:rsidRPr="00924038">
        <w:rPr>
          <w:szCs w:val="24"/>
        </w:rPr>
        <w:t>ing able to be</w:t>
      </w:r>
      <w:r w:rsidR="003A198C" w:rsidRPr="00924038">
        <w:rPr>
          <w:szCs w:val="24"/>
        </w:rPr>
        <w:t xml:space="preserve"> advanced</w:t>
      </w:r>
      <w:r w:rsidR="00126638" w:rsidRPr="00924038">
        <w:rPr>
          <w:szCs w:val="24"/>
        </w:rPr>
        <w:t>.  Those claims</w:t>
      </w:r>
      <w:r w:rsidRPr="00924038">
        <w:rPr>
          <w:szCs w:val="24"/>
        </w:rPr>
        <w:t xml:space="preserve"> can be litigated</w:t>
      </w:r>
      <w:r w:rsidR="003A198C" w:rsidRPr="00924038">
        <w:rPr>
          <w:szCs w:val="24"/>
        </w:rPr>
        <w:t xml:space="preserve"> in the class action that remains and </w:t>
      </w:r>
      <w:r w:rsidRPr="00924038">
        <w:rPr>
          <w:szCs w:val="24"/>
        </w:rPr>
        <w:t xml:space="preserve">will be </w:t>
      </w:r>
      <w:r w:rsidR="00710E70" w:rsidRPr="00924038">
        <w:rPr>
          <w:szCs w:val="24"/>
        </w:rPr>
        <w:t>resolved</w:t>
      </w:r>
      <w:r w:rsidR="003A198C" w:rsidRPr="00924038">
        <w:rPr>
          <w:szCs w:val="24"/>
        </w:rPr>
        <w:t>,</w:t>
      </w:r>
      <w:r w:rsidR="00710E70" w:rsidRPr="00924038">
        <w:rPr>
          <w:szCs w:val="24"/>
        </w:rPr>
        <w:t xml:space="preserve"> either by settlement approved by the Court or by </w:t>
      </w:r>
      <w:r w:rsidR="003A198C" w:rsidRPr="00924038">
        <w:rPr>
          <w:szCs w:val="24"/>
        </w:rPr>
        <w:t>curial determination</w:t>
      </w:r>
      <w:r w:rsidR="00710E70" w:rsidRPr="00924038">
        <w:rPr>
          <w:szCs w:val="24"/>
        </w:rPr>
        <w:t xml:space="preserve">.  </w:t>
      </w:r>
      <w:r w:rsidRPr="00924038">
        <w:rPr>
          <w:szCs w:val="24"/>
        </w:rPr>
        <w:t xml:space="preserve">Moreover, </w:t>
      </w:r>
      <w:r w:rsidRPr="00924038">
        <w:rPr>
          <w:szCs w:val="24"/>
        </w:rPr>
        <w:lastRenderedPageBreak/>
        <w:t>each applicant (as a group member in any unstayed class action) has a statutory right</w:t>
      </w:r>
      <w:r w:rsidR="00126638" w:rsidRPr="00924038">
        <w:rPr>
          <w:szCs w:val="24"/>
        </w:rPr>
        <w:t xml:space="preserve"> under s 33J of the Act</w:t>
      </w:r>
      <w:r w:rsidRPr="00924038">
        <w:rPr>
          <w:szCs w:val="24"/>
        </w:rPr>
        <w:t xml:space="preserve"> to opt</w:t>
      </w:r>
      <w:r w:rsidR="007E6739">
        <w:rPr>
          <w:szCs w:val="24"/>
        </w:rPr>
        <w:t xml:space="preserve"> </w:t>
      </w:r>
      <w:r w:rsidRPr="00924038">
        <w:rPr>
          <w:szCs w:val="24"/>
        </w:rPr>
        <w:t>out</w:t>
      </w:r>
      <w:r w:rsidR="00126638" w:rsidRPr="00924038">
        <w:rPr>
          <w:szCs w:val="24"/>
        </w:rPr>
        <w:t>,</w:t>
      </w:r>
      <w:r w:rsidRPr="00924038">
        <w:rPr>
          <w:szCs w:val="24"/>
        </w:rPr>
        <w:t xml:space="preserve"> and </w:t>
      </w:r>
      <w:r w:rsidR="00126638" w:rsidRPr="00924038">
        <w:rPr>
          <w:szCs w:val="24"/>
        </w:rPr>
        <w:t xml:space="preserve">then </w:t>
      </w:r>
      <w:r w:rsidRPr="00924038">
        <w:rPr>
          <w:szCs w:val="24"/>
        </w:rPr>
        <w:t xml:space="preserve">maintain their own individual claim if they so wish.  </w:t>
      </w:r>
      <w:r w:rsidR="00126638" w:rsidRPr="00924038">
        <w:rPr>
          <w:szCs w:val="24"/>
        </w:rPr>
        <w:t>This is not to set at naught the admonitions in the authorities as to caution, but to recognise that o</w:t>
      </w:r>
      <w:r w:rsidR="00710E70" w:rsidRPr="00924038">
        <w:rPr>
          <w:szCs w:val="24"/>
        </w:rPr>
        <w:t xml:space="preserve">ne of the reasons why the categories of abuse of process are not closed is that it is a </w:t>
      </w:r>
      <w:r w:rsidR="00126638" w:rsidRPr="00924038">
        <w:rPr>
          <w:szCs w:val="24"/>
        </w:rPr>
        <w:t xml:space="preserve">flexible </w:t>
      </w:r>
      <w:r w:rsidR="00710E70" w:rsidRPr="00924038">
        <w:rPr>
          <w:szCs w:val="24"/>
        </w:rPr>
        <w:t>concept which needs to adapt to a multitude of different contexts and circumstances</w:t>
      </w:r>
      <w:r w:rsidR="003A085C">
        <w:rPr>
          <w:szCs w:val="24"/>
        </w:rPr>
        <w:t>,</w:t>
      </w:r>
      <w:r w:rsidR="00710E70" w:rsidRPr="00924038">
        <w:rPr>
          <w:szCs w:val="24"/>
        </w:rPr>
        <w:t xml:space="preserve"> of which the rise of the competing class action is an example.</w:t>
      </w:r>
      <w:r w:rsidR="00331FC2">
        <w:rPr>
          <w:szCs w:val="24"/>
        </w:rPr>
        <w:t xml:space="preserve"> </w:t>
      </w:r>
    </w:p>
    <w:p w:rsidR="00331FC2" w:rsidRDefault="005B74DD" w:rsidP="00126638">
      <w:pPr>
        <w:pStyle w:val="ParaNumbering"/>
        <w:rPr>
          <w:szCs w:val="24"/>
        </w:rPr>
      </w:pPr>
      <w:r>
        <w:rPr>
          <w:szCs w:val="24"/>
        </w:rPr>
        <w:t xml:space="preserve">The </w:t>
      </w:r>
      <w:r w:rsidRPr="005B74DD">
        <w:rPr>
          <w:i/>
          <w:szCs w:val="24"/>
        </w:rPr>
        <w:t>second</w:t>
      </w:r>
      <w:r w:rsidR="00331FC2">
        <w:rPr>
          <w:szCs w:val="24"/>
        </w:rPr>
        <w:t xml:space="preserve"> point to be made goes back to Merkel J’s consideration of competing class actions in </w:t>
      </w:r>
      <w:r w:rsidR="00331FC2" w:rsidRPr="00924038">
        <w:rPr>
          <w:i/>
        </w:rPr>
        <w:t xml:space="preserve">Johnson Tiles </w:t>
      </w:r>
      <w:r w:rsidR="00331FC2">
        <w:t>where his Honour found</w:t>
      </w:r>
      <w:r w:rsidR="00331FC2" w:rsidRPr="00924038">
        <w:t xml:space="preserve"> it would be vexatious and oppressive for the respondent to be subjected to more than one class action.</w:t>
      </w:r>
      <w:r w:rsidR="00331FC2">
        <w:t xml:space="preserve">  </w:t>
      </w:r>
      <w:r w:rsidR="00331FC2" w:rsidRPr="009C4A7F">
        <w:rPr>
          <w:szCs w:val="24"/>
        </w:rPr>
        <w:t>I have already explained, however,</w:t>
      </w:r>
      <w:r w:rsidR="009C4A7F">
        <w:rPr>
          <w:szCs w:val="24"/>
        </w:rPr>
        <w:t xml:space="preserve"> that in</w:t>
      </w:r>
      <w:r w:rsidR="00331FC2" w:rsidRPr="009C4A7F">
        <w:rPr>
          <w:szCs w:val="24"/>
        </w:rPr>
        <w:t xml:space="preserve"> some situations it is not vexatious, oppressive or an abuse of process for a separate class action</w:t>
      </w:r>
      <w:r w:rsidR="009C4A7F">
        <w:rPr>
          <w:szCs w:val="24"/>
        </w:rPr>
        <w:t xml:space="preserve"> as can be seen</w:t>
      </w:r>
      <w:r w:rsidR="00331FC2" w:rsidRPr="009C4A7F">
        <w:rPr>
          <w:szCs w:val="24"/>
        </w:rPr>
        <w:t xml:space="preserve"> from the example of different types of claims being made in </w:t>
      </w:r>
      <w:r w:rsidR="00331FC2" w:rsidRPr="009C4A7F">
        <w:rPr>
          <w:i/>
          <w:w w:val="105"/>
          <w:szCs w:val="24"/>
        </w:rPr>
        <w:t xml:space="preserve">Smith v Australian Executor </w:t>
      </w:r>
      <w:r w:rsidR="00FD2724">
        <w:rPr>
          <w:i/>
          <w:w w:val="105"/>
          <w:szCs w:val="24"/>
        </w:rPr>
        <w:t>Trustees</w:t>
      </w:r>
      <w:r w:rsidR="00331FC2" w:rsidRPr="009C4A7F">
        <w:rPr>
          <w:w w:val="105"/>
          <w:szCs w:val="24"/>
        </w:rPr>
        <w:t xml:space="preserve">: see also </w:t>
      </w:r>
      <w:r w:rsidR="000C2DBF">
        <w:rPr>
          <w:i/>
          <w:w w:val="105"/>
          <w:szCs w:val="24"/>
        </w:rPr>
        <w:t>Oliver</w:t>
      </w:r>
      <w:r w:rsidR="009C4A7F">
        <w:rPr>
          <w:w w:val="105"/>
          <w:szCs w:val="24"/>
        </w:rPr>
        <w:t xml:space="preserve"> and </w:t>
      </w:r>
      <w:r w:rsidR="009C4A7F" w:rsidRPr="009C4A7F">
        <w:rPr>
          <w:i/>
          <w:w w:val="105"/>
          <w:szCs w:val="24"/>
        </w:rPr>
        <w:t>Bellamy’s</w:t>
      </w:r>
      <w:r w:rsidR="00331FC2" w:rsidRPr="009C4A7F">
        <w:rPr>
          <w:w w:val="105"/>
          <w:szCs w:val="24"/>
        </w:rPr>
        <w:t>.</w:t>
      </w:r>
      <w:r w:rsidR="00331FC2" w:rsidRPr="009C4A7F">
        <w:rPr>
          <w:szCs w:val="24"/>
        </w:rPr>
        <w:t xml:space="preserve">  No doubt there will always be </w:t>
      </w:r>
      <w:r w:rsidR="009B638A">
        <w:rPr>
          <w:szCs w:val="24"/>
        </w:rPr>
        <w:t>some</w:t>
      </w:r>
      <w:r w:rsidR="00331FC2" w:rsidRPr="009C4A7F">
        <w:rPr>
          <w:szCs w:val="24"/>
        </w:rPr>
        <w:t xml:space="preserve"> prejudice to a </w:t>
      </w:r>
      <w:r w:rsidR="009C4A7F" w:rsidRPr="009C4A7F">
        <w:rPr>
          <w:szCs w:val="24"/>
        </w:rPr>
        <w:t>respondent</w:t>
      </w:r>
      <w:r w:rsidR="00331FC2" w:rsidRPr="009C4A7F">
        <w:rPr>
          <w:szCs w:val="24"/>
        </w:rPr>
        <w:t xml:space="preserve"> in facing </w:t>
      </w:r>
      <w:r w:rsidR="009C4A7F" w:rsidRPr="009C4A7F">
        <w:rPr>
          <w:szCs w:val="24"/>
        </w:rPr>
        <w:t>multiple</w:t>
      </w:r>
      <w:r w:rsidR="00331FC2" w:rsidRPr="009C4A7F">
        <w:rPr>
          <w:szCs w:val="24"/>
        </w:rPr>
        <w:t xml:space="preserve"> claims</w:t>
      </w:r>
      <w:r w:rsidR="009C4A7F">
        <w:rPr>
          <w:szCs w:val="24"/>
        </w:rPr>
        <w:t>,</w:t>
      </w:r>
      <w:r w:rsidR="00331FC2" w:rsidRPr="009C4A7F">
        <w:rPr>
          <w:szCs w:val="24"/>
        </w:rPr>
        <w:t xml:space="preserve"> but </w:t>
      </w:r>
      <w:r w:rsidR="009C4A7F">
        <w:rPr>
          <w:szCs w:val="24"/>
        </w:rPr>
        <w:t xml:space="preserve">not only is this possibility of plural actions contemplated in Part IVA but even with competing class actions, </w:t>
      </w:r>
      <w:r w:rsidR="009B638A">
        <w:rPr>
          <w:szCs w:val="24"/>
        </w:rPr>
        <w:t xml:space="preserve">the vexation associated with </w:t>
      </w:r>
      <w:r w:rsidR="009C4A7F">
        <w:rPr>
          <w:szCs w:val="24"/>
        </w:rPr>
        <w:t>multiplicity</w:t>
      </w:r>
      <w:r w:rsidR="00331FC2" w:rsidRPr="009C4A7F">
        <w:rPr>
          <w:szCs w:val="24"/>
        </w:rPr>
        <w:t xml:space="preserve"> does not, </w:t>
      </w:r>
      <w:r w:rsidR="009C4A7F">
        <w:rPr>
          <w:szCs w:val="24"/>
        </w:rPr>
        <w:t xml:space="preserve">in and </w:t>
      </w:r>
      <w:r w:rsidR="00331FC2" w:rsidRPr="009C4A7F">
        <w:rPr>
          <w:szCs w:val="24"/>
        </w:rPr>
        <w:t xml:space="preserve">of itself, arise to the level sufficient </w:t>
      </w:r>
      <w:r w:rsidR="009C4A7F" w:rsidRPr="009C4A7F">
        <w:rPr>
          <w:szCs w:val="24"/>
        </w:rPr>
        <w:t>to amount to an ab</w:t>
      </w:r>
      <w:r w:rsidR="00331FC2" w:rsidRPr="009C4A7F">
        <w:rPr>
          <w:szCs w:val="24"/>
        </w:rPr>
        <w:t>u</w:t>
      </w:r>
      <w:r w:rsidR="009C4A7F" w:rsidRPr="009C4A7F">
        <w:rPr>
          <w:szCs w:val="24"/>
        </w:rPr>
        <w:t>s</w:t>
      </w:r>
      <w:r w:rsidR="00331FC2" w:rsidRPr="009C4A7F">
        <w:rPr>
          <w:szCs w:val="24"/>
        </w:rPr>
        <w:t>e</w:t>
      </w:r>
      <w:r w:rsidR="009C4A7F">
        <w:rPr>
          <w:szCs w:val="24"/>
        </w:rPr>
        <w:t>,</w:t>
      </w:r>
      <w:r w:rsidR="00331FC2" w:rsidRPr="009C4A7F">
        <w:rPr>
          <w:szCs w:val="24"/>
        </w:rPr>
        <w:t xml:space="preserve"> unless</w:t>
      </w:r>
      <w:r w:rsidR="009C4A7F" w:rsidRPr="009C4A7F">
        <w:rPr>
          <w:szCs w:val="24"/>
        </w:rPr>
        <w:t xml:space="preserve"> there is something more which warrants the intervention of the Court.</w:t>
      </w:r>
      <w:r w:rsidR="006C1184">
        <w:rPr>
          <w:szCs w:val="24"/>
        </w:rPr>
        <w:t xml:space="preserve"> </w:t>
      </w:r>
    </w:p>
    <w:p w:rsidR="00EE1505" w:rsidRPr="00EE1505" w:rsidRDefault="006C1184" w:rsidP="00EE1505">
      <w:pPr>
        <w:pStyle w:val="ParaNumbering"/>
        <w:rPr>
          <w:szCs w:val="24"/>
        </w:rPr>
      </w:pPr>
      <w:r>
        <w:rPr>
          <w:szCs w:val="24"/>
        </w:rPr>
        <w:t xml:space="preserve">The </w:t>
      </w:r>
      <w:r w:rsidRPr="006C1184">
        <w:rPr>
          <w:i/>
          <w:szCs w:val="24"/>
        </w:rPr>
        <w:t>third</w:t>
      </w:r>
      <w:r>
        <w:rPr>
          <w:szCs w:val="24"/>
        </w:rPr>
        <w:t xml:space="preserve"> point is </w:t>
      </w:r>
      <w:r w:rsidR="00014E5B">
        <w:rPr>
          <w:szCs w:val="24"/>
        </w:rPr>
        <w:t xml:space="preserve">the concept of a </w:t>
      </w:r>
      <w:r>
        <w:rPr>
          <w:szCs w:val="24"/>
        </w:rPr>
        <w:t>st</w:t>
      </w:r>
      <w:r w:rsidR="00014E5B">
        <w:rPr>
          <w:szCs w:val="24"/>
        </w:rPr>
        <w:t>ay being ordered,</w:t>
      </w:r>
      <w:r>
        <w:rPr>
          <w:szCs w:val="24"/>
        </w:rPr>
        <w:t xml:space="preserve"> absent an express finding of abuse of process.</w:t>
      </w:r>
      <w:r w:rsidR="00EE1505">
        <w:rPr>
          <w:szCs w:val="24"/>
        </w:rPr>
        <w:t xml:space="preserve">  In </w:t>
      </w:r>
      <w:r w:rsidR="00EE1505" w:rsidRPr="00EE1505">
        <w:rPr>
          <w:i/>
          <w:szCs w:val="24"/>
        </w:rPr>
        <w:t>Bellamy’s</w:t>
      </w:r>
      <w:r w:rsidR="00EE1505">
        <w:rPr>
          <w:szCs w:val="24"/>
        </w:rPr>
        <w:t xml:space="preserve"> at [33], Beach J considered there was </w:t>
      </w:r>
      <w:r w:rsidR="00EE1505" w:rsidRPr="00EE1505">
        <w:rPr>
          <w:szCs w:val="24"/>
        </w:rPr>
        <w:t xml:space="preserve">no doubt that </w:t>
      </w:r>
      <w:r w:rsidR="00EE1505">
        <w:rPr>
          <w:szCs w:val="24"/>
        </w:rPr>
        <w:t>there was</w:t>
      </w:r>
      <w:r w:rsidR="00EE1505" w:rsidRPr="00EE1505">
        <w:rPr>
          <w:szCs w:val="24"/>
        </w:rPr>
        <w:t xml:space="preserve"> power to order a permanent stay, whether in the exercise of </w:t>
      </w:r>
      <w:r w:rsidR="00EE1505">
        <w:rPr>
          <w:szCs w:val="24"/>
        </w:rPr>
        <w:t>the implied</w:t>
      </w:r>
      <w:r w:rsidR="00EE1505" w:rsidRPr="00EE1505">
        <w:rPr>
          <w:szCs w:val="24"/>
        </w:rPr>
        <w:t xml:space="preserve"> power or under the Rules of Court, including in furtherance of the objectives of s 22 of the Act</w:t>
      </w:r>
      <w:r w:rsidR="00EE1505">
        <w:rPr>
          <w:szCs w:val="24"/>
        </w:rPr>
        <w:t xml:space="preserve">, although his Honour </w:t>
      </w:r>
      <w:r w:rsidR="00EE1505" w:rsidRPr="00EE1505">
        <w:rPr>
          <w:szCs w:val="24"/>
        </w:rPr>
        <w:t xml:space="preserve">doubted whether </w:t>
      </w:r>
      <w:r w:rsidR="00EE1505">
        <w:rPr>
          <w:szCs w:val="24"/>
        </w:rPr>
        <w:t xml:space="preserve">the broad power in </w:t>
      </w:r>
      <w:r w:rsidR="00EE1505" w:rsidRPr="00EE1505">
        <w:rPr>
          <w:szCs w:val="24"/>
        </w:rPr>
        <w:t>s</w:t>
      </w:r>
      <w:r w:rsidR="00EE1505">
        <w:rPr>
          <w:szCs w:val="24"/>
        </w:rPr>
        <w:t xml:space="preserve"> </w:t>
      </w:r>
      <w:proofErr w:type="gramStart"/>
      <w:r w:rsidR="00EE1505">
        <w:rPr>
          <w:szCs w:val="24"/>
        </w:rPr>
        <w:t>33ZF(</w:t>
      </w:r>
      <w:proofErr w:type="gramEnd"/>
      <w:r w:rsidR="00EE1505">
        <w:rPr>
          <w:szCs w:val="24"/>
        </w:rPr>
        <w:t>1)</w:t>
      </w:r>
      <w:r w:rsidR="00EE1505" w:rsidRPr="00EE1505">
        <w:rPr>
          <w:szCs w:val="24"/>
        </w:rPr>
        <w:t xml:space="preserve"> </w:t>
      </w:r>
      <w:r w:rsidR="00EE1505">
        <w:rPr>
          <w:szCs w:val="24"/>
        </w:rPr>
        <w:t>to “ensure</w:t>
      </w:r>
      <w:r w:rsidR="00EE1505" w:rsidRPr="00EE1505">
        <w:rPr>
          <w:szCs w:val="24"/>
        </w:rPr>
        <w:t xml:space="preserve"> that justice is done in </w:t>
      </w:r>
      <w:r w:rsidR="00EE1505" w:rsidRPr="00EE1505">
        <w:rPr>
          <w:i/>
          <w:iCs/>
          <w:szCs w:val="24"/>
        </w:rPr>
        <w:t>the proceeding</w:t>
      </w:r>
      <w:r w:rsidR="00EE1505" w:rsidRPr="00EE1505">
        <w:rPr>
          <w:szCs w:val="24"/>
        </w:rPr>
        <w:t xml:space="preserve">” </w:t>
      </w:r>
      <w:r w:rsidR="00EE1505">
        <w:rPr>
          <w:szCs w:val="24"/>
        </w:rPr>
        <w:t xml:space="preserve">allows for a </w:t>
      </w:r>
      <w:r w:rsidR="00EE1505" w:rsidRPr="00EE1505">
        <w:rPr>
          <w:szCs w:val="24"/>
        </w:rPr>
        <w:t>perman</w:t>
      </w:r>
      <w:r w:rsidR="00EE1505">
        <w:rPr>
          <w:szCs w:val="24"/>
        </w:rPr>
        <w:t xml:space="preserve">ent stay, however, it was unnecessary for his Honour </w:t>
      </w:r>
      <w:r w:rsidR="00EE1505" w:rsidRPr="00EE1505">
        <w:rPr>
          <w:szCs w:val="24"/>
        </w:rPr>
        <w:t>t</w:t>
      </w:r>
      <w:r w:rsidR="00EE1505">
        <w:rPr>
          <w:szCs w:val="24"/>
        </w:rPr>
        <w:t>o dwell on such questions</w:t>
      </w:r>
      <w:r w:rsidR="003F6844">
        <w:rPr>
          <w:szCs w:val="24"/>
        </w:rPr>
        <w:t xml:space="preserve">.  </w:t>
      </w:r>
      <w:r w:rsidR="003F6844">
        <w:rPr>
          <w:rFonts w:eastAsia="Times New Roman"/>
          <w:szCs w:val="24"/>
          <w:lang w:eastAsia="en-AU"/>
        </w:rPr>
        <w:t xml:space="preserve">I will </w:t>
      </w:r>
      <w:r w:rsidR="009B638A">
        <w:rPr>
          <w:rFonts w:eastAsia="Times New Roman"/>
          <w:szCs w:val="24"/>
          <w:lang w:eastAsia="en-AU"/>
        </w:rPr>
        <w:t>return</w:t>
      </w:r>
      <w:r w:rsidR="00014E5B">
        <w:rPr>
          <w:rFonts w:eastAsia="Times New Roman"/>
          <w:szCs w:val="24"/>
          <w:lang w:eastAsia="en-AU"/>
        </w:rPr>
        <w:t xml:space="preserve"> to this topic</w:t>
      </w:r>
      <w:r w:rsidR="003F6844">
        <w:rPr>
          <w:rFonts w:eastAsia="Times New Roman"/>
          <w:szCs w:val="24"/>
          <w:lang w:eastAsia="en-AU"/>
        </w:rPr>
        <w:t xml:space="preserve"> in Section K.1 below</w:t>
      </w:r>
    </w:p>
    <w:p w:rsidR="00791B66" w:rsidRPr="00924038" w:rsidRDefault="00825310" w:rsidP="00E517A7">
      <w:pPr>
        <w:pStyle w:val="Heading3"/>
      </w:pPr>
      <w:bookmarkStart w:id="47" w:name="_Ref514405617"/>
      <w:r w:rsidRPr="00924038">
        <w:t>E.2.2</w:t>
      </w:r>
      <w:r w:rsidRPr="00924038">
        <w:tab/>
        <w:t>Declassing</w:t>
      </w:r>
      <w:bookmarkEnd w:id="47"/>
      <w:r w:rsidR="00791B66" w:rsidRPr="00924038">
        <w:t xml:space="preserve"> </w:t>
      </w:r>
    </w:p>
    <w:p w:rsidR="00691C85" w:rsidRPr="00924038" w:rsidRDefault="007F70CE" w:rsidP="007F70CE">
      <w:pPr>
        <w:pStyle w:val="ParaNumbering"/>
        <w:rPr>
          <w:szCs w:val="24"/>
        </w:rPr>
      </w:pPr>
      <w:r w:rsidRPr="00924038">
        <w:rPr>
          <w:szCs w:val="24"/>
        </w:rPr>
        <w:t xml:space="preserve">Section 33N(1)(c) </w:t>
      </w:r>
      <w:r w:rsidR="00825ED2" w:rsidRPr="00924038">
        <w:rPr>
          <w:szCs w:val="24"/>
        </w:rPr>
        <w:t xml:space="preserve">of the Act </w:t>
      </w:r>
      <w:r w:rsidRPr="00924038">
        <w:rPr>
          <w:szCs w:val="24"/>
        </w:rPr>
        <w:t>relevantly provides that t</w:t>
      </w:r>
      <w:r w:rsidRPr="00924038">
        <w:rPr>
          <w:rFonts w:eastAsia="Times New Roman"/>
          <w:szCs w:val="24"/>
          <w:lang w:eastAsia="en-AU"/>
        </w:rPr>
        <w:t>he Court may order that a proceeding be declassed where it is satisfied that it is in the interests of justice to do so because “</w:t>
      </w:r>
      <w:r w:rsidRPr="00924038">
        <w:rPr>
          <w:rFonts w:eastAsia="Times New Roman"/>
          <w:i/>
          <w:szCs w:val="24"/>
          <w:lang w:eastAsia="en-AU"/>
        </w:rPr>
        <w:t>the representative proceeding will not provide an efficient and effective means of dealing with the claims of group members</w:t>
      </w:r>
      <w:r w:rsidRPr="00924038">
        <w:rPr>
          <w:rFonts w:eastAsia="Times New Roman"/>
          <w:szCs w:val="24"/>
          <w:lang w:eastAsia="en-AU"/>
        </w:rPr>
        <w:t>”.</w:t>
      </w:r>
    </w:p>
    <w:p w:rsidR="00145CF6" w:rsidRPr="00924038" w:rsidRDefault="007F70CE" w:rsidP="007F70CE">
      <w:pPr>
        <w:pStyle w:val="ParaNumbering"/>
        <w:rPr>
          <w:szCs w:val="24"/>
        </w:rPr>
      </w:pPr>
      <w:r w:rsidRPr="00924038">
        <w:rPr>
          <w:szCs w:val="24"/>
        </w:rPr>
        <w:t xml:space="preserve">In </w:t>
      </w:r>
      <w:r w:rsidRPr="00924038">
        <w:rPr>
          <w:i/>
          <w:szCs w:val="24"/>
        </w:rPr>
        <w:t>Bellamy’s</w:t>
      </w:r>
      <w:r w:rsidR="00254E79" w:rsidRPr="00924038">
        <w:rPr>
          <w:szCs w:val="24"/>
        </w:rPr>
        <w:t>,</w:t>
      </w:r>
      <w:r w:rsidR="00691C85" w:rsidRPr="00924038">
        <w:rPr>
          <w:i/>
          <w:szCs w:val="24"/>
        </w:rPr>
        <w:t xml:space="preserve"> </w:t>
      </w:r>
      <w:r w:rsidR="00691C85" w:rsidRPr="00924038">
        <w:rPr>
          <w:szCs w:val="24"/>
        </w:rPr>
        <w:t>Beach J eliminated or “</w:t>
      </w:r>
      <w:r w:rsidR="00691C85" w:rsidRPr="00924038">
        <w:rPr>
          <w:i/>
          <w:szCs w:val="24"/>
        </w:rPr>
        <w:t>put to one side</w:t>
      </w:r>
      <w:r w:rsidR="00691C85" w:rsidRPr="00924038">
        <w:rPr>
          <w:szCs w:val="24"/>
        </w:rPr>
        <w:t xml:space="preserve">” </w:t>
      </w:r>
      <w:r w:rsidRPr="00924038">
        <w:rPr>
          <w:szCs w:val="24"/>
        </w:rPr>
        <w:t xml:space="preserve">the option </w:t>
      </w:r>
      <w:r w:rsidR="00691C85" w:rsidRPr="00924038">
        <w:rPr>
          <w:szCs w:val="24"/>
        </w:rPr>
        <w:t xml:space="preserve">of making a s </w:t>
      </w:r>
      <w:proofErr w:type="gramStart"/>
      <w:r w:rsidR="00691C85" w:rsidRPr="00924038">
        <w:rPr>
          <w:szCs w:val="24"/>
        </w:rPr>
        <w:t>33N(</w:t>
      </w:r>
      <w:proofErr w:type="gramEnd"/>
      <w:r w:rsidR="00691C85" w:rsidRPr="00924038">
        <w:rPr>
          <w:szCs w:val="24"/>
        </w:rPr>
        <w:t xml:space="preserve">1) order: </w:t>
      </w:r>
      <w:r w:rsidR="00825ED2" w:rsidRPr="00924038">
        <w:rPr>
          <w:szCs w:val="24"/>
        </w:rPr>
        <w:t xml:space="preserve">at </w:t>
      </w:r>
      <w:r w:rsidR="00691C85" w:rsidRPr="00924038">
        <w:rPr>
          <w:szCs w:val="24"/>
        </w:rPr>
        <w:t>[10].  His Honour had two reasons, one of which went to power</w:t>
      </w:r>
      <w:r w:rsidRPr="00924038">
        <w:rPr>
          <w:szCs w:val="24"/>
        </w:rPr>
        <w:t>,</w:t>
      </w:r>
      <w:r w:rsidR="00691C85" w:rsidRPr="00924038">
        <w:rPr>
          <w:szCs w:val="24"/>
        </w:rPr>
        <w:t xml:space="preserve"> and the other to </w:t>
      </w:r>
      <w:r w:rsidR="00691C85" w:rsidRPr="00924038">
        <w:rPr>
          <w:szCs w:val="24"/>
        </w:rPr>
        <w:lastRenderedPageBreak/>
        <w:t>discretion.  I will deal below with the issue of discretion, but for present purposes I will for focus on his Honour’s construction of s 33N</w:t>
      </w:r>
      <w:r w:rsidR="00254E79" w:rsidRPr="00924038">
        <w:rPr>
          <w:szCs w:val="24"/>
        </w:rPr>
        <w:t>(1)(c) (which, for reasons explained by Beach J, is the only subsection of s 33N which is arguably relevant)</w:t>
      </w:r>
      <w:r w:rsidR="00691C85" w:rsidRPr="00924038">
        <w:rPr>
          <w:szCs w:val="24"/>
        </w:rPr>
        <w:t xml:space="preserve">.  At [18]-[19], Beach J </w:t>
      </w:r>
      <w:r w:rsidR="00825ED2" w:rsidRPr="00924038">
        <w:rPr>
          <w:szCs w:val="24"/>
        </w:rPr>
        <w:t>observed that “</w:t>
      </w:r>
      <w:r w:rsidR="00825ED2" w:rsidRPr="00924038">
        <w:rPr>
          <w:i/>
          <w:szCs w:val="24"/>
        </w:rPr>
        <w:t>[g]</w:t>
      </w:r>
      <w:r w:rsidR="00691C85" w:rsidRPr="00924038">
        <w:rPr>
          <w:rFonts w:eastAsia="Times New Roman"/>
          <w:i/>
          <w:szCs w:val="24"/>
          <w:lang w:eastAsia="en-AU"/>
        </w:rPr>
        <w:t>enerally speaking</w:t>
      </w:r>
      <w:r w:rsidRPr="00924038">
        <w:rPr>
          <w:rFonts w:eastAsia="Times New Roman"/>
          <w:szCs w:val="24"/>
          <w:lang w:eastAsia="en-AU"/>
        </w:rPr>
        <w:t>”</w:t>
      </w:r>
      <w:r w:rsidR="00825ED2" w:rsidRPr="00924038">
        <w:rPr>
          <w:rFonts w:eastAsia="Times New Roman"/>
          <w:szCs w:val="24"/>
          <w:lang w:eastAsia="en-AU"/>
        </w:rPr>
        <w:t>,</w:t>
      </w:r>
      <w:r w:rsidR="00691C85" w:rsidRPr="00924038">
        <w:rPr>
          <w:rFonts w:eastAsia="Times New Roman"/>
          <w:szCs w:val="24"/>
          <w:lang w:eastAsia="en-AU"/>
        </w:rPr>
        <w:t xml:space="preserve"> s </w:t>
      </w:r>
      <w:proofErr w:type="gramStart"/>
      <w:r w:rsidR="00691C85" w:rsidRPr="00924038">
        <w:rPr>
          <w:rFonts w:eastAsia="Times New Roman"/>
          <w:szCs w:val="24"/>
          <w:lang w:eastAsia="en-AU"/>
        </w:rPr>
        <w:t>33N(</w:t>
      </w:r>
      <w:proofErr w:type="gramEnd"/>
      <w:r w:rsidR="00691C85" w:rsidRPr="00924038">
        <w:rPr>
          <w:rFonts w:eastAsia="Times New Roman"/>
          <w:szCs w:val="24"/>
          <w:lang w:eastAsia="en-AU"/>
        </w:rPr>
        <w:t>1) requires consideration of the comparator of whether it is in the interests of justice that the proceeding be determined in numerous non-representative proceedings</w:t>
      </w:r>
      <w:r w:rsidRPr="00924038">
        <w:rPr>
          <w:rFonts w:eastAsia="Times New Roman"/>
          <w:szCs w:val="24"/>
          <w:lang w:eastAsia="en-AU"/>
        </w:rPr>
        <w:t xml:space="preserve"> and, as such, t</w:t>
      </w:r>
      <w:r w:rsidR="00691C85" w:rsidRPr="00924038">
        <w:rPr>
          <w:rFonts w:eastAsia="Times New Roman"/>
          <w:szCs w:val="24"/>
          <w:lang w:eastAsia="en-AU"/>
        </w:rPr>
        <w:t>he implicit focus in s 33N(1)(c) is on the commonality of issues and whethe</w:t>
      </w:r>
      <w:r w:rsidRPr="00924038">
        <w:rPr>
          <w:rFonts w:eastAsia="Times New Roman"/>
          <w:szCs w:val="24"/>
          <w:lang w:eastAsia="en-AU"/>
        </w:rPr>
        <w:t xml:space="preserve">r the representative proceeding is </w:t>
      </w:r>
      <w:r w:rsidR="00145CF6" w:rsidRPr="00924038">
        <w:rPr>
          <w:rFonts w:eastAsia="Times New Roman"/>
          <w:szCs w:val="24"/>
          <w:lang w:eastAsia="en-AU"/>
        </w:rPr>
        <w:t xml:space="preserve">an </w:t>
      </w:r>
      <w:r w:rsidR="00691C85" w:rsidRPr="00924038">
        <w:rPr>
          <w:rFonts w:eastAsia="Times New Roman"/>
          <w:szCs w:val="24"/>
          <w:lang w:eastAsia="en-AU"/>
        </w:rPr>
        <w:t xml:space="preserve">efficient and effective </w:t>
      </w:r>
      <w:r w:rsidR="00145CF6" w:rsidRPr="00924038">
        <w:rPr>
          <w:rFonts w:eastAsia="Times New Roman"/>
          <w:szCs w:val="24"/>
          <w:lang w:eastAsia="en-AU"/>
        </w:rPr>
        <w:t xml:space="preserve">means </w:t>
      </w:r>
      <w:r w:rsidR="00691C85" w:rsidRPr="00924038">
        <w:rPr>
          <w:rFonts w:eastAsia="Times New Roman"/>
          <w:szCs w:val="24"/>
          <w:lang w:eastAsia="en-AU"/>
        </w:rPr>
        <w:t>to resolve the common issues, rather than resolution b</w:t>
      </w:r>
      <w:r w:rsidR="00145CF6" w:rsidRPr="00924038">
        <w:rPr>
          <w:rFonts w:eastAsia="Times New Roman"/>
          <w:szCs w:val="24"/>
          <w:lang w:eastAsia="en-AU"/>
        </w:rPr>
        <w:t>y way of individual proceedings</w:t>
      </w:r>
      <w:r w:rsidR="00691C85" w:rsidRPr="00924038">
        <w:rPr>
          <w:rFonts w:eastAsia="Times New Roman"/>
          <w:szCs w:val="24"/>
          <w:lang w:eastAsia="en-AU"/>
        </w:rPr>
        <w:t>.</w:t>
      </w:r>
      <w:r w:rsidR="00145CF6" w:rsidRPr="00924038">
        <w:rPr>
          <w:rFonts w:eastAsia="Times New Roman"/>
          <w:szCs w:val="24"/>
          <w:lang w:eastAsia="en-AU"/>
        </w:rPr>
        <w:t xml:space="preserve">  It followed, according to his Honour, that t</w:t>
      </w:r>
      <w:r w:rsidR="00691C85" w:rsidRPr="00924038">
        <w:rPr>
          <w:rFonts w:eastAsia="Times New Roman"/>
          <w:szCs w:val="24"/>
          <w:lang w:eastAsia="en-AU"/>
        </w:rPr>
        <w:t xml:space="preserve">he inquiry is not whether the common issues might be more efficiently resolved by way of </w:t>
      </w:r>
      <w:r w:rsidR="00254E79" w:rsidRPr="00924038">
        <w:rPr>
          <w:rFonts w:eastAsia="Times New Roman"/>
          <w:szCs w:val="24"/>
          <w:lang w:eastAsia="en-AU"/>
        </w:rPr>
        <w:t>a competing</w:t>
      </w:r>
      <w:r w:rsidR="00145CF6" w:rsidRPr="00924038">
        <w:rPr>
          <w:rFonts w:eastAsia="Times New Roman"/>
          <w:szCs w:val="24"/>
          <w:lang w:eastAsia="en-AU"/>
        </w:rPr>
        <w:t xml:space="preserve"> class action</w:t>
      </w:r>
      <w:r w:rsidR="00691C85" w:rsidRPr="00924038">
        <w:rPr>
          <w:rFonts w:eastAsia="Times New Roman"/>
          <w:szCs w:val="24"/>
          <w:lang w:eastAsia="en-AU"/>
        </w:rPr>
        <w:t xml:space="preserve">. </w:t>
      </w:r>
    </w:p>
    <w:p w:rsidR="00254E79" w:rsidRPr="00924038" w:rsidRDefault="00145CF6" w:rsidP="007F70CE">
      <w:pPr>
        <w:pStyle w:val="ParaNumbering"/>
        <w:rPr>
          <w:szCs w:val="24"/>
        </w:rPr>
      </w:pPr>
      <w:r w:rsidRPr="00924038">
        <w:rPr>
          <w:rFonts w:eastAsia="Times New Roman"/>
          <w:szCs w:val="24"/>
          <w:lang w:eastAsia="en-AU"/>
        </w:rPr>
        <w:t xml:space="preserve">Having made these points, his Honour cautioned </w:t>
      </w:r>
      <w:r w:rsidR="00691C85" w:rsidRPr="00924038">
        <w:rPr>
          <w:rFonts w:eastAsia="Times New Roman"/>
          <w:szCs w:val="24"/>
          <w:lang w:eastAsia="en-AU"/>
        </w:rPr>
        <w:t>that th</w:t>
      </w:r>
      <w:r w:rsidRPr="00924038">
        <w:rPr>
          <w:rFonts w:eastAsia="Times New Roman"/>
          <w:szCs w:val="24"/>
          <w:lang w:eastAsia="en-AU"/>
        </w:rPr>
        <w:t xml:space="preserve">e matter is not free from doubt given </w:t>
      </w:r>
      <w:r w:rsidR="00254E79" w:rsidRPr="00924038">
        <w:rPr>
          <w:rFonts w:eastAsia="Times New Roman"/>
          <w:szCs w:val="24"/>
          <w:lang w:eastAsia="en-AU"/>
        </w:rPr>
        <w:t>that</w:t>
      </w:r>
      <w:r w:rsidRPr="00924038">
        <w:rPr>
          <w:rFonts w:eastAsia="Times New Roman"/>
          <w:szCs w:val="24"/>
          <w:lang w:eastAsia="en-AU"/>
        </w:rPr>
        <w:t xml:space="preserve"> s 33</w:t>
      </w:r>
      <w:r w:rsidR="00825ED2" w:rsidRPr="00924038">
        <w:rPr>
          <w:rFonts w:eastAsia="Times New Roman"/>
          <w:szCs w:val="24"/>
          <w:lang w:eastAsia="en-AU"/>
        </w:rPr>
        <w:t>N</w:t>
      </w:r>
      <w:r w:rsidRPr="00924038">
        <w:rPr>
          <w:rFonts w:eastAsia="Times New Roman"/>
          <w:szCs w:val="24"/>
          <w:lang w:eastAsia="en-AU"/>
        </w:rPr>
        <w:t xml:space="preserve">(1)(c) </w:t>
      </w:r>
      <w:r w:rsidR="00691C85" w:rsidRPr="00924038">
        <w:rPr>
          <w:rFonts w:eastAsia="Times New Roman"/>
          <w:szCs w:val="24"/>
          <w:lang w:eastAsia="en-AU"/>
        </w:rPr>
        <w:t>uses the definite article “</w:t>
      </w:r>
      <w:r w:rsidR="00691C85" w:rsidRPr="00924038">
        <w:rPr>
          <w:rFonts w:eastAsia="Times New Roman"/>
          <w:b/>
          <w:i/>
          <w:iCs/>
          <w:szCs w:val="24"/>
          <w:lang w:eastAsia="en-AU"/>
        </w:rPr>
        <w:t>the</w:t>
      </w:r>
      <w:r w:rsidR="00254E79" w:rsidRPr="00924038">
        <w:rPr>
          <w:rFonts w:eastAsia="Times New Roman"/>
          <w:i/>
          <w:szCs w:val="24"/>
          <w:lang w:eastAsia="en-AU"/>
        </w:rPr>
        <w:t xml:space="preserve"> represent</w:t>
      </w:r>
      <w:r w:rsidR="004A5F2B" w:rsidRPr="00924038">
        <w:rPr>
          <w:rFonts w:eastAsia="Times New Roman"/>
          <w:i/>
          <w:szCs w:val="24"/>
          <w:lang w:eastAsia="en-AU"/>
        </w:rPr>
        <w:t>at</w:t>
      </w:r>
      <w:r w:rsidR="00254E79" w:rsidRPr="00924038">
        <w:rPr>
          <w:rFonts w:eastAsia="Times New Roman"/>
          <w:i/>
          <w:szCs w:val="24"/>
          <w:lang w:eastAsia="en-AU"/>
        </w:rPr>
        <w:t>ive proceeding</w:t>
      </w:r>
      <w:r w:rsidR="00691C85" w:rsidRPr="00924038">
        <w:rPr>
          <w:rFonts w:eastAsia="Times New Roman"/>
          <w:szCs w:val="24"/>
          <w:lang w:eastAsia="en-AU"/>
        </w:rPr>
        <w:t>”</w:t>
      </w:r>
      <w:r w:rsidR="00825ED2" w:rsidRPr="00924038">
        <w:rPr>
          <w:rFonts w:eastAsia="Times New Roman"/>
          <w:szCs w:val="24"/>
          <w:lang w:eastAsia="en-AU"/>
        </w:rPr>
        <w:t>,</w:t>
      </w:r>
      <w:r w:rsidR="00691C85" w:rsidRPr="00924038">
        <w:rPr>
          <w:rFonts w:eastAsia="Times New Roman"/>
          <w:szCs w:val="24"/>
          <w:lang w:eastAsia="en-AU"/>
        </w:rPr>
        <w:t xml:space="preserve"> rather than the indefinite article (cf ss 33N(1)(a)</w:t>
      </w:r>
      <w:r w:rsidR="00254E79" w:rsidRPr="00924038">
        <w:rPr>
          <w:rFonts w:eastAsia="Times New Roman"/>
          <w:szCs w:val="24"/>
          <w:lang w:eastAsia="en-AU"/>
        </w:rPr>
        <w:t>,</w:t>
      </w:r>
      <w:r w:rsidR="00691C85" w:rsidRPr="00924038">
        <w:rPr>
          <w:rFonts w:eastAsia="Times New Roman"/>
          <w:szCs w:val="24"/>
          <w:lang w:eastAsia="en-AU"/>
        </w:rPr>
        <w:t xml:space="preserve"> 33N(1)(b) and 33N(1)(d)), </w:t>
      </w:r>
      <w:r w:rsidR="00825ED2" w:rsidRPr="00924038">
        <w:rPr>
          <w:rFonts w:eastAsia="Times New Roman"/>
          <w:szCs w:val="24"/>
          <w:lang w:eastAsia="en-AU"/>
        </w:rPr>
        <w:t>such</w:t>
      </w:r>
      <w:r w:rsidR="00691C85" w:rsidRPr="00924038">
        <w:rPr>
          <w:rFonts w:eastAsia="Times New Roman"/>
          <w:szCs w:val="24"/>
          <w:lang w:eastAsia="en-AU"/>
        </w:rPr>
        <w:t xml:space="preserve"> that it is open to argue that it could be satisfied if another </w:t>
      </w:r>
      <w:r w:rsidR="00254E79" w:rsidRPr="00924038">
        <w:rPr>
          <w:rFonts w:eastAsia="Times New Roman"/>
          <w:szCs w:val="24"/>
          <w:lang w:eastAsia="en-AU"/>
        </w:rPr>
        <w:t xml:space="preserve">class action </w:t>
      </w:r>
      <w:r w:rsidR="00691C85" w:rsidRPr="00924038">
        <w:rPr>
          <w:rFonts w:eastAsia="Times New Roman"/>
          <w:szCs w:val="24"/>
          <w:lang w:eastAsia="en-AU"/>
        </w:rPr>
        <w:t>could efficiently deal with group members’ claims made in the hypothesis</w:t>
      </w:r>
      <w:r w:rsidR="00254E79" w:rsidRPr="00924038">
        <w:rPr>
          <w:rFonts w:eastAsia="Times New Roman"/>
          <w:szCs w:val="24"/>
          <w:lang w:eastAsia="en-AU"/>
        </w:rPr>
        <w:t xml:space="preserve">ed to be </w:t>
      </w:r>
      <w:r w:rsidR="00825ED2" w:rsidRPr="00924038">
        <w:rPr>
          <w:rFonts w:eastAsia="Times New Roman"/>
          <w:szCs w:val="24"/>
          <w:lang w:eastAsia="en-AU"/>
        </w:rPr>
        <w:t>‘</w:t>
      </w:r>
      <w:r w:rsidR="00254E79" w:rsidRPr="00924038">
        <w:rPr>
          <w:rFonts w:eastAsia="Times New Roman"/>
          <w:szCs w:val="24"/>
          <w:lang w:eastAsia="en-AU"/>
        </w:rPr>
        <w:t>declassed</w:t>
      </w:r>
      <w:r w:rsidR="00825ED2" w:rsidRPr="00924038">
        <w:rPr>
          <w:rFonts w:eastAsia="Times New Roman"/>
          <w:szCs w:val="24"/>
          <w:lang w:eastAsia="en-AU"/>
        </w:rPr>
        <w:t>’</w:t>
      </w:r>
      <w:r w:rsidR="00254E79" w:rsidRPr="00924038">
        <w:rPr>
          <w:rFonts w:eastAsia="Times New Roman"/>
          <w:szCs w:val="24"/>
          <w:lang w:eastAsia="en-AU"/>
        </w:rPr>
        <w:t xml:space="preserve"> proceeding</w:t>
      </w:r>
      <w:r w:rsidR="00691C85" w:rsidRPr="00924038">
        <w:rPr>
          <w:rFonts w:eastAsia="Times New Roman"/>
          <w:szCs w:val="24"/>
          <w:lang w:eastAsia="en-AU"/>
        </w:rPr>
        <w:t xml:space="preserve">. </w:t>
      </w:r>
      <w:r w:rsidR="00254E79" w:rsidRPr="00924038">
        <w:rPr>
          <w:rFonts w:eastAsia="Times New Roman"/>
          <w:szCs w:val="24"/>
          <w:lang w:eastAsia="en-AU"/>
        </w:rPr>
        <w:t xml:space="preserve"> However, after noting that</w:t>
      </w:r>
      <w:r w:rsidR="00691C85" w:rsidRPr="00924038">
        <w:rPr>
          <w:rFonts w:eastAsia="Times New Roman"/>
          <w:szCs w:val="24"/>
          <w:lang w:eastAsia="en-AU"/>
        </w:rPr>
        <w:t xml:space="preserve"> s</w:t>
      </w:r>
      <w:r w:rsidR="00825ED2" w:rsidRPr="00924038">
        <w:rPr>
          <w:rFonts w:eastAsia="Times New Roman"/>
          <w:szCs w:val="24"/>
          <w:lang w:eastAsia="en-AU"/>
        </w:rPr>
        <w:t> </w:t>
      </w:r>
      <w:proofErr w:type="gramStart"/>
      <w:r w:rsidR="00691C85" w:rsidRPr="00924038">
        <w:rPr>
          <w:rFonts w:eastAsia="Times New Roman"/>
          <w:szCs w:val="24"/>
          <w:lang w:eastAsia="en-AU"/>
        </w:rPr>
        <w:t>33N(</w:t>
      </w:r>
      <w:proofErr w:type="gramEnd"/>
      <w:r w:rsidR="00691C85" w:rsidRPr="00924038">
        <w:rPr>
          <w:rFonts w:eastAsia="Times New Roman"/>
          <w:szCs w:val="24"/>
          <w:lang w:eastAsia="en-AU"/>
        </w:rPr>
        <w:t xml:space="preserve">1)(c) is not focussed on </w:t>
      </w:r>
      <w:r w:rsidR="00691C85" w:rsidRPr="00924038">
        <w:rPr>
          <w:rFonts w:eastAsia="Times New Roman"/>
          <w:iCs/>
          <w:szCs w:val="24"/>
          <w:lang w:eastAsia="en-AU"/>
        </w:rPr>
        <w:t>relative</w:t>
      </w:r>
      <w:r w:rsidR="00691C85" w:rsidRPr="00924038">
        <w:rPr>
          <w:rFonts w:eastAsia="Times New Roman"/>
          <w:szCs w:val="24"/>
          <w:lang w:eastAsia="en-AU"/>
        </w:rPr>
        <w:t xml:space="preserve"> efficiency and effectiveness</w:t>
      </w:r>
      <w:r w:rsidR="00825ED2" w:rsidRPr="00924038">
        <w:rPr>
          <w:rFonts w:eastAsia="Times New Roman"/>
          <w:szCs w:val="24"/>
          <w:lang w:eastAsia="en-AU"/>
        </w:rPr>
        <w:t>,</w:t>
      </w:r>
      <w:r w:rsidR="00691C85" w:rsidRPr="00924038">
        <w:rPr>
          <w:rFonts w:eastAsia="Times New Roman"/>
          <w:szCs w:val="24"/>
          <w:lang w:eastAsia="en-AU"/>
        </w:rPr>
        <w:t xml:space="preserve"> but rather is expressed in more absolute terms</w:t>
      </w:r>
      <w:r w:rsidR="00254E79" w:rsidRPr="00924038">
        <w:rPr>
          <w:rFonts w:eastAsia="Times New Roman"/>
          <w:szCs w:val="24"/>
          <w:lang w:eastAsia="en-AU"/>
        </w:rPr>
        <w:t>, his Honour was not satisfied it was relevantly engaged in circumstances such as the present.</w:t>
      </w:r>
    </w:p>
    <w:p w:rsidR="00254E79" w:rsidRPr="00924038" w:rsidRDefault="00254E79" w:rsidP="00254E79">
      <w:pPr>
        <w:pStyle w:val="ParaNumbering"/>
        <w:rPr>
          <w:szCs w:val="24"/>
        </w:rPr>
      </w:pPr>
      <w:r w:rsidRPr="00924038">
        <w:t xml:space="preserve">The only other consideration </w:t>
      </w:r>
      <w:r w:rsidR="00D756BB" w:rsidRPr="00924038">
        <w:t>of s 33N in the present</w:t>
      </w:r>
      <w:r w:rsidRPr="00924038">
        <w:t xml:space="preserve"> context is </w:t>
      </w:r>
      <w:r w:rsidRPr="00924038">
        <w:rPr>
          <w:szCs w:val="24"/>
        </w:rPr>
        <w:t>in</w:t>
      </w:r>
      <w:r w:rsidR="00E25C48" w:rsidRPr="00924038">
        <w:rPr>
          <w:i/>
        </w:rPr>
        <w:t xml:space="preserve"> Johnson Tiles </w:t>
      </w:r>
      <w:r w:rsidR="00825ED2" w:rsidRPr="00924038">
        <w:t>at 42,677</w:t>
      </w:r>
      <w:r w:rsidRPr="00924038">
        <w:rPr>
          <w:bCs/>
          <w:szCs w:val="24"/>
        </w:rPr>
        <w:t xml:space="preserve"> where Merkel J observed:</w:t>
      </w:r>
    </w:p>
    <w:p w:rsidR="00254E79" w:rsidRPr="00924038" w:rsidRDefault="00254E79" w:rsidP="00825ED2">
      <w:pPr>
        <w:pStyle w:val="Quote1"/>
        <w:rPr>
          <w:lang w:eastAsia="en-AU"/>
        </w:rPr>
      </w:pPr>
      <w:r w:rsidRPr="00924038">
        <w:rPr>
          <w:lang w:eastAsia="en-AU"/>
        </w:rPr>
        <w:t>In the present matter the principle of oppression and vexation, to which I have referred, must be considered in the context of Pt IVA of the Act</w:t>
      </w:r>
      <w:proofErr w:type="gramStart"/>
      <w:r w:rsidRPr="00924038">
        <w:rPr>
          <w:lang w:eastAsia="en-AU"/>
        </w:rPr>
        <w:t xml:space="preserve">. </w:t>
      </w:r>
      <w:proofErr w:type="gramEnd"/>
      <w:r w:rsidRPr="00924038">
        <w:rPr>
          <w:lang w:eastAsia="en-AU"/>
        </w:rPr>
        <w:t>A representative proceeding can be issued without leave of the Court, although the Court can order that a proceeding no longer continue as a representative proceeding under Pt IVA (see ss 33L, 33M and 33N) or that individual issues or issues that are not common issues be determined separately (see ss 33Q, 33R and 33S)</w:t>
      </w:r>
      <w:proofErr w:type="gramStart"/>
      <w:r w:rsidRPr="00924038">
        <w:rPr>
          <w:lang w:eastAsia="en-AU"/>
        </w:rPr>
        <w:t xml:space="preserve">. </w:t>
      </w:r>
      <w:proofErr w:type="gramEnd"/>
      <w:r w:rsidRPr="00924038">
        <w:rPr>
          <w:lang w:eastAsia="en-AU"/>
        </w:rPr>
        <w:t>Also, the Court has ample power under the inherent jurisdiction, the Rules of Court and the Act (</w:t>
      </w:r>
      <w:r w:rsidRPr="00924038">
        <w:rPr>
          <w:b/>
          <w:lang w:eastAsia="en-AU"/>
        </w:rPr>
        <w:t xml:space="preserve">see for example s </w:t>
      </w:r>
      <w:proofErr w:type="gramStart"/>
      <w:r w:rsidRPr="00924038">
        <w:rPr>
          <w:b/>
          <w:lang w:eastAsia="en-AU"/>
        </w:rPr>
        <w:t>33N(</w:t>
      </w:r>
      <w:proofErr w:type="gramEnd"/>
      <w:r w:rsidRPr="00924038">
        <w:rPr>
          <w:b/>
          <w:lang w:eastAsia="en-AU"/>
        </w:rPr>
        <w:t>1)(d)</w:t>
      </w:r>
      <w:r w:rsidRPr="00924038">
        <w:rPr>
          <w:lang w:eastAsia="en-AU"/>
        </w:rPr>
        <w:t>) to direct which representative proceeding is to continue as a proceeding under Pt IVA where more than one is issued</w:t>
      </w:r>
      <w:r w:rsidR="00E25C48" w:rsidRPr="00924038">
        <w:rPr>
          <w:lang w:eastAsia="en-AU"/>
        </w:rPr>
        <w:t>)</w:t>
      </w:r>
      <w:r w:rsidRPr="00924038">
        <w:rPr>
          <w:lang w:eastAsia="en-AU"/>
        </w:rPr>
        <w:t>.</w:t>
      </w:r>
    </w:p>
    <w:p w:rsidR="00825ED2" w:rsidRPr="00924038" w:rsidRDefault="00825ED2" w:rsidP="00825ED2">
      <w:pPr>
        <w:pStyle w:val="Quote1"/>
        <w:rPr>
          <w:lang w:eastAsia="en-AU"/>
        </w:rPr>
      </w:pPr>
      <w:r w:rsidRPr="00924038">
        <w:rPr>
          <w:lang w:eastAsia="en-AU"/>
        </w:rPr>
        <w:t>(Emphasis added)</w:t>
      </w:r>
    </w:p>
    <w:p w:rsidR="00E84440" w:rsidRPr="00924038" w:rsidRDefault="00B036AB" w:rsidP="00E21EDD">
      <w:pPr>
        <w:pStyle w:val="ParaNumbering"/>
      </w:pPr>
      <w:r>
        <w:rPr>
          <w:rFonts w:eastAsia="Times New Roman"/>
          <w:szCs w:val="24"/>
          <w:lang w:eastAsia="en-AU"/>
        </w:rPr>
        <w:t>T</w:t>
      </w:r>
      <w:r w:rsidR="00E21EDD" w:rsidRPr="00924038">
        <w:rPr>
          <w:rFonts w:eastAsia="Times New Roman"/>
          <w:szCs w:val="24"/>
          <w:lang w:eastAsia="en-AU"/>
        </w:rPr>
        <w:t xml:space="preserve">o the extent Merkel J suggests that s </w:t>
      </w:r>
      <w:proofErr w:type="gramStart"/>
      <w:r w:rsidR="00E21EDD" w:rsidRPr="00924038">
        <w:rPr>
          <w:rFonts w:eastAsia="Times New Roman"/>
          <w:szCs w:val="24"/>
          <w:lang w:eastAsia="en-AU"/>
        </w:rPr>
        <w:t>33N(</w:t>
      </w:r>
      <w:proofErr w:type="gramEnd"/>
      <w:r w:rsidR="00E21EDD" w:rsidRPr="00924038">
        <w:rPr>
          <w:rFonts w:eastAsia="Times New Roman"/>
          <w:szCs w:val="24"/>
          <w:lang w:eastAsia="en-AU"/>
        </w:rPr>
        <w:t>1)(d) has work to do in the context of competing class actions, I respectfully disagree.  This</w:t>
      </w:r>
      <w:r>
        <w:rPr>
          <w:rFonts w:eastAsia="Times New Roman"/>
          <w:szCs w:val="24"/>
          <w:lang w:eastAsia="en-AU"/>
        </w:rPr>
        <w:t xml:space="preserve"> conclusion</w:t>
      </w:r>
      <w:r w:rsidR="00E21EDD" w:rsidRPr="00924038">
        <w:rPr>
          <w:rFonts w:eastAsia="Times New Roman"/>
          <w:szCs w:val="24"/>
          <w:lang w:eastAsia="en-AU"/>
        </w:rPr>
        <w:t xml:space="preserve"> overlooks the fact that t</w:t>
      </w:r>
      <w:r w:rsidR="00E84440" w:rsidRPr="00924038">
        <w:rPr>
          <w:rFonts w:eastAsia="Times New Roman"/>
          <w:szCs w:val="24"/>
          <w:lang w:eastAsia="en-AU"/>
        </w:rPr>
        <w:t xml:space="preserve">he question posed by s 33N is whether the interests of justice require that the proceeding not continue under Part IVA because of the existence of one or other of the circumstances listed in ss </w:t>
      </w:r>
      <w:proofErr w:type="gramStart"/>
      <w:r w:rsidR="00E84440" w:rsidRPr="00924038">
        <w:rPr>
          <w:rFonts w:eastAsia="Times New Roman"/>
          <w:szCs w:val="24"/>
          <w:lang w:eastAsia="en-AU"/>
        </w:rPr>
        <w:t>33N(</w:t>
      </w:r>
      <w:proofErr w:type="gramEnd"/>
      <w:r w:rsidR="00E84440" w:rsidRPr="00924038">
        <w:rPr>
          <w:rFonts w:eastAsia="Times New Roman"/>
          <w:szCs w:val="24"/>
          <w:lang w:eastAsia="en-AU"/>
        </w:rPr>
        <w:t xml:space="preserve">1)(a)-(c) </w:t>
      </w:r>
      <w:r w:rsidR="00E84440" w:rsidRPr="00B036AB">
        <w:rPr>
          <w:rFonts w:eastAsia="Times New Roman"/>
          <w:i/>
          <w:szCs w:val="24"/>
          <w:lang w:eastAsia="en-AU"/>
        </w:rPr>
        <w:t>or</w:t>
      </w:r>
      <w:r w:rsidR="00E84440" w:rsidRPr="00924038">
        <w:rPr>
          <w:rFonts w:eastAsia="Times New Roman"/>
          <w:szCs w:val="24"/>
          <w:lang w:eastAsia="en-AU"/>
        </w:rPr>
        <w:t xml:space="preserve"> the Court is satisfied that it is otherwise inappropriate for the claims to be </w:t>
      </w:r>
      <w:r w:rsidR="00E84440" w:rsidRPr="00924038">
        <w:rPr>
          <w:rFonts w:eastAsia="Times New Roman"/>
          <w:szCs w:val="24"/>
          <w:lang w:eastAsia="en-AU"/>
        </w:rPr>
        <w:lastRenderedPageBreak/>
        <w:t xml:space="preserve">pursued as </w:t>
      </w:r>
      <w:r w:rsidR="00E84440" w:rsidRPr="00B036AB">
        <w:rPr>
          <w:rFonts w:eastAsia="Times New Roman"/>
          <w:i/>
          <w:szCs w:val="24"/>
          <w:lang w:eastAsia="en-AU"/>
        </w:rPr>
        <w:t>a</w:t>
      </w:r>
      <w:r w:rsidR="00E84440" w:rsidRPr="00924038">
        <w:rPr>
          <w:rFonts w:eastAsia="Times New Roman"/>
          <w:szCs w:val="24"/>
          <w:lang w:eastAsia="en-AU"/>
        </w:rPr>
        <w:t xml:space="preserve"> representative proceeding under Part IVA: s 33N(1)(d)</w:t>
      </w:r>
      <w:r w:rsidR="00E21EDD" w:rsidRPr="00924038">
        <w:rPr>
          <w:rFonts w:eastAsia="Times New Roman"/>
          <w:szCs w:val="24"/>
          <w:lang w:eastAsia="en-AU"/>
        </w:rPr>
        <w:t xml:space="preserve"> (note the disjunctive</w:t>
      </w:r>
      <w:r w:rsidR="009B638A">
        <w:rPr>
          <w:rFonts w:eastAsia="Times New Roman"/>
          <w:szCs w:val="24"/>
          <w:lang w:eastAsia="en-AU"/>
        </w:rPr>
        <w:t>,</w:t>
      </w:r>
      <w:r w:rsidR="00E21EDD" w:rsidRPr="00924038">
        <w:rPr>
          <w:rFonts w:eastAsia="Times New Roman"/>
          <w:szCs w:val="24"/>
          <w:lang w:eastAsia="en-AU"/>
        </w:rPr>
        <w:t xml:space="preserve"> and the use of the indefinite article)</w:t>
      </w:r>
      <w:r w:rsidR="00E84440" w:rsidRPr="00924038">
        <w:rPr>
          <w:rFonts w:eastAsia="Times New Roman"/>
          <w:szCs w:val="24"/>
          <w:lang w:eastAsia="en-AU"/>
        </w:rPr>
        <w:t>.</w:t>
      </w:r>
    </w:p>
    <w:p w:rsidR="00C519C6" w:rsidRPr="00924038" w:rsidRDefault="00E21EDD" w:rsidP="00E84440">
      <w:pPr>
        <w:pStyle w:val="ParaNumbering"/>
        <w:rPr>
          <w:rFonts w:eastAsia="Times New Roman"/>
          <w:szCs w:val="24"/>
          <w:lang w:val="en-US" w:eastAsia="en-AU"/>
        </w:rPr>
      </w:pPr>
      <w:r w:rsidRPr="00924038">
        <w:rPr>
          <w:rFonts w:eastAsia="Times New Roman"/>
          <w:szCs w:val="24"/>
          <w:lang w:val="en-US" w:eastAsia="en-AU"/>
        </w:rPr>
        <w:t xml:space="preserve">There is no suggestion </w:t>
      </w:r>
      <w:r w:rsidR="00D756BB" w:rsidRPr="00924038">
        <w:rPr>
          <w:rFonts w:eastAsia="Times New Roman"/>
          <w:szCs w:val="24"/>
          <w:lang w:val="en-US" w:eastAsia="en-AU"/>
        </w:rPr>
        <w:t xml:space="preserve">whatsoever that </w:t>
      </w:r>
      <w:r w:rsidRPr="00924038">
        <w:rPr>
          <w:rFonts w:eastAsia="Times New Roman"/>
          <w:szCs w:val="24"/>
          <w:lang w:val="en-US" w:eastAsia="en-AU"/>
        </w:rPr>
        <w:t xml:space="preserve">it is inappropriate for the claims to be pursued in </w:t>
      </w:r>
      <w:r w:rsidRPr="00B036AB">
        <w:rPr>
          <w:rFonts w:eastAsia="Times New Roman"/>
          <w:i/>
          <w:szCs w:val="24"/>
          <w:lang w:val="en-US" w:eastAsia="en-AU"/>
        </w:rPr>
        <w:t>a</w:t>
      </w:r>
      <w:r w:rsidR="009F3B3E" w:rsidRPr="00B036AB">
        <w:rPr>
          <w:rFonts w:eastAsia="Times New Roman"/>
          <w:i/>
          <w:szCs w:val="24"/>
          <w:lang w:val="en-US" w:eastAsia="en-AU"/>
        </w:rPr>
        <w:t>ny</w:t>
      </w:r>
      <w:r w:rsidRPr="00924038">
        <w:rPr>
          <w:rFonts w:eastAsia="Times New Roman"/>
          <w:szCs w:val="24"/>
          <w:lang w:val="en-US" w:eastAsia="en-AU"/>
        </w:rPr>
        <w:t xml:space="preserve"> class action</w:t>
      </w:r>
      <w:r w:rsidR="00D756BB" w:rsidRPr="00924038">
        <w:rPr>
          <w:rFonts w:eastAsia="Times New Roman"/>
          <w:szCs w:val="24"/>
          <w:lang w:val="en-US" w:eastAsia="en-AU"/>
        </w:rPr>
        <w:t>,</w:t>
      </w:r>
      <w:r w:rsidRPr="00924038">
        <w:rPr>
          <w:rFonts w:eastAsia="Times New Roman"/>
          <w:szCs w:val="24"/>
          <w:lang w:val="en-US" w:eastAsia="en-AU"/>
        </w:rPr>
        <w:t xml:space="preserve"> so s </w:t>
      </w:r>
      <w:proofErr w:type="gramStart"/>
      <w:r w:rsidRPr="00924038">
        <w:rPr>
          <w:rFonts w:eastAsia="Times New Roman"/>
          <w:szCs w:val="24"/>
          <w:lang w:val="en-US" w:eastAsia="en-AU"/>
        </w:rPr>
        <w:t>33N(</w:t>
      </w:r>
      <w:proofErr w:type="gramEnd"/>
      <w:r w:rsidRPr="00924038">
        <w:rPr>
          <w:rFonts w:eastAsia="Times New Roman"/>
          <w:szCs w:val="24"/>
          <w:lang w:val="en-US" w:eastAsia="en-AU"/>
        </w:rPr>
        <w:t xml:space="preserve">1)(d) is </w:t>
      </w:r>
      <w:r w:rsidR="009F3B3E" w:rsidRPr="00924038">
        <w:rPr>
          <w:rFonts w:eastAsia="Times New Roman"/>
          <w:szCs w:val="24"/>
          <w:lang w:val="en-US" w:eastAsia="en-AU"/>
        </w:rPr>
        <w:t xml:space="preserve">simply </w:t>
      </w:r>
      <w:r w:rsidRPr="00924038">
        <w:rPr>
          <w:rFonts w:eastAsia="Times New Roman"/>
          <w:szCs w:val="24"/>
          <w:lang w:val="en-US" w:eastAsia="en-AU"/>
        </w:rPr>
        <w:t>not engaged.  A further reason why it is not engaged is because</w:t>
      </w:r>
      <w:r w:rsidR="00C519C6" w:rsidRPr="00924038">
        <w:rPr>
          <w:rFonts w:eastAsia="Times New Roman"/>
          <w:szCs w:val="24"/>
          <w:lang w:val="en-US" w:eastAsia="en-AU"/>
        </w:rPr>
        <w:t xml:space="preserve"> </w:t>
      </w:r>
      <w:r w:rsidRPr="00924038">
        <w:rPr>
          <w:rFonts w:eastAsia="Times New Roman"/>
          <w:szCs w:val="24"/>
          <w:lang w:val="en-US" w:eastAsia="en-AU"/>
        </w:rPr>
        <w:t xml:space="preserve">I consider that s </w:t>
      </w:r>
      <w:proofErr w:type="gramStart"/>
      <w:r w:rsidRPr="00924038">
        <w:rPr>
          <w:rFonts w:eastAsia="Times New Roman"/>
          <w:szCs w:val="24"/>
          <w:lang w:val="en-US" w:eastAsia="en-AU"/>
        </w:rPr>
        <w:t>33N(</w:t>
      </w:r>
      <w:proofErr w:type="gramEnd"/>
      <w:r w:rsidRPr="00924038">
        <w:rPr>
          <w:rFonts w:eastAsia="Times New Roman"/>
          <w:szCs w:val="24"/>
          <w:lang w:val="en-US" w:eastAsia="en-AU"/>
        </w:rPr>
        <w:t xml:space="preserve">1)(c) is </w:t>
      </w:r>
      <w:r w:rsidR="00C519C6" w:rsidRPr="00924038">
        <w:rPr>
          <w:rFonts w:eastAsia="Times New Roman"/>
          <w:szCs w:val="24"/>
          <w:lang w:val="en-US" w:eastAsia="en-AU"/>
        </w:rPr>
        <w:t>available to be used to declass in the present circumstances</w:t>
      </w:r>
      <w:r w:rsidR="00754BCF" w:rsidRPr="00924038">
        <w:rPr>
          <w:rFonts w:eastAsia="Times New Roman"/>
          <w:szCs w:val="24"/>
          <w:lang w:val="en-US" w:eastAsia="en-AU"/>
        </w:rPr>
        <w:t>,</w:t>
      </w:r>
      <w:r w:rsidR="00C519C6" w:rsidRPr="00924038">
        <w:rPr>
          <w:rFonts w:eastAsia="Times New Roman"/>
          <w:szCs w:val="24"/>
          <w:lang w:val="en-US" w:eastAsia="en-AU"/>
        </w:rPr>
        <w:t xml:space="preserve"> provided it is in the interests of justice to do so. </w:t>
      </w:r>
      <w:r w:rsidR="00D756BB" w:rsidRPr="00924038">
        <w:rPr>
          <w:rFonts w:eastAsia="Times New Roman"/>
          <w:szCs w:val="24"/>
          <w:lang w:val="en-US" w:eastAsia="en-AU"/>
        </w:rPr>
        <w:t xml:space="preserve"> It is necessary to explain </w:t>
      </w:r>
      <w:r w:rsidR="009F3B3E" w:rsidRPr="00924038">
        <w:rPr>
          <w:rFonts w:eastAsia="Times New Roman"/>
          <w:szCs w:val="24"/>
          <w:lang w:val="en-US" w:eastAsia="en-AU"/>
        </w:rPr>
        <w:t xml:space="preserve">this last point </w:t>
      </w:r>
      <w:r w:rsidR="00C519C6" w:rsidRPr="00924038">
        <w:rPr>
          <w:rFonts w:eastAsia="Times New Roman"/>
          <w:szCs w:val="24"/>
          <w:lang w:val="en-US" w:eastAsia="en-AU"/>
        </w:rPr>
        <w:t>in a little detail.</w:t>
      </w:r>
    </w:p>
    <w:p w:rsidR="00D756BB" w:rsidRPr="00924038" w:rsidRDefault="00F141F3" w:rsidP="00E84440">
      <w:pPr>
        <w:pStyle w:val="ParaNumbering"/>
        <w:rPr>
          <w:rFonts w:eastAsia="Times New Roman"/>
          <w:szCs w:val="24"/>
          <w:lang w:val="en-US" w:eastAsia="en-AU"/>
        </w:rPr>
      </w:pPr>
      <w:r w:rsidRPr="00924038">
        <w:rPr>
          <w:iCs/>
          <w:lang w:val="en-US"/>
        </w:rPr>
        <w:t xml:space="preserve">Without seeking to be inappropriately textualist (and conscious of the approach explained by </w:t>
      </w:r>
      <w:r w:rsidR="00754BCF" w:rsidRPr="00924038">
        <w:rPr>
          <w:lang w:val="en-US"/>
        </w:rPr>
        <w:t>McHugh, Gummow, Kirby and Hayne JJ in</w:t>
      </w:r>
      <w:r w:rsidR="00754BCF" w:rsidRPr="00924038">
        <w:rPr>
          <w:i/>
          <w:iCs/>
          <w:lang w:val="en-US"/>
        </w:rPr>
        <w:t xml:space="preserve"> </w:t>
      </w:r>
      <w:r w:rsidRPr="00924038">
        <w:rPr>
          <w:i/>
          <w:iCs/>
          <w:lang w:val="en-US"/>
        </w:rPr>
        <w:t>Project Blue Sky Inc v Australian Broadcasting Authority</w:t>
      </w:r>
      <w:r w:rsidR="00D756BB" w:rsidRPr="00924038">
        <w:rPr>
          <w:rFonts w:eastAsia="Times New Roman"/>
          <w:szCs w:val="24"/>
          <w:lang w:val="en-US" w:eastAsia="en-AU"/>
        </w:rPr>
        <w:t xml:space="preserve"> </w:t>
      </w:r>
      <w:r w:rsidRPr="00924038">
        <w:rPr>
          <w:lang w:val="en-US"/>
        </w:rPr>
        <w:t xml:space="preserve">[1998] HCA 28; (1998) 194 CLR 355 at </w:t>
      </w:r>
      <w:r w:rsidR="00754BCF" w:rsidRPr="00924038">
        <w:rPr>
          <w:lang w:val="en-US"/>
        </w:rPr>
        <w:t xml:space="preserve">384 </w:t>
      </w:r>
      <w:r w:rsidRPr="00924038">
        <w:rPr>
          <w:lang w:val="en-US"/>
        </w:rPr>
        <w:t xml:space="preserve">[78]), the words of the subsection seem to me to be directed at the very situation that I am required to consider, namely, </w:t>
      </w:r>
      <w:r w:rsidR="00B97AED" w:rsidRPr="00924038">
        <w:rPr>
          <w:rFonts w:eastAsia="Times New Roman"/>
          <w:szCs w:val="24"/>
          <w:lang w:eastAsia="en-AU"/>
        </w:rPr>
        <w:t>whether one or more of the current proceedings “</w:t>
      </w:r>
      <w:r w:rsidR="00B97AED" w:rsidRPr="00924038">
        <w:rPr>
          <w:rFonts w:eastAsia="Times New Roman"/>
          <w:i/>
          <w:szCs w:val="24"/>
          <w:lang w:eastAsia="en-AU"/>
        </w:rPr>
        <w:t xml:space="preserve">will not provide an efficient and effective means of dealing with the claims of group members” </w:t>
      </w:r>
      <w:r w:rsidR="00B97AED" w:rsidRPr="00924038">
        <w:rPr>
          <w:rFonts w:eastAsia="Times New Roman"/>
          <w:szCs w:val="24"/>
          <w:lang w:eastAsia="en-AU"/>
        </w:rPr>
        <w:t>being claims</w:t>
      </w:r>
      <w:r w:rsidR="00074C23" w:rsidRPr="00924038">
        <w:rPr>
          <w:rFonts w:eastAsia="Times New Roman"/>
          <w:szCs w:val="24"/>
          <w:lang w:eastAsia="en-AU"/>
        </w:rPr>
        <w:t>, of course,</w:t>
      </w:r>
      <w:r w:rsidR="00B97AED" w:rsidRPr="00924038">
        <w:rPr>
          <w:rFonts w:eastAsia="Times New Roman"/>
          <w:szCs w:val="24"/>
          <w:lang w:eastAsia="en-AU"/>
        </w:rPr>
        <w:t xml:space="preserve"> which are also represented </w:t>
      </w:r>
      <w:r w:rsidR="00074C23" w:rsidRPr="00924038">
        <w:rPr>
          <w:rFonts w:eastAsia="Times New Roman"/>
          <w:szCs w:val="24"/>
          <w:lang w:eastAsia="en-AU"/>
        </w:rPr>
        <w:t xml:space="preserve">in </w:t>
      </w:r>
      <w:r w:rsidR="00B97AED" w:rsidRPr="00924038">
        <w:rPr>
          <w:rFonts w:eastAsia="Times New Roman"/>
          <w:szCs w:val="24"/>
          <w:lang w:eastAsia="en-AU"/>
        </w:rPr>
        <w:t>other class action</w:t>
      </w:r>
      <w:r w:rsidR="00074C23" w:rsidRPr="00924038">
        <w:rPr>
          <w:rFonts w:eastAsia="Times New Roman"/>
          <w:szCs w:val="24"/>
          <w:lang w:eastAsia="en-AU"/>
        </w:rPr>
        <w:t>s</w:t>
      </w:r>
      <w:r w:rsidR="00B97AED" w:rsidRPr="00924038">
        <w:rPr>
          <w:rFonts w:eastAsia="Times New Roman"/>
          <w:szCs w:val="24"/>
          <w:lang w:eastAsia="en-AU"/>
        </w:rPr>
        <w:t>.</w:t>
      </w:r>
    </w:p>
    <w:p w:rsidR="00B97AED" w:rsidRPr="00924038" w:rsidRDefault="00B97AED" w:rsidP="00B97AED">
      <w:pPr>
        <w:pStyle w:val="ParaNumbering"/>
        <w:rPr>
          <w:szCs w:val="24"/>
          <w:lang w:eastAsia="en-AU"/>
        </w:rPr>
      </w:pPr>
      <w:r w:rsidRPr="00924038">
        <w:rPr>
          <w:rFonts w:eastAsia="Times New Roman"/>
          <w:szCs w:val="24"/>
          <w:lang w:eastAsia="en-AU"/>
        </w:rPr>
        <w:t xml:space="preserve">Moreover, I consider that this construction, faithful to the text of the provision, is also to be preferred when one has regard to context generally and </w:t>
      </w:r>
      <w:r w:rsidR="00754BCF" w:rsidRPr="00924038">
        <w:rPr>
          <w:rFonts w:eastAsia="Times New Roman"/>
          <w:szCs w:val="24"/>
          <w:lang w:eastAsia="en-AU"/>
        </w:rPr>
        <w:t xml:space="preserve">to </w:t>
      </w:r>
      <w:r w:rsidRPr="00924038">
        <w:rPr>
          <w:szCs w:val="24"/>
          <w:lang w:eastAsia="en-AU"/>
        </w:rPr>
        <w:t xml:space="preserve">s 15AA of the </w:t>
      </w:r>
      <w:r w:rsidRPr="00924038">
        <w:rPr>
          <w:i/>
          <w:iCs/>
          <w:szCs w:val="24"/>
          <w:lang w:eastAsia="en-AU"/>
        </w:rPr>
        <w:t>Acts Interpretation Act 1901</w:t>
      </w:r>
      <w:r w:rsidRPr="00924038">
        <w:rPr>
          <w:szCs w:val="24"/>
          <w:lang w:eastAsia="en-AU"/>
        </w:rPr>
        <w:t xml:space="preserve"> (Cth) (because it is a construction that would promote </w:t>
      </w:r>
      <w:r w:rsidR="00B036AB">
        <w:rPr>
          <w:szCs w:val="24"/>
          <w:lang w:eastAsia="en-AU"/>
        </w:rPr>
        <w:t xml:space="preserve">s 33N’s evident </w:t>
      </w:r>
      <w:r w:rsidRPr="00924038">
        <w:rPr>
          <w:szCs w:val="24"/>
          <w:lang w:eastAsia="en-AU"/>
        </w:rPr>
        <w:t xml:space="preserve">purpose </w:t>
      </w:r>
      <w:r w:rsidR="00B036AB">
        <w:rPr>
          <w:szCs w:val="24"/>
          <w:lang w:eastAsia="en-AU"/>
        </w:rPr>
        <w:t>of being a ‘</w:t>
      </w:r>
      <w:r w:rsidRPr="00924038">
        <w:rPr>
          <w:szCs w:val="24"/>
          <w:lang w:eastAsia="en-AU"/>
        </w:rPr>
        <w:t>control</w:t>
      </w:r>
      <w:r w:rsidR="00B036AB">
        <w:rPr>
          <w:szCs w:val="24"/>
          <w:lang w:eastAsia="en-AU"/>
        </w:rPr>
        <w:t>’ mechanism to allow for the</w:t>
      </w:r>
      <w:r w:rsidRPr="00924038">
        <w:rPr>
          <w:szCs w:val="24"/>
          <w:lang w:eastAsia="en-AU"/>
        </w:rPr>
        <w:t xml:space="preserve"> efficient management of </w:t>
      </w:r>
      <w:r w:rsidR="00B036AB">
        <w:rPr>
          <w:szCs w:val="24"/>
          <w:lang w:eastAsia="en-AU"/>
        </w:rPr>
        <w:t xml:space="preserve">regularly commenced </w:t>
      </w:r>
      <w:r w:rsidRPr="00924038">
        <w:rPr>
          <w:szCs w:val="24"/>
          <w:lang w:eastAsia="en-AU"/>
        </w:rPr>
        <w:t>class actions pursuant to Part IVA of the Act).</w:t>
      </w:r>
    </w:p>
    <w:p w:rsidR="00E84440" w:rsidRPr="00924038" w:rsidRDefault="00D25621" w:rsidP="00B97AED">
      <w:pPr>
        <w:pStyle w:val="ParaNumbering"/>
        <w:rPr>
          <w:rFonts w:eastAsia="Times New Roman"/>
          <w:szCs w:val="24"/>
          <w:lang w:val="en-US" w:eastAsia="en-AU"/>
        </w:rPr>
      </w:pPr>
      <w:r w:rsidRPr="00924038">
        <w:rPr>
          <w:rFonts w:eastAsia="Times New Roman"/>
          <w:szCs w:val="24"/>
          <w:lang w:val="en-US" w:eastAsia="en-AU"/>
        </w:rPr>
        <w:t>Two</w:t>
      </w:r>
      <w:r w:rsidR="00E84440" w:rsidRPr="00924038">
        <w:rPr>
          <w:rFonts w:eastAsia="Times New Roman"/>
          <w:szCs w:val="24"/>
          <w:lang w:val="en-US" w:eastAsia="en-AU"/>
        </w:rPr>
        <w:t xml:space="preserve"> matters can be immediately observed about s 33N(1):</w:t>
      </w:r>
    </w:p>
    <w:p w:rsidR="00E84440" w:rsidRDefault="00E84440" w:rsidP="00744C10">
      <w:pPr>
        <w:pStyle w:val="Order2"/>
        <w:numPr>
          <w:ilvl w:val="1"/>
          <w:numId w:val="32"/>
        </w:numPr>
        <w:rPr>
          <w:rFonts w:eastAsia="Times New Roman"/>
          <w:szCs w:val="24"/>
          <w:lang w:eastAsia="en-AU"/>
        </w:rPr>
      </w:pPr>
      <w:r w:rsidRPr="00FB5D3C">
        <w:rPr>
          <w:rFonts w:eastAsia="Times New Roman"/>
          <w:i/>
          <w:szCs w:val="24"/>
          <w:lang w:eastAsia="en-AU"/>
        </w:rPr>
        <w:t>first</w:t>
      </w:r>
      <w:r w:rsidRPr="00FB5D3C">
        <w:rPr>
          <w:rFonts w:eastAsia="Times New Roman"/>
          <w:szCs w:val="24"/>
          <w:lang w:eastAsia="en-AU"/>
        </w:rPr>
        <w:t xml:space="preserve">, the section is part of an integrated scheme; its role is partly as a safeguard against inapt or maladroit use of the </w:t>
      </w:r>
      <w:r w:rsidR="00754BCF" w:rsidRPr="00FB5D3C">
        <w:rPr>
          <w:rFonts w:eastAsia="Times New Roman"/>
          <w:szCs w:val="24"/>
          <w:lang w:eastAsia="en-AU"/>
        </w:rPr>
        <w:t>representative proceeding</w:t>
      </w:r>
      <w:r w:rsidRPr="00FB5D3C">
        <w:rPr>
          <w:rFonts w:eastAsia="Times New Roman"/>
          <w:szCs w:val="24"/>
          <w:lang w:eastAsia="en-AU"/>
        </w:rPr>
        <w:t xml:space="preserve"> regime in circumstances where that scheme allows class actions to be commenced without the constraints of consent or permission of group members or the Court;</w:t>
      </w:r>
    </w:p>
    <w:p w:rsidR="00FB5D3C" w:rsidRPr="00FB5D3C" w:rsidRDefault="00FB5D3C" w:rsidP="00744C10">
      <w:pPr>
        <w:pStyle w:val="Order2"/>
        <w:numPr>
          <w:ilvl w:val="1"/>
          <w:numId w:val="32"/>
        </w:numPr>
        <w:rPr>
          <w:rFonts w:eastAsia="Times New Roman"/>
          <w:szCs w:val="24"/>
          <w:lang w:eastAsia="en-AU"/>
        </w:rPr>
      </w:pPr>
      <w:r w:rsidRPr="00924038">
        <w:rPr>
          <w:i/>
        </w:rPr>
        <w:t>secondly</w:t>
      </w:r>
      <w:r w:rsidRPr="00924038">
        <w:t xml:space="preserve">, the discretion to be exercised is a statutory discretion which requires formation of one or other particular opinions or judgments of the type referred to in </w:t>
      </w:r>
      <w:r w:rsidRPr="00924038">
        <w:rPr>
          <w:i/>
        </w:rPr>
        <w:t xml:space="preserve">Coal and Allied Operations Pty Ltd v Australian Industrial Relations Commission </w:t>
      </w:r>
      <w:r w:rsidRPr="00924038">
        <w:t xml:space="preserve">[2000] HCA 47; (2000) 203 CLR 194 at 204-205 [19] (Gleeson CJ, Gaudron and Hayne JJ).  At first glance, the discretion created in the opening words of the section may be thought to be a discretion limited only by </w:t>
      </w:r>
      <w:r w:rsidRPr="00924038">
        <w:lastRenderedPageBreak/>
        <w:t>subject matter, because the controlling discretionary opinion incorporates a concept of some breadth, viz “</w:t>
      </w:r>
      <w:r w:rsidRPr="00924038">
        <w:rPr>
          <w:i/>
        </w:rPr>
        <w:t>the interests of justice</w:t>
      </w:r>
      <w:r w:rsidRPr="00924038">
        <w:t>”</w:t>
      </w:r>
      <w:proofErr w:type="gramStart"/>
      <w:r w:rsidRPr="00924038">
        <w:t xml:space="preserve">. </w:t>
      </w:r>
      <w:proofErr w:type="gramEnd"/>
      <w:r w:rsidRPr="00924038">
        <w:t xml:space="preserve">This would be an error, however, as consideration of this broad evaluative concept only arises if it is established that some or all of the circumstances described in ss </w:t>
      </w:r>
      <w:proofErr w:type="gramStart"/>
      <w:r w:rsidRPr="00924038">
        <w:t>33N(</w:t>
      </w:r>
      <w:proofErr w:type="gramEnd"/>
      <w:r w:rsidRPr="00924038">
        <w:t>1)(a)-(c) are present or, if not, s 33N(1)(d) is engaged</w:t>
      </w:r>
      <w:r w:rsidRPr="00924038">
        <w:rPr>
          <w:rFonts w:eastAsia="Times New Roman"/>
          <w:szCs w:val="24"/>
          <w:lang w:val="en-US" w:eastAsia="en-AU"/>
        </w:rPr>
        <w:t>.</w:t>
      </w:r>
    </w:p>
    <w:p w:rsidR="007F0062" w:rsidRPr="00924038" w:rsidRDefault="007F0062" w:rsidP="007F0062">
      <w:pPr>
        <w:pStyle w:val="ParaNumbering"/>
        <w:rPr>
          <w:rFonts w:eastAsia="Times New Roman"/>
          <w:szCs w:val="24"/>
          <w:lang w:val="en-US" w:eastAsia="en-AU"/>
        </w:rPr>
      </w:pPr>
      <w:r w:rsidRPr="00924038">
        <w:rPr>
          <w:rFonts w:eastAsia="Times New Roman"/>
          <w:szCs w:val="24"/>
          <w:lang w:val="en-US" w:eastAsia="en-AU"/>
        </w:rPr>
        <w:t xml:space="preserve">The first of these points is of </w:t>
      </w:r>
      <w:r w:rsidR="00D050C4" w:rsidRPr="00924038">
        <w:rPr>
          <w:rFonts w:eastAsia="Times New Roman"/>
          <w:szCs w:val="24"/>
          <w:lang w:val="en-US" w:eastAsia="en-AU"/>
        </w:rPr>
        <w:t xml:space="preserve">real </w:t>
      </w:r>
      <w:r w:rsidRPr="00924038">
        <w:rPr>
          <w:rFonts w:eastAsia="Times New Roman"/>
          <w:szCs w:val="24"/>
          <w:lang w:val="en-US" w:eastAsia="en-AU"/>
        </w:rPr>
        <w:t xml:space="preserve">significance.  </w:t>
      </w:r>
      <w:r w:rsidRPr="00924038">
        <w:rPr>
          <w:lang w:val="en-US"/>
        </w:rPr>
        <w:t>The ALRC</w:t>
      </w:r>
      <w:r w:rsidR="00754BCF" w:rsidRPr="00924038">
        <w:rPr>
          <w:lang w:val="en-US"/>
        </w:rPr>
        <w:t>,</w:t>
      </w:r>
      <w:r w:rsidRPr="00924038">
        <w:rPr>
          <w:lang w:val="en-US"/>
        </w:rPr>
        <w:t xml:space="preserve"> in the ALRC Report </w:t>
      </w:r>
      <w:r w:rsidR="00D050C4" w:rsidRPr="00924038">
        <w:rPr>
          <w:lang w:val="en-US"/>
        </w:rPr>
        <w:t>(at 63-</w:t>
      </w:r>
      <w:r w:rsidR="00754BCF" w:rsidRPr="00924038">
        <w:rPr>
          <w:lang w:val="en-US"/>
        </w:rPr>
        <w:t>6</w:t>
      </w:r>
      <w:r w:rsidR="00D050C4" w:rsidRPr="00924038">
        <w:rPr>
          <w:lang w:val="en-US"/>
        </w:rPr>
        <w:t>4 [147])</w:t>
      </w:r>
      <w:r w:rsidR="00754BCF" w:rsidRPr="00924038">
        <w:rPr>
          <w:lang w:val="en-US"/>
        </w:rPr>
        <w:t>,</w:t>
      </w:r>
      <w:r w:rsidR="00D050C4" w:rsidRPr="00924038">
        <w:rPr>
          <w:lang w:val="en-US"/>
        </w:rPr>
        <w:t xml:space="preserve"> </w:t>
      </w:r>
      <w:r w:rsidRPr="00924038">
        <w:rPr>
          <w:lang w:val="en-US"/>
        </w:rPr>
        <w:t>rejected a certification procedure in definitive terms</w:t>
      </w:r>
      <w:r w:rsidR="00754BCF" w:rsidRPr="00924038">
        <w:rPr>
          <w:lang w:val="en-US"/>
        </w:rPr>
        <w:t>,</w:t>
      </w:r>
      <w:r w:rsidRPr="00924038">
        <w:rPr>
          <w:lang w:val="en-US"/>
        </w:rPr>
        <w:t xml:space="preserve"> concluding that </w:t>
      </w:r>
      <w:r w:rsidR="00D050C4" w:rsidRPr="00924038">
        <w:rPr>
          <w:lang w:val="en-US"/>
        </w:rPr>
        <w:t>there was</w:t>
      </w:r>
      <w:r w:rsidRPr="00924038">
        <w:rPr>
          <w:lang w:val="en-US"/>
        </w:rPr>
        <w:t xml:space="preserve"> </w:t>
      </w:r>
      <w:r w:rsidR="00754BCF" w:rsidRPr="00924038">
        <w:rPr>
          <w:lang w:val="en-US"/>
        </w:rPr>
        <w:t>“</w:t>
      </w:r>
      <w:r w:rsidRPr="00924038">
        <w:rPr>
          <w:i/>
          <w:iCs/>
          <w:lang w:val="en-US"/>
        </w:rPr>
        <w:t>no value in imposing an additional costly procedure, with a strong risk of appeals involving further delay and expense, which will not achieve the aims of protecting parties or ensuring efficiency</w:t>
      </w:r>
      <w:r w:rsidR="00754BCF" w:rsidRPr="00924038">
        <w:rPr>
          <w:lang w:val="en-US"/>
        </w:rPr>
        <w:t>”</w:t>
      </w:r>
      <w:r w:rsidRPr="00924038">
        <w:rPr>
          <w:lang w:val="en-US"/>
        </w:rPr>
        <w:t>.</w:t>
      </w:r>
      <w:r w:rsidR="00D050C4" w:rsidRPr="00924038">
        <w:rPr>
          <w:lang w:val="en-US"/>
        </w:rPr>
        <w:t xml:space="preserve">  This was notwithstanding that </w:t>
      </w:r>
      <w:r w:rsidRPr="00B036AB">
        <w:rPr>
          <w:rFonts w:eastAsia="Times New Roman"/>
          <w:szCs w:val="24"/>
          <w:lang w:val="en-US" w:eastAsia="en-AU"/>
        </w:rPr>
        <w:t xml:space="preserve">the </w:t>
      </w:r>
      <w:r w:rsidR="00B036AB" w:rsidRPr="00B036AB">
        <w:rPr>
          <w:rFonts w:eastAsia="Times New Roman"/>
          <w:szCs w:val="24"/>
          <w:lang w:val="en-US" w:eastAsia="en-AU"/>
        </w:rPr>
        <w:t>‘</w:t>
      </w:r>
      <w:r w:rsidRPr="00B036AB">
        <w:rPr>
          <w:rFonts w:eastAsia="Times New Roman"/>
          <w:iCs/>
          <w:szCs w:val="24"/>
          <w:lang w:val="en-US" w:eastAsia="en-AU"/>
        </w:rPr>
        <w:t>gateway</w:t>
      </w:r>
      <w:r w:rsidR="00B036AB" w:rsidRPr="00B036AB">
        <w:rPr>
          <w:rFonts w:eastAsia="Times New Roman"/>
          <w:iCs/>
          <w:szCs w:val="24"/>
          <w:lang w:val="en-US" w:eastAsia="en-AU"/>
        </w:rPr>
        <w:t>’</w:t>
      </w:r>
      <w:r w:rsidRPr="00924038">
        <w:rPr>
          <w:rFonts w:eastAsia="Times New Roman"/>
          <w:i/>
          <w:iCs/>
          <w:szCs w:val="24"/>
          <w:lang w:val="en-US" w:eastAsia="en-AU"/>
        </w:rPr>
        <w:t xml:space="preserve"> </w:t>
      </w:r>
      <w:r w:rsidR="00D050C4" w:rsidRPr="00924038">
        <w:rPr>
          <w:rFonts w:eastAsia="Times New Roman"/>
          <w:szCs w:val="24"/>
          <w:lang w:val="en-US" w:eastAsia="en-AU"/>
        </w:rPr>
        <w:t>requirements to Part IVA we</w:t>
      </w:r>
      <w:r w:rsidRPr="00924038">
        <w:rPr>
          <w:rFonts w:eastAsia="Times New Roman"/>
          <w:szCs w:val="24"/>
          <w:lang w:val="en-US" w:eastAsia="en-AU"/>
        </w:rPr>
        <w:t xml:space="preserve">re </w:t>
      </w:r>
      <w:r w:rsidR="00D050C4" w:rsidRPr="00924038">
        <w:rPr>
          <w:rFonts w:eastAsia="Times New Roman"/>
          <w:szCs w:val="24"/>
          <w:lang w:val="en-US" w:eastAsia="en-AU"/>
        </w:rPr>
        <w:t xml:space="preserve">deliberately </w:t>
      </w:r>
      <w:r w:rsidRPr="00924038">
        <w:rPr>
          <w:rFonts w:eastAsia="Times New Roman"/>
          <w:szCs w:val="24"/>
          <w:lang w:val="en-US" w:eastAsia="en-AU"/>
        </w:rPr>
        <w:t>undemanding; so undemanding that Part IVA requires only that a representative party surmount the s 33C criteria and have a sufficient interest to afford standing to bring the action; this is true even if the representative party subsequently ceases to have a claim against the respondent: s 33D.</w:t>
      </w:r>
    </w:p>
    <w:p w:rsidR="007F0062" w:rsidRPr="00924038" w:rsidRDefault="00D050C4" w:rsidP="007F0062">
      <w:pPr>
        <w:pStyle w:val="ParaNumbering"/>
        <w:rPr>
          <w:rFonts w:eastAsia="Times New Roman"/>
          <w:szCs w:val="24"/>
          <w:lang w:val="en-US" w:eastAsia="en-AU"/>
        </w:rPr>
      </w:pPr>
      <w:r w:rsidRPr="00924038">
        <w:rPr>
          <w:rFonts w:eastAsia="Times New Roman"/>
          <w:szCs w:val="24"/>
          <w:lang w:val="en-US" w:eastAsia="en-AU"/>
        </w:rPr>
        <w:t xml:space="preserve">The rejection of certification was considered appropriate because embedded in the </w:t>
      </w:r>
      <w:r w:rsidR="00754BCF" w:rsidRPr="00924038">
        <w:rPr>
          <w:rFonts w:eastAsia="Times New Roman"/>
          <w:szCs w:val="24"/>
          <w:lang w:val="en-US" w:eastAsia="en-AU"/>
        </w:rPr>
        <w:t xml:space="preserve">proposed </w:t>
      </w:r>
      <w:r w:rsidRPr="00924038">
        <w:rPr>
          <w:rFonts w:eastAsia="Times New Roman"/>
          <w:szCs w:val="24"/>
          <w:lang w:val="en-US" w:eastAsia="en-AU"/>
        </w:rPr>
        <w:t xml:space="preserve">Bill were protections and safeguards that existed both for group members and more generally.  In </w:t>
      </w:r>
      <w:r w:rsidR="007F0062" w:rsidRPr="00924038">
        <w:rPr>
          <w:rFonts w:eastAsia="Times New Roman"/>
          <w:szCs w:val="24"/>
          <w:lang w:val="en-US" w:eastAsia="en-AU"/>
        </w:rPr>
        <w:t>addition to specific protections for group members to opt</w:t>
      </w:r>
      <w:r w:rsidR="007E6739">
        <w:rPr>
          <w:rFonts w:eastAsia="Times New Roman"/>
          <w:szCs w:val="24"/>
          <w:lang w:val="en-US" w:eastAsia="en-AU"/>
        </w:rPr>
        <w:t xml:space="preserve"> </w:t>
      </w:r>
      <w:r w:rsidR="00754BCF" w:rsidRPr="00924038">
        <w:rPr>
          <w:rFonts w:eastAsia="Times New Roman"/>
          <w:szCs w:val="24"/>
          <w:lang w:val="en-US" w:eastAsia="en-AU"/>
        </w:rPr>
        <w:t>out</w:t>
      </w:r>
      <w:r w:rsidR="007F0062" w:rsidRPr="00924038">
        <w:rPr>
          <w:rFonts w:eastAsia="Times New Roman"/>
          <w:szCs w:val="24"/>
          <w:lang w:val="en-US" w:eastAsia="en-AU"/>
        </w:rPr>
        <w:t xml:space="preserve"> (s 33J); seek substitution (s</w:t>
      </w:r>
      <w:r w:rsidR="00754BCF" w:rsidRPr="00924038">
        <w:rPr>
          <w:rFonts w:eastAsia="Times New Roman"/>
          <w:szCs w:val="24"/>
          <w:lang w:val="en-US" w:eastAsia="en-AU"/>
        </w:rPr>
        <w:t> </w:t>
      </w:r>
      <w:r w:rsidR="007F0062" w:rsidRPr="00924038">
        <w:rPr>
          <w:rFonts w:eastAsia="Times New Roman"/>
          <w:szCs w:val="24"/>
          <w:lang w:val="en-US" w:eastAsia="en-AU"/>
        </w:rPr>
        <w:t>33T); and the right to be notified (s 33Y)</w:t>
      </w:r>
      <w:r w:rsidRPr="00924038">
        <w:rPr>
          <w:rFonts w:eastAsia="Times New Roman"/>
          <w:szCs w:val="24"/>
          <w:lang w:val="en-US" w:eastAsia="en-AU"/>
        </w:rPr>
        <w:t xml:space="preserve">, </w:t>
      </w:r>
      <w:r w:rsidR="00754BCF" w:rsidRPr="00924038">
        <w:rPr>
          <w:rFonts w:eastAsia="Times New Roman"/>
          <w:szCs w:val="24"/>
          <w:lang w:val="en-US" w:eastAsia="en-AU"/>
        </w:rPr>
        <w:t xml:space="preserve">there exists </w:t>
      </w:r>
      <w:r w:rsidRPr="00924038">
        <w:rPr>
          <w:rFonts w:eastAsia="Times New Roman"/>
          <w:szCs w:val="24"/>
          <w:lang w:val="en-US" w:eastAsia="en-AU"/>
        </w:rPr>
        <w:t>the</w:t>
      </w:r>
      <w:r w:rsidR="00A7070E" w:rsidRPr="00924038">
        <w:rPr>
          <w:rFonts w:eastAsia="Times New Roman"/>
          <w:szCs w:val="24"/>
          <w:lang w:val="en-US" w:eastAsia="en-AU"/>
        </w:rPr>
        <w:t xml:space="preserve"> general safeguard</w:t>
      </w:r>
      <w:r w:rsidR="00754BCF" w:rsidRPr="00924038">
        <w:rPr>
          <w:rFonts w:eastAsia="Times New Roman"/>
          <w:szCs w:val="24"/>
          <w:lang w:val="en-US" w:eastAsia="en-AU"/>
        </w:rPr>
        <w:t>,</w:t>
      </w:r>
      <w:r w:rsidR="007F0062" w:rsidRPr="00924038">
        <w:rPr>
          <w:rFonts w:eastAsia="Times New Roman"/>
          <w:szCs w:val="24"/>
          <w:lang w:val="en-US" w:eastAsia="en-AU"/>
        </w:rPr>
        <w:t xml:space="preserve"> being s 33N.</w:t>
      </w:r>
    </w:p>
    <w:p w:rsidR="007F0062" w:rsidRPr="00924038" w:rsidRDefault="00D050C4" w:rsidP="007F0062">
      <w:pPr>
        <w:pStyle w:val="ParaNumbering"/>
        <w:rPr>
          <w:rFonts w:eastAsia="Times New Roman"/>
          <w:szCs w:val="24"/>
          <w:lang w:val="en-US" w:eastAsia="en-AU"/>
        </w:rPr>
      </w:pPr>
      <w:r w:rsidRPr="00924038">
        <w:rPr>
          <w:rFonts w:eastAsia="Times New Roman"/>
          <w:szCs w:val="24"/>
          <w:lang w:val="en-US" w:eastAsia="en-AU"/>
        </w:rPr>
        <w:t>Of course</w:t>
      </w:r>
      <w:r w:rsidR="007F0062" w:rsidRPr="00924038">
        <w:rPr>
          <w:rFonts w:eastAsia="Times New Roman"/>
          <w:szCs w:val="24"/>
          <w:lang w:val="en-US" w:eastAsia="en-AU"/>
        </w:rPr>
        <w:t xml:space="preserve">, </w:t>
      </w:r>
      <w:r w:rsidRPr="00924038">
        <w:rPr>
          <w:rFonts w:eastAsia="Times New Roman"/>
          <w:szCs w:val="24"/>
          <w:lang w:val="en-US" w:eastAsia="en-AU"/>
        </w:rPr>
        <w:t xml:space="preserve">any consideration of s 33N must recognise that </w:t>
      </w:r>
      <w:r w:rsidR="00D365B3" w:rsidRPr="00924038">
        <w:rPr>
          <w:rFonts w:eastAsia="Times New Roman"/>
          <w:szCs w:val="24"/>
          <w:lang w:val="en-US" w:eastAsia="en-AU"/>
        </w:rPr>
        <w:t xml:space="preserve">a </w:t>
      </w:r>
      <w:r w:rsidR="00D96362">
        <w:rPr>
          <w:rFonts w:eastAsia="Times New Roman"/>
          <w:szCs w:val="24"/>
          <w:lang w:val="en-US" w:eastAsia="en-AU"/>
        </w:rPr>
        <w:t>pre</w:t>
      </w:r>
      <w:r w:rsidR="00BA431D" w:rsidRPr="00924038">
        <w:rPr>
          <w:rFonts w:eastAsia="Times New Roman"/>
          <w:szCs w:val="24"/>
          <w:lang w:val="en-US" w:eastAsia="en-AU"/>
        </w:rPr>
        <w:t>condition</w:t>
      </w:r>
      <w:r w:rsidR="007F0062" w:rsidRPr="00924038">
        <w:rPr>
          <w:rFonts w:eastAsia="Times New Roman"/>
          <w:szCs w:val="24"/>
          <w:lang w:val="en-US" w:eastAsia="en-AU"/>
        </w:rPr>
        <w:t xml:space="preserve"> for this safeguard </w:t>
      </w:r>
      <w:r w:rsidR="00BA431D" w:rsidRPr="00924038">
        <w:rPr>
          <w:rFonts w:eastAsia="Times New Roman"/>
          <w:szCs w:val="24"/>
          <w:lang w:val="en-US" w:eastAsia="en-AU"/>
        </w:rPr>
        <w:t xml:space="preserve">being engaged </w:t>
      </w:r>
      <w:r w:rsidR="007F0062" w:rsidRPr="00924038">
        <w:rPr>
          <w:rFonts w:eastAsia="Times New Roman"/>
          <w:szCs w:val="24"/>
          <w:lang w:val="en-US" w:eastAsia="en-AU"/>
        </w:rPr>
        <w:t>is that a properly constituted representative proceeding, passin</w:t>
      </w:r>
      <w:r w:rsidRPr="00924038">
        <w:rPr>
          <w:rFonts w:eastAsia="Times New Roman"/>
          <w:szCs w:val="24"/>
          <w:lang w:val="en-US" w:eastAsia="en-AU"/>
        </w:rPr>
        <w:t>g through the s</w:t>
      </w:r>
      <w:r w:rsidR="00D96362">
        <w:rPr>
          <w:rFonts w:eastAsia="Times New Roman"/>
          <w:szCs w:val="24"/>
          <w:lang w:val="en-US" w:eastAsia="en-AU"/>
        </w:rPr>
        <w:t> </w:t>
      </w:r>
      <w:r w:rsidRPr="00924038">
        <w:rPr>
          <w:rFonts w:eastAsia="Times New Roman"/>
          <w:szCs w:val="24"/>
          <w:lang w:val="en-US" w:eastAsia="en-AU"/>
        </w:rPr>
        <w:t>33C and</w:t>
      </w:r>
      <w:r w:rsidR="00A7070E" w:rsidRPr="00924038">
        <w:rPr>
          <w:rFonts w:eastAsia="Times New Roman"/>
          <w:szCs w:val="24"/>
          <w:lang w:val="en-US" w:eastAsia="en-AU"/>
        </w:rPr>
        <w:t xml:space="preserve"> s 33</w:t>
      </w:r>
      <w:r w:rsidRPr="00924038">
        <w:rPr>
          <w:rFonts w:eastAsia="Times New Roman"/>
          <w:szCs w:val="24"/>
          <w:lang w:val="en-US" w:eastAsia="en-AU"/>
        </w:rPr>
        <w:t>H gateway</w:t>
      </w:r>
      <w:r w:rsidR="007F0062" w:rsidRPr="00924038">
        <w:rPr>
          <w:rFonts w:eastAsia="Times New Roman"/>
          <w:szCs w:val="24"/>
          <w:lang w:val="en-US" w:eastAsia="en-AU"/>
        </w:rPr>
        <w:t xml:space="preserve"> provisions, is before the Court. </w:t>
      </w:r>
      <w:r w:rsidRPr="00924038">
        <w:rPr>
          <w:rFonts w:eastAsia="Times New Roman"/>
          <w:szCs w:val="24"/>
          <w:lang w:val="en-US" w:eastAsia="en-AU"/>
        </w:rPr>
        <w:t xml:space="preserve"> The c</w:t>
      </w:r>
      <w:r w:rsidR="007F0062" w:rsidRPr="00924038">
        <w:rPr>
          <w:rFonts w:eastAsia="Times New Roman"/>
          <w:szCs w:val="24"/>
          <w:lang w:val="en-US" w:eastAsia="en-AU"/>
        </w:rPr>
        <w:t xml:space="preserve">onstitution and continuation </w:t>
      </w:r>
      <w:r w:rsidRPr="00924038">
        <w:rPr>
          <w:rFonts w:eastAsia="Times New Roman"/>
          <w:szCs w:val="24"/>
          <w:lang w:val="en-US" w:eastAsia="en-AU"/>
        </w:rPr>
        <w:t xml:space="preserve">of a class action </w:t>
      </w:r>
      <w:r w:rsidR="007F0062" w:rsidRPr="00924038">
        <w:rPr>
          <w:rFonts w:eastAsia="Times New Roman"/>
          <w:szCs w:val="24"/>
          <w:lang w:val="en-US" w:eastAsia="en-AU"/>
        </w:rPr>
        <w:t>are two distinct matters t</w:t>
      </w:r>
      <w:r w:rsidRPr="00924038">
        <w:rPr>
          <w:rFonts w:eastAsia="Times New Roman"/>
          <w:szCs w:val="24"/>
          <w:lang w:val="en-US" w:eastAsia="en-AU"/>
        </w:rPr>
        <w:t>hat must be kept quite separate.</w:t>
      </w:r>
    </w:p>
    <w:p w:rsidR="007F0062" w:rsidRPr="00924038" w:rsidRDefault="007F0062" w:rsidP="007F0062">
      <w:pPr>
        <w:pStyle w:val="ParaNumbering"/>
        <w:rPr>
          <w:rFonts w:ascii="Arial" w:eastAsia="Times New Roman" w:hAnsi="Arial" w:cs="Arial"/>
          <w:szCs w:val="24"/>
          <w:lang w:val="en-US" w:eastAsia="en-AU"/>
        </w:rPr>
      </w:pPr>
      <w:r w:rsidRPr="00924038">
        <w:rPr>
          <w:rFonts w:eastAsia="Times New Roman"/>
          <w:szCs w:val="24"/>
          <w:lang w:val="en-US" w:eastAsia="en-AU"/>
        </w:rPr>
        <w:t xml:space="preserve">The </w:t>
      </w:r>
      <w:r w:rsidR="00D050C4" w:rsidRPr="00924038">
        <w:rPr>
          <w:rFonts w:eastAsia="Times New Roman"/>
          <w:szCs w:val="24"/>
          <w:lang w:val="en-US" w:eastAsia="en-AU"/>
        </w:rPr>
        <w:t xml:space="preserve">broader context of the s 33N safeguard is that a </w:t>
      </w:r>
      <w:r w:rsidRPr="00924038">
        <w:rPr>
          <w:rFonts w:eastAsia="Times New Roman"/>
          <w:szCs w:val="24"/>
          <w:lang w:val="en-US" w:eastAsia="en-AU"/>
        </w:rPr>
        <w:t xml:space="preserve">policy choice was </w:t>
      </w:r>
      <w:r w:rsidR="00754BCF" w:rsidRPr="00924038">
        <w:rPr>
          <w:rFonts w:eastAsia="Times New Roman"/>
          <w:szCs w:val="24"/>
          <w:lang w:val="en-US" w:eastAsia="en-AU"/>
        </w:rPr>
        <w:t xml:space="preserve">made </w:t>
      </w:r>
      <w:r w:rsidRPr="00924038">
        <w:rPr>
          <w:rFonts w:eastAsia="Times New Roman"/>
          <w:szCs w:val="24"/>
          <w:lang w:val="en-US" w:eastAsia="en-AU"/>
        </w:rPr>
        <w:t>to adopt a scheme providing ease of commencemen</w:t>
      </w:r>
      <w:r w:rsidR="00D050C4" w:rsidRPr="00924038">
        <w:rPr>
          <w:rFonts w:eastAsia="Times New Roman"/>
          <w:szCs w:val="24"/>
          <w:lang w:val="en-US" w:eastAsia="en-AU"/>
        </w:rPr>
        <w:t xml:space="preserve">t, tempered by a discretionary control </w:t>
      </w:r>
      <w:r w:rsidRPr="00924038">
        <w:rPr>
          <w:rFonts w:eastAsia="Times New Roman"/>
          <w:szCs w:val="24"/>
          <w:lang w:val="en-US" w:eastAsia="en-AU"/>
        </w:rPr>
        <w:t>mechanism</w:t>
      </w:r>
      <w:r w:rsidR="00D050C4" w:rsidRPr="00924038">
        <w:rPr>
          <w:rFonts w:eastAsia="Times New Roman"/>
          <w:szCs w:val="24"/>
          <w:lang w:val="en-US" w:eastAsia="en-AU"/>
        </w:rPr>
        <w:t xml:space="preserve"> if the preconditions for its exercise were present</w:t>
      </w:r>
      <w:r w:rsidRPr="00924038">
        <w:rPr>
          <w:rFonts w:eastAsia="Times New Roman"/>
          <w:szCs w:val="24"/>
          <w:lang w:val="en-US" w:eastAsia="en-AU"/>
        </w:rPr>
        <w:t xml:space="preserve">. </w:t>
      </w:r>
      <w:r w:rsidR="00D050C4" w:rsidRPr="00924038">
        <w:rPr>
          <w:rFonts w:eastAsia="Times New Roman"/>
          <w:szCs w:val="24"/>
          <w:lang w:val="en-US" w:eastAsia="en-AU"/>
        </w:rPr>
        <w:t xml:space="preserve"> Se</w:t>
      </w:r>
      <w:r w:rsidR="00B036AB">
        <w:rPr>
          <w:rFonts w:eastAsia="Times New Roman"/>
          <w:szCs w:val="24"/>
          <w:lang w:val="en-US" w:eastAsia="en-AU"/>
        </w:rPr>
        <w:t>ction 33N represents</w:t>
      </w:r>
      <w:r w:rsidR="00A7070E" w:rsidRPr="00924038">
        <w:rPr>
          <w:rFonts w:eastAsia="Times New Roman"/>
          <w:szCs w:val="24"/>
          <w:lang w:val="en-US" w:eastAsia="en-AU"/>
        </w:rPr>
        <w:t xml:space="preserve"> a discipline </w:t>
      </w:r>
      <w:r w:rsidR="00D050C4" w:rsidRPr="00924038">
        <w:rPr>
          <w:rFonts w:eastAsia="Times New Roman"/>
          <w:szCs w:val="24"/>
          <w:lang w:val="en-US" w:eastAsia="en-AU"/>
        </w:rPr>
        <w:t xml:space="preserve">necessary because of the rejection of certification and the consequence of that rejection, ease of commencement.  In my view, </w:t>
      </w:r>
      <w:r w:rsidR="00A7070E" w:rsidRPr="00924038">
        <w:rPr>
          <w:rFonts w:eastAsia="Times New Roman"/>
          <w:szCs w:val="24"/>
          <w:lang w:val="en-US" w:eastAsia="en-AU"/>
        </w:rPr>
        <w:t>this control mechanism</w:t>
      </w:r>
      <w:r w:rsidR="00D050C4" w:rsidRPr="00924038">
        <w:rPr>
          <w:rFonts w:eastAsia="Times New Roman"/>
          <w:szCs w:val="24"/>
          <w:lang w:val="en-US" w:eastAsia="en-AU"/>
        </w:rPr>
        <w:t xml:space="preserve"> should not be construed </w:t>
      </w:r>
      <w:r w:rsidR="00E215F8" w:rsidRPr="00924038">
        <w:rPr>
          <w:rFonts w:eastAsia="Times New Roman"/>
          <w:szCs w:val="24"/>
          <w:lang w:val="en-US" w:eastAsia="en-AU"/>
        </w:rPr>
        <w:t>restrictively</w:t>
      </w:r>
      <w:r w:rsidR="00D050C4" w:rsidRPr="00924038">
        <w:rPr>
          <w:rFonts w:eastAsia="Times New Roman"/>
          <w:szCs w:val="24"/>
          <w:lang w:val="en-US" w:eastAsia="en-AU"/>
        </w:rPr>
        <w:t xml:space="preserve"> such that s </w:t>
      </w:r>
      <w:proofErr w:type="gramStart"/>
      <w:r w:rsidR="00D050C4" w:rsidRPr="00924038">
        <w:rPr>
          <w:rFonts w:eastAsia="Times New Roman"/>
          <w:szCs w:val="24"/>
          <w:lang w:val="en-US" w:eastAsia="en-AU"/>
        </w:rPr>
        <w:t>33N(</w:t>
      </w:r>
      <w:proofErr w:type="gramEnd"/>
      <w:r w:rsidR="00D050C4" w:rsidRPr="00924038">
        <w:rPr>
          <w:rFonts w:eastAsia="Times New Roman"/>
          <w:szCs w:val="24"/>
          <w:lang w:val="en-US" w:eastAsia="en-AU"/>
        </w:rPr>
        <w:t xml:space="preserve">1)(c) is only engaged </w:t>
      </w:r>
      <w:r w:rsidR="00E215F8" w:rsidRPr="00924038">
        <w:rPr>
          <w:rFonts w:eastAsia="Times New Roman"/>
          <w:szCs w:val="24"/>
          <w:lang w:val="en-US" w:eastAsia="en-AU"/>
        </w:rPr>
        <w:t xml:space="preserve">in circumstances of comparison between ordinary proceedings and class actions.  It does not seem to me that just because a class action might have been </w:t>
      </w:r>
      <w:r w:rsidR="00E215F8" w:rsidRPr="00924038">
        <w:rPr>
          <w:rFonts w:eastAsia="Times New Roman"/>
          <w:szCs w:val="24"/>
          <w:lang w:eastAsia="en-AU"/>
        </w:rPr>
        <w:t>an efficient and effective means of dealing with the claims of group members</w:t>
      </w:r>
      <w:r w:rsidR="00E215F8" w:rsidRPr="00924038">
        <w:rPr>
          <w:rFonts w:eastAsia="Times New Roman"/>
          <w:szCs w:val="24"/>
          <w:lang w:val="en-US" w:eastAsia="en-AU"/>
        </w:rPr>
        <w:t xml:space="preserve"> in quite different circumstances (that is, absent another class action)</w:t>
      </w:r>
      <w:r w:rsidR="00754BCF" w:rsidRPr="00924038">
        <w:rPr>
          <w:rFonts w:eastAsia="Times New Roman"/>
          <w:szCs w:val="24"/>
          <w:lang w:val="en-US" w:eastAsia="en-AU"/>
        </w:rPr>
        <w:t>,</w:t>
      </w:r>
      <w:r w:rsidR="00E215F8" w:rsidRPr="00924038">
        <w:rPr>
          <w:rFonts w:eastAsia="Times New Roman"/>
          <w:szCs w:val="24"/>
          <w:lang w:val="en-US" w:eastAsia="en-AU"/>
        </w:rPr>
        <w:t xml:space="preserve"> this is the end of the </w:t>
      </w:r>
      <w:r w:rsidR="00E215F8" w:rsidRPr="00924038">
        <w:rPr>
          <w:rFonts w:eastAsia="Times New Roman"/>
          <w:szCs w:val="24"/>
          <w:lang w:val="en-US" w:eastAsia="en-AU"/>
        </w:rPr>
        <w:lastRenderedPageBreak/>
        <w:t>analysis.  As a matter of logic</w:t>
      </w:r>
      <w:r w:rsidR="00754BCF" w:rsidRPr="00924038">
        <w:rPr>
          <w:rFonts w:eastAsia="Times New Roman"/>
          <w:szCs w:val="24"/>
          <w:lang w:val="en-US" w:eastAsia="en-AU"/>
        </w:rPr>
        <w:t>,</w:t>
      </w:r>
      <w:r w:rsidR="00E215F8" w:rsidRPr="00924038">
        <w:rPr>
          <w:rFonts w:eastAsia="Times New Roman"/>
          <w:szCs w:val="24"/>
          <w:lang w:val="en-US" w:eastAsia="en-AU"/>
        </w:rPr>
        <w:t xml:space="preserve"> it seems to me that the existence of </w:t>
      </w:r>
      <w:r w:rsidR="00754BCF" w:rsidRPr="00924038">
        <w:rPr>
          <w:rFonts w:eastAsia="Times New Roman"/>
          <w:szCs w:val="24"/>
          <w:lang w:val="en-US" w:eastAsia="en-AU"/>
        </w:rPr>
        <w:t xml:space="preserve">a </w:t>
      </w:r>
      <w:r w:rsidR="00E215F8" w:rsidRPr="00924038">
        <w:rPr>
          <w:rFonts w:eastAsia="Times New Roman"/>
          <w:szCs w:val="24"/>
          <w:lang w:val="en-US" w:eastAsia="en-AU"/>
        </w:rPr>
        <w:t xml:space="preserve">more efficient and effective class action could render a competing class action </w:t>
      </w:r>
      <w:r w:rsidR="00E215F8" w:rsidRPr="00924038">
        <w:rPr>
          <w:rFonts w:eastAsia="Times New Roman"/>
          <w:szCs w:val="24"/>
          <w:lang w:eastAsia="en-AU"/>
        </w:rPr>
        <w:t xml:space="preserve">an inefficient and ineffective means of dealing with the same claims.  It follows that I do not consider that the notion of </w:t>
      </w:r>
      <w:r w:rsidR="00E215F8" w:rsidRPr="00924038">
        <w:rPr>
          <w:rFonts w:eastAsia="Times New Roman"/>
          <w:iCs/>
          <w:szCs w:val="24"/>
          <w:lang w:eastAsia="en-AU"/>
        </w:rPr>
        <w:t>relative</w:t>
      </w:r>
      <w:r w:rsidR="00E215F8" w:rsidRPr="00924038">
        <w:rPr>
          <w:rFonts w:eastAsia="Times New Roman"/>
          <w:szCs w:val="24"/>
          <w:lang w:eastAsia="en-AU"/>
        </w:rPr>
        <w:t xml:space="preserve"> efficiency is</w:t>
      </w:r>
      <w:r w:rsidR="00A7070E" w:rsidRPr="00924038">
        <w:rPr>
          <w:rFonts w:eastAsia="Times New Roman"/>
          <w:szCs w:val="24"/>
          <w:lang w:eastAsia="en-AU"/>
        </w:rPr>
        <w:t xml:space="preserve"> somehow </w:t>
      </w:r>
      <w:r w:rsidR="00E215F8" w:rsidRPr="00924038">
        <w:rPr>
          <w:rFonts w:eastAsia="Times New Roman"/>
          <w:szCs w:val="24"/>
          <w:lang w:eastAsia="en-AU"/>
        </w:rPr>
        <w:t xml:space="preserve">foreign to determining whether </w:t>
      </w:r>
      <w:r w:rsidR="00B61010" w:rsidRPr="00924038">
        <w:rPr>
          <w:rFonts w:eastAsia="Times New Roman"/>
          <w:szCs w:val="24"/>
          <w:lang w:eastAsia="en-AU"/>
        </w:rPr>
        <w:t xml:space="preserve">the </w:t>
      </w:r>
      <w:r w:rsidR="00E215F8" w:rsidRPr="00924038">
        <w:rPr>
          <w:rFonts w:eastAsia="Times New Roman"/>
          <w:szCs w:val="24"/>
          <w:lang w:eastAsia="en-AU"/>
        </w:rPr>
        <w:t>state of affairs described by s</w:t>
      </w:r>
      <w:r w:rsidR="00754BCF" w:rsidRPr="00924038">
        <w:rPr>
          <w:rFonts w:eastAsia="Times New Roman"/>
          <w:szCs w:val="24"/>
          <w:lang w:eastAsia="en-AU"/>
        </w:rPr>
        <w:t> </w:t>
      </w:r>
      <w:proofErr w:type="gramStart"/>
      <w:r w:rsidR="00E215F8" w:rsidRPr="00924038">
        <w:rPr>
          <w:rFonts w:eastAsia="Times New Roman"/>
          <w:szCs w:val="24"/>
          <w:lang w:eastAsia="en-AU"/>
        </w:rPr>
        <w:t>33N(</w:t>
      </w:r>
      <w:proofErr w:type="gramEnd"/>
      <w:r w:rsidR="00E215F8" w:rsidRPr="00924038">
        <w:rPr>
          <w:rFonts w:eastAsia="Times New Roman"/>
          <w:szCs w:val="24"/>
          <w:lang w:eastAsia="en-AU"/>
        </w:rPr>
        <w:t>1</w:t>
      </w:r>
      <w:r w:rsidR="00D96362">
        <w:rPr>
          <w:rFonts w:eastAsia="Times New Roman"/>
          <w:szCs w:val="24"/>
          <w:lang w:eastAsia="en-AU"/>
        </w:rPr>
        <w:t>)</w:t>
      </w:r>
      <w:r w:rsidR="00E215F8" w:rsidRPr="00924038">
        <w:rPr>
          <w:rFonts w:eastAsia="Times New Roman"/>
          <w:szCs w:val="24"/>
          <w:lang w:eastAsia="en-AU"/>
        </w:rPr>
        <w:t>(c) exists</w:t>
      </w:r>
      <w:r w:rsidRPr="00924038">
        <w:rPr>
          <w:rFonts w:ascii="Arial" w:eastAsia="Times New Roman" w:hAnsi="Arial" w:cs="Arial"/>
          <w:szCs w:val="24"/>
          <w:lang w:val="en-US" w:eastAsia="en-AU"/>
        </w:rPr>
        <w:t>.</w:t>
      </w:r>
    </w:p>
    <w:p w:rsidR="008F60BF" w:rsidRPr="00924038" w:rsidRDefault="00E215F8" w:rsidP="008F60BF">
      <w:pPr>
        <w:pStyle w:val="ParaNumbering"/>
        <w:rPr>
          <w:szCs w:val="24"/>
        </w:rPr>
      </w:pPr>
      <w:r w:rsidRPr="00924038">
        <w:rPr>
          <w:szCs w:val="24"/>
        </w:rPr>
        <w:t>On the assumption that I am wrong</w:t>
      </w:r>
      <w:r w:rsidR="00223A64" w:rsidRPr="00924038">
        <w:rPr>
          <w:szCs w:val="24"/>
        </w:rPr>
        <w:t>,</w:t>
      </w:r>
      <w:r w:rsidRPr="00924038">
        <w:rPr>
          <w:szCs w:val="24"/>
        </w:rPr>
        <w:t xml:space="preserve"> and s 33N has no work </w:t>
      </w:r>
      <w:r w:rsidR="00223A64" w:rsidRPr="00924038">
        <w:rPr>
          <w:szCs w:val="24"/>
        </w:rPr>
        <w:t xml:space="preserve">at all </w:t>
      </w:r>
      <w:r w:rsidRPr="00924038">
        <w:rPr>
          <w:szCs w:val="24"/>
        </w:rPr>
        <w:t xml:space="preserve">to do in the context of competing class actions, my </w:t>
      </w:r>
      <w:r w:rsidR="00223A64" w:rsidRPr="00924038">
        <w:rPr>
          <w:szCs w:val="24"/>
        </w:rPr>
        <w:t xml:space="preserve">initial </w:t>
      </w:r>
      <w:r w:rsidRPr="00924038">
        <w:rPr>
          <w:szCs w:val="24"/>
        </w:rPr>
        <w:t>orders invited submission</w:t>
      </w:r>
      <w:r w:rsidR="00223A64" w:rsidRPr="00924038">
        <w:rPr>
          <w:szCs w:val="24"/>
        </w:rPr>
        <w:t>s</w:t>
      </w:r>
      <w:r w:rsidRPr="00924038">
        <w:rPr>
          <w:szCs w:val="24"/>
        </w:rPr>
        <w:t xml:space="preserve"> on whether a</w:t>
      </w:r>
      <w:r w:rsidR="00223A64" w:rsidRPr="00924038">
        <w:rPr>
          <w:szCs w:val="24"/>
        </w:rPr>
        <w:t>n order in the nature of a</w:t>
      </w:r>
      <w:r w:rsidRPr="00924038">
        <w:rPr>
          <w:szCs w:val="24"/>
        </w:rPr>
        <w:t xml:space="preserve"> ‘declassing’ order could be made under s 33ZF which, as is well known</w:t>
      </w:r>
      <w:r w:rsidR="008F60BF" w:rsidRPr="00924038">
        <w:rPr>
          <w:szCs w:val="24"/>
        </w:rPr>
        <w:t>, provides that in any proceeding conducted under Part IVA, the Court may make “</w:t>
      </w:r>
      <w:r w:rsidR="008F60BF" w:rsidRPr="00924038">
        <w:rPr>
          <w:i/>
          <w:szCs w:val="24"/>
        </w:rPr>
        <w:t>any order the Court thinks appropriate or necessary to ensure that justice is done in the proceeding</w:t>
      </w:r>
      <w:r w:rsidR="008F60BF" w:rsidRPr="00924038">
        <w:rPr>
          <w:szCs w:val="24"/>
        </w:rPr>
        <w:t xml:space="preserve">”. </w:t>
      </w:r>
    </w:p>
    <w:p w:rsidR="008F60BF" w:rsidRPr="00924038" w:rsidRDefault="008F60BF" w:rsidP="008F60BF">
      <w:pPr>
        <w:pStyle w:val="ParaNumbering"/>
        <w:rPr>
          <w:szCs w:val="24"/>
        </w:rPr>
      </w:pPr>
      <w:r w:rsidRPr="00924038">
        <w:rPr>
          <w:szCs w:val="24"/>
        </w:rPr>
        <w:t xml:space="preserve">The submission of the Mc Taggart applicants </w:t>
      </w:r>
      <w:r w:rsidR="00B61010" w:rsidRPr="00924038">
        <w:rPr>
          <w:szCs w:val="24"/>
        </w:rPr>
        <w:t>is</w:t>
      </w:r>
      <w:r w:rsidRPr="00924038">
        <w:rPr>
          <w:szCs w:val="24"/>
        </w:rPr>
        <w:t xml:space="preserve"> that if s 33N is not engaged</w:t>
      </w:r>
      <w:r w:rsidR="00B61010" w:rsidRPr="00924038">
        <w:rPr>
          <w:szCs w:val="24"/>
        </w:rPr>
        <w:t>,</w:t>
      </w:r>
      <w:r w:rsidRPr="00924038">
        <w:rPr>
          <w:szCs w:val="24"/>
        </w:rPr>
        <w:t xml:space="preserve"> this is the end of declassing</w:t>
      </w:r>
      <w:r w:rsidR="00B61010" w:rsidRPr="00924038">
        <w:rPr>
          <w:szCs w:val="24"/>
        </w:rPr>
        <w:t>,</w:t>
      </w:r>
      <w:r w:rsidRPr="00924038">
        <w:rPr>
          <w:szCs w:val="24"/>
        </w:rPr>
        <w:t xml:space="preserve"> because:</w:t>
      </w:r>
    </w:p>
    <w:p w:rsidR="00B61010" w:rsidRPr="00924038" w:rsidRDefault="0005272E" w:rsidP="00B036AB">
      <w:pPr>
        <w:pStyle w:val="Quote1"/>
      </w:pPr>
      <w:r w:rsidRPr="00924038">
        <w:t>the</w:t>
      </w:r>
      <w:r w:rsidRPr="00924038">
        <w:rPr>
          <w:spacing w:val="-4"/>
        </w:rPr>
        <w:t xml:space="preserve"> </w:t>
      </w:r>
      <w:r w:rsidRPr="00924038">
        <w:t>fact</w:t>
      </w:r>
      <w:r w:rsidRPr="00924038">
        <w:rPr>
          <w:spacing w:val="-3"/>
        </w:rPr>
        <w:t xml:space="preserve"> </w:t>
      </w:r>
      <w:r w:rsidRPr="00924038">
        <w:t>that</w:t>
      </w:r>
      <w:r w:rsidRPr="00924038">
        <w:rPr>
          <w:spacing w:val="-4"/>
        </w:rPr>
        <w:t xml:space="preserve"> </w:t>
      </w:r>
      <w:r w:rsidRPr="00924038">
        <w:t>the</w:t>
      </w:r>
      <w:r w:rsidRPr="00924038">
        <w:rPr>
          <w:spacing w:val="-4"/>
        </w:rPr>
        <w:t xml:space="preserve"> </w:t>
      </w:r>
      <w:r w:rsidRPr="00924038">
        <w:t>specific</w:t>
      </w:r>
      <w:r w:rsidRPr="00924038">
        <w:rPr>
          <w:spacing w:val="-4"/>
        </w:rPr>
        <w:t xml:space="preserve"> </w:t>
      </w:r>
      <w:r w:rsidRPr="00924038">
        <w:t>sec</w:t>
      </w:r>
      <w:r w:rsidRPr="00924038">
        <w:rPr>
          <w:spacing w:val="-5"/>
        </w:rPr>
        <w:t xml:space="preserve"> </w:t>
      </w:r>
      <w:r w:rsidRPr="00924038">
        <w:t>33N power</w:t>
      </w:r>
      <w:r w:rsidRPr="00924038">
        <w:rPr>
          <w:spacing w:val="-9"/>
        </w:rPr>
        <w:t xml:space="preserve"> </w:t>
      </w:r>
      <w:r w:rsidRPr="00924038">
        <w:t>deals</w:t>
      </w:r>
      <w:r w:rsidRPr="00924038">
        <w:rPr>
          <w:spacing w:val="-8"/>
        </w:rPr>
        <w:t xml:space="preserve"> </w:t>
      </w:r>
      <w:r w:rsidRPr="00924038">
        <w:t>with</w:t>
      </w:r>
      <w:r w:rsidRPr="00924038">
        <w:rPr>
          <w:spacing w:val="-8"/>
        </w:rPr>
        <w:t xml:space="preserve"> </w:t>
      </w:r>
      <w:r w:rsidRPr="00924038">
        <w:t>closing</w:t>
      </w:r>
      <w:r w:rsidRPr="00924038">
        <w:rPr>
          <w:spacing w:val="-9"/>
        </w:rPr>
        <w:t xml:space="preserve"> </w:t>
      </w:r>
      <w:r w:rsidRPr="00924038">
        <w:t>of</w:t>
      </w:r>
      <w:r w:rsidRPr="00924038">
        <w:rPr>
          <w:spacing w:val="-9"/>
        </w:rPr>
        <w:t xml:space="preserve"> </w:t>
      </w:r>
      <w:r w:rsidRPr="00924038">
        <w:t>classes</w:t>
      </w:r>
      <w:r w:rsidRPr="00924038">
        <w:rPr>
          <w:spacing w:val="-6"/>
        </w:rPr>
        <w:t xml:space="preserve"> </w:t>
      </w:r>
      <w:r w:rsidRPr="00924038">
        <w:t>strongly</w:t>
      </w:r>
      <w:r w:rsidRPr="00924038">
        <w:rPr>
          <w:spacing w:val="-11"/>
        </w:rPr>
        <w:t xml:space="preserve"> </w:t>
      </w:r>
      <w:r w:rsidRPr="00924038">
        <w:t>suggests</w:t>
      </w:r>
      <w:r w:rsidRPr="00924038">
        <w:rPr>
          <w:spacing w:val="-8"/>
        </w:rPr>
        <w:t xml:space="preserve"> </w:t>
      </w:r>
      <w:r w:rsidRPr="00924038">
        <w:t>that</w:t>
      </w:r>
      <w:r w:rsidRPr="00924038">
        <w:rPr>
          <w:spacing w:val="-9"/>
        </w:rPr>
        <w:t xml:space="preserve"> </w:t>
      </w:r>
      <w:r w:rsidRPr="00924038">
        <w:t>resort</w:t>
      </w:r>
      <w:r w:rsidRPr="00924038">
        <w:rPr>
          <w:spacing w:val="-9"/>
        </w:rPr>
        <w:t xml:space="preserve"> </w:t>
      </w:r>
      <w:r w:rsidRPr="00924038">
        <w:t>may</w:t>
      </w:r>
      <w:r w:rsidRPr="00924038">
        <w:rPr>
          <w:spacing w:val="-11"/>
        </w:rPr>
        <w:t xml:space="preserve"> </w:t>
      </w:r>
      <w:r w:rsidRPr="00924038">
        <w:t>not</w:t>
      </w:r>
      <w:r w:rsidRPr="00924038">
        <w:rPr>
          <w:spacing w:val="-8"/>
        </w:rPr>
        <w:t xml:space="preserve"> </w:t>
      </w:r>
      <w:r w:rsidRPr="00924038">
        <w:t>be</w:t>
      </w:r>
      <w:r w:rsidRPr="00924038">
        <w:rPr>
          <w:spacing w:val="-7"/>
        </w:rPr>
        <w:t xml:space="preserve"> </w:t>
      </w:r>
      <w:r w:rsidRPr="00924038">
        <w:t>had</w:t>
      </w:r>
      <w:r w:rsidRPr="00924038">
        <w:rPr>
          <w:spacing w:val="-9"/>
        </w:rPr>
        <w:t xml:space="preserve"> </w:t>
      </w:r>
      <w:r w:rsidRPr="00924038">
        <w:t>to</w:t>
      </w:r>
      <w:r w:rsidRPr="00924038">
        <w:rPr>
          <w:spacing w:val="-8"/>
        </w:rPr>
        <w:t xml:space="preserve"> </w:t>
      </w:r>
      <w:r w:rsidRPr="00924038">
        <w:t xml:space="preserve">more general powers – in particular sec 33ZF – to deal with the same situation but reach a different result: </w:t>
      </w:r>
      <w:r w:rsidRPr="00B036AB">
        <w:t xml:space="preserve">see eg </w:t>
      </w:r>
      <w:r w:rsidRPr="00B036AB">
        <w:rPr>
          <w:i/>
        </w:rPr>
        <w:t xml:space="preserve">Anthony Hordern &amp; Sons Ltd v Amalgamated Clothing and Allied Trades Union of Australia </w:t>
      </w:r>
      <w:r w:rsidRPr="00B036AB">
        <w:t xml:space="preserve">(1932) 47 CLR 1 at 7-8; </w:t>
      </w:r>
      <w:r w:rsidRPr="00B036AB">
        <w:rPr>
          <w:i/>
        </w:rPr>
        <w:t xml:space="preserve">Aust Education Union v Dept of Education </w:t>
      </w:r>
      <w:r w:rsidRPr="00B036AB">
        <w:t>(2012</w:t>
      </w:r>
      <w:r w:rsidR="00B036AB">
        <w:t>) 248 CLR 1 at 15 [31].</w:t>
      </w:r>
    </w:p>
    <w:p w:rsidR="00B33A5D" w:rsidRPr="00924038" w:rsidRDefault="008F60BF" w:rsidP="00E84440">
      <w:pPr>
        <w:pStyle w:val="ParaNumbering"/>
        <w:rPr>
          <w:szCs w:val="24"/>
        </w:rPr>
      </w:pPr>
      <w:r w:rsidRPr="00924038">
        <w:rPr>
          <w:szCs w:val="24"/>
        </w:rPr>
        <w:t xml:space="preserve">I would, if I am wrong about s 33N, reject this argument for two reasons.  </w:t>
      </w:r>
    </w:p>
    <w:p w:rsidR="00B33A5D" w:rsidRPr="003B1D50" w:rsidRDefault="008F60BF" w:rsidP="003B1D50">
      <w:pPr>
        <w:pStyle w:val="ParaNumbering"/>
        <w:rPr>
          <w:szCs w:val="24"/>
        </w:rPr>
      </w:pPr>
      <w:r w:rsidRPr="00924038">
        <w:rPr>
          <w:i/>
          <w:szCs w:val="24"/>
        </w:rPr>
        <w:t>First</w:t>
      </w:r>
      <w:r w:rsidRPr="00924038">
        <w:rPr>
          <w:szCs w:val="24"/>
        </w:rPr>
        <w:t xml:space="preserve">, </w:t>
      </w:r>
      <w:r w:rsidR="00B33A5D" w:rsidRPr="00924038">
        <w:rPr>
          <w:szCs w:val="24"/>
        </w:rPr>
        <w:t xml:space="preserve">the </w:t>
      </w:r>
      <w:r w:rsidR="00B036AB">
        <w:rPr>
          <w:szCs w:val="24"/>
        </w:rPr>
        <w:t xml:space="preserve">implicit </w:t>
      </w:r>
      <w:r w:rsidR="00B33A5D" w:rsidRPr="00924038">
        <w:rPr>
          <w:szCs w:val="24"/>
        </w:rPr>
        <w:t xml:space="preserve">premise of the argument, that s 33N is </w:t>
      </w:r>
      <w:r w:rsidRPr="00924038">
        <w:rPr>
          <w:szCs w:val="24"/>
        </w:rPr>
        <w:t>some sort of ‘code’ about declassing orders</w:t>
      </w:r>
      <w:r w:rsidR="00B33A5D" w:rsidRPr="00924038">
        <w:rPr>
          <w:szCs w:val="24"/>
        </w:rPr>
        <w:t>, is incorrect</w:t>
      </w:r>
      <w:r w:rsidRPr="00924038">
        <w:rPr>
          <w:szCs w:val="24"/>
        </w:rPr>
        <w:t>.  Indeed</w:t>
      </w:r>
      <w:r w:rsidR="00B33A5D" w:rsidRPr="00924038">
        <w:rPr>
          <w:szCs w:val="24"/>
        </w:rPr>
        <w:t>,</w:t>
      </w:r>
      <w:r w:rsidRPr="00924038">
        <w:rPr>
          <w:szCs w:val="24"/>
        </w:rPr>
        <w:t xml:space="preserve"> </w:t>
      </w:r>
      <w:r w:rsidR="00B33A5D" w:rsidRPr="00924038">
        <w:rPr>
          <w:szCs w:val="24"/>
        </w:rPr>
        <w:t>s</w:t>
      </w:r>
      <w:r w:rsidR="00A7070E" w:rsidRPr="00924038">
        <w:rPr>
          <w:szCs w:val="24"/>
        </w:rPr>
        <w:t xml:space="preserve">s 33L and 33M also provide for </w:t>
      </w:r>
      <w:r w:rsidR="00B33A5D" w:rsidRPr="00924038">
        <w:rPr>
          <w:szCs w:val="24"/>
        </w:rPr>
        <w:t>declassing orders</w:t>
      </w:r>
      <w:proofErr w:type="gramStart"/>
      <w:r w:rsidR="00B33A5D" w:rsidRPr="00924038">
        <w:rPr>
          <w:szCs w:val="24"/>
        </w:rPr>
        <w:t xml:space="preserve">. </w:t>
      </w:r>
      <w:proofErr w:type="gramEnd"/>
      <w:r w:rsidR="00B33A5D" w:rsidRPr="00924038">
        <w:rPr>
          <w:szCs w:val="24"/>
        </w:rPr>
        <w:t>All three sections provide discretions but they arise in very different ways</w:t>
      </w:r>
      <w:r w:rsidR="00D22F11" w:rsidRPr="00924038">
        <w:rPr>
          <w:szCs w:val="24"/>
        </w:rPr>
        <w:t xml:space="preserve">. </w:t>
      </w:r>
      <w:r w:rsidR="00B036AB">
        <w:rPr>
          <w:szCs w:val="24"/>
        </w:rPr>
        <w:t xml:space="preserve"> </w:t>
      </w:r>
      <w:r w:rsidR="003B1D50">
        <w:rPr>
          <w:szCs w:val="24"/>
        </w:rPr>
        <w:t>It follows that t</w:t>
      </w:r>
      <w:r w:rsidR="00B036AB">
        <w:rPr>
          <w:szCs w:val="24"/>
        </w:rPr>
        <w:t xml:space="preserve">he </w:t>
      </w:r>
      <w:r w:rsidR="003B1D50">
        <w:rPr>
          <w:szCs w:val="24"/>
        </w:rPr>
        <w:t>existence of one of the preconditions identified in s 33N is</w:t>
      </w:r>
      <w:r w:rsidR="00B036AB">
        <w:rPr>
          <w:szCs w:val="24"/>
        </w:rPr>
        <w:t xml:space="preserve"> not a necessary </w:t>
      </w:r>
      <w:r w:rsidR="003B1D50">
        <w:rPr>
          <w:szCs w:val="24"/>
        </w:rPr>
        <w:t>condition</w:t>
      </w:r>
      <w:r w:rsidR="00B036AB">
        <w:rPr>
          <w:szCs w:val="24"/>
        </w:rPr>
        <w:t xml:space="preserve"> of </w:t>
      </w:r>
      <w:r w:rsidR="003B1D50">
        <w:rPr>
          <w:szCs w:val="24"/>
        </w:rPr>
        <w:t xml:space="preserve">all </w:t>
      </w:r>
      <w:r w:rsidR="00B036AB">
        <w:rPr>
          <w:szCs w:val="24"/>
        </w:rPr>
        <w:t xml:space="preserve">declassing </w:t>
      </w:r>
      <w:r w:rsidR="003B1D50">
        <w:rPr>
          <w:szCs w:val="24"/>
        </w:rPr>
        <w:t>type orders.</w:t>
      </w:r>
    </w:p>
    <w:p w:rsidR="008F60BF" w:rsidRPr="00924038" w:rsidRDefault="00B33A5D" w:rsidP="00355B8F">
      <w:pPr>
        <w:pStyle w:val="ParaNumbering"/>
        <w:rPr>
          <w:szCs w:val="24"/>
        </w:rPr>
      </w:pPr>
      <w:r w:rsidRPr="00924038">
        <w:rPr>
          <w:i/>
          <w:szCs w:val="24"/>
          <w:lang w:val="en-US"/>
        </w:rPr>
        <w:t>Secondly</w:t>
      </w:r>
      <w:r w:rsidRPr="00924038">
        <w:rPr>
          <w:szCs w:val="24"/>
          <w:lang w:val="en-US"/>
        </w:rPr>
        <w:t xml:space="preserve">, </w:t>
      </w:r>
      <w:r w:rsidR="00602143" w:rsidRPr="00924038">
        <w:rPr>
          <w:szCs w:val="24"/>
          <w:lang w:val="en-US"/>
        </w:rPr>
        <w:t>the argument</w:t>
      </w:r>
      <w:r w:rsidRPr="00924038">
        <w:rPr>
          <w:szCs w:val="24"/>
          <w:lang w:val="en-US"/>
        </w:rPr>
        <w:t xml:space="preserve"> unduly restricts s 33ZF and fails to have sufficient regard to the reality that it is a deliberately general power which operates as a ‘gap</w:t>
      </w:r>
      <w:r w:rsidR="00602143" w:rsidRPr="00924038">
        <w:rPr>
          <w:szCs w:val="24"/>
          <w:lang w:val="en-US"/>
        </w:rPr>
        <w:t>-</w:t>
      </w:r>
      <w:r w:rsidRPr="00924038">
        <w:rPr>
          <w:szCs w:val="24"/>
          <w:lang w:val="en-US"/>
        </w:rPr>
        <w:t>filler’ where specifi</w:t>
      </w:r>
      <w:r w:rsidR="003B1D50">
        <w:rPr>
          <w:szCs w:val="24"/>
          <w:lang w:val="en-US"/>
        </w:rPr>
        <w:t>c powers in Part IVA are not apt</w:t>
      </w:r>
      <w:r w:rsidRPr="00924038">
        <w:rPr>
          <w:szCs w:val="24"/>
          <w:lang w:val="en-US"/>
        </w:rPr>
        <w:t xml:space="preserve"> to resolve the relevant issue </w:t>
      </w:r>
      <w:r w:rsidR="00602143" w:rsidRPr="00924038">
        <w:rPr>
          <w:szCs w:val="24"/>
          <w:lang w:val="en-US"/>
        </w:rPr>
        <w:t xml:space="preserve">which is </w:t>
      </w:r>
      <w:r w:rsidRPr="00924038">
        <w:rPr>
          <w:szCs w:val="24"/>
          <w:lang w:val="en-US"/>
        </w:rPr>
        <w:t>presented.</w:t>
      </w:r>
      <w:r w:rsidRPr="00924038">
        <w:rPr>
          <w:szCs w:val="24"/>
        </w:rPr>
        <w:t xml:space="preserve">  It represents a legislative intention to equip the Court with the “</w:t>
      </w:r>
      <w:r w:rsidRPr="00924038">
        <w:rPr>
          <w:i/>
          <w:szCs w:val="24"/>
        </w:rPr>
        <w:t>widest possible power</w:t>
      </w:r>
      <w:r w:rsidRPr="00924038">
        <w:rPr>
          <w:szCs w:val="24"/>
        </w:rPr>
        <w:t xml:space="preserve">” such that the Court can resolve the peculiar difficulties encountered in representative proceedings: </w:t>
      </w:r>
      <w:r w:rsidRPr="00924038">
        <w:rPr>
          <w:i/>
          <w:szCs w:val="24"/>
        </w:rPr>
        <w:t>McMullin v ICI Australia Operations Pty Ltd</w:t>
      </w:r>
      <w:r w:rsidRPr="00924038">
        <w:rPr>
          <w:szCs w:val="24"/>
        </w:rPr>
        <w:t xml:space="preserve"> (1998) 84 FCR 1</w:t>
      </w:r>
      <w:r w:rsidR="00602143" w:rsidRPr="00924038">
        <w:rPr>
          <w:szCs w:val="24"/>
        </w:rPr>
        <w:t xml:space="preserve"> at</w:t>
      </w:r>
      <w:r w:rsidRPr="00924038">
        <w:rPr>
          <w:szCs w:val="24"/>
        </w:rPr>
        <w:t xml:space="preserve"> 4C</w:t>
      </w:r>
      <w:r w:rsidR="00D96362">
        <w:rPr>
          <w:szCs w:val="24"/>
          <w:lang w:val="en-US"/>
        </w:rPr>
        <w:t>-</w:t>
      </w:r>
      <w:r w:rsidRPr="00924038">
        <w:rPr>
          <w:szCs w:val="24"/>
        </w:rPr>
        <w:t>4D</w:t>
      </w:r>
      <w:r w:rsidR="00602143" w:rsidRPr="00924038">
        <w:rPr>
          <w:szCs w:val="24"/>
        </w:rPr>
        <w:t xml:space="preserve"> per Wilcox J</w:t>
      </w:r>
      <w:r w:rsidR="00355B8F" w:rsidRPr="00924038">
        <w:rPr>
          <w:szCs w:val="24"/>
        </w:rPr>
        <w:t>.  Moreover,</w:t>
      </w:r>
      <w:r w:rsidRPr="00924038">
        <w:rPr>
          <w:szCs w:val="24"/>
          <w:lang w:val="en-US"/>
        </w:rPr>
        <w:t xml:space="preserve"> </w:t>
      </w:r>
      <w:r w:rsidR="00355B8F" w:rsidRPr="00924038">
        <w:rPr>
          <w:szCs w:val="24"/>
        </w:rPr>
        <w:t>a</w:t>
      </w:r>
      <w:r w:rsidR="008F60BF" w:rsidRPr="00924038">
        <w:rPr>
          <w:szCs w:val="24"/>
        </w:rPr>
        <w:t>s with any provision conferring jurisdiction or granting powers to a Court, s 33ZF should not be construed narrowly by the making of implications or imposing of limitations not found in its express words</w:t>
      </w:r>
      <w:r w:rsidR="00B52DA9" w:rsidRPr="00924038">
        <w:rPr>
          <w:szCs w:val="24"/>
        </w:rPr>
        <w:t>:</w:t>
      </w:r>
      <w:r w:rsidRPr="00924038">
        <w:rPr>
          <w:i/>
          <w:szCs w:val="24"/>
        </w:rPr>
        <w:t xml:space="preserve"> The Owners of the Ship “Shin Kobe Maru” v Empire Shipping Co</w:t>
      </w:r>
      <w:r w:rsidR="00602143" w:rsidRPr="00924038">
        <w:rPr>
          <w:i/>
          <w:szCs w:val="24"/>
        </w:rPr>
        <w:t>mpany</w:t>
      </w:r>
      <w:r w:rsidRPr="00924038">
        <w:rPr>
          <w:i/>
          <w:szCs w:val="24"/>
        </w:rPr>
        <w:t xml:space="preserve"> </w:t>
      </w:r>
      <w:r w:rsidRPr="00924038">
        <w:rPr>
          <w:i/>
          <w:szCs w:val="24"/>
        </w:rPr>
        <w:lastRenderedPageBreak/>
        <w:t>Inc</w:t>
      </w:r>
      <w:r w:rsidRPr="00924038">
        <w:rPr>
          <w:szCs w:val="24"/>
        </w:rPr>
        <w:t xml:space="preserve"> (1994) 181 CLR 404</w:t>
      </w:r>
      <w:r w:rsidR="00602143" w:rsidRPr="00924038">
        <w:rPr>
          <w:szCs w:val="24"/>
        </w:rPr>
        <w:t xml:space="preserve"> at</w:t>
      </w:r>
      <w:r w:rsidRPr="00924038">
        <w:rPr>
          <w:szCs w:val="24"/>
        </w:rPr>
        <w:t xml:space="preserve"> 421.</w:t>
      </w:r>
      <w:r w:rsidR="00355B8F" w:rsidRPr="00924038">
        <w:rPr>
          <w:szCs w:val="24"/>
        </w:rPr>
        <w:t xml:space="preserve">  An example of its </w:t>
      </w:r>
      <w:r w:rsidR="003B1D50">
        <w:rPr>
          <w:szCs w:val="24"/>
        </w:rPr>
        <w:t>width</w:t>
      </w:r>
      <w:r w:rsidR="00355B8F" w:rsidRPr="00924038">
        <w:rPr>
          <w:szCs w:val="24"/>
        </w:rPr>
        <w:t xml:space="preserve"> in a not entirely dissimilar </w:t>
      </w:r>
      <w:r w:rsidR="00B52DA9" w:rsidRPr="00924038">
        <w:rPr>
          <w:szCs w:val="24"/>
        </w:rPr>
        <w:t>circumstance</w:t>
      </w:r>
      <w:r w:rsidR="00355B8F" w:rsidRPr="00924038">
        <w:rPr>
          <w:szCs w:val="24"/>
        </w:rPr>
        <w:t xml:space="preserve"> can be seen by its use to make </w:t>
      </w:r>
      <w:r w:rsidR="008F60BF" w:rsidRPr="00924038">
        <w:rPr>
          <w:szCs w:val="24"/>
        </w:rPr>
        <w:t>directions for the formation of a litigation committee constituted by group members to oversee an action and provide the views of the group members to the Court</w:t>
      </w:r>
      <w:r w:rsidR="00355B8F" w:rsidRPr="00924038">
        <w:rPr>
          <w:szCs w:val="24"/>
        </w:rPr>
        <w:t xml:space="preserve">: </w:t>
      </w:r>
      <w:r w:rsidR="00355B8F" w:rsidRPr="00924038">
        <w:rPr>
          <w:i/>
          <w:szCs w:val="24"/>
        </w:rPr>
        <w:t xml:space="preserve">Kirby </w:t>
      </w:r>
      <w:r w:rsidR="00602143" w:rsidRPr="00924038">
        <w:rPr>
          <w:szCs w:val="24"/>
        </w:rPr>
        <w:t>at</w:t>
      </w:r>
      <w:r w:rsidR="00355B8F" w:rsidRPr="00924038">
        <w:rPr>
          <w:szCs w:val="24"/>
        </w:rPr>
        <w:t xml:space="preserve"> 74 [37] </w:t>
      </w:r>
      <w:r w:rsidR="00602143" w:rsidRPr="00924038">
        <w:rPr>
          <w:szCs w:val="24"/>
        </w:rPr>
        <w:t xml:space="preserve">per </w:t>
      </w:r>
      <w:r w:rsidR="00355B8F" w:rsidRPr="00924038">
        <w:rPr>
          <w:szCs w:val="24"/>
        </w:rPr>
        <w:t>Finkelstein J.</w:t>
      </w:r>
      <w:r w:rsidR="008F60BF" w:rsidRPr="00924038">
        <w:rPr>
          <w:szCs w:val="24"/>
        </w:rPr>
        <w:t xml:space="preserve"> </w:t>
      </w:r>
    </w:p>
    <w:p w:rsidR="008F60BF" w:rsidRPr="00924038" w:rsidRDefault="00B52DA9" w:rsidP="008F60BF">
      <w:pPr>
        <w:pStyle w:val="ParaNumbering"/>
        <w:rPr>
          <w:szCs w:val="24"/>
        </w:rPr>
      </w:pPr>
      <w:r w:rsidRPr="00924038">
        <w:rPr>
          <w:szCs w:val="24"/>
        </w:rPr>
        <w:t>Further</w:t>
      </w:r>
      <w:r w:rsidR="008F60BF" w:rsidRPr="00924038">
        <w:rPr>
          <w:szCs w:val="24"/>
        </w:rPr>
        <w:t xml:space="preserve"> to s 33ZF, </w:t>
      </w:r>
      <w:r w:rsidR="00355B8F" w:rsidRPr="00924038">
        <w:rPr>
          <w:szCs w:val="24"/>
        </w:rPr>
        <w:t xml:space="preserve">if I otherwise concluded it appropriate to declass (and was fettered in my ability to do so because of a restrictive construction of s 33N(1)(c)), s 23 of the </w:t>
      </w:r>
      <w:r w:rsidR="008F60BF" w:rsidRPr="00924038">
        <w:rPr>
          <w:szCs w:val="24"/>
        </w:rPr>
        <w:t>A</w:t>
      </w:r>
      <w:r w:rsidR="00355B8F" w:rsidRPr="00924038">
        <w:rPr>
          <w:szCs w:val="24"/>
        </w:rPr>
        <w:t>ct</w:t>
      </w:r>
      <w:r w:rsidR="006F5E16" w:rsidRPr="00924038">
        <w:rPr>
          <w:szCs w:val="24"/>
        </w:rPr>
        <w:t>, s 37P(2) of the Act</w:t>
      </w:r>
      <w:r w:rsidR="008F60BF" w:rsidRPr="00924038">
        <w:rPr>
          <w:szCs w:val="24"/>
        </w:rPr>
        <w:t xml:space="preserve"> and/or </w:t>
      </w:r>
      <w:r w:rsidR="00355B8F" w:rsidRPr="00924038">
        <w:rPr>
          <w:szCs w:val="24"/>
        </w:rPr>
        <w:t>FCR</w:t>
      </w:r>
      <w:r w:rsidR="008F60BF" w:rsidRPr="00924038">
        <w:rPr>
          <w:szCs w:val="24"/>
        </w:rPr>
        <w:t> </w:t>
      </w:r>
      <w:r w:rsidR="00355B8F" w:rsidRPr="00924038">
        <w:rPr>
          <w:szCs w:val="24"/>
        </w:rPr>
        <w:t xml:space="preserve">1.32 </w:t>
      </w:r>
      <w:r w:rsidR="008F60BF" w:rsidRPr="00924038">
        <w:rPr>
          <w:szCs w:val="24"/>
        </w:rPr>
        <w:t>empower the making of orders, including interlocutory orders, which are necessary or incidental to the exercise of the jurisdiction, that is, the grant of “</w:t>
      </w:r>
      <w:r w:rsidR="008F60BF" w:rsidRPr="00924038">
        <w:rPr>
          <w:i/>
          <w:szCs w:val="24"/>
        </w:rPr>
        <w:t>remedies appropriate to the protection and enforcement of the right or subject-matter in issue”</w:t>
      </w:r>
      <w:r w:rsidR="00355B8F" w:rsidRPr="00924038">
        <w:rPr>
          <w:i/>
          <w:szCs w:val="24"/>
        </w:rPr>
        <w:t xml:space="preserve"> Jackson v Sterling Industries Ltd</w:t>
      </w:r>
      <w:r w:rsidR="00355B8F" w:rsidRPr="00924038">
        <w:rPr>
          <w:szCs w:val="24"/>
        </w:rPr>
        <w:t xml:space="preserve"> (1987) 162 CLR 612</w:t>
      </w:r>
      <w:r w:rsidR="00602143" w:rsidRPr="00924038">
        <w:rPr>
          <w:szCs w:val="24"/>
        </w:rPr>
        <w:t xml:space="preserve"> at</w:t>
      </w:r>
      <w:r w:rsidR="00355B8F" w:rsidRPr="00924038">
        <w:rPr>
          <w:szCs w:val="24"/>
        </w:rPr>
        <w:t xml:space="preserve"> 621 </w:t>
      </w:r>
      <w:r w:rsidR="00602143" w:rsidRPr="00924038">
        <w:rPr>
          <w:szCs w:val="24"/>
        </w:rPr>
        <w:t xml:space="preserve">per </w:t>
      </w:r>
      <w:r w:rsidR="00355B8F" w:rsidRPr="00924038">
        <w:rPr>
          <w:szCs w:val="24"/>
        </w:rPr>
        <w:t>Brennan J.</w:t>
      </w:r>
      <w:r w:rsidR="00355B8F" w:rsidRPr="00924038">
        <w:rPr>
          <w:i/>
          <w:szCs w:val="24"/>
        </w:rPr>
        <w:t xml:space="preserve"> </w:t>
      </w:r>
      <w:r w:rsidR="008F60BF" w:rsidRPr="00924038">
        <w:rPr>
          <w:szCs w:val="24"/>
        </w:rPr>
        <w:t xml:space="preserve"> The power is directed to ensuring the effective exerc</w:t>
      </w:r>
      <w:r w:rsidR="00355B8F" w:rsidRPr="00924038">
        <w:rPr>
          <w:szCs w:val="24"/>
        </w:rPr>
        <w:t>ise of the jurisdiction invoked:</w:t>
      </w:r>
      <w:r w:rsidR="00355B8F" w:rsidRPr="00924038">
        <w:rPr>
          <w:i/>
          <w:szCs w:val="24"/>
        </w:rPr>
        <w:t xml:space="preserve"> Patrick Stevedores Operations No 2 Pty Ltd v Maritime Union of Australia</w:t>
      </w:r>
      <w:r w:rsidR="00355B8F" w:rsidRPr="00924038">
        <w:rPr>
          <w:szCs w:val="24"/>
        </w:rPr>
        <w:t xml:space="preserve"> </w:t>
      </w:r>
      <w:r w:rsidR="00602143" w:rsidRPr="00924038">
        <w:rPr>
          <w:szCs w:val="24"/>
        </w:rPr>
        <w:t xml:space="preserve">[1998] HCA 30; </w:t>
      </w:r>
      <w:r w:rsidR="00355B8F" w:rsidRPr="00924038">
        <w:rPr>
          <w:szCs w:val="24"/>
        </w:rPr>
        <w:t>(1998) 195 CLR 1</w:t>
      </w:r>
      <w:r w:rsidR="00602143" w:rsidRPr="00924038">
        <w:rPr>
          <w:szCs w:val="24"/>
        </w:rPr>
        <w:t xml:space="preserve"> at</w:t>
      </w:r>
      <w:r w:rsidR="00355B8F" w:rsidRPr="00924038">
        <w:rPr>
          <w:szCs w:val="24"/>
        </w:rPr>
        <w:t xml:space="preserve"> 33 [35] </w:t>
      </w:r>
      <w:r w:rsidR="00602143" w:rsidRPr="00924038">
        <w:rPr>
          <w:szCs w:val="24"/>
        </w:rPr>
        <w:t xml:space="preserve">per </w:t>
      </w:r>
      <w:r w:rsidR="00355B8F" w:rsidRPr="00924038">
        <w:rPr>
          <w:szCs w:val="24"/>
        </w:rPr>
        <w:t>Brennan CJ, McH</w:t>
      </w:r>
      <w:r w:rsidR="00602143" w:rsidRPr="00924038">
        <w:rPr>
          <w:szCs w:val="24"/>
        </w:rPr>
        <w:t>ugh, Gummow, Kirby and Hayne JJ</w:t>
      </w:r>
      <w:r w:rsidR="00355B8F" w:rsidRPr="00924038">
        <w:rPr>
          <w:szCs w:val="24"/>
        </w:rPr>
        <w:t xml:space="preserve">. </w:t>
      </w:r>
      <w:r w:rsidR="00A7070E" w:rsidRPr="00924038">
        <w:rPr>
          <w:szCs w:val="24"/>
        </w:rPr>
        <w:t xml:space="preserve"> </w:t>
      </w:r>
      <w:r w:rsidR="00355B8F" w:rsidRPr="00924038">
        <w:rPr>
          <w:szCs w:val="24"/>
        </w:rPr>
        <w:t>O</w:t>
      </w:r>
      <w:r w:rsidR="008F60BF" w:rsidRPr="00924038">
        <w:rPr>
          <w:szCs w:val="24"/>
        </w:rPr>
        <w:t xml:space="preserve">rders </w:t>
      </w:r>
      <w:r w:rsidR="00355B8F" w:rsidRPr="00924038">
        <w:rPr>
          <w:szCs w:val="24"/>
        </w:rPr>
        <w:t xml:space="preserve">declassing a proceeding </w:t>
      </w:r>
      <w:r w:rsidR="008F60BF" w:rsidRPr="00924038">
        <w:rPr>
          <w:szCs w:val="24"/>
        </w:rPr>
        <w:t>are incidental to the Part IVA jurisdiction properly invoked</w:t>
      </w:r>
      <w:r w:rsidR="00355B8F" w:rsidRPr="00924038">
        <w:rPr>
          <w:szCs w:val="24"/>
        </w:rPr>
        <w:t xml:space="preserve"> (although as</w:t>
      </w:r>
      <w:r w:rsidR="008F60BF" w:rsidRPr="00924038">
        <w:rPr>
          <w:szCs w:val="24"/>
        </w:rPr>
        <w:t xml:space="preserve"> Wigney J </w:t>
      </w:r>
      <w:r w:rsidR="00355B8F" w:rsidRPr="00924038">
        <w:rPr>
          <w:szCs w:val="24"/>
        </w:rPr>
        <w:t xml:space="preserve">observed in a different context </w:t>
      </w:r>
      <w:r w:rsidR="008F60BF" w:rsidRPr="00924038">
        <w:rPr>
          <w:szCs w:val="24"/>
        </w:rPr>
        <w:t xml:space="preserve">in </w:t>
      </w:r>
      <w:r w:rsidR="00355B8F" w:rsidRPr="00924038">
        <w:rPr>
          <w:i/>
          <w:szCs w:val="24"/>
        </w:rPr>
        <w:t>Blairgowrie Trading Ltd v Allco Finance Group Ltd (recs and mgrs apptd) (in liq)</w:t>
      </w:r>
      <w:r w:rsidR="00355B8F" w:rsidRPr="00924038">
        <w:rPr>
          <w:szCs w:val="24"/>
        </w:rPr>
        <w:t xml:space="preserve"> </w:t>
      </w:r>
      <w:r w:rsidR="00602143" w:rsidRPr="00924038">
        <w:rPr>
          <w:szCs w:val="24"/>
        </w:rPr>
        <w:t xml:space="preserve">[2015] FCA 811; </w:t>
      </w:r>
      <w:r w:rsidR="00355B8F" w:rsidRPr="00924038">
        <w:rPr>
          <w:szCs w:val="24"/>
        </w:rPr>
        <w:t>(2015) 325 ALR 539</w:t>
      </w:r>
      <w:r w:rsidR="00602143" w:rsidRPr="00924038">
        <w:rPr>
          <w:szCs w:val="24"/>
        </w:rPr>
        <w:t xml:space="preserve"> at</w:t>
      </w:r>
      <w:r w:rsidR="00355B8F" w:rsidRPr="00924038">
        <w:rPr>
          <w:szCs w:val="24"/>
          <w:lang w:val="en-US"/>
        </w:rPr>
        <w:t xml:space="preserve"> 559 [105]</w:t>
      </w:r>
      <w:r w:rsidR="00602143" w:rsidRPr="00924038">
        <w:rPr>
          <w:szCs w:val="24"/>
          <w:lang w:val="en-US"/>
        </w:rPr>
        <w:t>-</w:t>
      </w:r>
      <w:r w:rsidR="00355B8F" w:rsidRPr="00924038">
        <w:rPr>
          <w:szCs w:val="24"/>
          <w:lang w:val="en-US"/>
        </w:rPr>
        <w:t xml:space="preserve">[106], </w:t>
      </w:r>
      <w:r w:rsidRPr="00924038">
        <w:rPr>
          <w:szCs w:val="24"/>
        </w:rPr>
        <w:t>it is unlikely that s 23</w:t>
      </w:r>
      <w:r w:rsidR="00EB1EA4" w:rsidRPr="00924038">
        <w:rPr>
          <w:szCs w:val="24"/>
        </w:rPr>
        <w:t>, s 37P(2)</w:t>
      </w:r>
      <w:r w:rsidRPr="00924038">
        <w:rPr>
          <w:szCs w:val="24"/>
        </w:rPr>
        <w:t xml:space="preserve"> and FCR</w:t>
      </w:r>
      <w:r w:rsidR="008F60BF" w:rsidRPr="00924038">
        <w:rPr>
          <w:szCs w:val="24"/>
        </w:rPr>
        <w:t xml:space="preserve"> 1.32 would justify the making of the order if it were found to fail to meet the stipulations in s 33ZF</w:t>
      </w:r>
      <w:r w:rsidR="00355B8F" w:rsidRPr="00924038">
        <w:rPr>
          <w:szCs w:val="24"/>
        </w:rPr>
        <w:t>)</w:t>
      </w:r>
      <w:r w:rsidR="008F60BF" w:rsidRPr="00924038">
        <w:rPr>
          <w:szCs w:val="24"/>
        </w:rPr>
        <w:t>.</w:t>
      </w:r>
    </w:p>
    <w:p w:rsidR="00B52DA9" w:rsidRPr="00924038" w:rsidRDefault="00A7070E" w:rsidP="008F60BF">
      <w:pPr>
        <w:pStyle w:val="ParaNumbering"/>
      </w:pPr>
      <w:r w:rsidRPr="00924038">
        <w:rPr>
          <w:szCs w:val="24"/>
        </w:rPr>
        <w:t>For reasons I will explain</w:t>
      </w:r>
      <w:r w:rsidR="00E16DFE">
        <w:rPr>
          <w:szCs w:val="24"/>
        </w:rPr>
        <w:t>,</w:t>
      </w:r>
      <w:r w:rsidRPr="00924038">
        <w:rPr>
          <w:szCs w:val="24"/>
        </w:rPr>
        <w:t xml:space="preserve"> </w:t>
      </w:r>
      <w:r w:rsidR="00B52DA9" w:rsidRPr="00924038">
        <w:rPr>
          <w:szCs w:val="24"/>
        </w:rPr>
        <w:t>I do not presently consider a declassing order would be</w:t>
      </w:r>
      <w:r w:rsidR="008F60BF" w:rsidRPr="00924038">
        <w:rPr>
          <w:szCs w:val="24"/>
        </w:rPr>
        <w:t xml:space="preserve"> </w:t>
      </w:r>
      <w:r w:rsidR="003B1D50" w:rsidRPr="003B1D50">
        <w:rPr>
          <w:szCs w:val="24"/>
        </w:rPr>
        <w:t xml:space="preserve">appropriate or necessary to ensure that justice is done </w:t>
      </w:r>
      <w:r w:rsidR="008F60BF" w:rsidRPr="00924038">
        <w:rPr>
          <w:szCs w:val="24"/>
        </w:rPr>
        <w:t xml:space="preserve">(although </w:t>
      </w:r>
      <w:r w:rsidR="00B52DA9" w:rsidRPr="00924038">
        <w:rPr>
          <w:szCs w:val="24"/>
        </w:rPr>
        <w:t xml:space="preserve">if no other remedy was available to deal with </w:t>
      </w:r>
      <w:r w:rsidR="003B1D50">
        <w:rPr>
          <w:szCs w:val="24"/>
        </w:rPr>
        <w:t xml:space="preserve">each of </w:t>
      </w:r>
      <w:r w:rsidR="00B52DA9" w:rsidRPr="00924038">
        <w:rPr>
          <w:szCs w:val="24"/>
        </w:rPr>
        <w:t xml:space="preserve">the competing </w:t>
      </w:r>
      <w:r w:rsidR="00B52DA9" w:rsidRPr="003B1D50">
        <w:rPr>
          <w:szCs w:val="24"/>
        </w:rPr>
        <w:t>class actions</w:t>
      </w:r>
      <w:r w:rsidR="003B1D50" w:rsidRPr="003B1D50">
        <w:rPr>
          <w:szCs w:val="24"/>
        </w:rPr>
        <w:t xml:space="preserve"> which are not </w:t>
      </w:r>
      <w:r w:rsidR="003B1D50" w:rsidRPr="003B1D50">
        <w:rPr>
          <w:rFonts w:eastAsia="Times New Roman"/>
          <w:szCs w:val="24"/>
          <w:lang w:eastAsia="en-AU"/>
        </w:rPr>
        <w:t>efficient and effective means of dealing with the claims of group members</w:t>
      </w:r>
      <w:r w:rsidR="00B52DA9" w:rsidRPr="003B1D50">
        <w:rPr>
          <w:szCs w:val="24"/>
        </w:rPr>
        <w:t>,</w:t>
      </w:r>
      <w:r w:rsidRPr="003B1D50">
        <w:rPr>
          <w:szCs w:val="24"/>
        </w:rPr>
        <w:t xml:space="preserve"> then</w:t>
      </w:r>
      <w:r w:rsidRPr="00924038">
        <w:rPr>
          <w:szCs w:val="24"/>
        </w:rPr>
        <w:t xml:space="preserve"> this </w:t>
      </w:r>
      <w:r w:rsidR="003B1D50">
        <w:rPr>
          <w:szCs w:val="24"/>
        </w:rPr>
        <w:t xml:space="preserve">description of the circumstances </w:t>
      </w:r>
      <w:r w:rsidR="00E16DFE">
        <w:rPr>
          <w:szCs w:val="24"/>
        </w:rPr>
        <w:t xml:space="preserve">necessary for the exercise of s 33ZF power </w:t>
      </w:r>
      <w:r w:rsidRPr="00924038">
        <w:rPr>
          <w:szCs w:val="24"/>
        </w:rPr>
        <w:t>would</w:t>
      </w:r>
      <w:r w:rsidR="00B52DA9" w:rsidRPr="00924038">
        <w:rPr>
          <w:szCs w:val="24"/>
        </w:rPr>
        <w:t xml:space="preserve"> be met).  For present purposes, </w:t>
      </w:r>
      <w:r w:rsidR="00E16DFE">
        <w:rPr>
          <w:szCs w:val="24"/>
        </w:rPr>
        <w:t xml:space="preserve">on the disputed premise </w:t>
      </w:r>
      <w:r w:rsidR="00B52DA9" w:rsidRPr="00924038">
        <w:rPr>
          <w:szCs w:val="24"/>
        </w:rPr>
        <w:t xml:space="preserve">a s </w:t>
      </w:r>
      <w:proofErr w:type="gramStart"/>
      <w:r w:rsidR="00B52DA9" w:rsidRPr="00924038">
        <w:rPr>
          <w:szCs w:val="24"/>
        </w:rPr>
        <w:t>33N(</w:t>
      </w:r>
      <w:proofErr w:type="gramEnd"/>
      <w:r w:rsidR="00B52DA9" w:rsidRPr="00924038">
        <w:rPr>
          <w:szCs w:val="24"/>
        </w:rPr>
        <w:t>1) order</w:t>
      </w:r>
      <w:r w:rsidR="00E16DFE">
        <w:rPr>
          <w:szCs w:val="24"/>
        </w:rPr>
        <w:t xml:space="preserve"> is unavailable</w:t>
      </w:r>
      <w:r w:rsidR="00B52DA9" w:rsidRPr="00924038">
        <w:rPr>
          <w:szCs w:val="24"/>
        </w:rPr>
        <w:t xml:space="preserve">, </w:t>
      </w:r>
      <w:r w:rsidR="00E16DFE">
        <w:t xml:space="preserve">I would, in any event, </w:t>
      </w:r>
      <w:r w:rsidR="003B1D50">
        <w:t>have power to make an order which will effect a declassing</w:t>
      </w:r>
      <w:r w:rsidR="00B52DA9" w:rsidRPr="00924038">
        <w:t>.</w:t>
      </w:r>
    </w:p>
    <w:p w:rsidR="00E84440" w:rsidRPr="00924038" w:rsidRDefault="00E84440" w:rsidP="00602143">
      <w:pPr>
        <w:pStyle w:val="Heading3"/>
      </w:pPr>
      <w:bookmarkStart w:id="48" w:name="_Ref514405618"/>
      <w:r w:rsidRPr="00924038">
        <w:t>E.2.3</w:t>
      </w:r>
      <w:r w:rsidRPr="00924038">
        <w:tab/>
        <w:t>Equitable</w:t>
      </w:r>
      <w:r w:rsidR="00282EEA" w:rsidRPr="00924038">
        <w:t xml:space="preserve"> Jurisdiction</w:t>
      </w:r>
      <w:bookmarkEnd w:id="48"/>
    </w:p>
    <w:p w:rsidR="00282EEA" w:rsidRPr="00924038" w:rsidRDefault="00282EEA" w:rsidP="00282EEA">
      <w:pPr>
        <w:pStyle w:val="ParaNumbering"/>
      </w:pPr>
      <w:r w:rsidRPr="00924038">
        <w:t xml:space="preserve">Prior to the </w:t>
      </w:r>
      <w:r w:rsidRPr="00924038">
        <w:rPr>
          <w:i/>
        </w:rPr>
        <w:t xml:space="preserve">Judicature Act </w:t>
      </w:r>
      <w:r w:rsidRPr="00924038">
        <w:t xml:space="preserve">reforms, courts of Chancery often considered it necessary to protect or enforce </w:t>
      </w:r>
      <w:proofErr w:type="gramStart"/>
      <w:r w:rsidRPr="00924038">
        <w:t>an equity</w:t>
      </w:r>
      <w:proofErr w:type="gramEnd"/>
      <w:r w:rsidRPr="00924038">
        <w:t xml:space="preserve"> by enjoining proceedings at law or the taking of other steps at law that involved interference with equitable rights.  </w:t>
      </w:r>
    </w:p>
    <w:p w:rsidR="00282EEA" w:rsidRPr="00924038" w:rsidRDefault="00282EEA" w:rsidP="00282EEA">
      <w:pPr>
        <w:pStyle w:val="ParaNumbering"/>
      </w:pPr>
      <w:r w:rsidRPr="00924038">
        <w:t xml:space="preserve">Section 5(2) of the Act creates this Court as a court of law and equity and it was this aspect of the Court’s equitable (rather than implied) jurisdiction, together </w:t>
      </w:r>
      <w:r w:rsidR="00D96362">
        <w:t xml:space="preserve">with </w:t>
      </w:r>
      <w:r w:rsidRPr="00924038">
        <w:t xml:space="preserve">the dispute raised as to </w:t>
      </w:r>
      <w:r w:rsidRPr="00924038">
        <w:lastRenderedPageBreak/>
        <w:t xml:space="preserve">whether a stay could be ordered in the present circumstances, that caused me to raise with the parties whether or not the appropriate relief in the present circumstances was the grant of an injunction rather than a permanent stay of proceedings.  In particular, I requested submissions as to whether the Court has power to issue an injunction to restrain competing class actions, which might, at least in some respects, be analogous to the </w:t>
      </w:r>
      <w:r w:rsidR="00602143" w:rsidRPr="00924038">
        <w:t>‘</w:t>
      </w:r>
      <w:r w:rsidRPr="00924038">
        <w:t>bill of peace</w:t>
      </w:r>
      <w:r w:rsidR="00602143" w:rsidRPr="00924038">
        <w:t>’</w:t>
      </w:r>
      <w:r w:rsidRPr="00924038">
        <w:t xml:space="preserve"> procedure in Chancery.  The position of Mr Perera and the McTaggart applicants is that no power to grant equit</w:t>
      </w:r>
      <w:r w:rsidR="00602143" w:rsidRPr="00924038">
        <w:t>able relief exists, whereas Get</w:t>
      </w:r>
      <w:r w:rsidRPr="00924038">
        <w:t xml:space="preserve">Swift submitted that the power not only exists, but should be exercised in the present circumstances. </w:t>
      </w:r>
    </w:p>
    <w:p w:rsidR="00282EEA" w:rsidRPr="00924038" w:rsidRDefault="00282EEA" w:rsidP="00282EEA">
      <w:pPr>
        <w:pStyle w:val="ParaNumbering"/>
      </w:pPr>
      <w:r w:rsidRPr="00924038">
        <w:t xml:space="preserve">Although I made specific mention of relief in the nature of a bill of peace during the course of oral submissions, the notion of equity restraining the conduct of proceedings where </w:t>
      </w:r>
      <w:r w:rsidR="00602143" w:rsidRPr="00924038">
        <w:t>they</w:t>
      </w:r>
      <w:r w:rsidRPr="00924038">
        <w:t xml:space="preserve"> would be vexatious or </w:t>
      </w:r>
      <w:r w:rsidR="00BA431D" w:rsidRPr="00924038">
        <w:t xml:space="preserve">oppressive </w:t>
      </w:r>
      <w:r w:rsidRPr="00924038">
        <w:t>is, as I will, explain, a broader topic.  Having said this, it is convenient to commence by examining equity’s development of the bill of peace which, according to some scholars, is a ‘distant mirror’ or antecedent of the modern class action: see, for example, W</w:t>
      </w:r>
      <w:r w:rsidR="00602143" w:rsidRPr="00924038">
        <w:t>illiam</w:t>
      </w:r>
      <w:r w:rsidRPr="00924038">
        <w:t xml:space="preserve"> Weiner</w:t>
      </w:r>
      <w:r w:rsidR="00602143" w:rsidRPr="00924038">
        <w:t xml:space="preserve"> and Delphine </w:t>
      </w:r>
      <w:r w:rsidRPr="00924038">
        <w:t>Szyndrowski, “The Class Action, from the English Bill of Peace to Federal Rule of Civil Procedure 23: Is There a Common Thread</w:t>
      </w:r>
      <w:r w:rsidR="00602143" w:rsidRPr="00924038">
        <w:t>” (1987)</w:t>
      </w:r>
      <w:r w:rsidRPr="00924038">
        <w:t xml:space="preserve"> 8 </w:t>
      </w:r>
      <w:r w:rsidRPr="00924038">
        <w:rPr>
          <w:i/>
        </w:rPr>
        <w:t>Whittier L</w:t>
      </w:r>
      <w:r w:rsidR="00602143" w:rsidRPr="00924038">
        <w:rPr>
          <w:i/>
        </w:rPr>
        <w:t>aw</w:t>
      </w:r>
      <w:r w:rsidRPr="00924038">
        <w:rPr>
          <w:i/>
        </w:rPr>
        <w:t xml:space="preserve"> Rev</w:t>
      </w:r>
      <w:r w:rsidR="00602143" w:rsidRPr="00924038">
        <w:rPr>
          <w:i/>
        </w:rPr>
        <w:t>iew</w:t>
      </w:r>
      <w:r w:rsidRPr="00924038">
        <w:t xml:space="preserve"> 935; T</w:t>
      </w:r>
      <w:r w:rsidR="00602143" w:rsidRPr="00924038">
        <w:t xml:space="preserve">homas </w:t>
      </w:r>
      <w:r w:rsidRPr="00924038">
        <w:t>Rowe</w:t>
      </w:r>
      <w:r w:rsidR="00553170" w:rsidRPr="00924038">
        <w:t>,</w:t>
      </w:r>
      <w:r w:rsidRPr="00924038">
        <w:t xml:space="preserve"> “A Distant Mirror: </w:t>
      </w:r>
      <w:r w:rsidR="00553170" w:rsidRPr="00924038">
        <w:t>T</w:t>
      </w:r>
      <w:r w:rsidRPr="00924038">
        <w:t xml:space="preserve">he Bill of Peace in Early American Mass Torts and </w:t>
      </w:r>
      <w:r w:rsidR="00553170" w:rsidRPr="00924038">
        <w:t>I</w:t>
      </w:r>
      <w:r w:rsidRPr="00924038">
        <w:t>ts Implications for Modern Class Actions</w:t>
      </w:r>
      <w:r w:rsidR="00553170" w:rsidRPr="00924038">
        <w:t>” (1997)</w:t>
      </w:r>
      <w:r w:rsidRPr="00924038">
        <w:t xml:space="preserve"> 39 </w:t>
      </w:r>
      <w:r w:rsidRPr="00924038">
        <w:rPr>
          <w:i/>
        </w:rPr>
        <w:t>Arizona Law Rev</w:t>
      </w:r>
      <w:r w:rsidR="00553170" w:rsidRPr="00924038">
        <w:rPr>
          <w:i/>
        </w:rPr>
        <w:t>iew</w:t>
      </w:r>
      <w:r w:rsidRPr="00924038">
        <w:t xml:space="preserve"> 711 at 712.</w:t>
      </w:r>
    </w:p>
    <w:p w:rsidR="00282EEA" w:rsidRPr="00924038" w:rsidRDefault="00282EEA" w:rsidP="00282EEA">
      <w:pPr>
        <w:pStyle w:val="ParaNumbering"/>
      </w:pPr>
      <w:r w:rsidRPr="00924038">
        <w:t xml:space="preserve">By the bill of peace, the plaintiff sought to establish a right which was capable of being, or had actually been, disputed in several actions, and claimed a perpetual injunction against future litigation and it could lie where one person claimed or defended a right against many, or where many claimed or defended a right against one: see Joseph Story, </w:t>
      </w:r>
      <w:r w:rsidRPr="00924038">
        <w:rPr>
          <w:i/>
        </w:rPr>
        <w:t>Commentaries on Equity Jurisprudence</w:t>
      </w:r>
      <w:r w:rsidR="00553170" w:rsidRPr="00924038">
        <w:rPr>
          <w:i/>
        </w:rPr>
        <w:t xml:space="preserve"> as Administered in England and America</w:t>
      </w:r>
      <w:r w:rsidRPr="00924038">
        <w:t xml:space="preserve"> </w:t>
      </w:r>
      <w:r w:rsidR="00447936" w:rsidRPr="00924038">
        <w:t>(</w:t>
      </w:r>
      <w:r w:rsidR="007E6739">
        <w:t>1</w:t>
      </w:r>
      <w:r w:rsidR="007E6739" w:rsidRPr="007E6739">
        <w:rPr>
          <w:vertAlign w:val="superscript"/>
        </w:rPr>
        <w:t>st</w:t>
      </w:r>
      <w:r w:rsidR="007E6739">
        <w:t xml:space="preserve"> English </w:t>
      </w:r>
      <w:r w:rsidR="0083441D" w:rsidRPr="00924038">
        <w:t xml:space="preserve">ed, </w:t>
      </w:r>
      <w:r w:rsidR="007E6739">
        <w:t>Stevens and Hayes, 1884</w:t>
      </w:r>
      <w:r w:rsidR="00447936" w:rsidRPr="00924038">
        <w:t>)</w:t>
      </w:r>
      <w:r w:rsidR="0022045E" w:rsidRPr="00924038">
        <w:t xml:space="preserve"> at</w:t>
      </w:r>
      <w:r w:rsidR="0083441D" w:rsidRPr="00924038">
        <w:t xml:space="preserve"> </w:t>
      </w:r>
      <w:r w:rsidRPr="00924038">
        <w:t>§</w:t>
      </w:r>
      <w:r w:rsidR="0083441D" w:rsidRPr="00924038">
        <w:t xml:space="preserve"> </w:t>
      </w:r>
      <w:r w:rsidR="007E6739">
        <w:t>853</w:t>
      </w:r>
      <w:r w:rsidRPr="00924038">
        <w:t xml:space="preserve">; </w:t>
      </w:r>
      <w:r w:rsidR="006957C0" w:rsidRPr="00924038">
        <w:t xml:space="preserve">Lord Redesdale, </w:t>
      </w:r>
      <w:r w:rsidR="006957C0" w:rsidRPr="00924038">
        <w:rPr>
          <w:i/>
        </w:rPr>
        <w:t xml:space="preserve">A Treatise on the </w:t>
      </w:r>
      <w:r w:rsidRPr="00924038">
        <w:rPr>
          <w:i/>
        </w:rPr>
        <w:t xml:space="preserve">Pleadings in </w:t>
      </w:r>
      <w:r w:rsidR="006957C0" w:rsidRPr="00924038">
        <w:rPr>
          <w:i/>
        </w:rPr>
        <w:t xml:space="preserve">Suits in the Court of </w:t>
      </w:r>
      <w:r w:rsidRPr="00924038">
        <w:rPr>
          <w:i/>
        </w:rPr>
        <w:t>Chancery</w:t>
      </w:r>
      <w:r w:rsidRPr="00924038">
        <w:t xml:space="preserve"> </w:t>
      </w:r>
      <w:r w:rsidR="006957C0" w:rsidRPr="00924038">
        <w:rPr>
          <w:i/>
        </w:rPr>
        <w:t xml:space="preserve">by English Bill </w:t>
      </w:r>
      <w:r w:rsidRPr="00924038">
        <w:t>(</w:t>
      </w:r>
      <w:r w:rsidR="0022045E" w:rsidRPr="00924038">
        <w:t>5</w:t>
      </w:r>
      <w:r w:rsidR="0022045E" w:rsidRPr="00924038">
        <w:rPr>
          <w:vertAlign w:val="superscript"/>
        </w:rPr>
        <w:t>th</w:t>
      </w:r>
      <w:r w:rsidR="0022045E" w:rsidRPr="00924038">
        <w:t xml:space="preserve"> ed, VR Stevens and GS Norton, </w:t>
      </w:r>
      <w:r w:rsidRPr="00924038">
        <w:t>1847)</w:t>
      </w:r>
      <w:r w:rsidR="0022045E" w:rsidRPr="00924038">
        <w:t xml:space="preserve"> at</w:t>
      </w:r>
      <w:r w:rsidRPr="00924038">
        <w:t xml:space="preserve"> 169-170.</w:t>
      </w:r>
    </w:p>
    <w:p w:rsidR="00282EEA" w:rsidRPr="00924038" w:rsidRDefault="00282EEA" w:rsidP="00352603">
      <w:pPr>
        <w:pStyle w:val="ParaNumbering"/>
      </w:pPr>
      <w:r w:rsidRPr="00924038">
        <w:t xml:space="preserve">According to </w:t>
      </w:r>
      <w:r w:rsidRPr="00924038">
        <w:rPr>
          <w:i/>
        </w:rPr>
        <w:t>Halsbury</w:t>
      </w:r>
      <w:r w:rsidR="0022045E" w:rsidRPr="00924038">
        <w:rPr>
          <w:i/>
        </w:rPr>
        <w:t>’</w:t>
      </w:r>
      <w:r w:rsidRPr="00924038">
        <w:rPr>
          <w:i/>
        </w:rPr>
        <w:t>s Laws of England</w:t>
      </w:r>
      <w:r w:rsidR="00352603" w:rsidRPr="00924038">
        <w:t xml:space="preserve">, vol 47 2 Jurisdiction and Equitable Remedies, </w:t>
      </w:r>
      <w:r w:rsidR="00D96362">
        <w:t>‘</w:t>
      </w:r>
      <w:r w:rsidR="00352603" w:rsidRPr="00924038">
        <w:t>92 Former bills of peace’</w:t>
      </w:r>
      <w:r w:rsidRPr="00924038">
        <w:t>, the principle that Chancery would interfere to prevent multiplicity of suits was the foundation of the jurisdiction to entertain bills of peace.  In this way</w:t>
      </w:r>
      <w:r w:rsidR="0022045E" w:rsidRPr="00924038">
        <w:t>,</w:t>
      </w:r>
      <w:r w:rsidRPr="00924038">
        <w:t xml:space="preserve"> the bill was developed as a means for equity to interpose and prevent unnecessary expense and litigation, and to decide once </w:t>
      </w:r>
      <w:r w:rsidR="00097319" w:rsidRPr="00924038">
        <w:t xml:space="preserve">and </w:t>
      </w:r>
      <w:r w:rsidRPr="00924038">
        <w:t xml:space="preserve">for all the validity or invalidity of questions of law or fact common to a larger controversy: see </w:t>
      </w:r>
      <w:r w:rsidRPr="00924038">
        <w:rPr>
          <w:i/>
        </w:rPr>
        <w:t>Sheffield Waterworks v Yeomans</w:t>
      </w:r>
      <w:r w:rsidRPr="00924038">
        <w:t xml:space="preserve"> (1866) LR 2 Ch App 8 </w:t>
      </w:r>
      <w:r w:rsidR="00447936" w:rsidRPr="00924038">
        <w:t xml:space="preserve">at 11-12 </w:t>
      </w:r>
      <w:r w:rsidR="00E1107D" w:rsidRPr="00924038">
        <w:t>per Lord Chelmsford.</w:t>
      </w:r>
    </w:p>
    <w:p w:rsidR="00282EEA" w:rsidRPr="00924038" w:rsidRDefault="00097319" w:rsidP="00282EEA">
      <w:pPr>
        <w:pStyle w:val="ParaNumbering"/>
      </w:pPr>
      <w:r w:rsidRPr="00924038">
        <w:lastRenderedPageBreak/>
        <w:t xml:space="preserve">The </w:t>
      </w:r>
      <w:r w:rsidR="00711A71" w:rsidRPr="00924038">
        <w:t>procedure’s</w:t>
      </w:r>
      <w:r w:rsidR="00282EEA" w:rsidRPr="00924038">
        <w:t>, albeit embryonic</w:t>
      </w:r>
      <w:r w:rsidR="00447936" w:rsidRPr="00924038">
        <w:t>,</w:t>
      </w:r>
      <w:r w:rsidR="00282EEA" w:rsidRPr="00924038">
        <w:t xml:space="preserve"> similarity to modern represent</w:t>
      </w:r>
      <w:r w:rsidR="00B8568A" w:rsidRPr="00924038">
        <w:t>ative proceedings can be seen f</w:t>
      </w:r>
      <w:r w:rsidR="00282EEA" w:rsidRPr="00924038">
        <w:t>r</w:t>
      </w:r>
      <w:r w:rsidR="00B8568A" w:rsidRPr="00924038">
        <w:t>o</w:t>
      </w:r>
      <w:r w:rsidR="00282EEA" w:rsidRPr="00924038">
        <w:t xml:space="preserve">m Pomeroy’s comments in his seminal </w:t>
      </w:r>
      <w:r w:rsidR="00352603" w:rsidRPr="00924038">
        <w:t xml:space="preserve">work </w:t>
      </w:r>
      <w:r w:rsidR="00352603" w:rsidRPr="00924038">
        <w:rPr>
          <w:i/>
        </w:rPr>
        <w:t xml:space="preserve">A </w:t>
      </w:r>
      <w:r w:rsidR="00282EEA" w:rsidRPr="00924038">
        <w:rPr>
          <w:i/>
        </w:rPr>
        <w:t>Treatise on Equity Jurisprudence</w:t>
      </w:r>
      <w:r w:rsidR="00352603" w:rsidRPr="00924038">
        <w:rPr>
          <w:i/>
        </w:rPr>
        <w:t>,</w:t>
      </w:r>
      <w:r w:rsidR="0022045E" w:rsidRPr="00924038">
        <w:rPr>
          <w:i/>
        </w:rPr>
        <w:t xml:space="preserve"> as Administered in the United States of America</w:t>
      </w:r>
      <w:r w:rsidR="001E0386" w:rsidRPr="00924038">
        <w:t>,</w:t>
      </w:r>
      <w:r w:rsidR="00282EEA" w:rsidRPr="00924038">
        <w:t xml:space="preserve"> where the author explained </w:t>
      </w:r>
      <w:r w:rsidR="00352603" w:rsidRPr="00924038">
        <w:t>at</w:t>
      </w:r>
      <w:r w:rsidR="00335D7C" w:rsidRPr="00924038">
        <w:t xml:space="preserve"> § 269</w:t>
      </w:r>
      <w:r w:rsidR="00282EEA" w:rsidRPr="00924038">
        <w:t>:</w:t>
      </w:r>
    </w:p>
    <w:p w:rsidR="00282EEA" w:rsidRPr="00924038" w:rsidRDefault="00282EEA" w:rsidP="00E469C4">
      <w:pPr>
        <w:pStyle w:val="Quote1"/>
      </w:pPr>
      <w:r w:rsidRPr="00924038">
        <w:t xml:space="preserve">[N]otwithstanding the positive denials by some American courts, the weight of authority is simply overwhelming that the jurisdiction may and should be exercised either on behalf of a numerous body of separate claimants against a single party, or on behalf of a single party against such a numerous body, although there is no </w:t>
      </w:r>
      <w:r w:rsidR="002E79DE" w:rsidRPr="00924038">
        <w:t>“</w:t>
      </w:r>
      <w:r w:rsidRPr="00924038">
        <w:t>common title,</w:t>
      </w:r>
      <w:r w:rsidR="002E79DE" w:rsidRPr="00924038">
        <w:t>”</w:t>
      </w:r>
      <w:r w:rsidRPr="00924038">
        <w:t xml:space="preserve"> nor </w:t>
      </w:r>
      <w:r w:rsidR="002E79DE" w:rsidRPr="00924038">
        <w:t>“</w:t>
      </w:r>
      <w:r w:rsidRPr="00924038">
        <w:t>community or right,</w:t>
      </w:r>
      <w:r w:rsidR="002E79DE" w:rsidRPr="00924038">
        <w:t>”</w:t>
      </w:r>
      <w:r w:rsidRPr="00924038">
        <w:t xml:space="preserve"> or of </w:t>
      </w:r>
      <w:r w:rsidR="002E79DE" w:rsidRPr="00924038">
        <w:t>“</w:t>
      </w:r>
      <w:r w:rsidRPr="00924038">
        <w:t>interest in the subject matter</w:t>
      </w:r>
      <w:r w:rsidR="002E79DE" w:rsidRPr="00924038">
        <w:t>”</w:t>
      </w:r>
      <w:r w:rsidRPr="00924038">
        <w:t xml:space="preserve"> among these individuals, but where there is and because there is merely a community of interest among them in the questions of law and fact involved in the general controversy, or in the kind and form of relief demanded and obtained by or against each individual member of the numerous body.</w:t>
      </w:r>
    </w:p>
    <w:p w:rsidR="00282EEA" w:rsidRPr="00924038" w:rsidRDefault="00282EEA" w:rsidP="00282EEA">
      <w:pPr>
        <w:pStyle w:val="ParaNumbering"/>
      </w:pPr>
      <w:r w:rsidRPr="00924038">
        <w:t xml:space="preserve">In summary, the effect of the bill of peace was to provide a mechanism by which equity would overcome </w:t>
      </w:r>
      <w:r w:rsidRPr="00924038">
        <w:rPr>
          <w:w w:val="105"/>
        </w:rPr>
        <w:t xml:space="preserve">rigid common law joinder rules </w:t>
      </w:r>
      <w:r w:rsidRPr="00924038">
        <w:t xml:space="preserve">to bring together persons interested in </w:t>
      </w:r>
      <w:r w:rsidR="00B8568A" w:rsidRPr="00924038">
        <w:t>a controversy and then direct</w:t>
      </w:r>
      <w:r w:rsidRPr="00924038">
        <w:t xml:space="preserve"> a hearing of a suit in equity or a trial at law in a mann</w:t>
      </w:r>
      <w:r w:rsidR="00B8568A" w:rsidRPr="00924038">
        <w:t>er which would bind all concerned</w:t>
      </w:r>
      <w:r w:rsidRPr="00924038">
        <w:t xml:space="preserve">.  </w:t>
      </w:r>
      <w:r w:rsidR="000A2A36">
        <w:t>T</w:t>
      </w:r>
      <w:r w:rsidR="00B8568A" w:rsidRPr="00924038">
        <w:t xml:space="preserve">he bill fell into disuse </w:t>
      </w:r>
      <w:r w:rsidRPr="00924038">
        <w:t xml:space="preserve">following the </w:t>
      </w:r>
      <w:r w:rsidRPr="00924038">
        <w:rPr>
          <w:i/>
        </w:rPr>
        <w:t>Judicature Act</w:t>
      </w:r>
      <w:r w:rsidRPr="00924038">
        <w:t xml:space="preserve"> reforms, which provided that the equitable rules governing parties (which permitted actions of a representative character) would apply to all actions</w:t>
      </w:r>
      <w:r w:rsidR="004500A1" w:rsidRPr="00924038">
        <w:t>,</w:t>
      </w:r>
      <w:r w:rsidRPr="00924038">
        <w:t xml:space="preserve"> even those actions that would once have only been at law.  The effect of the </w:t>
      </w:r>
      <w:r w:rsidRPr="00924038">
        <w:rPr>
          <w:i/>
        </w:rPr>
        <w:t>Judicature Act</w:t>
      </w:r>
      <w:r w:rsidRPr="00924038">
        <w:t xml:space="preserve"> reforms on the old Chancery practice can be seen from the comments of Vaughan Williams LJ in </w:t>
      </w:r>
      <w:r w:rsidRPr="00924038">
        <w:rPr>
          <w:i/>
        </w:rPr>
        <w:t xml:space="preserve">Markt &amp; Co </w:t>
      </w:r>
      <w:r w:rsidR="004500A1" w:rsidRPr="00924038">
        <w:rPr>
          <w:i/>
        </w:rPr>
        <w:t xml:space="preserve">Limited </w:t>
      </w:r>
      <w:r w:rsidRPr="00924038">
        <w:rPr>
          <w:i/>
        </w:rPr>
        <w:t xml:space="preserve">v Knight Steamship </w:t>
      </w:r>
      <w:r w:rsidR="004500A1" w:rsidRPr="00924038">
        <w:rPr>
          <w:i/>
        </w:rPr>
        <w:t xml:space="preserve">Company Limited </w:t>
      </w:r>
      <w:r w:rsidRPr="00924038">
        <w:t xml:space="preserve">[1910] 2 KB 1021, where his Lordship said </w:t>
      </w:r>
      <w:r w:rsidR="004500A1" w:rsidRPr="00924038">
        <w:t>(</w:t>
      </w:r>
      <w:r w:rsidRPr="00924038">
        <w:t>at 1028-</w:t>
      </w:r>
      <w:r w:rsidR="004500A1" w:rsidRPr="00924038">
        <w:t>1029)</w:t>
      </w:r>
      <w:r w:rsidRPr="00924038">
        <w:t>:</w:t>
      </w:r>
    </w:p>
    <w:p w:rsidR="00282EEA" w:rsidRPr="00924038" w:rsidRDefault="00282EEA" w:rsidP="00E469C4">
      <w:pPr>
        <w:pStyle w:val="Quote1"/>
      </w:pPr>
      <w:r w:rsidRPr="00924038">
        <w:t>I think that, even taking the old practice</w:t>
      </w:r>
      <w:r w:rsidR="004500A1" w:rsidRPr="00924038">
        <w:t xml:space="preserve"> </w:t>
      </w:r>
      <w:r w:rsidRPr="00924038">
        <w:t xml:space="preserve">… as governing the present practice, the writ in the present action cannot be supported, but I must observe that the practice regarding representative actions was limited to the Court of Chancery, and was not adopted by the Common Law Courts. </w:t>
      </w:r>
      <w:r w:rsidR="004500A1" w:rsidRPr="00924038">
        <w:t xml:space="preserve"> </w:t>
      </w:r>
      <w:r w:rsidRPr="00924038">
        <w:t>What we have to do is to construe the Rules under the Judicature Act which define the application of the practice as to representative actions for the Common Law Division and the Chancery Division alike, and which properly construed will, I suppose, govern the present practice, notwithstanding any prior practice in the Court of Chancery.</w:t>
      </w:r>
    </w:p>
    <w:p w:rsidR="00282EEA" w:rsidRPr="00924038" w:rsidRDefault="00282EEA" w:rsidP="00282EEA">
      <w:pPr>
        <w:pStyle w:val="ParaNumbering"/>
      </w:pPr>
      <w:r w:rsidRPr="00924038">
        <w:t xml:space="preserve">Notwithstanding that in New South Wales the judicature reforms </w:t>
      </w:r>
      <w:r w:rsidR="000A2A36">
        <w:t xml:space="preserve">were resisted </w:t>
      </w:r>
      <w:r w:rsidRPr="00924038">
        <w:t xml:space="preserve">until 1970, there is little reference in </w:t>
      </w:r>
      <w:r w:rsidR="004500A1" w:rsidRPr="00924038">
        <w:t xml:space="preserve">the </w:t>
      </w:r>
      <w:r w:rsidRPr="00924038">
        <w:t xml:space="preserve">case law to bills of peace in Australia although, in </w:t>
      </w:r>
      <w:r w:rsidRPr="00924038">
        <w:rPr>
          <w:i/>
        </w:rPr>
        <w:t>Re Lethbridge v Mitchell</w:t>
      </w:r>
      <w:r w:rsidRPr="00924038">
        <w:t xml:space="preserve"> (1887) 8 LR (NSW) 249</w:t>
      </w:r>
      <w:r w:rsidR="004500A1" w:rsidRPr="00924038">
        <w:t xml:space="preserve"> at 254</w:t>
      </w:r>
      <w:r w:rsidRPr="00924038">
        <w:t xml:space="preserve">, Darley CJ referred to the possibility </w:t>
      </w:r>
      <w:r w:rsidR="004500A1" w:rsidRPr="00924038">
        <w:t xml:space="preserve">of </w:t>
      </w:r>
      <w:r w:rsidRPr="00924038">
        <w:t xml:space="preserve">a suit in equity in the nature of a bill of peace being instituted and that a </w:t>
      </w:r>
      <w:r w:rsidR="00D96362">
        <w:t>c</w:t>
      </w:r>
      <w:r w:rsidRPr="00924038">
        <w:t xml:space="preserve">ourt of </w:t>
      </w:r>
      <w:r w:rsidR="00D96362">
        <w:t>e</w:t>
      </w:r>
      <w:r w:rsidRPr="00924038">
        <w:t>quity ought to “</w:t>
      </w:r>
      <w:r w:rsidRPr="00924038">
        <w:rPr>
          <w:i/>
        </w:rPr>
        <w:t>interfere and grant a perpetual injunction to quiet the possession of the applicant and to suppress future litigation of their right</w:t>
      </w:r>
      <w:r w:rsidRPr="00924038">
        <w:t xml:space="preserve">”. </w:t>
      </w:r>
    </w:p>
    <w:p w:rsidR="00282EEA" w:rsidRPr="00924038" w:rsidRDefault="00282EEA" w:rsidP="00282EEA">
      <w:pPr>
        <w:pStyle w:val="ParaNumbering"/>
      </w:pPr>
      <w:r w:rsidRPr="00924038">
        <w:t xml:space="preserve">More recently, Lindsay J in </w:t>
      </w:r>
      <w:r w:rsidRPr="00924038">
        <w:rPr>
          <w:i/>
        </w:rPr>
        <w:t>Ahmed v Chowdhury</w:t>
      </w:r>
      <w:r w:rsidRPr="00924038">
        <w:t xml:space="preserve"> [2012] NSWSC 1452 at [51] observed:</w:t>
      </w:r>
    </w:p>
    <w:p w:rsidR="00282EEA" w:rsidRPr="00924038" w:rsidRDefault="00282EEA" w:rsidP="00E469C4">
      <w:pPr>
        <w:pStyle w:val="Quote1"/>
      </w:pPr>
      <w:proofErr w:type="gramStart"/>
      <w:r w:rsidRPr="00924038">
        <w:t>that</w:t>
      </w:r>
      <w:proofErr w:type="gramEnd"/>
      <w:r w:rsidRPr="00924038">
        <w:t xml:space="preserve"> the jurisdiction in equity to make representative orders bears some similarity to </w:t>
      </w:r>
      <w:r w:rsidRPr="00924038">
        <w:lastRenderedPageBreak/>
        <w:t xml:space="preserve">the jurisdiction formerly arising on a Bill of Peace: Story, </w:t>
      </w:r>
      <w:r w:rsidRPr="00924038">
        <w:rPr>
          <w:i/>
        </w:rPr>
        <w:t>Commentaries on Equity Jurisprudence</w:t>
      </w:r>
      <w:r w:rsidRPr="00924038">
        <w:t xml:space="preserve"> (1st English ed, 1884), ch 22 (paras 852-860, on pp 567-570); </w:t>
      </w:r>
      <w:r w:rsidRPr="00924038">
        <w:rPr>
          <w:i/>
        </w:rPr>
        <w:t>Halsburys Laws of England</w:t>
      </w:r>
      <w:r w:rsidRPr="00924038">
        <w:t xml:space="preserve"> (1st ed, 1910) vol 13, para 68. </w:t>
      </w:r>
      <w:r w:rsidR="00F36630" w:rsidRPr="00924038">
        <w:t xml:space="preserve"> </w:t>
      </w:r>
      <w:proofErr w:type="gramStart"/>
      <w:r w:rsidRPr="00924038">
        <w:t xml:space="preserve">Cf, </w:t>
      </w:r>
      <w:r w:rsidRPr="00924038">
        <w:rPr>
          <w:i/>
        </w:rPr>
        <w:t>Wong v Silkfield Pty Ltd</w:t>
      </w:r>
      <w:r w:rsidRPr="00924038">
        <w:t xml:space="preserve"> (1999) 199 CLR 255 at 262 [15].</w:t>
      </w:r>
      <w:proofErr w:type="gramEnd"/>
      <w:r w:rsidRPr="00924038">
        <w:t xml:space="preserve"> </w:t>
      </w:r>
      <w:r w:rsidR="00F36630" w:rsidRPr="00924038">
        <w:t xml:space="preserve"> </w:t>
      </w:r>
      <w:r w:rsidRPr="00924038">
        <w:t>An object, under each head of jurisdiction, is to quell disputes and avoid a multiplicity of proceedings.</w:t>
      </w:r>
    </w:p>
    <w:p w:rsidR="00282EEA" w:rsidRPr="00924038" w:rsidRDefault="00282EEA" w:rsidP="00282EEA">
      <w:pPr>
        <w:pStyle w:val="ParaNumbering"/>
      </w:pPr>
      <w:r w:rsidRPr="00924038">
        <w:t xml:space="preserve">The reference, by way of </w:t>
      </w:r>
      <w:r w:rsidRPr="00924038">
        <w:rPr>
          <w:rStyle w:val="st1"/>
          <w:szCs w:val="24"/>
        </w:rPr>
        <w:t>conferatur</w:t>
      </w:r>
      <w:r w:rsidRPr="00924038">
        <w:t xml:space="preserve">, to </w:t>
      </w:r>
      <w:r w:rsidRPr="00924038">
        <w:rPr>
          <w:i/>
        </w:rPr>
        <w:t>Wong v Silkfield</w:t>
      </w:r>
      <w:r w:rsidRPr="00924038">
        <w:t xml:space="preserve"> </w:t>
      </w:r>
      <w:r w:rsidR="00F36630" w:rsidRPr="00924038">
        <w:rPr>
          <w:i/>
        </w:rPr>
        <w:t xml:space="preserve">Pty Limited </w:t>
      </w:r>
      <w:r w:rsidR="00F36630" w:rsidRPr="00924038">
        <w:t>[1999] HCA 48; (1999) 19</w:t>
      </w:r>
      <w:r w:rsidR="00983CDF">
        <w:t>9</w:t>
      </w:r>
      <w:r w:rsidR="00F36630" w:rsidRPr="00924038">
        <w:t xml:space="preserve"> CLR 255 </w:t>
      </w:r>
      <w:r w:rsidRPr="00924038">
        <w:t xml:space="preserve">in the above quote is important in directing attention to the High Court’s discussion in that case of representative proceedings in equity and </w:t>
      </w:r>
      <w:r w:rsidR="00F36630" w:rsidRPr="00924038">
        <w:t xml:space="preserve">pursuant to </w:t>
      </w:r>
      <w:r w:rsidRPr="00924038">
        <w:t xml:space="preserve">Part IVA </w:t>
      </w:r>
      <w:r w:rsidR="00F36630" w:rsidRPr="00924038">
        <w:t xml:space="preserve">of the Act, </w:t>
      </w:r>
      <w:r w:rsidRPr="00924038">
        <w:t>starting at 261 [13].  At 262 [15]</w:t>
      </w:r>
      <w:r w:rsidR="00F36630" w:rsidRPr="00924038">
        <w:t>, the High Court said</w:t>
      </w:r>
      <w:r w:rsidRPr="00924038">
        <w:t>:</w:t>
      </w:r>
    </w:p>
    <w:p w:rsidR="00282EEA" w:rsidRPr="00924038" w:rsidRDefault="00282EEA" w:rsidP="00E469C4">
      <w:pPr>
        <w:pStyle w:val="Quote1"/>
      </w:pPr>
      <w:r w:rsidRPr="00924038">
        <w:t>In the United States, before the introduction in 1938 of the present Federal Rules of Civil Procedure and in particular r 23, there was much discussion as to whether the bill of peace, as understood in English equity, provided a model for class actions in tort, but without jury trial.  In particular, there was a controversy as to what was involved in a requirement of a community of right, title and interest in the subject-matter.</w:t>
      </w:r>
    </w:p>
    <w:p w:rsidR="00F36630" w:rsidRPr="00924038" w:rsidRDefault="00F36630" w:rsidP="00E469C4">
      <w:pPr>
        <w:pStyle w:val="Quote1"/>
      </w:pPr>
      <w:r w:rsidRPr="00924038">
        <w:t>(Citations omitted)</w:t>
      </w:r>
    </w:p>
    <w:p w:rsidR="00282EEA" w:rsidRPr="00924038" w:rsidRDefault="00282EEA" w:rsidP="00282EEA">
      <w:pPr>
        <w:pStyle w:val="ParaNumbering"/>
      </w:pPr>
      <w:r w:rsidRPr="00924038">
        <w:t>Their Honours returned to the bill of peace at 263 [18], and after noting its characteristics said:</w:t>
      </w:r>
    </w:p>
    <w:p w:rsidR="00F36630" w:rsidRPr="00924038" w:rsidRDefault="00282EEA" w:rsidP="00E469C4">
      <w:pPr>
        <w:pStyle w:val="Quote1"/>
      </w:pPr>
      <w:r w:rsidRPr="00924038">
        <w:rPr>
          <w:b/>
        </w:rPr>
        <w:t>Part IVA establishes a regime which supplants these procedures</w:t>
      </w:r>
      <w:r w:rsidRPr="00924038">
        <w:t xml:space="preserve">, but the phrase in par (c) of s </w:t>
      </w:r>
      <w:proofErr w:type="gramStart"/>
      <w:r w:rsidRPr="00924038">
        <w:t>33C(</w:t>
      </w:r>
      <w:proofErr w:type="gramEnd"/>
      <w:r w:rsidRPr="00924038">
        <w:t xml:space="preserve">i) “a substantial common issue of law or fact” gives rise to issues of construction which reflect the disparate interests which the old procedures had sought to accommodate. </w:t>
      </w:r>
    </w:p>
    <w:p w:rsidR="00282EEA" w:rsidRPr="00924038" w:rsidRDefault="00F36630" w:rsidP="00E469C4">
      <w:pPr>
        <w:pStyle w:val="Quote1"/>
      </w:pPr>
      <w:r w:rsidRPr="00924038">
        <w:t>(</w:t>
      </w:r>
      <w:r w:rsidR="00D96362">
        <w:t>E</w:t>
      </w:r>
      <w:r w:rsidRPr="00924038">
        <w:t>mphasis added)</w:t>
      </w:r>
    </w:p>
    <w:p w:rsidR="00282EEA" w:rsidRPr="00924038" w:rsidRDefault="00282EEA" w:rsidP="00282EEA">
      <w:pPr>
        <w:pStyle w:val="ParaNumbering"/>
        <w:rPr>
          <w:lang w:val="en-GB"/>
        </w:rPr>
      </w:pPr>
      <w:r w:rsidRPr="00924038">
        <w:t xml:space="preserve">The McTaggart applicants make two submissions relating to the comments of the High Court in </w:t>
      </w:r>
      <w:r w:rsidRPr="00924038">
        <w:rPr>
          <w:i/>
        </w:rPr>
        <w:t>Wong</w:t>
      </w:r>
      <w:r w:rsidRPr="00924038">
        <w:t xml:space="preserve">.  The </w:t>
      </w:r>
      <w:r w:rsidRPr="00924038">
        <w:rPr>
          <w:i/>
        </w:rPr>
        <w:t xml:space="preserve">first </w:t>
      </w:r>
      <w:r w:rsidRPr="00924038">
        <w:t xml:space="preserve">confirms the description of a bill of peace as being </w:t>
      </w:r>
      <w:r w:rsidR="00ED4E89" w:rsidRPr="00924038">
        <w:t xml:space="preserve">a </w:t>
      </w:r>
      <w:r w:rsidRPr="00924038">
        <w:t>procedural mechanism to allow, among other things, multiple plaintiffs seeking to assert similar rights against one person to do so and</w:t>
      </w:r>
      <w:r w:rsidR="00ED4E89" w:rsidRPr="00924038">
        <w:t>,</w:t>
      </w:r>
      <w:r w:rsidRPr="00924038">
        <w:t xml:space="preserve"> in so summarising its effect</w:t>
      </w:r>
      <w:r w:rsidR="00ED4E89" w:rsidRPr="00924038">
        <w:t>,</w:t>
      </w:r>
      <w:r w:rsidRPr="00924038">
        <w:t xml:space="preserve"> “</w:t>
      </w:r>
      <w:r w:rsidRPr="00924038">
        <w:rPr>
          <w:i/>
        </w:rPr>
        <w:t>the bill of peace does not appear to include some wider power justifying stays (temporary or permanent) of class action proceedings as contemplated in argument or as is in issue in the present proceedings</w:t>
      </w:r>
      <w:r w:rsidRPr="00924038">
        <w:t xml:space="preserve">”.  The </w:t>
      </w:r>
      <w:r w:rsidRPr="00924038">
        <w:rPr>
          <w:i/>
        </w:rPr>
        <w:t>second</w:t>
      </w:r>
      <w:r w:rsidRPr="00924038">
        <w:t xml:space="preserve"> point is that the High Court has held that Part IVA “</w:t>
      </w:r>
      <w:r w:rsidRPr="00924038">
        <w:rPr>
          <w:i/>
        </w:rPr>
        <w:t>supplants</w:t>
      </w:r>
      <w:r w:rsidR="000A2A36">
        <w:t>” all the</w:t>
      </w:r>
      <w:r w:rsidRPr="00924038">
        <w:t xml:space="preserve"> representative procedures of equity</w:t>
      </w:r>
      <w:r w:rsidR="00ED4E89" w:rsidRPr="00924038">
        <w:t>,</w:t>
      </w:r>
      <w:r w:rsidRPr="00924038">
        <w:t xml:space="preserve"> such that there is no longer a </w:t>
      </w:r>
      <w:r w:rsidR="00ED4E89" w:rsidRPr="00924038">
        <w:t>‘</w:t>
      </w:r>
      <w:r w:rsidRPr="00924038">
        <w:t>bill of peace</w:t>
      </w:r>
      <w:r w:rsidR="00ED4E89" w:rsidRPr="00924038">
        <w:t>’</w:t>
      </w:r>
      <w:r w:rsidRPr="00924038">
        <w:t xml:space="preserve"> power in </w:t>
      </w:r>
      <w:r w:rsidR="00ED4E89" w:rsidRPr="00924038">
        <w:t xml:space="preserve">this Court </w:t>
      </w:r>
      <w:r w:rsidRPr="00924038">
        <w:t>so that the Court’s power to restrain a litigant from bringing multiple proceedings is located in the Court’s implied power to stay abuses of its process</w:t>
      </w:r>
      <w:r w:rsidR="00D96362">
        <w:t>es</w:t>
      </w:r>
      <w:r w:rsidRPr="00924038">
        <w:t>.  A similar point is made by Mr Perera.</w:t>
      </w:r>
    </w:p>
    <w:p w:rsidR="00282EEA" w:rsidRPr="00924038" w:rsidRDefault="00282EEA" w:rsidP="00282EEA">
      <w:pPr>
        <w:pStyle w:val="ParaNumbering"/>
        <w:rPr>
          <w:lang w:val="en"/>
        </w:rPr>
      </w:pPr>
      <w:r w:rsidRPr="00924038">
        <w:t xml:space="preserve">GetSwift submits that it is far from clear that the High Court’s comments in </w:t>
      </w:r>
      <w:r w:rsidRPr="00924038">
        <w:rPr>
          <w:i/>
        </w:rPr>
        <w:t xml:space="preserve">Wong </w:t>
      </w:r>
      <w:r w:rsidRPr="00924038">
        <w:t xml:space="preserve">were intended to have the effect that the enactment of Part IVA eliminated the powers associated </w:t>
      </w:r>
      <w:r w:rsidRPr="00924038">
        <w:lastRenderedPageBreak/>
        <w:t xml:space="preserve">with, or analogous to, the bill of peace procedure, relying on the fact that there is nothing in the extrinsic materials which supports the notion that Part IVA was designed to deprive </w:t>
      </w:r>
      <w:r w:rsidR="00ED4E89" w:rsidRPr="00924038">
        <w:t xml:space="preserve">this </w:t>
      </w:r>
      <w:r w:rsidRPr="00924038">
        <w:t>Court of any of its equitable powers</w:t>
      </w:r>
      <w:r w:rsidR="00ED4E89" w:rsidRPr="00924038">
        <w:t xml:space="preserve">.  GetSwift submits </w:t>
      </w:r>
      <w:r w:rsidRPr="00924038">
        <w:t xml:space="preserve">that the better view is that the Court maintains its power to enjoin </w:t>
      </w:r>
      <w:r w:rsidR="00D639A2" w:rsidRPr="00924038">
        <w:t xml:space="preserve">multiplicity </w:t>
      </w:r>
      <w:r w:rsidRPr="00924038">
        <w:t xml:space="preserve">in its equitable jurisdiction.  </w:t>
      </w:r>
    </w:p>
    <w:p w:rsidR="00282EEA" w:rsidRPr="00924038" w:rsidRDefault="00282EEA" w:rsidP="00282EEA">
      <w:pPr>
        <w:pStyle w:val="ParaNumbering"/>
      </w:pPr>
      <w:r w:rsidRPr="00924038">
        <w:t xml:space="preserve">Although it is plain that the procedural aspects of a bill of peace or orders in the nature of a bill of peace have fallen into desuetude and, in this sense, </w:t>
      </w:r>
      <w:r w:rsidR="00ED4E89" w:rsidRPr="00924038">
        <w:t xml:space="preserve">has </w:t>
      </w:r>
      <w:r w:rsidRPr="00924038">
        <w:t xml:space="preserve">been </w:t>
      </w:r>
      <w:r w:rsidR="0022702B">
        <w:t>supplanted</w:t>
      </w:r>
      <w:r w:rsidRPr="00924038">
        <w:t xml:space="preserve">, that is an entirely different question to whether this Court, as a court of equity, has a power analogous to common injunctions which restrained defendants from pursuing proceedings in common law courts in circumstances where to allow pursuit of those proceedings would </w:t>
      </w:r>
      <w:r w:rsidR="00BA431D" w:rsidRPr="00924038">
        <w:t>be</w:t>
      </w:r>
      <w:r w:rsidRPr="00924038">
        <w:t xml:space="preserve"> unconsci</w:t>
      </w:r>
      <w:r w:rsidR="00BA431D" w:rsidRPr="00924038">
        <w:t>entious</w:t>
      </w:r>
      <w:r w:rsidRPr="00924038">
        <w:t xml:space="preserve">.   </w:t>
      </w:r>
    </w:p>
    <w:p w:rsidR="00BA431D" w:rsidRPr="00924038" w:rsidRDefault="00E1107D" w:rsidP="00E1107D">
      <w:pPr>
        <w:pStyle w:val="ParaNumbering"/>
      </w:pPr>
      <w:r w:rsidRPr="00924038">
        <w:t xml:space="preserve">Story in his </w:t>
      </w:r>
      <w:r w:rsidRPr="00924038">
        <w:rPr>
          <w:i/>
        </w:rPr>
        <w:t>Commentaries on Equity Jurisprudence</w:t>
      </w:r>
      <w:r w:rsidRPr="00924038">
        <w:t xml:space="preserve"> at </w:t>
      </w:r>
      <w:r w:rsidR="00D639A2" w:rsidRPr="00924038">
        <w:t>§900</w:t>
      </w:r>
      <w:r w:rsidR="00D96362">
        <w:t>-</w:t>
      </w:r>
      <w:r w:rsidR="00BA431D" w:rsidRPr="00924038">
        <w:t xml:space="preserve">901 explains that apart from the equity to stay suits in foreign countries by injunction </w:t>
      </w:r>
      <w:r w:rsidRPr="00924038">
        <w:rPr>
          <w:i/>
        </w:rPr>
        <w:t>in personam</w:t>
      </w:r>
      <w:r w:rsidR="00BA431D" w:rsidRPr="00924038">
        <w:rPr>
          <w:i/>
        </w:rPr>
        <w:t xml:space="preserve"> </w:t>
      </w:r>
      <w:r w:rsidRPr="00924038">
        <w:t>upon parties resident within the</w:t>
      </w:r>
      <w:r w:rsidR="00BA431D" w:rsidRPr="00924038">
        <w:t xml:space="preserve"> realm, there is a class of cases of an analogous nature in respect of which the process of an injunction “</w:t>
      </w:r>
      <w:r w:rsidR="00BA431D" w:rsidRPr="00924038">
        <w:rPr>
          <w:i/>
        </w:rPr>
        <w:t>is also most beneficially applied is to suppress undue and vexatious litigation</w:t>
      </w:r>
      <w:r w:rsidR="00BA431D" w:rsidRPr="00924038">
        <w:t xml:space="preserve">”.  Story deals at length </w:t>
      </w:r>
      <w:r w:rsidR="00D639A2" w:rsidRPr="00924038">
        <w:t>with bills of peace but notes,</w:t>
      </w:r>
      <w:r w:rsidR="00BA431D" w:rsidRPr="00924038">
        <w:t xml:space="preserve"> in a footnote to </w:t>
      </w:r>
      <w:r w:rsidRPr="00924038">
        <w:t>§</w:t>
      </w:r>
      <w:r w:rsidR="00BA431D" w:rsidRPr="00924038">
        <w:t>901</w:t>
      </w:r>
      <w:r w:rsidRPr="00924038">
        <w:t xml:space="preserve">, </w:t>
      </w:r>
      <w:r w:rsidR="00BA431D" w:rsidRPr="00924038">
        <w:t>that “</w:t>
      </w:r>
      <w:r w:rsidR="00BA431D" w:rsidRPr="00924038">
        <w:rPr>
          <w:i/>
        </w:rPr>
        <w:t>the prevention of multiplicity of suits is a distinct ground upon which courts of equity maintain juris</w:t>
      </w:r>
      <w:r w:rsidRPr="00924038">
        <w:rPr>
          <w:i/>
        </w:rPr>
        <w:t>diction in a variety of cases.</w:t>
      </w:r>
      <w:r w:rsidRPr="00924038">
        <w:t xml:space="preserve">”  </w:t>
      </w:r>
      <w:r w:rsidR="00BA431D" w:rsidRPr="00924038">
        <w:t>This is part of a broader power to re</w:t>
      </w:r>
      <w:r w:rsidRPr="00924038">
        <w:t xml:space="preserve">strain an enjoined party in </w:t>
      </w:r>
      <w:r w:rsidR="00BA431D" w:rsidRPr="00924038">
        <w:t xml:space="preserve">cases of vexatious </w:t>
      </w:r>
      <w:r w:rsidRPr="00924038">
        <w:t xml:space="preserve">or </w:t>
      </w:r>
      <w:r w:rsidR="000A2A36">
        <w:t>undue</w:t>
      </w:r>
      <w:r w:rsidRPr="00924038">
        <w:t xml:space="preserve"> </w:t>
      </w:r>
      <w:r w:rsidR="00BA431D" w:rsidRPr="00924038">
        <w:t>litigation</w:t>
      </w:r>
      <w:r w:rsidRPr="00924038">
        <w:t xml:space="preserve"> which has an origin historically distinct from the implied power</w:t>
      </w:r>
      <w:r w:rsidR="00BA431D" w:rsidRPr="00924038">
        <w:t>.</w:t>
      </w:r>
      <w:r w:rsidR="00BA431D" w:rsidRPr="00924038">
        <w:rPr>
          <w:rFonts w:eastAsia="Times New Roman"/>
          <w:lang w:eastAsia="en-AU"/>
        </w:rPr>
        <w:t xml:space="preserve"> </w:t>
      </w:r>
    </w:p>
    <w:p w:rsidR="004E401D" w:rsidRPr="00924038" w:rsidRDefault="00282EEA" w:rsidP="00E1107D">
      <w:pPr>
        <w:pStyle w:val="ParaNumbering"/>
        <w:rPr>
          <w:szCs w:val="24"/>
        </w:rPr>
      </w:pPr>
      <w:r w:rsidRPr="00D96362">
        <w:t xml:space="preserve">That such a power exists seems to me to be consistent with an </w:t>
      </w:r>
      <w:r w:rsidRPr="00924038">
        <w:t>equity arising, sufficient to attract the intervention of the Court, in a range circumstances to facilitate the administration of justice</w:t>
      </w:r>
      <w:r w:rsidR="00D96362">
        <w:t>,</w:t>
      </w:r>
      <w:r w:rsidRPr="00924038">
        <w:t xml:space="preserve"> such as common injunctions restraining defendants from pursuing proceedings in other courts or, historically, orders in the nature of a bill of peace or otherwise preventing multiplicity of proceedings: see </w:t>
      </w:r>
      <w:r w:rsidRPr="00D96362">
        <w:rPr>
          <w:i/>
        </w:rPr>
        <w:t>Angelides v James Stedman Hendersons Sweets L</w:t>
      </w:r>
      <w:r w:rsidR="00ED4E89" w:rsidRPr="00D96362">
        <w:rPr>
          <w:i/>
        </w:rPr>
        <w:t>imited</w:t>
      </w:r>
      <w:r w:rsidRPr="00924038">
        <w:t xml:space="preserve"> (1927) 40 CLR 43 at 66 per Isaacs ACJ.  </w:t>
      </w:r>
      <w:r w:rsidR="004E401D" w:rsidRPr="00924038">
        <w:t xml:space="preserve">The somewhat undeveloped submission </w:t>
      </w:r>
      <w:r w:rsidR="00823E60" w:rsidRPr="00924038">
        <w:t xml:space="preserve">that </w:t>
      </w:r>
      <w:r w:rsidR="004E401D" w:rsidRPr="00924038">
        <w:t xml:space="preserve">fusion somehow deprived equity of a power to prevent unconscientious </w:t>
      </w:r>
      <w:r w:rsidR="004E401D" w:rsidRPr="00D96362">
        <w:t xml:space="preserve">multiplicity seems, with respect, to bespeak </w:t>
      </w:r>
      <w:r w:rsidR="00823E60" w:rsidRPr="00D96362">
        <w:t xml:space="preserve">a variation of the erroneous theme </w:t>
      </w:r>
      <w:r w:rsidR="004E401D" w:rsidRPr="00D96362">
        <w:t>that fusion</w:t>
      </w:r>
      <w:r w:rsidR="00823E60" w:rsidRPr="00D96362">
        <w:t xml:space="preserve"> had an effect broader than allowing law and equity to be administered in the same court.</w:t>
      </w:r>
      <w:r w:rsidR="004E401D" w:rsidRPr="00924038">
        <w:rPr>
          <w:szCs w:val="24"/>
        </w:rPr>
        <w:t xml:space="preserve"> </w:t>
      </w:r>
    </w:p>
    <w:p w:rsidR="00282EEA" w:rsidRPr="00924038" w:rsidRDefault="00823E60" w:rsidP="00823E60">
      <w:pPr>
        <w:pStyle w:val="ParaNumbering"/>
      </w:pPr>
      <w:r w:rsidRPr="00924038">
        <w:t>The existence of a distinct equitable jurisdiction to prevent multiplicity</w:t>
      </w:r>
      <w:r w:rsidR="00282EEA" w:rsidRPr="00924038">
        <w:t xml:space="preserve"> is </w:t>
      </w:r>
      <w:r w:rsidR="00D639A2" w:rsidRPr="00924038">
        <w:t>not</w:t>
      </w:r>
      <w:r w:rsidRPr="00924038">
        <w:t xml:space="preserve"> </w:t>
      </w:r>
      <w:r w:rsidR="00D639A2" w:rsidRPr="00924038">
        <w:t>in</w:t>
      </w:r>
      <w:r w:rsidR="00282EEA" w:rsidRPr="00924038">
        <w:rPr>
          <w:rFonts w:eastAsia="Times New Roman"/>
          <w:lang w:eastAsia="en-AU"/>
        </w:rPr>
        <w:t xml:space="preserve">consistent with the </w:t>
      </w:r>
      <w:r w:rsidR="00D639A2" w:rsidRPr="00924038">
        <w:rPr>
          <w:rFonts w:eastAsia="Times New Roman"/>
          <w:lang w:eastAsia="en-AU"/>
        </w:rPr>
        <w:t>observations</w:t>
      </w:r>
      <w:r w:rsidR="00282EEA" w:rsidRPr="00924038">
        <w:rPr>
          <w:rFonts w:eastAsia="Times New Roman"/>
          <w:lang w:eastAsia="en-AU"/>
        </w:rPr>
        <w:t xml:space="preserve"> of the High Court in</w:t>
      </w:r>
      <w:r w:rsidR="00282EEA" w:rsidRPr="00924038">
        <w:t xml:space="preserve"> </w:t>
      </w:r>
      <w:r w:rsidR="00282EEA" w:rsidRPr="00924038">
        <w:rPr>
          <w:i/>
        </w:rPr>
        <w:t>CSR L</w:t>
      </w:r>
      <w:r w:rsidR="00ED4E89" w:rsidRPr="00924038">
        <w:rPr>
          <w:i/>
        </w:rPr>
        <w:t>imited</w:t>
      </w:r>
      <w:r w:rsidR="00282EEA" w:rsidRPr="00924038">
        <w:rPr>
          <w:i/>
        </w:rPr>
        <w:t xml:space="preserve"> v Cigna Insurance </w:t>
      </w:r>
      <w:r w:rsidR="00ED4E89" w:rsidRPr="00924038">
        <w:rPr>
          <w:i/>
        </w:rPr>
        <w:t xml:space="preserve">Australia Limited </w:t>
      </w:r>
      <w:r w:rsidR="00D639A2" w:rsidRPr="00924038">
        <w:t xml:space="preserve">(1997) 189 CLR 345, where </w:t>
      </w:r>
      <w:r w:rsidR="00282EEA" w:rsidRPr="00924038">
        <w:t xml:space="preserve">the majority laid down a two-step test for granting anti-suit </w:t>
      </w:r>
      <w:r w:rsidR="00282EEA" w:rsidRPr="00924038">
        <w:lastRenderedPageBreak/>
        <w:t xml:space="preserve">injunctions based on the </w:t>
      </w:r>
      <w:r w:rsidR="00ED4E89" w:rsidRPr="00924038">
        <w:t>C</w:t>
      </w:r>
      <w:r w:rsidR="00282EEA" w:rsidRPr="00924038">
        <w:t>ourt’s equitable jurisdiction (</w:t>
      </w:r>
      <w:r w:rsidR="00ED4E89" w:rsidRPr="00924038">
        <w:t xml:space="preserve">this being </w:t>
      </w:r>
      <w:r w:rsidR="00282EEA" w:rsidRPr="00924038">
        <w:t>a species of injunction based on furthering the proper</w:t>
      </w:r>
      <w:r w:rsidR="00D639A2" w:rsidRPr="00924038">
        <w:t xml:space="preserve"> administration of justice: see</w:t>
      </w:r>
      <w:r w:rsidR="00E469C4" w:rsidRPr="00924038">
        <w:t xml:space="preserve"> </w:t>
      </w:r>
      <w:r w:rsidR="00E469C4" w:rsidRPr="00924038">
        <w:rPr>
          <w:i/>
        </w:rPr>
        <w:t xml:space="preserve">Meagher, Gummow and Lehane’s Equity: Doctrines and Remedies </w:t>
      </w:r>
      <w:r w:rsidR="00E469C4" w:rsidRPr="00924038">
        <w:t>(5</w:t>
      </w:r>
      <w:r w:rsidR="00E469C4" w:rsidRPr="00924038">
        <w:rPr>
          <w:vertAlign w:val="superscript"/>
        </w:rPr>
        <w:t>th</w:t>
      </w:r>
      <w:r w:rsidR="00E469C4" w:rsidRPr="00924038">
        <w:t xml:space="preserve"> ed, LexisNexis Butterworths, 2015) at</w:t>
      </w:r>
      <w:r w:rsidR="00ED4E89" w:rsidRPr="00924038">
        <w:t xml:space="preserve"> </w:t>
      </w:r>
      <w:r w:rsidR="00282EEA" w:rsidRPr="00924038">
        <w:t>[21-165].</w:t>
      </w:r>
      <w:r w:rsidR="00282EEA" w:rsidRPr="00924038">
        <w:rPr>
          <w:rFonts w:eastAsia="Times New Roman"/>
          <w:lang w:eastAsia="en-AU"/>
        </w:rPr>
        <w:t xml:space="preserve">  In doing so, the Court explained that two quite distinct grounds may be relied upon by the </w:t>
      </w:r>
      <w:r w:rsidR="00997052">
        <w:rPr>
          <w:rFonts w:eastAsia="Times New Roman"/>
          <w:lang w:eastAsia="en-AU"/>
        </w:rPr>
        <w:t>C</w:t>
      </w:r>
      <w:r w:rsidR="00282EEA" w:rsidRPr="00924038">
        <w:rPr>
          <w:rFonts w:eastAsia="Times New Roman"/>
          <w:lang w:eastAsia="en-AU"/>
        </w:rPr>
        <w:t xml:space="preserve">ourt in granting anti-suit injunctions: </w:t>
      </w:r>
      <w:r w:rsidR="00282EEA" w:rsidRPr="00924038">
        <w:rPr>
          <w:rFonts w:eastAsia="Times New Roman"/>
          <w:i/>
          <w:lang w:eastAsia="en-AU"/>
        </w:rPr>
        <w:t>first</w:t>
      </w:r>
      <w:r w:rsidR="00282EEA" w:rsidRPr="00924038">
        <w:rPr>
          <w:rFonts w:eastAsia="Times New Roman"/>
          <w:lang w:eastAsia="en-AU"/>
        </w:rPr>
        <w:t>, the inherent (or implied) jurisdiction of the court to pro</w:t>
      </w:r>
      <w:r w:rsidR="00ED4E89" w:rsidRPr="00924038">
        <w:rPr>
          <w:rFonts w:eastAsia="Times New Roman"/>
          <w:lang w:eastAsia="en-AU"/>
        </w:rPr>
        <w:t xml:space="preserve">tect the integrity of the </w:t>
      </w:r>
      <w:r w:rsidR="00997052">
        <w:rPr>
          <w:rFonts w:eastAsia="Times New Roman"/>
          <w:lang w:eastAsia="en-AU"/>
        </w:rPr>
        <w:t>C</w:t>
      </w:r>
      <w:r w:rsidR="00ED4E89" w:rsidRPr="00924038">
        <w:rPr>
          <w:rFonts w:eastAsia="Times New Roman"/>
          <w:lang w:eastAsia="en-AU"/>
        </w:rPr>
        <w:t>ourt’</w:t>
      </w:r>
      <w:r w:rsidR="00282EEA" w:rsidRPr="00924038">
        <w:rPr>
          <w:rFonts w:eastAsia="Times New Roman"/>
          <w:lang w:eastAsia="en-AU"/>
        </w:rPr>
        <w:t xml:space="preserve">s processes; and </w:t>
      </w:r>
      <w:r w:rsidR="00282EEA" w:rsidRPr="00924038">
        <w:rPr>
          <w:rFonts w:eastAsia="Times New Roman"/>
          <w:i/>
          <w:lang w:eastAsia="en-AU"/>
        </w:rPr>
        <w:t>secondly</w:t>
      </w:r>
      <w:r w:rsidR="00282EEA" w:rsidRPr="00924038">
        <w:rPr>
          <w:rFonts w:eastAsia="Times New Roman"/>
          <w:lang w:eastAsia="en-AU"/>
        </w:rPr>
        <w:t xml:space="preserve">, the power derived from the </w:t>
      </w:r>
      <w:r w:rsidR="00997052">
        <w:rPr>
          <w:rFonts w:eastAsia="Times New Roman"/>
          <w:lang w:eastAsia="en-AU"/>
        </w:rPr>
        <w:t>C</w:t>
      </w:r>
      <w:r w:rsidR="00282EEA" w:rsidRPr="00924038">
        <w:rPr>
          <w:rFonts w:eastAsia="Times New Roman"/>
          <w:lang w:eastAsia="en-AU"/>
        </w:rPr>
        <w:t>ourt</w:t>
      </w:r>
      <w:r w:rsidR="00ED4E89" w:rsidRPr="00924038">
        <w:rPr>
          <w:rFonts w:eastAsia="Times New Roman"/>
          <w:lang w:eastAsia="en-AU"/>
        </w:rPr>
        <w:t>’</w:t>
      </w:r>
      <w:r w:rsidR="00282EEA" w:rsidRPr="00924038">
        <w:rPr>
          <w:rFonts w:eastAsia="Times New Roman"/>
          <w:lang w:eastAsia="en-AU"/>
        </w:rPr>
        <w:t xml:space="preserve">s equitable jurisdiction to restrain the unconscientious exercise of legal rights.  At </w:t>
      </w:r>
      <w:r w:rsidR="00282EEA" w:rsidRPr="00924038">
        <w:t>390, the majority explained that the anti-suit injunction</w:t>
      </w:r>
      <w:r w:rsidR="00B8568A" w:rsidRPr="00924038">
        <w:t>,</w:t>
      </w:r>
      <w:r w:rsidR="00282EEA" w:rsidRPr="00924038">
        <w:t xml:space="preserve"> at least in some instances, resembles a common injunction to protect the processes of a court of equity against interference by the processes of other courts.  At 391</w:t>
      </w:r>
      <w:r w:rsidR="00ED4E89" w:rsidRPr="00924038">
        <w:t>-</w:t>
      </w:r>
      <w:r w:rsidR="00282EEA" w:rsidRPr="00924038">
        <w:t>392, their Honours said:</w:t>
      </w:r>
    </w:p>
    <w:p w:rsidR="00282EEA" w:rsidRPr="00924038" w:rsidRDefault="00282EEA" w:rsidP="00F33490">
      <w:pPr>
        <w:pStyle w:val="Quote1"/>
      </w:pPr>
      <w:r w:rsidRPr="00924038">
        <w:t>that the power to stay proceedings on grounds of forum non conveniens is an aspect of the inherent or implied power which, in the absence of some statutory provision to the same effect, every court must have to prevent its own processes being used to bring about injustice.</w:t>
      </w:r>
    </w:p>
    <w:p w:rsidR="00282EEA" w:rsidRPr="00924038" w:rsidRDefault="00282EEA" w:rsidP="00F33490">
      <w:pPr>
        <w:pStyle w:val="Quote1"/>
      </w:pPr>
      <w:r w:rsidRPr="00924038">
        <w:t xml:space="preserve">The counterpart of a court’s power to </w:t>
      </w:r>
      <w:r w:rsidRPr="00924038">
        <w:rPr>
          <w:i/>
        </w:rPr>
        <w:t>prevent</w:t>
      </w:r>
      <w:r w:rsidRPr="00924038">
        <w:t xml:space="preserve"> its processes being abused is its power to </w:t>
      </w:r>
      <w:r w:rsidRPr="00924038">
        <w:rPr>
          <w:i/>
        </w:rPr>
        <w:t>protect</w:t>
      </w:r>
      <w:r w:rsidRPr="00924038">
        <w:t xml:space="preserve"> the integrity of those processes once set in motion….</w:t>
      </w:r>
    </w:p>
    <w:p w:rsidR="00282EEA" w:rsidRPr="00924038" w:rsidRDefault="00282EEA" w:rsidP="00F33490">
      <w:pPr>
        <w:pStyle w:val="Quote1"/>
      </w:pPr>
      <w:r w:rsidRPr="00924038">
        <w:t>Quite apart from the inherent power of a court to protect its own processes, a court may, in the exercise of the power deriving from the Chancery Court, make orders in restraint of unconscionable conduct or the unconscientious exercise of legal rights.  If the bringing of legal proceedings involves unconscionable conduct or the unconscientious exercise of a legal right, an injunction may be granted by a court in the exercise of its equitable jurisdiction in restraint of those proceedings no matter where they are brought.</w:t>
      </w:r>
    </w:p>
    <w:p w:rsidR="004E32E2" w:rsidRPr="00924038" w:rsidRDefault="004E32E2" w:rsidP="00F33490">
      <w:pPr>
        <w:pStyle w:val="Quote1"/>
      </w:pPr>
      <w:r w:rsidRPr="00924038">
        <w:t>(Citations omitted, emphasis in original)</w:t>
      </w:r>
    </w:p>
    <w:p w:rsidR="00282EEA" w:rsidRPr="00924038" w:rsidRDefault="00282EEA" w:rsidP="00BA431D">
      <w:pPr>
        <w:pStyle w:val="ParaNumbering"/>
        <w:rPr>
          <w:lang w:eastAsia="en-AU"/>
        </w:rPr>
      </w:pPr>
      <w:r w:rsidRPr="00924038">
        <w:rPr>
          <w:lang w:eastAsia="en-AU"/>
        </w:rPr>
        <w:t xml:space="preserve">The categories of conduct which can be characterised as </w:t>
      </w:r>
      <w:r w:rsidR="00E1107D" w:rsidRPr="00924038">
        <w:rPr>
          <w:lang w:eastAsia="en-AU"/>
        </w:rPr>
        <w:t>unconscientious</w:t>
      </w:r>
      <w:r w:rsidRPr="00924038">
        <w:rPr>
          <w:lang w:eastAsia="en-AU"/>
        </w:rPr>
        <w:t xml:space="preserve"> are not closed and, in the event I concluded </w:t>
      </w:r>
      <w:r w:rsidR="004E32E2" w:rsidRPr="00924038">
        <w:rPr>
          <w:lang w:eastAsia="en-AU"/>
        </w:rPr>
        <w:t xml:space="preserve">that </w:t>
      </w:r>
      <w:r w:rsidRPr="00924038">
        <w:rPr>
          <w:lang w:eastAsia="en-AU"/>
        </w:rPr>
        <w:t xml:space="preserve">the pursuit of one or other of the class actions </w:t>
      </w:r>
      <w:r w:rsidR="00BA431D" w:rsidRPr="00924038">
        <w:rPr>
          <w:lang w:eastAsia="en-AU"/>
        </w:rPr>
        <w:t>was</w:t>
      </w:r>
      <w:r w:rsidRPr="00924038">
        <w:rPr>
          <w:lang w:eastAsia="en-AU"/>
        </w:rPr>
        <w:t xml:space="preserve"> </w:t>
      </w:r>
      <w:r w:rsidR="00E1107D" w:rsidRPr="00924038">
        <w:rPr>
          <w:lang w:eastAsia="en-AU"/>
        </w:rPr>
        <w:t>contrary to good conscience</w:t>
      </w:r>
      <w:r w:rsidR="00823E60" w:rsidRPr="00924038">
        <w:rPr>
          <w:lang w:eastAsia="en-AU"/>
        </w:rPr>
        <w:t xml:space="preserve"> in</w:t>
      </w:r>
      <w:r w:rsidR="00E1107D" w:rsidRPr="00924038">
        <w:rPr>
          <w:lang w:eastAsia="en-AU"/>
        </w:rPr>
        <w:t xml:space="preserve"> continuing a proceeding which ha</w:t>
      </w:r>
      <w:r w:rsidR="00D639A2" w:rsidRPr="00924038">
        <w:rPr>
          <w:lang w:eastAsia="en-AU"/>
        </w:rPr>
        <w:t>d become vexatious</w:t>
      </w:r>
      <w:r w:rsidR="000A2A36">
        <w:rPr>
          <w:lang w:eastAsia="en-AU"/>
        </w:rPr>
        <w:t xml:space="preserve"> or undue</w:t>
      </w:r>
      <w:r w:rsidR="00D639A2" w:rsidRPr="00924038">
        <w:rPr>
          <w:lang w:eastAsia="en-AU"/>
        </w:rPr>
        <w:t xml:space="preserve"> (to both a respondent</w:t>
      </w:r>
      <w:r w:rsidR="00E1107D" w:rsidRPr="00924038">
        <w:rPr>
          <w:lang w:eastAsia="en-AU"/>
        </w:rPr>
        <w:t xml:space="preserve"> as being superfluous</w:t>
      </w:r>
      <w:r w:rsidR="00823E60" w:rsidRPr="00924038">
        <w:rPr>
          <w:lang w:eastAsia="en-AU"/>
        </w:rPr>
        <w:t>,</w:t>
      </w:r>
      <w:r w:rsidR="00E1107D" w:rsidRPr="00924038">
        <w:rPr>
          <w:lang w:eastAsia="en-AU"/>
        </w:rPr>
        <w:t xml:space="preserve"> and</w:t>
      </w:r>
      <w:r w:rsidR="00E0456E" w:rsidRPr="00924038">
        <w:rPr>
          <w:lang w:eastAsia="en-AU"/>
        </w:rPr>
        <w:t>/or</w:t>
      </w:r>
      <w:r w:rsidR="00E1107D" w:rsidRPr="00924038">
        <w:rPr>
          <w:lang w:eastAsia="en-AU"/>
        </w:rPr>
        <w:t xml:space="preserve"> as an inutile </w:t>
      </w:r>
      <w:r w:rsidR="00E0456E" w:rsidRPr="00924038">
        <w:rPr>
          <w:lang w:eastAsia="en-AU"/>
        </w:rPr>
        <w:t xml:space="preserve">and oppressive </w:t>
      </w:r>
      <w:r w:rsidR="00E1107D" w:rsidRPr="00924038">
        <w:rPr>
          <w:lang w:eastAsia="en-AU"/>
        </w:rPr>
        <w:t>vehicle for pursuing group member claims)</w:t>
      </w:r>
      <w:r w:rsidR="004E32E2" w:rsidRPr="00924038">
        <w:rPr>
          <w:lang w:eastAsia="en-AU"/>
        </w:rPr>
        <w:t>,</w:t>
      </w:r>
      <w:r w:rsidRPr="00924038">
        <w:rPr>
          <w:lang w:eastAsia="en-AU"/>
        </w:rPr>
        <w:t xml:space="preserve"> </w:t>
      </w:r>
      <w:r w:rsidR="00D639A2" w:rsidRPr="00924038">
        <w:rPr>
          <w:lang w:eastAsia="en-AU"/>
        </w:rPr>
        <w:t>such conduct could be</w:t>
      </w:r>
      <w:r w:rsidRPr="00924038">
        <w:rPr>
          <w:lang w:eastAsia="en-AU"/>
        </w:rPr>
        <w:t xml:space="preserve"> enjoin</w:t>
      </w:r>
      <w:r w:rsidR="00D639A2" w:rsidRPr="00924038">
        <w:rPr>
          <w:lang w:eastAsia="en-AU"/>
        </w:rPr>
        <w:t xml:space="preserve">ed </w:t>
      </w:r>
      <w:r w:rsidRPr="00924038">
        <w:rPr>
          <w:lang w:eastAsia="en-AU"/>
        </w:rPr>
        <w:t xml:space="preserve">in equity, leaving aside the separate notion of the implied power to protect the integrity of the </w:t>
      </w:r>
      <w:r w:rsidR="004E32E2" w:rsidRPr="00924038">
        <w:rPr>
          <w:lang w:eastAsia="en-AU"/>
        </w:rPr>
        <w:t>C</w:t>
      </w:r>
      <w:r w:rsidRPr="00924038">
        <w:rPr>
          <w:lang w:eastAsia="en-AU"/>
        </w:rPr>
        <w:t>ourt</w:t>
      </w:r>
      <w:r w:rsidR="004E32E2" w:rsidRPr="00924038">
        <w:rPr>
          <w:lang w:eastAsia="en-AU"/>
        </w:rPr>
        <w:t>’</w:t>
      </w:r>
      <w:r w:rsidRPr="00924038">
        <w:rPr>
          <w:lang w:eastAsia="en-AU"/>
        </w:rPr>
        <w:t>s processes</w:t>
      </w:r>
      <w:r w:rsidR="00823E60" w:rsidRPr="00924038">
        <w:rPr>
          <w:lang w:eastAsia="en-AU"/>
        </w:rPr>
        <w:t xml:space="preserve"> from an abuse of process</w:t>
      </w:r>
      <w:r w:rsidRPr="00924038">
        <w:rPr>
          <w:lang w:eastAsia="en-AU"/>
        </w:rPr>
        <w:t>.</w:t>
      </w:r>
      <w:r w:rsidR="00BA431D" w:rsidRPr="00924038">
        <w:rPr>
          <w:lang w:eastAsia="en-AU"/>
        </w:rPr>
        <w:t xml:space="preserve"> </w:t>
      </w:r>
    </w:p>
    <w:p w:rsidR="00D639A2" w:rsidRPr="00924038" w:rsidRDefault="00D639A2" w:rsidP="00071749">
      <w:pPr>
        <w:pStyle w:val="ParaNumbering"/>
        <w:rPr>
          <w:rFonts w:eastAsiaTheme="minorHAnsi"/>
          <w:szCs w:val="24"/>
        </w:rPr>
      </w:pPr>
      <w:r w:rsidRPr="00924038">
        <w:rPr>
          <w:rFonts w:eastAsia="Times New Roman"/>
          <w:szCs w:val="24"/>
          <w:lang w:eastAsia="en-AU"/>
        </w:rPr>
        <w:t>T</w:t>
      </w:r>
      <w:r w:rsidR="00282EEA" w:rsidRPr="00924038">
        <w:rPr>
          <w:rFonts w:eastAsia="Times New Roman"/>
          <w:szCs w:val="24"/>
          <w:lang w:eastAsia="en-AU"/>
        </w:rPr>
        <w:t xml:space="preserve">o restrain an applicant in these circumstances </w:t>
      </w:r>
      <w:r w:rsidR="00282EEA" w:rsidRPr="00924038">
        <w:t>is closely analogo</w:t>
      </w:r>
      <w:r w:rsidRPr="00924038">
        <w:t>us to the</w:t>
      </w:r>
      <w:r w:rsidR="00282EEA" w:rsidRPr="00924038">
        <w:t xml:space="preserve"> common injunction restraining a </w:t>
      </w:r>
      <w:r w:rsidR="00B8568A" w:rsidRPr="00924038">
        <w:t>party enjoined</w:t>
      </w:r>
      <w:r w:rsidR="00282EEA" w:rsidRPr="00924038">
        <w:t xml:space="preserve"> from pursuing proceedings in common law courts or other domestic courts: </w:t>
      </w:r>
      <w:r w:rsidR="00282EEA" w:rsidRPr="00924038">
        <w:rPr>
          <w:szCs w:val="24"/>
        </w:rPr>
        <w:t xml:space="preserve">see </w:t>
      </w:r>
      <w:r w:rsidR="00282EEA" w:rsidRPr="00924038">
        <w:rPr>
          <w:i/>
          <w:szCs w:val="24"/>
        </w:rPr>
        <w:t xml:space="preserve">National Mutual Holdings Pty Ltd v The Sentry Corporation </w:t>
      </w:r>
      <w:r w:rsidR="00282EEA" w:rsidRPr="00924038">
        <w:rPr>
          <w:szCs w:val="24"/>
        </w:rPr>
        <w:t xml:space="preserve">(1989) 22 FCR 209 at 232.  </w:t>
      </w:r>
      <w:r w:rsidR="00586D61" w:rsidRPr="00924038">
        <w:rPr>
          <w:szCs w:val="24"/>
        </w:rPr>
        <w:t xml:space="preserve">In </w:t>
      </w:r>
      <w:r w:rsidRPr="00924038">
        <w:rPr>
          <w:i/>
          <w:szCs w:val="24"/>
        </w:rPr>
        <w:t>Sentry</w:t>
      </w:r>
      <w:r w:rsidR="00586D61" w:rsidRPr="00924038">
        <w:rPr>
          <w:szCs w:val="24"/>
        </w:rPr>
        <w:t xml:space="preserve">, </w:t>
      </w:r>
      <w:r w:rsidR="00282EEA" w:rsidRPr="00924038">
        <w:rPr>
          <w:szCs w:val="24"/>
        </w:rPr>
        <w:t xml:space="preserve">Gummow J was confronted with the conduct of </w:t>
      </w:r>
      <w:r w:rsidRPr="00924038">
        <w:rPr>
          <w:szCs w:val="24"/>
        </w:rPr>
        <w:t>a foreign proceeding</w:t>
      </w:r>
      <w:r w:rsidR="00282EEA" w:rsidRPr="00924038">
        <w:rPr>
          <w:szCs w:val="24"/>
        </w:rPr>
        <w:t xml:space="preserve"> which had a tendency to interfere with the due processes of the domestic court</w:t>
      </w:r>
      <w:r w:rsidR="00B8568A" w:rsidRPr="00924038">
        <w:rPr>
          <w:szCs w:val="24"/>
        </w:rPr>
        <w:t>,</w:t>
      </w:r>
      <w:r w:rsidR="00282EEA" w:rsidRPr="00924038">
        <w:rPr>
          <w:szCs w:val="24"/>
        </w:rPr>
        <w:t xml:space="preserve"> </w:t>
      </w:r>
      <w:r w:rsidR="00282EEA" w:rsidRPr="00924038">
        <w:rPr>
          <w:szCs w:val="24"/>
        </w:rPr>
        <w:lastRenderedPageBreak/>
        <w:t>hence generating the necessary equity to enjoin those proceedings</w:t>
      </w:r>
      <w:r w:rsidR="00586D61" w:rsidRPr="00924038">
        <w:rPr>
          <w:szCs w:val="24"/>
        </w:rPr>
        <w:t>.  As his Honour made clear</w:t>
      </w:r>
      <w:r w:rsidR="00282EEA" w:rsidRPr="00924038">
        <w:rPr>
          <w:szCs w:val="24"/>
        </w:rPr>
        <w:t xml:space="preserve">, the categories </w:t>
      </w:r>
      <w:r w:rsidR="00586D61" w:rsidRPr="00924038">
        <w:rPr>
          <w:szCs w:val="24"/>
        </w:rPr>
        <w:t xml:space="preserve">of </w:t>
      </w:r>
      <w:r w:rsidR="00282EEA" w:rsidRPr="00924038">
        <w:rPr>
          <w:szCs w:val="24"/>
        </w:rPr>
        <w:t xml:space="preserve">proceedings </w:t>
      </w:r>
      <w:r w:rsidR="00586D61" w:rsidRPr="00924038">
        <w:rPr>
          <w:szCs w:val="24"/>
        </w:rPr>
        <w:t xml:space="preserve">which </w:t>
      </w:r>
      <w:r w:rsidR="000A2A36">
        <w:rPr>
          <w:szCs w:val="24"/>
        </w:rPr>
        <w:t xml:space="preserve">can exhibit </w:t>
      </w:r>
      <w:r w:rsidR="00282EEA" w:rsidRPr="00924038">
        <w:rPr>
          <w:szCs w:val="24"/>
        </w:rPr>
        <w:t>a character</w:t>
      </w:r>
      <w:r w:rsidR="000A2A36">
        <w:rPr>
          <w:szCs w:val="24"/>
        </w:rPr>
        <w:t xml:space="preserve"> of vexation</w:t>
      </w:r>
      <w:r w:rsidR="00586D61" w:rsidRPr="00924038">
        <w:rPr>
          <w:szCs w:val="24"/>
        </w:rPr>
        <w:t>,</w:t>
      </w:r>
      <w:r w:rsidR="00282EEA" w:rsidRPr="00924038">
        <w:rPr>
          <w:szCs w:val="24"/>
        </w:rPr>
        <w:t xml:space="preserve"> so that their maintenance amounts to an improper exercise of legal rights</w:t>
      </w:r>
      <w:r w:rsidR="00586D61" w:rsidRPr="00924038">
        <w:rPr>
          <w:szCs w:val="24"/>
        </w:rPr>
        <w:t>,</w:t>
      </w:r>
      <w:r w:rsidR="00282EEA" w:rsidRPr="00924038">
        <w:rPr>
          <w:szCs w:val="24"/>
        </w:rPr>
        <w:t xml:space="preserve"> should not be defined rigidly.  </w:t>
      </w:r>
      <w:r w:rsidRPr="00924038">
        <w:rPr>
          <w:szCs w:val="24"/>
        </w:rPr>
        <w:t xml:space="preserve"> </w:t>
      </w:r>
    </w:p>
    <w:p w:rsidR="002D6DCB" w:rsidRPr="00924038" w:rsidRDefault="002E7804" w:rsidP="002A05D6">
      <w:pPr>
        <w:pStyle w:val="ParaNumbering"/>
        <w:rPr>
          <w:szCs w:val="24"/>
        </w:rPr>
      </w:pPr>
      <w:r w:rsidRPr="00924038">
        <w:rPr>
          <w:szCs w:val="24"/>
        </w:rPr>
        <w:t>T</w:t>
      </w:r>
      <w:r w:rsidR="00D639A2" w:rsidRPr="00924038">
        <w:rPr>
          <w:szCs w:val="24"/>
        </w:rPr>
        <w:t>he submission</w:t>
      </w:r>
      <w:r w:rsidRPr="00924038">
        <w:rPr>
          <w:szCs w:val="24"/>
        </w:rPr>
        <w:t xml:space="preserve"> </w:t>
      </w:r>
      <w:r w:rsidR="00D639A2" w:rsidRPr="00924038">
        <w:rPr>
          <w:szCs w:val="24"/>
        </w:rPr>
        <w:t xml:space="preserve">made </w:t>
      </w:r>
      <w:r w:rsidR="00E0456E" w:rsidRPr="00924038">
        <w:rPr>
          <w:szCs w:val="24"/>
        </w:rPr>
        <w:t xml:space="preserve">was </w:t>
      </w:r>
      <w:r w:rsidR="00D639A2" w:rsidRPr="00924038">
        <w:rPr>
          <w:szCs w:val="24"/>
        </w:rPr>
        <w:t xml:space="preserve">that this equitable diversion was </w:t>
      </w:r>
      <w:r w:rsidRPr="00924038">
        <w:rPr>
          <w:szCs w:val="24"/>
        </w:rPr>
        <w:t xml:space="preserve">unnecessary </w:t>
      </w:r>
      <w:r w:rsidR="002A05D6" w:rsidRPr="00924038">
        <w:rPr>
          <w:szCs w:val="24"/>
        </w:rPr>
        <w:t>because</w:t>
      </w:r>
      <w:r w:rsidRPr="00924038">
        <w:rPr>
          <w:szCs w:val="24"/>
        </w:rPr>
        <w:t xml:space="preserve"> if the Court was to interfere, it would be because an abuse of process had been established and </w:t>
      </w:r>
      <w:r w:rsidR="00516F51" w:rsidRPr="00924038">
        <w:rPr>
          <w:szCs w:val="24"/>
        </w:rPr>
        <w:t xml:space="preserve">hence </w:t>
      </w:r>
      <w:r w:rsidRPr="00924038">
        <w:rPr>
          <w:szCs w:val="24"/>
        </w:rPr>
        <w:t xml:space="preserve">a permanent stay would be the appropriate response.  </w:t>
      </w:r>
      <w:r w:rsidR="002D6DCB" w:rsidRPr="00924038">
        <w:rPr>
          <w:szCs w:val="24"/>
        </w:rPr>
        <w:t>This does not account</w:t>
      </w:r>
      <w:r w:rsidR="00516F51" w:rsidRPr="00924038">
        <w:rPr>
          <w:szCs w:val="24"/>
        </w:rPr>
        <w:t>, however,</w:t>
      </w:r>
      <w:r w:rsidR="002D6DCB" w:rsidRPr="00924038">
        <w:rPr>
          <w:szCs w:val="24"/>
        </w:rPr>
        <w:t xml:space="preserve"> for multiplicity issues arising in ways </w:t>
      </w:r>
      <w:r w:rsidR="00880E59" w:rsidRPr="00924038">
        <w:rPr>
          <w:szCs w:val="24"/>
        </w:rPr>
        <w:t>other than when</w:t>
      </w:r>
      <w:r w:rsidR="002D6DCB" w:rsidRPr="00924038">
        <w:rPr>
          <w:szCs w:val="24"/>
        </w:rPr>
        <w:t xml:space="preserve"> two </w:t>
      </w:r>
      <w:r w:rsidR="00880E59" w:rsidRPr="00924038">
        <w:rPr>
          <w:szCs w:val="24"/>
        </w:rPr>
        <w:t xml:space="preserve">or more </w:t>
      </w:r>
      <w:r w:rsidR="002D6DCB" w:rsidRPr="00924038">
        <w:rPr>
          <w:szCs w:val="24"/>
        </w:rPr>
        <w:t xml:space="preserve">competing proceedings have been </w:t>
      </w:r>
      <w:r w:rsidR="00880E59" w:rsidRPr="00924038">
        <w:rPr>
          <w:szCs w:val="24"/>
        </w:rPr>
        <w:t>commenced</w:t>
      </w:r>
      <w:r w:rsidR="002D6DCB" w:rsidRPr="00924038">
        <w:rPr>
          <w:szCs w:val="24"/>
        </w:rPr>
        <w:t xml:space="preserve"> and are before the same </w:t>
      </w:r>
      <w:r w:rsidR="00880E59" w:rsidRPr="00924038">
        <w:rPr>
          <w:szCs w:val="24"/>
        </w:rPr>
        <w:t xml:space="preserve">court.  This can be illustrated </w:t>
      </w:r>
      <w:r w:rsidRPr="00924038">
        <w:rPr>
          <w:szCs w:val="24"/>
        </w:rPr>
        <w:t xml:space="preserve">by an example not far removed from the circumstances of this case.  </w:t>
      </w:r>
      <w:r w:rsidR="00876899">
        <w:rPr>
          <w:szCs w:val="24"/>
        </w:rPr>
        <w:t>A</w:t>
      </w:r>
      <w:r w:rsidRPr="00924038">
        <w:rPr>
          <w:szCs w:val="24"/>
        </w:rPr>
        <w:t>ssume th</w:t>
      </w:r>
      <w:r w:rsidR="00880E59" w:rsidRPr="00924038">
        <w:rPr>
          <w:szCs w:val="24"/>
        </w:rPr>
        <w:t>at after the determination of this application</w:t>
      </w:r>
      <w:r w:rsidR="00E23390" w:rsidRPr="00924038">
        <w:rPr>
          <w:szCs w:val="24"/>
        </w:rPr>
        <w:t>,</w:t>
      </w:r>
      <w:r w:rsidR="00880E59" w:rsidRPr="00924038">
        <w:rPr>
          <w:szCs w:val="24"/>
        </w:rPr>
        <w:t xml:space="preserve"> when</w:t>
      </w:r>
      <w:r w:rsidRPr="00924038">
        <w:rPr>
          <w:szCs w:val="24"/>
        </w:rPr>
        <w:t xml:space="preserve"> a</w:t>
      </w:r>
      <w:r w:rsidR="00880E59" w:rsidRPr="00924038">
        <w:rPr>
          <w:szCs w:val="24"/>
        </w:rPr>
        <w:t>n</w:t>
      </w:r>
      <w:r w:rsidRPr="00924038">
        <w:rPr>
          <w:szCs w:val="24"/>
        </w:rPr>
        <w:t xml:space="preserve"> open class representative proceeding in respect of which a common fund order had been approved</w:t>
      </w:r>
      <w:r w:rsidR="00880E59" w:rsidRPr="00924038">
        <w:rPr>
          <w:szCs w:val="24"/>
        </w:rPr>
        <w:t xml:space="preserve"> was before the Court</w:t>
      </w:r>
      <w:r w:rsidRPr="00924038">
        <w:rPr>
          <w:szCs w:val="24"/>
        </w:rPr>
        <w:t xml:space="preserve">, </w:t>
      </w:r>
      <w:r w:rsidR="002A05D6" w:rsidRPr="00924038">
        <w:rPr>
          <w:szCs w:val="24"/>
        </w:rPr>
        <w:t>that</w:t>
      </w:r>
      <w:r w:rsidRPr="00924038">
        <w:rPr>
          <w:szCs w:val="24"/>
        </w:rPr>
        <w:t xml:space="preserve"> the applicant became </w:t>
      </w:r>
      <w:r w:rsidR="00297B56" w:rsidRPr="00924038">
        <w:rPr>
          <w:szCs w:val="24"/>
        </w:rPr>
        <w:t>apprised</w:t>
      </w:r>
      <w:r w:rsidRPr="00924038">
        <w:rPr>
          <w:szCs w:val="24"/>
        </w:rPr>
        <w:t xml:space="preserve"> of the intention </w:t>
      </w:r>
      <w:r w:rsidR="00297B56" w:rsidRPr="00924038">
        <w:rPr>
          <w:szCs w:val="24"/>
        </w:rPr>
        <w:t xml:space="preserve">of a promotor </w:t>
      </w:r>
      <w:r w:rsidRPr="00924038">
        <w:rPr>
          <w:szCs w:val="24"/>
        </w:rPr>
        <w:t>to commence another open class</w:t>
      </w:r>
      <w:r w:rsidR="002A05D6" w:rsidRPr="00924038">
        <w:rPr>
          <w:szCs w:val="24"/>
        </w:rPr>
        <w:t xml:space="preserve"> proceeding in this C</w:t>
      </w:r>
      <w:r w:rsidRPr="00924038">
        <w:rPr>
          <w:szCs w:val="24"/>
        </w:rPr>
        <w:t>ourt or another court exercising federal jurisdiction</w:t>
      </w:r>
      <w:r w:rsidR="00880E59" w:rsidRPr="00924038">
        <w:rPr>
          <w:szCs w:val="24"/>
        </w:rPr>
        <w:t>.  Without prejudging any application,</w:t>
      </w:r>
      <w:r w:rsidR="002A05D6" w:rsidRPr="00924038">
        <w:rPr>
          <w:szCs w:val="24"/>
        </w:rPr>
        <w:t xml:space="preserve"> i</w:t>
      </w:r>
      <w:r w:rsidRPr="00924038">
        <w:rPr>
          <w:szCs w:val="24"/>
        </w:rPr>
        <w:t xml:space="preserve">t is not clear to me why, in those circumstances, </w:t>
      </w:r>
      <w:r w:rsidR="00297B56" w:rsidRPr="00924038">
        <w:rPr>
          <w:szCs w:val="24"/>
        </w:rPr>
        <w:t xml:space="preserve">it </w:t>
      </w:r>
      <w:r w:rsidR="00876899">
        <w:rPr>
          <w:szCs w:val="24"/>
        </w:rPr>
        <w:t>is</w:t>
      </w:r>
      <w:r w:rsidR="00297B56" w:rsidRPr="00924038">
        <w:rPr>
          <w:szCs w:val="24"/>
        </w:rPr>
        <w:t xml:space="preserve"> not arguable that </w:t>
      </w:r>
      <w:r w:rsidRPr="00924038">
        <w:rPr>
          <w:szCs w:val="24"/>
        </w:rPr>
        <w:t>the necessary equity exist</w:t>
      </w:r>
      <w:r w:rsidR="00297B56" w:rsidRPr="00924038">
        <w:rPr>
          <w:szCs w:val="24"/>
        </w:rPr>
        <w:t>ed</w:t>
      </w:r>
      <w:r w:rsidRPr="00924038">
        <w:rPr>
          <w:szCs w:val="24"/>
        </w:rPr>
        <w:t xml:space="preserve"> to </w:t>
      </w:r>
      <w:r w:rsidRPr="00924038">
        <w:rPr>
          <w:i/>
          <w:szCs w:val="24"/>
        </w:rPr>
        <w:t>prevent</w:t>
      </w:r>
      <w:r w:rsidRPr="00924038">
        <w:rPr>
          <w:szCs w:val="24"/>
        </w:rPr>
        <w:t xml:space="preserve"> the commencement of </w:t>
      </w:r>
      <w:r w:rsidR="002A05D6" w:rsidRPr="00924038">
        <w:rPr>
          <w:szCs w:val="24"/>
        </w:rPr>
        <w:t xml:space="preserve">the duplicative </w:t>
      </w:r>
      <w:r w:rsidRPr="00924038">
        <w:rPr>
          <w:szCs w:val="24"/>
        </w:rPr>
        <w:t>proceeding</w:t>
      </w:r>
      <w:r w:rsidR="002A05D6" w:rsidRPr="00924038">
        <w:rPr>
          <w:szCs w:val="24"/>
        </w:rPr>
        <w:t xml:space="preserve"> so as to avoid multiplicity and </w:t>
      </w:r>
      <w:r w:rsidR="00D639A2" w:rsidRPr="00924038">
        <w:t>to protect</w:t>
      </w:r>
      <w:r w:rsidR="002A05D6" w:rsidRPr="00924038">
        <w:t xml:space="preserve"> the integrity of th</w:t>
      </w:r>
      <w:r w:rsidR="00D639A2" w:rsidRPr="00924038">
        <w:t xml:space="preserve">e </w:t>
      </w:r>
      <w:r w:rsidR="002A05D6" w:rsidRPr="00924038">
        <w:t>Court’s processes once set in motion.  It may, of course, be necessary to consider in future cases whether it would be appropriate to intervene in other circumstances</w:t>
      </w:r>
      <w:r w:rsidR="004C27CD" w:rsidRPr="00924038">
        <w:t>,</w:t>
      </w:r>
      <w:r w:rsidR="002A05D6" w:rsidRPr="00924038">
        <w:t xml:space="preserve"> although it may be noted that if proceedings </w:t>
      </w:r>
      <w:r w:rsidR="002D6DCB" w:rsidRPr="00924038">
        <w:t xml:space="preserve">were </w:t>
      </w:r>
      <w:r w:rsidR="002A05D6" w:rsidRPr="00924038">
        <w:t>in two c</w:t>
      </w:r>
      <w:r w:rsidR="004C27CD" w:rsidRPr="00924038">
        <w:t>ourts</w:t>
      </w:r>
      <w:r w:rsidR="002A05D6" w:rsidRPr="00924038">
        <w:rPr>
          <w:szCs w:val="24"/>
        </w:rPr>
        <w:t xml:space="preserve">, additional </w:t>
      </w:r>
      <w:r w:rsidR="00297B56" w:rsidRPr="00924038">
        <w:rPr>
          <w:szCs w:val="24"/>
        </w:rPr>
        <w:t>considerations may</w:t>
      </w:r>
      <w:r w:rsidR="002A05D6" w:rsidRPr="00924038">
        <w:rPr>
          <w:szCs w:val="24"/>
        </w:rPr>
        <w:t xml:space="preserve"> intr</w:t>
      </w:r>
      <w:r w:rsidR="002D6DCB" w:rsidRPr="00924038">
        <w:rPr>
          <w:szCs w:val="24"/>
        </w:rPr>
        <w:t xml:space="preserve">ude in the granting of </w:t>
      </w:r>
      <w:r w:rsidR="002A05D6" w:rsidRPr="00924038">
        <w:rPr>
          <w:szCs w:val="24"/>
        </w:rPr>
        <w:t xml:space="preserve">equitable relief including </w:t>
      </w:r>
      <w:r w:rsidR="002D6DCB" w:rsidRPr="00924038">
        <w:rPr>
          <w:szCs w:val="24"/>
        </w:rPr>
        <w:t xml:space="preserve">the comity and constitutional issues </w:t>
      </w:r>
      <w:r w:rsidR="00516F51" w:rsidRPr="00924038">
        <w:rPr>
          <w:szCs w:val="24"/>
        </w:rPr>
        <w:t xml:space="preserve">similar to those </w:t>
      </w:r>
      <w:r w:rsidR="002D6DCB" w:rsidRPr="00924038">
        <w:rPr>
          <w:szCs w:val="24"/>
        </w:rPr>
        <w:t xml:space="preserve">discussed in </w:t>
      </w:r>
      <w:r w:rsidR="002D6DCB" w:rsidRPr="00924038">
        <w:rPr>
          <w:i/>
          <w:szCs w:val="24"/>
        </w:rPr>
        <w:t xml:space="preserve">Beecham (Australia) Pty Ltd v Rogue Pty Ltd </w:t>
      </w:r>
      <w:r w:rsidR="002D6DCB" w:rsidRPr="00924038">
        <w:rPr>
          <w:szCs w:val="24"/>
        </w:rPr>
        <w:t>(1987) 11 NSWLR 1 and the statutory overlay of the cross</w:t>
      </w:r>
      <w:r w:rsidR="00071A89">
        <w:rPr>
          <w:szCs w:val="24"/>
        </w:rPr>
        <w:t>-</w:t>
      </w:r>
      <w:r w:rsidR="002D6DCB" w:rsidRPr="00924038">
        <w:rPr>
          <w:szCs w:val="24"/>
        </w:rPr>
        <w:t>vesting legislation.</w:t>
      </w:r>
    </w:p>
    <w:p w:rsidR="00791B66" w:rsidRPr="00924038" w:rsidRDefault="00B8568A" w:rsidP="00071749">
      <w:pPr>
        <w:pStyle w:val="ParaNumbering"/>
        <w:rPr>
          <w:rFonts w:eastAsiaTheme="minorHAnsi"/>
          <w:szCs w:val="24"/>
        </w:rPr>
      </w:pPr>
      <w:r w:rsidRPr="00924038">
        <w:rPr>
          <w:szCs w:val="24"/>
        </w:rPr>
        <w:t>For completeness I note that t</w:t>
      </w:r>
      <w:r w:rsidR="00282EEA" w:rsidRPr="00924038">
        <w:rPr>
          <w:szCs w:val="24"/>
        </w:rPr>
        <w:t xml:space="preserve">he granting of the remedy of an injunction </w:t>
      </w:r>
      <w:r w:rsidR="00E23390" w:rsidRPr="00924038">
        <w:rPr>
          <w:szCs w:val="24"/>
        </w:rPr>
        <w:t>to prevent or restrain multipl</w:t>
      </w:r>
      <w:r w:rsidR="00297B56" w:rsidRPr="00924038">
        <w:rPr>
          <w:szCs w:val="24"/>
        </w:rPr>
        <w:t xml:space="preserve">icity in the new context of competing </w:t>
      </w:r>
      <w:r w:rsidR="00E23390" w:rsidRPr="00924038">
        <w:rPr>
          <w:szCs w:val="24"/>
        </w:rPr>
        <w:t xml:space="preserve">class actions </w:t>
      </w:r>
      <w:r w:rsidR="00282EEA" w:rsidRPr="00924038">
        <w:rPr>
          <w:szCs w:val="24"/>
        </w:rPr>
        <w:t xml:space="preserve">seems to me to fulfil the requirement that </w:t>
      </w:r>
      <w:r w:rsidR="00297B56" w:rsidRPr="00924038">
        <w:rPr>
          <w:szCs w:val="24"/>
        </w:rPr>
        <w:t xml:space="preserve">the principled application of </w:t>
      </w:r>
      <w:r w:rsidR="00282EEA" w:rsidRPr="00924038">
        <w:rPr>
          <w:szCs w:val="24"/>
          <w:lang w:val="en"/>
        </w:rPr>
        <w:t>equitable remedies “</w:t>
      </w:r>
      <w:r w:rsidR="00282EEA" w:rsidRPr="00924038">
        <w:rPr>
          <w:i/>
          <w:szCs w:val="24"/>
          <w:lang w:val="en"/>
        </w:rPr>
        <w:t>must be shown to have an ancestry in history and in the practice and precedents of the courts administering equity jurisdiction</w:t>
      </w:r>
      <w:r w:rsidR="00282EEA" w:rsidRPr="00924038">
        <w:rPr>
          <w:szCs w:val="24"/>
          <w:lang w:val="en"/>
        </w:rPr>
        <w:t xml:space="preserve">”: see </w:t>
      </w:r>
      <w:r w:rsidR="00586D61" w:rsidRPr="00924038">
        <w:rPr>
          <w:i/>
          <w:szCs w:val="24"/>
          <w:lang w:val="en"/>
        </w:rPr>
        <w:t>In r</w:t>
      </w:r>
      <w:r w:rsidR="00282EEA" w:rsidRPr="00924038">
        <w:rPr>
          <w:rStyle w:val="HTMLCite"/>
          <w:szCs w:val="24"/>
          <w:lang w:val="en"/>
        </w:rPr>
        <w:t>e Diplock</w:t>
      </w:r>
      <w:r w:rsidR="00586D61" w:rsidRPr="00924038">
        <w:rPr>
          <w:rStyle w:val="HTMLCite"/>
          <w:szCs w:val="24"/>
          <w:lang w:val="en"/>
        </w:rPr>
        <w:t>; Diplock v Wintle</w:t>
      </w:r>
      <w:r w:rsidR="00282EEA" w:rsidRPr="00924038">
        <w:rPr>
          <w:szCs w:val="24"/>
          <w:lang w:val="en"/>
        </w:rPr>
        <w:t xml:space="preserve"> </w:t>
      </w:r>
      <w:bookmarkStart w:id="49" w:name="atagUio378533sl10440640-atagUio378535sl1"/>
      <w:bookmarkEnd w:id="49"/>
      <w:r w:rsidR="00282EEA" w:rsidRPr="00924038">
        <w:rPr>
          <w:szCs w:val="24"/>
          <w:lang w:val="en"/>
        </w:rPr>
        <w:t>[1948] Ch 465 at 481-</w:t>
      </w:r>
      <w:r w:rsidR="00586D61" w:rsidRPr="00924038">
        <w:rPr>
          <w:szCs w:val="24"/>
          <w:lang w:val="en"/>
        </w:rPr>
        <w:t>48</w:t>
      </w:r>
      <w:r w:rsidR="00282EEA" w:rsidRPr="00924038">
        <w:rPr>
          <w:szCs w:val="24"/>
          <w:lang w:val="en"/>
        </w:rPr>
        <w:t xml:space="preserve">2; </w:t>
      </w:r>
      <w:r w:rsidR="00282EEA" w:rsidRPr="00924038">
        <w:rPr>
          <w:rStyle w:val="HTMLCite"/>
          <w:szCs w:val="24"/>
          <w:lang w:val="en"/>
        </w:rPr>
        <w:t>Gee</w:t>
      </w:r>
      <w:r w:rsidR="00282EEA" w:rsidRPr="00924038">
        <w:rPr>
          <w:szCs w:val="24"/>
          <w:lang w:val="en"/>
        </w:rPr>
        <w:t xml:space="preserve"> v </w:t>
      </w:r>
      <w:r w:rsidR="00282EEA" w:rsidRPr="00924038">
        <w:rPr>
          <w:rStyle w:val="HTMLCite"/>
          <w:szCs w:val="24"/>
          <w:lang w:val="en"/>
        </w:rPr>
        <w:t>Pritchard</w:t>
      </w:r>
      <w:r w:rsidR="00282EEA" w:rsidRPr="00924038">
        <w:rPr>
          <w:szCs w:val="24"/>
          <w:lang w:val="en"/>
        </w:rPr>
        <w:t xml:space="preserve"> (1818) 2 Swans 402 at 414</w:t>
      </w:r>
      <w:r w:rsidR="00586D61" w:rsidRPr="00924038">
        <w:rPr>
          <w:szCs w:val="24"/>
          <w:lang w:val="en"/>
        </w:rPr>
        <w:t>;</w:t>
      </w:r>
      <w:r w:rsidR="00282EEA" w:rsidRPr="00924038">
        <w:rPr>
          <w:szCs w:val="24"/>
          <w:lang w:val="en"/>
        </w:rPr>
        <w:t xml:space="preserve"> 36 ER 670 at 674.</w:t>
      </w:r>
    </w:p>
    <w:p w:rsidR="009B424A" w:rsidRPr="00924038" w:rsidRDefault="001C26FB" w:rsidP="00485549">
      <w:pPr>
        <w:pStyle w:val="Heading2"/>
      </w:pPr>
      <w:bookmarkStart w:id="50" w:name="_Ref514405619"/>
      <w:r w:rsidRPr="00924038">
        <w:t>E.3</w:t>
      </w:r>
      <w:r w:rsidRPr="00924038">
        <w:tab/>
        <w:t xml:space="preserve">Conclusions </w:t>
      </w:r>
      <w:r w:rsidR="00905ABC" w:rsidRPr="00924038">
        <w:t xml:space="preserve">as to Questions of </w:t>
      </w:r>
      <w:r w:rsidRPr="00924038">
        <w:t>Power</w:t>
      </w:r>
      <w:bookmarkEnd w:id="50"/>
    </w:p>
    <w:p w:rsidR="006B7C49" w:rsidRPr="00924038" w:rsidRDefault="00B52DA9" w:rsidP="00084E53">
      <w:pPr>
        <w:pStyle w:val="ParaNumbering"/>
      </w:pPr>
      <w:r w:rsidRPr="00924038">
        <w:t>As will be now be evident</w:t>
      </w:r>
      <w:r w:rsidR="00432D48" w:rsidRPr="00924038">
        <w:t>,</w:t>
      </w:r>
      <w:r w:rsidRPr="00924038">
        <w:t xml:space="preserve"> </w:t>
      </w:r>
      <w:r w:rsidR="00E16DFE">
        <w:t xml:space="preserve">there is no dispute </w:t>
      </w:r>
      <w:r w:rsidRPr="00924038">
        <w:t>tha</w:t>
      </w:r>
      <w:r w:rsidR="00E16DFE">
        <w:t>t in appropriate circumstances the Court</w:t>
      </w:r>
      <w:r w:rsidRPr="00924038">
        <w:t xml:space="preserve"> </w:t>
      </w:r>
      <w:r w:rsidR="00E16DFE">
        <w:t>has</w:t>
      </w:r>
      <w:r w:rsidRPr="00924038">
        <w:t xml:space="preserve"> the necessary power to either stay one or other of the class actions</w:t>
      </w:r>
      <w:r w:rsidR="00876899">
        <w:t>.  The</w:t>
      </w:r>
      <w:r w:rsidR="00E16DFE">
        <w:t xml:space="preserve"> issue is whether those circumstances exist.  Additionally, I consider the Court would also have the power in </w:t>
      </w:r>
      <w:r w:rsidR="00E16DFE">
        <w:lastRenderedPageBreak/>
        <w:t xml:space="preserve">appropriate circumstances to </w:t>
      </w:r>
      <w:r w:rsidRPr="00924038">
        <w:t xml:space="preserve">enjoin one </w:t>
      </w:r>
      <w:r w:rsidR="00432D48" w:rsidRPr="00924038">
        <w:t>or</w:t>
      </w:r>
      <w:r w:rsidRPr="00924038">
        <w:t xml:space="preserve"> other of the applicants from continuing their</w:t>
      </w:r>
      <w:r w:rsidR="006B7C49" w:rsidRPr="00924038">
        <w:t xml:space="preserve"> class action</w:t>
      </w:r>
      <w:r w:rsidR="00823E60" w:rsidRPr="00924038">
        <w:t>,</w:t>
      </w:r>
      <w:r w:rsidR="006B7C49" w:rsidRPr="00924038">
        <w:t xml:space="preserve"> or </w:t>
      </w:r>
      <w:r w:rsidR="00E16DFE">
        <w:t xml:space="preserve">to </w:t>
      </w:r>
      <w:r w:rsidR="006B7C49" w:rsidRPr="00924038">
        <w:t>declass one or more of the proceedings.</w:t>
      </w:r>
    </w:p>
    <w:p w:rsidR="009B424A" w:rsidRPr="00924038" w:rsidRDefault="00E16DFE" w:rsidP="006B7C49">
      <w:pPr>
        <w:pStyle w:val="ParaNumbering"/>
      </w:pPr>
      <w:r>
        <w:t>Before considering</w:t>
      </w:r>
      <w:r w:rsidR="006B7C49" w:rsidRPr="00924038">
        <w:t xml:space="preserve"> whether such powers (and, if so, which one) </w:t>
      </w:r>
      <w:r w:rsidR="00155DF7" w:rsidRPr="00924038">
        <w:t xml:space="preserve">can and </w:t>
      </w:r>
      <w:r w:rsidR="006B7C49" w:rsidRPr="00924038">
        <w:t>should be exercised</w:t>
      </w:r>
      <w:r>
        <w:t xml:space="preserve"> in the present circumstances, </w:t>
      </w:r>
      <w:r w:rsidR="006B7C49" w:rsidRPr="00924038">
        <w:t>it is appropriate to turn to a comparative analysis of the three proceedings.</w:t>
      </w:r>
    </w:p>
    <w:p w:rsidR="009B424A" w:rsidRPr="00924038" w:rsidRDefault="001C26FB" w:rsidP="00485549">
      <w:pPr>
        <w:pStyle w:val="Heading1"/>
      </w:pPr>
      <w:bookmarkStart w:id="51" w:name="_Ref514405620"/>
      <w:r w:rsidRPr="00924038">
        <w:t>F</w:t>
      </w:r>
      <w:r w:rsidRPr="00924038">
        <w:tab/>
      </w:r>
      <w:r w:rsidR="00913157" w:rsidRPr="00924038">
        <w:t>Factors Other Than Possible Comparative Net Returns</w:t>
      </w:r>
      <w:bookmarkEnd w:id="51"/>
      <w:r w:rsidR="00913157" w:rsidRPr="00924038">
        <w:t xml:space="preserve">   </w:t>
      </w:r>
    </w:p>
    <w:p w:rsidR="001C26FB" w:rsidRPr="00924038" w:rsidRDefault="001C26FB" w:rsidP="0070556F">
      <w:pPr>
        <w:pStyle w:val="Heading2"/>
      </w:pPr>
      <w:bookmarkStart w:id="52" w:name="_Ref514405621"/>
      <w:r w:rsidRPr="00924038">
        <w:t>F.1</w:t>
      </w:r>
      <w:r w:rsidRPr="00924038">
        <w:tab/>
        <w:t>Introducti</w:t>
      </w:r>
      <w:r w:rsidR="008B3CBF" w:rsidRPr="00924038">
        <w:t>on</w:t>
      </w:r>
      <w:r w:rsidRPr="00924038">
        <w:t xml:space="preserve"> </w:t>
      </w:r>
      <w:r w:rsidR="007A5994" w:rsidRPr="00924038">
        <w:t>&amp; Relevant Factors Relied Upon</w:t>
      </w:r>
      <w:bookmarkEnd w:id="52"/>
    </w:p>
    <w:p w:rsidR="007A5994" w:rsidRPr="00924038" w:rsidRDefault="008B3CBF" w:rsidP="007A5994">
      <w:pPr>
        <w:pStyle w:val="ParaNumbering"/>
      </w:pPr>
      <w:r w:rsidRPr="00924038">
        <w:t xml:space="preserve">As I noted in the </w:t>
      </w:r>
      <w:r w:rsidRPr="00924038">
        <w:rPr>
          <w:szCs w:val="24"/>
          <w:lang w:eastAsia="en-AU"/>
        </w:rPr>
        <w:t>Introd</w:t>
      </w:r>
      <w:r w:rsidR="007A5994" w:rsidRPr="00924038">
        <w:rPr>
          <w:szCs w:val="24"/>
          <w:lang w:eastAsia="en-AU"/>
        </w:rPr>
        <w:t xml:space="preserve">uction to these reasons, </w:t>
      </w:r>
      <w:r w:rsidRPr="00924038">
        <w:rPr>
          <w:szCs w:val="24"/>
          <w:lang w:eastAsia="en-AU"/>
        </w:rPr>
        <w:t>each party accepted that something must be done to resolve the issue of overlapping open class actions.  Each applicant asserted that their case was the one that should proceed and that ancillary or</w:t>
      </w:r>
      <w:r w:rsidR="007A5994" w:rsidRPr="00924038">
        <w:rPr>
          <w:szCs w:val="24"/>
          <w:lang w:eastAsia="en-AU"/>
        </w:rPr>
        <w:t>de</w:t>
      </w:r>
      <w:r w:rsidRPr="00924038">
        <w:rPr>
          <w:szCs w:val="24"/>
          <w:lang w:eastAsia="en-AU"/>
        </w:rPr>
        <w:t>rs should be made</w:t>
      </w:r>
      <w:r w:rsidR="007A5994" w:rsidRPr="00924038">
        <w:rPr>
          <w:szCs w:val="24"/>
          <w:lang w:eastAsia="en-AU"/>
        </w:rPr>
        <w:t xml:space="preserve"> to facilitate such an outcome.  </w:t>
      </w:r>
      <w:r w:rsidRPr="00924038">
        <w:rPr>
          <w:szCs w:val="24"/>
          <w:lang w:eastAsia="en-AU"/>
        </w:rPr>
        <w:t>Irrespective of the views of the parties</w:t>
      </w:r>
      <w:r w:rsidR="007A5994" w:rsidRPr="00924038">
        <w:rPr>
          <w:szCs w:val="24"/>
          <w:lang w:eastAsia="en-AU"/>
        </w:rPr>
        <w:t>,</w:t>
      </w:r>
      <w:r w:rsidRPr="00924038">
        <w:rPr>
          <w:szCs w:val="24"/>
          <w:lang w:eastAsia="en-AU"/>
        </w:rPr>
        <w:t xml:space="preserve"> I have </w:t>
      </w:r>
      <w:r w:rsidR="007A5994" w:rsidRPr="00924038">
        <w:rPr>
          <w:szCs w:val="24"/>
          <w:lang w:eastAsia="en-AU"/>
        </w:rPr>
        <w:t xml:space="preserve">also </w:t>
      </w:r>
      <w:r w:rsidRPr="00924038">
        <w:rPr>
          <w:szCs w:val="24"/>
          <w:lang w:eastAsia="en-AU"/>
        </w:rPr>
        <w:t xml:space="preserve">reached the view that only one </w:t>
      </w:r>
      <w:r w:rsidR="007A5994" w:rsidRPr="00924038">
        <w:rPr>
          <w:szCs w:val="24"/>
          <w:lang w:eastAsia="en-AU"/>
        </w:rPr>
        <w:t xml:space="preserve">open class </w:t>
      </w:r>
      <w:r w:rsidRPr="00924038">
        <w:rPr>
          <w:szCs w:val="24"/>
          <w:lang w:eastAsia="en-AU"/>
        </w:rPr>
        <w:t xml:space="preserve">proceeding should go forward so as to </w:t>
      </w:r>
      <w:r w:rsidR="007A5994" w:rsidRPr="00924038">
        <w:rPr>
          <w:szCs w:val="24"/>
          <w:lang w:eastAsia="en-AU"/>
        </w:rPr>
        <w:t xml:space="preserve">protect the processes of the Court, </w:t>
      </w:r>
      <w:r w:rsidRPr="00924038">
        <w:rPr>
          <w:szCs w:val="24"/>
          <w:lang w:eastAsia="en-AU"/>
        </w:rPr>
        <w:t xml:space="preserve">further the </w:t>
      </w:r>
      <w:r w:rsidR="007A5994" w:rsidRPr="00924038">
        <w:rPr>
          <w:szCs w:val="24"/>
          <w:lang w:eastAsia="en-AU"/>
        </w:rPr>
        <w:t>overarching</w:t>
      </w:r>
      <w:r w:rsidRPr="00924038">
        <w:rPr>
          <w:szCs w:val="24"/>
          <w:lang w:eastAsia="en-AU"/>
        </w:rPr>
        <w:t xml:space="preserve"> purpose</w:t>
      </w:r>
      <w:r w:rsidR="007A5994" w:rsidRPr="00924038">
        <w:rPr>
          <w:szCs w:val="24"/>
          <w:lang w:eastAsia="en-AU"/>
        </w:rPr>
        <w:t>,</w:t>
      </w:r>
      <w:r w:rsidRPr="00924038">
        <w:rPr>
          <w:szCs w:val="24"/>
          <w:lang w:eastAsia="en-AU"/>
        </w:rPr>
        <w:t xml:space="preserve"> and p</w:t>
      </w:r>
      <w:r w:rsidR="007A5994" w:rsidRPr="00924038">
        <w:rPr>
          <w:szCs w:val="24"/>
          <w:lang w:eastAsia="en-AU"/>
        </w:rPr>
        <w:t>rotect the interests of group me</w:t>
      </w:r>
      <w:r w:rsidRPr="00924038">
        <w:rPr>
          <w:szCs w:val="24"/>
          <w:lang w:eastAsia="en-AU"/>
        </w:rPr>
        <w:t>mbers.  I will explain this conclusion further below</w:t>
      </w:r>
      <w:r w:rsidR="007A5994" w:rsidRPr="00924038">
        <w:rPr>
          <w:szCs w:val="24"/>
          <w:lang w:eastAsia="en-AU"/>
        </w:rPr>
        <w:t xml:space="preserve"> and what additional orders should be made in relation to the other proceedings.  I will also canvass below </w:t>
      </w:r>
      <w:r w:rsidR="007A5994" w:rsidRPr="00924038">
        <w:rPr>
          <w:szCs w:val="24"/>
        </w:rPr>
        <w:t xml:space="preserve">the terms of </w:t>
      </w:r>
      <w:r w:rsidR="007A5994" w:rsidRPr="00924038">
        <w:t xml:space="preserve">common fund orders </w:t>
      </w:r>
      <w:r w:rsidR="007A5994" w:rsidRPr="00924038">
        <w:rPr>
          <w:szCs w:val="24"/>
        </w:rPr>
        <w:t>proposed</w:t>
      </w:r>
      <w:r w:rsidR="007A5994" w:rsidRPr="00924038">
        <w:t xml:space="preserve"> and the possible comparative returns to group members (which </w:t>
      </w:r>
      <w:r w:rsidR="0044166B" w:rsidRPr="00924038">
        <w:t xml:space="preserve">considerations </w:t>
      </w:r>
      <w:r w:rsidR="007A5994" w:rsidRPr="00924038">
        <w:t>are obviously of importance and w</w:t>
      </w:r>
      <w:r w:rsidR="0044166B" w:rsidRPr="00924038">
        <w:t xml:space="preserve">ere the focus </w:t>
      </w:r>
      <w:r w:rsidR="007A5994" w:rsidRPr="00924038">
        <w:t xml:space="preserve">of the submissions before me).  </w:t>
      </w:r>
    </w:p>
    <w:p w:rsidR="007A5994" w:rsidRPr="00924038" w:rsidRDefault="007A5994" w:rsidP="007A5994">
      <w:pPr>
        <w:pStyle w:val="ParaNumbering"/>
      </w:pPr>
      <w:r w:rsidRPr="00924038">
        <w:t xml:space="preserve">It is useful that I now identify </w:t>
      </w:r>
      <w:r w:rsidR="008B3CBF" w:rsidRPr="00924038">
        <w:rPr>
          <w:szCs w:val="24"/>
          <w:lang w:eastAsia="en-AU"/>
        </w:rPr>
        <w:t xml:space="preserve">the </w:t>
      </w:r>
      <w:r w:rsidRPr="00924038">
        <w:t xml:space="preserve">multifarious factors relied upon by each of the applicant parties in their submissions as to the discrimens between their open class proceeding and one or both of the others.  They can be conveniently grouped into various categories (including, as noted below, into some of the categories identified by Beach J in </w:t>
      </w:r>
      <w:r w:rsidRPr="00924038">
        <w:rPr>
          <w:i/>
        </w:rPr>
        <w:t>Bellamy’s</w:t>
      </w:r>
      <w:r w:rsidRPr="00924038">
        <w:t xml:space="preserve">), as follows: </w:t>
      </w:r>
    </w:p>
    <w:p w:rsidR="007A5994" w:rsidRDefault="007A5994" w:rsidP="00744C10">
      <w:pPr>
        <w:pStyle w:val="Order2"/>
        <w:numPr>
          <w:ilvl w:val="1"/>
          <w:numId w:val="33"/>
        </w:numPr>
        <w:rPr>
          <w:rFonts w:eastAsia="Times New Roman"/>
          <w:szCs w:val="24"/>
          <w:lang w:eastAsia="en-AU"/>
        </w:rPr>
      </w:pPr>
      <w:r w:rsidRPr="00FB5D3C">
        <w:rPr>
          <w:rFonts w:eastAsia="Times New Roman"/>
          <w:szCs w:val="24"/>
          <w:lang w:eastAsia="en-AU"/>
        </w:rPr>
        <w:t>the experience of the legal practitioners involved in each of the actions (</w:t>
      </w:r>
      <w:r w:rsidR="0070556F" w:rsidRPr="00FB5D3C">
        <w:rPr>
          <w:rFonts w:eastAsia="Times New Roman"/>
          <w:szCs w:val="24"/>
          <w:lang w:eastAsia="en-AU"/>
        </w:rPr>
        <w:t xml:space="preserve">see </w:t>
      </w:r>
      <w:r w:rsidRPr="00FB5D3C">
        <w:rPr>
          <w:rFonts w:eastAsia="Times New Roman"/>
          <w:i/>
          <w:szCs w:val="24"/>
          <w:lang w:eastAsia="en-AU"/>
        </w:rPr>
        <w:t>Bellamy’s</w:t>
      </w:r>
      <w:r w:rsidRPr="00FB5D3C">
        <w:rPr>
          <w:rFonts w:eastAsia="Times New Roman"/>
          <w:szCs w:val="24"/>
          <w:lang w:eastAsia="en-AU"/>
        </w:rPr>
        <w:t xml:space="preserve"> </w:t>
      </w:r>
      <w:r w:rsidR="0070556F" w:rsidRPr="00FB5D3C">
        <w:rPr>
          <w:rFonts w:eastAsia="Times New Roman"/>
          <w:szCs w:val="24"/>
          <w:lang w:eastAsia="en-AU"/>
        </w:rPr>
        <w:t xml:space="preserve">at </w:t>
      </w:r>
      <w:r w:rsidRPr="00FB5D3C">
        <w:rPr>
          <w:rFonts w:eastAsia="Times New Roman"/>
          <w:szCs w:val="24"/>
          <w:lang w:eastAsia="en-AU"/>
        </w:rPr>
        <w:t>[71(a)]</w:t>
      </w:r>
      <w:r w:rsidR="002719EF" w:rsidRPr="00FB5D3C">
        <w:rPr>
          <w:rFonts w:eastAsia="Times New Roman"/>
          <w:szCs w:val="24"/>
          <w:lang w:eastAsia="en-AU"/>
        </w:rPr>
        <w:t>)</w:t>
      </w:r>
      <w:r w:rsidRPr="00FB5D3C">
        <w:rPr>
          <w:rFonts w:eastAsia="Times New Roman"/>
          <w:szCs w:val="24"/>
          <w:lang w:eastAsia="en-AU"/>
        </w:rPr>
        <w:t xml:space="preserve">; </w:t>
      </w:r>
    </w:p>
    <w:p w:rsidR="00FB5D3C" w:rsidRPr="00FB5D3C" w:rsidRDefault="00FB5D3C" w:rsidP="00744C10">
      <w:pPr>
        <w:pStyle w:val="Order2"/>
        <w:numPr>
          <w:ilvl w:val="1"/>
          <w:numId w:val="33"/>
        </w:numPr>
        <w:rPr>
          <w:rFonts w:eastAsia="Times New Roman"/>
          <w:szCs w:val="24"/>
          <w:lang w:eastAsia="en-AU"/>
        </w:rPr>
      </w:pPr>
      <w:r w:rsidRPr="00924038">
        <w:t xml:space="preserve">the resources made available by each firm of solicitors and their accessibility to clients (see </w:t>
      </w:r>
      <w:r w:rsidRPr="00924038">
        <w:rPr>
          <w:i/>
        </w:rPr>
        <w:t>Bellamy’s</w:t>
      </w:r>
      <w:r w:rsidRPr="00924038">
        <w:t xml:space="preserve"> at [71(d)]);</w:t>
      </w:r>
    </w:p>
    <w:p w:rsidR="00FB5D3C" w:rsidRPr="00FB5D3C" w:rsidRDefault="00FB5D3C" w:rsidP="00744C10">
      <w:pPr>
        <w:pStyle w:val="Order2"/>
        <w:numPr>
          <w:ilvl w:val="1"/>
          <w:numId w:val="33"/>
        </w:numPr>
        <w:rPr>
          <w:rFonts w:eastAsia="Times New Roman"/>
          <w:szCs w:val="24"/>
          <w:lang w:eastAsia="en-AU"/>
        </w:rPr>
      </w:pPr>
      <w:r w:rsidRPr="00924038">
        <w:t xml:space="preserve">the state of preparation of each proceeding (see </w:t>
      </w:r>
      <w:r w:rsidRPr="00924038">
        <w:rPr>
          <w:i/>
        </w:rPr>
        <w:t>Bellamy’s</w:t>
      </w:r>
      <w:r w:rsidRPr="00924038">
        <w:t xml:space="preserve"> at [71(e)]);</w:t>
      </w:r>
    </w:p>
    <w:p w:rsidR="00FB5D3C" w:rsidRPr="00FB5D3C" w:rsidRDefault="00FB5D3C" w:rsidP="00744C10">
      <w:pPr>
        <w:pStyle w:val="Order2"/>
        <w:numPr>
          <w:ilvl w:val="1"/>
          <w:numId w:val="33"/>
        </w:numPr>
        <w:rPr>
          <w:rFonts w:eastAsia="Times New Roman"/>
          <w:szCs w:val="24"/>
          <w:lang w:eastAsia="en-AU"/>
        </w:rPr>
      </w:pPr>
      <w:r w:rsidRPr="00924038">
        <w:t xml:space="preserve">the position offered by each funder on security for costs and the resources available to fund the costs of the applicant and adverse costs (so as to provide certainty for group members) (see </w:t>
      </w:r>
      <w:r w:rsidRPr="00924038">
        <w:rPr>
          <w:i/>
        </w:rPr>
        <w:t>Bellamy’s</w:t>
      </w:r>
      <w:r w:rsidRPr="00924038">
        <w:t xml:space="preserve"> at [71(h)], [74]);</w:t>
      </w:r>
    </w:p>
    <w:p w:rsidR="00FB5D3C" w:rsidRPr="00FB5D3C" w:rsidRDefault="00FB5D3C" w:rsidP="00744C10">
      <w:pPr>
        <w:pStyle w:val="Order2"/>
        <w:numPr>
          <w:ilvl w:val="1"/>
          <w:numId w:val="33"/>
        </w:numPr>
        <w:rPr>
          <w:rFonts w:eastAsia="Times New Roman"/>
          <w:szCs w:val="24"/>
          <w:lang w:eastAsia="en-AU"/>
        </w:rPr>
      </w:pPr>
      <w:r w:rsidRPr="00924038">
        <w:lastRenderedPageBreak/>
        <w:t>the respective merits of the common issue cases as pleaded or as foreshadowed (including the contention the Perera Proceeding and Webb Proceeding are subsets of the McTaggart Proceeding);</w:t>
      </w:r>
    </w:p>
    <w:p w:rsidR="00FB5D3C" w:rsidRPr="00FB5D3C" w:rsidRDefault="00FB5D3C" w:rsidP="00744C10">
      <w:pPr>
        <w:pStyle w:val="Order2"/>
        <w:numPr>
          <w:ilvl w:val="1"/>
          <w:numId w:val="33"/>
        </w:numPr>
        <w:rPr>
          <w:rFonts w:eastAsia="Times New Roman"/>
          <w:szCs w:val="24"/>
          <w:lang w:eastAsia="en-AU"/>
        </w:rPr>
      </w:pPr>
      <w:r w:rsidRPr="00924038">
        <w:t>the respective strength of the individual cases of the representative applicants;</w:t>
      </w:r>
    </w:p>
    <w:p w:rsidR="00FB5D3C" w:rsidRPr="00FB5D3C" w:rsidRDefault="00FB5D3C" w:rsidP="00744C10">
      <w:pPr>
        <w:pStyle w:val="Order2"/>
        <w:numPr>
          <w:ilvl w:val="1"/>
          <w:numId w:val="33"/>
        </w:numPr>
        <w:rPr>
          <w:rFonts w:eastAsia="Times New Roman"/>
          <w:szCs w:val="24"/>
          <w:lang w:eastAsia="en-AU"/>
        </w:rPr>
      </w:pPr>
      <w:r w:rsidRPr="00924038">
        <w:t>the decision or choice of some group members to enter into funding agreements (in the case of the Perera Funded GMs and the McTaggart Funded GMs) and retainer agreements (in the case of the Perera Funded GMs);</w:t>
      </w:r>
    </w:p>
    <w:p w:rsidR="00FB5D3C" w:rsidRPr="00FB5D3C" w:rsidRDefault="00FB5D3C" w:rsidP="00744C10">
      <w:pPr>
        <w:pStyle w:val="Order2"/>
        <w:numPr>
          <w:ilvl w:val="1"/>
          <w:numId w:val="33"/>
        </w:numPr>
        <w:rPr>
          <w:rFonts w:eastAsia="Times New Roman"/>
          <w:szCs w:val="24"/>
          <w:lang w:eastAsia="en-AU"/>
        </w:rPr>
      </w:pPr>
      <w:r w:rsidRPr="00924038">
        <w:t xml:space="preserve">the relative numbers of the Perera Funded GMs and the McTaggart Funded GMs (and the absence of any funded Webb group members) (see </w:t>
      </w:r>
      <w:r w:rsidRPr="00924038">
        <w:rPr>
          <w:i/>
        </w:rPr>
        <w:t>Bellamy’s</w:t>
      </w:r>
      <w:r w:rsidRPr="00924038">
        <w:t xml:space="preserve"> at [71(f)]);</w:t>
      </w:r>
    </w:p>
    <w:p w:rsidR="00FB5D3C" w:rsidRPr="00FB5D3C" w:rsidRDefault="00FB5D3C" w:rsidP="00744C10">
      <w:pPr>
        <w:pStyle w:val="Order2"/>
        <w:numPr>
          <w:ilvl w:val="1"/>
          <w:numId w:val="33"/>
        </w:numPr>
        <w:rPr>
          <w:rFonts w:eastAsia="Times New Roman"/>
          <w:szCs w:val="24"/>
          <w:lang w:eastAsia="en-AU"/>
        </w:rPr>
      </w:pPr>
      <w:r w:rsidRPr="00924038">
        <w:t>the lack of a contractual deadlock provision in the Webb Proceeding funding arrangements and the alleged existence of a ‘moral hazard’;</w:t>
      </w:r>
    </w:p>
    <w:p w:rsidR="00FB5D3C" w:rsidRPr="00FB5D3C" w:rsidRDefault="00FB5D3C" w:rsidP="00744C10">
      <w:pPr>
        <w:pStyle w:val="Order2"/>
        <w:numPr>
          <w:ilvl w:val="1"/>
          <w:numId w:val="33"/>
        </w:numPr>
        <w:rPr>
          <w:rFonts w:eastAsia="Times New Roman"/>
          <w:szCs w:val="24"/>
          <w:lang w:eastAsia="en-AU"/>
        </w:rPr>
      </w:pPr>
      <w:r w:rsidRPr="00924038">
        <w:t xml:space="preserve">the estimated costs deposed to by each of the applicants’ solicitors (see </w:t>
      </w:r>
      <w:r w:rsidRPr="00924038">
        <w:rPr>
          <w:i/>
        </w:rPr>
        <w:t xml:space="preserve">Bellamy’s </w:t>
      </w:r>
      <w:r w:rsidRPr="00924038">
        <w:t>at [71(b)]);</w:t>
      </w:r>
    </w:p>
    <w:p w:rsidR="00FB5D3C" w:rsidRPr="00FB5D3C" w:rsidRDefault="00FB5D3C" w:rsidP="00744C10">
      <w:pPr>
        <w:pStyle w:val="Order2"/>
        <w:numPr>
          <w:ilvl w:val="1"/>
          <w:numId w:val="33"/>
        </w:numPr>
        <w:rPr>
          <w:rFonts w:eastAsia="Times New Roman"/>
          <w:szCs w:val="24"/>
          <w:lang w:eastAsia="en-AU"/>
        </w:rPr>
      </w:pPr>
      <w:r w:rsidRPr="00924038">
        <w:t>proposals made or adopted by the applicants to reduce and control costs, including ‘caps’;</w:t>
      </w:r>
    </w:p>
    <w:p w:rsidR="00FB5D3C" w:rsidRPr="00FB5D3C" w:rsidRDefault="00FB5D3C" w:rsidP="00744C10">
      <w:pPr>
        <w:pStyle w:val="Order2"/>
        <w:numPr>
          <w:ilvl w:val="1"/>
          <w:numId w:val="33"/>
        </w:numPr>
        <w:rPr>
          <w:rFonts w:eastAsia="Times New Roman"/>
          <w:szCs w:val="24"/>
          <w:lang w:eastAsia="en-AU"/>
        </w:rPr>
      </w:pPr>
      <w:r w:rsidRPr="00924038">
        <w:t>proposals made or adopted by the applicants to reduce and control expert costs;</w:t>
      </w:r>
    </w:p>
    <w:p w:rsidR="00FB5D3C" w:rsidRPr="00FB5D3C" w:rsidRDefault="00FB5D3C" w:rsidP="00744C10">
      <w:pPr>
        <w:pStyle w:val="Order2"/>
        <w:numPr>
          <w:ilvl w:val="1"/>
          <w:numId w:val="33"/>
        </w:numPr>
        <w:rPr>
          <w:rFonts w:eastAsia="Times New Roman"/>
          <w:szCs w:val="24"/>
          <w:lang w:eastAsia="en-AU"/>
        </w:rPr>
      </w:pPr>
      <w:r w:rsidRPr="00924038">
        <w:t>public policy issues bearing upon Mr Webb’s position;</w:t>
      </w:r>
    </w:p>
    <w:p w:rsidR="00FB5D3C" w:rsidRPr="00FB5D3C" w:rsidRDefault="00FB5D3C" w:rsidP="00744C10">
      <w:pPr>
        <w:pStyle w:val="Order2"/>
        <w:numPr>
          <w:ilvl w:val="1"/>
          <w:numId w:val="33"/>
        </w:numPr>
        <w:rPr>
          <w:rFonts w:eastAsia="Times New Roman"/>
          <w:szCs w:val="24"/>
          <w:lang w:eastAsia="en-AU"/>
        </w:rPr>
      </w:pPr>
      <w:proofErr w:type="gramStart"/>
      <w:r w:rsidRPr="00924038">
        <w:t>the</w:t>
      </w:r>
      <w:proofErr w:type="gramEnd"/>
      <w:r w:rsidRPr="00924038">
        <w:t xml:space="preserve"> comparative consequences of a permanent stay, closure or declassing order in each proceeding would have on those affected by such an order.</w:t>
      </w:r>
    </w:p>
    <w:p w:rsidR="0049787D" w:rsidRPr="006A4BAD" w:rsidRDefault="007A5994" w:rsidP="008B3CBF">
      <w:pPr>
        <w:pStyle w:val="ParaNumbering"/>
        <w:rPr>
          <w:szCs w:val="24"/>
          <w:lang w:eastAsia="en-AU"/>
        </w:rPr>
      </w:pPr>
      <w:r w:rsidRPr="006A4BAD">
        <w:t xml:space="preserve">Before dealing with each of these factors, </w:t>
      </w:r>
      <w:r w:rsidR="00EF235A" w:rsidRPr="006A4BAD">
        <w:t>it will be observed that two</w:t>
      </w:r>
      <w:r w:rsidRPr="006A4BAD">
        <w:t xml:space="preserve"> </w:t>
      </w:r>
      <w:r w:rsidR="00EF235A" w:rsidRPr="006A4BAD">
        <w:t xml:space="preserve">considerations are </w:t>
      </w:r>
      <w:r w:rsidRPr="006A4BAD">
        <w:t xml:space="preserve">omitted </w:t>
      </w:r>
      <w:r w:rsidR="00D14059" w:rsidRPr="006A4BAD">
        <w:t>f</w:t>
      </w:r>
      <w:r w:rsidRPr="006A4BAD">
        <w:t>r</w:t>
      </w:r>
      <w:r w:rsidR="00D14059" w:rsidRPr="006A4BAD">
        <w:t>o</w:t>
      </w:r>
      <w:r w:rsidR="00EF235A" w:rsidRPr="006A4BAD">
        <w:t>m this</w:t>
      </w:r>
      <w:r w:rsidRPr="006A4BAD">
        <w:t xml:space="preserve"> list</w:t>
      </w:r>
      <w:r w:rsidR="00EF235A" w:rsidRPr="006A4BAD">
        <w:t xml:space="preserve">.  One is the common fund structure proposed by each of the applicants (an important issue, </w:t>
      </w:r>
      <w:r w:rsidR="00A73DC4" w:rsidRPr="006A4BAD">
        <w:t>but is more conveniently</w:t>
      </w:r>
      <w:r w:rsidR="00EF235A" w:rsidRPr="006A4BAD">
        <w:t xml:space="preserve"> deal</w:t>
      </w:r>
      <w:r w:rsidR="00A73DC4" w:rsidRPr="006A4BAD">
        <w:t>t</w:t>
      </w:r>
      <w:r w:rsidR="00EF235A" w:rsidRPr="006A4BAD">
        <w:t xml:space="preserve"> with in </w:t>
      </w:r>
      <w:r w:rsidR="00876899" w:rsidRPr="006A4BAD">
        <w:t>S</w:t>
      </w:r>
      <w:r w:rsidR="00EF235A" w:rsidRPr="006A4BAD">
        <w:t xml:space="preserve">ection H.4 below).  The </w:t>
      </w:r>
      <w:r w:rsidR="00876899" w:rsidRPr="006A4BAD">
        <w:t>other</w:t>
      </w:r>
      <w:r w:rsidR="00EF235A" w:rsidRPr="006A4BAD">
        <w:t xml:space="preserve"> omission</w:t>
      </w:r>
      <w:r w:rsidRPr="006A4BAD">
        <w:t xml:space="preserve"> is </w:t>
      </w:r>
      <w:r w:rsidR="00EF235A" w:rsidRPr="006A4BAD">
        <w:t xml:space="preserve">a factor which refers to </w:t>
      </w:r>
      <w:r w:rsidRPr="006A4BAD">
        <w:t>the orde</w:t>
      </w:r>
      <w:r w:rsidR="00D14059" w:rsidRPr="006A4BAD">
        <w:t>r</w:t>
      </w:r>
      <w:r w:rsidRPr="006A4BAD">
        <w:t xml:space="preserve"> in which the </w:t>
      </w:r>
      <w:r w:rsidR="00D14059" w:rsidRPr="006A4BAD">
        <w:t xml:space="preserve">proceedings were commenced.  </w:t>
      </w:r>
      <w:r w:rsidR="00CC54FC" w:rsidRPr="006A4BAD">
        <w:t xml:space="preserve">Mr Edwards, who appeared for </w:t>
      </w:r>
      <w:r w:rsidR="008B0659" w:rsidRPr="006A4BAD">
        <w:t>Mr</w:t>
      </w:r>
      <w:r w:rsidR="00EB453A" w:rsidRPr="006A4BAD">
        <w:t xml:space="preserve"> Perera</w:t>
      </w:r>
      <w:r w:rsidR="0044166B" w:rsidRPr="006A4BAD">
        <w:t>,</w:t>
      </w:r>
      <w:r w:rsidR="00EB453A" w:rsidRPr="006A4BAD">
        <w:t xml:space="preserve"> did not submit that the fact that the Perera </w:t>
      </w:r>
      <w:r w:rsidR="00CC54FC" w:rsidRPr="006A4BAD">
        <w:rPr>
          <w:szCs w:val="24"/>
        </w:rPr>
        <w:t>Proceeding</w:t>
      </w:r>
      <w:r w:rsidR="00EB453A" w:rsidRPr="006A4BAD">
        <w:rPr>
          <w:szCs w:val="24"/>
        </w:rPr>
        <w:t xml:space="preserve"> had been commenced </w:t>
      </w:r>
      <w:r w:rsidR="00CC54FC" w:rsidRPr="006A4BAD">
        <w:rPr>
          <w:szCs w:val="24"/>
        </w:rPr>
        <w:t>first</w:t>
      </w:r>
      <w:r w:rsidR="00EB453A" w:rsidRPr="006A4BAD">
        <w:rPr>
          <w:szCs w:val="24"/>
        </w:rPr>
        <w:t xml:space="preserve"> in time was a </w:t>
      </w:r>
      <w:r w:rsidR="00CC54FC" w:rsidRPr="006A4BAD">
        <w:rPr>
          <w:szCs w:val="24"/>
        </w:rPr>
        <w:t>consideration to be given any weight.  He was correct to do so.  From a public policy stand</w:t>
      </w:r>
      <w:r w:rsidR="00D14059" w:rsidRPr="006A4BAD">
        <w:rPr>
          <w:szCs w:val="24"/>
        </w:rPr>
        <w:t>point, if ‘first in time’ was a</w:t>
      </w:r>
      <w:r w:rsidR="00CC54FC" w:rsidRPr="006A4BAD">
        <w:rPr>
          <w:szCs w:val="24"/>
        </w:rPr>
        <w:t xml:space="preserve"> consideration</w:t>
      </w:r>
      <w:r w:rsidR="00D14059" w:rsidRPr="006A4BAD">
        <w:rPr>
          <w:szCs w:val="24"/>
        </w:rPr>
        <w:t xml:space="preserve"> in and of itself</w:t>
      </w:r>
      <w:r w:rsidR="00CC54FC" w:rsidRPr="006A4BAD">
        <w:rPr>
          <w:szCs w:val="24"/>
        </w:rPr>
        <w:t>, the deleterious consequences could easily be imagined.  Not only would it encourage a race to the Registry, it would: (a) potentially reward and serve to encourage the analytical work I described at [</w:t>
      </w:r>
      <w:r w:rsidR="00A85C30" w:rsidRPr="006A4BAD">
        <w:rPr>
          <w:szCs w:val="24"/>
        </w:rPr>
        <w:t>1</w:t>
      </w:r>
      <w:r w:rsidR="00876899" w:rsidRPr="006A4BAD">
        <w:rPr>
          <w:szCs w:val="24"/>
        </w:rPr>
        <w:t>1</w:t>
      </w:r>
      <w:r w:rsidR="00CC54FC" w:rsidRPr="006A4BAD">
        <w:rPr>
          <w:szCs w:val="24"/>
        </w:rPr>
        <w:t>]</w:t>
      </w:r>
      <w:r w:rsidR="00876899" w:rsidRPr="006A4BAD">
        <w:rPr>
          <w:szCs w:val="24"/>
        </w:rPr>
        <w:t>-</w:t>
      </w:r>
      <w:r w:rsidR="00CC54FC" w:rsidRPr="006A4BAD">
        <w:rPr>
          <w:szCs w:val="24"/>
        </w:rPr>
        <w:t>[</w:t>
      </w:r>
      <w:r w:rsidR="00876899" w:rsidRPr="006A4BAD">
        <w:rPr>
          <w:szCs w:val="24"/>
        </w:rPr>
        <w:t>12</w:t>
      </w:r>
      <w:r w:rsidR="00CC54FC" w:rsidRPr="006A4BAD">
        <w:rPr>
          <w:szCs w:val="24"/>
        </w:rPr>
        <w:t xml:space="preserve">] </w:t>
      </w:r>
      <w:r w:rsidR="00876899" w:rsidRPr="006A4BAD">
        <w:rPr>
          <w:szCs w:val="24"/>
        </w:rPr>
        <w:t xml:space="preserve">above </w:t>
      </w:r>
      <w:r w:rsidR="00CC54FC" w:rsidRPr="006A4BAD">
        <w:rPr>
          <w:szCs w:val="24"/>
        </w:rPr>
        <w:t xml:space="preserve">to be performed hastily; (b) force decisions to be made as </w:t>
      </w:r>
      <w:r w:rsidR="00CC54FC" w:rsidRPr="006A4BAD">
        <w:rPr>
          <w:szCs w:val="24"/>
        </w:rPr>
        <w:lastRenderedPageBreak/>
        <w:t>to whether a case should proceed (and if so</w:t>
      </w:r>
      <w:r w:rsidR="00971B86" w:rsidRPr="006A4BAD">
        <w:rPr>
          <w:szCs w:val="24"/>
        </w:rPr>
        <w:t>,</w:t>
      </w:r>
      <w:r w:rsidR="00CC54FC" w:rsidRPr="006A4BAD">
        <w:rPr>
          <w:szCs w:val="24"/>
        </w:rPr>
        <w:t xml:space="preserve"> how) under pressure and without mature reflection; (c) require funding terms to be negotiated against the metaphorical background noise of a ‘tick-tock’; (d) likely result in poorly thought through </w:t>
      </w:r>
      <w:r w:rsidR="00971B86" w:rsidRPr="006A4BAD">
        <w:rPr>
          <w:szCs w:val="24"/>
        </w:rPr>
        <w:t xml:space="preserve">originating applications and </w:t>
      </w:r>
      <w:r w:rsidR="00CC54FC" w:rsidRPr="006A4BAD">
        <w:rPr>
          <w:szCs w:val="24"/>
        </w:rPr>
        <w:t>pleading</w:t>
      </w:r>
      <w:r w:rsidR="00971B86" w:rsidRPr="006A4BAD">
        <w:rPr>
          <w:szCs w:val="24"/>
        </w:rPr>
        <w:t>s; and (e) undermine the policy objectives of</w:t>
      </w:r>
      <w:r w:rsidR="00F661E6" w:rsidRPr="006A4BAD">
        <w:rPr>
          <w:szCs w:val="24"/>
        </w:rPr>
        <w:t xml:space="preserve"> the </w:t>
      </w:r>
      <w:r w:rsidR="00F661E6" w:rsidRPr="006A4BAD">
        <w:rPr>
          <w:i/>
          <w:szCs w:val="24"/>
        </w:rPr>
        <w:t>Civil Dispute Resolution Act 2011</w:t>
      </w:r>
      <w:r w:rsidR="00F661E6" w:rsidRPr="006A4BAD">
        <w:rPr>
          <w:szCs w:val="24"/>
        </w:rPr>
        <w:t xml:space="preserve"> (Cth) and pose a real risk that insufficient attention would be given by an applicant </w:t>
      </w:r>
      <w:r w:rsidR="00A73DC4" w:rsidRPr="006A4BAD">
        <w:rPr>
          <w:szCs w:val="24"/>
        </w:rPr>
        <w:t>to making a</w:t>
      </w:r>
      <w:r w:rsidR="00F661E6" w:rsidRPr="006A4BAD">
        <w:rPr>
          <w:szCs w:val="24"/>
        </w:rPr>
        <w:t xml:space="preserve"> sincere and genuine attempt to resolve the dispute prior to commencement.</w:t>
      </w:r>
      <w:r w:rsidR="0049787D" w:rsidRPr="006A4BAD">
        <w:rPr>
          <w:szCs w:val="24"/>
        </w:rPr>
        <w:t xml:space="preserve">  This does not mean that </w:t>
      </w:r>
      <w:r w:rsidR="0049787D" w:rsidRPr="006A4BAD">
        <w:rPr>
          <w:i/>
          <w:szCs w:val="24"/>
        </w:rPr>
        <w:t>delay</w:t>
      </w:r>
      <w:r w:rsidR="0049787D" w:rsidRPr="006A4BAD">
        <w:rPr>
          <w:szCs w:val="24"/>
        </w:rPr>
        <w:t xml:space="preserve"> could not be relevant in considering the respective merits of competing </w:t>
      </w:r>
      <w:r w:rsidR="00AE44A8" w:rsidRPr="006A4BAD">
        <w:rPr>
          <w:szCs w:val="24"/>
        </w:rPr>
        <w:t>class</w:t>
      </w:r>
      <w:r w:rsidR="0049787D" w:rsidRPr="006A4BAD">
        <w:rPr>
          <w:szCs w:val="24"/>
        </w:rPr>
        <w:t xml:space="preserve"> actions.  It</w:t>
      </w:r>
      <w:r w:rsidR="00AE44A8" w:rsidRPr="006A4BAD">
        <w:rPr>
          <w:szCs w:val="24"/>
        </w:rPr>
        <w:t xml:space="preserve"> is easy to imagine</w:t>
      </w:r>
      <w:r w:rsidR="0049787D" w:rsidRPr="006A4BAD">
        <w:rPr>
          <w:szCs w:val="24"/>
        </w:rPr>
        <w:t xml:space="preserve"> circ</w:t>
      </w:r>
      <w:r w:rsidR="00AE44A8" w:rsidRPr="006A4BAD">
        <w:rPr>
          <w:szCs w:val="24"/>
        </w:rPr>
        <w:t>umstances where delay (in the sense of tardiness)</w:t>
      </w:r>
      <w:r w:rsidR="0049787D" w:rsidRPr="006A4BAD">
        <w:rPr>
          <w:szCs w:val="24"/>
        </w:rPr>
        <w:t xml:space="preserve"> would </w:t>
      </w:r>
      <w:r w:rsidR="00AE44A8" w:rsidRPr="006A4BAD">
        <w:rPr>
          <w:szCs w:val="24"/>
        </w:rPr>
        <w:t>be</w:t>
      </w:r>
      <w:r w:rsidR="0049787D" w:rsidRPr="006A4BAD">
        <w:rPr>
          <w:szCs w:val="24"/>
        </w:rPr>
        <w:t xml:space="preserve"> an important, indeed </w:t>
      </w:r>
      <w:r w:rsidR="00AE44A8" w:rsidRPr="006A4BAD">
        <w:rPr>
          <w:szCs w:val="24"/>
        </w:rPr>
        <w:t>decisive</w:t>
      </w:r>
      <w:r w:rsidR="0049787D" w:rsidRPr="006A4BAD">
        <w:rPr>
          <w:szCs w:val="24"/>
        </w:rPr>
        <w:t>, consideration.  The important point is not to re</w:t>
      </w:r>
      <w:r w:rsidR="00AE44A8" w:rsidRPr="006A4BAD">
        <w:rPr>
          <w:szCs w:val="24"/>
        </w:rPr>
        <w:t xml:space="preserve">ward or encourage the opposite vice, that is, haste.  In any event, for present purposes, any considerations as to timing can be put to one side as </w:t>
      </w:r>
      <w:r w:rsidR="0049787D" w:rsidRPr="006A4BAD">
        <w:rPr>
          <w:szCs w:val="24"/>
        </w:rPr>
        <w:t>there was no delay evident here, as each applicant moved promptly and with evident care.</w:t>
      </w:r>
      <w:r w:rsidR="00CC54FC" w:rsidRPr="006A4BAD">
        <w:rPr>
          <w:szCs w:val="24"/>
        </w:rPr>
        <w:t xml:space="preserve"> </w:t>
      </w:r>
      <w:r w:rsidR="00281D1F" w:rsidRPr="006A4BAD">
        <w:rPr>
          <w:szCs w:val="24"/>
        </w:rPr>
        <w:t xml:space="preserve"> </w:t>
      </w:r>
      <w:r w:rsidR="0049787D" w:rsidRPr="006A4BAD">
        <w:rPr>
          <w:szCs w:val="24"/>
        </w:rPr>
        <w:t xml:space="preserve"> </w:t>
      </w:r>
    </w:p>
    <w:p w:rsidR="00D14059" w:rsidRPr="006A4BAD" w:rsidRDefault="00D14059" w:rsidP="00084E53">
      <w:pPr>
        <w:pStyle w:val="ParaNumbering"/>
      </w:pPr>
      <w:r w:rsidRPr="006A4BAD">
        <w:rPr>
          <w:szCs w:val="24"/>
        </w:rPr>
        <w:t xml:space="preserve">I will now turn to my consideration of the factors I have identified.  </w:t>
      </w:r>
      <w:r w:rsidR="008B3CBF" w:rsidRPr="006A4BAD">
        <w:t>Some of these factors assume some significance and others, as will become evident, less so</w:t>
      </w:r>
      <w:r w:rsidRPr="006A4BAD">
        <w:t xml:space="preserve"> and can be dealt with shortly.</w:t>
      </w:r>
    </w:p>
    <w:p w:rsidR="00F87336" w:rsidRPr="00924038" w:rsidRDefault="00D14059" w:rsidP="00DC3373">
      <w:pPr>
        <w:pStyle w:val="Heading2"/>
      </w:pPr>
      <w:bookmarkStart w:id="53" w:name="_Ref514405622"/>
      <w:r w:rsidRPr="00924038">
        <w:t>F.</w:t>
      </w:r>
      <w:r w:rsidR="000B303F" w:rsidRPr="00924038">
        <w:t>2</w:t>
      </w:r>
      <w:r w:rsidR="00F87336" w:rsidRPr="00924038">
        <w:tab/>
      </w:r>
      <w:r w:rsidR="00481F0C" w:rsidRPr="00924038">
        <w:t>Experience of Legal Practitioners</w:t>
      </w:r>
      <w:bookmarkEnd w:id="53"/>
    </w:p>
    <w:p w:rsidR="00F87336" w:rsidRPr="00924038" w:rsidRDefault="008C7B8B" w:rsidP="00E937AC">
      <w:pPr>
        <w:pStyle w:val="ParaNumbering"/>
      </w:pPr>
      <w:r w:rsidRPr="00924038">
        <w:t xml:space="preserve">In this case the Court is spared the necessity </w:t>
      </w:r>
      <w:r w:rsidR="00FC26F9" w:rsidRPr="00924038">
        <w:t>of</w:t>
      </w:r>
      <w:r w:rsidRPr="00924038">
        <w:t xml:space="preserve"> mak</w:t>
      </w:r>
      <w:r w:rsidR="00FC26F9" w:rsidRPr="00924038">
        <w:t>ing</w:t>
      </w:r>
      <w:r w:rsidRPr="00924038">
        <w:t xml:space="preserve"> any finding as to the relative experience of the solicitors or counsel engaged to conduct each of the proceedings.  It is plain on the evidence that each firm of </w:t>
      </w:r>
      <w:r w:rsidR="00155DF7" w:rsidRPr="00924038">
        <w:t xml:space="preserve">solicitors and the counsel </w:t>
      </w:r>
      <w:r w:rsidRPr="00924038">
        <w:t>they have retained are highly experienced in complex commercial litigation and also in the sub-specialty of securities class actions.  Indeed</w:t>
      </w:r>
      <w:r w:rsidR="00FC26F9" w:rsidRPr="00924038">
        <w:t>,</w:t>
      </w:r>
      <w:r w:rsidRPr="00924038">
        <w:t xml:space="preserve"> a number of the practitioners could be described, without overstatement, as among the most experienced practitioners in this area.  For my part</w:t>
      </w:r>
      <w:r w:rsidR="00AA43AB" w:rsidRPr="00924038">
        <w:t>,</w:t>
      </w:r>
      <w:r w:rsidRPr="00924038">
        <w:t xml:space="preserve"> I have no doubt that</w:t>
      </w:r>
      <w:r w:rsidR="00FC26F9" w:rsidRPr="00924038">
        <w:t>,</w:t>
      </w:r>
      <w:r w:rsidRPr="00924038">
        <w:t xml:space="preserve"> irrespective of which class action goes forward</w:t>
      </w:r>
      <w:r w:rsidR="00FC26F9" w:rsidRPr="00924038">
        <w:t>,</w:t>
      </w:r>
      <w:r w:rsidRPr="00924038">
        <w:t xml:space="preserve"> it will be able to be run with a high degree of competence and in the interests of group members. </w:t>
      </w:r>
    </w:p>
    <w:p w:rsidR="001C26FB" w:rsidRPr="00924038" w:rsidRDefault="00481F0C" w:rsidP="00481F0C">
      <w:pPr>
        <w:pStyle w:val="Heading2"/>
      </w:pPr>
      <w:bookmarkStart w:id="54" w:name="_Ref514405623"/>
      <w:r w:rsidRPr="00924038">
        <w:t>F</w:t>
      </w:r>
      <w:r w:rsidR="00905ABC" w:rsidRPr="00924038">
        <w:t>.</w:t>
      </w:r>
      <w:r w:rsidRPr="00924038">
        <w:t>3</w:t>
      </w:r>
      <w:r w:rsidRPr="00924038">
        <w:tab/>
        <w:t>Available Legal Resources</w:t>
      </w:r>
      <w:bookmarkEnd w:id="54"/>
    </w:p>
    <w:p w:rsidR="00481F0C" w:rsidRPr="00924038" w:rsidRDefault="008C7B8B" w:rsidP="00E937AC">
      <w:pPr>
        <w:pStyle w:val="ParaNumbering"/>
      </w:pPr>
      <w:r w:rsidRPr="00924038">
        <w:t>Similarly, when it comes to the availability of resources</w:t>
      </w:r>
      <w:r w:rsidR="00AA43AB" w:rsidRPr="00924038">
        <w:t>,</w:t>
      </w:r>
      <w:r w:rsidRPr="00924038">
        <w:t xml:space="preserve"> there is no reason to doubt that any </w:t>
      </w:r>
      <w:r w:rsidR="00AA43AB" w:rsidRPr="00924038">
        <w:t xml:space="preserve">of the three </w:t>
      </w:r>
      <w:r w:rsidRPr="00924038">
        <w:t>firm</w:t>
      </w:r>
      <w:r w:rsidR="00AA43AB" w:rsidRPr="00924038">
        <w:t>s</w:t>
      </w:r>
      <w:r w:rsidRPr="00924038">
        <w:t xml:space="preserve"> would have difficulty in running the litigation on behalf of the open class.  Each of the f</w:t>
      </w:r>
      <w:r w:rsidR="00D63202" w:rsidRPr="00924038">
        <w:t xml:space="preserve">irms, on the material </w:t>
      </w:r>
      <w:r w:rsidRPr="00924038">
        <w:t>filed, demonstrate</w:t>
      </w:r>
      <w:r w:rsidR="00FC26F9" w:rsidRPr="00924038">
        <w:t>s</w:t>
      </w:r>
      <w:r w:rsidRPr="00924038">
        <w:t xml:space="preserve"> an understanding of the type of work that is necessary to be undertaken in litigation of this sort and will, no doubt, apply the resources of the firm to ensure that there is proper engagement with group members.  </w:t>
      </w:r>
      <w:r w:rsidR="00E937AC" w:rsidRPr="00924038">
        <w:t xml:space="preserve">I will </w:t>
      </w:r>
      <w:r w:rsidR="00E937AC" w:rsidRPr="00924038">
        <w:lastRenderedPageBreak/>
        <w:t xml:space="preserve">deal with the more controversial issue of the ability </w:t>
      </w:r>
      <w:r w:rsidR="00FC26F9" w:rsidRPr="00924038">
        <w:t xml:space="preserve">of </w:t>
      </w:r>
      <w:r w:rsidR="00E937AC" w:rsidRPr="00924038">
        <w:t>the funders to fund the litigation (and the related issue of security for costs</w:t>
      </w:r>
      <w:r w:rsidR="00FC26F9" w:rsidRPr="00924038">
        <w:t>)</w:t>
      </w:r>
      <w:r w:rsidR="00E937AC" w:rsidRPr="00924038">
        <w:t xml:space="preserve"> in Section F.5 below. </w:t>
      </w:r>
    </w:p>
    <w:p w:rsidR="00481F0C" w:rsidRPr="00924038" w:rsidRDefault="00481F0C" w:rsidP="00481F0C">
      <w:pPr>
        <w:pStyle w:val="Heading2"/>
      </w:pPr>
      <w:bookmarkStart w:id="55" w:name="_Ref514405624"/>
      <w:r w:rsidRPr="00924038">
        <w:t>F</w:t>
      </w:r>
      <w:r w:rsidR="00905ABC" w:rsidRPr="00924038">
        <w:t>.</w:t>
      </w:r>
      <w:r w:rsidRPr="00924038">
        <w:t>4</w:t>
      </w:r>
      <w:r w:rsidRPr="00924038">
        <w:tab/>
        <w:t>State of Preparation</w:t>
      </w:r>
      <w:bookmarkEnd w:id="55"/>
    </w:p>
    <w:p w:rsidR="00481F0C" w:rsidRPr="00924038" w:rsidRDefault="008C7B8B" w:rsidP="00481F0C">
      <w:pPr>
        <w:pStyle w:val="ParaNumbering"/>
      </w:pPr>
      <w:r w:rsidRPr="00924038">
        <w:t>Here</w:t>
      </w:r>
      <w:r w:rsidR="002928D9" w:rsidRPr="00924038">
        <w:t>,</w:t>
      </w:r>
      <w:r w:rsidRPr="00924038">
        <w:t xml:space="preserve"> there is a point of distinction between the Webb </w:t>
      </w:r>
      <w:proofErr w:type="gramStart"/>
      <w:r w:rsidR="00001066" w:rsidRPr="00924038">
        <w:t>P</w:t>
      </w:r>
      <w:r w:rsidRPr="00924038">
        <w:t>roceeding</w:t>
      </w:r>
      <w:proofErr w:type="gramEnd"/>
      <w:r w:rsidRPr="00924038">
        <w:t xml:space="preserve"> on the one hand and the Perera </w:t>
      </w:r>
      <w:r w:rsidR="00001066" w:rsidRPr="00924038">
        <w:t>P</w:t>
      </w:r>
      <w:r w:rsidRPr="00924038">
        <w:t xml:space="preserve">roceeding and the McTaggart </w:t>
      </w:r>
      <w:r w:rsidR="00001066" w:rsidRPr="00924038">
        <w:t>P</w:t>
      </w:r>
      <w:r w:rsidRPr="00924038">
        <w:t>roceeding</w:t>
      </w:r>
      <w:r w:rsidR="00333CE6" w:rsidRPr="00924038">
        <w:t xml:space="preserve"> on the other.  As noted above</w:t>
      </w:r>
      <w:r w:rsidR="00DA092A" w:rsidRPr="00924038">
        <w:t>,</w:t>
      </w:r>
      <w:r w:rsidR="00333CE6" w:rsidRPr="00924038">
        <w:t xml:space="preserve"> </w:t>
      </w:r>
      <w:r w:rsidR="00876899">
        <w:t xml:space="preserve">the Webb Proceeding </w:t>
      </w:r>
      <w:r w:rsidR="00333CE6" w:rsidRPr="00924038">
        <w:t xml:space="preserve">was commenced last </w:t>
      </w:r>
      <w:r w:rsidR="004C40C9" w:rsidRPr="00924038">
        <w:t xml:space="preserve">and </w:t>
      </w:r>
      <w:r w:rsidR="00333CE6" w:rsidRPr="00924038">
        <w:t xml:space="preserve">by way of originating application together with </w:t>
      </w:r>
      <w:r w:rsidR="002928D9" w:rsidRPr="00924038">
        <w:t xml:space="preserve">a </w:t>
      </w:r>
      <w:r w:rsidR="00333CE6" w:rsidRPr="00924038">
        <w:t>supporting affidavit</w:t>
      </w:r>
      <w:r w:rsidR="002928D9" w:rsidRPr="00924038">
        <w:t>,</w:t>
      </w:r>
      <w:r w:rsidR="00333CE6" w:rsidRPr="00924038">
        <w:t xml:space="preserve"> which I allowed to be filed in Court.  I have already made reference to the evidence of Mr Phi as to why priority was given to the negotiation of funding terms</w:t>
      </w:r>
      <w:r w:rsidR="002928D9" w:rsidRPr="00924038">
        <w:t>,</w:t>
      </w:r>
      <w:r w:rsidR="00333CE6" w:rsidRPr="00924038">
        <w:t xml:space="preserve"> rather than proceeding to the preparation of a pleading.  In addition to accepting that Mr Phi acted reasonably in this regard</w:t>
      </w:r>
      <w:r w:rsidR="004C40C9" w:rsidRPr="00924038">
        <w:t>,</w:t>
      </w:r>
      <w:r w:rsidR="00333CE6" w:rsidRPr="00924038">
        <w:t xml:space="preserve"> to criticise the failure to file a statement of claim is to fall into the trap of criticising the orderly progression of the proceeding and the finalisation of funding terms</w:t>
      </w:r>
      <w:r w:rsidR="00EF235A" w:rsidRPr="00924038">
        <w:t>,</w:t>
      </w:r>
      <w:r w:rsidR="00333CE6" w:rsidRPr="00924038">
        <w:t xml:space="preserve"> prior to pleading work being undertaken.  </w:t>
      </w:r>
      <w:r w:rsidR="00EF235A" w:rsidRPr="00924038">
        <w:t>This is all the more so when, for reasons I explain, the funding structure and terms secured in the Webb Proceeding present real advantages.</w:t>
      </w:r>
    </w:p>
    <w:p w:rsidR="00481F0C" w:rsidRPr="00924038" w:rsidRDefault="00D17A2E" w:rsidP="00E937AC">
      <w:pPr>
        <w:pStyle w:val="ParaNumbering"/>
      </w:pPr>
      <w:r w:rsidRPr="00924038">
        <w:t>Having sa</w:t>
      </w:r>
      <w:r w:rsidR="00DA092A" w:rsidRPr="00924038">
        <w:t>id that</w:t>
      </w:r>
      <w:r w:rsidR="0001614D" w:rsidRPr="00924038">
        <w:t>,</w:t>
      </w:r>
      <w:r w:rsidR="00DA092A" w:rsidRPr="00924038">
        <w:t xml:space="preserve"> the affidavit of Mr Fin</w:t>
      </w:r>
      <w:r w:rsidRPr="00924038">
        <w:t xml:space="preserve">ney filed contemporaneously with the originating application makes it plain that a </w:t>
      </w:r>
      <w:r w:rsidR="0001614D" w:rsidRPr="00924038">
        <w:t>case</w:t>
      </w:r>
      <w:r w:rsidRPr="00924038">
        <w:t xml:space="preserve"> very substantially similar to the Perera </w:t>
      </w:r>
      <w:r w:rsidR="00001066" w:rsidRPr="00924038">
        <w:t>P</w:t>
      </w:r>
      <w:r w:rsidRPr="00924038">
        <w:t xml:space="preserve">roceeding will be advanced.  There is no reason to think that there will be any delay in the progress of the Webb </w:t>
      </w:r>
      <w:r w:rsidR="00001066" w:rsidRPr="00924038">
        <w:t>P</w:t>
      </w:r>
      <w:r w:rsidRPr="00924038">
        <w:t xml:space="preserve">roceeding in the event it was to proceed as an open class proceeding as compared to the Perera </w:t>
      </w:r>
      <w:r w:rsidR="00001066" w:rsidRPr="00924038">
        <w:t>P</w:t>
      </w:r>
      <w:r w:rsidRPr="00924038">
        <w:t xml:space="preserve">roceeding or the McTaggart </w:t>
      </w:r>
      <w:r w:rsidR="00001066" w:rsidRPr="00924038">
        <w:t>P</w:t>
      </w:r>
      <w:r w:rsidRPr="00924038">
        <w:t>roceeding.  Appropriate directions can be made for the prompt filing of a statement of claim, a defence and for the provision of an initial tranche of discovery.</w:t>
      </w:r>
    </w:p>
    <w:p w:rsidR="00481F0C" w:rsidRPr="00924038" w:rsidRDefault="00481F0C" w:rsidP="00481F0C">
      <w:pPr>
        <w:pStyle w:val="Heading2"/>
      </w:pPr>
      <w:bookmarkStart w:id="56" w:name="_Ref514405625"/>
      <w:r w:rsidRPr="00924038">
        <w:t>F</w:t>
      </w:r>
      <w:r w:rsidR="00905ABC" w:rsidRPr="00924038">
        <w:t>.</w:t>
      </w:r>
      <w:r w:rsidRPr="00924038">
        <w:t>5</w:t>
      </w:r>
      <w:r w:rsidRPr="00924038">
        <w:tab/>
        <w:t>Funding Resources Available Including Security</w:t>
      </w:r>
      <w:bookmarkEnd w:id="56"/>
    </w:p>
    <w:p w:rsidR="00E937AC" w:rsidRPr="00924038" w:rsidRDefault="00E937AC" w:rsidP="00084E53">
      <w:pPr>
        <w:pStyle w:val="ParaNumbering"/>
      </w:pPr>
      <w:r w:rsidRPr="00924038">
        <w:t xml:space="preserve">The </w:t>
      </w:r>
      <w:r w:rsidR="00D32A87" w:rsidRPr="00924038">
        <w:t xml:space="preserve">parties’ </w:t>
      </w:r>
      <w:r w:rsidRPr="00924038">
        <w:t xml:space="preserve">submissions related to this topic can be usefully discussed under two general headings: </w:t>
      </w:r>
      <w:r w:rsidRPr="00924038">
        <w:rPr>
          <w:i/>
        </w:rPr>
        <w:t>first</w:t>
      </w:r>
      <w:r w:rsidRPr="00924038">
        <w:t xml:space="preserve">, the financial position of each of the funders generally; and </w:t>
      </w:r>
      <w:r w:rsidRPr="00924038">
        <w:rPr>
          <w:i/>
        </w:rPr>
        <w:t>secondly</w:t>
      </w:r>
      <w:r w:rsidRPr="00924038">
        <w:t>, the varying proposals to provide security for costs.</w:t>
      </w:r>
    </w:p>
    <w:p w:rsidR="00E937AC" w:rsidRPr="00924038" w:rsidRDefault="00681BE9" w:rsidP="00EA647A">
      <w:pPr>
        <w:pStyle w:val="Heading3"/>
      </w:pPr>
      <w:bookmarkStart w:id="57" w:name="_Ref514405626"/>
      <w:r w:rsidRPr="00924038">
        <w:t>F.5.1</w:t>
      </w:r>
      <w:r w:rsidRPr="00924038">
        <w:tab/>
      </w:r>
      <w:proofErr w:type="gramStart"/>
      <w:r w:rsidRPr="00924038">
        <w:t>The</w:t>
      </w:r>
      <w:proofErr w:type="gramEnd"/>
      <w:r w:rsidRPr="00924038">
        <w:t xml:space="preserve"> Funder</w:t>
      </w:r>
      <w:r w:rsidR="00EA647A" w:rsidRPr="00924038">
        <w:t>s</w:t>
      </w:r>
      <w:r w:rsidRPr="00924038">
        <w:t>’</w:t>
      </w:r>
      <w:r w:rsidR="00EA647A" w:rsidRPr="00924038">
        <w:t xml:space="preserve"> </w:t>
      </w:r>
      <w:r w:rsidRPr="00924038">
        <w:t>F</w:t>
      </w:r>
      <w:r w:rsidR="00EA647A" w:rsidRPr="00924038">
        <w:t>inancial Position Generally</w:t>
      </w:r>
      <w:bookmarkEnd w:id="57"/>
    </w:p>
    <w:p w:rsidR="00A25FBD" w:rsidRPr="00924038" w:rsidRDefault="00A25FBD" w:rsidP="00E937AC">
      <w:pPr>
        <w:pStyle w:val="ParaNumbering"/>
      </w:pPr>
      <w:r w:rsidRPr="00924038">
        <w:t>This was a matter relied upon heavily by the McTaggart applicants</w:t>
      </w:r>
      <w:r w:rsidR="001E7CBD" w:rsidRPr="00924038">
        <w:t xml:space="preserve"> in relation to both competing actions</w:t>
      </w:r>
      <w:r w:rsidRPr="00924038">
        <w:t xml:space="preserve">. </w:t>
      </w:r>
    </w:p>
    <w:p w:rsidR="00F14D54" w:rsidRPr="00924038" w:rsidRDefault="00A25FBD" w:rsidP="0046605C">
      <w:pPr>
        <w:pStyle w:val="ParaNumbering"/>
      </w:pPr>
      <w:r w:rsidRPr="00924038">
        <w:t>As to the Perera Proceed</w:t>
      </w:r>
      <w:r w:rsidR="00F14D54" w:rsidRPr="00924038">
        <w:t xml:space="preserve">ing, the McTaggart applicants </w:t>
      </w:r>
      <w:r w:rsidR="00A73DC4">
        <w:t xml:space="preserve">point to </w:t>
      </w:r>
      <w:r w:rsidR="00F14D54" w:rsidRPr="00924038">
        <w:t>the fact that ILP</w:t>
      </w:r>
      <w:r w:rsidR="00B05405" w:rsidRPr="00924038">
        <w:t xml:space="preserve">18 is a $1 company, based in Singapore. </w:t>
      </w:r>
      <w:r w:rsidR="00F14D54" w:rsidRPr="00924038">
        <w:t xml:space="preserve"> </w:t>
      </w:r>
      <w:r w:rsidR="00B05405" w:rsidRPr="00924038">
        <w:t>Ms Banton gave eviden</w:t>
      </w:r>
      <w:r w:rsidR="00F14D54" w:rsidRPr="00924038">
        <w:t>ce that she thought that ILP</w:t>
      </w:r>
      <w:r w:rsidR="00B05405" w:rsidRPr="00924038">
        <w:t xml:space="preserve">18 had </w:t>
      </w:r>
      <w:r w:rsidR="00B05405" w:rsidRPr="00924038">
        <w:lastRenderedPageBreak/>
        <w:t>“</w:t>
      </w:r>
      <w:r w:rsidR="00B05405" w:rsidRPr="00924038">
        <w:rPr>
          <w:i/>
        </w:rPr>
        <w:t>about $2 million</w:t>
      </w:r>
      <w:r w:rsidR="00B05405" w:rsidRPr="00924038">
        <w:t>” in a</w:t>
      </w:r>
      <w:r w:rsidR="00B05405" w:rsidRPr="00924038">
        <w:rPr>
          <w:spacing w:val="-40"/>
        </w:rPr>
        <w:t xml:space="preserve"> </w:t>
      </w:r>
      <w:r w:rsidR="00B05405" w:rsidRPr="00924038">
        <w:t>trust account held by S</w:t>
      </w:r>
      <w:r w:rsidR="00F14D54" w:rsidRPr="00924038">
        <w:t>PB</w:t>
      </w:r>
      <w:r w:rsidR="00B05405" w:rsidRPr="00924038">
        <w:t>, but she was “</w:t>
      </w:r>
      <w:r w:rsidR="00B05405" w:rsidRPr="00924038">
        <w:rPr>
          <w:i/>
        </w:rPr>
        <w:t>not positive</w:t>
      </w:r>
      <w:r w:rsidR="00B05405" w:rsidRPr="00924038">
        <w:t>” and she was “</w:t>
      </w:r>
      <w:r w:rsidR="00B05405" w:rsidRPr="00924038">
        <w:rPr>
          <w:i/>
        </w:rPr>
        <w:t>not sure presently</w:t>
      </w:r>
      <w:r w:rsidR="00B05405" w:rsidRPr="00924038">
        <w:t xml:space="preserve">”. </w:t>
      </w:r>
      <w:r w:rsidR="00F14D54" w:rsidRPr="00924038">
        <w:t xml:space="preserve"> Much was made of this</w:t>
      </w:r>
      <w:r w:rsidR="0046605C" w:rsidRPr="00924038">
        <w:t>,</w:t>
      </w:r>
      <w:r w:rsidR="00F14D54" w:rsidRPr="00924038">
        <w:t xml:space="preserve"> and the fact that t</w:t>
      </w:r>
      <w:r w:rsidR="00B05405" w:rsidRPr="00924038">
        <w:t>here is no evidence from</w:t>
      </w:r>
      <w:r w:rsidR="00B05405" w:rsidRPr="00924038">
        <w:rPr>
          <w:spacing w:val="-8"/>
        </w:rPr>
        <w:t xml:space="preserve"> </w:t>
      </w:r>
      <w:r w:rsidR="00B05405" w:rsidRPr="00924038">
        <w:t>any</w:t>
      </w:r>
      <w:r w:rsidR="00B05405" w:rsidRPr="00924038">
        <w:rPr>
          <w:spacing w:val="-16"/>
        </w:rPr>
        <w:t xml:space="preserve"> </w:t>
      </w:r>
      <w:r w:rsidR="00B05405" w:rsidRPr="00924038">
        <w:t>representative</w:t>
      </w:r>
      <w:r w:rsidR="00B05405" w:rsidRPr="00924038">
        <w:rPr>
          <w:spacing w:val="-11"/>
        </w:rPr>
        <w:t xml:space="preserve"> </w:t>
      </w:r>
      <w:r w:rsidR="00B05405" w:rsidRPr="00924038">
        <w:t>of</w:t>
      </w:r>
      <w:r w:rsidR="00B05405" w:rsidRPr="00924038">
        <w:rPr>
          <w:spacing w:val="-9"/>
        </w:rPr>
        <w:t xml:space="preserve"> </w:t>
      </w:r>
      <w:r w:rsidR="00B05405" w:rsidRPr="00924038">
        <w:t>ILP18,</w:t>
      </w:r>
      <w:r w:rsidR="00B05405" w:rsidRPr="00924038">
        <w:rPr>
          <w:spacing w:val="-11"/>
        </w:rPr>
        <w:t xml:space="preserve"> </w:t>
      </w:r>
      <w:r w:rsidR="00B05405" w:rsidRPr="00924038">
        <w:t>or</w:t>
      </w:r>
      <w:r w:rsidR="00B05405" w:rsidRPr="00924038">
        <w:rPr>
          <w:spacing w:val="-12"/>
        </w:rPr>
        <w:t xml:space="preserve"> </w:t>
      </w:r>
      <w:r w:rsidR="00B05405" w:rsidRPr="00924038">
        <w:t>any</w:t>
      </w:r>
      <w:r w:rsidR="00B05405" w:rsidRPr="00924038">
        <w:rPr>
          <w:spacing w:val="-13"/>
        </w:rPr>
        <w:t xml:space="preserve"> </w:t>
      </w:r>
      <w:r w:rsidR="00B05405" w:rsidRPr="00924038">
        <w:t>related</w:t>
      </w:r>
      <w:r w:rsidR="00B05405" w:rsidRPr="00924038">
        <w:rPr>
          <w:spacing w:val="-11"/>
        </w:rPr>
        <w:t xml:space="preserve"> </w:t>
      </w:r>
      <w:r w:rsidR="00B05405" w:rsidRPr="00924038">
        <w:t>entity.</w:t>
      </w:r>
      <w:r w:rsidR="00B05405" w:rsidRPr="00924038">
        <w:rPr>
          <w:spacing w:val="40"/>
        </w:rPr>
        <w:t xml:space="preserve"> </w:t>
      </w:r>
      <w:r w:rsidR="0046605C" w:rsidRPr="00924038">
        <w:rPr>
          <w:spacing w:val="40"/>
        </w:rPr>
        <w:t xml:space="preserve"> </w:t>
      </w:r>
      <w:r w:rsidR="0046605C" w:rsidRPr="00924038">
        <w:t xml:space="preserve">Fairly characterised, </w:t>
      </w:r>
      <w:r w:rsidR="00F14D54" w:rsidRPr="00924038">
        <w:t>Ms Banton gave evidence that “</w:t>
      </w:r>
      <w:r w:rsidR="00F14D54" w:rsidRPr="00924038">
        <w:rPr>
          <w:i/>
        </w:rPr>
        <w:t>ILP and its related entities</w:t>
      </w:r>
      <w:r w:rsidR="00F14D54" w:rsidRPr="00924038">
        <w:t>” have significant monies on trust with SPB to pay security for costs as required and that she thought that ILP18 had $2 million in the SPB trust account.  I accept the evidence given by Ms Banton</w:t>
      </w:r>
      <w:r w:rsidR="0046605C" w:rsidRPr="00924038">
        <w:t xml:space="preserve"> in cross-examination which</w:t>
      </w:r>
      <w:r w:rsidR="009D026E" w:rsidRPr="00924038">
        <w:t>, taken as a whole,</w:t>
      </w:r>
      <w:r w:rsidR="0046605C" w:rsidRPr="00924038">
        <w:t xml:space="preserve"> was to the effect</w:t>
      </w:r>
      <w:r w:rsidR="00F14D54" w:rsidRPr="00924038">
        <w:t xml:space="preserve"> that there was no doubt about the ability of ILP18 to fund the proceeding and that ILP18 is in a position to provide security for costs by way of cash.  This </w:t>
      </w:r>
      <w:r w:rsidR="004767B5" w:rsidRPr="00924038">
        <w:t xml:space="preserve">is </w:t>
      </w:r>
      <w:r w:rsidR="00F14D54" w:rsidRPr="00924038">
        <w:t>hardly surprising</w:t>
      </w:r>
      <w:r w:rsidR="0046605C" w:rsidRPr="00924038">
        <w:t>,</w:t>
      </w:r>
      <w:r w:rsidR="00F14D54" w:rsidRPr="00924038">
        <w:t xml:space="preserve"> given the considerable track record of ILP </w:t>
      </w:r>
      <w:r w:rsidR="009D026E" w:rsidRPr="00924038">
        <w:t>entiti</w:t>
      </w:r>
      <w:r w:rsidR="00F14D54" w:rsidRPr="00924038">
        <w:t xml:space="preserve">es funding litigation </w:t>
      </w:r>
      <w:r w:rsidR="0046605C" w:rsidRPr="00924038">
        <w:t>in this Court</w:t>
      </w:r>
      <w:r w:rsidR="009D026E" w:rsidRPr="00924038">
        <w:t>,</w:t>
      </w:r>
      <w:r w:rsidR="0046605C" w:rsidRPr="00924038">
        <w:t xml:space="preserve"> </w:t>
      </w:r>
      <w:r w:rsidR="00F14D54" w:rsidRPr="00924038">
        <w:t>which was adduced in evidence.</w:t>
      </w:r>
    </w:p>
    <w:p w:rsidR="00F14D54" w:rsidRPr="00924038" w:rsidRDefault="00A25FBD" w:rsidP="00F14D54">
      <w:pPr>
        <w:pStyle w:val="ParaNumbering"/>
      </w:pPr>
      <w:r w:rsidRPr="00924038">
        <w:t xml:space="preserve">As to the Webb Proceeding, the submission of the McTaggart applicants (adopted by Mr Perera) was that </w:t>
      </w:r>
      <w:r w:rsidR="00F14D54" w:rsidRPr="00924038">
        <w:t>I should reject Mr Collins QC’</w:t>
      </w:r>
      <w:r w:rsidR="004767B5" w:rsidRPr="00924038">
        <w:t>s</w:t>
      </w:r>
      <w:r w:rsidR="00F14D54" w:rsidRPr="00924038">
        <w:t xml:space="preserve"> submission that the evidence would j</w:t>
      </w:r>
      <w:r w:rsidR="00A73DC4">
        <w:t>ustify a finding that Therium i</w:t>
      </w:r>
      <w:r w:rsidR="00F14D54" w:rsidRPr="00924038">
        <w:t>s a funder of substance.</w:t>
      </w:r>
    </w:p>
    <w:p w:rsidR="00F14D54" w:rsidRPr="00924038" w:rsidRDefault="0046605C" w:rsidP="00A73DC4">
      <w:pPr>
        <w:pStyle w:val="ParaNumbering"/>
      </w:pPr>
      <w:r w:rsidRPr="00924038">
        <w:t xml:space="preserve">I accept that </w:t>
      </w:r>
      <w:r w:rsidR="00F14D54" w:rsidRPr="00924038">
        <w:t xml:space="preserve">Therium is a $2 company and Mr Webb did not adduce any evidence that it has any other assets other than </w:t>
      </w:r>
      <w:r w:rsidRPr="00924038">
        <w:t xml:space="preserve">the fact that </w:t>
      </w:r>
      <w:r w:rsidR="00F14D54" w:rsidRPr="00924038">
        <w:t>Therium will have support from w</w:t>
      </w:r>
      <w:r w:rsidR="009D026E" w:rsidRPr="00924038">
        <w:t>ithin the Therium group.  With</w:t>
      </w:r>
      <w:r w:rsidR="00F14D54" w:rsidRPr="00924038">
        <w:t xml:space="preserve"> regard</w:t>
      </w:r>
      <w:r w:rsidR="009D026E" w:rsidRPr="00924038">
        <w:t xml:space="preserve"> to this corporate support</w:t>
      </w:r>
      <w:r w:rsidR="00F14D54" w:rsidRPr="00924038">
        <w:t>, Mr Webb relies on two letters</w:t>
      </w:r>
      <w:r w:rsidR="008B7997" w:rsidRPr="00924038">
        <w:t xml:space="preserve"> to </w:t>
      </w:r>
      <w:r w:rsidR="00F14D54" w:rsidRPr="00924038">
        <w:t xml:space="preserve">PFM of 11 </w:t>
      </w:r>
      <w:r w:rsidR="008B7997" w:rsidRPr="00924038">
        <w:t xml:space="preserve">and 12 </w:t>
      </w:r>
      <w:r w:rsidR="00A73DC4">
        <w:t xml:space="preserve">April 2018.  </w:t>
      </w:r>
      <w:r w:rsidR="00F14D54" w:rsidRPr="00924038">
        <w:t>The 11 April letter relevantly</w:t>
      </w:r>
      <w:r w:rsidR="00F14D54" w:rsidRPr="00A73DC4">
        <w:rPr>
          <w:spacing w:val="-8"/>
        </w:rPr>
        <w:t xml:space="preserve"> </w:t>
      </w:r>
      <w:r w:rsidR="009D026E" w:rsidRPr="00924038">
        <w:t>states:</w:t>
      </w:r>
    </w:p>
    <w:p w:rsidR="00F14D54" w:rsidRPr="00924038" w:rsidRDefault="00F14D54" w:rsidP="0038596E">
      <w:pPr>
        <w:pStyle w:val="Quote1"/>
      </w:pPr>
      <w:r w:rsidRPr="00924038">
        <w:t>With regard to the risk of adverse costs orders against the Representative Claimant, subject to Investment Committee approval, Therium Litigation Finance (Australia) Limited will provide an indemnity for adverse costs to the Representative Applicant</w:t>
      </w:r>
      <w:proofErr w:type="gramStart"/>
      <w:r w:rsidRPr="00924038">
        <w:t xml:space="preserve">. </w:t>
      </w:r>
      <w:proofErr w:type="gramEnd"/>
      <w:r w:rsidRPr="00924038">
        <w:t xml:space="preserve">That indemnity will be backed by Therium Finance 2 ICC, based in Jersey Channel Islands, which has a maximum potential commitment in respect of this </w:t>
      </w:r>
      <w:r w:rsidR="00F15DBD" w:rsidRPr="00924038">
        <w:t xml:space="preserve">case of </w:t>
      </w:r>
      <w:r w:rsidR="00F15DBD" w:rsidRPr="00924038">
        <w:rPr>
          <w:b/>
        </w:rPr>
        <w:t>[</w:t>
      </w:r>
      <w:r w:rsidRPr="00924038">
        <w:rPr>
          <w:b/>
        </w:rPr>
        <w:t>redaction</w:t>
      </w:r>
      <w:r w:rsidR="00F15DBD" w:rsidRPr="00924038">
        <w:rPr>
          <w:b/>
        </w:rPr>
        <w:t>, but an amount sufficient in the circumstances]</w:t>
      </w:r>
      <w:r w:rsidR="009D026E" w:rsidRPr="00924038">
        <w:t>…</w:t>
      </w:r>
    </w:p>
    <w:p w:rsidR="00F14D54" w:rsidRPr="00924038" w:rsidRDefault="00F14D54" w:rsidP="009D026E">
      <w:pPr>
        <w:pStyle w:val="ParaNumbering"/>
      </w:pPr>
      <w:r w:rsidRPr="00924038">
        <w:t>The 12 April letter relevantly</w:t>
      </w:r>
      <w:r w:rsidRPr="00924038">
        <w:rPr>
          <w:spacing w:val="-6"/>
        </w:rPr>
        <w:t xml:space="preserve"> </w:t>
      </w:r>
      <w:r w:rsidR="009D026E" w:rsidRPr="00924038">
        <w:t>states:</w:t>
      </w:r>
    </w:p>
    <w:p w:rsidR="00F14D54" w:rsidRPr="00924038" w:rsidRDefault="00F14D54" w:rsidP="0038596E">
      <w:pPr>
        <w:pStyle w:val="Quote1"/>
      </w:pPr>
      <w:r w:rsidRPr="00924038">
        <w:t xml:space="preserve">I write to confirm that Therium Finance 2 ICC has today, 12 April 2018, received approval from its investment committee </w:t>
      </w:r>
      <w:r w:rsidR="00F15DBD" w:rsidRPr="00924038">
        <w:t xml:space="preserve">to commit up to </w:t>
      </w:r>
      <w:r w:rsidR="00F15DBD" w:rsidRPr="00924038">
        <w:rPr>
          <w:b/>
        </w:rPr>
        <w:t>[</w:t>
      </w:r>
      <w:r w:rsidRPr="00924038">
        <w:rPr>
          <w:b/>
        </w:rPr>
        <w:t>redaction</w:t>
      </w:r>
      <w:r w:rsidR="00F15DBD" w:rsidRPr="00924038">
        <w:rPr>
          <w:b/>
        </w:rPr>
        <w:t xml:space="preserve"> of amount specified in earlier letter</w:t>
      </w:r>
      <w:r w:rsidRPr="00924038">
        <w:rPr>
          <w:b/>
        </w:rPr>
        <w:t>]</w:t>
      </w:r>
      <w:r w:rsidRPr="00924038">
        <w:rPr>
          <w:b/>
          <w:spacing w:val="-6"/>
        </w:rPr>
        <w:t xml:space="preserve"> </w:t>
      </w:r>
      <w:r w:rsidRPr="00924038">
        <w:t>for</w:t>
      </w:r>
      <w:r w:rsidRPr="00924038">
        <w:rPr>
          <w:spacing w:val="-6"/>
        </w:rPr>
        <w:t xml:space="preserve"> </w:t>
      </w:r>
      <w:r w:rsidRPr="00924038">
        <w:t>the</w:t>
      </w:r>
      <w:r w:rsidRPr="00924038">
        <w:rPr>
          <w:spacing w:val="-6"/>
        </w:rPr>
        <w:t xml:space="preserve"> </w:t>
      </w:r>
      <w:r w:rsidRPr="00924038">
        <w:t>purposes</w:t>
      </w:r>
      <w:r w:rsidRPr="00924038">
        <w:rPr>
          <w:spacing w:val="-8"/>
        </w:rPr>
        <w:t xml:space="preserve"> </w:t>
      </w:r>
      <w:r w:rsidRPr="00924038">
        <w:t>of</w:t>
      </w:r>
      <w:r w:rsidRPr="00924038">
        <w:rPr>
          <w:spacing w:val="-8"/>
        </w:rPr>
        <w:t xml:space="preserve"> </w:t>
      </w:r>
      <w:r w:rsidRPr="00924038">
        <w:t>Therium</w:t>
      </w:r>
      <w:r w:rsidRPr="00924038">
        <w:rPr>
          <w:spacing w:val="-5"/>
        </w:rPr>
        <w:t xml:space="preserve"> </w:t>
      </w:r>
      <w:r w:rsidRPr="00924038">
        <w:t>funding</w:t>
      </w:r>
      <w:r w:rsidRPr="00924038">
        <w:rPr>
          <w:spacing w:val="-9"/>
        </w:rPr>
        <w:t xml:space="preserve"> </w:t>
      </w:r>
      <w:r w:rsidRPr="00924038">
        <w:t>own</w:t>
      </w:r>
      <w:r w:rsidRPr="00924038">
        <w:rPr>
          <w:spacing w:val="-6"/>
        </w:rPr>
        <w:t xml:space="preserve"> </w:t>
      </w:r>
      <w:r w:rsidRPr="00924038">
        <w:t>sides</w:t>
      </w:r>
      <w:r w:rsidRPr="00924038">
        <w:rPr>
          <w:spacing w:val="-8"/>
        </w:rPr>
        <w:t xml:space="preserve"> </w:t>
      </w:r>
      <w:r w:rsidRPr="00924038">
        <w:t>[sic]</w:t>
      </w:r>
      <w:r w:rsidRPr="00924038">
        <w:rPr>
          <w:spacing w:val="-6"/>
        </w:rPr>
        <w:t xml:space="preserve"> </w:t>
      </w:r>
      <w:r w:rsidRPr="00924038">
        <w:t>costs</w:t>
      </w:r>
      <w:r w:rsidRPr="00924038">
        <w:rPr>
          <w:spacing w:val="-8"/>
        </w:rPr>
        <w:t xml:space="preserve"> </w:t>
      </w:r>
      <w:r w:rsidRPr="00924038">
        <w:t>and indemnifying the Representative Claimant with respect to adverse</w:t>
      </w:r>
      <w:r w:rsidRPr="00924038">
        <w:rPr>
          <w:spacing w:val="-8"/>
        </w:rPr>
        <w:t xml:space="preserve"> </w:t>
      </w:r>
      <w:r w:rsidR="009D026E" w:rsidRPr="00924038">
        <w:t>costs.</w:t>
      </w:r>
    </w:p>
    <w:p w:rsidR="00F14D54" w:rsidRPr="00924038" w:rsidRDefault="0046605C" w:rsidP="00140E23">
      <w:pPr>
        <w:pStyle w:val="ParaNumbering"/>
      </w:pPr>
      <w:r w:rsidRPr="00924038">
        <w:t xml:space="preserve">Although the </w:t>
      </w:r>
      <w:r w:rsidR="00F14D54" w:rsidRPr="00924038">
        <w:t xml:space="preserve">two letters that Mr Webb relies </w:t>
      </w:r>
      <w:r w:rsidRPr="00924038">
        <w:t>up</w:t>
      </w:r>
      <w:r w:rsidR="00F14D54" w:rsidRPr="00924038">
        <w:t>on are letters from the funder</w:t>
      </w:r>
      <w:r w:rsidR="00411677" w:rsidRPr="00924038">
        <w:t xml:space="preserve"> </w:t>
      </w:r>
      <w:r w:rsidR="00140E23" w:rsidRPr="00924038">
        <w:t>rather than</w:t>
      </w:r>
      <w:r w:rsidR="00411677" w:rsidRPr="00924038">
        <w:t xml:space="preserve"> the related corporation providing the funds,</w:t>
      </w:r>
      <w:r w:rsidR="00F14D54" w:rsidRPr="00924038">
        <w:t xml:space="preserve"> </w:t>
      </w:r>
      <w:r w:rsidR="009D026E" w:rsidRPr="00924038">
        <w:t xml:space="preserve">there is no reason </w:t>
      </w:r>
      <w:r w:rsidR="00A73DC4">
        <w:t xml:space="preserve">identified </w:t>
      </w:r>
      <w:r w:rsidR="009D026E" w:rsidRPr="00924038">
        <w:t>to doubt that</w:t>
      </w:r>
      <w:r w:rsidRPr="00924038">
        <w:t xml:space="preserve"> Therium </w:t>
      </w:r>
      <w:r w:rsidR="009D026E" w:rsidRPr="00924038">
        <w:t xml:space="preserve">(supported by other companies within the Therium group) </w:t>
      </w:r>
      <w:r w:rsidRPr="00924038">
        <w:t>has the necessary funds to provide security and fund the litigation.</w:t>
      </w:r>
      <w:r w:rsidR="00F14D54" w:rsidRPr="00924038">
        <w:t xml:space="preserve"> </w:t>
      </w:r>
      <w:r w:rsidR="00700AA6" w:rsidRPr="00924038">
        <w:t xml:space="preserve"> </w:t>
      </w:r>
      <w:r w:rsidR="00140E23" w:rsidRPr="00924038">
        <w:t>Certainly</w:t>
      </w:r>
      <w:r w:rsidR="00700AA6" w:rsidRPr="00924038">
        <w:t xml:space="preserve"> there is no evidence to suggest otherwise.  Indeed, what the evidence does </w:t>
      </w:r>
      <w:r w:rsidR="00140E23" w:rsidRPr="00924038">
        <w:t>reveal</w:t>
      </w:r>
      <w:r w:rsidR="00700AA6" w:rsidRPr="00924038">
        <w:t xml:space="preserve"> is that what appears to be the principal entity, Therium Capital Management Limited, is a </w:t>
      </w:r>
      <w:r w:rsidR="00876899">
        <w:t>founding</w:t>
      </w:r>
      <w:r w:rsidR="00700AA6" w:rsidRPr="00924038">
        <w:t xml:space="preserve"> member of the Association of Litigation Funders of </w:t>
      </w:r>
      <w:r w:rsidR="00700AA6" w:rsidRPr="00924038">
        <w:lastRenderedPageBreak/>
        <w:t xml:space="preserve">England and Wales.  Mr Coope gives evidence, which I accept, that this Association is </w:t>
      </w:r>
      <w:r w:rsidR="00876899">
        <w:t xml:space="preserve">an </w:t>
      </w:r>
      <w:r w:rsidR="00700AA6" w:rsidRPr="00924038">
        <w:t>independent body that has been charged by the Ministry of Justice with delivering self-regulation of litigation funding in England and Wales</w:t>
      </w:r>
      <w:proofErr w:type="gramStart"/>
      <w:r w:rsidR="00700AA6" w:rsidRPr="00924038">
        <w:t xml:space="preserve">. </w:t>
      </w:r>
      <w:proofErr w:type="gramEnd"/>
      <w:r w:rsidR="00700AA6" w:rsidRPr="00924038">
        <w:t xml:space="preserve">The code of conduct of the Association, with which members must comply, requires each member to maintain adequate financial resources at all times in order to meet their </w:t>
      </w:r>
      <w:r w:rsidR="00140E23" w:rsidRPr="00924038">
        <w:t xml:space="preserve">funding obligations to fund all their funding projects </w:t>
      </w:r>
      <w:r w:rsidR="00700AA6" w:rsidRPr="00924038">
        <w:t xml:space="preserve">in England and Wales and to gather aggregate funding liabilities under all their funding agreements for a minimum period of 36 months.  Although this obligation is directed to domestic funding obligations, </w:t>
      </w:r>
      <w:r w:rsidR="00140E23" w:rsidRPr="00924038">
        <w:t xml:space="preserve">this rather suggests, together with the evidence from Mr Phi that Therium is involved as a funder in another proposed shareholder class </w:t>
      </w:r>
      <w:proofErr w:type="gramStart"/>
      <w:r w:rsidR="00A73DC4">
        <w:t>action,</w:t>
      </w:r>
      <w:proofErr w:type="gramEnd"/>
      <w:r w:rsidR="00A73DC4">
        <w:t xml:space="preserve"> the Court can have </w:t>
      </w:r>
      <w:r w:rsidR="00140E23" w:rsidRPr="00924038">
        <w:t xml:space="preserve">comfort that the </w:t>
      </w:r>
      <w:r w:rsidR="00700AA6" w:rsidRPr="00924038">
        <w:t xml:space="preserve">Therium group </w:t>
      </w:r>
      <w:r w:rsidR="00A73DC4">
        <w:t xml:space="preserve">(and Therium as part of that group) </w:t>
      </w:r>
      <w:r w:rsidR="00700AA6" w:rsidRPr="00924038">
        <w:t xml:space="preserve">is not without substance.  </w:t>
      </w:r>
    </w:p>
    <w:p w:rsidR="00A25FBD" w:rsidRPr="00924038" w:rsidRDefault="00BE3C09" w:rsidP="00411677">
      <w:pPr>
        <w:pStyle w:val="ParaNumbering"/>
      </w:pPr>
      <w:r w:rsidRPr="00924038">
        <w:t>The McTaggart applicants also make the point that if there is real ambiguity or lack of clarity in the funding proposal in the Webb Proceeding</w:t>
      </w:r>
      <w:r w:rsidR="0038596E" w:rsidRPr="00924038">
        <w:t>,</w:t>
      </w:r>
      <w:r w:rsidRPr="00924038">
        <w:t xml:space="preserve"> then this </w:t>
      </w:r>
      <w:r w:rsidR="0046605C" w:rsidRPr="00924038">
        <w:t>is</w:t>
      </w:r>
      <w:r w:rsidRPr="00924038">
        <w:t xml:space="preserve"> an important factor.  In the abstract this may have some force, but although there is no written funding agreement in the Webb Proceeding, I have no reason to doubt the genuineness of the commitment to fund which emerges from the evidence and, in any event, if there is any ambiguity as to terms absent a funding agreement</w:t>
      </w:r>
      <w:r w:rsidR="00A73DC4">
        <w:t>,</w:t>
      </w:r>
      <w:r w:rsidRPr="00924038">
        <w:t xml:space="preserve"> then these problems will be overcome with a properly calibrated common fund order similar to the </w:t>
      </w:r>
      <w:r w:rsidR="00A73DC4">
        <w:t xml:space="preserve">type of </w:t>
      </w:r>
      <w:r w:rsidRPr="00924038">
        <w:t xml:space="preserve">order made in </w:t>
      </w:r>
      <w:r w:rsidRPr="00924038">
        <w:rPr>
          <w:i/>
        </w:rPr>
        <w:t xml:space="preserve">Pearson v State of Queensland </w:t>
      </w:r>
      <w:r w:rsidRPr="00924038">
        <w:t>[2017] FCA 1096</w:t>
      </w:r>
      <w:r w:rsidR="0038596E" w:rsidRPr="00924038">
        <w:t xml:space="preserve">.  In that case, </w:t>
      </w:r>
      <w:r w:rsidRPr="00924038">
        <w:t xml:space="preserve">Murphy J specified, with precision, the terms to which the funder would be bound.  </w:t>
      </w:r>
    </w:p>
    <w:p w:rsidR="00A25FBD" w:rsidRPr="00924038" w:rsidRDefault="00411677" w:rsidP="00411677">
      <w:pPr>
        <w:pStyle w:val="ParaNumbering"/>
      </w:pPr>
      <w:r w:rsidRPr="00924038">
        <w:t>I do not consider it is likely that there will be any difficulty occasioned in any of the funders providing sufficient funds to maintain the proceedings and provide adequate protection in relation to adverse costs.  Ultimately, however, the proof of the pudding wil</w:t>
      </w:r>
      <w:r w:rsidR="00903FC9" w:rsidRPr="00924038">
        <w:t>l be in the eating:</w:t>
      </w:r>
      <w:r w:rsidR="00D63202" w:rsidRPr="00924038">
        <w:t xml:space="preserve"> </w:t>
      </w:r>
      <w:r w:rsidR="00D65A3C">
        <w:t>i</w:t>
      </w:r>
      <w:r w:rsidRPr="00924038">
        <w:t>f there is a problem with security</w:t>
      </w:r>
      <w:r w:rsidR="00D63202" w:rsidRPr="00924038">
        <w:t>,</w:t>
      </w:r>
      <w:r w:rsidRPr="00924038">
        <w:t xml:space="preserve"> then a stay will result and no doubt another funder would be able to ste</w:t>
      </w:r>
      <w:r w:rsidR="00903FC9" w:rsidRPr="00924038">
        <w:t>p into the brea</w:t>
      </w:r>
      <w:r w:rsidRPr="00924038">
        <w:t>ch.  If there is a difficulty in funding the applicant’s own costs</w:t>
      </w:r>
      <w:r w:rsidR="003E70AF" w:rsidRPr="00924038">
        <w:t>,</w:t>
      </w:r>
      <w:r w:rsidRPr="00924038">
        <w:t xml:space="preserve"> causing solicitors to cease to act or preventing payment of experts or counsel then, yet again, the question of whether the applicant is able to adequately represent group members will arise starkly.  I mention this, not because I think such events are likely to occur</w:t>
      </w:r>
      <w:r w:rsidR="004729FA" w:rsidRPr="00924038">
        <w:t>,</w:t>
      </w:r>
      <w:r w:rsidRPr="00924038">
        <w:t xml:space="preserve"> but to note that if, contrary to expectation</w:t>
      </w:r>
      <w:r w:rsidR="00876899">
        <w:t>,</w:t>
      </w:r>
      <w:r w:rsidRPr="00924038">
        <w:t xml:space="preserve"> they do occur, protections exist.</w:t>
      </w:r>
    </w:p>
    <w:p w:rsidR="00EA647A" w:rsidRPr="00924038" w:rsidRDefault="00EA647A" w:rsidP="00220E97">
      <w:pPr>
        <w:pStyle w:val="Heading3"/>
      </w:pPr>
      <w:bookmarkStart w:id="58" w:name="_Ref514405627"/>
      <w:r w:rsidRPr="00924038">
        <w:lastRenderedPageBreak/>
        <w:t>F.5.2</w:t>
      </w:r>
      <w:r w:rsidRPr="00924038">
        <w:tab/>
      </w:r>
      <w:proofErr w:type="gramStart"/>
      <w:r w:rsidRPr="00924038">
        <w:t>The</w:t>
      </w:r>
      <w:proofErr w:type="gramEnd"/>
      <w:r w:rsidRPr="00924038">
        <w:t xml:space="preserve"> Proposals for Security</w:t>
      </w:r>
      <w:bookmarkEnd w:id="58"/>
    </w:p>
    <w:p w:rsidR="00A25FBD" w:rsidRPr="00924038" w:rsidRDefault="00EF235A" w:rsidP="006106CA">
      <w:pPr>
        <w:pStyle w:val="ParaNumbering"/>
      </w:pPr>
      <w:r w:rsidRPr="00924038">
        <w:t>Th</w:t>
      </w:r>
      <w:r w:rsidR="00E937AC" w:rsidRPr="00924038">
        <w:t xml:space="preserve">e </w:t>
      </w:r>
      <w:r w:rsidR="00A25FBD" w:rsidRPr="00924038">
        <w:t>issue of security assumed some importance in the compara</w:t>
      </w:r>
      <w:r w:rsidR="006106CA" w:rsidRPr="00924038">
        <w:t xml:space="preserve">tive analysis.  </w:t>
      </w:r>
      <w:r w:rsidR="00A25FBD" w:rsidRPr="00924038">
        <w:t xml:space="preserve">It is useful to commence by identifying what each of the applicants proposed to provide by way of security.  </w:t>
      </w:r>
    </w:p>
    <w:p w:rsidR="00A25FBD" w:rsidRPr="00924038" w:rsidRDefault="00A25FBD" w:rsidP="00A25FBD">
      <w:pPr>
        <w:pStyle w:val="ParaNumbering"/>
      </w:pPr>
      <w:r w:rsidRPr="00924038">
        <w:t>Mr Perera was the only applicant who proposed unequivocally to put up cash or bond by way of security</w:t>
      </w:r>
      <w:r w:rsidR="003E70AF" w:rsidRPr="00924038">
        <w:t>,</w:t>
      </w:r>
      <w:r w:rsidRPr="00924038">
        <w:t xml:space="preserve"> rather than provide security by the alternative means of an ATE insurance policy.  </w:t>
      </w:r>
    </w:p>
    <w:p w:rsidR="00E937AC" w:rsidRPr="00924038" w:rsidRDefault="00A25FBD" w:rsidP="00E937AC">
      <w:pPr>
        <w:pStyle w:val="ParaNumbering"/>
      </w:pPr>
      <w:r w:rsidRPr="00924038">
        <w:t xml:space="preserve">The </w:t>
      </w:r>
      <w:r w:rsidR="00E937AC" w:rsidRPr="00924038">
        <w:t xml:space="preserve">position of the McTaggart applicants (and Vannin) did not include any unequivocal promise or agreement to provide security by way of cash.  Rather, it was suggested that if Vannin </w:t>
      </w:r>
      <w:r w:rsidR="00551D99" w:rsidRPr="00924038">
        <w:t>‘</w:t>
      </w:r>
      <w:r w:rsidR="00E937AC" w:rsidRPr="00924038">
        <w:t>elects</w:t>
      </w:r>
      <w:r w:rsidR="00551D99" w:rsidRPr="00924038">
        <w:t>’</w:t>
      </w:r>
      <w:r w:rsidR="00E937AC" w:rsidRPr="00924038">
        <w:t xml:space="preserve"> to satisfy an order for security, Vannin would provide security for costs either in funds or </w:t>
      </w:r>
      <w:r w:rsidR="0070400F" w:rsidRPr="00924038">
        <w:t xml:space="preserve">by way of </w:t>
      </w:r>
      <w:r w:rsidR="00E937AC" w:rsidRPr="00924038">
        <w:t>a deed of indemnity or by way of a deed of indemnity from an ATE in</w:t>
      </w:r>
      <w:r w:rsidR="006106CA" w:rsidRPr="00924038">
        <w:t xml:space="preserve">surer.  In this regard, </w:t>
      </w:r>
      <w:r w:rsidR="00E937AC" w:rsidRPr="00924038">
        <w:t xml:space="preserve">Mr Coope </w:t>
      </w:r>
      <w:r w:rsidR="006106CA" w:rsidRPr="00924038">
        <w:t xml:space="preserve">of Vannin </w:t>
      </w:r>
      <w:r w:rsidR="00E937AC" w:rsidRPr="00924038">
        <w:t>gave detailed evidence about the expected cost of an ATE policy</w:t>
      </w:r>
      <w:r w:rsidR="006106CA" w:rsidRPr="00924038">
        <w:t>,</w:t>
      </w:r>
      <w:r w:rsidR="00E937AC" w:rsidRPr="00924038">
        <w:t xml:space="preserve"> being a cost which would be visited on gro</w:t>
      </w:r>
      <w:r w:rsidRPr="00924038">
        <w:t>up members</w:t>
      </w:r>
      <w:r w:rsidR="00E937AC" w:rsidRPr="00924038">
        <w:t xml:space="preserve">.  It seems to me that although </w:t>
      </w:r>
      <w:r w:rsidR="00AE0267" w:rsidRPr="00924038">
        <w:t xml:space="preserve">an </w:t>
      </w:r>
      <w:r w:rsidR="00E937AC" w:rsidRPr="00924038">
        <w:t>indication was given that cash would be</w:t>
      </w:r>
      <w:r w:rsidRPr="00924038">
        <w:t xml:space="preserve"> provided in the event that a cash security</w:t>
      </w:r>
      <w:r w:rsidR="00E937AC" w:rsidRPr="00924038">
        <w:t xml:space="preserve"> was ordered</w:t>
      </w:r>
      <w:r w:rsidRPr="00924038">
        <w:t xml:space="preserve">, </w:t>
      </w:r>
      <w:r w:rsidR="00E937AC" w:rsidRPr="00924038">
        <w:t>Vannin</w:t>
      </w:r>
      <w:r w:rsidRPr="00924038">
        <w:t>’s preference</w:t>
      </w:r>
      <w:r w:rsidR="00D63202" w:rsidRPr="00924038">
        <w:t xml:space="preserve"> </w:t>
      </w:r>
      <w:r w:rsidR="00E937AC" w:rsidRPr="00924038">
        <w:t>would be to provide security by way of an ATE policy</w:t>
      </w:r>
      <w:r w:rsidR="006106CA" w:rsidRPr="00924038">
        <w:t xml:space="preserve"> coupled with a deed of indemnity (a topic to which I will return below)</w:t>
      </w:r>
      <w:r w:rsidR="00E937AC" w:rsidRPr="00924038">
        <w:t xml:space="preserve">.  </w:t>
      </w:r>
    </w:p>
    <w:p w:rsidR="00E937AC" w:rsidRPr="00924038" w:rsidRDefault="00E937AC" w:rsidP="00E937AC">
      <w:pPr>
        <w:pStyle w:val="ParaNumbering"/>
      </w:pPr>
      <w:r w:rsidRPr="00924038">
        <w:t>The position advanced by Mr Webb (and Therium)</w:t>
      </w:r>
      <w:r w:rsidR="006106CA" w:rsidRPr="00924038">
        <w:t xml:space="preserve"> was </w:t>
      </w:r>
      <w:r w:rsidR="00630B55">
        <w:t xml:space="preserve">provision </w:t>
      </w:r>
      <w:r w:rsidR="006106CA" w:rsidRPr="00924038">
        <w:t>of an ATE policy coupled with a deed of indemnity</w:t>
      </w:r>
      <w:r w:rsidR="00630B55">
        <w:t>,</w:t>
      </w:r>
      <w:r w:rsidRPr="00924038">
        <w:t xml:space="preserve"> </w:t>
      </w:r>
      <w:r w:rsidR="006106CA" w:rsidRPr="00924038">
        <w:t xml:space="preserve">and </w:t>
      </w:r>
      <w:r w:rsidRPr="00924038">
        <w:t>did not initially extend to any proposal to put up cash by way of security</w:t>
      </w:r>
      <w:r w:rsidR="006106CA" w:rsidRPr="00924038">
        <w:t>,</w:t>
      </w:r>
      <w:r w:rsidRPr="00924038">
        <w:t xml:space="preserve"> </w:t>
      </w:r>
      <w:r w:rsidR="006106CA" w:rsidRPr="00924038">
        <w:t>a</w:t>
      </w:r>
      <w:r w:rsidRPr="00924038">
        <w:t>lthough senior counsel for Mr Webb did say that Therium would, if the Court required, put up security by way of cash</w:t>
      </w:r>
      <w:r w:rsidR="006106CA" w:rsidRPr="00924038">
        <w:t xml:space="preserve"> (although initially the cost consequences o</w:t>
      </w:r>
      <w:r w:rsidR="00630B55">
        <w:t xml:space="preserve">f the cash method were </w:t>
      </w:r>
      <w:r w:rsidR="006106CA" w:rsidRPr="00924038">
        <w:t>confused until clarified by later instructions)</w:t>
      </w:r>
      <w:r w:rsidRPr="00924038">
        <w:t xml:space="preserve">.  </w:t>
      </w:r>
    </w:p>
    <w:p w:rsidR="00E937AC" w:rsidRPr="00924038" w:rsidRDefault="00E937AC" w:rsidP="00E937AC">
      <w:pPr>
        <w:pStyle w:val="ParaNumbering"/>
      </w:pPr>
      <w:r w:rsidRPr="00924038">
        <w:t>By reason of the above</w:t>
      </w:r>
      <w:r w:rsidR="002A4D1F" w:rsidRPr="00924038">
        <w:t>,</w:t>
      </w:r>
      <w:r w:rsidRPr="00924038">
        <w:t xml:space="preserve"> Mr Perera (an</w:t>
      </w:r>
      <w:r w:rsidR="000C2C36" w:rsidRPr="00924038">
        <w:t>d</w:t>
      </w:r>
      <w:r w:rsidRPr="00924038">
        <w:t xml:space="preserve"> ILP</w:t>
      </w:r>
      <w:r w:rsidR="00371A68" w:rsidRPr="00924038">
        <w:t>18</w:t>
      </w:r>
      <w:r w:rsidRPr="00924038">
        <w:t>) submit that they, uniquely when compared to the other applicants</w:t>
      </w:r>
      <w:r w:rsidR="00371A68" w:rsidRPr="00924038">
        <w:t>,</w:t>
      </w:r>
      <w:r w:rsidRPr="00924038">
        <w:t xml:space="preserve"> are in a position where </w:t>
      </w:r>
      <w:r w:rsidR="00371A68" w:rsidRPr="00924038">
        <w:t>sufficient cash is on</w:t>
      </w:r>
      <w:r w:rsidRPr="00924038">
        <w:t>shore and would be put up and that there will be no additional loading of an ATE insurance premium on to the costs borne by group members.  It followed</w:t>
      </w:r>
      <w:r w:rsidR="004F7775" w:rsidRPr="00924038">
        <w:t>, so</w:t>
      </w:r>
      <w:r w:rsidRPr="00924038">
        <w:t xml:space="preserve"> Mr Perera submitted</w:t>
      </w:r>
      <w:r w:rsidR="004F7775" w:rsidRPr="00924038">
        <w:t>,</w:t>
      </w:r>
      <w:r w:rsidRPr="00924038">
        <w:t xml:space="preserve"> that neither of the other proposals for security</w:t>
      </w:r>
      <w:r w:rsidR="00371A68" w:rsidRPr="00924038">
        <w:t xml:space="preserve"> carried with them </w:t>
      </w:r>
      <w:r w:rsidRPr="00924038">
        <w:t>the certainty of a cash deposit and</w:t>
      </w:r>
      <w:r w:rsidR="00371A68" w:rsidRPr="00924038">
        <w:t>,</w:t>
      </w:r>
      <w:r w:rsidRPr="00924038">
        <w:t xml:space="preserve"> to the extent that the other applicants now say they seek to put up cash</w:t>
      </w:r>
      <w:r w:rsidR="00371A68" w:rsidRPr="00924038">
        <w:t>, there was</w:t>
      </w:r>
      <w:r w:rsidRPr="00924038">
        <w:t xml:space="preserve"> </w:t>
      </w:r>
      <w:r w:rsidR="00371A68" w:rsidRPr="00924038">
        <w:t>in</w:t>
      </w:r>
      <w:r w:rsidRPr="00924038">
        <w:t xml:space="preserve">sufficient evidence that either of </w:t>
      </w:r>
      <w:r w:rsidR="00D65A3C">
        <w:t xml:space="preserve">the other </w:t>
      </w:r>
      <w:r w:rsidR="00371A68" w:rsidRPr="00924038">
        <w:t>funder</w:t>
      </w:r>
      <w:r w:rsidR="00D65A3C">
        <w:t>s</w:t>
      </w:r>
      <w:r w:rsidR="00371A68" w:rsidRPr="00924038">
        <w:t xml:space="preserve"> is</w:t>
      </w:r>
      <w:r w:rsidRPr="00924038">
        <w:t xml:space="preserve"> committed to fund the proceedings at the rates originally proposed on the basis of security being put up </w:t>
      </w:r>
      <w:r w:rsidR="00371A68" w:rsidRPr="00924038">
        <w:t>as initially proposed</w:t>
      </w:r>
      <w:r w:rsidRPr="00924038">
        <w:t>.</w:t>
      </w:r>
      <w:r w:rsidR="00630B55">
        <w:t xml:space="preserve">  </w:t>
      </w:r>
      <w:r w:rsidR="00630B55" w:rsidRPr="00924038">
        <w:t>I</w:t>
      </w:r>
      <w:r w:rsidR="00630B55">
        <w:t>n this regard, I pause to</w:t>
      </w:r>
      <w:r w:rsidR="00630B55" w:rsidRPr="00924038">
        <w:t xml:space="preserve"> note that </w:t>
      </w:r>
      <w:r w:rsidR="00630B55">
        <w:t>I have no doubt whatsoever that</w:t>
      </w:r>
      <w:r w:rsidR="00630B55" w:rsidRPr="00924038">
        <w:t xml:space="preserve"> either </w:t>
      </w:r>
      <w:r w:rsidR="00630B55">
        <w:t xml:space="preserve">Vannin or Therium </w:t>
      </w:r>
      <w:r w:rsidR="00630B55" w:rsidRPr="00924038">
        <w:t xml:space="preserve">is committed to fund the proceedings at the </w:t>
      </w:r>
      <w:r w:rsidR="00630B55">
        <w:t xml:space="preserve">common fund </w:t>
      </w:r>
      <w:r w:rsidR="00630B55" w:rsidRPr="00924038">
        <w:t xml:space="preserve">rates proposed on the basis of security being put up </w:t>
      </w:r>
      <w:r w:rsidR="00630B55">
        <w:t>in any form ordered.  Whatever else may be said about the funders, lack of enthusiasm would be about as inapt a description as one could imagine.</w:t>
      </w:r>
    </w:p>
    <w:p w:rsidR="00A94936" w:rsidRPr="00924038" w:rsidRDefault="00A94936" w:rsidP="00E937AC">
      <w:pPr>
        <w:pStyle w:val="ParaNumbering"/>
      </w:pPr>
      <w:r w:rsidRPr="00924038">
        <w:lastRenderedPageBreak/>
        <w:t xml:space="preserve">I will return below to examine (and reject) the primary submission of </w:t>
      </w:r>
      <w:r w:rsidR="00D65A3C">
        <w:t>Mr</w:t>
      </w:r>
      <w:r w:rsidRPr="00924038">
        <w:t xml:space="preserve"> Perera that any comparison between the three cases should be conducted solely pursuant to the evidence initially filed about costs (including </w:t>
      </w:r>
      <w:r w:rsidR="00381EB6" w:rsidRPr="00924038">
        <w:t xml:space="preserve">the </w:t>
      </w:r>
      <w:r w:rsidRPr="00924038">
        <w:t xml:space="preserve">costs as to security).  </w:t>
      </w:r>
      <w:r w:rsidR="00630B55">
        <w:t xml:space="preserve">It is convenient at this point for me to explain </w:t>
      </w:r>
      <w:r w:rsidRPr="00924038">
        <w:t xml:space="preserve">that the </w:t>
      </w:r>
      <w:r w:rsidR="00E937AC" w:rsidRPr="00924038">
        <w:t xml:space="preserve">evidence and initial submissions concerning security led me to the conclusion that </w:t>
      </w:r>
      <w:r w:rsidRPr="00924038">
        <w:t xml:space="preserve">if some sensible comparison was going to be performed, </w:t>
      </w:r>
      <w:r w:rsidR="00E937AC" w:rsidRPr="00924038">
        <w:t xml:space="preserve">there needed to be more clarity about what was proposed by way of security and the </w:t>
      </w:r>
      <w:r w:rsidRPr="00924038">
        <w:t>quantum of security</w:t>
      </w:r>
      <w:r w:rsidR="00E937AC" w:rsidRPr="00924038">
        <w:t xml:space="preserve">.  </w:t>
      </w:r>
      <w:r w:rsidR="00381EB6" w:rsidRPr="00924038">
        <w:t xml:space="preserve">This requires reflection on security for costs in the context of proceedings of this type.  </w:t>
      </w:r>
    </w:p>
    <w:p w:rsidR="00851AD4" w:rsidRDefault="00A94936" w:rsidP="00071A89">
      <w:pPr>
        <w:pStyle w:val="ParaNumbering"/>
      </w:pPr>
      <w:r w:rsidRPr="00924038">
        <w:t xml:space="preserve">If one looks at </w:t>
      </w:r>
      <w:r w:rsidR="00247EEC">
        <w:t>a</w:t>
      </w:r>
      <w:r w:rsidRPr="00924038">
        <w:t xml:space="preserve"> selection of cases</w:t>
      </w:r>
      <w:r w:rsidR="00247EEC">
        <w:t>,</w:t>
      </w:r>
      <w:r w:rsidRPr="00924038">
        <w:t xml:space="preserve"> such as </w:t>
      </w:r>
      <w:r w:rsidRPr="00924038">
        <w:rPr>
          <w:i/>
        </w:rPr>
        <w:t>Bray v F Hoffman-La Roche Ltd</w:t>
      </w:r>
      <w:r w:rsidRPr="00924038">
        <w:t xml:space="preserve"> [2002] FCA 1405, </w:t>
      </w:r>
      <w:r w:rsidR="00F33490" w:rsidRPr="00924038">
        <w:rPr>
          <w:i/>
        </w:rPr>
        <w:t>Madgwick v Kelly</w:t>
      </w:r>
      <w:r w:rsidR="00F33490" w:rsidRPr="00924038">
        <w:t xml:space="preserve"> [2013] FCAFC 61; (2013) 212 FCR 1</w:t>
      </w:r>
      <w:r w:rsidRPr="00924038">
        <w:t xml:space="preserve">, </w:t>
      </w:r>
      <w:r w:rsidRPr="00924038">
        <w:rPr>
          <w:i/>
        </w:rPr>
        <w:t>De Jong v Carnival PLC (No</w:t>
      </w:r>
      <w:r w:rsidR="00F7237D" w:rsidRPr="00924038">
        <w:rPr>
          <w:i/>
        </w:rPr>
        <w:t> </w:t>
      </w:r>
      <w:r w:rsidRPr="00924038">
        <w:rPr>
          <w:i/>
        </w:rPr>
        <w:t xml:space="preserve">3) </w:t>
      </w:r>
      <w:r w:rsidRPr="00924038">
        <w:t xml:space="preserve">[2016] NSWSC 1461, </w:t>
      </w:r>
      <w:r w:rsidR="005C53B8" w:rsidRPr="00924038">
        <w:rPr>
          <w:i/>
        </w:rPr>
        <w:t>Kelly v Willmott Forests Ltd (in liquidation) (No 2)</w:t>
      </w:r>
      <w:r w:rsidR="005C53B8" w:rsidRPr="00924038">
        <w:t xml:space="preserve"> [2013] FCA 732</w:t>
      </w:r>
      <w:r w:rsidRPr="00924038">
        <w:t xml:space="preserve"> and </w:t>
      </w:r>
      <w:r w:rsidRPr="00924038">
        <w:rPr>
          <w:i/>
        </w:rPr>
        <w:t>Capic v Ford Motor Company (No 2)</w:t>
      </w:r>
      <w:r w:rsidRPr="00924038">
        <w:t xml:space="preserve"> [2016] FCA 1178, one can see the difficulties that can arise about </w:t>
      </w:r>
      <w:r w:rsidR="00381EB6" w:rsidRPr="00924038">
        <w:t xml:space="preserve">the </w:t>
      </w:r>
      <w:r w:rsidRPr="00924038">
        <w:t>circumstances in which security for costs will be ordered in relation to unfunded class actions</w:t>
      </w:r>
      <w:r w:rsidR="00247EEC">
        <w:t>.  Fo</w:t>
      </w:r>
      <w:r w:rsidR="00851AD4">
        <w:t xml:space="preserve">r a very recent detailed discussion see Professor Vince Morabito and Naomi Hatcher, “Security for Costs in Unfunded Federal Class Actions: Back to the Future” (2018) 92 </w:t>
      </w:r>
      <w:r w:rsidR="00247EEC" w:rsidRPr="00247EEC">
        <w:rPr>
          <w:i/>
        </w:rPr>
        <w:t>Australian Law Journal</w:t>
      </w:r>
      <w:r w:rsidR="00851AD4">
        <w:t xml:space="preserve"> 105</w:t>
      </w:r>
      <w:r w:rsidRPr="00924038">
        <w:t xml:space="preserve">.  </w:t>
      </w:r>
    </w:p>
    <w:p w:rsidR="00A94936" w:rsidRPr="00924038" w:rsidRDefault="00A94936" w:rsidP="00A94936">
      <w:pPr>
        <w:pStyle w:val="ParaNumbering"/>
      </w:pPr>
      <w:r w:rsidRPr="00924038">
        <w:t>No such difficulties arise in the case of funded class actions.  It is accepted that in the event that funders are using the processes of the Court in order to procure a commercial benefit</w:t>
      </w:r>
      <w:r w:rsidR="00381EB6" w:rsidRPr="00924038">
        <w:t>,</w:t>
      </w:r>
      <w:r w:rsidRPr="00924038">
        <w:t xml:space="preserve"> a </w:t>
      </w:r>
      <w:r w:rsidRPr="00924038">
        <w:rPr>
          <w:i/>
        </w:rPr>
        <w:t>sine qua non</w:t>
      </w:r>
      <w:r w:rsidR="00381EB6" w:rsidRPr="00924038">
        <w:t xml:space="preserve"> of th</w:t>
      </w:r>
      <w:r w:rsidRPr="00924038">
        <w:t xml:space="preserve">is </w:t>
      </w:r>
      <w:r w:rsidR="00381EB6" w:rsidRPr="00924038">
        <w:t xml:space="preserve">is </w:t>
      </w:r>
      <w:r w:rsidRPr="00924038">
        <w:t>the provision of adequate security.  It has been commonplace</w:t>
      </w:r>
      <w:r w:rsidR="00247EEC">
        <w:t>,</w:t>
      </w:r>
      <w:r w:rsidRPr="00924038">
        <w:t xml:space="preserve"> where litigation has been funded by a listed domestic funding entity, for a deed poll to be provided accepting direct liability to the respondent in the event a costs order is made engaging a liability under the indemnity.  That </w:t>
      </w:r>
      <w:r w:rsidR="00381EB6" w:rsidRPr="00924038">
        <w:t xml:space="preserve">pragmatic </w:t>
      </w:r>
      <w:r w:rsidRPr="00924038">
        <w:t xml:space="preserve">solution </w:t>
      </w:r>
      <w:r w:rsidR="00381EB6" w:rsidRPr="00924038">
        <w:t xml:space="preserve">has been </w:t>
      </w:r>
      <w:r w:rsidRPr="00924038">
        <w:t>adopted by some respondents</w:t>
      </w:r>
      <w:r w:rsidR="00381EB6" w:rsidRPr="00924038">
        <w:t>,</w:t>
      </w:r>
      <w:r w:rsidRPr="00924038">
        <w:t xml:space="preserve"> but ultimately the respondent is entitled to have comfort that </w:t>
      </w:r>
      <w:r w:rsidR="00381EB6" w:rsidRPr="00924038">
        <w:t xml:space="preserve">any </w:t>
      </w:r>
      <w:r w:rsidRPr="00924038">
        <w:t>adverse costs will be paid</w:t>
      </w:r>
      <w:r w:rsidR="002A4D1F" w:rsidRPr="00924038">
        <w:t xml:space="preserve"> if ordered</w:t>
      </w:r>
      <w:r w:rsidRPr="00924038">
        <w:t xml:space="preserve">.  </w:t>
      </w:r>
    </w:p>
    <w:p w:rsidR="00851AD4" w:rsidRDefault="00A94936" w:rsidP="00A94936">
      <w:pPr>
        <w:pStyle w:val="ParaNumbering"/>
      </w:pPr>
      <w:r w:rsidRPr="00924038">
        <w:t>All applications for security for costs involve a balancing of interests between protecting the respondent against liability for costs on the one hand</w:t>
      </w:r>
      <w:r w:rsidR="00381EB6" w:rsidRPr="00924038">
        <w:t>,</w:t>
      </w:r>
      <w:r w:rsidR="00247EEC">
        <w:t xml:space="preserve"> with the prospect</w:t>
      </w:r>
      <w:r w:rsidRPr="00924038">
        <w:t xml:space="preserve"> of stultifying or impeding a legitimate claim on the other.  In the context of </w:t>
      </w:r>
      <w:r w:rsidR="00381EB6" w:rsidRPr="00924038">
        <w:t xml:space="preserve">a </w:t>
      </w:r>
      <w:r w:rsidRPr="00924038">
        <w:t>funded class action</w:t>
      </w:r>
      <w:r w:rsidR="00381EB6" w:rsidRPr="00924038">
        <w:t>,</w:t>
      </w:r>
      <w:r w:rsidRPr="00924038">
        <w:t xml:space="preserve"> a further discretionary element intrudes.  That is balancing the protection of the respondent against the cost of providing adequate security which</w:t>
      </w:r>
      <w:r w:rsidR="00851AD4">
        <w:t>, in cases which settle or are otherwise resolved favourably to the group members,</w:t>
      </w:r>
      <w:r w:rsidRPr="00924038">
        <w:t xml:space="preserve"> will ultimately </w:t>
      </w:r>
      <w:r w:rsidR="00381EB6" w:rsidRPr="00924038">
        <w:t xml:space="preserve">be borne by </w:t>
      </w:r>
      <w:r w:rsidR="00851AD4">
        <w:t>them</w:t>
      </w:r>
      <w:r w:rsidRPr="00924038">
        <w:t>, in most ca</w:t>
      </w:r>
      <w:r w:rsidR="00851AD4">
        <w:t xml:space="preserve">ses, indirectly through payments </w:t>
      </w:r>
      <w:r w:rsidRPr="00924038">
        <w:t>to the funder</w:t>
      </w:r>
      <w:r w:rsidR="00851AD4">
        <w:t xml:space="preserve"> of an amount pursuant to an approved settlement scheme</w:t>
      </w:r>
      <w:r w:rsidRPr="00924038">
        <w:t xml:space="preserve">.  </w:t>
      </w:r>
    </w:p>
    <w:p w:rsidR="00381EB6" w:rsidRPr="00924038" w:rsidRDefault="00A94936" w:rsidP="00DF7BAA">
      <w:pPr>
        <w:pStyle w:val="ParaNumbering"/>
      </w:pPr>
      <w:r w:rsidRPr="00924038">
        <w:lastRenderedPageBreak/>
        <w:t xml:space="preserve">I say </w:t>
      </w:r>
      <w:r w:rsidR="00851AD4">
        <w:t>in most cases this occurs indirectly</w:t>
      </w:r>
      <w:r w:rsidR="007839EA">
        <w:t>,</w:t>
      </w:r>
      <w:r w:rsidR="00851AD4">
        <w:t xml:space="preserve"> because the cost of sec</w:t>
      </w:r>
      <w:r w:rsidR="007839EA">
        <w:t>urity</w:t>
      </w:r>
      <w:r w:rsidR="00851AD4">
        <w:t xml:space="preserve"> is </w:t>
      </w:r>
      <w:r w:rsidR="007839EA">
        <w:t>usually ‘</w:t>
      </w:r>
      <w:r w:rsidR="00851AD4">
        <w:t>absorbed</w:t>
      </w:r>
      <w:r w:rsidR="007839EA">
        <w:t>’</w:t>
      </w:r>
      <w:r w:rsidR="00851AD4">
        <w:t xml:space="preserve"> as a cost of doing business by the funder</w:t>
      </w:r>
      <w:r w:rsidR="007839EA">
        <w:t xml:space="preserve"> and is, in this sense, incorporated in the consideration ultimately paid to the funder (or more accurately, absorbed in the value of the promises extracted from group members to pay an amount to a funder upon any successful resolution)</w:t>
      </w:r>
      <w:r w:rsidR="00851AD4">
        <w:t>.</w:t>
      </w:r>
      <w:r w:rsidR="007839EA">
        <w:t xml:space="preserve">  That cost may be incurred in a number of ways</w:t>
      </w:r>
      <w:r w:rsidR="00247EEC">
        <w:t>,</w:t>
      </w:r>
      <w:r w:rsidR="007839EA">
        <w:t xml:space="preserve"> including the deprivation of the use of funds placed on a cash deposit or the cost associated with</w:t>
      </w:r>
      <w:r w:rsidRPr="00924038">
        <w:t xml:space="preserve"> a funder </w:t>
      </w:r>
      <w:r w:rsidR="007839EA">
        <w:t xml:space="preserve">taking </w:t>
      </w:r>
      <w:r w:rsidRPr="00924038">
        <w:t xml:space="preserve">out </w:t>
      </w:r>
      <w:r w:rsidR="00333134" w:rsidRPr="00924038">
        <w:t xml:space="preserve">an </w:t>
      </w:r>
      <w:r w:rsidRPr="00924038">
        <w:t xml:space="preserve">ATE policy to cover its liability for adverse costs under the indemnity the funder has provided.  </w:t>
      </w:r>
      <w:r w:rsidR="007839EA">
        <w:t xml:space="preserve">Although I am aware of </w:t>
      </w:r>
      <w:r w:rsidRPr="00924038">
        <w:t xml:space="preserve">cases </w:t>
      </w:r>
      <w:r w:rsidR="007839EA">
        <w:t>where the premium for an</w:t>
      </w:r>
      <w:r w:rsidRPr="00924038">
        <w:t xml:space="preserve"> ATE p</w:t>
      </w:r>
      <w:r w:rsidR="007839EA">
        <w:t>olicy is ‘absorbed’ in the sense explained, t</w:t>
      </w:r>
      <w:r w:rsidRPr="00924038">
        <w:t xml:space="preserve">here have been cases where the funder has attempted to recover the ATE premium in addition to obtaining a funding commission: see </w:t>
      </w:r>
      <w:r w:rsidR="005C53B8" w:rsidRPr="00924038">
        <w:rPr>
          <w:i/>
        </w:rPr>
        <w:t>Kelly v Willmott Forests Ltd (in liquidation) (No 4)</w:t>
      </w:r>
      <w:r w:rsidR="005C53B8" w:rsidRPr="00924038">
        <w:t xml:space="preserve"> [2016] FCA 323; (2016) 335 ALR 439</w:t>
      </w:r>
      <w:r w:rsidRPr="00924038">
        <w:t xml:space="preserve"> at </w:t>
      </w:r>
      <w:r w:rsidR="005C53B8" w:rsidRPr="00924038">
        <w:t xml:space="preserve">461 </w:t>
      </w:r>
      <w:r w:rsidRPr="00924038">
        <w:t xml:space="preserve">[105] </w:t>
      </w:r>
      <w:r w:rsidR="00DF7BAA">
        <w:t xml:space="preserve">per Murphy J </w:t>
      </w:r>
      <w:r w:rsidRPr="00924038">
        <w:t xml:space="preserve">and </w:t>
      </w:r>
      <w:r w:rsidR="005C53B8" w:rsidRPr="00924038">
        <w:rPr>
          <w:i/>
        </w:rPr>
        <w:t>Hardy v Reckitt Benckiser (Australia) Pty Limited (No 3)</w:t>
      </w:r>
      <w:r w:rsidR="005C53B8" w:rsidRPr="00924038">
        <w:t xml:space="preserve"> [2017] FCA 1165</w:t>
      </w:r>
      <w:r w:rsidRPr="00924038">
        <w:t xml:space="preserve"> at [13]</w:t>
      </w:r>
      <w:r w:rsidR="005C53B8" w:rsidRPr="00924038">
        <w:t>-</w:t>
      </w:r>
      <w:r w:rsidRPr="00924038">
        <w:t>[15]</w:t>
      </w:r>
      <w:r w:rsidR="00DF7BAA">
        <w:t xml:space="preserve"> per </w:t>
      </w:r>
      <w:r w:rsidR="00DF7BAA" w:rsidRPr="00DF7BAA">
        <w:t>N</w:t>
      </w:r>
      <w:r w:rsidR="00DF7BAA">
        <w:t xml:space="preserve">icholas </w:t>
      </w:r>
      <w:r w:rsidR="00DF7BAA" w:rsidRPr="00DF7BAA">
        <w:t>J</w:t>
      </w:r>
      <w:r w:rsidRPr="00924038">
        <w:t xml:space="preserve">.  </w:t>
      </w:r>
    </w:p>
    <w:p w:rsidR="00A61D66" w:rsidRPr="00924038" w:rsidRDefault="00381EB6" w:rsidP="00A94936">
      <w:pPr>
        <w:pStyle w:val="ParaNumbering"/>
      </w:pPr>
      <w:r w:rsidRPr="00924038">
        <w:t>I pause to remark that t</w:t>
      </w:r>
      <w:r w:rsidR="00A94936" w:rsidRPr="00924038">
        <w:t>his is a</w:t>
      </w:r>
      <w:r w:rsidRPr="00924038">
        <w:t xml:space="preserve">n illustration </w:t>
      </w:r>
      <w:r w:rsidR="00A94936" w:rsidRPr="00924038">
        <w:t xml:space="preserve">of the superficiality of comparing </w:t>
      </w:r>
      <w:r w:rsidR="00247EEC">
        <w:t>‘</w:t>
      </w:r>
      <w:r w:rsidR="00A94936" w:rsidRPr="00924038">
        <w:t>headline</w:t>
      </w:r>
      <w:r w:rsidR="00247EEC">
        <w:t>’</w:t>
      </w:r>
      <w:r w:rsidR="00A94936" w:rsidRPr="00924038">
        <w:t xml:space="preserve"> funding rates</w:t>
      </w:r>
      <w:r w:rsidR="00247EEC">
        <w:t>;</w:t>
      </w:r>
      <w:r w:rsidR="00A94936" w:rsidRPr="00924038">
        <w:t xml:space="preserve"> </w:t>
      </w:r>
      <w:r w:rsidR="007F6216">
        <w:t xml:space="preserve">it all depends </w:t>
      </w:r>
      <w:r w:rsidR="00247EEC">
        <w:t xml:space="preserve">on </w:t>
      </w:r>
      <w:r w:rsidR="007F6216">
        <w:t>whether</w:t>
      </w:r>
      <w:r w:rsidRPr="00924038">
        <w:t xml:space="preserve"> </w:t>
      </w:r>
      <w:r w:rsidR="007F6216">
        <w:t>expenses (such as an ATE premium) are</w:t>
      </w:r>
      <w:r w:rsidR="00A94936" w:rsidRPr="00924038">
        <w:t xml:space="preserve"> </w:t>
      </w:r>
      <w:r w:rsidRPr="00924038">
        <w:t xml:space="preserve">separately identified and </w:t>
      </w:r>
      <w:r w:rsidR="00A94936" w:rsidRPr="00924038">
        <w:t xml:space="preserve">passed on </w:t>
      </w:r>
      <w:r w:rsidR="007F6216">
        <w:t xml:space="preserve">directly </w:t>
      </w:r>
      <w:r w:rsidR="00A94936" w:rsidRPr="00924038">
        <w:t>to group members</w:t>
      </w:r>
      <w:r w:rsidR="007F6216">
        <w:t xml:space="preserve"> or ‘absorbed’ and passed on indirectly</w:t>
      </w:r>
      <w:r w:rsidRPr="00924038">
        <w:t xml:space="preserve">.  </w:t>
      </w:r>
      <w:r w:rsidR="00A94936" w:rsidRPr="00924038">
        <w:t xml:space="preserve">Certainly for the process of </w:t>
      </w:r>
      <w:r w:rsidR="00A61D66" w:rsidRPr="00924038">
        <w:t>any comparative analysis (or in</w:t>
      </w:r>
      <w:r w:rsidR="007F6216">
        <w:t xml:space="preserve">cidentally </w:t>
      </w:r>
      <w:r w:rsidR="00A61D66" w:rsidRPr="00924038">
        <w:t xml:space="preserve">in </w:t>
      </w:r>
      <w:r w:rsidR="00A94936" w:rsidRPr="00924038">
        <w:t xml:space="preserve">considering the </w:t>
      </w:r>
      <w:r w:rsidR="00A61D66" w:rsidRPr="00924038">
        <w:t xml:space="preserve">reasonableness of the </w:t>
      </w:r>
      <w:r w:rsidR="00A94936" w:rsidRPr="00924038">
        <w:t xml:space="preserve">total amount to be paid to a funder in the context of </w:t>
      </w:r>
      <w:proofErr w:type="gramStart"/>
      <w:r w:rsidR="00A94936" w:rsidRPr="00924038">
        <w:t>a</w:t>
      </w:r>
      <w:proofErr w:type="gramEnd"/>
      <w:r w:rsidR="00A94936" w:rsidRPr="00924038">
        <w:t xml:space="preserve"> s 33V application</w:t>
      </w:r>
      <w:r w:rsidR="00A61D66" w:rsidRPr="00924038">
        <w:t xml:space="preserve">), it is the </w:t>
      </w:r>
      <w:r w:rsidR="00A61D66" w:rsidRPr="007F6216">
        <w:rPr>
          <w:i/>
        </w:rPr>
        <w:t>aggregate</w:t>
      </w:r>
      <w:r w:rsidR="00A61D66" w:rsidRPr="00924038">
        <w:t xml:space="preserve"> amount to be paid to the funder</w:t>
      </w:r>
      <w:r w:rsidR="007F6216">
        <w:t>, including miscellaneous items such as ‘management fees’, that is relevant</w:t>
      </w:r>
      <w:r w:rsidR="002A4D1F" w:rsidRPr="00924038">
        <w:t>.</w:t>
      </w:r>
    </w:p>
    <w:p w:rsidR="00A94936" w:rsidRPr="00924038" w:rsidRDefault="00A94936" w:rsidP="00DF7BAA">
      <w:pPr>
        <w:pStyle w:val="ParaNumbering"/>
      </w:pPr>
      <w:r w:rsidRPr="00924038">
        <w:t xml:space="preserve">There are no </w:t>
      </w:r>
      <w:r w:rsidRPr="00924038">
        <w:rPr>
          <w:i/>
        </w:rPr>
        <w:t xml:space="preserve">a priori </w:t>
      </w:r>
      <w:r w:rsidRPr="00924038">
        <w:t>rules in relation to the mode by which security is to be provided</w:t>
      </w:r>
      <w:r w:rsidR="00A61D66" w:rsidRPr="00924038">
        <w:t>.  Although</w:t>
      </w:r>
      <w:r w:rsidRPr="00924038">
        <w:t xml:space="preserve"> it is understandable that GetSwift would be attracted to the notion of a cash deposit</w:t>
      </w:r>
      <w:r w:rsidR="00A61D66" w:rsidRPr="00924038">
        <w:t>,</w:t>
      </w:r>
      <w:r w:rsidRPr="00924038">
        <w:t xml:space="preserve"> the principled</w:t>
      </w:r>
      <w:r w:rsidR="00A61D66" w:rsidRPr="00924038">
        <w:t xml:space="preserve"> approach is that as long as a</w:t>
      </w:r>
      <w:r w:rsidRPr="00924038">
        <w:t xml:space="preserve"> res</w:t>
      </w:r>
      <w:r w:rsidR="00A61D66" w:rsidRPr="00924038">
        <w:t xml:space="preserve">pondent has adequate protection, </w:t>
      </w:r>
      <w:r w:rsidRPr="00924038">
        <w:t xml:space="preserve">security should be given in a way which is the least disadvantageous to the party giving the security: </w:t>
      </w:r>
      <w:r w:rsidRPr="00924038">
        <w:rPr>
          <w:i/>
        </w:rPr>
        <w:t>Rosengrens L</w:t>
      </w:r>
      <w:r w:rsidR="00DF7BAA">
        <w:rPr>
          <w:i/>
        </w:rPr>
        <w:t>imi</w:t>
      </w:r>
      <w:r w:rsidRPr="00924038">
        <w:rPr>
          <w:i/>
        </w:rPr>
        <w:t>t</w:t>
      </w:r>
      <w:r w:rsidR="00DF7BAA">
        <w:rPr>
          <w:i/>
        </w:rPr>
        <w:t>e</w:t>
      </w:r>
      <w:r w:rsidRPr="00924038">
        <w:rPr>
          <w:i/>
        </w:rPr>
        <w:t>d v Safe Deposit Centres L</w:t>
      </w:r>
      <w:r w:rsidR="00DF7BAA">
        <w:rPr>
          <w:i/>
        </w:rPr>
        <w:t>imi</w:t>
      </w:r>
      <w:r w:rsidRPr="00924038">
        <w:rPr>
          <w:i/>
        </w:rPr>
        <w:t>t</w:t>
      </w:r>
      <w:r w:rsidR="00DF7BAA">
        <w:rPr>
          <w:i/>
        </w:rPr>
        <w:t>e</w:t>
      </w:r>
      <w:r w:rsidRPr="00924038">
        <w:rPr>
          <w:i/>
        </w:rPr>
        <w:t xml:space="preserve">d </w:t>
      </w:r>
      <w:r w:rsidRPr="00924038">
        <w:t>[1984] 3 All ER 198 at 200</w:t>
      </w:r>
      <w:r w:rsidR="00A61D66" w:rsidRPr="00924038">
        <w:rPr>
          <w:szCs w:val="24"/>
        </w:rPr>
        <w:t xml:space="preserve">; </w:t>
      </w:r>
      <w:r w:rsidR="00A61D66" w:rsidRPr="00924038">
        <w:rPr>
          <w:bCs/>
          <w:i/>
          <w:iCs/>
          <w:szCs w:val="24"/>
        </w:rPr>
        <w:t>Blue Oil Energy Pty Limited v Tan</w:t>
      </w:r>
      <w:r w:rsidR="00A61D66" w:rsidRPr="00924038">
        <w:rPr>
          <w:szCs w:val="24"/>
        </w:rPr>
        <w:t xml:space="preserve"> [2014] NSWCA 81 </w:t>
      </w:r>
      <w:r w:rsidR="00247EEC">
        <w:rPr>
          <w:szCs w:val="24"/>
        </w:rPr>
        <w:t xml:space="preserve">at </w:t>
      </w:r>
      <w:r w:rsidR="00A61D66" w:rsidRPr="00924038">
        <w:rPr>
          <w:szCs w:val="24"/>
        </w:rPr>
        <w:t>[21</w:t>
      </w:r>
      <w:proofErr w:type="gramStart"/>
      <w:r w:rsidR="00A61D66" w:rsidRPr="00924038">
        <w:rPr>
          <w:szCs w:val="24"/>
        </w:rPr>
        <w:t>]</w:t>
      </w:r>
      <w:r w:rsidR="00A61D66" w:rsidRPr="00924038">
        <w:rPr>
          <w:szCs w:val="24"/>
        </w:rPr>
        <w:noBreakHyphen/>
      </w:r>
      <w:proofErr w:type="gramEnd"/>
      <w:r w:rsidR="00A61D66" w:rsidRPr="00924038">
        <w:rPr>
          <w:szCs w:val="24"/>
        </w:rPr>
        <w:t>[23]</w:t>
      </w:r>
      <w:r w:rsidR="00DF7BAA">
        <w:rPr>
          <w:szCs w:val="24"/>
        </w:rPr>
        <w:t xml:space="preserve"> (</w:t>
      </w:r>
      <w:r w:rsidR="00DF7BAA" w:rsidRPr="00DF7BAA">
        <w:rPr>
          <w:szCs w:val="24"/>
        </w:rPr>
        <w:t>Beazley P</w:t>
      </w:r>
      <w:r w:rsidR="00DF7BAA">
        <w:rPr>
          <w:szCs w:val="24"/>
        </w:rPr>
        <w:t xml:space="preserve"> and</w:t>
      </w:r>
      <w:r w:rsidR="00DF7BAA" w:rsidRPr="00DF7BAA">
        <w:rPr>
          <w:szCs w:val="24"/>
        </w:rPr>
        <w:t xml:space="preserve"> Tobias AJA</w:t>
      </w:r>
      <w:r w:rsidR="00DF7BAA">
        <w:rPr>
          <w:szCs w:val="24"/>
        </w:rPr>
        <w:t>)</w:t>
      </w:r>
      <w:r w:rsidRPr="00924038">
        <w:rPr>
          <w:szCs w:val="24"/>
        </w:rPr>
        <w:t>.  In the context of class actions</w:t>
      </w:r>
      <w:r w:rsidR="00A61D66" w:rsidRPr="00924038">
        <w:rPr>
          <w:szCs w:val="24"/>
        </w:rPr>
        <w:t>,</w:t>
      </w:r>
      <w:r w:rsidRPr="00924038">
        <w:t xml:space="preserve"> I would add </w:t>
      </w:r>
      <w:r w:rsidR="00A61D66" w:rsidRPr="00924038">
        <w:t xml:space="preserve">that security </w:t>
      </w:r>
      <w:r w:rsidRPr="00924038">
        <w:t xml:space="preserve">should be provided in a way that is the least disadvantageous to </w:t>
      </w:r>
      <w:r w:rsidR="005537E4">
        <w:t>group</w:t>
      </w:r>
      <w:r w:rsidRPr="00924038">
        <w:t xml:space="preserve"> me</w:t>
      </w:r>
      <w:r w:rsidR="00A61D66" w:rsidRPr="00924038">
        <w:t>mbers who will, albeit often</w:t>
      </w:r>
      <w:r w:rsidRPr="00924038">
        <w:t xml:space="preserve"> indirectly, </w:t>
      </w:r>
      <w:r w:rsidR="007F6216">
        <w:t xml:space="preserve">likely </w:t>
      </w:r>
      <w:r w:rsidRPr="00924038">
        <w:t>bear the ultimate cost of the provision of security.  In this regard</w:t>
      </w:r>
      <w:r w:rsidR="00A61D66" w:rsidRPr="00924038">
        <w:t>,</w:t>
      </w:r>
      <w:r w:rsidRPr="00924038">
        <w:t xml:space="preserve"> the party proposing security bears an evidentiary and persuasive onus of satisfying </w:t>
      </w:r>
      <w:r w:rsidR="005537E4">
        <w:t xml:space="preserve">the Court </w:t>
      </w:r>
      <w:r w:rsidRPr="00924038">
        <w:t xml:space="preserve">that the form contended for does not impose an unacceptable disadvantage on a respondent: see </w:t>
      </w:r>
      <w:r w:rsidRPr="00924038">
        <w:rPr>
          <w:i/>
        </w:rPr>
        <w:t xml:space="preserve">DIF III Global Co-Investment Fund, LP v BBLP LLC </w:t>
      </w:r>
      <w:r w:rsidRPr="00924038">
        <w:t>[2016] VSC 401 at [39]</w:t>
      </w:r>
      <w:r w:rsidR="00FD2724">
        <w:t xml:space="preserve"> per </w:t>
      </w:r>
      <w:r w:rsidR="00FD2724" w:rsidRPr="00FD2724">
        <w:t>H</w:t>
      </w:r>
      <w:r w:rsidR="00FD2724">
        <w:t xml:space="preserve">argrave </w:t>
      </w:r>
      <w:r w:rsidR="00FD2724" w:rsidRPr="00FD2724">
        <w:t>J</w:t>
      </w:r>
      <w:r w:rsidRPr="00924038">
        <w:t xml:space="preserve">.  </w:t>
      </w:r>
    </w:p>
    <w:p w:rsidR="00BB40A4" w:rsidRPr="00924038" w:rsidRDefault="00A94936" w:rsidP="00A94936">
      <w:pPr>
        <w:pStyle w:val="ParaNumbering"/>
      </w:pPr>
      <w:r w:rsidRPr="00924038">
        <w:lastRenderedPageBreak/>
        <w:t>On these applications I have not been provided with the proposed terms of any ATE policy.  Whether an ATE policy is u</w:t>
      </w:r>
      <w:r w:rsidR="0059623B" w:rsidRPr="00924038">
        <w:t xml:space="preserve">ltimately provided </w:t>
      </w:r>
      <w:r w:rsidRPr="00924038">
        <w:t>which will be adequate</w:t>
      </w:r>
      <w:r w:rsidR="007F6216">
        <w:t>,</w:t>
      </w:r>
      <w:r w:rsidRPr="00924038">
        <w:t xml:space="preserve"> </w:t>
      </w:r>
      <w:r w:rsidR="0059623B" w:rsidRPr="00924038">
        <w:t>remains to be seen.  What can be said is that in a</w:t>
      </w:r>
      <w:r w:rsidR="007F6216">
        <w:t xml:space="preserve">ssessing </w:t>
      </w:r>
      <w:r w:rsidR="0059623B" w:rsidRPr="00924038">
        <w:t xml:space="preserve">any such proposal it will be critical to analyse precisely what is </w:t>
      </w:r>
      <w:r w:rsidR="00BB40A4" w:rsidRPr="00924038">
        <w:t>proposed in ascertaining</w:t>
      </w:r>
      <w:r w:rsidRPr="00924038">
        <w:t xml:space="preserve"> whether a particular policy (backed by a deed poll creating a direct liability between the insurer and the respondent)</w:t>
      </w:r>
      <w:r w:rsidR="007F6216">
        <w:t xml:space="preserve"> is adequate</w:t>
      </w:r>
      <w:r w:rsidRPr="00924038">
        <w:t xml:space="preserve">. </w:t>
      </w:r>
      <w:r w:rsidR="007F6216">
        <w:t xml:space="preserve"> In making this comment I am </w:t>
      </w:r>
      <w:r w:rsidRPr="00924038">
        <w:t xml:space="preserve">aware of the observations of Yates J in </w:t>
      </w:r>
      <w:r w:rsidR="005C53B8" w:rsidRPr="00924038">
        <w:rPr>
          <w:i/>
        </w:rPr>
        <w:t>Peters</w:t>
      </w:r>
      <w:r w:rsidR="00E30400" w:rsidRPr="00924038">
        <w:rPr>
          <w:i/>
        </w:rPr>
        <w:t>e</w:t>
      </w:r>
      <w:r w:rsidR="005C53B8" w:rsidRPr="00924038">
        <w:rPr>
          <w:i/>
        </w:rPr>
        <w:t>n Superannuation Fund Pty Ltd v Bank of Queensland Limited</w:t>
      </w:r>
      <w:r w:rsidR="005C53B8" w:rsidRPr="00924038">
        <w:t xml:space="preserve"> [2017] FCA 699</w:t>
      </w:r>
      <w:r w:rsidR="007F6216">
        <w:t xml:space="preserve"> where </w:t>
      </w:r>
      <w:r w:rsidRPr="00924038">
        <w:t>his Honour was persuaded</w:t>
      </w:r>
      <w:r w:rsidR="00BB40A4" w:rsidRPr="00924038">
        <w:t>,</w:t>
      </w:r>
      <w:r w:rsidR="007F6216">
        <w:t xml:space="preserve"> </w:t>
      </w:r>
      <w:r w:rsidRPr="00924038">
        <w:t xml:space="preserve">depending upon the circumstances of a given case, </w:t>
      </w:r>
      <w:r w:rsidR="00302094">
        <w:t>that</w:t>
      </w:r>
      <w:r w:rsidR="007F6216">
        <w:t xml:space="preserve"> </w:t>
      </w:r>
      <w:r w:rsidRPr="00924038">
        <w:t>an appropriate</w:t>
      </w:r>
      <w:r w:rsidR="007F6216">
        <w:t>ly</w:t>
      </w:r>
      <w:r w:rsidRPr="00924038">
        <w:t xml:space="preserve"> worded ATE policy might be capable of providing sufficient security for the costs</w:t>
      </w:r>
      <w:r w:rsidR="005627C6">
        <w:t xml:space="preserve"> of the respondent.  As his Honour explained, whether an ATE policy i</w:t>
      </w:r>
      <w:r w:rsidRPr="00924038">
        <w:t xml:space="preserve">s sufficient </w:t>
      </w:r>
      <w:r w:rsidR="005627C6">
        <w:t>in a given case turns</w:t>
      </w:r>
      <w:r w:rsidRPr="00924038">
        <w:t xml:space="preserve"> on a form of risk assessment.  </w:t>
      </w:r>
      <w:r w:rsidR="007F6216">
        <w:t>Going forward, in this case, a</w:t>
      </w:r>
      <w:r w:rsidRPr="00924038">
        <w:t xml:space="preserve">ny ATE policy </w:t>
      </w:r>
      <w:r w:rsidR="007F6216">
        <w:t xml:space="preserve">security proposal </w:t>
      </w:r>
      <w:r w:rsidRPr="00924038">
        <w:t xml:space="preserve">would need to address the matters referred to in </w:t>
      </w:r>
      <w:r w:rsidRPr="00924038">
        <w:rPr>
          <w:i/>
        </w:rPr>
        <w:t xml:space="preserve">Petersen </w:t>
      </w:r>
      <w:r w:rsidRPr="00924038">
        <w:t>at [107]</w:t>
      </w:r>
      <w:r w:rsidR="005C53B8" w:rsidRPr="00924038">
        <w:t>-</w:t>
      </w:r>
      <w:r w:rsidRPr="00924038">
        <w:t xml:space="preserve">[127].  It is </w:t>
      </w:r>
      <w:r w:rsidR="005627C6">
        <w:t xml:space="preserve">inappropriate for me to form a </w:t>
      </w:r>
      <w:r w:rsidRPr="00924038">
        <w:t xml:space="preserve">view </w:t>
      </w:r>
      <w:r w:rsidR="005627C6">
        <w:t xml:space="preserve">now </w:t>
      </w:r>
      <w:r w:rsidRPr="00924038">
        <w:t xml:space="preserve">on the </w:t>
      </w:r>
      <w:r w:rsidR="007F6216">
        <w:t>mode by</w:t>
      </w:r>
      <w:r w:rsidRPr="00924038">
        <w:t xml:space="preserve"> which security will provided</w:t>
      </w:r>
      <w:r w:rsidR="00BB40A4" w:rsidRPr="00924038">
        <w:t>,</w:t>
      </w:r>
      <w:r w:rsidRPr="00924038">
        <w:t xml:space="preserve"> but </w:t>
      </w:r>
      <w:r w:rsidR="007F6216">
        <w:t>f</w:t>
      </w:r>
      <w:r w:rsidR="005627C6">
        <w:t>or present purposes,</w:t>
      </w:r>
      <w:r w:rsidRPr="00924038">
        <w:t xml:space="preserve"> </w:t>
      </w:r>
      <w:r w:rsidR="005627C6">
        <w:t xml:space="preserve">it is appropriate to proceed on the basis that </w:t>
      </w:r>
      <w:r w:rsidRPr="00924038">
        <w:t>it is by no means certain that it would be necess</w:t>
      </w:r>
      <w:r w:rsidR="00BB40A4" w:rsidRPr="00924038">
        <w:t>ary for cash to be proffered, p</w:t>
      </w:r>
      <w:r w:rsidR="005627C6">
        <w:t>rovided the proposed</w:t>
      </w:r>
      <w:r w:rsidRPr="00924038">
        <w:t xml:space="preserve"> ATE policy </w:t>
      </w:r>
      <w:r w:rsidR="005627C6" w:rsidRPr="00924038">
        <w:t>(coupled with the provision of a deed by the insurer in favour of GetSwift)</w:t>
      </w:r>
      <w:r w:rsidR="005627C6">
        <w:t xml:space="preserve"> </w:t>
      </w:r>
      <w:r w:rsidRPr="00924038">
        <w:t xml:space="preserve">addressed the concerns raised </w:t>
      </w:r>
      <w:r w:rsidR="005627C6">
        <w:t>in</w:t>
      </w:r>
      <w:r w:rsidRPr="00924038">
        <w:t xml:space="preserve"> </w:t>
      </w:r>
      <w:r w:rsidR="00BB40A4" w:rsidRPr="00924038">
        <w:rPr>
          <w:i/>
        </w:rPr>
        <w:t>Petersen</w:t>
      </w:r>
      <w:r w:rsidR="00BB40A4" w:rsidRPr="00924038">
        <w:t xml:space="preserve">.  If any </w:t>
      </w:r>
      <w:r w:rsidR="00D648C8" w:rsidRPr="00924038">
        <w:t>legitimate</w:t>
      </w:r>
      <w:r w:rsidR="00BB40A4" w:rsidRPr="00924038">
        <w:t xml:space="preserve"> concerns </w:t>
      </w:r>
      <w:r w:rsidR="005627C6">
        <w:t xml:space="preserve">of GetSwift </w:t>
      </w:r>
      <w:r w:rsidR="00BB40A4" w:rsidRPr="00924038">
        <w:t xml:space="preserve">were addressed </w:t>
      </w:r>
      <w:r w:rsidR="005627C6">
        <w:t>and such a mode</w:t>
      </w:r>
      <w:r w:rsidRPr="00924038">
        <w:t xml:space="preserve"> provided real advantages to group members by way of cost</w:t>
      </w:r>
      <w:r w:rsidR="00BB40A4" w:rsidRPr="00924038">
        <w:t>,</w:t>
      </w:r>
      <w:r w:rsidRPr="00924038">
        <w:t xml:space="preserve"> then there is no reason why it would not be preferred over a</w:t>
      </w:r>
      <w:r w:rsidR="00D648C8" w:rsidRPr="00924038">
        <w:t xml:space="preserve">nother </w:t>
      </w:r>
      <w:r w:rsidR="00333134" w:rsidRPr="00924038">
        <w:t xml:space="preserve">more expensive </w:t>
      </w:r>
      <w:r w:rsidR="00D648C8" w:rsidRPr="00924038">
        <w:t xml:space="preserve">means of </w:t>
      </w:r>
      <w:r w:rsidRPr="00924038">
        <w:t xml:space="preserve">providing security.  </w:t>
      </w:r>
    </w:p>
    <w:p w:rsidR="00A94936" w:rsidRPr="00924038" w:rsidRDefault="005627C6" w:rsidP="00A94936">
      <w:pPr>
        <w:pStyle w:val="ParaNumbering"/>
      </w:pPr>
      <w:r>
        <w:t>I</w:t>
      </w:r>
      <w:r w:rsidR="00BB40A4" w:rsidRPr="00924038">
        <w:t xml:space="preserve">t </w:t>
      </w:r>
      <w:r w:rsidR="00A94936" w:rsidRPr="00924038">
        <w:t xml:space="preserve">follows </w:t>
      </w:r>
      <w:r w:rsidR="00BB40A4" w:rsidRPr="00924038">
        <w:t xml:space="preserve">from </w:t>
      </w:r>
      <w:r w:rsidR="00A94936" w:rsidRPr="00924038">
        <w:t>t</w:t>
      </w:r>
      <w:r w:rsidR="00BB40A4" w:rsidRPr="00924038">
        <w:t xml:space="preserve">he above that </w:t>
      </w:r>
      <w:r w:rsidR="00A94936" w:rsidRPr="00924038">
        <w:t>i</w:t>
      </w:r>
      <w:r w:rsidR="00BB40A4" w:rsidRPr="00924038">
        <w:t>t is appropriate to approach any</w:t>
      </w:r>
      <w:r w:rsidR="00A94936" w:rsidRPr="00924038">
        <w:t xml:space="preserve"> comparative analysis by reference to the p</w:t>
      </w:r>
      <w:r w:rsidR="00BB40A4" w:rsidRPr="00924038">
        <w:t xml:space="preserve">rospect that </w:t>
      </w:r>
      <w:r w:rsidR="00A94936" w:rsidRPr="00924038">
        <w:t>security</w:t>
      </w:r>
      <w:r w:rsidR="00BB40A4" w:rsidRPr="00924038">
        <w:t xml:space="preserve"> could be provided either by way of </w:t>
      </w:r>
      <w:r w:rsidR="00A94936" w:rsidRPr="00924038">
        <w:t xml:space="preserve">cash </w:t>
      </w:r>
      <w:r w:rsidR="00BB40A4" w:rsidRPr="00924038">
        <w:t xml:space="preserve">or by way </w:t>
      </w:r>
      <w:r w:rsidR="00A94936" w:rsidRPr="00924038">
        <w:t>of ATE policy.</w:t>
      </w:r>
      <w:r>
        <w:t xml:space="preserve">  C</w:t>
      </w:r>
      <w:r w:rsidR="00D648C8" w:rsidRPr="00924038">
        <w:t>onsistent with the submissions made</w:t>
      </w:r>
      <w:r>
        <w:t xml:space="preserve"> and my earlier observations, I consider</w:t>
      </w:r>
      <w:r w:rsidR="00302094">
        <w:t xml:space="preserve"> that</w:t>
      </w:r>
      <w:r>
        <w:t xml:space="preserve"> any of the funders c</w:t>
      </w:r>
      <w:r w:rsidR="00D648C8" w:rsidRPr="00924038">
        <w:t xml:space="preserve">ould </w:t>
      </w:r>
      <w:r>
        <w:t xml:space="preserve">and would </w:t>
      </w:r>
      <w:r w:rsidR="00D648C8" w:rsidRPr="00924038">
        <w:t xml:space="preserve">provide security in either form if ordered – the only </w:t>
      </w:r>
      <w:r>
        <w:t xml:space="preserve">relevant </w:t>
      </w:r>
      <w:r w:rsidR="00D648C8" w:rsidRPr="00924038">
        <w:t>difference is that in the Webb Proceeding</w:t>
      </w:r>
      <w:r>
        <w:t xml:space="preserve">, a cash deposit </w:t>
      </w:r>
      <w:r w:rsidR="00D648C8" w:rsidRPr="00924038">
        <w:t>would make the provision of security significantly more expensive than would otherwis</w:t>
      </w:r>
      <w:r w:rsidR="00D63202" w:rsidRPr="00924038">
        <w:t>e be the case</w:t>
      </w:r>
      <w:r w:rsidR="00D648C8" w:rsidRPr="00924038">
        <w:t xml:space="preserve">. </w:t>
      </w:r>
    </w:p>
    <w:p w:rsidR="00481F0C" w:rsidRPr="00924038" w:rsidRDefault="00481F0C" w:rsidP="00481F0C">
      <w:pPr>
        <w:pStyle w:val="Heading2"/>
      </w:pPr>
      <w:bookmarkStart w:id="59" w:name="_Ref514405628"/>
      <w:r w:rsidRPr="00924038">
        <w:t>F</w:t>
      </w:r>
      <w:r w:rsidR="00905ABC" w:rsidRPr="00924038">
        <w:t>.</w:t>
      </w:r>
      <w:r w:rsidRPr="00924038">
        <w:t>6</w:t>
      </w:r>
      <w:r w:rsidRPr="00924038">
        <w:tab/>
        <w:t>Substantive Merits of Proceedings Generally</w:t>
      </w:r>
      <w:bookmarkEnd w:id="59"/>
    </w:p>
    <w:p w:rsidR="00284F20" w:rsidRPr="00924038" w:rsidRDefault="001B4E57" w:rsidP="00481F0C">
      <w:pPr>
        <w:pStyle w:val="ParaNumbering"/>
      </w:pPr>
      <w:r w:rsidRPr="00924038">
        <w:t xml:space="preserve">I have reviewed the pleadings in the Perera </w:t>
      </w:r>
      <w:r w:rsidR="00001066" w:rsidRPr="00924038">
        <w:t>Proceeding and the McTaggart P</w:t>
      </w:r>
      <w:r w:rsidRPr="00924038">
        <w:t xml:space="preserve">roceeding.  </w:t>
      </w:r>
      <w:r w:rsidR="00001066" w:rsidRPr="00924038">
        <w:t>The McTaggart applicant</w:t>
      </w:r>
      <w:r w:rsidR="00302094">
        <w:t>s</w:t>
      </w:r>
      <w:r w:rsidR="00001066" w:rsidRPr="00924038">
        <w:t xml:space="preserve"> submit that apart from a couple of claims that are </w:t>
      </w:r>
      <w:r w:rsidR="00302094">
        <w:t>‘</w:t>
      </w:r>
      <w:r w:rsidR="00001066" w:rsidRPr="00924038">
        <w:t>unsound</w:t>
      </w:r>
      <w:r w:rsidR="00302094">
        <w:t>’</w:t>
      </w:r>
      <w:r w:rsidR="00001066" w:rsidRPr="00924038">
        <w:t xml:space="preserve">, all the claims made in the </w:t>
      </w:r>
      <w:r w:rsidR="00284F20" w:rsidRPr="00924038">
        <w:t xml:space="preserve">Perera Proceeding are covered in the McTaggart Proceeding </w:t>
      </w:r>
      <w:r w:rsidR="009B062A">
        <w:t xml:space="preserve">and </w:t>
      </w:r>
      <w:r w:rsidR="00284F20" w:rsidRPr="00924038">
        <w:t xml:space="preserve">the McTaggart claims are more comprehensive.  </w:t>
      </w:r>
    </w:p>
    <w:p w:rsidR="00FE17BD" w:rsidRPr="00924038" w:rsidRDefault="00D63202" w:rsidP="00481F0C">
      <w:pPr>
        <w:pStyle w:val="ParaNumbering"/>
      </w:pPr>
      <w:r w:rsidRPr="00924038">
        <w:lastRenderedPageBreak/>
        <w:t>There are</w:t>
      </w:r>
      <w:r w:rsidR="00284F20" w:rsidRPr="00924038">
        <w:t xml:space="preserve"> a few</w:t>
      </w:r>
      <w:r w:rsidRPr="00924038">
        <w:t xml:space="preserve"> differences between the claims</w:t>
      </w:r>
      <w:r w:rsidR="00284F20" w:rsidRPr="00924038">
        <w:t xml:space="preserve"> made.  Much is made of these differences in the submissions</w:t>
      </w:r>
      <w:r w:rsidR="00302094">
        <w:t>-</w:t>
      </w:r>
      <w:r w:rsidR="00284F20" w:rsidRPr="00924038">
        <w:t>in</w:t>
      </w:r>
      <w:r w:rsidR="00302094">
        <w:t>-</w:t>
      </w:r>
      <w:r w:rsidR="00284F20" w:rsidRPr="00924038">
        <w:t>chief filed by the McTaggart applicant</w:t>
      </w:r>
      <w:r w:rsidR="00302094">
        <w:t>s</w:t>
      </w:r>
      <w:r w:rsidR="00284F20" w:rsidRPr="00924038">
        <w:t xml:space="preserve"> noting, for example, the different way that contraventions have been pleaded in relation to various announcements and statements of GetSwift</w:t>
      </w:r>
      <w:r w:rsidR="00FE17BD" w:rsidRPr="00924038">
        <w:t xml:space="preserve"> and pointing to alleged efficiencies in the s 1041E claim made in the Perera Proceeding.  </w:t>
      </w:r>
    </w:p>
    <w:p w:rsidR="00FE17BD" w:rsidRPr="00924038" w:rsidRDefault="00FE17BD" w:rsidP="00481F0C">
      <w:pPr>
        <w:pStyle w:val="ParaNumbering"/>
      </w:pPr>
      <w:r w:rsidRPr="00924038">
        <w:t>In a similar way</w:t>
      </w:r>
      <w:r w:rsidR="00D63202" w:rsidRPr="00924038">
        <w:t>,</w:t>
      </w:r>
      <w:r w:rsidRPr="00924038">
        <w:t xml:space="preserve"> </w:t>
      </w:r>
      <w:r w:rsidR="00302094">
        <w:t>Mr</w:t>
      </w:r>
      <w:r w:rsidRPr="00924038">
        <w:t xml:space="preserve"> Perera makes much of </w:t>
      </w:r>
      <w:r w:rsidR="00302094">
        <w:t>the</w:t>
      </w:r>
      <w:r w:rsidRPr="00924038">
        <w:t xml:space="preserve"> difference </w:t>
      </w:r>
      <w:r w:rsidR="00302094">
        <w:t>in</w:t>
      </w:r>
      <w:r w:rsidRPr="00924038">
        <w:t xml:space="preserve"> how the McTaggart Proceeding approaches the claims against directors when compared to the Perera Proceeding.  In particular, criticism is addressed that an additional director is joined “</w:t>
      </w:r>
      <w:r w:rsidRPr="00302094">
        <w:rPr>
          <w:i/>
        </w:rPr>
        <w:t>simply for numbers it appears, as no different case is pleaded</w:t>
      </w:r>
      <w:r w:rsidRPr="00924038">
        <w:t>” in the McTaggart Proceeding.  It also criticises the approach of suing Mr McDonald for misleading and deceptiv</w:t>
      </w:r>
      <w:r w:rsidR="000C7D3E" w:rsidRPr="00924038">
        <w:t xml:space="preserve">e conduct or s 1041E liability </w:t>
      </w:r>
      <w:r w:rsidRPr="00924038">
        <w:t>and yet omitting a claim of primary liability.</w:t>
      </w:r>
    </w:p>
    <w:p w:rsidR="00994617" w:rsidRPr="00924038" w:rsidRDefault="00994617" w:rsidP="00994617">
      <w:pPr>
        <w:pStyle w:val="ParaNumbering"/>
      </w:pPr>
      <w:r w:rsidRPr="00924038">
        <w:t xml:space="preserve">I made reference above to </w:t>
      </w:r>
      <w:r w:rsidRPr="00924038">
        <w:rPr>
          <w:szCs w:val="24"/>
        </w:rPr>
        <w:t>courts in Canada cautioning against parsing the pleadings finely or overly analysing the respective actions for the purposes of comparison.  The comparative analysis should be directed to scrutinising each for any glaring deficiencies.  This admonition, in my view, makes sense given that the Court</w:t>
      </w:r>
      <w:r w:rsidR="00D53B7E">
        <w:rPr>
          <w:szCs w:val="24"/>
        </w:rPr>
        <w:t>,</w:t>
      </w:r>
      <w:r w:rsidRPr="00924038">
        <w:rPr>
          <w:szCs w:val="24"/>
        </w:rPr>
        <w:t xml:space="preserve"> at an early stage</w:t>
      </w:r>
      <w:r w:rsidR="00D53B7E">
        <w:rPr>
          <w:szCs w:val="24"/>
        </w:rPr>
        <w:t>,</w:t>
      </w:r>
      <w:r w:rsidRPr="00924038">
        <w:rPr>
          <w:szCs w:val="24"/>
        </w:rPr>
        <w:t xml:space="preserve"> will be unlikely to be able to (or should</w:t>
      </w:r>
      <w:r w:rsidR="00D53B7E">
        <w:rPr>
          <w:szCs w:val="24"/>
        </w:rPr>
        <w:t xml:space="preserve"> not</w:t>
      </w:r>
      <w:r w:rsidRPr="00924038">
        <w:rPr>
          <w:szCs w:val="24"/>
        </w:rPr>
        <w:t xml:space="preserve">) make fine judgments on relatively minor differences between the way an essentially similar case is pleaded.  </w:t>
      </w:r>
      <w:r w:rsidR="009B062A">
        <w:rPr>
          <w:szCs w:val="24"/>
        </w:rPr>
        <w:t>Of course, t</w:t>
      </w:r>
      <w:r w:rsidRPr="00924038">
        <w:rPr>
          <w:szCs w:val="24"/>
        </w:rPr>
        <w:t xml:space="preserve">his reticence may not be possible if the case theories are radically different, but again, if both appear plausible, this may be a factor (such as in </w:t>
      </w:r>
      <w:r w:rsidRPr="00924038">
        <w:rPr>
          <w:i/>
        </w:rPr>
        <w:t>Smith v Australian Executor Trustees</w:t>
      </w:r>
      <w:r w:rsidRPr="00924038">
        <w:t xml:space="preserve">) to allow both cases to go forward. </w:t>
      </w:r>
      <w:r w:rsidRPr="00924038">
        <w:rPr>
          <w:szCs w:val="24"/>
        </w:rPr>
        <w:t xml:space="preserve"> What matters is that in the present circumstances, this is something that can be put to one side.</w:t>
      </w:r>
    </w:p>
    <w:p w:rsidR="00FE17BD" w:rsidRPr="00924038" w:rsidRDefault="00FE17BD" w:rsidP="00481F0C">
      <w:pPr>
        <w:pStyle w:val="ParaNumbering"/>
      </w:pPr>
      <w:r w:rsidRPr="00924038">
        <w:t xml:space="preserve">As is submitted by </w:t>
      </w:r>
      <w:r w:rsidR="002D0F07">
        <w:t>Mr</w:t>
      </w:r>
      <w:r w:rsidRPr="00924038">
        <w:t xml:space="preserve"> Perera:</w:t>
      </w:r>
    </w:p>
    <w:p w:rsidR="005149B2" w:rsidRPr="00924038" w:rsidRDefault="005149B2" w:rsidP="005C53B8">
      <w:pPr>
        <w:pStyle w:val="Quote1"/>
      </w:pPr>
      <w:r w:rsidRPr="00924038">
        <w:t>The McTaggart class action does not advance materially different claims to the Perera class action</w:t>
      </w:r>
      <w:r w:rsidR="00D648C8" w:rsidRPr="00924038">
        <w:t>…</w:t>
      </w:r>
    </w:p>
    <w:p w:rsidR="007E1CBB" w:rsidRPr="00924038" w:rsidRDefault="007E1CBB" w:rsidP="005C53B8">
      <w:pPr>
        <w:pStyle w:val="Quote1"/>
      </w:pPr>
      <w:r w:rsidRPr="00924038">
        <w:t>To summarise the similarities:</w:t>
      </w:r>
    </w:p>
    <w:p w:rsidR="007E1CBB" w:rsidRPr="00924038" w:rsidRDefault="007E1CBB" w:rsidP="005C53B8">
      <w:pPr>
        <w:pStyle w:val="Quote2"/>
      </w:pPr>
      <w:r w:rsidRPr="00924038">
        <w:t>(a)</w:t>
      </w:r>
      <w:r w:rsidR="005C53B8" w:rsidRPr="00924038">
        <w:t xml:space="preserve"> </w:t>
      </w:r>
      <w:r w:rsidRPr="00924038">
        <w:t>like the Perera class action, the McTaggart class action pleads that GetSwift engaged in misleading or deceptive conduct in respect of the announcements it made concerning the Fruit Box Contract on 24 February and the CBA Deal on 4 April: McTaggart SOC [37]-[39], [54]-[56]</w:t>
      </w:r>
    </w:p>
    <w:p w:rsidR="007E1CBB" w:rsidRPr="00924038" w:rsidRDefault="007E1CBB" w:rsidP="005C53B8">
      <w:pPr>
        <w:pStyle w:val="Quote2"/>
      </w:pPr>
      <w:r w:rsidRPr="00924038">
        <w:t>(b)</w:t>
      </w:r>
      <w:r w:rsidR="005C53B8" w:rsidRPr="00924038">
        <w:t xml:space="preserve"> </w:t>
      </w:r>
      <w:r w:rsidRPr="00924038">
        <w:t xml:space="preserve">like the Perera class action, the McTaggart class action pleads that GetSwift engaged in misleading or deceptive conduct, and contravened s 1041E of the Corporations Act by reason of all announcements it made concerning the contracts it had entered into, in light of the content of the 28 April 2017 announcement: McTaggart SOC [65], [79], [93], [103], [120], [132]; </w:t>
      </w:r>
    </w:p>
    <w:p w:rsidR="00C64B7F" w:rsidRDefault="007E1CBB" w:rsidP="005C53B8">
      <w:pPr>
        <w:pStyle w:val="Quote2"/>
      </w:pPr>
      <w:r w:rsidRPr="00924038">
        <w:lastRenderedPageBreak/>
        <w:t>(c)</w:t>
      </w:r>
      <w:r w:rsidR="005C53B8" w:rsidRPr="00924038">
        <w:t xml:space="preserve"> </w:t>
      </w:r>
      <w:r w:rsidRPr="00924038">
        <w:t>like the Perera class action, the McTaggart class action pleads that GetSwift misleadingly represented it was in compliance with its continuous disclosure obligations (though it does so by reference to the cleansing notices filed in conjunction with announcing the completion of the two placements: McTaggart SOC [74]-[75], [139]-[141], [155]</w:t>
      </w:r>
    </w:p>
    <w:p w:rsidR="002D0F07" w:rsidRPr="00924038" w:rsidRDefault="002D0F07" w:rsidP="005C53B8">
      <w:pPr>
        <w:pStyle w:val="Quote2"/>
      </w:pPr>
      <w:r>
        <w:t>(Uncorrected)</w:t>
      </w:r>
    </w:p>
    <w:p w:rsidR="0044166B" w:rsidRPr="00924038" w:rsidRDefault="00D648C8" w:rsidP="00C2621F">
      <w:pPr>
        <w:pStyle w:val="ParaNumbering"/>
      </w:pPr>
      <w:r w:rsidRPr="00924038">
        <w:t>Moreover</w:t>
      </w:r>
      <w:r w:rsidR="00C64B7F" w:rsidRPr="00924038">
        <w:t xml:space="preserve">, the relief sought in both proceedings is substantially the same and what might be described as the </w:t>
      </w:r>
      <w:r w:rsidR="002D0F07">
        <w:t>‘</w:t>
      </w:r>
      <w:r w:rsidR="00C64B7F" w:rsidRPr="00924038">
        <w:t>case theory</w:t>
      </w:r>
      <w:r w:rsidR="002D0F07">
        <w:t>’</w:t>
      </w:r>
      <w:r w:rsidR="00C64B7F" w:rsidRPr="00924038">
        <w:t xml:space="preserve"> is also very similar.  It is to be expected</w:t>
      </w:r>
      <w:r w:rsidRPr="00924038">
        <w:t xml:space="preserve"> </w:t>
      </w:r>
      <w:r w:rsidR="00C64B7F" w:rsidRPr="00924038">
        <w:t>that minds will legitimately differ as to the precise way in which a case is pleaded and the emphasis given to one or other aspects of the claim</w:t>
      </w:r>
      <w:r w:rsidRPr="00924038">
        <w:t>, particularly prior to discovery</w:t>
      </w:r>
      <w:r w:rsidR="00C64B7F" w:rsidRPr="00924038">
        <w:t xml:space="preserve">.  </w:t>
      </w:r>
    </w:p>
    <w:p w:rsidR="00C64B7F" w:rsidRPr="00924038" w:rsidRDefault="009B062A" w:rsidP="009B062A">
      <w:pPr>
        <w:pStyle w:val="ParaNumbering"/>
      </w:pPr>
      <w:r>
        <w:t>T</w:t>
      </w:r>
      <w:r w:rsidR="00CA19CB" w:rsidRPr="00924038">
        <w:t xml:space="preserve">he relatively superficial differences between the Perera </w:t>
      </w:r>
      <w:r w:rsidR="00001066" w:rsidRPr="00924038">
        <w:t>P</w:t>
      </w:r>
      <w:r w:rsidR="00CA19CB" w:rsidRPr="00924038">
        <w:t xml:space="preserve">roceeding and the McTaggart </w:t>
      </w:r>
      <w:r w:rsidR="00001066" w:rsidRPr="00924038">
        <w:t>P</w:t>
      </w:r>
      <w:r w:rsidR="00CA19CB" w:rsidRPr="00924038">
        <w:t xml:space="preserve">roceeding are </w:t>
      </w:r>
      <w:r>
        <w:t xml:space="preserve">not </w:t>
      </w:r>
      <w:r w:rsidR="00CA19CB" w:rsidRPr="00924038">
        <w:t xml:space="preserve">of any great moment.  </w:t>
      </w:r>
      <w:r>
        <w:t>Additionally, there is no sensible risk that</w:t>
      </w:r>
      <w:r w:rsidR="002D0F07">
        <w:t>,</w:t>
      </w:r>
      <w:r>
        <w:t xml:space="preserve"> to the extent differences exist, they will persist if developments in the litigation require pleading decisions to be revisited</w:t>
      </w:r>
      <w:proofErr w:type="gramStart"/>
      <w:r>
        <w:t xml:space="preserve">. </w:t>
      </w:r>
      <w:proofErr w:type="gramEnd"/>
      <w:r w:rsidR="00CA19CB" w:rsidRPr="00924038">
        <w:t>Each of the solicitors involved in the case have a contractual duty with the applicant</w:t>
      </w:r>
      <w:r w:rsidR="002D0F07">
        <w:t>s</w:t>
      </w:r>
      <w:r w:rsidR="00CA19CB" w:rsidRPr="00924038">
        <w:t xml:space="preserve"> to conduct the proceeding with reasonable care and </w:t>
      </w:r>
      <w:r w:rsidR="002D0F07">
        <w:t xml:space="preserve">acceptably </w:t>
      </w:r>
      <w:r w:rsidR="00CA19CB" w:rsidRPr="00924038">
        <w:t xml:space="preserve">in accordance with professional standards.  Added to this is the fiduciary obligation </w:t>
      </w:r>
      <w:r>
        <w:t xml:space="preserve">owed </w:t>
      </w:r>
      <w:r w:rsidR="00CA19CB" w:rsidRPr="00924038">
        <w:t>to group members to advance the case in a manner which is not adverse to the</w:t>
      </w:r>
      <w:r>
        <w:t>ir</w:t>
      </w:r>
      <w:r w:rsidR="00CA19CB" w:rsidRPr="00924038">
        <w:t xml:space="preserve"> interests</w:t>
      </w:r>
      <w:r w:rsidR="00457C78" w:rsidRPr="00924038">
        <w:t xml:space="preserve">.  A statutory protection </w:t>
      </w:r>
      <w:r>
        <w:t xml:space="preserve">(s 33T) </w:t>
      </w:r>
      <w:r w:rsidR="00457C78" w:rsidRPr="00924038">
        <w:t xml:space="preserve">allows any group member to approach the Court in the event that they consider the case </w:t>
      </w:r>
      <w:r w:rsidR="002D0F07">
        <w:t>is</w:t>
      </w:r>
      <w:r>
        <w:t xml:space="preserve"> being conducted in</w:t>
      </w:r>
      <w:r w:rsidR="00457C78" w:rsidRPr="00924038">
        <w:t xml:space="preserve"> a way which </w:t>
      </w:r>
      <w:r>
        <w:t xml:space="preserve">fails to </w:t>
      </w:r>
      <w:r w:rsidR="00457C78" w:rsidRPr="00924038">
        <w:t xml:space="preserve">properly advance the interests of </w:t>
      </w:r>
      <w:r>
        <w:t xml:space="preserve">the </w:t>
      </w:r>
      <w:r w:rsidR="002D0F07">
        <w:t>group</w:t>
      </w:r>
      <w:r w:rsidR="00457C78" w:rsidRPr="00924038">
        <w:t xml:space="preserve">.  </w:t>
      </w:r>
      <w:r w:rsidR="000247BE" w:rsidRPr="00924038">
        <w:t xml:space="preserve">Again, </w:t>
      </w:r>
      <w:r w:rsidR="00457C78" w:rsidRPr="00924038">
        <w:t>I mention this not because</w:t>
      </w:r>
      <w:r>
        <w:t xml:space="preserve"> I have any present concern</w:t>
      </w:r>
      <w:r w:rsidR="00457C78" w:rsidRPr="00924038">
        <w:t xml:space="preserve"> the case will be conducted </w:t>
      </w:r>
      <w:r w:rsidR="000C7D3E" w:rsidRPr="00924038">
        <w:t xml:space="preserve">other than </w:t>
      </w:r>
      <w:r w:rsidR="00457C78" w:rsidRPr="00924038">
        <w:t>competently</w:t>
      </w:r>
      <w:r>
        <w:t>,</w:t>
      </w:r>
      <w:r w:rsidR="00457C78" w:rsidRPr="00924038">
        <w:t xml:space="preserve"> but to emphasise that there are p</w:t>
      </w:r>
      <w:r>
        <w:t>rotections if this</w:t>
      </w:r>
      <w:r w:rsidR="00457C78" w:rsidRPr="00924038">
        <w:t xml:space="preserve"> expectation </w:t>
      </w:r>
      <w:r>
        <w:t>proves misplaced</w:t>
      </w:r>
      <w:r w:rsidR="002E1550" w:rsidRPr="00924038">
        <w:t>.</w:t>
      </w:r>
    </w:p>
    <w:p w:rsidR="00481F0C" w:rsidRPr="00924038" w:rsidRDefault="00481F0C" w:rsidP="00481F0C">
      <w:pPr>
        <w:pStyle w:val="Heading2"/>
      </w:pPr>
      <w:bookmarkStart w:id="60" w:name="_Ref514405629"/>
      <w:r w:rsidRPr="00924038">
        <w:t>F</w:t>
      </w:r>
      <w:r w:rsidR="00905ABC" w:rsidRPr="00924038">
        <w:t>.</w:t>
      </w:r>
      <w:r w:rsidRPr="00924038">
        <w:t>7</w:t>
      </w:r>
      <w:r w:rsidRPr="00924038">
        <w:tab/>
        <w:t xml:space="preserve">Substantive Merits of </w:t>
      </w:r>
      <w:r w:rsidR="002D0F07">
        <w:t xml:space="preserve">the </w:t>
      </w:r>
      <w:r w:rsidRPr="00924038">
        <w:t xml:space="preserve">Individual Cases of </w:t>
      </w:r>
      <w:r w:rsidR="002D0F07">
        <w:t xml:space="preserve">the </w:t>
      </w:r>
      <w:r w:rsidRPr="00924038">
        <w:t>Applicants</w:t>
      </w:r>
      <w:bookmarkEnd w:id="60"/>
    </w:p>
    <w:p w:rsidR="000247BE" w:rsidRPr="00924038" w:rsidRDefault="00457C78" w:rsidP="00481F0C">
      <w:pPr>
        <w:pStyle w:val="ParaNumbering"/>
      </w:pPr>
      <w:r w:rsidRPr="00924038">
        <w:t>Detailed submissions were advanced on behalf of the McTaggart applicant</w:t>
      </w:r>
      <w:r w:rsidR="002D0F07">
        <w:t>s</w:t>
      </w:r>
      <w:r w:rsidRPr="00924038">
        <w:t xml:space="preserve"> as to why it was </w:t>
      </w:r>
      <w:r w:rsidR="002D0F07">
        <w:t xml:space="preserve">that </w:t>
      </w:r>
      <w:r w:rsidRPr="00924038">
        <w:t>the individual case</w:t>
      </w:r>
      <w:r w:rsidR="0095152B">
        <w:t>s</w:t>
      </w:r>
      <w:r w:rsidRPr="00924038">
        <w:t xml:space="preserve"> of </w:t>
      </w:r>
      <w:r w:rsidR="003659D8" w:rsidRPr="00924038">
        <w:t>the McTaggart applicants were superior to the case of Mr Perera (which has been pleaded) and the case of Mr Webb (which has not, as yet, been pleaded).  To my mind</w:t>
      </w:r>
      <w:r w:rsidR="002D0F07">
        <w:t>,</w:t>
      </w:r>
      <w:r w:rsidR="003659D8" w:rsidRPr="00924038">
        <w:t xml:space="preserve"> these submissions were rather beside the point.  </w:t>
      </w:r>
      <w:r w:rsidR="000247BE" w:rsidRPr="00924038">
        <w:t xml:space="preserve">As I described in </w:t>
      </w:r>
      <w:r w:rsidR="000247BE" w:rsidRPr="00924038">
        <w:rPr>
          <w:i/>
        </w:rPr>
        <w:t>Dillon</w:t>
      </w:r>
      <w:r w:rsidR="003377FA" w:rsidRPr="00924038">
        <w:t>,</w:t>
      </w:r>
      <w:r w:rsidR="000247BE" w:rsidRPr="00924038">
        <w:rPr>
          <w:i/>
        </w:rPr>
        <w:t xml:space="preserve"> </w:t>
      </w:r>
      <w:r w:rsidR="000247BE" w:rsidRPr="00924038">
        <w:t>any</w:t>
      </w:r>
      <w:r w:rsidR="003659D8" w:rsidRPr="00924038">
        <w:t xml:space="preserve"> initial trial will become a vehicle for the determination of three things</w:t>
      </w:r>
      <w:r w:rsidR="002D0F07">
        <w:t>,</w:t>
      </w:r>
      <w:r w:rsidR="000247BE" w:rsidRPr="00924038">
        <w:t xml:space="preserve"> </w:t>
      </w:r>
      <w:r w:rsidR="003659D8" w:rsidRPr="00924038">
        <w:t>being: common issues, issues of commonality and the individual claim of the representative applicant.  No party sug</w:t>
      </w:r>
      <w:r w:rsidR="000247BE" w:rsidRPr="00924038">
        <w:t xml:space="preserve">gested the </w:t>
      </w:r>
      <w:r w:rsidR="003659D8" w:rsidRPr="00924038">
        <w:t xml:space="preserve">usual </w:t>
      </w:r>
      <w:r w:rsidR="000247BE" w:rsidRPr="00924038">
        <w:t>course would not apply here, in the unlikely event of an initial trial.</w:t>
      </w:r>
    </w:p>
    <w:p w:rsidR="003659D8" w:rsidRPr="00924038" w:rsidRDefault="0095152B" w:rsidP="0095152B">
      <w:pPr>
        <w:pStyle w:val="ParaNumbering"/>
      </w:pPr>
      <w:r>
        <w:t xml:space="preserve">My principal </w:t>
      </w:r>
      <w:r w:rsidR="003659D8" w:rsidRPr="00924038">
        <w:t>concern is t</w:t>
      </w:r>
      <w:r w:rsidR="00E66EEC" w:rsidRPr="00924038">
        <w:t xml:space="preserve">he effective prosecution of </w:t>
      </w:r>
      <w:r w:rsidR="003659D8" w:rsidRPr="00924038">
        <w:t xml:space="preserve">common issues.  </w:t>
      </w:r>
      <w:r w:rsidR="00C35A27">
        <w:t>S</w:t>
      </w:r>
      <w:r w:rsidR="003659D8" w:rsidRPr="00924038">
        <w:t xml:space="preserve">ecuring, if necessary, a determination in relation to the common issues and any issues of commonality </w:t>
      </w:r>
      <w:r w:rsidR="00C35A27">
        <w:t>(</w:t>
      </w:r>
      <w:r w:rsidR="003659D8" w:rsidRPr="00924038">
        <w:t xml:space="preserve">which will </w:t>
      </w:r>
      <w:r w:rsidR="003659D8" w:rsidRPr="00924038">
        <w:lastRenderedPageBreak/>
        <w:t xml:space="preserve">give rise to a determination </w:t>
      </w:r>
      <w:r w:rsidR="00421D58" w:rsidRPr="00924038">
        <w:t>of the Court</w:t>
      </w:r>
      <w:r w:rsidR="00DB3F6C" w:rsidRPr="00924038">
        <w:t xml:space="preserve"> </w:t>
      </w:r>
      <w:r w:rsidR="00E66EEC" w:rsidRPr="00924038">
        <w:t>bind</w:t>
      </w:r>
      <w:r>
        <w:t xml:space="preserve">ing not only the parties </w:t>
      </w:r>
      <w:r w:rsidR="002D0F07">
        <w:t>but</w:t>
      </w:r>
      <w:r>
        <w:t xml:space="preserve"> also</w:t>
      </w:r>
      <w:r w:rsidR="00E66EEC" w:rsidRPr="00924038">
        <w:t xml:space="preserve"> </w:t>
      </w:r>
      <w:r>
        <w:t xml:space="preserve">group members by reason of the </w:t>
      </w:r>
      <w:r w:rsidR="00421D58" w:rsidRPr="00924038">
        <w:t>sta</w:t>
      </w:r>
      <w:r w:rsidR="00C2621F" w:rsidRPr="00924038">
        <w:t>tutory estoppel created by s 33</w:t>
      </w:r>
      <w:r w:rsidR="00421D58" w:rsidRPr="00924038">
        <w:t>ZB</w:t>
      </w:r>
      <w:r w:rsidR="00C35A27">
        <w:t>)</w:t>
      </w:r>
      <w:r w:rsidR="00421D58" w:rsidRPr="00924038">
        <w:t xml:space="preserve">.  </w:t>
      </w:r>
    </w:p>
    <w:p w:rsidR="00CD12CC" w:rsidRPr="00924038" w:rsidRDefault="00CD12CC" w:rsidP="00481F0C">
      <w:pPr>
        <w:pStyle w:val="ParaNumbering"/>
      </w:pPr>
      <w:r w:rsidRPr="00924038">
        <w:t xml:space="preserve">It was submitted that the Court has no information about Mr Webb’s personal claim.  This is true and the Court should not assume that Mr Webb has a direct reliance case.  It was said </w:t>
      </w:r>
      <w:r w:rsidR="0095152B">
        <w:t xml:space="preserve">further </w:t>
      </w:r>
      <w:r w:rsidRPr="00924038">
        <w:t xml:space="preserve">that </w:t>
      </w:r>
      <w:r w:rsidR="002D0F07">
        <w:t>Mr Webb’s</w:t>
      </w:r>
      <w:r w:rsidRPr="00924038">
        <w:t xml:space="preserve"> exposure to an adverse costs orde</w:t>
      </w:r>
      <w:r w:rsidR="0095152B">
        <w:t xml:space="preserve">r is potentially greater if </w:t>
      </w:r>
      <w:r w:rsidR="002D0F07">
        <w:t>he</w:t>
      </w:r>
      <w:r w:rsidR="0095152B">
        <w:t xml:space="preserve"> did</w:t>
      </w:r>
      <w:r w:rsidRPr="00924038">
        <w:t xml:space="preserve"> not have a direct reliance case.  That is too simplistic, apart fro</w:t>
      </w:r>
      <w:r w:rsidR="00E66EEC" w:rsidRPr="00924038">
        <w:t>m being a</w:t>
      </w:r>
      <w:r w:rsidRPr="00924038">
        <w:t xml:space="preserve"> </w:t>
      </w:r>
      <w:r w:rsidR="00E66EEC" w:rsidRPr="00924038">
        <w:t xml:space="preserve">very </w:t>
      </w:r>
      <w:r w:rsidRPr="00924038">
        <w:t xml:space="preserve">unlikely outcome based on past empirical evidence as to how these </w:t>
      </w:r>
      <w:r w:rsidR="0095152B">
        <w:t xml:space="preserve">cases resolve.  If Mr Webb </w:t>
      </w:r>
      <w:r w:rsidRPr="00924038">
        <w:t>was to prevail on the common issues but did not run (or fail</w:t>
      </w:r>
      <w:r w:rsidR="002D0F07">
        <w:t>s</w:t>
      </w:r>
      <w:r w:rsidRPr="00924038">
        <w:t xml:space="preserve"> to establish) a direct reliance case, there would likely be one of two results: one would be Mr Webb succeed</w:t>
      </w:r>
      <w:r w:rsidR="002D0F07">
        <w:t>ing</w:t>
      </w:r>
      <w:r w:rsidRPr="00924038">
        <w:t xml:space="preserve"> on a market based causation case, the other would be that market based causation is rejected generally.  If the latter occurs</w:t>
      </w:r>
      <w:r w:rsidR="00E66EEC" w:rsidRPr="00924038">
        <w:t>,</w:t>
      </w:r>
      <w:r w:rsidRPr="00924038">
        <w:t xml:space="preserve"> costs may very well be differently calibrated depending upon whether contravening conduct was proved and, if adverse costs were awarded, the funder would be liable for them</w:t>
      </w:r>
      <w:r w:rsidR="00D11187" w:rsidRPr="00924038">
        <w:t>,</w:t>
      </w:r>
      <w:r w:rsidRPr="00924038">
        <w:t xml:space="preserve"> not group members.  As to the more likely scenario of settlement prior to the</w:t>
      </w:r>
      <w:r w:rsidR="00D11187" w:rsidRPr="00924038">
        <w:t xml:space="preserve"> i</w:t>
      </w:r>
      <w:r w:rsidRPr="00924038">
        <w:t>ni</w:t>
      </w:r>
      <w:r w:rsidR="00D11187" w:rsidRPr="00924038">
        <w:t>ti</w:t>
      </w:r>
      <w:r w:rsidRPr="00924038">
        <w:t xml:space="preserve">al trial, it would be contrary to </w:t>
      </w:r>
      <w:r w:rsidR="00D11187" w:rsidRPr="00924038">
        <w:t>experience</w:t>
      </w:r>
      <w:r w:rsidRPr="00924038">
        <w:t xml:space="preserve"> </w:t>
      </w:r>
      <w:r w:rsidR="00D11187" w:rsidRPr="00924038">
        <w:t xml:space="preserve">and </w:t>
      </w:r>
      <w:r w:rsidRPr="00924038">
        <w:t>bordering o</w:t>
      </w:r>
      <w:r w:rsidR="0095152B">
        <w:t>n fanciful to consider that any</w:t>
      </w:r>
      <w:r w:rsidR="00E66EEC" w:rsidRPr="00924038">
        <w:t xml:space="preserve"> individual claim</w:t>
      </w:r>
      <w:r w:rsidR="0095152B">
        <w:t>, unless by a very significant institutional investor,</w:t>
      </w:r>
      <w:r w:rsidRPr="00924038">
        <w:t xml:space="preserve"> is likely to have any real effect </w:t>
      </w:r>
      <w:r w:rsidR="002D0F07">
        <w:t>on</w:t>
      </w:r>
      <w:r w:rsidRPr="00924038">
        <w:t xml:space="preserve"> any prop</w:t>
      </w:r>
      <w:r w:rsidR="00D11187" w:rsidRPr="00924038">
        <w:t>osed settlement</w:t>
      </w:r>
      <w:r w:rsidR="00E66EEC" w:rsidRPr="00924038">
        <w:t xml:space="preserve"> of the whole group</w:t>
      </w:r>
      <w:r w:rsidRPr="00924038">
        <w:t xml:space="preserve">. </w:t>
      </w:r>
    </w:p>
    <w:p w:rsidR="00481F0C" w:rsidRPr="00924038" w:rsidRDefault="00421D58" w:rsidP="00E66EEC">
      <w:pPr>
        <w:pStyle w:val="ParaNumbering"/>
      </w:pPr>
      <w:r w:rsidRPr="00924038">
        <w:t>In this way the question of whether the applicant has a direct or market base</w:t>
      </w:r>
      <w:r w:rsidR="003377FA" w:rsidRPr="00924038">
        <w:t>d</w:t>
      </w:r>
      <w:r w:rsidRPr="00924038">
        <w:t xml:space="preserve"> causation case is not really to the point.  Nor </w:t>
      </w:r>
      <w:r w:rsidR="003377FA" w:rsidRPr="00924038">
        <w:t>is</w:t>
      </w:r>
      <w:r w:rsidRPr="00924038">
        <w:t xml:space="preserve"> the quantum of </w:t>
      </w:r>
      <w:r w:rsidR="00DB3F6C" w:rsidRPr="00924038">
        <w:t xml:space="preserve">individual </w:t>
      </w:r>
      <w:r w:rsidRPr="00924038">
        <w:t>damages that might</w:t>
      </w:r>
      <w:r w:rsidR="0095152B">
        <w:t xml:space="preserve"> be recoverable if any of the present</w:t>
      </w:r>
      <w:r w:rsidRPr="00924038">
        <w:t xml:space="preserve"> applicant</w:t>
      </w:r>
      <w:r w:rsidR="0095152B">
        <w:t>s succeed</w:t>
      </w:r>
      <w:r w:rsidRPr="00924038">
        <w:t xml:space="preserve"> on liability.  The </w:t>
      </w:r>
      <w:r w:rsidR="0095152B">
        <w:t>relevant consideration</w:t>
      </w:r>
      <w:r w:rsidRPr="00924038">
        <w:t xml:space="preserve"> is whether or not the determination of the claim will provide an appropriate vehicle for the determination of issues which transcend the representative applicant’s claim.  There is no reason to think that this would not be the case</w:t>
      </w:r>
      <w:r w:rsidR="003377FA" w:rsidRPr="00924038">
        <w:t>,</w:t>
      </w:r>
      <w:r w:rsidRPr="00924038">
        <w:t xml:space="preserve"> irrespective of which proceeding advanced.</w:t>
      </w:r>
    </w:p>
    <w:p w:rsidR="00481F0C" w:rsidRPr="00924038" w:rsidRDefault="00481F0C" w:rsidP="00481F0C">
      <w:pPr>
        <w:pStyle w:val="Heading2"/>
      </w:pPr>
      <w:bookmarkStart w:id="61" w:name="_Ref514405630"/>
      <w:r w:rsidRPr="00924038">
        <w:t>F</w:t>
      </w:r>
      <w:r w:rsidR="00905ABC" w:rsidRPr="00924038">
        <w:t>.</w:t>
      </w:r>
      <w:r w:rsidRPr="00924038">
        <w:t>8</w:t>
      </w:r>
      <w:r w:rsidRPr="00924038">
        <w:tab/>
      </w:r>
      <w:proofErr w:type="gramStart"/>
      <w:r w:rsidRPr="00924038">
        <w:t>The</w:t>
      </w:r>
      <w:proofErr w:type="gramEnd"/>
      <w:r w:rsidRPr="00924038">
        <w:t xml:space="preserve"> Existence of Funding Agreements</w:t>
      </w:r>
      <w:bookmarkEnd w:id="61"/>
    </w:p>
    <w:p w:rsidR="00481F0C" w:rsidRPr="00924038" w:rsidRDefault="00EA4241" w:rsidP="00481F0C">
      <w:pPr>
        <w:pStyle w:val="ParaNumbering"/>
        <w:rPr>
          <w:szCs w:val="24"/>
        </w:rPr>
      </w:pPr>
      <w:r w:rsidRPr="00924038">
        <w:t>The mere existence of funding agreements and, in the case of the Perera Proceeding, numerous retainer agreements</w:t>
      </w:r>
      <w:r w:rsidR="00E66EEC" w:rsidRPr="00924038">
        <w:t>,</w:t>
      </w:r>
      <w:r w:rsidRPr="00924038">
        <w:t xml:space="preserve"> does not seem to me to be a matter</w:t>
      </w:r>
      <w:r w:rsidR="00023DED" w:rsidRPr="00924038">
        <w:t xml:space="preserve"> to which I should give </w:t>
      </w:r>
      <w:r w:rsidR="003377FA" w:rsidRPr="00924038">
        <w:t xml:space="preserve">any real </w:t>
      </w:r>
      <w:r w:rsidR="00023DED" w:rsidRPr="00924038">
        <w:t>weight</w:t>
      </w:r>
      <w:r w:rsidRPr="00924038">
        <w:t>.  Obviously enough</w:t>
      </w:r>
      <w:r w:rsidR="00E66EEC" w:rsidRPr="00924038">
        <w:t>,</w:t>
      </w:r>
      <w:r w:rsidRPr="00924038">
        <w:t xml:space="preserve"> by entering into these bilateral arrangements</w:t>
      </w:r>
      <w:r w:rsidR="00E66EEC" w:rsidRPr="00924038">
        <w:t>,</w:t>
      </w:r>
      <w:r w:rsidRPr="00924038">
        <w:t xml:space="preserve"> various group members have made choices to accept the terms offered by the funder and have retained the solicitors to perform work in relation to their claim.  </w:t>
      </w:r>
      <w:r w:rsidR="00023DED" w:rsidRPr="00924038">
        <w:t>However, i</w:t>
      </w:r>
      <w:r w:rsidRPr="00924038">
        <w:t xml:space="preserve">n circumstances where each party </w:t>
      </w:r>
      <w:r w:rsidR="00023DED" w:rsidRPr="00924038">
        <w:t xml:space="preserve">now </w:t>
      </w:r>
      <w:r w:rsidRPr="00924038">
        <w:t>agrees that the appropriate way forward is for the Court to make a common fund order (despite initial reticence by the McTaggart applicant</w:t>
      </w:r>
      <w:r w:rsidR="003B39DB" w:rsidRPr="00924038">
        <w:t>s</w:t>
      </w:r>
      <w:r w:rsidRPr="00924038">
        <w:t>)</w:t>
      </w:r>
      <w:r w:rsidR="0095152B">
        <w:t>,</w:t>
      </w:r>
      <w:r w:rsidRPr="00924038">
        <w:t xml:space="preserve"> the existence o</w:t>
      </w:r>
      <w:r w:rsidR="00023DED" w:rsidRPr="00924038">
        <w:t xml:space="preserve">f funding agreements is </w:t>
      </w:r>
      <w:r w:rsidRPr="00924038">
        <w:t xml:space="preserve">a complication </w:t>
      </w:r>
      <w:r w:rsidR="00023DED" w:rsidRPr="00924038">
        <w:t xml:space="preserve">rather </w:t>
      </w:r>
      <w:r w:rsidRPr="00924038">
        <w:t xml:space="preserve">than being of assistance.  I will return to these </w:t>
      </w:r>
      <w:r w:rsidRPr="00924038">
        <w:lastRenderedPageBreak/>
        <w:t>complications below</w:t>
      </w:r>
      <w:r w:rsidR="00023DED" w:rsidRPr="00924038">
        <w:t>,</w:t>
      </w:r>
      <w:r w:rsidRPr="00924038">
        <w:t xml:space="preserve"> but it seems to me that both </w:t>
      </w:r>
      <w:r w:rsidR="00166ABF">
        <w:t>Mr</w:t>
      </w:r>
      <w:r w:rsidRPr="00924038">
        <w:t xml:space="preserve"> Perera and the McTaggart applicant</w:t>
      </w:r>
      <w:r w:rsidR="00166ABF">
        <w:t>s</w:t>
      </w:r>
      <w:r w:rsidRPr="00924038">
        <w:t xml:space="preserve"> have worked on the basis that </w:t>
      </w:r>
      <w:r w:rsidRPr="00924038">
        <w:rPr>
          <w:szCs w:val="24"/>
        </w:rPr>
        <w:t xml:space="preserve">by maximising </w:t>
      </w:r>
      <w:r w:rsidR="00001683">
        <w:rPr>
          <w:szCs w:val="24"/>
        </w:rPr>
        <w:t>‘</w:t>
      </w:r>
      <w:r w:rsidRPr="00924038">
        <w:rPr>
          <w:szCs w:val="24"/>
        </w:rPr>
        <w:t>book</w:t>
      </w:r>
      <w:r w:rsidR="007E6739">
        <w:rPr>
          <w:szCs w:val="24"/>
        </w:rPr>
        <w:t xml:space="preserve"> </w:t>
      </w:r>
      <w:r w:rsidR="00166ABF">
        <w:rPr>
          <w:szCs w:val="24"/>
        </w:rPr>
        <w:t>build</w:t>
      </w:r>
      <w:r w:rsidR="00001683">
        <w:rPr>
          <w:szCs w:val="24"/>
        </w:rPr>
        <w:t>’</w:t>
      </w:r>
      <w:r w:rsidRPr="00924038">
        <w:rPr>
          <w:szCs w:val="24"/>
        </w:rPr>
        <w:t xml:space="preserve"> one would be in a better position to resist any suggestion that </w:t>
      </w:r>
      <w:r w:rsidR="00CB28E1" w:rsidRPr="00924038">
        <w:rPr>
          <w:szCs w:val="24"/>
        </w:rPr>
        <w:t xml:space="preserve">an </w:t>
      </w:r>
      <w:r w:rsidRPr="00924038">
        <w:rPr>
          <w:szCs w:val="24"/>
        </w:rPr>
        <w:t xml:space="preserve">alternative open class </w:t>
      </w:r>
      <w:r w:rsidR="00166ABF">
        <w:rPr>
          <w:szCs w:val="24"/>
        </w:rPr>
        <w:t>proceeding</w:t>
      </w:r>
      <w:r w:rsidRPr="00924038">
        <w:rPr>
          <w:szCs w:val="24"/>
        </w:rPr>
        <w:t xml:space="preserve"> go forward.  </w:t>
      </w:r>
    </w:p>
    <w:p w:rsidR="0095152B" w:rsidRDefault="007D764F" w:rsidP="00481F0C">
      <w:pPr>
        <w:pStyle w:val="ParaNumbering"/>
        <w:rPr>
          <w:szCs w:val="24"/>
        </w:rPr>
      </w:pPr>
      <w:r w:rsidRPr="00924038">
        <w:rPr>
          <w:szCs w:val="24"/>
        </w:rPr>
        <w:t xml:space="preserve">I have already made reference to Beach J’s observations in </w:t>
      </w:r>
      <w:r w:rsidRPr="00924038">
        <w:rPr>
          <w:i/>
          <w:szCs w:val="24"/>
        </w:rPr>
        <w:t>Bellamy’s</w:t>
      </w:r>
      <w:r w:rsidRPr="00924038">
        <w:rPr>
          <w:szCs w:val="24"/>
        </w:rPr>
        <w:t xml:space="preserve"> </w:t>
      </w:r>
      <w:r w:rsidR="00235B24" w:rsidRPr="00924038">
        <w:rPr>
          <w:szCs w:val="24"/>
        </w:rPr>
        <w:t>at [96]</w:t>
      </w:r>
      <w:r w:rsidR="005C53B8" w:rsidRPr="00924038">
        <w:rPr>
          <w:szCs w:val="24"/>
        </w:rPr>
        <w:t>-</w:t>
      </w:r>
      <w:r w:rsidR="00235B24" w:rsidRPr="00924038">
        <w:rPr>
          <w:szCs w:val="24"/>
        </w:rPr>
        <w:t xml:space="preserve">[97] </w:t>
      </w:r>
      <w:r w:rsidRPr="00924038">
        <w:rPr>
          <w:szCs w:val="24"/>
        </w:rPr>
        <w:t>that but for the fact that in</w:t>
      </w:r>
      <w:r w:rsidRPr="00924038">
        <w:rPr>
          <w:spacing w:val="-11"/>
          <w:szCs w:val="24"/>
        </w:rPr>
        <w:t xml:space="preserve"> </w:t>
      </w:r>
      <w:r w:rsidRPr="00924038">
        <w:rPr>
          <w:szCs w:val="24"/>
        </w:rPr>
        <w:t>one</w:t>
      </w:r>
      <w:r w:rsidRPr="00924038">
        <w:rPr>
          <w:spacing w:val="-11"/>
          <w:szCs w:val="24"/>
        </w:rPr>
        <w:t xml:space="preserve"> </w:t>
      </w:r>
      <w:r w:rsidRPr="00924038">
        <w:rPr>
          <w:szCs w:val="24"/>
        </w:rPr>
        <w:t>proceeding</w:t>
      </w:r>
      <w:r w:rsidRPr="00924038">
        <w:rPr>
          <w:spacing w:val="-9"/>
          <w:szCs w:val="24"/>
        </w:rPr>
        <w:t xml:space="preserve"> </w:t>
      </w:r>
      <w:r w:rsidRPr="00924038">
        <w:rPr>
          <w:szCs w:val="24"/>
        </w:rPr>
        <w:t>over</w:t>
      </w:r>
      <w:r w:rsidRPr="00924038">
        <w:rPr>
          <w:spacing w:val="-10"/>
          <w:szCs w:val="24"/>
        </w:rPr>
        <w:t xml:space="preserve"> </w:t>
      </w:r>
      <w:r w:rsidR="00235B24" w:rsidRPr="00924038">
        <w:rPr>
          <w:szCs w:val="24"/>
        </w:rPr>
        <w:t>1</w:t>
      </w:r>
      <w:r w:rsidRPr="00924038">
        <w:rPr>
          <w:szCs w:val="24"/>
        </w:rPr>
        <w:t>500</w:t>
      </w:r>
      <w:r w:rsidRPr="00924038">
        <w:rPr>
          <w:spacing w:val="-13"/>
          <w:szCs w:val="24"/>
        </w:rPr>
        <w:t xml:space="preserve"> </w:t>
      </w:r>
      <w:r w:rsidRPr="00924038">
        <w:rPr>
          <w:szCs w:val="24"/>
        </w:rPr>
        <w:t>group</w:t>
      </w:r>
      <w:r w:rsidRPr="00924038">
        <w:rPr>
          <w:spacing w:val="-11"/>
          <w:szCs w:val="24"/>
        </w:rPr>
        <w:t xml:space="preserve"> </w:t>
      </w:r>
      <w:r w:rsidRPr="00924038">
        <w:rPr>
          <w:szCs w:val="24"/>
        </w:rPr>
        <w:t>members</w:t>
      </w:r>
      <w:r w:rsidRPr="00924038">
        <w:rPr>
          <w:spacing w:val="-11"/>
          <w:szCs w:val="24"/>
        </w:rPr>
        <w:t xml:space="preserve"> </w:t>
      </w:r>
      <w:r w:rsidRPr="00924038">
        <w:rPr>
          <w:szCs w:val="24"/>
        </w:rPr>
        <w:t>had</w:t>
      </w:r>
      <w:r w:rsidRPr="00924038">
        <w:rPr>
          <w:spacing w:val="-11"/>
          <w:szCs w:val="24"/>
        </w:rPr>
        <w:t xml:space="preserve"> </w:t>
      </w:r>
      <w:r w:rsidRPr="00924038">
        <w:rPr>
          <w:szCs w:val="24"/>
        </w:rPr>
        <w:t>signed</w:t>
      </w:r>
      <w:r w:rsidRPr="00924038">
        <w:rPr>
          <w:spacing w:val="-14"/>
          <w:szCs w:val="24"/>
        </w:rPr>
        <w:t xml:space="preserve"> </w:t>
      </w:r>
      <w:r w:rsidRPr="00924038">
        <w:rPr>
          <w:szCs w:val="24"/>
        </w:rPr>
        <w:t>up</w:t>
      </w:r>
      <w:r w:rsidRPr="00924038">
        <w:rPr>
          <w:spacing w:val="-11"/>
          <w:szCs w:val="24"/>
        </w:rPr>
        <w:t xml:space="preserve"> </w:t>
      </w:r>
      <w:r w:rsidRPr="00924038">
        <w:rPr>
          <w:szCs w:val="24"/>
        </w:rPr>
        <w:t>to</w:t>
      </w:r>
      <w:r w:rsidRPr="00924038">
        <w:rPr>
          <w:spacing w:val="-11"/>
          <w:szCs w:val="24"/>
        </w:rPr>
        <w:t xml:space="preserve"> </w:t>
      </w:r>
      <w:r w:rsidR="00235B24" w:rsidRPr="00924038">
        <w:rPr>
          <w:szCs w:val="24"/>
        </w:rPr>
        <w:t xml:space="preserve">retainers with </w:t>
      </w:r>
      <w:r w:rsidRPr="00924038">
        <w:rPr>
          <w:szCs w:val="24"/>
        </w:rPr>
        <w:t>solicitors and funding</w:t>
      </w:r>
      <w:r w:rsidR="00235B24" w:rsidRPr="00924038">
        <w:rPr>
          <w:szCs w:val="24"/>
        </w:rPr>
        <w:t xml:space="preserve"> agreements with </w:t>
      </w:r>
      <w:r w:rsidRPr="00924038">
        <w:rPr>
          <w:szCs w:val="24"/>
        </w:rPr>
        <w:t>funders</w:t>
      </w:r>
      <w:r w:rsidR="00235B24" w:rsidRPr="00924038">
        <w:rPr>
          <w:szCs w:val="24"/>
        </w:rPr>
        <w:t>, and in the other over 1</w:t>
      </w:r>
      <w:r w:rsidRPr="00924038">
        <w:rPr>
          <w:szCs w:val="24"/>
        </w:rPr>
        <w:t>00</w:t>
      </w:r>
      <w:r w:rsidR="00235B24" w:rsidRPr="00924038">
        <w:rPr>
          <w:szCs w:val="24"/>
        </w:rPr>
        <w:t xml:space="preserve">0 had entered such arrangements, </w:t>
      </w:r>
      <w:r w:rsidR="00001683">
        <w:rPr>
          <w:szCs w:val="24"/>
        </w:rPr>
        <w:t>his Honour</w:t>
      </w:r>
      <w:r w:rsidR="00235B24" w:rsidRPr="00924038">
        <w:rPr>
          <w:szCs w:val="24"/>
        </w:rPr>
        <w:t xml:space="preserve"> would have had no hesitation in permanently staying one of the proceedings.  What also needs to be stressed is </w:t>
      </w:r>
      <w:r w:rsidR="0095152B">
        <w:rPr>
          <w:szCs w:val="24"/>
        </w:rPr>
        <w:t xml:space="preserve">the important comment made by his Honour </w:t>
      </w:r>
      <w:r w:rsidR="00235B24" w:rsidRPr="00924038">
        <w:rPr>
          <w:szCs w:val="24"/>
        </w:rPr>
        <w:t>at [97] that this</w:t>
      </w:r>
      <w:r w:rsidR="00235B24" w:rsidRPr="00924038">
        <w:rPr>
          <w:spacing w:val="-16"/>
          <w:szCs w:val="24"/>
        </w:rPr>
        <w:t xml:space="preserve"> </w:t>
      </w:r>
      <w:r w:rsidR="00235B24" w:rsidRPr="00924038">
        <w:rPr>
          <w:szCs w:val="24"/>
        </w:rPr>
        <w:t xml:space="preserve">circumstance, decisive in the particular circumstances of </w:t>
      </w:r>
      <w:r w:rsidR="00235B24" w:rsidRPr="00924038">
        <w:rPr>
          <w:i/>
          <w:szCs w:val="24"/>
        </w:rPr>
        <w:t>Bellamy’s</w:t>
      </w:r>
      <w:r w:rsidR="00235B24" w:rsidRPr="00924038">
        <w:rPr>
          <w:szCs w:val="24"/>
        </w:rPr>
        <w:t>,</w:t>
      </w:r>
      <w:r w:rsidR="00235B24" w:rsidRPr="00924038">
        <w:rPr>
          <w:spacing w:val="-16"/>
          <w:szCs w:val="24"/>
        </w:rPr>
        <w:t xml:space="preserve"> </w:t>
      </w:r>
      <w:r w:rsidR="00235B24" w:rsidRPr="00924038">
        <w:rPr>
          <w:szCs w:val="24"/>
        </w:rPr>
        <w:t>“</w:t>
      </w:r>
      <w:r w:rsidR="00235B24" w:rsidRPr="00924038">
        <w:rPr>
          <w:i/>
          <w:szCs w:val="24"/>
        </w:rPr>
        <w:t>should not be seen as an incentive to sign up group members before issue</w:t>
      </w:r>
      <w:r w:rsidR="00235B24" w:rsidRPr="00924038">
        <w:rPr>
          <w:szCs w:val="24"/>
        </w:rPr>
        <w:t xml:space="preserve">”.  </w:t>
      </w:r>
    </w:p>
    <w:p w:rsidR="007D764F" w:rsidRPr="00924038" w:rsidRDefault="00235B24" w:rsidP="00481F0C">
      <w:pPr>
        <w:pStyle w:val="ParaNumbering"/>
        <w:rPr>
          <w:szCs w:val="24"/>
        </w:rPr>
      </w:pPr>
      <w:r w:rsidRPr="00924038">
        <w:rPr>
          <w:szCs w:val="24"/>
        </w:rPr>
        <w:t xml:space="preserve">Notwithstanding this, signing up group </w:t>
      </w:r>
      <w:r w:rsidR="00CF17B0" w:rsidRPr="00924038">
        <w:rPr>
          <w:szCs w:val="24"/>
        </w:rPr>
        <w:t>members</w:t>
      </w:r>
      <w:r w:rsidRPr="00924038">
        <w:rPr>
          <w:szCs w:val="24"/>
        </w:rPr>
        <w:t xml:space="preserve"> prior to issue is precisely what </w:t>
      </w:r>
      <w:r w:rsidR="00CF17B0" w:rsidRPr="00924038">
        <w:rPr>
          <w:szCs w:val="24"/>
        </w:rPr>
        <w:t>the promoters</w:t>
      </w:r>
      <w:r w:rsidRPr="00924038">
        <w:rPr>
          <w:szCs w:val="24"/>
        </w:rPr>
        <w:t xml:space="preserve"> of the Perera Proceeding and the McTaggart Proceeding proceeded to do.  Perhaps that was understandable in the case of the McTaggart Proceeding</w:t>
      </w:r>
      <w:r w:rsidR="00CF17B0" w:rsidRPr="00924038">
        <w:rPr>
          <w:szCs w:val="24"/>
        </w:rPr>
        <w:t>,</w:t>
      </w:r>
      <w:r w:rsidRPr="00924038">
        <w:rPr>
          <w:szCs w:val="24"/>
        </w:rPr>
        <w:t xml:space="preserve"> where even up to the </w:t>
      </w:r>
      <w:r w:rsidR="00CF17B0" w:rsidRPr="00924038">
        <w:rPr>
          <w:szCs w:val="24"/>
        </w:rPr>
        <w:t>stage</w:t>
      </w:r>
      <w:r w:rsidRPr="00924038">
        <w:rPr>
          <w:szCs w:val="24"/>
        </w:rPr>
        <w:t xml:space="preserve"> of oral </w:t>
      </w:r>
      <w:r w:rsidR="00CF17B0" w:rsidRPr="00924038">
        <w:rPr>
          <w:szCs w:val="24"/>
        </w:rPr>
        <w:t>submissions</w:t>
      </w:r>
      <w:r w:rsidR="006D4C12">
        <w:rPr>
          <w:szCs w:val="24"/>
        </w:rPr>
        <w:t xml:space="preserve"> there was </w:t>
      </w:r>
      <w:r w:rsidR="000E28AE">
        <w:rPr>
          <w:szCs w:val="24"/>
        </w:rPr>
        <w:t>timidity</w:t>
      </w:r>
      <w:r w:rsidRPr="00924038">
        <w:rPr>
          <w:szCs w:val="24"/>
        </w:rPr>
        <w:t xml:space="preserve"> in pursuing a common fund order</w:t>
      </w:r>
      <w:r w:rsidR="00023DED" w:rsidRPr="00924038">
        <w:rPr>
          <w:szCs w:val="24"/>
        </w:rPr>
        <w:t>,</w:t>
      </w:r>
      <w:r w:rsidRPr="00924038">
        <w:rPr>
          <w:szCs w:val="24"/>
        </w:rPr>
        <w:t xml:space="preserve"> but in circumstances where each party </w:t>
      </w:r>
      <w:r w:rsidR="00CF17B0" w:rsidRPr="00924038">
        <w:rPr>
          <w:szCs w:val="24"/>
        </w:rPr>
        <w:t xml:space="preserve">now </w:t>
      </w:r>
      <w:r w:rsidRPr="00924038">
        <w:rPr>
          <w:szCs w:val="24"/>
        </w:rPr>
        <w:t>submits it is in the interests of group members to make a common fund order, the earlier book build and subsequent creation of the funding agreements</w:t>
      </w:r>
      <w:r w:rsidR="00023DED" w:rsidRPr="00924038">
        <w:rPr>
          <w:szCs w:val="24"/>
        </w:rPr>
        <w:t xml:space="preserve"> served no useful purpose (other than to gather information as to </w:t>
      </w:r>
      <w:r w:rsidR="006D4C12">
        <w:rPr>
          <w:szCs w:val="24"/>
        </w:rPr>
        <w:t xml:space="preserve">identity and </w:t>
      </w:r>
      <w:r w:rsidR="00023DED" w:rsidRPr="00924038">
        <w:rPr>
          <w:szCs w:val="24"/>
        </w:rPr>
        <w:t>quantum, which could be obtained without group members enterin</w:t>
      </w:r>
      <w:r w:rsidR="006D4C12">
        <w:rPr>
          <w:szCs w:val="24"/>
        </w:rPr>
        <w:t xml:space="preserve">g into a series of </w:t>
      </w:r>
      <w:r w:rsidR="00023DED" w:rsidRPr="00924038">
        <w:rPr>
          <w:szCs w:val="24"/>
        </w:rPr>
        <w:t>promises</w:t>
      </w:r>
      <w:r w:rsidR="006D4C12">
        <w:rPr>
          <w:szCs w:val="24"/>
        </w:rPr>
        <w:t xml:space="preserve"> with funders</w:t>
      </w:r>
      <w:r w:rsidR="00023DED" w:rsidRPr="00924038">
        <w:rPr>
          <w:szCs w:val="24"/>
        </w:rPr>
        <w:t>)</w:t>
      </w:r>
      <w:r w:rsidRPr="00924038">
        <w:rPr>
          <w:szCs w:val="24"/>
        </w:rPr>
        <w:t>.</w:t>
      </w:r>
    </w:p>
    <w:p w:rsidR="006D4C12" w:rsidRPr="006D4C12" w:rsidRDefault="00CB28E1" w:rsidP="00CF17B0">
      <w:pPr>
        <w:pStyle w:val="ParaNumbering"/>
        <w:rPr>
          <w:szCs w:val="24"/>
        </w:rPr>
      </w:pPr>
      <w:r w:rsidRPr="00924038">
        <w:rPr>
          <w:szCs w:val="24"/>
        </w:rPr>
        <w:t>I do not suggest that book</w:t>
      </w:r>
      <w:r w:rsidR="007E6739">
        <w:rPr>
          <w:szCs w:val="24"/>
        </w:rPr>
        <w:t xml:space="preserve"> </w:t>
      </w:r>
      <w:r w:rsidR="003B7F67">
        <w:rPr>
          <w:szCs w:val="24"/>
        </w:rPr>
        <w:t>builds</w:t>
      </w:r>
      <w:r w:rsidRPr="00924038">
        <w:rPr>
          <w:szCs w:val="24"/>
        </w:rPr>
        <w:t xml:space="preserve"> are</w:t>
      </w:r>
      <w:r w:rsidR="00CF17B0" w:rsidRPr="00924038">
        <w:rPr>
          <w:szCs w:val="24"/>
        </w:rPr>
        <w:t xml:space="preserve"> always</w:t>
      </w:r>
      <w:r w:rsidRPr="00924038">
        <w:rPr>
          <w:szCs w:val="24"/>
        </w:rPr>
        <w:t xml:space="preserve"> inappropriate.  </w:t>
      </w:r>
      <w:r w:rsidR="00CF17B0" w:rsidRPr="00924038">
        <w:rPr>
          <w:szCs w:val="24"/>
        </w:rPr>
        <w:t xml:space="preserve">In closed classes and cases where no common fund order is sought, they will obviously be necessary to protect the interests of a funder.  </w:t>
      </w:r>
      <w:r w:rsidR="00700332">
        <w:rPr>
          <w:szCs w:val="24"/>
        </w:rPr>
        <w:t xml:space="preserve">I do not discount the possibility that there may be cases </w:t>
      </w:r>
      <w:r w:rsidR="00405143">
        <w:rPr>
          <w:szCs w:val="24"/>
        </w:rPr>
        <w:t xml:space="preserve">of competing securities class actions </w:t>
      </w:r>
      <w:r w:rsidR="00700332">
        <w:rPr>
          <w:szCs w:val="24"/>
        </w:rPr>
        <w:t xml:space="preserve">where the combined preference of </w:t>
      </w:r>
      <w:r w:rsidR="00405143">
        <w:rPr>
          <w:szCs w:val="24"/>
        </w:rPr>
        <w:t xml:space="preserve">a </w:t>
      </w:r>
      <w:r w:rsidR="00700332">
        <w:rPr>
          <w:szCs w:val="24"/>
        </w:rPr>
        <w:t xml:space="preserve">large </w:t>
      </w:r>
      <w:r w:rsidR="00405143">
        <w:rPr>
          <w:szCs w:val="24"/>
        </w:rPr>
        <w:t>numbe</w:t>
      </w:r>
      <w:r w:rsidR="000E28AE">
        <w:rPr>
          <w:szCs w:val="24"/>
        </w:rPr>
        <w:t xml:space="preserve">r of </w:t>
      </w:r>
      <w:r w:rsidR="003B7F67">
        <w:rPr>
          <w:szCs w:val="24"/>
        </w:rPr>
        <w:t>group</w:t>
      </w:r>
      <w:r w:rsidR="000E28AE">
        <w:rPr>
          <w:szCs w:val="24"/>
        </w:rPr>
        <w:t xml:space="preserve"> members (by number or</w:t>
      </w:r>
      <w:r w:rsidR="00405143">
        <w:rPr>
          <w:szCs w:val="24"/>
        </w:rPr>
        <w:t xml:space="preserve"> shareholding) </w:t>
      </w:r>
      <w:r w:rsidR="00700332">
        <w:rPr>
          <w:szCs w:val="24"/>
        </w:rPr>
        <w:t xml:space="preserve">to </w:t>
      </w:r>
      <w:r w:rsidR="00405143">
        <w:rPr>
          <w:szCs w:val="24"/>
        </w:rPr>
        <w:t>be represented by one firm of solicitors</w:t>
      </w:r>
      <w:r w:rsidR="000E28AE">
        <w:rPr>
          <w:szCs w:val="24"/>
        </w:rPr>
        <w:t>,</w:t>
      </w:r>
      <w:r w:rsidR="00405143">
        <w:rPr>
          <w:szCs w:val="24"/>
        </w:rPr>
        <w:t xml:space="preserve"> who have a relationship with a particular funder</w:t>
      </w:r>
      <w:r w:rsidR="000E28AE">
        <w:rPr>
          <w:szCs w:val="24"/>
        </w:rPr>
        <w:t>,</w:t>
      </w:r>
      <w:r w:rsidR="00405143">
        <w:rPr>
          <w:szCs w:val="24"/>
        </w:rPr>
        <w:t xml:space="preserve"> </w:t>
      </w:r>
      <w:r w:rsidR="00700332">
        <w:rPr>
          <w:szCs w:val="24"/>
        </w:rPr>
        <w:t>may be a factor</w:t>
      </w:r>
      <w:r w:rsidR="00405143">
        <w:rPr>
          <w:szCs w:val="24"/>
        </w:rPr>
        <w:t xml:space="preserve"> of some significance</w:t>
      </w:r>
      <w:r w:rsidRPr="00924038">
        <w:t xml:space="preserve">.  </w:t>
      </w:r>
      <w:r w:rsidR="00CF17B0" w:rsidRPr="00924038">
        <w:t>But it would be wrong, in cases where common fund orders will be sought</w:t>
      </w:r>
      <w:r w:rsidR="00700332">
        <w:t xml:space="preserve">, </w:t>
      </w:r>
      <w:r w:rsidR="00CF17B0" w:rsidRPr="00924038">
        <w:t xml:space="preserve">to encourage the waste of costs associated with entry into serial funding agreements by giving </w:t>
      </w:r>
      <w:r w:rsidR="00023DED" w:rsidRPr="00924038">
        <w:t xml:space="preserve">any real </w:t>
      </w:r>
      <w:r w:rsidR="00CF17B0" w:rsidRPr="00924038">
        <w:t>weight to th</w:t>
      </w:r>
      <w:r w:rsidR="000E28AE">
        <w:t>is</w:t>
      </w:r>
      <w:r w:rsidR="00CF17B0" w:rsidRPr="00924038">
        <w:t xml:space="preserve"> consideration</w:t>
      </w:r>
      <w:r w:rsidR="00347C13" w:rsidRPr="00924038">
        <w:t xml:space="preserve">.  </w:t>
      </w:r>
      <w:r w:rsidR="00700332">
        <w:t xml:space="preserve">For my part, I would be concerned if what happened here was to </w:t>
      </w:r>
      <w:r w:rsidR="006D4C12">
        <w:t>occur in the future</w:t>
      </w:r>
      <w:r w:rsidR="00B337AF">
        <w:t>:</w:t>
      </w:r>
      <w:r w:rsidR="006D4C12">
        <w:t xml:space="preserve"> the </w:t>
      </w:r>
      <w:r w:rsidR="00405143">
        <w:t xml:space="preserve">curiosity of </w:t>
      </w:r>
      <w:r w:rsidR="006D4C12">
        <w:t xml:space="preserve">promises </w:t>
      </w:r>
      <w:r w:rsidR="00405143">
        <w:t>having</w:t>
      </w:r>
      <w:r w:rsidR="006D4C12">
        <w:t xml:space="preserve"> been extracted from group members </w:t>
      </w:r>
      <w:r w:rsidR="00A45825">
        <w:t>which</w:t>
      </w:r>
      <w:r w:rsidR="006D4C12">
        <w:t xml:space="preserve"> now, if the funder</w:t>
      </w:r>
      <w:r w:rsidR="000E28AE">
        <w:t>s extracting those promises</w:t>
      </w:r>
      <w:r w:rsidR="006D4C12">
        <w:t xml:space="preserve"> get</w:t>
      </w:r>
      <w:r w:rsidR="00A45825">
        <w:t xml:space="preserve"> their</w:t>
      </w:r>
      <w:r w:rsidR="006D4C12">
        <w:t xml:space="preserve"> way, will never be enforced, because </w:t>
      </w:r>
      <w:r w:rsidR="00A45825">
        <w:t xml:space="preserve">quite </w:t>
      </w:r>
      <w:r w:rsidR="006D4C12">
        <w:t xml:space="preserve">different terms have been proposed by way of </w:t>
      </w:r>
      <w:r w:rsidR="000E28AE">
        <w:t xml:space="preserve">a </w:t>
      </w:r>
      <w:r w:rsidR="006D4C12">
        <w:t>common fund order.</w:t>
      </w:r>
    </w:p>
    <w:p w:rsidR="0062082A" w:rsidRPr="0062082A" w:rsidRDefault="00CF17B0" w:rsidP="00023DED">
      <w:pPr>
        <w:pStyle w:val="ParaNumbering"/>
        <w:rPr>
          <w:szCs w:val="24"/>
        </w:rPr>
      </w:pPr>
      <w:r w:rsidRPr="00924038">
        <w:lastRenderedPageBreak/>
        <w:t>Additionally</w:t>
      </w:r>
      <w:r w:rsidR="00C85AC7">
        <w:t>,</w:t>
      </w:r>
      <w:r w:rsidR="0062082A">
        <w:t xml:space="preserve"> two</w:t>
      </w:r>
      <w:r w:rsidR="00347C13" w:rsidRPr="00924038">
        <w:t xml:space="preserve"> other </w:t>
      </w:r>
      <w:r w:rsidR="0062082A">
        <w:t xml:space="preserve">relevant </w:t>
      </w:r>
      <w:r w:rsidR="00347C13" w:rsidRPr="00924038">
        <w:t xml:space="preserve">points </w:t>
      </w:r>
      <w:r w:rsidR="006D4C12">
        <w:t xml:space="preserve">should </w:t>
      </w:r>
      <w:r w:rsidRPr="00924038">
        <w:t>be made</w:t>
      </w:r>
      <w:r w:rsidR="0062082A">
        <w:t xml:space="preserve"> (apart from the fact that the</w:t>
      </w:r>
      <w:r w:rsidRPr="00924038">
        <w:t xml:space="preserve"> modest sign up in this case makes it distinguishable from </w:t>
      </w:r>
      <w:r w:rsidR="00347C13" w:rsidRPr="00924038">
        <w:rPr>
          <w:i/>
        </w:rPr>
        <w:t>Bellamy’s</w:t>
      </w:r>
      <w:r w:rsidR="0062082A">
        <w:t xml:space="preserve">, </w:t>
      </w:r>
      <w:r w:rsidRPr="00924038">
        <w:t xml:space="preserve">a topic </w:t>
      </w:r>
      <w:r w:rsidR="0062082A">
        <w:t>addressed</w:t>
      </w:r>
      <w:r w:rsidRPr="00924038">
        <w:t xml:space="preserve"> in the next section). </w:t>
      </w:r>
      <w:r w:rsidR="0062082A">
        <w:t xml:space="preserve"> The </w:t>
      </w:r>
      <w:r w:rsidR="0062082A" w:rsidRPr="0062082A">
        <w:rPr>
          <w:i/>
        </w:rPr>
        <w:t>first</w:t>
      </w:r>
      <w:r w:rsidR="0062082A">
        <w:t xml:space="preserve"> is the further problem that</w:t>
      </w:r>
      <w:r w:rsidRPr="00924038">
        <w:t xml:space="preserve"> </w:t>
      </w:r>
      <w:r w:rsidR="00347C13" w:rsidRPr="00924038">
        <w:t xml:space="preserve">the terms of the funding agreements in this case have become problematical because they do not contemplate competing class actions or stays and, as a consequence, it is at least arguable that a funder may have a </w:t>
      </w:r>
      <w:r w:rsidR="00347C13" w:rsidRPr="00924038">
        <w:rPr>
          <w:i/>
        </w:rPr>
        <w:t>prima facie</w:t>
      </w:r>
      <w:r w:rsidR="00347C13" w:rsidRPr="00924038">
        <w:t xml:space="preserve"> right to recover commission, even in circumstances where their case is stayed, an issue which causes co</w:t>
      </w:r>
      <w:r w:rsidR="00023DED" w:rsidRPr="00924038">
        <w:t xml:space="preserve">mplications for opt out notices, gives rise to the potential of collateral disputation (if those promises are sought to be enforced), </w:t>
      </w:r>
      <w:r w:rsidR="00347C13" w:rsidRPr="00924038">
        <w:t xml:space="preserve">and is addressed </w:t>
      </w:r>
      <w:r w:rsidR="0062082A">
        <w:t xml:space="preserve">in </w:t>
      </w:r>
      <w:r w:rsidR="00C85AC7">
        <w:t>S</w:t>
      </w:r>
      <w:r w:rsidR="0062082A">
        <w:t xml:space="preserve">ection K.4 </w:t>
      </w:r>
      <w:r w:rsidR="00347C13" w:rsidRPr="00924038">
        <w:t>below.</w:t>
      </w:r>
      <w:r w:rsidR="00C85AC7">
        <w:t xml:space="preserve"> </w:t>
      </w:r>
      <w:r w:rsidR="00347C13" w:rsidRPr="00924038">
        <w:t xml:space="preserve"> </w:t>
      </w:r>
      <w:r w:rsidR="0062082A">
        <w:rPr>
          <w:i/>
        </w:rPr>
        <w:t>Secon</w:t>
      </w:r>
      <w:r w:rsidR="00347C13" w:rsidRPr="00924038">
        <w:rPr>
          <w:i/>
        </w:rPr>
        <w:t>dly</w:t>
      </w:r>
      <w:r w:rsidR="00347C13" w:rsidRPr="00924038">
        <w:t xml:space="preserve">, the development of common fund orders has served the policy objectives of Part IVA and </w:t>
      </w:r>
      <w:r w:rsidR="000E28AE">
        <w:t xml:space="preserve">promoted </w:t>
      </w:r>
      <w:r w:rsidR="00347C13" w:rsidRPr="00924038">
        <w:t xml:space="preserve">access to justice by encouraging open classes. </w:t>
      </w:r>
      <w:r w:rsidR="0062082A">
        <w:t xml:space="preserve"> To give active encouragement to</w:t>
      </w:r>
      <w:r w:rsidR="00347C13" w:rsidRPr="00924038">
        <w:t xml:space="preserve"> </w:t>
      </w:r>
      <w:r w:rsidR="0062082A">
        <w:t xml:space="preserve">the existence of funding agreements </w:t>
      </w:r>
      <w:r w:rsidR="00347C13" w:rsidRPr="00924038">
        <w:t xml:space="preserve">in the context of competing </w:t>
      </w:r>
      <w:r w:rsidR="003377FA" w:rsidRPr="00924038">
        <w:t xml:space="preserve">open </w:t>
      </w:r>
      <w:r w:rsidR="00347C13" w:rsidRPr="00924038">
        <w:t>class actions</w:t>
      </w:r>
      <w:r w:rsidR="00023DED" w:rsidRPr="00924038">
        <w:t xml:space="preserve"> would</w:t>
      </w:r>
      <w:r w:rsidR="00347C13" w:rsidRPr="00924038">
        <w:t xml:space="preserve"> serve to undermine the </w:t>
      </w:r>
      <w:r w:rsidR="00023DED" w:rsidRPr="00924038">
        <w:t>benefit</w:t>
      </w:r>
      <w:r w:rsidR="00347C13" w:rsidRPr="00924038">
        <w:t xml:space="preserve"> occasioned by the rise of the funded </w:t>
      </w:r>
      <w:r w:rsidR="00023DED" w:rsidRPr="00924038">
        <w:t>open class securities class action.</w:t>
      </w:r>
      <w:r w:rsidR="00551530" w:rsidRPr="00924038">
        <w:t xml:space="preserve">  </w:t>
      </w:r>
    </w:p>
    <w:p w:rsidR="00481F0C" w:rsidRPr="00924038" w:rsidRDefault="00551530" w:rsidP="00023DED">
      <w:pPr>
        <w:pStyle w:val="ParaNumbering"/>
        <w:rPr>
          <w:szCs w:val="24"/>
        </w:rPr>
      </w:pPr>
      <w:r w:rsidRPr="00924038">
        <w:t>I</w:t>
      </w:r>
      <w:r w:rsidR="000E28AE">
        <w:t>t follows that in this matter I</w:t>
      </w:r>
      <w:r w:rsidRPr="00924038">
        <w:t xml:space="preserve"> do not give the existence of funding agreements any significant weight</w:t>
      </w:r>
      <w:r w:rsidR="0062082A">
        <w:t xml:space="preserve"> and express my respectful agreement with Beach J that the result in </w:t>
      </w:r>
      <w:r w:rsidR="0062082A" w:rsidRPr="0062082A">
        <w:rPr>
          <w:i/>
        </w:rPr>
        <w:t>Bellamy’s</w:t>
      </w:r>
      <w:r w:rsidR="0062082A">
        <w:t xml:space="preserve"> should not be seen as an incentive to book</w:t>
      </w:r>
      <w:r w:rsidR="007E6739">
        <w:t xml:space="preserve"> </w:t>
      </w:r>
      <w:r w:rsidR="0062082A">
        <w:t>build and sign up before issue</w:t>
      </w:r>
      <w:r w:rsidRPr="00924038">
        <w:t xml:space="preserve">.  </w:t>
      </w:r>
    </w:p>
    <w:p w:rsidR="00481F0C" w:rsidRPr="00924038" w:rsidRDefault="00481F0C" w:rsidP="00481F0C">
      <w:pPr>
        <w:pStyle w:val="Heading2"/>
      </w:pPr>
      <w:bookmarkStart w:id="62" w:name="_Ref514405631"/>
      <w:r w:rsidRPr="00924038">
        <w:t>F</w:t>
      </w:r>
      <w:r w:rsidR="00905ABC" w:rsidRPr="00924038">
        <w:t>.</w:t>
      </w:r>
      <w:r w:rsidRPr="00924038">
        <w:t>9</w:t>
      </w:r>
      <w:r w:rsidRPr="00924038">
        <w:tab/>
      </w:r>
      <w:proofErr w:type="gramStart"/>
      <w:r w:rsidRPr="00924038">
        <w:t>The</w:t>
      </w:r>
      <w:proofErr w:type="gramEnd"/>
      <w:r w:rsidRPr="00924038">
        <w:t xml:space="preserve"> Number of Funded Group Members</w:t>
      </w:r>
      <w:bookmarkEnd w:id="62"/>
    </w:p>
    <w:p w:rsidR="00D11187" w:rsidRPr="00924038" w:rsidRDefault="00123FC8" w:rsidP="00CB0085">
      <w:pPr>
        <w:pStyle w:val="ParaNumbering"/>
      </w:pPr>
      <w:r>
        <w:t>The evidence is that</w:t>
      </w:r>
      <w:r w:rsidR="00CB0085" w:rsidRPr="00924038">
        <w:t xml:space="preserve"> as at 6 April 2018</w:t>
      </w:r>
      <w:r w:rsidR="00C85AC7">
        <w:t>,</w:t>
      </w:r>
      <w:r w:rsidR="00CB0085" w:rsidRPr="00924038">
        <w:t xml:space="preserve"> 311 investors had signed with ILP18 and Vannin (being 103 Perera Funded GMs and 208 McTaggart Funded GMs), and hundreds of othe</w:t>
      </w:r>
      <w:r>
        <w:t xml:space="preserve">rs had registered.  By contrast, </w:t>
      </w:r>
      <w:r w:rsidR="00CB0085" w:rsidRPr="00924038">
        <w:t>no investors have signed with Therium (not even Mr Webb).</w:t>
      </w:r>
    </w:p>
    <w:p w:rsidR="00481F0C" w:rsidRPr="00924038" w:rsidRDefault="003614D7" w:rsidP="00481F0C">
      <w:pPr>
        <w:pStyle w:val="ParaNumbering"/>
      </w:pPr>
      <w:r w:rsidRPr="00924038">
        <w:t>The McTaggart applicants suggest the result in</w:t>
      </w:r>
      <w:r w:rsidR="002F01E6" w:rsidRPr="00924038">
        <w:t xml:space="preserve"> </w:t>
      </w:r>
      <w:r w:rsidR="002F01E6" w:rsidRPr="00924038">
        <w:rPr>
          <w:i/>
        </w:rPr>
        <w:t>Bellamy’s</w:t>
      </w:r>
      <w:r w:rsidRPr="00924038">
        <w:rPr>
          <w:i/>
        </w:rPr>
        <w:t xml:space="preserve"> </w:t>
      </w:r>
      <w:r w:rsidRPr="00924038">
        <w:t xml:space="preserve">was </w:t>
      </w:r>
      <w:r w:rsidR="00123FC8">
        <w:t>“</w:t>
      </w:r>
      <w:r w:rsidRPr="00A65DBA">
        <w:rPr>
          <w:i/>
        </w:rPr>
        <w:t>neutral</w:t>
      </w:r>
      <w:r w:rsidR="00123FC8">
        <w:t>”</w:t>
      </w:r>
      <w:r w:rsidRPr="00924038">
        <w:t xml:space="preserve">, </w:t>
      </w:r>
      <w:r w:rsidR="002F01E6" w:rsidRPr="00924038">
        <w:t xml:space="preserve">similar numbers having signed up with </w:t>
      </w:r>
      <w:r w:rsidR="00123FC8">
        <w:t>the two relevant funders</w:t>
      </w:r>
      <w:r w:rsidR="002F01E6" w:rsidRPr="00924038">
        <w:t xml:space="preserve">.  </w:t>
      </w:r>
      <w:r w:rsidR="00267A8A" w:rsidRPr="00924038">
        <w:t xml:space="preserve">They further suggested </w:t>
      </w:r>
      <w:r w:rsidR="00A65DBA">
        <w:t xml:space="preserve">that </w:t>
      </w:r>
      <w:r w:rsidR="00267A8A" w:rsidRPr="00924038">
        <w:t xml:space="preserve">this case </w:t>
      </w:r>
      <w:r w:rsidR="002F01E6" w:rsidRPr="00924038">
        <w:t xml:space="preserve">is different because more than 200 investors have signed with Vannin, approximately half </w:t>
      </w:r>
      <w:r w:rsidR="00A65DBA">
        <w:t xml:space="preserve">that number </w:t>
      </w:r>
      <w:r w:rsidR="002F01E6" w:rsidRPr="00924038">
        <w:t>with ILP18, and none with Therium.</w:t>
      </w:r>
      <w:r w:rsidR="00656B0F" w:rsidRPr="00924038">
        <w:t xml:space="preserve">  </w:t>
      </w:r>
      <w:r w:rsidR="00123FC8">
        <w:t xml:space="preserve">I think I can put this somewhat Gilbertian use of statistics to one side.  </w:t>
      </w:r>
      <w:r w:rsidR="00656B0F" w:rsidRPr="00924038">
        <w:t>For reasons I have already explained in the previous section</w:t>
      </w:r>
      <w:r w:rsidR="003377FA" w:rsidRPr="00924038">
        <w:t>,</w:t>
      </w:r>
      <w:r w:rsidR="00656B0F" w:rsidRPr="00924038">
        <w:t xml:space="preserve"> the number of persons who have been bound to funding agreements is very different from the position in </w:t>
      </w:r>
      <w:r w:rsidR="00656B0F" w:rsidRPr="00924038">
        <w:rPr>
          <w:i/>
        </w:rPr>
        <w:t>Bellamy’s</w:t>
      </w:r>
      <w:r w:rsidR="00123FC8">
        <w:t xml:space="preserve"> because the sign up is so small</w:t>
      </w:r>
      <w:r w:rsidR="00F32988" w:rsidRPr="00924038">
        <w:t xml:space="preserve">.  </w:t>
      </w:r>
    </w:p>
    <w:p w:rsidR="00481F0C" w:rsidRPr="00924038" w:rsidRDefault="00481F0C" w:rsidP="00481F0C">
      <w:pPr>
        <w:pStyle w:val="Heading2"/>
      </w:pPr>
      <w:bookmarkStart w:id="63" w:name="_Ref514405632"/>
      <w:r w:rsidRPr="00924038">
        <w:t>F</w:t>
      </w:r>
      <w:r w:rsidR="00905ABC" w:rsidRPr="00924038">
        <w:t>.</w:t>
      </w:r>
      <w:r w:rsidRPr="00924038">
        <w:t>10</w:t>
      </w:r>
      <w:r w:rsidRPr="00924038">
        <w:tab/>
        <w:t>Moral Hazard and Absence of Deadlock Provision</w:t>
      </w:r>
      <w:bookmarkEnd w:id="63"/>
    </w:p>
    <w:p w:rsidR="00481F0C" w:rsidRPr="00924038" w:rsidRDefault="00664826" w:rsidP="00481F0C">
      <w:pPr>
        <w:pStyle w:val="ParaNumbering"/>
      </w:pPr>
      <w:r w:rsidRPr="00924038">
        <w:t xml:space="preserve">One issue raised by the McTaggart applicants was that </w:t>
      </w:r>
      <w:r w:rsidR="00A65DBA">
        <w:t xml:space="preserve">a moral hazard was created through </w:t>
      </w:r>
      <w:r w:rsidRPr="00924038">
        <w:t xml:space="preserve">the absence of any funding agreement which contained some </w:t>
      </w:r>
      <w:r w:rsidR="001773ED" w:rsidRPr="00924038">
        <w:t xml:space="preserve">control, conflict and </w:t>
      </w:r>
      <w:r w:rsidR="00A65DBA">
        <w:t>“</w:t>
      </w:r>
      <w:r w:rsidRPr="00A65DBA">
        <w:rPr>
          <w:i/>
        </w:rPr>
        <w:t>deadlock</w:t>
      </w:r>
      <w:r w:rsidR="00A65DBA">
        <w:t>”</w:t>
      </w:r>
      <w:r w:rsidRPr="00924038">
        <w:t xml:space="preserve"> provision</w:t>
      </w:r>
      <w:r w:rsidR="001773ED" w:rsidRPr="00924038">
        <w:t>s guarding</w:t>
      </w:r>
      <w:r w:rsidRPr="00924038">
        <w:t xml:space="preserve"> against </w:t>
      </w:r>
      <w:r w:rsidR="00F926C4" w:rsidRPr="00924038">
        <w:t xml:space="preserve">a funder having an inappropriate role in providing instructions as </w:t>
      </w:r>
      <w:r w:rsidR="00F926C4" w:rsidRPr="00924038">
        <w:lastRenderedPageBreak/>
        <w:t xml:space="preserve">to settlement.  When this is combined with the structure of the proposed </w:t>
      </w:r>
      <w:r w:rsidR="00A65DBA" w:rsidRPr="00924038">
        <w:t xml:space="preserve">Therium </w:t>
      </w:r>
      <w:r w:rsidR="00F926C4" w:rsidRPr="00924038">
        <w:t xml:space="preserve">funding which, according to the McTaggart applicants, does not provide an incentive to maximise recovery </w:t>
      </w:r>
      <w:r w:rsidR="00A65DBA">
        <w:t>for</w:t>
      </w:r>
      <w:r w:rsidR="00F926C4" w:rsidRPr="00924038">
        <w:t xml:space="preserve"> group members, the suggestion is that this creates a </w:t>
      </w:r>
      <w:r w:rsidR="004300A5">
        <w:t>spectre to be avoided</w:t>
      </w:r>
      <w:r w:rsidR="00F926C4" w:rsidRPr="00924038">
        <w:t>.</w:t>
      </w:r>
    </w:p>
    <w:p w:rsidR="001773ED" w:rsidRPr="00924038" w:rsidRDefault="004300A5" w:rsidP="00407117">
      <w:pPr>
        <w:pStyle w:val="ParaNumbering"/>
      </w:pPr>
      <w:r>
        <w:t xml:space="preserve">Reference was made to </w:t>
      </w:r>
      <w:r w:rsidR="001773ED" w:rsidRPr="00924038">
        <w:t xml:space="preserve">the two-tiered commission structure proposed under </w:t>
      </w:r>
      <w:r w:rsidR="00A65DBA">
        <w:t>Mr</w:t>
      </w:r>
      <w:r w:rsidR="001773ED" w:rsidRPr="00924038">
        <w:t xml:space="preserve"> Webb</w:t>
      </w:r>
      <w:r w:rsidR="00A65DBA">
        <w:t>’s</w:t>
      </w:r>
      <w:r w:rsidR="001773ED" w:rsidRPr="00924038">
        <w:t xml:space="preserve"> common fund order</w:t>
      </w:r>
      <w:r w:rsidR="00A65DBA">
        <w:t>,</w:t>
      </w:r>
      <w:r>
        <w:t xml:space="preserve"> to which I will make detailed reference in </w:t>
      </w:r>
      <w:r w:rsidR="00A65DBA">
        <w:t>S</w:t>
      </w:r>
      <w:r>
        <w:t>ection H.4 below</w:t>
      </w:r>
      <w:r w:rsidR="001773ED" w:rsidRPr="00924038">
        <w:t xml:space="preserve">.  The example was used of </w:t>
      </w:r>
      <w:r w:rsidR="00A65DBA">
        <w:t xml:space="preserve">a </w:t>
      </w:r>
      <w:r w:rsidR="00B1647F" w:rsidRPr="00924038">
        <w:t xml:space="preserve">proposed settlement </w:t>
      </w:r>
      <w:r w:rsidR="00407117" w:rsidRPr="00924038">
        <w:t xml:space="preserve">of $18.5 million </w:t>
      </w:r>
      <w:r w:rsidR="001773ED" w:rsidRPr="00924038">
        <w:t xml:space="preserve">after service of Mr Webb’s evidence, </w:t>
      </w:r>
      <w:r w:rsidR="00B1647F" w:rsidRPr="00924038">
        <w:t>if</w:t>
      </w:r>
      <w:r w:rsidR="001773ED" w:rsidRPr="00924038">
        <w:t xml:space="preserve"> the costs actually incurred by Mr Webb </w:t>
      </w:r>
      <w:r w:rsidR="00B1647F" w:rsidRPr="00924038">
        <w:t>we</w:t>
      </w:r>
      <w:r w:rsidR="001773ED" w:rsidRPr="00924038">
        <w:t>re those estimated by C</w:t>
      </w:r>
      <w:r w:rsidR="00B1647F" w:rsidRPr="00924038">
        <w:t xml:space="preserve">CW and SPB </w:t>
      </w:r>
      <w:r w:rsidR="001773ED" w:rsidRPr="00924038">
        <w:t xml:space="preserve">of </w:t>
      </w:r>
      <w:r w:rsidR="00B1647F" w:rsidRPr="00924038">
        <w:t xml:space="preserve">around </w:t>
      </w:r>
      <w:r w:rsidR="001773ED" w:rsidRPr="00924038">
        <w:t>$2</w:t>
      </w:r>
      <w:r w:rsidR="00B1647F" w:rsidRPr="00924038">
        <w:t xml:space="preserve"> </w:t>
      </w:r>
      <w:r w:rsidR="001773ED" w:rsidRPr="00924038">
        <w:t>m</w:t>
      </w:r>
      <w:r w:rsidR="00B1647F" w:rsidRPr="00924038">
        <w:t xml:space="preserve">illion.  Each of the proposed commission structures </w:t>
      </w:r>
      <w:r w:rsidR="001773ED" w:rsidRPr="00924038">
        <w:t>proposed</w:t>
      </w:r>
      <w:r w:rsidR="001773ED" w:rsidRPr="00A65DBA">
        <w:t xml:space="preserve"> </w:t>
      </w:r>
      <w:r w:rsidR="00B1647F" w:rsidRPr="00A65DBA">
        <w:t xml:space="preserve">by Mr </w:t>
      </w:r>
      <w:r w:rsidR="001773ED" w:rsidRPr="00924038">
        <w:t>Webb</w:t>
      </w:r>
      <w:r w:rsidR="001773ED" w:rsidRPr="00A65DBA">
        <w:t xml:space="preserve"> </w:t>
      </w:r>
      <w:r w:rsidR="00B1647F" w:rsidRPr="00A65DBA">
        <w:t xml:space="preserve">(the </w:t>
      </w:r>
      <w:r w:rsidR="001773ED" w:rsidRPr="00924038">
        <w:t>“</w:t>
      </w:r>
      <w:r w:rsidR="001773ED" w:rsidRPr="00A65DBA">
        <w:rPr>
          <w:i/>
        </w:rPr>
        <w:t>costs multiple</w:t>
      </w:r>
      <w:r w:rsidR="001773ED" w:rsidRPr="00924038">
        <w:t>”</w:t>
      </w:r>
      <w:r w:rsidR="001773ED" w:rsidRPr="00A65DBA">
        <w:t xml:space="preserve"> </w:t>
      </w:r>
      <w:r w:rsidR="001773ED" w:rsidRPr="00924038">
        <w:t>basis</w:t>
      </w:r>
      <w:r w:rsidR="001773ED" w:rsidRPr="00A65DBA">
        <w:t xml:space="preserve"> </w:t>
      </w:r>
      <w:r w:rsidR="00B1647F" w:rsidRPr="00A65DBA">
        <w:t xml:space="preserve">and </w:t>
      </w:r>
      <w:r w:rsidR="001773ED" w:rsidRPr="00924038">
        <w:t>the</w:t>
      </w:r>
      <w:r w:rsidR="001773ED" w:rsidRPr="00A65DBA">
        <w:t xml:space="preserve"> </w:t>
      </w:r>
      <w:r w:rsidR="001773ED" w:rsidRPr="00924038">
        <w:t>“</w:t>
      </w:r>
      <w:r w:rsidR="001773ED" w:rsidRPr="00A65DBA">
        <w:rPr>
          <w:i/>
        </w:rPr>
        <w:t>net litigation proceeds</w:t>
      </w:r>
      <w:r w:rsidR="001773ED" w:rsidRPr="00924038">
        <w:t>”</w:t>
      </w:r>
      <w:r w:rsidR="001773ED" w:rsidRPr="00A65DBA">
        <w:t xml:space="preserve"> </w:t>
      </w:r>
      <w:r w:rsidR="00B1647F" w:rsidRPr="00924038">
        <w:t>basi</w:t>
      </w:r>
      <w:r w:rsidR="001773ED" w:rsidRPr="00924038">
        <w:t>s</w:t>
      </w:r>
      <w:r w:rsidR="00B1647F" w:rsidRPr="00A65DBA">
        <w:t xml:space="preserve">) </w:t>
      </w:r>
      <w:r w:rsidR="001773ED" w:rsidRPr="00924038">
        <w:t>wou</w:t>
      </w:r>
      <w:r w:rsidR="00B1647F" w:rsidRPr="00924038">
        <w:t xml:space="preserve">ld both </w:t>
      </w:r>
      <w:r w:rsidR="002D17BD" w:rsidRPr="00924038">
        <w:t>render</w:t>
      </w:r>
      <w:r w:rsidR="00B1647F" w:rsidRPr="00924038">
        <w:t xml:space="preserve"> a sum of </w:t>
      </w:r>
      <w:r w:rsidR="00B1647F" w:rsidRPr="00A65DBA">
        <w:t xml:space="preserve">$3.3 million. </w:t>
      </w:r>
      <w:r w:rsidR="00B1647F" w:rsidRPr="00924038">
        <w:t xml:space="preserve"> B</w:t>
      </w:r>
      <w:r w:rsidR="001773ED" w:rsidRPr="00924038">
        <w:t xml:space="preserve">ecause </w:t>
      </w:r>
      <w:r w:rsidR="00A65DBA">
        <w:t>Mr</w:t>
      </w:r>
      <w:r w:rsidR="001773ED" w:rsidRPr="00924038">
        <w:t xml:space="preserve"> Webb</w:t>
      </w:r>
      <w:r w:rsidR="00A65DBA">
        <w:t>’s</w:t>
      </w:r>
      <w:r w:rsidR="001773ED" w:rsidRPr="00924038">
        <w:t xml:space="preserve"> proposal allows Therium the lower of those two bases, Therium’s</w:t>
      </w:r>
      <w:r w:rsidR="001773ED" w:rsidRPr="00A65DBA">
        <w:t xml:space="preserve"> </w:t>
      </w:r>
      <w:r w:rsidR="001773ED" w:rsidRPr="00924038">
        <w:t>return</w:t>
      </w:r>
      <w:r w:rsidR="001773ED" w:rsidRPr="00A65DBA">
        <w:t xml:space="preserve"> </w:t>
      </w:r>
      <w:r w:rsidR="001773ED" w:rsidRPr="00924038">
        <w:t>would</w:t>
      </w:r>
      <w:r w:rsidR="001773ED" w:rsidRPr="00A65DBA">
        <w:t xml:space="preserve"> </w:t>
      </w:r>
      <w:r w:rsidR="001773ED" w:rsidRPr="00924038">
        <w:t>not</w:t>
      </w:r>
      <w:r w:rsidR="001773ED" w:rsidRPr="00A65DBA">
        <w:t xml:space="preserve"> </w:t>
      </w:r>
      <w:r w:rsidR="001773ED" w:rsidRPr="00924038">
        <w:t>increase</w:t>
      </w:r>
      <w:r w:rsidR="001773ED" w:rsidRPr="00A65DBA">
        <w:t xml:space="preserve"> </w:t>
      </w:r>
      <w:r w:rsidR="001773ED" w:rsidRPr="00924038">
        <w:t>if</w:t>
      </w:r>
      <w:r w:rsidR="001773ED" w:rsidRPr="00A65DBA">
        <w:t xml:space="preserve"> </w:t>
      </w:r>
      <w:r w:rsidR="001773ED" w:rsidRPr="00924038">
        <w:t>the</w:t>
      </w:r>
      <w:r w:rsidR="001773ED" w:rsidRPr="00A65DBA">
        <w:t xml:space="preserve"> </w:t>
      </w:r>
      <w:r w:rsidR="001773ED" w:rsidRPr="00924038">
        <w:t>gross</w:t>
      </w:r>
      <w:r w:rsidR="001773ED" w:rsidRPr="00A65DBA">
        <w:t xml:space="preserve"> </w:t>
      </w:r>
      <w:r w:rsidR="001773ED" w:rsidRPr="00924038">
        <w:t>settlement</w:t>
      </w:r>
      <w:r w:rsidR="001773ED" w:rsidRPr="00A65DBA">
        <w:t xml:space="preserve"> </w:t>
      </w:r>
      <w:r w:rsidR="001773ED" w:rsidRPr="00924038">
        <w:t>figure</w:t>
      </w:r>
      <w:r w:rsidR="001773ED" w:rsidRPr="00A65DBA">
        <w:t xml:space="preserve"> </w:t>
      </w:r>
      <w:r w:rsidR="001773ED" w:rsidRPr="00924038">
        <w:t>were</w:t>
      </w:r>
      <w:r w:rsidR="001773ED" w:rsidRPr="00A65DBA">
        <w:t xml:space="preserve"> </w:t>
      </w:r>
      <w:r w:rsidR="001773ED" w:rsidRPr="00924038">
        <w:t>increased</w:t>
      </w:r>
      <w:r w:rsidR="001773ED" w:rsidRPr="00A65DBA">
        <w:t xml:space="preserve"> </w:t>
      </w:r>
      <w:r w:rsidR="001773ED" w:rsidRPr="00924038">
        <w:t>above</w:t>
      </w:r>
      <w:r w:rsidR="00407117" w:rsidRPr="00924038">
        <w:t xml:space="preserve"> </w:t>
      </w:r>
      <w:r w:rsidR="001773ED" w:rsidRPr="00924038">
        <w:t>$18.5m</w:t>
      </w:r>
      <w:r w:rsidR="00407117" w:rsidRPr="00924038">
        <w:t xml:space="preserve"> as</w:t>
      </w:r>
      <w:r w:rsidR="00A65DBA">
        <w:t>,</w:t>
      </w:r>
      <w:r w:rsidR="00407117" w:rsidRPr="00924038">
        <w:t xml:space="preserve"> </w:t>
      </w:r>
      <w:r>
        <w:t xml:space="preserve">in </w:t>
      </w:r>
      <w:r w:rsidR="001773ED" w:rsidRPr="00924038">
        <w:t xml:space="preserve">all gross settlement figures above $18.5m, Therium would be capped by the </w:t>
      </w:r>
      <w:r w:rsidR="00A65DBA">
        <w:t>‘</w:t>
      </w:r>
      <w:r w:rsidR="001773ED" w:rsidRPr="00924038">
        <w:t>costs multiple</w:t>
      </w:r>
      <w:r w:rsidR="00A65DBA">
        <w:t>’</w:t>
      </w:r>
      <w:r w:rsidR="001773ED" w:rsidRPr="00924038">
        <w:t xml:space="preserve"> basis, and Therium would have no economic incentive to pursue a</w:t>
      </w:r>
      <w:r w:rsidR="002D17BD" w:rsidRPr="00924038">
        <w:t xml:space="preserve"> greater</w:t>
      </w:r>
      <w:r w:rsidR="001773ED" w:rsidRPr="00924038">
        <w:t xml:space="preserve"> gros</w:t>
      </w:r>
      <w:r w:rsidR="002D17BD" w:rsidRPr="00924038">
        <w:t>s settlement figure</w:t>
      </w:r>
      <w:r w:rsidR="001773ED" w:rsidRPr="00924038">
        <w:t>.</w:t>
      </w:r>
      <w:r w:rsidR="00407117" w:rsidRPr="00924038">
        <w:t xml:space="preserve">  </w:t>
      </w:r>
      <w:r w:rsidR="001773ED" w:rsidRPr="00924038">
        <w:t xml:space="preserve">This </w:t>
      </w:r>
      <w:r w:rsidR="00407117" w:rsidRPr="00924038">
        <w:t>was said to introduce</w:t>
      </w:r>
      <w:r w:rsidR="001773ED" w:rsidRPr="00924038">
        <w:t xml:space="preserve"> a potential conflict of interest between Therium on the one hand</w:t>
      </w:r>
      <w:r w:rsidR="00A65DBA">
        <w:t>,</w:t>
      </w:r>
      <w:r w:rsidR="001773ED" w:rsidRPr="00924038">
        <w:t xml:space="preserve"> and Mr</w:t>
      </w:r>
      <w:r w:rsidR="001773ED" w:rsidRPr="00A65DBA">
        <w:t xml:space="preserve"> </w:t>
      </w:r>
      <w:r w:rsidR="001773ED" w:rsidRPr="00924038">
        <w:t>Webb</w:t>
      </w:r>
      <w:r w:rsidR="001773ED" w:rsidRPr="00A65DBA">
        <w:t xml:space="preserve"> </w:t>
      </w:r>
      <w:r w:rsidR="001773ED" w:rsidRPr="00924038">
        <w:t>and</w:t>
      </w:r>
      <w:r w:rsidR="001773ED" w:rsidRPr="00A65DBA">
        <w:t xml:space="preserve"> </w:t>
      </w:r>
      <w:r w:rsidR="001773ED" w:rsidRPr="00924038">
        <w:t>the</w:t>
      </w:r>
      <w:r w:rsidR="001773ED" w:rsidRPr="00A65DBA">
        <w:t xml:space="preserve"> </w:t>
      </w:r>
      <w:r w:rsidR="001773ED" w:rsidRPr="00924038">
        <w:t>group</w:t>
      </w:r>
      <w:r w:rsidR="001773ED" w:rsidRPr="00A65DBA">
        <w:t xml:space="preserve"> </w:t>
      </w:r>
      <w:r w:rsidR="001773ED" w:rsidRPr="00924038">
        <w:t>members</w:t>
      </w:r>
      <w:r w:rsidR="001773ED" w:rsidRPr="00A65DBA">
        <w:t xml:space="preserve"> </w:t>
      </w:r>
      <w:r w:rsidR="001773ED" w:rsidRPr="00924038">
        <w:t>on</w:t>
      </w:r>
      <w:r w:rsidR="001773ED" w:rsidRPr="00A65DBA">
        <w:t xml:space="preserve"> </w:t>
      </w:r>
      <w:r w:rsidR="001773ED" w:rsidRPr="00924038">
        <w:t>the</w:t>
      </w:r>
      <w:r w:rsidR="001773ED" w:rsidRPr="00A65DBA">
        <w:t xml:space="preserve"> </w:t>
      </w:r>
      <w:r w:rsidR="001773ED" w:rsidRPr="00924038">
        <w:t>other</w:t>
      </w:r>
      <w:proofErr w:type="gramStart"/>
      <w:r w:rsidR="001773ED" w:rsidRPr="00924038">
        <w:t>.</w:t>
      </w:r>
      <w:r w:rsidR="001773ED" w:rsidRPr="00A65DBA">
        <w:t xml:space="preserve"> </w:t>
      </w:r>
      <w:proofErr w:type="gramEnd"/>
      <w:r w:rsidR="00407117" w:rsidRPr="00924038">
        <w:t>The question was posed: a</w:t>
      </w:r>
      <w:r w:rsidR="001773ED" w:rsidRPr="00924038">
        <w:t>ssume</w:t>
      </w:r>
      <w:r w:rsidR="001773ED" w:rsidRPr="00A65DBA">
        <w:t xml:space="preserve"> </w:t>
      </w:r>
      <w:r w:rsidR="001773ED" w:rsidRPr="00924038">
        <w:t>Mr</w:t>
      </w:r>
      <w:r w:rsidR="001773ED" w:rsidRPr="00A65DBA">
        <w:t xml:space="preserve"> </w:t>
      </w:r>
      <w:r w:rsidR="001773ED" w:rsidRPr="00924038">
        <w:t>Webb</w:t>
      </w:r>
      <w:r w:rsidR="001773ED" w:rsidRPr="00A65DBA">
        <w:t xml:space="preserve"> </w:t>
      </w:r>
      <w:r w:rsidR="001773ED" w:rsidRPr="00924038">
        <w:t>or</w:t>
      </w:r>
      <w:r w:rsidR="001773ED" w:rsidRPr="00A65DBA">
        <w:t xml:space="preserve"> </w:t>
      </w:r>
      <w:r w:rsidR="001773ED" w:rsidRPr="00924038">
        <w:t>the</w:t>
      </w:r>
      <w:r w:rsidR="001773ED" w:rsidRPr="00A65DBA">
        <w:t xml:space="preserve"> </w:t>
      </w:r>
      <w:r w:rsidR="001773ED" w:rsidRPr="00924038">
        <w:t>group</w:t>
      </w:r>
      <w:r w:rsidR="001773ED" w:rsidRPr="00A65DBA">
        <w:t xml:space="preserve"> </w:t>
      </w:r>
      <w:r w:rsidR="001773ED" w:rsidRPr="00924038">
        <w:t>would</w:t>
      </w:r>
      <w:r w:rsidR="00407117" w:rsidRPr="00924038">
        <w:t xml:space="preserve"> </w:t>
      </w:r>
      <w:r w:rsidR="001773ED" w:rsidRPr="00924038">
        <w:t xml:space="preserve">like to settle for more than $18.5m, but </w:t>
      </w:r>
      <w:r w:rsidR="00407117" w:rsidRPr="00924038">
        <w:t xml:space="preserve">Therium </w:t>
      </w:r>
      <w:r w:rsidR="001773ED" w:rsidRPr="00924038">
        <w:t xml:space="preserve">is happy with $18.5m, because </w:t>
      </w:r>
      <w:r w:rsidRPr="00924038">
        <w:t>Therium</w:t>
      </w:r>
      <w:r>
        <w:t xml:space="preserve"> wishes to trouser its commission and</w:t>
      </w:r>
      <w:r w:rsidR="001773ED" w:rsidRPr="00924038">
        <w:t xml:space="preserve"> knows it will not receive anything more </w:t>
      </w:r>
      <w:r>
        <w:t xml:space="preserve">by settling for a higher amount? </w:t>
      </w:r>
      <w:r w:rsidR="001773ED" w:rsidRPr="00924038">
        <w:t xml:space="preserve"> Who resolves the</w:t>
      </w:r>
      <w:r w:rsidR="001773ED" w:rsidRPr="00A65DBA">
        <w:t xml:space="preserve"> </w:t>
      </w:r>
      <w:r w:rsidR="001773ED" w:rsidRPr="00924038">
        <w:t>deadlock?</w:t>
      </w:r>
      <w:r w:rsidR="001773ED" w:rsidRPr="00A65DBA">
        <w:t xml:space="preserve"> </w:t>
      </w:r>
      <w:r w:rsidRPr="00A65DBA">
        <w:t xml:space="preserve"> </w:t>
      </w:r>
      <w:r w:rsidR="001773ED" w:rsidRPr="00924038">
        <w:t>And</w:t>
      </w:r>
      <w:r w:rsidR="001773ED" w:rsidRPr="00A65DBA">
        <w:t xml:space="preserve"> </w:t>
      </w:r>
      <w:r w:rsidR="001773ED" w:rsidRPr="00924038">
        <w:t>how?</w:t>
      </w:r>
      <w:r w:rsidR="001773ED" w:rsidRPr="00A65DBA">
        <w:t xml:space="preserve"> </w:t>
      </w:r>
      <w:r w:rsidR="00407117" w:rsidRPr="00A65DBA">
        <w:t xml:space="preserve"> </w:t>
      </w:r>
      <w:r w:rsidR="001773ED" w:rsidRPr="00924038">
        <w:t>The</w:t>
      </w:r>
      <w:r w:rsidR="001773ED" w:rsidRPr="00A65DBA">
        <w:t xml:space="preserve"> </w:t>
      </w:r>
      <w:r w:rsidR="001773ED" w:rsidRPr="00924038">
        <w:t>Court</w:t>
      </w:r>
      <w:r w:rsidR="00407117" w:rsidRPr="00924038">
        <w:t>, it was submitted,</w:t>
      </w:r>
      <w:r w:rsidR="001773ED" w:rsidRPr="00A65DBA">
        <w:t xml:space="preserve"> </w:t>
      </w:r>
      <w:r w:rsidR="001773ED" w:rsidRPr="00924038">
        <w:t>does</w:t>
      </w:r>
      <w:r w:rsidR="001773ED" w:rsidRPr="00A65DBA">
        <w:t xml:space="preserve"> </w:t>
      </w:r>
      <w:r w:rsidR="001773ED" w:rsidRPr="00924038">
        <w:t>not</w:t>
      </w:r>
      <w:r w:rsidR="001773ED" w:rsidRPr="00A65DBA">
        <w:t xml:space="preserve"> </w:t>
      </w:r>
      <w:r w:rsidR="001773ED" w:rsidRPr="00924038">
        <w:t>and</w:t>
      </w:r>
      <w:r w:rsidR="001773ED" w:rsidRPr="00A65DBA">
        <w:t xml:space="preserve"> </w:t>
      </w:r>
      <w:r w:rsidR="001773ED" w:rsidRPr="00924038">
        <w:t>cannot</w:t>
      </w:r>
      <w:r w:rsidR="001773ED" w:rsidRPr="00A65DBA">
        <w:t xml:space="preserve"> </w:t>
      </w:r>
      <w:r w:rsidR="001773ED" w:rsidRPr="00924038">
        <w:t>know,</w:t>
      </w:r>
      <w:r w:rsidR="001773ED" w:rsidRPr="00A65DBA">
        <w:t xml:space="preserve"> </w:t>
      </w:r>
      <w:r w:rsidR="001773ED" w:rsidRPr="00924038">
        <w:t>because</w:t>
      </w:r>
      <w:r w:rsidR="001773ED" w:rsidRPr="00A65DBA">
        <w:t xml:space="preserve"> </w:t>
      </w:r>
      <w:r w:rsidR="001773ED" w:rsidRPr="00924038">
        <w:t>there</w:t>
      </w:r>
      <w:r w:rsidR="001773ED" w:rsidRPr="00A65DBA">
        <w:t xml:space="preserve"> </w:t>
      </w:r>
      <w:r w:rsidR="001773ED" w:rsidRPr="00924038">
        <w:t>is</w:t>
      </w:r>
      <w:r w:rsidR="001773ED" w:rsidRPr="00A65DBA">
        <w:t xml:space="preserve"> </w:t>
      </w:r>
      <w:r w:rsidR="001773ED" w:rsidRPr="00924038">
        <w:t>no</w:t>
      </w:r>
      <w:r w:rsidR="001773ED" w:rsidRPr="00A65DBA">
        <w:t xml:space="preserve"> </w:t>
      </w:r>
      <w:r w:rsidR="001773ED" w:rsidRPr="00924038">
        <w:t>Webb litigation funding agreement in</w:t>
      </w:r>
      <w:r w:rsidR="001773ED" w:rsidRPr="00A65DBA">
        <w:t xml:space="preserve"> </w:t>
      </w:r>
      <w:r>
        <w:t>evidence.</w:t>
      </w:r>
    </w:p>
    <w:p w:rsidR="00F926C4" w:rsidRPr="00924038" w:rsidRDefault="00F926C4" w:rsidP="00481F0C">
      <w:pPr>
        <w:pStyle w:val="ParaNumbering"/>
      </w:pPr>
      <w:r w:rsidRPr="00924038">
        <w:t xml:space="preserve">I </w:t>
      </w:r>
      <w:r w:rsidR="004300A5">
        <w:t xml:space="preserve">will explain </w:t>
      </w:r>
      <w:r w:rsidR="003377FA" w:rsidRPr="00924038">
        <w:t xml:space="preserve">why I consider the two-tiered funding model to have </w:t>
      </w:r>
      <w:r w:rsidR="00A65DBA">
        <w:t xml:space="preserve">a </w:t>
      </w:r>
      <w:r w:rsidR="004300A5">
        <w:t xml:space="preserve">significant </w:t>
      </w:r>
      <w:r w:rsidR="00551530" w:rsidRPr="00924038">
        <w:t xml:space="preserve">advantage </w:t>
      </w:r>
      <w:r w:rsidR="004300A5">
        <w:t xml:space="preserve">when </w:t>
      </w:r>
      <w:r w:rsidR="003377FA" w:rsidRPr="00924038">
        <w:t>compared to a simple percentage commission</w:t>
      </w:r>
      <w:r w:rsidR="004300A5">
        <w:t xml:space="preserve"> model below</w:t>
      </w:r>
      <w:r w:rsidR="003377FA" w:rsidRPr="00924038">
        <w:t xml:space="preserve">, but irrespective of my preference for this model, I </w:t>
      </w:r>
      <w:r w:rsidRPr="00924038">
        <w:t xml:space="preserve">do not believe that this criticism has merit for </w:t>
      </w:r>
      <w:r w:rsidR="004300A5">
        <w:t xml:space="preserve">at least </w:t>
      </w:r>
      <w:r w:rsidRPr="00924038">
        <w:t>t</w:t>
      </w:r>
      <w:r w:rsidR="004300A5">
        <w:t>wo</w:t>
      </w:r>
      <w:r w:rsidRPr="00924038">
        <w:t xml:space="preserve"> reasons.  The </w:t>
      </w:r>
      <w:r w:rsidRPr="00A65DBA">
        <w:rPr>
          <w:i/>
        </w:rPr>
        <w:t>first</w:t>
      </w:r>
      <w:r w:rsidRPr="00924038">
        <w:t xml:space="preserve"> is that any common fund order will set out the terms of the funding which will make it plain that the solicitors are to act on the instructions of the applicant and not on the instructions of the funder (although the funder will have a right to be consulted).  If the funder wishes to withdraw the funding pursuant to the common fund order then it would need to make an application to do so if it disagrees with the instructions being given by the applicant.  There is no reason for me to doubt that the applicant will not give adequate instructions or that the solicitors will not follow them.  The </w:t>
      </w:r>
      <w:r w:rsidRPr="00A65DBA">
        <w:rPr>
          <w:i/>
        </w:rPr>
        <w:t>second</w:t>
      </w:r>
      <w:r w:rsidRPr="00924038">
        <w:t xml:space="preserve"> reason for rejecting the argument </w:t>
      </w:r>
      <w:r w:rsidR="00A449F0">
        <w:t>has connexion to the</w:t>
      </w:r>
      <w:r w:rsidRPr="00924038">
        <w:t xml:space="preserve"> first.  On any settlement</w:t>
      </w:r>
      <w:r w:rsidR="00A65DBA">
        <w:t>,</w:t>
      </w:r>
      <w:r w:rsidRPr="00924038">
        <w:t xml:space="preserve"> the solicitors in the Webb Proceeding and counsel (including senio</w:t>
      </w:r>
      <w:r w:rsidR="00A65DBA">
        <w:t>r counsel)</w:t>
      </w:r>
      <w:r w:rsidRPr="00924038">
        <w:t xml:space="preserve"> would need to advance </w:t>
      </w:r>
      <w:proofErr w:type="gramStart"/>
      <w:r w:rsidRPr="00924038">
        <w:t>a</w:t>
      </w:r>
      <w:proofErr w:type="gramEnd"/>
      <w:r w:rsidRPr="00924038">
        <w:t xml:space="preserve"> s 33V </w:t>
      </w:r>
      <w:r w:rsidRPr="00924038">
        <w:lastRenderedPageBreak/>
        <w:t xml:space="preserve">application in order for settlement to be secured.  This would invariably involve those lawyers forming the view, conscientiously, that the settlement the subject of the application was fair, reasonable and in the interests of all group members.  It would be a plain breach of any contractual duty to the applicant and the fiduciary duties the lawyers owe to group members to prefer the interests of the funder in those circumstances.  This is leaving aside the fact that to </w:t>
      </w:r>
      <w:r w:rsidR="004C278B" w:rsidRPr="00924038">
        <w:t xml:space="preserve">present </w:t>
      </w:r>
      <w:r w:rsidRPr="00924038">
        <w:t xml:space="preserve">falsely to the Court their view that the settlement was fair and reasonable would </w:t>
      </w:r>
      <w:r w:rsidR="00A65DBA">
        <w:t xml:space="preserve">also </w:t>
      </w:r>
      <w:r w:rsidRPr="00924038">
        <w:t>be a breach of duty.</w:t>
      </w:r>
    </w:p>
    <w:p w:rsidR="00F926C4" w:rsidRPr="00924038" w:rsidRDefault="00F926C4" w:rsidP="00481F0C">
      <w:pPr>
        <w:pStyle w:val="ParaNumbering"/>
      </w:pPr>
      <w:r w:rsidRPr="00924038">
        <w:t>In response t</w:t>
      </w:r>
      <w:r w:rsidR="00407117" w:rsidRPr="00924038">
        <w:t>o this</w:t>
      </w:r>
      <w:r w:rsidR="00A65DBA">
        <w:t>,</w:t>
      </w:r>
      <w:r w:rsidR="00407117" w:rsidRPr="00924038">
        <w:t xml:space="preserve"> t</w:t>
      </w:r>
      <w:r w:rsidRPr="00924038">
        <w:t xml:space="preserve">he McTaggart applicants say, correctly, that there can be a range of settlements which might be regarded as fair and reasonable in </w:t>
      </w:r>
      <w:r w:rsidR="00E05EF9" w:rsidRPr="00924038">
        <w:t>the interests of group members and the Court should ensure that any funding terms are struck in such a way as to maximise the recovery to group members within that range.  Again I think this concern is significantly</w:t>
      </w:r>
      <w:r w:rsidR="002D17BD" w:rsidRPr="00924038">
        <w:t xml:space="preserve"> overstated.  It would be </w:t>
      </w:r>
      <w:r w:rsidR="00E05EF9" w:rsidRPr="00924038">
        <w:t xml:space="preserve">wrong for those acting for </w:t>
      </w:r>
      <w:r w:rsidR="00A65DBA">
        <w:t>Mr</w:t>
      </w:r>
      <w:r w:rsidR="00E05EF9" w:rsidRPr="00924038">
        <w:t xml:space="preserve"> Webb, should the Webb Proceeding go forward, for it to settle at a figure less than they believe can be recovered from </w:t>
      </w:r>
      <w:r w:rsidR="00407117" w:rsidRPr="00924038">
        <w:t>GetSwift</w:t>
      </w:r>
      <w:r w:rsidR="00E05EF9" w:rsidRPr="00924038">
        <w:t xml:space="preserve"> on any settlement just because </w:t>
      </w:r>
      <w:r w:rsidR="00A65DBA">
        <w:t>there is no ‘commercial incentive’</w:t>
      </w:r>
      <w:r w:rsidR="002D17BD" w:rsidRPr="00924038">
        <w:t xml:space="preserve"> for the funder to achieve more</w:t>
      </w:r>
      <w:r w:rsidR="00E05EF9" w:rsidRPr="00924038">
        <w:t>.</w:t>
      </w:r>
    </w:p>
    <w:p w:rsidR="00407117" w:rsidRPr="006A4BAD" w:rsidRDefault="00E05EF9" w:rsidP="00407117">
      <w:pPr>
        <w:pStyle w:val="ParaNumbering"/>
      </w:pPr>
      <w:r w:rsidRPr="006A4BAD">
        <w:t>In making these comments</w:t>
      </w:r>
      <w:r w:rsidR="00A65DBA" w:rsidRPr="006A4BAD">
        <w:t>,</w:t>
      </w:r>
      <w:r w:rsidRPr="006A4BAD">
        <w:t xml:space="preserve"> I am not seeking to ignore the issues that I raised at the </w:t>
      </w:r>
      <w:r w:rsidR="00A65DBA" w:rsidRPr="006A4BAD">
        <w:t>I</w:t>
      </w:r>
      <w:r w:rsidRPr="006A4BAD">
        <w:t xml:space="preserve">ntroduction about the </w:t>
      </w:r>
      <w:r w:rsidR="002D17BD" w:rsidRPr="006A4BAD">
        <w:t xml:space="preserve">risk </w:t>
      </w:r>
      <w:r w:rsidRPr="006A4BAD">
        <w:t xml:space="preserve">that the interests of group members </w:t>
      </w:r>
      <w:r w:rsidR="002D17BD" w:rsidRPr="006A4BAD">
        <w:t>do not necessarily coincide with</w:t>
      </w:r>
      <w:r w:rsidRPr="006A4BAD">
        <w:t xml:space="preserve"> </w:t>
      </w:r>
      <w:r w:rsidR="00A65DBA" w:rsidRPr="006A4BAD">
        <w:t>those of funders</w:t>
      </w:r>
      <w:r w:rsidRPr="006A4BAD">
        <w:t xml:space="preserve">.  </w:t>
      </w:r>
      <w:r w:rsidR="00407117" w:rsidRPr="006A4BAD">
        <w:t>Anyone experienced in class action settlements would know that irrespective of commission structure, tensions can and do sometimes arise between the commercial interests of funders in finalising a settlement and applicants and/or the lawyers</w:t>
      </w:r>
      <w:r w:rsidR="00365C7D" w:rsidRPr="006A4BAD">
        <w:t>,</w:t>
      </w:r>
      <w:r w:rsidR="00407117" w:rsidRPr="006A4BAD">
        <w:t xml:space="preserve"> who believe that a greater sum can be achieved for group members.  </w:t>
      </w:r>
      <w:r w:rsidR="002D17BD" w:rsidRPr="006A4BAD">
        <w:t xml:space="preserve">These issues need to be managed by persons who owe duties to both the group members and also, importantly, to the Court.  </w:t>
      </w:r>
      <w:r w:rsidR="00407117" w:rsidRPr="006A4BAD">
        <w:t xml:space="preserve">Common fund orders will safeguard the position of resolving </w:t>
      </w:r>
      <w:r w:rsidR="002D17BD" w:rsidRPr="006A4BAD">
        <w:t xml:space="preserve">any </w:t>
      </w:r>
      <w:r w:rsidR="00407117" w:rsidRPr="006A4BAD">
        <w:t xml:space="preserve">conflicts </w:t>
      </w:r>
      <w:r w:rsidR="002D17BD" w:rsidRPr="006A4BAD">
        <w:t xml:space="preserve">that may arise just </w:t>
      </w:r>
      <w:r w:rsidR="00407117" w:rsidRPr="006A4BAD">
        <w:t xml:space="preserve">as well as any </w:t>
      </w:r>
      <w:r w:rsidR="002D17BD" w:rsidRPr="006A4BAD">
        <w:t xml:space="preserve">contractual mechanism in a </w:t>
      </w:r>
      <w:r w:rsidR="00407117" w:rsidRPr="006A4BAD">
        <w:t>funding agreement.</w:t>
      </w:r>
    </w:p>
    <w:p w:rsidR="002D17BD" w:rsidRPr="00924038" w:rsidRDefault="00407117" w:rsidP="002D17BD">
      <w:pPr>
        <w:pStyle w:val="ParaNumbering"/>
      </w:pPr>
      <w:r w:rsidRPr="00924038">
        <w:t xml:space="preserve">Although pressure to settle can be subconscious, </w:t>
      </w:r>
      <w:r w:rsidR="00E05EF9" w:rsidRPr="00924038">
        <w:t>given the identity of the lawyers in this case</w:t>
      </w:r>
      <w:r w:rsidRPr="00924038">
        <w:t>,</w:t>
      </w:r>
      <w:r w:rsidR="00E05EF9" w:rsidRPr="00924038">
        <w:t xml:space="preserve"> I have no doubt that one can put entirely to one side the notion </w:t>
      </w:r>
      <w:r w:rsidR="001E7CBD" w:rsidRPr="00924038">
        <w:t xml:space="preserve">that there would be a </w:t>
      </w:r>
      <w:r w:rsidR="00E05EF9" w:rsidRPr="00924038">
        <w:t>disregard of the</w:t>
      </w:r>
      <w:r w:rsidR="002D17BD" w:rsidRPr="00924038">
        <w:t>se duties</w:t>
      </w:r>
      <w:r w:rsidR="00E05EF9" w:rsidRPr="00924038">
        <w:t xml:space="preserve">.  Having said </w:t>
      </w:r>
      <w:r w:rsidRPr="00924038">
        <w:t xml:space="preserve">this, </w:t>
      </w:r>
      <w:r w:rsidR="00E05EF9" w:rsidRPr="00924038">
        <w:t>it would be the role of the Court to scrutinise c</w:t>
      </w:r>
      <w:r w:rsidR="009368DA" w:rsidRPr="00924038">
        <w:t>arefully any settlement</w:t>
      </w:r>
      <w:r w:rsidR="001E7CBD" w:rsidRPr="00924038">
        <w:t xml:space="preserve">.  </w:t>
      </w:r>
      <w:r w:rsidR="00E05EF9" w:rsidRPr="00924038">
        <w:t>I do not believe</w:t>
      </w:r>
      <w:r w:rsidR="001E7CBD" w:rsidRPr="00924038">
        <w:t xml:space="preserve"> that the moral hazard </w:t>
      </w:r>
      <w:r w:rsidR="00E05EF9" w:rsidRPr="00924038">
        <w:t xml:space="preserve">suggested creates any </w:t>
      </w:r>
      <w:r w:rsidR="001E7CBD" w:rsidRPr="00924038">
        <w:t xml:space="preserve">realistic prospect of a greater risk that a funder will attempt to drive a sub-optimal settlement and that lawyers will act, contrary to their duty, </w:t>
      </w:r>
      <w:r w:rsidR="00CC4B39">
        <w:t>to fall</w:t>
      </w:r>
      <w:r w:rsidR="001E7CBD" w:rsidRPr="00924038">
        <w:t xml:space="preserve"> in with such an approach.  </w:t>
      </w:r>
      <w:r w:rsidR="009368DA" w:rsidRPr="00924038">
        <w:t>More particularly</w:t>
      </w:r>
      <w:r w:rsidR="002D17BD" w:rsidRPr="00924038">
        <w:t>, I do not consider the two-tiered structure in the Webb Proceeding means it is any more likely that these conflicts will not be able to be adequately managed.  Commercial drivers impacting the funder may be as various as there are funders</w:t>
      </w:r>
      <w:r w:rsidR="00CC4B39">
        <w:t>;</w:t>
      </w:r>
      <w:r w:rsidR="002D17BD" w:rsidRPr="00924038">
        <w:t xml:space="preserve"> for listed funders</w:t>
      </w:r>
      <w:r w:rsidR="009368DA" w:rsidRPr="00924038">
        <w:t>,</w:t>
      </w:r>
      <w:r w:rsidR="002D17BD" w:rsidRPr="00924038">
        <w:t xml:space="preserve"> </w:t>
      </w:r>
      <w:r w:rsidR="002D17BD" w:rsidRPr="00924038">
        <w:lastRenderedPageBreak/>
        <w:t>reporting dates may be important</w:t>
      </w:r>
      <w:r w:rsidR="009368DA" w:rsidRPr="00924038">
        <w:t>;</w:t>
      </w:r>
      <w:r w:rsidR="002D17BD" w:rsidRPr="00924038">
        <w:t xml:space="preserve"> </w:t>
      </w:r>
      <w:r w:rsidR="009368DA" w:rsidRPr="00924038">
        <w:t>f</w:t>
      </w:r>
      <w:r w:rsidR="002D17BD" w:rsidRPr="00924038">
        <w:t>or smaller funders</w:t>
      </w:r>
      <w:r w:rsidR="009368DA" w:rsidRPr="00924038">
        <w:t>,</w:t>
      </w:r>
      <w:r w:rsidR="002D17BD" w:rsidRPr="00924038">
        <w:t xml:space="preserve"> </w:t>
      </w:r>
      <w:r w:rsidR="009368DA" w:rsidRPr="00924038">
        <w:t>the need to obtain working capital quickly to fund another opportunity may be important.  Tensions can arise for a variety of reasons, but what matters is that those with duties do their job.</w:t>
      </w:r>
      <w:r w:rsidR="002D17BD" w:rsidRPr="00924038">
        <w:t xml:space="preserve"> </w:t>
      </w:r>
    </w:p>
    <w:p w:rsidR="00481F0C" w:rsidRPr="00924038" w:rsidRDefault="001E7CBD" w:rsidP="00407117">
      <w:pPr>
        <w:pStyle w:val="ParaNumbering"/>
      </w:pPr>
      <w:r w:rsidRPr="00924038">
        <w:t>Accordingly, this factor does not, in my view, loom as significant</w:t>
      </w:r>
      <w:r w:rsidR="00CC4B39">
        <w:t xml:space="preserve"> in the present circumstances</w:t>
      </w:r>
      <w:r w:rsidR="00E05EF9" w:rsidRPr="00924038">
        <w:t>.</w:t>
      </w:r>
    </w:p>
    <w:p w:rsidR="00481F0C" w:rsidRPr="00924038" w:rsidRDefault="00481F0C" w:rsidP="00481F0C">
      <w:pPr>
        <w:pStyle w:val="Heading2"/>
      </w:pPr>
      <w:bookmarkStart w:id="64" w:name="_Ref514405633"/>
      <w:r w:rsidRPr="00924038">
        <w:t>F</w:t>
      </w:r>
      <w:r w:rsidR="00905ABC" w:rsidRPr="00924038">
        <w:t>.</w:t>
      </w:r>
      <w:r w:rsidRPr="00924038">
        <w:t>11</w:t>
      </w:r>
      <w:r w:rsidRPr="00924038">
        <w:tab/>
        <w:t>Estimated Cost</w:t>
      </w:r>
      <w:bookmarkEnd w:id="64"/>
    </w:p>
    <w:p w:rsidR="00481F0C" w:rsidRPr="00924038" w:rsidRDefault="00064A07" w:rsidP="00946420">
      <w:pPr>
        <w:pStyle w:val="ParaNumbering"/>
      </w:pPr>
      <w:r w:rsidRPr="00924038">
        <w:t xml:space="preserve">I deal with comparative estimated returns </w:t>
      </w:r>
      <w:r w:rsidR="004300A5">
        <w:t xml:space="preserve">to the class </w:t>
      </w:r>
      <w:r w:rsidRPr="00924038">
        <w:t xml:space="preserve">in Section H </w:t>
      </w:r>
      <w:r w:rsidR="00551530" w:rsidRPr="00924038">
        <w:t>below</w:t>
      </w:r>
      <w:r w:rsidRPr="00924038">
        <w:t xml:space="preserve"> and, as would be expected, a significant element </w:t>
      </w:r>
      <w:r w:rsidR="00CC4B39">
        <w:t>in</w:t>
      </w:r>
      <w:r w:rsidRPr="00924038">
        <w:t xml:space="preserve"> calculating estimated returns is an estimate of the costs that will be incurred in the proceeding.  </w:t>
      </w:r>
      <w:r w:rsidR="001B49D6" w:rsidRPr="00924038">
        <w:t xml:space="preserve">The </w:t>
      </w:r>
      <w:r w:rsidR="0046748A" w:rsidRPr="00924038">
        <w:t>estimated</w:t>
      </w:r>
      <w:r w:rsidR="006C525C" w:rsidRPr="00924038">
        <w:t xml:space="preserve"> costs wil</w:t>
      </w:r>
      <w:r w:rsidR="004300A5">
        <w:t>l be explained in detail in</w:t>
      </w:r>
      <w:r w:rsidR="006C525C" w:rsidRPr="00924038">
        <w:t xml:space="preserve"> </w:t>
      </w:r>
      <w:r w:rsidR="004300A5">
        <w:t xml:space="preserve">that section </w:t>
      </w:r>
      <w:r w:rsidR="006C525C" w:rsidRPr="00924038">
        <w:t xml:space="preserve">of the reasons, </w:t>
      </w:r>
      <w:r w:rsidR="00946420" w:rsidRPr="00924038">
        <w:t xml:space="preserve">introduced by </w:t>
      </w:r>
      <w:r w:rsidR="006C525C" w:rsidRPr="00924038">
        <w:t>separate comments about how I have used the evidence as to costs given by the solicitors</w:t>
      </w:r>
      <w:r w:rsidR="00946420" w:rsidRPr="00924038">
        <w:t xml:space="preserve">. </w:t>
      </w:r>
    </w:p>
    <w:p w:rsidR="00481F0C" w:rsidRPr="00924038" w:rsidRDefault="00481F0C" w:rsidP="00481F0C">
      <w:pPr>
        <w:pStyle w:val="Heading2"/>
      </w:pPr>
      <w:bookmarkStart w:id="65" w:name="_Ref514405634"/>
      <w:r w:rsidRPr="00924038">
        <w:t>F</w:t>
      </w:r>
      <w:r w:rsidR="00905ABC" w:rsidRPr="00924038">
        <w:t>.</w:t>
      </w:r>
      <w:r w:rsidRPr="00924038">
        <w:t>12</w:t>
      </w:r>
      <w:r w:rsidRPr="00924038">
        <w:tab/>
        <w:t>Measures for Controlling Legal Costs</w:t>
      </w:r>
      <w:bookmarkEnd w:id="65"/>
    </w:p>
    <w:p w:rsidR="00A76426" w:rsidRPr="00924038" w:rsidRDefault="00A76426" w:rsidP="00A76426">
      <w:pPr>
        <w:pStyle w:val="ParaNumbering"/>
      </w:pPr>
      <w:r w:rsidRPr="00924038">
        <w:t xml:space="preserve">I made mention above to the fact that </w:t>
      </w:r>
      <w:r w:rsidR="00A85C30">
        <w:t>Mr Webb</w:t>
      </w:r>
      <w:r w:rsidRPr="00924038">
        <w:t xml:space="preserve"> </w:t>
      </w:r>
      <w:r w:rsidRPr="00CC4B39">
        <w:t>ask</w:t>
      </w:r>
      <w:r w:rsidR="00A85C30" w:rsidRPr="00CC4B39">
        <w:t>s</w:t>
      </w:r>
      <w:r w:rsidRPr="00CC4B39">
        <w:t xml:space="preserve"> the Court to appoint a referee to conduct periodic reviews of the reasonableness of Mr Webb</w:t>
      </w:r>
      <w:r w:rsidR="00CC4B39">
        <w:t>’</w:t>
      </w:r>
      <w:r w:rsidRPr="00CC4B39">
        <w:t>s legal costs, with only those costs assessed as reasonable being costs included for part-payment of Mr Webb</w:t>
      </w:r>
      <w:r w:rsidR="00CC4B39">
        <w:t>’</w:t>
      </w:r>
      <w:r w:rsidRPr="00CC4B39">
        <w:t>s legal costs.</w:t>
      </w:r>
    </w:p>
    <w:p w:rsidR="00481F0C" w:rsidRPr="00924038" w:rsidRDefault="00656B0F" w:rsidP="00481F0C">
      <w:pPr>
        <w:pStyle w:val="ParaNumbering"/>
      </w:pPr>
      <w:r w:rsidRPr="00924038">
        <w:t>This novel suggestion</w:t>
      </w:r>
      <w:r w:rsidR="003377FA" w:rsidRPr="00924038">
        <w:t>, which provides an important safeguard in the context of a two-tiered commission structure,</w:t>
      </w:r>
      <w:r w:rsidRPr="00924038">
        <w:t xml:space="preserve"> was unique to the Webb Proceeding although each other applicant was open to the idea of a referee being appointed at the time of settlement to exercise a measure of control over legal costs.  I should say at the outset that the criticism level</w:t>
      </w:r>
      <w:r w:rsidR="00506EDD">
        <w:t>led at</w:t>
      </w:r>
      <w:r w:rsidR="004300A5">
        <w:t xml:space="preserve"> the Webb proposal that interim control by</w:t>
      </w:r>
      <w:r w:rsidRPr="00924038">
        <w:t xml:space="preserve"> </w:t>
      </w:r>
      <w:r w:rsidR="00506EDD">
        <w:t xml:space="preserve">a referee </w:t>
      </w:r>
      <w:r w:rsidRPr="00924038">
        <w:t>would create an additional cost during the course of the proceeding</w:t>
      </w:r>
      <w:r w:rsidR="001755CC">
        <w:t xml:space="preserve"> is one that is misconceived</w:t>
      </w:r>
      <w:r w:rsidRPr="00924038">
        <w:t xml:space="preserve">.  The ongoing involvement of a referee as proposed would serve to obviate the necessity for a referee </w:t>
      </w:r>
      <w:r w:rsidR="00551530" w:rsidRPr="00924038">
        <w:t xml:space="preserve">or independent cost consultant </w:t>
      </w:r>
      <w:r w:rsidRPr="00924038">
        <w:t xml:space="preserve">to go back </w:t>
      </w:r>
      <w:r w:rsidR="00CC4B39" w:rsidRPr="00924038">
        <w:t xml:space="preserve">at </w:t>
      </w:r>
      <w:proofErr w:type="gramStart"/>
      <w:r w:rsidR="00CC4B39" w:rsidRPr="00924038">
        <w:t>a</w:t>
      </w:r>
      <w:proofErr w:type="gramEnd"/>
      <w:r w:rsidR="00CC4B39" w:rsidRPr="00924038">
        <w:t xml:space="preserve"> s 33V stage </w:t>
      </w:r>
      <w:r w:rsidRPr="00924038">
        <w:t xml:space="preserve">and check all the costs incurred during the course of the proceeding.  Indeed the proposal has a </w:t>
      </w:r>
      <w:r w:rsidR="00551530" w:rsidRPr="00924038">
        <w:t xml:space="preserve">very </w:t>
      </w:r>
      <w:r w:rsidRPr="00924038">
        <w:t xml:space="preserve">considerable advantage in that it would allow </w:t>
      </w:r>
      <w:r w:rsidR="008C62DF" w:rsidRPr="00924038">
        <w:t>for an</w:t>
      </w:r>
      <w:r w:rsidRPr="00924038">
        <w:t xml:space="preserve"> iterative process with </w:t>
      </w:r>
      <w:r w:rsidR="00551530" w:rsidRPr="00924038">
        <w:t xml:space="preserve">a </w:t>
      </w:r>
      <w:r w:rsidRPr="00924038">
        <w:t xml:space="preserve">referee </w:t>
      </w:r>
      <w:r w:rsidR="00551530" w:rsidRPr="00924038">
        <w:t xml:space="preserve">making interim reports and where, on adoption, </w:t>
      </w:r>
      <w:r w:rsidRPr="00924038">
        <w:t xml:space="preserve">some guidance could be provided to the solicitors to ensure that any practice which was </w:t>
      </w:r>
      <w:r w:rsidR="00B06D51">
        <w:t>resulting in</w:t>
      </w:r>
      <w:r w:rsidRPr="00924038">
        <w:t xml:space="preserve"> unnecessary costs would be addressed at an early stage.</w:t>
      </w:r>
    </w:p>
    <w:p w:rsidR="00656B0F" w:rsidRPr="00924038" w:rsidRDefault="00656B0F" w:rsidP="00FE0782">
      <w:pPr>
        <w:pStyle w:val="ParaNumbering"/>
      </w:pPr>
      <w:r w:rsidRPr="00924038">
        <w:t xml:space="preserve">One only </w:t>
      </w:r>
      <w:proofErr w:type="gramStart"/>
      <w:r w:rsidRPr="00924038">
        <w:t>needs</w:t>
      </w:r>
      <w:proofErr w:type="gramEnd"/>
      <w:r w:rsidRPr="00924038">
        <w:t xml:space="preserve"> to think of the way in which </w:t>
      </w:r>
      <w:r w:rsidR="00B06D51">
        <w:t xml:space="preserve">obtaining information as to precisely what occurred within the company during the relevant period </w:t>
      </w:r>
      <w:r w:rsidRPr="00924038">
        <w:t>is an important part of these types of</w:t>
      </w:r>
      <w:r w:rsidR="008C62DF" w:rsidRPr="00924038">
        <w:t xml:space="preserve"> cases</w:t>
      </w:r>
      <w:r w:rsidR="00B06D51">
        <w:t>,</w:t>
      </w:r>
      <w:r w:rsidR="008C62DF" w:rsidRPr="00924038">
        <w:t xml:space="preserve"> to </w:t>
      </w:r>
      <w:r w:rsidR="00CC4B39">
        <w:t>see</w:t>
      </w:r>
      <w:r w:rsidR="008C62DF" w:rsidRPr="00924038">
        <w:t xml:space="preserve"> how </w:t>
      </w:r>
      <w:r w:rsidR="0098675C">
        <w:t>this may be of practical benefit</w:t>
      </w:r>
      <w:r w:rsidRPr="00924038">
        <w:t>.  Each of the proposal</w:t>
      </w:r>
      <w:r w:rsidR="008C62DF" w:rsidRPr="00924038">
        <w:t>s</w:t>
      </w:r>
      <w:r w:rsidRPr="00924038">
        <w:t xml:space="preserve"> for costs made by </w:t>
      </w:r>
      <w:r w:rsidRPr="00924038">
        <w:lastRenderedPageBreak/>
        <w:t xml:space="preserve">the applicants </w:t>
      </w:r>
      <w:r w:rsidR="001973A4" w:rsidRPr="00924038">
        <w:t xml:space="preserve">has implicit within it the need for a </w:t>
      </w:r>
      <w:r w:rsidR="008C62DF" w:rsidRPr="00924038">
        <w:t xml:space="preserve">significant </w:t>
      </w:r>
      <w:r w:rsidR="001973A4" w:rsidRPr="00924038">
        <w:t xml:space="preserve">review to be undertaken of discovered documents provided by GetSwift.  </w:t>
      </w:r>
      <w:r w:rsidR="0098675C">
        <w:t xml:space="preserve">Addressing </w:t>
      </w:r>
      <w:r w:rsidR="0098675C" w:rsidRPr="00924038">
        <w:t xml:space="preserve">information asymmetry between the applicant and the respondent </w:t>
      </w:r>
      <w:r w:rsidR="001973A4" w:rsidRPr="00924038">
        <w:t xml:space="preserve">is an important part of securities class actions.  Discovery costs in these cases can quickly </w:t>
      </w:r>
      <w:r w:rsidR="008C62DF" w:rsidRPr="00924038">
        <w:t>spiral,</w:t>
      </w:r>
      <w:r w:rsidR="001973A4" w:rsidRPr="00924038">
        <w:t xml:space="preserve"> particularly if the scope of discovery is too large and </w:t>
      </w:r>
      <w:r w:rsidR="008C62DF" w:rsidRPr="00924038">
        <w:t>primary</w:t>
      </w:r>
      <w:r w:rsidR="001973A4" w:rsidRPr="00924038">
        <w:t xml:space="preserve"> and second</w:t>
      </w:r>
      <w:r w:rsidR="008C62DF" w:rsidRPr="00924038">
        <w:t>ary</w:t>
      </w:r>
      <w:r w:rsidR="001973A4" w:rsidRPr="00924038">
        <w:t xml:space="preserve"> reviews of documents are </w:t>
      </w:r>
      <w:r w:rsidR="008C62DF" w:rsidRPr="00924038">
        <w:t xml:space="preserve">conducted </w:t>
      </w:r>
      <w:r w:rsidR="001973A4" w:rsidRPr="00924038">
        <w:t xml:space="preserve">by </w:t>
      </w:r>
      <w:r w:rsidR="008C62DF" w:rsidRPr="00924038">
        <w:t>employees of</w:t>
      </w:r>
      <w:r w:rsidR="001973A4" w:rsidRPr="00924038">
        <w:t xml:space="preserve"> firms of solicitors </w:t>
      </w:r>
      <w:r w:rsidR="008C62DF" w:rsidRPr="00924038">
        <w:t>who</w:t>
      </w:r>
      <w:r w:rsidR="001973A4" w:rsidRPr="00924038">
        <w:t xml:space="preserve"> may not have sufficient </w:t>
      </w:r>
      <w:r w:rsidR="008C62DF" w:rsidRPr="00924038">
        <w:t xml:space="preserve">expertise and seniority to make </w:t>
      </w:r>
      <w:r w:rsidR="001973A4" w:rsidRPr="00924038">
        <w:t xml:space="preserve">decisions to </w:t>
      </w:r>
      <w:r w:rsidR="004137C1">
        <w:t xml:space="preserve">weed out irrelevant documents.  </w:t>
      </w:r>
      <w:r w:rsidR="002A00D1" w:rsidRPr="00924038">
        <w:t xml:space="preserve">No doubt </w:t>
      </w:r>
      <w:r w:rsidR="00551530" w:rsidRPr="00924038">
        <w:t xml:space="preserve">a </w:t>
      </w:r>
      <w:r w:rsidR="008C62DF" w:rsidRPr="00924038">
        <w:t xml:space="preserve">costs </w:t>
      </w:r>
      <w:r w:rsidR="002A00D1" w:rsidRPr="00924038">
        <w:t>referee</w:t>
      </w:r>
      <w:r w:rsidR="00551530" w:rsidRPr="00924038">
        <w:t>,</w:t>
      </w:r>
      <w:r w:rsidR="002A00D1" w:rsidRPr="00924038">
        <w:t xml:space="preserve"> </w:t>
      </w:r>
      <w:r w:rsidR="00551530" w:rsidRPr="00924038">
        <w:t>in assessing reasonableness</w:t>
      </w:r>
      <w:r w:rsidR="0098675C">
        <w:t xml:space="preserve"> on an ongoing basis</w:t>
      </w:r>
      <w:r w:rsidR="00551530" w:rsidRPr="00924038">
        <w:t xml:space="preserve">, </w:t>
      </w:r>
      <w:r w:rsidR="002A00D1" w:rsidRPr="00924038">
        <w:t xml:space="preserve">would be conscious that </w:t>
      </w:r>
      <w:r w:rsidR="001755CC">
        <w:t xml:space="preserve">there might be </w:t>
      </w:r>
      <w:r w:rsidR="002A00D1" w:rsidRPr="00924038">
        <w:t xml:space="preserve">significant costs savings </w:t>
      </w:r>
      <w:r w:rsidR="00A01C56">
        <w:t xml:space="preserve">in having more </w:t>
      </w:r>
      <w:r w:rsidR="004137C1" w:rsidRPr="00CC4B39">
        <w:t xml:space="preserve">targeted </w:t>
      </w:r>
      <w:r w:rsidR="002A00D1" w:rsidRPr="00CC4B39">
        <w:t>reviews</w:t>
      </w:r>
      <w:r w:rsidR="00CC4B39">
        <w:t>,</w:t>
      </w:r>
      <w:r w:rsidR="00A01C56" w:rsidRPr="00CC4B39">
        <w:t xml:space="preserve"> with documents perhaps being refined by coders or artificial intelligence experts.  Similarly, no doubt if the scope of documents to be produced was </w:t>
      </w:r>
      <w:r w:rsidR="001755CC" w:rsidRPr="00CC4B39">
        <w:t xml:space="preserve">well </w:t>
      </w:r>
      <w:r w:rsidR="00A01C56" w:rsidRPr="00CC4B39">
        <w:t>delineated</w:t>
      </w:r>
      <w:r w:rsidR="008C62DF" w:rsidRPr="00CC4B39">
        <w:t xml:space="preserve">, </w:t>
      </w:r>
      <w:r w:rsidR="00CC4B39">
        <w:t>junior barristers</w:t>
      </w:r>
      <w:r w:rsidR="00A01C56" w:rsidRPr="00CC4B39">
        <w:t xml:space="preserve"> </w:t>
      </w:r>
      <w:r w:rsidR="008C62DF" w:rsidRPr="00CC4B39">
        <w:t>might</w:t>
      </w:r>
      <w:r w:rsidR="002A00D1" w:rsidRPr="00CC4B39">
        <w:t xml:space="preserve"> be in a better position</w:t>
      </w:r>
      <w:r w:rsidR="002A00D1" w:rsidRPr="00924038">
        <w:t xml:space="preserve"> to make forensic judgmen</w:t>
      </w:r>
      <w:r w:rsidR="0098675C">
        <w:t xml:space="preserve">ts than </w:t>
      </w:r>
      <w:r w:rsidR="002A00D1" w:rsidRPr="00924038">
        <w:t xml:space="preserve">junior solicitors </w:t>
      </w:r>
      <w:r w:rsidR="008C62DF" w:rsidRPr="00924038">
        <w:t xml:space="preserve">or paralegals </w:t>
      </w:r>
      <w:r w:rsidR="002A00D1" w:rsidRPr="00924038">
        <w:t xml:space="preserve">who may be charging at a higher </w:t>
      </w:r>
      <w:r w:rsidR="00A01C56">
        <w:t xml:space="preserve">time costing </w:t>
      </w:r>
      <w:r w:rsidR="002A00D1" w:rsidRPr="00924038">
        <w:t xml:space="preserve">rate.  </w:t>
      </w:r>
      <w:r w:rsidR="004137C1">
        <w:t>I</w:t>
      </w:r>
      <w:r w:rsidR="0098675C">
        <w:t>t would also allow a form of intervention if costs were starting to rise unreasonably and prevent the Court being pres</w:t>
      </w:r>
      <w:r w:rsidR="001755CC">
        <w:t>ented, at a later</w:t>
      </w:r>
      <w:r w:rsidR="0098675C">
        <w:t xml:space="preserve"> s 33V hearing, with a result which, if not a </w:t>
      </w:r>
      <w:r w:rsidR="0098675C" w:rsidRPr="00CC4B39">
        <w:rPr>
          <w:i/>
        </w:rPr>
        <w:t>fait accompli</w:t>
      </w:r>
      <w:r w:rsidR="0098675C">
        <w:t xml:space="preserve">, is potentially difficult to </w:t>
      </w:r>
      <w:r w:rsidR="001755CC">
        <w:t xml:space="preserve">then </w:t>
      </w:r>
      <w:r w:rsidR="0098675C">
        <w:t>address.  I</w:t>
      </w:r>
      <w:r w:rsidR="004137C1">
        <w:t xml:space="preserve"> pause to remark that </w:t>
      </w:r>
      <w:r w:rsidR="001755CC">
        <w:t xml:space="preserve">broad discovery (let alone </w:t>
      </w:r>
      <w:r w:rsidR="004137C1">
        <w:t>serried ranks of paralegals and junior solicitors in airless room</w:t>
      </w:r>
      <w:r w:rsidR="0098675C">
        <w:t>s</w:t>
      </w:r>
      <w:r w:rsidR="004137C1">
        <w:t xml:space="preserve"> </w:t>
      </w:r>
      <w:r w:rsidR="004137C1" w:rsidRPr="00CC4B39">
        <w:t xml:space="preserve">ploughing </w:t>
      </w:r>
      <w:r w:rsidR="008F33C7" w:rsidRPr="00CC4B39">
        <w:t>doughtily</w:t>
      </w:r>
      <w:r w:rsidR="004137C1" w:rsidRPr="008F33C7">
        <w:t xml:space="preserve"> </w:t>
      </w:r>
      <w:r w:rsidR="004137C1">
        <w:t xml:space="preserve">but </w:t>
      </w:r>
      <w:r w:rsidR="008F33C7">
        <w:t>joyless</w:t>
      </w:r>
      <w:r w:rsidR="004137C1">
        <w:t>ly through vast reams of documents</w:t>
      </w:r>
      <w:r w:rsidR="001755CC">
        <w:t>)</w:t>
      </w:r>
      <w:r w:rsidR="004137C1">
        <w:t xml:space="preserve"> may not be the optimal way of redressing the information asymmetry</w:t>
      </w:r>
      <w:r w:rsidR="0098675C">
        <w:t>,</w:t>
      </w:r>
      <w:r w:rsidR="004137C1">
        <w:t xml:space="preserve"> but this </w:t>
      </w:r>
      <w:r w:rsidR="0098675C">
        <w:t xml:space="preserve">topic </w:t>
      </w:r>
      <w:r w:rsidR="004137C1">
        <w:t xml:space="preserve">can </w:t>
      </w:r>
      <w:r w:rsidR="00A01C56">
        <w:t xml:space="preserve">be </w:t>
      </w:r>
      <w:r w:rsidR="008F33C7">
        <w:t>left to one side presently</w:t>
      </w:r>
      <w:r w:rsidR="004137C1">
        <w:t xml:space="preserve">. </w:t>
      </w:r>
      <w:r w:rsidR="0098675C">
        <w:t xml:space="preserve"> </w:t>
      </w:r>
      <w:r w:rsidR="002A00D1" w:rsidRPr="00924038">
        <w:t>In any event</w:t>
      </w:r>
      <w:r w:rsidR="008C62DF" w:rsidRPr="00924038">
        <w:t>,</w:t>
      </w:r>
      <w:r w:rsidR="0098675C">
        <w:t xml:space="preserve"> a heightened discipline over interlocutory steps such as discovery, by requiring a referee to</w:t>
      </w:r>
      <w:r w:rsidR="001755CC">
        <w:t>, in effect,</w:t>
      </w:r>
      <w:r w:rsidR="0098675C">
        <w:t xml:space="preserve"> sign off before such work is recoverable,</w:t>
      </w:r>
      <w:r w:rsidR="002A00D1" w:rsidRPr="00924038">
        <w:t xml:space="preserve"> is just </w:t>
      </w:r>
      <w:r w:rsidR="00551530" w:rsidRPr="00924038">
        <w:t xml:space="preserve">one </w:t>
      </w:r>
      <w:r w:rsidR="002A00D1" w:rsidRPr="00924038">
        <w:t xml:space="preserve">illustration of the </w:t>
      </w:r>
      <w:r w:rsidR="0098675C">
        <w:t xml:space="preserve">real </w:t>
      </w:r>
      <w:r w:rsidR="002A00D1" w:rsidRPr="00924038">
        <w:t>utility</w:t>
      </w:r>
      <w:r w:rsidR="00A01C56" w:rsidRPr="00A01C56">
        <w:t xml:space="preserve"> </w:t>
      </w:r>
      <w:r w:rsidR="00C35A27">
        <w:t xml:space="preserve">in </w:t>
      </w:r>
      <w:r w:rsidR="00A01C56" w:rsidRPr="00924038">
        <w:t xml:space="preserve">the unprompted suggestion made by the solicitors for </w:t>
      </w:r>
      <w:r w:rsidR="00A01C56">
        <w:t>Mr Webb</w:t>
      </w:r>
      <w:r w:rsidR="002A00D1" w:rsidRPr="00924038">
        <w:t xml:space="preserve">.  </w:t>
      </w:r>
    </w:p>
    <w:p w:rsidR="00F116EF" w:rsidRPr="00924038" w:rsidRDefault="008C62DF" w:rsidP="00FE0782">
      <w:pPr>
        <w:pStyle w:val="ParaNumbering"/>
      </w:pPr>
      <w:r w:rsidRPr="00924038">
        <w:t>Connected to this topic</w:t>
      </w:r>
      <w:r w:rsidR="00F116EF" w:rsidRPr="00924038">
        <w:t xml:space="preserve"> was a proposal which emerged in relation to </w:t>
      </w:r>
      <w:r w:rsidR="00551530" w:rsidRPr="00924038">
        <w:t xml:space="preserve">a </w:t>
      </w:r>
      <w:r w:rsidR="008F33C7">
        <w:t xml:space="preserve">submission that there needed to be some protection from </w:t>
      </w:r>
      <w:r w:rsidR="00F116EF" w:rsidRPr="00924038">
        <w:t xml:space="preserve">costs estimates being given which were based on unrealistic </w:t>
      </w:r>
      <w:proofErr w:type="gramStart"/>
      <w:r w:rsidR="00F116EF" w:rsidRPr="00924038">
        <w:t>assumptions.</w:t>
      </w:r>
      <w:proofErr w:type="gramEnd"/>
      <w:r w:rsidR="00F116EF" w:rsidRPr="00924038">
        <w:t xml:space="preserve">  </w:t>
      </w:r>
      <w:r w:rsidR="008F33C7">
        <w:t>For reasons I will come to, I think this problem is addressed by the Court making a sensible estimate based on common assumptions a</w:t>
      </w:r>
      <w:r w:rsidR="00030640">
        <w:t>nd the evidence a</w:t>
      </w:r>
      <w:r w:rsidR="008F33C7">
        <w:t xml:space="preserve">s to </w:t>
      </w:r>
      <w:r w:rsidR="00030640">
        <w:t>estimated</w:t>
      </w:r>
      <w:r w:rsidR="008F33C7">
        <w:t xml:space="preserve"> costs for the purpose of working out likely returns generated by different funding models, but during oral submissions</w:t>
      </w:r>
      <w:r w:rsidR="00551530" w:rsidRPr="00924038">
        <w:t>,</w:t>
      </w:r>
      <w:r w:rsidR="00F116EF" w:rsidRPr="00924038">
        <w:t xml:space="preserve"> the question was raised as to whether </w:t>
      </w:r>
      <w:r w:rsidR="008F33C7">
        <w:t xml:space="preserve">to address this perceived problem </w:t>
      </w:r>
      <w:r w:rsidR="00F116EF" w:rsidRPr="00924038">
        <w:t>the solicito</w:t>
      </w:r>
      <w:r w:rsidR="00B06D51">
        <w:t>rs were prepared to agree to a ‘</w:t>
      </w:r>
      <w:r w:rsidR="00F116EF" w:rsidRPr="00924038">
        <w:t>c</w:t>
      </w:r>
      <w:r w:rsidR="00B06D51">
        <w:t>ap’</w:t>
      </w:r>
      <w:r w:rsidR="00F116EF" w:rsidRPr="00924038">
        <w:t xml:space="preserve"> on the costs that they had estimated up until the time of settlement based on certain assumpti</w:t>
      </w:r>
      <w:r w:rsidR="00B06D51">
        <w:t>ons.  Needless to say</w:t>
      </w:r>
      <w:r w:rsidR="00CC4B39">
        <w:t>,</w:t>
      </w:r>
      <w:r w:rsidR="00B06D51">
        <w:t xml:space="preserve"> any such cap</w:t>
      </w:r>
      <w:r w:rsidR="00F116EF" w:rsidRPr="00924038">
        <w:t xml:space="preserve"> would be pr</w:t>
      </w:r>
      <w:r w:rsidR="00B06D51">
        <w:t xml:space="preserve">emised on the basis that if </w:t>
      </w:r>
      <w:r w:rsidR="00F116EF" w:rsidRPr="00924038">
        <w:t xml:space="preserve">assumptions changed materially then there would be an entitlement to charge </w:t>
      </w:r>
      <w:r w:rsidR="008F33C7">
        <w:t>in a way</w:t>
      </w:r>
      <w:r w:rsidR="00F116EF" w:rsidRPr="00924038">
        <w:t xml:space="preserve"> which reflected those changed assumptions.  Although</w:t>
      </w:r>
      <w:r w:rsidR="0038254B" w:rsidRPr="00924038">
        <w:t xml:space="preserve"> </w:t>
      </w:r>
      <w:r w:rsidR="00CC4B39">
        <w:t>Mr</w:t>
      </w:r>
      <w:r w:rsidR="0038254B" w:rsidRPr="00924038">
        <w:t xml:space="preserve"> Perera (with a 10% contingency) and the McTaggart applicants</w:t>
      </w:r>
      <w:r w:rsidRPr="00924038">
        <w:t xml:space="preserve"> </w:t>
      </w:r>
      <w:r w:rsidRPr="00924038">
        <w:lastRenderedPageBreak/>
        <w:t>(unconditionally)</w:t>
      </w:r>
      <w:r w:rsidR="0038254B" w:rsidRPr="00924038">
        <w:t xml:space="preserve"> agreed to such a course</w:t>
      </w:r>
      <w:r w:rsidR="00F116EF" w:rsidRPr="00924038">
        <w:t xml:space="preserve">, </w:t>
      </w:r>
      <w:r w:rsidRPr="00924038">
        <w:t>when closely considered</w:t>
      </w:r>
      <w:r w:rsidR="0038254B" w:rsidRPr="00924038">
        <w:t xml:space="preserve">, </w:t>
      </w:r>
      <w:r w:rsidRPr="00924038">
        <w:t>a costs cap is</w:t>
      </w:r>
      <w:r w:rsidR="0038254B" w:rsidRPr="00924038">
        <w:t xml:space="preserve"> </w:t>
      </w:r>
      <w:r w:rsidR="008F33C7">
        <w:t xml:space="preserve">highly </w:t>
      </w:r>
      <w:r w:rsidRPr="00924038">
        <w:t>undesirable</w:t>
      </w:r>
      <w:r w:rsidR="0038254B" w:rsidRPr="00924038">
        <w:t xml:space="preserve">.  </w:t>
      </w:r>
    </w:p>
    <w:p w:rsidR="00481F0C" w:rsidRPr="00924038" w:rsidRDefault="00C57EBA" w:rsidP="00A478E4">
      <w:pPr>
        <w:pStyle w:val="ParaNumbering"/>
      </w:pPr>
      <w:r w:rsidRPr="00924038">
        <w:t xml:space="preserve">One of the reasons why funding has changed the nature of litigation in this country </w:t>
      </w:r>
      <w:r w:rsidR="00551530" w:rsidRPr="00924038">
        <w:t xml:space="preserve">is that </w:t>
      </w:r>
      <w:r w:rsidR="00B06D51">
        <w:t xml:space="preserve">it has allowed for an </w:t>
      </w:r>
      <w:r w:rsidR="00CC4B39">
        <w:t>‘</w:t>
      </w:r>
      <w:r w:rsidR="008C62DF" w:rsidRPr="00924038">
        <w:t>e</w:t>
      </w:r>
      <w:r w:rsidRPr="00924038">
        <w:t>quality of arms</w:t>
      </w:r>
      <w:r w:rsidR="00CC4B39">
        <w:t>’</w:t>
      </w:r>
      <w:r w:rsidRPr="00924038">
        <w:t xml:space="preserve"> between those acting for applicants and those acting for respondents.  The Court is jealous to consider the interests of group members because of its protective role</w:t>
      </w:r>
      <w:r w:rsidR="008C62DF" w:rsidRPr="00924038">
        <w:t>,</w:t>
      </w:r>
      <w:r w:rsidRPr="00924038">
        <w:t xml:space="preserve"> and hence the focus is on the costs which are going to be visited upon absent non-parties.  There is no equivalent focus </w:t>
      </w:r>
      <w:r w:rsidR="00B06D51">
        <w:t xml:space="preserve">by the </w:t>
      </w:r>
      <w:r w:rsidR="00CC4B39">
        <w:t>C</w:t>
      </w:r>
      <w:r w:rsidR="00B06D51">
        <w:t xml:space="preserve">ourt </w:t>
      </w:r>
      <w:r w:rsidRPr="00924038">
        <w:t xml:space="preserve">on the costs incurred by the respondent.  A cap in costs would </w:t>
      </w:r>
      <w:r w:rsidR="008C62DF" w:rsidRPr="00924038">
        <w:t xml:space="preserve">raise the </w:t>
      </w:r>
      <w:r w:rsidR="00B06D51">
        <w:t xml:space="preserve">prospect of </w:t>
      </w:r>
      <w:r w:rsidRPr="00924038">
        <w:t>a</w:t>
      </w:r>
      <w:r w:rsidR="008C62DF" w:rsidRPr="00924038">
        <w:t>n uncapped</w:t>
      </w:r>
      <w:r w:rsidRPr="00924038">
        <w:t xml:space="preserve"> respondent conduct</w:t>
      </w:r>
      <w:r w:rsidR="00B06D51">
        <w:t>ing</w:t>
      </w:r>
      <w:r w:rsidRPr="00924038">
        <w:t xml:space="preserve"> litigation in such a manner as to take </w:t>
      </w:r>
      <w:r w:rsidR="00551530" w:rsidRPr="00924038">
        <w:t xml:space="preserve">tactical </w:t>
      </w:r>
      <w:r w:rsidRPr="00924038">
        <w:t>advantage of a cost</w:t>
      </w:r>
      <w:r w:rsidR="008C62DF" w:rsidRPr="00924038">
        <w:t>s</w:t>
      </w:r>
      <w:r w:rsidRPr="00924038">
        <w:t xml:space="preserve"> cap.  One only needs to </w:t>
      </w:r>
      <w:r w:rsidR="00B06D51">
        <w:t xml:space="preserve">reflect on this briefly </w:t>
      </w:r>
      <w:r w:rsidRPr="00924038">
        <w:t xml:space="preserve">to realise that it could </w:t>
      </w:r>
      <w:r w:rsidR="00B06D51">
        <w:t>tempt</w:t>
      </w:r>
      <w:r w:rsidRPr="00924038">
        <w:t xml:space="preserve"> behaviour which would be inconsistent with the overarching purpose.  Again</w:t>
      </w:r>
      <w:r w:rsidR="00A478E4" w:rsidRPr="00924038">
        <w:t>,</w:t>
      </w:r>
      <w:r w:rsidRPr="00924038">
        <w:t xml:space="preserve"> this is not to suggest that such conduct would occur</w:t>
      </w:r>
      <w:r w:rsidR="00A478E4" w:rsidRPr="00924038">
        <w:t>,</w:t>
      </w:r>
      <w:r w:rsidR="00B06D51">
        <w:t xml:space="preserve"> simply that caps do not commend themselves </w:t>
      </w:r>
      <w:r w:rsidRPr="00924038">
        <w:t>as a development which is to be encouraged.</w:t>
      </w:r>
    </w:p>
    <w:p w:rsidR="00481F0C" w:rsidRPr="00924038" w:rsidRDefault="00481F0C" w:rsidP="00481F0C">
      <w:pPr>
        <w:pStyle w:val="Heading2"/>
      </w:pPr>
      <w:bookmarkStart w:id="66" w:name="_Ref514405635"/>
      <w:r w:rsidRPr="00924038">
        <w:t>F</w:t>
      </w:r>
      <w:r w:rsidR="00905ABC" w:rsidRPr="00924038">
        <w:t>.</w:t>
      </w:r>
      <w:r w:rsidRPr="00924038">
        <w:t>13</w:t>
      </w:r>
      <w:r w:rsidRPr="00924038">
        <w:tab/>
        <w:t>Measures to Control Expert Costs</w:t>
      </w:r>
      <w:bookmarkEnd w:id="66"/>
    </w:p>
    <w:p w:rsidR="00A76426" w:rsidRPr="00924038" w:rsidRDefault="008B29AA" w:rsidP="008B29AA">
      <w:pPr>
        <w:pStyle w:val="ParaNumbering"/>
      </w:pPr>
      <w:r w:rsidRPr="00924038">
        <w:t xml:space="preserve">In addition to the proposal as to controlling legal costs, </w:t>
      </w:r>
      <w:r w:rsidR="00551530" w:rsidRPr="00924038">
        <w:t xml:space="preserve">Mr </w:t>
      </w:r>
      <w:r w:rsidRPr="00924038">
        <w:t>Webb was the only applicant to accept that there was any scope for the Court to appoint (or for the parties to jointly engage) a forensic economist to assist the Court in respect of matters of loss causation and the quantification of loss and damage.  More particularly, the evidence the subject of this proposal would be for an appointed (or jointly engaged) forensic economist to: (a) opine on whether and to what extent there existed an efficient market for the trading of GetSwift securities during relevant time periods; (b) undertake a regression analysis and prepare an event study for the purpose of quantifying the extent (if any) to which movements in t</w:t>
      </w:r>
      <w:r w:rsidR="00B06D51">
        <w:t xml:space="preserve">he trading price of GetSwift’s </w:t>
      </w:r>
      <w:r w:rsidRPr="00924038">
        <w:t>secu</w:t>
      </w:r>
      <w:r w:rsidR="00B06D51">
        <w:t>rities were caused by GetSwift’s</w:t>
      </w:r>
      <w:r w:rsidRPr="00924038">
        <w:t xml:space="preserve"> announcements or the release of other information regarding GetSwift by third party sources, and the constituent causes and components of those price effects; and (c) prepare one or more “</w:t>
      </w:r>
      <w:r w:rsidRPr="00246F84">
        <w:rPr>
          <w:i/>
        </w:rPr>
        <w:t>inflation series</w:t>
      </w:r>
      <w:r w:rsidRPr="00924038">
        <w:t>” setting out the extent (if any) to which the trading price was inflated by the contravening conduct alleged at relevant times, based on various identified assumptions.</w:t>
      </w:r>
    </w:p>
    <w:p w:rsidR="0046748A" w:rsidRPr="00924038" w:rsidRDefault="00FB4845" w:rsidP="004265D0">
      <w:pPr>
        <w:pStyle w:val="ParaNumbering"/>
        <w:rPr>
          <w:w w:val="105"/>
        </w:rPr>
      </w:pPr>
      <w:r w:rsidRPr="00246F84">
        <w:t xml:space="preserve">Although it is premature to </w:t>
      </w:r>
      <w:r w:rsidR="00246F84">
        <w:t>form</w:t>
      </w:r>
      <w:r w:rsidR="000F027B" w:rsidRPr="00246F84">
        <w:t xml:space="preserve"> any definitive views as to whether it is appr</w:t>
      </w:r>
      <w:r w:rsidR="004265D0" w:rsidRPr="00246F84">
        <w:t xml:space="preserve">opriate to adopt this proposal, it seems likely that </w:t>
      </w:r>
      <w:r w:rsidR="0046748A" w:rsidRPr="00246F84">
        <w:t xml:space="preserve">very </w:t>
      </w:r>
      <w:r w:rsidR="004265D0" w:rsidRPr="00246F84">
        <w:t>significant costs would be saved in the event a Court expert was appointed, rather than each party</w:t>
      </w:r>
      <w:r w:rsidR="00A76426" w:rsidRPr="00246F84">
        <w:t xml:space="preserve"> inc</w:t>
      </w:r>
      <w:r w:rsidR="004265D0" w:rsidRPr="00246F84">
        <w:t xml:space="preserve">urring costs </w:t>
      </w:r>
      <w:r w:rsidR="00A76426" w:rsidRPr="00246F84">
        <w:t>as a resul</w:t>
      </w:r>
      <w:r w:rsidR="00B06D51" w:rsidRPr="00246F84">
        <w:t xml:space="preserve">t of engaging separate </w:t>
      </w:r>
      <w:r w:rsidR="00A76426" w:rsidRPr="00246F84">
        <w:t>e</w:t>
      </w:r>
      <w:r w:rsidR="00B06D51" w:rsidRPr="00246F84">
        <w:t xml:space="preserve">vent study and materiality experts </w:t>
      </w:r>
      <w:r w:rsidR="00A76426" w:rsidRPr="00246F84">
        <w:t xml:space="preserve">who are required to prepare multiple </w:t>
      </w:r>
      <w:r w:rsidR="004265D0" w:rsidRPr="00246F84">
        <w:t>reports including reply reports and</w:t>
      </w:r>
      <w:r w:rsidR="00A76426" w:rsidRPr="00246F84">
        <w:t xml:space="preserve"> to confer </w:t>
      </w:r>
      <w:r w:rsidR="004265D0" w:rsidRPr="00246F84">
        <w:t xml:space="preserve">during the course </w:t>
      </w:r>
      <w:r w:rsidR="00246F84">
        <w:t xml:space="preserve">of </w:t>
      </w:r>
      <w:r w:rsidR="004265D0" w:rsidRPr="00246F84">
        <w:t>a conclave</w:t>
      </w:r>
      <w:r w:rsidR="00246F84" w:rsidRPr="00246F84">
        <w:t xml:space="preserve"> conducted </w:t>
      </w:r>
      <w:r w:rsidR="00246F84">
        <w:t xml:space="preserve">by a </w:t>
      </w:r>
      <w:r w:rsidR="00246F84" w:rsidRPr="00246F84">
        <w:t>Registrar</w:t>
      </w:r>
      <w:r w:rsidR="004265D0" w:rsidRPr="00246F84">
        <w:t xml:space="preserve">.  </w:t>
      </w:r>
      <w:r w:rsidR="0046748A" w:rsidRPr="00246F84">
        <w:t xml:space="preserve">Apart </w:t>
      </w:r>
      <w:r w:rsidR="0046748A" w:rsidRPr="00246F84">
        <w:lastRenderedPageBreak/>
        <w:t>from cost savings, equally importantly, such a proposal</w:t>
      </w:r>
      <w:r w:rsidR="004265D0" w:rsidRPr="00246F84">
        <w:t xml:space="preserve"> may assist the parties and the Court in obtaining clarity as to loss causation and damages </w:t>
      </w:r>
      <w:r w:rsidR="0046748A" w:rsidRPr="00246F84">
        <w:t xml:space="preserve">far </w:t>
      </w:r>
      <w:r w:rsidR="004265D0" w:rsidRPr="00246F84">
        <w:t xml:space="preserve">more quickly than otherwise would be the case. </w:t>
      </w:r>
      <w:r w:rsidR="006C3C9B" w:rsidRPr="00246F84">
        <w:t xml:space="preserve"> It may make it more likely </w:t>
      </w:r>
      <w:proofErr w:type="gramStart"/>
      <w:r w:rsidR="006C3C9B" w:rsidRPr="00246F84">
        <w:t>a mediation</w:t>
      </w:r>
      <w:proofErr w:type="gramEnd"/>
      <w:r w:rsidR="006C3C9B" w:rsidRPr="00246F84">
        <w:t xml:space="preserve"> is </w:t>
      </w:r>
      <w:r w:rsidR="00551530" w:rsidRPr="00246F84">
        <w:t xml:space="preserve">not </w:t>
      </w:r>
      <w:r w:rsidR="006C3C9B" w:rsidRPr="00246F84">
        <w:t xml:space="preserve">deferred until after the </w:t>
      </w:r>
      <w:r w:rsidR="00246F84" w:rsidRPr="00246F84">
        <w:t>traditional</w:t>
      </w:r>
      <w:r w:rsidR="00246F84">
        <w:t>,</w:t>
      </w:r>
      <w:r w:rsidR="00246F84" w:rsidRPr="00246F84">
        <w:t xml:space="preserve"> </w:t>
      </w:r>
      <w:r w:rsidR="006C3C9B" w:rsidRPr="00246F84">
        <w:t>stately procession of competing expert evidence.</w:t>
      </w:r>
    </w:p>
    <w:p w:rsidR="004265D0" w:rsidRPr="00924038" w:rsidRDefault="006C3C9B" w:rsidP="004265D0">
      <w:pPr>
        <w:pStyle w:val="ParaNumbering"/>
        <w:rPr>
          <w:w w:val="105"/>
        </w:rPr>
      </w:pPr>
      <w:r w:rsidRPr="00246F84">
        <w:t xml:space="preserve">Finally, </w:t>
      </w:r>
      <w:r w:rsidR="00B06D51" w:rsidRPr="00246F84">
        <w:t xml:space="preserve">and far from insignificantly, </w:t>
      </w:r>
      <w:r w:rsidRPr="00246F84">
        <w:t xml:space="preserve">it would also potentially assist the Court to </w:t>
      </w:r>
      <w:r w:rsidR="004265D0" w:rsidRPr="00246F84">
        <w:t>avoid the unbidden intrusion of selection bias in the presentation of opinion evidence.</w:t>
      </w:r>
      <w:r w:rsidRPr="00246F84">
        <w:t xml:space="preserve">  In making this comment I am alive to the fact </w:t>
      </w:r>
      <w:r w:rsidR="00246F84">
        <w:t xml:space="preserve">that </w:t>
      </w:r>
      <w:r w:rsidRPr="00246F84">
        <w:t xml:space="preserve">in cases of this sort, applicants and respondents have historically sought out experts who, at least in the Australian context, commonly act for one side of the record.  This phenomenon, redolent of District Court medical negligence cases, is </w:t>
      </w:r>
      <w:r w:rsidR="00551530" w:rsidRPr="00246F84">
        <w:t>far from desirable</w:t>
      </w:r>
      <w:r w:rsidRPr="00246F84">
        <w:t>.</w:t>
      </w:r>
    </w:p>
    <w:p w:rsidR="00481F0C" w:rsidRPr="00924038" w:rsidRDefault="004265D0" w:rsidP="00FB4845">
      <w:pPr>
        <w:pStyle w:val="ParaNumbering"/>
      </w:pPr>
      <w:r w:rsidRPr="00246F84">
        <w:t xml:space="preserve">I had asked each party to consider ways in which the expedient of referees or Court appointed experts could </w:t>
      </w:r>
      <w:r w:rsidR="00FB4845" w:rsidRPr="00246F84">
        <w:t>assist</w:t>
      </w:r>
      <w:r w:rsidRPr="00246F84">
        <w:t xml:space="preserve"> the Court in the most efficient resolution of this dispute and </w:t>
      </w:r>
      <w:r w:rsidR="00551530" w:rsidRPr="00246F84">
        <w:t xml:space="preserve">Mr </w:t>
      </w:r>
      <w:r w:rsidRPr="00246F84">
        <w:t xml:space="preserve">Webb </w:t>
      </w:r>
      <w:r w:rsidR="00246F84">
        <w:t>was</w:t>
      </w:r>
      <w:r w:rsidRPr="00246F84">
        <w:t xml:space="preserve"> the only one of the applicant parties to embrace, even tenta</w:t>
      </w:r>
      <w:r w:rsidR="00FB4845" w:rsidRPr="00246F84">
        <w:t>tively</w:t>
      </w:r>
      <w:r w:rsidR="0046748A" w:rsidRPr="00246F84">
        <w:t>, this</w:t>
      </w:r>
      <w:r w:rsidRPr="00246F84">
        <w:t xml:space="preserve"> pro</w:t>
      </w:r>
      <w:r w:rsidR="00FB4845" w:rsidRPr="00246F84">
        <w:t>po</w:t>
      </w:r>
      <w:r w:rsidRPr="00246F84">
        <w:t>sal</w:t>
      </w:r>
      <w:r w:rsidR="0046748A" w:rsidRPr="00246F84">
        <w:t xml:space="preserve"> as to a joint expert on the substantive liability and loss issues</w:t>
      </w:r>
      <w:r w:rsidR="00FB4845" w:rsidRPr="00246F84">
        <w:t>.</w:t>
      </w:r>
    </w:p>
    <w:p w:rsidR="00481F0C" w:rsidRPr="00924038" w:rsidRDefault="00481F0C" w:rsidP="00481F0C">
      <w:pPr>
        <w:pStyle w:val="Heading2"/>
      </w:pPr>
      <w:bookmarkStart w:id="67" w:name="_Ref514405636"/>
      <w:r w:rsidRPr="00924038">
        <w:t>F</w:t>
      </w:r>
      <w:r w:rsidR="00905ABC" w:rsidRPr="00924038">
        <w:t>.</w:t>
      </w:r>
      <w:r w:rsidRPr="00924038">
        <w:t>14</w:t>
      </w:r>
      <w:r w:rsidRPr="00924038">
        <w:tab/>
      </w:r>
      <w:proofErr w:type="gramStart"/>
      <w:r w:rsidRPr="00924038">
        <w:t>The</w:t>
      </w:r>
      <w:proofErr w:type="gramEnd"/>
      <w:r w:rsidRPr="00924038">
        <w:t xml:space="preserve"> Webb Proceeding and Public Policy</w:t>
      </w:r>
      <w:bookmarkEnd w:id="67"/>
      <w:r w:rsidRPr="00924038">
        <w:t xml:space="preserve"> </w:t>
      </w:r>
    </w:p>
    <w:p w:rsidR="00481F0C" w:rsidRPr="00924038" w:rsidRDefault="00AE0888" w:rsidP="00481F0C">
      <w:pPr>
        <w:pStyle w:val="ParaNumbering"/>
      </w:pPr>
      <w:r w:rsidRPr="00924038">
        <w:t xml:space="preserve">It was submitted on behalf of Mr Perera that another form of moral hazard arises if parties can sit back and decide whether to seek to enter a market after other people </w:t>
      </w:r>
      <w:r w:rsidR="00246F84">
        <w:t>have</w:t>
      </w:r>
      <w:r w:rsidRPr="00924038">
        <w:t xml:space="preserve"> already committed resources and time to investigating a claim and drawing proceedings.  It is said in such circumstances that there is “</w:t>
      </w:r>
      <w:r w:rsidRPr="00246F84">
        <w:rPr>
          <w:i/>
        </w:rPr>
        <w:t>little to commend about the conduct of Webb, his lawyers or his funder</w:t>
      </w:r>
      <w:r w:rsidRPr="00924038">
        <w:t>”.  This is said because the proceeding is referred to as a “</w:t>
      </w:r>
      <w:r w:rsidRPr="00246F84">
        <w:rPr>
          <w:i/>
        </w:rPr>
        <w:t>hastily filed representative proceeding</w:t>
      </w:r>
      <w:r w:rsidRPr="00924038">
        <w:t>” which “</w:t>
      </w:r>
      <w:r w:rsidRPr="00246F84">
        <w:rPr>
          <w:i/>
        </w:rPr>
        <w:t>apes</w:t>
      </w:r>
      <w:r w:rsidRPr="00924038">
        <w:t>” the work of others.  Criticism is directed to Mr Phi of wearing, “</w:t>
      </w:r>
      <w:r w:rsidRPr="00246F84">
        <w:rPr>
          <w:i/>
        </w:rPr>
        <w:t>as a badge of pride</w:t>
      </w:r>
      <w:r w:rsidRPr="00924038">
        <w:t>”</w:t>
      </w:r>
      <w:r w:rsidR="00246F84">
        <w:t>,</w:t>
      </w:r>
      <w:r w:rsidRPr="00924038">
        <w:t xml:space="preserve"> the fact that he has not conducted a book build notwithstanding that at least some consideration was given to starting a book build.  It is said that the conduct of Mr Webb and his solicitors and funder ought not </w:t>
      </w:r>
      <w:r w:rsidR="006C3C9B" w:rsidRPr="00924038">
        <w:t xml:space="preserve">to </w:t>
      </w:r>
      <w:r w:rsidRPr="00924038">
        <w:t xml:space="preserve">be encouraged as a matter of public policy and </w:t>
      </w:r>
      <w:r w:rsidR="00246F84">
        <w:t xml:space="preserve">that </w:t>
      </w:r>
      <w:r w:rsidRPr="00924038">
        <w:t xml:space="preserve">the Court should not even entertain, let alone </w:t>
      </w:r>
      <w:r w:rsidR="00551530" w:rsidRPr="00924038">
        <w:t xml:space="preserve">accede </w:t>
      </w:r>
      <w:r w:rsidRPr="00924038">
        <w:t>to</w:t>
      </w:r>
      <w:r w:rsidR="00246F84">
        <w:t>,</w:t>
      </w:r>
      <w:r w:rsidRPr="00924038">
        <w:t xml:space="preserve"> the proposal made by Mr Webb.  </w:t>
      </w:r>
    </w:p>
    <w:p w:rsidR="00AE0888" w:rsidRPr="00924038" w:rsidRDefault="0074777F" w:rsidP="00F43DEC">
      <w:pPr>
        <w:pStyle w:val="ParaNumbering"/>
      </w:pPr>
      <w:r w:rsidRPr="00924038">
        <w:t>From what I have already said</w:t>
      </w:r>
      <w:r w:rsidR="006C3C9B" w:rsidRPr="00924038">
        <w:t>, it is no doubt clear that</w:t>
      </w:r>
      <w:r w:rsidRPr="00924038">
        <w:t xml:space="preserve"> I reject these submissions to the extent </w:t>
      </w:r>
      <w:r w:rsidR="00246F84">
        <w:t>they</w:t>
      </w:r>
      <w:r w:rsidRPr="00924038">
        <w:t xml:space="preserve"> </w:t>
      </w:r>
      <w:r w:rsidR="006C3C9B" w:rsidRPr="00924038">
        <w:t xml:space="preserve">suggest </w:t>
      </w:r>
      <w:r w:rsidRPr="00924038">
        <w:t xml:space="preserve">there is some public policy imperative which requires me to refuse to deal with the Webb Proceeding in the same way I deal with the Perera Proceeding and the McTaggart Proceeding.  I have accepted Mr Phi’s evidence as </w:t>
      </w:r>
      <w:r w:rsidR="00246F84">
        <w:t xml:space="preserve">to </w:t>
      </w:r>
      <w:r w:rsidR="006C3C9B" w:rsidRPr="00924038">
        <w:t>deferring</w:t>
      </w:r>
      <w:r w:rsidRPr="00924038">
        <w:t xml:space="preserve"> drawing a statement of claim.  As it turned out, for reasons </w:t>
      </w:r>
      <w:r w:rsidR="00A478E4" w:rsidRPr="00924038">
        <w:t>I have already touched upon</w:t>
      </w:r>
      <w:r w:rsidRPr="00924038">
        <w:t xml:space="preserve">, the time and attention given to </w:t>
      </w:r>
      <w:r w:rsidRPr="00924038">
        <w:lastRenderedPageBreak/>
        <w:t xml:space="preserve">negotiating funding terms seems to have paid some dividend in securing terms which are preferable to those secured from the funders of the Perera Proceeding </w:t>
      </w:r>
      <w:r w:rsidR="00246F84">
        <w:t xml:space="preserve">and </w:t>
      </w:r>
      <w:r w:rsidRPr="00924038">
        <w:t>the McTaggart P</w:t>
      </w:r>
      <w:r w:rsidR="006C3C9B" w:rsidRPr="00924038">
        <w:t xml:space="preserve">roceeding.  </w:t>
      </w:r>
      <w:r w:rsidR="00F43DEC" w:rsidRPr="00924038">
        <w:t>Mr Phi was unchallenged on his evidence that t</w:t>
      </w:r>
      <w:r w:rsidR="00F43DEC" w:rsidRPr="00246F84">
        <w:t xml:space="preserve">he novelty of the funding terms negotiated with Therium, and negotiations during which they were secured, are the reason why the negotiations took as long as they did.  </w:t>
      </w:r>
      <w:r w:rsidR="006C3C9B" w:rsidRPr="00924038">
        <w:t>The time and evident</w:t>
      </w:r>
      <w:r w:rsidRPr="00924038">
        <w:t xml:space="preserve"> care taken in purs</w:t>
      </w:r>
      <w:r w:rsidR="006C3C9B" w:rsidRPr="00924038">
        <w:t>u</w:t>
      </w:r>
      <w:r w:rsidRPr="00924038">
        <w:t>ing this outcome does not seem to me to be a legitimate source of criticism.</w:t>
      </w:r>
    </w:p>
    <w:p w:rsidR="00271040" w:rsidRPr="00924038" w:rsidRDefault="00513229" w:rsidP="001B3ED6">
      <w:pPr>
        <w:pStyle w:val="ParaNumbering"/>
      </w:pPr>
      <w:r>
        <w:t>A somewhat similar doomster argument</w:t>
      </w:r>
      <w:r w:rsidR="00271040" w:rsidRPr="00924038">
        <w:t xml:space="preserve"> was advanced by the McTaggart applicants in the following terms:</w:t>
      </w:r>
    </w:p>
    <w:p w:rsidR="00271040" w:rsidRPr="00924038" w:rsidRDefault="00271040" w:rsidP="00FD2724">
      <w:pPr>
        <w:pStyle w:val="Quote1"/>
      </w:pPr>
      <w:r w:rsidRPr="00924038">
        <w:t>But where does it end</w:t>
      </w:r>
      <w:proofErr w:type="gramStart"/>
      <w:r w:rsidRPr="00924038">
        <w:t>?</w:t>
      </w:r>
      <w:r w:rsidRPr="00924038">
        <w:rPr>
          <w:spacing w:val="6"/>
        </w:rPr>
        <w:t xml:space="preserve"> </w:t>
      </w:r>
      <w:proofErr w:type="gramEnd"/>
      <w:r w:rsidRPr="00924038">
        <w:t>Going forward, funders in the position of [ILP18] and Vannin will be reluctant to invest in or develop claims for fear of being gazumped by a free-rider</w:t>
      </w:r>
      <w:proofErr w:type="gramStart"/>
      <w:r w:rsidRPr="00924038">
        <w:t xml:space="preserve">. </w:t>
      </w:r>
      <w:proofErr w:type="gramEnd"/>
      <w:r w:rsidRPr="00924038">
        <w:t>That would have a chilling effect on access to justice, and it would be antithetical to one of the primary</w:t>
      </w:r>
      <w:r w:rsidRPr="00924038">
        <w:rPr>
          <w:spacing w:val="-16"/>
        </w:rPr>
        <w:t xml:space="preserve"> </w:t>
      </w:r>
      <w:r w:rsidRPr="00924038">
        <w:t>objectives</w:t>
      </w:r>
      <w:r w:rsidRPr="00924038">
        <w:rPr>
          <w:spacing w:val="-8"/>
        </w:rPr>
        <w:t xml:space="preserve"> </w:t>
      </w:r>
      <w:r w:rsidRPr="00924038">
        <w:t>of</w:t>
      </w:r>
      <w:r w:rsidRPr="00924038">
        <w:rPr>
          <w:spacing w:val="-9"/>
        </w:rPr>
        <w:t xml:space="preserve"> </w:t>
      </w:r>
      <w:r w:rsidRPr="00924038">
        <w:t>Part</w:t>
      </w:r>
      <w:r w:rsidRPr="00924038">
        <w:rPr>
          <w:spacing w:val="-6"/>
        </w:rPr>
        <w:t xml:space="preserve"> </w:t>
      </w:r>
      <w:r w:rsidRPr="00924038">
        <w:t>IVA.</w:t>
      </w:r>
    </w:p>
    <w:p w:rsidR="00A478E4" w:rsidRPr="00924038" w:rsidRDefault="006C3C9B" w:rsidP="00481F0C">
      <w:pPr>
        <w:pStyle w:val="ParaNumbering"/>
      </w:pPr>
      <w:r w:rsidRPr="00924038">
        <w:t>O</w:t>
      </w:r>
      <w:r w:rsidR="001B3ED6" w:rsidRPr="00924038">
        <w:t xml:space="preserve">ne needs to approach submissions </w:t>
      </w:r>
      <w:r w:rsidRPr="00924038">
        <w:t>like this and similar criticism by one proposer of a commercial enterprise saying another promotor was</w:t>
      </w:r>
      <w:r w:rsidR="001B3ED6" w:rsidRPr="00924038">
        <w:t xml:space="preserve"> “</w:t>
      </w:r>
      <w:r w:rsidR="001B3ED6" w:rsidRPr="00924038">
        <w:rPr>
          <w:i/>
        </w:rPr>
        <w:t>parasitically lying in wait to steal the work product</w:t>
      </w:r>
      <w:r w:rsidRPr="00924038">
        <w:t>” of others,</w:t>
      </w:r>
      <w:r w:rsidR="001B3ED6" w:rsidRPr="00924038">
        <w:t xml:space="preserve"> with a good deal of caution.  Leaving aside the emotive terms in which these submissions are expressed, to accept the premise that one class action should be punished on public policy grounds in circumstances where the Court does not find that there</w:t>
      </w:r>
      <w:r w:rsidRPr="00924038">
        <w:t xml:space="preserve"> has been any operative </w:t>
      </w:r>
      <w:r w:rsidR="001B3ED6" w:rsidRPr="00924038">
        <w:t xml:space="preserve">delay, would </w:t>
      </w:r>
      <w:r w:rsidRPr="00924038">
        <w:t xml:space="preserve">not only be inconsistent with discouraging races to the Registry, but also </w:t>
      </w:r>
      <w:r w:rsidR="001B3ED6" w:rsidRPr="00924038">
        <w:t>fall into the trap</w:t>
      </w:r>
      <w:r w:rsidRPr="00924038">
        <w:t xml:space="preserve"> of encouraging haste in negotiating the best outcome for group members with funders.  If operative </w:t>
      </w:r>
      <w:r w:rsidR="001B3ED6" w:rsidRPr="00924038">
        <w:t>delay existed it would be a significant fac</w:t>
      </w:r>
      <w:r w:rsidRPr="00924038">
        <w:t xml:space="preserve">tor, but here there was no such </w:t>
      </w:r>
      <w:r w:rsidR="001B3ED6" w:rsidRPr="00924038">
        <w:t>delay</w:t>
      </w:r>
      <w:r w:rsidR="00A478E4" w:rsidRPr="00924038">
        <w:t xml:space="preserve">.  Indeed, the time taken to negotiate a unique funding model was to the benefit of group members.  </w:t>
      </w:r>
      <w:r w:rsidR="00513229">
        <w:t xml:space="preserve">Finally, </w:t>
      </w:r>
      <w:r w:rsidR="004E284C">
        <w:t xml:space="preserve">the empirical data would suggest that </w:t>
      </w:r>
      <w:r w:rsidR="00513229">
        <w:t xml:space="preserve">there is </w:t>
      </w:r>
      <w:r w:rsidR="00246F84">
        <w:t xml:space="preserve">little </w:t>
      </w:r>
      <w:r w:rsidR="00513229">
        <w:t xml:space="preserve">need to worry </w:t>
      </w:r>
      <w:r w:rsidR="004E284C">
        <w:t xml:space="preserve">too much </w:t>
      </w:r>
      <w:r w:rsidR="00513229">
        <w:t>about funders being “</w:t>
      </w:r>
      <w:r w:rsidR="00513229" w:rsidRPr="004E284C">
        <w:rPr>
          <w:i/>
        </w:rPr>
        <w:t>reluctant to invest in</w:t>
      </w:r>
      <w:r w:rsidR="004E284C" w:rsidRPr="004E284C">
        <w:rPr>
          <w:i/>
        </w:rPr>
        <w:t xml:space="preserve"> or develop claims</w:t>
      </w:r>
      <w:r w:rsidR="004E284C">
        <w:t>”.</w:t>
      </w:r>
    </w:p>
    <w:p w:rsidR="00481F0C" w:rsidRPr="00924038" w:rsidRDefault="001B3ED6" w:rsidP="00481F0C">
      <w:pPr>
        <w:pStyle w:val="ParaNumbering"/>
      </w:pPr>
      <w:r w:rsidRPr="00924038">
        <w:t xml:space="preserve">I consider that the public policy arguments made are, with respect, significantly overblown.  As to the fact that costs were incurred </w:t>
      </w:r>
      <w:r w:rsidR="00DF2F73">
        <w:t xml:space="preserve">in </w:t>
      </w:r>
      <w:r w:rsidRPr="00924038">
        <w:t>book</w:t>
      </w:r>
      <w:r w:rsidR="007E6739">
        <w:t xml:space="preserve"> </w:t>
      </w:r>
      <w:r w:rsidRPr="00924038">
        <w:t>building</w:t>
      </w:r>
      <w:r w:rsidR="006C3C9B" w:rsidRPr="00924038">
        <w:t xml:space="preserve"> and entering into funding agreements</w:t>
      </w:r>
      <w:r w:rsidRPr="00924038">
        <w:t xml:space="preserve">, then this is something that was done </w:t>
      </w:r>
      <w:r w:rsidR="00551530" w:rsidRPr="00924038">
        <w:t xml:space="preserve">to advance </w:t>
      </w:r>
      <w:r w:rsidRPr="00924038">
        <w:t>the commercial interests of the funder</w:t>
      </w:r>
      <w:r w:rsidR="006C3C9B" w:rsidRPr="00924038">
        <w:t xml:space="preserve">s, and, as I have noted, </w:t>
      </w:r>
      <w:r w:rsidRPr="00924038">
        <w:t>is something that should not be encouraged in the context of open classes</w:t>
      </w:r>
      <w:r w:rsidR="006C3C9B" w:rsidRPr="00924038">
        <w:t xml:space="preserve"> likely to be subject of common fund orders</w:t>
      </w:r>
      <w:r w:rsidRPr="00924038">
        <w:t>.</w:t>
      </w:r>
    </w:p>
    <w:p w:rsidR="00481F0C" w:rsidRPr="00924038" w:rsidRDefault="00481F0C" w:rsidP="00481F0C">
      <w:pPr>
        <w:pStyle w:val="Heading2"/>
      </w:pPr>
      <w:bookmarkStart w:id="68" w:name="_Ref514405637"/>
      <w:r w:rsidRPr="00924038">
        <w:t>F</w:t>
      </w:r>
      <w:r w:rsidR="00905ABC" w:rsidRPr="00924038">
        <w:t>.</w:t>
      </w:r>
      <w:r w:rsidRPr="00924038">
        <w:t>15</w:t>
      </w:r>
      <w:r w:rsidRPr="00924038">
        <w:tab/>
        <w:t>Prejudice to Third Parties</w:t>
      </w:r>
      <w:bookmarkEnd w:id="68"/>
    </w:p>
    <w:p w:rsidR="00481F0C" w:rsidRPr="00924038" w:rsidRDefault="00A478E4" w:rsidP="00481F0C">
      <w:pPr>
        <w:pStyle w:val="ParaNumbering"/>
      </w:pPr>
      <w:r w:rsidRPr="00924038">
        <w:t xml:space="preserve">In </w:t>
      </w:r>
      <w:r w:rsidR="00DF2F73">
        <w:t>S</w:t>
      </w:r>
      <w:r w:rsidRPr="00924038">
        <w:t xml:space="preserve">ection </w:t>
      </w:r>
      <w:r w:rsidR="00B73EFA" w:rsidRPr="00924038">
        <w:t>F.8 above</w:t>
      </w:r>
      <w:r w:rsidR="00DF2F73">
        <w:t>,</w:t>
      </w:r>
      <w:r w:rsidR="00B73EFA" w:rsidRPr="00924038">
        <w:t xml:space="preserve"> I referred to the existence of funding agreements as being a complication.  I also deal with how the Court might address this complication in </w:t>
      </w:r>
      <w:r w:rsidR="00DF2F73">
        <w:t>S</w:t>
      </w:r>
      <w:r w:rsidR="00B73EFA" w:rsidRPr="00924038">
        <w:t xml:space="preserve">ection K.4 below.  Having noted this, I am conscious that both ILP18 and Vannin have the benefit of </w:t>
      </w:r>
      <w:r w:rsidR="00B73EFA" w:rsidRPr="00924038">
        <w:lastRenderedPageBreak/>
        <w:t>contractual promises made by the Perera Funded GMs and the McTaggart Funded GMs and, absent intervention by the Court, would have been entitled to fund each of those proceedings and</w:t>
      </w:r>
      <w:r w:rsidR="007A4884">
        <w:t>,</w:t>
      </w:r>
      <w:r w:rsidR="00B73EFA" w:rsidRPr="00924038">
        <w:t xml:space="preserve"> if those cases had settled or </w:t>
      </w:r>
      <w:r w:rsidR="00DF2F73">
        <w:t xml:space="preserve">had </w:t>
      </w:r>
      <w:r w:rsidR="00B73EFA" w:rsidRPr="00924038">
        <w:t>been resolved successfully</w:t>
      </w:r>
      <w:r w:rsidR="007A4884">
        <w:t>,</w:t>
      </w:r>
      <w:r w:rsidR="00B73EFA" w:rsidRPr="00924038">
        <w:t xml:space="preserve"> would have obtained a financial benefit</w:t>
      </w:r>
      <w:r w:rsidR="00DF2F73">
        <w:t>,</w:t>
      </w:r>
      <w:r w:rsidR="00B73EFA" w:rsidRPr="00924038">
        <w:t xml:space="preserve"> potentially a significant financial benefit.  Having said that</w:t>
      </w:r>
      <w:r w:rsidR="007A4884">
        <w:t>,</w:t>
      </w:r>
      <w:r w:rsidR="00B73EFA" w:rsidRPr="00924038">
        <w:t xml:space="preserve"> this financial benefit is commensurate, or said to be commensurate, with the risk of providing the promises by ILP18 and Vannin to fund the proceedings and be liable for adverse costs.  </w:t>
      </w:r>
      <w:r w:rsidR="00551530" w:rsidRPr="00924038">
        <w:t xml:space="preserve">Although there are sunk costs, relieved of ongoing obligations, the deprivation </w:t>
      </w:r>
      <w:r w:rsidR="00B73EFA" w:rsidRPr="00924038">
        <w:t xml:space="preserve">of </w:t>
      </w:r>
      <w:r w:rsidR="007A4884">
        <w:t>the hoped for commercial return is not a prejudice of such significance as to be a matter of particular importance</w:t>
      </w:r>
      <w:r w:rsidR="00B73EFA" w:rsidRPr="00924038">
        <w:t xml:space="preserve">.  </w:t>
      </w:r>
    </w:p>
    <w:p w:rsidR="00481F0C" w:rsidRPr="00924038" w:rsidRDefault="00EA6AA9" w:rsidP="009D5D7F">
      <w:pPr>
        <w:pStyle w:val="ParaNumbering"/>
      </w:pPr>
      <w:r w:rsidRPr="00924038">
        <w:t xml:space="preserve">There </w:t>
      </w:r>
      <w:r w:rsidR="00DF2F73">
        <w:t>was</w:t>
      </w:r>
      <w:r w:rsidRPr="00924038">
        <w:t xml:space="preserve"> reference in </w:t>
      </w:r>
      <w:r w:rsidR="0092377F" w:rsidRPr="00924038">
        <w:t xml:space="preserve">the submissions from both </w:t>
      </w:r>
      <w:r w:rsidRPr="00924038">
        <w:t>Mr Perera and t</w:t>
      </w:r>
      <w:r w:rsidR="0092377F" w:rsidRPr="00924038">
        <w:t xml:space="preserve">he McTaggart applicants about the </w:t>
      </w:r>
      <w:r w:rsidR="00DF2F73">
        <w:t>‘</w:t>
      </w:r>
      <w:r w:rsidR="0092377F" w:rsidRPr="00924038">
        <w:t>choice</w:t>
      </w:r>
      <w:r w:rsidR="00DF2F73">
        <w:t>’</w:t>
      </w:r>
      <w:r w:rsidR="0092377F" w:rsidRPr="00924038">
        <w:t xml:space="preserve"> made by group members to choose a particular funder or solicitor.  At least insofar as the funder is concerned, I think that this notion of </w:t>
      </w:r>
      <w:r w:rsidR="00DF2F73">
        <w:t>‘</w:t>
      </w:r>
      <w:r w:rsidR="0092377F" w:rsidRPr="00924038">
        <w:t>choice</w:t>
      </w:r>
      <w:r w:rsidR="00DF2F73">
        <w:t>’</w:t>
      </w:r>
      <w:r w:rsidR="0092377F" w:rsidRPr="00924038">
        <w:t xml:space="preserve"> may be somewhat exaggerated.  Provided the group member is able to progress their claim in circumstances where they know that a funder will do what is necessary for th</w:t>
      </w:r>
      <w:r w:rsidRPr="00924038">
        <w:t xml:space="preserve">eir claim </w:t>
      </w:r>
      <w:r w:rsidR="0092377F" w:rsidRPr="00924038">
        <w:t xml:space="preserve">to be properly progressed, I </w:t>
      </w:r>
      <w:r w:rsidR="00551530" w:rsidRPr="00924038">
        <w:t xml:space="preserve">very much </w:t>
      </w:r>
      <w:r w:rsidR="0092377F" w:rsidRPr="00924038">
        <w:t xml:space="preserve">doubt </w:t>
      </w:r>
      <w:r w:rsidR="00DF2F73">
        <w:t xml:space="preserve">that </w:t>
      </w:r>
      <w:r w:rsidR="0092377F" w:rsidRPr="00924038">
        <w:t>many group members would regard the parti</w:t>
      </w:r>
      <w:r w:rsidRPr="00924038">
        <w:t>cipation of one funder over ano</w:t>
      </w:r>
      <w:r w:rsidR="0092377F" w:rsidRPr="00924038">
        <w:t>ther as being of particular moment</w:t>
      </w:r>
      <w:r w:rsidR="005C74E0" w:rsidRPr="00924038">
        <w:t>;</w:t>
      </w:r>
      <w:r w:rsidRPr="00924038">
        <w:t xml:space="preserve"> certainly there was no direct evidence of this, other than the mere existence of agreements</w:t>
      </w:r>
      <w:r w:rsidR="0092377F" w:rsidRPr="00924038">
        <w:t xml:space="preserve">.  This is not to downplay the efforts of some funders to contribute tactically </w:t>
      </w:r>
      <w:r w:rsidRPr="00924038">
        <w:t xml:space="preserve">in the conduct of proceedings </w:t>
      </w:r>
      <w:r w:rsidR="0092377F" w:rsidRPr="00924038">
        <w:t xml:space="preserve">or </w:t>
      </w:r>
      <w:r w:rsidRPr="00924038">
        <w:t xml:space="preserve">to fail to recognise the </w:t>
      </w:r>
      <w:r w:rsidR="0092377F" w:rsidRPr="00924038">
        <w:t xml:space="preserve">expertise </w:t>
      </w:r>
      <w:r w:rsidRPr="00924038">
        <w:t xml:space="preserve">of some highly experienced individuals within some funders </w:t>
      </w:r>
      <w:r w:rsidR="0092377F" w:rsidRPr="00924038">
        <w:t>in</w:t>
      </w:r>
      <w:r w:rsidR="005C74E0" w:rsidRPr="00924038">
        <w:t xml:space="preserve"> the running of class actions</w:t>
      </w:r>
      <w:r w:rsidR="0092377F" w:rsidRPr="00924038">
        <w:t>.  That being said</w:t>
      </w:r>
      <w:r w:rsidRPr="00924038">
        <w:t>,</w:t>
      </w:r>
      <w:r w:rsidR="0092377F" w:rsidRPr="00924038">
        <w:t xml:space="preserve"> </w:t>
      </w:r>
      <w:r w:rsidR="002F3A4F" w:rsidRPr="00924038">
        <w:t xml:space="preserve">it seems to be common ground that the market is relatively price sensitive and </w:t>
      </w:r>
      <w:r w:rsidR="00DF2F73" w:rsidRPr="00924038">
        <w:t xml:space="preserve">that </w:t>
      </w:r>
      <w:r w:rsidR="002F3A4F" w:rsidRPr="00924038">
        <w:t>although there may be some disadvantage occasioned to group members in not having the funder of their choice</w:t>
      </w:r>
      <w:r w:rsidRPr="00924038">
        <w:t>,</w:t>
      </w:r>
      <w:r w:rsidR="002F3A4F" w:rsidRPr="00924038">
        <w:t xml:space="preserve"> this does not seem to me to be of real significance in the overall mix.  </w:t>
      </w:r>
      <w:r w:rsidR="007A4884">
        <w:t xml:space="preserve">The choice of solicitors may be in a slightly different category, given the nature of the relationship between a solicitor and client, but in the event that a particular group member </w:t>
      </w:r>
      <w:r w:rsidR="002272DF">
        <w:t>has suffi</w:t>
      </w:r>
      <w:r w:rsidR="00DF2F73">
        <w:t>ci</w:t>
      </w:r>
      <w:r w:rsidR="002272DF">
        <w:t xml:space="preserve">ent </w:t>
      </w:r>
      <w:r w:rsidR="00881CE7">
        <w:t>desire</w:t>
      </w:r>
      <w:r w:rsidR="002272DF">
        <w:t xml:space="preserve"> to </w:t>
      </w:r>
      <w:r w:rsidR="00881CE7">
        <w:t>retain</w:t>
      </w:r>
      <w:r w:rsidR="002272DF">
        <w:t xml:space="preserve"> </w:t>
      </w:r>
      <w:r w:rsidR="007A4884">
        <w:t>a particular solicitor, this can be accommodated by that group member opting out.</w:t>
      </w:r>
    </w:p>
    <w:p w:rsidR="00481F0C" w:rsidRPr="00924038" w:rsidRDefault="00334C41" w:rsidP="00334C41">
      <w:pPr>
        <w:pStyle w:val="Heading1"/>
      </w:pPr>
      <w:bookmarkStart w:id="69" w:name="_Ref514405638"/>
      <w:r w:rsidRPr="00924038">
        <w:t>G</w:t>
      </w:r>
      <w:r w:rsidRPr="00924038">
        <w:tab/>
      </w:r>
      <w:r w:rsidR="00913157" w:rsidRPr="00924038">
        <w:t xml:space="preserve">Should </w:t>
      </w:r>
      <w:r w:rsidR="00726DC4" w:rsidRPr="00924038">
        <w:t xml:space="preserve">a </w:t>
      </w:r>
      <w:r w:rsidR="00913157" w:rsidRPr="00924038">
        <w:t xml:space="preserve">Common Fund Order </w:t>
      </w:r>
      <w:r w:rsidR="00726DC4" w:rsidRPr="00924038">
        <w:t>be m</w:t>
      </w:r>
      <w:r w:rsidR="002E51C9">
        <w:t>ade?</w:t>
      </w:r>
      <w:bookmarkEnd w:id="69"/>
    </w:p>
    <w:p w:rsidR="00334C41" w:rsidRPr="00924038" w:rsidRDefault="00F90FD9" w:rsidP="004B25D9">
      <w:pPr>
        <w:pStyle w:val="Heading2"/>
      </w:pPr>
      <w:bookmarkStart w:id="70" w:name="_Ref514405639"/>
      <w:r w:rsidRPr="00924038">
        <w:t>G.</w:t>
      </w:r>
      <w:r w:rsidR="00D76CC2" w:rsidRPr="00924038">
        <w:t>1</w:t>
      </w:r>
      <w:r w:rsidR="00D76CC2" w:rsidRPr="00924038">
        <w:tab/>
        <w:t>Introduction</w:t>
      </w:r>
      <w:bookmarkEnd w:id="70"/>
      <w:r w:rsidR="009C2A7A" w:rsidRPr="00924038">
        <w:t xml:space="preserve"> </w:t>
      </w:r>
    </w:p>
    <w:p w:rsidR="000E6EE4" w:rsidRPr="006A4BAD" w:rsidRDefault="00F90FD9" w:rsidP="00F277D5">
      <w:pPr>
        <w:pStyle w:val="ParaNumbering"/>
      </w:pPr>
      <w:r w:rsidRPr="006A4BAD">
        <w:t xml:space="preserve">I </w:t>
      </w:r>
      <w:r w:rsidR="000C1E1E" w:rsidRPr="006A4BAD">
        <w:t>referred</w:t>
      </w:r>
      <w:r w:rsidRPr="006A4BAD">
        <w:t xml:space="preserve"> </w:t>
      </w:r>
      <w:r w:rsidR="000C1E1E" w:rsidRPr="006A4BAD">
        <w:t xml:space="preserve">above at </w:t>
      </w:r>
      <w:r w:rsidR="00DF2F73" w:rsidRPr="006A4BAD">
        <w:t>[26]-[28]</w:t>
      </w:r>
      <w:r w:rsidR="000C1E1E" w:rsidRPr="006A4BAD">
        <w:t xml:space="preserve"> </w:t>
      </w:r>
      <w:r w:rsidR="00DF2F73" w:rsidRPr="006A4BAD">
        <w:t xml:space="preserve">above </w:t>
      </w:r>
      <w:r w:rsidR="000C1E1E" w:rsidRPr="006A4BAD">
        <w:t>to the decision</w:t>
      </w:r>
      <w:r w:rsidR="00DF2F73" w:rsidRPr="006A4BAD">
        <w:t>s</w:t>
      </w:r>
      <w:r w:rsidR="000C1E1E" w:rsidRPr="006A4BAD">
        <w:t xml:space="preserve"> of Beach J in </w:t>
      </w:r>
      <w:r w:rsidR="005C53B8" w:rsidRPr="006A4BAD">
        <w:rPr>
          <w:i/>
        </w:rPr>
        <w:t>Blairgowrie (No 3)</w:t>
      </w:r>
      <w:r w:rsidR="005C53B8" w:rsidRPr="006A4BAD">
        <w:t xml:space="preserve"> </w:t>
      </w:r>
      <w:r w:rsidR="000C1E1E" w:rsidRPr="006A4BAD">
        <w:rPr>
          <w:rFonts w:eastAsia="Times New Roman"/>
          <w:lang w:val="en" w:eastAsia="en-AU"/>
        </w:rPr>
        <w:t>and</w:t>
      </w:r>
      <w:r w:rsidR="000C1E1E" w:rsidRPr="006A4BAD">
        <w:t xml:space="preserve"> Murphy J in </w:t>
      </w:r>
      <w:r w:rsidR="000C1E1E" w:rsidRPr="006A4BAD">
        <w:rPr>
          <w:i/>
        </w:rPr>
        <w:t>Caason (No 2)</w:t>
      </w:r>
      <w:r w:rsidR="00E614F6" w:rsidRPr="006A4BAD">
        <w:t>,</w:t>
      </w:r>
      <w:r w:rsidR="000C1E1E" w:rsidRPr="006A4BAD">
        <w:t xml:space="preserve"> in the context of a funder </w:t>
      </w:r>
      <w:r w:rsidR="000C1E1E" w:rsidRPr="006A4BAD">
        <w:rPr>
          <w:rFonts w:eastAsia="Times New Roman"/>
          <w:lang w:eastAsia="en-AU"/>
        </w:rPr>
        <w:t xml:space="preserve">seeking a common fund order and the factors </w:t>
      </w:r>
      <w:r w:rsidR="00E614F6" w:rsidRPr="006A4BAD">
        <w:rPr>
          <w:rFonts w:eastAsia="Times New Roman"/>
          <w:lang w:eastAsia="en-AU"/>
        </w:rPr>
        <w:t>regarded</w:t>
      </w:r>
      <w:r w:rsidR="000C1E1E" w:rsidRPr="006A4BAD">
        <w:rPr>
          <w:rFonts w:eastAsia="Times New Roman"/>
          <w:lang w:eastAsia="en-AU"/>
        </w:rPr>
        <w:t xml:space="preserve"> as relevant,</w:t>
      </w:r>
      <w:r w:rsidR="00E614F6" w:rsidRPr="006A4BAD">
        <w:rPr>
          <w:rFonts w:eastAsia="Times New Roman"/>
          <w:lang w:eastAsia="en-AU"/>
        </w:rPr>
        <w:t xml:space="preserve"> in those cases, to</w:t>
      </w:r>
      <w:r w:rsidR="000C1E1E" w:rsidRPr="006A4BAD">
        <w:rPr>
          <w:rFonts w:eastAsia="Times New Roman"/>
          <w:lang w:eastAsia="en-AU"/>
        </w:rPr>
        <w:t xml:space="preserve"> the making of the order at the time of the settlement of the proceeding.</w:t>
      </w:r>
      <w:r w:rsidR="00D76CC2" w:rsidRPr="006A4BAD">
        <w:t xml:space="preserve">  I</w:t>
      </w:r>
      <w:r w:rsidR="00DF2F73" w:rsidRPr="006A4BAD">
        <w:t>t</w:t>
      </w:r>
      <w:r w:rsidR="00D76CC2" w:rsidRPr="006A4BAD">
        <w:t xml:space="preserve"> should be noted, however, that despite the public policy benefit of encouraging open classes, t</w:t>
      </w:r>
      <w:r w:rsidR="00E614F6" w:rsidRPr="006A4BAD">
        <w:t xml:space="preserve">he </w:t>
      </w:r>
      <w:r w:rsidR="00D76CC2" w:rsidRPr="006A4BAD">
        <w:t xml:space="preserve">actual </w:t>
      </w:r>
      <w:r w:rsidR="00E614F6" w:rsidRPr="006A4BAD">
        <w:t xml:space="preserve">process of arriving at making common fund </w:t>
      </w:r>
      <w:r w:rsidR="00E614F6" w:rsidRPr="006A4BAD">
        <w:lastRenderedPageBreak/>
        <w:t>order</w:t>
      </w:r>
      <w:r w:rsidR="00D76CC2" w:rsidRPr="006A4BAD">
        <w:t>s</w:t>
      </w:r>
      <w:r w:rsidR="000C1E1E" w:rsidRPr="006A4BAD">
        <w:rPr>
          <w:rFonts w:eastAsia="Times New Roman"/>
          <w:lang w:eastAsia="en-AU"/>
        </w:rPr>
        <w:t>,</w:t>
      </w:r>
      <w:r w:rsidR="00E614F6" w:rsidRPr="006A4BAD">
        <w:rPr>
          <w:rFonts w:eastAsia="Times New Roman"/>
          <w:lang w:eastAsia="en-AU"/>
        </w:rPr>
        <w:t xml:space="preserve"> has not been without criticism.  </w:t>
      </w:r>
      <w:r w:rsidR="00B37121" w:rsidRPr="006A4BAD">
        <w:rPr>
          <w:rFonts w:eastAsia="Times New Roman"/>
          <w:lang w:eastAsia="en-AU"/>
        </w:rPr>
        <w:t>Complex issues arise in selecting ‘headline’ commission rates not limited to whether the court is well equipped t</w:t>
      </w:r>
      <w:r w:rsidR="00F277D5" w:rsidRPr="006A4BAD">
        <w:rPr>
          <w:rFonts w:eastAsia="Times New Roman"/>
          <w:lang w:eastAsia="en-AU"/>
        </w:rPr>
        <w:t xml:space="preserve">o set returns which merit the </w:t>
      </w:r>
      <w:r w:rsidR="00F277D5" w:rsidRPr="006A4BAD">
        <w:rPr>
          <w:rFonts w:eastAsia="Times New Roman"/>
          <w:szCs w:val="24"/>
          <w:lang w:eastAsia="en-AU"/>
        </w:rPr>
        <w:t xml:space="preserve">epithet </w:t>
      </w:r>
      <w:r w:rsidR="00F277D5" w:rsidRPr="006A4BAD">
        <w:rPr>
          <w:rFonts w:eastAsia="Times New Roman"/>
          <w:lang w:eastAsia="en-AU"/>
        </w:rPr>
        <w:t>‘fair and reasonable’</w:t>
      </w:r>
      <w:r w:rsidR="00B37121" w:rsidRPr="006A4BAD">
        <w:rPr>
          <w:rFonts w:eastAsia="Times New Roman"/>
          <w:lang w:eastAsia="en-AU"/>
        </w:rPr>
        <w:t>.  More particularly, t</w:t>
      </w:r>
      <w:r w:rsidR="00A85C30" w:rsidRPr="006A4BAD">
        <w:rPr>
          <w:rFonts w:eastAsia="Times New Roman"/>
          <w:lang w:eastAsia="en-AU"/>
        </w:rPr>
        <w:t xml:space="preserve">he point has been made that </w:t>
      </w:r>
      <w:r w:rsidR="00A85C30" w:rsidRPr="006A4BAD">
        <w:t xml:space="preserve">the litigation funding market is </w:t>
      </w:r>
      <w:r w:rsidR="001D2451" w:rsidRPr="006A4BAD">
        <w:t xml:space="preserve">currently </w:t>
      </w:r>
      <w:r w:rsidR="00A85C30" w:rsidRPr="006A4BAD">
        <w:t>in a state of flux</w:t>
      </w:r>
      <w:r w:rsidR="00B37121" w:rsidRPr="006A4BAD">
        <w:t xml:space="preserve"> and </w:t>
      </w:r>
      <w:r w:rsidR="00A85C30" w:rsidRPr="006A4BAD">
        <w:t xml:space="preserve">that expert evidence </w:t>
      </w:r>
      <w:r w:rsidR="00B37121" w:rsidRPr="006A4BAD">
        <w:t xml:space="preserve">should </w:t>
      </w:r>
      <w:r w:rsidR="00A85C30" w:rsidRPr="006A4BAD">
        <w:t xml:space="preserve">be received on whether the litigation funding market is achieving normal or above normal returns: see, for example, </w:t>
      </w:r>
      <w:r w:rsidR="00E614F6" w:rsidRPr="006A4BAD">
        <w:rPr>
          <w:rFonts w:eastAsia="Times New Roman"/>
          <w:lang w:eastAsia="en-AU"/>
        </w:rPr>
        <w:t xml:space="preserve">Professor </w:t>
      </w:r>
      <w:r w:rsidR="005C53B8" w:rsidRPr="006A4BAD">
        <w:t xml:space="preserve">Michael Legg, “A Critical Assessment of Shareholder Class Action Settlements – The Allco Class Action” (2018) 46 </w:t>
      </w:r>
      <w:r w:rsidR="005C53B8" w:rsidRPr="006A4BAD">
        <w:rPr>
          <w:i/>
        </w:rPr>
        <w:t>Australian Business Law Review</w:t>
      </w:r>
      <w:r w:rsidR="005C53B8" w:rsidRPr="006A4BAD">
        <w:t xml:space="preserve"> 54 at 63-66</w:t>
      </w:r>
      <w:r w:rsidR="00A85C30" w:rsidRPr="006A4BAD">
        <w:t>.</w:t>
      </w:r>
    </w:p>
    <w:p w:rsidR="00E614F6" w:rsidRPr="00924038" w:rsidRDefault="009C7464" w:rsidP="009C7464">
      <w:pPr>
        <w:pStyle w:val="ParaNumbering"/>
      </w:pPr>
      <w:r w:rsidRPr="00924038">
        <w:t xml:space="preserve">I will consider </w:t>
      </w:r>
      <w:r w:rsidR="00D76CC2" w:rsidRPr="00924038">
        <w:t xml:space="preserve">and address </w:t>
      </w:r>
      <w:r w:rsidRPr="00924038">
        <w:t>these concerns in the circumstances of setting a common fund order in this case below.</w:t>
      </w:r>
    </w:p>
    <w:p w:rsidR="004B25D9" w:rsidRPr="00924038" w:rsidRDefault="004B25D9" w:rsidP="004B25D9">
      <w:pPr>
        <w:pStyle w:val="Heading2"/>
      </w:pPr>
      <w:bookmarkStart w:id="71" w:name="_Ref514405640"/>
      <w:r w:rsidRPr="00924038">
        <w:t>G.2</w:t>
      </w:r>
      <w:r w:rsidRPr="00924038">
        <w:tab/>
      </w:r>
      <w:proofErr w:type="gramStart"/>
      <w:r w:rsidRPr="00924038">
        <w:t>The</w:t>
      </w:r>
      <w:proofErr w:type="gramEnd"/>
      <w:r w:rsidRPr="00924038">
        <w:t xml:space="preserve"> Timing of Common Fund Order</w:t>
      </w:r>
      <w:bookmarkEnd w:id="71"/>
    </w:p>
    <w:p w:rsidR="00D76CC2" w:rsidRPr="00924038" w:rsidRDefault="00C478E2" w:rsidP="00E614F6">
      <w:pPr>
        <w:pStyle w:val="ParaNumbering"/>
      </w:pPr>
      <w:r w:rsidRPr="00924038">
        <w:t xml:space="preserve">Each applicant submitted that there is no difficulty in making a common fund order at this early stage of the conduct of the matter.  No resistance to this course was indicated by GetSwift.  Despite some earlier hesitancy in the Court making common fund orders at the commencement of a proceeding </w:t>
      </w:r>
      <w:r w:rsidR="001D2451">
        <w:t>(</w:t>
      </w:r>
      <w:r w:rsidRPr="00924038">
        <w:t>rather than at the settlement stage</w:t>
      </w:r>
      <w:r w:rsidR="001D2451">
        <w:t>)</w:t>
      </w:r>
      <w:r w:rsidR="00D76CC2" w:rsidRPr="00924038">
        <w:t>,</w:t>
      </w:r>
      <w:r w:rsidRPr="00924038">
        <w:t xml:space="preserve"> there is nothing which prevents an order being made</w:t>
      </w:r>
      <w:r w:rsidR="00FF726B" w:rsidRPr="00924038">
        <w:t xml:space="preserve"> sooner rather than later.  Indeed in </w:t>
      </w:r>
      <w:r w:rsidR="00FF726B" w:rsidRPr="00924038">
        <w:rPr>
          <w:i/>
        </w:rPr>
        <w:t xml:space="preserve">Bellamy’s </w:t>
      </w:r>
      <w:r w:rsidR="00FF726B" w:rsidRPr="00924038">
        <w:t>at [22]</w:t>
      </w:r>
      <w:r w:rsidR="001D2451">
        <w:t>,</w:t>
      </w:r>
      <w:r w:rsidR="00FF726B" w:rsidRPr="00924038">
        <w:t xml:space="preserve"> Beach J noted that whether such an order should be granted and its terms needed</w:t>
      </w:r>
      <w:r w:rsidR="00D76CC2" w:rsidRPr="00924038">
        <w:t>,</w:t>
      </w:r>
      <w:r w:rsidR="00FF726B" w:rsidRPr="00924038">
        <w:t xml:space="preserve"> in the circumstances of that case</w:t>
      </w:r>
      <w:r w:rsidR="00D76CC2" w:rsidRPr="00924038">
        <w:t>,</w:t>
      </w:r>
      <w:r w:rsidR="00FF726B" w:rsidRPr="00924038">
        <w:t xml:space="preserve"> to be dealt with at “</w:t>
      </w:r>
      <w:r w:rsidR="00FF726B" w:rsidRPr="001D2451">
        <w:rPr>
          <w:i/>
        </w:rPr>
        <w:t>an early point</w:t>
      </w:r>
      <w:r w:rsidR="00FF726B" w:rsidRPr="00924038">
        <w:t xml:space="preserve">”.  It was for this reason, among others, that it was necessary to resolve the appropriate constitution of the competing class actions before dealing with common fund questions.  </w:t>
      </w:r>
      <w:r w:rsidR="00F277D5">
        <w:t xml:space="preserve">Moreover, if the possibility of a ‘windfall’ can be removed, the basis for the hesitancy </w:t>
      </w:r>
      <w:r w:rsidR="001D2451">
        <w:t>in</w:t>
      </w:r>
      <w:r w:rsidR="00F277D5">
        <w:t xml:space="preserve"> setting fund rates at the commencement of a </w:t>
      </w:r>
      <w:r w:rsidR="001D2451">
        <w:t>proceeding</w:t>
      </w:r>
      <w:r w:rsidR="00F277D5">
        <w:t xml:space="preserve"> disappears.</w:t>
      </w:r>
    </w:p>
    <w:p w:rsidR="00141A80" w:rsidRPr="00924038" w:rsidRDefault="00FF726B" w:rsidP="00E614F6">
      <w:pPr>
        <w:pStyle w:val="ParaNumbering"/>
      </w:pPr>
      <w:r w:rsidRPr="00924038">
        <w:t>To my mind</w:t>
      </w:r>
      <w:r w:rsidR="00F277D5">
        <w:t>, provided the potential ‘windfall’ problem is minimised,</w:t>
      </w:r>
      <w:r w:rsidRPr="00924038">
        <w:t xml:space="preserve"> th</w:t>
      </w:r>
      <w:r w:rsidR="00D76CC2" w:rsidRPr="00924038">
        <w:t xml:space="preserve">ere are </w:t>
      </w:r>
      <w:r w:rsidR="00E04DD4" w:rsidRPr="00924038">
        <w:t>significant advantage</w:t>
      </w:r>
      <w:r w:rsidR="00D76CC2" w:rsidRPr="00924038">
        <w:t>s</w:t>
      </w:r>
      <w:r w:rsidR="00E04DD4" w:rsidRPr="00924038">
        <w:t xml:space="preserve"> of making a common fund order and </w:t>
      </w:r>
      <w:r w:rsidR="00D76CC2" w:rsidRPr="00924038">
        <w:t>putting in place</w:t>
      </w:r>
      <w:r w:rsidR="00E04DD4" w:rsidRPr="00924038">
        <w:t xml:space="preserve"> a </w:t>
      </w:r>
      <w:r w:rsidR="00D76CC2" w:rsidRPr="00924038">
        <w:t>funding regime</w:t>
      </w:r>
      <w:r w:rsidR="00E04DD4" w:rsidRPr="00924038">
        <w:t xml:space="preserve"> sooner rather than later.  </w:t>
      </w:r>
      <w:r w:rsidR="00E04DD4" w:rsidRPr="00924038">
        <w:rPr>
          <w:i/>
        </w:rPr>
        <w:t>First</w:t>
      </w:r>
      <w:r w:rsidR="00E04DD4" w:rsidRPr="00924038">
        <w:t>, it has the advantage of there being some certainty (subject to later variation) prior to the time being fixed for opt out.  At the time of opt out</w:t>
      </w:r>
      <w:r w:rsidR="00AC4105" w:rsidRPr="00924038">
        <w:t>,</w:t>
      </w:r>
      <w:r w:rsidR="00E04DD4" w:rsidRPr="00924038">
        <w:t xml:space="preserve"> group members can make an informed decision</w:t>
      </w:r>
      <w:r w:rsidR="001D2451">
        <w:t>,</w:t>
      </w:r>
      <w:r w:rsidR="00E04DD4" w:rsidRPr="00924038">
        <w:t xml:space="preserve"> including as to whether they consider that the proposed funding </w:t>
      </w:r>
      <w:r w:rsidR="00551530" w:rsidRPr="00924038">
        <w:t xml:space="preserve">regime </w:t>
      </w:r>
      <w:r w:rsidR="00E04DD4" w:rsidRPr="00924038">
        <w:t xml:space="preserve">is appropriate in all the circumstances.  </w:t>
      </w:r>
      <w:r w:rsidR="00E04DD4" w:rsidRPr="00924038">
        <w:rPr>
          <w:i/>
        </w:rPr>
        <w:t>Secondly</w:t>
      </w:r>
      <w:r w:rsidR="00E04DD4" w:rsidRPr="00924038">
        <w:t>, it is already inherent in setting funding rates for different actions that there needs to be an assessment of risk by the funder.  In this case the differing common fund proposals presumably reflect that assessment of risk.  An assessment as to whether it is likely that the funder will have to pay adverse cost</w:t>
      </w:r>
      <w:r w:rsidR="001D2451">
        <w:t>s</w:t>
      </w:r>
      <w:r w:rsidR="00E04DD4" w:rsidRPr="00924038">
        <w:t xml:space="preserve"> </w:t>
      </w:r>
      <w:r w:rsidR="00E04DD4" w:rsidRPr="00924038">
        <w:lastRenderedPageBreak/>
        <w:t>orders (an eventuality</w:t>
      </w:r>
      <w:r w:rsidR="001D2451">
        <w:t>, it will be recalled,</w:t>
      </w:r>
      <w:r w:rsidR="00E04DD4" w:rsidRPr="00924038">
        <w:t xml:space="preserve"> that has not, as yet, occurred) which would include a subjective assessment of the prospects of success of the case and the likelihood of settlement, should be an </w:t>
      </w:r>
      <w:r w:rsidR="00E04DD4" w:rsidRPr="00924038">
        <w:rPr>
          <w:i/>
        </w:rPr>
        <w:t>ex</w:t>
      </w:r>
      <w:r w:rsidR="00AC4105" w:rsidRPr="00924038">
        <w:rPr>
          <w:i/>
        </w:rPr>
        <w:t xml:space="preserve"> </w:t>
      </w:r>
      <w:r w:rsidR="00E04DD4" w:rsidRPr="00924038">
        <w:rPr>
          <w:i/>
        </w:rPr>
        <w:t>ante</w:t>
      </w:r>
      <w:r w:rsidR="00E04DD4" w:rsidRPr="00924038">
        <w:t xml:space="preserve"> rather than an </w:t>
      </w:r>
      <w:r w:rsidR="00E04DD4" w:rsidRPr="00924038">
        <w:rPr>
          <w:i/>
        </w:rPr>
        <w:t>ex</w:t>
      </w:r>
      <w:r w:rsidR="00AC4105" w:rsidRPr="00924038">
        <w:rPr>
          <w:i/>
        </w:rPr>
        <w:t xml:space="preserve"> </w:t>
      </w:r>
      <w:r w:rsidR="00E04DD4" w:rsidRPr="00924038">
        <w:rPr>
          <w:i/>
        </w:rPr>
        <w:t>post</w:t>
      </w:r>
      <w:r w:rsidR="00E04DD4" w:rsidRPr="00924038">
        <w:t xml:space="preserve"> analysis.  The risk of hindsight bias is real when one is dealing with a common fund applicatio</w:t>
      </w:r>
      <w:r w:rsidR="00F277D5">
        <w:t>n at the conclusion of a case</w:t>
      </w:r>
      <w:r w:rsidR="00217FAF" w:rsidRPr="00924038">
        <w:t xml:space="preserve">.  </w:t>
      </w:r>
    </w:p>
    <w:p w:rsidR="00261652" w:rsidRPr="00924038" w:rsidRDefault="00261652" w:rsidP="00E614F6">
      <w:pPr>
        <w:pStyle w:val="ParaNumbering"/>
      </w:pPr>
      <w:r w:rsidRPr="00924038">
        <w:t xml:space="preserve">It is notable </w:t>
      </w:r>
      <w:r w:rsidR="000C2078" w:rsidRPr="00924038">
        <w:t xml:space="preserve">that Murphy J in </w:t>
      </w:r>
      <w:r w:rsidR="000C2078" w:rsidRPr="00924038">
        <w:rPr>
          <w:i/>
        </w:rPr>
        <w:t xml:space="preserve">Pearson </w:t>
      </w:r>
      <w:r w:rsidR="000C2078" w:rsidRPr="00924038">
        <w:t xml:space="preserve">made orders early on during the course of proceedings in circumstances where group members would be informed of the requirement to pay the commission </w:t>
      </w:r>
      <w:r w:rsidR="000C2078" w:rsidRPr="00924038">
        <w:rPr>
          <w:i/>
        </w:rPr>
        <w:t xml:space="preserve">before </w:t>
      </w:r>
      <w:r w:rsidR="000C2078" w:rsidRPr="00924038">
        <w:t>they decided whether to opt out and which would allow members to opt out if they were unhappy with the order.  Making the order at this time also avoided wasted costs associated with book</w:t>
      </w:r>
      <w:r w:rsidR="007E6739">
        <w:t xml:space="preserve"> </w:t>
      </w:r>
      <w:r w:rsidR="000C2078" w:rsidRPr="00924038">
        <w:t xml:space="preserve">building which would ultimately have been deducted from the possible </w:t>
      </w:r>
      <w:proofErr w:type="gramStart"/>
      <w:r w:rsidR="000C2078" w:rsidRPr="00924038">
        <w:t>recoveries</w:t>
      </w:r>
      <w:r w:rsidR="001D2451">
        <w:t>,</w:t>
      </w:r>
      <w:proofErr w:type="gramEnd"/>
      <w:r w:rsidR="000C2078" w:rsidRPr="00924038">
        <w:t xml:space="preserve"> and the waste of time and effort that would </w:t>
      </w:r>
      <w:r w:rsidR="001D2451">
        <w:t xml:space="preserve">have </w:t>
      </w:r>
      <w:r w:rsidR="000C2078" w:rsidRPr="00924038">
        <w:t xml:space="preserve">been needed to explain the details of funding arrangements against a backdrop of uncertainty as to what the Court would eventually do.  </w:t>
      </w:r>
    </w:p>
    <w:p w:rsidR="00141A80" w:rsidRPr="00924038" w:rsidRDefault="00141A80" w:rsidP="00F7237D">
      <w:pPr>
        <w:pStyle w:val="Heading2"/>
      </w:pPr>
      <w:bookmarkStart w:id="72" w:name="_Ref514405641"/>
      <w:r w:rsidRPr="00924038">
        <w:t>G.3</w:t>
      </w:r>
      <w:r w:rsidRPr="00924038">
        <w:tab/>
      </w:r>
      <w:r w:rsidR="0071603C" w:rsidRPr="00924038">
        <w:t>An Order is Appropriate</w:t>
      </w:r>
      <w:bookmarkEnd w:id="72"/>
      <w:r w:rsidRPr="00924038">
        <w:t xml:space="preserve"> </w:t>
      </w:r>
    </w:p>
    <w:p w:rsidR="00265868" w:rsidRPr="006A4BAD" w:rsidRDefault="00265868" w:rsidP="00E614F6">
      <w:pPr>
        <w:pStyle w:val="ParaNumbering"/>
      </w:pPr>
      <w:r w:rsidRPr="006A4BAD">
        <w:t>I set out at [2</w:t>
      </w:r>
      <w:r w:rsidR="00D15E08">
        <w:t>5</w:t>
      </w:r>
      <w:r w:rsidRPr="006A4BAD">
        <w:t>]</w:t>
      </w:r>
      <w:r w:rsidR="005C53B8" w:rsidRPr="006A4BAD">
        <w:t>-</w:t>
      </w:r>
      <w:r w:rsidRPr="006A4BAD">
        <w:t>[2</w:t>
      </w:r>
      <w:r w:rsidR="00D15E08">
        <w:t>8</w:t>
      </w:r>
      <w:r w:rsidRPr="006A4BAD">
        <w:t xml:space="preserve">] above the approach the Court has taken to common fund orders.  Having regard to the matters set out in </w:t>
      </w:r>
      <w:r w:rsidRPr="006A4BAD">
        <w:rPr>
          <w:i/>
        </w:rPr>
        <w:t xml:space="preserve">Money Max </w:t>
      </w:r>
      <w:r w:rsidRPr="006A4BAD">
        <w:t xml:space="preserve">at 209 [80], to the extent that they are presently relevant, the funding rates proposed by </w:t>
      </w:r>
      <w:r w:rsidR="001D2451" w:rsidRPr="006A4BAD">
        <w:t>Mr</w:t>
      </w:r>
      <w:r w:rsidRPr="006A4BAD">
        <w:t xml:space="preserve"> Perera </w:t>
      </w:r>
      <w:r w:rsidR="0071603C" w:rsidRPr="006A4BAD">
        <w:t>is a significant improvement to</w:t>
      </w:r>
      <w:r w:rsidRPr="006A4BAD">
        <w:t xml:space="preserve"> that which is set out in the Perera Funding Agreement</w:t>
      </w:r>
      <w:r w:rsidR="0071603C" w:rsidRPr="006A4BAD">
        <w:t>;</w:t>
      </w:r>
      <w:r w:rsidRPr="006A4BAD">
        <w:t xml:space="preserve"> the same can be said of the proposal by the McTaggart applicants</w:t>
      </w:r>
      <w:r w:rsidR="0071603C" w:rsidRPr="006A4BAD">
        <w:t>,</w:t>
      </w:r>
      <w:r w:rsidRPr="006A4BAD">
        <w:t xml:space="preserve"> which is better than the funding arrangements to which a number of group members have agreed in the McTaggart Funding Agreement.  In relation to Mr Webb, the funding terms, as I will discuss below, have a number of </w:t>
      </w:r>
      <w:r w:rsidR="0071603C" w:rsidRPr="006A4BAD">
        <w:t>real advantages</w:t>
      </w:r>
      <w:r w:rsidRPr="006A4BAD">
        <w:t xml:space="preserve">.  </w:t>
      </w:r>
    </w:p>
    <w:p w:rsidR="00E17AAF" w:rsidRPr="00924038" w:rsidRDefault="00E17AAF" w:rsidP="00C158D0">
      <w:pPr>
        <w:pStyle w:val="ParaNumbering"/>
      </w:pPr>
      <w:r w:rsidRPr="00924038">
        <w:t>Certainly compared to other securities class actions</w:t>
      </w:r>
      <w:r w:rsidR="0071603C" w:rsidRPr="00924038">
        <w:t>,</w:t>
      </w:r>
      <w:r w:rsidRPr="00924038">
        <w:t xml:space="preserve"> the funding rates proposed in this case compare very favourably and</w:t>
      </w:r>
      <w:r w:rsidR="0071603C" w:rsidRPr="00924038">
        <w:t>,</w:t>
      </w:r>
      <w:r w:rsidRPr="00924038">
        <w:t xml:space="preserve"> at least as a matter of theory</w:t>
      </w:r>
      <w:r w:rsidR="0071603C" w:rsidRPr="00924038">
        <w:t>,</w:t>
      </w:r>
      <w:r w:rsidRPr="00924038">
        <w:t xml:space="preserve"> it seems that the commission that would be received by a litigation funder pursuant to any proposed </w:t>
      </w:r>
      <w:r w:rsidR="001D2451">
        <w:t>form of</w:t>
      </w:r>
      <w:r w:rsidRPr="00924038">
        <w:t xml:space="preserve"> the common fund orders would </w:t>
      </w:r>
      <w:r w:rsidR="008C720E">
        <w:t xml:space="preserve">apparently </w:t>
      </w:r>
      <w:r w:rsidRPr="00924038">
        <w:t xml:space="preserve">be proportionate to the amount received by group members.  To this I add </w:t>
      </w:r>
      <w:r w:rsidR="008C720E">
        <w:t>that a</w:t>
      </w:r>
      <w:r w:rsidR="0071603C" w:rsidRPr="00924038">
        <w:t xml:space="preserve">ny common fund order </w:t>
      </w:r>
      <w:r w:rsidRPr="00924038">
        <w:t>is an interlocutory order</w:t>
      </w:r>
      <w:r w:rsidR="0071603C" w:rsidRPr="00924038">
        <w:t>,</w:t>
      </w:r>
      <w:r w:rsidRPr="00924038">
        <w:t xml:space="preserve"> which can be varied should it be necessary to do so if a matter emerges which materially changes this assessment.  </w:t>
      </w:r>
      <w:r w:rsidR="00C158D0" w:rsidRPr="00924038">
        <w:t>F</w:t>
      </w:r>
      <w:r w:rsidR="00C158D0">
        <w:t xml:space="preserve">urther, consistently with the position explained by </w:t>
      </w:r>
      <w:r w:rsidR="00C158D0" w:rsidRPr="00924038">
        <w:t xml:space="preserve">Murphy J in </w:t>
      </w:r>
      <w:r w:rsidR="00C158D0" w:rsidRPr="00C158D0">
        <w:rPr>
          <w:i/>
        </w:rPr>
        <w:t>Pearson</w:t>
      </w:r>
      <w:r w:rsidR="00C158D0">
        <w:t>,</w:t>
      </w:r>
      <w:r w:rsidR="00C158D0" w:rsidRPr="00C158D0">
        <w:rPr>
          <w:i/>
        </w:rPr>
        <w:t xml:space="preserve"> </w:t>
      </w:r>
      <w:r w:rsidR="00C158D0">
        <w:t>opt out will be better informed, and it will avoid further</w:t>
      </w:r>
      <w:r w:rsidR="00C158D0" w:rsidRPr="00924038">
        <w:t xml:space="preserve"> wasted costs</w:t>
      </w:r>
      <w:r w:rsidR="00C158D0">
        <w:t xml:space="preserve"> associated with book</w:t>
      </w:r>
      <w:r w:rsidR="007E6739">
        <w:t xml:space="preserve"> </w:t>
      </w:r>
      <w:r w:rsidR="00C158D0">
        <w:t>building</w:t>
      </w:r>
      <w:r w:rsidRPr="00924038">
        <w:t>.</w:t>
      </w:r>
    </w:p>
    <w:p w:rsidR="00E17AAF" w:rsidRPr="006A4BAD" w:rsidRDefault="00E17AAF" w:rsidP="00E614F6">
      <w:pPr>
        <w:pStyle w:val="ParaNumbering"/>
      </w:pPr>
      <w:r w:rsidRPr="006A4BAD">
        <w:t>Below</w:t>
      </w:r>
      <w:r w:rsidR="00C27DDE" w:rsidRPr="006A4BAD">
        <w:t>,</w:t>
      </w:r>
      <w:r w:rsidRPr="006A4BAD">
        <w:t xml:space="preserve"> </w:t>
      </w:r>
      <w:r w:rsidR="0003215D" w:rsidRPr="006A4BAD">
        <w:t xml:space="preserve">in </w:t>
      </w:r>
      <w:r w:rsidR="001D2451" w:rsidRPr="006A4BAD">
        <w:t>S</w:t>
      </w:r>
      <w:r w:rsidR="0003215D" w:rsidRPr="006A4BAD">
        <w:t>ection H.4</w:t>
      </w:r>
      <w:r w:rsidR="001D2451" w:rsidRPr="006A4BAD">
        <w:t xml:space="preserve"> below</w:t>
      </w:r>
      <w:r w:rsidR="00C27DDE" w:rsidRPr="006A4BAD">
        <w:t xml:space="preserve">, </w:t>
      </w:r>
      <w:r w:rsidRPr="006A4BAD">
        <w:t xml:space="preserve">I </w:t>
      </w:r>
      <w:r w:rsidR="0071603C" w:rsidRPr="006A4BAD">
        <w:t>explain</w:t>
      </w:r>
      <w:r w:rsidRPr="006A4BAD">
        <w:t xml:space="preserve"> what I regard as </w:t>
      </w:r>
      <w:r w:rsidR="00C27DDE" w:rsidRPr="006A4BAD">
        <w:t xml:space="preserve">the </w:t>
      </w:r>
      <w:r w:rsidRPr="006A4BAD">
        <w:t xml:space="preserve">significant advantages in the </w:t>
      </w:r>
      <w:r w:rsidR="00C27DDE" w:rsidRPr="006A4BAD">
        <w:t xml:space="preserve">form of the </w:t>
      </w:r>
      <w:r w:rsidRPr="006A4BAD">
        <w:t xml:space="preserve">common fund order </w:t>
      </w:r>
      <w:r w:rsidR="00C27DDE" w:rsidRPr="006A4BAD">
        <w:t xml:space="preserve">proposed to be </w:t>
      </w:r>
      <w:r w:rsidRPr="006A4BAD">
        <w:t>made in the Webb Proceeding.  As it turns out, it is the Webb Proceeding that is going to go forward</w:t>
      </w:r>
      <w:r w:rsidR="001D2451" w:rsidRPr="006A4BAD">
        <w:t xml:space="preserve">.  That being said, </w:t>
      </w:r>
      <w:r w:rsidRPr="006A4BAD">
        <w:t xml:space="preserve">if I had formed the view </w:t>
      </w:r>
      <w:r w:rsidRPr="006A4BAD">
        <w:lastRenderedPageBreak/>
        <w:t xml:space="preserve">that </w:t>
      </w:r>
      <w:r w:rsidR="00C27DDE" w:rsidRPr="006A4BAD">
        <w:t xml:space="preserve">the weight of </w:t>
      </w:r>
      <w:r w:rsidRPr="006A4BAD">
        <w:t xml:space="preserve">other factors meant that the Webb Proceeding </w:t>
      </w:r>
      <w:r w:rsidR="0071603C" w:rsidRPr="006A4BAD">
        <w:t xml:space="preserve">be </w:t>
      </w:r>
      <w:r w:rsidRPr="006A4BAD">
        <w:t>stayed</w:t>
      </w:r>
      <w:r w:rsidR="0071603C" w:rsidRPr="006A4BAD">
        <w:t>,</w:t>
      </w:r>
      <w:r w:rsidRPr="006A4BAD">
        <w:t xml:space="preserve"> and one of the other proceedings went forward</w:t>
      </w:r>
      <w:r w:rsidR="0071603C" w:rsidRPr="006A4BAD">
        <w:t>,</w:t>
      </w:r>
      <w:r w:rsidRPr="006A4BAD">
        <w:t xml:space="preserve"> I would have invited the funder of that proceeding to make submissions on why it was that the funding model that the funder proposed should be preferred to that suggested by Mr Webb.  </w:t>
      </w:r>
    </w:p>
    <w:p w:rsidR="00FE1E78" w:rsidRPr="00924038" w:rsidRDefault="00FE1E78" w:rsidP="00FE1E78">
      <w:pPr>
        <w:pStyle w:val="Heading1"/>
      </w:pPr>
      <w:bookmarkStart w:id="73" w:name="_Ref514405642"/>
      <w:bookmarkStart w:id="74" w:name="_Ref514668587"/>
      <w:r w:rsidRPr="00924038">
        <w:t>H</w:t>
      </w:r>
      <w:r w:rsidRPr="00924038">
        <w:tab/>
      </w:r>
      <w:r w:rsidR="00913157" w:rsidRPr="00924038">
        <w:t xml:space="preserve">Comparative Estimates </w:t>
      </w:r>
      <w:r w:rsidR="00FD2724">
        <w:t>of</w:t>
      </w:r>
      <w:r w:rsidR="00FE5585">
        <w:t xml:space="preserve"> </w:t>
      </w:r>
      <w:r w:rsidR="00FD2724">
        <w:t>Likely</w:t>
      </w:r>
      <w:r w:rsidR="00FE5585">
        <w:t xml:space="preserve"> </w:t>
      </w:r>
      <w:r w:rsidR="00913157" w:rsidRPr="00924038">
        <w:t>Returns</w:t>
      </w:r>
      <w:bookmarkEnd w:id="73"/>
      <w:r w:rsidR="00CA4F16">
        <w:t xml:space="preserve"> to the Group</w:t>
      </w:r>
      <w:bookmarkEnd w:id="74"/>
    </w:p>
    <w:p w:rsidR="008D7288" w:rsidRPr="00924038" w:rsidRDefault="008D7288" w:rsidP="008D7288">
      <w:pPr>
        <w:pStyle w:val="Heading2"/>
      </w:pPr>
      <w:bookmarkStart w:id="75" w:name="_Ref514405643"/>
      <w:r w:rsidRPr="00924038">
        <w:t>H.1</w:t>
      </w:r>
      <w:r w:rsidRPr="00924038">
        <w:tab/>
      </w:r>
      <w:proofErr w:type="gramStart"/>
      <w:r w:rsidRPr="00924038">
        <w:t>The</w:t>
      </w:r>
      <w:proofErr w:type="gramEnd"/>
      <w:r w:rsidRPr="00924038">
        <w:t xml:space="preserve"> Comparative Analysis – the Approach Taken</w:t>
      </w:r>
      <w:bookmarkEnd w:id="75"/>
    </w:p>
    <w:p w:rsidR="00986792" w:rsidRPr="00924038" w:rsidRDefault="00E90EA7" w:rsidP="00761793">
      <w:pPr>
        <w:pStyle w:val="ParaNumbering"/>
      </w:pPr>
      <w:r w:rsidRPr="00924038">
        <w:t>It is important, at the outset, that I explain how I have approached the evidence adduced relevant to the comparative analysis</w:t>
      </w:r>
      <w:r w:rsidR="00A560CC" w:rsidRPr="00924038">
        <w:t xml:space="preserve">.  </w:t>
      </w:r>
      <w:r w:rsidR="00986792" w:rsidRPr="00924038">
        <w:t xml:space="preserve">This involves not only identifying the assumptions that I originally made but also explaining the different approaches that I have taken as to the funding proposals originally put forward in comparison to the approach that I have taken in relation to </w:t>
      </w:r>
      <w:r w:rsidR="00A560CC" w:rsidRPr="00924038">
        <w:t>the various estimates</w:t>
      </w:r>
      <w:r w:rsidR="00986792" w:rsidRPr="00924038">
        <w:t>.</w:t>
      </w:r>
    </w:p>
    <w:p w:rsidR="00EC10FB" w:rsidRPr="00924038" w:rsidRDefault="00EC10FB" w:rsidP="00EC10FB">
      <w:pPr>
        <w:pStyle w:val="Heading3"/>
      </w:pPr>
      <w:bookmarkStart w:id="76" w:name="_Ref514405644"/>
      <w:r w:rsidRPr="00924038">
        <w:t>H.1.1</w:t>
      </w:r>
      <w:r w:rsidRPr="00924038">
        <w:tab/>
        <w:t>Assumptions in Orders</w:t>
      </w:r>
      <w:bookmarkEnd w:id="76"/>
    </w:p>
    <w:p w:rsidR="00313FA6" w:rsidRPr="00924038" w:rsidRDefault="00946420" w:rsidP="004B2288">
      <w:pPr>
        <w:pStyle w:val="ParaNumbering"/>
      </w:pPr>
      <w:r w:rsidRPr="00924038">
        <w:t xml:space="preserve">The order I initially made at the first case management hearing not only provided that each funder, through the relevant applicant, put forward its </w:t>
      </w:r>
      <w:r w:rsidR="005656F5" w:rsidRPr="00924038">
        <w:t xml:space="preserve">considered </w:t>
      </w:r>
      <w:r w:rsidRPr="00924038">
        <w:t>proposal as to funding on a common fund basis, but also, relevantly,</w:t>
      </w:r>
      <w:r w:rsidRPr="001D2451">
        <w:t xml:space="preserve"> sought assistance in relation </w:t>
      </w:r>
      <w:r w:rsidR="005656F5" w:rsidRPr="001D2451">
        <w:t xml:space="preserve">to the two other </w:t>
      </w:r>
      <w:r w:rsidRPr="001D2451">
        <w:t>matters that caused the most deb</w:t>
      </w:r>
      <w:r w:rsidR="005656F5" w:rsidRPr="001D2451">
        <w:t>ate during oral submissions:</w:t>
      </w:r>
      <w:r w:rsidRPr="001D2451">
        <w:t xml:space="preserve"> the manner and form by which security for costs is to be provided (see </w:t>
      </w:r>
      <w:r w:rsidR="001D2451">
        <w:t xml:space="preserve">Section </w:t>
      </w:r>
      <w:r w:rsidRPr="001D2451">
        <w:t xml:space="preserve">F.5 above) and an estimate by the applicants’ solicitor, on affidavit, of the costs that are likely to be incurred until a mediation of </w:t>
      </w:r>
      <w:r w:rsidR="001D2451">
        <w:t>the</w:t>
      </w:r>
      <w:r w:rsidRPr="001D2451">
        <w:t xml:space="preserve"> proceeding (on the assumption that issues of contravening conduct and causally related loss are in dispute</w:t>
      </w:r>
      <w:r w:rsidR="001D2451">
        <w:t>)</w:t>
      </w:r>
      <w:r w:rsidRPr="001D2451">
        <w:t>.</w:t>
      </w:r>
      <w:r w:rsidR="004B2288" w:rsidRPr="00924038">
        <w:t xml:space="preserve">  I did</w:t>
      </w:r>
      <w:r w:rsidR="00986792" w:rsidRPr="00924038">
        <w:t xml:space="preserve"> not proceed to </w:t>
      </w:r>
      <w:r w:rsidR="004B2288" w:rsidRPr="00924038">
        <w:t xml:space="preserve">specify </w:t>
      </w:r>
      <w:r w:rsidR="00986792" w:rsidRPr="00924038">
        <w:t xml:space="preserve">any more </w:t>
      </w:r>
      <w:r w:rsidR="00C158D0">
        <w:t>granular</w:t>
      </w:r>
      <w:r w:rsidR="00986792" w:rsidRPr="00924038">
        <w:t xml:space="preserve"> assumptions as to precisely what work would be conducted and the </w:t>
      </w:r>
      <w:r w:rsidR="004B2288" w:rsidRPr="00924038">
        <w:t>hours necessary to perform it</w:t>
      </w:r>
      <w:r w:rsidR="00986792" w:rsidRPr="00924038">
        <w:t xml:space="preserve">.  </w:t>
      </w:r>
    </w:p>
    <w:p w:rsidR="00986792" w:rsidRPr="00924038" w:rsidRDefault="00693825" w:rsidP="00986792">
      <w:pPr>
        <w:pStyle w:val="ParaNumbering"/>
      </w:pPr>
      <w:r w:rsidRPr="00924038">
        <w:t xml:space="preserve">No doubt I have already explained why I embedded an assumption in the order that any costs estimate be provided on the basis that the case would settle.  </w:t>
      </w:r>
      <w:r w:rsidR="001D2451">
        <w:t>Mr</w:t>
      </w:r>
      <w:r w:rsidRPr="00924038">
        <w:t xml:space="preserve"> Perera was correct to submit, after referring to empirical data, that it was appropriate to make the assumption that the case will settle, but further noted that “</w:t>
      </w:r>
      <w:r w:rsidRPr="001D2451">
        <w:rPr>
          <w:i/>
        </w:rPr>
        <w:t xml:space="preserve">the possibility that [the </w:t>
      </w:r>
      <w:r w:rsidR="001D2451" w:rsidRPr="001D2451">
        <w:rPr>
          <w:i/>
        </w:rPr>
        <w:t>matter</w:t>
      </w:r>
      <w:r w:rsidRPr="001D2451">
        <w:rPr>
          <w:i/>
        </w:rPr>
        <w:t>] does not settle cannot be ignored</w:t>
      </w:r>
      <w:r w:rsidRPr="00924038">
        <w:t>”.  The assumption as to settlement is a reasonable one</w:t>
      </w:r>
      <w:r w:rsidR="002210D1" w:rsidRPr="00924038">
        <w:t>,</w:t>
      </w:r>
      <w:r w:rsidRPr="00924038">
        <w:t xml:space="preserve"> but in forming conclusions as to </w:t>
      </w:r>
      <w:r w:rsidR="00A560CC" w:rsidRPr="00924038">
        <w:t xml:space="preserve">any </w:t>
      </w:r>
      <w:r w:rsidRPr="00924038">
        <w:t>overall comparative analysis</w:t>
      </w:r>
      <w:r w:rsidR="002210D1" w:rsidRPr="00924038">
        <w:t>,</w:t>
      </w:r>
      <w:r w:rsidRPr="00924038">
        <w:t xml:space="preserve"> a relevant factor is the possibility (although I regard it as unlikely) that the case does not settle.  Similarly, the other assumptions contained in the orders</w:t>
      </w:r>
      <w:r w:rsidR="00A560CC" w:rsidRPr="00924038">
        <w:t>,</w:t>
      </w:r>
      <w:r w:rsidRPr="00924038">
        <w:t xml:space="preserve"> as to what issues will be in contest and when the case </w:t>
      </w:r>
      <w:r w:rsidR="001D2451">
        <w:t>is</w:t>
      </w:r>
      <w:r w:rsidRPr="00924038">
        <w:t xml:space="preserve"> likely to settle</w:t>
      </w:r>
      <w:r w:rsidR="00A560CC" w:rsidRPr="00924038">
        <w:t>,</w:t>
      </w:r>
      <w:r w:rsidRPr="00924038">
        <w:t xml:space="preserve"> represented my attempt to </w:t>
      </w:r>
      <w:r w:rsidR="002210D1" w:rsidRPr="00924038">
        <w:t xml:space="preserve">identify </w:t>
      </w:r>
      <w:r w:rsidRPr="00924038">
        <w:t xml:space="preserve">scenarios which would assist </w:t>
      </w:r>
      <w:r w:rsidR="00C158D0">
        <w:t>in</w:t>
      </w:r>
      <w:r w:rsidRPr="00924038">
        <w:t xml:space="preserve"> receiving evidence as to likely costs.</w:t>
      </w:r>
    </w:p>
    <w:p w:rsidR="004E31A1" w:rsidRPr="00924038" w:rsidRDefault="004E31A1" w:rsidP="004E31A1">
      <w:pPr>
        <w:pStyle w:val="Heading3"/>
      </w:pPr>
      <w:bookmarkStart w:id="77" w:name="_Ref514405645"/>
      <w:r w:rsidRPr="00924038">
        <w:lastRenderedPageBreak/>
        <w:t>H.1.2</w:t>
      </w:r>
      <w:r w:rsidRPr="00924038">
        <w:tab/>
        <w:t xml:space="preserve">Differences </w:t>
      </w:r>
      <w:proofErr w:type="gramStart"/>
      <w:r w:rsidR="00C45F54" w:rsidRPr="00924038">
        <w:t>B</w:t>
      </w:r>
      <w:r w:rsidRPr="00924038">
        <w:t>etween</w:t>
      </w:r>
      <w:proofErr w:type="gramEnd"/>
      <w:r w:rsidRPr="00924038">
        <w:t xml:space="preserve"> </w:t>
      </w:r>
      <w:r w:rsidR="00C45F54" w:rsidRPr="00924038">
        <w:t>F</w:t>
      </w:r>
      <w:r w:rsidRPr="00924038">
        <w:t xml:space="preserve">unding </w:t>
      </w:r>
      <w:r w:rsidR="00C45F54" w:rsidRPr="00924038">
        <w:t>P</w:t>
      </w:r>
      <w:r w:rsidRPr="00924038">
        <w:t xml:space="preserve">roposals and </w:t>
      </w:r>
      <w:r w:rsidR="00C45F54" w:rsidRPr="00924038">
        <w:t>O</w:t>
      </w:r>
      <w:r w:rsidRPr="00924038">
        <w:t xml:space="preserve">ther </w:t>
      </w:r>
      <w:r w:rsidR="00C45F54" w:rsidRPr="00924038">
        <w:t>C</w:t>
      </w:r>
      <w:r w:rsidRPr="00924038">
        <w:t>osts</w:t>
      </w:r>
      <w:bookmarkEnd w:id="77"/>
    </w:p>
    <w:p w:rsidR="0070209A" w:rsidRPr="00924038" w:rsidRDefault="002210D1" w:rsidP="00946420">
      <w:pPr>
        <w:pStyle w:val="ParaNumbering"/>
      </w:pPr>
      <w:r w:rsidRPr="00924038">
        <w:t>I</w:t>
      </w:r>
      <w:r w:rsidR="0070209A" w:rsidRPr="00924038">
        <w:t>n comparing the evidence adduced by the applicants pursuant to my orders,</w:t>
      </w:r>
      <w:r w:rsidR="005656F5" w:rsidRPr="00924038">
        <w:t xml:space="preserve"> there is a very significant difference between approaching the evidence given as to the terms of any </w:t>
      </w:r>
      <w:r w:rsidR="0070209A" w:rsidRPr="00924038">
        <w:rPr>
          <w:i/>
        </w:rPr>
        <w:t>commercial p</w:t>
      </w:r>
      <w:r w:rsidR="005656F5" w:rsidRPr="00924038">
        <w:rPr>
          <w:i/>
        </w:rPr>
        <w:t>roposal</w:t>
      </w:r>
      <w:r w:rsidR="005656F5" w:rsidRPr="00924038">
        <w:t xml:space="preserve"> made as to a common fund order</w:t>
      </w:r>
      <w:r w:rsidRPr="00924038">
        <w:t>,</w:t>
      </w:r>
      <w:r w:rsidR="005656F5" w:rsidRPr="00924038">
        <w:t xml:space="preserve"> and the </w:t>
      </w:r>
      <w:r w:rsidR="005656F5" w:rsidRPr="00924038">
        <w:rPr>
          <w:i/>
        </w:rPr>
        <w:t xml:space="preserve">estimates </w:t>
      </w:r>
      <w:r w:rsidR="005656F5" w:rsidRPr="00924038">
        <w:t>of costs given as to</w:t>
      </w:r>
      <w:r w:rsidR="001D2451">
        <w:t xml:space="preserve"> the</w:t>
      </w:r>
      <w:r w:rsidR="005656F5" w:rsidRPr="00924038">
        <w:t xml:space="preserve"> solicitor</w:t>
      </w:r>
      <w:r w:rsidR="001D2451">
        <w:t>s’</w:t>
      </w:r>
      <w:r w:rsidR="005656F5" w:rsidRPr="00924038">
        <w:t xml:space="preserve"> own costs and disbursements and </w:t>
      </w:r>
      <w:r w:rsidR="005656F5" w:rsidRPr="00924038">
        <w:rPr>
          <w:i/>
        </w:rPr>
        <w:t>estimates</w:t>
      </w:r>
      <w:r w:rsidR="0070209A" w:rsidRPr="00924038">
        <w:t xml:space="preserve"> as to security.  The</w:t>
      </w:r>
      <w:r w:rsidR="005656F5" w:rsidRPr="00924038">
        <w:t xml:space="preserve"> difference is obvious: the funding proposals</w:t>
      </w:r>
      <w:r w:rsidR="0070209A" w:rsidRPr="00924038">
        <w:t xml:space="preserve"> represent, in effect, the statement of the acceptable commercial basis upon which the funder is willing to be bound by reciprocal obligations specified in the </w:t>
      </w:r>
      <w:r w:rsidR="005C3BFF" w:rsidRPr="00924038">
        <w:t xml:space="preserve">common fund </w:t>
      </w:r>
      <w:r w:rsidR="0070209A" w:rsidRPr="00924038">
        <w:t>order</w:t>
      </w:r>
      <w:r w:rsidR="005656F5" w:rsidRPr="00924038">
        <w:t xml:space="preserve">, based on </w:t>
      </w:r>
      <w:r w:rsidR="005C3BFF" w:rsidRPr="00924038">
        <w:t xml:space="preserve">the ‘market’ for cases of this character and </w:t>
      </w:r>
      <w:r w:rsidR="0070209A" w:rsidRPr="00924038">
        <w:t xml:space="preserve">the funder’s </w:t>
      </w:r>
      <w:r w:rsidR="005656F5" w:rsidRPr="00924038">
        <w:t xml:space="preserve">subjective perception </w:t>
      </w:r>
      <w:r w:rsidR="005C3BFF" w:rsidRPr="00924038">
        <w:t xml:space="preserve">of </w:t>
      </w:r>
      <w:r w:rsidR="005656F5" w:rsidRPr="00924038">
        <w:t xml:space="preserve">risk </w:t>
      </w:r>
      <w:r w:rsidR="00143EB3" w:rsidRPr="00924038">
        <w:t>and its</w:t>
      </w:r>
      <w:r w:rsidR="0070209A" w:rsidRPr="00924038">
        <w:t xml:space="preserve"> estimate of the </w:t>
      </w:r>
      <w:r w:rsidR="005656F5" w:rsidRPr="00924038">
        <w:t>likely return in the circumstances of the case.</w:t>
      </w:r>
      <w:r w:rsidR="0070209A" w:rsidRPr="00924038">
        <w:t xml:space="preserve">  It might also, fo</w:t>
      </w:r>
      <w:r w:rsidR="005C3BFF" w:rsidRPr="00924038">
        <w:t xml:space="preserve">r all I know, reflect </w:t>
      </w:r>
      <w:r w:rsidR="0070209A" w:rsidRPr="00924038">
        <w:t>fa</w:t>
      </w:r>
      <w:r w:rsidR="00143EB3" w:rsidRPr="00924038">
        <w:t xml:space="preserve">ctors </w:t>
      </w:r>
      <w:r w:rsidR="005C3BFF" w:rsidRPr="00924038">
        <w:t xml:space="preserve">which transcend </w:t>
      </w:r>
      <w:r w:rsidR="00143EB3" w:rsidRPr="00924038">
        <w:t>this case, such as</w:t>
      </w:r>
      <w:r w:rsidR="005C3BFF" w:rsidRPr="00924038">
        <w:t>, for example,</w:t>
      </w:r>
      <w:r w:rsidR="0070209A" w:rsidRPr="00924038">
        <w:t xml:space="preserve"> </w:t>
      </w:r>
      <w:r w:rsidR="00143EB3" w:rsidRPr="00924038">
        <w:t>a general appetite for risk</w:t>
      </w:r>
      <w:r w:rsidR="00BF43ED" w:rsidRPr="00924038">
        <w:t>,</w:t>
      </w:r>
      <w:r w:rsidR="00143EB3" w:rsidRPr="00924038">
        <w:t xml:space="preserve"> or the balance of an overall funding portfolio.  However calculated, i</w:t>
      </w:r>
      <w:r w:rsidR="0070209A" w:rsidRPr="00924038">
        <w:t xml:space="preserve">n providing this statement of the basis upon which it is prepared to be bound, </w:t>
      </w:r>
      <w:r w:rsidR="005C3BFF" w:rsidRPr="00924038">
        <w:t xml:space="preserve">it is a reasonable assumption that </w:t>
      </w:r>
      <w:r w:rsidR="0070209A" w:rsidRPr="00924038">
        <w:t xml:space="preserve">the funder, through its officers, </w:t>
      </w:r>
      <w:r w:rsidR="005C3BFF" w:rsidRPr="00924038">
        <w:t xml:space="preserve">will have made </w:t>
      </w:r>
      <w:r w:rsidR="0070209A" w:rsidRPr="00924038">
        <w:t>it</w:t>
      </w:r>
      <w:r w:rsidR="005C3BFF" w:rsidRPr="00924038">
        <w:t>s</w:t>
      </w:r>
      <w:r w:rsidR="0070209A" w:rsidRPr="00924038">
        <w:t xml:space="preserve"> own individualistic assessments</w:t>
      </w:r>
      <w:r w:rsidR="005C3BFF" w:rsidRPr="00924038">
        <w:t xml:space="preserve"> </w:t>
      </w:r>
      <w:r w:rsidR="0070209A" w:rsidRPr="00924038">
        <w:t xml:space="preserve">as to </w:t>
      </w:r>
      <w:r w:rsidR="005C3BFF" w:rsidRPr="00924038">
        <w:t xml:space="preserve">the </w:t>
      </w:r>
      <w:r w:rsidR="0070209A" w:rsidRPr="00924038">
        <w:t>risk</w:t>
      </w:r>
      <w:r w:rsidR="005C3BFF" w:rsidRPr="00924038">
        <w:t xml:space="preserve"> and likely returns, which, no doubt, will have included an assessment </w:t>
      </w:r>
      <w:r w:rsidR="0070209A" w:rsidRPr="00924038">
        <w:t xml:space="preserve">as to the likely quantum of cost outlays which will be required to be expended prior to any anticipated settlement and the amount </w:t>
      </w:r>
      <w:r w:rsidR="005C3BFF" w:rsidRPr="00924038">
        <w:t>it will be required</w:t>
      </w:r>
      <w:r w:rsidR="0070209A" w:rsidRPr="00924038">
        <w:t xml:space="preserve"> to venture by way of security for potential adverse costs</w:t>
      </w:r>
      <w:r w:rsidR="005C3BFF" w:rsidRPr="00924038">
        <w:t xml:space="preserve"> prior to any resolution</w:t>
      </w:r>
      <w:r w:rsidR="0070209A" w:rsidRPr="00924038">
        <w:t xml:space="preserve">.  </w:t>
      </w:r>
    </w:p>
    <w:p w:rsidR="00B87A51" w:rsidRPr="00924038" w:rsidRDefault="00B87A51" w:rsidP="00946420">
      <w:pPr>
        <w:pStyle w:val="ParaNumbering"/>
      </w:pPr>
      <w:r w:rsidRPr="00924038">
        <w:t xml:space="preserve">Although the </w:t>
      </w:r>
      <w:r w:rsidR="001D2451">
        <w:t>Mc</w:t>
      </w:r>
      <w:r w:rsidRPr="00924038">
        <w:t xml:space="preserve">Taggart applicants were originally </w:t>
      </w:r>
      <w:r w:rsidR="00C158D0">
        <w:t xml:space="preserve">somewhat </w:t>
      </w:r>
      <w:r w:rsidRPr="00924038">
        <w:t>chary about making a common fund propos</w:t>
      </w:r>
      <w:r w:rsidR="00C158D0">
        <w:t xml:space="preserve">al at this </w:t>
      </w:r>
      <w:r w:rsidR="001D2451">
        <w:t>stage of the proceeding</w:t>
      </w:r>
      <w:r w:rsidR="00C158D0">
        <w:t xml:space="preserve">, this </w:t>
      </w:r>
      <w:r w:rsidRPr="00924038">
        <w:t xml:space="preserve">position </w:t>
      </w:r>
      <w:r w:rsidR="00C158D0">
        <w:t xml:space="preserve">changed </w:t>
      </w:r>
      <w:r w:rsidRPr="00924038">
        <w:t>quickly and it is possible to make</w:t>
      </w:r>
      <w:r w:rsidR="00DA092A" w:rsidRPr="00924038">
        <w:t xml:space="preserve"> an objective comparison of the</w:t>
      </w:r>
      <w:r w:rsidRPr="00924038">
        <w:t xml:space="preserve"> proposal</w:t>
      </w:r>
      <w:r w:rsidR="00DA092A" w:rsidRPr="00924038">
        <w:t>s</w:t>
      </w:r>
      <w:r w:rsidRPr="00924038">
        <w:t xml:space="preserve"> in each proceeding as a consequence.</w:t>
      </w:r>
    </w:p>
    <w:p w:rsidR="00421027" w:rsidRPr="00924038" w:rsidRDefault="00B87A51" w:rsidP="00421027">
      <w:pPr>
        <w:pStyle w:val="ParaNumbering"/>
        <w:rPr>
          <w:szCs w:val="24"/>
        </w:rPr>
      </w:pPr>
      <w:r w:rsidRPr="00924038">
        <w:t xml:space="preserve">The position as to the estimates given as to costs and security is quite different.  </w:t>
      </w:r>
      <w:r w:rsidR="007C2485" w:rsidRPr="00924038">
        <w:t>They represented each solicitor’s best estimate of likely costs.  Not surprisin</w:t>
      </w:r>
      <w:r w:rsidR="00BF43ED" w:rsidRPr="00924038">
        <w:t xml:space="preserve">gly, given that </w:t>
      </w:r>
      <w:r w:rsidR="00C158D0">
        <w:t>exhaustive</w:t>
      </w:r>
      <w:r w:rsidR="00BF43ED" w:rsidRPr="00924038">
        <w:t xml:space="preserve"> </w:t>
      </w:r>
      <w:r w:rsidR="007C2485" w:rsidRPr="00924038">
        <w:t>assumption</w:t>
      </w:r>
      <w:r w:rsidR="003D43C6" w:rsidRPr="00924038">
        <w:t>s</w:t>
      </w:r>
      <w:r w:rsidR="007C2485" w:rsidRPr="00924038">
        <w:t xml:space="preserve"> were </w:t>
      </w:r>
      <w:r w:rsidR="00B65831">
        <w:t xml:space="preserve">not </w:t>
      </w:r>
      <w:r w:rsidR="00661C42">
        <w:t>identified in the orders</w:t>
      </w:r>
      <w:r w:rsidR="007C2485" w:rsidRPr="00924038">
        <w:t>, those estimate</w:t>
      </w:r>
      <w:r w:rsidR="00D302D0">
        <w:t>s proceeded on quite different bases</w:t>
      </w:r>
      <w:r w:rsidR="00707561" w:rsidRPr="00924038">
        <w:t xml:space="preserve">.  </w:t>
      </w:r>
      <w:r w:rsidR="007C2485" w:rsidRPr="00924038">
        <w:rPr>
          <w:szCs w:val="24"/>
        </w:rPr>
        <w:t xml:space="preserve">Given the </w:t>
      </w:r>
      <w:r w:rsidR="002A39FD" w:rsidRPr="00924038">
        <w:rPr>
          <w:szCs w:val="24"/>
        </w:rPr>
        <w:t>permutable nature of litigation</w:t>
      </w:r>
      <w:r w:rsidR="00D22D52">
        <w:rPr>
          <w:szCs w:val="24"/>
        </w:rPr>
        <w:t xml:space="preserve">, </w:t>
      </w:r>
      <w:r w:rsidR="003D43C6" w:rsidRPr="00924038">
        <w:rPr>
          <w:szCs w:val="24"/>
        </w:rPr>
        <w:t xml:space="preserve">estimates of </w:t>
      </w:r>
      <w:r w:rsidR="00D22D52">
        <w:rPr>
          <w:szCs w:val="24"/>
        </w:rPr>
        <w:t xml:space="preserve">anticipated legal </w:t>
      </w:r>
      <w:r w:rsidR="003D43C6" w:rsidRPr="00924038">
        <w:rPr>
          <w:szCs w:val="24"/>
        </w:rPr>
        <w:t xml:space="preserve">costs are </w:t>
      </w:r>
      <w:r w:rsidR="00D302D0">
        <w:rPr>
          <w:szCs w:val="24"/>
        </w:rPr>
        <w:t xml:space="preserve">always </w:t>
      </w:r>
      <w:r w:rsidR="003D43C6" w:rsidRPr="00924038">
        <w:rPr>
          <w:szCs w:val="24"/>
        </w:rPr>
        <w:t xml:space="preserve">liable to give a spurious air of precision to </w:t>
      </w:r>
      <w:r w:rsidR="00BF43ED" w:rsidRPr="00924038">
        <w:rPr>
          <w:szCs w:val="24"/>
        </w:rPr>
        <w:t xml:space="preserve">a task which is </w:t>
      </w:r>
      <w:r w:rsidR="003D43C6" w:rsidRPr="00924038">
        <w:rPr>
          <w:szCs w:val="24"/>
        </w:rPr>
        <w:t xml:space="preserve">inherently </w:t>
      </w:r>
      <w:r w:rsidR="00BF43ED" w:rsidRPr="00924038">
        <w:rPr>
          <w:szCs w:val="24"/>
        </w:rPr>
        <w:t>chancy</w:t>
      </w:r>
      <w:r w:rsidR="004A1FD9" w:rsidRPr="00924038">
        <w:rPr>
          <w:szCs w:val="24"/>
        </w:rPr>
        <w:t>.</w:t>
      </w:r>
      <w:r w:rsidR="00661C42">
        <w:rPr>
          <w:szCs w:val="24"/>
        </w:rPr>
        <w:t xml:space="preserve">  This is not to say the estimates</w:t>
      </w:r>
      <w:r w:rsidR="00707561" w:rsidRPr="00924038">
        <w:rPr>
          <w:szCs w:val="24"/>
        </w:rPr>
        <w:t xml:space="preserve"> are not of use.  On the contrary, they are important and </w:t>
      </w:r>
      <w:r w:rsidR="00421027" w:rsidRPr="00924038">
        <w:rPr>
          <w:szCs w:val="24"/>
        </w:rPr>
        <w:t>were sought to get an assessment of what three experienced litigation solicitors thought the costs would be</w:t>
      </w:r>
      <w:proofErr w:type="gramStart"/>
      <w:r w:rsidR="00421027" w:rsidRPr="00924038">
        <w:rPr>
          <w:szCs w:val="24"/>
        </w:rPr>
        <w:t xml:space="preserve">. </w:t>
      </w:r>
      <w:proofErr w:type="gramEnd"/>
      <w:r w:rsidR="00421027" w:rsidRPr="00924038">
        <w:rPr>
          <w:szCs w:val="24"/>
        </w:rPr>
        <w:t>The critical point is that to the extent the comparative ta</w:t>
      </w:r>
      <w:r w:rsidR="00707561" w:rsidRPr="00924038">
        <w:rPr>
          <w:szCs w:val="24"/>
        </w:rPr>
        <w:t>sk</w:t>
      </w:r>
      <w:r w:rsidR="00421027" w:rsidRPr="00924038">
        <w:rPr>
          <w:szCs w:val="24"/>
        </w:rPr>
        <w:t xml:space="preserve"> is u</w:t>
      </w:r>
      <w:r w:rsidR="00D435AA" w:rsidRPr="00924038">
        <w:rPr>
          <w:szCs w:val="24"/>
        </w:rPr>
        <w:t xml:space="preserve">seful, the costs estimates must, </w:t>
      </w:r>
      <w:r w:rsidR="00D435AA" w:rsidRPr="00924038">
        <w:t>to extent possible, be looked at by reference to</w:t>
      </w:r>
      <w:r w:rsidR="00421027" w:rsidRPr="00924038">
        <w:t xml:space="preserve"> common assum</w:t>
      </w:r>
      <w:r w:rsidR="00BF43ED" w:rsidRPr="00924038">
        <w:t xml:space="preserve">ptions before they can be used </w:t>
      </w:r>
      <w:r w:rsidR="00421027" w:rsidRPr="00924038">
        <w:t>meaningfully.</w:t>
      </w:r>
      <w:r w:rsidR="00A85DA4" w:rsidRPr="00924038">
        <w:t xml:space="preserve">  This is illustrated by the evidence I refer to in Section H.3 below.</w:t>
      </w:r>
    </w:p>
    <w:p w:rsidR="00D302D0" w:rsidRDefault="00D302D0" w:rsidP="00421027">
      <w:pPr>
        <w:pStyle w:val="ParaNumbering"/>
        <w:rPr>
          <w:szCs w:val="24"/>
        </w:rPr>
      </w:pPr>
      <w:r>
        <w:rPr>
          <w:szCs w:val="24"/>
        </w:rPr>
        <w:t xml:space="preserve">I have already touched upon the fact that making assessments of a comparative nature informed by </w:t>
      </w:r>
      <w:r w:rsidR="00661C42">
        <w:rPr>
          <w:szCs w:val="24"/>
        </w:rPr>
        <w:t xml:space="preserve">‘unadjusted’ </w:t>
      </w:r>
      <w:r>
        <w:rPr>
          <w:szCs w:val="24"/>
        </w:rPr>
        <w:t xml:space="preserve">costs estimates based on differing assumptions, just because it is </w:t>
      </w:r>
      <w:r>
        <w:rPr>
          <w:szCs w:val="24"/>
        </w:rPr>
        <w:lastRenderedPageBreak/>
        <w:t xml:space="preserve">part of a </w:t>
      </w:r>
      <w:r w:rsidR="00D22D52">
        <w:rPr>
          <w:szCs w:val="24"/>
        </w:rPr>
        <w:t xml:space="preserve">proposed </w:t>
      </w:r>
      <w:r w:rsidR="00661C42">
        <w:rPr>
          <w:szCs w:val="24"/>
        </w:rPr>
        <w:t xml:space="preserve">‘package’, </w:t>
      </w:r>
      <w:r>
        <w:rPr>
          <w:szCs w:val="24"/>
        </w:rPr>
        <w:t xml:space="preserve">raises </w:t>
      </w:r>
      <w:r w:rsidR="00661C42">
        <w:rPr>
          <w:szCs w:val="24"/>
        </w:rPr>
        <w:t xml:space="preserve">squarely </w:t>
      </w:r>
      <w:r>
        <w:rPr>
          <w:szCs w:val="24"/>
        </w:rPr>
        <w:t xml:space="preserve">the difficulty of a </w:t>
      </w:r>
      <w:r w:rsidR="00661C42">
        <w:rPr>
          <w:szCs w:val="24"/>
        </w:rPr>
        <w:t xml:space="preserve">fair </w:t>
      </w:r>
      <w:r>
        <w:rPr>
          <w:szCs w:val="24"/>
        </w:rPr>
        <w:t>comp</w:t>
      </w:r>
      <w:r w:rsidR="00661C42">
        <w:rPr>
          <w:szCs w:val="24"/>
        </w:rPr>
        <w:t>arison miscarrying by reason of underquoting</w:t>
      </w:r>
      <w:r>
        <w:rPr>
          <w:szCs w:val="24"/>
        </w:rPr>
        <w:t xml:space="preserve">.  </w:t>
      </w:r>
      <w:r w:rsidR="00661C42">
        <w:rPr>
          <w:szCs w:val="24"/>
        </w:rPr>
        <w:t xml:space="preserve">For reasons I have explained, I do not consider a solution to potential underquoting is to start fixing caps.  </w:t>
      </w:r>
      <w:r w:rsidR="00D22D52">
        <w:rPr>
          <w:szCs w:val="24"/>
        </w:rPr>
        <w:t>In these circumstances</w:t>
      </w:r>
      <w:r w:rsidR="00661C42">
        <w:rPr>
          <w:szCs w:val="24"/>
        </w:rPr>
        <w:t>, although</w:t>
      </w:r>
      <w:r w:rsidR="00D22D52">
        <w:rPr>
          <w:szCs w:val="24"/>
        </w:rPr>
        <w:t xml:space="preserve"> </w:t>
      </w:r>
      <w:r w:rsidR="00661C42">
        <w:rPr>
          <w:szCs w:val="24"/>
        </w:rPr>
        <w:t>I do not consider it necessary I make a finding as to what I consider will be the likely costs to various stages but, to the extent I use the estimates as part of a broader analysis, it must be after some attempt has been made to try, as best one can, to adjust those costs estimates by reference to common assumptions</w:t>
      </w:r>
      <w:r>
        <w:rPr>
          <w:szCs w:val="24"/>
        </w:rPr>
        <w:t xml:space="preserve">.  </w:t>
      </w:r>
    </w:p>
    <w:p w:rsidR="00D62D21" w:rsidRPr="00924038" w:rsidRDefault="0095630F" w:rsidP="00421027">
      <w:pPr>
        <w:pStyle w:val="ParaNumbering"/>
        <w:rPr>
          <w:szCs w:val="24"/>
        </w:rPr>
      </w:pPr>
      <w:r w:rsidRPr="00924038">
        <w:rPr>
          <w:szCs w:val="24"/>
        </w:rPr>
        <w:t xml:space="preserve">What </w:t>
      </w:r>
      <w:r w:rsidR="00D302D0">
        <w:rPr>
          <w:szCs w:val="24"/>
        </w:rPr>
        <w:t xml:space="preserve">also </w:t>
      </w:r>
      <w:r w:rsidRPr="00924038">
        <w:rPr>
          <w:szCs w:val="24"/>
        </w:rPr>
        <w:t>emerged during the course of oral submissions was a number of specific contentions and objections made by Mr Perera and the McTaggart applicants to the way in which the comparative task was being undertaken by Mr Webb (and also by Mr Perera as to how the comparative task was undertaken by the McTaggart applicants).  I have already explained why it is was necessary for me to proceed t</w:t>
      </w:r>
      <w:r w:rsidR="00D435AA" w:rsidRPr="00924038">
        <w:rPr>
          <w:szCs w:val="24"/>
        </w:rPr>
        <w:t>o introduce common assumptions,</w:t>
      </w:r>
      <w:r w:rsidRPr="00924038">
        <w:rPr>
          <w:szCs w:val="24"/>
        </w:rPr>
        <w:t xml:space="preserve"> but it is appropriate that I deal specifically with some of these objections as they form the basis for me reaching the conclusion that the comparative analysis </w:t>
      </w:r>
      <w:r w:rsidR="00871D1A">
        <w:rPr>
          <w:szCs w:val="24"/>
        </w:rPr>
        <w:t xml:space="preserve">summarising the evidence </w:t>
      </w:r>
      <w:r w:rsidRPr="00924038">
        <w:rPr>
          <w:szCs w:val="24"/>
        </w:rPr>
        <w:t xml:space="preserve">undertaken by Mr Webb is a preferable analysis to that undertaken by Mr Perera or the McTaggart applicants.  </w:t>
      </w:r>
    </w:p>
    <w:p w:rsidR="004E31A1" w:rsidRPr="00924038" w:rsidRDefault="004E31A1" w:rsidP="004E31A1">
      <w:pPr>
        <w:pStyle w:val="Heading2"/>
      </w:pPr>
      <w:bookmarkStart w:id="78" w:name="_Ref514405646"/>
      <w:r w:rsidRPr="00924038">
        <w:t>H.2</w:t>
      </w:r>
      <w:r w:rsidRPr="00924038">
        <w:tab/>
        <w:t xml:space="preserve">Miscellaneous </w:t>
      </w:r>
      <w:r w:rsidR="00C45F54" w:rsidRPr="00924038">
        <w:t>C</w:t>
      </w:r>
      <w:r w:rsidRPr="00924038">
        <w:t xml:space="preserve">ontentions </w:t>
      </w:r>
      <w:r w:rsidR="00FE5585">
        <w:t>as to</w:t>
      </w:r>
      <w:r w:rsidRPr="00924038">
        <w:t xml:space="preserve"> </w:t>
      </w:r>
      <w:r w:rsidR="00C45F54" w:rsidRPr="00924038">
        <w:t>C</w:t>
      </w:r>
      <w:r w:rsidRPr="00924038">
        <w:t xml:space="preserve">omparative </w:t>
      </w:r>
      <w:r w:rsidR="00FE5585">
        <w:t xml:space="preserve">Financial </w:t>
      </w:r>
      <w:r w:rsidR="00C45F54" w:rsidRPr="00924038">
        <w:t>A</w:t>
      </w:r>
      <w:r w:rsidRPr="00924038">
        <w:t>nalysis</w:t>
      </w:r>
      <w:bookmarkEnd w:id="78"/>
    </w:p>
    <w:p w:rsidR="00D62D21" w:rsidRPr="00924038" w:rsidRDefault="0095630F" w:rsidP="00421027">
      <w:pPr>
        <w:pStyle w:val="ParaNumbering"/>
        <w:rPr>
          <w:szCs w:val="24"/>
        </w:rPr>
      </w:pPr>
      <w:r w:rsidRPr="00924038">
        <w:rPr>
          <w:szCs w:val="24"/>
        </w:rPr>
        <w:t xml:space="preserve">The miscellaneous contentions and objections made can be </w:t>
      </w:r>
      <w:r w:rsidR="001D2451">
        <w:rPr>
          <w:szCs w:val="24"/>
        </w:rPr>
        <w:t>placed</w:t>
      </w:r>
      <w:r w:rsidRPr="00924038">
        <w:rPr>
          <w:szCs w:val="24"/>
        </w:rPr>
        <w:t xml:space="preserve"> in</w:t>
      </w:r>
      <w:r w:rsidR="001D2451">
        <w:rPr>
          <w:szCs w:val="24"/>
        </w:rPr>
        <w:t>to</w:t>
      </w:r>
      <w:r w:rsidRPr="00924038">
        <w:rPr>
          <w:szCs w:val="24"/>
        </w:rPr>
        <w:t xml:space="preserve"> the following </w:t>
      </w:r>
      <w:r w:rsidR="001D2451">
        <w:rPr>
          <w:szCs w:val="24"/>
        </w:rPr>
        <w:t>categories</w:t>
      </w:r>
      <w:r w:rsidR="00712BCA" w:rsidRPr="00924038">
        <w:rPr>
          <w:szCs w:val="24"/>
        </w:rPr>
        <w:t>:</w:t>
      </w:r>
    </w:p>
    <w:p w:rsidR="00712BCA" w:rsidRDefault="00F21ED9" w:rsidP="00744C10">
      <w:pPr>
        <w:pStyle w:val="Order2"/>
        <w:numPr>
          <w:ilvl w:val="1"/>
          <w:numId w:val="35"/>
        </w:numPr>
        <w:rPr>
          <w:lang w:val="en" w:eastAsia="en-AU"/>
        </w:rPr>
      </w:pPr>
      <w:r w:rsidRPr="00DF0CFD">
        <w:rPr>
          <w:lang w:val="en" w:eastAsia="en-AU"/>
        </w:rPr>
        <w:t xml:space="preserve">Mr </w:t>
      </w:r>
      <w:r w:rsidR="00712BCA" w:rsidRPr="00DF0CFD">
        <w:rPr>
          <w:lang w:val="en" w:eastAsia="en-AU"/>
        </w:rPr>
        <w:t>Perera</w:t>
      </w:r>
      <w:r w:rsidRPr="00DF0CFD">
        <w:rPr>
          <w:lang w:val="en" w:eastAsia="en-AU"/>
        </w:rPr>
        <w:t xml:space="preserve">’s </w:t>
      </w:r>
      <w:r w:rsidR="00712BCA" w:rsidRPr="00DF0CFD">
        <w:rPr>
          <w:lang w:val="en" w:eastAsia="en-AU"/>
        </w:rPr>
        <w:t>fundamental objection to the process adopted;</w:t>
      </w:r>
    </w:p>
    <w:p w:rsidR="00DF0CFD" w:rsidRPr="00DF0CFD" w:rsidRDefault="00DF0CFD" w:rsidP="00744C10">
      <w:pPr>
        <w:pStyle w:val="Order2"/>
        <w:numPr>
          <w:ilvl w:val="1"/>
          <w:numId w:val="35"/>
        </w:numPr>
        <w:rPr>
          <w:lang w:val="en" w:eastAsia="en-AU"/>
        </w:rPr>
      </w:pPr>
      <w:r w:rsidRPr="00924038">
        <w:t>Mr Perera’s more specific objection as to contingencies;</w:t>
      </w:r>
    </w:p>
    <w:p w:rsidR="00DF0CFD" w:rsidRPr="00DF0CFD" w:rsidRDefault="00DF0CFD" w:rsidP="00744C10">
      <w:pPr>
        <w:pStyle w:val="Order2"/>
        <w:numPr>
          <w:ilvl w:val="1"/>
          <w:numId w:val="35"/>
        </w:numPr>
        <w:rPr>
          <w:lang w:val="en" w:eastAsia="en-AU"/>
        </w:rPr>
      </w:pPr>
      <w:r w:rsidRPr="00924038">
        <w:t>the McTaggart applicants’ objections as to ATE costs in the Webb Proceeding;</w:t>
      </w:r>
    </w:p>
    <w:p w:rsidR="00DF0CFD" w:rsidRPr="00DF0CFD" w:rsidRDefault="00DF0CFD" w:rsidP="00744C10">
      <w:pPr>
        <w:pStyle w:val="Order2"/>
        <w:numPr>
          <w:ilvl w:val="1"/>
          <w:numId w:val="35"/>
        </w:numPr>
        <w:rPr>
          <w:lang w:val="en" w:eastAsia="en-AU"/>
        </w:rPr>
      </w:pPr>
      <w:r w:rsidRPr="00924038">
        <w:t>the McTaggart applicants’ objections as to book</w:t>
      </w:r>
      <w:r>
        <w:t xml:space="preserve"> build</w:t>
      </w:r>
      <w:r w:rsidRPr="00924038">
        <w:t xml:space="preserve"> costs in the Webb Proceeding;</w:t>
      </w:r>
    </w:p>
    <w:p w:rsidR="00DF0CFD" w:rsidRPr="00DF0CFD" w:rsidRDefault="00DF0CFD" w:rsidP="00744C10">
      <w:pPr>
        <w:pStyle w:val="Order2"/>
        <w:numPr>
          <w:ilvl w:val="1"/>
          <w:numId w:val="35"/>
        </w:numPr>
        <w:rPr>
          <w:lang w:val="en" w:eastAsia="en-AU"/>
        </w:rPr>
      </w:pPr>
      <w:r w:rsidRPr="00924038">
        <w:t>varying costs as to interlocutory applications;</w:t>
      </w:r>
    </w:p>
    <w:p w:rsidR="00DF0CFD" w:rsidRPr="00DF0CFD" w:rsidRDefault="00DF0CFD" w:rsidP="00744C10">
      <w:pPr>
        <w:pStyle w:val="Order2"/>
        <w:numPr>
          <w:ilvl w:val="1"/>
          <w:numId w:val="35"/>
        </w:numPr>
        <w:rPr>
          <w:lang w:val="en" w:eastAsia="en-AU"/>
        </w:rPr>
      </w:pPr>
      <w:proofErr w:type="gramStart"/>
      <w:r w:rsidRPr="00924038">
        <w:t>the</w:t>
      </w:r>
      <w:proofErr w:type="gramEnd"/>
      <w:r w:rsidRPr="00924038">
        <w:t xml:space="preserve"> evidence of Ms Banton in relation to the late mediation and evidence in reply.</w:t>
      </w:r>
    </w:p>
    <w:p w:rsidR="004217BE" w:rsidRPr="00924038" w:rsidRDefault="004217BE" w:rsidP="004217BE">
      <w:pPr>
        <w:pStyle w:val="ParaNumbering"/>
      </w:pPr>
      <w:r w:rsidRPr="00924038">
        <w:t>I will deal with each of these in turn.</w:t>
      </w:r>
    </w:p>
    <w:p w:rsidR="008D7288" w:rsidRPr="00924038" w:rsidRDefault="008D7288" w:rsidP="008D7288">
      <w:pPr>
        <w:pStyle w:val="Heading3"/>
      </w:pPr>
      <w:bookmarkStart w:id="79" w:name="_Ref514405647"/>
      <w:r w:rsidRPr="00924038">
        <w:lastRenderedPageBreak/>
        <w:t>H.2.1</w:t>
      </w:r>
      <w:r w:rsidRPr="00924038">
        <w:tab/>
        <w:t xml:space="preserve">Mr Perera’s </w:t>
      </w:r>
      <w:r w:rsidR="00C45F54" w:rsidRPr="00924038">
        <w:t>F</w:t>
      </w:r>
      <w:r w:rsidRPr="00924038">
        <w:t xml:space="preserve">undamental </w:t>
      </w:r>
      <w:r w:rsidR="00C45F54" w:rsidRPr="00924038">
        <w:t>O</w:t>
      </w:r>
      <w:r w:rsidRPr="00924038">
        <w:t xml:space="preserve">bjection to </w:t>
      </w:r>
      <w:r w:rsidR="00C45F54" w:rsidRPr="00924038">
        <w:t>t</w:t>
      </w:r>
      <w:r w:rsidRPr="00924038">
        <w:t xml:space="preserve">he </w:t>
      </w:r>
      <w:r w:rsidR="00C45F54" w:rsidRPr="00924038">
        <w:t>P</w:t>
      </w:r>
      <w:r w:rsidRPr="00924038">
        <w:t xml:space="preserve">rocess </w:t>
      </w:r>
      <w:r w:rsidR="00C45F54" w:rsidRPr="00924038">
        <w:t>A</w:t>
      </w:r>
      <w:r w:rsidRPr="00924038">
        <w:t>dopted</w:t>
      </w:r>
      <w:bookmarkEnd w:id="79"/>
    </w:p>
    <w:p w:rsidR="00BF2BB2" w:rsidRPr="00924038" w:rsidRDefault="00BF2BB2" w:rsidP="00BF2BB2">
      <w:pPr>
        <w:pStyle w:val="ParaNumbering"/>
        <w:rPr>
          <w:szCs w:val="24"/>
        </w:rPr>
      </w:pPr>
      <w:r w:rsidRPr="00924038">
        <w:rPr>
          <w:szCs w:val="24"/>
        </w:rPr>
        <w:t xml:space="preserve">The position taken by </w:t>
      </w:r>
      <w:r w:rsidR="00DC2129" w:rsidRPr="00924038">
        <w:rPr>
          <w:szCs w:val="24"/>
        </w:rPr>
        <w:t xml:space="preserve">Mr </w:t>
      </w:r>
      <w:r w:rsidRPr="00924038">
        <w:rPr>
          <w:szCs w:val="24"/>
        </w:rPr>
        <w:t xml:space="preserve">Perera was not just to say that the McTaggart </w:t>
      </w:r>
      <w:r w:rsidR="001D2451">
        <w:rPr>
          <w:szCs w:val="24"/>
        </w:rPr>
        <w:t xml:space="preserve">applicants’ </w:t>
      </w:r>
      <w:r w:rsidRPr="00924038">
        <w:rPr>
          <w:szCs w:val="24"/>
        </w:rPr>
        <w:t xml:space="preserve">comparison was incorrect, but that the whole process of comparison was fundamentally flawed.  Indeed, the primary submission of </w:t>
      </w:r>
      <w:r w:rsidR="00DC2129" w:rsidRPr="00924038">
        <w:rPr>
          <w:szCs w:val="24"/>
        </w:rPr>
        <w:t xml:space="preserve">Mr </w:t>
      </w:r>
      <w:r w:rsidRPr="00924038">
        <w:rPr>
          <w:szCs w:val="24"/>
        </w:rPr>
        <w:t xml:space="preserve">Perera was that </w:t>
      </w:r>
      <w:r w:rsidRPr="00924038">
        <w:t xml:space="preserve">each of the applicants ought to be </w:t>
      </w:r>
      <w:r w:rsidR="00D435AA" w:rsidRPr="00924038">
        <w:t>‘</w:t>
      </w:r>
      <w:r w:rsidRPr="00924038">
        <w:t>held</w:t>
      </w:r>
      <w:r w:rsidR="00D435AA" w:rsidRPr="00924038">
        <w:t>’</w:t>
      </w:r>
      <w:r w:rsidRPr="00924038">
        <w:t xml:space="preserve"> to their precise evidence as to the costs they expect to incur in conducting the proceedings.  Perhaps this was understandable as Ms Banton’s costs estimate was much lower than that made by others, but such an approach fails to appreciate the difference between funding proposals (which were the </w:t>
      </w:r>
      <w:r w:rsidR="001D2451">
        <w:t>bases upon which</w:t>
      </w:r>
      <w:r w:rsidRPr="00924038">
        <w:t>, based on the funder’s assessment of risk and likely return, the funder was prepared to be bound by way of</w:t>
      </w:r>
      <w:r w:rsidR="00BB1CEF">
        <w:t xml:space="preserve"> an</w:t>
      </w:r>
      <w:r w:rsidRPr="00924038">
        <w:t xml:space="preserve"> order of the Court) and </w:t>
      </w:r>
      <w:r w:rsidR="00536675" w:rsidRPr="00924038">
        <w:t xml:space="preserve">the </w:t>
      </w:r>
      <w:r w:rsidRPr="00924038">
        <w:t xml:space="preserve">costs estimates </w:t>
      </w:r>
      <w:r w:rsidR="00D22D52">
        <w:t>which were</w:t>
      </w:r>
      <w:r w:rsidR="00871D1A">
        <w:t>: (a)</w:t>
      </w:r>
      <w:r w:rsidR="00D22D52">
        <w:t xml:space="preserve"> obtained in</w:t>
      </w:r>
      <w:r w:rsidRPr="00924038">
        <w:t xml:space="preserve"> an attempt to elicit in</w:t>
      </w:r>
      <w:r w:rsidR="00871D1A">
        <w:t xml:space="preserve">formation as to the likely costs </w:t>
      </w:r>
      <w:r w:rsidRPr="00924038">
        <w:t>up to a certain point</w:t>
      </w:r>
      <w:r w:rsidR="00871D1A">
        <w:t>; and (b) only of use to the extent they could represent an ‘apples for apples’ comparison</w:t>
      </w:r>
      <w:r w:rsidRPr="00924038">
        <w:t>.</w:t>
      </w:r>
    </w:p>
    <w:p w:rsidR="00536675" w:rsidRPr="00924038" w:rsidRDefault="00BF2BB2" w:rsidP="00BF2BB2">
      <w:pPr>
        <w:pStyle w:val="ParaNumbering"/>
      </w:pPr>
      <w:r w:rsidRPr="00924038">
        <w:t>Mr Perera submitted that any attempt to identify which funding structure provides the optimal net recovery for group members by equalising other elements in the equation (legal costs and the cost of providing security) is to ask the wrong question</w:t>
      </w:r>
      <w:r w:rsidR="00BB1CEF">
        <w:t>,</w:t>
      </w:r>
      <w:r w:rsidRPr="00924038">
        <w:t xml:space="preserve"> as these other elements were components of a </w:t>
      </w:r>
      <w:r w:rsidR="00871D1A">
        <w:t>‘</w:t>
      </w:r>
      <w:r w:rsidRPr="00924038">
        <w:t>package</w:t>
      </w:r>
      <w:r w:rsidR="00871D1A">
        <w:t>’</w:t>
      </w:r>
      <w:r w:rsidR="00536675" w:rsidRPr="00924038">
        <w:t xml:space="preserve"> put forward </w:t>
      </w:r>
      <w:r w:rsidR="00BB1CEF">
        <w:t>at</w:t>
      </w:r>
      <w:r w:rsidR="00536675" w:rsidRPr="00924038">
        <w:t xml:space="preserve"> </w:t>
      </w:r>
      <w:r w:rsidR="0019680F" w:rsidRPr="00924038">
        <w:t xml:space="preserve">exchange by </w:t>
      </w:r>
      <w:r w:rsidR="00536675" w:rsidRPr="00924038">
        <w:t xml:space="preserve">each </w:t>
      </w:r>
      <w:r w:rsidRPr="00924038">
        <w:t>applicant.  It was said that there is no intellectually coherent way of allowing components to be equalised, and yet refusing to allow the parties to match each other’s bids in terms of the funding structure.  The logic was that if the Court is prepared to allow parties to match each other’s costs proposals</w:t>
      </w:r>
      <w:r w:rsidR="0019680F" w:rsidRPr="00924038">
        <w:t xml:space="preserve"> after exchange</w:t>
      </w:r>
      <w:r w:rsidRPr="00924038">
        <w:t>, the Court must also allow parties to match each other’s funding commission proposals and that this</w:t>
      </w:r>
      <w:r w:rsidR="00BB1CEF">
        <w:t xml:space="preserve"> would</w:t>
      </w:r>
      <w:r w:rsidRPr="00924038">
        <w:t>, of course, defeat the ‘sealed bid’ procedure.  It was further asserted that to the extent there is any difference between when the respective applicants assume mediation will occur, that reflects their plan for the litigation.</w:t>
      </w:r>
      <w:r w:rsidR="00DC2129" w:rsidRPr="00924038">
        <w:t xml:space="preserve">  </w:t>
      </w:r>
    </w:p>
    <w:p w:rsidR="001F5885" w:rsidRPr="00924038" w:rsidRDefault="00D22D52" w:rsidP="00536675">
      <w:pPr>
        <w:pStyle w:val="ParaNumbering"/>
      </w:pPr>
      <w:r>
        <w:t xml:space="preserve">I have already explained my rejection of the premise of this submission.  </w:t>
      </w:r>
      <w:r w:rsidR="00024685" w:rsidRPr="00924038">
        <w:t xml:space="preserve">It fails to appreciate the difference between </w:t>
      </w:r>
      <w:r w:rsidR="00871D1A">
        <w:t>common fund</w:t>
      </w:r>
      <w:r w:rsidR="00024685" w:rsidRPr="00924038">
        <w:t xml:space="preserve"> proposals </w:t>
      </w:r>
      <w:r w:rsidR="00871D1A">
        <w:t>and</w:t>
      </w:r>
      <w:r w:rsidR="00536675" w:rsidRPr="00924038">
        <w:t xml:space="preserve"> </w:t>
      </w:r>
      <w:r w:rsidR="00024685" w:rsidRPr="00924038">
        <w:t>subjective estimate</w:t>
      </w:r>
      <w:r w:rsidR="00536675" w:rsidRPr="00924038">
        <w:t>s as</w:t>
      </w:r>
      <w:r w:rsidR="00024685" w:rsidRPr="00924038">
        <w:t xml:space="preserve"> to </w:t>
      </w:r>
      <w:r w:rsidR="00871D1A">
        <w:t xml:space="preserve">legal </w:t>
      </w:r>
      <w:r w:rsidR="00024685" w:rsidRPr="00924038">
        <w:t xml:space="preserve">costs </w:t>
      </w:r>
      <w:r w:rsidR="00871D1A">
        <w:t>and expenses associated with</w:t>
      </w:r>
      <w:r w:rsidR="00024685" w:rsidRPr="00924038">
        <w:t xml:space="preserve"> security for adverse costs.  </w:t>
      </w:r>
      <w:r w:rsidR="00871D1A">
        <w:t xml:space="preserve">It also is inaccurate to say the process adopted </w:t>
      </w:r>
      <w:r w:rsidR="00871D1A" w:rsidRPr="00924038">
        <w:t>allow</w:t>
      </w:r>
      <w:r w:rsidR="00871D1A">
        <w:t>ed</w:t>
      </w:r>
      <w:r w:rsidR="00871D1A" w:rsidRPr="00924038">
        <w:t xml:space="preserve"> parties </w:t>
      </w:r>
      <w:r w:rsidR="00871D1A">
        <w:t>“</w:t>
      </w:r>
      <w:r w:rsidR="00871D1A" w:rsidRPr="00924038">
        <w:t>to match each other’s costs proposals</w:t>
      </w:r>
      <w:r w:rsidR="00871D1A">
        <w:t xml:space="preserve">”, rather it was </w:t>
      </w:r>
      <w:r w:rsidR="00024685" w:rsidRPr="00924038">
        <w:t xml:space="preserve">necessary to </w:t>
      </w:r>
      <w:r w:rsidR="00D435AA" w:rsidRPr="00924038">
        <w:t>equalise</w:t>
      </w:r>
      <w:r w:rsidR="00871D1A">
        <w:t xml:space="preserve"> the </w:t>
      </w:r>
      <w:r w:rsidR="00024685" w:rsidRPr="00924038">
        <w:t>assumptions</w:t>
      </w:r>
      <w:r w:rsidR="00871D1A">
        <w:t xml:space="preserve"> upon which the estimates were based</w:t>
      </w:r>
      <w:r w:rsidR="00024685" w:rsidRPr="00924038">
        <w:t xml:space="preserve">.  The same consideration </w:t>
      </w:r>
      <w:r w:rsidR="00871D1A">
        <w:t xml:space="preserve">simply </w:t>
      </w:r>
      <w:r w:rsidR="00024685" w:rsidRPr="00924038">
        <w:t>does not apply in relation to a</w:t>
      </w:r>
      <w:r w:rsidR="00D435AA" w:rsidRPr="00924038">
        <w:t xml:space="preserve">llowing parties to </w:t>
      </w:r>
      <w:r w:rsidR="00024685" w:rsidRPr="00924038">
        <w:t>put forward different proposals for funding depending upon the commercial deal offered by othe</w:t>
      </w:r>
      <w:r w:rsidR="00D435AA" w:rsidRPr="00924038">
        <w:t xml:space="preserve">r promoters of </w:t>
      </w:r>
      <w:r w:rsidR="00536675" w:rsidRPr="00924038">
        <w:t>litigation.</w:t>
      </w:r>
    </w:p>
    <w:p w:rsidR="00781055" w:rsidRPr="00924038" w:rsidRDefault="00781055" w:rsidP="00536675">
      <w:pPr>
        <w:pStyle w:val="ParaNumbering"/>
      </w:pPr>
      <w:r w:rsidRPr="00924038">
        <w:t xml:space="preserve">The rejection of this contention means that the comparative analysis put forward by Mr Perera, </w:t>
      </w:r>
      <w:r w:rsidR="00D435AA" w:rsidRPr="00924038">
        <w:t xml:space="preserve">premised upon ‘holding’ the parties to differing estimates based on inconsistent </w:t>
      </w:r>
      <w:r w:rsidR="00D435AA" w:rsidRPr="00924038">
        <w:lastRenderedPageBreak/>
        <w:t xml:space="preserve">assumptions, and </w:t>
      </w:r>
      <w:r w:rsidRPr="00924038">
        <w:t>which ultimately involved the production of a document ma</w:t>
      </w:r>
      <w:r w:rsidR="00D435AA" w:rsidRPr="00924038">
        <w:t xml:space="preserve">rked MFI C, is not </w:t>
      </w:r>
      <w:r w:rsidRPr="00924038">
        <w:t>useful in providing a realistic comparative analysis.</w:t>
      </w:r>
    </w:p>
    <w:p w:rsidR="00C42614" w:rsidRPr="00924038" w:rsidRDefault="00C42614" w:rsidP="00C42614">
      <w:pPr>
        <w:pStyle w:val="Heading3"/>
      </w:pPr>
      <w:bookmarkStart w:id="80" w:name="_Ref514405648"/>
      <w:r w:rsidRPr="00924038">
        <w:t>H.2.2</w:t>
      </w:r>
      <w:r w:rsidRPr="00924038">
        <w:tab/>
        <w:t xml:space="preserve">Mr Perera’s more </w:t>
      </w:r>
      <w:r w:rsidR="006A3896" w:rsidRPr="00924038">
        <w:t>S</w:t>
      </w:r>
      <w:r w:rsidRPr="00924038">
        <w:t xml:space="preserve">pecific </w:t>
      </w:r>
      <w:r w:rsidR="006A3896" w:rsidRPr="00924038">
        <w:t>O</w:t>
      </w:r>
      <w:r w:rsidRPr="00924038">
        <w:t xml:space="preserve">bjection as to </w:t>
      </w:r>
      <w:r w:rsidR="006A3896" w:rsidRPr="00924038">
        <w:t>C</w:t>
      </w:r>
      <w:r w:rsidRPr="00924038">
        <w:t>ontingencies</w:t>
      </w:r>
      <w:bookmarkEnd w:id="80"/>
    </w:p>
    <w:p w:rsidR="00BF2BB2" w:rsidRPr="00924038" w:rsidRDefault="007B213F" w:rsidP="0019680F">
      <w:pPr>
        <w:pStyle w:val="ParaNumbering"/>
      </w:pPr>
      <w:r w:rsidRPr="00924038">
        <w:t xml:space="preserve">This miscellaneous point is of no </w:t>
      </w:r>
      <w:r w:rsidR="0019680F" w:rsidRPr="00924038">
        <w:t xml:space="preserve">enduring </w:t>
      </w:r>
      <w:r w:rsidRPr="00924038">
        <w:t>substance.  T</w:t>
      </w:r>
      <w:r w:rsidR="0019680F" w:rsidRPr="00924038">
        <w:t>he complaint made by Mr Perera wa</w:t>
      </w:r>
      <w:r w:rsidRPr="00924038">
        <w:t xml:space="preserve">s that </w:t>
      </w:r>
      <w:r w:rsidR="00A85DA4" w:rsidRPr="00924038">
        <w:t xml:space="preserve">an accounting for contingencies </w:t>
      </w:r>
      <w:r w:rsidRPr="00924038">
        <w:t xml:space="preserve">added </w:t>
      </w:r>
      <w:r w:rsidR="0019680F" w:rsidRPr="00924038">
        <w:t>arbitrarily to the c</w:t>
      </w:r>
      <w:r w:rsidRPr="00924038">
        <w:t xml:space="preserve">osts </w:t>
      </w:r>
      <w:r w:rsidR="00536675" w:rsidRPr="00924038">
        <w:t xml:space="preserve">in the comparative analysis undertaken by Mr Webb, </w:t>
      </w:r>
      <w:r w:rsidRPr="00924038">
        <w:t>was a miscellaneous expense of 10% for disbursements.  It was said that adding that contingency to the estimated fees was inconsistent with Ms Banton’s evidence</w:t>
      </w:r>
      <w:r w:rsidR="00CB4E3E" w:rsidRPr="00924038">
        <w:t>.  T</w:t>
      </w:r>
      <w:r w:rsidR="0019680F" w:rsidRPr="00924038">
        <w:t xml:space="preserve">he issue had arisen in this way.  In </w:t>
      </w:r>
      <w:r w:rsidR="00CB4E3E" w:rsidRPr="00924038">
        <w:t>Exhibit AKB-3</w:t>
      </w:r>
      <w:r w:rsidR="0019680F" w:rsidRPr="00924038">
        <w:t>,</w:t>
      </w:r>
      <w:r w:rsidR="00CB4E3E" w:rsidRPr="00924038">
        <w:t xml:space="preserve"> which was served at the time of the exchange, a </w:t>
      </w:r>
      <w:r w:rsidR="00BB1CEF">
        <w:t>“</w:t>
      </w:r>
      <w:r w:rsidR="00CB4E3E" w:rsidRPr="00BB1CEF">
        <w:rPr>
          <w:i/>
        </w:rPr>
        <w:t>miscellaneous expense</w:t>
      </w:r>
      <w:r w:rsidR="00BB1CEF">
        <w:t>” of</w:t>
      </w:r>
      <w:r w:rsidR="00CB4E3E" w:rsidRPr="00924038">
        <w:t xml:space="preserve"> 10% of disbursements was added to the estimate of costs.  Following exchange</w:t>
      </w:r>
      <w:r w:rsidR="00536675" w:rsidRPr="00924038">
        <w:t xml:space="preserve">, </w:t>
      </w:r>
      <w:r w:rsidR="00CB4E3E" w:rsidRPr="00924038">
        <w:t xml:space="preserve">confidential Annexure A to a further affidavit of Ms Banton sworn on 10 April 2018 </w:t>
      </w:r>
      <w:r w:rsidR="0019680F" w:rsidRPr="00924038">
        <w:t xml:space="preserve">was filed and served without leave, </w:t>
      </w:r>
      <w:r w:rsidR="00CB4E3E" w:rsidRPr="00924038">
        <w:t>where</w:t>
      </w:r>
      <w:r w:rsidR="0019680F" w:rsidRPr="00924038">
        <w:t>by</w:t>
      </w:r>
      <w:r w:rsidR="00CB4E3E" w:rsidRPr="00924038">
        <w:t xml:space="preserve"> further estimates were given but no reference was made to the 10% contingency.  It was on that basis that a 10% contingency was </w:t>
      </w:r>
      <w:r w:rsidR="0019680F" w:rsidRPr="00924038">
        <w:t xml:space="preserve">included in the </w:t>
      </w:r>
      <w:r w:rsidR="00CB4E3E" w:rsidRPr="00924038">
        <w:t xml:space="preserve">comparative </w:t>
      </w:r>
      <w:r w:rsidR="0019680F" w:rsidRPr="00924038">
        <w:t>modelling based on the exchanged evidence</w:t>
      </w:r>
      <w:r w:rsidR="00CB4E3E" w:rsidRPr="00924038">
        <w:t>.  In any event</w:t>
      </w:r>
      <w:r w:rsidR="0019680F" w:rsidRPr="00924038">
        <w:t>,</w:t>
      </w:r>
      <w:r w:rsidR="00CB4E3E" w:rsidRPr="00924038">
        <w:t xml:space="preserve"> following this issue being raised in submissions</w:t>
      </w:r>
      <w:r w:rsidR="0019680F" w:rsidRPr="00924038">
        <w:t>,</w:t>
      </w:r>
      <w:r w:rsidR="00CB4E3E" w:rsidRPr="00924038">
        <w:t xml:space="preserve"> the document which I regard to be the most useful comparative document, MFI B, removed reference to this 10% contingency</w:t>
      </w:r>
      <w:r w:rsidR="0019680F" w:rsidRPr="00924038">
        <w:t>,</w:t>
      </w:r>
      <w:r w:rsidR="00CB4E3E" w:rsidRPr="00924038">
        <w:t xml:space="preserve"> but this</w:t>
      </w:r>
      <w:r w:rsidR="0019680F" w:rsidRPr="00924038">
        <w:t xml:space="preserve"> exercise, </w:t>
      </w:r>
      <w:r w:rsidR="00871D1A">
        <w:t xml:space="preserve">quite </w:t>
      </w:r>
      <w:r w:rsidR="0019680F" w:rsidRPr="00924038">
        <w:t xml:space="preserve">minor in itself, </w:t>
      </w:r>
      <w:r w:rsidR="00CB4E3E" w:rsidRPr="00924038">
        <w:t xml:space="preserve">does </w:t>
      </w:r>
      <w:r w:rsidR="0019680F" w:rsidRPr="00924038">
        <w:t xml:space="preserve">highlight </w:t>
      </w:r>
      <w:r w:rsidR="00CB4E3E" w:rsidRPr="00924038">
        <w:t xml:space="preserve">both the lack of merit </w:t>
      </w:r>
      <w:r w:rsidR="00426AF2">
        <w:t xml:space="preserve">(indeed one might say the chutzpah) </w:t>
      </w:r>
      <w:r w:rsidR="00CB4E3E" w:rsidRPr="00924038">
        <w:t xml:space="preserve">in Mr Perera </w:t>
      </w:r>
      <w:r w:rsidR="0019680F" w:rsidRPr="00924038">
        <w:t>asserting that parties must be</w:t>
      </w:r>
      <w:r w:rsidR="00437103">
        <w:t xml:space="preserve"> strictly</w:t>
      </w:r>
      <w:r w:rsidR="0019680F" w:rsidRPr="00924038">
        <w:t xml:space="preserve"> </w:t>
      </w:r>
      <w:r w:rsidR="00D435AA" w:rsidRPr="00924038">
        <w:t>‘</w:t>
      </w:r>
      <w:r w:rsidR="00CB4E3E" w:rsidRPr="00924038">
        <w:t>held</w:t>
      </w:r>
      <w:r w:rsidR="00D435AA" w:rsidRPr="00924038">
        <w:t>’</w:t>
      </w:r>
      <w:r w:rsidR="00CB4E3E" w:rsidRPr="00924038">
        <w:t xml:space="preserve"> to t</w:t>
      </w:r>
      <w:r w:rsidR="0019680F" w:rsidRPr="00924038">
        <w:t>he affidavit evidence that was initially e</w:t>
      </w:r>
      <w:r w:rsidR="00CB4E3E" w:rsidRPr="00924038">
        <w:t>xchanged</w:t>
      </w:r>
      <w:r w:rsidR="0019680F" w:rsidRPr="00924038">
        <w:t>,</w:t>
      </w:r>
      <w:r w:rsidR="00CB4E3E" w:rsidRPr="00924038">
        <w:t xml:space="preserve"> and also the artificiality of descen</w:t>
      </w:r>
      <w:r w:rsidR="0019680F" w:rsidRPr="00924038">
        <w:t>ding to such details when what was being sought was some sensible, broad</w:t>
      </w:r>
      <w:r w:rsidR="00BB1CEF">
        <w:t>-</w:t>
      </w:r>
      <w:r w:rsidR="0019680F" w:rsidRPr="00924038">
        <w:t xml:space="preserve">brush comparison. </w:t>
      </w:r>
    </w:p>
    <w:p w:rsidR="001E6490" w:rsidRPr="00924038" w:rsidRDefault="001E6490" w:rsidP="001E6490">
      <w:pPr>
        <w:pStyle w:val="Heading3"/>
      </w:pPr>
      <w:bookmarkStart w:id="81" w:name="_Ref514405649"/>
      <w:r w:rsidRPr="00924038">
        <w:t>H.2.3</w:t>
      </w:r>
      <w:r w:rsidRPr="00924038">
        <w:tab/>
      </w:r>
      <w:proofErr w:type="gramStart"/>
      <w:r w:rsidRPr="00924038">
        <w:t>The</w:t>
      </w:r>
      <w:proofErr w:type="gramEnd"/>
      <w:r w:rsidRPr="00924038">
        <w:t xml:space="preserve"> McTaggart </w:t>
      </w:r>
      <w:r w:rsidR="006A3896" w:rsidRPr="00924038">
        <w:t>A</w:t>
      </w:r>
      <w:r w:rsidRPr="00924038">
        <w:t xml:space="preserve">pplicants’ </w:t>
      </w:r>
      <w:r w:rsidR="006A3896" w:rsidRPr="00924038">
        <w:t>O</w:t>
      </w:r>
      <w:r w:rsidRPr="00924038">
        <w:t xml:space="preserve">bjections as to ATE </w:t>
      </w:r>
      <w:r w:rsidR="006A3896" w:rsidRPr="00924038">
        <w:t>C</w:t>
      </w:r>
      <w:r w:rsidRPr="00924038">
        <w:t>osts in the Webb Proceeding</w:t>
      </w:r>
      <w:bookmarkEnd w:id="81"/>
    </w:p>
    <w:p w:rsidR="0019680F" w:rsidRPr="00924038" w:rsidRDefault="0019680F" w:rsidP="001071F2">
      <w:pPr>
        <w:pStyle w:val="ParaNumbering"/>
      </w:pPr>
      <w:r w:rsidRPr="00924038">
        <w:t>A further question arose: i</w:t>
      </w:r>
      <w:r w:rsidR="001071F2" w:rsidRPr="00924038">
        <w:t>f a comparison is to be done by way of cash and ATE policy, what is the amount of the security and what amount should be factored in for the purposes of the costs of an ATE premium</w:t>
      </w:r>
      <w:r w:rsidR="00CB4E3E" w:rsidRPr="00924038">
        <w:t>?</w:t>
      </w:r>
      <w:r w:rsidR="001071F2" w:rsidRPr="00924038">
        <w:t xml:space="preserve">  </w:t>
      </w:r>
    </w:p>
    <w:p w:rsidR="0019680F" w:rsidRPr="00924038" w:rsidRDefault="001071F2" w:rsidP="001071F2">
      <w:pPr>
        <w:pStyle w:val="ParaNumbering"/>
      </w:pPr>
      <w:r w:rsidRPr="00924038">
        <w:t>In order to allow a comparative exercise</w:t>
      </w:r>
      <w:r w:rsidR="0019680F" w:rsidRPr="00924038">
        <w:t>,</w:t>
      </w:r>
      <w:r w:rsidRPr="00924038">
        <w:t xml:space="preserve"> I asked the parties to assume that security for costs of $2.4 million would be ordered</w:t>
      </w:r>
      <w:r w:rsidR="00D435AA" w:rsidRPr="00924038">
        <w:t>,</w:t>
      </w:r>
      <w:r w:rsidRPr="00924038">
        <w:t xml:space="preserve"> payable in three tranches.  This was not to forestall </w:t>
      </w:r>
      <w:r w:rsidR="0019680F" w:rsidRPr="00924038">
        <w:t xml:space="preserve">or anticipate </w:t>
      </w:r>
      <w:r w:rsidRPr="00924038">
        <w:t xml:space="preserve">any application that </w:t>
      </w:r>
      <w:r w:rsidR="0019680F" w:rsidRPr="00924038">
        <w:t xml:space="preserve">GetSwift </w:t>
      </w:r>
      <w:r w:rsidRPr="00924038">
        <w:t xml:space="preserve">may make </w:t>
      </w:r>
      <w:r w:rsidR="0019680F" w:rsidRPr="00924038">
        <w:t>as to the quantum of security</w:t>
      </w:r>
      <w:r w:rsidR="00D435AA" w:rsidRPr="00924038">
        <w:t>,</w:t>
      </w:r>
      <w:r w:rsidR="0019680F" w:rsidRPr="00924038">
        <w:t xml:space="preserve"> but seemed as good </w:t>
      </w:r>
      <w:r w:rsidRPr="00924038">
        <w:t xml:space="preserve">amount </w:t>
      </w:r>
      <w:r w:rsidR="0019680F" w:rsidRPr="00924038">
        <w:t xml:space="preserve">as any </w:t>
      </w:r>
      <w:r w:rsidRPr="00924038">
        <w:t xml:space="preserve">to allow the comparative exercise to take place.  </w:t>
      </w:r>
    </w:p>
    <w:p w:rsidR="0019680F" w:rsidRPr="00924038" w:rsidRDefault="001071F2" w:rsidP="001071F2">
      <w:pPr>
        <w:pStyle w:val="ParaNumbering"/>
      </w:pPr>
      <w:r w:rsidRPr="00924038">
        <w:t xml:space="preserve">As to the </w:t>
      </w:r>
      <w:r w:rsidR="0019680F" w:rsidRPr="00924038">
        <w:t xml:space="preserve">assumed </w:t>
      </w:r>
      <w:r w:rsidRPr="00924038">
        <w:t>costs of the ATE policy</w:t>
      </w:r>
      <w:r w:rsidR="0019680F" w:rsidRPr="00924038">
        <w:t xml:space="preserve"> based on this potential costs exposure,</w:t>
      </w:r>
      <w:r w:rsidRPr="00924038">
        <w:t xml:space="preserve"> this has been the subject of extensive submissions.  The background, as explained above, is that the evidence filed by Mr Webb and the McTaggart applicants contemplated that those applicants would or may provide security by way of an ATE insurance policy </w:t>
      </w:r>
      <w:r w:rsidR="0019680F" w:rsidRPr="00924038">
        <w:t xml:space="preserve">and deed of indemnity.  </w:t>
      </w:r>
      <w:r w:rsidR="0019680F" w:rsidRPr="00924038">
        <w:lastRenderedPageBreak/>
        <w:t xml:space="preserve">As is </w:t>
      </w:r>
      <w:r w:rsidRPr="00924038">
        <w:t>invariably the case with any form of insurance, the price of the premium is directly related to the extent of the cover.  Like</w:t>
      </w:r>
      <w:r w:rsidR="00D435AA" w:rsidRPr="00924038">
        <w:t xml:space="preserve"> assumptions as to legal costs</w:t>
      </w:r>
      <w:r w:rsidR="0019680F" w:rsidRPr="00924038">
        <w:t>, the</w:t>
      </w:r>
      <w:r w:rsidRPr="00924038">
        <w:t xml:space="preserve"> assumption </w:t>
      </w:r>
      <w:r w:rsidR="0019680F" w:rsidRPr="00924038">
        <w:t xml:space="preserve">as to security </w:t>
      </w:r>
      <w:r w:rsidR="00871D1A">
        <w:t xml:space="preserve">quantum </w:t>
      </w:r>
      <w:r w:rsidR="0019680F" w:rsidRPr="00924038">
        <w:t xml:space="preserve">informed </w:t>
      </w:r>
      <w:r w:rsidRPr="00924038">
        <w:t xml:space="preserve">the </w:t>
      </w:r>
      <w:r w:rsidR="00871D1A">
        <w:t xml:space="preserve">extent </w:t>
      </w:r>
      <w:r w:rsidRPr="00924038">
        <w:t xml:space="preserve">of </w:t>
      </w:r>
      <w:r w:rsidR="00871D1A">
        <w:t xml:space="preserve">ATE policy </w:t>
      </w:r>
      <w:r w:rsidRPr="00924038">
        <w:t>requ</w:t>
      </w:r>
      <w:r w:rsidR="00871D1A">
        <w:t>ired</w:t>
      </w:r>
      <w:r w:rsidRPr="00924038">
        <w:t xml:space="preserve">.  </w:t>
      </w:r>
      <w:r w:rsidR="0019680F" w:rsidRPr="00924038">
        <w:t xml:space="preserve">Then </w:t>
      </w:r>
      <w:proofErr w:type="gramStart"/>
      <w:r w:rsidR="0019680F" w:rsidRPr="00924038">
        <w:t>came</w:t>
      </w:r>
      <w:proofErr w:type="gramEnd"/>
      <w:r w:rsidR="0019680F" w:rsidRPr="00924038">
        <w:t xml:space="preserve"> the complication.</w:t>
      </w:r>
    </w:p>
    <w:p w:rsidR="001071F2" w:rsidRPr="00924038" w:rsidRDefault="001071F2" w:rsidP="001071F2">
      <w:pPr>
        <w:pStyle w:val="ParaNumbering"/>
      </w:pPr>
      <w:r w:rsidRPr="00924038">
        <w:t xml:space="preserve">The position of the McTaggart applicants is that Mr Webb, who for the purposes of its initial modelling had estimated </w:t>
      </w:r>
      <w:r w:rsidR="00194FB4" w:rsidRPr="00924038">
        <w:t xml:space="preserve">a </w:t>
      </w:r>
      <w:r w:rsidR="00D22D52">
        <w:t xml:space="preserve">much </w:t>
      </w:r>
      <w:r w:rsidR="00194FB4" w:rsidRPr="00924038">
        <w:t>larger amount of security and hence a higher</w:t>
      </w:r>
      <w:r w:rsidRPr="00924038">
        <w:t xml:space="preserve"> ATE insurance premium</w:t>
      </w:r>
      <w:r w:rsidR="00D435AA" w:rsidRPr="00924038">
        <w:t>,</w:t>
      </w:r>
      <w:r w:rsidRPr="00924038">
        <w:t xml:space="preserve"> should not </w:t>
      </w:r>
      <w:r w:rsidR="00194FB4" w:rsidRPr="00924038">
        <w:t xml:space="preserve">now </w:t>
      </w:r>
      <w:r w:rsidRPr="00924038">
        <w:t xml:space="preserve">be allowed to assume, for the purposes of any modelling, that </w:t>
      </w:r>
      <w:r w:rsidR="00194FB4" w:rsidRPr="00924038">
        <w:t>the costs of the premium would be reduced as the extent of cover reduced.  This was because of an alleged lacuna in the evidence proving that Mr Webb could obtain</w:t>
      </w:r>
      <w:r w:rsidRPr="00924038">
        <w:t xml:space="preserve"> ATE insurance at the price at which the McTaggart applicants’ evidence suggests that the McTaggart applicants </w:t>
      </w:r>
      <w:r w:rsidR="00194FB4" w:rsidRPr="00924038">
        <w:t xml:space="preserve">could </w:t>
      </w:r>
      <w:r w:rsidRPr="00924038">
        <w:t>secure that insurance.  The submission was</w:t>
      </w:r>
      <w:r w:rsidR="00D22D52">
        <w:t xml:space="preserve"> a further variation of the theme</w:t>
      </w:r>
      <w:r w:rsidRPr="00924038">
        <w:t xml:space="preserve"> that the parties should be held to the evidence that they filed and not make assumptions for the purposes of any comparative modelling that are inconsistent with that evidence.  </w:t>
      </w:r>
    </w:p>
    <w:p w:rsidR="001071F2" w:rsidRPr="00924038" w:rsidRDefault="0012517A" w:rsidP="001071F2">
      <w:pPr>
        <w:pStyle w:val="ParaNumbering"/>
      </w:pPr>
      <w:r>
        <w:t xml:space="preserve">This </w:t>
      </w:r>
      <w:r w:rsidR="00CF77D9">
        <w:t xml:space="preserve">was on one level a curious submission for </w:t>
      </w:r>
      <w:r>
        <w:t xml:space="preserve">the McTaggart applicants </w:t>
      </w:r>
      <w:r w:rsidR="00CF77D9">
        <w:t>to make as they had r</w:t>
      </w:r>
      <w:r>
        <w:t>ecognise</w:t>
      </w:r>
      <w:r w:rsidR="00CF77D9">
        <w:t xml:space="preserve">d what was being sought in </w:t>
      </w:r>
      <w:r>
        <w:t>submitting</w:t>
      </w:r>
      <w:r w:rsidR="001071F2" w:rsidRPr="00924038">
        <w:t>:</w:t>
      </w:r>
    </w:p>
    <w:p w:rsidR="001071F2" w:rsidRDefault="001071F2" w:rsidP="005C53B8">
      <w:pPr>
        <w:pStyle w:val="Quote1"/>
      </w:pPr>
      <w:r w:rsidRPr="00924038">
        <w:t>The Court has asked for, if possible, an “apples for apples” comparison of the three competing proposals, recognising that any such comparison could only ever stand as a “rough and ready” one.</w:t>
      </w:r>
    </w:p>
    <w:p w:rsidR="00BB1CEF" w:rsidRPr="00924038" w:rsidRDefault="00BB1CEF" w:rsidP="005C53B8">
      <w:pPr>
        <w:pStyle w:val="Quote1"/>
      </w:pPr>
      <w:r>
        <w:t>…</w:t>
      </w:r>
    </w:p>
    <w:p w:rsidR="00BB1CEF" w:rsidRDefault="001071F2" w:rsidP="005C53B8">
      <w:pPr>
        <w:pStyle w:val="Quote1"/>
      </w:pPr>
      <w:r w:rsidRPr="00924038">
        <w:t xml:space="preserve">In order to model the return to group members under the respective proposals…in a way which gives an “apples for apples” comparison, it was necessary for the parties to: </w:t>
      </w:r>
    </w:p>
    <w:p w:rsidR="00BB1CEF" w:rsidRDefault="001071F2" w:rsidP="00BB1CEF">
      <w:pPr>
        <w:pStyle w:val="Quote2"/>
      </w:pPr>
      <w:r w:rsidRPr="00924038">
        <w:t xml:space="preserve">(a) </w:t>
      </w:r>
      <w:proofErr w:type="gramStart"/>
      <w:r w:rsidRPr="00924038">
        <w:t>agree</w:t>
      </w:r>
      <w:proofErr w:type="gramEnd"/>
      <w:r w:rsidRPr="00924038">
        <w:t xml:space="preserve"> on assumptions about certain matters (for example, the number of documents that would be discovered, and the length of the mediation) and adjust estimates accordingly; and </w:t>
      </w:r>
    </w:p>
    <w:p w:rsidR="001071F2" w:rsidRPr="00924038" w:rsidRDefault="001071F2" w:rsidP="00BB1CEF">
      <w:pPr>
        <w:pStyle w:val="Quote2"/>
      </w:pPr>
      <w:r w:rsidRPr="00924038">
        <w:t xml:space="preserve">(b) </w:t>
      </w:r>
      <w:proofErr w:type="gramStart"/>
      <w:r w:rsidRPr="00924038">
        <w:t>where</w:t>
      </w:r>
      <w:proofErr w:type="gramEnd"/>
      <w:r w:rsidRPr="00924038">
        <w:t xml:space="preserve"> possible, create estimates for scenarios which had not been specifically addressed in evidence using information otherwise contained in their evidence. </w:t>
      </w:r>
    </w:p>
    <w:p w:rsidR="00CB4E3E" w:rsidRPr="00924038" w:rsidRDefault="00194FB4" w:rsidP="001071F2">
      <w:pPr>
        <w:pStyle w:val="ParaNumbering"/>
      </w:pPr>
      <w:r w:rsidRPr="00924038">
        <w:t>T</w:t>
      </w:r>
      <w:r w:rsidR="001071F2" w:rsidRPr="00924038">
        <w:t xml:space="preserve">his </w:t>
      </w:r>
      <w:r w:rsidR="00CB4E3E" w:rsidRPr="00924038">
        <w:t>submission</w:t>
      </w:r>
      <w:r w:rsidRPr="00924038">
        <w:t xml:space="preserve"> </w:t>
      </w:r>
      <w:r w:rsidR="00CF77D9">
        <w:t>is accurate</w:t>
      </w:r>
      <w:r w:rsidR="0012517A">
        <w:t xml:space="preserve">, and, in the light of this, </w:t>
      </w:r>
      <w:r w:rsidRPr="00924038">
        <w:t>t</w:t>
      </w:r>
      <w:r w:rsidR="001071F2" w:rsidRPr="00924038">
        <w:t xml:space="preserve">he McTaggart applicants’ objection to the application of </w:t>
      </w:r>
      <w:r w:rsidR="00CB4E3E" w:rsidRPr="00924038">
        <w:t xml:space="preserve">any </w:t>
      </w:r>
      <w:r w:rsidR="001071F2" w:rsidRPr="00924038">
        <w:t xml:space="preserve">common </w:t>
      </w:r>
      <w:r w:rsidR="00CB4E3E" w:rsidRPr="00924038">
        <w:t xml:space="preserve">assumption concerning the cost of the </w:t>
      </w:r>
      <w:r w:rsidR="001071F2" w:rsidRPr="00924038">
        <w:t xml:space="preserve">ATE </w:t>
      </w:r>
      <w:r w:rsidR="00CB4E3E" w:rsidRPr="00924038">
        <w:t xml:space="preserve">policy for comparative </w:t>
      </w:r>
      <w:proofErr w:type="gramStart"/>
      <w:r w:rsidR="00CB4E3E" w:rsidRPr="00924038">
        <w:t>purposes</w:t>
      </w:r>
      <w:r w:rsidRPr="00924038">
        <w:t>,</w:t>
      </w:r>
      <w:proofErr w:type="gramEnd"/>
      <w:r w:rsidR="00CB4E3E" w:rsidRPr="00924038">
        <w:t xml:space="preserve"> is </w:t>
      </w:r>
      <w:r w:rsidRPr="00924038">
        <w:t>less than helpful</w:t>
      </w:r>
      <w:r w:rsidR="00CB4E3E" w:rsidRPr="00924038">
        <w:t xml:space="preserve">.  </w:t>
      </w:r>
      <w:r w:rsidRPr="00924038">
        <w:t>Apart from that, in my view, it is misconceived.</w:t>
      </w:r>
    </w:p>
    <w:p w:rsidR="00352605" w:rsidRPr="00924038" w:rsidRDefault="00194FB4" w:rsidP="0012517A">
      <w:pPr>
        <w:pStyle w:val="ParaNumbering"/>
      </w:pPr>
      <w:r w:rsidRPr="00924038">
        <w:t>As noted above, t</w:t>
      </w:r>
      <w:r w:rsidR="00CB4E3E" w:rsidRPr="00924038">
        <w:t xml:space="preserve">he evidence filed by both Mr Webb and the McTaggart applicants each contemplated </w:t>
      </w:r>
      <w:r w:rsidRPr="00924038">
        <w:t xml:space="preserve">an </w:t>
      </w:r>
      <w:r w:rsidR="00352605" w:rsidRPr="00924038">
        <w:t>ATE insuranc</w:t>
      </w:r>
      <w:r w:rsidRPr="00924038">
        <w:t>e policy</w:t>
      </w:r>
      <w:r w:rsidR="00352605" w:rsidRPr="00924038">
        <w:t>.  After the filing of that evidence</w:t>
      </w:r>
      <w:r w:rsidRPr="00924038">
        <w:t>,</w:t>
      </w:r>
      <w:r w:rsidR="00352605" w:rsidRPr="00924038">
        <w:t xml:space="preserve"> and a</w:t>
      </w:r>
      <w:r w:rsidRPr="00924038">
        <w:t>fter initial oral submissions, I indicated</w:t>
      </w:r>
      <w:r w:rsidR="00352605" w:rsidRPr="00924038">
        <w:t xml:space="preserve"> </w:t>
      </w:r>
      <w:r w:rsidRPr="00924038">
        <w:t xml:space="preserve">that </w:t>
      </w:r>
      <w:r w:rsidR="00352605" w:rsidRPr="00924038">
        <w:t>for the purposes of modelling</w:t>
      </w:r>
      <w:r w:rsidRPr="00924038">
        <w:t xml:space="preserve">, the costs estimates of </w:t>
      </w:r>
      <w:r w:rsidR="00352605" w:rsidRPr="00924038">
        <w:t>Mr Webb and the McTaggart applicants</w:t>
      </w:r>
      <w:r w:rsidRPr="00924038">
        <w:t xml:space="preserve"> </w:t>
      </w:r>
      <w:r w:rsidR="00352605" w:rsidRPr="00924038">
        <w:t>should</w:t>
      </w:r>
      <w:r w:rsidRPr="00924038">
        <w:t xml:space="preserve"> assume that </w:t>
      </w:r>
      <w:r w:rsidR="00352605" w:rsidRPr="00924038">
        <w:t xml:space="preserve">ATE insurance should be obtained at a cost </w:t>
      </w:r>
      <w:r w:rsidR="00352605" w:rsidRPr="00924038">
        <w:lastRenderedPageBreak/>
        <w:t xml:space="preserve">consistent with Mr Coope’s evidence </w:t>
      </w:r>
      <w:r w:rsidRPr="00924038">
        <w:t>(</w:t>
      </w:r>
      <w:r w:rsidR="00352605" w:rsidRPr="00924038">
        <w:t>including the percentage assumptions set out at paragraph 45 of Mr Coope’s affidavit affirmed on 9 April 2018</w:t>
      </w:r>
      <w:r w:rsidRPr="00924038">
        <w:t>) together</w:t>
      </w:r>
      <w:r w:rsidR="00352605" w:rsidRPr="00924038">
        <w:t xml:space="preserve"> with a further assumption that $2.4 mill</w:t>
      </w:r>
      <w:r w:rsidR="0012517A">
        <w:t xml:space="preserve">ion in coverage was required.  </w:t>
      </w:r>
      <w:r w:rsidRPr="00924038">
        <w:t xml:space="preserve">The matter was </w:t>
      </w:r>
      <w:r w:rsidR="0012517A">
        <w:t xml:space="preserve">adjourned to await final submissions but </w:t>
      </w:r>
      <w:r w:rsidRPr="00924038">
        <w:t xml:space="preserve">then relisted after </w:t>
      </w:r>
      <w:r w:rsidR="00352605" w:rsidRPr="00924038">
        <w:t xml:space="preserve">the McTaggart applicants objected </w:t>
      </w:r>
      <w:r w:rsidRPr="00924038">
        <w:t xml:space="preserve">to modelling being done on this basis because, it was asserted, </w:t>
      </w:r>
      <w:r w:rsidR="00352605" w:rsidRPr="00924038">
        <w:t xml:space="preserve">that there was no evidentiary basis for applying the assumption drawn from Mr Coope’s evidence as to the costs of ATE insurance to Mr Webb’s funding structure.  </w:t>
      </w:r>
    </w:p>
    <w:p w:rsidR="00352605" w:rsidRPr="00924038" w:rsidRDefault="00194FB4" w:rsidP="00352605">
      <w:pPr>
        <w:pStyle w:val="ParaNumbering"/>
      </w:pPr>
      <w:r w:rsidRPr="00924038">
        <w:t xml:space="preserve">In response, </w:t>
      </w:r>
      <w:r w:rsidR="00352605" w:rsidRPr="00924038">
        <w:t xml:space="preserve">Mr Webb submitted that the application of this assumption simply requires the use of reasonable inferences drawn from all the evidence before the Court.  </w:t>
      </w:r>
      <w:r w:rsidRPr="00924038">
        <w:t xml:space="preserve">Mr Webb points to the fact that </w:t>
      </w:r>
      <w:r w:rsidR="00352605" w:rsidRPr="00924038">
        <w:t xml:space="preserve">all the evidence is in </w:t>
      </w:r>
      <w:r w:rsidRPr="00924038">
        <w:t xml:space="preserve">for all purposes </w:t>
      </w:r>
      <w:r w:rsidR="00352605" w:rsidRPr="00924038">
        <w:t xml:space="preserve">and there is no reason why the McTaggart applicants should be able to apply the assumption as to the cost of ATE insurance but Mr Webb should not.  Put more directly, </w:t>
      </w:r>
      <w:r w:rsidRPr="00924038">
        <w:t xml:space="preserve">it is said that </w:t>
      </w:r>
      <w:r w:rsidR="00352605" w:rsidRPr="00924038">
        <w:t>there is no reason in the evidence to suppose that the cost of the ATE insurance would differ at all (let alone considerably) between the different insureds or that commensurate reductions in the premia referred to in the affidavit material</w:t>
      </w:r>
      <w:r w:rsidRPr="00924038">
        <w:t>,</w:t>
      </w:r>
      <w:r w:rsidR="00352605" w:rsidRPr="00924038">
        <w:t xml:space="preserve"> would not apply commensurately.</w:t>
      </w:r>
    </w:p>
    <w:p w:rsidR="00352605" w:rsidRPr="00924038" w:rsidRDefault="00352605" w:rsidP="00352605">
      <w:pPr>
        <w:pStyle w:val="ParaNumbering"/>
      </w:pPr>
      <w:r w:rsidRPr="00924038">
        <w:t xml:space="preserve">I </w:t>
      </w:r>
      <w:r w:rsidR="00A85DA4" w:rsidRPr="00924038">
        <w:t xml:space="preserve">do not accept </w:t>
      </w:r>
      <w:r w:rsidRPr="00924038">
        <w:t xml:space="preserve">the assertion of </w:t>
      </w:r>
      <w:r w:rsidR="00CF77D9">
        <w:t>a</w:t>
      </w:r>
      <w:r w:rsidRPr="00924038">
        <w:t xml:space="preserve"> lack of evidence to support Mr Webb’s ATE premium payment under the comparative modelling.  </w:t>
      </w:r>
      <w:r w:rsidR="00CF77D9">
        <w:t>Again the submission is a curious one given</w:t>
      </w:r>
      <w:r w:rsidRPr="00924038">
        <w:t xml:space="preserve"> the McTaggart applicants did not</w:t>
      </w:r>
      <w:r w:rsidR="00A85DA4" w:rsidRPr="00924038">
        <w:t>,</w:t>
      </w:r>
      <w:r w:rsidRPr="00924038">
        <w:t xml:space="preserve"> </w:t>
      </w:r>
      <w:r w:rsidR="00B2315B" w:rsidRPr="00924038">
        <w:t>unsurprisingly, adduce any specific evidence that would support the conclusion that they seek to draw</w:t>
      </w:r>
      <w:r w:rsidR="00B15EA4" w:rsidRPr="00924038">
        <w:t>,</w:t>
      </w:r>
      <w:r w:rsidR="00B2315B" w:rsidRPr="00924038">
        <w:t xml:space="preserve"> namely the description of the ATE policy referred to in Mr Coope’s affidavit at paragraph 45 would apply to a policy providing only $2.4 million in policy coverage </w:t>
      </w:r>
      <w:r w:rsidR="00B15EA4" w:rsidRPr="00924038">
        <w:t>(</w:t>
      </w:r>
      <w:r w:rsidR="00B2315B" w:rsidRPr="00924038">
        <w:t>rather than the $5.25 million referred to in the affidavit</w:t>
      </w:r>
      <w:r w:rsidR="00B15EA4" w:rsidRPr="00924038">
        <w:t>)</w:t>
      </w:r>
      <w:r w:rsidR="00B2315B" w:rsidRPr="00924038">
        <w:t>.</w:t>
      </w:r>
      <w:r w:rsidR="00511AB4" w:rsidRPr="00924038">
        <w:t xml:space="preserve">  </w:t>
      </w:r>
    </w:p>
    <w:p w:rsidR="00BF2BB2" w:rsidRPr="00924038" w:rsidRDefault="001071F2" w:rsidP="00B15EA4">
      <w:pPr>
        <w:pStyle w:val="ParaNumbering"/>
      </w:pPr>
      <w:r w:rsidRPr="00924038">
        <w:t xml:space="preserve">If I am to draw conclusions based on the evidence </w:t>
      </w:r>
      <w:r w:rsidR="00CF77D9">
        <w:t>read by</w:t>
      </w:r>
      <w:r w:rsidRPr="00924038">
        <w:t xml:space="preserve"> the McTaggart applicants as to the cost of ATE insurance</w:t>
      </w:r>
      <w:r w:rsidR="007079B2" w:rsidRPr="00924038">
        <w:t>,</w:t>
      </w:r>
      <w:r w:rsidRPr="00924038">
        <w:t xml:space="preserve"> then there is no reason why I would not draw the same conclusion that the costs would be commensurate for Mr Webb in the absence of any reason for thinking that there was some basis for the insurer regarding the proposal made by Mr Webb as being riskier and hence having some rational difference on the striking of a premium rate.  There is no basis on </w:t>
      </w:r>
      <w:r w:rsidR="00A92B5F">
        <w:t>the evidence for me to draw this</w:t>
      </w:r>
      <w:r w:rsidRPr="00924038">
        <w:t xml:space="preserve"> conclusion and I </w:t>
      </w:r>
      <w:r w:rsidR="00A92B5F">
        <w:t xml:space="preserve">will </w:t>
      </w:r>
      <w:r w:rsidRPr="00924038">
        <w:t xml:space="preserve">proceed on the basis that a figure for the ATE premium would </w:t>
      </w:r>
      <w:r w:rsidR="00CF77D9">
        <w:t xml:space="preserve">likely </w:t>
      </w:r>
      <w:r w:rsidRPr="00924038">
        <w:t xml:space="preserve">be </w:t>
      </w:r>
      <w:r w:rsidR="00CF77D9">
        <w:t xml:space="preserve">roughly </w:t>
      </w:r>
      <w:r w:rsidRPr="00924038">
        <w:t>the same</w:t>
      </w:r>
      <w:r w:rsidR="00B15EA4" w:rsidRPr="00924038">
        <w:t>.</w:t>
      </w:r>
    </w:p>
    <w:p w:rsidR="004A5B8D" w:rsidRPr="00924038" w:rsidRDefault="004A5B8D" w:rsidP="00B15EA4">
      <w:pPr>
        <w:pStyle w:val="ParaNumbering"/>
      </w:pPr>
      <w:r w:rsidRPr="00924038">
        <w:t xml:space="preserve">It follows from the above that the comparative document prepared by the McTaggart applicants, being a document which was marked MFI A, is </w:t>
      </w:r>
      <w:r w:rsidR="007079B2" w:rsidRPr="00924038">
        <w:t xml:space="preserve">a less helpful </w:t>
      </w:r>
      <w:r w:rsidRPr="00924038">
        <w:t>comparative document than MFI B (the document prepare</w:t>
      </w:r>
      <w:r w:rsidR="005C3F77" w:rsidRPr="00924038">
        <w:t xml:space="preserve">d by </w:t>
      </w:r>
      <w:r w:rsidR="008C720E">
        <w:t>Mr Webb</w:t>
      </w:r>
      <w:r w:rsidR="005C3F77" w:rsidRPr="00924038">
        <w:t>),</w:t>
      </w:r>
      <w:r w:rsidR="007079B2" w:rsidRPr="00924038">
        <w:t xml:space="preserve"> the latter document having </w:t>
      </w:r>
      <w:r w:rsidR="007079B2" w:rsidRPr="00924038">
        <w:lastRenderedPageBreak/>
        <w:t>been</w:t>
      </w:r>
      <w:r w:rsidR="005C3F77" w:rsidRPr="00924038">
        <w:t xml:space="preserve"> prepared on the basis of a common ATE policy expense.  This conclusion is reinforced by the next topic to which </w:t>
      </w:r>
      <w:r w:rsidR="00BB1CEF">
        <w:t xml:space="preserve">I will turn.  The way in which </w:t>
      </w:r>
      <w:r w:rsidR="005C3F77" w:rsidRPr="00924038">
        <w:t>book</w:t>
      </w:r>
      <w:r w:rsidR="007E6739">
        <w:t xml:space="preserve"> </w:t>
      </w:r>
      <w:r w:rsidR="00BB1CEF">
        <w:t>build</w:t>
      </w:r>
      <w:r w:rsidR="005C3F77" w:rsidRPr="00924038">
        <w:t xml:space="preserve"> costs initially identified by Mr Webb are treated during the course of the varying comparative analyses.  </w:t>
      </w:r>
    </w:p>
    <w:p w:rsidR="000451C3" w:rsidRPr="00924038" w:rsidRDefault="000451C3" w:rsidP="000451C3">
      <w:pPr>
        <w:pStyle w:val="Heading3"/>
      </w:pPr>
      <w:bookmarkStart w:id="82" w:name="_Ref514405650"/>
      <w:r w:rsidRPr="00924038">
        <w:t>H.2.4</w:t>
      </w:r>
      <w:r w:rsidRPr="00924038">
        <w:tab/>
        <w:t xml:space="preserve">The McTaggart </w:t>
      </w:r>
      <w:r w:rsidR="0097131A" w:rsidRPr="00924038">
        <w:t>A</w:t>
      </w:r>
      <w:r w:rsidRPr="00924038">
        <w:t xml:space="preserve">pplicants’ </w:t>
      </w:r>
      <w:r w:rsidR="0097131A" w:rsidRPr="00924038">
        <w:t>S</w:t>
      </w:r>
      <w:r w:rsidRPr="00924038">
        <w:t>ubmissions as to Webb “book</w:t>
      </w:r>
      <w:r w:rsidR="007E6739">
        <w:t xml:space="preserve"> </w:t>
      </w:r>
      <w:r w:rsidR="00BB1CEF">
        <w:t>build</w:t>
      </w:r>
      <w:r w:rsidRPr="00924038">
        <w:t xml:space="preserve">” </w:t>
      </w:r>
      <w:r w:rsidR="0097131A" w:rsidRPr="00924038">
        <w:t>C</w:t>
      </w:r>
      <w:r w:rsidRPr="00924038">
        <w:t>osts</w:t>
      </w:r>
      <w:bookmarkEnd w:id="82"/>
    </w:p>
    <w:p w:rsidR="00511AB4" w:rsidRPr="00924038" w:rsidRDefault="00511AB4" w:rsidP="00B15EA4">
      <w:pPr>
        <w:pStyle w:val="ParaNumbering"/>
      </w:pPr>
      <w:r w:rsidRPr="00924038">
        <w:t>This issue arises because Mr Webb’s original cost estimate included $100,000 in respect of “</w:t>
      </w:r>
      <w:r w:rsidRPr="00BB1CEF">
        <w:rPr>
          <w:i/>
        </w:rPr>
        <w:t>book build</w:t>
      </w:r>
      <w:r w:rsidR="00BB1CEF">
        <w:rPr>
          <w:i/>
        </w:rPr>
        <w:t xml:space="preserve"> </w:t>
      </w:r>
      <w:r w:rsidRPr="00BB1CEF">
        <w:rPr>
          <w:i/>
        </w:rPr>
        <w:t>\</w:t>
      </w:r>
      <w:r w:rsidR="007079B2" w:rsidRPr="00BB1CEF">
        <w:rPr>
          <w:i/>
        </w:rPr>
        <w:t xml:space="preserve"> </w:t>
      </w:r>
      <w:r w:rsidRPr="00BB1CEF">
        <w:rPr>
          <w:i/>
        </w:rPr>
        <w:t>communicating terms</w:t>
      </w:r>
      <w:r w:rsidR="00BB1CEF">
        <w:rPr>
          <w:i/>
        </w:rPr>
        <w:t xml:space="preserve"> </w:t>
      </w:r>
      <w:r w:rsidRPr="00BB1CEF">
        <w:rPr>
          <w:i/>
        </w:rPr>
        <w:t>\</w:t>
      </w:r>
      <w:r w:rsidR="007079B2" w:rsidRPr="00BB1CEF">
        <w:rPr>
          <w:i/>
        </w:rPr>
        <w:t xml:space="preserve"> </w:t>
      </w:r>
      <w:r w:rsidRPr="00BB1CEF">
        <w:rPr>
          <w:i/>
        </w:rPr>
        <w:t>identifying representative</w:t>
      </w:r>
      <w:r w:rsidRPr="00924038">
        <w:t xml:space="preserve">”.  When this </w:t>
      </w:r>
      <w:r w:rsidR="00B15EA4" w:rsidRPr="00924038">
        <w:t xml:space="preserve">initial </w:t>
      </w:r>
      <w:r w:rsidRPr="00924038">
        <w:t>estimate was prepared</w:t>
      </w:r>
      <w:r w:rsidR="00B15EA4" w:rsidRPr="00924038">
        <w:t>,</w:t>
      </w:r>
      <w:r w:rsidRPr="00924038">
        <w:t xml:space="preserve"> it was on the basis that a process would be undertaken to build a book of funded group members in what was then a proposed proceeding</w:t>
      </w:r>
      <w:r w:rsidR="00B15EA4" w:rsidRPr="00924038">
        <w:t>,</w:t>
      </w:r>
      <w:r w:rsidRPr="00924038">
        <w:t xml:space="preserve"> including communicating funding terms to prospective group members and identifying an applicant from those persons.  Mr Phi has given</w:t>
      </w:r>
      <w:r w:rsidR="00B15EA4" w:rsidRPr="00924038">
        <w:t xml:space="preserve"> evidence</w:t>
      </w:r>
      <w:r w:rsidRPr="00924038">
        <w:t xml:space="preserve"> that none of Mr Webb, Therium or PFM </w:t>
      </w:r>
      <w:r w:rsidR="00B15EA4" w:rsidRPr="00924038">
        <w:t>intend</w:t>
      </w:r>
      <w:r w:rsidRPr="00924038">
        <w:t>, in the events that happened, to conduct such a book</w:t>
      </w:r>
      <w:r w:rsidR="007E6739">
        <w:t xml:space="preserve"> </w:t>
      </w:r>
      <w:r w:rsidRPr="00924038">
        <w:t>build and have not done so.  He has also given evidence that given that a decision has been made to pursue a common fund order, this would mean that a book</w:t>
      </w:r>
      <w:r w:rsidR="007E6739">
        <w:t xml:space="preserve"> </w:t>
      </w:r>
      <w:r w:rsidRPr="00924038">
        <w:t xml:space="preserve">build as originally contemplated was </w:t>
      </w:r>
      <w:r w:rsidR="007079B2" w:rsidRPr="00924038">
        <w:t xml:space="preserve">and is </w:t>
      </w:r>
      <w:r w:rsidRPr="00924038">
        <w:t>unnecessary.  I accept this evidence which is consistent with the way Mr Webb has conducted the proceedings since seeking leave to intervene</w:t>
      </w:r>
      <w:r w:rsidR="007079B2" w:rsidRPr="00924038">
        <w:t>,</w:t>
      </w:r>
      <w:r w:rsidRPr="00924038">
        <w:t xml:space="preserve"> and </w:t>
      </w:r>
      <w:r w:rsidR="00C4778E">
        <w:t xml:space="preserve">I accept that </w:t>
      </w:r>
      <w:r w:rsidRPr="00924038">
        <w:t>t</w:t>
      </w:r>
      <w:r w:rsidR="00CF77D9">
        <w:t>o conduct a</w:t>
      </w:r>
      <w:r w:rsidRPr="00924038">
        <w:t xml:space="preserve"> comparison on the basis of costs which have not and will not be </w:t>
      </w:r>
      <w:r w:rsidR="00C4778E">
        <w:t>incurred</w:t>
      </w:r>
      <w:r w:rsidR="00B15EA4" w:rsidRPr="00924038">
        <w:t xml:space="preserve"> </w:t>
      </w:r>
      <w:r w:rsidR="00CF77D9">
        <w:t>would be to misreckon</w:t>
      </w:r>
      <w:r w:rsidR="00B15EA4" w:rsidRPr="00924038">
        <w:t xml:space="preserve">. </w:t>
      </w:r>
    </w:p>
    <w:p w:rsidR="007F5B4F" w:rsidRPr="00924038" w:rsidRDefault="007F5B4F" w:rsidP="007F5B4F">
      <w:pPr>
        <w:pStyle w:val="Heading3"/>
      </w:pPr>
      <w:bookmarkStart w:id="83" w:name="_Ref514405651"/>
      <w:r w:rsidRPr="00924038">
        <w:t>H.2.5</w:t>
      </w:r>
      <w:r w:rsidRPr="00924038">
        <w:tab/>
        <w:t xml:space="preserve">Varying </w:t>
      </w:r>
      <w:r w:rsidR="0097131A" w:rsidRPr="00924038">
        <w:t>C</w:t>
      </w:r>
      <w:r w:rsidRPr="00924038">
        <w:t xml:space="preserve">osts as to </w:t>
      </w:r>
      <w:r w:rsidR="0097131A" w:rsidRPr="00924038">
        <w:t>I</w:t>
      </w:r>
      <w:r w:rsidRPr="00924038">
        <w:t xml:space="preserve">nterlocutory </w:t>
      </w:r>
      <w:r w:rsidR="0097131A" w:rsidRPr="00924038">
        <w:t>A</w:t>
      </w:r>
      <w:r w:rsidRPr="00924038">
        <w:t>pplications</w:t>
      </w:r>
      <w:bookmarkEnd w:id="83"/>
    </w:p>
    <w:p w:rsidR="00B15EA4" w:rsidRPr="00924038" w:rsidRDefault="00B15EA4" w:rsidP="001F5885">
      <w:pPr>
        <w:pStyle w:val="ParaNumbering"/>
      </w:pPr>
      <w:r w:rsidRPr="00924038">
        <w:t xml:space="preserve">This </w:t>
      </w:r>
      <w:r w:rsidR="00A92B5F">
        <w:t xml:space="preserve">is </w:t>
      </w:r>
      <w:r w:rsidRPr="00924038">
        <w:t xml:space="preserve">a </w:t>
      </w:r>
      <w:r w:rsidR="00086968" w:rsidRPr="00924038">
        <w:t xml:space="preserve">variation on </w:t>
      </w:r>
      <w:r w:rsidRPr="00924038">
        <w:t>a larger theme that I will address in the next section</w:t>
      </w:r>
      <w:r w:rsidR="00086968" w:rsidRPr="00924038">
        <w:t xml:space="preserve">.  The estimates in the materials supplied by Mr Webb and the McTaggart applicants assumed that there would be a number of contested interlocutory applications.  By way of comparison, Mr Perera assumed no </w:t>
      </w:r>
      <w:r w:rsidRPr="00924038">
        <w:t xml:space="preserve">interlocutory </w:t>
      </w:r>
      <w:r w:rsidR="00086968" w:rsidRPr="00924038">
        <w:t>applications would incur costs</w:t>
      </w:r>
      <w:r w:rsidRPr="00924038">
        <w:t>,</w:t>
      </w:r>
      <w:r w:rsidR="00086968" w:rsidRPr="00924038">
        <w:t xml:space="preserve"> other than an application to access the share register of GetSwift and the current multiplicity application </w:t>
      </w:r>
      <w:r w:rsidRPr="00924038">
        <w:t>(</w:t>
      </w:r>
      <w:r w:rsidR="00086968" w:rsidRPr="00924038">
        <w:t>which Mr Webb and the McTaggart applicants had excluded</w:t>
      </w:r>
      <w:r w:rsidRPr="00924038">
        <w:t>)</w:t>
      </w:r>
      <w:r w:rsidR="00086968" w:rsidRPr="00924038">
        <w:t xml:space="preserve">.  </w:t>
      </w:r>
    </w:p>
    <w:p w:rsidR="00086968" w:rsidRPr="00924038" w:rsidRDefault="00B15EA4" w:rsidP="00B15EA4">
      <w:pPr>
        <w:pStyle w:val="ParaNumbering"/>
      </w:pPr>
      <w:r w:rsidRPr="00924038">
        <w:t xml:space="preserve">For reasons I will detail </w:t>
      </w:r>
      <w:r w:rsidR="00A85DA4" w:rsidRPr="00924038">
        <w:t xml:space="preserve">in Section H.3 </w:t>
      </w:r>
      <w:r w:rsidRPr="00924038">
        <w:t xml:space="preserve">below, </w:t>
      </w:r>
      <w:r w:rsidR="00086968" w:rsidRPr="00924038">
        <w:t>it was necessary to make appropriate adjustments to reflect these different assumptions and the comparison contained in MFI B does so on what seems to me to be a sensible basis</w:t>
      </w:r>
      <w:r w:rsidRPr="00924038">
        <w:t>.</w:t>
      </w:r>
    </w:p>
    <w:p w:rsidR="00B64863" w:rsidRPr="00924038" w:rsidRDefault="00374C57" w:rsidP="00B64863">
      <w:pPr>
        <w:pStyle w:val="Heading3"/>
      </w:pPr>
      <w:bookmarkStart w:id="84" w:name="_Ref514405652"/>
      <w:r w:rsidRPr="00924038">
        <w:t>H.2.6</w:t>
      </w:r>
      <w:r w:rsidRPr="00924038">
        <w:tab/>
      </w:r>
      <w:proofErr w:type="gramStart"/>
      <w:r w:rsidR="00B64863" w:rsidRPr="00924038">
        <w:t>The</w:t>
      </w:r>
      <w:proofErr w:type="gramEnd"/>
      <w:r w:rsidR="00B64863" w:rsidRPr="00924038">
        <w:t xml:space="preserve"> </w:t>
      </w:r>
      <w:r w:rsidR="0097131A" w:rsidRPr="00924038">
        <w:t>E</w:t>
      </w:r>
      <w:r w:rsidR="00B64863" w:rsidRPr="00924038">
        <w:t xml:space="preserve">vidence in </w:t>
      </w:r>
      <w:r w:rsidR="0097131A" w:rsidRPr="00924038">
        <w:t>R</w:t>
      </w:r>
      <w:r w:rsidR="00B64863" w:rsidRPr="00924038">
        <w:t xml:space="preserve">elation to the </w:t>
      </w:r>
      <w:r w:rsidR="0097131A" w:rsidRPr="00924038">
        <w:t>L</w:t>
      </w:r>
      <w:r w:rsidR="00B64863" w:rsidRPr="00924038">
        <w:t xml:space="preserve">ate </w:t>
      </w:r>
      <w:r w:rsidR="0097131A" w:rsidRPr="00924038">
        <w:t>M</w:t>
      </w:r>
      <w:r w:rsidR="00B64863" w:rsidRPr="00924038">
        <w:t xml:space="preserve">ediation and </w:t>
      </w:r>
      <w:r w:rsidR="0097131A" w:rsidRPr="00924038">
        <w:t>E</w:t>
      </w:r>
      <w:r w:rsidR="00B64863" w:rsidRPr="00924038">
        <w:t xml:space="preserve">vidence in </w:t>
      </w:r>
      <w:r w:rsidR="0097131A" w:rsidRPr="00924038">
        <w:t>R</w:t>
      </w:r>
      <w:r w:rsidR="00B64863" w:rsidRPr="00924038">
        <w:t>eply</w:t>
      </w:r>
      <w:bookmarkEnd w:id="84"/>
    </w:p>
    <w:p w:rsidR="001F5885" w:rsidRPr="00924038" w:rsidRDefault="00B15EA4" w:rsidP="00B15EA4">
      <w:pPr>
        <w:pStyle w:val="ParaNumbering"/>
        <w:rPr>
          <w:szCs w:val="24"/>
        </w:rPr>
      </w:pPr>
      <w:r w:rsidRPr="00924038">
        <w:t>This issue</w:t>
      </w:r>
      <w:r w:rsidR="00C4778E">
        <w:t>,</w:t>
      </w:r>
      <w:r w:rsidRPr="00924038">
        <w:t xml:space="preserve"> which again was raised as a flaw with the modelling process conducted by </w:t>
      </w:r>
      <w:r w:rsidR="00A85DA4" w:rsidRPr="00924038">
        <w:t xml:space="preserve">Mr </w:t>
      </w:r>
      <w:r w:rsidRPr="00924038">
        <w:t>Webb</w:t>
      </w:r>
      <w:r w:rsidR="00A92B5F">
        <w:t>,</w:t>
      </w:r>
      <w:r w:rsidRPr="00924038">
        <w:t xml:space="preserve"> involved a contention on behalf of Mr Perera that an additional $150,000 had been arbitrarily included relating to Mr Perera’s</w:t>
      </w:r>
      <w:r w:rsidR="00602A29">
        <w:t xml:space="preserve"> estimated legal costs under a</w:t>
      </w:r>
      <w:r w:rsidRPr="00924038">
        <w:t xml:space="preserve"> “</w:t>
      </w:r>
      <w:r w:rsidRPr="00C4778E">
        <w:rPr>
          <w:i/>
        </w:rPr>
        <w:t>late mediation</w:t>
      </w:r>
      <w:r w:rsidRPr="00924038">
        <w:t>” scenario.  As a consequence of this</w:t>
      </w:r>
      <w:r w:rsidR="007079B2" w:rsidRPr="00924038">
        <w:t>,</w:t>
      </w:r>
      <w:r w:rsidRPr="00924038">
        <w:t xml:space="preserve"> the revised modelling in MFI B only took in</w:t>
      </w:r>
      <w:r w:rsidR="00C4778E">
        <w:t>to</w:t>
      </w:r>
      <w:r w:rsidRPr="00924038">
        <w:t xml:space="preserve"> account an </w:t>
      </w:r>
      <w:r w:rsidRPr="00924038">
        <w:lastRenderedPageBreak/>
        <w:t>amount of $150,000 for evidence in reply</w:t>
      </w:r>
      <w:r w:rsidR="00C4778E">
        <w:t>,</w:t>
      </w:r>
      <w:r w:rsidRPr="00924038">
        <w:t xml:space="preserve"> which was consistent with Ms Banton’s earlier estimate for finalising this task which, on the assumptions of the parties, would be completed by the time of a late mediation.  Again, this is not a point of significance and demonstrates just how assumption dependent the </w:t>
      </w:r>
      <w:r w:rsidR="007079B2" w:rsidRPr="00924038">
        <w:t xml:space="preserve">costs </w:t>
      </w:r>
      <w:r w:rsidRPr="00924038">
        <w:t xml:space="preserve">comparisons became and how argument descended </w:t>
      </w:r>
      <w:r w:rsidR="00602A29">
        <w:t>into</w:t>
      </w:r>
      <w:r w:rsidR="007079B2" w:rsidRPr="00924038">
        <w:t xml:space="preserve"> </w:t>
      </w:r>
      <w:r w:rsidRPr="00924038">
        <w:t xml:space="preserve">quite </w:t>
      </w:r>
      <w:r w:rsidR="007079B2" w:rsidRPr="00924038">
        <w:t>comminuted</w:t>
      </w:r>
      <w:r w:rsidRPr="00924038">
        <w:t xml:space="preserve"> detail.  </w:t>
      </w:r>
    </w:p>
    <w:p w:rsidR="00374C57" w:rsidRPr="00924038" w:rsidRDefault="00374C57" w:rsidP="00374C57">
      <w:pPr>
        <w:pStyle w:val="Heading2"/>
      </w:pPr>
      <w:bookmarkStart w:id="85" w:name="_Ref514405653"/>
      <w:r w:rsidRPr="00924038">
        <w:t>H.3</w:t>
      </w:r>
      <w:r w:rsidRPr="00924038">
        <w:tab/>
      </w:r>
      <w:proofErr w:type="gramStart"/>
      <w:r w:rsidRPr="00924038">
        <w:t>The</w:t>
      </w:r>
      <w:proofErr w:type="gramEnd"/>
      <w:r w:rsidRPr="00924038">
        <w:t xml:space="preserve"> </w:t>
      </w:r>
      <w:r w:rsidR="0097131A" w:rsidRPr="00924038">
        <w:t>N</w:t>
      </w:r>
      <w:r w:rsidRPr="00924038">
        <w:t xml:space="preserve">eed for </w:t>
      </w:r>
      <w:r w:rsidR="0097131A" w:rsidRPr="00924038">
        <w:t>C</w:t>
      </w:r>
      <w:r w:rsidRPr="00924038">
        <w:t xml:space="preserve">ommon </w:t>
      </w:r>
      <w:r w:rsidR="0097131A" w:rsidRPr="00924038">
        <w:t>A</w:t>
      </w:r>
      <w:r w:rsidRPr="00924038">
        <w:t>ssumptions</w:t>
      </w:r>
      <w:bookmarkEnd w:id="85"/>
    </w:p>
    <w:p w:rsidR="00B15EA4" w:rsidRPr="00924038" w:rsidRDefault="007079B2" w:rsidP="00707561">
      <w:pPr>
        <w:pStyle w:val="ParaNumbering"/>
        <w:rPr>
          <w:szCs w:val="24"/>
        </w:rPr>
      </w:pPr>
      <w:r w:rsidRPr="00924038">
        <w:rPr>
          <w:szCs w:val="24"/>
        </w:rPr>
        <w:t>For completeness,</w:t>
      </w:r>
      <w:r w:rsidR="00602A29">
        <w:rPr>
          <w:szCs w:val="24"/>
        </w:rPr>
        <w:t xml:space="preserve"> given the failed attempt to agree on comparative</w:t>
      </w:r>
      <w:r w:rsidR="009B1444">
        <w:rPr>
          <w:szCs w:val="24"/>
        </w:rPr>
        <w:t>,</w:t>
      </w:r>
      <w:r w:rsidR="00602A29">
        <w:rPr>
          <w:szCs w:val="24"/>
        </w:rPr>
        <w:t xml:space="preserve"> likely financial returns to the </w:t>
      </w:r>
      <w:r w:rsidR="009B1444">
        <w:rPr>
          <w:szCs w:val="24"/>
        </w:rPr>
        <w:t>group</w:t>
      </w:r>
      <w:r w:rsidR="00602A29">
        <w:rPr>
          <w:szCs w:val="24"/>
        </w:rPr>
        <w:t xml:space="preserve">, based on common assumptions, was a focus in oral submissions (notwithstanding it was only one relevant factor out of many), it is worth demonstrating the common assumption point by </w:t>
      </w:r>
      <w:r w:rsidR="00707561" w:rsidRPr="00924038">
        <w:rPr>
          <w:szCs w:val="24"/>
        </w:rPr>
        <w:t>a</w:t>
      </w:r>
      <w:r w:rsidR="00602A29">
        <w:rPr>
          <w:szCs w:val="24"/>
        </w:rPr>
        <w:t xml:space="preserve"> couple of </w:t>
      </w:r>
      <w:r w:rsidR="00707561" w:rsidRPr="00924038">
        <w:rPr>
          <w:szCs w:val="24"/>
        </w:rPr>
        <w:t>example</w:t>
      </w:r>
      <w:r w:rsidR="00602A29">
        <w:rPr>
          <w:szCs w:val="24"/>
        </w:rPr>
        <w:t xml:space="preserve">s which come </w:t>
      </w:r>
      <w:r w:rsidR="00707561" w:rsidRPr="00924038">
        <w:rPr>
          <w:szCs w:val="24"/>
        </w:rPr>
        <w:t xml:space="preserve">from </w:t>
      </w:r>
      <w:r w:rsidR="004A1FD9" w:rsidRPr="00924038">
        <w:rPr>
          <w:szCs w:val="24"/>
        </w:rPr>
        <w:t xml:space="preserve">comparing costs </w:t>
      </w:r>
      <w:r w:rsidR="00421027" w:rsidRPr="00924038">
        <w:rPr>
          <w:szCs w:val="24"/>
        </w:rPr>
        <w:t>estimates</w:t>
      </w:r>
      <w:r w:rsidR="004A1FD9" w:rsidRPr="00924038">
        <w:rPr>
          <w:szCs w:val="24"/>
        </w:rPr>
        <w:t xml:space="preserve"> given by </w:t>
      </w:r>
      <w:r w:rsidR="00421027" w:rsidRPr="00924038">
        <w:rPr>
          <w:szCs w:val="24"/>
        </w:rPr>
        <w:t>Mr</w:t>
      </w:r>
      <w:r w:rsidR="004A1FD9" w:rsidRPr="00924038">
        <w:rPr>
          <w:szCs w:val="24"/>
        </w:rPr>
        <w:t xml:space="preserve"> </w:t>
      </w:r>
      <w:r w:rsidR="00421027" w:rsidRPr="00924038">
        <w:rPr>
          <w:szCs w:val="24"/>
        </w:rPr>
        <w:t>Perera</w:t>
      </w:r>
      <w:r w:rsidR="009B1444">
        <w:rPr>
          <w:szCs w:val="24"/>
        </w:rPr>
        <w:t>’s solicitor</w:t>
      </w:r>
      <w:r w:rsidR="004A1FD9" w:rsidRPr="00924038">
        <w:rPr>
          <w:szCs w:val="24"/>
        </w:rPr>
        <w:t xml:space="preserve"> and </w:t>
      </w:r>
      <w:r w:rsidR="00421027" w:rsidRPr="00924038">
        <w:rPr>
          <w:szCs w:val="24"/>
        </w:rPr>
        <w:t>those of the solicitor for</w:t>
      </w:r>
      <w:r w:rsidR="004A1FD9" w:rsidRPr="00924038">
        <w:rPr>
          <w:szCs w:val="24"/>
        </w:rPr>
        <w:t xml:space="preserve"> </w:t>
      </w:r>
      <w:r w:rsidR="009B1444">
        <w:rPr>
          <w:szCs w:val="24"/>
        </w:rPr>
        <w:t>the</w:t>
      </w:r>
      <w:r w:rsidR="004A1FD9" w:rsidRPr="00924038">
        <w:rPr>
          <w:szCs w:val="24"/>
        </w:rPr>
        <w:t xml:space="preserve"> McTaggart</w:t>
      </w:r>
      <w:r w:rsidR="009B1444">
        <w:rPr>
          <w:szCs w:val="24"/>
        </w:rPr>
        <w:t xml:space="preserve"> applicants</w:t>
      </w:r>
      <w:r w:rsidR="004A1FD9" w:rsidRPr="00924038">
        <w:rPr>
          <w:szCs w:val="24"/>
        </w:rPr>
        <w:t xml:space="preserve">. </w:t>
      </w:r>
      <w:r w:rsidR="00421027" w:rsidRPr="00924038">
        <w:rPr>
          <w:szCs w:val="24"/>
        </w:rPr>
        <w:t xml:space="preserve"> </w:t>
      </w:r>
    </w:p>
    <w:p w:rsidR="00421027" w:rsidRPr="00924038" w:rsidRDefault="00421027" w:rsidP="00707561">
      <w:pPr>
        <w:pStyle w:val="ParaNumbering"/>
        <w:rPr>
          <w:szCs w:val="24"/>
        </w:rPr>
      </w:pPr>
      <w:r w:rsidRPr="00924038">
        <w:t xml:space="preserve">Mr Pagent’s cost estimate assumed mediation after service of GetSwift’s lay evidence, the applicants’ evidence in reply, and expert evidence: see Pagent </w:t>
      </w:r>
      <w:r w:rsidR="007E6739">
        <w:t xml:space="preserve">at </w:t>
      </w:r>
      <w:r w:rsidRPr="00924038">
        <w:t xml:space="preserve">[90].  He assumed </w:t>
      </w:r>
      <w:proofErr w:type="gramStart"/>
      <w:r w:rsidR="00707561" w:rsidRPr="00924038">
        <w:t xml:space="preserve">a </w:t>
      </w:r>
      <w:r w:rsidRPr="00924038">
        <w:t>two</w:t>
      </w:r>
      <w:proofErr w:type="gramEnd"/>
      <w:r w:rsidR="00707561" w:rsidRPr="00924038">
        <w:t>-</w:t>
      </w:r>
      <w:r w:rsidRPr="00924038">
        <w:t xml:space="preserve">day mediation, with a mediator’s fee of $15,000: see Pagent </w:t>
      </w:r>
      <w:r w:rsidR="007E6739">
        <w:t xml:space="preserve">at </w:t>
      </w:r>
      <w:r w:rsidRPr="00924038">
        <w:t xml:space="preserve">[91] and </w:t>
      </w:r>
      <w:r w:rsidR="007E6739">
        <w:t xml:space="preserve">Exhibit </w:t>
      </w:r>
      <w:r w:rsidRPr="00924038">
        <w:t xml:space="preserve">CJP-36.  By way of contrast, Ms Banton assumed mediation after service of the applicant’s lay evidence in chief only. </w:t>
      </w:r>
      <w:r w:rsidR="00707561" w:rsidRPr="00924038">
        <w:t xml:space="preserve"> She assumed </w:t>
      </w:r>
      <w:proofErr w:type="gramStart"/>
      <w:r w:rsidR="00707561" w:rsidRPr="00924038">
        <w:t>a one</w:t>
      </w:r>
      <w:proofErr w:type="gramEnd"/>
      <w:r w:rsidR="00707561" w:rsidRPr="00924038">
        <w:t>-</w:t>
      </w:r>
      <w:r w:rsidRPr="00924038">
        <w:t xml:space="preserve">day mediation with a mediator’s fee of $8,000: see item 7A, </w:t>
      </w:r>
      <w:r w:rsidR="007E6739">
        <w:t xml:space="preserve">Exhibit </w:t>
      </w:r>
      <w:r w:rsidRPr="00924038">
        <w:t>AKB-3 and the figure under “</w:t>
      </w:r>
      <w:r w:rsidRPr="00BB1CEF">
        <w:rPr>
          <w:i/>
        </w:rPr>
        <w:t>disbursements</w:t>
      </w:r>
      <w:r w:rsidRPr="00924038">
        <w:t>” on p</w:t>
      </w:r>
      <w:r w:rsidRPr="00924038">
        <w:rPr>
          <w:spacing w:val="-10"/>
        </w:rPr>
        <w:t xml:space="preserve"> </w:t>
      </w:r>
      <w:r w:rsidRPr="00924038">
        <w:t>6</w:t>
      </w:r>
      <w:r w:rsidR="00BB1CEF">
        <w:t xml:space="preserve"> of </w:t>
      </w:r>
      <w:r w:rsidR="007E6739">
        <w:t xml:space="preserve">Exhibit </w:t>
      </w:r>
      <w:r w:rsidR="00BB1CEF">
        <w:t>AKB-3</w:t>
      </w:r>
      <w:r w:rsidRPr="00924038">
        <w:t xml:space="preserve">.  As was submitted by the McTaggart applicants, </w:t>
      </w:r>
      <w:r w:rsidR="00707561" w:rsidRPr="00924038">
        <w:t xml:space="preserve">these </w:t>
      </w:r>
      <w:r w:rsidRPr="00924038">
        <w:t xml:space="preserve">differences do not </w:t>
      </w:r>
      <w:r w:rsidR="00602A29">
        <w:t xml:space="preserve">in any rational way </w:t>
      </w:r>
      <w:r w:rsidRPr="00924038">
        <w:t xml:space="preserve">reflect qualitative differences between the two firms. </w:t>
      </w:r>
      <w:r w:rsidR="00707561" w:rsidRPr="00924038">
        <w:t xml:space="preserve"> There is no basis for thinking </w:t>
      </w:r>
      <w:proofErr w:type="gramStart"/>
      <w:r w:rsidRPr="00924038">
        <w:t>a mediation</w:t>
      </w:r>
      <w:proofErr w:type="gramEnd"/>
      <w:r w:rsidRPr="00924038">
        <w:t xml:space="preserve"> will take a shorter period of time with S</w:t>
      </w:r>
      <w:r w:rsidR="00707561" w:rsidRPr="00924038">
        <w:t xml:space="preserve">PB rather than </w:t>
      </w:r>
      <w:r w:rsidRPr="00924038">
        <w:t>C</w:t>
      </w:r>
      <w:r w:rsidR="00707561" w:rsidRPr="00924038">
        <w:t>CW</w:t>
      </w:r>
      <w:r w:rsidRPr="00924038">
        <w:t xml:space="preserve">. </w:t>
      </w:r>
      <w:r w:rsidR="00707561" w:rsidRPr="00924038">
        <w:t xml:space="preserve"> </w:t>
      </w:r>
      <w:r w:rsidRPr="00924038">
        <w:t>To start to equalise the assumptions, one</w:t>
      </w:r>
      <w:r w:rsidR="00707561" w:rsidRPr="00924038">
        <w:t xml:space="preserve"> need</w:t>
      </w:r>
      <w:r w:rsidR="00602A29">
        <w:t>s</w:t>
      </w:r>
      <w:r w:rsidR="00707561" w:rsidRPr="00924038">
        <w:t xml:space="preserve"> to </w:t>
      </w:r>
      <w:r w:rsidRPr="00924038">
        <w:t>subtract from Mr Pagent’s estimate the amounts f</w:t>
      </w:r>
      <w:r w:rsidR="009B1444">
        <w:t>or preparation of the applicant</w:t>
      </w:r>
      <w:r w:rsidRPr="00924038">
        <w:t>s</w:t>
      </w:r>
      <w:r w:rsidR="009B1444">
        <w:t>’</w:t>
      </w:r>
      <w:r w:rsidRPr="00924038">
        <w:t xml:space="preserve"> reply evidence, review of </w:t>
      </w:r>
      <w:r w:rsidR="00707561" w:rsidRPr="00924038">
        <w:t xml:space="preserve">GetSwift’s </w:t>
      </w:r>
      <w:r w:rsidRPr="00924038">
        <w:t>evidence, and</w:t>
      </w:r>
      <w:r w:rsidR="00707561" w:rsidRPr="00924038">
        <w:t xml:space="preserve"> preparation of expert evidence (given such cost items </w:t>
      </w:r>
      <w:r w:rsidRPr="00924038">
        <w:t xml:space="preserve">are not included in </w:t>
      </w:r>
      <w:r w:rsidR="00707561" w:rsidRPr="00924038">
        <w:t>the estimate of Ms Banton</w:t>
      </w:r>
      <w:r w:rsidR="00B15EA4" w:rsidRPr="00924038">
        <w:t>)</w:t>
      </w:r>
      <w:r w:rsidRPr="00924038">
        <w:t xml:space="preserve">. </w:t>
      </w:r>
      <w:r w:rsidR="00707561" w:rsidRPr="00924038">
        <w:t xml:space="preserve"> Further, t</w:t>
      </w:r>
      <w:r w:rsidRPr="00924038">
        <w:t xml:space="preserve">he amount of $7,000 </w:t>
      </w:r>
      <w:r w:rsidR="00707561" w:rsidRPr="00924038">
        <w:t xml:space="preserve">would need to </w:t>
      </w:r>
      <w:r w:rsidRPr="00924038">
        <w:t xml:space="preserve">be deducted from the costs of mediation to reflect the difference in </w:t>
      </w:r>
      <w:r w:rsidR="009B1444">
        <w:t xml:space="preserve">the </w:t>
      </w:r>
      <w:r w:rsidRPr="00924038">
        <w:t>assumed mediator’s fee, and the amount allowed for the mediation h</w:t>
      </w:r>
      <w:r w:rsidR="00707561" w:rsidRPr="00924038">
        <w:t>alved to account for it taking one rather than two</w:t>
      </w:r>
      <w:r w:rsidRPr="00924038">
        <w:rPr>
          <w:spacing w:val="-4"/>
        </w:rPr>
        <w:t xml:space="preserve"> </w:t>
      </w:r>
      <w:r w:rsidRPr="00924038">
        <w:t>days.</w:t>
      </w:r>
      <w:r w:rsidR="00707561" w:rsidRPr="00924038">
        <w:t xml:space="preserve"> </w:t>
      </w:r>
    </w:p>
    <w:p w:rsidR="00946420" w:rsidRPr="00924038" w:rsidRDefault="00B15EA4" w:rsidP="006C123D">
      <w:pPr>
        <w:pStyle w:val="ParaNumbering"/>
      </w:pPr>
      <w:r w:rsidRPr="00924038">
        <w:rPr>
          <w:szCs w:val="24"/>
        </w:rPr>
        <w:t>Of course, as has already been noted in relation to the estimated cost of interlocutory applications, a</w:t>
      </w:r>
      <w:r w:rsidR="00707561" w:rsidRPr="00924038">
        <w:rPr>
          <w:szCs w:val="24"/>
        </w:rPr>
        <w:t xml:space="preserve"> similar point can made about </w:t>
      </w:r>
      <w:r w:rsidRPr="00924038">
        <w:rPr>
          <w:szCs w:val="24"/>
        </w:rPr>
        <w:t xml:space="preserve">a range of </w:t>
      </w:r>
      <w:r w:rsidR="009B1444">
        <w:rPr>
          <w:szCs w:val="24"/>
        </w:rPr>
        <w:t xml:space="preserve">other </w:t>
      </w:r>
      <w:r w:rsidR="004C1AF0" w:rsidRPr="00924038">
        <w:rPr>
          <w:szCs w:val="24"/>
        </w:rPr>
        <w:t>cost items</w:t>
      </w:r>
      <w:r w:rsidR="00707561" w:rsidRPr="00924038">
        <w:rPr>
          <w:szCs w:val="24"/>
        </w:rPr>
        <w:t xml:space="preserve">.  </w:t>
      </w:r>
      <w:r w:rsidR="00421027" w:rsidRPr="00924038">
        <w:t xml:space="preserve">Mr Pagent assumed discovery would involve review of 20,250 documents, whereas Ms Banton assumed 15,000 (Pagent </w:t>
      </w:r>
      <w:r w:rsidR="007E6739">
        <w:t xml:space="preserve">at </w:t>
      </w:r>
      <w:r w:rsidR="00421027" w:rsidRPr="00924038">
        <w:t xml:space="preserve">[82]; </w:t>
      </w:r>
      <w:r w:rsidR="007E6739">
        <w:t xml:space="preserve">Exhibit </w:t>
      </w:r>
      <w:r w:rsidR="00421027" w:rsidRPr="00924038">
        <w:t>AKB-3</w:t>
      </w:r>
      <w:r w:rsidR="00BB1CEF">
        <w:t>,</w:t>
      </w:r>
      <w:r w:rsidR="00421027" w:rsidRPr="00924038">
        <w:t xml:space="preserve"> items 4C and</w:t>
      </w:r>
      <w:r w:rsidR="00421027" w:rsidRPr="00924038">
        <w:rPr>
          <w:spacing w:val="-13"/>
        </w:rPr>
        <w:t xml:space="preserve"> </w:t>
      </w:r>
      <w:r w:rsidR="00C07C14" w:rsidRPr="00924038">
        <w:t xml:space="preserve">4D). </w:t>
      </w:r>
      <w:r w:rsidR="004C1AF0" w:rsidRPr="00924038">
        <w:t xml:space="preserve"> </w:t>
      </w:r>
      <w:r w:rsidR="00C07C14" w:rsidRPr="00924038">
        <w:t>Mr Pagent assumed six</w:t>
      </w:r>
      <w:r w:rsidR="00421027" w:rsidRPr="00924038">
        <w:t xml:space="preserve"> case management heari</w:t>
      </w:r>
      <w:r w:rsidR="00C07C14" w:rsidRPr="00924038">
        <w:t>ngs, whereas Ms Banton assumed two</w:t>
      </w:r>
      <w:r w:rsidR="00421027" w:rsidRPr="00924038">
        <w:t xml:space="preserve"> (Pagent </w:t>
      </w:r>
      <w:r w:rsidR="007E6739">
        <w:t xml:space="preserve">at </w:t>
      </w:r>
      <w:r w:rsidR="00421027" w:rsidRPr="00924038">
        <w:t xml:space="preserve">[89]; </w:t>
      </w:r>
      <w:r w:rsidR="007E6739">
        <w:t xml:space="preserve">Exhibit </w:t>
      </w:r>
      <w:r w:rsidR="00421027" w:rsidRPr="00924038">
        <w:t>AKB-3</w:t>
      </w:r>
      <w:r w:rsidR="00BB1CEF">
        <w:t>,</w:t>
      </w:r>
      <w:r w:rsidR="00421027" w:rsidRPr="00924038">
        <w:t xml:space="preserve"> items 4A and</w:t>
      </w:r>
      <w:r w:rsidR="00421027" w:rsidRPr="00924038">
        <w:rPr>
          <w:spacing w:val="-1"/>
        </w:rPr>
        <w:t xml:space="preserve"> </w:t>
      </w:r>
      <w:r w:rsidR="00421027" w:rsidRPr="00924038">
        <w:lastRenderedPageBreak/>
        <w:t>5A).</w:t>
      </w:r>
      <w:r w:rsidR="004C1AF0" w:rsidRPr="00924038">
        <w:t xml:space="preserve">  </w:t>
      </w:r>
      <w:r w:rsidR="00421027" w:rsidRPr="00924038">
        <w:t xml:space="preserve">The </w:t>
      </w:r>
      <w:r w:rsidR="004C1AF0" w:rsidRPr="00924038">
        <w:t xml:space="preserve">McTaggart applicants </w:t>
      </w:r>
      <w:r w:rsidR="00C07C14" w:rsidRPr="00924038">
        <w:t xml:space="preserve">and Mr Webb </w:t>
      </w:r>
      <w:r w:rsidR="004C1AF0" w:rsidRPr="00924038">
        <w:t xml:space="preserve">illustrated </w:t>
      </w:r>
      <w:r w:rsidR="00C07C14" w:rsidRPr="00924038">
        <w:t xml:space="preserve">in submissions </w:t>
      </w:r>
      <w:r w:rsidR="004C1AF0" w:rsidRPr="00924038">
        <w:t xml:space="preserve">how the </w:t>
      </w:r>
      <w:r w:rsidR="00421027" w:rsidRPr="00924038">
        <w:t>figures given in evidence by Mr Pagent</w:t>
      </w:r>
      <w:r w:rsidR="00C07C14" w:rsidRPr="00924038">
        <w:t xml:space="preserve"> and Mr Phi</w:t>
      </w:r>
      <w:r w:rsidR="00421027" w:rsidRPr="00924038">
        <w:t xml:space="preserve"> can be reduced proportionately to adopt Ms Banton’s</w:t>
      </w:r>
      <w:r w:rsidR="00421027" w:rsidRPr="00924038">
        <w:rPr>
          <w:spacing w:val="-10"/>
        </w:rPr>
        <w:t xml:space="preserve"> </w:t>
      </w:r>
      <w:r w:rsidR="00421027" w:rsidRPr="00924038">
        <w:t>assumpt</w:t>
      </w:r>
      <w:r w:rsidR="004C1AF0" w:rsidRPr="00924038">
        <w:t xml:space="preserve">ions </w:t>
      </w:r>
      <w:r w:rsidR="00602A29">
        <w:t>which, when done</w:t>
      </w:r>
      <w:r w:rsidR="007E6739">
        <w:t>,</w:t>
      </w:r>
      <w:r w:rsidR="00602A29">
        <w:t xml:space="preserve"> demonstrates</w:t>
      </w:r>
      <w:r w:rsidR="004C1AF0" w:rsidRPr="00924038">
        <w:t xml:space="preserve"> </w:t>
      </w:r>
      <w:r w:rsidR="00602A29">
        <w:t>that</w:t>
      </w:r>
      <w:r w:rsidR="00421027" w:rsidRPr="00924038">
        <w:t xml:space="preserve"> the </w:t>
      </w:r>
      <w:r w:rsidR="002B362B">
        <w:t>CCW</w:t>
      </w:r>
      <w:r w:rsidR="00421027" w:rsidRPr="00924038">
        <w:t xml:space="preserve"> cost estimate is </w:t>
      </w:r>
      <w:r w:rsidR="00602A29">
        <w:t>roughly comparable</w:t>
      </w:r>
      <w:r w:rsidR="00421027" w:rsidRPr="00924038">
        <w:t xml:space="preserve"> to that of S</w:t>
      </w:r>
      <w:r w:rsidR="00602A29">
        <w:t>PB</w:t>
      </w:r>
      <w:r w:rsidR="00421027" w:rsidRPr="00924038">
        <w:t>: $2,025,866 compared to $1,957,932 (</w:t>
      </w:r>
      <w:r w:rsidR="004B5FA9" w:rsidRPr="00924038">
        <w:t xml:space="preserve">although I note that </w:t>
      </w:r>
      <w:r w:rsidR="009B1444">
        <w:t>Mr</w:t>
      </w:r>
      <w:r w:rsidR="004B5FA9" w:rsidRPr="00924038">
        <w:t xml:space="preserve"> </w:t>
      </w:r>
      <w:r w:rsidR="00E51C1E" w:rsidRPr="00924038">
        <w:t>Perera later submitted that the true estimate in the Perera Proceeding was $1,797,464)</w:t>
      </w:r>
      <w:r w:rsidR="00421027" w:rsidRPr="00924038">
        <w:t>.</w:t>
      </w:r>
      <w:r w:rsidR="004C1AF0" w:rsidRPr="00924038">
        <w:t xml:space="preserve">  </w:t>
      </w:r>
      <w:r w:rsidR="00E51C1E" w:rsidRPr="00924038">
        <w:t xml:space="preserve">In any event, irrespective </w:t>
      </w:r>
      <w:r w:rsidR="00602A29">
        <w:t>of</w:t>
      </w:r>
      <w:r w:rsidR="00E51C1E" w:rsidRPr="00924038">
        <w:t xml:space="preserve"> the precise figure, the McTaggart applicants invited</w:t>
      </w:r>
      <w:r w:rsidR="001C32B4" w:rsidRPr="00924038">
        <w:t xml:space="preserve"> t</w:t>
      </w:r>
      <w:r w:rsidR="00421027" w:rsidRPr="00924038">
        <w:t>he</w:t>
      </w:r>
      <w:r w:rsidR="00421027" w:rsidRPr="00924038">
        <w:rPr>
          <w:spacing w:val="-6"/>
        </w:rPr>
        <w:t xml:space="preserve"> </w:t>
      </w:r>
      <w:r w:rsidR="00421027" w:rsidRPr="00924038">
        <w:t>Court</w:t>
      </w:r>
      <w:r w:rsidR="00421027" w:rsidRPr="00924038">
        <w:rPr>
          <w:spacing w:val="-4"/>
        </w:rPr>
        <w:t xml:space="preserve"> </w:t>
      </w:r>
      <w:r w:rsidR="001C32B4" w:rsidRPr="00924038">
        <w:t xml:space="preserve">to assume </w:t>
      </w:r>
      <w:r w:rsidR="00421027" w:rsidRPr="00924038">
        <w:t>that</w:t>
      </w:r>
      <w:r w:rsidR="00421027" w:rsidRPr="00924038">
        <w:rPr>
          <w:spacing w:val="-5"/>
        </w:rPr>
        <w:t xml:space="preserve"> </w:t>
      </w:r>
      <w:r w:rsidR="00421027" w:rsidRPr="00924038">
        <w:t>costs</w:t>
      </w:r>
      <w:r w:rsidR="00421027" w:rsidRPr="00924038">
        <w:rPr>
          <w:spacing w:val="-4"/>
        </w:rPr>
        <w:t xml:space="preserve"> </w:t>
      </w:r>
      <w:r w:rsidR="00CE3D6B">
        <w:rPr>
          <w:spacing w:val="-4"/>
        </w:rPr>
        <w:t xml:space="preserve">incurred </w:t>
      </w:r>
      <w:r w:rsidR="001C32B4" w:rsidRPr="00924038">
        <w:t xml:space="preserve">would </w:t>
      </w:r>
      <w:r w:rsidR="00602A29">
        <w:t>not be very different</w:t>
      </w:r>
      <w:r w:rsidR="00421027" w:rsidRPr="00924038">
        <w:rPr>
          <w:spacing w:val="-6"/>
        </w:rPr>
        <w:t xml:space="preserve"> </w:t>
      </w:r>
      <w:r w:rsidR="001C32B4" w:rsidRPr="00924038">
        <w:t>at any given stage</w:t>
      </w:r>
      <w:r w:rsidR="009B1444">
        <w:t>,</w:t>
      </w:r>
      <w:r w:rsidR="00CE3D6B">
        <w:t xml:space="preserve"> irrespective of which case went forward.  This submission had a ring of clarity and commonsense about it</w:t>
      </w:r>
      <w:r w:rsidR="00C07C14" w:rsidRPr="00924038">
        <w:t>.</w:t>
      </w:r>
      <w:r w:rsidR="006C123D" w:rsidRPr="00924038">
        <w:t xml:space="preserve"> </w:t>
      </w:r>
    </w:p>
    <w:p w:rsidR="003A53E5" w:rsidRPr="00924038" w:rsidRDefault="003A53E5" w:rsidP="003A53E5">
      <w:pPr>
        <w:pStyle w:val="Heading2"/>
      </w:pPr>
      <w:bookmarkStart w:id="86" w:name="_Ref514405654"/>
      <w:r w:rsidRPr="00924038">
        <w:t>H.4</w:t>
      </w:r>
      <w:r w:rsidRPr="00924038">
        <w:tab/>
      </w:r>
      <w:proofErr w:type="gramStart"/>
      <w:r w:rsidRPr="00924038">
        <w:t>The</w:t>
      </w:r>
      <w:proofErr w:type="gramEnd"/>
      <w:r w:rsidRPr="00924038">
        <w:t xml:space="preserve"> Funding Models Generally</w:t>
      </w:r>
      <w:bookmarkEnd w:id="86"/>
    </w:p>
    <w:p w:rsidR="00BF734C" w:rsidRPr="00924038" w:rsidRDefault="002B362B" w:rsidP="008C720E">
      <w:pPr>
        <w:pStyle w:val="ParaNumbering"/>
      </w:pPr>
      <w:r>
        <w:t>As noted above, t</w:t>
      </w:r>
      <w:r w:rsidR="00BF734C" w:rsidRPr="00924038">
        <w:t>he common fund order proposed by Mr Webb would entitle Therium to a funding commission that is the lesser of: (a) a multiple of the expenses that Therium had paid in the proceeding (being 2.2 times if the parties in the proceeding enter into a settlement agreement on or before 12 April 2019, and that settlement subse</w:t>
      </w:r>
      <w:r w:rsidR="007E6739">
        <w:t>quently receives Court approval,</w:t>
      </w:r>
      <w:r w:rsidR="00BF734C" w:rsidRPr="00924038">
        <w:t xml:space="preserve"> or 2.8 times if there is a successful resolution after </w:t>
      </w:r>
      <w:r w:rsidR="00FA2B2B" w:rsidRPr="00924038">
        <w:t>12 April 2019</w:t>
      </w:r>
      <w:r w:rsidR="00A913C8">
        <w:t>)</w:t>
      </w:r>
      <w:r w:rsidR="00BF734C" w:rsidRPr="00924038">
        <w:t>; or (b) 20% of the net litigation proceeds (e.g. the settlement sum less approved profes</w:t>
      </w:r>
      <w:r w:rsidR="008C720E">
        <w:t xml:space="preserve">sional fees and disbursements).  </w:t>
      </w:r>
      <w:r w:rsidR="00BF734C" w:rsidRPr="00924038">
        <w:t xml:space="preserve">Additionally it provides that Therium would not receive any other fees outside of the commission structure. </w:t>
      </w:r>
    </w:p>
    <w:p w:rsidR="008C720E" w:rsidRDefault="008C720E" w:rsidP="008B0864">
      <w:pPr>
        <w:pStyle w:val="ParaNumbering"/>
      </w:pPr>
      <w:r>
        <w:t>This is a departure</w:t>
      </w:r>
      <w:r w:rsidR="00FD1199">
        <w:t xml:space="preserve"> f</w:t>
      </w:r>
      <w:r>
        <w:t>r</w:t>
      </w:r>
      <w:r w:rsidR="00FD1199">
        <w:t>o</w:t>
      </w:r>
      <w:r>
        <w:t>m the terms o</w:t>
      </w:r>
      <w:r w:rsidR="0020276F">
        <w:t xml:space="preserve">f common fund orders </w:t>
      </w:r>
      <w:r>
        <w:t>made</w:t>
      </w:r>
      <w:r w:rsidR="0020276F">
        <w:t xml:space="preserve"> in other proceedings</w:t>
      </w:r>
      <w:r>
        <w:t>, which have been based on percentage sums of net or gross proceeds.</w:t>
      </w:r>
      <w:r w:rsidR="00FA2B2B">
        <w:t xml:space="preserve">  In my view, t</w:t>
      </w:r>
      <w:r w:rsidR="00154D16">
        <w:t>he Webb proposal has a number of advantages.</w:t>
      </w:r>
    </w:p>
    <w:p w:rsidR="008B0864" w:rsidRPr="00924038" w:rsidRDefault="00154D16" w:rsidP="00154D16">
      <w:pPr>
        <w:pStyle w:val="ParaNumbering"/>
      </w:pPr>
      <w:r w:rsidRPr="00154D16">
        <w:rPr>
          <w:i/>
        </w:rPr>
        <w:t>First</w:t>
      </w:r>
      <w:r>
        <w:t>, a</w:t>
      </w:r>
      <w:r w:rsidR="008B0864" w:rsidRPr="00924038">
        <w:t xml:space="preserve"> significant attraction is that by aligning </w:t>
      </w:r>
      <w:r w:rsidR="008C720E">
        <w:t xml:space="preserve">the </w:t>
      </w:r>
      <w:r w:rsidR="008B0864" w:rsidRPr="00924038">
        <w:t xml:space="preserve">reward of the funder </w:t>
      </w:r>
      <w:r w:rsidR="007E6739">
        <w:t>with</w:t>
      </w:r>
      <w:r w:rsidR="008B0864" w:rsidRPr="00924038">
        <w:t xml:space="preserve"> a multiple of legal costs</w:t>
      </w:r>
      <w:r w:rsidR="008C720E">
        <w:t>,</w:t>
      </w:r>
      <w:r w:rsidR="008B0864" w:rsidRPr="00924038">
        <w:t xml:space="preserve"> </w:t>
      </w:r>
      <w:r w:rsidR="008654CF">
        <w:t xml:space="preserve">it </w:t>
      </w:r>
      <w:r w:rsidR="008C720E">
        <w:t>recognises</w:t>
      </w:r>
      <w:r w:rsidR="008B0864" w:rsidRPr="00924038">
        <w:t xml:space="preserve"> </w:t>
      </w:r>
      <w:r w:rsidR="008C720E">
        <w:t xml:space="preserve">the reality </w:t>
      </w:r>
      <w:r w:rsidR="008B0864" w:rsidRPr="00924038">
        <w:t xml:space="preserve">that the risk </w:t>
      </w:r>
      <w:r w:rsidR="007E6739">
        <w:t xml:space="preserve">of </w:t>
      </w:r>
      <w:r w:rsidR="008B0864" w:rsidRPr="00924038">
        <w:t>a funder increases incrementally</w:t>
      </w:r>
      <w:r w:rsidR="00665463">
        <w:t xml:space="preserve"> as legal costs increase.  Moreover, t</w:t>
      </w:r>
      <w:r w:rsidR="008B0864" w:rsidRPr="00924038">
        <w:t xml:space="preserve">he increase in the legal costs expended </w:t>
      </w:r>
      <w:r w:rsidR="00665463">
        <w:t xml:space="preserve">by the applicant </w:t>
      </w:r>
      <w:r w:rsidR="008B0864" w:rsidRPr="00924038">
        <w:t xml:space="preserve">is likely to reflect, at least in some rough proportion, the increasing exposure to </w:t>
      </w:r>
      <w:r w:rsidR="00665463">
        <w:t xml:space="preserve">any </w:t>
      </w:r>
      <w:r w:rsidR="008B0864" w:rsidRPr="00924038">
        <w:t>adverse costs</w:t>
      </w:r>
      <w:r w:rsidR="00665463">
        <w:t xml:space="preserve"> order</w:t>
      </w:r>
      <w:r w:rsidR="008B0864" w:rsidRPr="00924038">
        <w:t xml:space="preserve">.  In this sense there is a </w:t>
      </w:r>
      <w:r w:rsidR="008654CF">
        <w:t xml:space="preserve">real and demonstrable </w:t>
      </w:r>
      <w:r w:rsidR="008B0864" w:rsidRPr="00924038">
        <w:t xml:space="preserve">proportionality between risk and reward which is not </w:t>
      </w:r>
      <w:r w:rsidR="008654CF">
        <w:t xml:space="preserve">directly </w:t>
      </w:r>
      <w:r w:rsidR="008B0864" w:rsidRPr="00924038">
        <w:t xml:space="preserve">reflected in </w:t>
      </w:r>
      <w:r w:rsidR="00665463">
        <w:t>‘</w:t>
      </w:r>
      <w:r w:rsidR="008B0864" w:rsidRPr="00924038">
        <w:t>headline</w:t>
      </w:r>
      <w:r w:rsidR="00665463">
        <w:t>’</w:t>
      </w:r>
      <w:r w:rsidR="0020276F">
        <w:t xml:space="preserve"> funding percentages</w:t>
      </w:r>
      <w:r w:rsidR="008B0864" w:rsidRPr="00924038">
        <w:t xml:space="preserve">.  </w:t>
      </w:r>
    </w:p>
    <w:p w:rsidR="00DD4430" w:rsidRPr="00DD4430" w:rsidRDefault="00154D16" w:rsidP="008B0864">
      <w:pPr>
        <w:pStyle w:val="ParaNumbering"/>
      </w:pPr>
      <w:r w:rsidRPr="00154D16">
        <w:rPr>
          <w:i/>
        </w:rPr>
        <w:t>Secondly</w:t>
      </w:r>
      <w:r>
        <w:t>, a</w:t>
      </w:r>
      <w:r w:rsidR="00665463">
        <w:t>s noted above, o</w:t>
      </w:r>
      <w:r w:rsidR="008B0864" w:rsidRPr="00924038">
        <w:t xml:space="preserve">ne of the criticisms made of common fund orders is the </w:t>
      </w:r>
      <w:r w:rsidR="007E6739">
        <w:t>C</w:t>
      </w:r>
      <w:r w:rsidR="008B0864" w:rsidRPr="00924038">
        <w:t xml:space="preserve">ourt not receiving </w:t>
      </w:r>
      <w:r w:rsidR="0020276F">
        <w:t xml:space="preserve">expert </w:t>
      </w:r>
      <w:r w:rsidR="008B0864" w:rsidRPr="00924038">
        <w:t xml:space="preserve">evidence in order to ascertain whether the returns proposed by funders are above average.  </w:t>
      </w:r>
      <w:r w:rsidR="0020276F">
        <w:t xml:space="preserve">There may be good reason to doubt the ability to obtain </w:t>
      </w:r>
      <w:r w:rsidR="00DD4430">
        <w:t xml:space="preserve">funding </w:t>
      </w:r>
      <w:r w:rsidR="0020276F">
        <w:t>market evidence from persons who have a greater measure of specialised knowledge than the participants in the litigation</w:t>
      </w:r>
      <w:r w:rsidR="007E6739">
        <w:t>,</w:t>
      </w:r>
      <w:r w:rsidR="0020276F">
        <w:t xml:space="preserve"> including the judges of the Court but, in the case of</w:t>
      </w:r>
      <w:r w:rsidR="008B0864" w:rsidRPr="00924038">
        <w:t xml:space="preserve"> economic </w:t>
      </w:r>
      <w:r w:rsidR="008B0864" w:rsidRPr="00924038">
        <w:lastRenderedPageBreak/>
        <w:t>evidence</w:t>
      </w:r>
      <w:r w:rsidR="0020276F">
        <w:t>,</w:t>
      </w:r>
      <w:r w:rsidR="008B0864" w:rsidRPr="00924038">
        <w:t xml:space="preserve"> </w:t>
      </w:r>
      <w:r w:rsidR="0020276F">
        <w:t xml:space="preserve">this </w:t>
      </w:r>
      <w:r w:rsidR="00DD4430">
        <w:t xml:space="preserve">would </w:t>
      </w:r>
      <w:r w:rsidR="008B0864" w:rsidRPr="00924038">
        <w:t xml:space="preserve">involve very large </w:t>
      </w:r>
      <w:r w:rsidR="00DD4430">
        <w:t xml:space="preserve">and difficult </w:t>
      </w:r>
      <w:r w:rsidR="0020276F">
        <w:t>questions</w:t>
      </w:r>
      <w:r w:rsidR="007E6739">
        <w:t>,</w:t>
      </w:r>
      <w:r w:rsidR="0020276F">
        <w:t xml:space="preserve"> including whether any</w:t>
      </w:r>
      <w:r w:rsidR="008B0864" w:rsidRPr="00924038">
        <w:t xml:space="preserve"> economic analysis should be done by reference to the individual piece of litigation the subject of the order or </w:t>
      </w:r>
      <w:r w:rsidR="007E6739">
        <w:t>by reference to</w:t>
      </w:r>
      <w:r w:rsidR="008B0864" w:rsidRPr="00924038">
        <w:t xml:space="preserve"> the </w:t>
      </w:r>
      <w:r w:rsidR="008B0864" w:rsidRPr="00DD4430">
        <w:t>entirety of the funder’s business</w:t>
      </w:r>
      <w:r w:rsidR="0020276F" w:rsidRPr="00DD4430">
        <w:t xml:space="preserve"> activities or indeed against comparable business activities such as other forms of managed investment schem</w:t>
      </w:r>
      <w:r w:rsidR="007E6739">
        <w:t>es.</w:t>
      </w:r>
      <w:r w:rsidR="008B0864" w:rsidRPr="00DD4430">
        <w:t xml:space="preserve">  </w:t>
      </w:r>
      <w:r w:rsidR="00DD4430">
        <w:t>Leaving aside questions as to the principled exercise of judicial power, o</w:t>
      </w:r>
      <w:r w:rsidR="002842DD" w:rsidRPr="00DD4430">
        <w:t>ne need only reflect on the complexity of the economic evidence placed before</w:t>
      </w:r>
      <w:r w:rsidR="002842DD" w:rsidRPr="00DD4430">
        <w:rPr>
          <w:lang w:val="en"/>
        </w:rPr>
        <w:t xml:space="preserve"> public utility regulators in making discretionary assessments </w:t>
      </w:r>
      <w:r w:rsidR="00DD4430">
        <w:rPr>
          <w:lang w:val="en"/>
        </w:rPr>
        <w:t xml:space="preserve">or the former Prices Justification Tribunal </w:t>
      </w:r>
      <w:r w:rsidR="00DD4430" w:rsidRPr="00DD4430">
        <w:rPr>
          <w:lang w:val="en"/>
        </w:rPr>
        <w:t xml:space="preserve">to understand how ill equipped the Court is </w:t>
      </w:r>
      <w:r w:rsidR="00DD4430">
        <w:rPr>
          <w:lang w:val="en"/>
        </w:rPr>
        <w:t xml:space="preserve">to </w:t>
      </w:r>
      <w:r w:rsidR="00DD4430" w:rsidRPr="00DD4430">
        <w:rPr>
          <w:lang w:val="en"/>
        </w:rPr>
        <w:t>perform any role analogous to that performed by a price regulator.</w:t>
      </w:r>
    </w:p>
    <w:p w:rsidR="00015098" w:rsidRDefault="00DD4430" w:rsidP="00154D16">
      <w:pPr>
        <w:pStyle w:val="ParaNumbering"/>
      </w:pPr>
      <w:r>
        <w:rPr>
          <w:rFonts w:ascii="Merriweather" w:hAnsi="Merriweather"/>
          <w:color w:val="2A2A2A"/>
          <w:lang w:val="en"/>
        </w:rPr>
        <w:t xml:space="preserve">The </w:t>
      </w:r>
      <w:r w:rsidR="0020276F">
        <w:t xml:space="preserve">answer to the question of what should be an appropriate or fair return is </w:t>
      </w:r>
      <w:r>
        <w:t>not</w:t>
      </w:r>
      <w:r w:rsidR="0020276F">
        <w:t xml:space="preserve"> one that lends itself to a single answer.  It is an inquiry without bright lines and</w:t>
      </w:r>
      <w:r w:rsidR="007E6739">
        <w:t xml:space="preserve"> at the margins.  V</w:t>
      </w:r>
      <w:r w:rsidR="0020276F">
        <w:t>alue judgments</w:t>
      </w:r>
      <w:r w:rsidR="008C7B7D">
        <w:t>,</w:t>
      </w:r>
      <w:r w:rsidR="0020276F">
        <w:t xml:space="preserve"> which may vary idiosyncraticall</w:t>
      </w:r>
      <w:r w:rsidR="004363D7">
        <w:t>y f</w:t>
      </w:r>
      <w:r w:rsidR="0020276F">
        <w:t>r</w:t>
      </w:r>
      <w:r w:rsidR="004363D7">
        <w:t>o</w:t>
      </w:r>
      <w:r w:rsidR="0020276F">
        <w:t>m judge to judge</w:t>
      </w:r>
      <w:r w:rsidR="008C7B7D">
        <w:t>, may intrude</w:t>
      </w:r>
      <w:r w:rsidR="0020276F">
        <w:t xml:space="preserve">. </w:t>
      </w:r>
      <w:r w:rsidR="008C7B7D">
        <w:t xml:space="preserve"> </w:t>
      </w:r>
      <w:r>
        <w:t>When this is appreciated</w:t>
      </w:r>
      <w:r w:rsidR="007E6739">
        <w:t>,</w:t>
      </w:r>
      <w:r>
        <w:t xml:space="preserve"> it seems to me </w:t>
      </w:r>
      <w:r w:rsidR="007E6739">
        <w:t xml:space="preserve">that </w:t>
      </w:r>
      <w:r w:rsidR="00154D16">
        <w:t xml:space="preserve">assessing the value of risk </w:t>
      </w:r>
      <w:r w:rsidR="00015098">
        <w:t xml:space="preserve">as the proceeding progresses in a way which can be </w:t>
      </w:r>
      <w:r w:rsidR="00154D16">
        <w:t xml:space="preserve">readily appreciated </w:t>
      </w:r>
      <w:r w:rsidR="00015098">
        <w:t>and understood by the Court, that is, by reference to costs, is</w:t>
      </w:r>
      <w:r w:rsidR="00154D16">
        <w:t xml:space="preserve"> beneficial.</w:t>
      </w:r>
      <w:r w:rsidR="008B0864" w:rsidRPr="00924038">
        <w:t xml:space="preserve"> </w:t>
      </w:r>
      <w:r w:rsidR="00154D16">
        <w:t xml:space="preserve"> Although the multiple to be applied to the </w:t>
      </w:r>
      <w:r w:rsidR="00015098">
        <w:t xml:space="preserve">base </w:t>
      </w:r>
      <w:r w:rsidR="00154D16">
        <w:t xml:space="preserve">legal costs and the </w:t>
      </w:r>
      <w:r w:rsidR="004363D7">
        <w:t xml:space="preserve">alternative percentage based commission </w:t>
      </w:r>
      <w:r w:rsidR="00015098">
        <w:t xml:space="preserve">figure </w:t>
      </w:r>
      <w:r w:rsidR="004363D7">
        <w:t xml:space="preserve">of 20% are </w:t>
      </w:r>
      <w:r w:rsidR="00015098">
        <w:t>components the reasonableness of which still involves some of the challenges of setting a ‘headline’ figure, linking the multiple to a figure which increases in way that has a direct relationship to heightened risk seems to me to be an improvement.</w:t>
      </w:r>
    </w:p>
    <w:p w:rsidR="00665463" w:rsidRDefault="00154D16" w:rsidP="00154D16">
      <w:pPr>
        <w:pStyle w:val="ParaNumbering"/>
      </w:pPr>
      <w:r w:rsidRPr="00154D16">
        <w:rPr>
          <w:rFonts w:ascii="Merriweather" w:hAnsi="Merriweather"/>
          <w:i/>
          <w:color w:val="2A2A2A"/>
          <w:lang w:val="en"/>
        </w:rPr>
        <w:t>Thirdly</w:t>
      </w:r>
      <w:r>
        <w:rPr>
          <w:rFonts w:ascii="Merriweather" w:hAnsi="Merriweather"/>
          <w:color w:val="2A2A2A"/>
          <w:lang w:val="en"/>
        </w:rPr>
        <w:t xml:space="preserve">, </w:t>
      </w:r>
      <w:r>
        <w:t>t</w:t>
      </w:r>
      <w:r w:rsidR="008B0864" w:rsidRPr="00924038">
        <w:t xml:space="preserve">ethering the return to funders to the risk associated with the expenditure of legal </w:t>
      </w:r>
      <w:r w:rsidR="00FD1199" w:rsidRPr="00924038">
        <w:t>costs</w:t>
      </w:r>
      <w:r w:rsidR="008B0864" w:rsidRPr="00924038">
        <w:t xml:space="preserve"> seems to me to be</w:t>
      </w:r>
      <w:r w:rsidR="00FD1199">
        <w:t xml:space="preserve">tter reflect </w:t>
      </w:r>
      <w:r w:rsidR="008B0864" w:rsidRPr="00924038">
        <w:t>that litigation funders are promoting a particular type of commercial enterprise</w:t>
      </w:r>
      <w:r>
        <w:t>,</w:t>
      </w:r>
      <w:r w:rsidR="008B0864" w:rsidRPr="00924038">
        <w:t xml:space="preserve"> which is the provision of legal support and h</w:t>
      </w:r>
      <w:r w:rsidR="00665463">
        <w:t xml:space="preserve">ence </w:t>
      </w:r>
      <w:r w:rsidR="00015098">
        <w:t xml:space="preserve">the funders </w:t>
      </w:r>
      <w:r w:rsidR="00665463">
        <w:t xml:space="preserve">have become </w:t>
      </w:r>
      <w:r w:rsidR="008654CF">
        <w:t xml:space="preserve">indirectly </w:t>
      </w:r>
      <w:r w:rsidR="00665463">
        <w:t xml:space="preserve">engaged in </w:t>
      </w:r>
      <w:r w:rsidR="008B0864" w:rsidRPr="00924038">
        <w:t xml:space="preserve">the provision </w:t>
      </w:r>
      <w:r w:rsidR="00FD1199">
        <w:t>of legal services to a client.</w:t>
      </w:r>
    </w:p>
    <w:p w:rsidR="008654CF" w:rsidRDefault="00015098" w:rsidP="00665463">
      <w:pPr>
        <w:pStyle w:val="ParaNumbering"/>
      </w:pPr>
      <w:r w:rsidRPr="00015098">
        <w:rPr>
          <w:i/>
        </w:rPr>
        <w:t>Fourthly</w:t>
      </w:r>
      <w:r>
        <w:t>, a</w:t>
      </w:r>
      <w:r w:rsidR="00665463">
        <w:t xml:space="preserve"> further advantage is that t</w:t>
      </w:r>
      <w:r w:rsidR="008B0864" w:rsidRPr="00924038">
        <w:t xml:space="preserve">his mechanism </w:t>
      </w:r>
      <w:r w:rsidR="008654CF">
        <w:t>serves to prevent</w:t>
      </w:r>
      <w:r w:rsidR="008B0864" w:rsidRPr="00924038">
        <w:t xml:space="preserve"> windfalls.  </w:t>
      </w:r>
      <w:r w:rsidR="00665463" w:rsidRPr="00924038">
        <w:t xml:space="preserve">Reservations have been expressed on a number of occasions about the possibility of a funder obtaining </w:t>
      </w:r>
      <w:r w:rsidR="00665463">
        <w:t xml:space="preserve">disproportionate sums </w:t>
      </w:r>
      <w:r w:rsidR="00665463" w:rsidRPr="00924038">
        <w:t xml:space="preserve">where the ultimate </w:t>
      </w:r>
      <w:r w:rsidR="0023079E">
        <w:t>recovery</w:t>
      </w:r>
      <w:r w:rsidR="00665463" w:rsidRPr="00924038">
        <w:t xml:space="preserve"> from a proceeding was very large.  It is not unusual in securities class actions for estimates </w:t>
      </w:r>
      <w:r w:rsidR="007E6739">
        <w:t>of</w:t>
      </w:r>
      <w:r w:rsidR="00665463" w:rsidRPr="00924038">
        <w:t xml:space="preserve"> damages to be in the range of hundreds of millions of dollars and indeed</w:t>
      </w:r>
      <w:r w:rsidR="00FD1199">
        <w:t>,</w:t>
      </w:r>
      <w:r w:rsidR="00665463" w:rsidRPr="00924038">
        <w:t xml:space="preserve"> in this case</w:t>
      </w:r>
      <w:r w:rsidR="00FD1199">
        <w:t>,</w:t>
      </w:r>
      <w:r w:rsidR="00665463" w:rsidRPr="00924038">
        <w:t xml:space="preserve"> the representatives of Mr Perera initially estimated that the likely damages range was up to $300 million (although this figure was disavowed during the course of oral submissions).  In any event, at these very high figures</w:t>
      </w:r>
      <w:r w:rsidR="00665463">
        <w:t>,</w:t>
      </w:r>
      <w:r w:rsidR="00665463" w:rsidRPr="00924038">
        <w:t xml:space="preserve"> there is a </w:t>
      </w:r>
      <w:r w:rsidR="00FD1199">
        <w:t xml:space="preserve">very </w:t>
      </w:r>
      <w:r w:rsidR="00665463" w:rsidRPr="00924038">
        <w:t xml:space="preserve">real danger of a disproportion between the risk undertaken and returns.  </w:t>
      </w:r>
      <w:r w:rsidR="008654CF">
        <w:t>It was for this reason that some hesitation has existed about specifying the amount recoverable under a common fund order until a settlement sum has been ascertained.</w:t>
      </w:r>
      <w:r w:rsidR="0023079E">
        <w:t xml:space="preserve">  </w:t>
      </w:r>
      <w:r w:rsidR="0023079E">
        <w:lastRenderedPageBreak/>
        <w:t>Removing windfall possibilities allows common fund rates to be set at the outset of a proceeding, thus delivering the advantages of additional certainty and informed opt out to which I have already made reference.</w:t>
      </w:r>
    </w:p>
    <w:p w:rsidR="0023079E" w:rsidRDefault="0023079E" w:rsidP="00665463">
      <w:pPr>
        <w:pStyle w:val="ParaNumbering"/>
      </w:pPr>
      <w:r w:rsidRPr="0023079E">
        <w:rPr>
          <w:i/>
        </w:rPr>
        <w:t>Fifthly</w:t>
      </w:r>
      <w:r>
        <w:t>,</w:t>
      </w:r>
      <w:r w:rsidRPr="0023079E">
        <w:rPr>
          <w:i/>
        </w:rPr>
        <w:t xml:space="preserve"> </w:t>
      </w:r>
      <w:r>
        <w:t>t</w:t>
      </w:r>
      <w:r w:rsidRPr="00924038">
        <w:t>he alternati</w:t>
      </w:r>
      <w:r>
        <w:t>ve form of remuneration</w:t>
      </w:r>
      <w:r w:rsidRPr="00924038">
        <w:t>, that is</w:t>
      </w:r>
      <w:r>
        <w:t>,</w:t>
      </w:r>
      <w:r w:rsidRPr="00924038">
        <w:t xml:space="preserve"> </w:t>
      </w:r>
      <w:r>
        <w:t xml:space="preserve">a </w:t>
      </w:r>
      <w:r w:rsidRPr="00924038">
        <w:t xml:space="preserve">20% return </w:t>
      </w:r>
      <w:r>
        <w:t xml:space="preserve">on net proceeds </w:t>
      </w:r>
      <w:r w:rsidR="00FA2B2B">
        <w:t xml:space="preserve">in the event </w:t>
      </w:r>
      <w:r w:rsidRPr="00924038">
        <w:t xml:space="preserve">this sum is less than the </w:t>
      </w:r>
      <w:r>
        <w:t xml:space="preserve">relevant </w:t>
      </w:r>
      <w:r w:rsidRPr="00924038">
        <w:t>costs multiple</w:t>
      </w:r>
      <w:r>
        <w:t>,</w:t>
      </w:r>
      <w:r w:rsidRPr="00924038">
        <w:t xml:space="preserve"> also guards against the prospect that the recovery could become disproportionate if legal costs are expended in a case where the return is minimal</w:t>
      </w:r>
      <w:r>
        <w:t>.  This is</w:t>
      </w:r>
      <w:r w:rsidRPr="00924038">
        <w:t xml:space="preserve"> a </w:t>
      </w:r>
      <w:r>
        <w:t xml:space="preserve">real </w:t>
      </w:r>
      <w:r w:rsidRPr="00924038">
        <w:t>problem which has been encountered in a number of recent class acti</w:t>
      </w:r>
      <w:r>
        <w:t xml:space="preserve">on settlements.  </w:t>
      </w:r>
    </w:p>
    <w:p w:rsidR="00CE3D6B" w:rsidRPr="007415D6" w:rsidRDefault="00CE3D6B" w:rsidP="00665463">
      <w:pPr>
        <w:pStyle w:val="ParaNumbering"/>
        <w:rPr>
          <w:szCs w:val="24"/>
        </w:rPr>
      </w:pPr>
      <w:r w:rsidRPr="00CE3D6B">
        <w:rPr>
          <w:i/>
        </w:rPr>
        <w:t>Sixthly</w:t>
      </w:r>
      <w:r>
        <w:t>, without</w:t>
      </w:r>
      <w:r w:rsidR="007E6739">
        <w:t>,</w:t>
      </w:r>
      <w:r>
        <w:t xml:space="preserve"> </w:t>
      </w:r>
      <w:r w:rsidR="007415D6">
        <w:t>I hope</w:t>
      </w:r>
      <w:r w:rsidR="007E6739">
        <w:t>,</w:t>
      </w:r>
      <w:r w:rsidR="007415D6">
        <w:t xml:space="preserve"> </w:t>
      </w:r>
      <w:r>
        <w:t>descending into cynicism</w:t>
      </w:r>
      <w:r w:rsidR="007415D6">
        <w:t>,</w:t>
      </w:r>
      <w:r>
        <w:t xml:space="preserve"> it might be thought </w:t>
      </w:r>
      <w:r w:rsidR="007E6739">
        <w:t>that</w:t>
      </w:r>
      <w:r>
        <w:t xml:space="preserve"> fixation on ‘headline’ percentages may lead, in </w:t>
      </w:r>
      <w:r w:rsidR="007415D6">
        <w:t>the future</w:t>
      </w:r>
      <w:r>
        <w:t xml:space="preserve">, to a form </w:t>
      </w:r>
      <w:r w:rsidR="007415D6">
        <w:t>of reverse auction where common fund proposals are not struck by reference to mature assessment</w:t>
      </w:r>
      <w:r w:rsidR="007E6739">
        <w:t>s</w:t>
      </w:r>
      <w:r w:rsidR="007415D6">
        <w:t xml:space="preserve"> of risk and proportionate and commensurate return, but by competitive undercutting by press release</w:t>
      </w:r>
      <w:r w:rsidR="00437103">
        <w:t xml:space="preserve"> or twitter</w:t>
      </w:r>
      <w:r w:rsidR="007415D6">
        <w:t xml:space="preserve">.  Apart from lending some credence to criticisms that in securities class </w:t>
      </w:r>
      <w:r w:rsidR="007415D6" w:rsidRPr="007415D6">
        <w:rPr>
          <w:szCs w:val="24"/>
        </w:rPr>
        <w:t>actions</w:t>
      </w:r>
      <w:r w:rsidR="007415D6">
        <w:rPr>
          <w:szCs w:val="24"/>
        </w:rPr>
        <w:t xml:space="preserve"> </w:t>
      </w:r>
      <w:r w:rsidR="0078204A">
        <w:rPr>
          <w:szCs w:val="24"/>
        </w:rPr>
        <w:t>excessive</w:t>
      </w:r>
      <w:r w:rsidR="007415D6" w:rsidRPr="007415D6">
        <w:rPr>
          <w:szCs w:val="24"/>
        </w:rPr>
        <w:t xml:space="preserve"> returns may </w:t>
      </w:r>
      <w:r w:rsidR="007415D6">
        <w:rPr>
          <w:szCs w:val="24"/>
        </w:rPr>
        <w:t xml:space="preserve">hitherto </w:t>
      </w:r>
      <w:r w:rsidR="007415D6" w:rsidRPr="007415D6">
        <w:rPr>
          <w:szCs w:val="24"/>
        </w:rPr>
        <w:t>have been enjoyed</w:t>
      </w:r>
      <w:r w:rsidR="0078204A">
        <w:rPr>
          <w:szCs w:val="24"/>
        </w:rPr>
        <w:t xml:space="preserve"> by funders</w:t>
      </w:r>
      <w:r w:rsidR="007415D6">
        <w:rPr>
          <w:szCs w:val="24"/>
        </w:rPr>
        <w:t>,</w:t>
      </w:r>
      <w:r w:rsidR="007415D6" w:rsidRPr="007415D6">
        <w:rPr>
          <w:szCs w:val="24"/>
        </w:rPr>
        <w:t xml:space="preserve"> it serves to reinforce the wrong</w:t>
      </w:r>
      <w:r w:rsidR="0078204A">
        <w:rPr>
          <w:szCs w:val="24"/>
        </w:rPr>
        <w:t>headed</w:t>
      </w:r>
      <w:r w:rsidR="007415D6" w:rsidRPr="007415D6">
        <w:rPr>
          <w:szCs w:val="24"/>
        </w:rPr>
        <w:t xml:space="preserve"> perception that the role of the Court in determining which is the best vehicle for resolving group members claims is to act as a kind of </w:t>
      </w:r>
      <w:r w:rsidR="007415D6" w:rsidRPr="007415D6">
        <w:rPr>
          <w:bCs/>
          <w:szCs w:val="24"/>
        </w:rPr>
        <w:t>desiccated calculating</w:t>
      </w:r>
      <w:r w:rsidR="007415D6" w:rsidRPr="007415D6">
        <w:rPr>
          <w:szCs w:val="24"/>
        </w:rPr>
        <w:t>-</w:t>
      </w:r>
      <w:r w:rsidR="007415D6" w:rsidRPr="007415D6">
        <w:rPr>
          <w:bCs/>
          <w:szCs w:val="24"/>
        </w:rPr>
        <w:t>machine</w:t>
      </w:r>
      <w:r w:rsidR="007415D6" w:rsidRPr="007415D6">
        <w:rPr>
          <w:szCs w:val="24"/>
        </w:rPr>
        <w:t>.</w:t>
      </w:r>
    </w:p>
    <w:p w:rsidR="00BF734C" w:rsidRPr="00924038" w:rsidRDefault="00BF734C" w:rsidP="00665463">
      <w:pPr>
        <w:pStyle w:val="ParaNumbering"/>
      </w:pPr>
      <w:r w:rsidRPr="00924038">
        <w:t xml:space="preserve">Although the model </w:t>
      </w:r>
      <w:r w:rsidR="00665463">
        <w:t xml:space="preserve">proposed by Mr Webb </w:t>
      </w:r>
      <w:r w:rsidR="0023079E">
        <w:t>potentially removes the funder’</w:t>
      </w:r>
      <w:r w:rsidRPr="00924038">
        <w:t xml:space="preserve">s incentive to </w:t>
      </w:r>
      <w:r w:rsidR="0023079E">
        <w:t xml:space="preserve">control legal cost expenditure, </w:t>
      </w:r>
      <w:r w:rsidRPr="00924038">
        <w:t xml:space="preserve">discipline over legal costs is addressed </w:t>
      </w:r>
      <w:r w:rsidR="00FA2B2B">
        <w:t>by having</w:t>
      </w:r>
      <w:r w:rsidRPr="00924038">
        <w:t xml:space="preserve"> a referee progressively monitor those costs which ensures the multiple-based commission is calculated by reference to paid expenses that have been scrutinised and will be the subject of a report to the Court.  </w:t>
      </w:r>
      <w:r w:rsidR="0078204A">
        <w:t>Indeed this discipline is likely to serve to control overall costs.</w:t>
      </w:r>
    </w:p>
    <w:p w:rsidR="00BF734C" w:rsidRPr="00924038" w:rsidRDefault="000B262E" w:rsidP="0023079E">
      <w:pPr>
        <w:pStyle w:val="ParaNumbering"/>
      </w:pPr>
      <w:r w:rsidRPr="00924038">
        <w:t xml:space="preserve">The Court needs to guard against the prospect of </w:t>
      </w:r>
      <w:r w:rsidR="00FD1199">
        <w:t>unreasonable</w:t>
      </w:r>
      <w:r w:rsidRPr="00924038">
        <w:t xml:space="preserve"> transfers of proceeds from those to whom it owes a protective and supervisory role to the funder in circumstances where that transfer cannot be justified on rational economic grounds.  Linking the return to the amount ventured and </w:t>
      </w:r>
      <w:r w:rsidR="0078204A">
        <w:t xml:space="preserve">not, in effect, plucking figures of the air </w:t>
      </w:r>
      <w:r w:rsidRPr="00924038">
        <w:t>appear</w:t>
      </w:r>
      <w:r w:rsidR="008654CF">
        <w:t>s</w:t>
      </w:r>
      <w:r w:rsidRPr="00924038">
        <w:t xml:space="preserve"> to me to </w:t>
      </w:r>
      <w:r w:rsidR="00FD1199">
        <w:t xml:space="preserve">represent </w:t>
      </w:r>
      <w:r w:rsidRPr="00924038">
        <w:t xml:space="preserve">a commendable effort to address this problem.  </w:t>
      </w:r>
      <w:r w:rsidR="0023079E">
        <w:t xml:space="preserve">Removing windfall possibilities </w:t>
      </w:r>
      <w:r w:rsidR="00FD1199">
        <w:t xml:space="preserve">provides some comfort in </w:t>
      </w:r>
      <w:r w:rsidR="008654CF">
        <w:t xml:space="preserve">setting common fund rates in advance of </w:t>
      </w:r>
      <w:r w:rsidR="00FD1199">
        <w:t>ascertaining</w:t>
      </w:r>
      <w:r w:rsidR="008654CF">
        <w:t xml:space="preserve"> a settlement sum and also serves to pro</w:t>
      </w:r>
      <w:r w:rsidR="00FD1199">
        <w:t>mo</w:t>
      </w:r>
      <w:r w:rsidR="008654CF">
        <w:t xml:space="preserve">te predictability and certainty for group members and a funder and allow </w:t>
      </w:r>
      <w:r w:rsidR="00FD1199">
        <w:t xml:space="preserve">informed </w:t>
      </w:r>
      <w:r w:rsidR="008654CF">
        <w:t xml:space="preserve">opt out </w:t>
      </w:r>
      <w:r w:rsidR="00FD1199">
        <w:t>decisions</w:t>
      </w:r>
      <w:r w:rsidR="0023079E">
        <w:t>.  Further</w:t>
      </w:r>
      <w:r w:rsidR="008654CF">
        <w:t xml:space="preserve">, </w:t>
      </w:r>
      <w:r w:rsidR="00FD1199">
        <w:t>having approved c</w:t>
      </w:r>
      <w:r w:rsidR="0023079E">
        <w:t>osts as a base</w:t>
      </w:r>
      <w:r w:rsidR="00232FFC">
        <w:t xml:space="preserve"> of rem</w:t>
      </w:r>
      <w:r w:rsidR="008654CF">
        <w:t>un</w:t>
      </w:r>
      <w:r w:rsidR="00232FFC">
        <w:t>eration is something a Court can more readily understand</w:t>
      </w:r>
      <w:r w:rsidR="0023079E">
        <w:t xml:space="preserve"> and assess</w:t>
      </w:r>
      <w:r w:rsidR="00232FFC">
        <w:t xml:space="preserve"> </w:t>
      </w:r>
      <w:r w:rsidR="008654CF">
        <w:t>rather than</w:t>
      </w:r>
      <w:r w:rsidR="0023079E">
        <w:t xml:space="preserve"> just trying its best, in </w:t>
      </w:r>
      <w:r w:rsidR="0023079E">
        <w:lastRenderedPageBreak/>
        <w:t>the absence of detailed economic evidence, to fasten</w:t>
      </w:r>
      <w:r w:rsidR="008654CF">
        <w:t xml:space="preserve"> upon a fair </w:t>
      </w:r>
      <w:r w:rsidR="0078204A">
        <w:t xml:space="preserve">headline </w:t>
      </w:r>
      <w:r w:rsidR="008654CF">
        <w:t>figure in a dynamic market.</w:t>
      </w:r>
    </w:p>
    <w:p w:rsidR="00334C41" w:rsidRPr="00924038" w:rsidRDefault="008654CF" w:rsidP="0071020C">
      <w:pPr>
        <w:pStyle w:val="ParaNumbering"/>
      </w:pPr>
      <w:r>
        <w:t xml:space="preserve">I am not ignoring the fact that the </w:t>
      </w:r>
      <w:r w:rsidR="000B262E" w:rsidRPr="00924038">
        <w:t>proposal made by the McTaggart applicants al</w:t>
      </w:r>
      <w:r>
        <w:t>so goes some way to address these</w:t>
      </w:r>
      <w:r w:rsidR="000B262E" w:rsidRPr="00924038">
        <w:t xml:space="preserve"> issue</w:t>
      </w:r>
      <w:r>
        <w:t>s</w:t>
      </w:r>
      <w:r w:rsidR="000B262E" w:rsidRPr="00924038">
        <w:t xml:space="preserve"> by staggering the return in </w:t>
      </w:r>
      <w:r w:rsidR="007E6739">
        <w:t xml:space="preserve">a </w:t>
      </w:r>
      <w:r w:rsidR="000B262E" w:rsidRPr="00924038">
        <w:t xml:space="preserve">way which is roughly equivalent to costs being progressively incurred over the course of the proceeding.  This approach </w:t>
      </w:r>
      <w:r w:rsidR="00CC26DF" w:rsidRPr="00924038">
        <w:t xml:space="preserve">also seems to me to be preferable to a flat commission rate.  </w:t>
      </w:r>
      <w:r>
        <w:t>Having said this</w:t>
      </w:r>
      <w:r w:rsidR="00FD1199">
        <w:t>,</w:t>
      </w:r>
      <w:r>
        <w:t xml:space="preserve"> </w:t>
      </w:r>
      <w:r w:rsidR="00FA2B2B">
        <w:t xml:space="preserve">leaving aside predicted financial returns to the class, for reasons I have explained, </w:t>
      </w:r>
      <w:r>
        <w:t xml:space="preserve">the Webb proposal seems </w:t>
      </w:r>
      <w:r w:rsidR="00FD1199">
        <w:t xml:space="preserve">to me to be </w:t>
      </w:r>
      <w:r w:rsidR="0071020C">
        <w:t>the preferable model as a matter of struc</w:t>
      </w:r>
      <w:r w:rsidR="00FA2B2B">
        <w:t>ture</w:t>
      </w:r>
      <w:r w:rsidR="0071020C">
        <w:t>.</w:t>
      </w:r>
    </w:p>
    <w:p w:rsidR="00F66399" w:rsidRPr="00924038" w:rsidRDefault="00E01FA9" w:rsidP="00F66399">
      <w:pPr>
        <w:pStyle w:val="Heading2"/>
      </w:pPr>
      <w:bookmarkStart w:id="87" w:name="_Ref514405655"/>
      <w:bookmarkStart w:id="88" w:name="_Ref514668588"/>
      <w:r w:rsidRPr="00924038">
        <w:t>H.5</w:t>
      </w:r>
      <w:r w:rsidR="00946420" w:rsidRPr="00924038">
        <w:tab/>
      </w:r>
      <w:proofErr w:type="gramStart"/>
      <w:r w:rsidR="00946420" w:rsidRPr="00924038">
        <w:t>The</w:t>
      </w:r>
      <w:proofErr w:type="gramEnd"/>
      <w:r w:rsidR="00946420" w:rsidRPr="00924038">
        <w:t xml:space="preserve"> </w:t>
      </w:r>
      <w:r w:rsidR="002833DB" w:rsidRPr="00924038">
        <w:t>Results of the Comparison</w:t>
      </w:r>
      <w:r w:rsidRPr="00924038">
        <w:t xml:space="preserve">: MFI </w:t>
      </w:r>
      <w:bookmarkEnd w:id="87"/>
      <w:r w:rsidR="0003215D">
        <w:t>B</w:t>
      </w:r>
      <w:bookmarkEnd w:id="88"/>
    </w:p>
    <w:p w:rsidR="00163CDA" w:rsidRPr="00924038" w:rsidRDefault="000B0BD1" w:rsidP="00084E53">
      <w:pPr>
        <w:pStyle w:val="ParaNumbering"/>
      </w:pPr>
      <w:r w:rsidRPr="00924038">
        <w:t xml:space="preserve">I sought to obtain </w:t>
      </w:r>
      <w:r w:rsidR="0078204A">
        <w:t xml:space="preserve">from </w:t>
      </w:r>
      <w:r w:rsidRPr="00924038">
        <w:t xml:space="preserve">the </w:t>
      </w:r>
      <w:r w:rsidR="00C15FE3">
        <w:t xml:space="preserve">applicant parties </w:t>
      </w:r>
      <w:r w:rsidRPr="00924038">
        <w:t xml:space="preserve">assistance in agreeing to a set of common assumptions and providing a joint document which demonstrated the differing funding proposals </w:t>
      </w:r>
      <w:r w:rsidR="002B362B">
        <w:t xml:space="preserve">and </w:t>
      </w:r>
      <w:r w:rsidRPr="00924038">
        <w:t xml:space="preserve">the estimated return to group </w:t>
      </w:r>
      <w:r w:rsidR="00C15FE3">
        <w:t xml:space="preserve">members.  The underlying rationale of this request was </w:t>
      </w:r>
      <w:r w:rsidR="007E6739">
        <w:t xml:space="preserve">that </w:t>
      </w:r>
      <w:r w:rsidR="00C15FE3">
        <w:t>it</w:t>
      </w:r>
      <w:r w:rsidRPr="00924038">
        <w:t xml:space="preserve"> should have been possible for three groups of experienced solicitors to reach </w:t>
      </w:r>
      <w:r w:rsidR="008E6263">
        <w:t>a consensus as to</w:t>
      </w:r>
      <w:r w:rsidRPr="00924038">
        <w:t xml:space="preserve"> the sort of work that would be necessary </w:t>
      </w:r>
      <w:r w:rsidR="00C15FE3">
        <w:t xml:space="preserve">and </w:t>
      </w:r>
      <w:r w:rsidR="007E6739">
        <w:t xml:space="preserve">to </w:t>
      </w:r>
      <w:r w:rsidR="0078204A">
        <w:t xml:space="preserve">apply this to </w:t>
      </w:r>
      <w:r w:rsidR="00C15FE3">
        <w:t>cost</w:t>
      </w:r>
      <w:r w:rsidR="0078204A">
        <w:t xml:space="preserve"> estimates</w:t>
      </w:r>
      <w:r w:rsidR="00C15FE3">
        <w:t xml:space="preserve"> on the basis of common assumptions</w:t>
      </w:r>
      <w:r w:rsidRPr="00924038">
        <w:t xml:space="preserve">.  Regrettably, my hopes in this regard were dashed.  </w:t>
      </w:r>
    </w:p>
    <w:p w:rsidR="000B0BD1" w:rsidRPr="00924038" w:rsidRDefault="000B0BD1" w:rsidP="0003215D">
      <w:pPr>
        <w:pStyle w:val="ParaNumbering"/>
      </w:pPr>
      <w:r w:rsidRPr="00924038">
        <w:t xml:space="preserve">The </w:t>
      </w:r>
      <w:r w:rsidRPr="007E6739">
        <w:rPr>
          <w:i/>
        </w:rPr>
        <w:t>first</w:t>
      </w:r>
      <w:r w:rsidRPr="00924038">
        <w:t xml:space="preserve"> </w:t>
      </w:r>
      <w:r w:rsidR="004B57E8">
        <w:t xml:space="preserve">difficulty </w:t>
      </w:r>
      <w:r w:rsidRPr="00924038">
        <w:t xml:space="preserve">was the position taken by </w:t>
      </w:r>
      <w:r w:rsidR="007E6739">
        <w:t>Mr</w:t>
      </w:r>
      <w:r w:rsidRPr="00924038">
        <w:t xml:space="preserve"> Perera that such an approach was misconceived</w:t>
      </w:r>
      <w:r w:rsidR="007E6739">
        <w:t>,</w:t>
      </w:r>
      <w:r w:rsidRPr="00924038">
        <w:t xml:space="preserve"> given that legal costs and the costs of security were</w:t>
      </w:r>
      <w:r w:rsidR="0078204A">
        <w:t xml:space="preserve"> integral parts of the overall ‘package’</w:t>
      </w:r>
      <w:r w:rsidRPr="00924038">
        <w:t xml:space="preserve"> presented to the Court in the way that I have explained.  I have already dealt with this objection in the previous section.  The </w:t>
      </w:r>
      <w:r w:rsidRPr="007E6739">
        <w:rPr>
          <w:i/>
        </w:rPr>
        <w:t>second</w:t>
      </w:r>
      <w:r w:rsidRPr="00924038">
        <w:t xml:space="preserve"> </w:t>
      </w:r>
      <w:r w:rsidR="005A7FD5">
        <w:t>difficulty was</w:t>
      </w:r>
      <w:r w:rsidRPr="00924038">
        <w:t xml:space="preserve"> the </w:t>
      </w:r>
      <w:r w:rsidR="00C15FE3">
        <w:t xml:space="preserve">various </w:t>
      </w:r>
      <w:r w:rsidRPr="00924038">
        <w:t>dispute</w:t>
      </w:r>
      <w:r w:rsidR="00C15FE3">
        <w:t>s</w:t>
      </w:r>
      <w:r w:rsidRPr="00924038">
        <w:t xml:space="preserve"> that arose because of the differing assumptions made</w:t>
      </w:r>
      <w:r w:rsidR="0003215D">
        <w:t xml:space="preserve"> by each of the practitioners.  </w:t>
      </w:r>
      <w:r w:rsidRPr="00924038">
        <w:t xml:space="preserve">I </w:t>
      </w:r>
      <w:r w:rsidR="005A7FD5">
        <w:t xml:space="preserve">trust I </w:t>
      </w:r>
      <w:r w:rsidRPr="00924038">
        <w:t xml:space="preserve">am not being </w:t>
      </w:r>
      <w:r w:rsidR="0003215D">
        <w:t>overly c</w:t>
      </w:r>
      <w:r w:rsidR="0003215D" w:rsidRPr="00924038">
        <w:t>ritical</w:t>
      </w:r>
      <w:r w:rsidRPr="00924038">
        <w:t xml:space="preserve"> of the parties</w:t>
      </w:r>
      <w:r w:rsidR="0003215D">
        <w:t xml:space="preserve"> </w:t>
      </w:r>
      <w:r w:rsidR="005A7FD5">
        <w:t xml:space="preserve">in this regard, </w:t>
      </w:r>
      <w:r w:rsidRPr="00924038">
        <w:t xml:space="preserve">as the McTaggart applicants and </w:t>
      </w:r>
      <w:r w:rsidR="0071020C">
        <w:t>M</w:t>
      </w:r>
      <w:r w:rsidR="0003215D">
        <w:t>r</w:t>
      </w:r>
      <w:r w:rsidR="0071020C">
        <w:t xml:space="preserve"> Webb</w:t>
      </w:r>
      <w:r w:rsidRPr="00924038">
        <w:t xml:space="preserve"> in particular</w:t>
      </w:r>
      <w:r w:rsidR="007145A0">
        <w:t>,</w:t>
      </w:r>
      <w:r w:rsidRPr="00924038">
        <w:t xml:space="preserve"> did engage </w:t>
      </w:r>
      <w:r w:rsidR="005A7FD5">
        <w:t xml:space="preserve">constructively </w:t>
      </w:r>
      <w:r w:rsidRPr="00924038">
        <w:t xml:space="preserve">in the process and the extent of the differences, which I have resolved in the previous section, were relatively minor.  </w:t>
      </w:r>
    </w:p>
    <w:p w:rsidR="008D3AFB" w:rsidRPr="00924038" w:rsidRDefault="008D3AFB" w:rsidP="00084E53">
      <w:pPr>
        <w:pStyle w:val="ParaNumbering"/>
      </w:pPr>
      <w:r w:rsidRPr="00924038">
        <w:t>In any event</w:t>
      </w:r>
      <w:r w:rsidR="007145A0">
        <w:t>,</w:t>
      </w:r>
      <w:r w:rsidRPr="00924038">
        <w:t xml:space="preserve"> I mention these issues as an explanation as to why at the conclusion of submissions I was presented with three documents which sought to summarise the evidence adduced.  I marked these documents MFI A in the case of the McTaggart applicants, MFI B in the case of </w:t>
      </w:r>
      <w:r w:rsidR="0071020C">
        <w:t>Mr Webb</w:t>
      </w:r>
      <w:r w:rsidRPr="00924038">
        <w:t xml:space="preserve"> and MFI C in relation to </w:t>
      </w:r>
      <w:r w:rsidR="007E6739">
        <w:t>Mr</w:t>
      </w:r>
      <w:r w:rsidRPr="00924038">
        <w:t xml:space="preserve"> Perera.  </w:t>
      </w:r>
    </w:p>
    <w:p w:rsidR="008E6263" w:rsidRDefault="008D3AFB" w:rsidP="008E6263">
      <w:pPr>
        <w:pStyle w:val="ParaNumbering"/>
      </w:pPr>
      <w:r w:rsidRPr="00924038">
        <w:t xml:space="preserve">Both MFI A and MFI B are not substantially different save for the </w:t>
      </w:r>
      <w:r w:rsidR="008E6263">
        <w:t xml:space="preserve">range of possible scenarios and the </w:t>
      </w:r>
      <w:r w:rsidRPr="00924038">
        <w:t xml:space="preserve">differences I have already dealt with concerning ATE </w:t>
      </w:r>
      <w:r w:rsidR="0078204A">
        <w:t xml:space="preserve">policy expenses </w:t>
      </w:r>
      <w:r w:rsidRPr="00924038">
        <w:t xml:space="preserve">and the costs </w:t>
      </w:r>
      <w:r w:rsidR="005A7FD5">
        <w:t xml:space="preserve">initially </w:t>
      </w:r>
      <w:r w:rsidRPr="00924038">
        <w:t xml:space="preserve">identified by Mr Phi </w:t>
      </w:r>
      <w:r w:rsidR="008E6263">
        <w:t>as</w:t>
      </w:r>
      <w:r w:rsidRPr="00924038">
        <w:t xml:space="preserve"> to book</w:t>
      </w:r>
      <w:r w:rsidR="0003215D">
        <w:t xml:space="preserve"> </w:t>
      </w:r>
      <w:r w:rsidR="00DE4061" w:rsidRPr="00924038">
        <w:t>builds</w:t>
      </w:r>
      <w:r w:rsidRPr="00924038">
        <w:t xml:space="preserve">.  MFI C, being the document prepared by </w:t>
      </w:r>
      <w:r w:rsidR="007E6739">
        <w:t>Mr</w:t>
      </w:r>
      <w:r w:rsidRPr="00924038">
        <w:t xml:space="preserve"> </w:t>
      </w:r>
      <w:r w:rsidRPr="00924038">
        <w:lastRenderedPageBreak/>
        <w:t xml:space="preserve">Perera, proceeds on the basis that it is intellectually incoherent to attempt to provide </w:t>
      </w:r>
      <w:r w:rsidR="005A7FD5">
        <w:t>an</w:t>
      </w:r>
      <w:r w:rsidRPr="00924038">
        <w:t xml:space="preserve"> </w:t>
      </w:r>
      <w:r w:rsidR="007E6739">
        <w:t>‘</w:t>
      </w:r>
      <w:r w:rsidRPr="00924038">
        <w:t>apples for apples</w:t>
      </w:r>
      <w:r w:rsidR="007E6739">
        <w:t>’</w:t>
      </w:r>
      <w:r w:rsidRPr="00924038">
        <w:t xml:space="preserve"> comparison.  It follows from what I have already said that I regard MFI B as the mos</w:t>
      </w:r>
      <w:r w:rsidR="008E6263">
        <w:t xml:space="preserve">t useful comparative document and I have attached it to these reasons </w:t>
      </w:r>
      <w:r w:rsidR="00CC26DF" w:rsidRPr="00924038">
        <w:t>as Annexure A</w:t>
      </w:r>
      <w:r w:rsidR="008E6263">
        <w:t>.</w:t>
      </w:r>
    </w:p>
    <w:p w:rsidR="00FA12C9" w:rsidRDefault="00D227AB" w:rsidP="008E6263">
      <w:pPr>
        <w:pStyle w:val="ParaNumbering"/>
      </w:pPr>
      <w:r w:rsidRPr="00924038">
        <w:t>Although any comparative document is necessar</w:t>
      </w:r>
      <w:r w:rsidR="0003215D">
        <w:t>il</w:t>
      </w:r>
      <w:r w:rsidRPr="00924038">
        <w:t>y based on a number of assumptions</w:t>
      </w:r>
      <w:r w:rsidR="005A7FD5">
        <w:t>,</w:t>
      </w:r>
      <w:r w:rsidRPr="00924038">
        <w:t xml:space="preserve"> some of which may be highly contestable, it does seem to me to produce a relatively realistic application of the likely results of net returns based upon the security for costs figure that I have proposed and the two most likely</w:t>
      </w:r>
      <w:r w:rsidR="005A7FD5">
        <w:t xml:space="preserve"> modes of providing security</w:t>
      </w:r>
      <w:r w:rsidR="0078204A">
        <w:t xml:space="preserve"> in a range of scenarios</w:t>
      </w:r>
      <w:r w:rsidRPr="00924038">
        <w:t xml:space="preserve">.  </w:t>
      </w:r>
      <w:r w:rsidR="0003215D">
        <w:t xml:space="preserve">The document (when read together with Annexure B </w:t>
      </w:r>
      <w:r w:rsidR="007E6739">
        <w:t xml:space="preserve">to these reasons </w:t>
      </w:r>
      <w:r w:rsidR="0003215D">
        <w:t>being equalising cost assump</w:t>
      </w:r>
      <w:r w:rsidR="007E6739">
        <w:t>tions prepared by the solicitor</w:t>
      </w:r>
      <w:r w:rsidR="0003215D">
        <w:t xml:space="preserve"> for Mr Webb) is largely self-explanatory</w:t>
      </w:r>
      <w:r w:rsidR="00764CCA">
        <w:t>,</w:t>
      </w:r>
      <w:r w:rsidR="00FA12C9">
        <w:t xml:space="preserve"> but it might be useful to make a few observations</w:t>
      </w:r>
      <w:r w:rsidR="00764CCA">
        <w:t xml:space="preserve"> to aid comprehension</w:t>
      </w:r>
      <w:r w:rsidR="00FA12C9">
        <w:t>.</w:t>
      </w:r>
    </w:p>
    <w:p w:rsidR="0095578E" w:rsidRDefault="00A8638C" w:rsidP="0095578E">
      <w:pPr>
        <w:pStyle w:val="ParaNumbering"/>
      </w:pPr>
      <w:r>
        <w:t xml:space="preserve">The </w:t>
      </w:r>
      <w:r w:rsidRPr="007E6739">
        <w:rPr>
          <w:i/>
        </w:rPr>
        <w:t>first</w:t>
      </w:r>
      <w:r>
        <w:t xml:space="preserve"> is that MFI B</w:t>
      </w:r>
      <w:r w:rsidR="0095578E">
        <w:t xml:space="preserve"> needs to be read together with the adjusted costs assumptions which comprise Annexure B.  As can be seen by reviewing Annexure B, the costs estimates provided in evidence have been adjusted in order to identify common costs assumptions</w:t>
      </w:r>
      <w:r w:rsidR="007E6739">
        <w:t>,</w:t>
      </w:r>
      <w:r w:rsidR="0095578E">
        <w:t xml:space="preserve"> being the Early Mediation Cost Assumptions (Section A) and the Late Mediation Cost Assumptions (Section B).  Having identified the steps that will likely take place or have taken place at each of these stages, each of the costs estimates made by Mr Perera, the McTaggart applicants and Mr Webb have been adjusted in a manner which is reflected in the column “</w:t>
      </w:r>
      <w:r w:rsidR="0095578E" w:rsidRPr="007E6739">
        <w:rPr>
          <w:i/>
        </w:rPr>
        <w:t xml:space="preserve">Adjustment or </w:t>
      </w:r>
      <w:r w:rsidR="007E6739">
        <w:rPr>
          <w:i/>
        </w:rPr>
        <w:t>n</w:t>
      </w:r>
      <w:r w:rsidR="0095578E" w:rsidRPr="007E6739">
        <w:rPr>
          <w:i/>
        </w:rPr>
        <w:t>on-</w:t>
      </w:r>
      <w:r w:rsidR="007E6739">
        <w:rPr>
          <w:i/>
        </w:rPr>
        <w:t>a</w:t>
      </w:r>
      <w:r w:rsidR="0095578E" w:rsidRPr="007E6739">
        <w:rPr>
          <w:i/>
        </w:rPr>
        <w:t xml:space="preserve">djustment </w:t>
      </w:r>
      <w:r w:rsidR="007E6739">
        <w:rPr>
          <w:i/>
        </w:rPr>
        <w:t>r</w:t>
      </w:r>
      <w:r w:rsidR="0095578E" w:rsidRPr="007E6739">
        <w:rPr>
          <w:i/>
        </w:rPr>
        <w:t>eason</w:t>
      </w:r>
      <w:r w:rsidR="0095578E">
        <w:t>”.  This then produces what is described as</w:t>
      </w:r>
      <w:r w:rsidR="007E6739">
        <w:t xml:space="preserve"> the</w:t>
      </w:r>
      <w:r w:rsidR="0095578E">
        <w:t xml:space="preserve"> “</w:t>
      </w:r>
      <w:r w:rsidR="0095578E" w:rsidRPr="007E6739">
        <w:rPr>
          <w:i/>
        </w:rPr>
        <w:t>Corrected Amount</w:t>
      </w:r>
      <w:r w:rsidR="0095578E">
        <w:t xml:space="preserve">” in respect of the costs incurred at these two stages.  When one turns to MFI B, these adjusted cost amounts have been placed into the comparative table to identify the likely return to group members in the event that the matter settled </w:t>
      </w:r>
      <w:r>
        <w:t>in</w:t>
      </w:r>
      <w:r w:rsidR="0095578E">
        <w:t xml:space="preserve"> the very broad range of between $15 million to $300 million.  </w:t>
      </w:r>
    </w:p>
    <w:p w:rsidR="0095578E" w:rsidRDefault="0095578E" w:rsidP="0095578E">
      <w:pPr>
        <w:pStyle w:val="ParaNumbering"/>
      </w:pPr>
      <w:r>
        <w:t>There is nothing about the identified tasks to be completed at each stage</w:t>
      </w:r>
      <w:r w:rsidR="00A8638C">
        <w:t>,</w:t>
      </w:r>
      <w:r>
        <w:t xml:space="preserve"> or </w:t>
      </w:r>
      <w:r w:rsidR="00A8638C">
        <w:t xml:space="preserve">about </w:t>
      </w:r>
      <w:r>
        <w:t>the “</w:t>
      </w:r>
      <w:r w:rsidRPr="007E6739">
        <w:rPr>
          <w:i/>
        </w:rPr>
        <w:t xml:space="preserve">Adjustment or </w:t>
      </w:r>
      <w:r w:rsidR="007E6739" w:rsidRPr="007E6739">
        <w:rPr>
          <w:i/>
        </w:rPr>
        <w:t>n</w:t>
      </w:r>
      <w:r w:rsidRPr="007E6739">
        <w:rPr>
          <w:i/>
        </w:rPr>
        <w:t>on-</w:t>
      </w:r>
      <w:r w:rsidR="007E6739" w:rsidRPr="007E6739">
        <w:rPr>
          <w:i/>
        </w:rPr>
        <w:t>a</w:t>
      </w:r>
      <w:r w:rsidRPr="007E6739">
        <w:rPr>
          <w:i/>
        </w:rPr>
        <w:t xml:space="preserve">djustment </w:t>
      </w:r>
      <w:r w:rsidR="007E6739" w:rsidRPr="007E6739">
        <w:rPr>
          <w:i/>
        </w:rPr>
        <w:t>r</w:t>
      </w:r>
      <w:r w:rsidRPr="007E6739">
        <w:rPr>
          <w:i/>
        </w:rPr>
        <w:t>easons</w:t>
      </w:r>
      <w:r>
        <w:t>” as identified in Annexure B, which do not make sense.  I am satisfied that the “</w:t>
      </w:r>
      <w:r w:rsidRPr="007E6739">
        <w:rPr>
          <w:i/>
        </w:rPr>
        <w:t>Corrected Amount</w:t>
      </w:r>
      <w:r>
        <w:t xml:space="preserve">” identified in relation to each of the cost estimates by the solicitors for Mr Perera, the McTaggart applicants and Mr Webb, is sufficiently accurate for present comparative purposes.  </w:t>
      </w:r>
    </w:p>
    <w:p w:rsidR="0095578E" w:rsidRDefault="0095578E" w:rsidP="0095578E">
      <w:pPr>
        <w:pStyle w:val="ParaNumbering"/>
      </w:pPr>
      <w:r>
        <w:t xml:space="preserve">Those </w:t>
      </w:r>
      <w:r w:rsidR="00B369CC">
        <w:t>“</w:t>
      </w:r>
      <w:r w:rsidRPr="00B369CC">
        <w:rPr>
          <w:i/>
        </w:rPr>
        <w:t>Corrected Amounts</w:t>
      </w:r>
      <w:r w:rsidR="00B369CC">
        <w:t>”</w:t>
      </w:r>
      <w:r>
        <w:t xml:space="preserve"> are then used in MFI B, together with the differing common funding proposals, to identify the like</w:t>
      </w:r>
      <w:r w:rsidR="00764CCA">
        <w:t>ly returns to group members in the</w:t>
      </w:r>
      <w:r>
        <w:t xml:space="preserve"> settlement sum rang</w:t>
      </w:r>
      <w:r w:rsidR="00764CCA">
        <w:t>e at various times</w:t>
      </w:r>
      <w:r>
        <w:t xml:space="preserve">.  </w:t>
      </w:r>
      <w:r w:rsidR="00764CCA">
        <w:t xml:space="preserve">Various dates are identified because proposed funding rates change at </w:t>
      </w:r>
      <w:r w:rsidR="00764CCA">
        <w:lastRenderedPageBreak/>
        <w:t xml:space="preserve">various times.  </w:t>
      </w:r>
      <w:r>
        <w:t xml:space="preserve">Given what I have said about security, implicit in the calculations is the notion that security for $2.4 million will be provided and, as also can be seen by MFI B, the calculations are performed on the basis that security </w:t>
      </w:r>
      <w:r w:rsidR="00B369CC">
        <w:t xml:space="preserve">is </w:t>
      </w:r>
      <w:r>
        <w:t xml:space="preserve">provided either by way of cash or by way of ATE policy, for reasons I have already explained.  </w:t>
      </w:r>
    </w:p>
    <w:p w:rsidR="0095578E" w:rsidRDefault="0095578E" w:rsidP="0095578E">
      <w:pPr>
        <w:pStyle w:val="ParaNumbering"/>
      </w:pPr>
      <w:r>
        <w:t>If it was necessary for me to make definitive findings for the purposes of this application (which I do not consider necessary) th</w:t>
      </w:r>
      <w:r w:rsidR="00B369CC">
        <w:t>e</w:t>
      </w:r>
      <w:r>
        <w:t xml:space="preserve">n I would have thought the estimates given by both the McTaggart applicants and Mr Webb as to the likely costs incurred at both the Early Mediation, Late Mediation and initial trial stage are significantly more likely to be accurate than the lower amount given by Mr Perera.  I would also find it is far more likely that the matter, if it settles, will settle well into next year rather than this year.  </w:t>
      </w:r>
    </w:p>
    <w:p w:rsidR="005A7FD5" w:rsidRDefault="0095578E" w:rsidP="0095578E">
      <w:pPr>
        <w:pStyle w:val="ParaNumbering"/>
      </w:pPr>
      <w:r>
        <w:t>It is un</w:t>
      </w:r>
      <w:r w:rsidR="00A8638C">
        <w:t xml:space="preserve">productive </w:t>
      </w:r>
      <w:r>
        <w:t xml:space="preserve">for me to </w:t>
      </w:r>
      <w:r w:rsidR="00A8638C">
        <w:t>wade</w:t>
      </w:r>
      <w:r>
        <w:t xml:space="preserve"> further in</w:t>
      </w:r>
      <w:r w:rsidR="00A8638C">
        <w:t>to</w:t>
      </w:r>
      <w:r>
        <w:t xml:space="preserve"> the detail</w:t>
      </w:r>
      <w:r w:rsidR="00A8638C">
        <w:t xml:space="preserve">.  What is of importance is the overall effect of the comparison and that is </w:t>
      </w:r>
      <w:r>
        <w:t>that in the vast majority of scenarios</w:t>
      </w:r>
      <w:r w:rsidR="00B369CC">
        <w:t>,</w:t>
      </w:r>
      <w:r>
        <w:t xml:space="preserve"> the funding proposal put forward by Mr Webb is more likely to result in a greater return to group members than that put forward by the McTaggart applicants and much more likely to result in a greater return to group members than that put forward by Mr Perera.  Indeed, the comparison is overwhelmingly in favour of Mr Webb in the event, which I think more probable than not, that an ATE policy will likely be adequate to protect the position of GetSwift and if one does not bring to account the book </w:t>
      </w:r>
      <w:r w:rsidR="00B369CC">
        <w:t>build</w:t>
      </w:r>
      <w:r>
        <w:t xml:space="preserve"> costs which are not going to be expended.</w:t>
      </w:r>
      <w:r w:rsidR="005A7FD5">
        <w:t xml:space="preserve"> </w:t>
      </w:r>
    </w:p>
    <w:p w:rsidR="000969EC" w:rsidRPr="00924038" w:rsidRDefault="00334C41" w:rsidP="003D43C6">
      <w:pPr>
        <w:pStyle w:val="Heading1"/>
      </w:pPr>
      <w:bookmarkStart w:id="89" w:name="_Ref514405656"/>
      <w:r w:rsidRPr="00924038">
        <w:t>I</w:t>
      </w:r>
      <w:r w:rsidR="00D3230F" w:rsidRPr="00924038">
        <w:tab/>
      </w:r>
      <w:r w:rsidR="00913157" w:rsidRPr="00924038">
        <w:t xml:space="preserve">Summary </w:t>
      </w:r>
      <w:r w:rsidR="00726DC4" w:rsidRPr="00924038">
        <w:t xml:space="preserve">of </w:t>
      </w:r>
      <w:r w:rsidR="00913157" w:rsidRPr="00924038">
        <w:t>Findings</w:t>
      </w:r>
      <w:bookmarkEnd w:id="89"/>
    </w:p>
    <w:p w:rsidR="000969EC" w:rsidRPr="00924038" w:rsidRDefault="00265BEA" w:rsidP="00B2213B">
      <w:pPr>
        <w:pStyle w:val="ParaNumbering"/>
      </w:pPr>
      <w:r w:rsidRPr="00924038">
        <w:t>Prior to turning to an assessment of what should be done</w:t>
      </w:r>
      <w:r w:rsidR="00563D53">
        <w:t>, it is convenient to pause</w:t>
      </w:r>
      <w:r w:rsidRPr="00924038">
        <w:t xml:space="preserve">.  It seems to me that the most significant considerations that arise in the circumstances of this case </w:t>
      </w:r>
      <w:r w:rsidR="00356946" w:rsidRPr="00924038">
        <w:t>and my findings in relation to those considerations can be summarise</w:t>
      </w:r>
      <w:r w:rsidR="008901B8">
        <w:t>d</w:t>
      </w:r>
      <w:r w:rsidR="00356946" w:rsidRPr="00924038">
        <w:t xml:space="preserve"> as follows.</w:t>
      </w:r>
      <w:r w:rsidR="00E03BA1">
        <w:t xml:space="preserve"> </w:t>
      </w:r>
    </w:p>
    <w:p w:rsidR="0071020C" w:rsidRDefault="00356946" w:rsidP="00B2213B">
      <w:pPr>
        <w:pStyle w:val="ParaNumbering"/>
      </w:pPr>
      <w:r w:rsidRPr="00924038">
        <w:rPr>
          <w:i/>
        </w:rPr>
        <w:t>First</w:t>
      </w:r>
      <w:r w:rsidRPr="00924038">
        <w:t>, given that there are no significant differences in the scope, causes of action or the case theories proposed to be advanced in any of the three proceedings</w:t>
      </w:r>
      <w:r w:rsidR="008901B8">
        <w:t>,</w:t>
      </w:r>
      <w:r w:rsidRPr="00924038">
        <w:t xml:space="preserve"> there is no reason why the claims of group member</w:t>
      </w:r>
      <w:r w:rsidR="00B369CC">
        <w:t>s</w:t>
      </w:r>
      <w:r w:rsidRPr="00924038">
        <w:t xml:space="preserve"> against GetSwift cannot be vindicated in one open class proceeding.</w:t>
      </w:r>
      <w:r w:rsidR="0071020C">
        <w:t xml:space="preserve"> </w:t>
      </w:r>
    </w:p>
    <w:p w:rsidR="00A45A1E" w:rsidRPr="00A45A1E" w:rsidRDefault="00356946" w:rsidP="00A45A1E">
      <w:pPr>
        <w:pStyle w:val="ParaNumbering"/>
      </w:pPr>
      <w:r w:rsidRPr="00924038">
        <w:rPr>
          <w:i/>
        </w:rPr>
        <w:t>Secondly</w:t>
      </w:r>
      <w:r w:rsidRPr="00924038">
        <w:t xml:space="preserve">, in the light of the first point, to allow group member claims to be advanced in more than one open class proceeding would be conducive to increasing costs and inefficiencies </w:t>
      </w:r>
      <w:r w:rsidR="008901B8">
        <w:t xml:space="preserve">and be </w:t>
      </w:r>
      <w:r w:rsidRPr="00924038">
        <w:t>contrary to the case management objectives of Part VB of the Act</w:t>
      </w:r>
      <w:r w:rsidR="00A45A1E">
        <w:t xml:space="preserve"> to resolve the claims </w:t>
      </w:r>
      <w:r w:rsidR="00A45A1E" w:rsidRPr="00A45A1E">
        <w:rPr>
          <w:lang w:val="en"/>
        </w:rPr>
        <w:t xml:space="preserve">as </w:t>
      </w:r>
      <w:r w:rsidR="00A45A1E" w:rsidRPr="00A45A1E">
        <w:rPr>
          <w:lang w:val="en"/>
        </w:rPr>
        <w:lastRenderedPageBreak/>
        <w:t>quickly, inexpensively and efficiently as possible.</w:t>
      </w:r>
      <w:r w:rsidR="00A45A1E">
        <w:rPr>
          <w:lang w:val="en"/>
        </w:rPr>
        <w:t xml:space="preserve">  Nor would it be conducive to these aims to allow more than one</w:t>
      </w:r>
      <w:r w:rsidR="00B369CC">
        <w:rPr>
          <w:lang w:val="en"/>
        </w:rPr>
        <w:t xml:space="preserve"> open</w:t>
      </w:r>
      <w:r w:rsidR="00A45A1E">
        <w:rPr>
          <w:lang w:val="en"/>
        </w:rPr>
        <w:t xml:space="preserve"> class proceeding, even if one or more were closed, to continue. </w:t>
      </w:r>
    </w:p>
    <w:p w:rsidR="0071020C" w:rsidRDefault="004F004B" w:rsidP="00A47C81">
      <w:pPr>
        <w:pStyle w:val="ParaNumbering"/>
      </w:pPr>
      <w:r w:rsidRPr="00A47C81">
        <w:rPr>
          <w:i/>
        </w:rPr>
        <w:t>Thir</w:t>
      </w:r>
      <w:r w:rsidR="00404994" w:rsidRPr="00A47C81">
        <w:rPr>
          <w:i/>
        </w:rPr>
        <w:t>dly</w:t>
      </w:r>
      <w:r w:rsidR="00404994" w:rsidRPr="00924038">
        <w:t xml:space="preserve">, </w:t>
      </w:r>
      <w:r w:rsidR="00404994">
        <w:t xml:space="preserve">again </w:t>
      </w:r>
      <w:r w:rsidR="00404994" w:rsidRPr="00924038">
        <w:t xml:space="preserve">in the light of the first point, to allow group member claims to be advanced in more than one open class proceeding would </w:t>
      </w:r>
      <w:r w:rsidR="00A45A1E">
        <w:t>mean that any</w:t>
      </w:r>
      <w:r w:rsidR="00404994">
        <w:t xml:space="preserve"> duplicative proceeding</w:t>
      </w:r>
      <w:r w:rsidR="00A47C81">
        <w:t>, although commenced for a licit purpose,</w:t>
      </w:r>
      <w:r w:rsidR="00404994">
        <w:t xml:space="preserve"> would not </w:t>
      </w:r>
      <w:r w:rsidR="00404994" w:rsidRPr="00924038">
        <w:t xml:space="preserve">be </w:t>
      </w:r>
      <w:r w:rsidR="00C26920">
        <w:t>necessary for</w:t>
      </w:r>
      <w:r>
        <w:t xml:space="preserve"> </w:t>
      </w:r>
      <w:r w:rsidRPr="00A47C81">
        <w:rPr>
          <w:rFonts w:eastAsia="Times New Roman"/>
          <w:szCs w:val="24"/>
          <w:lang w:val="en-US" w:eastAsia="en-AU"/>
        </w:rPr>
        <w:t>the enforcement of the substantive rights of the applicant</w:t>
      </w:r>
      <w:r w:rsidR="00563D53">
        <w:rPr>
          <w:rFonts w:eastAsia="Times New Roman"/>
          <w:szCs w:val="24"/>
          <w:lang w:val="en-US" w:eastAsia="en-AU"/>
        </w:rPr>
        <w:t>,</w:t>
      </w:r>
      <w:r w:rsidRPr="00A47C81">
        <w:rPr>
          <w:rFonts w:eastAsia="Times New Roman"/>
          <w:szCs w:val="24"/>
          <w:lang w:val="en-US" w:eastAsia="en-AU"/>
        </w:rPr>
        <w:t xml:space="preserve"> nor would it have any </w:t>
      </w:r>
      <w:r w:rsidR="00503E6B">
        <w:rPr>
          <w:rFonts w:eastAsia="Times New Roman"/>
          <w:szCs w:val="24"/>
          <w:lang w:val="en-US" w:eastAsia="en-AU"/>
        </w:rPr>
        <w:t>cont</w:t>
      </w:r>
      <w:r w:rsidR="00C26920">
        <w:rPr>
          <w:rFonts w:eastAsia="Times New Roman"/>
          <w:szCs w:val="24"/>
          <w:lang w:val="en-US" w:eastAsia="en-AU"/>
        </w:rPr>
        <w:t>i</w:t>
      </w:r>
      <w:r w:rsidR="00503E6B">
        <w:rPr>
          <w:rFonts w:eastAsia="Times New Roman"/>
          <w:szCs w:val="24"/>
          <w:lang w:val="en-US" w:eastAsia="en-AU"/>
        </w:rPr>
        <w:t xml:space="preserve">nuing role </w:t>
      </w:r>
      <w:r w:rsidRPr="00A47C81">
        <w:rPr>
          <w:rFonts w:eastAsia="Times New Roman"/>
          <w:szCs w:val="24"/>
          <w:lang w:val="en-US" w:eastAsia="en-AU"/>
        </w:rPr>
        <w:t>in laying the groundwork for enforcing the substantive rights of group members.</w:t>
      </w:r>
      <w:r w:rsidRPr="00924038">
        <w:t xml:space="preserve"> </w:t>
      </w:r>
      <w:r w:rsidR="00A45A1E">
        <w:t xml:space="preserve"> </w:t>
      </w:r>
      <w:r w:rsidR="00503E6B">
        <w:t xml:space="preserve">Although the purpose of Mr Perera and the McTaggart </w:t>
      </w:r>
      <w:r w:rsidR="00B369CC">
        <w:t xml:space="preserve">applicants </w:t>
      </w:r>
      <w:r w:rsidR="00503E6B">
        <w:t>remains a proper one in seeking vindication of their claims, the continuation of the vehicle</w:t>
      </w:r>
      <w:r w:rsidR="00064596">
        <w:t>s</w:t>
      </w:r>
      <w:r w:rsidR="00503E6B">
        <w:t xml:space="preserve"> </w:t>
      </w:r>
      <w:r w:rsidR="00064596">
        <w:t xml:space="preserve">which were instituted to serve the shared purpose of the participants in the relevant common enterprises </w:t>
      </w:r>
      <w:r w:rsidR="00503E6B">
        <w:t xml:space="preserve">would only serve to allow </w:t>
      </w:r>
      <w:r w:rsidR="00064596">
        <w:t xml:space="preserve">those </w:t>
      </w:r>
      <w:r>
        <w:t>enterprise</w:t>
      </w:r>
      <w:r w:rsidR="00064596">
        <w:t>s</w:t>
      </w:r>
      <w:r>
        <w:t xml:space="preserve"> to continue to use the processes of the Court to deliver financial benefits to the promotors of th</w:t>
      </w:r>
      <w:r w:rsidR="00764CCA">
        <w:t>os</w:t>
      </w:r>
      <w:r>
        <w:t>e enterprise</w:t>
      </w:r>
      <w:r w:rsidR="00B369CC">
        <w:t>s</w:t>
      </w:r>
      <w:r w:rsidR="00A72FD1">
        <w:t>.</w:t>
      </w:r>
      <w:r>
        <w:t xml:space="preserve"> </w:t>
      </w:r>
    </w:p>
    <w:p w:rsidR="0071020C" w:rsidRDefault="00A45A1E" w:rsidP="00A47C81">
      <w:pPr>
        <w:pStyle w:val="ParaNumbering"/>
      </w:pPr>
      <w:r>
        <w:rPr>
          <w:i/>
        </w:rPr>
        <w:t>Fourth</w:t>
      </w:r>
      <w:r w:rsidR="00356946" w:rsidRPr="00924038">
        <w:rPr>
          <w:i/>
        </w:rPr>
        <w:t>ly</w:t>
      </w:r>
      <w:r w:rsidR="00356946" w:rsidRPr="00924038">
        <w:t xml:space="preserve">, to allow more than one open class proceeding to go ahead would involve an element of vexation to be occasioned to GetSwift when there is no justifiable reason why it should face two </w:t>
      </w:r>
      <w:r w:rsidR="00B369CC">
        <w:t xml:space="preserve">or three </w:t>
      </w:r>
      <w:r w:rsidR="00356946" w:rsidRPr="00924038">
        <w:t xml:space="preserve">open class actions rather than one.  </w:t>
      </w:r>
    </w:p>
    <w:p w:rsidR="0071020C" w:rsidRDefault="00805F4B" w:rsidP="00141630">
      <w:pPr>
        <w:pStyle w:val="ParaNumbering"/>
      </w:pPr>
      <w:r>
        <w:rPr>
          <w:i/>
        </w:rPr>
        <w:t>Fif</w:t>
      </w:r>
      <w:r w:rsidR="00141630" w:rsidRPr="00141630">
        <w:rPr>
          <w:i/>
        </w:rPr>
        <w:t>thly</w:t>
      </w:r>
      <w:r w:rsidR="00141630" w:rsidRPr="00924038">
        <w:t>,</w:t>
      </w:r>
      <w:r w:rsidR="00141630">
        <w:t xml:space="preserve"> </w:t>
      </w:r>
      <w:r w:rsidR="00FC1402" w:rsidRPr="00924038">
        <w:t>the matter is likely at some stage to settle</w:t>
      </w:r>
      <w:r w:rsidR="00141630">
        <w:t>,</w:t>
      </w:r>
      <w:r w:rsidR="00FC1402" w:rsidRPr="00924038">
        <w:t xml:space="preserve"> and to allow more than </w:t>
      </w:r>
      <w:r w:rsidR="00A47C81">
        <w:t xml:space="preserve">one </w:t>
      </w:r>
      <w:r w:rsidR="00FC1402" w:rsidRPr="00924038">
        <w:t xml:space="preserve">class proceeding to </w:t>
      </w:r>
      <w:r w:rsidR="00A47C81">
        <w:t>continue</w:t>
      </w:r>
      <w:r w:rsidR="00FC1402" w:rsidRPr="00924038">
        <w:t xml:space="preserve"> </w:t>
      </w:r>
      <w:r w:rsidR="00EF28D0" w:rsidRPr="00924038">
        <w:t xml:space="preserve">is likely to mean that additional costs </w:t>
      </w:r>
      <w:r w:rsidR="008901B8">
        <w:t xml:space="preserve">and expenses </w:t>
      </w:r>
      <w:r w:rsidR="00EF28D0" w:rsidRPr="00924038">
        <w:t>will need to be recovered in any settlement</w:t>
      </w:r>
      <w:r w:rsidR="00A45A1E">
        <w:t>,</w:t>
      </w:r>
      <w:r w:rsidR="008901B8">
        <w:t xml:space="preserve"> </w:t>
      </w:r>
      <w:r w:rsidR="00A45A1E">
        <w:t>thus likely reducing the amount available to group members</w:t>
      </w:r>
      <w:r w:rsidR="004C1B42" w:rsidRPr="00924038">
        <w:t xml:space="preserve">.  </w:t>
      </w:r>
    </w:p>
    <w:p w:rsidR="00805F4B" w:rsidRPr="00141630" w:rsidRDefault="00805F4B" w:rsidP="00805F4B">
      <w:pPr>
        <w:pStyle w:val="ParaNumbering"/>
      </w:pPr>
      <w:r>
        <w:rPr>
          <w:i/>
        </w:rPr>
        <w:t>Six</w:t>
      </w:r>
      <w:r w:rsidRPr="00924038">
        <w:rPr>
          <w:i/>
        </w:rPr>
        <w:t>thly</w:t>
      </w:r>
      <w:r w:rsidRPr="00924038">
        <w:t xml:space="preserve">, </w:t>
      </w:r>
      <w:r>
        <w:t xml:space="preserve">in the circumstances, any </w:t>
      </w:r>
      <w:r w:rsidRPr="00141630">
        <w:t xml:space="preserve">duplicative proceeding </w:t>
      </w:r>
      <w:r w:rsidRPr="00141630">
        <w:rPr>
          <w:lang w:eastAsia="en-AU"/>
        </w:rPr>
        <w:t>will not provide an efficient and effective means of dealing with the claims of group members</w:t>
      </w:r>
      <w:r>
        <w:rPr>
          <w:lang w:eastAsia="en-AU"/>
        </w:rPr>
        <w:t xml:space="preserve"> (as that expression is used in s</w:t>
      </w:r>
      <w:r w:rsidRPr="00924038">
        <w:t xml:space="preserve"> </w:t>
      </w:r>
      <w:proofErr w:type="gramStart"/>
      <w:r w:rsidRPr="00924038">
        <w:t>33N(</w:t>
      </w:r>
      <w:proofErr w:type="gramEnd"/>
      <w:r w:rsidRPr="00924038">
        <w:t>1)(c)</w:t>
      </w:r>
      <w:r>
        <w:rPr>
          <w:lang w:eastAsia="en-AU"/>
        </w:rPr>
        <w:t>) and it is in the interests of justice that it not continue</w:t>
      </w:r>
      <w:r w:rsidRPr="00141630">
        <w:rPr>
          <w:lang w:eastAsia="en-AU"/>
        </w:rPr>
        <w:t>.</w:t>
      </w:r>
      <w:r w:rsidRPr="00141630">
        <w:t xml:space="preserve"> </w:t>
      </w:r>
    </w:p>
    <w:p w:rsidR="0071020C" w:rsidRDefault="00141630" w:rsidP="00B2213B">
      <w:pPr>
        <w:pStyle w:val="ParaNumbering"/>
      </w:pPr>
      <w:r>
        <w:rPr>
          <w:i/>
        </w:rPr>
        <w:t>Seven</w:t>
      </w:r>
      <w:r w:rsidR="004C1B42" w:rsidRPr="00924038">
        <w:rPr>
          <w:i/>
        </w:rPr>
        <w:t>thly</w:t>
      </w:r>
      <w:r w:rsidR="004C1B42" w:rsidRPr="00924038">
        <w:t xml:space="preserve">, each of the proceedings </w:t>
      </w:r>
      <w:r w:rsidR="007F4836" w:rsidRPr="00924038">
        <w:t>are at a sufficiently equal state of preparation notwithstanding that no statement of claim has been filed in the Webb Proceeding</w:t>
      </w:r>
      <w:r w:rsidR="00966B21" w:rsidRPr="00924038">
        <w:t xml:space="preserve"> and there is no reason to </w:t>
      </w:r>
      <w:r>
        <w:t>conclude</w:t>
      </w:r>
      <w:r w:rsidR="00966B21" w:rsidRPr="00924038">
        <w:t xml:space="preserve"> that anything about any of the proceedings </w:t>
      </w:r>
      <w:r w:rsidR="00B369CC">
        <w:t>means</w:t>
      </w:r>
      <w:r w:rsidR="00966B21" w:rsidRPr="00924038">
        <w:t xml:space="preserve"> that one would proceed to a mediation or an initial trial earlier than the other.  </w:t>
      </w:r>
    </w:p>
    <w:p w:rsidR="00141630" w:rsidRDefault="00141630" w:rsidP="00B2213B">
      <w:pPr>
        <w:pStyle w:val="ParaNumbering"/>
      </w:pPr>
      <w:r>
        <w:rPr>
          <w:i/>
        </w:rPr>
        <w:t>Eigh</w:t>
      </w:r>
      <w:r w:rsidRPr="00924038">
        <w:rPr>
          <w:i/>
        </w:rPr>
        <w:t>thly</w:t>
      </w:r>
      <w:r w:rsidR="00966B21" w:rsidRPr="00B369CC">
        <w:t xml:space="preserve">, there has been no operative delay or dilatoriness </w:t>
      </w:r>
      <w:r w:rsidR="00FD5C31" w:rsidRPr="00B369CC">
        <w:t xml:space="preserve">of any applicant and in this regard a delay in filing the statement of claim was not an attempt </w:t>
      </w:r>
      <w:r w:rsidR="00B369CC">
        <w:t>by</w:t>
      </w:r>
      <w:r w:rsidR="00FD5C31" w:rsidRPr="00B369CC">
        <w:t xml:space="preserve"> Mr Webb to lie in wait and appropriate th</w:t>
      </w:r>
      <w:r w:rsidR="00192A12" w:rsidRPr="00B369CC">
        <w:t xml:space="preserve">e work product of others but </w:t>
      </w:r>
      <w:r w:rsidR="00FD5C31" w:rsidRPr="00B369CC">
        <w:t>a conscious decision that funding terms should be concluded first</w:t>
      </w:r>
      <w:r w:rsidR="00B369CC">
        <w:t>.  The</w:t>
      </w:r>
      <w:r w:rsidR="00192A12" w:rsidRPr="00B369CC">
        <w:t xml:space="preserve"> novelty of the funding terms negotiated with Therium, and negotiations during which they were secured, are the reason why the negotiations took as long as they did.</w:t>
      </w:r>
      <w:r w:rsidR="00FD5C31" w:rsidRPr="00924038">
        <w:t xml:space="preserve"> </w:t>
      </w:r>
      <w:r>
        <w:t xml:space="preserve"> </w:t>
      </w:r>
    </w:p>
    <w:p w:rsidR="0071020C" w:rsidRDefault="00192A12" w:rsidP="00B2213B">
      <w:pPr>
        <w:pStyle w:val="ParaNumbering"/>
      </w:pPr>
      <w:r>
        <w:rPr>
          <w:i/>
        </w:rPr>
        <w:lastRenderedPageBreak/>
        <w:t>Nint</w:t>
      </w:r>
      <w:r w:rsidRPr="00924038">
        <w:rPr>
          <w:i/>
        </w:rPr>
        <w:t>hly</w:t>
      </w:r>
      <w:r w:rsidR="00042D82" w:rsidRPr="00924038">
        <w:t>, there is no difference in the experience or competence of the legal practitioners concerned and each team of legal representatives would be more than competent to advance the open class proceeding</w:t>
      </w:r>
      <w:r w:rsidR="009E263B">
        <w:t xml:space="preserve"> and would take adequate steps to devote sufficient resources to the task</w:t>
      </w:r>
      <w:r w:rsidR="00042D82" w:rsidRPr="00924038">
        <w:t xml:space="preserve">.  </w:t>
      </w:r>
    </w:p>
    <w:p w:rsidR="0071020C" w:rsidRDefault="00192A12" w:rsidP="00B2213B">
      <w:pPr>
        <w:pStyle w:val="ParaNumbering"/>
      </w:pPr>
      <w:r>
        <w:rPr>
          <w:i/>
        </w:rPr>
        <w:t>Ten</w:t>
      </w:r>
      <w:r w:rsidR="00042D82" w:rsidRPr="00924038">
        <w:rPr>
          <w:i/>
        </w:rPr>
        <w:t>thly</w:t>
      </w:r>
      <w:r w:rsidR="00042D82" w:rsidRPr="00924038">
        <w:t xml:space="preserve">, there is nothing about any individual claim made by an applicant which would render any of the proceedings unsuitable to be the vehicle pursuant to which common issues and issues of commonality could be determined at an initial trial and I do not accept that there is any substance in suggesting that </w:t>
      </w:r>
      <w:r w:rsidR="007850FC" w:rsidRPr="00924038">
        <w:t>any applicant has any more significant risk of suffering an adverse cost</w:t>
      </w:r>
      <w:r w:rsidR="00B369CC">
        <w:t>s</w:t>
      </w:r>
      <w:r w:rsidR="007850FC" w:rsidRPr="00924038">
        <w:t xml:space="preserve"> order.  </w:t>
      </w:r>
    </w:p>
    <w:p w:rsidR="0071020C" w:rsidRDefault="00192A12" w:rsidP="00B2213B">
      <w:pPr>
        <w:pStyle w:val="ParaNumbering"/>
      </w:pPr>
      <w:r>
        <w:rPr>
          <w:i/>
        </w:rPr>
        <w:t>Eleven</w:t>
      </w:r>
      <w:r w:rsidRPr="00924038">
        <w:rPr>
          <w:i/>
        </w:rPr>
        <w:t>th</w:t>
      </w:r>
      <w:r>
        <w:rPr>
          <w:i/>
        </w:rPr>
        <w:t>ly</w:t>
      </w:r>
      <w:r w:rsidR="007850FC" w:rsidRPr="00924038">
        <w:t xml:space="preserve">, </w:t>
      </w:r>
      <w:r w:rsidR="007027D9" w:rsidRPr="00924038">
        <w:t>nothing about the existence of funding agreements or the number of group members who have signed funding agreements, in the circumstances of this case, should weigh significantly in the balance</w:t>
      </w:r>
      <w:r w:rsidR="007643BC">
        <w:t>,</w:t>
      </w:r>
      <w:r w:rsidR="00563D53">
        <w:t xml:space="preserve"> particularly where </w:t>
      </w:r>
      <w:r w:rsidR="007027D9" w:rsidRPr="00924038">
        <w:t>no incentive should be given to encourage pre-action book building</w:t>
      </w:r>
      <w:r w:rsidR="00426AF2">
        <w:t xml:space="preserve"> when common fund orders</w:t>
      </w:r>
      <w:r w:rsidR="007643BC">
        <w:t xml:space="preserve"> are sought</w:t>
      </w:r>
      <w:r w:rsidR="00263D3B" w:rsidRPr="00924038">
        <w:t xml:space="preserve">.  </w:t>
      </w:r>
    </w:p>
    <w:p w:rsidR="009E263B" w:rsidRDefault="00192A12" w:rsidP="00B2213B">
      <w:pPr>
        <w:pStyle w:val="ParaNumbering"/>
      </w:pPr>
      <w:r>
        <w:rPr>
          <w:i/>
        </w:rPr>
        <w:t>Twel</w:t>
      </w:r>
      <w:r w:rsidR="00263D3B" w:rsidRPr="00924038">
        <w:rPr>
          <w:i/>
        </w:rPr>
        <w:t>thly</w:t>
      </w:r>
      <w:r w:rsidR="00263D3B" w:rsidRPr="00924038">
        <w:t>, there is nothing about the absence of an executed funding agreement which does not regulate conflicts or provide a deadlock in the Webb Proceeding which is a source of concern when the funding arrangements which would be put in place if the Webb Proceeding is to proceed</w:t>
      </w:r>
      <w:r w:rsidR="007643BC">
        <w:t>,</w:t>
      </w:r>
      <w:r w:rsidR="00263D3B" w:rsidRPr="00924038">
        <w:t xml:space="preserve"> will be by Court order which will make clear the terms upon which funding of the proceedings is to take place. </w:t>
      </w:r>
      <w:r w:rsidR="009E263B">
        <w:t xml:space="preserve"> </w:t>
      </w:r>
    </w:p>
    <w:p w:rsidR="0071020C" w:rsidRDefault="009E263B" w:rsidP="00B2213B">
      <w:pPr>
        <w:pStyle w:val="ParaNumbering"/>
      </w:pPr>
      <w:r w:rsidRPr="00924038">
        <w:rPr>
          <w:i/>
        </w:rPr>
        <w:t>Thirteenthly</w:t>
      </w:r>
      <w:r>
        <w:t>, there is no reason to doubt that any of the funders would fail to comply with any obligation to provide security for costs, payments to the legal representatives of the applicant and no reason to doubt that they have the financial capacity to do so.</w:t>
      </w:r>
    </w:p>
    <w:p w:rsidR="0071020C" w:rsidRDefault="004D6890" w:rsidP="00B2213B">
      <w:pPr>
        <w:pStyle w:val="ParaNumbering"/>
      </w:pPr>
      <w:r w:rsidRPr="00924038">
        <w:rPr>
          <w:i/>
        </w:rPr>
        <w:t>Fourteenthly</w:t>
      </w:r>
      <w:r w:rsidR="00263D3B" w:rsidRPr="00924038">
        <w:t xml:space="preserve">, </w:t>
      </w:r>
      <w:r w:rsidR="0019340F" w:rsidRPr="00924038">
        <w:t>the proposals made in the Webb Proceedings for there to be an openness to the appointment of court appointed experts in relation to questions of liability (as to materiality of in</w:t>
      </w:r>
      <w:r w:rsidR="00064596">
        <w:t>formation) and loss causation are</w:t>
      </w:r>
      <w:r w:rsidR="0019340F" w:rsidRPr="00924038">
        <w:t xml:space="preserve"> likely to redu</w:t>
      </w:r>
      <w:r w:rsidR="00064596">
        <w:t>ce costs, perhaps significantly</w:t>
      </w:r>
      <w:r w:rsidR="00426AF2">
        <w:t>,</w:t>
      </w:r>
      <w:r w:rsidR="0019340F" w:rsidRPr="00924038">
        <w:t xml:space="preserve"> and</w:t>
      </w:r>
      <w:r w:rsidR="007643BC">
        <w:t xml:space="preserve"> also avoid selection bias;</w:t>
      </w:r>
      <w:r w:rsidR="0019340F" w:rsidRPr="00924038">
        <w:t xml:space="preserve"> at very least</w:t>
      </w:r>
      <w:r w:rsidR="00064596">
        <w:t>,</w:t>
      </w:r>
      <w:r w:rsidR="0019340F" w:rsidRPr="00924038">
        <w:t xml:space="preserve"> </w:t>
      </w:r>
      <w:r w:rsidR="00192A12">
        <w:t>Mr Webb’s non-opposition to such a</w:t>
      </w:r>
      <w:r w:rsidR="00064596">
        <w:t xml:space="preserve"> course </w:t>
      </w:r>
      <w:r w:rsidR="0019340F" w:rsidRPr="00924038">
        <w:t xml:space="preserve">will </w:t>
      </w:r>
      <w:r w:rsidR="00192A12">
        <w:t xml:space="preserve">potentially </w:t>
      </w:r>
      <w:r w:rsidR="0019340F" w:rsidRPr="00924038">
        <w:t xml:space="preserve">reduce </w:t>
      </w:r>
      <w:r w:rsidR="00192A12">
        <w:t xml:space="preserve">the scope of </w:t>
      </w:r>
      <w:r w:rsidR="0019340F" w:rsidRPr="00924038">
        <w:t xml:space="preserve">disputation about whether or not such a course is appropriate.  </w:t>
      </w:r>
    </w:p>
    <w:p w:rsidR="0071020C" w:rsidRDefault="004D6890" w:rsidP="00B2213B">
      <w:pPr>
        <w:pStyle w:val="ParaNumbering"/>
      </w:pPr>
      <w:r>
        <w:rPr>
          <w:i/>
        </w:rPr>
        <w:t>Fiftee</w:t>
      </w:r>
      <w:r w:rsidRPr="00924038">
        <w:rPr>
          <w:i/>
        </w:rPr>
        <w:t>nth</w:t>
      </w:r>
      <w:r>
        <w:rPr>
          <w:i/>
        </w:rPr>
        <w:t>ly</w:t>
      </w:r>
      <w:r w:rsidR="0019340F" w:rsidRPr="00924038">
        <w:t xml:space="preserve">, the Webb funding model is the </w:t>
      </w:r>
      <w:r w:rsidR="00064596">
        <w:t xml:space="preserve">clearly </w:t>
      </w:r>
      <w:r w:rsidR="00192A12">
        <w:t xml:space="preserve">preferable of </w:t>
      </w:r>
      <w:r w:rsidR="0019340F" w:rsidRPr="00924038">
        <w:t xml:space="preserve">the three funding proposals </w:t>
      </w:r>
      <w:r w:rsidR="00192A12">
        <w:t xml:space="preserve">as a matter of structure, </w:t>
      </w:r>
      <w:r w:rsidR="0019340F" w:rsidRPr="00924038">
        <w:t xml:space="preserve">having the advantage of producing a more direct correlation between </w:t>
      </w:r>
      <w:r w:rsidR="005C0C42" w:rsidRPr="00924038">
        <w:t>the amount ven</w:t>
      </w:r>
      <w:r w:rsidR="00192A12">
        <w:t xml:space="preserve">tured and the likely return, </w:t>
      </w:r>
      <w:r w:rsidR="00107C4A" w:rsidRPr="00924038">
        <w:t xml:space="preserve">avoiding the potential for a windfall return in the </w:t>
      </w:r>
      <w:r w:rsidR="00107C4A" w:rsidRPr="00924038">
        <w:lastRenderedPageBreak/>
        <w:t>event that there is a late settlement at a very significant settlement sum</w:t>
      </w:r>
      <w:r w:rsidR="00192A12">
        <w:t>, and hence assisting to facilitate the making of an early common fund order</w:t>
      </w:r>
      <w:r w:rsidR="00107C4A" w:rsidRPr="00924038">
        <w:t xml:space="preserve">.  </w:t>
      </w:r>
    </w:p>
    <w:p w:rsidR="0071020C" w:rsidRDefault="004D6890" w:rsidP="00B2213B">
      <w:pPr>
        <w:pStyle w:val="ParaNumbering"/>
      </w:pPr>
      <w:r>
        <w:rPr>
          <w:i/>
        </w:rPr>
        <w:t>Sixteenthly</w:t>
      </w:r>
      <w:r w:rsidR="009864C5" w:rsidRPr="00924038">
        <w:t>, connected to the funding model in the Webb Proceeding</w:t>
      </w:r>
      <w:r w:rsidR="00192A12">
        <w:t>,</w:t>
      </w:r>
      <w:r w:rsidR="009864C5" w:rsidRPr="00924038">
        <w:t xml:space="preserve"> the proposal for a referee to control costs during the course of proceedings</w:t>
      </w:r>
      <w:r w:rsidR="00192A12">
        <w:t xml:space="preserve"> </w:t>
      </w:r>
      <w:r w:rsidR="00E5787B">
        <w:t xml:space="preserve">is commendable in itself as a way of controlling costs </w:t>
      </w:r>
      <w:r w:rsidR="00EF19A7" w:rsidRPr="00924038">
        <w:t xml:space="preserve">as it allows for issues relating to costs </w:t>
      </w:r>
      <w:r w:rsidR="00192A12">
        <w:t>to be</w:t>
      </w:r>
      <w:r w:rsidR="00EF19A7" w:rsidRPr="00924038">
        <w:t xml:space="preserve"> addressed early</w:t>
      </w:r>
      <w:r w:rsidR="00B369CC">
        <w:t>.  I</w:t>
      </w:r>
      <w:r w:rsidR="00E5787B">
        <w:t xml:space="preserve">t also </w:t>
      </w:r>
      <w:r w:rsidR="00EF19A7" w:rsidRPr="00924038">
        <w:t xml:space="preserve">is likely to make the settlement process more efficient </w:t>
      </w:r>
      <w:r w:rsidR="00192A12">
        <w:t>(</w:t>
      </w:r>
      <w:r w:rsidR="00EF19A7" w:rsidRPr="00924038">
        <w:t>because a referee will have conducted investigative work during the course of the proceeding</w:t>
      </w:r>
      <w:r w:rsidR="00192A12">
        <w:t>)</w:t>
      </w:r>
      <w:r w:rsidR="00EF19A7" w:rsidRPr="00924038">
        <w:t xml:space="preserve"> and </w:t>
      </w:r>
      <w:r w:rsidR="00E5787B">
        <w:t xml:space="preserve">finally </w:t>
      </w:r>
      <w:r w:rsidR="00EF19A7" w:rsidRPr="00924038">
        <w:t xml:space="preserve">avoids the difficulty that might be occasioned by </w:t>
      </w:r>
      <w:r w:rsidR="00E5787B">
        <w:t xml:space="preserve">cost </w:t>
      </w:r>
      <w:r w:rsidR="00E5787B" w:rsidRPr="00924038">
        <w:t>capping</w:t>
      </w:r>
      <w:r w:rsidR="00E5787B">
        <w:t>,</w:t>
      </w:r>
      <w:r w:rsidR="00E5787B" w:rsidRPr="00924038">
        <w:t xml:space="preserve"> </w:t>
      </w:r>
      <w:r w:rsidR="00E5787B">
        <w:t xml:space="preserve">which may encourage </w:t>
      </w:r>
      <w:r w:rsidR="00EF19A7" w:rsidRPr="00924038">
        <w:t xml:space="preserve">a respondent </w:t>
      </w:r>
      <w:r w:rsidR="00E5787B">
        <w:t>to wear</w:t>
      </w:r>
      <w:r w:rsidR="00EF19A7" w:rsidRPr="00924038">
        <w:t xml:space="preserve"> down the resources of an applicant subject to a cap.  </w:t>
      </w:r>
    </w:p>
    <w:p w:rsidR="0071020C" w:rsidRDefault="004D6890" w:rsidP="00B2213B">
      <w:pPr>
        <w:pStyle w:val="ParaNumbering"/>
      </w:pPr>
      <w:r>
        <w:rPr>
          <w:i/>
        </w:rPr>
        <w:t>Seventee</w:t>
      </w:r>
      <w:r w:rsidRPr="00924038">
        <w:rPr>
          <w:i/>
        </w:rPr>
        <w:t>nth</w:t>
      </w:r>
      <w:r>
        <w:rPr>
          <w:i/>
        </w:rPr>
        <w:t>ly</w:t>
      </w:r>
      <w:r w:rsidR="00E5787B">
        <w:t xml:space="preserve">, </w:t>
      </w:r>
      <w:r w:rsidR="00EF19A7" w:rsidRPr="00924038">
        <w:t>doing the best that one can to conduct a comparative analysis of the most likely returns to group members in a range of different scenarios on the basis of common costs assumptions</w:t>
      </w:r>
      <w:r w:rsidR="00E5787B">
        <w:t>,</w:t>
      </w:r>
      <w:r w:rsidR="00EF19A7" w:rsidRPr="00924038">
        <w:t xml:space="preserve"> the Webb Proceeding is </w:t>
      </w:r>
      <w:r w:rsidR="00A8638C">
        <w:t xml:space="preserve">very </w:t>
      </w:r>
      <w:r w:rsidR="00EF19A7" w:rsidRPr="00924038">
        <w:t>likely to produce a better return for group members</w:t>
      </w:r>
      <w:r w:rsidR="00E5787B">
        <w:t xml:space="preserve"> in </w:t>
      </w:r>
      <w:r w:rsidR="007643BC">
        <w:t xml:space="preserve">the vast bulk of realistic </w:t>
      </w:r>
      <w:r w:rsidR="00E5787B">
        <w:t xml:space="preserve">scenarios </w:t>
      </w:r>
      <w:r w:rsidR="00DD25B0" w:rsidRPr="00924038">
        <w:t xml:space="preserve">at all stages of the proceedings.  </w:t>
      </w:r>
    </w:p>
    <w:p w:rsidR="00E5787B" w:rsidRDefault="004D6890" w:rsidP="00B2213B">
      <w:pPr>
        <w:pStyle w:val="ParaNumbering"/>
      </w:pPr>
      <w:r>
        <w:rPr>
          <w:i/>
        </w:rPr>
        <w:t>Eighteenthly</w:t>
      </w:r>
      <w:r w:rsidR="00DD25B0" w:rsidRPr="00924038">
        <w:t xml:space="preserve">, </w:t>
      </w:r>
      <w:r w:rsidR="00372EE3">
        <w:t>although sunk costs will be unlikely to be recovered</w:t>
      </w:r>
      <w:r w:rsidR="00B369CC">
        <w:t>,</w:t>
      </w:r>
      <w:r w:rsidR="00372EE3">
        <w:t xml:space="preserve"> causing some prejudice to funders of any case which does not proceed, no significant prejudice would be occasioned to the funder if the proceeding promoted did not continue and no real prejudice would be occasioned to any group member </w:t>
      </w:r>
      <w:r w:rsidR="007A391C">
        <w:t>who has</w:t>
      </w:r>
      <w:r w:rsidR="00372EE3">
        <w:t xml:space="preserve"> retained solicitors</w:t>
      </w:r>
      <w:r w:rsidR="007643BC">
        <w:t>,</w:t>
      </w:r>
      <w:r w:rsidR="00372EE3">
        <w:t xml:space="preserve"> because if such a group </w:t>
      </w:r>
      <w:r w:rsidR="007A391C">
        <w:t>m</w:t>
      </w:r>
      <w:r w:rsidR="00372EE3">
        <w:t>ember was sufficiently concerned</w:t>
      </w:r>
      <w:r w:rsidR="007A391C">
        <w:t>,</w:t>
      </w:r>
      <w:r w:rsidR="00372EE3">
        <w:t xml:space="preserve"> opt out </w:t>
      </w:r>
      <w:r w:rsidR="007A391C">
        <w:t>is available.</w:t>
      </w:r>
      <w:r w:rsidR="00372EE3">
        <w:t xml:space="preserve"> </w:t>
      </w:r>
      <w:r w:rsidR="00E5787B">
        <w:t xml:space="preserve"> </w:t>
      </w:r>
    </w:p>
    <w:p w:rsidR="000969EC" w:rsidRPr="00924038" w:rsidRDefault="004D6890" w:rsidP="004D6890">
      <w:pPr>
        <w:pStyle w:val="ParaNumbering"/>
      </w:pPr>
      <w:r>
        <w:rPr>
          <w:i/>
        </w:rPr>
        <w:t>Nine</w:t>
      </w:r>
      <w:r w:rsidR="00E5787B">
        <w:rPr>
          <w:i/>
        </w:rPr>
        <w:t xml:space="preserve">teenthly, </w:t>
      </w:r>
      <w:r w:rsidR="007A391C">
        <w:t xml:space="preserve">connected to the last point, </w:t>
      </w:r>
      <w:r w:rsidR="0018188B" w:rsidRPr="00924038">
        <w:t xml:space="preserve">notwithstanding issues arise by reason of the </w:t>
      </w:r>
      <w:r w:rsidR="00E5787B">
        <w:t xml:space="preserve">existence of funding agreements, </w:t>
      </w:r>
      <w:r w:rsidR="0018188B" w:rsidRPr="00924038">
        <w:t xml:space="preserve">there is presently no evidence that the funders would enforce obligations to pay amounts </w:t>
      </w:r>
      <w:r w:rsidR="00DC3071" w:rsidRPr="00924038">
        <w:t xml:space="preserve">recovered </w:t>
      </w:r>
      <w:r w:rsidR="00E5787B">
        <w:t xml:space="preserve">in </w:t>
      </w:r>
      <w:r w:rsidR="00B369CC">
        <w:t xml:space="preserve">the </w:t>
      </w:r>
      <w:r w:rsidR="00E5787B">
        <w:t>proceeding</w:t>
      </w:r>
      <w:r w:rsidR="00B369CC">
        <w:t>s</w:t>
      </w:r>
      <w:r w:rsidR="00DC3071" w:rsidRPr="00924038">
        <w:t xml:space="preserve"> </w:t>
      </w:r>
      <w:r w:rsidR="00E5787B">
        <w:t xml:space="preserve">other than the proceeding the funder promoted </w:t>
      </w:r>
      <w:r w:rsidR="00DC3071" w:rsidRPr="00924038">
        <w:t>and, even if this was the case, there are potential responses which may be available to minimise the impact of this issue.</w:t>
      </w:r>
    </w:p>
    <w:p w:rsidR="000969EC" w:rsidRPr="00924038" w:rsidRDefault="000969EC" w:rsidP="00265BEA">
      <w:pPr>
        <w:pStyle w:val="Heading1"/>
      </w:pPr>
      <w:bookmarkStart w:id="90" w:name="_Ref514405657"/>
      <w:r w:rsidRPr="00924038">
        <w:t>J</w:t>
      </w:r>
      <w:r w:rsidRPr="00924038">
        <w:tab/>
      </w:r>
      <w:r w:rsidR="00913157" w:rsidRPr="00924038">
        <w:t>An Assessment Of What Should Be Done</w:t>
      </w:r>
      <w:bookmarkEnd w:id="90"/>
    </w:p>
    <w:p w:rsidR="000969EC" w:rsidRPr="00924038" w:rsidRDefault="000969EC" w:rsidP="00265BEA">
      <w:pPr>
        <w:pStyle w:val="Heading2"/>
      </w:pPr>
      <w:bookmarkStart w:id="91" w:name="_Ref514405658"/>
      <w:r w:rsidRPr="00924038">
        <w:t>J.1</w:t>
      </w:r>
      <w:r w:rsidRPr="00924038">
        <w:tab/>
      </w:r>
      <w:proofErr w:type="gramStart"/>
      <w:r w:rsidRPr="00924038">
        <w:t>The</w:t>
      </w:r>
      <w:proofErr w:type="gramEnd"/>
      <w:r w:rsidRPr="00924038">
        <w:t xml:space="preserve"> Need for a Multifactorial Approach</w:t>
      </w:r>
      <w:bookmarkEnd w:id="91"/>
      <w:r w:rsidRPr="00924038">
        <w:t xml:space="preserve"> </w:t>
      </w:r>
    </w:p>
    <w:p w:rsidR="000969EC" w:rsidRPr="00924038" w:rsidRDefault="000969EC" w:rsidP="000969EC">
      <w:pPr>
        <w:pStyle w:val="ParaNumbering"/>
      </w:pPr>
      <w:r w:rsidRPr="00924038">
        <w:t xml:space="preserve">I have previously referred to the assessment as to which of the competing class actions should go forward as one which is multifactorial and I have identified the factors that I consider to be relevant in the assessment.  </w:t>
      </w:r>
    </w:p>
    <w:p w:rsidR="000969EC" w:rsidRPr="00924038" w:rsidRDefault="00A8638C" w:rsidP="000969EC">
      <w:pPr>
        <w:pStyle w:val="ParaNumbering"/>
      </w:pPr>
      <w:r>
        <w:t xml:space="preserve">As would no doubt already </w:t>
      </w:r>
      <w:r w:rsidR="00B369CC">
        <w:t xml:space="preserve">be </w:t>
      </w:r>
      <w:r>
        <w:t>clear,</w:t>
      </w:r>
      <w:r w:rsidR="000969EC" w:rsidRPr="00924038">
        <w:t xml:space="preserve"> I accept the submission made by the McTaggart applicants that the comparison of the class actions, and the common fund models in </w:t>
      </w:r>
      <w:r w:rsidR="000969EC" w:rsidRPr="00924038">
        <w:lastRenderedPageBreak/>
        <w:t>particular, is more than a mere matter of arithmetic and the exercise is more nuanced than simply comparing likely financial outcomes.  One cannot assess the value of a common fund proposal without taking i</w:t>
      </w:r>
      <w:r w:rsidR="007643BC">
        <w:t>nto consideration other factors.  F</w:t>
      </w:r>
      <w:r w:rsidR="000969EC" w:rsidRPr="00924038">
        <w:t>or example, if the funder does not have the financial wherewithal to sustain the litigation</w:t>
      </w:r>
      <w:r w:rsidR="007643BC">
        <w:t>,</w:t>
      </w:r>
      <w:r w:rsidR="000969EC" w:rsidRPr="00924038">
        <w:t xml:space="preserve"> then attractive </w:t>
      </w:r>
      <w:r w:rsidR="00CE0CE2">
        <w:t>funding proposals</w:t>
      </w:r>
      <w:r w:rsidR="000969EC" w:rsidRPr="00924038">
        <w:t xml:space="preserve"> are of little use.  The McTaggart applicants also make the point that if there is real ambiguity or lack of clarity in the funding proposal then this would be an important factor.  In the abstract this may have some force, but although there is no written funding agreement in the Webb Proceeding</w:t>
      </w:r>
      <w:r w:rsidR="00426AF2">
        <w:t>,</w:t>
      </w:r>
      <w:r w:rsidR="000969EC" w:rsidRPr="00924038">
        <w:t xml:space="preserve"> I have no reason to doubt the genuineness of the commitment to fund and, in any event, if there is any ambiguity as to terms</w:t>
      </w:r>
      <w:r w:rsidR="00B369CC">
        <w:t>,</w:t>
      </w:r>
      <w:r w:rsidR="000969EC" w:rsidRPr="00924038">
        <w:t xml:space="preserve"> these problems will be overcome with a properly calibrated common fund order similar to the order made in </w:t>
      </w:r>
      <w:r w:rsidR="000969EC" w:rsidRPr="00924038">
        <w:rPr>
          <w:i/>
        </w:rPr>
        <w:t xml:space="preserve">Pearson </w:t>
      </w:r>
      <w:r w:rsidR="00064596">
        <w:t xml:space="preserve">where Murphy J </w:t>
      </w:r>
      <w:r w:rsidR="000969EC" w:rsidRPr="00924038">
        <w:t xml:space="preserve">specified, with precision, the terms to which the funder would be bound.  </w:t>
      </w:r>
    </w:p>
    <w:p w:rsidR="000969EC" w:rsidRPr="00924038" w:rsidRDefault="000969EC" w:rsidP="00CE0CE2">
      <w:pPr>
        <w:pStyle w:val="ParaNumbering"/>
      </w:pPr>
      <w:r w:rsidRPr="00924038">
        <w:t xml:space="preserve">Put simply, what is being undertaken </w:t>
      </w:r>
      <w:r w:rsidR="000B3178">
        <w:t xml:space="preserve">in the comparative analysis </w:t>
      </w:r>
      <w:r w:rsidRPr="00924038">
        <w:t xml:space="preserve">is a broad evaluative assessment and synthesis of </w:t>
      </w:r>
      <w:r w:rsidR="00B807AF">
        <w:t xml:space="preserve">all </w:t>
      </w:r>
      <w:r w:rsidRPr="00924038">
        <w:t xml:space="preserve">the factors </w:t>
      </w:r>
      <w:r w:rsidR="00CE0CE2">
        <w:t>to which</w:t>
      </w:r>
      <w:r w:rsidRPr="00924038">
        <w:t xml:space="preserve"> I have referred</w:t>
      </w:r>
      <w:r w:rsidR="00CE0CE2">
        <w:t xml:space="preserve"> and my finding</w:t>
      </w:r>
      <w:r w:rsidR="00A8638C">
        <w:t>s</w:t>
      </w:r>
      <w:r w:rsidR="00CE0CE2">
        <w:t xml:space="preserve"> in relation to them</w:t>
      </w:r>
      <w:r w:rsidRPr="00924038">
        <w:t>.</w:t>
      </w:r>
    </w:p>
    <w:p w:rsidR="000A354B" w:rsidRPr="00924038" w:rsidRDefault="000969EC" w:rsidP="00260B61">
      <w:pPr>
        <w:pStyle w:val="Heading2"/>
      </w:pPr>
      <w:bookmarkStart w:id="92" w:name="_Ref514405659"/>
      <w:bookmarkStart w:id="93" w:name="_Ref514668589"/>
      <w:r w:rsidRPr="00924038">
        <w:t>J.2</w:t>
      </w:r>
      <w:r w:rsidRPr="00924038">
        <w:tab/>
      </w:r>
      <w:bookmarkStart w:id="94" w:name="_Ref514405660"/>
      <w:bookmarkEnd w:id="92"/>
      <w:r w:rsidRPr="00924038">
        <w:t xml:space="preserve">Conclusions on the Comparative </w:t>
      </w:r>
      <w:r w:rsidR="0089400E">
        <w:t xml:space="preserve">Multifactorial </w:t>
      </w:r>
      <w:r w:rsidRPr="00924038">
        <w:t>Assessment</w:t>
      </w:r>
      <w:bookmarkEnd w:id="93"/>
      <w:bookmarkEnd w:id="94"/>
    </w:p>
    <w:p w:rsidR="00141ECA" w:rsidRDefault="00141ECA" w:rsidP="00141ECA">
      <w:pPr>
        <w:pStyle w:val="ParaNumbering"/>
      </w:pPr>
      <w:r>
        <w:t>As my findings indicate, m</w:t>
      </w:r>
      <w:r w:rsidR="000B3178">
        <w:t>any</w:t>
      </w:r>
      <w:r w:rsidR="00DA58FD" w:rsidRPr="00924038">
        <w:t xml:space="preserve"> factors are equal but the Webb Proceeding has proposed innovative ways of seeking to reduce legal costs both by the discipline of subjecting ongoing legal costs to the scrutiny of an independently appointed referee</w:t>
      </w:r>
      <w:r>
        <w:t>,</w:t>
      </w:r>
      <w:r w:rsidR="00DA58FD" w:rsidRPr="00924038">
        <w:t xml:space="preserve"> and also by being at least willing to</w:t>
      </w:r>
      <w:r>
        <w:t xml:space="preserve"> be open to</w:t>
      </w:r>
      <w:r w:rsidR="00DA58FD" w:rsidRPr="00924038">
        <w:t xml:space="preserve"> the prospect of a court appointed expert plac</w:t>
      </w:r>
      <w:r>
        <w:t>ing</w:t>
      </w:r>
      <w:r w:rsidR="00DA58FD" w:rsidRPr="00924038">
        <w:t xml:space="preserve"> opinion evidence before the Court in the most efficient </w:t>
      </w:r>
      <w:r w:rsidR="007643BC">
        <w:t xml:space="preserve">and useful </w:t>
      </w:r>
      <w:r w:rsidR="00DA58FD" w:rsidRPr="00924038">
        <w:t>way.  Both th</w:t>
      </w:r>
      <w:r>
        <w:t>ese proposals not only reflect</w:t>
      </w:r>
      <w:r w:rsidR="00DA58FD" w:rsidRPr="00924038">
        <w:t xml:space="preserve"> </w:t>
      </w:r>
      <w:r>
        <w:t>close attention to Mr Webb’s overarching purpose obligations</w:t>
      </w:r>
      <w:r w:rsidR="00DA58FD" w:rsidRPr="00924038">
        <w:t xml:space="preserve">, but are likely to operate to the advantage of </w:t>
      </w:r>
      <w:r w:rsidR="00B369CC">
        <w:t>group</w:t>
      </w:r>
      <w:r>
        <w:t xml:space="preserve"> members in </w:t>
      </w:r>
      <w:r w:rsidR="00DA58FD" w:rsidRPr="00924038">
        <w:t>reducing costs prior to an</w:t>
      </w:r>
      <w:r>
        <w:t xml:space="preserve">y settlement.  Moreover, importantly, as I have explained, I consider the </w:t>
      </w:r>
      <w:r w:rsidR="000B3178">
        <w:t>partly cost</w:t>
      </w:r>
      <w:r w:rsidR="00B369CC">
        <w:t>-</w:t>
      </w:r>
      <w:r w:rsidR="000B3178">
        <w:t xml:space="preserve">based </w:t>
      </w:r>
      <w:r>
        <w:t>structure of the funding model to be superior to that suggested by Mr Perera or the McTaggart applicants</w:t>
      </w:r>
      <w:r w:rsidR="007643BC">
        <w:t xml:space="preserve"> for a range of reasons</w:t>
      </w:r>
      <w:r>
        <w:t>.</w:t>
      </w:r>
    </w:p>
    <w:p w:rsidR="004A5F1A" w:rsidRDefault="004A5F1A" w:rsidP="00B3163B">
      <w:pPr>
        <w:pStyle w:val="ParaNumbering"/>
      </w:pPr>
      <w:r>
        <w:t>Additionally, although I am conscious of the limitations of the modelling</w:t>
      </w:r>
      <w:r w:rsidR="000B3178">
        <w:t>,</w:t>
      </w:r>
      <w:r>
        <w:t xml:space="preserve"> I am satisfied</w:t>
      </w:r>
      <w:r w:rsidR="00B369CC">
        <w:t xml:space="preserve"> that</w:t>
      </w:r>
      <w:r w:rsidRPr="00924038">
        <w:t xml:space="preserve"> the Webb Proceeding is </w:t>
      </w:r>
      <w:r>
        <w:t xml:space="preserve">very </w:t>
      </w:r>
      <w:r w:rsidRPr="00924038">
        <w:t>likely</w:t>
      </w:r>
      <w:r w:rsidR="00B369CC">
        <w:t>,</w:t>
      </w:r>
      <w:r w:rsidRPr="00924038">
        <w:t xml:space="preserve"> </w:t>
      </w:r>
      <w:r w:rsidR="00B369CC">
        <w:t xml:space="preserve">in most scenarios </w:t>
      </w:r>
      <w:r w:rsidR="00B369CC" w:rsidRPr="00924038">
        <w:t>at all stages of the proceedings</w:t>
      </w:r>
      <w:r w:rsidR="00B369CC">
        <w:t>,</w:t>
      </w:r>
      <w:r w:rsidR="00B369CC" w:rsidRPr="00924038">
        <w:t xml:space="preserve"> </w:t>
      </w:r>
      <w:r w:rsidRPr="00924038">
        <w:t>to produce a better return for group members</w:t>
      </w:r>
      <w:r w:rsidR="00B369CC">
        <w:t>,</w:t>
      </w:r>
      <w:r>
        <w:t xml:space="preserve"> </w:t>
      </w:r>
      <w:r w:rsidR="00B369CC">
        <w:t>being non-parties to whom the Court has special responsibilities of a protective nature,</w:t>
      </w:r>
      <w:r>
        <w:t>.</w:t>
      </w:r>
    </w:p>
    <w:p w:rsidR="006E4099" w:rsidRPr="00924038" w:rsidRDefault="00141ECA" w:rsidP="00B3163B">
      <w:pPr>
        <w:pStyle w:val="ParaNumbering"/>
      </w:pPr>
      <w:r>
        <w:lastRenderedPageBreak/>
        <w:t xml:space="preserve">When these and </w:t>
      </w:r>
      <w:r w:rsidR="000B3178">
        <w:t xml:space="preserve">all </w:t>
      </w:r>
      <w:r>
        <w:t>my other findings are</w:t>
      </w:r>
      <w:r w:rsidR="00DA58FD" w:rsidRPr="00924038">
        <w:t xml:space="preserve"> taken into account</w:t>
      </w:r>
      <w:r>
        <w:t xml:space="preserve"> (as summarised in Section I</w:t>
      </w:r>
      <w:r w:rsidR="00B369CC">
        <w:t xml:space="preserve"> above</w:t>
      </w:r>
      <w:r>
        <w:t>)</w:t>
      </w:r>
      <w:r w:rsidR="00DA58FD" w:rsidRPr="00924038">
        <w:t xml:space="preserve"> there does </w:t>
      </w:r>
      <w:r>
        <w:t xml:space="preserve">not seem to me to be any doubt </w:t>
      </w:r>
      <w:r w:rsidR="00DA58FD" w:rsidRPr="00924038">
        <w:t xml:space="preserve">that the Webb </w:t>
      </w:r>
      <w:r>
        <w:t>Proceeding is the preferred vehicle for the resolution of the claims of group members</w:t>
      </w:r>
      <w:r w:rsidR="00B3163B" w:rsidRPr="00924038">
        <w:t>.</w:t>
      </w:r>
    </w:p>
    <w:p w:rsidR="003A1F26" w:rsidRPr="00924038" w:rsidRDefault="000A354B" w:rsidP="00260B61">
      <w:pPr>
        <w:pStyle w:val="Heading1"/>
      </w:pPr>
      <w:bookmarkStart w:id="95" w:name="_Ref514405661"/>
      <w:r w:rsidRPr="00924038">
        <w:t>K</w:t>
      </w:r>
      <w:r w:rsidRPr="00924038">
        <w:tab/>
      </w:r>
      <w:r w:rsidR="00913157" w:rsidRPr="00924038">
        <w:t xml:space="preserve">Orders </w:t>
      </w:r>
      <w:r w:rsidR="00726DC4" w:rsidRPr="00924038">
        <w:t xml:space="preserve">as to the </w:t>
      </w:r>
      <w:r w:rsidR="00913157" w:rsidRPr="00924038">
        <w:t>Other Proceedings</w:t>
      </w:r>
      <w:bookmarkEnd w:id="95"/>
    </w:p>
    <w:p w:rsidR="00D3230F" w:rsidRPr="00924038" w:rsidRDefault="000A354B" w:rsidP="00260B61">
      <w:pPr>
        <w:pStyle w:val="Heading2"/>
      </w:pPr>
      <w:bookmarkStart w:id="96" w:name="_Ref514405662"/>
      <w:r w:rsidRPr="00924038">
        <w:t>K</w:t>
      </w:r>
      <w:r w:rsidR="00C605C3" w:rsidRPr="00924038">
        <w:t>.1</w:t>
      </w:r>
      <w:r w:rsidR="00C605C3" w:rsidRPr="00924038">
        <w:tab/>
      </w:r>
      <w:r w:rsidR="000969EC" w:rsidRPr="00924038">
        <w:t>Permanent Stay the Appropriate Remedy</w:t>
      </w:r>
      <w:bookmarkEnd w:id="96"/>
    </w:p>
    <w:p w:rsidR="000969EC" w:rsidRPr="00664CDB" w:rsidRDefault="000969EC" w:rsidP="00664CDB">
      <w:pPr>
        <w:pStyle w:val="ParaNumbering"/>
        <w:rPr>
          <w:szCs w:val="24"/>
        </w:rPr>
      </w:pPr>
      <w:r w:rsidRPr="00664CDB">
        <w:rPr>
          <w:szCs w:val="24"/>
        </w:rPr>
        <w:t>In relation to the Court’s exercise of discretion to stay one of two representative proceedings, t</w:t>
      </w:r>
      <w:r w:rsidR="00664CDB">
        <w:rPr>
          <w:szCs w:val="24"/>
        </w:rPr>
        <w:t xml:space="preserve">wo themes </w:t>
      </w:r>
      <w:r w:rsidR="009B2D66">
        <w:rPr>
          <w:szCs w:val="24"/>
        </w:rPr>
        <w:t>that emerge</w:t>
      </w:r>
      <w:r w:rsidRPr="00664CDB">
        <w:rPr>
          <w:szCs w:val="24"/>
        </w:rPr>
        <w:t xml:space="preserve"> from Beach J’s decision</w:t>
      </w:r>
      <w:r w:rsidR="00B84A8F">
        <w:rPr>
          <w:szCs w:val="24"/>
        </w:rPr>
        <w:t xml:space="preserve"> </w:t>
      </w:r>
      <w:r w:rsidR="003C51FB">
        <w:rPr>
          <w:szCs w:val="24"/>
        </w:rPr>
        <w:t xml:space="preserve">in </w:t>
      </w:r>
      <w:r w:rsidR="003C51FB" w:rsidRPr="003C51FB">
        <w:rPr>
          <w:i/>
          <w:szCs w:val="24"/>
        </w:rPr>
        <w:t>Bellamy’s</w:t>
      </w:r>
      <w:r w:rsidR="003C51FB">
        <w:rPr>
          <w:szCs w:val="24"/>
        </w:rPr>
        <w:t xml:space="preserve"> </w:t>
      </w:r>
      <w:r w:rsidR="00664CDB">
        <w:rPr>
          <w:szCs w:val="24"/>
        </w:rPr>
        <w:t>merit mentioning</w:t>
      </w:r>
      <w:r w:rsidRPr="00664CDB">
        <w:rPr>
          <w:szCs w:val="24"/>
        </w:rPr>
        <w:t>:</w:t>
      </w:r>
    </w:p>
    <w:p w:rsidR="000969EC" w:rsidRPr="00DF0CFD" w:rsidRDefault="000969EC" w:rsidP="00744C10">
      <w:pPr>
        <w:pStyle w:val="Order2"/>
        <w:numPr>
          <w:ilvl w:val="1"/>
          <w:numId w:val="36"/>
        </w:numPr>
        <w:rPr>
          <w:lang w:val="en" w:eastAsia="en-AU"/>
        </w:rPr>
      </w:pPr>
      <w:r w:rsidRPr="00DF0CFD">
        <w:rPr>
          <w:lang w:val="en" w:eastAsia="en-AU"/>
        </w:rPr>
        <w:t>“</w:t>
      </w:r>
      <w:r w:rsidRPr="00DF0CFD">
        <w:rPr>
          <w:i/>
          <w:lang w:val="en" w:eastAsia="en-AU"/>
        </w:rPr>
        <w:t>the commencement of a second bona fide set of representative proceedings prior to the Court giving substantive directions in existing but overlapping representative proceedings (ie with overlapping group members), does not of itself establish any vexation, oppression or an abuse of process</w:t>
      </w:r>
      <w:r w:rsidRPr="00DF0CFD">
        <w:rPr>
          <w:lang w:val="en" w:eastAsia="en-AU"/>
        </w:rPr>
        <w:t>” (at [36]), and to justify permanently staying one proceeding “</w:t>
      </w:r>
      <w:r w:rsidRPr="00DF0CFD">
        <w:rPr>
          <w:i/>
          <w:lang w:val="en" w:eastAsia="en-AU"/>
        </w:rPr>
        <w:t>some powerful and significant reason must be demonstrated</w:t>
      </w:r>
      <w:r w:rsidRPr="00DF0CFD">
        <w:rPr>
          <w:lang w:val="en" w:eastAsia="en-AU"/>
        </w:rPr>
        <w:t>”: at [54];</w:t>
      </w:r>
    </w:p>
    <w:p w:rsidR="000969EC" w:rsidRPr="00DF0CFD" w:rsidRDefault="000969EC" w:rsidP="00744C10">
      <w:pPr>
        <w:pStyle w:val="Order2"/>
        <w:numPr>
          <w:ilvl w:val="1"/>
          <w:numId w:val="36"/>
        </w:numPr>
        <w:rPr>
          <w:lang w:val="en" w:eastAsia="en-AU"/>
        </w:rPr>
      </w:pPr>
      <w:r w:rsidRPr="00DF0CFD">
        <w:rPr>
          <w:lang w:val="en" w:eastAsia="en-AU"/>
        </w:rPr>
        <w:t xml:space="preserve">it is a very serious matter for the Court to interfere with contractual arrangements entered into by members of a </w:t>
      </w:r>
      <w:r w:rsidR="00FD5B31" w:rsidRPr="00DF0CFD">
        <w:rPr>
          <w:lang w:val="en" w:eastAsia="en-AU"/>
        </w:rPr>
        <w:t>group</w:t>
      </w:r>
      <w:r w:rsidRPr="00DF0CFD">
        <w:rPr>
          <w:lang w:val="en" w:eastAsia="en-AU"/>
        </w:rPr>
        <w:t xml:space="preserve"> with solicitors and a funder of their choice, and “</w:t>
      </w:r>
      <w:r w:rsidRPr="00DF0CFD">
        <w:rPr>
          <w:i/>
          <w:lang w:val="en" w:eastAsia="en-AU"/>
        </w:rPr>
        <w:t>displacing contractual arrangements made by significant numbers of group members should be avoided (if possible) where I can otherwise ensure that signed and unsigned group members’ interests are properly protected in any event</w:t>
      </w:r>
      <w:r w:rsidRPr="00DF0CFD">
        <w:rPr>
          <w:lang w:val="en" w:eastAsia="en-AU"/>
        </w:rPr>
        <w:t>”: at [39]</w:t>
      </w:r>
      <w:r w:rsidR="006919FA" w:rsidRPr="00DF0CFD">
        <w:rPr>
          <w:lang w:val="en" w:eastAsia="en-AU"/>
        </w:rPr>
        <w:t>; see also</w:t>
      </w:r>
      <w:r w:rsidRPr="00DF0CFD">
        <w:rPr>
          <w:lang w:val="en" w:eastAsia="en-AU"/>
        </w:rPr>
        <w:t xml:space="preserve"> [56]</w:t>
      </w:r>
      <w:r w:rsidR="006919FA" w:rsidRPr="00DF0CFD">
        <w:rPr>
          <w:lang w:val="en" w:eastAsia="en-AU"/>
        </w:rPr>
        <w:t xml:space="preserve"> and</w:t>
      </w:r>
      <w:r w:rsidRPr="00DF0CFD">
        <w:rPr>
          <w:lang w:val="en" w:eastAsia="en-AU"/>
        </w:rPr>
        <w:t xml:space="preserve"> [97].</w:t>
      </w:r>
    </w:p>
    <w:p w:rsidR="00E03BA1" w:rsidRPr="009B2D66" w:rsidRDefault="00E03BA1" w:rsidP="00E03BA1">
      <w:pPr>
        <w:pStyle w:val="ParaNumbering"/>
        <w:rPr>
          <w:szCs w:val="24"/>
        </w:rPr>
      </w:pPr>
      <w:r>
        <w:t xml:space="preserve">The Perera Proceeding and </w:t>
      </w:r>
      <w:r w:rsidR="00FD5B31">
        <w:t xml:space="preserve">the </w:t>
      </w:r>
      <w:r>
        <w:t xml:space="preserve">McTaggart Proceeding were both commenced </w:t>
      </w:r>
      <w:r w:rsidRPr="00E03BA1">
        <w:rPr>
          <w:i/>
        </w:rPr>
        <w:t>bona fide</w:t>
      </w:r>
      <w:r>
        <w:t xml:space="preserve"> and for a proper purpose.  For them to be stayed does require a </w:t>
      </w:r>
      <w:r w:rsidRPr="00924038">
        <w:t>powerful</w:t>
      </w:r>
      <w:r w:rsidRPr="00924038">
        <w:rPr>
          <w:spacing w:val="-6"/>
        </w:rPr>
        <w:t xml:space="preserve"> </w:t>
      </w:r>
      <w:r w:rsidRPr="00924038">
        <w:t>and</w:t>
      </w:r>
      <w:r w:rsidRPr="00924038">
        <w:rPr>
          <w:spacing w:val="-7"/>
        </w:rPr>
        <w:t xml:space="preserve"> </w:t>
      </w:r>
      <w:r w:rsidRPr="00924038">
        <w:t>significant</w:t>
      </w:r>
      <w:r w:rsidRPr="00924038">
        <w:rPr>
          <w:spacing w:val="-9"/>
        </w:rPr>
        <w:t xml:space="preserve"> </w:t>
      </w:r>
      <w:r w:rsidRPr="00924038">
        <w:t>reason</w:t>
      </w:r>
      <w:r>
        <w:rPr>
          <w:spacing w:val="-7"/>
        </w:rPr>
        <w:t>.</w:t>
      </w:r>
      <w:r>
        <w:t xml:space="preserve">  In staying them I </w:t>
      </w:r>
      <w:r w:rsidR="00AD429F">
        <w:t xml:space="preserve">recognise that the Court </w:t>
      </w:r>
      <w:r>
        <w:t>will, in effect</w:t>
      </w:r>
      <w:r w:rsidR="00B84A8F">
        <w:t>,</w:t>
      </w:r>
      <w:r>
        <w:t xml:space="preserve"> be interfering</w:t>
      </w:r>
      <w:r w:rsidRPr="00E03BA1">
        <w:rPr>
          <w:spacing w:val="-12"/>
        </w:rPr>
        <w:t xml:space="preserve"> </w:t>
      </w:r>
      <w:r w:rsidRPr="00924038">
        <w:t>with</w:t>
      </w:r>
      <w:r w:rsidRPr="00E03BA1">
        <w:rPr>
          <w:spacing w:val="-13"/>
        </w:rPr>
        <w:t xml:space="preserve"> </w:t>
      </w:r>
      <w:r w:rsidRPr="00924038">
        <w:t>contractual</w:t>
      </w:r>
      <w:r w:rsidRPr="00E03BA1">
        <w:rPr>
          <w:spacing w:val="-11"/>
        </w:rPr>
        <w:t xml:space="preserve"> </w:t>
      </w:r>
      <w:r w:rsidRPr="00924038">
        <w:t xml:space="preserve">arrangements entered into by members of a </w:t>
      </w:r>
      <w:r w:rsidR="00FD5B31">
        <w:t>group</w:t>
      </w:r>
      <w:r w:rsidRPr="00924038">
        <w:t xml:space="preserve"> with solicito</w:t>
      </w:r>
      <w:r w:rsidR="00B84A8F">
        <w:t>rs and a funder of their choice.  This</w:t>
      </w:r>
      <w:r w:rsidR="00AD429F">
        <w:t xml:space="preserve"> interf</w:t>
      </w:r>
      <w:r w:rsidR="00B84A8F">
        <w:t>erence is, however</w:t>
      </w:r>
      <w:r w:rsidR="00AD429F">
        <w:t>,</w:t>
      </w:r>
      <w:r w:rsidR="00B84A8F">
        <w:t xml:space="preserve"> in the following context: (a) that one of the contractual counterparties </w:t>
      </w:r>
      <w:r w:rsidR="00AD429F">
        <w:t xml:space="preserve">(with the participation of the other) </w:t>
      </w:r>
      <w:r w:rsidR="00B84A8F">
        <w:t>has decided to p</w:t>
      </w:r>
      <w:r w:rsidR="00AD429F">
        <w:t>ut forward a p</w:t>
      </w:r>
      <w:r w:rsidR="00B84A8F">
        <w:t>ropose</w:t>
      </w:r>
      <w:r w:rsidR="00AD429F">
        <w:t>d</w:t>
      </w:r>
      <w:r w:rsidR="00B84A8F">
        <w:t xml:space="preserve"> common fund order which means that the relations between the funder and the funded </w:t>
      </w:r>
      <w:r w:rsidR="00FD5B31">
        <w:t>group</w:t>
      </w:r>
      <w:r w:rsidR="00B84A8F">
        <w:t xml:space="preserve"> members </w:t>
      </w:r>
      <w:r w:rsidR="00AD429F">
        <w:t xml:space="preserve">in the common enterprise going forward were, in any event, </w:t>
      </w:r>
      <w:r w:rsidR="00B84A8F">
        <w:t xml:space="preserve">to </w:t>
      </w:r>
      <w:r w:rsidR="00AD429F">
        <w:t xml:space="preserve">be </w:t>
      </w:r>
      <w:r w:rsidR="00B84A8F">
        <w:t xml:space="preserve">regulated by order of the Court; (b) there are not a </w:t>
      </w:r>
      <w:r>
        <w:t>significant number</w:t>
      </w:r>
      <w:r w:rsidR="00B84A8F">
        <w:t xml:space="preserve"> of funded group members; (c) </w:t>
      </w:r>
      <w:r w:rsidR="00AD429F">
        <w:t>the permanent stays will not act in a way so as to prevent either Mr Perer</w:t>
      </w:r>
      <w:r w:rsidR="00FC139F">
        <w:t xml:space="preserve">a </w:t>
      </w:r>
      <w:r w:rsidR="00FD5B31">
        <w:t>or</w:t>
      </w:r>
      <w:r w:rsidR="00FC139F">
        <w:t xml:space="preserve"> the McTaggart applicants f</w:t>
      </w:r>
      <w:r w:rsidR="00AD429F">
        <w:t>r</w:t>
      </w:r>
      <w:r w:rsidR="00FC139F">
        <w:t>o</w:t>
      </w:r>
      <w:r w:rsidR="00AD429F">
        <w:t>m retaining solicitors of their choice in relation to their individual claim against GetSwift if they so wish (as explained below</w:t>
      </w:r>
      <w:r w:rsidR="00AD429F" w:rsidRPr="009B2D66">
        <w:rPr>
          <w:szCs w:val="24"/>
        </w:rPr>
        <w:t>)</w:t>
      </w:r>
      <w:r w:rsidR="00252D25">
        <w:rPr>
          <w:szCs w:val="24"/>
        </w:rPr>
        <w:t>;</w:t>
      </w:r>
      <w:r w:rsidR="009B2D66" w:rsidRPr="009B2D66">
        <w:rPr>
          <w:szCs w:val="24"/>
        </w:rPr>
        <w:t xml:space="preserve"> and (d) there is a danger in present context of </w:t>
      </w:r>
      <w:r w:rsidR="009B2D66" w:rsidRPr="009B2D66">
        <w:rPr>
          <w:szCs w:val="24"/>
        </w:rPr>
        <w:lastRenderedPageBreak/>
        <w:t xml:space="preserve">exalting, with undue emphasis, sanctity of contract, as at least some judges have observed that any contractual arrangements are subject to any exercise of judicial </w:t>
      </w:r>
      <w:r w:rsidR="009B2D66">
        <w:rPr>
          <w:szCs w:val="24"/>
        </w:rPr>
        <w:t xml:space="preserve">power under s 33V </w:t>
      </w:r>
      <w:r w:rsidR="009B2D66" w:rsidRPr="009B2D66">
        <w:rPr>
          <w:szCs w:val="24"/>
        </w:rPr>
        <w:t xml:space="preserve">in any event: see </w:t>
      </w:r>
      <w:r w:rsidR="009B2D66" w:rsidRPr="009B2D66">
        <w:rPr>
          <w:i/>
          <w:szCs w:val="24"/>
        </w:rPr>
        <w:t>Bellamy’s</w:t>
      </w:r>
      <w:r w:rsidR="009B2D66" w:rsidRPr="009B2D66">
        <w:rPr>
          <w:szCs w:val="24"/>
        </w:rPr>
        <w:t xml:space="preserve"> at [56].</w:t>
      </w:r>
    </w:p>
    <w:p w:rsidR="00D3230F" w:rsidRDefault="00AD429F" w:rsidP="00084E53">
      <w:pPr>
        <w:pStyle w:val="ParaNumbering"/>
      </w:pPr>
      <w:r>
        <w:t>Of course, t</w:t>
      </w:r>
      <w:r w:rsidR="007D1B36">
        <w:t xml:space="preserve">he </w:t>
      </w:r>
      <w:r w:rsidR="00B84A8F">
        <w:t xml:space="preserve">further contextual matter is the </w:t>
      </w:r>
      <w:r w:rsidR="00664733">
        <w:t>first five</w:t>
      </w:r>
      <w:r w:rsidR="007D1B36">
        <w:t xml:space="preserve"> o</w:t>
      </w:r>
      <w:r w:rsidR="000B3178">
        <w:t>f my findings summarised at [306]</w:t>
      </w:r>
      <w:r w:rsidR="006919FA">
        <w:t>-</w:t>
      </w:r>
      <w:r w:rsidR="00664733">
        <w:t>[310</w:t>
      </w:r>
      <w:r w:rsidR="007D1B36">
        <w:t xml:space="preserve">] above </w:t>
      </w:r>
      <w:r w:rsidR="00B84A8F">
        <w:t xml:space="preserve">which, in any event, </w:t>
      </w:r>
      <w:r w:rsidR="007D1B36">
        <w:t>establish and provide such a significant and powerful reason.  This requires some elaboration.</w:t>
      </w:r>
      <w:r w:rsidR="00664CDB">
        <w:t xml:space="preserve"> </w:t>
      </w:r>
    </w:p>
    <w:p w:rsidR="007D1B36" w:rsidRDefault="0089400E" w:rsidP="007D1B36">
      <w:pPr>
        <w:pStyle w:val="ParaNumbering"/>
      </w:pPr>
      <w:r w:rsidRPr="00924038">
        <w:t xml:space="preserve">If one goes back to </w:t>
      </w:r>
      <w:r w:rsidRPr="007D1B36">
        <w:rPr>
          <w:i/>
        </w:rPr>
        <w:t xml:space="preserve">Campbells Cash </w:t>
      </w:r>
      <w:r w:rsidR="00C004BF">
        <w:rPr>
          <w:i/>
        </w:rPr>
        <w:t>and</w:t>
      </w:r>
      <w:r w:rsidRPr="007D1B36">
        <w:rPr>
          <w:i/>
        </w:rPr>
        <w:t xml:space="preserve"> Carry Pty Limited v Fostif Pty Limited </w:t>
      </w:r>
      <w:r w:rsidRPr="00924038">
        <w:t xml:space="preserve">[2006] HCA 41; (2006) 229 CLR 386 at </w:t>
      </w:r>
      <w:r w:rsidR="00C004BF">
        <w:t xml:space="preserve">433-434 </w:t>
      </w:r>
      <w:r w:rsidRPr="00924038">
        <w:t>[88]</w:t>
      </w:r>
      <w:r w:rsidR="00C004BF">
        <w:t>,</w:t>
      </w:r>
      <w:r w:rsidRPr="00924038">
        <w:t xml:space="preserve"> after referring to the submissions of the appellants as to the “</w:t>
      </w:r>
      <w:r w:rsidRPr="007D1B36">
        <w:rPr>
          <w:i/>
        </w:rPr>
        <w:t>officious intermeddling</w:t>
      </w:r>
      <w:r w:rsidRPr="00924038">
        <w:t>”</w:t>
      </w:r>
      <w:r w:rsidRPr="007D1B36">
        <w:rPr>
          <w:i/>
        </w:rPr>
        <w:t xml:space="preserve"> </w:t>
      </w:r>
      <w:r w:rsidRPr="00924038">
        <w:t>said to arise by funded litigation and the characterisation of the funder as a “</w:t>
      </w:r>
      <w:r w:rsidRPr="007D1B36">
        <w:rPr>
          <w:i/>
        </w:rPr>
        <w:t>speculative investor</w:t>
      </w:r>
      <w:r w:rsidRPr="00924038">
        <w:t xml:space="preserve"> </w:t>
      </w:r>
      <w:r w:rsidRPr="007D1B36">
        <w:rPr>
          <w:i/>
        </w:rPr>
        <w:t>in other persons’ litigation</w:t>
      </w:r>
      <w:r w:rsidRPr="00924038">
        <w:t xml:space="preserve">”, Gummow, Hayne and Crennan JJ observed that once these epithets were shorn, what they sought to fasten upon is that the issue of </w:t>
      </w:r>
      <w:r w:rsidR="00FD5B31">
        <w:t xml:space="preserve">a </w:t>
      </w:r>
      <w:r w:rsidRPr="00924038">
        <w:t xml:space="preserve">funder working out who has claims and offering terms which would yield a profit did not, alone, or in combination, warrant condemnation as being contrary to public policy or leading to any abuse of process.  The Court went on </w:t>
      </w:r>
      <w:r w:rsidR="007D1B36">
        <w:t xml:space="preserve">to say </w:t>
      </w:r>
      <w:r w:rsidR="00FD5B31">
        <w:t>that</w:t>
      </w:r>
      <w:r w:rsidR="007D1B36">
        <w:t xml:space="preserve"> </w:t>
      </w:r>
      <w:r w:rsidR="007D1B36" w:rsidRPr="00AD429F">
        <w:t xml:space="preserve">any </w:t>
      </w:r>
      <w:r w:rsidRPr="00AD429F">
        <w:t>overarching rule of public policy</w:t>
      </w:r>
      <w:r w:rsidR="007D1B36" w:rsidRPr="00AD429F">
        <w:t xml:space="preserve"> </w:t>
      </w:r>
      <w:r w:rsidRPr="00AD429F">
        <w:t>prevent</w:t>
      </w:r>
      <w:r w:rsidR="007D1B36" w:rsidRPr="00AD429F">
        <w:t>ing</w:t>
      </w:r>
      <w:r w:rsidRPr="00924038">
        <w:t xml:space="preserve"> litigation funding </w:t>
      </w:r>
      <w:r w:rsidR="007D1B36">
        <w:t xml:space="preserve">should be rejected </w:t>
      </w:r>
      <w:r w:rsidRPr="00924038">
        <w:t>because to adopt such an overarching rule would be take “</w:t>
      </w:r>
      <w:r w:rsidRPr="007D1B36">
        <w:rPr>
          <w:i/>
        </w:rPr>
        <w:t>too broad an axe</w:t>
      </w:r>
      <w:r w:rsidRPr="00924038">
        <w:t xml:space="preserve"> </w:t>
      </w:r>
      <w:r w:rsidRPr="007D1B36">
        <w:rPr>
          <w:i/>
        </w:rPr>
        <w:t>to the problems which may be seen to lie behind the fears</w:t>
      </w:r>
      <w:r w:rsidRPr="00924038">
        <w:t>”</w:t>
      </w:r>
      <w:r w:rsidR="00C004BF">
        <w:t xml:space="preserve"> at 434 [91]</w:t>
      </w:r>
      <w:r w:rsidRPr="00924038">
        <w:t xml:space="preserve">.  The difficulties in </w:t>
      </w:r>
      <w:r w:rsidR="007D1B36">
        <w:t xml:space="preserve">funded </w:t>
      </w:r>
      <w:r w:rsidRPr="00924038">
        <w:t xml:space="preserve">class actions were regarded as not </w:t>
      </w:r>
      <w:r w:rsidR="007D1B36">
        <w:t xml:space="preserve">substantively </w:t>
      </w:r>
      <w:r w:rsidRPr="00924038">
        <w:t>different to the problems the courts confront in different c</w:t>
      </w:r>
      <w:r w:rsidR="00AD429F">
        <w:t>ontexts</w:t>
      </w:r>
      <w:r w:rsidR="00252D25">
        <w:t>,</w:t>
      </w:r>
      <w:r w:rsidR="00AD429F">
        <w:t xml:space="preserve"> </w:t>
      </w:r>
      <w:r w:rsidRPr="00924038">
        <w:t>hence the solution to any problem would be “</w:t>
      </w:r>
      <w:r w:rsidRPr="007D1B36">
        <w:rPr>
          <w:i/>
        </w:rPr>
        <w:t>sufficiently addressed by existing doctrines of abuse of process and other procedural and substantive elements of the court’s processes</w:t>
      </w:r>
      <w:r w:rsidRPr="00924038">
        <w:t xml:space="preserve">”: see </w:t>
      </w:r>
      <w:r w:rsidR="00C004BF">
        <w:t xml:space="preserve">435 </w:t>
      </w:r>
      <w:r w:rsidRPr="00924038">
        <w:t xml:space="preserve">[93].  </w:t>
      </w:r>
    </w:p>
    <w:p w:rsidR="00AD429F" w:rsidRDefault="00E826F0" w:rsidP="00132D63">
      <w:pPr>
        <w:pStyle w:val="ParaNumbering"/>
      </w:pPr>
      <w:r>
        <w:t>Consistently with the H</w:t>
      </w:r>
      <w:r w:rsidR="00AD429F">
        <w:t>igh Court’s observations</w:t>
      </w:r>
      <w:r>
        <w:t>,</w:t>
      </w:r>
      <w:r w:rsidR="00AD429F">
        <w:t xml:space="preserve"> the problems occasioned with competing class actions </w:t>
      </w:r>
      <w:r>
        <w:t xml:space="preserve">(or at least these competing class actions, as demonstrated by my findings) </w:t>
      </w:r>
      <w:r w:rsidR="00AD429F">
        <w:t>can be addressed not</w:t>
      </w:r>
      <w:r>
        <w:t>, as som</w:t>
      </w:r>
      <w:r w:rsidR="00AD429F">
        <w:t>e have suggested, by some broadsword which seeks to undermine the access to justice that funded litigation</w:t>
      </w:r>
      <w:r w:rsidR="00FD5B31">
        <w:t>,</w:t>
      </w:r>
      <w:r w:rsidR="00AD429F">
        <w:t xml:space="preserve"> particularly funded Part IVA litigation</w:t>
      </w:r>
      <w:r w:rsidR="00FD5B31">
        <w:t>,</w:t>
      </w:r>
      <w:r w:rsidR="00AD429F">
        <w:t xml:space="preserve"> undoub</w:t>
      </w:r>
      <w:r>
        <w:t xml:space="preserve">tedly </w:t>
      </w:r>
      <w:r w:rsidR="00AD429F">
        <w:t>provides</w:t>
      </w:r>
      <w:r>
        <w:t>,</w:t>
      </w:r>
      <w:r w:rsidR="00AD429F">
        <w:t xml:space="preserve"> but </w:t>
      </w:r>
      <w:r>
        <w:t xml:space="preserve">by </w:t>
      </w:r>
      <w:r w:rsidR="00AD429F">
        <w:t>ensuring the Court uses its existing power</w:t>
      </w:r>
      <w:r w:rsidR="0083401F">
        <w:t>s</w:t>
      </w:r>
      <w:r w:rsidR="00AD429F">
        <w:t xml:space="preserve"> to contro</w:t>
      </w:r>
      <w:r w:rsidR="00252D25">
        <w:t>l its processes to prevent abuses</w:t>
      </w:r>
      <w:r w:rsidR="00AD429F">
        <w:t>.</w:t>
      </w:r>
      <w:r w:rsidR="0083401F">
        <w:t xml:space="preserve"> </w:t>
      </w:r>
    </w:p>
    <w:p w:rsidR="005C29D0" w:rsidRDefault="00ED1847" w:rsidP="00ED1847">
      <w:pPr>
        <w:pStyle w:val="ParaNumbering"/>
      </w:pPr>
      <w:r>
        <w:t>As</w:t>
      </w:r>
      <w:r w:rsidR="0030257F">
        <w:t xml:space="preserve"> noted above, t</w:t>
      </w:r>
      <w:r w:rsidR="005C29D0" w:rsidRPr="00924038">
        <w:t xml:space="preserve">he Full Court in </w:t>
      </w:r>
      <w:r w:rsidR="005C29D0" w:rsidRPr="00924038">
        <w:rPr>
          <w:rStyle w:val="Emphasis"/>
        </w:rPr>
        <w:t>Brookfield Multiplex</w:t>
      </w:r>
      <w:r w:rsidR="005C29D0" w:rsidRPr="00924038">
        <w:t xml:space="preserve"> </w:t>
      </w:r>
      <w:r w:rsidR="005C29D0">
        <w:t xml:space="preserve">explained that </w:t>
      </w:r>
      <w:r w:rsidR="005C29D0">
        <w:rPr>
          <w:rFonts w:eastAsia="Times New Roman"/>
          <w:szCs w:val="24"/>
          <w:lang w:eastAsia="en-AU"/>
        </w:rPr>
        <w:t>a</w:t>
      </w:r>
      <w:r w:rsidR="005C29D0" w:rsidRPr="00924038">
        <w:rPr>
          <w:rFonts w:eastAsia="Times New Roman"/>
          <w:szCs w:val="24"/>
          <w:lang w:eastAsia="en-AU"/>
        </w:rPr>
        <w:t xml:space="preserve"> litigation funding arrangement was a common enterprise in that there was a shared purpose of pursuing group members’ claims successfully that would then benefit the group members, the funder and the solicitors.</w:t>
      </w:r>
      <w:r w:rsidR="0030257F">
        <w:t xml:space="preserve">  From the point of view of Mr Perera and the McTaggart applicants personally, </w:t>
      </w:r>
      <w:r w:rsidR="0030257F">
        <w:lastRenderedPageBreak/>
        <w:t xml:space="preserve">they have entered </w:t>
      </w:r>
      <w:r w:rsidR="0030257F">
        <w:rPr>
          <w:lang w:eastAsia="en-AU"/>
        </w:rPr>
        <w:t>into trilateral</w:t>
      </w:r>
      <w:r w:rsidR="0030257F" w:rsidRPr="00924038">
        <w:rPr>
          <w:lang w:eastAsia="en-AU"/>
        </w:rPr>
        <w:t xml:space="preserve"> arrangements pursuant to which these funded class actions were co</w:t>
      </w:r>
      <w:r w:rsidR="0030257F">
        <w:rPr>
          <w:lang w:eastAsia="en-AU"/>
        </w:rPr>
        <w:t xml:space="preserve">mmenced and pursuant to which they were provided with </w:t>
      </w:r>
      <w:r w:rsidR="0030257F">
        <w:rPr>
          <w:szCs w:val="24"/>
          <w:lang w:eastAsia="en-AU"/>
        </w:rPr>
        <w:t>the opportunity to prosecute their</w:t>
      </w:r>
      <w:r w:rsidR="0030257F" w:rsidRPr="0030257F">
        <w:rPr>
          <w:szCs w:val="24"/>
          <w:lang w:eastAsia="en-AU"/>
        </w:rPr>
        <w:t xml:space="preserve"> </w:t>
      </w:r>
      <w:r w:rsidR="0030257F">
        <w:rPr>
          <w:szCs w:val="24"/>
          <w:lang w:eastAsia="en-AU"/>
        </w:rPr>
        <w:t xml:space="preserve">individual </w:t>
      </w:r>
      <w:r w:rsidR="0030257F" w:rsidRPr="0030257F">
        <w:rPr>
          <w:szCs w:val="24"/>
          <w:lang w:eastAsia="en-AU"/>
        </w:rPr>
        <w:t xml:space="preserve">claim, with </w:t>
      </w:r>
      <w:r w:rsidR="00252D25">
        <w:rPr>
          <w:szCs w:val="24"/>
          <w:lang w:eastAsia="en-AU"/>
        </w:rPr>
        <w:t>adverse costs protection</w:t>
      </w:r>
      <w:r w:rsidR="0030257F" w:rsidRPr="0030257F">
        <w:rPr>
          <w:szCs w:val="24"/>
          <w:lang w:eastAsia="en-AU"/>
        </w:rPr>
        <w:t xml:space="preserve">, </w:t>
      </w:r>
      <w:r w:rsidR="0030257F">
        <w:rPr>
          <w:szCs w:val="24"/>
          <w:lang w:eastAsia="en-AU"/>
        </w:rPr>
        <w:t>and the</w:t>
      </w:r>
      <w:r w:rsidR="0030257F" w:rsidRPr="0030257F">
        <w:rPr>
          <w:szCs w:val="24"/>
          <w:lang w:eastAsia="en-AU"/>
        </w:rPr>
        <w:t xml:space="preserve"> </w:t>
      </w:r>
      <w:r w:rsidR="0030257F">
        <w:rPr>
          <w:szCs w:val="24"/>
          <w:lang w:eastAsia="en-AU"/>
        </w:rPr>
        <w:t xml:space="preserve">successful prosecution of their claims (together with those of group members) </w:t>
      </w:r>
      <w:r w:rsidR="0030257F" w:rsidRPr="0030257F">
        <w:rPr>
          <w:szCs w:val="24"/>
          <w:lang w:eastAsia="en-AU"/>
        </w:rPr>
        <w:t xml:space="preserve">would yield financial benefits to </w:t>
      </w:r>
      <w:r w:rsidR="0030257F">
        <w:rPr>
          <w:szCs w:val="24"/>
          <w:lang w:eastAsia="en-AU"/>
        </w:rPr>
        <w:t xml:space="preserve">them personally (together with </w:t>
      </w:r>
      <w:r w:rsidR="0030257F" w:rsidRPr="0030257F">
        <w:rPr>
          <w:szCs w:val="24"/>
          <w:lang w:eastAsia="en-AU"/>
        </w:rPr>
        <w:t>group members</w:t>
      </w:r>
      <w:r w:rsidR="0030257F">
        <w:rPr>
          <w:szCs w:val="24"/>
          <w:lang w:eastAsia="en-AU"/>
        </w:rPr>
        <w:t>)</w:t>
      </w:r>
      <w:r w:rsidR="0030257F" w:rsidRPr="0030257F">
        <w:rPr>
          <w:szCs w:val="24"/>
          <w:lang w:eastAsia="en-AU"/>
        </w:rPr>
        <w:t>, the funder a</w:t>
      </w:r>
      <w:r w:rsidR="0030257F">
        <w:rPr>
          <w:szCs w:val="24"/>
          <w:lang w:eastAsia="en-AU"/>
        </w:rPr>
        <w:t xml:space="preserve">nd, indirectly, the solicitors.  The common enterprise was, however, just that: </w:t>
      </w:r>
      <w:r w:rsidR="0030257F" w:rsidRPr="0030257F">
        <w:rPr>
          <w:szCs w:val="24"/>
          <w:lang w:eastAsia="en-AU"/>
        </w:rPr>
        <w:t xml:space="preserve">a </w:t>
      </w:r>
      <w:r w:rsidR="0030257F" w:rsidRPr="0083401F">
        <w:rPr>
          <w:i/>
          <w:szCs w:val="24"/>
          <w:lang w:eastAsia="en-AU"/>
        </w:rPr>
        <w:t>shared purpose</w:t>
      </w:r>
      <w:r w:rsidR="0030257F" w:rsidRPr="0030257F">
        <w:rPr>
          <w:szCs w:val="24"/>
          <w:lang w:eastAsia="en-AU"/>
        </w:rPr>
        <w:t xml:space="preserve"> of pursuing group members’ claims successfully that would then benefit the group members, the funder and the solicitors.</w:t>
      </w:r>
      <w:r w:rsidR="0030257F">
        <w:rPr>
          <w:szCs w:val="24"/>
          <w:lang w:eastAsia="en-AU"/>
        </w:rPr>
        <w:t xml:space="preserve">  </w:t>
      </w:r>
    </w:p>
    <w:p w:rsidR="00B41E11" w:rsidRDefault="00B41E11" w:rsidP="00ED1847">
      <w:pPr>
        <w:pStyle w:val="ParaNumbering"/>
      </w:pPr>
      <w:r>
        <w:t>When this is understood</w:t>
      </w:r>
      <w:r w:rsidR="009542CE">
        <w:t>,</w:t>
      </w:r>
      <w:r>
        <w:t xml:space="preserve"> one </w:t>
      </w:r>
      <w:r w:rsidR="00252D25">
        <w:t xml:space="preserve">immediately </w:t>
      </w:r>
      <w:r>
        <w:t>sees the limitations of viewing the predominant purpose of the litigation through the usual prism of the indi</w:t>
      </w:r>
      <w:r w:rsidR="009542CE">
        <w:t>vi</w:t>
      </w:r>
      <w:r>
        <w:t xml:space="preserve">dual subjective motivations of the moving party.  This perspective, for obvious reasons, is the whole focus of </w:t>
      </w:r>
      <w:r w:rsidR="009542CE">
        <w:t>first</w:t>
      </w:r>
      <w:r w:rsidR="00252D25">
        <w:t xml:space="preserve"> category (see [11</w:t>
      </w:r>
      <w:r w:rsidR="006545FC">
        <w:t>6</w:t>
      </w:r>
      <w:r w:rsidR="00252D25">
        <w:t>(b</w:t>
      </w:r>
      <w:proofErr w:type="gramStart"/>
      <w:r w:rsidR="00C230E3">
        <w:t>)</w:t>
      </w:r>
      <w:r w:rsidR="00252D25">
        <w:t>(</w:t>
      </w:r>
      <w:proofErr w:type="gramEnd"/>
      <w:r w:rsidR="00252D25">
        <w:t>i)</w:t>
      </w:r>
      <w:r w:rsidR="009542CE">
        <w:t>] above</w:t>
      </w:r>
      <w:r>
        <w:t xml:space="preserve">) </w:t>
      </w:r>
      <w:r w:rsidR="0083401F">
        <w:t xml:space="preserve">of </w:t>
      </w:r>
      <w:r w:rsidR="00C230E3" w:rsidRPr="00B51AF5">
        <w:rPr>
          <w:rFonts w:eastAsia="Times New Roman"/>
          <w:szCs w:val="24"/>
          <w:lang w:eastAsia="en-AU"/>
        </w:rPr>
        <w:t>illegitimate or improper purpose</w:t>
      </w:r>
      <w:r w:rsidR="00C230E3">
        <w:t xml:space="preserve"> </w:t>
      </w:r>
      <w:r>
        <w:t>cases.</w:t>
      </w:r>
    </w:p>
    <w:p w:rsidR="00ED1847" w:rsidRDefault="00ED1847" w:rsidP="0046577D">
      <w:pPr>
        <w:pStyle w:val="ParaNumbering"/>
      </w:pPr>
      <w:r>
        <w:t>Although Mr Perera and the McTaggart applicants</w:t>
      </w:r>
      <w:r w:rsidR="005C29D0">
        <w:t xml:space="preserve"> </w:t>
      </w:r>
      <w:r>
        <w:t>are participants in their respective joint commercial enterprises (in the sense explained at [17]</w:t>
      </w:r>
      <w:r w:rsidR="00FD5B31">
        <w:t xml:space="preserve"> above</w:t>
      </w:r>
      <w:r>
        <w:t xml:space="preserve">) they have individual claims for compensation and I accept that they legitimately wish to pursue them.  Reference was made above to </w:t>
      </w:r>
      <w:r>
        <w:rPr>
          <w:i/>
        </w:rPr>
        <w:t xml:space="preserve">Myer </w:t>
      </w:r>
      <w:r>
        <w:t>where</w:t>
      </w:r>
      <w:r w:rsidR="0046577D">
        <w:t>,</w:t>
      </w:r>
      <w:r>
        <w:t xml:space="preserve"> </w:t>
      </w:r>
      <w:r w:rsidR="0046577D">
        <w:t xml:space="preserve">at [7]-[20], </w:t>
      </w:r>
      <w:r>
        <w:t>Osborn JA and Ferguson JA set out the legal principles relating to abuse of process relief</w:t>
      </w:r>
      <w:r w:rsidR="00FD5B31">
        <w:t>,</w:t>
      </w:r>
      <w:r>
        <w:t xml:space="preserve"> </w:t>
      </w:r>
      <w:r w:rsidR="00882604">
        <w:t>including</w:t>
      </w:r>
      <w:r>
        <w:t xml:space="preserve"> the scope of the remedy available in the proceeding such that there is no abuse of process: see </w:t>
      </w:r>
      <w:r>
        <w:rPr>
          <w:i/>
        </w:rPr>
        <w:t xml:space="preserve">Spautz </w:t>
      </w:r>
      <w:r>
        <w:t>at 535.  This point had also been the subject of discussion by a differently constituted Court of Appeal in another MCI case</w:t>
      </w:r>
      <w:r w:rsidR="0046577D">
        <w:t>,</w:t>
      </w:r>
      <w:r>
        <w:t xml:space="preserve"> </w:t>
      </w:r>
      <w:r>
        <w:rPr>
          <w:i/>
        </w:rPr>
        <w:t>Treasury Wine Estates Ltd v Melbourne City Investments Pty L</w:t>
      </w:r>
      <w:r w:rsidR="0046577D">
        <w:rPr>
          <w:i/>
        </w:rPr>
        <w:t>td</w:t>
      </w:r>
      <w:r>
        <w:rPr>
          <w:i/>
        </w:rPr>
        <w:t xml:space="preserve"> </w:t>
      </w:r>
      <w:r w:rsidR="0046577D" w:rsidRPr="0046577D">
        <w:t>[2014] VSCA 351;</w:t>
      </w:r>
      <w:r w:rsidR="0046577D" w:rsidRPr="0046577D">
        <w:rPr>
          <w:i/>
        </w:rPr>
        <w:t xml:space="preserve"> </w:t>
      </w:r>
      <w:r>
        <w:t>(2014) 45 VR 585 where</w:t>
      </w:r>
      <w:r w:rsidR="00FD5B31">
        <w:t>,</w:t>
      </w:r>
      <w:r>
        <w:t xml:space="preserve"> </w:t>
      </w:r>
      <w:r w:rsidR="0046577D">
        <w:t>at 588 [11]</w:t>
      </w:r>
      <w:r w:rsidR="00FD5B31">
        <w:t>,</w:t>
      </w:r>
      <w:r w:rsidR="0046577D">
        <w:t xml:space="preserve"> </w:t>
      </w:r>
      <w:r>
        <w:t>Maxwell P and Nettle JA</w:t>
      </w:r>
      <w:r w:rsidRPr="00125DF2">
        <w:t xml:space="preserve"> </w:t>
      </w:r>
      <w:r>
        <w:t>observed:</w:t>
      </w:r>
    </w:p>
    <w:p w:rsidR="00ED1847" w:rsidRDefault="00ED1847" w:rsidP="0046577D">
      <w:pPr>
        <w:pStyle w:val="Quote1"/>
      </w:pPr>
      <w:r w:rsidRPr="00B31323">
        <w:t>The authorities distinguish between two types of case.  On the one hand, a proceeding will not be regarded as an abuse of process by reason only that it is brought for the purpose of taking collateral advantage of any judgment or settlement in vindication of legal rights or immunities which might be obtained in the proceeding.  On the other hand, if a proceeding is brought for the predominant purpose of obtaining collateral advantage from the existence of the proceeding as such, as opposed to collateral advantage flowing from any judgment or settlement in vindication of legal rights or immunities which might be obtained in the proceeding, it will be an abuse of process and liable to be stayed.</w:t>
      </w:r>
    </w:p>
    <w:p w:rsidR="0046577D" w:rsidRDefault="0046577D" w:rsidP="0046577D">
      <w:pPr>
        <w:pStyle w:val="Quote1"/>
      </w:pPr>
      <w:r>
        <w:t>(Footnote omitted)</w:t>
      </w:r>
    </w:p>
    <w:p w:rsidR="00ED1847" w:rsidRDefault="00ED1847" w:rsidP="00ED1847">
      <w:pPr>
        <w:pStyle w:val="ParaNumbering"/>
      </w:pPr>
      <w:r>
        <w:t xml:space="preserve">The distinction between the MCI cases and the one with which I am presently confronted is that </w:t>
      </w:r>
      <w:r w:rsidR="00FD5B31">
        <w:t xml:space="preserve">no </w:t>
      </w:r>
      <w:r w:rsidR="00B16B29">
        <w:t>one gainsaid that Mr Perera and the McTaggart applicants have</w:t>
      </w:r>
      <w:r>
        <w:t xml:space="preserve"> a </w:t>
      </w:r>
      <w:r w:rsidR="00882604" w:rsidRPr="00B16B29">
        <w:rPr>
          <w:i/>
        </w:rPr>
        <w:t>bona fide</w:t>
      </w:r>
      <w:r w:rsidR="00882604">
        <w:t xml:space="preserve"> </w:t>
      </w:r>
      <w:r>
        <w:t>claim for statutory compe</w:t>
      </w:r>
      <w:r w:rsidR="00B16B29">
        <w:t xml:space="preserve">nsation they wished to bring and, from the </w:t>
      </w:r>
      <w:r w:rsidR="0083401F">
        <w:t xml:space="preserve">individual </w:t>
      </w:r>
      <w:r w:rsidR="00B16B29">
        <w:t xml:space="preserve">perspective of Mr Perera and the McTaggart applicants, </w:t>
      </w:r>
      <w:r>
        <w:t xml:space="preserve">the pursuit of the common enterprise </w:t>
      </w:r>
      <w:r w:rsidR="00B16B29">
        <w:t xml:space="preserve">in which they have participated </w:t>
      </w:r>
      <w:r w:rsidR="00FD5B31">
        <w:t xml:space="preserve">was </w:t>
      </w:r>
      <w:r w:rsidR="0083401F">
        <w:t xml:space="preserve">a means of advancing </w:t>
      </w:r>
      <w:r w:rsidR="00882604">
        <w:t xml:space="preserve">this </w:t>
      </w:r>
      <w:r w:rsidR="00B16B29">
        <w:t xml:space="preserve">proper </w:t>
      </w:r>
      <w:r w:rsidR="00882604">
        <w:t>purpose.</w:t>
      </w:r>
      <w:r>
        <w:t xml:space="preserve"> </w:t>
      </w:r>
    </w:p>
    <w:p w:rsidR="00DF75F0" w:rsidRPr="00DF75F0" w:rsidRDefault="00755078" w:rsidP="00570920">
      <w:pPr>
        <w:pStyle w:val="ParaNumbering"/>
      </w:pPr>
      <w:r>
        <w:lastRenderedPageBreak/>
        <w:t xml:space="preserve">Because of the unique </w:t>
      </w:r>
      <w:r w:rsidR="009B2D66">
        <w:t xml:space="preserve">and dual </w:t>
      </w:r>
      <w:r>
        <w:t>individual and representative roles of the applicant</w:t>
      </w:r>
      <w:r w:rsidR="009B2D66">
        <w:t>,</w:t>
      </w:r>
      <w:r w:rsidR="00636FB8">
        <w:t xml:space="preserve"> and the nature of the Part IVA procedure</w:t>
      </w:r>
      <w:r w:rsidR="00DA6AD0">
        <w:t>,</w:t>
      </w:r>
      <w:r>
        <w:t xml:space="preserve"> analysing the question of abuse of process </w:t>
      </w:r>
      <w:r w:rsidR="00570920">
        <w:t xml:space="preserve">solely </w:t>
      </w:r>
      <w:r w:rsidR="00BF7FB9">
        <w:t>by reference to</w:t>
      </w:r>
      <w:r>
        <w:t xml:space="preserve"> the established category </w:t>
      </w:r>
      <w:r w:rsidR="00DA6AD0">
        <w:rPr>
          <w:rFonts w:eastAsia="Times New Roman"/>
          <w:szCs w:val="24"/>
          <w:lang w:eastAsia="en-AU"/>
        </w:rPr>
        <w:t xml:space="preserve">that </w:t>
      </w:r>
      <w:r w:rsidR="00DA6AD0" w:rsidRPr="00B51AF5">
        <w:rPr>
          <w:rFonts w:eastAsia="Times New Roman"/>
          <w:szCs w:val="24"/>
          <w:lang w:eastAsia="en-AU"/>
        </w:rPr>
        <w:t xml:space="preserve">procedures are </w:t>
      </w:r>
      <w:r w:rsidR="00DA6AD0">
        <w:rPr>
          <w:rFonts w:eastAsia="Times New Roman"/>
          <w:szCs w:val="24"/>
          <w:lang w:eastAsia="en-AU"/>
        </w:rPr>
        <w:t xml:space="preserve">being </w:t>
      </w:r>
      <w:r w:rsidR="00DA6AD0" w:rsidRPr="00B51AF5">
        <w:rPr>
          <w:rFonts w:eastAsia="Times New Roman"/>
          <w:szCs w:val="24"/>
          <w:lang w:eastAsia="en-AU"/>
        </w:rPr>
        <w:t xml:space="preserve">invoked </w:t>
      </w:r>
      <w:r w:rsidR="00636FB8">
        <w:rPr>
          <w:rFonts w:eastAsia="Times New Roman"/>
          <w:szCs w:val="24"/>
          <w:lang w:eastAsia="en-AU"/>
        </w:rPr>
        <w:t xml:space="preserve">by an applicant </w:t>
      </w:r>
      <w:r w:rsidR="00DA6AD0" w:rsidRPr="00B51AF5">
        <w:rPr>
          <w:rFonts w:eastAsia="Times New Roman"/>
          <w:szCs w:val="24"/>
          <w:lang w:eastAsia="en-AU"/>
        </w:rPr>
        <w:t>for an illegitimate or improper purpose</w:t>
      </w:r>
      <w:r w:rsidR="00DA6AD0">
        <w:rPr>
          <w:rFonts w:eastAsia="Times New Roman"/>
          <w:szCs w:val="24"/>
          <w:lang w:eastAsia="en-AU"/>
        </w:rPr>
        <w:t xml:space="preserve"> is </w:t>
      </w:r>
      <w:r w:rsidR="00C230E3">
        <w:rPr>
          <w:rFonts w:eastAsia="Times New Roman"/>
          <w:szCs w:val="24"/>
          <w:lang w:eastAsia="en-AU"/>
        </w:rPr>
        <w:t>unsatisfactory</w:t>
      </w:r>
      <w:r w:rsidR="00570920">
        <w:rPr>
          <w:rFonts w:eastAsia="Times New Roman"/>
          <w:szCs w:val="24"/>
          <w:lang w:eastAsia="en-AU"/>
        </w:rPr>
        <w:t>.  This is</w:t>
      </w:r>
      <w:r w:rsidR="00DA6AD0">
        <w:rPr>
          <w:rFonts w:eastAsia="Times New Roman"/>
          <w:szCs w:val="24"/>
          <w:lang w:eastAsia="en-AU"/>
        </w:rPr>
        <w:t xml:space="preserve"> </w:t>
      </w:r>
      <w:r w:rsidR="00FD5B31">
        <w:rPr>
          <w:rFonts w:eastAsia="Times New Roman"/>
          <w:szCs w:val="24"/>
          <w:lang w:eastAsia="en-AU"/>
        </w:rPr>
        <w:t xml:space="preserve">so </w:t>
      </w:r>
      <w:r w:rsidR="00DF75F0">
        <w:rPr>
          <w:rFonts w:eastAsia="Times New Roman"/>
          <w:szCs w:val="24"/>
          <w:lang w:eastAsia="en-AU"/>
        </w:rPr>
        <w:t xml:space="preserve">for </w:t>
      </w:r>
      <w:r w:rsidR="00636FB8">
        <w:rPr>
          <w:rFonts w:eastAsia="Times New Roman"/>
          <w:szCs w:val="24"/>
          <w:lang w:eastAsia="en-AU"/>
        </w:rPr>
        <w:t>at least four</w:t>
      </w:r>
      <w:r w:rsidR="00DF75F0">
        <w:rPr>
          <w:rFonts w:eastAsia="Times New Roman"/>
          <w:szCs w:val="24"/>
          <w:lang w:eastAsia="en-AU"/>
        </w:rPr>
        <w:t xml:space="preserve"> reasons.</w:t>
      </w:r>
    </w:p>
    <w:p w:rsidR="005774D2" w:rsidRDefault="00DF75F0" w:rsidP="00570920">
      <w:pPr>
        <w:pStyle w:val="ParaNumbering"/>
      </w:pPr>
      <w:r w:rsidRPr="00DF75F0">
        <w:rPr>
          <w:rFonts w:eastAsia="Times New Roman"/>
          <w:i/>
          <w:szCs w:val="24"/>
          <w:lang w:eastAsia="en-AU"/>
        </w:rPr>
        <w:t>First</w:t>
      </w:r>
      <w:r>
        <w:rPr>
          <w:rFonts w:eastAsia="Times New Roman"/>
          <w:szCs w:val="24"/>
          <w:lang w:eastAsia="en-AU"/>
        </w:rPr>
        <w:t xml:space="preserve">, </w:t>
      </w:r>
      <w:r w:rsidR="00DA6AD0">
        <w:rPr>
          <w:rFonts w:eastAsia="Times New Roman"/>
          <w:szCs w:val="24"/>
          <w:lang w:eastAsia="en-AU"/>
        </w:rPr>
        <w:t>because</w:t>
      </w:r>
      <w:r w:rsidR="00C230E3">
        <w:rPr>
          <w:rFonts w:eastAsia="Times New Roman"/>
          <w:szCs w:val="24"/>
          <w:lang w:eastAsia="en-AU"/>
        </w:rPr>
        <w:t>, as I have explained,</w:t>
      </w:r>
      <w:r w:rsidR="00DA6AD0">
        <w:rPr>
          <w:rFonts w:eastAsia="Times New Roman"/>
          <w:szCs w:val="24"/>
          <w:lang w:eastAsia="en-AU"/>
        </w:rPr>
        <w:t xml:space="preserve"> </w:t>
      </w:r>
      <w:r w:rsidR="00BF7FB9">
        <w:rPr>
          <w:rFonts w:eastAsia="Times New Roman"/>
          <w:szCs w:val="24"/>
          <w:lang w:eastAsia="en-AU"/>
        </w:rPr>
        <w:t xml:space="preserve">although </w:t>
      </w:r>
      <w:r w:rsidR="00DA6AD0">
        <w:rPr>
          <w:rFonts w:eastAsia="Times New Roman"/>
          <w:szCs w:val="24"/>
          <w:lang w:eastAsia="en-AU"/>
        </w:rPr>
        <w:t>the individual purpose of the representative applicants was</w:t>
      </w:r>
      <w:r w:rsidR="00BF7FB9">
        <w:rPr>
          <w:rFonts w:eastAsia="Times New Roman"/>
          <w:szCs w:val="24"/>
          <w:lang w:eastAsia="en-AU"/>
        </w:rPr>
        <w:t>,</w:t>
      </w:r>
      <w:r w:rsidR="00DA6AD0">
        <w:rPr>
          <w:rFonts w:eastAsia="Times New Roman"/>
          <w:szCs w:val="24"/>
          <w:lang w:eastAsia="en-AU"/>
        </w:rPr>
        <w:t xml:space="preserve"> </w:t>
      </w:r>
      <w:r w:rsidR="00BF7FB9">
        <w:rPr>
          <w:rFonts w:eastAsia="Times New Roman"/>
          <w:szCs w:val="24"/>
          <w:lang w:eastAsia="en-AU"/>
        </w:rPr>
        <w:t xml:space="preserve">and is, </w:t>
      </w:r>
      <w:r w:rsidR="00DA6AD0">
        <w:rPr>
          <w:rFonts w:eastAsia="Times New Roman"/>
          <w:szCs w:val="24"/>
          <w:lang w:eastAsia="en-AU"/>
        </w:rPr>
        <w:t>proper</w:t>
      </w:r>
      <w:r w:rsidR="00BF7FB9">
        <w:rPr>
          <w:rFonts w:eastAsia="Times New Roman"/>
          <w:szCs w:val="24"/>
          <w:lang w:eastAsia="en-AU"/>
        </w:rPr>
        <w:t xml:space="preserve">, </w:t>
      </w:r>
      <w:r w:rsidR="00570920">
        <w:t xml:space="preserve">as the Victorian Court of Appeal pointed out in </w:t>
      </w:r>
      <w:r w:rsidR="00570920" w:rsidRPr="00570920">
        <w:rPr>
          <w:i/>
        </w:rPr>
        <w:t>Myer</w:t>
      </w:r>
      <w:r w:rsidR="00570920">
        <w:t xml:space="preserve">, </w:t>
      </w:r>
      <w:r w:rsidR="00570920" w:rsidRPr="00570920">
        <w:rPr>
          <w:rFonts w:eastAsia="Times New Roman"/>
          <w:szCs w:val="24"/>
          <w:lang w:val="en-US" w:eastAsia="en-AU"/>
        </w:rPr>
        <w:t>proper purpose i</w:t>
      </w:r>
      <w:r w:rsidR="00570920">
        <w:rPr>
          <w:rFonts w:eastAsia="Times New Roman"/>
          <w:szCs w:val="24"/>
          <w:lang w:val="en-US" w:eastAsia="en-AU"/>
        </w:rPr>
        <w:t>n the context of Part IVA proceedings i</w:t>
      </w:r>
      <w:r w:rsidR="00570920" w:rsidRPr="00570920">
        <w:rPr>
          <w:rFonts w:eastAsia="Times New Roman"/>
          <w:szCs w:val="24"/>
          <w:lang w:val="en-US" w:eastAsia="en-AU"/>
        </w:rPr>
        <w:t xml:space="preserve">s not limited to the determination of the applicant’s </w:t>
      </w:r>
      <w:r w:rsidR="00570920">
        <w:rPr>
          <w:rFonts w:eastAsia="Times New Roman"/>
          <w:szCs w:val="24"/>
          <w:lang w:val="en-US" w:eastAsia="en-AU"/>
        </w:rPr>
        <w:t xml:space="preserve">individual </w:t>
      </w:r>
      <w:r w:rsidR="00570920" w:rsidRPr="00570920">
        <w:rPr>
          <w:rFonts w:eastAsia="Times New Roman"/>
          <w:szCs w:val="24"/>
          <w:lang w:val="en-US" w:eastAsia="en-AU"/>
        </w:rPr>
        <w:t xml:space="preserve">claim, but also involves the determination of the common questions </w:t>
      </w:r>
      <w:r w:rsidR="00570920">
        <w:rPr>
          <w:rFonts w:eastAsia="Times New Roman"/>
          <w:szCs w:val="24"/>
          <w:lang w:val="en-US" w:eastAsia="en-AU"/>
        </w:rPr>
        <w:t>in</w:t>
      </w:r>
      <w:r w:rsidR="00570920" w:rsidRPr="00570920">
        <w:rPr>
          <w:rFonts w:eastAsia="Times New Roman"/>
          <w:szCs w:val="24"/>
          <w:lang w:val="en-US" w:eastAsia="en-AU"/>
        </w:rPr>
        <w:t xml:space="preserve"> laying the groundwork for enforcing the substantive rights of the group members</w:t>
      </w:r>
      <w:r w:rsidR="00570920">
        <w:rPr>
          <w:rFonts w:eastAsia="Times New Roman"/>
          <w:szCs w:val="24"/>
          <w:lang w:val="en-US" w:eastAsia="en-AU"/>
        </w:rPr>
        <w:t>.</w:t>
      </w:r>
    </w:p>
    <w:p w:rsidR="00636FB8" w:rsidRDefault="00DF75F0" w:rsidP="00ED6CCB">
      <w:pPr>
        <w:pStyle w:val="ParaNumbering"/>
      </w:pPr>
      <w:r w:rsidRPr="00DF75F0">
        <w:rPr>
          <w:i/>
        </w:rPr>
        <w:t>Secondly</w:t>
      </w:r>
      <w:r>
        <w:t xml:space="preserve">, </w:t>
      </w:r>
      <w:r w:rsidR="00636FB8">
        <w:t xml:space="preserve">unlike ordinary </w:t>
      </w:r>
      <w:r w:rsidR="00636FB8" w:rsidRPr="00636FB8">
        <w:rPr>
          <w:i/>
        </w:rPr>
        <w:t>inter partes</w:t>
      </w:r>
      <w:r w:rsidR="00636FB8">
        <w:t xml:space="preserve"> litigation</w:t>
      </w:r>
      <w:r w:rsidR="00FD5B31">
        <w:t>,</w:t>
      </w:r>
      <w:r w:rsidR="00636FB8">
        <w:t xml:space="preserve"> the pursuit of the </w:t>
      </w:r>
      <w:r w:rsidR="00636FB8" w:rsidRPr="00636FB8">
        <w:rPr>
          <w:i/>
        </w:rPr>
        <w:t>claim</w:t>
      </w:r>
      <w:r w:rsidR="00636FB8">
        <w:t xml:space="preserve"> of Mr Perera and the McTaggart applicants is not dependent upon pursuit of the </w:t>
      </w:r>
      <w:r w:rsidR="00636FB8" w:rsidRPr="00636FB8">
        <w:rPr>
          <w:i/>
        </w:rPr>
        <w:t>proceeding</w:t>
      </w:r>
      <w:r w:rsidR="00636FB8">
        <w:t xml:space="preserve"> they have brought for its vindication because they are already included in a vehicle (the Webb Proceeding) which allows for vindication of their personal claim</w:t>
      </w:r>
      <w:r w:rsidR="00BF7FB9">
        <w:t xml:space="preserve"> without multiplicity and the problems the subject of my findings</w:t>
      </w:r>
      <w:r w:rsidR="00636FB8">
        <w:t>.</w:t>
      </w:r>
    </w:p>
    <w:p w:rsidR="00ED6CCB" w:rsidRPr="00924038" w:rsidRDefault="00636FB8" w:rsidP="00ED6CCB">
      <w:pPr>
        <w:pStyle w:val="ParaNumbering"/>
      </w:pPr>
      <w:r>
        <w:rPr>
          <w:i/>
        </w:rPr>
        <w:t xml:space="preserve">Thirdly, </w:t>
      </w:r>
      <w:r>
        <w:t>t</w:t>
      </w:r>
      <w:r w:rsidR="002C74DE">
        <w:t>hese are</w:t>
      </w:r>
      <w:r w:rsidR="00DF75F0">
        <w:t xml:space="preserve"> </w:t>
      </w:r>
      <w:r w:rsidR="00DF75F0" w:rsidRPr="00C230E3">
        <w:t>common enterprise</w:t>
      </w:r>
      <w:r w:rsidR="002C74DE">
        <w:t>s</w:t>
      </w:r>
      <w:r w:rsidR="00DF75F0">
        <w:t>.  Apart from Mr Perera and the McTaggart applicants</w:t>
      </w:r>
      <w:r w:rsidR="00ED6CCB">
        <w:t>,</w:t>
      </w:r>
      <w:r w:rsidR="00DF75F0">
        <w:t xml:space="preserve"> the </w:t>
      </w:r>
      <w:r w:rsidR="00FD5B31">
        <w:t>C</w:t>
      </w:r>
      <w:r w:rsidR="00DF75F0">
        <w:t>ourt’s processes are being used by</w:t>
      </w:r>
      <w:r w:rsidR="00ED6CCB">
        <w:t xml:space="preserve"> an enterprise </w:t>
      </w:r>
      <w:r>
        <w:t xml:space="preserve">in which others are participating </w:t>
      </w:r>
      <w:r w:rsidR="00ED6CCB">
        <w:t>w</w:t>
      </w:r>
      <w:r>
        <w:t>h</w:t>
      </w:r>
      <w:r w:rsidR="00ED6CCB">
        <w:t>ere</w:t>
      </w:r>
      <w:r w:rsidR="00DF75F0">
        <w:t xml:space="preserve"> </w:t>
      </w:r>
      <w:r w:rsidR="00ED6CCB" w:rsidRPr="00924038">
        <w:rPr>
          <w:rFonts w:eastAsia="Times New Roman"/>
          <w:szCs w:val="24"/>
          <w:lang w:eastAsia="en-AU"/>
        </w:rPr>
        <w:t xml:space="preserve">there </w:t>
      </w:r>
      <w:r w:rsidR="00FD5B31">
        <w:rPr>
          <w:rFonts w:eastAsia="Times New Roman"/>
          <w:szCs w:val="24"/>
          <w:lang w:eastAsia="en-AU"/>
        </w:rPr>
        <w:t>is</w:t>
      </w:r>
      <w:r w:rsidR="00ED6CCB" w:rsidRPr="00924038">
        <w:rPr>
          <w:rFonts w:eastAsia="Times New Roman"/>
          <w:szCs w:val="24"/>
          <w:lang w:eastAsia="en-AU"/>
        </w:rPr>
        <w:t xml:space="preserve"> a shared purpose benefit</w:t>
      </w:r>
      <w:r w:rsidR="002C74DE">
        <w:rPr>
          <w:rFonts w:eastAsia="Times New Roman"/>
          <w:szCs w:val="24"/>
          <w:lang w:eastAsia="en-AU"/>
        </w:rPr>
        <w:t>ting</w:t>
      </w:r>
      <w:r w:rsidR="00ED6CCB" w:rsidRPr="00924038">
        <w:rPr>
          <w:rFonts w:eastAsia="Times New Roman"/>
          <w:szCs w:val="24"/>
          <w:lang w:eastAsia="en-AU"/>
        </w:rPr>
        <w:t xml:space="preserve"> the group members, the funder and the solicitors</w:t>
      </w:r>
      <w:r w:rsidR="00ED6CCB">
        <w:rPr>
          <w:rFonts w:eastAsia="Times New Roman"/>
          <w:szCs w:val="24"/>
          <w:lang w:eastAsia="en-AU"/>
        </w:rPr>
        <w:t xml:space="preserve">: </w:t>
      </w:r>
      <w:r w:rsidR="00ED6CCB">
        <w:t>see</w:t>
      </w:r>
      <w:r w:rsidR="00ED6CCB" w:rsidRPr="00924038">
        <w:t xml:space="preserve"> </w:t>
      </w:r>
      <w:r w:rsidR="00ED6CCB" w:rsidRPr="00924038">
        <w:rPr>
          <w:rStyle w:val="Emphasis"/>
        </w:rPr>
        <w:t xml:space="preserve">Brookfield Multiplex </w:t>
      </w:r>
      <w:r w:rsidR="00ED6CCB">
        <w:t xml:space="preserve">at </w:t>
      </w:r>
      <w:r w:rsidR="00022E40">
        <w:t xml:space="preserve">36-37 </w:t>
      </w:r>
      <w:r w:rsidR="00ED6CCB">
        <w:t>[</w:t>
      </w:r>
      <w:r w:rsidR="00022E40">
        <w:t>97</w:t>
      </w:r>
      <w:r w:rsidR="00ED6CCB">
        <w:t>]</w:t>
      </w:r>
      <w:r w:rsidR="00ED6CCB" w:rsidRPr="00924038">
        <w:rPr>
          <w:rFonts w:eastAsia="Times New Roman"/>
          <w:szCs w:val="24"/>
          <w:lang w:eastAsia="en-AU"/>
        </w:rPr>
        <w:t>.</w:t>
      </w:r>
    </w:p>
    <w:p w:rsidR="005774D2" w:rsidRPr="00FD5B31" w:rsidRDefault="00636FB8" w:rsidP="00F412E8">
      <w:pPr>
        <w:pStyle w:val="ParaNumbering"/>
        <w:rPr>
          <w:szCs w:val="24"/>
        </w:rPr>
      </w:pPr>
      <w:r w:rsidRPr="00FD5B31">
        <w:rPr>
          <w:i/>
        </w:rPr>
        <w:t>Fourthly</w:t>
      </w:r>
      <w:r w:rsidRPr="00FD5B31">
        <w:t>, t</w:t>
      </w:r>
      <w:r w:rsidR="00570920" w:rsidRPr="00FD5B31">
        <w:t>he principles relating to abuse of process</w:t>
      </w:r>
      <w:r w:rsidR="00DF75F0" w:rsidRPr="00FD5B31">
        <w:t xml:space="preserve"> </w:t>
      </w:r>
      <w:r w:rsidR="00570920" w:rsidRPr="00FD5B31">
        <w:t xml:space="preserve">are not so confined and include the prevention of misuse of </w:t>
      </w:r>
      <w:r w:rsidR="00FD5B31" w:rsidRPr="00FD5B31">
        <w:t>the C</w:t>
      </w:r>
      <w:r w:rsidR="00570920" w:rsidRPr="00FD5B31">
        <w:t xml:space="preserve">ourt’s procedures in a way which, although not inconsistent with the literal application of </w:t>
      </w:r>
      <w:r w:rsidRPr="00FD5B31">
        <w:t>procedure</w:t>
      </w:r>
      <w:r w:rsidR="00DF75F0" w:rsidRPr="00FD5B31">
        <w:t xml:space="preserve">, would </w:t>
      </w:r>
      <w:r w:rsidR="00570920" w:rsidRPr="00FD5B31">
        <w:t>otherwise bring the administration of justice into disrep</w:t>
      </w:r>
      <w:r w:rsidR="00DF75F0" w:rsidRPr="00FD5B31">
        <w:t>ute among right</w:t>
      </w:r>
      <w:r w:rsidR="00FD5B31" w:rsidRPr="00FD5B31">
        <w:t>-</w:t>
      </w:r>
      <w:r w:rsidR="00570920" w:rsidRPr="00FD5B31">
        <w:t>thinking people</w:t>
      </w:r>
      <w:r w:rsidR="00DF75F0" w:rsidRPr="00FD5B31">
        <w:t xml:space="preserve">: </w:t>
      </w:r>
      <w:r w:rsidR="00FD5B31" w:rsidRPr="00FD5B31">
        <w:t xml:space="preserve">see </w:t>
      </w:r>
      <w:r w:rsidR="00DF75F0" w:rsidRPr="00FD5B31">
        <w:rPr>
          <w:i/>
        </w:rPr>
        <w:t>Jeffery</w:t>
      </w:r>
      <w:r w:rsidR="00DF75F0" w:rsidRPr="00FD5B31">
        <w:t xml:space="preserve"> at </w:t>
      </w:r>
      <w:r w:rsidR="00FF20E0" w:rsidRPr="00FD5B31">
        <w:t xml:space="preserve">93-94 </w:t>
      </w:r>
      <w:r w:rsidR="00DF75F0" w:rsidRPr="00FD5B31">
        <w:t>[28]</w:t>
      </w:r>
      <w:r w:rsidR="00FD5B31" w:rsidRPr="00FD5B31">
        <w:t>,</w:t>
      </w:r>
      <w:r w:rsidR="00DF75F0" w:rsidRPr="00FD5B31">
        <w:t xml:space="preserve"> quoting Lord Diplock in </w:t>
      </w:r>
      <w:r w:rsidR="00DF75F0" w:rsidRPr="00FD5B31">
        <w:rPr>
          <w:i/>
        </w:rPr>
        <w:t>Hunter v Chief Constable of the West Midlands Police</w:t>
      </w:r>
      <w:r w:rsidR="00DF75F0" w:rsidRPr="00FD5B31">
        <w:t xml:space="preserve"> [1982] AC 529 at 536. </w:t>
      </w:r>
      <w:r w:rsidR="00F412E8" w:rsidRPr="00FD5B31">
        <w:t xml:space="preserve"> </w:t>
      </w:r>
      <w:r w:rsidRPr="00FD5B31">
        <w:t xml:space="preserve">There is a reason why the </w:t>
      </w:r>
      <w:r w:rsidR="00570920" w:rsidRPr="00FD5B31">
        <w:t>categories of abuse of process are not closed</w:t>
      </w:r>
      <w:r w:rsidRPr="00FD5B31">
        <w:t xml:space="preserve"> and that </w:t>
      </w:r>
      <w:r w:rsidR="00570920" w:rsidRPr="00FD5B31">
        <w:t>what amounts to abuse of cour</w:t>
      </w:r>
      <w:r w:rsidR="0083401F" w:rsidRPr="00FD5B31">
        <w:t xml:space="preserve">t process is insusceptible of exhaustive </w:t>
      </w:r>
      <w:r w:rsidR="00570920" w:rsidRPr="00FD5B31">
        <w:t>formulation</w:t>
      </w:r>
      <w:r w:rsidRPr="00FD5B31">
        <w:t xml:space="preserve"> as development continues: </w:t>
      </w:r>
      <w:r w:rsidR="00FD5B31" w:rsidRPr="00FD5B31">
        <w:t xml:space="preserve">see </w:t>
      </w:r>
      <w:r w:rsidRPr="00FD5B31">
        <w:rPr>
          <w:i/>
        </w:rPr>
        <w:t>Batistatos</w:t>
      </w:r>
      <w:r w:rsidRPr="00FD5B31">
        <w:t xml:space="preserve"> </w:t>
      </w:r>
      <w:r w:rsidR="00570920" w:rsidRPr="00FD5B31">
        <w:t xml:space="preserve">at </w:t>
      </w:r>
      <w:r w:rsidR="00FF20E0" w:rsidRPr="00FD5B31">
        <w:t xml:space="preserve">265 </w:t>
      </w:r>
      <w:r w:rsidR="0083401F" w:rsidRPr="00FD5B31">
        <w:t>[9]</w:t>
      </w:r>
      <w:r w:rsidR="00570920" w:rsidRPr="00FD5B31">
        <w:t xml:space="preserve">. </w:t>
      </w:r>
    </w:p>
    <w:p w:rsidR="001D64ED" w:rsidRDefault="001D64ED" w:rsidP="001D64ED">
      <w:pPr>
        <w:pStyle w:val="ParaNumbering"/>
      </w:pPr>
      <w:r>
        <w:t xml:space="preserve">If one starts from the premise that the individual claims of Mr Perera and the McTaggart applicants which are being properly pursued can </w:t>
      </w:r>
      <w:r w:rsidR="0083401F">
        <w:t xml:space="preserve">still </w:t>
      </w:r>
      <w:r>
        <w:t xml:space="preserve">be pursued, to allow duplicative open class proceedings to proceed when they </w:t>
      </w:r>
      <w:r w:rsidR="00BF7FB9">
        <w:t xml:space="preserve">perpetuate unnecessary multiplicity </w:t>
      </w:r>
      <w:r>
        <w:t xml:space="preserve">are not </w:t>
      </w:r>
      <w:r w:rsidR="00BF7FB9">
        <w:t xml:space="preserve">otherwise </w:t>
      </w:r>
      <w:r>
        <w:t xml:space="preserve">an appropriate vehicle </w:t>
      </w:r>
      <w:r>
        <w:rPr>
          <w:rFonts w:eastAsia="Times New Roman"/>
          <w:szCs w:val="24"/>
          <w:lang w:val="en-US" w:eastAsia="en-AU"/>
        </w:rPr>
        <w:t>in</w:t>
      </w:r>
      <w:r w:rsidRPr="00570920">
        <w:rPr>
          <w:rFonts w:eastAsia="Times New Roman"/>
          <w:szCs w:val="24"/>
          <w:lang w:val="en-US" w:eastAsia="en-AU"/>
        </w:rPr>
        <w:t xml:space="preserve"> enforcing the substantive rights of the group members</w:t>
      </w:r>
      <w:r w:rsidR="00BF7FB9">
        <w:rPr>
          <w:rFonts w:eastAsia="Times New Roman"/>
          <w:szCs w:val="24"/>
          <w:lang w:val="en-US" w:eastAsia="en-AU"/>
        </w:rPr>
        <w:t xml:space="preserve"> (</w:t>
      </w:r>
      <w:r>
        <w:rPr>
          <w:rFonts w:eastAsia="Times New Roman"/>
          <w:szCs w:val="24"/>
          <w:lang w:val="en-US" w:eastAsia="en-AU"/>
        </w:rPr>
        <w:t>being the very representative purpose of Part IVA proceedings</w:t>
      </w:r>
      <w:r w:rsidR="00BF7FB9">
        <w:rPr>
          <w:rFonts w:eastAsia="Times New Roman"/>
          <w:szCs w:val="24"/>
          <w:lang w:val="en-US" w:eastAsia="en-AU"/>
        </w:rPr>
        <w:t>)</w:t>
      </w:r>
      <w:r>
        <w:rPr>
          <w:rFonts w:eastAsia="Times New Roman"/>
          <w:szCs w:val="24"/>
          <w:lang w:val="en-US" w:eastAsia="en-AU"/>
        </w:rPr>
        <w:t xml:space="preserve">, would </w:t>
      </w:r>
      <w:r w:rsidRPr="00636FB8">
        <w:rPr>
          <w:szCs w:val="24"/>
        </w:rPr>
        <w:t xml:space="preserve">bring the administration of </w:t>
      </w:r>
      <w:r w:rsidRPr="00636FB8">
        <w:rPr>
          <w:szCs w:val="24"/>
        </w:rPr>
        <w:lastRenderedPageBreak/>
        <w:t>justice into disrep</w:t>
      </w:r>
      <w:r>
        <w:rPr>
          <w:szCs w:val="24"/>
        </w:rPr>
        <w:t xml:space="preserve">ute.  This is particularly the case when to allow such a state of affairs to continue would </w:t>
      </w:r>
      <w:r>
        <w:t>be to allow</w:t>
      </w:r>
      <w:r w:rsidR="008F7DB0">
        <w:t xml:space="preserve"> the use of the processes of the Court </w:t>
      </w:r>
      <w:r w:rsidR="006159F7">
        <w:t xml:space="preserve">in </w:t>
      </w:r>
      <w:r>
        <w:t>a</w:t>
      </w:r>
      <w:r w:rsidR="006159F7">
        <w:t xml:space="preserve"> way </w:t>
      </w:r>
      <w:r w:rsidR="002C74DE">
        <w:t xml:space="preserve">which </w:t>
      </w:r>
      <w:r w:rsidR="006159F7">
        <w:t>would</w:t>
      </w:r>
      <w:r w:rsidR="006159F7" w:rsidRPr="00924038">
        <w:t xml:space="preserve"> be unfair </w:t>
      </w:r>
      <w:r w:rsidR="006159F7">
        <w:t xml:space="preserve">to GetSwift by countenancing the conduct of a proceeding being conducted contrary to the overarching purpose (including by unnecessarily increasing costs) and also unfair to group members who will likely have to bear those increased costs, indirectly, through any </w:t>
      </w:r>
      <w:r w:rsidR="00FD5B31">
        <w:t>resolution of their claims</w:t>
      </w:r>
      <w:r w:rsidR="006159F7">
        <w:t xml:space="preserve">.  </w:t>
      </w:r>
    </w:p>
    <w:p w:rsidR="002C74DE" w:rsidRDefault="00164736" w:rsidP="003C51FB">
      <w:pPr>
        <w:pStyle w:val="ParaNumbering"/>
      </w:pPr>
      <w:r>
        <w:t>All the</w:t>
      </w:r>
      <w:r w:rsidR="00316D92">
        <w:t>s</w:t>
      </w:r>
      <w:r>
        <w:t>e</w:t>
      </w:r>
      <w:r w:rsidR="00316D92">
        <w:t xml:space="preserve"> considerations combine in the bespoke circumstances of </w:t>
      </w:r>
      <w:r w:rsidR="00BF7FB9">
        <w:t xml:space="preserve">multiple open class </w:t>
      </w:r>
      <w:r w:rsidR="00316D92">
        <w:t xml:space="preserve">Part IVA proceedings </w:t>
      </w:r>
      <w:r w:rsidR="005774D2">
        <w:t xml:space="preserve">to make a continuation of </w:t>
      </w:r>
      <w:r w:rsidR="00BF7FB9">
        <w:t>the Perera Proceeding and the McTaggart Proceeding</w:t>
      </w:r>
      <w:r w:rsidR="005774D2">
        <w:t xml:space="preserve"> abusive.</w:t>
      </w:r>
      <w:r w:rsidR="0083401F">
        <w:t xml:space="preserve">  </w:t>
      </w:r>
    </w:p>
    <w:p w:rsidR="00657DDE" w:rsidRDefault="0083401F" w:rsidP="003C51FB">
      <w:pPr>
        <w:pStyle w:val="ParaNumbering"/>
      </w:pPr>
      <w:r>
        <w:t xml:space="preserve">Part IVA is to be used for the advancement and </w:t>
      </w:r>
      <w:r w:rsidR="00657DDE">
        <w:t>resolution</w:t>
      </w:r>
      <w:r>
        <w:t xml:space="preserve"> of both the </w:t>
      </w:r>
      <w:r w:rsidR="00657DDE">
        <w:t>representative applicant</w:t>
      </w:r>
      <w:r w:rsidR="00782E44">
        <w:t>’s</w:t>
      </w:r>
      <w:r>
        <w:t xml:space="preserve"> and the group </w:t>
      </w:r>
      <w:r w:rsidR="00657DDE">
        <w:t>members’</w:t>
      </w:r>
      <w:r>
        <w:t xml:space="preserve"> claims efficiently </w:t>
      </w:r>
      <w:r w:rsidR="00657DDE">
        <w:t xml:space="preserve">and protectively.  Provided commercial enterprises use the </w:t>
      </w:r>
      <w:r w:rsidR="00782E44">
        <w:t>C</w:t>
      </w:r>
      <w:r w:rsidR="00657DDE">
        <w:t>ourt’s pr</w:t>
      </w:r>
      <w:r w:rsidR="00BF7FB9">
        <w:t>ocesses to achieve that end</w:t>
      </w:r>
      <w:r w:rsidR="002C74DE">
        <w:t>,</w:t>
      </w:r>
      <w:r w:rsidR="00BF7FB9">
        <w:t xml:space="preserve"> that use is</w:t>
      </w:r>
      <w:r w:rsidR="00657DDE">
        <w:t xml:space="preserve"> not o</w:t>
      </w:r>
      <w:r w:rsidR="00BF7FB9">
        <w:t>nly licit, but in many cases is</w:t>
      </w:r>
      <w:r w:rsidR="00657DDE">
        <w:t xml:space="preserve"> necessary to facilitate its operation.  When the use is untethered from advancing the proper purpose of such proceedings, but rather becomes a means of attempting to secure profit while impacting </w:t>
      </w:r>
      <w:r w:rsidR="002C74DE">
        <w:t xml:space="preserve">adversely </w:t>
      </w:r>
      <w:r w:rsidR="00657DDE">
        <w:t xml:space="preserve">on the progression of the claims of group members in accordance with the overarching purpose </w:t>
      </w:r>
      <w:r w:rsidR="00BB19BE">
        <w:t xml:space="preserve">(hence causing unfairness to GetSwift) </w:t>
      </w:r>
      <w:r w:rsidR="00657DDE">
        <w:t>and likely reducing the amount available to resolve those claims, the administration of justice is undermined and brought</w:t>
      </w:r>
      <w:r w:rsidR="00657DDE" w:rsidRPr="00657DDE">
        <w:rPr>
          <w:szCs w:val="24"/>
        </w:rPr>
        <w:t xml:space="preserve"> </w:t>
      </w:r>
      <w:r w:rsidR="00657DDE" w:rsidRPr="00636FB8">
        <w:rPr>
          <w:szCs w:val="24"/>
        </w:rPr>
        <w:t>into disrep</w:t>
      </w:r>
      <w:r w:rsidR="00657DDE">
        <w:rPr>
          <w:szCs w:val="24"/>
        </w:rPr>
        <w:t>ute</w:t>
      </w:r>
      <w:r w:rsidR="00657DDE">
        <w:t>.</w:t>
      </w:r>
      <w:r w:rsidR="00316D92">
        <w:t xml:space="preserve"> </w:t>
      </w:r>
      <w:r w:rsidR="003C51FB">
        <w:t xml:space="preserve"> </w:t>
      </w:r>
      <w:r w:rsidR="00657DDE" w:rsidRPr="00924038">
        <w:t xml:space="preserve">In these circumstances it is necessary that something be done and the most effective way of doing something is to permanently stay those proceedings </w:t>
      </w:r>
      <w:r w:rsidR="00657DDE">
        <w:t>which have taken on this character.</w:t>
      </w:r>
    </w:p>
    <w:p w:rsidR="00316D92" w:rsidRPr="003C51FB" w:rsidRDefault="00316D92" w:rsidP="00316D92">
      <w:pPr>
        <w:pStyle w:val="ParaNumbering"/>
      </w:pPr>
      <w:r w:rsidRPr="003C51FB">
        <w:rPr>
          <w:szCs w:val="24"/>
        </w:rPr>
        <w:t>Before</w:t>
      </w:r>
      <w:r w:rsidR="00564657">
        <w:rPr>
          <w:szCs w:val="24"/>
        </w:rPr>
        <w:t xml:space="preserve"> leaving </w:t>
      </w:r>
      <w:r w:rsidRPr="003C51FB">
        <w:rPr>
          <w:szCs w:val="24"/>
        </w:rPr>
        <w:t xml:space="preserve">stays, I </w:t>
      </w:r>
      <w:r w:rsidR="003C51FB">
        <w:rPr>
          <w:szCs w:val="24"/>
        </w:rPr>
        <w:t xml:space="preserve">have already mentioned the observations </w:t>
      </w:r>
      <w:r w:rsidR="003C51FB" w:rsidRPr="003C51FB">
        <w:rPr>
          <w:szCs w:val="24"/>
        </w:rPr>
        <w:t xml:space="preserve">of Beach J </w:t>
      </w:r>
      <w:r w:rsidR="003C51FB">
        <w:rPr>
          <w:szCs w:val="24"/>
        </w:rPr>
        <w:t xml:space="preserve">in </w:t>
      </w:r>
      <w:r w:rsidR="003C51FB" w:rsidRPr="003C51FB">
        <w:rPr>
          <w:i/>
          <w:szCs w:val="24"/>
        </w:rPr>
        <w:t>Bellamy’s</w:t>
      </w:r>
      <w:r w:rsidR="003C51FB" w:rsidRPr="003C51FB">
        <w:rPr>
          <w:szCs w:val="24"/>
        </w:rPr>
        <w:t xml:space="preserve"> </w:t>
      </w:r>
      <w:r w:rsidR="003C51FB">
        <w:rPr>
          <w:szCs w:val="24"/>
        </w:rPr>
        <w:t xml:space="preserve">at [33] </w:t>
      </w:r>
      <w:r w:rsidR="003C51FB" w:rsidRPr="003C51FB">
        <w:rPr>
          <w:szCs w:val="24"/>
        </w:rPr>
        <w:t xml:space="preserve">that there is </w:t>
      </w:r>
      <w:r w:rsidR="00437103">
        <w:rPr>
          <w:szCs w:val="24"/>
        </w:rPr>
        <w:t>‘</w:t>
      </w:r>
      <w:r w:rsidR="003C51FB" w:rsidRPr="003C51FB">
        <w:rPr>
          <w:szCs w:val="24"/>
        </w:rPr>
        <w:t>no doubt</w:t>
      </w:r>
      <w:r w:rsidR="00437103">
        <w:rPr>
          <w:szCs w:val="24"/>
        </w:rPr>
        <w:t>’</w:t>
      </w:r>
      <w:r w:rsidR="003C51FB" w:rsidRPr="003C51FB">
        <w:rPr>
          <w:szCs w:val="24"/>
        </w:rPr>
        <w:t xml:space="preserve"> power exists </w:t>
      </w:r>
      <w:r w:rsidR="00564657">
        <w:rPr>
          <w:szCs w:val="24"/>
        </w:rPr>
        <w:t xml:space="preserve">to order a </w:t>
      </w:r>
      <w:r w:rsidR="003C51FB" w:rsidRPr="003C51FB">
        <w:rPr>
          <w:szCs w:val="24"/>
        </w:rPr>
        <w:t xml:space="preserve">stay, in the exercise of the implied power or under the Rules of Court, including in furtherance of the objectives of s 22 of the Act </w:t>
      </w:r>
      <w:r w:rsidR="003C51FB">
        <w:rPr>
          <w:szCs w:val="24"/>
        </w:rPr>
        <w:t>(although his Honour doubted the power could be exercised</w:t>
      </w:r>
      <w:r w:rsidR="003C51FB" w:rsidRPr="003C51FB">
        <w:rPr>
          <w:szCs w:val="24"/>
        </w:rPr>
        <w:t xml:space="preserve"> under s 33ZF </w:t>
      </w:r>
      <w:r w:rsidR="003C51FB">
        <w:rPr>
          <w:szCs w:val="24"/>
        </w:rPr>
        <w:t xml:space="preserve">of the Act </w:t>
      </w:r>
      <w:r w:rsidR="003C51FB" w:rsidRPr="003C51FB">
        <w:rPr>
          <w:szCs w:val="24"/>
        </w:rPr>
        <w:t xml:space="preserve">to “ensure that justice is done in </w:t>
      </w:r>
      <w:r w:rsidR="003C51FB" w:rsidRPr="003C51FB">
        <w:rPr>
          <w:i/>
          <w:iCs/>
          <w:szCs w:val="24"/>
        </w:rPr>
        <w:t>the proceeding</w:t>
      </w:r>
      <w:r w:rsidR="003C51FB" w:rsidRPr="003C51FB">
        <w:rPr>
          <w:szCs w:val="24"/>
        </w:rPr>
        <w:t>”</w:t>
      </w:r>
      <w:r w:rsidR="003C51FB">
        <w:rPr>
          <w:szCs w:val="24"/>
        </w:rPr>
        <w:t>).  I have not found it necessary to decide w</w:t>
      </w:r>
      <w:r w:rsidRPr="003C51FB">
        <w:rPr>
          <w:szCs w:val="24"/>
        </w:rPr>
        <w:t xml:space="preserve">hether it was possible for me to </w:t>
      </w:r>
      <w:r w:rsidR="00564657">
        <w:rPr>
          <w:szCs w:val="24"/>
        </w:rPr>
        <w:t xml:space="preserve">grant a </w:t>
      </w:r>
      <w:r w:rsidR="00684C7C">
        <w:rPr>
          <w:szCs w:val="24"/>
        </w:rPr>
        <w:t xml:space="preserve">permanent or temporary </w:t>
      </w:r>
      <w:r w:rsidRPr="003C51FB">
        <w:rPr>
          <w:szCs w:val="24"/>
        </w:rPr>
        <w:t xml:space="preserve">stay in </w:t>
      </w:r>
      <w:r w:rsidR="00564657">
        <w:rPr>
          <w:szCs w:val="24"/>
        </w:rPr>
        <w:t>the interest</w:t>
      </w:r>
      <w:r w:rsidR="002C74DE">
        <w:rPr>
          <w:szCs w:val="24"/>
        </w:rPr>
        <w:t>s</w:t>
      </w:r>
      <w:r w:rsidR="00564657">
        <w:rPr>
          <w:szCs w:val="24"/>
        </w:rPr>
        <w:t xml:space="preserve"> of justice (see the discussion in </w:t>
      </w:r>
      <w:r w:rsidR="00564657" w:rsidRPr="00564657">
        <w:rPr>
          <w:i/>
          <w:szCs w:val="24"/>
        </w:rPr>
        <w:t>Bellamy’s</w:t>
      </w:r>
      <w:r w:rsidR="00564657">
        <w:rPr>
          <w:szCs w:val="24"/>
        </w:rPr>
        <w:t xml:space="preserve"> at [33], [40], [43] and [50]) that is, in </w:t>
      </w:r>
      <w:r w:rsidRPr="003C51FB">
        <w:rPr>
          <w:szCs w:val="24"/>
        </w:rPr>
        <w:t xml:space="preserve">circumstances where I have not </w:t>
      </w:r>
      <w:r w:rsidR="00827CFC" w:rsidRPr="003C51FB">
        <w:rPr>
          <w:szCs w:val="24"/>
        </w:rPr>
        <w:t xml:space="preserve">expressly </w:t>
      </w:r>
      <w:r w:rsidRPr="003C51FB">
        <w:rPr>
          <w:szCs w:val="24"/>
        </w:rPr>
        <w:t>found that the continuation of the Perera Proceedi</w:t>
      </w:r>
      <w:r w:rsidR="00684C7C">
        <w:rPr>
          <w:szCs w:val="24"/>
        </w:rPr>
        <w:t>ng and the McTaggart P</w:t>
      </w:r>
      <w:r w:rsidRPr="003C51FB">
        <w:rPr>
          <w:szCs w:val="24"/>
        </w:rPr>
        <w:t>roceeding would</w:t>
      </w:r>
      <w:r w:rsidRPr="003C51FB">
        <w:t xml:space="preserve"> </w:t>
      </w:r>
      <w:r>
        <w:t>amount to an abuse of process</w:t>
      </w:r>
      <w:r w:rsidR="00684C7C">
        <w:t>,</w:t>
      </w:r>
      <w:r>
        <w:t xml:space="preserve"> </w:t>
      </w:r>
      <w:r w:rsidR="00827CFC">
        <w:t xml:space="preserve">but rather because </w:t>
      </w:r>
      <w:r w:rsidR="00564657">
        <w:t xml:space="preserve">it was in the interests of justice to do so because </w:t>
      </w:r>
      <w:r w:rsidR="00827CFC">
        <w:t xml:space="preserve">such a course was necessary to protect group members from unnecessary costs, prevent unfairness to GetSwift and otherwise safeguard </w:t>
      </w:r>
      <w:r w:rsidR="00250D3B">
        <w:t>the</w:t>
      </w:r>
      <w:r w:rsidR="00827CFC">
        <w:t xml:space="preserve"> effective operation of Part IVA in the circumstances of this matter</w:t>
      </w:r>
      <w:r>
        <w:t xml:space="preserve">.  </w:t>
      </w:r>
      <w:r w:rsidR="00827CFC">
        <w:t xml:space="preserve">In this case I did not consider it </w:t>
      </w:r>
      <w:r w:rsidR="00827CFC">
        <w:lastRenderedPageBreak/>
        <w:t xml:space="preserve">was necessary to form a concluded view </w:t>
      </w:r>
      <w:r w:rsidR="002665CF">
        <w:t xml:space="preserve">on this topic </w:t>
      </w:r>
      <w:r w:rsidR="00827CFC">
        <w:t>because of the fl</w:t>
      </w:r>
      <w:r w:rsidR="002665CF">
        <w:t xml:space="preserve">uid and adaptable character of the doctrine of abuse of process </w:t>
      </w:r>
      <w:r w:rsidR="00657DDE">
        <w:t>in the circumstances</w:t>
      </w:r>
      <w:r w:rsidR="002665CF">
        <w:rPr>
          <w:szCs w:val="24"/>
        </w:rPr>
        <w:t>.</w:t>
      </w:r>
      <w:r w:rsidR="00684C7C">
        <w:rPr>
          <w:szCs w:val="24"/>
        </w:rPr>
        <w:t xml:space="preserve">  It would already be obvious, however, that if I have erred in characterising the continuation of the </w:t>
      </w:r>
      <w:r w:rsidR="00684C7C" w:rsidRPr="003C51FB">
        <w:rPr>
          <w:szCs w:val="24"/>
        </w:rPr>
        <w:t>Perera Proceedi</w:t>
      </w:r>
      <w:r w:rsidR="00684C7C">
        <w:rPr>
          <w:szCs w:val="24"/>
        </w:rPr>
        <w:t>ng and the McTaggart P</w:t>
      </w:r>
      <w:r w:rsidR="00684C7C" w:rsidRPr="003C51FB">
        <w:rPr>
          <w:szCs w:val="24"/>
        </w:rPr>
        <w:t>roceeding</w:t>
      </w:r>
      <w:r w:rsidR="00684C7C">
        <w:rPr>
          <w:szCs w:val="24"/>
        </w:rPr>
        <w:t xml:space="preserve"> as an abuse of process, I would have taken all available steps to prevent multiplicity in t</w:t>
      </w:r>
      <w:r w:rsidR="002C74DE">
        <w:rPr>
          <w:szCs w:val="24"/>
        </w:rPr>
        <w:t>he light of my findings including, on the assumption they are available,</w:t>
      </w:r>
      <w:r w:rsidR="00684C7C">
        <w:rPr>
          <w:szCs w:val="24"/>
        </w:rPr>
        <w:t xml:space="preserve"> using the powers referred to by Beach J to grant a permanent </w:t>
      </w:r>
      <w:r w:rsidR="00BB19BE">
        <w:rPr>
          <w:szCs w:val="24"/>
        </w:rPr>
        <w:t xml:space="preserve">stay </w:t>
      </w:r>
      <w:r w:rsidR="00684C7C">
        <w:rPr>
          <w:szCs w:val="24"/>
        </w:rPr>
        <w:t xml:space="preserve">(or, failing that, a temporary stay until after the determination of common issues). </w:t>
      </w:r>
      <w:r w:rsidR="003C51FB">
        <w:rPr>
          <w:szCs w:val="24"/>
        </w:rPr>
        <w:t xml:space="preserve"> </w:t>
      </w:r>
    </w:p>
    <w:p w:rsidR="003C51FB" w:rsidRDefault="00B268E7" w:rsidP="00316D92">
      <w:pPr>
        <w:pStyle w:val="ParaNumbering"/>
      </w:pPr>
      <w:r>
        <w:t xml:space="preserve">Having made this comment, I should note I </w:t>
      </w:r>
      <w:r w:rsidR="00164736">
        <w:t xml:space="preserve">also </w:t>
      </w:r>
      <w:r>
        <w:t xml:space="preserve">consider it is </w:t>
      </w:r>
      <w:r w:rsidR="00684C7C">
        <w:t>an open question as to whether</w:t>
      </w:r>
      <w:r>
        <w:t xml:space="preserve"> s 33ZF is engaged </w:t>
      </w:r>
      <w:r w:rsidR="00684C7C">
        <w:t xml:space="preserve">in circumstances such as the present </w:t>
      </w:r>
      <w:r>
        <w:t xml:space="preserve">but, in the absence of submissions and given my findings, it is unnecessary to decide the point.  </w:t>
      </w:r>
      <w:r w:rsidR="0094489A">
        <w:t>At [138]</w:t>
      </w:r>
      <w:r w:rsidR="00250D3B">
        <w:t>-</w:t>
      </w:r>
      <w:r w:rsidR="0094489A">
        <w:t>[144]</w:t>
      </w:r>
      <w:r w:rsidR="00250D3B">
        <w:t xml:space="preserve"> above</w:t>
      </w:r>
      <w:r w:rsidR="0094489A">
        <w:t xml:space="preserve"> I explained the very broad and ‘gap filling’ nature of this power</w:t>
      </w:r>
      <w:r>
        <w:t xml:space="preserve">.  </w:t>
      </w:r>
      <w:r w:rsidR="00164736">
        <w:t xml:space="preserve">It seems to me arguable that central to doing justice “in </w:t>
      </w:r>
      <w:r w:rsidR="00164736" w:rsidRPr="00164736">
        <w:rPr>
          <w:i/>
        </w:rPr>
        <w:t>the</w:t>
      </w:r>
      <w:r w:rsidR="00164736">
        <w:t xml:space="preserve"> proceeding” is ensuring that the group members, represented in the proceeding, are represented in a way best adapted to advance their claims in accordance with the overarching purpose and in a manner which best protects the dilution of their claims by unnecessary costs (which claims are presently part of </w:t>
      </w:r>
      <w:r w:rsidR="00164736" w:rsidRPr="00164736">
        <w:rPr>
          <w:i/>
        </w:rPr>
        <w:t>the</w:t>
      </w:r>
      <w:r w:rsidR="00164736">
        <w:t xml:space="preserve"> proceeding).  </w:t>
      </w:r>
      <w:r w:rsidR="00BB19BE">
        <w:t>The additional vexation of GetS</w:t>
      </w:r>
      <w:r w:rsidR="002C74DE">
        <w:t>wift in facing the costs of duplication</w:t>
      </w:r>
      <w:r w:rsidR="00BB19BE">
        <w:t xml:space="preserve"> </w:t>
      </w:r>
      <w:r w:rsidR="002C74DE">
        <w:t xml:space="preserve">by </w:t>
      </w:r>
      <w:r w:rsidR="002C74DE" w:rsidRPr="002C74DE">
        <w:rPr>
          <w:i/>
        </w:rPr>
        <w:t>the</w:t>
      </w:r>
      <w:r w:rsidR="002C74DE">
        <w:t xml:space="preserve"> proceeding </w:t>
      </w:r>
      <w:r w:rsidR="00BB19BE">
        <w:t xml:space="preserve">is also relevant.  </w:t>
      </w:r>
      <w:r w:rsidR="00164736">
        <w:t>In any event, the matter is not free from doubt and there is no present need for me to tarry over this point.</w:t>
      </w:r>
    </w:p>
    <w:p w:rsidR="00C605C3" w:rsidRPr="00924038" w:rsidRDefault="000A354B" w:rsidP="00260B61">
      <w:pPr>
        <w:pStyle w:val="Heading2"/>
      </w:pPr>
      <w:bookmarkStart w:id="97" w:name="_Ref514405663"/>
      <w:r w:rsidRPr="00924038">
        <w:t>K</w:t>
      </w:r>
      <w:r w:rsidR="000969EC" w:rsidRPr="00924038">
        <w:t>.2</w:t>
      </w:r>
      <w:r w:rsidR="000969EC" w:rsidRPr="00924038">
        <w:tab/>
        <w:t>Alternative Relief</w:t>
      </w:r>
      <w:bookmarkEnd w:id="97"/>
    </w:p>
    <w:p w:rsidR="00B74A6E" w:rsidRPr="00B74A6E" w:rsidRDefault="00B74A6E" w:rsidP="00531922">
      <w:pPr>
        <w:pStyle w:val="Heading3"/>
      </w:pPr>
      <w:bookmarkStart w:id="98" w:name="_Ref514764836"/>
      <w:r w:rsidRPr="00B74A6E">
        <w:t>K.2.</w:t>
      </w:r>
      <w:r>
        <w:t>1</w:t>
      </w:r>
      <w:r>
        <w:tab/>
        <w:t>Equitable Relief</w:t>
      </w:r>
      <w:bookmarkEnd w:id="98"/>
      <w:r>
        <w:t xml:space="preserve"> </w:t>
      </w:r>
    </w:p>
    <w:p w:rsidR="00B74A6E" w:rsidRPr="00922844" w:rsidRDefault="001D64ED" w:rsidP="00922844">
      <w:pPr>
        <w:pStyle w:val="ParaNumbering"/>
        <w:rPr>
          <w:rFonts w:eastAsiaTheme="minorHAnsi"/>
          <w:szCs w:val="24"/>
        </w:rPr>
      </w:pPr>
      <w:r>
        <w:t xml:space="preserve">In the event I was wrong and </w:t>
      </w:r>
      <w:r w:rsidR="00922844">
        <w:t xml:space="preserve">the Perera Proceeding and the McTaggart Proceeding </w:t>
      </w:r>
      <w:r w:rsidR="002665CF">
        <w:t xml:space="preserve">ought </w:t>
      </w:r>
      <w:r w:rsidR="00BB19BE">
        <w:t xml:space="preserve">not </w:t>
      </w:r>
      <w:r w:rsidR="002B6CCA">
        <w:t xml:space="preserve">to </w:t>
      </w:r>
      <w:r w:rsidR="002665CF">
        <w:t xml:space="preserve">be stayed, </w:t>
      </w:r>
      <w:r w:rsidR="00922844">
        <w:t>that is no</w:t>
      </w:r>
      <w:r w:rsidR="002665CF">
        <w:t xml:space="preserve">t the end of the matter.  </w:t>
      </w:r>
      <w:r w:rsidR="00922844">
        <w:rPr>
          <w:lang w:eastAsia="en-AU"/>
        </w:rPr>
        <w:t>I conclude</w:t>
      </w:r>
      <w:r w:rsidR="00922844" w:rsidRPr="00924038">
        <w:rPr>
          <w:lang w:eastAsia="en-AU"/>
        </w:rPr>
        <w:t xml:space="preserve"> that </w:t>
      </w:r>
      <w:r w:rsidR="00922844">
        <w:rPr>
          <w:lang w:eastAsia="en-AU"/>
        </w:rPr>
        <w:t>it is</w:t>
      </w:r>
      <w:r w:rsidR="00922844" w:rsidRPr="00924038">
        <w:rPr>
          <w:lang w:eastAsia="en-AU"/>
        </w:rPr>
        <w:t xml:space="preserve"> contrary to good conscience </w:t>
      </w:r>
      <w:r w:rsidR="00922844">
        <w:rPr>
          <w:lang w:eastAsia="en-AU"/>
        </w:rPr>
        <w:t>to continue duplicative</w:t>
      </w:r>
      <w:r w:rsidR="00922844" w:rsidRPr="00924038">
        <w:rPr>
          <w:lang w:eastAsia="en-AU"/>
        </w:rPr>
        <w:t xml:space="preserve"> proceeding</w:t>
      </w:r>
      <w:r w:rsidR="00922844">
        <w:rPr>
          <w:lang w:eastAsia="en-AU"/>
        </w:rPr>
        <w:t>s</w:t>
      </w:r>
      <w:r w:rsidR="00922844" w:rsidRPr="00924038">
        <w:rPr>
          <w:lang w:eastAsia="en-AU"/>
        </w:rPr>
        <w:t xml:space="preserve"> which ha</w:t>
      </w:r>
      <w:r w:rsidR="00922844">
        <w:rPr>
          <w:lang w:eastAsia="en-AU"/>
        </w:rPr>
        <w:t>ve</w:t>
      </w:r>
      <w:r w:rsidR="00922844" w:rsidRPr="00924038">
        <w:rPr>
          <w:lang w:eastAsia="en-AU"/>
        </w:rPr>
        <w:t xml:space="preserve"> become vexatious</w:t>
      </w:r>
      <w:r w:rsidR="002665CF">
        <w:rPr>
          <w:lang w:eastAsia="en-AU"/>
        </w:rPr>
        <w:t xml:space="preserve"> or </w:t>
      </w:r>
      <w:r w:rsidR="00964866">
        <w:rPr>
          <w:lang w:eastAsia="en-AU"/>
        </w:rPr>
        <w:t>undue</w:t>
      </w:r>
      <w:r w:rsidR="00922844" w:rsidRPr="00924038">
        <w:rPr>
          <w:lang w:eastAsia="en-AU"/>
        </w:rPr>
        <w:t xml:space="preserve"> (to both a respondent as being superfluous, and/or </w:t>
      </w:r>
      <w:r w:rsidR="002665CF">
        <w:rPr>
          <w:lang w:eastAsia="en-AU"/>
        </w:rPr>
        <w:t xml:space="preserve">to group members </w:t>
      </w:r>
      <w:r w:rsidR="00922844" w:rsidRPr="00924038">
        <w:rPr>
          <w:lang w:eastAsia="en-AU"/>
        </w:rPr>
        <w:t xml:space="preserve">as </w:t>
      </w:r>
      <w:r w:rsidR="00250D3B">
        <w:rPr>
          <w:lang w:eastAsia="en-AU"/>
        </w:rPr>
        <w:t xml:space="preserve">being </w:t>
      </w:r>
      <w:r w:rsidR="00922844" w:rsidRPr="00924038">
        <w:rPr>
          <w:lang w:eastAsia="en-AU"/>
        </w:rPr>
        <w:t>an inutile vehicle for pursuing group member claims</w:t>
      </w:r>
      <w:r w:rsidR="00250D3B">
        <w:rPr>
          <w:lang w:eastAsia="en-AU"/>
        </w:rPr>
        <w:t>,</w:t>
      </w:r>
      <w:r w:rsidR="002665CF">
        <w:rPr>
          <w:lang w:eastAsia="en-AU"/>
        </w:rPr>
        <w:t xml:space="preserve"> contrary to the overarching purpose)</w:t>
      </w:r>
      <w:r w:rsidR="002B6CCA">
        <w:rPr>
          <w:lang w:eastAsia="en-AU"/>
        </w:rPr>
        <w:t>.  I</w:t>
      </w:r>
      <w:r w:rsidR="002665CF">
        <w:rPr>
          <w:lang w:eastAsia="en-AU"/>
        </w:rPr>
        <w:t xml:space="preserve"> also conclude the conduct </w:t>
      </w:r>
      <w:r w:rsidR="002B6CCA">
        <w:rPr>
          <w:lang w:eastAsia="en-AU"/>
        </w:rPr>
        <w:t xml:space="preserve">going forward </w:t>
      </w:r>
      <w:r w:rsidR="002665CF">
        <w:rPr>
          <w:lang w:eastAsia="en-AU"/>
        </w:rPr>
        <w:t xml:space="preserve">would </w:t>
      </w:r>
      <w:r w:rsidR="002B6CCA">
        <w:rPr>
          <w:lang w:eastAsia="en-AU"/>
        </w:rPr>
        <w:t xml:space="preserve">oppressively </w:t>
      </w:r>
      <w:r w:rsidR="002665CF" w:rsidRPr="00924038">
        <w:rPr>
          <w:szCs w:val="24"/>
        </w:rPr>
        <w:t xml:space="preserve">interfere with the due processes of the </w:t>
      </w:r>
      <w:r w:rsidR="00466AF5">
        <w:rPr>
          <w:szCs w:val="24"/>
        </w:rPr>
        <w:t>proper conduct of Part IVA</w:t>
      </w:r>
      <w:r w:rsidR="002665CF">
        <w:rPr>
          <w:szCs w:val="24"/>
        </w:rPr>
        <w:t xml:space="preserve"> </w:t>
      </w:r>
      <w:r w:rsidR="00466AF5">
        <w:rPr>
          <w:szCs w:val="24"/>
        </w:rPr>
        <w:t xml:space="preserve">in </w:t>
      </w:r>
      <w:r w:rsidR="002665CF">
        <w:rPr>
          <w:szCs w:val="24"/>
        </w:rPr>
        <w:t>this matter</w:t>
      </w:r>
      <w:r w:rsidR="00466AF5">
        <w:rPr>
          <w:szCs w:val="24"/>
        </w:rPr>
        <w:t>,</w:t>
      </w:r>
      <w:r w:rsidR="002665CF">
        <w:rPr>
          <w:szCs w:val="24"/>
        </w:rPr>
        <w:t xml:space="preserve"> </w:t>
      </w:r>
      <w:r w:rsidR="002665CF" w:rsidRPr="00924038">
        <w:rPr>
          <w:szCs w:val="24"/>
        </w:rPr>
        <w:t>hence generating th</w:t>
      </w:r>
      <w:r w:rsidR="002665CF">
        <w:rPr>
          <w:szCs w:val="24"/>
        </w:rPr>
        <w:t>e necessary equity to enjoin Mr Perera</w:t>
      </w:r>
      <w:r w:rsidR="002B6CCA">
        <w:rPr>
          <w:szCs w:val="24"/>
        </w:rPr>
        <w:t xml:space="preserve"> and the McTaggart applicants f</w:t>
      </w:r>
      <w:r w:rsidR="002665CF">
        <w:rPr>
          <w:szCs w:val="24"/>
        </w:rPr>
        <w:t>r</w:t>
      </w:r>
      <w:r w:rsidR="002B6CCA">
        <w:rPr>
          <w:szCs w:val="24"/>
        </w:rPr>
        <w:t>o</w:t>
      </w:r>
      <w:r w:rsidR="002665CF">
        <w:rPr>
          <w:szCs w:val="24"/>
        </w:rPr>
        <w:t xml:space="preserve">m further conduct of their </w:t>
      </w:r>
      <w:r w:rsidR="002665CF" w:rsidRPr="002B6CCA">
        <w:rPr>
          <w:i/>
          <w:szCs w:val="24"/>
        </w:rPr>
        <w:t>proceedings</w:t>
      </w:r>
      <w:r w:rsidR="00466AF5">
        <w:rPr>
          <w:szCs w:val="24"/>
        </w:rPr>
        <w:t xml:space="preserve"> (as distinct f</w:t>
      </w:r>
      <w:r w:rsidR="002B6CCA">
        <w:rPr>
          <w:szCs w:val="24"/>
        </w:rPr>
        <w:t>r</w:t>
      </w:r>
      <w:r w:rsidR="00466AF5">
        <w:rPr>
          <w:szCs w:val="24"/>
        </w:rPr>
        <w:t>o</w:t>
      </w:r>
      <w:r w:rsidR="002B6CCA">
        <w:rPr>
          <w:szCs w:val="24"/>
        </w:rPr>
        <w:t xml:space="preserve">m advancing their </w:t>
      </w:r>
      <w:r w:rsidR="002B6CCA" w:rsidRPr="002B6CCA">
        <w:rPr>
          <w:i/>
          <w:szCs w:val="24"/>
        </w:rPr>
        <w:t>claims</w:t>
      </w:r>
      <w:r w:rsidR="002B6CCA">
        <w:rPr>
          <w:szCs w:val="24"/>
        </w:rPr>
        <w:t>)</w:t>
      </w:r>
      <w:r w:rsidR="00922844">
        <w:rPr>
          <w:szCs w:val="24"/>
        </w:rPr>
        <w:t>.</w:t>
      </w:r>
      <w:r w:rsidR="00922844" w:rsidRPr="00924038">
        <w:rPr>
          <w:szCs w:val="24"/>
        </w:rPr>
        <w:t xml:space="preserve"> </w:t>
      </w:r>
    </w:p>
    <w:p w:rsidR="00B74A6E" w:rsidRPr="00D84C3C" w:rsidRDefault="00B74A6E" w:rsidP="00531922">
      <w:pPr>
        <w:pStyle w:val="Heading3"/>
      </w:pPr>
      <w:bookmarkStart w:id="99" w:name="_Ref514764837"/>
      <w:r w:rsidRPr="00D84C3C">
        <w:lastRenderedPageBreak/>
        <w:t>K.2.2</w:t>
      </w:r>
      <w:r w:rsidRPr="00D84C3C">
        <w:tab/>
        <w:t>Declassing</w:t>
      </w:r>
      <w:bookmarkEnd w:id="99"/>
      <w:r w:rsidRPr="00D84C3C">
        <w:t xml:space="preserve"> </w:t>
      </w:r>
    </w:p>
    <w:p w:rsidR="002B6CCA" w:rsidRDefault="005C3EE7" w:rsidP="005C3EE7">
      <w:pPr>
        <w:pStyle w:val="ParaNumbering"/>
      </w:pPr>
      <w:r w:rsidRPr="00924038">
        <w:t>In the event that I was i</w:t>
      </w:r>
      <w:r w:rsidR="00BB19BE">
        <w:t xml:space="preserve">n error in granting a </w:t>
      </w:r>
      <w:r w:rsidRPr="00924038">
        <w:t xml:space="preserve">stay and was otherwise prevented from enjoining the conduct of </w:t>
      </w:r>
      <w:r w:rsidR="00250D3B">
        <w:t>the parties</w:t>
      </w:r>
      <w:r w:rsidRPr="00924038">
        <w:t xml:space="preserve">, then </w:t>
      </w:r>
      <w:r w:rsidR="00922844">
        <w:t xml:space="preserve">rather than allowing multiplicity to continue with all its attendant difficulties, </w:t>
      </w:r>
      <w:r w:rsidRPr="00924038">
        <w:t xml:space="preserve">I would make </w:t>
      </w:r>
      <w:proofErr w:type="gramStart"/>
      <w:r w:rsidRPr="00924038">
        <w:t>a</w:t>
      </w:r>
      <w:proofErr w:type="gramEnd"/>
      <w:r w:rsidRPr="00924038">
        <w:t xml:space="preserve"> s 33N order.  I would do so because I consider the circumstance identified in s 33N(1)(c) exists</w:t>
      </w:r>
      <w:r w:rsidR="00005F4D">
        <w:t>,</w:t>
      </w:r>
      <w:r w:rsidRPr="00924038">
        <w:t xml:space="preserve"> that is, that each proceeding no longer is an efficient means of resolving the claims of group members and that it is in the interests of justice that they no longer continue as class actions.  </w:t>
      </w:r>
      <w:r w:rsidR="00005F4D">
        <w:t xml:space="preserve">If this was also unavailable, I would effect a declassing under s 33ZF.  </w:t>
      </w:r>
      <w:r w:rsidRPr="00924038">
        <w:t xml:space="preserve">As Beach J </w:t>
      </w:r>
      <w:r w:rsidR="002B6CCA">
        <w:t xml:space="preserve">noted </w:t>
      </w:r>
      <w:r w:rsidRPr="00924038">
        <w:t xml:space="preserve">in </w:t>
      </w:r>
      <w:r w:rsidRPr="00924038">
        <w:rPr>
          <w:i/>
        </w:rPr>
        <w:t>Bellamy’s</w:t>
      </w:r>
      <w:proofErr w:type="gramStart"/>
      <w:r w:rsidR="002B6CCA">
        <w:t>,</w:t>
      </w:r>
      <w:proofErr w:type="gramEnd"/>
      <w:r w:rsidRPr="00924038">
        <w:rPr>
          <w:i/>
        </w:rPr>
        <w:t xml:space="preserve"> </w:t>
      </w:r>
      <w:r w:rsidR="00005F4D">
        <w:t>such a</w:t>
      </w:r>
      <w:r w:rsidRPr="00924038">
        <w:t xml:space="preserve"> declassing order does not bring the </w:t>
      </w:r>
      <w:r w:rsidRPr="002C74DE">
        <w:t>proceeding t</w:t>
      </w:r>
      <w:r w:rsidR="002B6CCA" w:rsidRPr="002C74DE">
        <w:t>o an end but rather transmogrifies</w:t>
      </w:r>
      <w:r w:rsidRPr="002C74DE">
        <w:t xml:space="preserve"> it into an individual proceeding.  This was a factor which disinclined Beach J </w:t>
      </w:r>
      <w:r w:rsidR="00005F4D">
        <w:t xml:space="preserve">from making such a s </w:t>
      </w:r>
      <w:proofErr w:type="gramStart"/>
      <w:r w:rsidR="00005F4D">
        <w:t>3N(</w:t>
      </w:r>
      <w:proofErr w:type="gramEnd"/>
      <w:r w:rsidR="00005F4D">
        <w:t>1)</w:t>
      </w:r>
      <w:r w:rsidRPr="002C74DE">
        <w:t xml:space="preserve"> order</w:t>
      </w:r>
      <w:r w:rsidR="002B6CCA" w:rsidRPr="002C74DE">
        <w:t>,</w:t>
      </w:r>
      <w:r w:rsidRPr="002C74DE">
        <w:t xml:space="preserve"> even if he considered it was otherwise </w:t>
      </w:r>
      <w:r w:rsidRPr="00924038">
        <w:t xml:space="preserve">open for him to do so.  </w:t>
      </w:r>
    </w:p>
    <w:p w:rsidR="005C3EE7" w:rsidRPr="00924038" w:rsidRDefault="005C3EE7" w:rsidP="005C3EE7">
      <w:pPr>
        <w:pStyle w:val="ParaNumbering"/>
      </w:pPr>
      <w:r w:rsidRPr="00924038">
        <w:t xml:space="preserve">I do not share </w:t>
      </w:r>
      <w:r w:rsidR="002B6CCA">
        <w:t>t</w:t>
      </w:r>
      <w:r w:rsidRPr="00924038">
        <w:t xml:space="preserve">his </w:t>
      </w:r>
      <w:r w:rsidR="002B6CCA">
        <w:t>concern</w:t>
      </w:r>
      <w:r w:rsidRPr="00924038">
        <w:t xml:space="preserve"> in </w:t>
      </w:r>
      <w:r w:rsidR="00250D3B">
        <w:t xml:space="preserve">the circumstances of </w:t>
      </w:r>
      <w:r w:rsidRPr="00924038">
        <w:t>this case because I would al</w:t>
      </w:r>
      <w:r w:rsidR="002C74DE">
        <w:t xml:space="preserve">so make an order, relying on </w:t>
      </w:r>
      <w:r w:rsidRPr="00924038">
        <w:t>case management powers to further the overarching purpose, to adjourn</w:t>
      </w:r>
      <w:r w:rsidR="00922844">
        <w:t xml:space="preserve"> the </w:t>
      </w:r>
      <w:r w:rsidR="002B6CCA">
        <w:t xml:space="preserve">declassed </w:t>
      </w:r>
      <w:r w:rsidR="00922844">
        <w:t xml:space="preserve">proceedings until the </w:t>
      </w:r>
      <w:r w:rsidR="002C74DE">
        <w:t xml:space="preserve">conduct of the </w:t>
      </w:r>
      <w:r w:rsidR="00922844">
        <w:t>mediation.  If the mediation was unsuccessful</w:t>
      </w:r>
      <w:r w:rsidR="0016781A">
        <w:t xml:space="preserve"> and the case did not otherwise settle (an event I consider quite unlikely), as presently disposed,</w:t>
      </w:r>
      <w:r w:rsidR="00922844">
        <w:t xml:space="preserve"> I would also consider a further adjournment until after the</w:t>
      </w:r>
      <w:r w:rsidRPr="00924038">
        <w:t xml:space="preserve"> initial trial and determination of common issues.  </w:t>
      </w:r>
      <w:r w:rsidR="0016781A">
        <w:t>If this second adjournment order was made, t</w:t>
      </w:r>
      <w:r w:rsidRPr="00924038">
        <w:t xml:space="preserve">his would allow the individual proceeding to then be dealt with the same way as the other individual claims after the </w:t>
      </w:r>
      <w:r w:rsidR="0016781A">
        <w:t xml:space="preserve">initial </w:t>
      </w:r>
      <w:r w:rsidRPr="00924038">
        <w:t xml:space="preserve">trial.  </w:t>
      </w:r>
      <w:r w:rsidR="00922844">
        <w:t>Of course</w:t>
      </w:r>
      <w:r w:rsidR="0016781A">
        <w:t>,</w:t>
      </w:r>
      <w:r w:rsidR="00922844">
        <w:t xml:space="preserve"> in doing so</w:t>
      </w:r>
      <w:r w:rsidR="0016781A">
        <w:t>,</w:t>
      </w:r>
      <w:r w:rsidR="00922844">
        <w:t xml:space="preserve"> I am aware that in the unlikely event </w:t>
      </w:r>
      <w:r w:rsidR="0016781A">
        <w:t>the matter did proceed to an in</w:t>
      </w:r>
      <w:r w:rsidR="002C74DE">
        <w:t xml:space="preserve">itial trial, and the declassed </w:t>
      </w:r>
      <w:r w:rsidR="0016781A">
        <w:t>cases did not proceed</w:t>
      </w:r>
      <w:r w:rsidR="002B6CCA">
        <w:t xml:space="preserve"> at the initial trial</w:t>
      </w:r>
      <w:r w:rsidR="0016781A">
        <w:t xml:space="preserve">, </w:t>
      </w:r>
      <w:r w:rsidR="0016781A">
        <w:rPr>
          <w:lang w:eastAsia="en-AU"/>
        </w:rPr>
        <w:t xml:space="preserve">Mr </w:t>
      </w:r>
      <w:r w:rsidR="0016781A">
        <w:t>Perera and the McTaggart applicants would not be bound by the determination of common issues (because they would not be caught as parties or by the statutory estoppel in s 33ZB).  This may have a perceived downside</w:t>
      </w:r>
      <w:r w:rsidR="002B6CCA">
        <w:t>,</w:t>
      </w:r>
      <w:r w:rsidR="0016781A">
        <w:t xml:space="preserve"> but the </w:t>
      </w:r>
      <w:r w:rsidR="002B6CCA">
        <w:t>eventuality is unlikely</w:t>
      </w:r>
      <w:r w:rsidR="00BB19BE">
        <w:t>, relitigation of issues is even more unlikely,</w:t>
      </w:r>
      <w:r w:rsidR="002B6CCA">
        <w:t xml:space="preserve"> and </w:t>
      </w:r>
      <w:r w:rsidR="0016781A">
        <w:t>savings in cost and efficiency would likely be considera</w:t>
      </w:r>
      <w:r w:rsidR="00BB19BE">
        <w:t>ble</w:t>
      </w:r>
      <w:r w:rsidR="00466AF5">
        <w:t>.  In any event, I would hear f</w:t>
      </w:r>
      <w:r w:rsidR="0016781A">
        <w:t>r</w:t>
      </w:r>
      <w:r w:rsidR="00466AF5">
        <w:t>o</w:t>
      </w:r>
      <w:r w:rsidR="0016781A">
        <w:t xml:space="preserve">m the parties in relation to </w:t>
      </w:r>
      <w:r w:rsidR="002B6CCA">
        <w:t>any case management orders</w:t>
      </w:r>
      <w:r w:rsidR="0016781A">
        <w:t xml:space="preserve"> in the event it was necessary to consider such a course.</w:t>
      </w:r>
    </w:p>
    <w:p w:rsidR="005C3EE7" w:rsidRPr="00924038" w:rsidRDefault="005C3EE7" w:rsidP="005C3EE7">
      <w:pPr>
        <w:pStyle w:val="ParaNumbering"/>
      </w:pPr>
      <w:r w:rsidRPr="00924038">
        <w:t>One might ask why this would not be a preferable course rather than staying the proceedings</w:t>
      </w:r>
      <w:r w:rsidR="00250D3B">
        <w:t>?</w:t>
      </w:r>
      <w:r w:rsidRPr="00924038">
        <w:t xml:space="preserve">  The answer is that </w:t>
      </w:r>
      <w:r w:rsidR="0016781A">
        <w:t>n</w:t>
      </w:r>
      <w:r w:rsidRPr="00924038">
        <w:t xml:space="preserve">o result is likely to be acceptable to GetSwift at </w:t>
      </w:r>
      <w:r w:rsidR="0016781A">
        <w:t>any</w:t>
      </w:r>
      <w:r w:rsidRPr="00924038">
        <w:t xml:space="preserve"> mediation unless it resolved all claims which are being made against it.  This will necessitate the resolution of the individual claims of Mr Perera and the McTaggart applicants who, unlike other group members, will not be part of the open class because </w:t>
      </w:r>
      <w:r w:rsidR="00005F4D">
        <w:t>on this hypothesis they would</w:t>
      </w:r>
      <w:r w:rsidR="0016781A">
        <w:t>,</w:t>
      </w:r>
      <w:r w:rsidRPr="00924038">
        <w:t xml:space="preserve"> in a sense</w:t>
      </w:r>
      <w:r w:rsidR="0016781A">
        <w:t>,</w:t>
      </w:r>
      <w:r w:rsidRPr="00924038">
        <w:t xml:space="preserve"> </w:t>
      </w:r>
      <w:r w:rsidR="0016781A">
        <w:t>‘</w:t>
      </w:r>
      <w:r w:rsidR="00005F4D">
        <w:t>opt</w:t>
      </w:r>
      <w:r w:rsidRPr="00924038">
        <w:t xml:space="preserve"> out</w:t>
      </w:r>
      <w:r w:rsidR="0016781A">
        <w:t>’</w:t>
      </w:r>
      <w:r w:rsidRPr="00924038">
        <w:t xml:space="preserve"> by </w:t>
      </w:r>
      <w:r w:rsidR="0016781A">
        <w:t>maintaining</w:t>
      </w:r>
      <w:r w:rsidRPr="00924038">
        <w:t xml:space="preserve"> their individual proceedings.  </w:t>
      </w:r>
    </w:p>
    <w:p w:rsidR="005C3EE7" w:rsidRPr="00924038" w:rsidRDefault="0016781A" w:rsidP="00147077">
      <w:pPr>
        <w:pStyle w:val="ParaNumbering"/>
      </w:pPr>
      <w:r>
        <w:lastRenderedPageBreak/>
        <w:t>I</w:t>
      </w:r>
      <w:r w:rsidR="005C3EE7" w:rsidRPr="00924038">
        <w:t>n order to resolve the entire matter</w:t>
      </w:r>
      <w:r>
        <w:t>,</w:t>
      </w:r>
      <w:r w:rsidR="005C3EE7" w:rsidRPr="00924038">
        <w:t xml:space="preserve"> </w:t>
      </w:r>
      <w:r w:rsidR="0021114B">
        <w:t xml:space="preserve">the </w:t>
      </w:r>
      <w:r w:rsidR="005C3EE7" w:rsidRPr="00924038">
        <w:t>declassed proceedings</w:t>
      </w:r>
      <w:r w:rsidR="0021114B">
        <w:t xml:space="preserve"> would need to be settled</w:t>
      </w:r>
      <w:r w:rsidR="005C3EE7" w:rsidRPr="00924038">
        <w:t xml:space="preserve">.  It takes little imagination to conceive, as a matter of theory, that this might </w:t>
      </w:r>
      <w:r>
        <w:t xml:space="preserve">allow disproportionate amounts to be </w:t>
      </w:r>
      <w:r w:rsidR="0021114B">
        <w:t xml:space="preserve">demanded </w:t>
      </w:r>
      <w:r>
        <w:t>to resolve individual cases (not covered by any s</w:t>
      </w:r>
      <w:r w:rsidR="00250D3B">
        <w:t> </w:t>
      </w:r>
      <w:r>
        <w:t>33V approved settlement</w:t>
      </w:r>
      <w:r w:rsidR="0021114B">
        <w:t>)</w:t>
      </w:r>
      <w:r>
        <w:t>,</w:t>
      </w:r>
      <w:r w:rsidR="005C3EE7" w:rsidRPr="00924038">
        <w:t xml:space="preserve"> as </w:t>
      </w:r>
      <w:r w:rsidR="0021114B">
        <w:t>a price for achieving a quietus</w:t>
      </w:r>
      <w:r w:rsidR="005C3EE7" w:rsidRPr="00924038">
        <w:t xml:space="preserve">.  This is not to suggest that Mr Perera or the McTaggart applicants would act in any way inappropriately or engage in conduct which could be characterised as </w:t>
      </w:r>
      <w:r w:rsidR="00147077">
        <w:t>‘greenmail’</w:t>
      </w:r>
      <w:r w:rsidR="0021114B">
        <w:t xml:space="preserve"> (and this is a</w:t>
      </w:r>
      <w:r w:rsidR="002B6CCA">
        <w:t>lready a</w:t>
      </w:r>
      <w:r w:rsidR="0021114B">
        <w:t xml:space="preserve"> danger implicit in Part IVA in allowing for individual proceedings to be commenced following opt out),</w:t>
      </w:r>
      <w:r w:rsidR="00147077">
        <w:t xml:space="preserve"> </w:t>
      </w:r>
      <w:r w:rsidR="005C3EE7" w:rsidRPr="00924038">
        <w:t xml:space="preserve">but the Court should only take a step which </w:t>
      </w:r>
      <w:r w:rsidR="0021114B">
        <w:t xml:space="preserve">would bring about </w:t>
      </w:r>
      <w:r w:rsidR="005C3EE7" w:rsidRPr="00924038">
        <w:t xml:space="preserve">such </w:t>
      </w:r>
      <w:r w:rsidR="0021114B">
        <w:t xml:space="preserve">a theoretical possibility in </w:t>
      </w:r>
      <w:r w:rsidR="005C3EE7" w:rsidRPr="00924038">
        <w:t>the event that there were no other available remedies to deal with the multiplicity issue.</w:t>
      </w:r>
    </w:p>
    <w:p w:rsidR="00147077" w:rsidRDefault="00147077" w:rsidP="005C3EE7">
      <w:pPr>
        <w:pStyle w:val="ParaNumbering"/>
      </w:pPr>
      <w:r>
        <w:t xml:space="preserve">I have dealt with the approach I would take following a </w:t>
      </w:r>
      <w:r w:rsidR="00005F4D">
        <w:t>declassing</w:t>
      </w:r>
      <w:r w:rsidR="005C3EE7" w:rsidRPr="00924038">
        <w:t xml:space="preserve"> order </w:t>
      </w:r>
      <w:r>
        <w:t>at some length, because it gives some guidance of the course that might be taken in relation to the cases of individuals who opted out of the Webb Proceeding.  I</w:t>
      </w:r>
      <w:r w:rsidR="005C3EE7" w:rsidRPr="00924038">
        <w:t xml:space="preserve">n </w:t>
      </w:r>
      <w:r w:rsidR="00250D3B">
        <w:t>any</w:t>
      </w:r>
      <w:r w:rsidR="005C3EE7" w:rsidRPr="00924038">
        <w:t xml:space="preserve"> event</w:t>
      </w:r>
      <w:r>
        <w:t xml:space="preserve">, </w:t>
      </w:r>
      <w:r w:rsidR="00250D3B">
        <w:t xml:space="preserve">it may, </w:t>
      </w:r>
      <w:r>
        <w:t>at the very least, assist in drafting opt out notices which should apprise group members of what might possibly happen upon opt out</w:t>
      </w:r>
      <w:r w:rsidR="00407586">
        <w:t>,</w:t>
      </w:r>
      <w:r>
        <w:t xml:space="preserve"> if that opting out led to commencement of further individual proceedings.</w:t>
      </w:r>
    </w:p>
    <w:p w:rsidR="005C7C4A" w:rsidRPr="00924038" w:rsidRDefault="000A354B" w:rsidP="00260B61">
      <w:pPr>
        <w:pStyle w:val="Heading2"/>
      </w:pPr>
      <w:bookmarkStart w:id="100" w:name="_Ref514405664"/>
      <w:r w:rsidRPr="00924038">
        <w:t>K</w:t>
      </w:r>
      <w:r w:rsidR="005C7C4A" w:rsidRPr="00924038">
        <w:t>.3</w:t>
      </w:r>
      <w:r w:rsidR="005C7C4A" w:rsidRPr="00924038">
        <w:tab/>
      </w:r>
      <w:proofErr w:type="gramStart"/>
      <w:r w:rsidR="005C7C4A" w:rsidRPr="00924038">
        <w:t>The</w:t>
      </w:r>
      <w:proofErr w:type="gramEnd"/>
      <w:r w:rsidR="005C7C4A" w:rsidRPr="00924038">
        <w:t xml:space="preserve"> </w:t>
      </w:r>
      <w:r w:rsidR="00C5694C" w:rsidRPr="00924038">
        <w:t>‘Remedy’</w:t>
      </w:r>
      <w:r w:rsidR="005C7C4A" w:rsidRPr="00924038">
        <w:t xml:space="preserve"> of s 33T</w:t>
      </w:r>
      <w:r w:rsidR="00C5694C" w:rsidRPr="00924038">
        <w:t xml:space="preserve"> and Case Management Powers</w:t>
      </w:r>
      <w:bookmarkEnd w:id="100"/>
    </w:p>
    <w:p w:rsidR="005C7C4A" w:rsidRPr="00924038" w:rsidRDefault="005C7C4A" w:rsidP="00084E53">
      <w:pPr>
        <w:pStyle w:val="ParaNumbering"/>
      </w:pPr>
      <w:r w:rsidRPr="00924038">
        <w:t>In gra</w:t>
      </w:r>
      <w:r w:rsidR="00C5694C" w:rsidRPr="00924038">
        <w:t>n</w:t>
      </w:r>
      <w:r w:rsidR="004D79AF" w:rsidRPr="00924038">
        <w:t xml:space="preserve">ting </w:t>
      </w:r>
      <w:r w:rsidRPr="00924038">
        <w:t>permanent stay</w:t>
      </w:r>
      <w:r w:rsidR="004D79AF" w:rsidRPr="00924038">
        <w:t>s</w:t>
      </w:r>
      <w:r w:rsidRPr="00924038">
        <w:t xml:space="preserve"> I am sensible to the possibility that a decision made to allow the Webb Proceeding to go forward in its current form is an interlocutory order</w:t>
      </w:r>
      <w:r w:rsidR="00C5694C" w:rsidRPr="00924038">
        <w:t>,</w:t>
      </w:r>
      <w:r w:rsidRPr="00924038">
        <w:t xml:space="preserve"> and is not immutable. </w:t>
      </w:r>
    </w:p>
    <w:p w:rsidR="009272EC" w:rsidRPr="00924038" w:rsidRDefault="005C7C4A" w:rsidP="005C7C4A">
      <w:pPr>
        <w:pStyle w:val="ParaNumbering"/>
      </w:pPr>
      <w:r w:rsidRPr="00924038">
        <w:t>It may be that a problem arises.  If so, a “</w:t>
      </w:r>
      <w:r w:rsidRPr="00250D3B">
        <w:rPr>
          <w:i/>
        </w:rPr>
        <w:t>safeguard</w:t>
      </w:r>
      <w:r w:rsidRPr="00924038">
        <w:t xml:space="preserve">” (to adopt the description </w:t>
      </w:r>
      <w:r w:rsidR="00260B61" w:rsidRPr="00924038">
        <w:t xml:space="preserve">used in </w:t>
      </w:r>
      <w:r w:rsidRPr="00924038">
        <w:rPr>
          <w:i/>
        </w:rPr>
        <w:t xml:space="preserve">Wong </w:t>
      </w:r>
      <w:r w:rsidR="00924CC5" w:rsidRPr="00924CC5">
        <w:t>at</w:t>
      </w:r>
      <w:r w:rsidRPr="00924038">
        <w:rPr>
          <w:szCs w:val="24"/>
        </w:rPr>
        <w:t xml:space="preserve"> 266 [25]</w:t>
      </w:r>
      <w:r w:rsidR="00924CC5">
        <w:rPr>
          <w:szCs w:val="24"/>
        </w:rPr>
        <w:t>)</w:t>
      </w:r>
      <w:r w:rsidRPr="00924038">
        <w:rPr>
          <w:szCs w:val="24"/>
        </w:rPr>
        <w:t xml:space="preserve"> </w:t>
      </w:r>
      <w:r w:rsidR="00C5694C" w:rsidRPr="00924038">
        <w:rPr>
          <w:szCs w:val="24"/>
        </w:rPr>
        <w:t>must exist</w:t>
      </w:r>
      <w:r w:rsidRPr="00924038">
        <w:rPr>
          <w:szCs w:val="24"/>
        </w:rPr>
        <w:t>.</w:t>
      </w:r>
      <w:r w:rsidR="009272EC" w:rsidRPr="00924038">
        <w:rPr>
          <w:szCs w:val="24"/>
        </w:rPr>
        <w:t xml:space="preserve">  Section 33T provides: </w:t>
      </w:r>
    </w:p>
    <w:p w:rsidR="005C7C4A" w:rsidRPr="00924038" w:rsidRDefault="005C7C4A" w:rsidP="00250D3B">
      <w:pPr>
        <w:pStyle w:val="Quote1"/>
      </w:pPr>
      <w:r w:rsidRPr="00924038">
        <w:t>If, on an application by a group member, it appears to the Court that a representative party is not able adequately to represent the interests of the group members, the Court may substitute another group member as representative party and may make such orders as it thinks fit.</w:t>
      </w:r>
    </w:p>
    <w:p w:rsidR="005C7C4A" w:rsidRPr="00924038" w:rsidRDefault="005C7C4A" w:rsidP="005C7C4A">
      <w:pPr>
        <w:pStyle w:val="ParaNumbering"/>
      </w:pPr>
      <w:r w:rsidRPr="00924038">
        <w:rPr>
          <w:szCs w:val="24"/>
        </w:rPr>
        <w:t>In</w:t>
      </w:r>
      <w:r w:rsidRPr="00924038">
        <w:rPr>
          <w:i/>
        </w:rPr>
        <w:t xml:space="preserve"> </w:t>
      </w:r>
      <w:r w:rsidR="00632A4F" w:rsidRPr="00924038">
        <w:rPr>
          <w:i/>
        </w:rPr>
        <w:t>Femcare Ltd v Bright</w:t>
      </w:r>
      <w:r w:rsidR="00632A4F" w:rsidRPr="00924038">
        <w:t xml:space="preserve"> [2000] FCA 512; (2000) 100 FCR 331 at</w:t>
      </w:r>
      <w:r w:rsidRPr="00924038">
        <w:t xml:space="preserve"> 336 [18] (Black CJ, Sackville and Emmett JJ), </w:t>
      </w:r>
      <w:r w:rsidR="009272EC" w:rsidRPr="00924038">
        <w:t xml:space="preserve">the Full Court described </w:t>
      </w:r>
      <w:r w:rsidRPr="00924038">
        <w:t xml:space="preserve">s 33T </w:t>
      </w:r>
      <w:r w:rsidR="009272EC" w:rsidRPr="00924038">
        <w:t>as providing</w:t>
      </w:r>
      <w:r w:rsidRPr="00924038">
        <w:t xml:space="preserve"> “</w:t>
      </w:r>
      <w:r w:rsidRPr="00250D3B">
        <w:rPr>
          <w:i/>
        </w:rPr>
        <w:t>a remedy for a group member who considers that a representative party is not able adequately to represent the interests of the group members</w:t>
      </w:r>
      <w:r w:rsidRPr="00924038">
        <w:t>”.</w:t>
      </w:r>
    </w:p>
    <w:p w:rsidR="005C7C4A" w:rsidRPr="00924038" w:rsidRDefault="004E6E32" w:rsidP="00084E53">
      <w:pPr>
        <w:pStyle w:val="ParaNumbering"/>
      </w:pPr>
      <w:r w:rsidRPr="00924038">
        <w:t>Going back to a point I made earlier, in the United States</w:t>
      </w:r>
      <w:r w:rsidR="00250D3B">
        <w:t>’</w:t>
      </w:r>
      <w:r w:rsidRPr="00924038">
        <w:t xml:space="preserve"> federal class action regime and in Canada’s class action regimes, the adequacy of the class representative’s representation would be a pre-requisite to the initiation of a class proceeding.  Part of the benefit of the </w:t>
      </w:r>
      <w:r w:rsidRPr="00924038">
        <w:lastRenderedPageBreak/>
        <w:t xml:space="preserve">approach reflected in Part IVA is that this issue is not just addressed at the </w:t>
      </w:r>
      <w:r w:rsidR="001A7C13" w:rsidRPr="00924038">
        <w:t>commencement</w:t>
      </w:r>
      <w:r w:rsidRPr="00924038">
        <w:t xml:space="preserve"> stage</w:t>
      </w:r>
      <w:r w:rsidR="00250D3B">
        <w:t>;</w:t>
      </w:r>
      <w:r w:rsidRPr="00924038">
        <w:t xml:space="preserve"> </w:t>
      </w:r>
      <w:r w:rsidR="001A7C13" w:rsidRPr="00924038">
        <w:t>the section gives</w:t>
      </w:r>
      <w:r w:rsidRPr="00924038">
        <w:t xml:space="preserve"> group members a remedy to challenge the applicant’s conduct if </w:t>
      </w:r>
      <w:r w:rsidR="00A07817" w:rsidRPr="00924038">
        <w:t xml:space="preserve">it becomes evident to the </w:t>
      </w:r>
      <w:r w:rsidRPr="00924038">
        <w:t xml:space="preserve">group </w:t>
      </w:r>
      <w:r w:rsidR="00A07817" w:rsidRPr="00924038">
        <w:t>m</w:t>
      </w:r>
      <w:r w:rsidRPr="00924038">
        <w:t>ember</w:t>
      </w:r>
      <w:r w:rsidR="00A07817" w:rsidRPr="00924038">
        <w:t xml:space="preserve"> that t</w:t>
      </w:r>
      <w:r w:rsidRPr="00924038">
        <w:t>he applicant</w:t>
      </w:r>
      <w:r w:rsidR="00A07817" w:rsidRPr="00924038">
        <w:t xml:space="preserve"> i</w:t>
      </w:r>
      <w:r w:rsidRPr="00924038">
        <w:t xml:space="preserve">s not acting in the interests of the </w:t>
      </w:r>
      <w:r w:rsidR="00250D3B">
        <w:t>group</w:t>
      </w:r>
      <w:r w:rsidR="00A07817" w:rsidRPr="00924038">
        <w:t>.  This</w:t>
      </w:r>
      <w:r w:rsidRPr="00924038">
        <w:t xml:space="preserve"> was regarded by </w:t>
      </w:r>
      <w:r w:rsidR="004D79AF" w:rsidRPr="00924038">
        <w:t>the ALRC as a superior strategy</w:t>
      </w:r>
      <w:r w:rsidRPr="00924038">
        <w:t xml:space="preserve"> for safeguarding the interests of </w:t>
      </w:r>
      <w:r w:rsidR="00250D3B">
        <w:t>group</w:t>
      </w:r>
      <w:r w:rsidRPr="00924038">
        <w:t xml:space="preserve"> members: see</w:t>
      </w:r>
      <w:r w:rsidR="001E367D" w:rsidRPr="00924038">
        <w:t xml:space="preserve"> ALRC Report</w:t>
      </w:r>
      <w:r w:rsidR="00250D3B">
        <w:t xml:space="preserve"> at</w:t>
      </w:r>
      <w:r w:rsidRPr="00924038">
        <w:t xml:space="preserve"> 63 [147]; </w:t>
      </w:r>
      <w:r w:rsidR="00632A4F" w:rsidRPr="00924038">
        <w:t>Professor Vince Morabito, “Replacing Inadequate Class Representatives in Federal Class Actions: Quo Vadis?</w:t>
      </w:r>
      <w:proofErr w:type="gramStart"/>
      <w:r w:rsidR="00632A4F" w:rsidRPr="00924038">
        <w:t xml:space="preserve">” </w:t>
      </w:r>
      <w:proofErr w:type="gramEnd"/>
      <w:r w:rsidR="00632A4F" w:rsidRPr="00924038">
        <w:t xml:space="preserve">(2015) 38(1) </w:t>
      </w:r>
      <w:r w:rsidR="00632A4F" w:rsidRPr="00924038">
        <w:rPr>
          <w:i/>
        </w:rPr>
        <w:t>University of New South Wales Law Journal</w:t>
      </w:r>
      <w:r w:rsidR="00632A4F" w:rsidRPr="00924038">
        <w:t xml:space="preserve"> 146 </w:t>
      </w:r>
      <w:r w:rsidR="00632A4F" w:rsidRPr="00924038">
        <w:rPr>
          <w:rFonts w:cs="Arial"/>
        </w:rPr>
        <w:t>a</w:t>
      </w:r>
      <w:r w:rsidRPr="00924038">
        <w:rPr>
          <w:rFonts w:cs="Arial"/>
        </w:rPr>
        <w:t>t 150.</w:t>
      </w:r>
      <w:r w:rsidR="005C7C4A" w:rsidRPr="00924038">
        <w:t xml:space="preserve"> </w:t>
      </w:r>
    </w:p>
    <w:p w:rsidR="001C4CC7" w:rsidRPr="00924038" w:rsidRDefault="00C5694C" w:rsidP="00440F5A">
      <w:pPr>
        <w:pStyle w:val="ParaNumbering"/>
      </w:pPr>
      <w:r w:rsidRPr="00924038">
        <w:t>But</w:t>
      </w:r>
      <w:r w:rsidR="001C4CC7" w:rsidRPr="00924038">
        <w:t>,</w:t>
      </w:r>
      <w:r w:rsidRPr="00924038">
        <w:t xml:space="preserve"> as Professor Morabito has pointed out</w:t>
      </w:r>
      <w:r w:rsidR="001C4CC7" w:rsidRPr="00924038">
        <w:t>,</w:t>
      </w:r>
      <w:r w:rsidRPr="00924038">
        <w:t xml:space="preserve"> s 33T has some curiosities.</w:t>
      </w:r>
      <w:r w:rsidR="005C7C4A" w:rsidRPr="00924038">
        <w:t xml:space="preserve"> </w:t>
      </w:r>
      <w:r w:rsidR="001C4CC7" w:rsidRPr="00924038">
        <w:t xml:space="preserve"> Unlike cl 23(1) of the</w:t>
      </w:r>
      <w:r w:rsidR="00250D3B">
        <w:t xml:space="preserve"> ALRC’s proposed Bill, in s 33T</w:t>
      </w:r>
      <w:r w:rsidR="001C4CC7" w:rsidRPr="00924038">
        <w:t xml:space="preserve"> there is no </w:t>
      </w:r>
      <w:r w:rsidR="001C4CC7" w:rsidRPr="00924038">
        <w:rPr>
          <w:i/>
        </w:rPr>
        <w:t>express</w:t>
      </w:r>
      <w:r w:rsidR="001C4CC7" w:rsidRPr="00924038">
        <w:t xml:space="preserve"> reference to the </w:t>
      </w:r>
      <w:r w:rsidR="00250D3B">
        <w:t>C</w:t>
      </w:r>
      <w:r w:rsidR="001C4CC7" w:rsidRPr="00924038">
        <w:t>ourt being able to make a replacement against a representative who is not conducting the proceeding in th</w:t>
      </w:r>
      <w:r w:rsidR="004D79AF" w:rsidRPr="00924038">
        <w:t>e interests of the group</w:t>
      </w:r>
      <w:r w:rsidR="00250D3B">
        <w:t xml:space="preserve"> members (the expression “</w:t>
      </w:r>
      <w:r w:rsidR="001C4CC7" w:rsidRPr="00250D3B">
        <w:rPr>
          <w:i/>
        </w:rPr>
        <w:t>n</w:t>
      </w:r>
      <w:r w:rsidR="00F015F7" w:rsidRPr="00250D3B">
        <w:rPr>
          <w:i/>
        </w:rPr>
        <w:t>ot able adequately to represent</w:t>
      </w:r>
      <w:r w:rsidR="00250D3B">
        <w:t>”</w:t>
      </w:r>
      <w:r w:rsidR="00F015F7" w:rsidRPr="00924038">
        <w:t xml:space="preserve"> </w:t>
      </w:r>
      <w:r w:rsidR="001C4CC7" w:rsidRPr="00924038">
        <w:t xml:space="preserve">being adopted rather than the proposal of </w:t>
      </w:r>
      <w:r w:rsidR="00250D3B">
        <w:t>“</w:t>
      </w:r>
      <w:r w:rsidR="001C4CC7" w:rsidRPr="00250D3B">
        <w:rPr>
          <w:i/>
        </w:rPr>
        <w:t xml:space="preserve">unable to conduct [the class action] </w:t>
      </w:r>
      <w:r w:rsidR="004D79AF" w:rsidRPr="00250D3B">
        <w:rPr>
          <w:i/>
        </w:rPr>
        <w:t>in</w:t>
      </w:r>
      <w:r w:rsidR="00250D3B">
        <w:t>”</w:t>
      </w:r>
      <w:r w:rsidR="004D79AF" w:rsidRPr="00924038">
        <w:t xml:space="preserve"> – the interests of the group</w:t>
      </w:r>
      <w:r w:rsidR="001C4CC7" w:rsidRPr="00924038">
        <w:t xml:space="preserve"> members).  Additionally, </w:t>
      </w:r>
      <w:r w:rsidR="00250D3B">
        <w:t xml:space="preserve">as </w:t>
      </w:r>
      <w:r w:rsidR="001C4CC7" w:rsidRPr="00924038">
        <w:t>Professor Morabito notes (at 151) a “</w:t>
      </w:r>
      <w:r w:rsidR="001C4CC7" w:rsidRPr="00250D3B">
        <w:rPr>
          <w:i/>
        </w:rPr>
        <w:t>crucial departure from the ALRC’s provision was the failure to confer expressly on the court</w:t>
      </w:r>
      <w:r w:rsidR="001C4CC7" w:rsidRPr="00924038">
        <w:t xml:space="preserve">” the power to </w:t>
      </w:r>
      <w:r w:rsidR="00F015F7" w:rsidRPr="00924038">
        <w:t>act on its own motion under</w:t>
      </w:r>
      <w:r w:rsidR="001C4CC7" w:rsidRPr="00924038">
        <w:t xml:space="preserve"> s 33T and that this “</w:t>
      </w:r>
      <w:r w:rsidR="001C4CC7" w:rsidRPr="00250D3B">
        <w:rPr>
          <w:i/>
        </w:rPr>
        <w:t>omission is impossible to reconcile with the managerial and supervisory role</w:t>
      </w:r>
      <w:r w:rsidR="001C4CC7" w:rsidRPr="00924038">
        <w:t xml:space="preserve">” of the Court.  It was suggested by Professor Morabito that </w:t>
      </w:r>
      <w:r w:rsidR="00F015F7" w:rsidRPr="00924038">
        <w:t>“</w:t>
      </w:r>
      <w:r w:rsidR="001C4CC7" w:rsidRPr="00250D3B">
        <w:rPr>
          <w:i/>
        </w:rPr>
        <w:t>the failure of section 33T to expressly empower trial judges to activate, on their own initiative, the section 33T mechanism has been a principal cause of the Federal Co</w:t>
      </w:r>
      <w:r w:rsidR="00F015F7" w:rsidRPr="00250D3B">
        <w:rPr>
          <w:i/>
        </w:rPr>
        <w:t xml:space="preserve">urt not giving </w:t>
      </w:r>
      <w:r w:rsidR="001C4CC7" w:rsidRPr="00250D3B">
        <w:rPr>
          <w:i/>
        </w:rPr>
        <w:t>adequacy of representa</w:t>
      </w:r>
      <w:r w:rsidR="00F015F7" w:rsidRPr="00250D3B">
        <w:rPr>
          <w:i/>
        </w:rPr>
        <w:t>tion the prominence it deserves</w:t>
      </w:r>
      <w:r w:rsidR="00F015F7" w:rsidRPr="00924038">
        <w:t>”.</w:t>
      </w:r>
    </w:p>
    <w:p w:rsidR="00440F5A" w:rsidRPr="00924038" w:rsidRDefault="004D79AF" w:rsidP="00A05FB8">
      <w:pPr>
        <w:pStyle w:val="ParaNumbering"/>
      </w:pPr>
      <w:r w:rsidRPr="00924038">
        <w:t xml:space="preserve">Be that as it may, despite the </w:t>
      </w:r>
      <w:r w:rsidR="00440F5A" w:rsidRPr="00924038">
        <w:t>issues</w:t>
      </w:r>
      <w:r w:rsidR="00933AA3" w:rsidRPr="00924038">
        <w:t xml:space="preserve"> </w:t>
      </w:r>
      <w:r w:rsidRPr="00924038">
        <w:t xml:space="preserve">raised, for my part, </w:t>
      </w:r>
      <w:r w:rsidR="00933AA3" w:rsidRPr="00924038">
        <w:t>I have no doubt that if the applicant in the Webb Proceeding</w:t>
      </w:r>
      <w:r w:rsidRPr="00924038">
        <w:t>, contrary to expectations,</w:t>
      </w:r>
      <w:r w:rsidR="00933AA3" w:rsidRPr="00924038">
        <w:t xml:space="preserve"> was unable to provide adequate security or was unable to fund adequately the prosecution of the proceeding, or somehow otherwise conducted the case maladroitly, a conclusion could be drawn that Mr Webb was not able adequately to represent the interests of group members.  </w:t>
      </w:r>
      <w:r w:rsidR="00780518" w:rsidRPr="00924038">
        <w:t xml:space="preserve">More generally, a representative who is not </w:t>
      </w:r>
      <w:r w:rsidRPr="00924038">
        <w:t>and cannot conduct</w:t>
      </w:r>
      <w:r w:rsidR="00780518" w:rsidRPr="00924038">
        <w:t xml:space="preserve"> the proceeding in th</w:t>
      </w:r>
      <w:r w:rsidRPr="00924038">
        <w:t>e interests of group</w:t>
      </w:r>
      <w:r w:rsidR="00780518" w:rsidRPr="00924038">
        <w:t xml:space="preserve"> members h</w:t>
      </w:r>
      <w:r w:rsidR="00005F4D">
        <w:t xml:space="preserve">as demonstrated an inability </w:t>
      </w:r>
      <w:r w:rsidR="00780518" w:rsidRPr="00924038">
        <w:t>adequately to represen</w:t>
      </w:r>
      <w:r w:rsidR="00062E33">
        <w:t>t those group members.  E</w:t>
      </w:r>
      <w:r w:rsidR="00933AA3" w:rsidRPr="00924038">
        <w:t xml:space="preserve">ven absent an application by a group member, </w:t>
      </w:r>
      <w:r w:rsidR="00780518" w:rsidRPr="00924038">
        <w:t>the broad power contained in</w:t>
      </w:r>
      <w:r w:rsidR="00933AA3" w:rsidRPr="00924038">
        <w:t xml:space="preserve"> s 33</w:t>
      </w:r>
      <w:r w:rsidR="00780518" w:rsidRPr="00924038">
        <w:t xml:space="preserve">ZF would allow the Court to intervene in order to ensure the claims of group members were being adequately represented and advanced.  </w:t>
      </w:r>
      <w:r w:rsidRPr="00924038">
        <w:t>What deserves mention is that t</w:t>
      </w:r>
      <w:r w:rsidR="00780518" w:rsidRPr="00924038">
        <w:t>he permanent stay of the P</w:t>
      </w:r>
      <w:r w:rsidR="00062E33">
        <w:t>erera Proceeding and McTaggart P</w:t>
      </w:r>
      <w:r w:rsidR="00780518" w:rsidRPr="00924038">
        <w:t xml:space="preserve">roceeding does not interfere with the rights of the applicants in the stayed proceedings </w:t>
      </w:r>
      <w:r w:rsidRPr="00924038">
        <w:t xml:space="preserve">(as long as they remain group members in the Webb Proceeding) </w:t>
      </w:r>
      <w:r w:rsidR="00780518" w:rsidRPr="00924038">
        <w:t xml:space="preserve">to </w:t>
      </w:r>
      <w:r w:rsidR="00250D3B">
        <w:t>bring</w:t>
      </w:r>
      <w:r w:rsidR="00780518" w:rsidRPr="00924038">
        <w:t xml:space="preserve"> any </w:t>
      </w:r>
      <w:r w:rsidR="00780518" w:rsidRPr="00924038">
        <w:lastRenderedPageBreak/>
        <w:t xml:space="preserve">application to obtain orders under s 33T if they consider </w:t>
      </w:r>
      <w:r w:rsidR="00250D3B">
        <w:t>that</w:t>
      </w:r>
      <w:r w:rsidR="00780518" w:rsidRPr="00924038">
        <w:t xml:space="preserve"> Mr Webb has ‘dropped the ball’.  For the avoidance of doubt, the orders will make this plain.</w:t>
      </w:r>
      <w:r w:rsidR="00933AA3" w:rsidRPr="00924038">
        <w:t xml:space="preserve"> </w:t>
      </w:r>
      <w:r w:rsidR="00440F5A" w:rsidRPr="00924038">
        <w:t xml:space="preserve">  </w:t>
      </w:r>
    </w:p>
    <w:p w:rsidR="003A1F26" w:rsidRPr="00924038" w:rsidRDefault="000A354B" w:rsidP="00DC3373">
      <w:pPr>
        <w:pStyle w:val="Heading2"/>
      </w:pPr>
      <w:bookmarkStart w:id="101" w:name="_Ref514405665"/>
      <w:r w:rsidRPr="00924038">
        <w:t>K</w:t>
      </w:r>
      <w:r w:rsidR="003A1F26" w:rsidRPr="00924038">
        <w:t>.</w:t>
      </w:r>
      <w:r w:rsidR="005C7C4A" w:rsidRPr="00924038">
        <w:t>4</w:t>
      </w:r>
      <w:r w:rsidR="003A1F26" w:rsidRPr="00924038">
        <w:tab/>
        <w:t>Opt Out, Funding Agreements &amp; Intervention</w:t>
      </w:r>
      <w:bookmarkEnd w:id="101"/>
    </w:p>
    <w:p w:rsidR="00E55C19" w:rsidRPr="00924038" w:rsidRDefault="00C84599" w:rsidP="00334C41">
      <w:pPr>
        <w:pStyle w:val="ParaNumbering"/>
      </w:pPr>
      <w:r w:rsidRPr="00924038">
        <w:t>The funding agreement in relation to the Perera Proc</w:t>
      </w:r>
      <w:r w:rsidR="00E55C19" w:rsidRPr="00924038">
        <w:t>eeding is in evidence (Exhibit AKB</w:t>
      </w:r>
      <w:r w:rsidR="00FF20E0">
        <w:t>-</w:t>
      </w:r>
      <w:r w:rsidR="00E55C19" w:rsidRPr="00924038">
        <w:t>2</w:t>
      </w:r>
      <w:r w:rsidRPr="00924038">
        <w:t xml:space="preserve">) </w:t>
      </w:r>
      <w:r w:rsidR="00E55C19" w:rsidRPr="00924038">
        <w:t>(</w:t>
      </w:r>
      <w:r w:rsidR="00E55C19" w:rsidRPr="00924038">
        <w:rPr>
          <w:b/>
        </w:rPr>
        <w:t>Perera Funding Agreement</w:t>
      </w:r>
      <w:r w:rsidR="00E55C19" w:rsidRPr="00924038">
        <w:t>)</w:t>
      </w:r>
      <w:r w:rsidR="00250D3B">
        <w:t>,</w:t>
      </w:r>
      <w:r w:rsidR="00E55C19" w:rsidRPr="00924038">
        <w:t xml:space="preserve"> </w:t>
      </w:r>
      <w:r w:rsidRPr="00924038">
        <w:t>as is the funding agreement in relation to the McTaggart Proceeding (Exhibit PC-4)</w:t>
      </w:r>
      <w:r w:rsidR="00E55C19" w:rsidRPr="00924038">
        <w:t xml:space="preserve"> (</w:t>
      </w:r>
      <w:r w:rsidR="00E55C19" w:rsidRPr="00924038">
        <w:rPr>
          <w:b/>
        </w:rPr>
        <w:t>McTaggart Funding Agreement</w:t>
      </w:r>
      <w:r w:rsidR="00E55C19" w:rsidRPr="00924038">
        <w:t>)</w:t>
      </w:r>
      <w:r w:rsidRPr="00924038">
        <w:t>.  It is unnecessary to set out, in any detail, the provisions of each of these agreements save that they provide (by cl 7 o</w:t>
      </w:r>
      <w:r w:rsidR="00E55C19" w:rsidRPr="00924038">
        <w:t xml:space="preserve">f the Perera Funding Agreement </w:t>
      </w:r>
      <w:r w:rsidRPr="00924038">
        <w:t xml:space="preserve">and cl </w:t>
      </w:r>
      <w:r w:rsidR="00C9741C" w:rsidRPr="00924038">
        <w:t>4 of the McTaggart Funding Agreement</w:t>
      </w:r>
      <w:r w:rsidR="00E55C19" w:rsidRPr="00924038">
        <w:t>)</w:t>
      </w:r>
      <w:r w:rsidR="00C9741C" w:rsidRPr="00924038">
        <w:t xml:space="preserve"> that upon resolution of the claim of the group member, the group member will pay to the funder</w:t>
      </w:r>
      <w:r w:rsidR="00E55C19" w:rsidRPr="00924038">
        <w:t>,</w:t>
      </w:r>
      <w:r w:rsidR="00C9741C" w:rsidRPr="00924038">
        <w:t xml:space="preserve"> from any amount recovered</w:t>
      </w:r>
      <w:r w:rsidR="00E55C19" w:rsidRPr="00924038">
        <w:t xml:space="preserve">, </w:t>
      </w:r>
      <w:r w:rsidR="00C9741C" w:rsidRPr="00924038">
        <w:t xml:space="preserve">various amounts.  In order to ascertain the </w:t>
      </w:r>
      <w:r w:rsidR="00E55C19" w:rsidRPr="00924038">
        <w:t xml:space="preserve">obligation to pay and the </w:t>
      </w:r>
      <w:r w:rsidR="00C9741C" w:rsidRPr="00924038">
        <w:t>amount to be paid</w:t>
      </w:r>
      <w:r w:rsidR="00E55C19" w:rsidRPr="00924038">
        <w:t>,</w:t>
      </w:r>
      <w:r w:rsidR="00C9741C" w:rsidRPr="00924038">
        <w:t xml:space="preserve"> there is a need to have recourse to a series of broadly drawn definitions.  </w:t>
      </w:r>
    </w:p>
    <w:p w:rsidR="00334C41" w:rsidRPr="00924038" w:rsidRDefault="00CB29FB" w:rsidP="00334C41">
      <w:pPr>
        <w:pStyle w:val="ParaNumbering"/>
      </w:pPr>
      <w:r w:rsidRPr="00924038">
        <w:t>Each</w:t>
      </w:r>
      <w:r w:rsidR="00C9741C" w:rsidRPr="00924038">
        <w:t xml:space="preserve"> </w:t>
      </w:r>
      <w:r w:rsidRPr="00924038">
        <w:t xml:space="preserve">funding agreement is drawn in </w:t>
      </w:r>
      <w:r w:rsidR="00C9741C" w:rsidRPr="00924038">
        <w:t>conventional terms</w:t>
      </w:r>
      <w:r w:rsidR="00E55C19" w:rsidRPr="00924038">
        <w:t>,</w:t>
      </w:r>
      <w:r w:rsidR="00C9741C" w:rsidRPr="00924038">
        <w:t xml:space="preserve"> but the</w:t>
      </w:r>
      <w:r w:rsidR="00E55C19" w:rsidRPr="00924038">
        <w:t>y both</w:t>
      </w:r>
      <w:r w:rsidR="00005F4D">
        <w:t xml:space="preserve"> </w:t>
      </w:r>
      <w:r w:rsidR="00E55C19" w:rsidRPr="00924038">
        <w:t>have the</w:t>
      </w:r>
      <w:r w:rsidR="00C9741C" w:rsidRPr="00924038">
        <w:t xml:space="preserve"> arguable effect of </w:t>
      </w:r>
      <w:r w:rsidR="00E55C19" w:rsidRPr="00924038">
        <w:t xml:space="preserve">putting </w:t>
      </w:r>
      <w:r w:rsidR="00250D3B">
        <w:t xml:space="preserve">in </w:t>
      </w:r>
      <w:r w:rsidR="00E55C19" w:rsidRPr="00924038">
        <w:t xml:space="preserve">place a </w:t>
      </w:r>
      <w:r w:rsidR="00062E33">
        <w:t xml:space="preserve">contractual </w:t>
      </w:r>
      <w:r w:rsidR="00C9741C" w:rsidRPr="00924038">
        <w:t>regime whereby</w:t>
      </w:r>
      <w:r w:rsidR="00E55C19" w:rsidRPr="00924038">
        <w:t xml:space="preserve">, even if a </w:t>
      </w:r>
      <w:r w:rsidR="00C9741C" w:rsidRPr="00924038">
        <w:t>group member</w:t>
      </w:r>
      <w:r w:rsidR="00E55C19" w:rsidRPr="00924038">
        <w:t>’</w:t>
      </w:r>
      <w:r w:rsidR="00C9741C" w:rsidRPr="00924038">
        <w:t>s claim is vindicated by</w:t>
      </w:r>
      <w:r w:rsidR="00E55C19" w:rsidRPr="00924038">
        <w:t>,</w:t>
      </w:r>
      <w:r w:rsidR="00C9741C" w:rsidRPr="00924038">
        <w:t xml:space="preserve"> </w:t>
      </w:r>
      <w:r w:rsidR="00E55C19" w:rsidRPr="00924038">
        <w:t xml:space="preserve">and recovered in, </w:t>
      </w:r>
      <w:r w:rsidR="00062E33">
        <w:t>an</w:t>
      </w:r>
      <w:r w:rsidR="00C9741C" w:rsidRPr="00924038">
        <w:t>other procee</w:t>
      </w:r>
      <w:r w:rsidR="00062E33">
        <w:t>ding</w:t>
      </w:r>
      <w:r w:rsidR="00AF2011" w:rsidRPr="00924038">
        <w:t xml:space="preserve">, an obligation still rests upon the group member to pay an amount to ILP18 </w:t>
      </w:r>
      <w:r w:rsidR="00E55C19" w:rsidRPr="00924038">
        <w:t>(</w:t>
      </w:r>
      <w:r w:rsidR="00AF2011" w:rsidRPr="00924038">
        <w:t>in the case of Perera Funded GMs</w:t>
      </w:r>
      <w:r w:rsidR="00E55C19" w:rsidRPr="00924038">
        <w:t>)</w:t>
      </w:r>
      <w:r w:rsidR="00803B83" w:rsidRPr="00924038">
        <w:t xml:space="preserve"> or Vannin </w:t>
      </w:r>
      <w:r w:rsidR="00E55C19" w:rsidRPr="00924038">
        <w:t>(</w:t>
      </w:r>
      <w:r w:rsidR="00803B83" w:rsidRPr="00924038">
        <w:t>in the case of the McTaggart Funded GMs</w:t>
      </w:r>
      <w:r w:rsidR="00E55C19" w:rsidRPr="00924038">
        <w:t>)</w:t>
      </w:r>
      <w:r w:rsidR="00803B83" w:rsidRPr="00924038">
        <w:t>.  I</w:t>
      </w:r>
      <w:r w:rsidR="00E55C19" w:rsidRPr="00924038">
        <w:t xml:space="preserve">t follows, that </w:t>
      </w:r>
      <w:r w:rsidR="00803B83" w:rsidRPr="00924038">
        <w:t xml:space="preserve">where the Perera Proceeding and the McTaggart Proceeding do not proceed and yet the Webb </w:t>
      </w:r>
      <w:r w:rsidR="00E55C19" w:rsidRPr="00924038">
        <w:t>Proceeding</w:t>
      </w:r>
      <w:r w:rsidR="00803B83" w:rsidRPr="00924038">
        <w:t xml:space="preserve"> continues</w:t>
      </w:r>
      <w:r w:rsidR="00E55C19" w:rsidRPr="00924038">
        <w:t>,</w:t>
      </w:r>
      <w:r w:rsidR="00803B83" w:rsidRPr="00924038">
        <w:t xml:space="preserve"> the possibility arises of a common fund order requiring a group mem</w:t>
      </w:r>
      <w:r w:rsidR="00E55C19" w:rsidRPr="00924038">
        <w:t>ber to pay amounts to Therium (the</w:t>
      </w:r>
      <w:r w:rsidR="00803B83" w:rsidRPr="00924038">
        <w:t xml:space="preserve"> funder with the benefit of a common fund order</w:t>
      </w:r>
      <w:r w:rsidR="00E55C19" w:rsidRPr="00924038">
        <w:t>)</w:t>
      </w:r>
      <w:r w:rsidR="00803B83" w:rsidRPr="00924038">
        <w:t xml:space="preserve">, but also </w:t>
      </w:r>
      <w:r w:rsidR="00062E33" w:rsidRPr="00924038">
        <w:t>pay</w:t>
      </w:r>
      <w:r w:rsidR="006557F3" w:rsidRPr="00924038">
        <w:t xml:space="preserve"> amounts </w:t>
      </w:r>
      <w:r w:rsidR="00803B83" w:rsidRPr="00924038">
        <w:t>to ILP18</w:t>
      </w:r>
      <w:r w:rsidR="00364B29" w:rsidRPr="00924038">
        <w:t xml:space="preserve"> </w:t>
      </w:r>
      <w:r w:rsidR="00E55C19" w:rsidRPr="00924038">
        <w:t>(</w:t>
      </w:r>
      <w:r w:rsidR="00364B29" w:rsidRPr="00924038">
        <w:t>in the case of the Perera Funded GMs</w:t>
      </w:r>
      <w:r w:rsidR="00E55C19" w:rsidRPr="00924038">
        <w:t>)</w:t>
      </w:r>
      <w:r w:rsidR="00364B29" w:rsidRPr="00924038">
        <w:t xml:space="preserve"> and Vannin </w:t>
      </w:r>
      <w:r w:rsidR="00E55C19" w:rsidRPr="00924038">
        <w:t>(</w:t>
      </w:r>
      <w:r w:rsidR="00364B29" w:rsidRPr="00924038">
        <w:t>in the case of the McTaggart Funded GMs</w:t>
      </w:r>
      <w:r w:rsidR="00E55C19" w:rsidRPr="00924038">
        <w:t>)</w:t>
      </w:r>
      <w:r w:rsidR="00364B29" w:rsidRPr="00924038">
        <w:t xml:space="preserve">.  </w:t>
      </w:r>
    </w:p>
    <w:p w:rsidR="00364B29" w:rsidRPr="00924038" w:rsidRDefault="00F5411E" w:rsidP="00334C41">
      <w:pPr>
        <w:pStyle w:val="ParaNumbering"/>
      </w:pPr>
      <w:r w:rsidRPr="00924038">
        <w:t>It is inappropriate that I express any views, at present, as to the abil</w:t>
      </w:r>
      <w:r w:rsidR="00E55C19" w:rsidRPr="00924038">
        <w:t xml:space="preserve">ity of either ILP18 or Vannin to enforce </w:t>
      </w:r>
      <w:r w:rsidR="00DA08C2">
        <w:t>any</w:t>
      </w:r>
      <w:r w:rsidR="00E55C19" w:rsidRPr="00924038">
        <w:t xml:space="preserve"> </w:t>
      </w:r>
      <w:r w:rsidR="00005F4D">
        <w:t xml:space="preserve">apparent </w:t>
      </w:r>
      <w:r w:rsidR="00DA08C2">
        <w:t>promise</w:t>
      </w:r>
      <w:r w:rsidRPr="00924038">
        <w:t xml:space="preserve"> requiring payment </w:t>
      </w:r>
      <w:r w:rsidR="00005F4D">
        <w:t xml:space="preserve">in the circumstances of a payment made to </w:t>
      </w:r>
      <w:r w:rsidR="00DA08C2">
        <w:t>Perera Funded GMs or</w:t>
      </w:r>
      <w:r w:rsidR="00DA08C2" w:rsidRPr="00924038">
        <w:t xml:space="preserve"> the McTaggart Funded GMs </w:t>
      </w:r>
      <w:r w:rsidR="00005F4D">
        <w:t xml:space="preserve">by settlement or other resolution of </w:t>
      </w:r>
      <w:r w:rsidR="00DA08C2">
        <w:t xml:space="preserve">their </w:t>
      </w:r>
      <w:r w:rsidR="00005F4D">
        <w:t>claims in the Webb Proceeding</w:t>
      </w:r>
      <w:r w:rsidR="00E55C19" w:rsidRPr="00924038">
        <w:t xml:space="preserve">.  No party addressed this issue in </w:t>
      </w:r>
      <w:r w:rsidR="00C83675" w:rsidRPr="00924038">
        <w:t>submissions</w:t>
      </w:r>
      <w:r w:rsidR="00E55C19" w:rsidRPr="00924038">
        <w:t xml:space="preserve"> and it would be </w:t>
      </w:r>
      <w:r w:rsidRPr="00924038">
        <w:t>premature</w:t>
      </w:r>
      <w:r w:rsidR="00E55C19" w:rsidRPr="00924038">
        <w:t xml:space="preserve"> for me to express even </w:t>
      </w:r>
      <w:r w:rsidR="00C83675" w:rsidRPr="00924038">
        <w:t>preliminary</w:t>
      </w:r>
      <w:r w:rsidR="00E55C19" w:rsidRPr="00924038">
        <w:t xml:space="preserve"> views as to the nature of the </w:t>
      </w:r>
      <w:r w:rsidR="00CB29FB" w:rsidRPr="00924038">
        <w:t xml:space="preserve">relevant </w:t>
      </w:r>
      <w:r w:rsidR="00E55C19" w:rsidRPr="00924038">
        <w:t xml:space="preserve">contractual </w:t>
      </w:r>
      <w:r w:rsidR="00CB29FB" w:rsidRPr="00924038">
        <w:t>provisions</w:t>
      </w:r>
      <w:r w:rsidR="00E55C19" w:rsidRPr="00924038">
        <w:t xml:space="preserve"> and, if </w:t>
      </w:r>
      <w:r w:rsidR="00CB29FB" w:rsidRPr="00924038">
        <w:t xml:space="preserve">an obligation </w:t>
      </w:r>
      <w:r w:rsidR="00E55C19" w:rsidRPr="00924038">
        <w:t>exists, what</w:t>
      </w:r>
      <w:r w:rsidR="00CB29FB" w:rsidRPr="00924038">
        <w:t>,</w:t>
      </w:r>
      <w:r w:rsidR="00E55C19" w:rsidRPr="00924038">
        <w:t xml:space="preserve"> if anything</w:t>
      </w:r>
      <w:r w:rsidR="00CB29FB" w:rsidRPr="00924038">
        <w:t>,</w:t>
      </w:r>
      <w:r w:rsidR="00E55C19" w:rsidRPr="00924038">
        <w:t xml:space="preserve"> should </w:t>
      </w:r>
      <w:r w:rsidR="00C83675" w:rsidRPr="00924038">
        <w:t>be</w:t>
      </w:r>
      <w:r w:rsidR="00E55C19" w:rsidRPr="00924038">
        <w:t xml:space="preserve"> done about it.</w:t>
      </w:r>
      <w:r w:rsidRPr="00924038">
        <w:t xml:space="preserve">  It </w:t>
      </w:r>
      <w:r w:rsidR="00C83675" w:rsidRPr="00924038">
        <w:t>is presently relevant only to the extent it bears upon whether the course I have decided upon is practicable</w:t>
      </w:r>
      <w:r w:rsidR="00CB29FB" w:rsidRPr="00924038">
        <w:t xml:space="preserve">, and </w:t>
      </w:r>
      <w:r w:rsidR="00C83675" w:rsidRPr="00924038">
        <w:t xml:space="preserve">also </w:t>
      </w:r>
      <w:r w:rsidR="00CB29FB" w:rsidRPr="00924038">
        <w:t xml:space="preserve">as to the issue of </w:t>
      </w:r>
      <w:r w:rsidRPr="00924038">
        <w:t xml:space="preserve">what should be said </w:t>
      </w:r>
      <w:r w:rsidR="00CB29FB" w:rsidRPr="00924038">
        <w:t xml:space="preserve">in any opt out notice </w:t>
      </w:r>
      <w:r w:rsidRPr="00924038">
        <w:t xml:space="preserve">to the Perera Funded GMs and the McTaggart Funded GMs </w:t>
      </w:r>
      <w:r w:rsidR="00C83675" w:rsidRPr="00924038">
        <w:t xml:space="preserve">as to the possibility, </w:t>
      </w:r>
      <w:r w:rsidRPr="00924038">
        <w:t xml:space="preserve">notwithstanding </w:t>
      </w:r>
      <w:r w:rsidRPr="00924038">
        <w:lastRenderedPageBreak/>
        <w:t>the making of a common fund order</w:t>
      </w:r>
      <w:r w:rsidR="00C83675" w:rsidRPr="00924038">
        <w:t>,</w:t>
      </w:r>
      <w:r w:rsidRPr="00924038">
        <w:t xml:space="preserve"> </w:t>
      </w:r>
      <w:r w:rsidR="00250D3B">
        <w:t xml:space="preserve">that </w:t>
      </w:r>
      <w:r w:rsidRPr="00924038">
        <w:t xml:space="preserve">they </w:t>
      </w:r>
      <w:r w:rsidRPr="00924038">
        <w:rPr>
          <w:i/>
        </w:rPr>
        <w:t>may</w:t>
      </w:r>
      <w:r w:rsidRPr="00924038">
        <w:t xml:space="preserve"> be subject to some </w:t>
      </w:r>
      <w:r w:rsidR="00C83675" w:rsidRPr="00924038">
        <w:t xml:space="preserve">future </w:t>
      </w:r>
      <w:r w:rsidRPr="00924038">
        <w:t>claim by ILP18 and/or Van</w:t>
      </w:r>
      <w:r w:rsidR="00CB29FB" w:rsidRPr="00924038">
        <w:t>nin</w:t>
      </w:r>
      <w:r w:rsidRPr="00924038">
        <w:t xml:space="preserve">.  </w:t>
      </w:r>
    </w:p>
    <w:p w:rsidR="00C83675" w:rsidRPr="00924038" w:rsidRDefault="00F5411E" w:rsidP="00CB29FB">
      <w:pPr>
        <w:pStyle w:val="ParaNumbering"/>
        <w:spacing w:before="240"/>
      </w:pPr>
      <w:r w:rsidRPr="00924038">
        <w:t xml:space="preserve">This Court has already expressed views about its ability to use various powers to amend funding agreements when it considers it </w:t>
      </w:r>
      <w:r w:rsidR="00EF62FA" w:rsidRPr="00924038">
        <w:t xml:space="preserve">necessary or appropriate to do so: see </w:t>
      </w:r>
      <w:r w:rsidR="00632A4F" w:rsidRPr="00924038">
        <w:rPr>
          <w:i/>
        </w:rPr>
        <w:t>Earglow Pty Ltd v Newcrest Mining Limited</w:t>
      </w:r>
      <w:r w:rsidR="00632A4F" w:rsidRPr="00924038">
        <w:t xml:space="preserve"> [2016] FCA 1433</w:t>
      </w:r>
      <w:r w:rsidR="00EF62FA" w:rsidRPr="00924038">
        <w:t xml:space="preserve"> (Murphy J); </w:t>
      </w:r>
      <w:r w:rsidR="00EF62FA" w:rsidRPr="00924038">
        <w:rPr>
          <w:i/>
        </w:rPr>
        <w:t xml:space="preserve">Blairgowrie (No 3) </w:t>
      </w:r>
      <w:r w:rsidR="00C26B77" w:rsidRPr="00924038">
        <w:t xml:space="preserve">(Beach J) and </w:t>
      </w:r>
      <w:r w:rsidR="00632A4F" w:rsidRPr="00924038">
        <w:rPr>
          <w:i/>
        </w:rPr>
        <w:t>Mitic v OZ Minerals Limited (No 2)</w:t>
      </w:r>
      <w:r w:rsidR="00632A4F" w:rsidRPr="00924038">
        <w:t xml:space="preserve"> [2017] FCA 409</w:t>
      </w:r>
      <w:r w:rsidR="00C26B77" w:rsidRPr="00924038">
        <w:t xml:space="preserve"> (Middleton J).  </w:t>
      </w:r>
      <w:r w:rsidR="00C83675" w:rsidRPr="00924038">
        <w:t xml:space="preserve">Other larger issues may arise as to varying funding agreements and as to the ability </w:t>
      </w:r>
      <w:r w:rsidR="00250D3B">
        <w:t>of</w:t>
      </w:r>
      <w:r w:rsidR="00C83675" w:rsidRPr="00924038">
        <w:t xml:space="preserve"> a funder to seek to enforce prom</w:t>
      </w:r>
      <w:r w:rsidR="00CB29FB" w:rsidRPr="00924038">
        <w:t>is</w:t>
      </w:r>
      <w:r w:rsidR="00C83675" w:rsidRPr="00924038">
        <w:t xml:space="preserve">es given in the course of a common enterprise to use the processes of the Court in </w:t>
      </w:r>
      <w:r w:rsidR="00CB29FB" w:rsidRPr="00924038">
        <w:t>circumstances</w:t>
      </w:r>
      <w:r w:rsidR="00C83675" w:rsidRPr="00924038">
        <w:t xml:space="preserve"> where the proceeding, </w:t>
      </w:r>
      <w:r w:rsidR="00CB29FB" w:rsidRPr="00924038">
        <w:t>contemplated</w:t>
      </w:r>
      <w:r w:rsidR="00C83675" w:rsidRPr="00924038">
        <w:t xml:space="preserve"> by the common enterprise, is stayed and does not constitute the vehicle pursuant to which the group </w:t>
      </w:r>
      <w:r w:rsidR="00CB29FB" w:rsidRPr="00924038">
        <w:t>member</w:t>
      </w:r>
      <w:r w:rsidR="00C83675" w:rsidRPr="00924038">
        <w:t xml:space="preserve"> recovers compensation.</w:t>
      </w:r>
      <w:r w:rsidR="00CB29FB" w:rsidRPr="00924038">
        <w:t xml:space="preserve">  </w:t>
      </w:r>
      <w:r w:rsidR="006557F3" w:rsidRPr="00924038">
        <w:t xml:space="preserve">These </w:t>
      </w:r>
      <w:r w:rsidR="00C83675" w:rsidRPr="00924038">
        <w:t xml:space="preserve">questions </w:t>
      </w:r>
      <w:r w:rsidR="00CB29FB" w:rsidRPr="00924038">
        <w:t>may need to</w:t>
      </w:r>
      <w:r w:rsidR="00C83675" w:rsidRPr="00924038">
        <w:t xml:space="preserve"> be addressed in due course and </w:t>
      </w:r>
      <w:r w:rsidR="00C26B77" w:rsidRPr="00924038">
        <w:t xml:space="preserve">I will say no more </w:t>
      </w:r>
      <w:r w:rsidR="00C83675" w:rsidRPr="00924038">
        <w:t xml:space="preserve">about the topic </w:t>
      </w:r>
      <w:r w:rsidR="00C26B77" w:rsidRPr="00924038">
        <w:t xml:space="preserve">for present purposes other than </w:t>
      </w:r>
      <w:r w:rsidR="00C83675" w:rsidRPr="00924038">
        <w:t>to make two points.</w:t>
      </w:r>
    </w:p>
    <w:p w:rsidR="00C827D5" w:rsidRPr="00924038" w:rsidRDefault="00C83675" w:rsidP="00C83675">
      <w:pPr>
        <w:pStyle w:val="ParaNumbering"/>
        <w:spacing w:before="240"/>
      </w:pPr>
      <w:r w:rsidRPr="00924038">
        <w:rPr>
          <w:i/>
        </w:rPr>
        <w:t>First</w:t>
      </w:r>
      <w:r w:rsidRPr="00924038">
        <w:t>, as I have already foreshadowed, it will be</w:t>
      </w:r>
      <w:r w:rsidR="00C26B77" w:rsidRPr="00924038">
        <w:t xml:space="preserve"> necessary for something to be said concerning this </w:t>
      </w:r>
      <w:r w:rsidR="006557F3" w:rsidRPr="00924038">
        <w:t>issue</w:t>
      </w:r>
      <w:r w:rsidR="00C26B77" w:rsidRPr="00924038">
        <w:t xml:space="preserve"> in the course of opt out and it is for this reason that I will give leave to Mr Perera (and ILP18) and the McTaggart applicants (and Vannin) to make any submissions that they wish to make as to what should be communicated to group members</w:t>
      </w:r>
      <w:r w:rsidR="00250D3B">
        <w:t>,</w:t>
      </w:r>
      <w:r w:rsidR="00C26B77" w:rsidRPr="00924038">
        <w:t xml:space="preserve"> including the Perera Funded G</w:t>
      </w:r>
      <w:r w:rsidRPr="00924038">
        <w:t>Ms and the McTaggart Funded GMs</w:t>
      </w:r>
      <w:r w:rsidR="00C26B77" w:rsidRPr="00924038">
        <w:t xml:space="preserve">.  Additionally, subject to hearing argument on </w:t>
      </w:r>
      <w:r w:rsidR="00706E2E">
        <w:t>approval</w:t>
      </w:r>
      <w:r w:rsidR="00C26B77" w:rsidRPr="00924038">
        <w:t xml:space="preserve"> of an opt out notice, it may be appropriate for consideration </w:t>
      </w:r>
      <w:r w:rsidRPr="00924038">
        <w:t xml:space="preserve">to </w:t>
      </w:r>
      <w:r w:rsidR="00C26B77" w:rsidRPr="00924038">
        <w:t>be given to a regime being put in place whereby the only communication made t</w:t>
      </w:r>
      <w:r w:rsidRPr="00924038">
        <w:t xml:space="preserve">o any group members concerning opt out </w:t>
      </w:r>
      <w:r w:rsidR="00706E2E">
        <w:t xml:space="preserve">is </w:t>
      </w:r>
      <w:r w:rsidRPr="00924038">
        <w:t xml:space="preserve">to </w:t>
      </w:r>
      <w:r w:rsidR="00C26B77" w:rsidRPr="00924038">
        <w:t>be a communication approved by the Court</w:t>
      </w:r>
      <w:r w:rsidRPr="00924038">
        <w:t>.  The purpose of this would</w:t>
      </w:r>
      <w:r w:rsidR="00C26B77" w:rsidRPr="00924038">
        <w:t xml:space="preserve"> </w:t>
      </w:r>
      <w:r w:rsidR="00B21E19">
        <w:t xml:space="preserve">be </w:t>
      </w:r>
      <w:r w:rsidR="00C26B77" w:rsidRPr="00924038">
        <w:t xml:space="preserve">to </w:t>
      </w:r>
      <w:r w:rsidR="00DC1F14" w:rsidRPr="00924038">
        <w:t xml:space="preserve">ensure there is discipline and precision in the messages communicated.  Additional consideration ought </w:t>
      </w:r>
      <w:r w:rsidRPr="00924038">
        <w:t xml:space="preserve">to </w:t>
      </w:r>
      <w:r w:rsidR="00DC1F14" w:rsidRPr="00924038">
        <w:t>be given as to whether</w:t>
      </w:r>
      <w:r w:rsidRPr="00924038">
        <w:t>,</w:t>
      </w:r>
      <w:r w:rsidR="00DC1F14" w:rsidRPr="00924038">
        <w:t xml:space="preserve"> in these unusual circumstances</w:t>
      </w:r>
      <w:r w:rsidRPr="00924038">
        <w:t>,</w:t>
      </w:r>
      <w:r w:rsidR="00DC1F14" w:rsidRPr="00924038">
        <w:t xml:space="preserve"> it is appropria</w:t>
      </w:r>
      <w:r w:rsidRPr="00924038">
        <w:t>te that an independent lawyer (possibly a junior barrister)</w:t>
      </w:r>
      <w:r w:rsidR="00DC1F14" w:rsidRPr="00924038">
        <w:t xml:space="preserve"> </w:t>
      </w:r>
      <w:r w:rsidR="00B21E19">
        <w:t xml:space="preserve">to </w:t>
      </w:r>
      <w:r w:rsidR="00DC1F14" w:rsidRPr="00924038">
        <w:t xml:space="preserve">be appointed to answer any queries that the group members may have concerning the terms of </w:t>
      </w:r>
      <w:proofErr w:type="gramStart"/>
      <w:r w:rsidR="00DC1F14" w:rsidRPr="00924038">
        <w:t>the opt</w:t>
      </w:r>
      <w:proofErr w:type="gramEnd"/>
      <w:r w:rsidR="00DC1F14" w:rsidRPr="00924038">
        <w:t xml:space="preserve"> out notice.  </w:t>
      </w:r>
      <w:r w:rsidR="00D9535B" w:rsidRPr="00924038">
        <w:t xml:space="preserve">I am conscious that this </w:t>
      </w:r>
      <w:r w:rsidRPr="00924038">
        <w:t>may raise</w:t>
      </w:r>
      <w:r w:rsidR="00D9535B" w:rsidRPr="00924038">
        <w:t xml:space="preserve"> </w:t>
      </w:r>
      <w:r w:rsidRPr="00924038">
        <w:t>novel</w:t>
      </w:r>
      <w:r w:rsidR="00D9535B" w:rsidRPr="00924038">
        <w:t xml:space="preserve"> issues in circumstances where</w:t>
      </w:r>
      <w:r w:rsidR="00E92F12" w:rsidRPr="00924038">
        <w:t>,</w:t>
      </w:r>
      <w:r w:rsidR="00D9535B" w:rsidRPr="00924038">
        <w:t xml:space="preserve"> in the case of the Perera Proceeding</w:t>
      </w:r>
      <w:r w:rsidR="00E92F12" w:rsidRPr="00924038">
        <w:t>,</w:t>
      </w:r>
      <w:r w:rsidR="00D9535B" w:rsidRPr="00924038">
        <w:t xml:space="preserve"> the </w:t>
      </w:r>
      <w:r w:rsidR="00C827D5" w:rsidRPr="00924038">
        <w:t xml:space="preserve">Perera Funded GMs are also, as I understand it, clients of SPB.  </w:t>
      </w:r>
    </w:p>
    <w:p w:rsidR="002276CD" w:rsidRPr="00924038" w:rsidRDefault="00E92F12" w:rsidP="002276CD">
      <w:pPr>
        <w:pStyle w:val="ParaNumbering"/>
        <w:spacing w:before="240"/>
      </w:pPr>
      <w:r w:rsidRPr="00924038">
        <w:rPr>
          <w:i/>
        </w:rPr>
        <w:t>Secondly</w:t>
      </w:r>
      <w:r w:rsidRPr="00924038">
        <w:t xml:space="preserve">, I </w:t>
      </w:r>
      <w:r w:rsidR="00CB29FB" w:rsidRPr="00924038">
        <w:t>mentioned above t</w:t>
      </w:r>
      <w:r w:rsidRPr="00924038">
        <w:t xml:space="preserve">hat this issue is relevant to the extent it bears upon </w:t>
      </w:r>
      <w:r w:rsidR="0073511F" w:rsidRPr="00924038">
        <w:t>consideration</w:t>
      </w:r>
      <w:r w:rsidRPr="00924038">
        <w:t xml:space="preserve"> as to whether the course of staying </w:t>
      </w:r>
      <w:r w:rsidR="00CB29FB" w:rsidRPr="00924038">
        <w:t xml:space="preserve">funded </w:t>
      </w:r>
      <w:r w:rsidR="0073511F" w:rsidRPr="00924038">
        <w:t>proceedings is practicable.</w:t>
      </w:r>
      <w:r w:rsidRPr="00924038">
        <w:t xml:space="preserve">  </w:t>
      </w:r>
      <w:r w:rsidR="00C827D5" w:rsidRPr="00924038">
        <w:t xml:space="preserve">In making orders for the parties to put forward proposed </w:t>
      </w:r>
      <w:r w:rsidRPr="00924038">
        <w:t xml:space="preserve">funding </w:t>
      </w:r>
      <w:r w:rsidR="00C827D5" w:rsidRPr="00924038">
        <w:t>arrangements</w:t>
      </w:r>
      <w:r w:rsidRPr="00924038">
        <w:t>,</w:t>
      </w:r>
      <w:r w:rsidR="00C827D5" w:rsidRPr="00924038">
        <w:t xml:space="preserve"> I was conscious of the comments of Beach J in </w:t>
      </w:r>
      <w:r w:rsidR="00C827D5" w:rsidRPr="00924038">
        <w:rPr>
          <w:i/>
        </w:rPr>
        <w:t xml:space="preserve">Bellamy’s </w:t>
      </w:r>
      <w:r w:rsidR="00C827D5" w:rsidRPr="00924038">
        <w:t>at [23] where his Honour, in dealing with the differences between Australia and the United States</w:t>
      </w:r>
      <w:r w:rsidRPr="00924038">
        <w:t>,</w:t>
      </w:r>
      <w:r w:rsidR="00C827D5" w:rsidRPr="00924038">
        <w:t xml:space="preserve"> noted that any sealed bid process could </w:t>
      </w:r>
      <w:r w:rsidR="00C827D5" w:rsidRPr="00924038">
        <w:lastRenderedPageBreak/>
        <w:t xml:space="preserve">not </w:t>
      </w:r>
      <w:r w:rsidR="002D2383" w:rsidRPr="00924038">
        <w:t>have a meaningful utility “</w:t>
      </w:r>
      <w:r w:rsidR="002D2383" w:rsidRPr="00924038">
        <w:rPr>
          <w:i/>
        </w:rPr>
        <w:t>given the existence, magnitude and exposure</w:t>
      </w:r>
      <w:r w:rsidR="002D2383" w:rsidRPr="00924038">
        <w:t>” of the contractual arrangements that were entered into in that case between two litigation funders.  Here</w:t>
      </w:r>
      <w:r w:rsidRPr="00924038">
        <w:t>,</w:t>
      </w:r>
      <w:r w:rsidR="002D2383" w:rsidRPr="00924038">
        <w:t xml:space="preserve"> of course</w:t>
      </w:r>
      <w:r w:rsidRPr="00924038">
        <w:t>,</w:t>
      </w:r>
      <w:r w:rsidR="002D2383" w:rsidRPr="00924038">
        <w:t xml:space="preserve"> the problem that arises in relation to the existing contractual arrangements </w:t>
      </w:r>
      <w:r w:rsidRPr="00924038">
        <w:t xml:space="preserve">does not loom in the same way </w:t>
      </w:r>
      <w:r w:rsidR="00620B77" w:rsidRPr="00924038">
        <w:t xml:space="preserve">as </w:t>
      </w:r>
      <w:r w:rsidR="00B21E19">
        <w:t xml:space="preserve">it did </w:t>
      </w:r>
      <w:r w:rsidR="00620B77" w:rsidRPr="00924038">
        <w:t xml:space="preserve">in </w:t>
      </w:r>
      <w:r w:rsidR="00620B77" w:rsidRPr="00924038">
        <w:rPr>
          <w:i/>
        </w:rPr>
        <w:t>Bellamy’s</w:t>
      </w:r>
      <w:r w:rsidR="00620B77" w:rsidRPr="00924038">
        <w:t xml:space="preserve"> </w:t>
      </w:r>
      <w:r w:rsidR="002D2383" w:rsidRPr="00924038">
        <w:t xml:space="preserve">because of the relatively small number of funded group members.  </w:t>
      </w:r>
      <w:r w:rsidRPr="00924038">
        <w:t xml:space="preserve">But another </w:t>
      </w:r>
      <w:r w:rsidR="002D2383" w:rsidRPr="00924038">
        <w:t>point</w:t>
      </w:r>
      <w:r w:rsidRPr="00924038">
        <w:t xml:space="preserve"> made by Beach J (at [39]) </w:t>
      </w:r>
      <w:r w:rsidR="002276CD" w:rsidRPr="00924038">
        <w:t xml:space="preserve">in this context </w:t>
      </w:r>
      <w:r w:rsidRPr="00924038">
        <w:t>has present relevance.  This was that group members who have entered into funding</w:t>
      </w:r>
      <w:r w:rsidR="002D2383" w:rsidRPr="00924038">
        <w:t xml:space="preserve"> arrangements </w:t>
      </w:r>
      <w:r w:rsidR="002276CD" w:rsidRPr="00924038">
        <w:t xml:space="preserve">may </w:t>
      </w:r>
      <w:r w:rsidR="002D2383" w:rsidRPr="00924038">
        <w:t>wish to opt out of the non-stayed proceeding a</w:t>
      </w:r>
      <w:r w:rsidR="00620B77" w:rsidRPr="00924038">
        <w:t>nd run their own actions or may</w:t>
      </w:r>
      <w:r w:rsidR="002D2383" w:rsidRPr="00924038">
        <w:t xml:space="preserve"> seek </w:t>
      </w:r>
      <w:r w:rsidRPr="00924038">
        <w:t>to join, together</w:t>
      </w:r>
      <w:r w:rsidR="002D2383" w:rsidRPr="00924038">
        <w:t xml:space="preserve"> with other funded group members</w:t>
      </w:r>
      <w:r w:rsidRPr="00924038">
        <w:t xml:space="preserve">, </w:t>
      </w:r>
      <w:r w:rsidR="00B21E19">
        <w:t>an</w:t>
      </w:r>
      <w:r w:rsidR="002D2383" w:rsidRPr="00924038">
        <w:t xml:space="preserve"> attempt to commence a further class action</w:t>
      </w:r>
      <w:r w:rsidR="007B48D7" w:rsidRPr="00924038">
        <w:t>.  As Beach J observed</w:t>
      </w:r>
      <w:r w:rsidRPr="00924038">
        <w:t>,</w:t>
      </w:r>
      <w:r w:rsidR="007B48D7" w:rsidRPr="00924038">
        <w:t xml:space="preserve"> </w:t>
      </w:r>
      <w:r w:rsidR="002276CD" w:rsidRPr="00924038">
        <w:t xml:space="preserve">such a result </w:t>
      </w:r>
      <w:r w:rsidRPr="00924038">
        <w:t xml:space="preserve">would </w:t>
      </w:r>
      <w:r w:rsidR="002276CD" w:rsidRPr="00924038">
        <w:t xml:space="preserve">be unsatisfactory.  Indeed, </w:t>
      </w:r>
      <w:r w:rsidR="00062E33">
        <w:t>left unchecked it could lead to a different type of multiplicity and</w:t>
      </w:r>
      <w:r w:rsidR="002276CD" w:rsidRPr="00924038">
        <w:t xml:space="preserve"> would </w:t>
      </w:r>
      <w:r w:rsidRPr="00924038">
        <w:t xml:space="preserve">serve to undermine the </w:t>
      </w:r>
      <w:r w:rsidR="00062E33">
        <w:t xml:space="preserve">protective steps I have taken and the </w:t>
      </w:r>
      <w:r w:rsidRPr="00924038">
        <w:t xml:space="preserve">cost and efficiency goals </w:t>
      </w:r>
      <w:r w:rsidR="002276CD" w:rsidRPr="00924038">
        <w:t xml:space="preserve">achieved </w:t>
      </w:r>
      <w:r w:rsidR="00062E33">
        <w:t>in</w:t>
      </w:r>
      <w:r w:rsidR="002276CD" w:rsidRPr="00924038">
        <w:t xml:space="preserve"> allowing </w:t>
      </w:r>
      <w:r w:rsidR="00B21E19">
        <w:t xml:space="preserve">only </w:t>
      </w:r>
      <w:r w:rsidR="002276CD" w:rsidRPr="00924038">
        <w:t xml:space="preserve">one </w:t>
      </w:r>
      <w:r w:rsidR="00062E33">
        <w:t xml:space="preserve">open class </w:t>
      </w:r>
      <w:r w:rsidR="002276CD" w:rsidRPr="00924038">
        <w:t>proceeding to go forward</w:t>
      </w:r>
      <w:r w:rsidR="007B48D7" w:rsidRPr="00924038">
        <w:t xml:space="preserve">.  </w:t>
      </w:r>
    </w:p>
    <w:p w:rsidR="00C31C7A" w:rsidRPr="00924038" w:rsidRDefault="002276CD" w:rsidP="002276CD">
      <w:pPr>
        <w:pStyle w:val="ParaNumbering"/>
        <w:spacing w:before="240"/>
      </w:pPr>
      <w:r w:rsidRPr="00924038">
        <w:t xml:space="preserve">Fundamental to Part IVA is that each group member has a statutory right to opt out.  The right represents a protection for group </w:t>
      </w:r>
      <w:r w:rsidR="00C31C7A" w:rsidRPr="00924038">
        <w:t>m</w:t>
      </w:r>
      <w:r w:rsidRPr="00924038">
        <w:t xml:space="preserve">embers in circumstances where consent is not required for an applicant to </w:t>
      </w:r>
      <w:r w:rsidR="00062E33">
        <w:t>represent them</w:t>
      </w:r>
      <w:r w:rsidRPr="00924038">
        <w:t>.  People may have a</w:t>
      </w:r>
      <w:r w:rsidR="00C31C7A" w:rsidRPr="00924038">
        <w:t xml:space="preserve">n array of </w:t>
      </w:r>
      <w:r w:rsidRPr="00924038">
        <w:t xml:space="preserve">reasons for opting out, for example, </w:t>
      </w:r>
      <w:r w:rsidR="00C31C7A" w:rsidRPr="00924038">
        <w:t xml:space="preserve">scruples </w:t>
      </w:r>
      <w:r w:rsidRPr="00924038">
        <w:t>about be</w:t>
      </w:r>
      <w:r w:rsidR="00C31C7A" w:rsidRPr="00924038">
        <w:t>ing</w:t>
      </w:r>
      <w:r w:rsidRPr="00924038">
        <w:t xml:space="preserve"> involved in </w:t>
      </w:r>
      <w:r w:rsidR="00C31C7A" w:rsidRPr="00924038">
        <w:t xml:space="preserve">any </w:t>
      </w:r>
      <w:r w:rsidRPr="00924038">
        <w:t xml:space="preserve">litigation, a </w:t>
      </w:r>
      <w:r w:rsidR="00C31C7A" w:rsidRPr="00924038">
        <w:t>corporate</w:t>
      </w:r>
      <w:r w:rsidRPr="00924038">
        <w:t xml:space="preserve"> desire not to be involved in </w:t>
      </w:r>
      <w:r w:rsidR="00C31C7A" w:rsidRPr="00924038">
        <w:t>securities</w:t>
      </w:r>
      <w:r w:rsidRPr="00924038">
        <w:t xml:space="preserve"> </w:t>
      </w:r>
      <w:r w:rsidR="00C31C7A" w:rsidRPr="00924038">
        <w:t>litigation</w:t>
      </w:r>
      <w:r w:rsidRPr="00924038">
        <w:t xml:space="preserve">, </w:t>
      </w:r>
      <w:r w:rsidR="00C31C7A" w:rsidRPr="00924038">
        <w:t>an unhappiness about the basis upon which the litigation is to be funded or conducted</w:t>
      </w:r>
      <w:r w:rsidR="00620B77" w:rsidRPr="00924038">
        <w:t>,</w:t>
      </w:r>
      <w:r w:rsidR="00C31C7A" w:rsidRPr="00924038">
        <w:t xml:space="preserve"> and so on.  It is not the place of the Court to interfere with any group member making a </w:t>
      </w:r>
      <w:r w:rsidR="00C31C7A" w:rsidRPr="00924038">
        <w:rPr>
          <w:i/>
        </w:rPr>
        <w:t>bona fide</w:t>
      </w:r>
      <w:r w:rsidR="00C31C7A" w:rsidRPr="00924038">
        <w:t xml:space="preserve"> decision to opt out, irrespective </w:t>
      </w:r>
      <w:r w:rsidR="00B21E19">
        <w:t>of</w:t>
      </w:r>
      <w:r w:rsidR="00C31C7A" w:rsidRPr="00924038">
        <w:t xml:space="preserve"> whether the Court may consider the group member is acting idiosyncratically or </w:t>
      </w:r>
      <w:r w:rsidR="00620B77" w:rsidRPr="00924038">
        <w:t xml:space="preserve">even </w:t>
      </w:r>
      <w:r w:rsidR="00B21E19">
        <w:t>contrary</w:t>
      </w:r>
      <w:r w:rsidR="00C31C7A" w:rsidRPr="00924038">
        <w:t xml:space="preserve"> </w:t>
      </w:r>
      <w:r w:rsidR="00620B77" w:rsidRPr="00924038">
        <w:t xml:space="preserve">to what </w:t>
      </w:r>
      <w:r w:rsidR="00706E2E">
        <w:t>might</w:t>
      </w:r>
      <w:r w:rsidR="00620B77" w:rsidRPr="00924038">
        <w:t xml:space="preserve"> objectively be perceived as being in their interests</w:t>
      </w:r>
      <w:r w:rsidR="00C31C7A" w:rsidRPr="00924038">
        <w:t>.  Protection is not paternalism.</w:t>
      </w:r>
    </w:p>
    <w:p w:rsidR="00F5411E" w:rsidRPr="00924038" w:rsidRDefault="00C31C7A" w:rsidP="0073511F">
      <w:pPr>
        <w:pStyle w:val="ParaNumbering"/>
        <w:spacing w:before="240"/>
      </w:pPr>
      <w:r w:rsidRPr="00924038">
        <w:t xml:space="preserve">What would be troubling, however, in circumstances where a funded proceeding has been stayed, would be for a funder of stayed proceedings to use what are alleged to be the benefit of </w:t>
      </w:r>
      <w:r w:rsidR="00CB29FB" w:rsidRPr="00924038">
        <w:t xml:space="preserve">their </w:t>
      </w:r>
      <w:r w:rsidRPr="00924038">
        <w:t xml:space="preserve">contractual rights </w:t>
      </w:r>
      <w:r w:rsidR="00CB29FB" w:rsidRPr="00924038">
        <w:t xml:space="preserve">under funding agreements </w:t>
      </w:r>
      <w:r w:rsidRPr="00924038">
        <w:t xml:space="preserve">to, in effect, </w:t>
      </w:r>
      <w:r w:rsidR="00706E2E">
        <w:t>‘</w:t>
      </w:r>
      <w:r w:rsidRPr="00924038">
        <w:t>force</w:t>
      </w:r>
      <w:r w:rsidR="00706E2E">
        <w:t>’</w:t>
      </w:r>
      <w:r w:rsidRPr="00924038">
        <w:t xml:space="preserve"> opt out</w:t>
      </w:r>
      <w:r w:rsidR="00706E2E">
        <w:t>,</w:t>
      </w:r>
      <w:r w:rsidRPr="00924038">
        <w:t xml:space="preserve"> as the price of </w:t>
      </w:r>
      <w:r w:rsidR="00706E2E">
        <w:t>providing comfort to</w:t>
      </w:r>
      <w:r w:rsidRPr="00924038">
        <w:t xml:space="preserve"> </w:t>
      </w:r>
      <w:r w:rsidR="00062E33">
        <w:t>funded</w:t>
      </w:r>
      <w:r w:rsidRPr="00924038">
        <w:t xml:space="preserve"> group member</w:t>
      </w:r>
      <w:r w:rsidR="00062E33">
        <w:t>s</w:t>
      </w:r>
      <w:r w:rsidRPr="00924038">
        <w:t xml:space="preserve"> </w:t>
      </w:r>
      <w:r w:rsidR="00706E2E">
        <w:t xml:space="preserve">that they </w:t>
      </w:r>
      <w:r w:rsidRPr="00924038">
        <w:t>will not b</w:t>
      </w:r>
      <w:r w:rsidR="00062E33">
        <w:t xml:space="preserve">e saddled with two sets of </w:t>
      </w:r>
      <w:r w:rsidRPr="00924038">
        <w:t>imposts.  It would, in my view, be similarly undesirable for the promotors of stayed proceeding</w:t>
      </w:r>
      <w:r w:rsidR="00CB29FB" w:rsidRPr="00924038">
        <w:t>s</w:t>
      </w:r>
      <w:r w:rsidRPr="00924038">
        <w:t xml:space="preserve"> to </w:t>
      </w:r>
      <w:r w:rsidR="00B21E19">
        <w:t>‘</w:t>
      </w:r>
      <w:r w:rsidR="00B12835" w:rsidRPr="00924038">
        <w:t>lobby</w:t>
      </w:r>
      <w:r w:rsidR="00B21E19">
        <w:t>’</w:t>
      </w:r>
      <w:r w:rsidR="00B12835" w:rsidRPr="00924038">
        <w:t xml:space="preserve"> group members or </w:t>
      </w:r>
      <w:r w:rsidRPr="00924038">
        <w:t xml:space="preserve">encourage opt out for the reason of commercial promotion of a further competing class action.  I hasten to say that I do not </w:t>
      </w:r>
      <w:r w:rsidR="00CB29FB" w:rsidRPr="00924038">
        <w:t>think there is any basis for believing that either ILP18 or Vannin or their agents or the solici</w:t>
      </w:r>
      <w:r w:rsidR="00B12835" w:rsidRPr="00924038">
        <w:t xml:space="preserve">tors would </w:t>
      </w:r>
      <w:r w:rsidR="0073511F" w:rsidRPr="00924038">
        <w:t xml:space="preserve">rely on the provisions of the funding agreement </w:t>
      </w:r>
      <w:r w:rsidR="00B21E19">
        <w:t>in</w:t>
      </w:r>
      <w:r w:rsidR="0073511F" w:rsidRPr="00924038">
        <w:t xml:space="preserve"> some sort of </w:t>
      </w:r>
      <w:r w:rsidR="00B12835" w:rsidRPr="00924038">
        <w:t>minatory way or</w:t>
      </w:r>
      <w:r w:rsidR="00CB29FB" w:rsidRPr="00924038">
        <w:t xml:space="preserve"> </w:t>
      </w:r>
      <w:r w:rsidR="0073511F" w:rsidRPr="00924038">
        <w:t xml:space="preserve">act </w:t>
      </w:r>
      <w:r w:rsidR="00CB29FB" w:rsidRPr="00924038">
        <w:t>other</w:t>
      </w:r>
      <w:r w:rsidR="00B21E19">
        <w:t>wise</w:t>
      </w:r>
      <w:r w:rsidR="00CB29FB" w:rsidRPr="00924038">
        <w:t xml:space="preserve"> than conscientiously.  I make these points merely to stress, as a matter of process, that </w:t>
      </w:r>
      <w:r w:rsidR="007B48D7" w:rsidRPr="00924038">
        <w:t xml:space="preserve">great care needs to be taken in communicating </w:t>
      </w:r>
      <w:r w:rsidR="00B12835" w:rsidRPr="00924038">
        <w:t xml:space="preserve">Court approved </w:t>
      </w:r>
      <w:r w:rsidR="007B48D7" w:rsidRPr="00924038">
        <w:t xml:space="preserve">messages to the funded group members </w:t>
      </w:r>
      <w:r w:rsidR="007B48D7" w:rsidRPr="00924038">
        <w:lastRenderedPageBreak/>
        <w:t xml:space="preserve">about the relative advantages and disadvantages of opting out of the non-stayed proceeding and </w:t>
      </w:r>
      <w:r w:rsidR="00B21E19">
        <w:t xml:space="preserve">that </w:t>
      </w:r>
      <w:r w:rsidR="007B48D7" w:rsidRPr="00924038">
        <w:t>the Court should take an active role in ensuring that correct, independent and complete information is given in order to allow group members to exercise an informed decision as to opt out.</w:t>
      </w:r>
      <w:r w:rsidR="0073511F" w:rsidRPr="00924038">
        <w:t xml:space="preserve">  For one thing, those opting out should be aware of the prospect, subject to hearing submissions, that if they opt out, consistently with Part VB case management objectives, their individual proceeding may be adjourned pending </w:t>
      </w:r>
      <w:r w:rsidR="00706E2E">
        <w:t xml:space="preserve">a mediation (and if then unresolved) pending </w:t>
      </w:r>
      <w:r w:rsidR="0073511F" w:rsidRPr="00924038">
        <w:t>the determination of common issues in the open class proceeding.</w:t>
      </w:r>
    </w:p>
    <w:p w:rsidR="003A1F26" w:rsidRPr="00924038" w:rsidRDefault="00E92F12" w:rsidP="00084E53">
      <w:pPr>
        <w:pStyle w:val="ParaNumbering"/>
      </w:pPr>
      <w:r w:rsidRPr="00924038">
        <w:t>The existence of the problem</w:t>
      </w:r>
      <w:r w:rsidR="00CB29FB" w:rsidRPr="00924038">
        <w:t>s</w:t>
      </w:r>
      <w:r w:rsidRPr="00924038">
        <w:t xml:space="preserve"> occasioned by the existence of funding agreements entered into by a book building programme raises novel issues</w:t>
      </w:r>
      <w:r w:rsidR="00CB29FB" w:rsidRPr="00924038">
        <w:t>,</w:t>
      </w:r>
      <w:r w:rsidRPr="00924038">
        <w:t xml:space="preserve"> but ones that</w:t>
      </w:r>
      <w:r w:rsidR="00B21E19">
        <w:t>,</w:t>
      </w:r>
      <w:r w:rsidRPr="00924038">
        <w:t xml:space="preserve"> with active case management</w:t>
      </w:r>
      <w:r w:rsidR="00B21E19">
        <w:t>,</w:t>
      </w:r>
      <w:r w:rsidRPr="00924038">
        <w:t xml:space="preserve"> </w:t>
      </w:r>
      <w:r w:rsidR="00706E2E">
        <w:t xml:space="preserve">will </w:t>
      </w:r>
      <w:r w:rsidR="00C429DA" w:rsidRPr="00924038">
        <w:t xml:space="preserve">be able to be surmounted.  </w:t>
      </w:r>
      <w:r w:rsidR="00B12835" w:rsidRPr="00924038">
        <w:t xml:space="preserve">It follows that this complication does not serve to outweigh the desirability of only one </w:t>
      </w:r>
      <w:r w:rsidR="00706E2E">
        <w:t>class action</w:t>
      </w:r>
      <w:r w:rsidR="00B12835" w:rsidRPr="00924038">
        <w:t xml:space="preserve"> going ahead</w:t>
      </w:r>
      <w:r w:rsidR="00882979">
        <w:t xml:space="preserve"> and</w:t>
      </w:r>
      <w:r w:rsidR="00706E2E">
        <w:t>,</w:t>
      </w:r>
      <w:r w:rsidR="00882979">
        <w:t xml:space="preserve"> to the extent relevant</w:t>
      </w:r>
      <w:r w:rsidR="00706E2E">
        <w:t>,</w:t>
      </w:r>
      <w:r w:rsidR="00882979">
        <w:t xml:space="preserve"> this was taken into account in my consideration of whether permanent stays </w:t>
      </w:r>
      <w:r w:rsidR="00706E2E">
        <w:t xml:space="preserve">or other relief </w:t>
      </w:r>
      <w:r w:rsidR="00882979">
        <w:t>should be ordered</w:t>
      </w:r>
      <w:r w:rsidR="00B12835" w:rsidRPr="00924038">
        <w:t>.</w:t>
      </w:r>
      <w:r w:rsidRPr="00924038">
        <w:t xml:space="preserve"> </w:t>
      </w:r>
    </w:p>
    <w:p w:rsidR="00010C6C" w:rsidRPr="00924038" w:rsidRDefault="00010C6C" w:rsidP="00010C6C">
      <w:pPr>
        <w:pStyle w:val="Heading1"/>
      </w:pPr>
      <w:bookmarkStart w:id="102" w:name="_Ref514405666"/>
      <w:r w:rsidRPr="00924038">
        <w:t>L</w:t>
      </w:r>
      <w:r w:rsidRPr="00924038">
        <w:tab/>
      </w:r>
      <w:r w:rsidR="00913157" w:rsidRPr="00924038">
        <w:t>Arbitraging Procedure, A Potential Issue</w:t>
      </w:r>
      <w:bookmarkEnd w:id="102"/>
    </w:p>
    <w:p w:rsidR="00BF768B" w:rsidRPr="00924038" w:rsidRDefault="00E07839" w:rsidP="00084E53">
      <w:pPr>
        <w:pStyle w:val="ParaNumbering"/>
      </w:pPr>
      <w:r w:rsidRPr="00924038">
        <w:t>One thing that should be evident from my survey of the history of funded securit</w:t>
      </w:r>
      <w:r w:rsidR="0009753B" w:rsidRPr="00924038">
        <w:t>ies</w:t>
      </w:r>
      <w:r w:rsidRPr="00924038">
        <w:t xml:space="preserve"> class actions is the commercial sophistication of the p</w:t>
      </w:r>
      <w:r w:rsidR="00BF768B" w:rsidRPr="00924038">
        <w:t>romotors of such litigation</w:t>
      </w:r>
      <w:r w:rsidRPr="00924038">
        <w:t xml:space="preserve"> and the flexibility of those </w:t>
      </w:r>
      <w:r w:rsidR="00BF768B" w:rsidRPr="00924038">
        <w:t xml:space="preserve">promotors </w:t>
      </w:r>
      <w:r w:rsidRPr="00924038">
        <w:t xml:space="preserve">in </w:t>
      </w:r>
      <w:r w:rsidR="00BF768B" w:rsidRPr="00924038">
        <w:t>dri</w:t>
      </w:r>
      <w:r w:rsidR="00F948E1" w:rsidRPr="00924038">
        <w:t>ving and</w:t>
      </w:r>
      <w:r w:rsidR="00BF768B" w:rsidRPr="00924038">
        <w:t xml:space="preserve"> </w:t>
      </w:r>
      <w:r w:rsidRPr="00924038">
        <w:t xml:space="preserve">adapting </w:t>
      </w:r>
      <w:r w:rsidR="00F948E1" w:rsidRPr="00924038">
        <w:t>to changes in the procedure by</w:t>
      </w:r>
      <w:r w:rsidRPr="00924038">
        <w:t xml:space="preserve"> which class actions are governed.  </w:t>
      </w:r>
    </w:p>
    <w:p w:rsidR="00BF768B" w:rsidRPr="00924038" w:rsidRDefault="0009753B" w:rsidP="00084E53">
      <w:pPr>
        <w:pStyle w:val="ParaNumbering"/>
      </w:pPr>
      <w:r w:rsidRPr="00924038">
        <w:t xml:space="preserve">In </w:t>
      </w:r>
      <w:r w:rsidR="00B21E19">
        <w:t>S</w:t>
      </w:r>
      <w:r w:rsidRPr="00924038">
        <w:t>ection D.2 above</w:t>
      </w:r>
      <w:r w:rsidR="00B21E19">
        <w:t>,</w:t>
      </w:r>
      <w:r w:rsidRPr="00924038">
        <w:t xml:space="preserve"> I referred to the attempt</w:t>
      </w:r>
      <w:r w:rsidR="00585527" w:rsidRPr="00924038">
        <w:t>s</w:t>
      </w:r>
      <w:r w:rsidRPr="00924038">
        <w:t xml:space="preserve"> by plaintiff la</w:t>
      </w:r>
      <w:r w:rsidR="00BF768B" w:rsidRPr="00924038">
        <w:t>wyers to circumvent reforms in f</w:t>
      </w:r>
      <w:r w:rsidRPr="00924038">
        <w:t xml:space="preserve">ederal courts </w:t>
      </w:r>
      <w:r w:rsidR="00BF768B" w:rsidRPr="00924038">
        <w:t xml:space="preserve">in the United States </w:t>
      </w:r>
      <w:r w:rsidRPr="00924038">
        <w:t>as to the conduct of securities class actions</w:t>
      </w:r>
      <w:r w:rsidR="00BF768B" w:rsidRPr="00924038">
        <w:t>,</w:t>
      </w:r>
      <w:r w:rsidRPr="00924038">
        <w:t xml:space="preserve"> by adopting t</w:t>
      </w:r>
      <w:r w:rsidR="00585527" w:rsidRPr="00924038">
        <w:t xml:space="preserve">he expedient of commencing securities </w:t>
      </w:r>
      <w:r w:rsidR="00706E2E">
        <w:t>proceedings in s</w:t>
      </w:r>
      <w:r w:rsidRPr="00924038">
        <w:t xml:space="preserve">tate courts.  </w:t>
      </w:r>
      <w:r w:rsidR="00BF768B" w:rsidRPr="00924038">
        <w:t>As I have explained</w:t>
      </w:r>
      <w:r w:rsidR="00585527" w:rsidRPr="00924038">
        <w:t>,</w:t>
      </w:r>
      <w:r w:rsidR="00BF768B" w:rsidRPr="00924038">
        <w:t xml:space="preserve"> this has caused very significant</w:t>
      </w:r>
      <w:r w:rsidR="00B21E19">
        <w:t>, ongoing</w:t>
      </w:r>
      <w:r w:rsidR="00BF768B" w:rsidRPr="00924038">
        <w:t xml:space="preserve"> collateral disputation. </w:t>
      </w:r>
    </w:p>
    <w:p w:rsidR="00D712F6" w:rsidRPr="00924038" w:rsidRDefault="00BF768B" w:rsidP="00084E53">
      <w:pPr>
        <w:pStyle w:val="ParaNumbering"/>
      </w:pPr>
      <w:r w:rsidRPr="00924038">
        <w:t xml:space="preserve">Developing and adapting procedure and maintaining control over securities class actions </w:t>
      </w:r>
      <w:r w:rsidR="00B21E19">
        <w:t xml:space="preserve">in Australia </w:t>
      </w:r>
      <w:r w:rsidR="0009753B" w:rsidRPr="00924038">
        <w:t xml:space="preserve">has not been </w:t>
      </w:r>
      <w:r w:rsidRPr="00924038">
        <w:t xml:space="preserve">beset with </w:t>
      </w:r>
      <w:r w:rsidR="00D712F6" w:rsidRPr="00924038">
        <w:t xml:space="preserve">any similar </w:t>
      </w:r>
      <w:r w:rsidRPr="00924038">
        <w:t xml:space="preserve">difficulty to date, because </w:t>
      </w:r>
      <w:r w:rsidR="0009753B" w:rsidRPr="00924038">
        <w:t xml:space="preserve">the </w:t>
      </w:r>
      <w:r w:rsidR="00EF74E5" w:rsidRPr="00924038">
        <w:t>vast bulk of securities class actions have been commenced in the F</w:t>
      </w:r>
      <w:r w:rsidR="00D712F6" w:rsidRPr="00924038">
        <w:t>ederal Court</w:t>
      </w:r>
      <w:r w:rsidR="00882979">
        <w:t xml:space="preserve"> and, when on rare occasions </w:t>
      </w:r>
      <w:r w:rsidR="00B21E19">
        <w:t xml:space="preserve">they </w:t>
      </w:r>
      <w:r w:rsidR="00882979">
        <w:t>have been commenced in the Supreme Court of Victoria and created multiplicity, cross</w:t>
      </w:r>
      <w:r w:rsidR="00B21E19">
        <w:t>-</w:t>
      </w:r>
      <w:r w:rsidR="00882979">
        <w:t>vesting orders have allowed securities class actions elsewhere to be linked up to other proceedings in this Court</w:t>
      </w:r>
      <w:r w:rsidR="00D712F6" w:rsidRPr="00924038">
        <w:t>.</w:t>
      </w:r>
    </w:p>
    <w:p w:rsidR="00D712F6" w:rsidRPr="00924038" w:rsidRDefault="00EC55ED" w:rsidP="00D712F6">
      <w:pPr>
        <w:pStyle w:val="ParaNumbering"/>
      </w:pPr>
      <w:r w:rsidRPr="00924038">
        <w:t>It</w:t>
      </w:r>
      <w:r w:rsidR="00F17EF4" w:rsidRPr="00924038">
        <w:t xml:space="preserve"> has been possible </w:t>
      </w:r>
      <w:r w:rsidRPr="00924038">
        <w:t xml:space="preserve">to </w:t>
      </w:r>
      <w:r w:rsidR="00D712F6" w:rsidRPr="00924038">
        <w:t>ensure</w:t>
      </w:r>
      <w:r w:rsidRPr="00924038">
        <w:t xml:space="preserve"> the competing </w:t>
      </w:r>
      <w:r w:rsidR="00F17EF4" w:rsidRPr="00924038">
        <w:t xml:space="preserve">GetSwift </w:t>
      </w:r>
      <w:r w:rsidRPr="00924038">
        <w:t>class actio</w:t>
      </w:r>
      <w:r w:rsidR="00D712F6" w:rsidRPr="00924038">
        <w:t xml:space="preserve">ns </w:t>
      </w:r>
      <w:r w:rsidR="00F17EF4" w:rsidRPr="00924038">
        <w:t>were</w:t>
      </w:r>
      <w:r w:rsidRPr="00924038">
        <w:t xml:space="preserve"> case managed together and for the issue of competing class actions to </w:t>
      </w:r>
      <w:r w:rsidR="00F17EF4" w:rsidRPr="00924038">
        <w:t>be</w:t>
      </w:r>
      <w:r w:rsidRPr="00924038">
        <w:t xml:space="preserve"> resolved </w:t>
      </w:r>
      <w:r w:rsidR="00F17EF4" w:rsidRPr="00924038">
        <w:t xml:space="preserve">with alacrity </w:t>
      </w:r>
      <w:r w:rsidRPr="00924038">
        <w:t xml:space="preserve">with the </w:t>
      </w:r>
      <w:r w:rsidR="00F17EF4" w:rsidRPr="00924038">
        <w:lastRenderedPageBreak/>
        <w:t xml:space="preserve">active and commendable </w:t>
      </w:r>
      <w:r w:rsidRPr="00924038">
        <w:t xml:space="preserve">cooperation of all participants.  </w:t>
      </w:r>
      <w:r w:rsidR="00D712F6" w:rsidRPr="00924038">
        <w:t xml:space="preserve">It would be naïve, however, not to recognise that </w:t>
      </w:r>
      <w:r w:rsidR="00F17EF4" w:rsidRPr="00924038">
        <w:t>the possibility of a</w:t>
      </w:r>
      <w:r w:rsidR="00585527" w:rsidRPr="00924038">
        <w:t xml:space="preserve"> stay </w:t>
      </w:r>
      <w:r w:rsidR="00D712F6" w:rsidRPr="00924038">
        <w:t xml:space="preserve">will </w:t>
      </w:r>
      <w:r w:rsidR="00F17EF4" w:rsidRPr="00924038">
        <w:t xml:space="preserve">not </w:t>
      </w:r>
      <w:r w:rsidR="00D712F6" w:rsidRPr="00924038">
        <w:t>caus</w:t>
      </w:r>
      <w:r w:rsidR="00F17EF4" w:rsidRPr="00924038">
        <w:t>e dis</w:t>
      </w:r>
      <w:r w:rsidR="00585527" w:rsidRPr="00924038">
        <w:t xml:space="preserve">quiet among those who may, in another matter, contemplate promoting a </w:t>
      </w:r>
      <w:r w:rsidR="00F17EF4" w:rsidRPr="00924038">
        <w:t xml:space="preserve">future </w:t>
      </w:r>
      <w:r w:rsidR="00585527" w:rsidRPr="00924038">
        <w:t>competing securities class action</w:t>
      </w:r>
      <w:r w:rsidR="00D712F6" w:rsidRPr="00924038">
        <w:t xml:space="preserve">.  No doubt other steps taken by this Court to </w:t>
      </w:r>
      <w:r w:rsidR="00F17EF4" w:rsidRPr="00924038">
        <w:t xml:space="preserve">maximise the return to group members </w:t>
      </w:r>
      <w:r w:rsidR="00B21E19">
        <w:t>in</w:t>
      </w:r>
      <w:r w:rsidR="00F17EF4" w:rsidRPr="00924038">
        <w:t xml:space="preserve"> settlements</w:t>
      </w:r>
      <w:r w:rsidR="00E55C19" w:rsidRPr="00924038">
        <w:t xml:space="preserve"> by controlling legal, funding and other costs</w:t>
      </w:r>
      <w:r w:rsidR="00D712F6" w:rsidRPr="00924038">
        <w:t xml:space="preserve">, might also be thought </w:t>
      </w:r>
      <w:r w:rsidR="00E55C19" w:rsidRPr="00924038">
        <w:t xml:space="preserve">as </w:t>
      </w:r>
      <w:r w:rsidR="00D712F6" w:rsidRPr="00924038">
        <w:t>inimical to the interests of those who stand to make a return from the</w:t>
      </w:r>
      <w:r w:rsidR="00882979">
        <w:t>se common enterprises</w:t>
      </w:r>
      <w:r w:rsidR="00D712F6" w:rsidRPr="00924038">
        <w:t>.</w:t>
      </w:r>
    </w:p>
    <w:p w:rsidR="00463A90" w:rsidRPr="00924038" w:rsidRDefault="00F948E1" w:rsidP="00F17EF4">
      <w:pPr>
        <w:pStyle w:val="ParaNumbering"/>
      </w:pPr>
      <w:r w:rsidRPr="00924038">
        <w:t xml:space="preserve">In finance, arbitraging, in general terms, refers to the practice of taking advantage of price differences and capitalising upon the imbalance between markets.  </w:t>
      </w:r>
      <w:r w:rsidR="00463A90" w:rsidRPr="00924038">
        <w:t xml:space="preserve">As a result of </w:t>
      </w:r>
      <w:r w:rsidR="00D712F6" w:rsidRPr="00924038">
        <w:t xml:space="preserve">the </w:t>
      </w:r>
      <w:r w:rsidR="0049074E" w:rsidRPr="00924038">
        <w:rPr>
          <w:lang w:val="en"/>
        </w:rPr>
        <w:t>autochtonous expedient</w:t>
      </w:r>
      <w:r w:rsidR="00EC55ED" w:rsidRPr="00924038">
        <w:t xml:space="preserve"> </w:t>
      </w:r>
      <w:r w:rsidR="00463A90" w:rsidRPr="00924038">
        <w:t xml:space="preserve">(in this case reflected in Part 9.6A of the </w:t>
      </w:r>
      <w:r w:rsidR="00463A90" w:rsidRPr="00924038">
        <w:rPr>
          <w:i/>
        </w:rPr>
        <w:t>Corporations Act</w:t>
      </w:r>
      <w:r w:rsidR="00463A90" w:rsidRPr="00924038">
        <w:t xml:space="preserve">) </w:t>
      </w:r>
      <w:r w:rsidR="00B21E19">
        <w:t xml:space="preserve">of </w:t>
      </w:r>
      <w:r w:rsidR="0049074E" w:rsidRPr="00924038">
        <w:t>allowing class action</w:t>
      </w:r>
      <w:r w:rsidR="00A05FB8" w:rsidRPr="00924038">
        <w:t xml:space="preserve">s </w:t>
      </w:r>
      <w:r w:rsidR="00463A90" w:rsidRPr="00924038">
        <w:t xml:space="preserve">seeking relief for a breach of a Commonwealth statute </w:t>
      </w:r>
      <w:r w:rsidR="00A05FB8" w:rsidRPr="00924038">
        <w:t xml:space="preserve">to be commenced in a number of </w:t>
      </w:r>
      <w:r w:rsidR="00B21E19">
        <w:t>S</w:t>
      </w:r>
      <w:r w:rsidR="00463A90" w:rsidRPr="00924038">
        <w:t xml:space="preserve">tate </w:t>
      </w:r>
      <w:r w:rsidR="00A05FB8" w:rsidRPr="00924038">
        <w:t>courts</w:t>
      </w:r>
      <w:r w:rsidR="00463A90" w:rsidRPr="00924038">
        <w:t xml:space="preserve"> with class action regimes, the </w:t>
      </w:r>
      <w:r w:rsidR="00706E2E">
        <w:t xml:space="preserve">theoretical </w:t>
      </w:r>
      <w:r w:rsidR="00463A90" w:rsidRPr="00924038">
        <w:t xml:space="preserve">possibility of </w:t>
      </w:r>
      <w:r w:rsidR="001F313D" w:rsidRPr="00924038">
        <w:t xml:space="preserve">some form of </w:t>
      </w:r>
      <w:r w:rsidR="00463A90" w:rsidRPr="00924038">
        <w:t>procedural ‘arbitrage’ exists.</w:t>
      </w:r>
    </w:p>
    <w:p w:rsidR="00C41363" w:rsidRPr="00924038" w:rsidRDefault="00463A90" w:rsidP="00F17EF4">
      <w:pPr>
        <w:pStyle w:val="ParaNumbering"/>
      </w:pPr>
      <w:r w:rsidRPr="00924038">
        <w:t>The promotors of class actions can</w:t>
      </w:r>
      <w:r w:rsidR="001F313D" w:rsidRPr="00924038">
        <w:t>, a</w:t>
      </w:r>
      <w:r w:rsidR="00B21E19">
        <w:t>t</w:t>
      </w:r>
      <w:r w:rsidR="001F313D" w:rsidRPr="00924038">
        <w:t xml:space="preserve"> least initially,</w:t>
      </w:r>
      <w:r w:rsidRPr="00924038">
        <w:t xml:space="preserve"> exercise a choice of forum </w:t>
      </w:r>
      <w:r w:rsidR="00A05FB8" w:rsidRPr="00924038">
        <w:t xml:space="preserve">and </w:t>
      </w:r>
      <w:r w:rsidR="00EC55ED" w:rsidRPr="00924038">
        <w:t>it should come as no s</w:t>
      </w:r>
      <w:r w:rsidRPr="00924038">
        <w:t xml:space="preserve">urprise that the response to </w:t>
      </w:r>
      <w:r w:rsidR="001F313D" w:rsidRPr="00924038">
        <w:t>one c</w:t>
      </w:r>
      <w:r w:rsidR="00EC55ED" w:rsidRPr="00924038">
        <w:t>ourt taking active steps to</w:t>
      </w:r>
      <w:r w:rsidR="00F948E1" w:rsidRPr="00924038">
        <w:t xml:space="preserve"> exercise </w:t>
      </w:r>
      <w:r w:rsidR="001F313D" w:rsidRPr="00924038">
        <w:t xml:space="preserve">discipline and </w:t>
      </w:r>
      <w:r w:rsidR="00F948E1" w:rsidRPr="00924038">
        <w:t>control</w:t>
      </w:r>
      <w:r w:rsidR="0049074E" w:rsidRPr="00924038">
        <w:t xml:space="preserve"> </w:t>
      </w:r>
      <w:r w:rsidRPr="00924038">
        <w:t xml:space="preserve">over </w:t>
      </w:r>
      <w:r w:rsidR="00F948E1" w:rsidRPr="00924038">
        <w:t xml:space="preserve">securities </w:t>
      </w:r>
      <w:r w:rsidR="0049074E" w:rsidRPr="00924038">
        <w:t xml:space="preserve">class actions </w:t>
      </w:r>
      <w:r w:rsidR="00F948E1" w:rsidRPr="00924038">
        <w:t xml:space="preserve">(and competing actions in particular), </w:t>
      </w:r>
      <w:r w:rsidR="0049074E" w:rsidRPr="00924038">
        <w:t xml:space="preserve">may </w:t>
      </w:r>
      <w:r w:rsidR="00EC55ED" w:rsidRPr="00924038">
        <w:t xml:space="preserve">be </w:t>
      </w:r>
      <w:r w:rsidR="0049074E" w:rsidRPr="00924038">
        <w:t xml:space="preserve">for </w:t>
      </w:r>
      <w:r w:rsidR="00EC55ED" w:rsidRPr="00924038">
        <w:t xml:space="preserve">decisions </w:t>
      </w:r>
      <w:r w:rsidR="0049074E" w:rsidRPr="00924038">
        <w:t>to be</w:t>
      </w:r>
      <w:r w:rsidR="00EC55ED" w:rsidRPr="00924038">
        <w:t xml:space="preserve"> made </w:t>
      </w:r>
      <w:r w:rsidRPr="00924038">
        <w:t xml:space="preserve">which </w:t>
      </w:r>
      <w:r w:rsidR="001F313D" w:rsidRPr="00924038">
        <w:t xml:space="preserve">represent an </w:t>
      </w:r>
      <w:r w:rsidR="0049074E" w:rsidRPr="00924038">
        <w:t>attempt to obtain a</w:t>
      </w:r>
      <w:r w:rsidRPr="00924038">
        <w:t xml:space="preserve">n advantage by </w:t>
      </w:r>
      <w:r w:rsidR="001F313D" w:rsidRPr="00924038">
        <w:t>commencing</w:t>
      </w:r>
      <w:r w:rsidR="00EC55ED" w:rsidRPr="00924038">
        <w:t xml:space="preserve"> </w:t>
      </w:r>
      <w:r w:rsidRPr="00924038">
        <w:t xml:space="preserve">securities </w:t>
      </w:r>
      <w:r w:rsidR="00EC55ED" w:rsidRPr="00924038">
        <w:t xml:space="preserve">class actions in </w:t>
      </w:r>
      <w:r w:rsidRPr="00924038">
        <w:t xml:space="preserve">the same matter in </w:t>
      </w:r>
      <w:r w:rsidR="00F17EF4" w:rsidRPr="00924038">
        <w:t>different c</w:t>
      </w:r>
      <w:r w:rsidR="0049074E" w:rsidRPr="00924038">
        <w:t>ourt</w:t>
      </w:r>
      <w:r w:rsidR="00F17EF4" w:rsidRPr="00924038">
        <w:t>s</w:t>
      </w:r>
      <w:r w:rsidR="0049074E" w:rsidRPr="00924038">
        <w:t xml:space="preserve">.  One result of this would be to </w:t>
      </w:r>
      <w:r w:rsidR="00F17EF4" w:rsidRPr="00924038">
        <w:t xml:space="preserve">increase </w:t>
      </w:r>
      <w:r w:rsidR="00F948E1" w:rsidRPr="00924038">
        <w:t xml:space="preserve">overall </w:t>
      </w:r>
      <w:r w:rsidR="00F17EF4" w:rsidRPr="00924038">
        <w:t xml:space="preserve">costs and </w:t>
      </w:r>
      <w:r w:rsidR="0049074E" w:rsidRPr="00924038">
        <w:t xml:space="preserve">make case management and a speedy </w:t>
      </w:r>
      <w:r w:rsidR="00EC55ED" w:rsidRPr="00924038">
        <w:t>comparative analysis to be undertaken</w:t>
      </w:r>
      <w:r w:rsidR="0049074E" w:rsidRPr="00924038">
        <w:t>,</w:t>
      </w:r>
      <w:r w:rsidR="00EC55ED" w:rsidRPr="00924038">
        <w:t xml:space="preserve"> more problematical.  </w:t>
      </w:r>
      <w:r w:rsidR="0049074E" w:rsidRPr="00924038">
        <w:t>For a variety of reasons</w:t>
      </w:r>
      <w:r w:rsidR="00F17EF4" w:rsidRPr="00924038">
        <w:t>,</w:t>
      </w:r>
      <w:r w:rsidR="0049074E" w:rsidRPr="00924038">
        <w:t xml:space="preserve"> such a development would be </w:t>
      </w:r>
      <w:r w:rsidR="00BB05DC">
        <w:t xml:space="preserve">highly </w:t>
      </w:r>
      <w:r w:rsidR="0049074E" w:rsidRPr="00924038">
        <w:t>undesirable and</w:t>
      </w:r>
      <w:r w:rsidR="00EC55ED" w:rsidRPr="00924038">
        <w:t>, like in the past, remedial resp</w:t>
      </w:r>
      <w:r w:rsidR="0049074E" w:rsidRPr="00924038">
        <w:t xml:space="preserve">onses will </w:t>
      </w:r>
      <w:r w:rsidR="00F17EF4" w:rsidRPr="00924038">
        <w:t xml:space="preserve">no doubt </w:t>
      </w:r>
      <w:r w:rsidR="0049074E" w:rsidRPr="00924038">
        <w:t>have to be fashioned</w:t>
      </w:r>
      <w:r w:rsidR="006557F3" w:rsidRPr="00924038">
        <w:t xml:space="preserve"> consistent with </w:t>
      </w:r>
      <w:r w:rsidR="00BB05DC">
        <w:t xml:space="preserve">the provisions of the cross vesting legislation, </w:t>
      </w:r>
      <w:r w:rsidR="006557F3" w:rsidRPr="00924038">
        <w:t>considerations as to comity and the need to avoid multiplicity</w:t>
      </w:r>
      <w:r w:rsidR="0049074E" w:rsidRPr="00924038">
        <w:t xml:space="preserve">.  It suffices to note </w:t>
      </w:r>
      <w:r w:rsidR="00F17EF4" w:rsidRPr="00924038">
        <w:t>that</w:t>
      </w:r>
      <w:r w:rsidR="00EC55ED" w:rsidRPr="00924038">
        <w:t xml:space="preserve"> the possibility of such developments occurring highlight</w:t>
      </w:r>
      <w:r w:rsidR="00F17EF4" w:rsidRPr="00924038">
        <w:t>s</w:t>
      </w:r>
      <w:r w:rsidR="00F948E1" w:rsidRPr="00924038">
        <w:t xml:space="preserve"> the point I made at the commencement of these reasons: </w:t>
      </w:r>
      <w:r w:rsidR="00B21E19">
        <w:t>one size does not fit all</w:t>
      </w:r>
      <w:r w:rsidR="00F948E1" w:rsidRPr="00924038">
        <w:t xml:space="preserve"> and how </w:t>
      </w:r>
      <w:r w:rsidR="00EC55ED" w:rsidRPr="00924038">
        <w:t xml:space="preserve">one manages competing class actions is essentially a case management decision rooted in the particular circumstances of the </w:t>
      </w:r>
      <w:r w:rsidR="00F17EF4" w:rsidRPr="00924038">
        <w:t>relevant matter.</w:t>
      </w:r>
    </w:p>
    <w:p w:rsidR="003A1F26" w:rsidRPr="00924038" w:rsidRDefault="00C41363" w:rsidP="00C41363">
      <w:pPr>
        <w:pStyle w:val="Heading1"/>
      </w:pPr>
      <w:bookmarkStart w:id="103" w:name="_Ref514405667"/>
      <w:r w:rsidRPr="00924038">
        <w:t>M</w:t>
      </w:r>
      <w:r w:rsidRPr="00924038">
        <w:tab/>
      </w:r>
      <w:r w:rsidR="00913157" w:rsidRPr="00924038">
        <w:t>Conclusion &amp; Orders</w:t>
      </w:r>
      <w:bookmarkEnd w:id="103"/>
      <w:r w:rsidR="00913157" w:rsidRPr="00924038">
        <w:t xml:space="preserve"> </w:t>
      </w:r>
    </w:p>
    <w:p w:rsidR="00CE5B78" w:rsidRDefault="00CE5B78" w:rsidP="00CE5B78">
      <w:pPr>
        <w:pStyle w:val="ParaNumbering"/>
      </w:pPr>
      <w:r>
        <w:t xml:space="preserve">Each party sought orders which would involve the Court taking steps to resolve multiplicity in one form or another.  Having said this, I should finally note that I did give consideration to whether or not I should simply adopt a </w:t>
      </w:r>
      <w:r w:rsidR="00B21E19">
        <w:t>‘</w:t>
      </w:r>
      <w:r>
        <w:t>wait and see</w:t>
      </w:r>
      <w:r w:rsidR="00B21E19">
        <w:t>’</w:t>
      </w:r>
      <w:r>
        <w:t xml:space="preserve"> approach.  I do not consider that this was an appropriate response in the present matter for the same reasons it was rejected by Beach J in </w:t>
      </w:r>
      <w:r w:rsidRPr="00BB05DC">
        <w:rPr>
          <w:i/>
        </w:rPr>
        <w:t>Bellamy’s</w:t>
      </w:r>
      <w:r w:rsidR="00BB05DC">
        <w:t>.  I</w:t>
      </w:r>
      <w:r>
        <w:t xml:space="preserve">t is important for this </w:t>
      </w:r>
      <w:r w:rsidR="00BB05DC">
        <w:t xml:space="preserve">problem </w:t>
      </w:r>
      <w:r>
        <w:t xml:space="preserve">to be resolved as soon as possible and </w:t>
      </w:r>
      <w:r>
        <w:lastRenderedPageBreak/>
        <w:t xml:space="preserve">to give each of the parties and group members certainty about the bases upon which this matter is to be conducted.  Moreover, given my findings, to allow multiplicity to continue would cause the perpetuation </w:t>
      </w:r>
      <w:r w:rsidR="00BB05DC">
        <w:t>of a state of affairs which must</w:t>
      </w:r>
      <w:r>
        <w:t xml:space="preserve"> be brought to an end.  </w:t>
      </w:r>
    </w:p>
    <w:p w:rsidR="00CE5B78" w:rsidRDefault="00805F4B" w:rsidP="00CE5B78">
      <w:pPr>
        <w:pStyle w:val="ParaNumbering"/>
      </w:pPr>
      <w:r>
        <w:t xml:space="preserve">Special problems no doubt arise when one promotor has decided, for some reason, to commence a proceeding in another court exercising federal jurisdiction, which conduct will no doubt necessitate some delay not present here.  In the case of competing securities class actions all before the Court, however, </w:t>
      </w:r>
      <w:r w:rsidR="00CE5B78">
        <w:t xml:space="preserve">one of the </w:t>
      </w:r>
      <w:r>
        <w:t xml:space="preserve">potential </w:t>
      </w:r>
      <w:r w:rsidR="00CE5B78">
        <w:t>difficulties in just allowing the promoters of the various common enterprises to sort it out amongst them</w:t>
      </w:r>
      <w:r>
        <w:t xml:space="preserve">selves, is that there is a </w:t>
      </w:r>
      <w:r w:rsidR="00CE5B78">
        <w:t xml:space="preserve">danger that any compromise between promotors </w:t>
      </w:r>
      <w:r w:rsidR="00BB05DC">
        <w:t>(</w:t>
      </w:r>
      <w:r w:rsidR="00CE5B78">
        <w:t xml:space="preserve">whereby each funder </w:t>
      </w:r>
      <w:r>
        <w:t xml:space="preserve">somehow </w:t>
      </w:r>
      <w:r w:rsidR="00CE5B78">
        <w:t>‘wets their beak’</w:t>
      </w:r>
      <w:r w:rsidR="00BB05DC">
        <w:t>)</w:t>
      </w:r>
      <w:r w:rsidR="00CE5B78">
        <w:t>, may simply result in increased costs and</w:t>
      </w:r>
      <w:r w:rsidR="00BB05DC">
        <w:t xml:space="preserve"> </w:t>
      </w:r>
      <w:r>
        <w:t xml:space="preserve">may </w:t>
      </w:r>
      <w:r w:rsidR="00BB05DC">
        <w:t>indirectly</w:t>
      </w:r>
      <w:r w:rsidR="00CE5B78">
        <w:t xml:space="preserve"> encourage </w:t>
      </w:r>
      <w:r>
        <w:t xml:space="preserve">forms of </w:t>
      </w:r>
      <w:r w:rsidR="00CE5B78">
        <w:t>anti-competitive behaviour.</w:t>
      </w:r>
    </w:p>
    <w:p w:rsidR="00EC55ED" w:rsidRPr="00924038" w:rsidRDefault="00E922C6" w:rsidP="00EC55ED">
      <w:pPr>
        <w:pStyle w:val="ParaNumbering"/>
      </w:pPr>
      <w:r w:rsidRPr="00924038">
        <w:t xml:space="preserve">Apart from making orders </w:t>
      </w:r>
      <w:r w:rsidR="001C5CD4" w:rsidRPr="00924038">
        <w:t>arranging for the interlocutory progression of the Webb Proceeding and permanent stays being granted in relation to the Perera Proceeding and the McTaggart Proceeding, I will also direct the provision of a draft opt out notice and fix a hearing at which time an op</w:t>
      </w:r>
      <w:r w:rsidRPr="00924038">
        <w:t xml:space="preserve">t out notice will be approved.  </w:t>
      </w:r>
      <w:r w:rsidR="001C5CD4" w:rsidRPr="00924038">
        <w:t>For</w:t>
      </w:r>
      <w:r w:rsidRPr="00924038">
        <w:t xml:space="preserve"> reasons I have explained, </w:t>
      </w:r>
      <w:r w:rsidR="001C5CD4" w:rsidRPr="00924038">
        <w:t>I will grant leave for Mr Perera, the McTaggart applicants and their funders to appear at that hearing</w:t>
      </w:r>
      <w:r w:rsidR="000E1A16" w:rsidRPr="00924038">
        <w:t>.</w:t>
      </w:r>
      <w:r w:rsidRPr="00924038">
        <w:t xml:space="preserve">  Additionally, prior to the approval of </w:t>
      </w:r>
      <w:proofErr w:type="gramStart"/>
      <w:r w:rsidRPr="00924038">
        <w:t>an opt</w:t>
      </w:r>
      <w:proofErr w:type="gramEnd"/>
      <w:r w:rsidRPr="00924038">
        <w:t xml:space="preserve"> out notice, I will make orders setting out the </w:t>
      </w:r>
      <w:r w:rsidR="006557F3" w:rsidRPr="00924038">
        <w:t xml:space="preserve">precise </w:t>
      </w:r>
      <w:r w:rsidRPr="00924038">
        <w:t>terms of the common fund order</w:t>
      </w:r>
      <w:r w:rsidR="001F313D" w:rsidRPr="00924038">
        <w:t xml:space="preserve">. </w:t>
      </w:r>
    </w:p>
    <w:p w:rsidR="003A1F26" w:rsidRPr="00924038" w:rsidRDefault="00144218" w:rsidP="005F458A">
      <w:pPr>
        <w:pStyle w:val="ParaNumbering"/>
      </w:pPr>
      <w:r w:rsidRPr="00924038">
        <w:t xml:space="preserve">I </w:t>
      </w:r>
      <w:r w:rsidR="005F458A" w:rsidRPr="00924038">
        <w:t xml:space="preserve">will hear from the parties </w:t>
      </w:r>
      <w:r w:rsidR="001F313D" w:rsidRPr="00924038">
        <w:t xml:space="preserve">at a case management hearing </w:t>
      </w:r>
      <w:r w:rsidR="00B3163B" w:rsidRPr="00924038">
        <w:t>as to</w:t>
      </w:r>
      <w:r w:rsidR="005F458A" w:rsidRPr="00924038">
        <w:t xml:space="preserve"> </w:t>
      </w:r>
      <w:r w:rsidR="001F313D" w:rsidRPr="00924038">
        <w:t>whether any variation is sought to these procedural directions in the Webb Proceeding</w:t>
      </w:r>
      <w:r w:rsidR="00B3163B" w:rsidRPr="00924038">
        <w:t>,</w:t>
      </w:r>
      <w:r w:rsidR="001F313D" w:rsidRPr="00924038">
        <w:t xml:space="preserve"> and on </w:t>
      </w:r>
      <w:r w:rsidRPr="00924038">
        <w:t>the issue of costs.</w:t>
      </w:r>
    </w:p>
    <w:p w:rsidR="00381180" w:rsidRPr="006A4BAD" w:rsidRDefault="00381180" w:rsidP="003E35FB">
      <w:pPr>
        <w:pStyle w:val="ParaNumbering"/>
        <w:numPr>
          <w:ilvl w:val="0"/>
          <w:numId w:val="0"/>
        </w:numPr>
        <w:rPr>
          <w:highlight w:val="yellow"/>
        </w:rPr>
      </w:pPr>
    </w:p>
    <w:p w:rsidR="006A4BAD" w:rsidRDefault="006A4BAD" w:rsidP="008E6263">
      <w:pPr>
        <w:pStyle w:val="BodyText"/>
      </w:pPr>
      <w:bookmarkStart w:id="104" w:name="Certification"/>
      <w:bookmarkStart w:id="105" w:name="_GoBack"/>
      <w:bookmarkEnd w:id="105"/>
    </w:p>
    <w:tbl>
      <w:tblPr>
        <w:tblW w:w="0" w:type="auto"/>
        <w:tblLook w:val="04A0" w:firstRow="1" w:lastRow="0" w:firstColumn="1" w:lastColumn="0" w:noHBand="0" w:noVBand="1"/>
      </w:tblPr>
      <w:tblGrid>
        <w:gridCol w:w="3794"/>
      </w:tblGrid>
      <w:tr w:rsidR="006A4BAD" w:rsidRPr="006A4BAD">
        <w:tc>
          <w:tcPr>
            <w:tcW w:w="3794" w:type="dxa"/>
            <w:shd w:val="clear" w:color="auto" w:fill="auto"/>
          </w:tcPr>
          <w:p w:rsidR="006A4BAD" w:rsidRPr="006A4BAD" w:rsidRDefault="006A4BAD" w:rsidP="00667F93">
            <w:pPr>
              <w:pStyle w:val="Normal1linespace"/>
            </w:pPr>
            <w:r w:rsidRPr="006A4BAD">
              <w:t xml:space="preserve">I certify that the preceding </w:t>
            </w:r>
            <w:bookmarkStart w:id="106" w:name="NumberWord"/>
            <w:r w:rsidR="00C27BB2">
              <w:t>three hundred and eighty</w:t>
            </w:r>
            <w:bookmarkEnd w:id="106"/>
            <w:r w:rsidR="00667F93">
              <w:t xml:space="preserve"> </w:t>
            </w:r>
            <w:r w:rsidRPr="006A4BAD">
              <w:t>(</w:t>
            </w:r>
            <w:bookmarkStart w:id="107" w:name="NumberNumeral"/>
            <w:r w:rsidR="00C27BB2">
              <w:t>380</w:t>
            </w:r>
            <w:bookmarkEnd w:id="107"/>
            <w:r w:rsidRPr="006A4BAD">
              <w:t xml:space="preserve">) numbered </w:t>
            </w:r>
            <w:bookmarkStart w:id="108" w:name="CertPara"/>
            <w:r w:rsidR="00C27BB2">
              <w:t>paragraphs are</w:t>
            </w:r>
            <w:bookmarkEnd w:id="108"/>
            <w:r w:rsidRPr="006A4BAD">
              <w:t xml:space="preserve"> a true copy of the Reasons for Judgment herein of the Honourable </w:t>
            </w:r>
            <w:bookmarkStart w:id="109" w:name="Justice"/>
            <w:r w:rsidR="00C27BB2">
              <w:t>Justice Lee</w:t>
            </w:r>
            <w:bookmarkEnd w:id="109"/>
            <w:r w:rsidRPr="006A4BAD">
              <w:t>.</w:t>
            </w:r>
          </w:p>
        </w:tc>
      </w:tr>
    </w:tbl>
    <w:p w:rsidR="006A4BAD" w:rsidRDefault="006A4BAD" w:rsidP="008E6263">
      <w:pPr>
        <w:pStyle w:val="BodyText"/>
      </w:pPr>
    </w:p>
    <w:p w:rsidR="006A4BAD" w:rsidRDefault="006A4BAD" w:rsidP="008E6263">
      <w:pPr>
        <w:pStyle w:val="BodyText"/>
      </w:pPr>
    </w:p>
    <w:p w:rsidR="006A4BAD" w:rsidRDefault="006A4BAD" w:rsidP="008E6263">
      <w:pPr>
        <w:pStyle w:val="BodyText"/>
      </w:pPr>
    </w:p>
    <w:p w:rsidR="00302F9E" w:rsidRDefault="00302F9E" w:rsidP="008E6263">
      <w:pPr>
        <w:pStyle w:val="BodyText"/>
      </w:pPr>
    </w:p>
    <w:p w:rsidR="00302F9E" w:rsidRDefault="00302F9E" w:rsidP="008E6263">
      <w:pPr>
        <w:pStyle w:val="BodyText"/>
      </w:pPr>
    </w:p>
    <w:p w:rsidR="006A4BAD" w:rsidRDefault="006A4BAD" w:rsidP="008E6263">
      <w:pPr>
        <w:pStyle w:val="BodyText"/>
      </w:pPr>
      <w:r>
        <w:lastRenderedPageBreak/>
        <w:t>Associate:</w:t>
      </w:r>
      <w:r w:rsidR="00C27BB2" w:rsidRPr="00C27BB2">
        <w:rPr>
          <w:noProof/>
          <w:lang w:eastAsia="en-AU"/>
        </w:rPr>
        <w:t xml:space="preserve"> </w:t>
      </w:r>
    </w:p>
    <w:p w:rsidR="006A4BAD" w:rsidRDefault="006A4BAD" w:rsidP="008E6263">
      <w:pPr>
        <w:pStyle w:val="BodyText"/>
      </w:pPr>
    </w:p>
    <w:p w:rsidR="006A4BAD" w:rsidRDefault="006A4BAD" w:rsidP="008E6263">
      <w:pPr>
        <w:pStyle w:val="BodyText"/>
        <w:tabs>
          <w:tab w:val="left" w:pos="1134"/>
        </w:tabs>
      </w:pPr>
      <w:r>
        <w:t>Dated:</w:t>
      </w:r>
      <w:r>
        <w:tab/>
      </w:r>
      <w:bookmarkStart w:id="110" w:name="CertifyDated"/>
      <w:r w:rsidR="00C27BB2">
        <w:t>23 May 2018</w:t>
      </w:r>
      <w:bookmarkEnd w:id="110"/>
    </w:p>
    <w:p w:rsidR="006A4BAD" w:rsidRDefault="006A4BAD" w:rsidP="008E6263">
      <w:pPr>
        <w:pStyle w:val="BodyText"/>
      </w:pPr>
    </w:p>
    <w:bookmarkEnd w:id="104"/>
    <w:p w:rsidR="00F7237D" w:rsidRDefault="00F7237D">
      <w:pPr>
        <w:spacing w:line="240" w:lineRule="auto"/>
        <w:jc w:val="left"/>
      </w:pPr>
      <w:r>
        <w:br w:type="page"/>
      </w:r>
    </w:p>
    <w:p w:rsidR="00381180" w:rsidRDefault="00381180" w:rsidP="00381180">
      <w:pPr>
        <w:pStyle w:val="GeneralHeading"/>
      </w:pPr>
      <w:r>
        <w:lastRenderedPageBreak/>
        <w:t>Annexure A</w:t>
      </w:r>
    </w:p>
    <w:p w:rsidR="00105BC1" w:rsidRDefault="00105BC1" w:rsidP="00381180">
      <w:pPr>
        <w:pStyle w:val="BodyText"/>
      </w:pPr>
    </w:p>
    <w:p w:rsidR="008B0854" w:rsidRDefault="008B0854" w:rsidP="00381180">
      <w:pPr>
        <w:pStyle w:val="BodyText"/>
      </w:pPr>
      <w:r>
        <w:rPr>
          <w:noProof/>
          <w:lang w:eastAsia="en-AU"/>
        </w:rPr>
        <w:drawing>
          <wp:inline distT="0" distB="0" distL="0" distR="0">
            <wp:extent cx="5732145" cy="3164840"/>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0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32145" cy="3164840"/>
                    </a:xfrm>
                    <a:prstGeom prst="rect">
                      <a:avLst/>
                    </a:prstGeom>
                  </pic:spPr>
                </pic:pic>
              </a:graphicData>
            </a:graphic>
          </wp:inline>
        </w:drawing>
      </w:r>
    </w:p>
    <w:p w:rsidR="008B0854" w:rsidRDefault="008B0854" w:rsidP="00381180">
      <w:pPr>
        <w:pStyle w:val="BodyText"/>
      </w:pPr>
    </w:p>
    <w:p w:rsidR="008B0854" w:rsidRDefault="008B0854" w:rsidP="00381180">
      <w:pPr>
        <w:pStyle w:val="BodyText"/>
      </w:pPr>
    </w:p>
    <w:p w:rsidR="008B0854" w:rsidRDefault="008B0854" w:rsidP="00381180">
      <w:pPr>
        <w:pStyle w:val="BodyText"/>
      </w:pPr>
      <w:r>
        <w:rPr>
          <w:noProof/>
          <w:lang w:eastAsia="en-AU"/>
        </w:rPr>
        <w:drawing>
          <wp:inline distT="0" distB="0" distL="0" distR="0">
            <wp:extent cx="5732145" cy="3188970"/>
            <wp:effectExtent l="0" t="0" r="190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0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2145" cy="3188970"/>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664BF0" w:rsidRDefault="00664BF0" w:rsidP="00381180">
      <w:pPr>
        <w:pStyle w:val="BodyText"/>
      </w:pPr>
    </w:p>
    <w:p w:rsidR="00664BF0" w:rsidRDefault="00664BF0"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19024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0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3190240"/>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340735"/>
            <wp:effectExtent l="0" t="0" r="190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04.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2145" cy="3340735"/>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409315"/>
            <wp:effectExtent l="0" t="0" r="1905"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0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2145" cy="3409315"/>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24485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0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32145" cy="3244850"/>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24485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07.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2145" cy="3244850"/>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260090"/>
            <wp:effectExtent l="0" t="0" r="190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08.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3260090"/>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254375"/>
            <wp:effectExtent l="0" t="0" r="1905"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0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3254375"/>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236595"/>
            <wp:effectExtent l="0" t="0" r="1905"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32145" cy="3236595"/>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265805"/>
            <wp:effectExtent l="0" t="0" r="190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32145" cy="3265805"/>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236595"/>
            <wp:effectExtent l="0" t="0" r="1905"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145" cy="3236595"/>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405505"/>
            <wp:effectExtent l="0" t="0" r="1905"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32145" cy="3405505"/>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348990"/>
            <wp:effectExtent l="0" t="0" r="190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32145" cy="3348990"/>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178810"/>
            <wp:effectExtent l="0" t="0" r="1905"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32145" cy="3178810"/>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126105"/>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32145" cy="3126105"/>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121025"/>
            <wp:effectExtent l="0" t="0" r="1905"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2145" cy="3121025"/>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086735"/>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8.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32145" cy="3086735"/>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271520"/>
            <wp:effectExtent l="0" t="0" r="1905"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19.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32145" cy="3271520"/>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130550"/>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0.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32145" cy="3130550"/>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122295"/>
            <wp:effectExtent l="0" t="0" r="1905"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32145" cy="3122295"/>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166110"/>
            <wp:effectExtent l="0" t="0" r="190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2.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32145" cy="3166110"/>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107690"/>
            <wp:effectExtent l="0" t="0" r="190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2145" cy="3107690"/>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148965"/>
            <wp:effectExtent l="0" t="0" r="190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32145" cy="3148965"/>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164840"/>
            <wp:effectExtent l="0" t="0" r="190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32145" cy="3164840"/>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170555"/>
            <wp:effectExtent l="0" t="0" r="190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32145" cy="3170555"/>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3217545"/>
            <wp:effectExtent l="0" t="0" r="1905" b="190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7.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2145" cy="3217545"/>
                    </a:xfrm>
                    <a:prstGeom prst="rect">
                      <a:avLst/>
                    </a:prstGeom>
                  </pic:spPr>
                </pic:pic>
              </a:graphicData>
            </a:graphic>
          </wp:inline>
        </w:drawing>
      </w:r>
    </w:p>
    <w:p w:rsidR="008B0854" w:rsidRDefault="008B0854" w:rsidP="00381180">
      <w:pPr>
        <w:pStyle w:val="BodyText"/>
      </w:pPr>
    </w:p>
    <w:p w:rsidR="00664BF0" w:rsidRDefault="00664BF0" w:rsidP="00381180">
      <w:pPr>
        <w:pStyle w:val="BodyText"/>
      </w:pPr>
    </w:p>
    <w:p w:rsidR="008B0854" w:rsidRDefault="008B0854" w:rsidP="00381180">
      <w:pPr>
        <w:pStyle w:val="BodyText"/>
      </w:pPr>
      <w:r>
        <w:rPr>
          <w:noProof/>
          <w:lang w:eastAsia="en-AU"/>
        </w:rPr>
        <w:drawing>
          <wp:inline distT="0" distB="0" distL="0" distR="0">
            <wp:extent cx="5732145" cy="3212465"/>
            <wp:effectExtent l="0" t="0" r="1905" b="698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2145" cy="3212465"/>
                    </a:xfrm>
                    <a:prstGeom prst="rect">
                      <a:avLst/>
                    </a:prstGeom>
                  </pic:spPr>
                </pic:pic>
              </a:graphicData>
            </a:graphic>
          </wp:inline>
        </w:drawing>
      </w:r>
    </w:p>
    <w:p w:rsidR="008B0854" w:rsidRDefault="008B0854"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C16AB6" w:rsidRDefault="00C16AB6" w:rsidP="00381180">
      <w:pPr>
        <w:pStyle w:val="BodyText"/>
      </w:pPr>
    </w:p>
    <w:p w:rsidR="008B0854" w:rsidRDefault="008B0854" w:rsidP="00381180">
      <w:pPr>
        <w:pStyle w:val="BodyText"/>
      </w:pPr>
      <w:r>
        <w:rPr>
          <w:noProof/>
          <w:lang w:eastAsia="en-AU"/>
        </w:rPr>
        <w:drawing>
          <wp:inline distT="0" distB="0" distL="0" distR="0">
            <wp:extent cx="5732145" cy="2754630"/>
            <wp:effectExtent l="0" t="0" r="1905"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507 MFI-B_Page_2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32145" cy="2754630"/>
                    </a:xfrm>
                    <a:prstGeom prst="rect">
                      <a:avLst/>
                    </a:prstGeom>
                  </pic:spPr>
                </pic:pic>
              </a:graphicData>
            </a:graphic>
          </wp:inline>
        </w:drawing>
      </w:r>
    </w:p>
    <w:p w:rsidR="00105BC1" w:rsidRDefault="00105BC1" w:rsidP="00381180">
      <w:pPr>
        <w:pStyle w:val="BodyText"/>
      </w:pPr>
    </w:p>
    <w:p w:rsidR="00105BC1" w:rsidRDefault="00105BC1" w:rsidP="00381180">
      <w:pPr>
        <w:pStyle w:val="BodyText"/>
      </w:pPr>
    </w:p>
    <w:p w:rsidR="00105BC1" w:rsidRDefault="00105BC1" w:rsidP="00381180">
      <w:pPr>
        <w:pStyle w:val="BodyText"/>
      </w:pPr>
    </w:p>
    <w:p w:rsidR="00105BC1" w:rsidRPr="00381180" w:rsidRDefault="00105BC1" w:rsidP="00381180">
      <w:pPr>
        <w:pStyle w:val="BodyText"/>
      </w:pPr>
    </w:p>
    <w:p w:rsidR="00381180" w:rsidRPr="006A4BAD" w:rsidRDefault="00381180" w:rsidP="003E35FB">
      <w:pPr>
        <w:pStyle w:val="ParaNumbering"/>
        <w:numPr>
          <w:ilvl w:val="0"/>
          <w:numId w:val="0"/>
        </w:numPr>
        <w:rPr>
          <w:highlight w:val="yellow"/>
        </w:rPr>
      </w:pPr>
      <w:r w:rsidRPr="006A4BAD">
        <w:rPr>
          <w:highlight w:val="yellow"/>
        </w:rPr>
        <w:br w:type="page"/>
      </w:r>
    </w:p>
    <w:p w:rsidR="003E35FB" w:rsidRDefault="00381180" w:rsidP="00381180">
      <w:pPr>
        <w:pStyle w:val="GeneralHeading"/>
      </w:pPr>
      <w:r>
        <w:lastRenderedPageBreak/>
        <w:t>ANNEXURE B</w:t>
      </w:r>
    </w:p>
    <w:tbl>
      <w:tblPr>
        <w:tblW w:w="9041" w:type="dxa"/>
        <w:tblLook w:val="04A0" w:firstRow="1" w:lastRow="0" w:firstColumn="1" w:lastColumn="0" w:noHBand="0" w:noVBand="1"/>
      </w:tblPr>
      <w:tblGrid>
        <w:gridCol w:w="265"/>
        <w:gridCol w:w="2704"/>
        <w:gridCol w:w="1384"/>
        <w:gridCol w:w="3304"/>
        <w:gridCol w:w="1384"/>
      </w:tblGrid>
      <w:tr w:rsidR="00381180" w:rsidRPr="00C805A2" w:rsidTr="00381180">
        <w:trPr>
          <w:trHeight w:val="192"/>
        </w:trPr>
        <w:tc>
          <w:tcPr>
            <w:tcW w:w="265" w:type="dxa"/>
            <w:shd w:val="clear" w:color="auto" w:fill="auto"/>
            <w:noWrap/>
            <w:vAlign w:val="bottom"/>
            <w:hideMark/>
          </w:tcPr>
          <w:p w:rsidR="00381180" w:rsidRPr="00C805A2" w:rsidRDefault="00381180" w:rsidP="00381180">
            <w:pPr>
              <w:spacing w:line="240" w:lineRule="auto"/>
              <w:rPr>
                <w:rFonts w:eastAsia="Times New Roman"/>
                <w:szCs w:val="24"/>
                <w:lang w:eastAsia="en-GB"/>
              </w:rPr>
            </w:pPr>
          </w:p>
        </w:tc>
        <w:tc>
          <w:tcPr>
            <w:tcW w:w="8776" w:type="dxa"/>
            <w:gridSpan w:val="4"/>
            <w:shd w:val="clear" w:color="auto" w:fill="auto"/>
            <w:noWrap/>
            <w:vAlign w:val="bottom"/>
            <w:hideMark/>
          </w:tcPr>
          <w:p w:rsidR="00381180" w:rsidRPr="00C805A2" w:rsidRDefault="002B443D" w:rsidP="002B443D">
            <w:pPr>
              <w:spacing w:line="240" w:lineRule="auto"/>
              <w:jc w:val="center"/>
              <w:rPr>
                <w:rFonts w:eastAsia="Times New Roman"/>
                <w:b/>
                <w:bCs/>
                <w:color w:val="000000"/>
                <w:lang w:eastAsia="en-GB"/>
              </w:rPr>
            </w:pPr>
            <w:r>
              <w:rPr>
                <w:rFonts w:eastAsia="Times New Roman"/>
                <w:b/>
                <w:bCs/>
                <w:color w:val="000000"/>
                <w:lang w:eastAsia="en-GB"/>
              </w:rPr>
              <w:t xml:space="preserve">COST ASSUMPTIONS </w:t>
            </w:r>
            <w:r w:rsidR="00381180" w:rsidRPr="00C805A2">
              <w:rPr>
                <w:rFonts w:eastAsia="Times New Roman"/>
                <w:b/>
                <w:bCs/>
                <w:color w:val="000000"/>
                <w:lang w:eastAsia="en-GB"/>
              </w:rPr>
              <w:t>WITH ADJUSTMENTS</w:t>
            </w:r>
          </w:p>
        </w:tc>
      </w:tr>
      <w:tr w:rsidR="00381180" w:rsidRPr="00C805A2" w:rsidTr="00381180">
        <w:trPr>
          <w:trHeight w:val="182"/>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201"/>
        </w:trPr>
        <w:tc>
          <w:tcPr>
            <w:tcW w:w="4353" w:type="dxa"/>
            <w:gridSpan w:val="3"/>
            <w:shd w:val="clear" w:color="auto" w:fill="auto"/>
            <w:noWrap/>
            <w:vAlign w:val="bottom"/>
            <w:hideMark/>
          </w:tcPr>
          <w:p w:rsidR="00381180" w:rsidRPr="00C805A2" w:rsidRDefault="00381180" w:rsidP="00381180">
            <w:pPr>
              <w:spacing w:line="240" w:lineRule="auto"/>
              <w:rPr>
                <w:rFonts w:eastAsia="Times New Roman"/>
                <w:b/>
                <w:bCs/>
                <w:color w:val="000000"/>
                <w:szCs w:val="24"/>
                <w:lang w:eastAsia="en-GB"/>
              </w:rPr>
            </w:pPr>
            <w:r w:rsidRPr="00C805A2">
              <w:rPr>
                <w:rFonts w:eastAsia="Times New Roman"/>
                <w:b/>
                <w:bCs/>
                <w:color w:val="000000"/>
                <w:szCs w:val="24"/>
                <w:lang w:eastAsia="en-GB"/>
              </w:rPr>
              <w:t>A. Early Mediation Cost Assumptions</w:t>
            </w:r>
          </w:p>
        </w:tc>
        <w:tc>
          <w:tcPr>
            <w:tcW w:w="3304" w:type="dxa"/>
            <w:shd w:val="clear" w:color="auto" w:fill="auto"/>
            <w:vAlign w:val="bottom"/>
            <w:hideMark/>
          </w:tcPr>
          <w:p w:rsidR="00381180" w:rsidRPr="00C805A2" w:rsidRDefault="00381180" w:rsidP="00381180">
            <w:pPr>
              <w:spacing w:line="240" w:lineRule="auto"/>
              <w:rPr>
                <w:rFonts w:eastAsia="Times New Roman"/>
                <w:b/>
                <w:bCs/>
                <w:color w:val="000000"/>
                <w:szCs w:val="24"/>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92"/>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bottom"/>
            <w:hideMark/>
          </w:tcPr>
          <w:p w:rsidR="00381180" w:rsidRPr="00C805A2" w:rsidRDefault="00381180" w:rsidP="00381180">
            <w:pPr>
              <w:spacing w:line="240" w:lineRule="auto"/>
              <w:rPr>
                <w:rFonts w:eastAsia="Times New Roman"/>
                <w:b/>
                <w:bCs/>
                <w:color w:val="000000"/>
                <w:lang w:eastAsia="en-GB"/>
              </w:rPr>
            </w:pPr>
            <w:r w:rsidRPr="00C805A2">
              <w:rPr>
                <w:rFonts w:eastAsia="Times New Roman"/>
                <w:b/>
                <w:bCs/>
                <w:color w:val="000000"/>
                <w:lang w:eastAsia="en-GB"/>
              </w:rPr>
              <w:t>Perera Costs</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3304" w:type="dxa"/>
            <w:shd w:val="clear" w:color="000000" w:fill="D9D9D9"/>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218"/>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Item</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Phi Finney Sch A</w:t>
            </w:r>
          </w:p>
        </w:tc>
        <w:tc>
          <w:tcPr>
            <w:tcW w:w="3304" w:type="dxa"/>
            <w:shd w:val="clear" w:color="000000" w:fill="D9D9D9"/>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Adjustment or non-adjustment reason</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Corrected Amount</w:t>
            </w:r>
          </w:p>
        </w:tc>
      </w:tr>
      <w:tr w:rsidR="00381180" w:rsidRPr="00C805A2" w:rsidTr="00381180">
        <w:trPr>
          <w:trHeight w:val="180"/>
        </w:trPr>
        <w:tc>
          <w:tcPr>
            <w:tcW w:w="265" w:type="dxa"/>
            <w:shd w:val="clear" w:color="auto" w:fill="auto"/>
            <w:noWrap/>
            <w:vAlign w:val="bottom"/>
            <w:hideMark/>
          </w:tcPr>
          <w:p w:rsidR="00381180" w:rsidRPr="00C805A2" w:rsidRDefault="00381180" w:rsidP="00381180">
            <w:pPr>
              <w:spacing w:line="240" w:lineRule="auto"/>
              <w:rPr>
                <w:rFonts w:eastAsia="Times New Roman"/>
                <w:b/>
                <w:bCs/>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1 – Investigating Claims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$150,309.50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$150,309.50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2A – Statement of Claim</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$114,108.50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$114,108.50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2B – First Directions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$16,786.00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$16,786.00 </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jc w:val="left"/>
              <w:rPr>
                <w:rFonts w:eastAsia="Times New Roman"/>
                <w:color w:val="000000"/>
                <w:sz w:val="20"/>
                <w:lang w:eastAsia="en-GB"/>
              </w:rPr>
            </w:pPr>
            <w:r w:rsidRPr="00C805A2">
              <w:rPr>
                <w:rFonts w:eastAsia="Times New Roman"/>
                <w:color w:val="000000"/>
                <w:sz w:val="20"/>
                <w:lang w:eastAsia="en-GB"/>
              </w:rPr>
              <w:t>2C – Common Fund Order Application / Competing Class Action</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$33,682.00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$33,682.00 </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2D – Application for share register and issue of notice to shareholders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$18,645.00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$18,645.00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3A – Receipt of Particulars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$26,334.00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$26,334.00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3B – Receipt of Defence</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$9,988.00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$9,988.00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3C – Request for Particulars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$19,750.50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$19,750.50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7 – Mediation</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$93,461.50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$93,461.50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Number of hearings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$4,500.00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$4,500.00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Mediator</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$8,000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$8,000.00 </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Miscellaneous expense (10% of disbursement total) (AKB-3 p6)</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0</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Figure in AKB-3 omitted from Perera calculation; add it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$1,250.00</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vAlign w:val="center"/>
            <w:hideMark/>
          </w:tcPr>
          <w:p w:rsidR="00381180" w:rsidRPr="00C805A2" w:rsidRDefault="00381180" w:rsidP="00381180">
            <w:pPr>
              <w:spacing w:line="240" w:lineRule="auto"/>
              <w:ind w:firstLineChars="100" w:firstLine="200"/>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w:t>
            </w:r>
          </w:p>
        </w:tc>
      </w:tr>
      <w:tr w:rsidR="00381180" w:rsidRPr="00C805A2" w:rsidTr="00381180">
        <w:trPr>
          <w:trHeight w:val="218"/>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Total incl. GST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$495,565.00 </w:t>
            </w:r>
          </w:p>
        </w:tc>
        <w:tc>
          <w:tcPr>
            <w:tcW w:w="33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$496,815.00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7392" w:type="dxa"/>
            <w:gridSpan w:val="3"/>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nb: does not include Perera requested 10% contingency</w:t>
            </w: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tcPr>
          <w:p w:rsidR="00381180" w:rsidRPr="00C805A2" w:rsidRDefault="00381180" w:rsidP="00381180">
            <w:pPr>
              <w:spacing w:line="240" w:lineRule="auto"/>
              <w:rPr>
                <w:rFonts w:eastAsia="Times New Roman"/>
                <w:sz w:val="20"/>
                <w:lang w:eastAsia="en-GB"/>
              </w:rPr>
            </w:pPr>
          </w:p>
        </w:tc>
        <w:tc>
          <w:tcPr>
            <w:tcW w:w="7392" w:type="dxa"/>
            <w:gridSpan w:val="3"/>
            <w:shd w:val="clear" w:color="auto" w:fill="auto"/>
            <w:noWrap/>
            <w:vAlign w:val="bottom"/>
          </w:tcPr>
          <w:p w:rsidR="00381180" w:rsidRPr="00C805A2" w:rsidRDefault="00381180" w:rsidP="00381180">
            <w:pPr>
              <w:spacing w:line="240" w:lineRule="auto"/>
              <w:rPr>
                <w:rFonts w:eastAsia="Times New Roman"/>
                <w:color w:val="000000"/>
                <w:sz w:val="20"/>
                <w:lang w:eastAsia="en-GB"/>
              </w:rPr>
            </w:pPr>
          </w:p>
        </w:tc>
        <w:tc>
          <w:tcPr>
            <w:tcW w:w="1384" w:type="dxa"/>
            <w:shd w:val="clear" w:color="auto" w:fill="auto"/>
            <w:noWrap/>
            <w:vAlign w:val="bottom"/>
          </w:tcPr>
          <w:p w:rsidR="00381180" w:rsidRPr="00C805A2" w:rsidRDefault="00381180" w:rsidP="00381180">
            <w:pPr>
              <w:spacing w:line="240" w:lineRule="auto"/>
              <w:rPr>
                <w:rFonts w:eastAsia="Times New Roman"/>
                <w:sz w:val="20"/>
                <w:lang w:eastAsia="en-GB"/>
              </w:rPr>
            </w:pPr>
          </w:p>
        </w:tc>
      </w:tr>
      <w:tr w:rsidR="00A778A0" w:rsidRPr="00C805A2" w:rsidTr="00381180">
        <w:trPr>
          <w:trHeight w:val="163"/>
        </w:trPr>
        <w:tc>
          <w:tcPr>
            <w:tcW w:w="265" w:type="dxa"/>
            <w:shd w:val="clear" w:color="auto" w:fill="auto"/>
            <w:noWrap/>
            <w:vAlign w:val="bottom"/>
          </w:tcPr>
          <w:p w:rsidR="00A778A0" w:rsidRPr="00C805A2" w:rsidRDefault="00A778A0" w:rsidP="00381180">
            <w:pPr>
              <w:spacing w:line="240" w:lineRule="auto"/>
              <w:rPr>
                <w:rFonts w:eastAsia="Times New Roman"/>
                <w:sz w:val="20"/>
                <w:lang w:eastAsia="en-GB"/>
              </w:rPr>
            </w:pPr>
          </w:p>
        </w:tc>
        <w:tc>
          <w:tcPr>
            <w:tcW w:w="7392" w:type="dxa"/>
            <w:gridSpan w:val="3"/>
            <w:shd w:val="clear" w:color="auto" w:fill="auto"/>
            <w:noWrap/>
            <w:vAlign w:val="bottom"/>
          </w:tcPr>
          <w:p w:rsidR="00A778A0" w:rsidRPr="00C805A2" w:rsidRDefault="00A778A0" w:rsidP="00381180">
            <w:pPr>
              <w:spacing w:line="240" w:lineRule="auto"/>
              <w:rPr>
                <w:rFonts w:eastAsia="Times New Roman"/>
                <w:color w:val="000000"/>
                <w:sz w:val="20"/>
                <w:lang w:eastAsia="en-GB"/>
              </w:rPr>
            </w:pPr>
          </w:p>
        </w:tc>
        <w:tc>
          <w:tcPr>
            <w:tcW w:w="1384" w:type="dxa"/>
            <w:shd w:val="clear" w:color="auto" w:fill="auto"/>
            <w:noWrap/>
            <w:vAlign w:val="bottom"/>
          </w:tcPr>
          <w:p w:rsidR="00A778A0" w:rsidRPr="00C805A2" w:rsidRDefault="00A778A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92"/>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bottom"/>
            <w:hideMark/>
          </w:tcPr>
          <w:p w:rsidR="00381180" w:rsidRPr="00C805A2" w:rsidRDefault="00381180" w:rsidP="00381180">
            <w:pPr>
              <w:keepNext/>
              <w:spacing w:line="240" w:lineRule="auto"/>
              <w:rPr>
                <w:rFonts w:eastAsia="Times New Roman"/>
                <w:b/>
                <w:bCs/>
                <w:color w:val="000000"/>
                <w:lang w:eastAsia="en-GB"/>
              </w:rPr>
            </w:pPr>
            <w:r w:rsidRPr="00C805A2">
              <w:rPr>
                <w:rFonts w:eastAsia="Times New Roman"/>
                <w:b/>
                <w:bCs/>
                <w:color w:val="000000"/>
                <w:lang w:eastAsia="en-GB"/>
              </w:rPr>
              <w:t>McTaggart Costs</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3304" w:type="dxa"/>
            <w:shd w:val="clear" w:color="000000" w:fill="D9D9D9"/>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bottom"/>
            <w:hideMark/>
          </w:tcPr>
          <w:p w:rsidR="00381180" w:rsidRPr="00C805A2" w:rsidRDefault="00381180" w:rsidP="00381180">
            <w:pPr>
              <w:keepNext/>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center"/>
            <w:hideMark/>
          </w:tcPr>
          <w:p w:rsidR="00381180" w:rsidRPr="00C805A2" w:rsidRDefault="00381180" w:rsidP="00381180">
            <w:pPr>
              <w:keepNext/>
              <w:spacing w:line="240" w:lineRule="auto"/>
              <w:rPr>
                <w:rFonts w:eastAsia="Times New Roman"/>
                <w:b/>
                <w:bCs/>
                <w:color w:val="000000"/>
                <w:sz w:val="20"/>
                <w:lang w:eastAsia="en-GB"/>
              </w:rPr>
            </w:pPr>
            <w:r w:rsidRPr="00C805A2">
              <w:rPr>
                <w:rFonts w:eastAsia="Times New Roman"/>
                <w:b/>
                <w:bCs/>
                <w:color w:val="000000"/>
                <w:sz w:val="20"/>
                <w:lang w:eastAsia="en-GB"/>
              </w:rPr>
              <w:t>Item</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Phi Finney Sch A</w:t>
            </w:r>
          </w:p>
        </w:tc>
        <w:tc>
          <w:tcPr>
            <w:tcW w:w="3304" w:type="dxa"/>
            <w:shd w:val="clear" w:color="000000" w:fill="D9D9D9"/>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Adjustment or non-adjustment reason</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Corrected Amount</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b/>
                <w:bCs/>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Legal and factual analysis and pleadings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$246,360.00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$246,360.00 </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Case management conference on 13 April 2018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$172,878.00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$172,878.00 </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Mediation expenses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$92,639.00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Use 1/2 of original estimate for two day mediation of $192,278</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$96,139.00</w:t>
            </w:r>
          </w:p>
        </w:tc>
      </w:tr>
      <w:tr w:rsidR="00381180" w:rsidRPr="00C805A2" w:rsidTr="00381180">
        <w:trPr>
          <w:trHeight w:val="489"/>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Disbursements @ 50% of Late Mediation Estimate</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$343,800.00 </w:t>
            </w:r>
          </w:p>
        </w:tc>
        <w:tc>
          <w:tcPr>
            <w:tcW w:w="3304" w:type="dxa"/>
            <w:shd w:val="clear" w:color="auto" w:fill="auto"/>
            <w:vAlign w:val="center"/>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Estimate was $587,600 for 2 days late mediation, which includes $550,000 in experts fees [CJP-36, Pagent 94]</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 xml:space="preserve">Remove </w:t>
            </w:r>
            <w:proofErr w:type="gramStart"/>
            <w:r w:rsidRPr="00C805A2">
              <w:rPr>
                <w:rFonts w:eastAsia="Times New Roman"/>
                <w:color w:val="000000"/>
                <w:sz w:val="20"/>
                <w:lang w:eastAsia="en-GB"/>
              </w:rPr>
              <w:t>experts</w:t>
            </w:r>
            <w:proofErr w:type="gramEnd"/>
            <w:r w:rsidRPr="00C805A2">
              <w:rPr>
                <w:rFonts w:eastAsia="Times New Roman"/>
                <w:color w:val="000000"/>
                <w:sz w:val="20"/>
                <w:lang w:eastAsia="en-GB"/>
              </w:rPr>
              <w:t xml:space="preserve">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$18,800.00</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Management and Reporting Loading @ same average rate in CJP-36 (15.5%)</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$179,888.00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Apply 20% to legal fees above as no basis in evidence for 15.5% assumption.</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 xml:space="preserve">$103,075.40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Plus GST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$103,556.50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Adjusted to reflect above adjustments.</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 xml:space="preserve">$63,725.24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Total incl. GST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$1,139,121.50 </w:t>
            </w:r>
          </w:p>
        </w:tc>
        <w:tc>
          <w:tcPr>
            <w:tcW w:w="33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$700,977.64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9B4693" w:rsidRPr="00C805A2" w:rsidTr="00381180">
        <w:trPr>
          <w:trHeight w:val="163"/>
        </w:trPr>
        <w:tc>
          <w:tcPr>
            <w:tcW w:w="265" w:type="dxa"/>
            <w:shd w:val="clear" w:color="auto" w:fill="auto"/>
            <w:noWrap/>
            <w:vAlign w:val="bottom"/>
          </w:tcPr>
          <w:p w:rsidR="009B4693" w:rsidRPr="00C805A2" w:rsidRDefault="009B4693" w:rsidP="00381180">
            <w:pPr>
              <w:spacing w:line="240" w:lineRule="auto"/>
              <w:jc w:val="right"/>
              <w:rPr>
                <w:rFonts w:eastAsia="Times New Roman"/>
                <w:b/>
                <w:bCs/>
                <w:color w:val="000000"/>
                <w:sz w:val="20"/>
                <w:lang w:eastAsia="en-GB"/>
              </w:rPr>
            </w:pPr>
          </w:p>
        </w:tc>
        <w:tc>
          <w:tcPr>
            <w:tcW w:w="2704" w:type="dxa"/>
            <w:shd w:val="clear" w:color="auto" w:fill="auto"/>
            <w:noWrap/>
            <w:vAlign w:val="bottom"/>
          </w:tcPr>
          <w:p w:rsidR="009B4693" w:rsidRPr="00C805A2" w:rsidRDefault="009B4693" w:rsidP="00381180">
            <w:pPr>
              <w:spacing w:line="240" w:lineRule="auto"/>
              <w:rPr>
                <w:rFonts w:eastAsia="Times New Roman"/>
                <w:sz w:val="20"/>
                <w:lang w:eastAsia="en-GB"/>
              </w:rPr>
            </w:pPr>
          </w:p>
        </w:tc>
        <w:tc>
          <w:tcPr>
            <w:tcW w:w="1384" w:type="dxa"/>
            <w:shd w:val="clear" w:color="auto" w:fill="auto"/>
            <w:noWrap/>
            <w:vAlign w:val="bottom"/>
          </w:tcPr>
          <w:p w:rsidR="009B4693" w:rsidRPr="00C805A2" w:rsidRDefault="009B4693" w:rsidP="00381180">
            <w:pPr>
              <w:spacing w:line="240" w:lineRule="auto"/>
              <w:rPr>
                <w:rFonts w:eastAsia="Times New Roman"/>
                <w:sz w:val="20"/>
                <w:lang w:eastAsia="en-GB"/>
              </w:rPr>
            </w:pPr>
          </w:p>
        </w:tc>
        <w:tc>
          <w:tcPr>
            <w:tcW w:w="3304" w:type="dxa"/>
            <w:shd w:val="clear" w:color="auto" w:fill="auto"/>
            <w:vAlign w:val="bottom"/>
          </w:tcPr>
          <w:p w:rsidR="009B4693" w:rsidRPr="00C805A2" w:rsidRDefault="009B4693" w:rsidP="00381180">
            <w:pPr>
              <w:spacing w:line="240" w:lineRule="auto"/>
              <w:rPr>
                <w:rFonts w:eastAsia="Times New Roman"/>
                <w:sz w:val="20"/>
                <w:lang w:eastAsia="en-GB"/>
              </w:rPr>
            </w:pPr>
          </w:p>
        </w:tc>
        <w:tc>
          <w:tcPr>
            <w:tcW w:w="1384" w:type="dxa"/>
            <w:shd w:val="clear" w:color="auto" w:fill="auto"/>
            <w:noWrap/>
            <w:vAlign w:val="bottom"/>
          </w:tcPr>
          <w:p w:rsidR="009B4693" w:rsidRPr="00C805A2" w:rsidRDefault="009B4693" w:rsidP="00381180">
            <w:pPr>
              <w:spacing w:line="240" w:lineRule="auto"/>
              <w:rPr>
                <w:rFonts w:eastAsia="Times New Roman"/>
                <w:sz w:val="20"/>
                <w:lang w:eastAsia="en-GB"/>
              </w:rPr>
            </w:pPr>
          </w:p>
        </w:tc>
      </w:tr>
      <w:tr w:rsidR="0035722A" w:rsidRPr="00C805A2" w:rsidTr="00381180">
        <w:trPr>
          <w:trHeight w:val="163"/>
        </w:trPr>
        <w:tc>
          <w:tcPr>
            <w:tcW w:w="265" w:type="dxa"/>
            <w:shd w:val="clear" w:color="auto" w:fill="auto"/>
            <w:noWrap/>
            <w:vAlign w:val="bottom"/>
          </w:tcPr>
          <w:p w:rsidR="0035722A" w:rsidRPr="00C805A2" w:rsidRDefault="0035722A" w:rsidP="00381180">
            <w:pPr>
              <w:spacing w:line="240" w:lineRule="auto"/>
              <w:jc w:val="right"/>
              <w:rPr>
                <w:rFonts w:eastAsia="Times New Roman"/>
                <w:b/>
                <w:bCs/>
                <w:color w:val="000000"/>
                <w:sz w:val="20"/>
                <w:lang w:eastAsia="en-GB"/>
              </w:rPr>
            </w:pPr>
          </w:p>
        </w:tc>
        <w:tc>
          <w:tcPr>
            <w:tcW w:w="2704" w:type="dxa"/>
            <w:shd w:val="clear" w:color="auto" w:fill="auto"/>
            <w:noWrap/>
            <w:vAlign w:val="bottom"/>
          </w:tcPr>
          <w:p w:rsidR="0035722A" w:rsidRPr="00C805A2" w:rsidRDefault="0035722A" w:rsidP="00381180">
            <w:pPr>
              <w:spacing w:line="240" w:lineRule="auto"/>
              <w:rPr>
                <w:rFonts w:eastAsia="Times New Roman"/>
                <w:sz w:val="20"/>
                <w:lang w:eastAsia="en-GB"/>
              </w:rPr>
            </w:pPr>
          </w:p>
        </w:tc>
        <w:tc>
          <w:tcPr>
            <w:tcW w:w="1384" w:type="dxa"/>
            <w:shd w:val="clear" w:color="auto" w:fill="auto"/>
            <w:noWrap/>
            <w:vAlign w:val="bottom"/>
          </w:tcPr>
          <w:p w:rsidR="0035722A" w:rsidRPr="00C805A2" w:rsidRDefault="0035722A" w:rsidP="00381180">
            <w:pPr>
              <w:spacing w:line="240" w:lineRule="auto"/>
              <w:rPr>
                <w:rFonts w:eastAsia="Times New Roman"/>
                <w:sz w:val="20"/>
                <w:lang w:eastAsia="en-GB"/>
              </w:rPr>
            </w:pPr>
          </w:p>
        </w:tc>
        <w:tc>
          <w:tcPr>
            <w:tcW w:w="3304" w:type="dxa"/>
            <w:shd w:val="clear" w:color="auto" w:fill="auto"/>
            <w:vAlign w:val="bottom"/>
          </w:tcPr>
          <w:p w:rsidR="0035722A" w:rsidRPr="00C805A2" w:rsidRDefault="0035722A" w:rsidP="00381180">
            <w:pPr>
              <w:spacing w:line="240" w:lineRule="auto"/>
              <w:rPr>
                <w:rFonts w:eastAsia="Times New Roman"/>
                <w:sz w:val="20"/>
                <w:lang w:eastAsia="en-GB"/>
              </w:rPr>
            </w:pPr>
          </w:p>
        </w:tc>
        <w:tc>
          <w:tcPr>
            <w:tcW w:w="1384" w:type="dxa"/>
            <w:shd w:val="clear" w:color="auto" w:fill="auto"/>
            <w:noWrap/>
            <w:vAlign w:val="bottom"/>
          </w:tcPr>
          <w:p w:rsidR="0035722A" w:rsidRPr="00C805A2" w:rsidRDefault="0035722A"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201"/>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bottom"/>
            <w:hideMark/>
          </w:tcPr>
          <w:p w:rsidR="00381180" w:rsidRPr="00C805A2" w:rsidRDefault="00381180" w:rsidP="00381180">
            <w:pPr>
              <w:spacing w:line="240" w:lineRule="auto"/>
              <w:rPr>
                <w:rFonts w:eastAsia="Times New Roman"/>
                <w:b/>
                <w:bCs/>
                <w:color w:val="000000"/>
                <w:lang w:eastAsia="en-GB"/>
              </w:rPr>
            </w:pPr>
            <w:r w:rsidRPr="00C805A2">
              <w:rPr>
                <w:rFonts w:eastAsia="Times New Roman"/>
                <w:b/>
                <w:bCs/>
                <w:color w:val="000000"/>
                <w:lang w:eastAsia="en-GB"/>
              </w:rPr>
              <w:t>Webb Costs</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Cs w:val="24"/>
                <w:lang w:eastAsia="en-GB"/>
              </w:rPr>
            </w:pPr>
            <w:r w:rsidRPr="00C805A2">
              <w:rPr>
                <w:rFonts w:eastAsia="Times New Roman"/>
                <w:color w:val="000000"/>
                <w:szCs w:val="24"/>
                <w:lang w:eastAsia="en-GB"/>
              </w:rPr>
              <w:t> </w:t>
            </w:r>
          </w:p>
        </w:tc>
        <w:tc>
          <w:tcPr>
            <w:tcW w:w="3304" w:type="dxa"/>
            <w:shd w:val="clear" w:color="000000" w:fill="D9D9D9"/>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Item</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Phi Finney Sch A</w:t>
            </w:r>
          </w:p>
        </w:tc>
        <w:tc>
          <w:tcPr>
            <w:tcW w:w="3304" w:type="dxa"/>
            <w:shd w:val="clear" w:color="000000" w:fill="D9D9D9"/>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Adjustment or non-adjustment reason</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Corrected Amount</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b/>
                <w:bCs/>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Investigation / pre-drafting claim</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$125,000.00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$125,000.00 </w:t>
            </w:r>
          </w:p>
        </w:tc>
      </w:tr>
      <w:tr w:rsidR="00381180" w:rsidRPr="00C805A2" w:rsidTr="00381180">
        <w:trPr>
          <w:trHeight w:val="2117"/>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xml:space="preserve">Bookbuild / communicating terms / identifying representative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$0.00</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Mr Phi deposed in the Second Phi Affidavit at [12] that none of Mr Webb, the funder Therium or Phi Finney McDonald intended to conduct such a bookbuild, and had not done so, and then at [13] that a common fund order regime would negate the purpose of such a bookbuild and hence avoid those costs</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If the Court allows Mr Webb’s proceeding to proceed on an open basis and makes a common fund order in that proceeding, these costs will not be incurred, and hence has been excluded from the Further Revised Model</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See further [16] - [17] of Submissions of 1 May 2018</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$0.00</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Preliminary Strategic Case Work</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$185,000.00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$185,000.00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Multiplicity-related application</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$150,000.00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$150,000.00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Draft claim</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$153,000.00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$153,000.00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Filing, First Directions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$90,000.00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$90,000.00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Particulars, Defence &amp; Close Pleadings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$148,000.00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$148,000.00 </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Group Member Communications and Reporting (half of total allowed estimate)</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$20,000.00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$20,000.00 </w:t>
            </w:r>
          </w:p>
        </w:tc>
      </w:tr>
      <w:tr w:rsidR="00381180" w:rsidRPr="00C805A2" w:rsidTr="000319AC">
        <w:trPr>
          <w:trHeight w:val="180"/>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Mediation</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$137,000.00</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$137,000.00 </w:t>
            </w:r>
          </w:p>
        </w:tc>
      </w:tr>
      <w:tr w:rsidR="00381180" w:rsidRPr="00C805A2" w:rsidTr="000319AC">
        <w:trPr>
          <w:trHeight w:val="567"/>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i/>
                <w:iCs/>
                <w:color w:val="000000"/>
                <w:sz w:val="20"/>
                <w:lang w:eastAsia="en-GB"/>
              </w:rPr>
            </w:pPr>
            <w:r w:rsidRPr="00C805A2">
              <w:rPr>
                <w:rFonts w:eastAsia="Times New Roman"/>
                <w:i/>
                <w:iCs/>
                <w:color w:val="000000"/>
                <w:sz w:val="20"/>
                <w:lang w:eastAsia="en-GB"/>
              </w:rPr>
              <w:t>Add costs associated with 6 monthly independent review of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$0.00</w:t>
            </w:r>
          </w:p>
        </w:tc>
        <w:tc>
          <w:tcPr>
            <w:tcW w:w="3304" w:type="dxa"/>
            <w:shd w:val="clear" w:color="auto" w:fill="auto"/>
            <w:vAlign w:val="bottom"/>
            <w:hideMark/>
          </w:tcPr>
          <w:p w:rsidR="00381180"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xml:space="preserve">These costs are built into the Webb Original Costs Estimate total, and does not require separate provision in the Further Revised Model, on the following grounds: </w:t>
            </w:r>
          </w:p>
          <w:p w:rsidR="00381180"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a. the Webb Applicant expects the work of that assessor to be largely costs neutral, in that it is likely to increase the extent to which the Webb Applicant’s approved costs will be less than total legal costs incurred; and in any event</w:t>
            </w:r>
          </w:p>
          <w:p w:rsidR="00381180" w:rsidRDefault="00381180" w:rsidP="00381180">
            <w:pPr>
              <w:spacing w:line="240" w:lineRule="auto"/>
              <w:ind w:left="170"/>
              <w:rPr>
                <w:rFonts w:eastAsia="Times New Roman"/>
                <w:color w:val="000000"/>
                <w:sz w:val="20"/>
                <w:lang w:eastAsia="en-GB"/>
              </w:rPr>
            </w:pPr>
            <w:proofErr w:type="gramStart"/>
            <w:r w:rsidRPr="00C805A2">
              <w:rPr>
                <w:rFonts w:eastAsia="Times New Roman"/>
                <w:color w:val="000000"/>
                <w:sz w:val="20"/>
                <w:lang w:eastAsia="en-GB"/>
              </w:rPr>
              <w:t>b</w:t>
            </w:r>
            <w:proofErr w:type="gramEnd"/>
            <w:r w:rsidRPr="00C805A2">
              <w:rPr>
                <w:rFonts w:eastAsia="Times New Roman"/>
                <w:color w:val="000000"/>
                <w:sz w:val="20"/>
                <w:lang w:eastAsia="en-GB"/>
              </w:rPr>
              <w:t xml:space="preserve">. the assessor’s costs otherwise would be incurred by the other Applicants in the course of applying for approval of any proposed settlement of the proceeding, hence a true ‘like for like’ comparison ought either to exclude those costs or include them for all three </w:t>
            </w:r>
            <w:r w:rsidRPr="00C805A2">
              <w:rPr>
                <w:rFonts w:eastAsia="Times New Roman"/>
                <w:color w:val="000000"/>
                <w:sz w:val="20"/>
                <w:lang w:eastAsia="en-GB"/>
              </w:rPr>
              <w:lastRenderedPageBreak/>
              <w:t>applicants.</w:t>
            </w:r>
          </w:p>
          <w:p w:rsidR="00381180" w:rsidRPr="00C805A2" w:rsidRDefault="00381180" w:rsidP="00893E77">
            <w:pPr>
              <w:spacing w:line="240" w:lineRule="auto"/>
              <w:ind w:left="170"/>
              <w:rPr>
                <w:rFonts w:eastAsia="Times New Roman"/>
                <w:color w:val="000000"/>
                <w:sz w:val="20"/>
                <w:lang w:eastAsia="en-GB"/>
              </w:rPr>
            </w:pPr>
            <w:r w:rsidRPr="00C805A2">
              <w:rPr>
                <w:rFonts w:eastAsia="Times New Roman"/>
                <w:color w:val="000000"/>
                <w:sz w:val="20"/>
                <w:lang w:eastAsia="en-GB"/>
              </w:rPr>
              <w:t>See further [26]-[28] of Submissions of 1 May 2018</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sz w:val="20"/>
                <w:lang w:eastAsia="en-GB"/>
              </w:rPr>
            </w:pPr>
            <w:r w:rsidRPr="00C805A2">
              <w:rPr>
                <w:rFonts w:eastAsia="Times New Roman"/>
                <w:sz w:val="20"/>
                <w:lang w:eastAsia="en-GB"/>
              </w:rPr>
              <w:lastRenderedPageBreak/>
              <w:t xml:space="preserve">$0.00 </w:t>
            </w:r>
          </w:p>
        </w:tc>
      </w:tr>
      <w:tr w:rsidR="00381180" w:rsidRPr="00C805A2" w:rsidTr="000319AC">
        <w:trPr>
          <w:trHeight w:val="489"/>
        </w:trPr>
        <w:tc>
          <w:tcPr>
            <w:tcW w:w="265" w:type="dxa"/>
            <w:shd w:val="clear" w:color="auto" w:fill="auto"/>
            <w:noWrap/>
            <w:vAlign w:val="bottom"/>
            <w:hideMark/>
          </w:tcPr>
          <w:p w:rsidR="00381180" w:rsidRPr="00C805A2" w:rsidRDefault="00381180" w:rsidP="00381180">
            <w:pPr>
              <w:spacing w:line="240" w:lineRule="auto"/>
              <w:jc w:val="right"/>
              <w:rPr>
                <w:rFonts w:eastAsia="Times New Roman"/>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i/>
                <w:iCs/>
                <w:color w:val="000000"/>
                <w:sz w:val="20"/>
                <w:lang w:eastAsia="en-GB"/>
              </w:rPr>
            </w:pPr>
            <w:r w:rsidRPr="00C805A2">
              <w:rPr>
                <w:rFonts w:eastAsia="Times New Roman"/>
                <w:i/>
                <w:iCs/>
                <w:color w:val="000000"/>
                <w:sz w:val="20"/>
                <w:lang w:eastAsia="en-GB"/>
              </w:rPr>
              <w:t>Add costs associated with 5% annual increase in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$0.00</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Webb's cost estimates have regard to provision for annual 5% rate increases</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See further [29]-[31] of Submissions of 1 May 2018</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sz w:val="20"/>
                <w:lang w:eastAsia="en-GB"/>
              </w:rPr>
            </w:pPr>
            <w:r w:rsidRPr="00C805A2">
              <w:rPr>
                <w:rFonts w:eastAsia="Times New Roman"/>
                <w:sz w:val="20"/>
                <w:lang w:eastAsia="en-GB"/>
              </w:rPr>
              <w:t xml:space="preserve">$0.00 </w:t>
            </w:r>
          </w:p>
        </w:tc>
      </w:tr>
      <w:tr w:rsidR="00381180" w:rsidRPr="00C805A2" w:rsidTr="000319AC">
        <w:trPr>
          <w:trHeight w:val="192"/>
        </w:trPr>
        <w:tc>
          <w:tcPr>
            <w:tcW w:w="265" w:type="dxa"/>
            <w:shd w:val="clear" w:color="auto" w:fill="auto"/>
            <w:noWrap/>
            <w:vAlign w:val="bottom"/>
            <w:hideMark/>
          </w:tcPr>
          <w:p w:rsidR="00381180" w:rsidRPr="00C805A2" w:rsidRDefault="00381180" w:rsidP="00381180">
            <w:pPr>
              <w:spacing w:line="240" w:lineRule="auto"/>
              <w:jc w:val="right"/>
              <w:rPr>
                <w:rFonts w:eastAsia="Times New Roman"/>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Total incl. GST</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$1,008,000.00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$1,008,000.00 </w:t>
            </w: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Total Professional Fees</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$520,500.00</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$520,500.00</w:t>
            </w:r>
          </w:p>
        </w:tc>
      </w:tr>
      <w:tr w:rsidR="00381180" w:rsidRPr="00C805A2" w:rsidTr="000319AC">
        <w:trPr>
          <w:trHeight w:val="218"/>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Total Disbursements and Counsel Fees</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sz w:val="20"/>
                <w:lang w:eastAsia="en-GB"/>
              </w:rPr>
            </w:pPr>
            <w:r w:rsidRPr="00C805A2">
              <w:rPr>
                <w:rFonts w:eastAsia="Times New Roman"/>
                <w:sz w:val="20"/>
                <w:lang w:eastAsia="en-GB"/>
              </w:rPr>
              <w:t>$487,500.00</w:t>
            </w: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r w:rsidRPr="00C805A2">
              <w:rPr>
                <w:rFonts w:eastAsia="Times New Roman"/>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sz w:val="20"/>
                <w:lang w:eastAsia="en-GB"/>
              </w:rPr>
            </w:pPr>
            <w:r w:rsidRPr="00C805A2">
              <w:rPr>
                <w:rFonts w:eastAsia="Times New Roman"/>
                <w:sz w:val="20"/>
                <w:lang w:eastAsia="en-GB"/>
              </w:rPr>
              <w:t>$487,500.00</w:t>
            </w:r>
          </w:p>
        </w:tc>
      </w:tr>
      <w:tr w:rsidR="00381180" w:rsidRPr="00C805A2" w:rsidTr="000319AC">
        <w:trPr>
          <w:trHeight w:val="203"/>
        </w:trPr>
        <w:tc>
          <w:tcPr>
            <w:tcW w:w="265" w:type="dxa"/>
            <w:shd w:val="clear" w:color="auto" w:fill="auto"/>
            <w:noWrap/>
            <w:vAlign w:val="bottom"/>
            <w:hideMark/>
          </w:tcPr>
          <w:p w:rsidR="00381180" w:rsidRPr="00C805A2" w:rsidRDefault="00381180" w:rsidP="00381180">
            <w:pPr>
              <w:spacing w:line="240" w:lineRule="auto"/>
              <w:jc w:val="right"/>
              <w:rPr>
                <w:rFonts w:eastAsia="Times New Roman"/>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Upfront Component of Professional Fees</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$390,375.00</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$390,375.00</w:t>
            </w:r>
          </w:p>
        </w:tc>
      </w:tr>
      <w:tr w:rsidR="00381180" w:rsidRPr="00C805A2" w:rsidTr="000319AC">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Deferred Component of Professional Fees</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$130,125.00</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$130,125.00</w:t>
            </w:r>
          </w:p>
        </w:tc>
      </w:tr>
      <w:tr w:rsidR="00381180" w:rsidRPr="00C805A2" w:rsidTr="000319AC">
        <w:trPr>
          <w:trHeight w:val="163"/>
        </w:trPr>
        <w:tc>
          <w:tcPr>
            <w:tcW w:w="265" w:type="dxa"/>
            <w:shd w:val="clear" w:color="auto" w:fill="auto"/>
            <w:noWrap/>
            <w:vAlign w:val="bottom"/>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tcPr>
          <w:p w:rsidR="00381180" w:rsidRPr="00C805A2" w:rsidRDefault="00381180" w:rsidP="00381180">
            <w:pPr>
              <w:spacing w:line="240" w:lineRule="auto"/>
              <w:ind w:firstLineChars="100" w:firstLine="200"/>
              <w:rPr>
                <w:rFonts w:eastAsia="Times New Roman"/>
                <w:sz w:val="20"/>
                <w:lang w:eastAsia="en-GB"/>
              </w:rPr>
            </w:pPr>
          </w:p>
        </w:tc>
        <w:tc>
          <w:tcPr>
            <w:tcW w:w="3304" w:type="dxa"/>
            <w:shd w:val="clear" w:color="auto" w:fill="auto"/>
            <w:vAlign w:val="bottom"/>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tcPr>
          <w:p w:rsidR="00381180" w:rsidRPr="00C805A2" w:rsidRDefault="00381180" w:rsidP="00381180">
            <w:pPr>
              <w:spacing w:line="240" w:lineRule="auto"/>
              <w:rPr>
                <w:rFonts w:eastAsia="Times New Roman"/>
                <w:sz w:val="20"/>
                <w:lang w:eastAsia="en-GB"/>
              </w:rPr>
            </w:pP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0319AC">
        <w:trPr>
          <w:trHeight w:val="201"/>
        </w:trPr>
        <w:tc>
          <w:tcPr>
            <w:tcW w:w="7657" w:type="dxa"/>
            <w:gridSpan w:val="4"/>
            <w:shd w:val="clear" w:color="auto" w:fill="auto"/>
            <w:noWrap/>
            <w:vAlign w:val="bottom"/>
            <w:hideMark/>
          </w:tcPr>
          <w:p w:rsidR="00381180" w:rsidRPr="00C805A2" w:rsidRDefault="00381180" w:rsidP="00381180">
            <w:pPr>
              <w:spacing w:line="240" w:lineRule="auto"/>
              <w:rPr>
                <w:rFonts w:eastAsia="Times New Roman"/>
                <w:sz w:val="20"/>
                <w:lang w:eastAsia="en-GB"/>
              </w:rPr>
            </w:pPr>
            <w:r w:rsidRPr="00C805A2">
              <w:rPr>
                <w:rFonts w:eastAsia="Times New Roman"/>
                <w:b/>
                <w:bCs/>
                <w:color w:val="000000"/>
                <w:szCs w:val="24"/>
                <w:lang w:eastAsia="en-GB"/>
              </w:rPr>
              <w:t>B. Late Mediation Cost Assumptions</w:t>
            </w: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auto" w:fill="auto"/>
            <w:noWrap/>
            <w:vAlign w:val="bottom"/>
            <w:hideMark/>
          </w:tcPr>
          <w:p w:rsidR="00381180" w:rsidRPr="00C805A2" w:rsidRDefault="00381180" w:rsidP="00381180">
            <w:pPr>
              <w:keepNext/>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0319AC">
        <w:trPr>
          <w:trHeight w:val="192"/>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bottom"/>
            <w:hideMark/>
          </w:tcPr>
          <w:p w:rsidR="00381180" w:rsidRPr="00C805A2" w:rsidRDefault="00381180" w:rsidP="00381180">
            <w:pPr>
              <w:keepNext/>
              <w:spacing w:line="240" w:lineRule="auto"/>
              <w:rPr>
                <w:rFonts w:eastAsia="Times New Roman"/>
                <w:b/>
                <w:bCs/>
                <w:color w:val="000000"/>
                <w:lang w:eastAsia="en-GB"/>
              </w:rPr>
            </w:pPr>
            <w:r w:rsidRPr="00C805A2">
              <w:rPr>
                <w:rFonts w:eastAsia="Times New Roman"/>
                <w:b/>
                <w:bCs/>
                <w:color w:val="000000"/>
                <w:lang w:eastAsia="en-GB"/>
              </w:rPr>
              <w:t>Perera Costs</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3304" w:type="dxa"/>
            <w:shd w:val="clear" w:color="000000" w:fill="D9D9D9"/>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bottom"/>
            <w:hideMark/>
          </w:tcPr>
          <w:p w:rsidR="00381180" w:rsidRPr="00C805A2" w:rsidRDefault="00381180" w:rsidP="00381180">
            <w:pPr>
              <w:keepNext/>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center"/>
            <w:hideMark/>
          </w:tcPr>
          <w:p w:rsidR="00381180" w:rsidRPr="00C805A2" w:rsidRDefault="00381180" w:rsidP="00381180">
            <w:pPr>
              <w:keepNext/>
              <w:spacing w:line="240" w:lineRule="auto"/>
              <w:rPr>
                <w:rFonts w:eastAsia="Times New Roman"/>
                <w:b/>
                <w:bCs/>
                <w:color w:val="000000"/>
                <w:sz w:val="20"/>
                <w:lang w:eastAsia="en-GB"/>
              </w:rPr>
            </w:pPr>
            <w:r w:rsidRPr="00C805A2">
              <w:rPr>
                <w:rFonts w:eastAsia="Times New Roman"/>
                <w:b/>
                <w:bCs/>
                <w:color w:val="000000"/>
                <w:sz w:val="20"/>
                <w:lang w:eastAsia="en-GB"/>
              </w:rPr>
              <w:t>Item</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Phi Finney Sch A</w:t>
            </w:r>
          </w:p>
        </w:tc>
        <w:tc>
          <w:tcPr>
            <w:tcW w:w="3304" w:type="dxa"/>
            <w:shd w:val="clear" w:color="000000" w:fill="D9D9D9"/>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Adjustment or non-adjustment reason</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Corrected Amount</w:t>
            </w: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b/>
                <w:bCs/>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Original Cost Estimate incl. GST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$1,957,932.00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$1,957,932.00 </w:t>
            </w:r>
          </w:p>
        </w:tc>
      </w:tr>
      <w:tr w:rsidR="00381180" w:rsidRPr="00C805A2" w:rsidTr="000319AC">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5F - Respondent Expert Evidence (Professional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$87,054.00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0319AC">
        <w:trPr>
          <w:trHeight w:val="325"/>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5G - Applicant Reply Expert Evidence (Professional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$73,414.00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0319AC">
        <w:trPr>
          <w:trHeight w:val="586"/>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xml:space="preserve">Correct error in Disbursements - 2 x Expert Reports in Chief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Confidential Annexure A only includes $250,000 for reports in chief</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AKB-3 has those costs as $400,000</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Add the missing difference of $150,000</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 xml:space="preserve">$150,000.00 </w:t>
            </w:r>
          </w:p>
        </w:tc>
      </w:tr>
      <w:tr w:rsidR="00381180" w:rsidRPr="00C805A2" w:rsidTr="000319AC">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Disbursements - 2 x Expert Reports in Reply</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$150,000.00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$150,000.00 </w:t>
            </w:r>
          </w:p>
        </w:tc>
      </w:tr>
      <w:tr w:rsidR="00381180" w:rsidRPr="00C805A2" w:rsidTr="000319AC">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Miscellaneous expense (10% of disbursement total) (AKB-3 p6)</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Figure in AKB-3 omitted from Perera calculation; add it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 xml:space="preserve">$60,150.00 </w:t>
            </w: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Total incl. GST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$2,268,400.00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$2,318,082.00 </w:t>
            </w: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center"/>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jc w:val="right"/>
              <w:rPr>
                <w:rFonts w:eastAsia="Times New Roman"/>
                <w:sz w:val="20"/>
                <w:lang w:eastAsia="en-GB"/>
              </w:rPr>
            </w:pPr>
          </w:p>
        </w:tc>
        <w:tc>
          <w:tcPr>
            <w:tcW w:w="1384" w:type="dxa"/>
            <w:shd w:val="clear" w:color="auto" w:fill="auto"/>
            <w:noWrap/>
            <w:vAlign w:val="center"/>
            <w:hideMark/>
          </w:tcPr>
          <w:p w:rsidR="00381180" w:rsidRPr="00C805A2" w:rsidRDefault="00381180" w:rsidP="00381180">
            <w:pPr>
              <w:spacing w:line="240" w:lineRule="auto"/>
              <w:rPr>
                <w:rFonts w:eastAsia="Times New Roman"/>
                <w:sz w:val="20"/>
                <w:lang w:eastAsia="en-GB"/>
              </w:rPr>
            </w:pP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sz w:val="20"/>
                <w:lang w:eastAsia="en-GB"/>
              </w:rPr>
            </w:pPr>
          </w:p>
        </w:tc>
        <w:tc>
          <w:tcPr>
            <w:tcW w:w="7392" w:type="dxa"/>
            <w:gridSpan w:val="3"/>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nb: does not include Perera requested 10% contingency</w:t>
            </w: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0319AC">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tcPr>
          <w:p w:rsidR="00381180" w:rsidRPr="00C805A2" w:rsidRDefault="00381180" w:rsidP="00381180">
            <w:pPr>
              <w:spacing w:line="240" w:lineRule="auto"/>
              <w:rPr>
                <w:rFonts w:eastAsia="Times New Roman"/>
                <w:sz w:val="20"/>
                <w:lang w:eastAsia="en-GB"/>
              </w:rPr>
            </w:pPr>
          </w:p>
        </w:tc>
        <w:tc>
          <w:tcPr>
            <w:tcW w:w="2704" w:type="dxa"/>
            <w:shd w:val="clear" w:color="auto" w:fill="auto"/>
            <w:noWrap/>
            <w:vAlign w:val="bottom"/>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tcPr>
          <w:p w:rsidR="00381180" w:rsidRPr="00C805A2" w:rsidRDefault="00381180" w:rsidP="00381180">
            <w:pPr>
              <w:spacing w:line="240" w:lineRule="auto"/>
              <w:rPr>
                <w:rFonts w:eastAsia="Times New Roman"/>
                <w:sz w:val="20"/>
                <w:lang w:eastAsia="en-GB"/>
              </w:rPr>
            </w:pPr>
          </w:p>
        </w:tc>
      </w:tr>
      <w:tr w:rsidR="00381180" w:rsidRPr="00C805A2" w:rsidTr="00381180">
        <w:trPr>
          <w:trHeight w:val="192"/>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bottom"/>
            <w:hideMark/>
          </w:tcPr>
          <w:p w:rsidR="00381180" w:rsidRPr="00C805A2" w:rsidRDefault="00381180" w:rsidP="00381180">
            <w:pPr>
              <w:spacing w:line="240" w:lineRule="auto"/>
              <w:rPr>
                <w:rFonts w:eastAsia="Times New Roman"/>
                <w:b/>
                <w:bCs/>
                <w:color w:val="000000"/>
                <w:lang w:eastAsia="en-GB"/>
              </w:rPr>
            </w:pPr>
            <w:r w:rsidRPr="00C805A2">
              <w:rPr>
                <w:rFonts w:eastAsia="Times New Roman"/>
                <w:b/>
                <w:bCs/>
                <w:color w:val="000000"/>
                <w:lang w:eastAsia="en-GB"/>
              </w:rPr>
              <w:t>McTaggart Costs</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3304" w:type="dxa"/>
            <w:shd w:val="clear" w:color="000000" w:fill="D9D9D9"/>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Item</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Phi Finney Sch A</w:t>
            </w:r>
          </w:p>
        </w:tc>
        <w:tc>
          <w:tcPr>
            <w:tcW w:w="3304" w:type="dxa"/>
            <w:shd w:val="clear" w:color="000000" w:fill="D9D9D9"/>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Adjustment or non-adjustment reason</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Corrected Amount</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b/>
                <w:bCs/>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Legal and factual analysis and pleadings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$246,360.00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$246,360.00 </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Case management conference on 13 April 2018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$172,878.00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$172,878.00 </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Security for costs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$12,535.00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Not included in other estimates</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Will be dealt with on this application</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Discovery</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$246,717.00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$246,717.00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Subpoenas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$58,188.00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$58,188.00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Advice on evidence</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$35,670.00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$35,670.00 </w:t>
            </w:r>
          </w:p>
        </w:tc>
      </w:tr>
      <w:tr w:rsidR="00381180" w:rsidRPr="00C805A2" w:rsidTr="00381180">
        <w:trPr>
          <w:trHeight w:val="536"/>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Lay evidence</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$47,908.00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Annexure B was adjusted to match Perera with no respondent lay evidence</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For present purposes, it must include respondent lay evidence</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Add it.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 xml:space="preserve">$119,770.00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Expert evidence (professional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$484,710.00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$484,710.00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Case management hearings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$65,595.00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$65,595.00 </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Mediation expenses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$92,639.00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Use 1/2 of original estimate for two day mediation of $192,278</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$96,139.00</w:t>
            </w:r>
          </w:p>
        </w:tc>
      </w:tr>
      <w:tr w:rsidR="00381180" w:rsidRPr="00C805A2" w:rsidTr="00381180">
        <w:trPr>
          <w:trHeight w:val="651"/>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Management and Reporting Loading @ same average rate in CJP-36 (15.5%)</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$359,776.00 </w:t>
            </w:r>
          </w:p>
        </w:tc>
        <w:tc>
          <w:tcPr>
            <w:tcW w:w="3304" w:type="dxa"/>
            <w:shd w:val="clear" w:color="auto" w:fill="auto"/>
            <w:vAlign w:val="center"/>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Consistent with the original Late Mediation estimate in CJP-36</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No evidentiary basis for reduced estimate in McTaggart Applicants' evidence.</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$359,776.00 </w:t>
            </w:r>
          </w:p>
        </w:tc>
      </w:tr>
      <w:tr w:rsidR="00381180" w:rsidRPr="00C805A2" w:rsidTr="00381180">
        <w:trPr>
          <w:trHeight w:val="489"/>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Disbursements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$687,600.00 </w:t>
            </w:r>
          </w:p>
        </w:tc>
        <w:tc>
          <w:tcPr>
            <w:tcW w:w="3304" w:type="dxa"/>
            <w:shd w:val="clear" w:color="auto" w:fill="auto"/>
            <w:vAlign w:val="center"/>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Fix Typo: disbursements amount is $587,600 not $687,600: Pagent [94], CJP 36</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Of these, $550,000 are experts</w:t>
            </w:r>
            <w:proofErr w:type="gramStart"/>
            <w:r w:rsidRPr="00C805A2">
              <w:rPr>
                <w:rFonts w:eastAsia="Times New Roman"/>
                <w:color w:val="000000"/>
                <w:sz w:val="20"/>
                <w:lang w:eastAsia="en-GB"/>
              </w:rPr>
              <w:t xml:space="preserve">. </w:t>
            </w:r>
            <w:proofErr w:type="gramEnd"/>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$587,600.00</w:t>
            </w:r>
          </w:p>
        </w:tc>
      </w:tr>
      <w:tr w:rsidR="00381180" w:rsidRPr="00C805A2" w:rsidTr="00381180">
        <w:trPr>
          <w:trHeight w:val="325"/>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Plus GST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$251,057.60 </w:t>
            </w:r>
          </w:p>
        </w:tc>
        <w:tc>
          <w:tcPr>
            <w:tcW w:w="3304" w:type="dxa"/>
            <w:shd w:val="clear" w:color="auto" w:fill="auto"/>
            <w:vAlign w:val="center"/>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Do not apply GST to US expert fees (50% of $550,000)</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Apply GST to remaining amounts.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FF0000"/>
                <w:sz w:val="20"/>
                <w:lang w:eastAsia="en-GB"/>
              </w:rPr>
            </w:pPr>
            <w:r w:rsidRPr="00C805A2">
              <w:rPr>
                <w:rFonts w:eastAsia="Times New Roman"/>
                <w:color w:val="FF0000"/>
                <w:sz w:val="20"/>
                <w:lang w:eastAsia="en-GB"/>
              </w:rPr>
              <w:t xml:space="preserve">$219,840.30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FF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Total incl. GST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$2,761,633.60 </w:t>
            </w:r>
          </w:p>
        </w:tc>
        <w:tc>
          <w:tcPr>
            <w:tcW w:w="3304" w:type="dxa"/>
            <w:shd w:val="clear" w:color="auto" w:fill="auto"/>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$2,693,243.30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201"/>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bottom"/>
            <w:hideMark/>
          </w:tcPr>
          <w:p w:rsidR="00381180" w:rsidRPr="00C805A2" w:rsidRDefault="00381180" w:rsidP="00381180">
            <w:pPr>
              <w:spacing w:line="240" w:lineRule="auto"/>
              <w:rPr>
                <w:rFonts w:eastAsia="Times New Roman"/>
                <w:b/>
                <w:bCs/>
                <w:color w:val="000000"/>
                <w:lang w:eastAsia="en-GB"/>
              </w:rPr>
            </w:pPr>
            <w:r w:rsidRPr="00C805A2">
              <w:rPr>
                <w:rFonts w:eastAsia="Times New Roman"/>
                <w:b/>
                <w:bCs/>
                <w:color w:val="000000"/>
                <w:lang w:eastAsia="en-GB"/>
              </w:rPr>
              <w:t>Webb Costs</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Cs w:val="24"/>
                <w:lang w:eastAsia="en-GB"/>
              </w:rPr>
            </w:pPr>
            <w:r w:rsidRPr="00C805A2">
              <w:rPr>
                <w:rFonts w:eastAsia="Times New Roman"/>
                <w:color w:val="000000"/>
                <w:szCs w:val="24"/>
                <w:lang w:eastAsia="en-GB"/>
              </w:rPr>
              <w:t> </w:t>
            </w:r>
          </w:p>
        </w:tc>
        <w:tc>
          <w:tcPr>
            <w:tcW w:w="3304" w:type="dxa"/>
            <w:shd w:val="clear" w:color="000000" w:fill="D9D9D9"/>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000000" w:fill="D9D9D9"/>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3304" w:type="dxa"/>
            <w:shd w:val="clear" w:color="auto" w:fill="auto"/>
            <w:vAlign w:val="bottom"/>
            <w:hideMark/>
          </w:tcPr>
          <w:p w:rsidR="00381180" w:rsidRPr="00C805A2" w:rsidRDefault="00381180" w:rsidP="00381180">
            <w:pPr>
              <w:spacing w:line="240" w:lineRule="auto"/>
              <w:rPr>
                <w:rFonts w:eastAsia="Times New Roman"/>
                <w:sz w:val="20"/>
                <w:lang w:eastAsia="en-GB"/>
              </w:rPr>
            </w:pPr>
          </w:p>
        </w:tc>
        <w:tc>
          <w:tcPr>
            <w:tcW w:w="1384"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sz w:val="20"/>
                <w:lang w:eastAsia="en-GB"/>
              </w:rPr>
            </w:pPr>
          </w:p>
        </w:tc>
        <w:tc>
          <w:tcPr>
            <w:tcW w:w="270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Item</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Phi Finney Sch A</w:t>
            </w:r>
          </w:p>
        </w:tc>
        <w:tc>
          <w:tcPr>
            <w:tcW w:w="3304" w:type="dxa"/>
            <w:shd w:val="clear" w:color="000000" w:fill="D9D9D9"/>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Adjustment or non-adjustment reason</w:t>
            </w:r>
          </w:p>
        </w:tc>
        <w:tc>
          <w:tcPr>
            <w:tcW w:w="1384" w:type="dxa"/>
            <w:shd w:val="clear" w:color="000000" w:fill="D9D9D9"/>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Corrected Amount</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rPr>
                <w:rFonts w:eastAsia="Times New Roman"/>
                <w:b/>
                <w:bCs/>
                <w:color w:val="000000"/>
                <w:sz w:val="20"/>
                <w:lang w:eastAsia="en-GB"/>
              </w:rPr>
            </w:pPr>
          </w:p>
        </w:tc>
        <w:tc>
          <w:tcPr>
            <w:tcW w:w="2704" w:type="dxa"/>
            <w:shd w:val="clear" w:color="auto" w:fill="auto"/>
            <w:noWrap/>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Original Cost Estimate incl. GST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$2,792,000.00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$2,792,000.00 </w:t>
            </w:r>
          </w:p>
        </w:tc>
      </w:tr>
      <w:tr w:rsidR="00381180" w:rsidRPr="00C805A2" w:rsidTr="00381180">
        <w:trPr>
          <w:trHeight w:val="651"/>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i/>
                <w:iCs/>
                <w:color w:val="000000"/>
                <w:sz w:val="20"/>
                <w:lang w:eastAsia="en-GB"/>
              </w:rPr>
            </w:pPr>
            <w:r w:rsidRPr="00C805A2">
              <w:rPr>
                <w:rFonts w:eastAsia="Times New Roman"/>
                <w:i/>
                <w:iCs/>
                <w:color w:val="000000"/>
                <w:sz w:val="20"/>
                <w:lang w:eastAsia="en-GB"/>
              </w:rPr>
              <w:t>Less Interlocutory Applications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FF0000"/>
                <w:sz w:val="20"/>
                <w:lang w:eastAsia="en-GB"/>
              </w:rPr>
              <w:t>($366,000.00)</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Assume no interlocutory applications - multiplicity application costs already included in Original Cost Estimate</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See further [17] to [23] of Submissions of 1 May 2018</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FF0000"/>
                <w:sz w:val="20"/>
                <w:lang w:eastAsia="en-GB"/>
              </w:rPr>
              <w:t>($366,000.00)</w:t>
            </w:r>
          </w:p>
        </w:tc>
      </w:tr>
      <w:tr w:rsidR="00381180" w:rsidRPr="00C805A2" w:rsidTr="008A6B4F">
        <w:trPr>
          <w:trHeight w:val="1134"/>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i/>
                <w:iCs/>
                <w:color w:val="000000"/>
                <w:sz w:val="20"/>
                <w:lang w:eastAsia="en-GB"/>
              </w:rPr>
            </w:pPr>
            <w:r w:rsidRPr="00C805A2">
              <w:rPr>
                <w:rFonts w:eastAsia="Times New Roman"/>
                <w:i/>
                <w:iCs/>
                <w:color w:val="000000"/>
                <w:sz w:val="20"/>
                <w:lang w:eastAsia="en-GB"/>
              </w:rPr>
              <w:t>Less costs of Bookbuild / communicating terms / identifying representative</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FF0000"/>
                <w:sz w:val="20"/>
                <w:lang w:eastAsia="en-GB"/>
              </w:rPr>
              <w:t>($100,000.00)</w:t>
            </w:r>
          </w:p>
        </w:tc>
        <w:tc>
          <w:tcPr>
            <w:tcW w:w="3304" w:type="dxa"/>
            <w:shd w:val="clear" w:color="auto" w:fill="auto"/>
            <w:vAlign w:val="center"/>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Mr Phi deposed in the Second Phi Affidavit at [12] that none of Mr Webb, the funder Therium or Phi Finney McDonald intended to conduct such a bookbuild, and had not done so, and then at [13] that a common fund order regime would negate the purpose of such a bookbuild and hence avoid those costs</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If the Court allows Mr Webb’s proceeding to proceed on an open basis and makes a common fund order in that proceeding, these costs will not be incurred, and hence has been excluded from the Further Revised Model</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See further [16] - [17] of Submissions of 1 May 2018</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FF0000"/>
                <w:sz w:val="20"/>
                <w:lang w:eastAsia="en-GB"/>
              </w:rPr>
              <w:t>($100,000.00)</w:t>
            </w:r>
          </w:p>
        </w:tc>
      </w:tr>
      <w:tr w:rsidR="00381180" w:rsidRPr="00C805A2" w:rsidTr="00381180">
        <w:trPr>
          <w:trHeight w:val="1302"/>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i/>
                <w:iCs/>
                <w:color w:val="000000"/>
                <w:sz w:val="20"/>
                <w:lang w:eastAsia="en-GB"/>
              </w:rPr>
            </w:pPr>
            <w:r w:rsidRPr="00C805A2">
              <w:rPr>
                <w:rFonts w:eastAsia="Times New Roman"/>
                <w:i/>
                <w:iCs/>
                <w:color w:val="000000"/>
                <w:sz w:val="20"/>
                <w:lang w:eastAsia="en-GB"/>
              </w:rPr>
              <w:t>Add costs for case management hearings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$0.00</w:t>
            </w:r>
          </w:p>
        </w:tc>
        <w:tc>
          <w:tcPr>
            <w:tcW w:w="3304" w:type="dxa"/>
            <w:shd w:val="clear" w:color="auto" w:fill="auto"/>
            <w:vAlign w:val="center"/>
            <w:hideMark/>
          </w:tcPr>
          <w:p w:rsidR="00381180" w:rsidRDefault="00381180" w:rsidP="00262E7C">
            <w:pPr>
              <w:spacing w:line="240" w:lineRule="auto"/>
              <w:ind w:left="170"/>
              <w:rPr>
                <w:rFonts w:eastAsia="Times New Roman"/>
                <w:color w:val="000000"/>
                <w:sz w:val="20"/>
                <w:lang w:eastAsia="en-GB"/>
              </w:rPr>
            </w:pPr>
            <w:r w:rsidRPr="00C805A2">
              <w:rPr>
                <w:rFonts w:eastAsia="Times New Roman"/>
                <w:color w:val="000000"/>
                <w:sz w:val="20"/>
                <w:lang w:eastAsia="en-GB"/>
              </w:rPr>
              <w:t>The Webb Original Cost Estimate is organised by stage, and the specific costs of case management hearings are built into those stages</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For instance, to the extent that issues of discovery are dealt with at a case management hearing, the associated cost is reflected in the total estimate of Discovery-related costs</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See further [23] of Submissions of 1 May 2018</w:t>
            </w:r>
          </w:p>
          <w:p w:rsidR="00853D4F" w:rsidRPr="00C805A2" w:rsidRDefault="00853D4F" w:rsidP="00262E7C">
            <w:pPr>
              <w:spacing w:line="240" w:lineRule="auto"/>
              <w:ind w:left="170"/>
              <w:rPr>
                <w:rFonts w:eastAsia="Times New Roman"/>
                <w:color w:val="000000"/>
                <w:sz w:val="20"/>
                <w:lang w:eastAsia="en-GB"/>
              </w:rPr>
            </w:pP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sz w:val="20"/>
                <w:lang w:eastAsia="en-GB"/>
              </w:rPr>
            </w:pPr>
            <w:r w:rsidRPr="00C805A2">
              <w:rPr>
                <w:rFonts w:eastAsia="Times New Roman"/>
                <w:sz w:val="20"/>
                <w:lang w:eastAsia="en-GB"/>
              </w:rPr>
              <w:t xml:space="preserve">$0.00 </w:t>
            </w:r>
          </w:p>
        </w:tc>
      </w:tr>
      <w:tr w:rsidR="00381180" w:rsidRPr="00C805A2" w:rsidTr="00381180">
        <w:trPr>
          <w:trHeight w:val="2766"/>
        </w:trPr>
        <w:tc>
          <w:tcPr>
            <w:tcW w:w="265" w:type="dxa"/>
            <w:shd w:val="clear" w:color="auto" w:fill="auto"/>
            <w:noWrap/>
            <w:vAlign w:val="bottom"/>
            <w:hideMark/>
          </w:tcPr>
          <w:p w:rsidR="00381180" w:rsidRPr="00C805A2" w:rsidRDefault="00381180" w:rsidP="00381180">
            <w:pPr>
              <w:spacing w:line="240" w:lineRule="auto"/>
              <w:jc w:val="right"/>
              <w:rPr>
                <w:rFonts w:eastAsia="Times New Roman"/>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i/>
                <w:iCs/>
                <w:color w:val="000000"/>
                <w:sz w:val="20"/>
                <w:lang w:eastAsia="en-GB"/>
              </w:rPr>
            </w:pPr>
            <w:r w:rsidRPr="00C805A2">
              <w:rPr>
                <w:rFonts w:eastAsia="Times New Roman"/>
                <w:i/>
                <w:iCs/>
                <w:color w:val="000000"/>
                <w:sz w:val="20"/>
                <w:lang w:eastAsia="en-GB"/>
              </w:rPr>
              <w:t>Add costs associated with 6 monthly independent review of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$0.00</w:t>
            </w:r>
          </w:p>
        </w:tc>
        <w:tc>
          <w:tcPr>
            <w:tcW w:w="3304" w:type="dxa"/>
            <w:shd w:val="clear" w:color="auto" w:fill="auto"/>
            <w:vAlign w:val="bottom"/>
            <w:hideMark/>
          </w:tcPr>
          <w:p w:rsidR="00381180"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xml:space="preserve">These costs are built into the Webb Original Costs Estimate total, and does not require separate provision in the Further Revised Model, on the following grounds: </w:t>
            </w:r>
          </w:p>
          <w:p w:rsidR="00381180"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a. the Webb Applicant expects the work of that assessor to be largely costs neutral, in that it is likely to increase the extent to which the Webb Applicant’s approved costs will be less than total legal costs incurred; and in any event</w:t>
            </w:r>
          </w:p>
          <w:p w:rsidR="00381180" w:rsidRDefault="00381180" w:rsidP="00381180">
            <w:pPr>
              <w:spacing w:line="240" w:lineRule="auto"/>
              <w:ind w:left="170"/>
              <w:rPr>
                <w:rFonts w:eastAsia="Times New Roman"/>
                <w:color w:val="000000"/>
                <w:sz w:val="20"/>
                <w:lang w:eastAsia="en-GB"/>
              </w:rPr>
            </w:pPr>
            <w:proofErr w:type="gramStart"/>
            <w:r w:rsidRPr="00C805A2">
              <w:rPr>
                <w:rFonts w:eastAsia="Times New Roman"/>
                <w:color w:val="000000"/>
                <w:sz w:val="20"/>
                <w:lang w:eastAsia="en-GB"/>
              </w:rPr>
              <w:t>b</w:t>
            </w:r>
            <w:proofErr w:type="gramEnd"/>
            <w:r w:rsidRPr="00C805A2">
              <w:rPr>
                <w:rFonts w:eastAsia="Times New Roman"/>
                <w:color w:val="000000"/>
                <w:sz w:val="20"/>
                <w:lang w:eastAsia="en-GB"/>
              </w:rPr>
              <w:t>. the assessor’s costs otherwise would be incurred by the other Applicants in the course of applying for approval of any proposed settlement of the proceeding, hence a true ‘like for like’ comparison ought either to exclude those costs or include them for all three applicants.</w:t>
            </w:r>
          </w:p>
          <w:p w:rsidR="00381180"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See further [26]-[28] of Submissions of 1 May 2018</w:t>
            </w:r>
          </w:p>
          <w:p w:rsidR="00381180" w:rsidRPr="00C805A2" w:rsidRDefault="00381180" w:rsidP="00381180">
            <w:pPr>
              <w:spacing w:line="240" w:lineRule="auto"/>
              <w:ind w:left="170"/>
              <w:rPr>
                <w:rFonts w:eastAsia="Times New Roman"/>
                <w:color w:val="000000"/>
                <w:sz w:val="20"/>
                <w:lang w:eastAsia="en-GB"/>
              </w:rPr>
            </w:pP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sz w:val="20"/>
                <w:lang w:eastAsia="en-GB"/>
              </w:rPr>
            </w:pPr>
            <w:r w:rsidRPr="00C805A2">
              <w:rPr>
                <w:rFonts w:eastAsia="Times New Roman"/>
                <w:sz w:val="20"/>
                <w:lang w:eastAsia="en-GB"/>
              </w:rPr>
              <w:t xml:space="preserve">$0.00 </w:t>
            </w:r>
          </w:p>
        </w:tc>
      </w:tr>
      <w:tr w:rsidR="00381180" w:rsidRPr="00C805A2" w:rsidTr="00381180">
        <w:trPr>
          <w:trHeight w:val="489"/>
        </w:trPr>
        <w:tc>
          <w:tcPr>
            <w:tcW w:w="265" w:type="dxa"/>
            <w:shd w:val="clear" w:color="auto" w:fill="auto"/>
            <w:noWrap/>
            <w:vAlign w:val="bottom"/>
            <w:hideMark/>
          </w:tcPr>
          <w:p w:rsidR="00381180" w:rsidRPr="00C805A2" w:rsidRDefault="00381180" w:rsidP="00381180">
            <w:pPr>
              <w:spacing w:line="240" w:lineRule="auto"/>
              <w:jc w:val="right"/>
              <w:rPr>
                <w:rFonts w:eastAsia="Times New Roman"/>
                <w:sz w:val="20"/>
                <w:lang w:eastAsia="en-GB"/>
              </w:rPr>
            </w:pPr>
          </w:p>
        </w:tc>
        <w:tc>
          <w:tcPr>
            <w:tcW w:w="2704" w:type="dxa"/>
            <w:shd w:val="clear" w:color="auto" w:fill="auto"/>
            <w:vAlign w:val="center"/>
            <w:hideMark/>
          </w:tcPr>
          <w:p w:rsidR="00381180" w:rsidRPr="00C805A2" w:rsidRDefault="00381180" w:rsidP="00381180">
            <w:pPr>
              <w:spacing w:line="240" w:lineRule="auto"/>
              <w:rPr>
                <w:rFonts w:eastAsia="Times New Roman"/>
                <w:i/>
                <w:iCs/>
                <w:color w:val="000000"/>
                <w:sz w:val="20"/>
                <w:lang w:eastAsia="en-GB"/>
              </w:rPr>
            </w:pPr>
            <w:r w:rsidRPr="00C805A2">
              <w:rPr>
                <w:rFonts w:eastAsia="Times New Roman"/>
                <w:i/>
                <w:iCs/>
                <w:color w:val="000000"/>
                <w:sz w:val="20"/>
                <w:lang w:eastAsia="en-GB"/>
              </w:rPr>
              <w:t>Add costs associated with 5% annual increase in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$0.00</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Webb's cost estimates have regard to provision for annual 5% rate increases</w:t>
            </w:r>
            <w:proofErr w:type="gramStart"/>
            <w:r w:rsidRPr="00C805A2">
              <w:rPr>
                <w:rFonts w:eastAsia="Times New Roman"/>
                <w:color w:val="000000"/>
                <w:sz w:val="20"/>
                <w:lang w:eastAsia="en-GB"/>
              </w:rPr>
              <w:t xml:space="preserve">. </w:t>
            </w:r>
            <w:proofErr w:type="gramEnd"/>
            <w:r w:rsidRPr="00C805A2">
              <w:rPr>
                <w:rFonts w:eastAsia="Times New Roman"/>
                <w:color w:val="000000"/>
                <w:sz w:val="20"/>
                <w:lang w:eastAsia="en-GB"/>
              </w:rPr>
              <w:t>See further [29]-[31] of Submissions of 1 May 2018</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sz w:val="20"/>
                <w:lang w:eastAsia="en-GB"/>
              </w:rPr>
            </w:pPr>
            <w:r w:rsidRPr="00C805A2">
              <w:rPr>
                <w:rFonts w:eastAsia="Times New Roman"/>
                <w:sz w:val="20"/>
                <w:lang w:eastAsia="en-GB"/>
              </w:rPr>
              <w:t xml:space="preserve">$0.00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b/>
                <w:bCs/>
                <w:color w:val="000000"/>
                <w:sz w:val="20"/>
                <w:lang w:eastAsia="en-GB"/>
              </w:rPr>
            </w:pPr>
            <w:r w:rsidRPr="00C805A2">
              <w:rPr>
                <w:rFonts w:eastAsia="Times New Roman"/>
                <w:b/>
                <w:bCs/>
                <w:color w:val="000000"/>
                <w:sz w:val="20"/>
                <w:lang w:eastAsia="en-GB"/>
              </w:rPr>
              <w:t>Revised Total incl. GST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$2,326,000.00 </w:t>
            </w:r>
          </w:p>
        </w:tc>
        <w:tc>
          <w:tcPr>
            <w:tcW w:w="3304" w:type="dxa"/>
            <w:shd w:val="clear" w:color="auto" w:fill="auto"/>
            <w:vAlign w:val="bottom"/>
            <w:hideMark/>
          </w:tcPr>
          <w:p w:rsidR="00381180" w:rsidRPr="00C805A2" w:rsidRDefault="00381180" w:rsidP="00381180">
            <w:pPr>
              <w:spacing w:line="240" w:lineRule="auto"/>
              <w:ind w:left="170"/>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$2,326,000.00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Total Professional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$1,071,000.00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$1,071,000.00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Total Disbursements and Counsel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$1,255,000.00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$1,255,000.00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Upfront Component of Professional Fees</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$833,250.00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$803,250.00 </w:t>
            </w:r>
          </w:p>
        </w:tc>
      </w:tr>
      <w:tr w:rsidR="00381180" w:rsidRPr="00C805A2" w:rsidTr="00381180">
        <w:trPr>
          <w:trHeight w:val="163"/>
        </w:trPr>
        <w:tc>
          <w:tcPr>
            <w:tcW w:w="265" w:type="dxa"/>
            <w:shd w:val="clear" w:color="auto" w:fill="auto"/>
            <w:noWrap/>
            <w:vAlign w:val="bottom"/>
            <w:hideMark/>
          </w:tcPr>
          <w:p w:rsidR="00381180" w:rsidRPr="00C805A2" w:rsidRDefault="00381180" w:rsidP="00381180">
            <w:pPr>
              <w:spacing w:line="240" w:lineRule="auto"/>
              <w:jc w:val="right"/>
              <w:rPr>
                <w:rFonts w:eastAsia="Times New Roman"/>
                <w:color w:val="000000"/>
                <w:sz w:val="20"/>
                <w:lang w:eastAsia="en-GB"/>
              </w:rPr>
            </w:pPr>
          </w:p>
        </w:tc>
        <w:tc>
          <w:tcPr>
            <w:tcW w:w="2704" w:type="dxa"/>
            <w:shd w:val="clear" w:color="auto" w:fill="auto"/>
            <w:noWrap/>
            <w:vAlign w:val="center"/>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Deferred Component</w:t>
            </w:r>
          </w:p>
        </w:tc>
        <w:tc>
          <w:tcPr>
            <w:tcW w:w="1384" w:type="dxa"/>
            <w:shd w:val="clear" w:color="auto" w:fill="auto"/>
            <w:noWrap/>
            <w:vAlign w:val="center"/>
            <w:hideMark/>
          </w:tcPr>
          <w:p w:rsidR="00381180" w:rsidRPr="00C805A2" w:rsidRDefault="00381180" w:rsidP="00381180">
            <w:pPr>
              <w:spacing w:line="240" w:lineRule="auto"/>
              <w:jc w:val="right"/>
              <w:rPr>
                <w:rFonts w:eastAsia="Times New Roman"/>
                <w:color w:val="000000"/>
                <w:sz w:val="20"/>
                <w:lang w:eastAsia="en-GB"/>
              </w:rPr>
            </w:pPr>
            <w:r w:rsidRPr="00C805A2">
              <w:rPr>
                <w:rFonts w:eastAsia="Times New Roman"/>
                <w:color w:val="000000"/>
                <w:sz w:val="20"/>
                <w:lang w:eastAsia="en-GB"/>
              </w:rPr>
              <w:t xml:space="preserve">$277,750.00 </w:t>
            </w:r>
          </w:p>
        </w:tc>
        <w:tc>
          <w:tcPr>
            <w:tcW w:w="3304" w:type="dxa"/>
            <w:shd w:val="clear" w:color="auto" w:fill="auto"/>
            <w:vAlign w:val="bottom"/>
            <w:hideMark/>
          </w:tcPr>
          <w:p w:rsidR="00381180" w:rsidRPr="00C805A2" w:rsidRDefault="00381180" w:rsidP="00381180">
            <w:pPr>
              <w:spacing w:line="240" w:lineRule="auto"/>
              <w:rPr>
                <w:rFonts w:eastAsia="Times New Roman"/>
                <w:color w:val="000000"/>
                <w:sz w:val="20"/>
                <w:lang w:eastAsia="en-GB"/>
              </w:rPr>
            </w:pPr>
            <w:r w:rsidRPr="00C805A2">
              <w:rPr>
                <w:rFonts w:eastAsia="Times New Roman"/>
                <w:color w:val="000000"/>
                <w:sz w:val="20"/>
                <w:lang w:eastAsia="en-GB"/>
              </w:rPr>
              <w:t> </w:t>
            </w:r>
          </w:p>
        </w:tc>
        <w:tc>
          <w:tcPr>
            <w:tcW w:w="1384" w:type="dxa"/>
            <w:shd w:val="clear" w:color="auto" w:fill="auto"/>
            <w:noWrap/>
            <w:vAlign w:val="bottom"/>
            <w:hideMark/>
          </w:tcPr>
          <w:p w:rsidR="00381180" w:rsidRPr="00C805A2" w:rsidRDefault="00381180" w:rsidP="00381180">
            <w:pPr>
              <w:spacing w:line="240" w:lineRule="auto"/>
              <w:jc w:val="right"/>
              <w:rPr>
                <w:rFonts w:eastAsia="Times New Roman"/>
                <w:b/>
                <w:bCs/>
                <w:color w:val="000000"/>
                <w:sz w:val="20"/>
                <w:lang w:eastAsia="en-GB"/>
              </w:rPr>
            </w:pPr>
            <w:r w:rsidRPr="00C805A2">
              <w:rPr>
                <w:rFonts w:eastAsia="Times New Roman"/>
                <w:b/>
                <w:bCs/>
                <w:color w:val="000000"/>
                <w:sz w:val="20"/>
                <w:lang w:eastAsia="en-GB"/>
              </w:rPr>
              <w:t xml:space="preserve">$267,750.00 </w:t>
            </w:r>
          </w:p>
        </w:tc>
      </w:tr>
    </w:tbl>
    <w:p w:rsidR="00381180" w:rsidRDefault="00381180" w:rsidP="00986792">
      <w:pPr>
        <w:pStyle w:val="NoNum"/>
      </w:pPr>
    </w:p>
    <w:sectPr w:rsidR="00381180" w:rsidSect="00165452">
      <w:endnotePr>
        <w:numFmt w:val="decimal"/>
      </w:endnotePr>
      <w:pgSz w:w="11907" w:h="16840" w:code="9"/>
      <w:pgMar w:top="1440" w:right="1440" w:bottom="1440" w:left="1440" w:header="851" w:footer="851" w:gutter="0"/>
      <w:pgNumType w:start="1"/>
      <w:cols w:space="720"/>
      <w:noEndnote/>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537B" w:rsidRDefault="00DF537B">
      <w:pPr>
        <w:spacing w:line="20" w:lineRule="exact"/>
      </w:pPr>
    </w:p>
    <w:p w:rsidR="00DF537B" w:rsidRDefault="00DF537B"/>
    <w:p w:rsidR="00DF537B" w:rsidRDefault="00DF537B"/>
  </w:endnote>
  <w:endnote w:type="continuationSeparator" w:id="0">
    <w:p w:rsidR="00DF537B" w:rsidRDefault="00DF537B">
      <w:r>
        <w:t xml:space="preserve"> </w:t>
      </w:r>
    </w:p>
    <w:p w:rsidR="00DF537B" w:rsidRDefault="00DF537B"/>
    <w:p w:rsidR="00DF537B" w:rsidRDefault="00DF537B"/>
  </w:endnote>
  <w:endnote w:type="continuationNotice" w:id="1">
    <w:p w:rsidR="00DF537B" w:rsidRDefault="00DF537B">
      <w:r>
        <w:t xml:space="preserve"> </w:t>
      </w:r>
    </w:p>
    <w:p w:rsidR="00DF537B" w:rsidRDefault="00DF537B"/>
    <w:p w:rsidR="00DF537B" w:rsidRDefault="00DF53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Batang">
    <w:altName w:val="¹ÙÅÁ"/>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l‚r –¾’©"/>
    <w:panose1 w:val="02020609040205080304"/>
    <w:charset w:val="80"/>
    <w:family w:val="modern"/>
    <w:pitch w:val="fixed"/>
    <w:sig w:usb0="E00002FF" w:usb1="6AC7FDFB" w:usb2="08000012" w:usb3="00000000" w:csb0="0002009F" w:csb1="00000000"/>
  </w:font>
  <w:font w:name="Karla">
    <w:altName w:val="Times New Roman"/>
    <w:charset w:val="00"/>
    <w:family w:val="auto"/>
    <w:pitch w:val="default"/>
  </w:font>
  <w:font w:name="Merriweather">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28CD" w:rsidRDefault="003228C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28CD" w:rsidRDefault="003228C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28CD" w:rsidRDefault="003228CD">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Pr="000818F2" w:rsidRDefault="00DF537B" w:rsidP="000818F2">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Pr="000818F2" w:rsidRDefault="00DF537B" w:rsidP="000818F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537B" w:rsidRDefault="00DF537B"/>
    <w:p w:rsidR="00DF537B" w:rsidRDefault="00DF537B"/>
    <w:p w:rsidR="00DF537B" w:rsidRDefault="00DF537B"/>
  </w:footnote>
  <w:footnote w:type="continuationSeparator" w:id="0">
    <w:p w:rsidR="00DF537B" w:rsidRDefault="00DF537B">
      <w:r>
        <w:continuationSeparator/>
      </w:r>
    </w:p>
    <w:p w:rsidR="00DF537B" w:rsidRDefault="00DF537B"/>
    <w:p w:rsidR="00DF537B" w:rsidRDefault="00DF537B"/>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28CD" w:rsidRDefault="003228CD">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Default="00DF537B"/>
  <w:p w:rsidR="00DF537B" w:rsidRDefault="00DF537B"/>
  <w:p w:rsidR="00DF537B" w:rsidRDefault="00DF537B"/>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Default="00DF537B">
    <w:pPr>
      <w:tabs>
        <w:tab w:val="center" w:pos="4512"/>
      </w:tabs>
      <w:suppressAutoHyphens/>
    </w:pPr>
    <w:r>
      <w:tab/>
      <w:t xml:space="preserve">- </w:t>
    </w:r>
    <w:r>
      <w:fldChar w:fldCharType="begin"/>
    </w:r>
    <w:r>
      <w:instrText>page \* arabic</w:instrText>
    </w:r>
    <w:r>
      <w:fldChar w:fldCharType="separate"/>
    </w:r>
    <w:r w:rsidR="00450774">
      <w:rPr>
        <w:noProof/>
      </w:rPr>
      <w:t>117</w:t>
    </w:r>
    <w:r>
      <w:fldChar w:fldCharType="end"/>
    </w:r>
    <w:r>
      <w:t xml:space="preserve"> -</w:t>
    </w:r>
  </w:p>
  <w:p w:rsidR="00DF537B" w:rsidRDefault="00DF537B"/>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Default="00DF537B" w:rsidP="00707561">
    <w:pPr>
      <w:pStyle w:val="Header"/>
      <w:tabs>
        <w:tab w:val="clear" w:pos="4320"/>
        <w:tab w:val="clear" w:pos="8640"/>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28CD" w:rsidRDefault="003228C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28CD" w:rsidRDefault="003228C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Default="00DF537B">
    <w:pPr>
      <w:tabs>
        <w:tab w:val="center" w:pos="4512"/>
      </w:tabs>
      <w:suppressAutoHyphens/>
    </w:pPr>
    <w:r>
      <w:tab/>
      <w:t xml:space="preserve">- </w:t>
    </w:r>
    <w:r>
      <w:fldChar w:fldCharType="begin"/>
    </w:r>
    <w:r>
      <w:instrText xml:space="preserve"> PAGE   \* MERGEFORMAT </w:instrText>
    </w:r>
    <w:r>
      <w:fldChar w:fldCharType="separate"/>
    </w:r>
    <w:r>
      <w:rPr>
        <w:noProof/>
      </w:rPr>
      <w:t>ii</w:t>
    </w:r>
    <w:r>
      <w:rPr>
        <w:noProof/>
      </w:rPr>
      <w:fldChar w:fldCharType="end"/>
    </w: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Default="00DF537B">
    <w:pPr>
      <w:pStyle w:val="Header"/>
      <w:tabs>
        <w:tab w:val="clear" w:pos="4320"/>
        <w:tab w:val="clear" w:pos="8640"/>
      </w:tabs>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Default="00DF537B">
    <w:pPr>
      <w:tabs>
        <w:tab w:val="center" w:pos="4512"/>
      </w:tabs>
      <w:suppressAutoHyphens/>
    </w:pPr>
    <w:r>
      <w:tab/>
      <w:t xml:space="preserve">- </w:t>
    </w:r>
    <w:r>
      <w:fldChar w:fldCharType="begin"/>
    </w:r>
    <w:r>
      <w:instrText xml:space="preserve"> PAGE   \* MERGEFORMAT </w:instrText>
    </w:r>
    <w:r>
      <w:fldChar w:fldCharType="separate"/>
    </w:r>
    <w:proofErr w:type="gramStart"/>
    <w:r>
      <w:t>iv</w:t>
    </w:r>
    <w:proofErr w:type="gramEnd"/>
    <w:r>
      <w:fldChar w:fldCharType="end"/>
    </w:r>
    <w: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Default="00DF537B" w:rsidP="00EF7955">
    <w:pPr>
      <w:tabs>
        <w:tab w:val="center" w:pos="4512"/>
      </w:tabs>
      <w:suppressAutoHyphens/>
    </w:pPr>
    <w:r>
      <w:tab/>
      <w:t xml:space="preserve">- </w:t>
    </w:r>
    <w:r>
      <w:fldChar w:fldCharType="begin"/>
    </w:r>
    <w:r>
      <w:instrText xml:space="preserve"> PAGE   \* MERGEFORMAT </w:instrText>
    </w:r>
    <w:r>
      <w:fldChar w:fldCharType="separate"/>
    </w:r>
    <w:r w:rsidR="00450774">
      <w:rPr>
        <w:noProof/>
      </w:rPr>
      <w:t>ii</w:t>
    </w:r>
    <w:r>
      <w:fldChar w:fldCharType="end"/>
    </w:r>
    <w: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Default="00DF537B">
    <w:pPr>
      <w:tabs>
        <w:tab w:val="center" w:pos="4512"/>
      </w:tabs>
      <w:suppressAutoHyphens/>
    </w:pPr>
    <w:r>
      <w:tab/>
      <w:t xml:space="preserve">- </w:t>
    </w:r>
    <w:r>
      <w:fldChar w:fldCharType="begin"/>
    </w:r>
    <w:r>
      <w:instrText xml:space="preserve"> PAGE   \* MERGEFORMAT </w:instrText>
    </w:r>
    <w:r>
      <w:fldChar w:fldCharType="separate"/>
    </w:r>
    <w:r w:rsidR="00450774">
      <w:rPr>
        <w:noProof/>
      </w:rPr>
      <w:t>iv</w:t>
    </w:r>
    <w:r>
      <w:fldChar w:fldCharType="end"/>
    </w:r>
    <w: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F537B" w:rsidRDefault="00DF537B" w:rsidP="008F0FF4">
    <w:pPr>
      <w:tabs>
        <w:tab w:val="center" w:pos="4512"/>
      </w:tabs>
      <w:suppressAutoHyphens/>
    </w:pPr>
    <w:r>
      <w:tab/>
      <w:t xml:space="preserve">- </w:t>
    </w:r>
    <w:r>
      <w:fldChar w:fldCharType="begin"/>
    </w:r>
    <w:r>
      <w:instrText xml:space="preserve"> PAGE   \* MERGEFORMAT </w:instrText>
    </w:r>
    <w:r>
      <w:fldChar w:fldCharType="separate"/>
    </w:r>
    <w:r w:rsidR="00450774">
      <w:rPr>
        <w:noProof/>
      </w:rPr>
      <w:t>iii</w:t>
    </w:r>
    <w:r>
      <w:fldChar w:fldCharType="end"/>
    </w:r>
    <w: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nsid w:val="FFFFFF89"/>
    <w:multiLevelType w:val="singleLevel"/>
    <w:tmpl w:val="26DC146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43E79F4"/>
    <w:multiLevelType w:val="hybridMultilevel"/>
    <w:tmpl w:val="1E4E00A4"/>
    <w:lvl w:ilvl="0" w:tplc="B8F2B8A6">
      <w:start w:val="1"/>
      <w:numFmt w:val="lowerRoman"/>
      <w:lvlText w:val="(%1)"/>
      <w:lvlJc w:val="right"/>
      <w:pPr>
        <w:ind w:left="2160" w:hanging="360"/>
      </w:pPr>
      <w:rPr>
        <w:rFonts w:hint="default"/>
      </w:rPr>
    </w:lvl>
    <w:lvl w:ilvl="1" w:tplc="0C090019" w:tentative="1">
      <w:start w:val="1"/>
      <w:numFmt w:val="lowerLetter"/>
      <w:lvlText w:val="%2."/>
      <w:lvlJc w:val="left"/>
      <w:pPr>
        <w:ind w:left="2880" w:hanging="360"/>
      </w:pPr>
    </w:lvl>
    <w:lvl w:ilvl="2" w:tplc="0C09001B" w:tentative="1">
      <w:start w:val="1"/>
      <w:numFmt w:val="lowerRoman"/>
      <w:lvlText w:val="%3."/>
      <w:lvlJc w:val="right"/>
      <w:pPr>
        <w:ind w:left="3600" w:hanging="180"/>
      </w:pPr>
    </w:lvl>
    <w:lvl w:ilvl="3" w:tplc="0C09000F" w:tentative="1">
      <w:start w:val="1"/>
      <w:numFmt w:val="decimal"/>
      <w:lvlText w:val="%4."/>
      <w:lvlJc w:val="left"/>
      <w:pPr>
        <w:ind w:left="4320" w:hanging="360"/>
      </w:pPr>
    </w:lvl>
    <w:lvl w:ilvl="4" w:tplc="0C090019" w:tentative="1">
      <w:start w:val="1"/>
      <w:numFmt w:val="lowerLetter"/>
      <w:lvlText w:val="%5."/>
      <w:lvlJc w:val="left"/>
      <w:pPr>
        <w:ind w:left="5040" w:hanging="360"/>
      </w:pPr>
    </w:lvl>
    <w:lvl w:ilvl="5" w:tplc="0C09001B" w:tentative="1">
      <w:start w:val="1"/>
      <w:numFmt w:val="lowerRoman"/>
      <w:lvlText w:val="%6."/>
      <w:lvlJc w:val="right"/>
      <w:pPr>
        <w:ind w:left="5760" w:hanging="180"/>
      </w:pPr>
    </w:lvl>
    <w:lvl w:ilvl="6" w:tplc="0C09000F" w:tentative="1">
      <w:start w:val="1"/>
      <w:numFmt w:val="decimal"/>
      <w:lvlText w:val="%7."/>
      <w:lvlJc w:val="left"/>
      <w:pPr>
        <w:ind w:left="6480" w:hanging="360"/>
      </w:pPr>
    </w:lvl>
    <w:lvl w:ilvl="7" w:tplc="0C090019" w:tentative="1">
      <w:start w:val="1"/>
      <w:numFmt w:val="lowerLetter"/>
      <w:lvlText w:val="%8."/>
      <w:lvlJc w:val="left"/>
      <w:pPr>
        <w:ind w:left="7200" w:hanging="360"/>
      </w:pPr>
    </w:lvl>
    <w:lvl w:ilvl="8" w:tplc="0C09001B" w:tentative="1">
      <w:start w:val="1"/>
      <w:numFmt w:val="lowerRoman"/>
      <w:lvlText w:val="%9."/>
      <w:lvlJc w:val="right"/>
      <w:pPr>
        <w:ind w:left="7920" w:hanging="180"/>
      </w:pPr>
    </w:lvl>
  </w:abstractNum>
  <w:abstractNum w:abstractNumId="11">
    <w:nsid w:val="0B9B7C7A"/>
    <w:multiLevelType w:val="hybridMultilevel"/>
    <w:tmpl w:val="0D8E828C"/>
    <w:lvl w:ilvl="0" w:tplc="E5462CDA">
      <w:start w:val="1"/>
      <w:numFmt w:val="bullet"/>
      <w:pStyle w:val="Quote2Bullet"/>
      <w:lvlText w:val=""/>
      <w:lvlJc w:val="left"/>
      <w:pPr>
        <w:ind w:left="2160" w:hanging="360"/>
      </w:pPr>
      <w:rPr>
        <w:rFonts w:ascii="Wingdings" w:hAnsi="Wingdings"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2">
    <w:nsid w:val="16131817"/>
    <w:multiLevelType w:val="hybridMultilevel"/>
    <w:tmpl w:val="B65C698A"/>
    <w:lvl w:ilvl="0" w:tplc="79FAD648">
      <w:start w:val="1"/>
      <w:numFmt w:val="decimal"/>
      <w:pStyle w:val="Numbers"/>
      <w:lvlText w:val="%1"/>
      <w:lvlJc w:val="left"/>
      <w:pPr>
        <w:tabs>
          <w:tab w:val="num" w:pos="924"/>
        </w:tabs>
        <w:ind w:left="924" w:hanging="924"/>
      </w:pPr>
      <w:rPr>
        <w:rFonts w:hint="default"/>
      </w:rPr>
    </w:lvl>
    <w:lvl w:ilvl="1" w:tplc="2ABE41D0" w:tentative="1">
      <w:start w:val="1"/>
      <w:numFmt w:val="lowerLetter"/>
      <w:lvlText w:val="%2."/>
      <w:lvlJc w:val="left"/>
      <w:pPr>
        <w:tabs>
          <w:tab w:val="num" w:pos="1440"/>
        </w:tabs>
        <w:ind w:left="1440" w:hanging="360"/>
      </w:pPr>
    </w:lvl>
    <w:lvl w:ilvl="2" w:tplc="3856969C" w:tentative="1">
      <w:start w:val="1"/>
      <w:numFmt w:val="lowerRoman"/>
      <w:lvlText w:val="%3."/>
      <w:lvlJc w:val="right"/>
      <w:pPr>
        <w:tabs>
          <w:tab w:val="num" w:pos="2160"/>
        </w:tabs>
        <w:ind w:left="2160" w:hanging="180"/>
      </w:pPr>
    </w:lvl>
    <w:lvl w:ilvl="3" w:tplc="7C7E8638" w:tentative="1">
      <w:start w:val="1"/>
      <w:numFmt w:val="decimal"/>
      <w:lvlText w:val="%4."/>
      <w:lvlJc w:val="left"/>
      <w:pPr>
        <w:tabs>
          <w:tab w:val="num" w:pos="2880"/>
        </w:tabs>
        <w:ind w:left="2880" w:hanging="360"/>
      </w:pPr>
    </w:lvl>
    <w:lvl w:ilvl="4" w:tplc="7F0A3CE6" w:tentative="1">
      <w:start w:val="1"/>
      <w:numFmt w:val="lowerLetter"/>
      <w:lvlText w:val="%5."/>
      <w:lvlJc w:val="left"/>
      <w:pPr>
        <w:tabs>
          <w:tab w:val="num" w:pos="3600"/>
        </w:tabs>
        <w:ind w:left="3600" w:hanging="360"/>
      </w:pPr>
    </w:lvl>
    <w:lvl w:ilvl="5" w:tplc="9E6C2F0C" w:tentative="1">
      <w:start w:val="1"/>
      <w:numFmt w:val="lowerRoman"/>
      <w:lvlText w:val="%6."/>
      <w:lvlJc w:val="right"/>
      <w:pPr>
        <w:tabs>
          <w:tab w:val="num" w:pos="4320"/>
        </w:tabs>
        <w:ind w:left="4320" w:hanging="180"/>
      </w:pPr>
    </w:lvl>
    <w:lvl w:ilvl="6" w:tplc="5F2A6A20" w:tentative="1">
      <w:start w:val="1"/>
      <w:numFmt w:val="decimal"/>
      <w:lvlText w:val="%7."/>
      <w:lvlJc w:val="left"/>
      <w:pPr>
        <w:tabs>
          <w:tab w:val="num" w:pos="5040"/>
        </w:tabs>
        <w:ind w:left="5040" w:hanging="360"/>
      </w:pPr>
    </w:lvl>
    <w:lvl w:ilvl="7" w:tplc="DC9C0CBC" w:tentative="1">
      <w:start w:val="1"/>
      <w:numFmt w:val="lowerLetter"/>
      <w:lvlText w:val="%8."/>
      <w:lvlJc w:val="left"/>
      <w:pPr>
        <w:tabs>
          <w:tab w:val="num" w:pos="5760"/>
        </w:tabs>
        <w:ind w:left="5760" w:hanging="360"/>
      </w:pPr>
    </w:lvl>
    <w:lvl w:ilvl="8" w:tplc="E3A6E774" w:tentative="1">
      <w:start w:val="1"/>
      <w:numFmt w:val="lowerRoman"/>
      <w:lvlText w:val="%9."/>
      <w:lvlJc w:val="right"/>
      <w:pPr>
        <w:tabs>
          <w:tab w:val="num" w:pos="6480"/>
        </w:tabs>
        <w:ind w:left="6480" w:hanging="180"/>
      </w:pPr>
    </w:lvl>
  </w:abstractNum>
  <w:abstractNum w:abstractNumId="13">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4">
    <w:nsid w:val="17762CB3"/>
    <w:multiLevelType w:val="multilevel"/>
    <w:tmpl w:val="44CCCC86"/>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15">
    <w:nsid w:val="1C1468D3"/>
    <w:multiLevelType w:val="multilevel"/>
    <w:tmpl w:val="0F0EC90E"/>
    <w:styleLink w:val="FCListNo"/>
    <w:lvl w:ilvl="0">
      <w:start w:val="1"/>
      <w:numFmt w:val="decimal"/>
      <w:lvlRestart w:val="0"/>
      <w:pStyle w:val="ListNo1"/>
      <w:lvlText w:val="(%1)"/>
      <w:lvlJc w:val="left"/>
      <w:pPr>
        <w:tabs>
          <w:tab w:val="num" w:pos="720"/>
        </w:tabs>
        <w:ind w:left="720" w:hanging="720"/>
      </w:pPr>
      <w:rPr>
        <w:rFonts w:ascii="Times New Roman" w:hAnsi="Times New Roman" w:hint="default"/>
      </w:rPr>
    </w:lvl>
    <w:lvl w:ilvl="1">
      <w:start w:val="1"/>
      <w:numFmt w:val="lowerLetter"/>
      <w:pStyle w:val="ListNo2"/>
      <w:lvlText w:val="(%2)"/>
      <w:lvlJc w:val="left"/>
      <w:pPr>
        <w:tabs>
          <w:tab w:val="num" w:pos="1440"/>
        </w:tabs>
        <w:ind w:left="1440" w:hanging="720"/>
      </w:pPr>
      <w:rPr>
        <w:rFonts w:hint="default"/>
      </w:rPr>
    </w:lvl>
    <w:lvl w:ilvl="2">
      <w:start w:val="1"/>
      <w:numFmt w:val="lowerRoman"/>
      <w:pStyle w:val="ListNo3"/>
      <w:lvlText w:val="(%3)"/>
      <w:lvlJc w:val="left"/>
      <w:pPr>
        <w:tabs>
          <w:tab w:val="num" w:pos="2160"/>
        </w:tabs>
        <w:ind w:left="2160" w:hanging="720"/>
      </w:pPr>
      <w:rPr>
        <w:rFonts w:hint="default"/>
      </w:rPr>
    </w:lvl>
    <w:lvl w:ilvl="3">
      <w:numFmt w:val="none"/>
      <w:lvlRestart w:val="0"/>
      <w:suff w:val="nothing"/>
      <w:lvlText w:val=""/>
      <w:lvlJc w:val="left"/>
      <w:pPr>
        <w:ind w:left="-32767" w:firstLine="0"/>
      </w:pPr>
      <w:rPr>
        <w:rFonts w:hint="default"/>
      </w:rPr>
    </w:lvl>
    <w:lvl w:ilvl="4">
      <w:start w:val="1"/>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lvlRestart w:val="0"/>
      <w:suff w:val="nothing"/>
      <w:lvlText w:val=""/>
      <w:lvlJc w:val="left"/>
      <w:pPr>
        <w:ind w:left="-32767" w:firstLine="0"/>
      </w:pPr>
      <w:rPr>
        <w:rFonts w:hint="default"/>
      </w:rPr>
    </w:lvl>
  </w:abstractNum>
  <w:abstractNum w:abstractNumId="16">
    <w:nsid w:val="1EF9738D"/>
    <w:multiLevelType w:val="hybridMultilevel"/>
    <w:tmpl w:val="21C4D53A"/>
    <w:lvl w:ilvl="0" w:tplc="1A28D646">
      <w:start w:val="1"/>
      <w:numFmt w:val="decimal"/>
      <w:lvlText w:val="(%1)"/>
      <w:lvlJc w:val="left"/>
      <w:pPr>
        <w:ind w:left="3219" w:hanging="360"/>
      </w:pPr>
      <w:rPr>
        <w:rFonts w:hint="default"/>
      </w:rPr>
    </w:lvl>
    <w:lvl w:ilvl="1" w:tplc="0C090019" w:tentative="1">
      <w:start w:val="1"/>
      <w:numFmt w:val="lowerLetter"/>
      <w:lvlText w:val="%2."/>
      <w:lvlJc w:val="left"/>
      <w:pPr>
        <w:ind w:left="3939" w:hanging="360"/>
      </w:pPr>
    </w:lvl>
    <w:lvl w:ilvl="2" w:tplc="0C09001B" w:tentative="1">
      <w:start w:val="1"/>
      <w:numFmt w:val="lowerRoman"/>
      <w:lvlText w:val="%3."/>
      <w:lvlJc w:val="right"/>
      <w:pPr>
        <w:ind w:left="4659" w:hanging="180"/>
      </w:pPr>
    </w:lvl>
    <w:lvl w:ilvl="3" w:tplc="0C09000F" w:tentative="1">
      <w:start w:val="1"/>
      <w:numFmt w:val="decimal"/>
      <w:lvlText w:val="%4."/>
      <w:lvlJc w:val="left"/>
      <w:pPr>
        <w:ind w:left="5379" w:hanging="360"/>
      </w:pPr>
    </w:lvl>
    <w:lvl w:ilvl="4" w:tplc="0C090019" w:tentative="1">
      <w:start w:val="1"/>
      <w:numFmt w:val="lowerLetter"/>
      <w:lvlText w:val="%5."/>
      <w:lvlJc w:val="left"/>
      <w:pPr>
        <w:ind w:left="6099" w:hanging="360"/>
      </w:pPr>
    </w:lvl>
    <w:lvl w:ilvl="5" w:tplc="0C09001B" w:tentative="1">
      <w:start w:val="1"/>
      <w:numFmt w:val="lowerRoman"/>
      <w:lvlText w:val="%6."/>
      <w:lvlJc w:val="right"/>
      <w:pPr>
        <w:ind w:left="6819" w:hanging="180"/>
      </w:pPr>
    </w:lvl>
    <w:lvl w:ilvl="6" w:tplc="0C09000F" w:tentative="1">
      <w:start w:val="1"/>
      <w:numFmt w:val="decimal"/>
      <w:lvlText w:val="%7."/>
      <w:lvlJc w:val="left"/>
      <w:pPr>
        <w:ind w:left="7539" w:hanging="360"/>
      </w:pPr>
    </w:lvl>
    <w:lvl w:ilvl="7" w:tplc="0C090019" w:tentative="1">
      <w:start w:val="1"/>
      <w:numFmt w:val="lowerLetter"/>
      <w:lvlText w:val="%8."/>
      <w:lvlJc w:val="left"/>
      <w:pPr>
        <w:ind w:left="8259" w:hanging="360"/>
      </w:pPr>
    </w:lvl>
    <w:lvl w:ilvl="8" w:tplc="0C09001B" w:tentative="1">
      <w:start w:val="1"/>
      <w:numFmt w:val="lowerRoman"/>
      <w:lvlText w:val="%9."/>
      <w:lvlJc w:val="right"/>
      <w:pPr>
        <w:ind w:left="8979" w:hanging="180"/>
      </w:pPr>
    </w:lvl>
  </w:abstractNum>
  <w:abstractNum w:abstractNumId="17">
    <w:nsid w:val="27E40CA6"/>
    <w:multiLevelType w:val="hybridMultilevel"/>
    <w:tmpl w:val="AC248956"/>
    <w:lvl w:ilvl="0" w:tplc="2BC8ED24">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8">
    <w:nsid w:val="29AE3DD1"/>
    <w:multiLevelType w:val="singleLevel"/>
    <w:tmpl w:val="5C92B9B0"/>
    <w:lvl w:ilvl="0">
      <w:start w:val="1"/>
      <w:numFmt w:val="decimal"/>
      <w:lvlRestart w:val="0"/>
      <w:pStyle w:val="ParaNumbering"/>
      <w:lvlText w:val="%1"/>
      <w:lvlJc w:val="left"/>
      <w:pPr>
        <w:tabs>
          <w:tab w:val="num" w:pos="720"/>
        </w:tabs>
        <w:ind w:left="0" w:hanging="720"/>
      </w:pPr>
      <w:rPr>
        <w:rFonts w:hint="default"/>
        <w:sz w:val="20"/>
      </w:rPr>
    </w:lvl>
  </w:abstractNum>
  <w:abstractNum w:abstractNumId="19">
    <w:nsid w:val="2AD4345C"/>
    <w:multiLevelType w:val="multilevel"/>
    <w:tmpl w:val="15C806DA"/>
    <w:styleLink w:val="FCOrders"/>
    <w:lvl w:ilvl="0">
      <w:start w:val="1"/>
      <w:numFmt w:val="decimal"/>
      <w:pStyle w:val="Order1"/>
      <w:lvlText w:val="%1."/>
      <w:lvlJc w:val="left"/>
      <w:pPr>
        <w:ind w:left="720" w:hanging="720"/>
      </w:pPr>
      <w:rPr>
        <w:rFonts w:ascii="Times New Roman" w:hAnsi="Times New Roman" w:hint="default"/>
        <w:sz w:val="24"/>
      </w:rPr>
    </w:lvl>
    <w:lvl w:ilvl="1">
      <w:start w:val="1"/>
      <w:numFmt w:val="lowerLetter"/>
      <w:pStyle w:val="Order2"/>
      <w:lvlText w:val="(%2)"/>
      <w:lvlJc w:val="left"/>
      <w:pPr>
        <w:ind w:left="1440" w:hanging="720"/>
      </w:pPr>
      <w:rPr>
        <w:rFonts w:hint="default"/>
      </w:rPr>
    </w:lvl>
    <w:lvl w:ilvl="2">
      <w:start w:val="1"/>
      <w:numFmt w:val="lowerRoman"/>
      <w:pStyle w:val="Order3"/>
      <w:lvlText w:val="(%3)"/>
      <w:lvlJc w:val="left"/>
      <w:pPr>
        <w:tabs>
          <w:tab w:val="num" w:pos="1440"/>
        </w:tabs>
        <w:ind w:left="2160" w:hanging="720"/>
      </w:pPr>
      <w:rPr>
        <w:rFonts w:hint="default"/>
      </w:rPr>
    </w:lvl>
    <w:lvl w:ilvl="3">
      <w:numFmt w:val="none"/>
      <w:lvlRestart w:val="0"/>
      <w:suff w:val="nothing"/>
      <w:lvlText w:val=""/>
      <w:lvlJc w:val="left"/>
      <w:pPr>
        <w:ind w:left="-32767" w:firstLine="0"/>
      </w:pPr>
      <w:rPr>
        <w:rFonts w:hint="default"/>
      </w:rPr>
    </w:lvl>
    <w:lvl w:ilvl="4">
      <w:numFmt w:val="none"/>
      <w:lvlRestart w:val="0"/>
      <w:suff w:val="nothing"/>
      <w:lvlText w:val=""/>
      <w:lvlJc w:val="left"/>
      <w:pPr>
        <w:ind w:left="-32767" w:firstLine="0"/>
      </w:pPr>
      <w:rPr>
        <w:rFonts w:hint="default"/>
      </w:rPr>
    </w:lvl>
    <w:lvl w:ilvl="5">
      <w:start w:val="1"/>
      <w:numFmt w:val="none"/>
      <w:lvlRestart w:val="0"/>
      <w:suff w:val="nothing"/>
      <w:lvlText w:val=""/>
      <w:lvlJc w:val="left"/>
      <w:pPr>
        <w:ind w:left="-32767" w:firstLine="0"/>
      </w:pPr>
      <w:rPr>
        <w:rFonts w:hint="default"/>
      </w:rPr>
    </w:lvl>
    <w:lvl w:ilvl="6">
      <w:start w:val="1"/>
      <w:numFmt w:val="none"/>
      <w:lvlRestart w:val="0"/>
      <w:suff w:val="nothing"/>
      <w:lvlText w:val=""/>
      <w:lvlJc w:val="left"/>
      <w:pPr>
        <w:ind w:left="-32767" w:firstLine="0"/>
      </w:pPr>
      <w:rPr>
        <w:rFonts w:hint="default"/>
      </w:rPr>
    </w:lvl>
    <w:lvl w:ilvl="7">
      <w:start w:val="1"/>
      <w:numFmt w:val="none"/>
      <w:lvlRestart w:val="0"/>
      <w:suff w:val="nothing"/>
      <w:lvlText w:val=""/>
      <w:lvlJc w:val="left"/>
      <w:pPr>
        <w:ind w:left="-32767" w:firstLine="0"/>
      </w:pPr>
      <w:rPr>
        <w:rFonts w:hint="default"/>
      </w:rPr>
    </w:lvl>
    <w:lvl w:ilvl="8">
      <w:start w:val="1"/>
      <w:numFmt w:val="none"/>
      <w:suff w:val="nothing"/>
      <w:lvlText w:val=""/>
      <w:lvlJc w:val="left"/>
      <w:pPr>
        <w:ind w:left="-32767" w:firstLine="0"/>
      </w:pPr>
      <w:rPr>
        <w:rFonts w:hint="default"/>
      </w:rPr>
    </w:lvl>
  </w:abstractNum>
  <w:abstractNum w:abstractNumId="20">
    <w:nsid w:val="33561E2E"/>
    <w:multiLevelType w:val="hybridMultilevel"/>
    <w:tmpl w:val="E0D27D0E"/>
    <w:lvl w:ilvl="0" w:tplc="1EAAB8BA">
      <w:start w:val="1"/>
      <w:numFmt w:val="bullet"/>
      <w:pStyle w:val="Quote3Bullet"/>
      <w:lvlText w:val=""/>
      <w:lvlJc w:val="left"/>
      <w:pPr>
        <w:ind w:left="2880" w:hanging="360"/>
      </w:pPr>
      <w:rPr>
        <w:rFonts w:ascii="Wingdings" w:hAnsi="Wingdings" w:hint="default"/>
      </w:rPr>
    </w:lvl>
    <w:lvl w:ilvl="1" w:tplc="0C090003" w:tentative="1">
      <w:start w:val="1"/>
      <w:numFmt w:val="bullet"/>
      <w:lvlText w:val="o"/>
      <w:lvlJc w:val="left"/>
      <w:pPr>
        <w:ind w:left="3600" w:hanging="360"/>
      </w:pPr>
      <w:rPr>
        <w:rFonts w:ascii="Courier New" w:hAnsi="Courier New" w:cs="Courier New" w:hint="default"/>
      </w:rPr>
    </w:lvl>
    <w:lvl w:ilvl="2" w:tplc="0C090005" w:tentative="1">
      <w:start w:val="1"/>
      <w:numFmt w:val="bullet"/>
      <w:lvlText w:val=""/>
      <w:lvlJc w:val="left"/>
      <w:pPr>
        <w:ind w:left="4320" w:hanging="360"/>
      </w:pPr>
      <w:rPr>
        <w:rFonts w:ascii="Wingdings" w:hAnsi="Wingdings" w:hint="default"/>
      </w:rPr>
    </w:lvl>
    <w:lvl w:ilvl="3" w:tplc="0C090001" w:tentative="1">
      <w:start w:val="1"/>
      <w:numFmt w:val="bullet"/>
      <w:lvlText w:val=""/>
      <w:lvlJc w:val="left"/>
      <w:pPr>
        <w:ind w:left="5040" w:hanging="360"/>
      </w:pPr>
      <w:rPr>
        <w:rFonts w:ascii="Symbol" w:hAnsi="Symbol" w:hint="default"/>
      </w:rPr>
    </w:lvl>
    <w:lvl w:ilvl="4" w:tplc="0C090003" w:tentative="1">
      <w:start w:val="1"/>
      <w:numFmt w:val="bullet"/>
      <w:lvlText w:val="o"/>
      <w:lvlJc w:val="left"/>
      <w:pPr>
        <w:ind w:left="5760" w:hanging="360"/>
      </w:pPr>
      <w:rPr>
        <w:rFonts w:ascii="Courier New" w:hAnsi="Courier New" w:cs="Courier New" w:hint="default"/>
      </w:rPr>
    </w:lvl>
    <w:lvl w:ilvl="5" w:tplc="0C090005" w:tentative="1">
      <w:start w:val="1"/>
      <w:numFmt w:val="bullet"/>
      <w:lvlText w:val=""/>
      <w:lvlJc w:val="left"/>
      <w:pPr>
        <w:ind w:left="6480" w:hanging="360"/>
      </w:pPr>
      <w:rPr>
        <w:rFonts w:ascii="Wingdings" w:hAnsi="Wingdings" w:hint="default"/>
      </w:rPr>
    </w:lvl>
    <w:lvl w:ilvl="6" w:tplc="0C090001" w:tentative="1">
      <w:start w:val="1"/>
      <w:numFmt w:val="bullet"/>
      <w:lvlText w:val=""/>
      <w:lvlJc w:val="left"/>
      <w:pPr>
        <w:ind w:left="7200" w:hanging="360"/>
      </w:pPr>
      <w:rPr>
        <w:rFonts w:ascii="Symbol" w:hAnsi="Symbol" w:hint="default"/>
      </w:rPr>
    </w:lvl>
    <w:lvl w:ilvl="7" w:tplc="0C090003" w:tentative="1">
      <w:start w:val="1"/>
      <w:numFmt w:val="bullet"/>
      <w:lvlText w:val="o"/>
      <w:lvlJc w:val="left"/>
      <w:pPr>
        <w:ind w:left="7920" w:hanging="360"/>
      </w:pPr>
      <w:rPr>
        <w:rFonts w:ascii="Courier New" w:hAnsi="Courier New" w:cs="Courier New" w:hint="default"/>
      </w:rPr>
    </w:lvl>
    <w:lvl w:ilvl="8" w:tplc="0C090005" w:tentative="1">
      <w:start w:val="1"/>
      <w:numFmt w:val="bullet"/>
      <w:lvlText w:val=""/>
      <w:lvlJc w:val="left"/>
      <w:pPr>
        <w:ind w:left="8640" w:hanging="360"/>
      </w:pPr>
      <w:rPr>
        <w:rFonts w:ascii="Wingdings" w:hAnsi="Wingdings" w:hint="default"/>
      </w:rPr>
    </w:lvl>
  </w:abstractNum>
  <w:abstractNum w:abstractNumId="21">
    <w:nsid w:val="33630A1B"/>
    <w:multiLevelType w:val="multilevel"/>
    <w:tmpl w:val="D3AE416C"/>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2">
    <w:nsid w:val="47F720E9"/>
    <w:multiLevelType w:val="multilevel"/>
    <w:tmpl w:val="44CCCC86"/>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3">
    <w:nsid w:val="494817A7"/>
    <w:multiLevelType w:val="multilevel"/>
    <w:tmpl w:val="0F0EC90E"/>
    <w:numStyleLink w:val="FCListNo"/>
  </w:abstractNum>
  <w:abstractNum w:abstractNumId="24">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5">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6">
    <w:nsid w:val="561473B2"/>
    <w:multiLevelType w:val="multilevel"/>
    <w:tmpl w:val="CBA031BE"/>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7">
    <w:nsid w:val="5FDA78CC"/>
    <w:multiLevelType w:val="singleLevel"/>
    <w:tmpl w:val="0C09000F"/>
    <w:lvl w:ilvl="0">
      <w:start w:val="1"/>
      <w:numFmt w:val="decimal"/>
      <w:lvlText w:val="%1."/>
      <w:lvlJc w:val="left"/>
      <w:pPr>
        <w:tabs>
          <w:tab w:val="num" w:pos="720"/>
        </w:tabs>
        <w:ind w:left="720" w:hanging="720"/>
      </w:pPr>
      <w:rPr>
        <w:rFonts w:hint="default"/>
      </w:rPr>
    </w:lvl>
  </w:abstractNum>
  <w:abstractNum w:abstractNumId="28">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29">
    <w:nsid w:val="6F9B6398"/>
    <w:multiLevelType w:val="hybridMultilevel"/>
    <w:tmpl w:val="0E4CBD92"/>
    <w:lvl w:ilvl="0" w:tplc="907C4790">
      <w:start w:val="1"/>
      <w:numFmt w:val="bullet"/>
      <w:pStyle w:val="Quote1Bullet"/>
      <w:lvlText w:val=""/>
      <w:lvlJc w:val="left"/>
      <w:pPr>
        <w:ind w:left="1457" w:hanging="360"/>
      </w:pPr>
      <w:rPr>
        <w:rFonts w:ascii="Wingdings" w:hAnsi="Wingdings" w:hint="default"/>
      </w:rPr>
    </w:lvl>
    <w:lvl w:ilvl="1" w:tplc="0C090003" w:tentative="1">
      <w:start w:val="1"/>
      <w:numFmt w:val="bullet"/>
      <w:lvlText w:val="o"/>
      <w:lvlJc w:val="left"/>
      <w:pPr>
        <w:ind w:left="2177" w:hanging="360"/>
      </w:pPr>
      <w:rPr>
        <w:rFonts w:ascii="Courier New" w:hAnsi="Courier New" w:cs="Courier New" w:hint="default"/>
      </w:rPr>
    </w:lvl>
    <w:lvl w:ilvl="2" w:tplc="0C090005" w:tentative="1">
      <w:start w:val="1"/>
      <w:numFmt w:val="bullet"/>
      <w:lvlText w:val=""/>
      <w:lvlJc w:val="left"/>
      <w:pPr>
        <w:ind w:left="2897" w:hanging="360"/>
      </w:pPr>
      <w:rPr>
        <w:rFonts w:ascii="Wingdings" w:hAnsi="Wingdings" w:hint="default"/>
      </w:rPr>
    </w:lvl>
    <w:lvl w:ilvl="3" w:tplc="0C090001" w:tentative="1">
      <w:start w:val="1"/>
      <w:numFmt w:val="bullet"/>
      <w:lvlText w:val=""/>
      <w:lvlJc w:val="left"/>
      <w:pPr>
        <w:ind w:left="3617" w:hanging="360"/>
      </w:pPr>
      <w:rPr>
        <w:rFonts w:ascii="Symbol" w:hAnsi="Symbol" w:hint="default"/>
      </w:rPr>
    </w:lvl>
    <w:lvl w:ilvl="4" w:tplc="0C090003" w:tentative="1">
      <w:start w:val="1"/>
      <w:numFmt w:val="bullet"/>
      <w:lvlText w:val="o"/>
      <w:lvlJc w:val="left"/>
      <w:pPr>
        <w:ind w:left="4337" w:hanging="360"/>
      </w:pPr>
      <w:rPr>
        <w:rFonts w:ascii="Courier New" w:hAnsi="Courier New" w:cs="Courier New" w:hint="default"/>
      </w:rPr>
    </w:lvl>
    <w:lvl w:ilvl="5" w:tplc="0C090005" w:tentative="1">
      <w:start w:val="1"/>
      <w:numFmt w:val="bullet"/>
      <w:lvlText w:val=""/>
      <w:lvlJc w:val="left"/>
      <w:pPr>
        <w:ind w:left="5057" w:hanging="360"/>
      </w:pPr>
      <w:rPr>
        <w:rFonts w:ascii="Wingdings" w:hAnsi="Wingdings" w:hint="default"/>
      </w:rPr>
    </w:lvl>
    <w:lvl w:ilvl="6" w:tplc="0C090001" w:tentative="1">
      <w:start w:val="1"/>
      <w:numFmt w:val="bullet"/>
      <w:lvlText w:val=""/>
      <w:lvlJc w:val="left"/>
      <w:pPr>
        <w:ind w:left="5777" w:hanging="360"/>
      </w:pPr>
      <w:rPr>
        <w:rFonts w:ascii="Symbol" w:hAnsi="Symbol" w:hint="default"/>
      </w:rPr>
    </w:lvl>
    <w:lvl w:ilvl="7" w:tplc="0C090003" w:tentative="1">
      <w:start w:val="1"/>
      <w:numFmt w:val="bullet"/>
      <w:lvlText w:val="o"/>
      <w:lvlJc w:val="left"/>
      <w:pPr>
        <w:ind w:left="6497" w:hanging="360"/>
      </w:pPr>
      <w:rPr>
        <w:rFonts w:ascii="Courier New" w:hAnsi="Courier New" w:cs="Courier New" w:hint="default"/>
      </w:rPr>
    </w:lvl>
    <w:lvl w:ilvl="8" w:tplc="0C090005" w:tentative="1">
      <w:start w:val="1"/>
      <w:numFmt w:val="bullet"/>
      <w:lvlText w:val=""/>
      <w:lvlJc w:val="left"/>
      <w:pPr>
        <w:ind w:left="7217" w:hanging="360"/>
      </w:pPr>
      <w:rPr>
        <w:rFonts w:ascii="Wingdings" w:hAnsi="Wingdings" w:hint="default"/>
      </w:rPr>
    </w:lvl>
  </w:abstractNum>
  <w:abstractNum w:abstractNumId="30">
    <w:nsid w:val="7842518D"/>
    <w:multiLevelType w:val="multilevel"/>
    <w:tmpl w:val="44CCCC86"/>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31">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abstractNumId w:val="18"/>
  </w:num>
  <w:num w:numId="2">
    <w:abstractNumId w:val="13"/>
  </w:num>
  <w:num w:numId="3">
    <w:abstractNumId w:val="9"/>
  </w:num>
  <w:num w:numId="4">
    <w:abstractNumId w:val="7"/>
  </w:num>
  <w:num w:numId="5">
    <w:abstractNumId w:val="6"/>
  </w:num>
  <w:num w:numId="6">
    <w:abstractNumId w:val="5"/>
  </w:num>
  <w:num w:numId="7">
    <w:abstractNumId w:val="4"/>
  </w:num>
  <w:num w:numId="8">
    <w:abstractNumId w:val="8"/>
  </w:num>
  <w:num w:numId="9">
    <w:abstractNumId w:val="3"/>
  </w:num>
  <w:num w:numId="10">
    <w:abstractNumId w:val="2"/>
  </w:num>
  <w:num w:numId="11">
    <w:abstractNumId w:val="1"/>
  </w:num>
  <w:num w:numId="12">
    <w:abstractNumId w:val="0"/>
  </w:num>
  <w:num w:numId="13">
    <w:abstractNumId w:val="28"/>
  </w:num>
  <w:num w:numId="14">
    <w:abstractNumId w:val="24"/>
  </w:num>
  <w:num w:numId="15">
    <w:abstractNumId w:val="25"/>
  </w:num>
  <w:num w:numId="16">
    <w:abstractNumId w:val="31"/>
  </w:num>
  <w:num w:numId="17">
    <w:abstractNumId w:val="15"/>
  </w:num>
  <w:num w:numId="18">
    <w:abstractNumId w:val="29"/>
  </w:num>
  <w:num w:numId="19">
    <w:abstractNumId w:val="11"/>
  </w:num>
  <w:num w:numId="20">
    <w:abstractNumId w:val="20"/>
  </w:num>
  <w:num w:numId="21">
    <w:abstractNumId w:val="19"/>
  </w:num>
  <w:num w:numId="22">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23">
    <w:abstractNumId w:val="12"/>
  </w:num>
  <w:num w:numId="24">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25">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26">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27">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28">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29">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0">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1">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2">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3">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4">
    <w:abstractNumId w:val="27"/>
  </w:num>
  <w:num w:numId="35">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6">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37">
    <w:abstractNumId w:val="23"/>
  </w:num>
  <w:num w:numId="38">
    <w:abstractNumId w:val="26"/>
  </w:num>
  <w:num w:numId="39">
    <w:abstractNumId w:val="14"/>
  </w:num>
  <w:num w:numId="40">
    <w:abstractNumId w:val="22"/>
  </w:num>
  <w:num w:numId="41">
    <w:abstractNumId w:val="30"/>
  </w:num>
  <w:num w:numId="42">
    <w:abstractNumId w:val="21"/>
  </w:num>
  <w:num w:numId="43">
    <w:abstractNumId w:val="16"/>
  </w:num>
  <w:num w:numId="44">
    <w:abstractNumId w:val="17"/>
  </w:num>
  <w:num w:numId="45">
    <w:abstractNumId w:val="10"/>
  </w:num>
  <w:num w:numId="4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9"/>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embedSystemFonts/>
  <w:activeWritingStyle w:appName="MSWord" w:lang="en-AU" w:vendorID="64" w:dllVersion="131078" w:nlCheck="1" w:checkStyle="1"/>
  <w:activeWritingStyle w:appName="MSWord" w:lang="en-US" w:vendorID="64" w:dllVersion="131078" w:nlCheck="1" w:checkStyle="1"/>
  <w:activeWritingStyle w:appName="MSWord" w:lang="en-GB" w:vendorID="64" w:dllVersion="131078" w:nlCheck="1" w:checkStyle="1"/>
  <w:activeWritingStyle w:appName="MSWord" w:lang="en-AU" w:vendorID="8" w:dllVersion="513" w:checkStyle="1"/>
  <w:proofState w:grammar="clean"/>
  <w:attachedTemplate r:id="rId1"/>
  <w:linkStyle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61441"/>
  </w:hdrShapeDefaults>
  <w:footnotePr>
    <w:footnote w:id="-1"/>
    <w:footnote w:id="0"/>
  </w:footnotePr>
  <w:endnotePr>
    <w:numFmt w:val="decimal"/>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PPAndAnother" w:val="True"/>
    <w:docVar w:name="APPAndOthers" w:val="False"/>
    <w:docVar w:name="CounselParties" w:val="Plaintiff"/>
    <w:docVar w:name="CounselType" w:val="Solicitor for the "/>
    <w:docVar w:name="Cross1AndAnother" w:val="True"/>
    <w:docVar w:name="Cross1AndOthers" w:val="False"/>
    <w:docVar w:name="Cross2AndAnother" w:val="True"/>
    <w:docVar w:name="Cross2AndOthers" w:val="False"/>
    <w:docVar w:name="Defendant" w:val="GetSwift Ltd|Joel Macdonald"/>
    <w:docVar w:name="Defenders" w:val="(and another named in the Schedule)"/>
    <w:docVar w:name="Division" w:val="General Division"/>
    <w:docVar w:name="DocCreated" w:val="True"/>
    <w:docVar w:name="FileNumbers" w:val="NSD 226 of 2018"/>
    <w:docVar w:name="HearingDate" w:val="11, 13, 24 April, 7 May 2018"/>
    <w:docVar w:name="Initiators" w:val="(and another named in the Schedule)"/>
    <w:docVar w:name="Judgdate" w:val="23 May 2018"/>
    <w:docVar w:name="Judge" w:val="Lee"/>
    <w:docVar w:name="Justices" w:val="Justice"/>
    <w:docVar w:name="lstEntryList" w:val="-1"/>
    <w:docVar w:name="myEntryList" w:val="Counsel for the Plaintiff=Mr WAD Edwards|Solicitor for the Plaintiff=Squire Patton Boggs|Solicitor for the Defendants=Quinn Emanuel Urquhart Sullivan|Counsel for the Defendants=Mr A Shearer|Counsel for the Plaintiff=NSD440/2018 Mr P Brereton SC and Dr B Kremer|Solicitor for the Plaintiff=NSD440/2018 Corrs Chambers Westgarth|Counsel for the Plaintiff=NSD580/2018 Mr D Collins QC and Mr O Bigos|Solicitor for the Plaintiff=NSD580/2018 Phi Finney McDonald"/>
    <w:docVar w:name="NSD" w:val="NSD "/>
    <w:docVar w:name="NumApps" w:val="1"/>
    <w:docVar w:name="NumApps_" w:val="1"/>
    <w:docVar w:name="NumCrossResps" w:val="0"/>
    <w:docVar w:name="NumDefs" w:val="2"/>
    <w:docVar w:name="NumOthers" w:val="0"/>
    <w:docVar w:name="OtherNum" w:val="0"/>
    <w:docVar w:name="Parties1" w:val="Plaintiff"/>
    <w:docVar w:name="Parties2" w:val="Defendant"/>
    <w:docVar w:name="Parties3" w:val="Cross-Appellant"/>
    <w:docVar w:name="Parties4" w:val="Cross-Defendant"/>
    <w:docVar w:name="Parties5" w:val="Intervener"/>
    <w:docVar w:name="Plaintiff" w:val="Dwayne Cavan Shanahan Perera"/>
    <w:docVar w:name="PracticeArea" w:val="Commercial and Corporations"/>
    <w:docVar w:name="RESAndAnother" w:val="True"/>
    <w:docVar w:name="RESAndOthers" w:val="False"/>
    <w:docVar w:name="ResState" w:val="New South Wales"/>
    <w:docVar w:name="SubArea" w:val="Corporations and Corporate Insolvency (C &amp; C)"/>
  </w:docVars>
  <w:rsids>
    <w:rsidRoot w:val="00763E9C"/>
    <w:rsid w:val="00001066"/>
    <w:rsid w:val="00001683"/>
    <w:rsid w:val="00005A3F"/>
    <w:rsid w:val="00005F4D"/>
    <w:rsid w:val="00006892"/>
    <w:rsid w:val="00010C6C"/>
    <w:rsid w:val="00012258"/>
    <w:rsid w:val="000124E6"/>
    <w:rsid w:val="0001282A"/>
    <w:rsid w:val="000130E5"/>
    <w:rsid w:val="000136AD"/>
    <w:rsid w:val="0001469E"/>
    <w:rsid w:val="00014D42"/>
    <w:rsid w:val="00014E5B"/>
    <w:rsid w:val="00014F51"/>
    <w:rsid w:val="00015098"/>
    <w:rsid w:val="00015993"/>
    <w:rsid w:val="000159B1"/>
    <w:rsid w:val="0001614D"/>
    <w:rsid w:val="0001627D"/>
    <w:rsid w:val="00020D6A"/>
    <w:rsid w:val="000214F8"/>
    <w:rsid w:val="00022289"/>
    <w:rsid w:val="00022E40"/>
    <w:rsid w:val="00023678"/>
    <w:rsid w:val="00023DED"/>
    <w:rsid w:val="00024685"/>
    <w:rsid w:val="000247BE"/>
    <w:rsid w:val="00027E6D"/>
    <w:rsid w:val="00027EDA"/>
    <w:rsid w:val="00030640"/>
    <w:rsid w:val="000319AC"/>
    <w:rsid w:val="0003215D"/>
    <w:rsid w:val="000328DC"/>
    <w:rsid w:val="00032F9F"/>
    <w:rsid w:val="0003437B"/>
    <w:rsid w:val="000343E2"/>
    <w:rsid w:val="00035575"/>
    <w:rsid w:val="000369F6"/>
    <w:rsid w:val="00041C07"/>
    <w:rsid w:val="00042D82"/>
    <w:rsid w:val="0004512E"/>
    <w:rsid w:val="000451C3"/>
    <w:rsid w:val="00045BB7"/>
    <w:rsid w:val="00051447"/>
    <w:rsid w:val="00052383"/>
    <w:rsid w:val="0005272E"/>
    <w:rsid w:val="0005554B"/>
    <w:rsid w:val="00055719"/>
    <w:rsid w:val="0005641B"/>
    <w:rsid w:val="00060785"/>
    <w:rsid w:val="00060A61"/>
    <w:rsid w:val="00062E33"/>
    <w:rsid w:val="00063452"/>
    <w:rsid w:val="00064596"/>
    <w:rsid w:val="00064A07"/>
    <w:rsid w:val="00064B49"/>
    <w:rsid w:val="00067E0A"/>
    <w:rsid w:val="00067F99"/>
    <w:rsid w:val="00071749"/>
    <w:rsid w:val="00071A89"/>
    <w:rsid w:val="00074C23"/>
    <w:rsid w:val="0008108C"/>
    <w:rsid w:val="00081497"/>
    <w:rsid w:val="000818F2"/>
    <w:rsid w:val="000848BB"/>
    <w:rsid w:val="00084E53"/>
    <w:rsid w:val="00086968"/>
    <w:rsid w:val="00086D47"/>
    <w:rsid w:val="0009151A"/>
    <w:rsid w:val="0009552C"/>
    <w:rsid w:val="00096724"/>
    <w:rsid w:val="000969EC"/>
    <w:rsid w:val="00097319"/>
    <w:rsid w:val="0009753B"/>
    <w:rsid w:val="000A12B8"/>
    <w:rsid w:val="000A2A36"/>
    <w:rsid w:val="000A2E76"/>
    <w:rsid w:val="000A354B"/>
    <w:rsid w:val="000A4807"/>
    <w:rsid w:val="000A4BE4"/>
    <w:rsid w:val="000A6B3A"/>
    <w:rsid w:val="000B0BD1"/>
    <w:rsid w:val="000B262E"/>
    <w:rsid w:val="000B303F"/>
    <w:rsid w:val="000B3178"/>
    <w:rsid w:val="000C023E"/>
    <w:rsid w:val="000C0C13"/>
    <w:rsid w:val="000C1E1E"/>
    <w:rsid w:val="000C2078"/>
    <w:rsid w:val="000C2385"/>
    <w:rsid w:val="000C2C36"/>
    <w:rsid w:val="000C2DBF"/>
    <w:rsid w:val="000C479A"/>
    <w:rsid w:val="000C4C4D"/>
    <w:rsid w:val="000C4D5C"/>
    <w:rsid w:val="000C5195"/>
    <w:rsid w:val="000C62EF"/>
    <w:rsid w:val="000C6623"/>
    <w:rsid w:val="000C7B55"/>
    <w:rsid w:val="000C7D3E"/>
    <w:rsid w:val="000D2137"/>
    <w:rsid w:val="000D2353"/>
    <w:rsid w:val="000D3523"/>
    <w:rsid w:val="000D3FD2"/>
    <w:rsid w:val="000D6D2D"/>
    <w:rsid w:val="000E1A16"/>
    <w:rsid w:val="000E28AE"/>
    <w:rsid w:val="000E3915"/>
    <w:rsid w:val="000E65B1"/>
    <w:rsid w:val="000E6EE4"/>
    <w:rsid w:val="000E7BAE"/>
    <w:rsid w:val="000F027B"/>
    <w:rsid w:val="000F11D4"/>
    <w:rsid w:val="000F133D"/>
    <w:rsid w:val="000F2CC0"/>
    <w:rsid w:val="00102681"/>
    <w:rsid w:val="001030BB"/>
    <w:rsid w:val="00103A6C"/>
    <w:rsid w:val="00103C25"/>
    <w:rsid w:val="0010536B"/>
    <w:rsid w:val="00105BC1"/>
    <w:rsid w:val="001071F2"/>
    <w:rsid w:val="00107C4A"/>
    <w:rsid w:val="0011145C"/>
    <w:rsid w:val="001128BD"/>
    <w:rsid w:val="00113B92"/>
    <w:rsid w:val="0011419D"/>
    <w:rsid w:val="00123FC8"/>
    <w:rsid w:val="0012517A"/>
    <w:rsid w:val="00125B9C"/>
    <w:rsid w:val="00125DF2"/>
    <w:rsid w:val="00126638"/>
    <w:rsid w:val="00130321"/>
    <w:rsid w:val="00131103"/>
    <w:rsid w:val="00132054"/>
    <w:rsid w:val="00132D63"/>
    <w:rsid w:val="00135968"/>
    <w:rsid w:val="00136503"/>
    <w:rsid w:val="001405EF"/>
    <w:rsid w:val="00140E23"/>
    <w:rsid w:val="00141630"/>
    <w:rsid w:val="00141A80"/>
    <w:rsid w:val="00141ECA"/>
    <w:rsid w:val="00143EB3"/>
    <w:rsid w:val="00144218"/>
    <w:rsid w:val="0014472E"/>
    <w:rsid w:val="00145CF6"/>
    <w:rsid w:val="001465B5"/>
    <w:rsid w:val="00147077"/>
    <w:rsid w:val="001506FF"/>
    <w:rsid w:val="00150D3C"/>
    <w:rsid w:val="00154974"/>
    <w:rsid w:val="00154D16"/>
    <w:rsid w:val="001557E2"/>
    <w:rsid w:val="00155DF7"/>
    <w:rsid w:val="001606E8"/>
    <w:rsid w:val="00163A32"/>
    <w:rsid w:val="00163C92"/>
    <w:rsid w:val="00163CDA"/>
    <w:rsid w:val="00164736"/>
    <w:rsid w:val="00164917"/>
    <w:rsid w:val="00165452"/>
    <w:rsid w:val="00166ABF"/>
    <w:rsid w:val="0016781A"/>
    <w:rsid w:val="00171A41"/>
    <w:rsid w:val="001727A4"/>
    <w:rsid w:val="0017376C"/>
    <w:rsid w:val="001738AB"/>
    <w:rsid w:val="00174472"/>
    <w:rsid w:val="00175284"/>
    <w:rsid w:val="001755CC"/>
    <w:rsid w:val="001765D8"/>
    <w:rsid w:val="001765E0"/>
    <w:rsid w:val="001773ED"/>
    <w:rsid w:val="00177759"/>
    <w:rsid w:val="00181457"/>
    <w:rsid w:val="0018188B"/>
    <w:rsid w:val="001821D1"/>
    <w:rsid w:val="00183AD6"/>
    <w:rsid w:val="00183CAF"/>
    <w:rsid w:val="001845B8"/>
    <w:rsid w:val="00185277"/>
    <w:rsid w:val="00185E6B"/>
    <w:rsid w:val="00187BBC"/>
    <w:rsid w:val="00192A12"/>
    <w:rsid w:val="001932F3"/>
    <w:rsid w:val="0019340F"/>
    <w:rsid w:val="00194FB4"/>
    <w:rsid w:val="0019643B"/>
    <w:rsid w:val="00196749"/>
    <w:rsid w:val="0019680F"/>
    <w:rsid w:val="00196E97"/>
    <w:rsid w:val="001973A4"/>
    <w:rsid w:val="001A339E"/>
    <w:rsid w:val="001A4309"/>
    <w:rsid w:val="001A7C13"/>
    <w:rsid w:val="001B0F99"/>
    <w:rsid w:val="001B1053"/>
    <w:rsid w:val="001B14AC"/>
    <w:rsid w:val="001B240E"/>
    <w:rsid w:val="001B3ED6"/>
    <w:rsid w:val="001B40B8"/>
    <w:rsid w:val="001B49D6"/>
    <w:rsid w:val="001B4E57"/>
    <w:rsid w:val="001B6FBC"/>
    <w:rsid w:val="001B78FD"/>
    <w:rsid w:val="001B7940"/>
    <w:rsid w:val="001C0C4F"/>
    <w:rsid w:val="001C1A4C"/>
    <w:rsid w:val="001C26FB"/>
    <w:rsid w:val="001C32B4"/>
    <w:rsid w:val="001C37CA"/>
    <w:rsid w:val="001C45B6"/>
    <w:rsid w:val="001C4CC7"/>
    <w:rsid w:val="001C5CD4"/>
    <w:rsid w:val="001C5E09"/>
    <w:rsid w:val="001C6F52"/>
    <w:rsid w:val="001D0372"/>
    <w:rsid w:val="001D2451"/>
    <w:rsid w:val="001D3FD3"/>
    <w:rsid w:val="001D4303"/>
    <w:rsid w:val="001D64ED"/>
    <w:rsid w:val="001D6746"/>
    <w:rsid w:val="001E0386"/>
    <w:rsid w:val="001E367D"/>
    <w:rsid w:val="001E3B49"/>
    <w:rsid w:val="001E6490"/>
    <w:rsid w:val="001E66AA"/>
    <w:rsid w:val="001E7388"/>
    <w:rsid w:val="001E7CBD"/>
    <w:rsid w:val="001F13DD"/>
    <w:rsid w:val="001F2DBC"/>
    <w:rsid w:val="001F313D"/>
    <w:rsid w:val="001F5681"/>
    <w:rsid w:val="001F5885"/>
    <w:rsid w:val="001F71A2"/>
    <w:rsid w:val="0020262C"/>
    <w:rsid w:val="0020276F"/>
    <w:rsid w:val="00202A7D"/>
    <w:rsid w:val="00206131"/>
    <w:rsid w:val="00206FD8"/>
    <w:rsid w:val="0021114B"/>
    <w:rsid w:val="00213D75"/>
    <w:rsid w:val="00215622"/>
    <w:rsid w:val="00217A39"/>
    <w:rsid w:val="00217FAF"/>
    <w:rsid w:val="0022045E"/>
    <w:rsid w:val="00220E97"/>
    <w:rsid w:val="002210D1"/>
    <w:rsid w:val="002218CD"/>
    <w:rsid w:val="002222E9"/>
    <w:rsid w:val="00223A64"/>
    <w:rsid w:val="00224537"/>
    <w:rsid w:val="00225F8B"/>
    <w:rsid w:val="00226E74"/>
    <w:rsid w:val="0022702B"/>
    <w:rsid w:val="002272DF"/>
    <w:rsid w:val="002276CD"/>
    <w:rsid w:val="0023079E"/>
    <w:rsid w:val="00232FFC"/>
    <w:rsid w:val="00234901"/>
    <w:rsid w:val="00235956"/>
    <w:rsid w:val="00235B24"/>
    <w:rsid w:val="0024623A"/>
    <w:rsid w:val="00246F84"/>
    <w:rsid w:val="00247C9A"/>
    <w:rsid w:val="00247EEC"/>
    <w:rsid w:val="00250BE4"/>
    <w:rsid w:val="00250D3B"/>
    <w:rsid w:val="0025160C"/>
    <w:rsid w:val="00251755"/>
    <w:rsid w:val="00252D25"/>
    <w:rsid w:val="002535D0"/>
    <w:rsid w:val="002539B3"/>
    <w:rsid w:val="00254E79"/>
    <w:rsid w:val="00257C3E"/>
    <w:rsid w:val="002602C2"/>
    <w:rsid w:val="0026081F"/>
    <w:rsid w:val="00260B61"/>
    <w:rsid w:val="0026158F"/>
    <w:rsid w:val="00261652"/>
    <w:rsid w:val="00262E7C"/>
    <w:rsid w:val="002637F7"/>
    <w:rsid w:val="00263D3B"/>
    <w:rsid w:val="00264C74"/>
    <w:rsid w:val="00264F94"/>
    <w:rsid w:val="00265762"/>
    <w:rsid w:val="00265868"/>
    <w:rsid w:val="00265BEA"/>
    <w:rsid w:val="002665CF"/>
    <w:rsid w:val="002666C9"/>
    <w:rsid w:val="00267A2F"/>
    <w:rsid w:val="00267A8A"/>
    <w:rsid w:val="00270136"/>
    <w:rsid w:val="00270D02"/>
    <w:rsid w:val="00271040"/>
    <w:rsid w:val="002719EF"/>
    <w:rsid w:val="00271D45"/>
    <w:rsid w:val="0027455F"/>
    <w:rsid w:val="00274F5B"/>
    <w:rsid w:val="00277F0A"/>
    <w:rsid w:val="00280836"/>
    <w:rsid w:val="00281D1F"/>
    <w:rsid w:val="00282A77"/>
    <w:rsid w:val="00282E1A"/>
    <w:rsid w:val="00282EEA"/>
    <w:rsid w:val="002833DB"/>
    <w:rsid w:val="00283B47"/>
    <w:rsid w:val="00283C5C"/>
    <w:rsid w:val="002842DD"/>
    <w:rsid w:val="00284E81"/>
    <w:rsid w:val="00284EF3"/>
    <w:rsid w:val="00284F20"/>
    <w:rsid w:val="0028586F"/>
    <w:rsid w:val="0029113B"/>
    <w:rsid w:val="002928D9"/>
    <w:rsid w:val="002934C0"/>
    <w:rsid w:val="00297B56"/>
    <w:rsid w:val="002A00D1"/>
    <w:rsid w:val="002A015F"/>
    <w:rsid w:val="002A05D6"/>
    <w:rsid w:val="002A1B50"/>
    <w:rsid w:val="002A2096"/>
    <w:rsid w:val="002A39FD"/>
    <w:rsid w:val="002A4111"/>
    <w:rsid w:val="002A465F"/>
    <w:rsid w:val="002A4D1F"/>
    <w:rsid w:val="002A5180"/>
    <w:rsid w:val="002A6E77"/>
    <w:rsid w:val="002B0E91"/>
    <w:rsid w:val="002B1E58"/>
    <w:rsid w:val="002B362B"/>
    <w:rsid w:val="002B443D"/>
    <w:rsid w:val="002B5B85"/>
    <w:rsid w:val="002B6779"/>
    <w:rsid w:val="002B6CCA"/>
    <w:rsid w:val="002B71C0"/>
    <w:rsid w:val="002B7A34"/>
    <w:rsid w:val="002C2385"/>
    <w:rsid w:val="002C319A"/>
    <w:rsid w:val="002C31AD"/>
    <w:rsid w:val="002C5B9D"/>
    <w:rsid w:val="002C6A27"/>
    <w:rsid w:val="002C7385"/>
    <w:rsid w:val="002C74DE"/>
    <w:rsid w:val="002D0F07"/>
    <w:rsid w:val="002D17BD"/>
    <w:rsid w:val="002D2383"/>
    <w:rsid w:val="002D2DBB"/>
    <w:rsid w:val="002D52C7"/>
    <w:rsid w:val="002D54A6"/>
    <w:rsid w:val="002D6DCB"/>
    <w:rsid w:val="002E1550"/>
    <w:rsid w:val="002E180F"/>
    <w:rsid w:val="002E1C3E"/>
    <w:rsid w:val="002E2E35"/>
    <w:rsid w:val="002E332E"/>
    <w:rsid w:val="002E3ECA"/>
    <w:rsid w:val="002E51C9"/>
    <w:rsid w:val="002E56B7"/>
    <w:rsid w:val="002E6A7A"/>
    <w:rsid w:val="002E7804"/>
    <w:rsid w:val="002E79DE"/>
    <w:rsid w:val="002F0090"/>
    <w:rsid w:val="002F01E6"/>
    <w:rsid w:val="002F1E49"/>
    <w:rsid w:val="002F3A4F"/>
    <w:rsid w:val="002F46CE"/>
    <w:rsid w:val="002F4E9C"/>
    <w:rsid w:val="002F7FA2"/>
    <w:rsid w:val="00302094"/>
    <w:rsid w:val="0030257F"/>
    <w:rsid w:val="00302F9E"/>
    <w:rsid w:val="00304C67"/>
    <w:rsid w:val="0031256C"/>
    <w:rsid w:val="00313E8B"/>
    <w:rsid w:val="00313FA6"/>
    <w:rsid w:val="00314D6C"/>
    <w:rsid w:val="00315340"/>
    <w:rsid w:val="00316D2A"/>
    <w:rsid w:val="00316D92"/>
    <w:rsid w:val="00317A24"/>
    <w:rsid w:val="00317FE8"/>
    <w:rsid w:val="003228CD"/>
    <w:rsid w:val="00322A7C"/>
    <w:rsid w:val="003239D6"/>
    <w:rsid w:val="00326B3C"/>
    <w:rsid w:val="00327AE3"/>
    <w:rsid w:val="003300AA"/>
    <w:rsid w:val="00331FC2"/>
    <w:rsid w:val="00333134"/>
    <w:rsid w:val="00333CE6"/>
    <w:rsid w:val="00333F19"/>
    <w:rsid w:val="00334C41"/>
    <w:rsid w:val="00335D7C"/>
    <w:rsid w:val="0033729D"/>
    <w:rsid w:val="003377FA"/>
    <w:rsid w:val="00337934"/>
    <w:rsid w:val="003402D3"/>
    <w:rsid w:val="003415E9"/>
    <w:rsid w:val="00341FFF"/>
    <w:rsid w:val="00343ABC"/>
    <w:rsid w:val="003463FE"/>
    <w:rsid w:val="00346C9A"/>
    <w:rsid w:val="00347C13"/>
    <w:rsid w:val="00351114"/>
    <w:rsid w:val="00352603"/>
    <w:rsid w:val="00352605"/>
    <w:rsid w:val="0035434A"/>
    <w:rsid w:val="003554B3"/>
    <w:rsid w:val="0035561E"/>
    <w:rsid w:val="00355B8F"/>
    <w:rsid w:val="00356632"/>
    <w:rsid w:val="00356946"/>
    <w:rsid w:val="0035722A"/>
    <w:rsid w:val="00360B7C"/>
    <w:rsid w:val="003614D7"/>
    <w:rsid w:val="003646D4"/>
    <w:rsid w:val="00364B29"/>
    <w:rsid w:val="003659D8"/>
    <w:rsid w:val="00365C7D"/>
    <w:rsid w:val="003700EF"/>
    <w:rsid w:val="003700FD"/>
    <w:rsid w:val="00371A68"/>
    <w:rsid w:val="00372DAC"/>
    <w:rsid w:val="00372EE3"/>
    <w:rsid w:val="00374C57"/>
    <w:rsid w:val="00376561"/>
    <w:rsid w:val="00376595"/>
    <w:rsid w:val="00381180"/>
    <w:rsid w:val="00381EB6"/>
    <w:rsid w:val="003822FB"/>
    <w:rsid w:val="0038254B"/>
    <w:rsid w:val="003845A9"/>
    <w:rsid w:val="003850CA"/>
    <w:rsid w:val="003856D4"/>
    <w:rsid w:val="0038596E"/>
    <w:rsid w:val="003863E9"/>
    <w:rsid w:val="00390883"/>
    <w:rsid w:val="00391792"/>
    <w:rsid w:val="00391C32"/>
    <w:rsid w:val="003922F8"/>
    <w:rsid w:val="00393D6C"/>
    <w:rsid w:val="00394480"/>
    <w:rsid w:val="003953F7"/>
    <w:rsid w:val="00395B24"/>
    <w:rsid w:val="00396D5A"/>
    <w:rsid w:val="003A085C"/>
    <w:rsid w:val="003A198C"/>
    <w:rsid w:val="003A1BDA"/>
    <w:rsid w:val="003A1F26"/>
    <w:rsid w:val="003A2D38"/>
    <w:rsid w:val="003A53E5"/>
    <w:rsid w:val="003A6B03"/>
    <w:rsid w:val="003A7ECC"/>
    <w:rsid w:val="003B1B4C"/>
    <w:rsid w:val="003B1D50"/>
    <w:rsid w:val="003B2C72"/>
    <w:rsid w:val="003B39DB"/>
    <w:rsid w:val="003B7F67"/>
    <w:rsid w:val="003C1333"/>
    <w:rsid w:val="003C133E"/>
    <w:rsid w:val="003C20FF"/>
    <w:rsid w:val="003C3E61"/>
    <w:rsid w:val="003C418A"/>
    <w:rsid w:val="003C51FB"/>
    <w:rsid w:val="003D2650"/>
    <w:rsid w:val="003D43C6"/>
    <w:rsid w:val="003D560C"/>
    <w:rsid w:val="003D67D8"/>
    <w:rsid w:val="003E35FB"/>
    <w:rsid w:val="003E3C91"/>
    <w:rsid w:val="003E45BF"/>
    <w:rsid w:val="003E5874"/>
    <w:rsid w:val="003E70AF"/>
    <w:rsid w:val="003F0C5F"/>
    <w:rsid w:val="003F193E"/>
    <w:rsid w:val="003F34F1"/>
    <w:rsid w:val="003F3D83"/>
    <w:rsid w:val="003F6844"/>
    <w:rsid w:val="003F6BB2"/>
    <w:rsid w:val="00403372"/>
    <w:rsid w:val="00404994"/>
    <w:rsid w:val="00404AF8"/>
    <w:rsid w:val="00405143"/>
    <w:rsid w:val="00405182"/>
    <w:rsid w:val="00407117"/>
    <w:rsid w:val="00407586"/>
    <w:rsid w:val="00407766"/>
    <w:rsid w:val="00407B0E"/>
    <w:rsid w:val="00411677"/>
    <w:rsid w:val="00411AE8"/>
    <w:rsid w:val="004137C1"/>
    <w:rsid w:val="00413B05"/>
    <w:rsid w:val="00413B74"/>
    <w:rsid w:val="004207A8"/>
    <w:rsid w:val="00421027"/>
    <w:rsid w:val="004217BE"/>
    <w:rsid w:val="00421D58"/>
    <w:rsid w:val="00421EE1"/>
    <w:rsid w:val="004220C8"/>
    <w:rsid w:val="004226FA"/>
    <w:rsid w:val="004231BF"/>
    <w:rsid w:val="004256E8"/>
    <w:rsid w:val="004265D0"/>
    <w:rsid w:val="00426AF2"/>
    <w:rsid w:val="00426F8D"/>
    <w:rsid w:val="004300A5"/>
    <w:rsid w:val="0043026B"/>
    <w:rsid w:val="004318A9"/>
    <w:rsid w:val="00432D48"/>
    <w:rsid w:val="00435C5F"/>
    <w:rsid w:val="00435DE8"/>
    <w:rsid w:val="004363D7"/>
    <w:rsid w:val="00436C57"/>
    <w:rsid w:val="00437103"/>
    <w:rsid w:val="00440F5A"/>
    <w:rsid w:val="0044166B"/>
    <w:rsid w:val="00441E98"/>
    <w:rsid w:val="00447936"/>
    <w:rsid w:val="004500A1"/>
    <w:rsid w:val="004500FC"/>
    <w:rsid w:val="00450392"/>
    <w:rsid w:val="00450774"/>
    <w:rsid w:val="00451F13"/>
    <w:rsid w:val="004532F7"/>
    <w:rsid w:val="00454492"/>
    <w:rsid w:val="00457C78"/>
    <w:rsid w:val="00463A90"/>
    <w:rsid w:val="00464C55"/>
    <w:rsid w:val="0046577D"/>
    <w:rsid w:val="00465931"/>
    <w:rsid w:val="00465BEF"/>
    <w:rsid w:val="00465CA7"/>
    <w:rsid w:val="0046605C"/>
    <w:rsid w:val="00466AF5"/>
    <w:rsid w:val="0046748A"/>
    <w:rsid w:val="00467990"/>
    <w:rsid w:val="00472027"/>
    <w:rsid w:val="004729FA"/>
    <w:rsid w:val="0047441D"/>
    <w:rsid w:val="0047527E"/>
    <w:rsid w:val="0047679B"/>
    <w:rsid w:val="004767B5"/>
    <w:rsid w:val="004804CF"/>
    <w:rsid w:val="00480B70"/>
    <w:rsid w:val="00481F0C"/>
    <w:rsid w:val="004834D0"/>
    <w:rsid w:val="004843A8"/>
    <w:rsid w:val="00484962"/>
    <w:rsid w:val="00484F6D"/>
    <w:rsid w:val="00485549"/>
    <w:rsid w:val="0049074E"/>
    <w:rsid w:val="00491253"/>
    <w:rsid w:val="0049210B"/>
    <w:rsid w:val="00492CD4"/>
    <w:rsid w:val="0049338A"/>
    <w:rsid w:val="0049417F"/>
    <w:rsid w:val="004953B8"/>
    <w:rsid w:val="004962FC"/>
    <w:rsid w:val="0049787D"/>
    <w:rsid w:val="004A1FD9"/>
    <w:rsid w:val="004A56DD"/>
    <w:rsid w:val="004A5B8D"/>
    <w:rsid w:val="004A5E84"/>
    <w:rsid w:val="004A5F1A"/>
    <w:rsid w:val="004A5F2B"/>
    <w:rsid w:val="004B2288"/>
    <w:rsid w:val="004B25D9"/>
    <w:rsid w:val="004B3EFA"/>
    <w:rsid w:val="004B45E0"/>
    <w:rsid w:val="004B49BE"/>
    <w:rsid w:val="004B54AA"/>
    <w:rsid w:val="004B57E8"/>
    <w:rsid w:val="004B5FA9"/>
    <w:rsid w:val="004C00B9"/>
    <w:rsid w:val="004C1AF0"/>
    <w:rsid w:val="004C1B42"/>
    <w:rsid w:val="004C278B"/>
    <w:rsid w:val="004C27CD"/>
    <w:rsid w:val="004C2A87"/>
    <w:rsid w:val="004C40C9"/>
    <w:rsid w:val="004C4ED3"/>
    <w:rsid w:val="004C562A"/>
    <w:rsid w:val="004D139B"/>
    <w:rsid w:val="004D2020"/>
    <w:rsid w:val="004D2EA5"/>
    <w:rsid w:val="004D32A6"/>
    <w:rsid w:val="004D53E5"/>
    <w:rsid w:val="004D6890"/>
    <w:rsid w:val="004D6AD5"/>
    <w:rsid w:val="004D79AF"/>
    <w:rsid w:val="004E02D8"/>
    <w:rsid w:val="004E18AA"/>
    <w:rsid w:val="004E20E5"/>
    <w:rsid w:val="004E284C"/>
    <w:rsid w:val="004E2A0B"/>
    <w:rsid w:val="004E31A1"/>
    <w:rsid w:val="004E32E2"/>
    <w:rsid w:val="004E3314"/>
    <w:rsid w:val="004E401D"/>
    <w:rsid w:val="004E6E32"/>
    <w:rsid w:val="004E74BA"/>
    <w:rsid w:val="004E7855"/>
    <w:rsid w:val="004F004B"/>
    <w:rsid w:val="004F5461"/>
    <w:rsid w:val="004F75CD"/>
    <w:rsid w:val="004F7775"/>
    <w:rsid w:val="004F7C02"/>
    <w:rsid w:val="004F7EDA"/>
    <w:rsid w:val="005008A4"/>
    <w:rsid w:val="00501A12"/>
    <w:rsid w:val="00503E6B"/>
    <w:rsid w:val="005040B1"/>
    <w:rsid w:val="00504588"/>
    <w:rsid w:val="0050459F"/>
    <w:rsid w:val="00505129"/>
    <w:rsid w:val="00505540"/>
    <w:rsid w:val="00506E7A"/>
    <w:rsid w:val="00506EDD"/>
    <w:rsid w:val="00510F39"/>
    <w:rsid w:val="00511AB4"/>
    <w:rsid w:val="005120DC"/>
    <w:rsid w:val="00513229"/>
    <w:rsid w:val="0051346D"/>
    <w:rsid w:val="00513EAE"/>
    <w:rsid w:val="005149B2"/>
    <w:rsid w:val="00516806"/>
    <w:rsid w:val="00516B16"/>
    <w:rsid w:val="00516F51"/>
    <w:rsid w:val="005238CC"/>
    <w:rsid w:val="0052544A"/>
    <w:rsid w:val="00525A49"/>
    <w:rsid w:val="00531922"/>
    <w:rsid w:val="005334EC"/>
    <w:rsid w:val="005337DD"/>
    <w:rsid w:val="00534E4B"/>
    <w:rsid w:val="00535613"/>
    <w:rsid w:val="005357CE"/>
    <w:rsid w:val="005359EB"/>
    <w:rsid w:val="00536616"/>
    <w:rsid w:val="00536675"/>
    <w:rsid w:val="0054017A"/>
    <w:rsid w:val="005408FE"/>
    <w:rsid w:val="00540D60"/>
    <w:rsid w:val="0054254A"/>
    <w:rsid w:val="0054393E"/>
    <w:rsid w:val="0054549D"/>
    <w:rsid w:val="0054632A"/>
    <w:rsid w:val="005464C4"/>
    <w:rsid w:val="005466B5"/>
    <w:rsid w:val="00551530"/>
    <w:rsid w:val="005518A7"/>
    <w:rsid w:val="00551D99"/>
    <w:rsid w:val="00553170"/>
    <w:rsid w:val="005537E4"/>
    <w:rsid w:val="00553809"/>
    <w:rsid w:val="0056094C"/>
    <w:rsid w:val="0056260A"/>
    <w:rsid w:val="005627C6"/>
    <w:rsid w:val="005629B3"/>
    <w:rsid w:val="00563D53"/>
    <w:rsid w:val="00564657"/>
    <w:rsid w:val="005656F5"/>
    <w:rsid w:val="0057018F"/>
    <w:rsid w:val="00570920"/>
    <w:rsid w:val="00573249"/>
    <w:rsid w:val="0057347A"/>
    <w:rsid w:val="00573AC4"/>
    <w:rsid w:val="00574170"/>
    <w:rsid w:val="005754BD"/>
    <w:rsid w:val="005767ED"/>
    <w:rsid w:val="005774D2"/>
    <w:rsid w:val="005801FC"/>
    <w:rsid w:val="00582118"/>
    <w:rsid w:val="00584C74"/>
    <w:rsid w:val="00584E9B"/>
    <w:rsid w:val="005850B4"/>
    <w:rsid w:val="00585527"/>
    <w:rsid w:val="00585972"/>
    <w:rsid w:val="00586D61"/>
    <w:rsid w:val="00595016"/>
    <w:rsid w:val="0059544D"/>
    <w:rsid w:val="00595F09"/>
    <w:rsid w:val="0059623B"/>
    <w:rsid w:val="00597AAE"/>
    <w:rsid w:val="005A222C"/>
    <w:rsid w:val="005A4DF8"/>
    <w:rsid w:val="005A6615"/>
    <w:rsid w:val="005A7FD5"/>
    <w:rsid w:val="005B1426"/>
    <w:rsid w:val="005B29EA"/>
    <w:rsid w:val="005B311B"/>
    <w:rsid w:val="005B411F"/>
    <w:rsid w:val="005B74DD"/>
    <w:rsid w:val="005C0A8E"/>
    <w:rsid w:val="005C0C42"/>
    <w:rsid w:val="005C12BD"/>
    <w:rsid w:val="005C1767"/>
    <w:rsid w:val="005C29D0"/>
    <w:rsid w:val="005C3BFF"/>
    <w:rsid w:val="005C3EE7"/>
    <w:rsid w:val="005C3F77"/>
    <w:rsid w:val="005C42EF"/>
    <w:rsid w:val="005C4B5E"/>
    <w:rsid w:val="005C53B8"/>
    <w:rsid w:val="005C74E0"/>
    <w:rsid w:val="005C7C4A"/>
    <w:rsid w:val="005D49C1"/>
    <w:rsid w:val="005D59A0"/>
    <w:rsid w:val="005D7089"/>
    <w:rsid w:val="005D75A0"/>
    <w:rsid w:val="005E02F5"/>
    <w:rsid w:val="005E0510"/>
    <w:rsid w:val="005E0EB5"/>
    <w:rsid w:val="005E176E"/>
    <w:rsid w:val="005E218E"/>
    <w:rsid w:val="005E23F4"/>
    <w:rsid w:val="005E35A0"/>
    <w:rsid w:val="005E47E9"/>
    <w:rsid w:val="005F0D1B"/>
    <w:rsid w:val="005F1659"/>
    <w:rsid w:val="005F1865"/>
    <w:rsid w:val="005F2A4C"/>
    <w:rsid w:val="005F3076"/>
    <w:rsid w:val="005F458A"/>
    <w:rsid w:val="005F779A"/>
    <w:rsid w:val="005F79F8"/>
    <w:rsid w:val="0060010D"/>
    <w:rsid w:val="006001C1"/>
    <w:rsid w:val="006007BD"/>
    <w:rsid w:val="006013C8"/>
    <w:rsid w:val="00602143"/>
    <w:rsid w:val="00602529"/>
    <w:rsid w:val="0060270D"/>
    <w:rsid w:val="00602A29"/>
    <w:rsid w:val="00604611"/>
    <w:rsid w:val="00605E2E"/>
    <w:rsid w:val="00607B20"/>
    <w:rsid w:val="006106CA"/>
    <w:rsid w:val="00611586"/>
    <w:rsid w:val="0061196C"/>
    <w:rsid w:val="00611BDE"/>
    <w:rsid w:val="006159F7"/>
    <w:rsid w:val="0062082A"/>
    <w:rsid w:val="00620B77"/>
    <w:rsid w:val="00621887"/>
    <w:rsid w:val="00623FE3"/>
    <w:rsid w:val="00624520"/>
    <w:rsid w:val="00624FBB"/>
    <w:rsid w:val="00625177"/>
    <w:rsid w:val="00630B55"/>
    <w:rsid w:val="00632A4F"/>
    <w:rsid w:val="00632BB7"/>
    <w:rsid w:val="00632D6C"/>
    <w:rsid w:val="006330D5"/>
    <w:rsid w:val="00635B36"/>
    <w:rsid w:val="00636871"/>
    <w:rsid w:val="00636FB8"/>
    <w:rsid w:val="00640F4E"/>
    <w:rsid w:val="00642EDE"/>
    <w:rsid w:val="00643191"/>
    <w:rsid w:val="006432C2"/>
    <w:rsid w:val="00643DE0"/>
    <w:rsid w:val="00644E85"/>
    <w:rsid w:val="00646F60"/>
    <w:rsid w:val="006545FC"/>
    <w:rsid w:val="006557F3"/>
    <w:rsid w:val="00656B0F"/>
    <w:rsid w:val="00657895"/>
    <w:rsid w:val="00657DDE"/>
    <w:rsid w:val="0066063F"/>
    <w:rsid w:val="006611A1"/>
    <w:rsid w:val="006616A5"/>
    <w:rsid w:val="00661B3E"/>
    <w:rsid w:val="00661C35"/>
    <w:rsid w:val="00661C42"/>
    <w:rsid w:val="00662BB0"/>
    <w:rsid w:val="00663878"/>
    <w:rsid w:val="00664733"/>
    <w:rsid w:val="006647D1"/>
    <w:rsid w:val="00664826"/>
    <w:rsid w:val="00664BF0"/>
    <w:rsid w:val="00664CDB"/>
    <w:rsid w:val="00665463"/>
    <w:rsid w:val="00667773"/>
    <w:rsid w:val="00667F93"/>
    <w:rsid w:val="00670743"/>
    <w:rsid w:val="00670F76"/>
    <w:rsid w:val="00671268"/>
    <w:rsid w:val="00677398"/>
    <w:rsid w:val="00681BE9"/>
    <w:rsid w:val="00683D9C"/>
    <w:rsid w:val="00684C7C"/>
    <w:rsid w:val="00690EE2"/>
    <w:rsid w:val="006919FA"/>
    <w:rsid w:val="00691C85"/>
    <w:rsid w:val="006925D8"/>
    <w:rsid w:val="00693825"/>
    <w:rsid w:val="00694745"/>
    <w:rsid w:val="00694A47"/>
    <w:rsid w:val="006957C0"/>
    <w:rsid w:val="006964CF"/>
    <w:rsid w:val="00696F39"/>
    <w:rsid w:val="00697BB8"/>
    <w:rsid w:val="006A0E20"/>
    <w:rsid w:val="006A3896"/>
    <w:rsid w:val="006A3AEE"/>
    <w:rsid w:val="006A4BAD"/>
    <w:rsid w:val="006A5695"/>
    <w:rsid w:val="006A6183"/>
    <w:rsid w:val="006A785D"/>
    <w:rsid w:val="006B08C0"/>
    <w:rsid w:val="006B0A0E"/>
    <w:rsid w:val="006B3904"/>
    <w:rsid w:val="006B5B7D"/>
    <w:rsid w:val="006B5C02"/>
    <w:rsid w:val="006B5ED8"/>
    <w:rsid w:val="006B7C49"/>
    <w:rsid w:val="006C0470"/>
    <w:rsid w:val="006C1184"/>
    <w:rsid w:val="006C123D"/>
    <w:rsid w:val="006C35E3"/>
    <w:rsid w:val="006C362F"/>
    <w:rsid w:val="006C3C9B"/>
    <w:rsid w:val="006C525C"/>
    <w:rsid w:val="006C57B2"/>
    <w:rsid w:val="006D0189"/>
    <w:rsid w:val="006D0ECF"/>
    <w:rsid w:val="006D2562"/>
    <w:rsid w:val="006D35C1"/>
    <w:rsid w:val="006D4C12"/>
    <w:rsid w:val="006D4C92"/>
    <w:rsid w:val="006D4EB6"/>
    <w:rsid w:val="006E35BF"/>
    <w:rsid w:val="006E3E78"/>
    <w:rsid w:val="006E4099"/>
    <w:rsid w:val="006E5747"/>
    <w:rsid w:val="006E59C2"/>
    <w:rsid w:val="006E6F6A"/>
    <w:rsid w:val="006E75C2"/>
    <w:rsid w:val="006E7850"/>
    <w:rsid w:val="006E78EF"/>
    <w:rsid w:val="006F03AA"/>
    <w:rsid w:val="006F24AC"/>
    <w:rsid w:val="006F5E16"/>
    <w:rsid w:val="006F682A"/>
    <w:rsid w:val="006F6F86"/>
    <w:rsid w:val="006F7C3E"/>
    <w:rsid w:val="00700257"/>
    <w:rsid w:val="0070030C"/>
    <w:rsid w:val="00700332"/>
    <w:rsid w:val="00700AA6"/>
    <w:rsid w:val="0070209A"/>
    <w:rsid w:val="007025B5"/>
    <w:rsid w:val="007027D9"/>
    <w:rsid w:val="007028D9"/>
    <w:rsid w:val="0070400F"/>
    <w:rsid w:val="0070556F"/>
    <w:rsid w:val="00706E2E"/>
    <w:rsid w:val="00707218"/>
    <w:rsid w:val="00707561"/>
    <w:rsid w:val="007079B2"/>
    <w:rsid w:val="0071020C"/>
    <w:rsid w:val="00710E70"/>
    <w:rsid w:val="00711A71"/>
    <w:rsid w:val="00712B1D"/>
    <w:rsid w:val="00712BCA"/>
    <w:rsid w:val="00713E90"/>
    <w:rsid w:val="007145A0"/>
    <w:rsid w:val="0071603C"/>
    <w:rsid w:val="007174D1"/>
    <w:rsid w:val="007211D4"/>
    <w:rsid w:val="00721811"/>
    <w:rsid w:val="00721AEC"/>
    <w:rsid w:val="007234F6"/>
    <w:rsid w:val="00726DC4"/>
    <w:rsid w:val="007276D0"/>
    <w:rsid w:val="007325D9"/>
    <w:rsid w:val="0073511F"/>
    <w:rsid w:val="007360CA"/>
    <w:rsid w:val="00737AF1"/>
    <w:rsid w:val="007401F1"/>
    <w:rsid w:val="007415D6"/>
    <w:rsid w:val="00742186"/>
    <w:rsid w:val="007424EA"/>
    <w:rsid w:val="00742571"/>
    <w:rsid w:val="00744C10"/>
    <w:rsid w:val="00747273"/>
    <w:rsid w:val="0074777F"/>
    <w:rsid w:val="00747B06"/>
    <w:rsid w:val="00750175"/>
    <w:rsid w:val="00754BCF"/>
    <w:rsid w:val="00755078"/>
    <w:rsid w:val="00756AAE"/>
    <w:rsid w:val="00756C28"/>
    <w:rsid w:val="00757878"/>
    <w:rsid w:val="007602ED"/>
    <w:rsid w:val="00761793"/>
    <w:rsid w:val="00763E9C"/>
    <w:rsid w:val="007643BC"/>
    <w:rsid w:val="007646F0"/>
    <w:rsid w:val="00764CCA"/>
    <w:rsid w:val="00766E1F"/>
    <w:rsid w:val="00772B86"/>
    <w:rsid w:val="0077390D"/>
    <w:rsid w:val="00773A42"/>
    <w:rsid w:val="0078003A"/>
    <w:rsid w:val="00780518"/>
    <w:rsid w:val="00780771"/>
    <w:rsid w:val="00780D19"/>
    <w:rsid w:val="00781055"/>
    <w:rsid w:val="00781B9A"/>
    <w:rsid w:val="0078204A"/>
    <w:rsid w:val="0078286D"/>
    <w:rsid w:val="00782E44"/>
    <w:rsid w:val="007839EA"/>
    <w:rsid w:val="007850FC"/>
    <w:rsid w:val="00786527"/>
    <w:rsid w:val="00786885"/>
    <w:rsid w:val="00791B66"/>
    <w:rsid w:val="00791CA9"/>
    <w:rsid w:val="007929CF"/>
    <w:rsid w:val="00794EC3"/>
    <w:rsid w:val="00795094"/>
    <w:rsid w:val="007A2903"/>
    <w:rsid w:val="007A391C"/>
    <w:rsid w:val="007A45DE"/>
    <w:rsid w:val="007A4884"/>
    <w:rsid w:val="007A493D"/>
    <w:rsid w:val="007A5994"/>
    <w:rsid w:val="007A6196"/>
    <w:rsid w:val="007A6F28"/>
    <w:rsid w:val="007A7F37"/>
    <w:rsid w:val="007B0017"/>
    <w:rsid w:val="007B03C6"/>
    <w:rsid w:val="007B0DB1"/>
    <w:rsid w:val="007B1185"/>
    <w:rsid w:val="007B1C28"/>
    <w:rsid w:val="007B213F"/>
    <w:rsid w:val="007B34E8"/>
    <w:rsid w:val="007B48D7"/>
    <w:rsid w:val="007C2485"/>
    <w:rsid w:val="007C2651"/>
    <w:rsid w:val="007C2C0B"/>
    <w:rsid w:val="007C35A9"/>
    <w:rsid w:val="007C5CD8"/>
    <w:rsid w:val="007C6E63"/>
    <w:rsid w:val="007C76D6"/>
    <w:rsid w:val="007C7CEC"/>
    <w:rsid w:val="007D1757"/>
    <w:rsid w:val="007D1B36"/>
    <w:rsid w:val="007D27A3"/>
    <w:rsid w:val="007D2EF8"/>
    <w:rsid w:val="007D3378"/>
    <w:rsid w:val="007D3F20"/>
    <w:rsid w:val="007D561F"/>
    <w:rsid w:val="007D5884"/>
    <w:rsid w:val="007D6947"/>
    <w:rsid w:val="007D764F"/>
    <w:rsid w:val="007D7FD2"/>
    <w:rsid w:val="007E13D9"/>
    <w:rsid w:val="007E1CBB"/>
    <w:rsid w:val="007E4DB6"/>
    <w:rsid w:val="007E5ABA"/>
    <w:rsid w:val="007E6739"/>
    <w:rsid w:val="007E7CD4"/>
    <w:rsid w:val="007F0062"/>
    <w:rsid w:val="007F033A"/>
    <w:rsid w:val="007F1A9D"/>
    <w:rsid w:val="007F3316"/>
    <w:rsid w:val="007F4836"/>
    <w:rsid w:val="007F5B4F"/>
    <w:rsid w:val="007F6216"/>
    <w:rsid w:val="007F70CE"/>
    <w:rsid w:val="00801800"/>
    <w:rsid w:val="00801B5B"/>
    <w:rsid w:val="008027F5"/>
    <w:rsid w:val="008029F4"/>
    <w:rsid w:val="00803B83"/>
    <w:rsid w:val="00804A2B"/>
    <w:rsid w:val="00805009"/>
    <w:rsid w:val="008050A4"/>
    <w:rsid w:val="00805F4B"/>
    <w:rsid w:val="00807CD4"/>
    <w:rsid w:val="00812DAC"/>
    <w:rsid w:val="008137BF"/>
    <w:rsid w:val="00823D3F"/>
    <w:rsid w:val="00823E60"/>
    <w:rsid w:val="00824059"/>
    <w:rsid w:val="00825310"/>
    <w:rsid w:val="00825D6D"/>
    <w:rsid w:val="00825E1A"/>
    <w:rsid w:val="00825ED2"/>
    <w:rsid w:val="008276B4"/>
    <w:rsid w:val="00827CFC"/>
    <w:rsid w:val="008300F3"/>
    <w:rsid w:val="008311AC"/>
    <w:rsid w:val="008311C2"/>
    <w:rsid w:val="00831927"/>
    <w:rsid w:val="008335FC"/>
    <w:rsid w:val="0083401F"/>
    <w:rsid w:val="0083441D"/>
    <w:rsid w:val="00841BD3"/>
    <w:rsid w:val="00842139"/>
    <w:rsid w:val="0084273D"/>
    <w:rsid w:val="00844E3F"/>
    <w:rsid w:val="00845666"/>
    <w:rsid w:val="008459CC"/>
    <w:rsid w:val="00845A83"/>
    <w:rsid w:val="008462C1"/>
    <w:rsid w:val="00846918"/>
    <w:rsid w:val="00847867"/>
    <w:rsid w:val="008516FE"/>
    <w:rsid w:val="00851AD4"/>
    <w:rsid w:val="00852AC0"/>
    <w:rsid w:val="00853D4F"/>
    <w:rsid w:val="008546C8"/>
    <w:rsid w:val="0086136C"/>
    <w:rsid w:val="00861654"/>
    <w:rsid w:val="008654CF"/>
    <w:rsid w:val="00867B3C"/>
    <w:rsid w:val="008712BB"/>
    <w:rsid w:val="00871D1A"/>
    <w:rsid w:val="00871F2E"/>
    <w:rsid w:val="00875C5B"/>
    <w:rsid w:val="00876899"/>
    <w:rsid w:val="00880E59"/>
    <w:rsid w:val="00881CE7"/>
    <w:rsid w:val="00882604"/>
    <w:rsid w:val="00882979"/>
    <w:rsid w:val="008830A6"/>
    <w:rsid w:val="008864A3"/>
    <w:rsid w:val="008901B8"/>
    <w:rsid w:val="0089166E"/>
    <w:rsid w:val="00891D67"/>
    <w:rsid w:val="00893E77"/>
    <w:rsid w:val="0089400E"/>
    <w:rsid w:val="008960F6"/>
    <w:rsid w:val="008A0D29"/>
    <w:rsid w:val="008A150C"/>
    <w:rsid w:val="008A2484"/>
    <w:rsid w:val="008A295D"/>
    <w:rsid w:val="008A5452"/>
    <w:rsid w:val="008A6B4F"/>
    <w:rsid w:val="008A6DAA"/>
    <w:rsid w:val="008B0659"/>
    <w:rsid w:val="008B0854"/>
    <w:rsid w:val="008B0864"/>
    <w:rsid w:val="008B29AA"/>
    <w:rsid w:val="008B32CA"/>
    <w:rsid w:val="008B3CBF"/>
    <w:rsid w:val="008B7997"/>
    <w:rsid w:val="008C1487"/>
    <w:rsid w:val="008C26D9"/>
    <w:rsid w:val="008C3124"/>
    <w:rsid w:val="008C62DF"/>
    <w:rsid w:val="008C6D50"/>
    <w:rsid w:val="008C7167"/>
    <w:rsid w:val="008C720E"/>
    <w:rsid w:val="008C734A"/>
    <w:rsid w:val="008C7503"/>
    <w:rsid w:val="008C7B7D"/>
    <w:rsid w:val="008C7B8B"/>
    <w:rsid w:val="008D1617"/>
    <w:rsid w:val="008D19B8"/>
    <w:rsid w:val="008D3AFB"/>
    <w:rsid w:val="008D7288"/>
    <w:rsid w:val="008E30F5"/>
    <w:rsid w:val="008E6263"/>
    <w:rsid w:val="008E6315"/>
    <w:rsid w:val="008F0FF4"/>
    <w:rsid w:val="008F11E0"/>
    <w:rsid w:val="008F2630"/>
    <w:rsid w:val="008F2D6B"/>
    <w:rsid w:val="008F33C7"/>
    <w:rsid w:val="008F60BF"/>
    <w:rsid w:val="008F78BC"/>
    <w:rsid w:val="008F7B63"/>
    <w:rsid w:val="008F7D6A"/>
    <w:rsid w:val="008F7DB0"/>
    <w:rsid w:val="00901462"/>
    <w:rsid w:val="0090158E"/>
    <w:rsid w:val="00901EF9"/>
    <w:rsid w:val="00902BD2"/>
    <w:rsid w:val="00903FC9"/>
    <w:rsid w:val="0090505C"/>
    <w:rsid w:val="009054CB"/>
    <w:rsid w:val="00905ABC"/>
    <w:rsid w:val="00912F94"/>
    <w:rsid w:val="00913157"/>
    <w:rsid w:val="009149EC"/>
    <w:rsid w:val="00920959"/>
    <w:rsid w:val="00920FA6"/>
    <w:rsid w:val="00922844"/>
    <w:rsid w:val="0092377F"/>
    <w:rsid w:val="00924038"/>
    <w:rsid w:val="00924433"/>
    <w:rsid w:val="00924CC5"/>
    <w:rsid w:val="0092565F"/>
    <w:rsid w:val="0092590B"/>
    <w:rsid w:val="00925E60"/>
    <w:rsid w:val="009264B3"/>
    <w:rsid w:val="009272EC"/>
    <w:rsid w:val="00930035"/>
    <w:rsid w:val="00932406"/>
    <w:rsid w:val="00933AA3"/>
    <w:rsid w:val="009368DA"/>
    <w:rsid w:val="00937A37"/>
    <w:rsid w:val="00940356"/>
    <w:rsid w:val="00941CB0"/>
    <w:rsid w:val="00942BA2"/>
    <w:rsid w:val="00942C01"/>
    <w:rsid w:val="0094489A"/>
    <w:rsid w:val="00944C86"/>
    <w:rsid w:val="00944F57"/>
    <w:rsid w:val="00946420"/>
    <w:rsid w:val="0095152B"/>
    <w:rsid w:val="009542CE"/>
    <w:rsid w:val="009555EA"/>
    <w:rsid w:val="0095578E"/>
    <w:rsid w:val="0095630F"/>
    <w:rsid w:val="0095639B"/>
    <w:rsid w:val="00957DE8"/>
    <w:rsid w:val="00960ECB"/>
    <w:rsid w:val="009615D6"/>
    <w:rsid w:val="00962E81"/>
    <w:rsid w:val="00964866"/>
    <w:rsid w:val="00966B21"/>
    <w:rsid w:val="00967855"/>
    <w:rsid w:val="00971163"/>
    <w:rsid w:val="0097131A"/>
    <w:rsid w:val="00971B86"/>
    <w:rsid w:val="009736CC"/>
    <w:rsid w:val="00974A62"/>
    <w:rsid w:val="00977976"/>
    <w:rsid w:val="009803CA"/>
    <w:rsid w:val="0098071F"/>
    <w:rsid w:val="00980736"/>
    <w:rsid w:val="00981A39"/>
    <w:rsid w:val="00983CDF"/>
    <w:rsid w:val="00985F19"/>
    <w:rsid w:val="00986263"/>
    <w:rsid w:val="009864C5"/>
    <w:rsid w:val="0098675C"/>
    <w:rsid w:val="00986792"/>
    <w:rsid w:val="00987097"/>
    <w:rsid w:val="00992E28"/>
    <w:rsid w:val="00993C10"/>
    <w:rsid w:val="009944B6"/>
    <w:rsid w:val="00994617"/>
    <w:rsid w:val="00995A43"/>
    <w:rsid w:val="00995B8D"/>
    <w:rsid w:val="00997052"/>
    <w:rsid w:val="00997098"/>
    <w:rsid w:val="009A1FDA"/>
    <w:rsid w:val="009A2AD1"/>
    <w:rsid w:val="009A40A8"/>
    <w:rsid w:val="009A5016"/>
    <w:rsid w:val="009A6533"/>
    <w:rsid w:val="009A7AB4"/>
    <w:rsid w:val="009B046C"/>
    <w:rsid w:val="009B062A"/>
    <w:rsid w:val="009B13FA"/>
    <w:rsid w:val="009B1444"/>
    <w:rsid w:val="009B1E2D"/>
    <w:rsid w:val="009B2D66"/>
    <w:rsid w:val="009B424A"/>
    <w:rsid w:val="009B4693"/>
    <w:rsid w:val="009B638A"/>
    <w:rsid w:val="009C1DAA"/>
    <w:rsid w:val="009C2A7A"/>
    <w:rsid w:val="009C38A9"/>
    <w:rsid w:val="009C4A7F"/>
    <w:rsid w:val="009C59C2"/>
    <w:rsid w:val="009C59FB"/>
    <w:rsid w:val="009C6F3B"/>
    <w:rsid w:val="009C7464"/>
    <w:rsid w:val="009D026E"/>
    <w:rsid w:val="009D0E3E"/>
    <w:rsid w:val="009D157A"/>
    <w:rsid w:val="009D2358"/>
    <w:rsid w:val="009D2551"/>
    <w:rsid w:val="009D5D7F"/>
    <w:rsid w:val="009D6239"/>
    <w:rsid w:val="009D7CD3"/>
    <w:rsid w:val="009E0424"/>
    <w:rsid w:val="009E1165"/>
    <w:rsid w:val="009E263B"/>
    <w:rsid w:val="009E3F3C"/>
    <w:rsid w:val="009E4FA6"/>
    <w:rsid w:val="009E7D93"/>
    <w:rsid w:val="009F17E1"/>
    <w:rsid w:val="009F3B3E"/>
    <w:rsid w:val="009F3CF9"/>
    <w:rsid w:val="009F5C33"/>
    <w:rsid w:val="00A00668"/>
    <w:rsid w:val="00A01C56"/>
    <w:rsid w:val="00A02689"/>
    <w:rsid w:val="00A03EAC"/>
    <w:rsid w:val="00A04023"/>
    <w:rsid w:val="00A040AE"/>
    <w:rsid w:val="00A048EA"/>
    <w:rsid w:val="00A05FB8"/>
    <w:rsid w:val="00A07817"/>
    <w:rsid w:val="00A110E8"/>
    <w:rsid w:val="00A11CA6"/>
    <w:rsid w:val="00A13637"/>
    <w:rsid w:val="00A17F33"/>
    <w:rsid w:val="00A203A1"/>
    <w:rsid w:val="00A2066C"/>
    <w:rsid w:val="00A20C49"/>
    <w:rsid w:val="00A227C9"/>
    <w:rsid w:val="00A233D4"/>
    <w:rsid w:val="00A24419"/>
    <w:rsid w:val="00A25FBD"/>
    <w:rsid w:val="00A269CA"/>
    <w:rsid w:val="00A27501"/>
    <w:rsid w:val="00A3161C"/>
    <w:rsid w:val="00A34EF5"/>
    <w:rsid w:val="00A359AC"/>
    <w:rsid w:val="00A374FC"/>
    <w:rsid w:val="00A37750"/>
    <w:rsid w:val="00A40CA9"/>
    <w:rsid w:val="00A40F19"/>
    <w:rsid w:val="00A41413"/>
    <w:rsid w:val="00A42367"/>
    <w:rsid w:val="00A449F0"/>
    <w:rsid w:val="00A45825"/>
    <w:rsid w:val="00A45A1E"/>
    <w:rsid w:val="00A45FB1"/>
    <w:rsid w:val="00A46CCC"/>
    <w:rsid w:val="00A478E4"/>
    <w:rsid w:val="00A47C81"/>
    <w:rsid w:val="00A51CFE"/>
    <w:rsid w:val="00A534AF"/>
    <w:rsid w:val="00A53622"/>
    <w:rsid w:val="00A54CC5"/>
    <w:rsid w:val="00A560CC"/>
    <w:rsid w:val="00A565C4"/>
    <w:rsid w:val="00A61A8B"/>
    <w:rsid w:val="00A61D66"/>
    <w:rsid w:val="00A62B21"/>
    <w:rsid w:val="00A634CB"/>
    <w:rsid w:val="00A6374C"/>
    <w:rsid w:val="00A63DCD"/>
    <w:rsid w:val="00A657EB"/>
    <w:rsid w:val="00A65974"/>
    <w:rsid w:val="00A65D2B"/>
    <w:rsid w:val="00A65DBA"/>
    <w:rsid w:val="00A67BF8"/>
    <w:rsid w:val="00A7009E"/>
    <w:rsid w:val="00A7070E"/>
    <w:rsid w:val="00A72FD1"/>
    <w:rsid w:val="00A73DC4"/>
    <w:rsid w:val="00A74E58"/>
    <w:rsid w:val="00A75FE4"/>
    <w:rsid w:val="00A76426"/>
    <w:rsid w:val="00A76C13"/>
    <w:rsid w:val="00A778A0"/>
    <w:rsid w:val="00A85963"/>
    <w:rsid w:val="00A85C30"/>
    <w:rsid w:val="00A85DA4"/>
    <w:rsid w:val="00A8638C"/>
    <w:rsid w:val="00A90AB4"/>
    <w:rsid w:val="00A913C8"/>
    <w:rsid w:val="00A91DB6"/>
    <w:rsid w:val="00A92B5F"/>
    <w:rsid w:val="00A92E79"/>
    <w:rsid w:val="00A94936"/>
    <w:rsid w:val="00A950B6"/>
    <w:rsid w:val="00AA31E9"/>
    <w:rsid w:val="00AA43AB"/>
    <w:rsid w:val="00AA51AA"/>
    <w:rsid w:val="00AA5A5E"/>
    <w:rsid w:val="00AA6221"/>
    <w:rsid w:val="00AA7C85"/>
    <w:rsid w:val="00AB41C1"/>
    <w:rsid w:val="00AC0E6F"/>
    <w:rsid w:val="00AC2770"/>
    <w:rsid w:val="00AC2E0E"/>
    <w:rsid w:val="00AC2E6B"/>
    <w:rsid w:val="00AC3795"/>
    <w:rsid w:val="00AC4105"/>
    <w:rsid w:val="00AD12A8"/>
    <w:rsid w:val="00AD1AF9"/>
    <w:rsid w:val="00AD34F5"/>
    <w:rsid w:val="00AD402E"/>
    <w:rsid w:val="00AD429F"/>
    <w:rsid w:val="00AD6DA3"/>
    <w:rsid w:val="00AD6DE8"/>
    <w:rsid w:val="00AE0267"/>
    <w:rsid w:val="00AE0888"/>
    <w:rsid w:val="00AE27A8"/>
    <w:rsid w:val="00AE44A8"/>
    <w:rsid w:val="00AF2011"/>
    <w:rsid w:val="00AF3577"/>
    <w:rsid w:val="00AF35F9"/>
    <w:rsid w:val="00AF419A"/>
    <w:rsid w:val="00AF4392"/>
    <w:rsid w:val="00B00B5E"/>
    <w:rsid w:val="00B01FFC"/>
    <w:rsid w:val="00B036AB"/>
    <w:rsid w:val="00B05405"/>
    <w:rsid w:val="00B05C7D"/>
    <w:rsid w:val="00B06D51"/>
    <w:rsid w:val="00B07A59"/>
    <w:rsid w:val="00B12835"/>
    <w:rsid w:val="00B133C7"/>
    <w:rsid w:val="00B15EA4"/>
    <w:rsid w:val="00B1647F"/>
    <w:rsid w:val="00B16B29"/>
    <w:rsid w:val="00B21E19"/>
    <w:rsid w:val="00B2213B"/>
    <w:rsid w:val="00B2315B"/>
    <w:rsid w:val="00B23C93"/>
    <w:rsid w:val="00B25ED7"/>
    <w:rsid w:val="00B260EF"/>
    <w:rsid w:val="00B268E7"/>
    <w:rsid w:val="00B3163B"/>
    <w:rsid w:val="00B333A7"/>
    <w:rsid w:val="00B337AF"/>
    <w:rsid w:val="00B33A5D"/>
    <w:rsid w:val="00B346C3"/>
    <w:rsid w:val="00B369CC"/>
    <w:rsid w:val="00B37121"/>
    <w:rsid w:val="00B37D66"/>
    <w:rsid w:val="00B410D7"/>
    <w:rsid w:val="00B41E11"/>
    <w:rsid w:val="00B4471C"/>
    <w:rsid w:val="00B451A6"/>
    <w:rsid w:val="00B51AF5"/>
    <w:rsid w:val="00B526E8"/>
    <w:rsid w:val="00B52DA9"/>
    <w:rsid w:val="00B530CC"/>
    <w:rsid w:val="00B53C39"/>
    <w:rsid w:val="00B54D2D"/>
    <w:rsid w:val="00B5799D"/>
    <w:rsid w:val="00B61010"/>
    <w:rsid w:val="00B61CD1"/>
    <w:rsid w:val="00B62B84"/>
    <w:rsid w:val="00B63194"/>
    <w:rsid w:val="00B64863"/>
    <w:rsid w:val="00B64916"/>
    <w:rsid w:val="00B65831"/>
    <w:rsid w:val="00B6671B"/>
    <w:rsid w:val="00B70642"/>
    <w:rsid w:val="00B722DE"/>
    <w:rsid w:val="00B73EFA"/>
    <w:rsid w:val="00B74A6E"/>
    <w:rsid w:val="00B75933"/>
    <w:rsid w:val="00B76C44"/>
    <w:rsid w:val="00B778C7"/>
    <w:rsid w:val="00B807AF"/>
    <w:rsid w:val="00B83F87"/>
    <w:rsid w:val="00B84A8F"/>
    <w:rsid w:val="00B8568A"/>
    <w:rsid w:val="00B87A51"/>
    <w:rsid w:val="00B930E7"/>
    <w:rsid w:val="00B932FA"/>
    <w:rsid w:val="00B93C96"/>
    <w:rsid w:val="00B956CE"/>
    <w:rsid w:val="00B95743"/>
    <w:rsid w:val="00B97AED"/>
    <w:rsid w:val="00B97C34"/>
    <w:rsid w:val="00BA15A6"/>
    <w:rsid w:val="00BA2EFA"/>
    <w:rsid w:val="00BA3DBC"/>
    <w:rsid w:val="00BA431D"/>
    <w:rsid w:val="00BA5E37"/>
    <w:rsid w:val="00BB05DC"/>
    <w:rsid w:val="00BB19BE"/>
    <w:rsid w:val="00BB1CEF"/>
    <w:rsid w:val="00BB2D8A"/>
    <w:rsid w:val="00BB2DA2"/>
    <w:rsid w:val="00BB40A4"/>
    <w:rsid w:val="00BB56DC"/>
    <w:rsid w:val="00BB5990"/>
    <w:rsid w:val="00BB7E34"/>
    <w:rsid w:val="00BC0855"/>
    <w:rsid w:val="00BC1ADD"/>
    <w:rsid w:val="00BC36A7"/>
    <w:rsid w:val="00BC4685"/>
    <w:rsid w:val="00BD1D14"/>
    <w:rsid w:val="00BD6B2E"/>
    <w:rsid w:val="00BD77E8"/>
    <w:rsid w:val="00BE183D"/>
    <w:rsid w:val="00BE3C09"/>
    <w:rsid w:val="00BE41B0"/>
    <w:rsid w:val="00BE53B5"/>
    <w:rsid w:val="00BE7CE8"/>
    <w:rsid w:val="00BF112E"/>
    <w:rsid w:val="00BF1514"/>
    <w:rsid w:val="00BF1588"/>
    <w:rsid w:val="00BF1D7A"/>
    <w:rsid w:val="00BF2BB2"/>
    <w:rsid w:val="00BF43ED"/>
    <w:rsid w:val="00BF490E"/>
    <w:rsid w:val="00BF5D7A"/>
    <w:rsid w:val="00BF734C"/>
    <w:rsid w:val="00BF768B"/>
    <w:rsid w:val="00BF7FB9"/>
    <w:rsid w:val="00C004BF"/>
    <w:rsid w:val="00C01326"/>
    <w:rsid w:val="00C04903"/>
    <w:rsid w:val="00C0579F"/>
    <w:rsid w:val="00C07487"/>
    <w:rsid w:val="00C07C14"/>
    <w:rsid w:val="00C106F8"/>
    <w:rsid w:val="00C11321"/>
    <w:rsid w:val="00C136D2"/>
    <w:rsid w:val="00C14729"/>
    <w:rsid w:val="00C158D0"/>
    <w:rsid w:val="00C15FE3"/>
    <w:rsid w:val="00C16917"/>
    <w:rsid w:val="00C16AB6"/>
    <w:rsid w:val="00C21BCA"/>
    <w:rsid w:val="00C230E3"/>
    <w:rsid w:val="00C25234"/>
    <w:rsid w:val="00C2621F"/>
    <w:rsid w:val="00C26920"/>
    <w:rsid w:val="00C26B77"/>
    <w:rsid w:val="00C27BB2"/>
    <w:rsid w:val="00C27DDE"/>
    <w:rsid w:val="00C315DC"/>
    <w:rsid w:val="00C31C7A"/>
    <w:rsid w:val="00C32A84"/>
    <w:rsid w:val="00C338DD"/>
    <w:rsid w:val="00C358C6"/>
    <w:rsid w:val="00C35A27"/>
    <w:rsid w:val="00C35F73"/>
    <w:rsid w:val="00C36442"/>
    <w:rsid w:val="00C36960"/>
    <w:rsid w:val="00C371BA"/>
    <w:rsid w:val="00C400CE"/>
    <w:rsid w:val="00C406EA"/>
    <w:rsid w:val="00C410FD"/>
    <w:rsid w:val="00C41363"/>
    <w:rsid w:val="00C42614"/>
    <w:rsid w:val="00C429DA"/>
    <w:rsid w:val="00C43874"/>
    <w:rsid w:val="00C45F54"/>
    <w:rsid w:val="00C4778E"/>
    <w:rsid w:val="00C478E2"/>
    <w:rsid w:val="00C47D7B"/>
    <w:rsid w:val="00C50D87"/>
    <w:rsid w:val="00C519C6"/>
    <w:rsid w:val="00C539FB"/>
    <w:rsid w:val="00C5694C"/>
    <w:rsid w:val="00C57501"/>
    <w:rsid w:val="00C57EBA"/>
    <w:rsid w:val="00C605C3"/>
    <w:rsid w:val="00C608A3"/>
    <w:rsid w:val="00C612A5"/>
    <w:rsid w:val="00C61622"/>
    <w:rsid w:val="00C62421"/>
    <w:rsid w:val="00C64B7F"/>
    <w:rsid w:val="00C65A10"/>
    <w:rsid w:val="00C66501"/>
    <w:rsid w:val="00C76185"/>
    <w:rsid w:val="00C770C1"/>
    <w:rsid w:val="00C7756B"/>
    <w:rsid w:val="00C805A2"/>
    <w:rsid w:val="00C827D5"/>
    <w:rsid w:val="00C83675"/>
    <w:rsid w:val="00C84599"/>
    <w:rsid w:val="00C85AC7"/>
    <w:rsid w:val="00C85D76"/>
    <w:rsid w:val="00C8761B"/>
    <w:rsid w:val="00C96F59"/>
    <w:rsid w:val="00C9741C"/>
    <w:rsid w:val="00C97680"/>
    <w:rsid w:val="00CA1491"/>
    <w:rsid w:val="00CA19CB"/>
    <w:rsid w:val="00CA246D"/>
    <w:rsid w:val="00CA4F16"/>
    <w:rsid w:val="00CB0085"/>
    <w:rsid w:val="00CB0096"/>
    <w:rsid w:val="00CB28E1"/>
    <w:rsid w:val="00CB29FB"/>
    <w:rsid w:val="00CB4E3E"/>
    <w:rsid w:val="00CB5636"/>
    <w:rsid w:val="00CB5D71"/>
    <w:rsid w:val="00CB63F5"/>
    <w:rsid w:val="00CC26DF"/>
    <w:rsid w:val="00CC316E"/>
    <w:rsid w:val="00CC4B39"/>
    <w:rsid w:val="00CC54FC"/>
    <w:rsid w:val="00CC6357"/>
    <w:rsid w:val="00CD12CC"/>
    <w:rsid w:val="00CD5DEA"/>
    <w:rsid w:val="00CD7187"/>
    <w:rsid w:val="00CE0CE2"/>
    <w:rsid w:val="00CE3D6B"/>
    <w:rsid w:val="00CE4CFC"/>
    <w:rsid w:val="00CE5900"/>
    <w:rsid w:val="00CE5B78"/>
    <w:rsid w:val="00CE78CF"/>
    <w:rsid w:val="00CE7E7E"/>
    <w:rsid w:val="00CF1090"/>
    <w:rsid w:val="00CF17B0"/>
    <w:rsid w:val="00CF77D9"/>
    <w:rsid w:val="00CF7C0A"/>
    <w:rsid w:val="00D0060D"/>
    <w:rsid w:val="00D015B3"/>
    <w:rsid w:val="00D0400B"/>
    <w:rsid w:val="00D0473C"/>
    <w:rsid w:val="00D050C4"/>
    <w:rsid w:val="00D10F21"/>
    <w:rsid w:val="00D11187"/>
    <w:rsid w:val="00D12C5B"/>
    <w:rsid w:val="00D14059"/>
    <w:rsid w:val="00D149DC"/>
    <w:rsid w:val="00D15355"/>
    <w:rsid w:val="00D15E08"/>
    <w:rsid w:val="00D17A2E"/>
    <w:rsid w:val="00D21291"/>
    <w:rsid w:val="00D227AB"/>
    <w:rsid w:val="00D22D52"/>
    <w:rsid w:val="00D22F11"/>
    <w:rsid w:val="00D241F0"/>
    <w:rsid w:val="00D25621"/>
    <w:rsid w:val="00D26F71"/>
    <w:rsid w:val="00D27683"/>
    <w:rsid w:val="00D302D0"/>
    <w:rsid w:val="00D3230F"/>
    <w:rsid w:val="00D32A87"/>
    <w:rsid w:val="00D33A22"/>
    <w:rsid w:val="00D34040"/>
    <w:rsid w:val="00D34E69"/>
    <w:rsid w:val="00D365B3"/>
    <w:rsid w:val="00D375EE"/>
    <w:rsid w:val="00D37A5C"/>
    <w:rsid w:val="00D41156"/>
    <w:rsid w:val="00D4252B"/>
    <w:rsid w:val="00D435AA"/>
    <w:rsid w:val="00D4627E"/>
    <w:rsid w:val="00D47CF7"/>
    <w:rsid w:val="00D50A46"/>
    <w:rsid w:val="00D53B7E"/>
    <w:rsid w:val="00D5562F"/>
    <w:rsid w:val="00D62699"/>
    <w:rsid w:val="00D62D21"/>
    <w:rsid w:val="00D63202"/>
    <w:rsid w:val="00D639A2"/>
    <w:rsid w:val="00D648C8"/>
    <w:rsid w:val="00D65A3C"/>
    <w:rsid w:val="00D712F6"/>
    <w:rsid w:val="00D736CD"/>
    <w:rsid w:val="00D73988"/>
    <w:rsid w:val="00D756BB"/>
    <w:rsid w:val="00D76CC2"/>
    <w:rsid w:val="00D80B30"/>
    <w:rsid w:val="00D82078"/>
    <w:rsid w:val="00D82620"/>
    <w:rsid w:val="00D84C3C"/>
    <w:rsid w:val="00D87C51"/>
    <w:rsid w:val="00D9049F"/>
    <w:rsid w:val="00D912F1"/>
    <w:rsid w:val="00D91BA2"/>
    <w:rsid w:val="00D9535B"/>
    <w:rsid w:val="00D96362"/>
    <w:rsid w:val="00D96892"/>
    <w:rsid w:val="00D9725F"/>
    <w:rsid w:val="00DA01B1"/>
    <w:rsid w:val="00DA0330"/>
    <w:rsid w:val="00DA08C2"/>
    <w:rsid w:val="00DA092A"/>
    <w:rsid w:val="00DA0AC8"/>
    <w:rsid w:val="00DA10D8"/>
    <w:rsid w:val="00DA11A2"/>
    <w:rsid w:val="00DA14ED"/>
    <w:rsid w:val="00DA3088"/>
    <w:rsid w:val="00DA58FD"/>
    <w:rsid w:val="00DA6AD0"/>
    <w:rsid w:val="00DA6B33"/>
    <w:rsid w:val="00DA6BC2"/>
    <w:rsid w:val="00DB2EF1"/>
    <w:rsid w:val="00DB3DE1"/>
    <w:rsid w:val="00DB3F6C"/>
    <w:rsid w:val="00DB4A07"/>
    <w:rsid w:val="00DB4D30"/>
    <w:rsid w:val="00DB5DA0"/>
    <w:rsid w:val="00DB6B9D"/>
    <w:rsid w:val="00DB716C"/>
    <w:rsid w:val="00DC1F14"/>
    <w:rsid w:val="00DC2129"/>
    <w:rsid w:val="00DC3071"/>
    <w:rsid w:val="00DC3373"/>
    <w:rsid w:val="00DC3744"/>
    <w:rsid w:val="00DC46EB"/>
    <w:rsid w:val="00DC5C85"/>
    <w:rsid w:val="00DC7E15"/>
    <w:rsid w:val="00DD0789"/>
    <w:rsid w:val="00DD0E21"/>
    <w:rsid w:val="00DD25B0"/>
    <w:rsid w:val="00DD4236"/>
    <w:rsid w:val="00DD4430"/>
    <w:rsid w:val="00DD44F1"/>
    <w:rsid w:val="00DD52B8"/>
    <w:rsid w:val="00DD683C"/>
    <w:rsid w:val="00DD68E2"/>
    <w:rsid w:val="00DE3067"/>
    <w:rsid w:val="00DE4061"/>
    <w:rsid w:val="00DE46BF"/>
    <w:rsid w:val="00DF0CFD"/>
    <w:rsid w:val="00DF2AA1"/>
    <w:rsid w:val="00DF2F73"/>
    <w:rsid w:val="00DF4A7C"/>
    <w:rsid w:val="00DF537B"/>
    <w:rsid w:val="00DF5DFC"/>
    <w:rsid w:val="00DF65E8"/>
    <w:rsid w:val="00DF75F0"/>
    <w:rsid w:val="00DF7BAA"/>
    <w:rsid w:val="00DF7F9B"/>
    <w:rsid w:val="00E00974"/>
    <w:rsid w:val="00E00A8D"/>
    <w:rsid w:val="00E01B7A"/>
    <w:rsid w:val="00E01FA9"/>
    <w:rsid w:val="00E027BC"/>
    <w:rsid w:val="00E03BA1"/>
    <w:rsid w:val="00E0456E"/>
    <w:rsid w:val="00E04DD4"/>
    <w:rsid w:val="00E05E45"/>
    <w:rsid w:val="00E05EF9"/>
    <w:rsid w:val="00E06D4F"/>
    <w:rsid w:val="00E07839"/>
    <w:rsid w:val="00E1107D"/>
    <w:rsid w:val="00E13DF2"/>
    <w:rsid w:val="00E14C1B"/>
    <w:rsid w:val="00E14EA5"/>
    <w:rsid w:val="00E15CB0"/>
    <w:rsid w:val="00E16DFE"/>
    <w:rsid w:val="00E170A8"/>
    <w:rsid w:val="00E17AAF"/>
    <w:rsid w:val="00E21133"/>
    <w:rsid w:val="00E21532"/>
    <w:rsid w:val="00E215F8"/>
    <w:rsid w:val="00E21EDD"/>
    <w:rsid w:val="00E227E1"/>
    <w:rsid w:val="00E2327E"/>
    <w:rsid w:val="00E23390"/>
    <w:rsid w:val="00E25C48"/>
    <w:rsid w:val="00E266EF"/>
    <w:rsid w:val="00E30400"/>
    <w:rsid w:val="00E32498"/>
    <w:rsid w:val="00E40F17"/>
    <w:rsid w:val="00E425AE"/>
    <w:rsid w:val="00E447AC"/>
    <w:rsid w:val="00E4637B"/>
    <w:rsid w:val="00E46566"/>
    <w:rsid w:val="00E469C4"/>
    <w:rsid w:val="00E47428"/>
    <w:rsid w:val="00E47954"/>
    <w:rsid w:val="00E50AAB"/>
    <w:rsid w:val="00E517A7"/>
    <w:rsid w:val="00E51819"/>
    <w:rsid w:val="00E51C1E"/>
    <w:rsid w:val="00E51C5C"/>
    <w:rsid w:val="00E54734"/>
    <w:rsid w:val="00E55C19"/>
    <w:rsid w:val="00E566EF"/>
    <w:rsid w:val="00E5787B"/>
    <w:rsid w:val="00E614F6"/>
    <w:rsid w:val="00E66B9F"/>
    <w:rsid w:val="00E66E07"/>
    <w:rsid w:val="00E66EEC"/>
    <w:rsid w:val="00E677E8"/>
    <w:rsid w:val="00E710D6"/>
    <w:rsid w:val="00E72BC0"/>
    <w:rsid w:val="00E73AC2"/>
    <w:rsid w:val="00E74EBE"/>
    <w:rsid w:val="00E7500C"/>
    <w:rsid w:val="00E76E45"/>
    <w:rsid w:val="00E7759E"/>
    <w:rsid w:val="00E777C9"/>
    <w:rsid w:val="00E80B75"/>
    <w:rsid w:val="00E81DA6"/>
    <w:rsid w:val="00E826F0"/>
    <w:rsid w:val="00E82E96"/>
    <w:rsid w:val="00E84212"/>
    <w:rsid w:val="00E84440"/>
    <w:rsid w:val="00E84C61"/>
    <w:rsid w:val="00E87136"/>
    <w:rsid w:val="00E9086C"/>
    <w:rsid w:val="00E90EA7"/>
    <w:rsid w:val="00E90F12"/>
    <w:rsid w:val="00E9140A"/>
    <w:rsid w:val="00E91A0F"/>
    <w:rsid w:val="00E922C6"/>
    <w:rsid w:val="00E926B8"/>
    <w:rsid w:val="00E92F12"/>
    <w:rsid w:val="00E937AC"/>
    <w:rsid w:val="00E939FA"/>
    <w:rsid w:val="00E94A71"/>
    <w:rsid w:val="00E96297"/>
    <w:rsid w:val="00EA03CE"/>
    <w:rsid w:val="00EA0E6D"/>
    <w:rsid w:val="00EA23E5"/>
    <w:rsid w:val="00EA4241"/>
    <w:rsid w:val="00EA4E2E"/>
    <w:rsid w:val="00EA605D"/>
    <w:rsid w:val="00EA61EC"/>
    <w:rsid w:val="00EA647A"/>
    <w:rsid w:val="00EA6AA9"/>
    <w:rsid w:val="00EB0329"/>
    <w:rsid w:val="00EB1EA4"/>
    <w:rsid w:val="00EB2CCB"/>
    <w:rsid w:val="00EB453A"/>
    <w:rsid w:val="00EC0500"/>
    <w:rsid w:val="00EC10FB"/>
    <w:rsid w:val="00EC13FF"/>
    <w:rsid w:val="00EC1BE6"/>
    <w:rsid w:val="00EC4375"/>
    <w:rsid w:val="00EC55ED"/>
    <w:rsid w:val="00EC57A7"/>
    <w:rsid w:val="00ED0817"/>
    <w:rsid w:val="00ED15A3"/>
    <w:rsid w:val="00ED1847"/>
    <w:rsid w:val="00ED439B"/>
    <w:rsid w:val="00ED4E89"/>
    <w:rsid w:val="00ED6537"/>
    <w:rsid w:val="00ED6C4A"/>
    <w:rsid w:val="00ED6CCB"/>
    <w:rsid w:val="00ED6F1F"/>
    <w:rsid w:val="00ED7DD9"/>
    <w:rsid w:val="00EE08BC"/>
    <w:rsid w:val="00EE1505"/>
    <w:rsid w:val="00EE4207"/>
    <w:rsid w:val="00EE642E"/>
    <w:rsid w:val="00EE6EBB"/>
    <w:rsid w:val="00EF06D2"/>
    <w:rsid w:val="00EF19A7"/>
    <w:rsid w:val="00EF235A"/>
    <w:rsid w:val="00EF28D0"/>
    <w:rsid w:val="00EF3113"/>
    <w:rsid w:val="00EF3AD7"/>
    <w:rsid w:val="00EF3F84"/>
    <w:rsid w:val="00EF62FA"/>
    <w:rsid w:val="00EF6699"/>
    <w:rsid w:val="00EF74E5"/>
    <w:rsid w:val="00EF7955"/>
    <w:rsid w:val="00F00B58"/>
    <w:rsid w:val="00F015F7"/>
    <w:rsid w:val="00F05574"/>
    <w:rsid w:val="00F116EF"/>
    <w:rsid w:val="00F141F3"/>
    <w:rsid w:val="00F14D54"/>
    <w:rsid w:val="00F15DBD"/>
    <w:rsid w:val="00F1635D"/>
    <w:rsid w:val="00F176AC"/>
    <w:rsid w:val="00F17EF4"/>
    <w:rsid w:val="00F217C0"/>
    <w:rsid w:val="00F21ED9"/>
    <w:rsid w:val="00F22194"/>
    <w:rsid w:val="00F22C46"/>
    <w:rsid w:val="00F252DD"/>
    <w:rsid w:val="00F27714"/>
    <w:rsid w:val="00F277D5"/>
    <w:rsid w:val="00F31555"/>
    <w:rsid w:val="00F3276E"/>
    <w:rsid w:val="00F32988"/>
    <w:rsid w:val="00F329F3"/>
    <w:rsid w:val="00F32E9E"/>
    <w:rsid w:val="00F33490"/>
    <w:rsid w:val="00F33D3C"/>
    <w:rsid w:val="00F354DD"/>
    <w:rsid w:val="00F35F7E"/>
    <w:rsid w:val="00F36630"/>
    <w:rsid w:val="00F37A91"/>
    <w:rsid w:val="00F412E8"/>
    <w:rsid w:val="00F43DEC"/>
    <w:rsid w:val="00F44E4A"/>
    <w:rsid w:val="00F45CF5"/>
    <w:rsid w:val="00F46AFC"/>
    <w:rsid w:val="00F47DB0"/>
    <w:rsid w:val="00F50E34"/>
    <w:rsid w:val="00F52DD3"/>
    <w:rsid w:val="00F52F77"/>
    <w:rsid w:val="00F53EF7"/>
    <w:rsid w:val="00F5411E"/>
    <w:rsid w:val="00F54BF2"/>
    <w:rsid w:val="00F554B3"/>
    <w:rsid w:val="00F62540"/>
    <w:rsid w:val="00F661E6"/>
    <w:rsid w:val="00F66399"/>
    <w:rsid w:val="00F663C0"/>
    <w:rsid w:val="00F7038E"/>
    <w:rsid w:val="00F7237D"/>
    <w:rsid w:val="00F72F43"/>
    <w:rsid w:val="00F732B1"/>
    <w:rsid w:val="00F81429"/>
    <w:rsid w:val="00F81A15"/>
    <w:rsid w:val="00F847C1"/>
    <w:rsid w:val="00F84B13"/>
    <w:rsid w:val="00F8560D"/>
    <w:rsid w:val="00F86D0F"/>
    <w:rsid w:val="00F87336"/>
    <w:rsid w:val="00F905E9"/>
    <w:rsid w:val="00F90FD9"/>
    <w:rsid w:val="00F91770"/>
    <w:rsid w:val="00F92355"/>
    <w:rsid w:val="00F926C4"/>
    <w:rsid w:val="00F93963"/>
    <w:rsid w:val="00F94291"/>
    <w:rsid w:val="00F948E1"/>
    <w:rsid w:val="00F94E40"/>
    <w:rsid w:val="00F96516"/>
    <w:rsid w:val="00FA12C9"/>
    <w:rsid w:val="00FA2B2B"/>
    <w:rsid w:val="00FA2B95"/>
    <w:rsid w:val="00FA2FF3"/>
    <w:rsid w:val="00FA5036"/>
    <w:rsid w:val="00FA6866"/>
    <w:rsid w:val="00FB31A2"/>
    <w:rsid w:val="00FB337A"/>
    <w:rsid w:val="00FB4106"/>
    <w:rsid w:val="00FB4845"/>
    <w:rsid w:val="00FB5D3C"/>
    <w:rsid w:val="00FB6F34"/>
    <w:rsid w:val="00FB7982"/>
    <w:rsid w:val="00FC067B"/>
    <w:rsid w:val="00FC0734"/>
    <w:rsid w:val="00FC0FC5"/>
    <w:rsid w:val="00FC139F"/>
    <w:rsid w:val="00FC1402"/>
    <w:rsid w:val="00FC26F9"/>
    <w:rsid w:val="00FC3D97"/>
    <w:rsid w:val="00FC3FD0"/>
    <w:rsid w:val="00FC433B"/>
    <w:rsid w:val="00FC4CEF"/>
    <w:rsid w:val="00FC588F"/>
    <w:rsid w:val="00FD1199"/>
    <w:rsid w:val="00FD1AC8"/>
    <w:rsid w:val="00FD1C8B"/>
    <w:rsid w:val="00FD2724"/>
    <w:rsid w:val="00FD3213"/>
    <w:rsid w:val="00FD5B31"/>
    <w:rsid w:val="00FD5C31"/>
    <w:rsid w:val="00FE0782"/>
    <w:rsid w:val="00FE17BD"/>
    <w:rsid w:val="00FE1B30"/>
    <w:rsid w:val="00FE1E78"/>
    <w:rsid w:val="00FE4B0E"/>
    <w:rsid w:val="00FE5585"/>
    <w:rsid w:val="00FE71B4"/>
    <w:rsid w:val="00FE7B44"/>
    <w:rsid w:val="00FF20E0"/>
    <w:rsid w:val="00FF3F61"/>
    <w:rsid w:val="00FF5FF1"/>
    <w:rsid w:val="00FF726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footnote text" w:qFormat="1"/>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Body Text" w:qFormat="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F81429"/>
    <w:pPr>
      <w:spacing w:line="360" w:lineRule="auto"/>
      <w:jc w:val="both"/>
    </w:pPr>
    <w:rPr>
      <w:sz w:val="24"/>
      <w:lang w:eastAsia="en-US"/>
    </w:rPr>
  </w:style>
  <w:style w:type="paragraph" w:styleId="Heading1">
    <w:name w:val="heading 1"/>
    <w:basedOn w:val="Normal"/>
    <w:next w:val="ParaNumbering"/>
    <w:qFormat/>
    <w:rsid w:val="00F81429"/>
    <w:pPr>
      <w:keepNext/>
      <w:spacing w:before="240" w:after="60" w:line="240" w:lineRule="auto"/>
      <w:outlineLvl w:val="0"/>
    </w:pPr>
    <w:rPr>
      <w:b/>
      <w:caps/>
      <w:kern w:val="28"/>
    </w:rPr>
  </w:style>
  <w:style w:type="paragraph" w:styleId="Heading2">
    <w:name w:val="heading 2"/>
    <w:basedOn w:val="Normal"/>
    <w:next w:val="ParaNumbering"/>
    <w:qFormat/>
    <w:rsid w:val="00F81429"/>
    <w:pPr>
      <w:keepNext/>
      <w:spacing w:before="240" w:after="60" w:line="240" w:lineRule="auto"/>
      <w:outlineLvl w:val="1"/>
    </w:pPr>
    <w:rPr>
      <w:b/>
      <w:szCs w:val="24"/>
    </w:rPr>
  </w:style>
  <w:style w:type="paragraph" w:styleId="Heading3">
    <w:name w:val="heading 3"/>
    <w:basedOn w:val="Normal"/>
    <w:next w:val="ParaNumbering"/>
    <w:link w:val="Heading3Char"/>
    <w:qFormat/>
    <w:rsid w:val="00F81429"/>
    <w:pPr>
      <w:keepNext/>
      <w:spacing w:before="240" w:after="60" w:line="240" w:lineRule="auto"/>
      <w:outlineLvl w:val="2"/>
    </w:pPr>
    <w:rPr>
      <w:b/>
      <w:i/>
    </w:rPr>
  </w:style>
  <w:style w:type="paragraph" w:styleId="Heading4">
    <w:name w:val="heading 4"/>
    <w:basedOn w:val="Normal"/>
    <w:next w:val="ParaNumbering"/>
    <w:link w:val="Heading4Char"/>
    <w:qFormat/>
    <w:rsid w:val="00F81429"/>
    <w:pPr>
      <w:keepNext/>
      <w:spacing w:before="240" w:after="60" w:line="240" w:lineRule="auto"/>
      <w:jc w:val="left"/>
      <w:outlineLvl w:val="3"/>
    </w:pPr>
    <w:rPr>
      <w:i/>
      <w:szCs w:val="24"/>
    </w:rPr>
  </w:style>
  <w:style w:type="paragraph" w:styleId="Heading5">
    <w:name w:val="heading 5"/>
    <w:basedOn w:val="fcHeading1"/>
    <w:next w:val="ParaNumbering"/>
    <w:qFormat/>
    <w:rsid w:val="00F81429"/>
    <w:pPr>
      <w:outlineLvl w:val="4"/>
    </w:pPr>
    <w:rPr>
      <w:caps w:val="0"/>
    </w:rPr>
  </w:style>
  <w:style w:type="paragraph" w:styleId="Heading6">
    <w:name w:val="heading 6"/>
    <w:basedOn w:val="fcHeading2"/>
    <w:next w:val="ParaNumbering"/>
    <w:qFormat/>
    <w:rsid w:val="00F81429"/>
    <w:pPr>
      <w:outlineLvl w:val="5"/>
    </w:pPr>
  </w:style>
  <w:style w:type="paragraph" w:styleId="Heading7">
    <w:name w:val="heading 7"/>
    <w:basedOn w:val="fcHeading3"/>
    <w:next w:val="ParaNumbering"/>
    <w:qFormat/>
    <w:rsid w:val="00F81429"/>
    <w:pPr>
      <w:outlineLvl w:val="6"/>
    </w:pPr>
    <w:rPr>
      <w:i w:val="0"/>
    </w:rPr>
  </w:style>
  <w:style w:type="paragraph" w:styleId="Heading8">
    <w:name w:val="heading 8"/>
    <w:basedOn w:val="fcHeading4"/>
    <w:next w:val="ParaNumbering"/>
    <w:rsid w:val="00F81429"/>
    <w:pPr>
      <w:outlineLvl w:val="7"/>
    </w:pPr>
    <w:rPr>
      <w:smallCaps w:val="0"/>
    </w:rPr>
  </w:style>
  <w:style w:type="paragraph" w:styleId="Heading9">
    <w:name w:val="heading 9"/>
    <w:basedOn w:val="fcHeading5"/>
    <w:next w:val="ParaNumbering"/>
    <w:rsid w:val="00F81429"/>
    <w:pPr>
      <w:outlineLvl w:val="8"/>
    </w:pPr>
    <w:rPr>
      <w:caps w:val="0"/>
    </w:rPr>
  </w:style>
  <w:style w:type="character" w:default="1" w:styleId="DefaultParagraphFont">
    <w:name w:val="Default Paragraph Font"/>
    <w:uiPriority w:val="1"/>
    <w:semiHidden/>
    <w:unhideWhenUsed/>
    <w:rsid w:val="00F8142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F81429"/>
  </w:style>
  <w:style w:type="paragraph" w:customStyle="1" w:styleId="OrdersPage">
    <w:name w:val="OrdersPage"/>
    <w:basedOn w:val="Normal"/>
    <w:semiHidden/>
    <w:rsid w:val="00F81429"/>
    <w:pPr>
      <w:spacing w:line="240" w:lineRule="auto"/>
    </w:pPr>
  </w:style>
  <w:style w:type="paragraph" w:styleId="Header">
    <w:name w:val="header"/>
    <w:basedOn w:val="Normal"/>
    <w:link w:val="HeaderChar"/>
    <w:rsid w:val="00F81429"/>
    <w:pPr>
      <w:tabs>
        <w:tab w:val="center" w:pos="4320"/>
        <w:tab w:val="right" w:pos="8640"/>
      </w:tabs>
    </w:pPr>
  </w:style>
  <w:style w:type="paragraph" w:styleId="Footer">
    <w:name w:val="footer"/>
    <w:basedOn w:val="Normal"/>
    <w:semiHidden/>
    <w:rsid w:val="00F81429"/>
    <w:pPr>
      <w:tabs>
        <w:tab w:val="center" w:pos="4320"/>
        <w:tab w:val="right" w:pos="8640"/>
      </w:tabs>
    </w:pPr>
  </w:style>
  <w:style w:type="paragraph" w:customStyle="1" w:styleId="ParaNumbering">
    <w:name w:val="ParaNumbering"/>
    <w:basedOn w:val="Normal"/>
    <w:rsid w:val="00F81429"/>
    <w:pPr>
      <w:numPr>
        <w:numId w:val="1"/>
      </w:numPr>
      <w:tabs>
        <w:tab w:val="clear" w:pos="720"/>
      </w:tabs>
      <w:spacing w:before="180" w:after="180"/>
    </w:pPr>
  </w:style>
  <w:style w:type="paragraph" w:customStyle="1" w:styleId="Quote1">
    <w:name w:val="Quote1"/>
    <w:rsid w:val="00F81429"/>
    <w:pPr>
      <w:widowControl w:val="0"/>
      <w:spacing w:after="180"/>
      <w:ind w:left="737" w:right="737"/>
      <w:jc w:val="both"/>
    </w:pPr>
    <w:rPr>
      <w:sz w:val="22"/>
      <w:lang w:eastAsia="en-US"/>
    </w:rPr>
  </w:style>
  <w:style w:type="paragraph" w:customStyle="1" w:styleId="NormalHeadings">
    <w:name w:val="Normal Headings"/>
    <w:link w:val="NormalHeadingsChar"/>
    <w:rsid w:val="00F81429"/>
    <w:pPr>
      <w:widowControl w:val="0"/>
      <w:jc w:val="both"/>
    </w:pPr>
    <w:rPr>
      <w:b/>
      <w:sz w:val="24"/>
      <w:lang w:eastAsia="en-US"/>
    </w:rPr>
  </w:style>
  <w:style w:type="table" w:styleId="TableGrid">
    <w:name w:val="Table Grid"/>
    <w:basedOn w:val="TableNormal"/>
    <w:semiHidden/>
    <w:rsid w:val="00F81429"/>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rsid w:val="00F81429"/>
    <w:pPr>
      <w:spacing w:before="20" w:after="20"/>
      <w:jc w:val="center"/>
    </w:pPr>
    <w:rPr>
      <w:b/>
      <w:sz w:val="26"/>
    </w:rPr>
  </w:style>
  <w:style w:type="paragraph" w:customStyle="1" w:styleId="Normal1linespace">
    <w:name w:val="Normal1linespace"/>
    <w:basedOn w:val="Normal"/>
    <w:rsid w:val="00F81429"/>
    <w:pPr>
      <w:spacing w:line="240" w:lineRule="auto"/>
    </w:pPr>
  </w:style>
  <w:style w:type="paragraph" w:styleId="BalloonText">
    <w:name w:val="Balloon Text"/>
    <w:basedOn w:val="Normal"/>
    <w:link w:val="BalloonTextChar"/>
    <w:semiHidden/>
    <w:rsid w:val="00F81429"/>
    <w:rPr>
      <w:rFonts w:ascii="Tahoma" w:hAnsi="Tahoma" w:cs="Tahoma"/>
      <w:sz w:val="16"/>
      <w:szCs w:val="16"/>
    </w:rPr>
  </w:style>
  <w:style w:type="paragraph" w:customStyle="1" w:styleId="StyleBold">
    <w:name w:val="Style Bold"/>
    <w:basedOn w:val="Normal"/>
    <w:next w:val="BodyText"/>
    <w:semiHidden/>
    <w:rsid w:val="00F81429"/>
    <w:rPr>
      <w:szCs w:val="24"/>
    </w:rPr>
  </w:style>
  <w:style w:type="paragraph" w:customStyle="1" w:styleId="Bold">
    <w:name w:val="Bold"/>
    <w:basedOn w:val="Normal"/>
    <w:next w:val="Normal"/>
    <w:semiHidden/>
    <w:rsid w:val="00F81429"/>
    <w:pPr>
      <w:suppressAutoHyphens/>
      <w:jc w:val="left"/>
    </w:pPr>
    <w:rPr>
      <w:b/>
      <w:szCs w:val="24"/>
    </w:rPr>
  </w:style>
  <w:style w:type="paragraph" w:customStyle="1" w:styleId="Certify">
    <w:name w:val="Certify"/>
    <w:basedOn w:val="Normal"/>
    <w:link w:val="CertifyChar"/>
    <w:semiHidden/>
    <w:rsid w:val="00F81429"/>
    <w:pPr>
      <w:spacing w:line="240" w:lineRule="auto"/>
    </w:pPr>
    <w:rPr>
      <w:szCs w:val="24"/>
    </w:rPr>
  </w:style>
  <w:style w:type="character" w:styleId="CommentReference">
    <w:name w:val="annotation reference"/>
    <w:semiHidden/>
    <w:rsid w:val="00F81429"/>
    <w:rPr>
      <w:sz w:val="16"/>
      <w:szCs w:val="16"/>
    </w:rPr>
  </w:style>
  <w:style w:type="paragraph" w:styleId="CommentText">
    <w:name w:val="annotation text"/>
    <w:basedOn w:val="Normal"/>
    <w:semiHidden/>
    <w:rsid w:val="00F81429"/>
    <w:rPr>
      <w:sz w:val="20"/>
    </w:rPr>
  </w:style>
  <w:style w:type="paragraph" w:styleId="CommentSubject">
    <w:name w:val="annotation subject"/>
    <w:basedOn w:val="CommentText"/>
    <w:next w:val="CommentText"/>
    <w:semiHidden/>
    <w:rsid w:val="00F81429"/>
    <w:rPr>
      <w:b/>
      <w:bCs/>
    </w:rPr>
  </w:style>
  <w:style w:type="paragraph" w:customStyle="1" w:styleId="FCBullets">
    <w:name w:val="FCBullets"/>
    <w:basedOn w:val="Normal"/>
    <w:rsid w:val="00F81429"/>
    <w:pPr>
      <w:numPr>
        <w:numId w:val="2"/>
      </w:numPr>
      <w:spacing w:before="60" w:after="60"/>
    </w:pPr>
  </w:style>
  <w:style w:type="paragraph" w:customStyle="1" w:styleId="JudgeStyle">
    <w:name w:val="JudgeStyle"/>
    <w:basedOn w:val="Heading1"/>
    <w:next w:val="ParaNumbering"/>
    <w:semiHidden/>
    <w:rsid w:val="00F81429"/>
  </w:style>
  <w:style w:type="paragraph" w:styleId="TOC1">
    <w:name w:val="toc 1"/>
    <w:basedOn w:val="Normal"/>
    <w:next w:val="Normal"/>
    <w:autoRedefine/>
    <w:semiHidden/>
    <w:rsid w:val="00F81429"/>
    <w:pPr>
      <w:tabs>
        <w:tab w:val="right" w:leader="dot" w:pos="9071"/>
      </w:tabs>
    </w:pPr>
  </w:style>
  <w:style w:type="paragraph" w:styleId="TOC2">
    <w:name w:val="toc 2"/>
    <w:basedOn w:val="Normal"/>
    <w:next w:val="Normal"/>
    <w:autoRedefine/>
    <w:semiHidden/>
    <w:rsid w:val="00F81429"/>
    <w:pPr>
      <w:tabs>
        <w:tab w:val="right" w:leader="dot" w:pos="9071"/>
      </w:tabs>
      <w:ind w:left="240"/>
    </w:pPr>
  </w:style>
  <w:style w:type="paragraph" w:styleId="TOC3">
    <w:name w:val="toc 3"/>
    <w:basedOn w:val="Normal"/>
    <w:next w:val="Normal"/>
    <w:autoRedefine/>
    <w:semiHidden/>
    <w:rsid w:val="00F81429"/>
    <w:pPr>
      <w:tabs>
        <w:tab w:val="right" w:leader="dot" w:pos="9071"/>
      </w:tabs>
      <w:ind w:left="480"/>
    </w:pPr>
  </w:style>
  <w:style w:type="paragraph" w:styleId="TOC4">
    <w:name w:val="toc 4"/>
    <w:basedOn w:val="Normal"/>
    <w:next w:val="Normal"/>
    <w:autoRedefine/>
    <w:semiHidden/>
    <w:rsid w:val="00F81429"/>
    <w:pPr>
      <w:tabs>
        <w:tab w:val="right" w:leader="dot" w:pos="9071"/>
      </w:tabs>
      <w:ind w:left="720"/>
    </w:pPr>
  </w:style>
  <w:style w:type="paragraph" w:customStyle="1" w:styleId="NoNum">
    <w:name w:val="No Num"/>
    <w:basedOn w:val="Normal1linespace"/>
    <w:rsid w:val="00F81429"/>
    <w:pPr>
      <w:spacing w:before="120" w:after="180" w:line="360" w:lineRule="auto"/>
    </w:pPr>
  </w:style>
  <w:style w:type="paragraph" w:customStyle="1" w:styleId="AppealTable">
    <w:name w:val="AppealTable"/>
    <w:basedOn w:val="Normal"/>
    <w:unhideWhenUsed/>
    <w:rsid w:val="00F81429"/>
    <w:pPr>
      <w:spacing w:line="240" w:lineRule="auto"/>
      <w:jc w:val="left"/>
    </w:pPr>
    <w:rPr>
      <w:b/>
      <w:caps/>
      <w:sz w:val="22"/>
      <w:szCs w:val="22"/>
    </w:rPr>
  </w:style>
  <w:style w:type="paragraph" w:customStyle="1" w:styleId="Quote3">
    <w:name w:val="Quote3"/>
    <w:basedOn w:val="Quote1"/>
    <w:rsid w:val="00F81429"/>
    <w:pPr>
      <w:ind w:left="2160"/>
    </w:pPr>
  </w:style>
  <w:style w:type="paragraph" w:customStyle="1" w:styleId="Quote2">
    <w:name w:val="Quote2"/>
    <w:basedOn w:val="Quote1"/>
    <w:rsid w:val="00F81429"/>
    <w:pPr>
      <w:ind w:left="1440"/>
    </w:pPr>
  </w:style>
  <w:style w:type="paragraph" w:customStyle="1" w:styleId="FTOC1">
    <w:name w:val="FTOC 1"/>
    <w:basedOn w:val="Normal"/>
    <w:semiHidden/>
    <w:rsid w:val="00F81429"/>
    <w:pPr>
      <w:tabs>
        <w:tab w:val="right" w:leader="dot" w:pos="9072"/>
      </w:tabs>
      <w:spacing w:before="120" w:after="60" w:line="240" w:lineRule="auto"/>
    </w:pPr>
    <w:rPr>
      <w:b/>
      <w:kern w:val="28"/>
    </w:rPr>
  </w:style>
  <w:style w:type="paragraph" w:customStyle="1" w:styleId="ListNo1">
    <w:name w:val="List No 1"/>
    <w:basedOn w:val="Normal"/>
    <w:rsid w:val="00F81429"/>
    <w:pPr>
      <w:numPr>
        <w:numId w:val="37"/>
      </w:numPr>
      <w:spacing w:before="60" w:after="60"/>
    </w:pPr>
  </w:style>
  <w:style w:type="paragraph" w:customStyle="1" w:styleId="FTOC2">
    <w:name w:val="FTOC 2"/>
    <w:basedOn w:val="Normal"/>
    <w:semiHidden/>
    <w:rsid w:val="00F81429"/>
    <w:pPr>
      <w:tabs>
        <w:tab w:val="right" w:leader="dot" w:pos="9072"/>
      </w:tabs>
      <w:spacing w:before="120" w:after="60" w:line="240" w:lineRule="auto"/>
      <w:ind w:left="238"/>
    </w:pPr>
    <w:rPr>
      <w:b/>
    </w:rPr>
  </w:style>
  <w:style w:type="paragraph" w:customStyle="1" w:styleId="FTOC3">
    <w:name w:val="FTOC 3"/>
    <w:basedOn w:val="Normal"/>
    <w:semiHidden/>
    <w:rsid w:val="00F81429"/>
    <w:pPr>
      <w:tabs>
        <w:tab w:val="right" w:leader="dot" w:pos="9072"/>
      </w:tabs>
      <w:spacing w:before="120" w:after="60" w:line="240" w:lineRule="auto"/>
      <w:ind w:left="482"/>
    </w:pPr>
    <w:rPr>
      <w:b/>
      <w:i/>
    </w:rPr>
  </w:style>
  <w:style w:type="paragraph" w:customStyle="1" w:styleId="FTOC4">
    <w:name w:val="FTOC 4"/>
    <w:basedOn w:val="Normal"/>
    <w:semiHidden/>
    <w:rsid w:val="00F81429"/>
    <w:pPr>
      <w:tabs>
        <w:tab w:val="right" w:leader="dot" w:pos="9072"/>
      </w:tabs>
      <w:spacing w:before="120" w:after="60" w:line="240" w:lineRule="auto"/>
      <w:ind w:left="720"/>
    </w:pPr>
    <w:rPr>
      <w:i/>
    </w:rPr>
  </w:style>
  <w:style w:type="paragraph" w:styleId="TOC5">
    <w:name w:val="toc 5"/>
    <w:basedOn w:val="Normal"/>
    <w:next w:val="Normal"/>
    <w:autoRedefine/>
    <w:semiHidden/>
    <w:rsid w:val="00F81429"/>
    <w:pPr>
      <w:tabs>
        <w:tab w:val="right" w:leader="dot" w:pos="9072"/>
      </w:tabs>
      <w:ind w:left="960"/>
    </w:pPr>
  </w:style>
  <w:style w:type="numbering" w:styleId="111111">
    <w:name w:val="Outline List 2"/>
    <w:basedOn w:val="NoList"/>
    <w:semiHidden/>
    <w:rsid w:val="00F81429"/>
    <w:pPr>
      <w:numPr>
        <w:numId w:val="13"/>
      </w:numPr>
    </w:pPr>
  </w:style>
  <w:style w:type="numbering" w:styleId="1ai">
    <w:name w:val="Outline List 1"/>
    <w:basedOn w:val="NoList"/>
    <w:semiHidden/>
    <w:rsid w:val="00F81429"/>
    <w:pPr>
      <w:numPr>
        <w:numId w:val="14"/>
      </w:numPr>
    </w:pPr>
  </w:style>
  <w:style w:type="numbering" w:styleId="ArticleSection">
    <w:name w:val="Outline List 3"/>
    <w:basedOn w:val="NoList"/>
    <w:semiHidden/>
    <w:rsid w:val="00F81429"/>
    <w:pPr>
      <w:numPr>
        <w:numId w:val="15"/>
      </w:numPr>
    </w:pPr>
  </w:style>
  <w:style w:type="paragraph" w:styleId="BodyText">
    <w:name w:val="Body Text"/>
    <w:basedOn w:val="Normal"/>
    <w:link w:val="BodyTextChar"/>
    <w:qFormat/>
    <w:rsid w:val="00F81429"/>
  </w:style>
  <w:style w:type="paragraph" w:styleId="BodyText2">
    <w:name w:val="Body Text 2"/>
    <w:basedOn w:val="Normal"/>
    <w:semiHidden/>
    <w:rsid w:val="00F81429"/>
    <w:pPr>
      <w:spacing w:after="120" w:line="480" w:lineRule="auto"/>
    </w:pPr>
  </w:style>
  <w:style w:type="paragraph" w:styleId="BodyText3">
    <w:name w:val="Body Text 3"/>
    <w:basedOn w:val="Normal"/>
    <w:semiHidden/>
    <w:rsid w:val="00F81429"/>
    <w:pPr>
      <w:spacing w:after="120"/>
    </w:pPr>
    <w:rPr>
      <w:sz w:val="16"/>
      <w:szCs w:val="16"/>
    </w:rPr>
  </w:style>
  <w:style w:type="paragraph" w:styleId="BodyTextFirstIndent">
    <w:name w:val="Body Text First Indent"/>
    <w:basedOn w:val="BodyText"/>
    <w:semiHidden/>
    <w:rsid w:val="00F81429"/>
    <w:pPr>
      <w:ind w:firstLine="210"/>
    </w:pPr>
  </w:style>
  <w:style w:type="paragraph" w:styleId="BodyTextIndent">
    <w:name w:val="Body Text Indent"/>
    <w:basedOn w:val="Normal"/>
    <w:semiHidden/>
    <w:rsid w:val="00F81429"/>
    <w:pPr>
      <w:spacing w:after="120"/>
      <w:ind w:left="283"/>
    </w:pPr>
  </w:style>
  <w:style w:type="paragraph" w:styleId="BodyTextFirstIndent2">
    <w:name w:val="Body Text First Indent 2"/>
    <w:basedOn w:val="BodyTextIndent"/>
    <w:semiHidden/>
    <w:rsid w:val="00F81429"/>
    <w:pPr>
      <w:ind w:firstLine="210"/>
    </w:pPr>
  </w:style>
  <w:style w:type="paragraph" w:styleId="BodyTextIndent2">
    <w:name w:val="Body Text Indent 2"/>
    <w:basedOn w:val="Normal"/>
    <w:semiHidden/>
    <w:rsid w:val="00F81429"/>
    <w:pPr>
      <w:spacing w:after="120" w:line="480" w:lineRule="auto"/>
      <w:ind w:left="283"/>
    </w:pPr>
  </w:style>
  <w:style w:type="paragraph" w:styleId="BodyTextIndent3">
    <w:name w:val="Body Text Indent 3"/>
    <w:basedOn w:val="Normal"/>
    <w:semiHidden/>
    <w:rsid w:val="00F81429"/>
    <w:pPr>
      <w:spacing w:after="120"/>
      <w:ind w:left="283"/>
    </w:pPr>
    <w:rPr>
      <w:sz w:val="16"/>
      <w:szCs w:val="16"/>
    </w:rPr>
  </w:style>
  <w:style w:type="paragraph" w:styleId="Closing">
    <w:name w:val="Closing"/>
    <w:basedOn w:val="Normal"/>
    <w:semiHidden/>
    <w:rsid w:val="00F81429"/>
    <w:pPr>
      <w:ind w:left="4252"/>
    </w:pPr>
  </w:style>
  <w:style w:type="paragraph" w:styleId="Date">
    <w:name w:val="Date"/>
    <w:basedOn w:val="Normal"/>
    <w:next w:val="Normal"/>
    <w:semiHidden/>
    <w:rsid w:val="00F81429"/>
  </w:style>
  <w:style w:type="paragraph" w:styleId="E-mailSignature">
    <w:name w:val="E-mail Signature"/>
    <w:basedOn w:val="Normal"/>
    <w:semiHidden/>
    <w:rsid w:val="00F81429"/>
  </w:style>
  <w:style w:type="character" w:styleId="Emphasis">
    <w:name w:val="Emphasis"/>
    <w:rsid w:val="00F81429"/>
    <w:rPr>
      <w:i/>
      <w:iCs/>
    </w:rPr>
  </w:style>
  <w:style w:type="paragraph" w:styleId="EnvelopeAddress">
    <w:name w:val="envelope address"/>
    <w:basedOn w:val="Normal"/>
    <w:semiHidden/>
    <w:rsid w:val="00F81429"/>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sid w:val="00F81429"/>
    <w:rPr>
      <w:rFonts w:ascii="Arial" w:hAnsi="Arial" w:cs="Arial"/>
      <w:sz w:val="20"/>
    </w:rPr>
  </w:style>
  <w:style w:type="character" w:styleId="FollowedHyperlink">
    <w:name w:val="FollowedHyperlink"/>
    <w:semiHidden/>
    <w:rsid w:val="00F81429"/>
    <w:rPr>
      <w:color w:val="800080"/>
      <w:u w:val="single"/>
    </w:rPr>
  </w:style>
  <w:style w:type="character" w:styleId="HTMLAcronym">
    <w:name w:val="HTML Acronym"/>
    <w:basedOn w:val="DefaultParagraphFont"/>
    <w:semiHidden/>
    <w:rsid w:val="00F81429"/>
  </w:style>
  <w:style w:type="paragraph" w:styleId="HTMLAddress">
    <w:name w:val="HTML Address"/>
    <w:basedOn w:val="Normal"/>
    <w:semiHidden/>
    <w:rsid w:val="00F81429"/>
    <w:rPr>
      <w:i/>
      <w:iCs/>
    </w:rPr>
  </w:style>
  <w:style w:type="character" w:styleId="HTMLCite">
    <w:name w:val="HTML Cite"/>
    <w:semiHidden/>
    <w:rsid w:val="00F81429"/>
    <w:rPr>
      <w:i/>
      <w:iCs/>
    </w:rPr>
  </w:style>
  <w:style w:type="character" w:styleId="HTMLCode">
    <w:name w:val="HTML Code"/>
    <w:semiHidden/>
    <w:rsid w:val="00F81429"/>
    <w:rPr>
      <w:rFonts w:ascii="Courier New" w:hAnsi="Courier New" w:cs="Courier New"/>
      <w:sz w:val="20"/>
      <w:szCs w:val="20"/>
    </w:rPr>
  </w:style>
  <w:style w:type="character" w:styleId="HTMLDefinition">
    <w:name w:val="HTML Definition"/>
    <w:semiHidden/>
    <w:rsid w:val="00F81429"/>
    <w:rPr>
      <w:i/>
      <w:iCs/>
    </w:rPr>
  </w:style>
  <w:style w:type="character" w:styleId="HTMLKeyboard">
    <w:name w:val="HTML Keyboard"/>
    <w:semiHidden/>
    <w:rsid w:val="00F81429"/>
    <w:rPr>
      <w:rFonts w:ascii="Courier New" w:hAnsi="Courier New" w:cs="Courier New"/>
      <w:sz w:val="20"/>
      <w:szCs w:val="20"/>
    </w:rPr>
  </w:style>
  <w:style w:type="paragraph" w:styleId="HTMLPreformatted">
    <w:name w:val="HTML Preformatted"/>
    <w:basedOn w:val="Normal"/>
    <w:semiHidden/>
    <w:rsid w:val="00F81429"/>
    <w:rPr>
      <w:rFonts w:ascii="Courier New" w:hAnsi="Courier New" w:cs="Courier New"/>
      <w:sz w:val="20"/>
    </w:rPr>
  </w:style>
  <w:style w:type="character" w:styleId="HTMLSample">
    <w:name w:val="HTML Sample"/>
    <w:semiHidden/>
    <w:rsid w:val="00F81429"/>
    <w:rPr>
      <w:rFonts w:ascii="Courier New" w:hAnsi="Courier New" w:cs="Courier New"/>
    </w:rPr>
  </w:style>
  <w:style w:type="character" w:styleId="HTMLTypewriter">
    <w:name w:val="HTML Typewriter"/>
    <w:semiHidden/>
    <w:rsid w:val="00F81429"/>
    <w:rPr>
      <w:rFonts w:ascii="Courier New" w:hAnsi="Courier New" w:cs="Courier New"/>
      <w:sz w:val="20"/>
      <w:szCs w:val="20"/>
    </w:rPr>
  </w:style>
  <w:style w:type="character" w:styleId="HTMLVariable">
    <w:name w:val="HTML Variable"/>
    <w:semiHidden/>
    <w:rsid w:val="00F81429"/>
    <w:rPr>
      <w:i/>
      <w:iCs/>
    </w:rPr>
  </w:style>
  <w:style w:type="character" w:styleId="Hyperlink">
    <w:name w:val="Hyperlink"/>
    <w:semiHidden/>
    <w:rsid w:val="00F81429"/>
    <w:rPr>
      <w:color w:val="0000FF"/>
      <w:u w:val="single"/>
    </w:rPr>
  </w:style>
  <w:style w:type="character" w:styleId="LineNumber">
    <w:name w:val="line number"/>
    <w:basedOn w:val="DefaultParagraphFont"/>
    <w:semiHidden/>
    <w:rsid w:val="00F81429"/>
  </w:style>
  <w:style w:type="paragraph" w:styleId="List">
    <w:name w:val="List"/>
    <w:basedOn w:val="Normal"/>
    <w:semiHidden/>
    <w:rsid w:val="00F81429"/>
    <w:pPr>
      <w:ind w:left="283" w:hanging="283"/>
    </w:pPr>
  </w:style>
  <w:style w:type="paragraph" w:styleId="List2">
    <w:name w:val="List 2"/>
    <w:basedOn w:val="Normal"/>
    <w:semiHidden/>
    <w:rsid w:val="00F81429"/>
    <w:pPr>
      <w:ind w:left="566" w:hanging="283"/>
    </w:pPr>
  </w:style>
  <w:style w:type="paragraph" w:styleId="List3">
    <w:name w:val="List 3"/>
    <w:basedOn w:val="Normal"/>
    <w:semiHidden/>
    <w:rsid w:val="00F81429"/>
    <w:pPr>
      <w:ind w:left="849" w:hanging="283"/>
    </w:pPr>
  </w:style>
  <w:style w:type="paragraph" w:styleId="List4">
    <w:name w:val="List 4"/>
    <w:basedOn w:val="Normal"/>
    <w:semiHidden/>
    <w:rsid w:val="00F81429"/>
    <w:pPr>
      <w:ind w:left="1132" w:hanging="283"/>
    </w:pPr>
  </w:style>
  <w:style w:type="paragraph" w:styleId="List5">
    <w:name w:val="List 5"/>
    <w:basedOn w:val="Normal"/>
    <w:semiHidden/>
    <w:rsid w:val="00F81429"/>
    <w:pPr>
      <w:ind w:left="1415" w:hanging="283"/>
    </w:pPr>
  </w:style>
  <w:style w:type="paragraph" w:styleId="ListBullet">
    <w:name w:val="List Bullet"/>
    <w:basedOn w:val="Normal"/>
    <w:semiHidden/>
    <w:rsid w:val="00F81429"/>
    <w:pPr>
      <w:numPr>
        <w:numId w:val="3"/>
      </w:numPr>
    </w:pPr>
  </w:style>
  <w:style w:type="paragraph" w:styleId="ListBullet2">
    <w:name w:val="List Bullet 2"/>
    <w:basedOn w:val="Normal"/>
    <w:semiHidden/>
    <w:rsid w:val="00F81429"/>
    <w:pPr>
      <w:numPr>
        <w:numId w:val="4"/>
      </w:numPr>
    </w:pPr>
  </w:style>
  <w:style w:type="paragraph" w:styleId="ListBullet3">
    <w:name w:val="List Bullet 3"/>
    <w:basedOn w:val="Normal"/>
    <w:semiHidden/>
    <w:rsid w:val="00F81429"/>
    <w:pPr>
      <w:numPr>
        <w:numId w:val="5"/>
      </w:numPr>
    </w:pPr>
  </w:style>
  <w:style w:type="paragraph" w:styleId="ListBullet4">
    <w:name w:val="List Bullet 4"/>
    <w:basedOn w:val="Normal"/>
    <w:semiHidden/>
    <w:rsid w:val="00F81429"/>
    <w:pPr>
      <w:numPr>
        <w:numId w:val="6"/>
      </w:numPr>
    </w:pPr>
  </w:style>
  <w:style w:type="paragraph" w:styleId="ListBullet5">
    <w:name w:val="List Bullet 5"/>
    <w:basedOn w:val="Normal"/>
    <w:semiHidden/>
    <w:rsid w:val="00F81429"/>
    <w:pPr>
      <w:numPr>
        <w:numId w:val="7"/>
      </w:numPr>
    </w:pPr>
  </w:style>
  <w:style w:type="paragraph" w:styleId="ListContinue">
    <w:name w:val="List Continue"/>
    <w:basedOn w:val="Normal"/>
    <w:semiHidden/>
    <w:rsid w:val="00F81429"/>
    <w:pPr>
      <w:spacing w:after="120"/>
      <w:ind w:left="283"/>
    </w:pPr>
  </w:style>
  <w:style w:type="paragraph" w:styleId="ListContinue2">
    <w:name w:val="List Continue 2"/>
    <w:basedOn w:val="Normal"/>
    <w:semiHidden/>
    <w:rsid w:val="00F81429"/>
    <w:pPr>
      <w:spacing w:after="120"/>
      <w:ind w:left="566"/>
    </w:pPr>
  </w:style>
  <w:style w:type="paragraph" w:styleId="ListContinue3">
    <w:name w:val="List Continue 3"/>
    <w:basedOn w:val="Normal"/>
    <w:semiHidden/>
    <w:rsid w:val="00F81429"/>
    <w:pPr>
      <w:spacing w:after="120"/>
      <w:ind w:left="849"/>
    </w:pPr>
  </w:style>
  <w:style w:type="paragraph" w:styleId="ListContinue4">
    <w:name w:val="List Continue 4"/>
    <w:basedOn w:val="Normal"/>
    <w:semiHidden/>
    <w:rsid w:val="00F81429"/>
    <w:pPr>
      <w:spacing w:after="120"/>
      <w:ind w:left="1132"/>
    </w:pPr>
  </w:style>
  <w:style w:type="paragraph" w:styleId="ListContinue5">
    <w:name w:val="List Continue 5"/>
    <w:basedOn w:val="Normal"/>
    <w:semiHidden/>
    <w:rsid w:val="00F81429"/>
    <w:pPr>
      <w:spacing w:after="120"/>
      <w:ind w:left="1415"/>
    </w:pPr>
  </w:style>
  <w:style w:type="paragraph" w:styleId="ListNumber">
    <w:name w:val="List Number"/>
    <w:basedOn w:val="Normal"/>
    <w:semiHidden/>
    <w:rsid w:val="00F81429"/>
    <w:pPr>
      <w:numPr>
        <w:numId w:val="8"/>
      </w:numPr>
    </w:pPr>
  </w:style>
  <w:style w:type="paragraph" w:styleId="ListNumber2">
    <w:name w:val="List Number 2"/>
    <w:basedOn w:val="Normal"/>
    <w:semiHidden/>
    <w:rsid w:val="00F81429"/>
    <w:pPr>
      <w:numPr>
        <w:numId w:val="9"/>
      </w:numPr>
    </w:pPr>
  </w:style>
  <w:style w:type="paragraph" w:styleId="ListNumber3">
    <w:name w:val="List Number 3"/>
    <w:basedOn w:val="Normal"/>
    <w:semiHidden/>
    <w:rsid w:val="00F81429"/>
    <w:pPr>
      <w:numPr>
        <w:numId w:val="10"/>
      </w:numPr>
    </w:pPr>
  </w:style>
  <w:style w:type="paragraph" w:styleId="ListNumber4">
    <w:name w:val="List Number 4"/>
    <w:basedOn w:val="Normal"/>
    <w:semiHidden/>
    <w:rsid w:val="00F81429"/>
    <w:pPr>
      <w:numPr>
        <w:numId w:val="11"/>
      </w:numPr>
    </w:pPr>
  </w:style>
  <w:style w:type="paragraph" w:styleId="ListNumber5">
    <w:name w:val="List Number 5"/>
    <w:basedOn w:val="Normal"/>
    <w:semiHidden/>
    <w:rsid w:val="00F81429"/>
    <w:pPr>
      <w:numPr>
        <w:numId w:val="12"/>
      </w:numPr>
    </w:pPr>
  </w:style>
  <w:style w:type="paragraph" w:styleId="MessageHeader">
    <w:name w:val="Message Header"/>
    <w:basedOn w:val="Normal"/>
    <w:semiHidden/>
    <w:rsid w:val="00F8142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sid w:val="00F81429"/>
    <w:rPr>
      <w:szCs w:val="24"/>
    </w:rPr>
  </w:style>
  <w:style w:type="paragraph" w:styleId="NormalIndent">
    <w:name w:val="Normal Indent"/>
    <w:basedOn w:val="Normal"/>
    <w:semiHidden/>
    <w:rsid w:val="00F81429"/>
    <w:pPr>
      <w:ind w:left="720"/>
    </w:pPr>
  </w:style>
  <w:style w:type="paragraph" w:styleId="NoteHeading">
    <w:name w:val="Note Heading"/>
    <w:basedOn w:val="Normal"/>
    <w:next w:val="Normal"/>
    <w:semiHidden/>
    <w:rsid w:val="00F81429"/>
  </w:style>
  <w:style w:type="character" w:styleId="PageNumber">
    <w:name w:val="page number"/>
    <w:basedOn w:val="DefaultParagraphFont"/>
    <w:semiHidden/>
    <w:rsid w:val="00F81429"/>
  </w:style>
  <w:style w:type="paragraph" w:styleId="PlainText">
    <w:name w:val="Plain Text"/>
    <w:basedOn w:val="Normal"/>
    <w:semiHidden/>
    <w:rsid w:val="00F81429"/>
    <w:rPr>
      <w:rFonts w:ascii="Courier New" w:hAnsi="Courier New" w:cs="Courier New"/>
      <w:sz w:val="20"/>
    </w:rPr>
  </w:style>
  <w:style w:type="paragraph" w:styleId="Salutation">
    <w:name w:val="Salutation"/>
    <w:basedOn w:val="Normal"/>
    <w:next w:val="Normal"/>
    <w:semiHidden/>
    <w:rsid w:val="00F81429"/>
  </w:style>
  <w:style w:type="paragraph" w:styleId="Signature">
    <w:name w:val="Signature"/>
    <w:basedOn w:val="Normal"/>
    <w:semiHidden/>
    <w:rsid w:val="00F81429"/>
    <w:pPr>
      <w:ind w:left="4252"/>
    </w:pPr>
  </w:style>
  <w:style w:type="character" w:styleId="Strong">
    <w:name w:val="Strong"/>
    <w:rsid w:val="00F81429"/>
    <w:rPr>
      <w:b/>
      <w:bCs/>
    </w:rPr>
  </w:style>
  <w:style w:type="paragraph" w:styleId="Subtitle">
    <w:name w:val="Subtitle"/>
    <w:basedOn w:val="Normal"/>
    <w:semiHidden/>
    <w:rsid w:val="00F81429"/>
    <w:pPr>
      <w:spacing w:after="60"/>
      <w:jc w:val="center"/>
      <w:outlineLvl w:val="1"/>
    </w:pPr>
    <w:rPr>
      <w:rFonts w:ascii="Arial" w:hAnsi="Arial" w:cs="Arial"/>
      <w:szCs w:val="24"/>
    </w:rPr>
  </w:style>
  <w:style w:type="table" w:styleId="Table3Deffects1">
    <w:name w:val="Table 3D effects 1"/>
    <w:basedOn w:val="TableNormal"/>
    <w:semiHidden/>
    <w:rsid w:val="00F81429"/>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81429"/>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81429"/>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81429"/>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81429"/>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81429"/>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81429"/>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81429"/>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81429"/>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81429"/>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81429"/>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81429"/>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81429"/>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81429"/>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81429"/>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81429"/>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81429"/>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F81429"/>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81429"/>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81429"/>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81429"/>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81429"/>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81429"/>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81429"/>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81429"/>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81429"/>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81429"/>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81429"/>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81429"/>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81429"/>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81429"/>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81429"/>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F81429"/>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81429"/>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81429"/>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81429"/>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81429"/>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81429"/>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81429"/>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81429"/>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81429"/>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81429"/>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81429"/>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rsid w:val="00F81429"/>
  </w:style>
  <w:style w:type="paragraph" w:customStyle="1" w:styleId="bTOC2">
    <w:name w:val="bTOC 2"/>
    <w:basedOn w:val="TOC2"/>
    <w:semiHidden/>
    <w:rsid w:val="00F81429"/>
  </w:style>
  <w:style w:type="paragraph" w:customStyle="1" w:styleId="bTOC3">
    <w:name w:val="bTOC 3"/>
    <w:basedOn w:val="TOC3"/>
    <w:semiHidden/>
    <w:rsid w:val="00F81429"/>
  </w:style>
  <w:style w:type="paragraph" w:customStyle="1" w:styleId="bTOC4">
    <w:name w:val="bTOC 4"/>
    <w:basedOn w:val="TOC4"/>
    <w:semiHidden/>
    <w:rsid w:val="00F81429"/>
  </w:style>
  <w:style w:type="paragraph" w:customStyle="1" w:styleId="Counsel">
    <w:name w:val="Counsel"/>
    <w:basedOn w:val="Normal"/>
    <w:unhideWhenUsed/>
    <w:rsid w:val="00F81429"/>
    <w:pPr>
      <w:widowControl w:val="0"/>
      <w:suppressAutoHyphens/>
      <w:spacing w:line="240" w:lineRule="auto"/>
    </w:pPr>
  </w:style>
  <w:style w:type="character" w:customStyle="1" w:styleId="CertifyChar">
    <w:name w:val="Certify Char"/>
    <w:link w:val="Certify"/>
    <w:semiHidden/>
    <w:rsid w:val="00F81429"/>
    <w:rPr>
      <w:sz w:val="24"/>
      <w:szCs w:val="24"/>
      <w:lang w:eastAsia="en-US"/>
    </w:rPr>
  </w:style>
  <w:style w:type="paragraph" w:customStyle="1" w:styleId="fcHeading1">
    <w:name w:val="fcHeading 1"/>
    <w:basedOn w:val="Normal"/>
    <w:next w:val="ParaNumbering"/>
    <w:semiHidden/>
    <w:rsid w:val="00F81429"/>
    <w:pPr>
      <w:keepNext/>
      <w:numPr>
        <w:numId w:val="16"/>
      </w:numPr>
      <w:spacing w:before="240" w:after="60" w:line="240" w:lineRule="auto"/>
    </w:pPr>
    <w:rPr>
      <w:b/>
      <w:caps/>
      <w:kern w:val="28"/>
    </w:rPr>
  </w:style>
  <w:style w:type="paragraph" w:customStyle="1" w:styleId="fcHeading2">
    <w:name w:val="fcHeading 2"/>
    <w:basedOn w:val="Normal"/>
    <w:next w:val="ParaNumbering"/>
    <w:semiHidden/>
    <w:rsid w:val="00F81429"/>
    <w:pPr>
      <w:keepNext/>
      <w:numPr>
        <w:ilvl w:val="1"/>
        <w:numId w:val="16"/>
      </w:numPr>
      <w:spacing w:before="240" w:after="60" w:line="240" w:lineRule="auto"/>
    </w:pPr>
    <w:rPr>
      <w:b/>
    </w:rPr>
  </w:style>
  <w:style w:type="paragraph" w:customStyle="1" w:styleId="fcHeading3">
    <w:name w:val="fcHeading 3"/>
    <w:basedOn w:val="Normal"/>
    <w:next w:val="ParaNumbering"/>
    <w:semiHidden/>
    <w:rsid w:val="00F81429"/>
    <w:pPr>
      <w:keepNext/>
      <w:numPr>
        <w:ilvl w:val="2"/>
        <w:numId w:val="16"/>
      </w:numPr>
      <w:spacing w:before="240" w:after="60" w:line="240" w:lineRule="auto"/>
    </w:pPr>
    <w:rPr>
      <w:b/>
      <w:i/>
    </w:rPr>
  </w:style>
  <w:style w:type="paragraph" w:customStyle="1" w:styleId="fcHeading4">
    <w:name w:val="fcHeading 4"/>
    <w:basedOn w:val="Normal"/>
    <w:next w:val="ParaNumbering"/>
    <w:semiHidden/>
    <w:rsid w:val="00F81429"/>
    <w:pPr>
      <w:keepNext/>
      <w:numPr>
        <w:ilvl w:val="3"/>
        <w:numId w:val="16"/>
      </w:numPr>
      <w:spacing w:before="240" w:after="60" w:line="240" w:lineRule="auto"/>
    </w:pPr>
    <w:rPr>
      <w:b/>
      <w:smallCaps/>
    </w:rPr>
  </w:style>
  <w:style w:type="paragraph" w:customStyle="1" w:styleId="fcHeading5">
    <w:name w:val="fcHeading 5"/>
    <w:basedOn w:val="Normal"/>
    <w:next w:val="ParaNumbering"/>
    <w:semiHidden/>
    <w:rsid w:val="00F81429"/>
    <w:pPr>
      <w:keepNext/>
      <w:numPr>
        <w:ilvl w:val="4"/>
        <w:numId w:val="16"/>
      </w:numPr>
      <w:spacing w:before="240" w:after="60" w:line="240" w:lineRule="auto"/>
    </w:pPr>
    <w:rPr>
      <w:b/>
      <w:caps/>
    </w:rPr>
  </w:style>
  <w:style w:type="paragraph" w:customStyle="1" w:styleId="FTOC5">
    <w:name w:val="FTOC 5"/>
    <w:basedOn w:val="Normal"/>
    <w:semiHidden/>
    <w:rsid w:val="00F81429"/>
    <w:pPr>
      <w:tabs>
        <w:tab w:val="right" w:leader="dot" w:pos="9072"/>
      </w:tabs>
      <w:spacing w:before="240" w:after="60" w:line="240" w:lineRule="auto"/>
      <w:ind w:left="709" w:hanging="709"/>
    </w:pPr>
    <w:rPr>
      <w:b/>
      <w:kern w:val="28"/>
    </w:rPr>
  </w:style>
  <w:style w:type="paragraph" w:customStyle="1" w:styleId="FTOC6">
    <w:name w:val="FTOC 6"/>
    <w:basedOn w:val="Normal"/>
    <w:semiHidden/>
    <w:rsid w:val="00F81429"/>
    <w:pPr>
      <w:tabs>
        <w:tab w:val="right" w:leader="dot" w:pos="9072"/>
      </w:tabs>
      <w:spacing w:before="240" w:after="60" w:line="240" w:lineRule="auto"/>
      <w:ind w:left="1418" w:hanging="709"/>
    </w:pPr>
    <w:rPr>
      <w:b/>
    </w:rPr>
  </w:style>
  <w:style w:type="paragraph" w:customStyle="1" w:styleId="FTOC7">
    <w:name w:val="FTOC 7"/>
    <w:basedOn w:val="Normal"/>
    <w:semiHidden/>
    <w:rsid w:val="00F81429"/>
    <w:pPr>
      <w:tabs>
        <w:tab w:val="right" w:leader="dot" w:pos="9072"/>
      </w:tabs>
      <w:spacing w:before="240" w:after="60" w:line="240" w:lineRule="auto"/>
      <w:ind w:left="2127" w:hanging="709"/>
    </w:pPr>
    <w:rPr>
      <w:b/>
    </w:rPr>
  </w:style>
  <w:style w:type="paragraph" w:customStyle="1" w:styleId="FTOC8">
    <w:name w:val="FTOC 8"/>
    <w:basedOn w:val="Normal"/>
    <w:semiHidden/>
    <w:rsid w:val="00F81429"/>
    <w:pPr>
      <w:tabs>
        <w:tab w:val="right" w:leader="dot" w:pos="9072"/>
      </w:tabs>
      <w:spacing w:before="240" w:after="60" w:line="240" w:lineRule="auto"/>
      <w:ind w:left="3260" w:hanging="1134"/>
    </w:pPr>
    <w:rPr>
      <w:b/>
    </w:rPr>
  </w:style>
  <w:style w:type="paragraph" w:customStyle="1" w:styleId="FTOC9">
    <w:name w:val="FTOC 9"/>
    <w:basedOn w:val="Normal"/>
    <w:semiHidden/>
    <w:rsid w:val="00F81429"/>
    <w:pPr>
      <w:tabs>
        <w:tab w:val="right" w:leader="dot" w:pos="9072"/>
      </w:tabs>
      <w:spacing w:before="240" w:after="60" w:line="240" w:lineRule="auto"/>
      <w:ind w:left="3969" w:hanging="1134"/>
    </w:pPr>
    <w:rPr>
      <w:b/>
    </w:rPr>
  </w:style>
  <w:style w:type="paragraph" w:customStyle="1" w:styleId="bTOC5">
    <w:name w:val="bTOC 5"/>
    <w:basedOn w:val="Normal"/>
    <w:semiHidden/>
    <w:rsid w:val="00F81429"/>
    <w:pPr>
      <w:tabs>
        <w:tab w:val="right" w:leader="dot" w:pos="9072"/>
      </w:tabs>
      <w:spacing w:before="240" w:after="60" w:line="240" w:lineRule="auto"/>
      <w:ind w:left="709" w:hanging="709"/>
    </w:pPr>
  </w:style>
  <w:style w:type="paragraph" w:customStyle="1" w:styleId="bTOC6">
    <w:name w:val="bTOC 6"/>
    <w:basedOn w:val="Normal"/>
    <w:semiHidden/>
    <w:rsid w:val="00F81429"/>
    <w:pPr>
      <w:tabs>
        <w:tab w:val="right" w:leader="dot" w:pos="9072"/>
      </w:tabs>
      <w:spacing w:before="240" w:after="60" w:line="240" w:lineRule="auto"/>
      <w:ind w:left="1418" w:hanging="709"/>
    </w:pPr>
  </w:style>
  <w:style w:type="paragraph" w:customStyle="1" w:styleId="bTOC7">
    <w:name w:val="bTOC 7"/>
    <w:basedOn w:val="Normal"/>
    <w:semiHidden/>
    <w:rsid w:val="00F81429"/>
    <w:pPr>
      <w:tabs>
        <w:tab w:val="right" w:leader="dot" w:pos="9072"/>
      </w:tabs>
      <w:spacing w:before="240" w:after="60" w:line="240" w:lineRule="auto"/>
      <w:ind w:left="2127" w:hanging="709"/>
    </w:pPr>
  </w:style>
  <w:style w:type="paragraph" w:customStyle="1" w:styleId="bTOC8">
    <w:name w:val="bTOC 8"/>
    <w:basedOn w:val="Normal"/>
    <w:semiHidden/>
    <w:rsid w:val="00F81429"/>
    <w:pPr>
      <w:keepNext/>
      <w:tabs>
        <w:tab w:val="right" w:leader="dot" w:pos="9072"/>
      </w:tabs>
      <w:spacing w:before="240" w:after="60" w:line="240" w:lineRule="auto"/>
      <w:ind w:left="3260" w:hanging="1134"/>
    </w:pPr>
  </w:style>
  <w:style w:type="paragraph" w:customStyle="1" w:styleId="bTOC9">
    <w:name w:val="bTOC 9"/>
    <w:basedOn w:val="Normal"/>
    <w:semiHidden/>
    <w:rsid w:val="00F81429"/>
    <w:pPr>
      <w:keepNext/>
      <w:tabs>
        <w:tab w:val="right" w:leader="dot" w:pos="9072"/>
      </w:tabs>
      <w:spacing w:before="240" w:after="60" w:line="240" w:lineRule="auto"/>
      <w:ind w:left="3969" w:hanging="1134"/>
    </w:pPr>
  </w:style>
  <w:style w:type="paragraph" w:customStyle="1" w:styleId="ListNo2">
    <w:name w:val="List No 2"/>
    <w:basedOn w:val="ListNo1"/>
    <w:rsid w:val="00F81429"/>
    <w:pPr>
      <w:numPr>
        <w:ilvl w:val="1"/>
      </w:numPr>
    </w:pPr>
  </w:style>
  <w:style w:type="paragraph" w:customStyle="1" w:styleId="ListNo3">
    <w:name w:val="List No 3"/>
    <w:basedOn w:val="ListNo2"/>
    <w:rsid w:val="00F81429"/>
    <w:pPr>
      <w:numPr>
        <w:ilvl w:val="2"/>
      </w:numPr>
    </w:pPr>
  </w:style>
  <w:style w:type="numbering" w:customStyle="1" w:styleId="FCListNo">
    <w:name w:val="FCListNo"/>
    <w:uiPriority w:val="99"/>
    <w:rsid w:val="00F81429"/>
    <w:pPr>
      <w:numPr>
        <w:numId w:val="17"/>
      </w:numPr>
    </w:pPr>
  </w:style>
  <w:style w:type="paragraph" w:customStyle="1" w:styleId="SingleSpace">
    <w:name w:val="SingleSpace"/>
    <w:basedOn w:val="Normal"/>
    <w:rsid w:val="00F81429"/>
    <w:pPr>
      <w:spacing w:line="240" w:lineRule="auto"/>
    </w:pPr>
    <w:rPr>
      <w:szCs w:val="22"/>
    </w:rPr>
  </w:style>
  <w:style w:type="paragraph" w:customStyle="1" w:styleId="Quote1Bullet">
    <w:name w:val="Quote1 Bullet"/>
    <w:basedOn w:val="Quote1"/>
    <w:rsid w:val="00F81429"/>
    <w:pPr>
      <w:numPr>
        <w:numId w:val="18"/>
      </w:numPr>
      <w:ind w:left="1440" w:hanging="720"/>
    </w:pPr>
  </w:style>
  <w:style w:type="paragraph" w:customStyle="1" w:styleId="Quote2Bullet">
    <w:name w:val="Quote2 Bullet"/>
    <w:basedOn w:val="Quote2"/>
    <w:rsid w:val="00F81429"/>
    <w:pPr>
      <w:numPr>
        <w:numId w:val="19"/>
      </w:numPr>
      <w:ind w:hanging="720"/>
    </w:pPr>
  </w:style>
  <w:style w:type="paragraph" w:customStyle="1" w:styleId="Quote3Bullet">
    <w:name w:val="Quote3 Bullet"/>
    <w:basedOn w:val="Quote3"/>
    <w:rsid w:val="00F81429"/>
    <w:pPr>
      <w:numPr>
        <w:numId w:val="20"/>
      </w:numPr>
      <w:ind w:hanging="720"/>
    </w:pPr>
  </w:style>
  <w:style w:type="paragraph" w:customStyle="1" w:styleId="Order1">
    <w:name w:val="Order 1"/>
    <w:basedOn w:val="Normal"/>
    <w:rsid w:val="00F81429"/>
    <w:pPr>
      <w:numPr>
        <w:numId w:val="21"/>
      </w:numPr>
      <w:spacing w:before="60" w:after="60"/>
    </w:pPr>
  </w:style>
  <w:style w:type="paragraph" w:customStyle="1" w:styleId="Order2">
    <w:name w:val="Order 2"/>
    <w:basedOn w:val="Order1"/>
    <w:rsid w:val="00F81429"/>
    <w:pPr>
      <w:numPr>
        <w:ilvl w:val="1"/>
      </w:numPr>
    </w:pPr>
  </w:style>
  <w:style w:type="paragraph" w:customStyle="1" w:styleId="Order3">
    <w:name w:val="Order 3"/>
    <w:basedOn w:val="Order2"/>
    <w:rsid w:val="00F81429"/>
    <w:pPr>
      <w:numPr>
        <w:ilvl w:val="2"/>
      </w:numPr>
    </w:pPr>
  </w:style>
  <w:style w:type="numbering" w:customStyle="1" w:styleId="FCOrders">
    <w:name w:val="FCOrders"/>
    <w:uiPriority w:val="99"/>
    <w:rsid w:val="00F81429"/>
    <w:pPr>
      <w:numPr>
        <w:numId w:val="21"/>
      </w:numPr>
    </w:pPr>
  </w:style>
  <w:style w:type="paragraph" w:customStyle="1" w:styleId="BodyTextBold">
    <w:name w:val="Body Text Bold"/>
    <w:basedOn w:val="BodyText"/>
    <w:rsid w:val="00F81429"/>
    <w:rPr>
      <w:b/>
    </w:rPr>
  </w:style>
  <w:style w:type="paragraph" w:customStyle="1" w:styleId="GeneralHeading">
    <w:name w:val="General Heading"/>
    <w:basedOn w:val="BodyTextBold"/>
    <w:next w:val="BodyText"/>
    <w:rsid w:val="00F81429"/>
    <w:pPr>
      <w:spacing w:line="480" w:lineRule="auto"/>
      <w:jc w:val="center"/>
    </w:pPr>
    <w:rPr>
      <w:sz w:val="28"/>
    </w:rPr>
  </w:style>
  <w:style w:type="paragraph" w:customStyle="1" w:styleId="ReasonJudge">
    <w:name w:val="Reason Judge"/>
    <w:basedOn w:val="BodyText"/>
    <w:next w:val="BodyText"/>
    <w:rsid w:val="00F81429"/>
    <w:pPr>
      <w:jc w:val="left"/>
    </w:pPr>
    <w:rPr>
      <w:b/>
      <w:sz w:val="26"/>
    </w:rPr>
  </w:style>
  <w:style w:type="paragraph" w:customStyle="1" w:styleId="FileNo">
    <w:name w:val="FileNo"/>
    <w:basedOn w:val="NormalHeadings"/>
    <w:rsid w:val="00F81429"/>
    <w:pPr>
      <w:tabs>
        <w:tab w:val="right" w:pos="3609"/>
      </w:tabs>
      <w:spacing w:line="276" w:lineRule="auto"/>
      <w:jc w:val="right"/>
    </w:pPr>
    <w:rPr>
      <w:szCs w:val="24"/>
    </w:rPr>
  </w:style>
  <w:style w:type="paragraph" w:customStyle="1" w:styleId="CasesLegislationAppealFrom">
    <w:name w:val="Cases Legislation Appeal From"/>
    <w:basedOn w:val="Normal1linespace"/>
    <w:rsid w:val="00F81429"/>
    <w:pPr>
      <w:widowControl w:val="0"/>
      <w:spacing w:after="100"/>
      <w:jc w:val="left"/>
    </w:pPr>
  </w:style>
  <w:style w:type="paragraph" w:customStyle="1" w:styleId="PartyName">
    <w:name w:val="Party Name"/>
    <w:basedOn w:val="NormalHeadings"/>
    <w:rsid w:val="00F81429"/>
    <w:pPr>
      <w:jc w:val="left"/>
    </w:pPr>
    <w:rPr>
      <w:szCs w:val="24"/>
    </w:rPr>
  </w:style>
  <w:style w:type="paragraph" w:customStyle="1" w:styleId="PartyType">
    <w:name w:val="Party Type"/>
    <w:basedOn w:val="PartyName"/>
    <w:rsid w:val="00F81429"/>
    <w:rPr>
      <w:b w:val="0"/>
    </w:rPr>
  </w:style>
  <w:style w:type="paragraph" w:customStyle="1" w:styleId="Small-TableswithinQuotes">
    <w:name w:val="Small - Tables within Quotes"/>
    <w:basedOn w:val="BodyText"/>
    <w:rsid w:val="00F81429"/>
    <w:pPr>
      <w:spacing w:line="240" w:lineRule="auto"/>
      <w:jc w:val="left"/>
    </w:pPr>
    <w:rPr>
      <w:sz w:val="22"/>
    </w:rPr>
  </w:style>
  <w:style w:type="character" w:customStyle="1" w:styleId="BodyTextChar">
    <w:name w:val="Body Text Char"/>
    <w:basedOn w:val="DefaultParagraphFont"/>
    <w:link w:val="BodyText"/>
    <w:rsid w:val="00F81429"/>
    <w:rPr>
      <w:sz w:val="24"/>
      <w:lang w:eastAsia="en-US"/>
    </w:rPr>
  </w:style>
  <w:style w:type="character" w:customStyle="1" w:styleId="NormalHeadingsChar">
    <w:name w:val="Normal Headings Char"/>
    <w:basedOn w:val="DefaultParagraphFont"/>
    <w:link w:val="NormalHeadings"/>
    <w:rsid w:val="00F81429"/>
    <w:rPr>
      <w:b/>
      <w:sz w:val="24"/>
      <w:lang w:eastAsia="en-US"/>
    </w:rPr>
  </w:style>
  <w:style w:type="paragraph" w:customStyle="1" w:styleId="subsection">
    <w:name w:val="subsection"/>
    <w:basedOn w:val="Normal"/>
    <w:rsid w:val="004F75CD"/>
    <w:pPr>
      <w:spacing w:before="100" w:beforeAutospacing="1" w:after="100" w:afterAutospacing="1" w:line="240" w:lineRule="auto"/>
      <w:jc w:val="left"/>
    </w:pPr>
    <w:rPr>
      <w:rFonts w:eastAsia="Times New Roman"/>
      <w:szCs w:val="24"/>
      <w:lang w:eastAsia="en-AU"/>
    </w:rPr>
  </w:style>
  <w:style w:type="paragraph" w:customStyle="1" w:styleId="paragraph">
    <w:name w:val="paragraph"/>
    <w:basedOn w:val="Normal"/>
    <w:rsid w:val="004F75CD"/>
    <w:pPr>
      <w:spacing w:before="100" w:beforeAutospacing="1" w:after="100" w:afterAutospacing="1" w:line="240" w:lineRule="auto"/>
      <w:jc w:val="left"/>
    </w:pPr>
    <w:rPr>
      <w:rFonts w:eastAsia="Times New Roman"/>
      <w:szCs w:val="24"/>
      <w:lang w:eastAsia="en-AU"/>
    </w:rPr>
  </w:style>
  <w:style w:type="character" w:customStyle="1" w:styleId="citation">
    <w:name w:val="citation"/>
    <w:basedOn w:val="DefaultParagraphFont"/>
    <w:rsid w:val="00C16917"/>
  </w:style>
  <w:style w:type="paragraph" w:customStyle="1" w:styleId="textbox">
    <w:name w:val="textbox"/>
    <w:basedOn w:val="Normal"/>
    <w:rsid w:val="00FE71B4"/>
    <w:pPr>
      <w:spacing w:before="100" w:beforeAutospacing="1" w:after="100" w:afterAutospacing="1" w:line="240" w:lineRule="auto"/>
      <w:jc w:val="left"/>
    </w:pPr>
    <w:rPr>
      <w:rFonts w:eastAsia="Times New Roman"/>
      <w:szCs w:val="24"/>
      <w:lang w:eastAsia="en-AU"/>
    </w:rPr>
  </w:style>
  <w:style w:type="paragraph" w:styleId="ListParagraph">
    <w:name w:val="List Paragraph"/>
    <w:basedOn w:val="Normal"/>
    <w:uiPriority w:val="1"/>
    <w:qFormat/>
    <w:rsid w:val="007D27A3"/>
    <w:pPr>
      <w:widowControl w:val="0"/>
      <w:autoSpaceDE w:val="0"/>
      <w:autoSpaceDN w:val="0"/>
      <w:spacing w:line="240" w:lineRule="auto"/>
      <w:ind w:left="1831" w:hanging="567"/>
      <w:jc w:val="left"/>
    </w:pPr>
    <w:rPr>
      <w:rFonts w:ascii="Arial" w:eastAsia="Arial" w:hAnsi="Arial" w:cs="Arial"/>
      <w:sz w:val="22"/>
      <w:szCs w:val="22"/>
      <w:lang w:val="en-US"/>
    </w:rPr>
  </w:style>
  <w:style w:type="character" w:customStyle="1" w:styleId="Heading4Char">
    <w:name w:val="Heading 4 Char"/>
    <w:basedOn w:val="DefaultParagraphFont"/>
    <w:link w:val="Heading4"/>
    <w:rsid w:val="00EE4207"/>
    <w:rPr>
      <w:i/>
      <w:sz w:val="24"/>
      <w:szCs w:val="24"/>
      <w:lang w:eastAsia="en-US"/>
    </w:rPr>
  </w:style>
  <w:style w:type="paragraph" w:customStyle="1" w:styleId="Default">
    <w:name w:val="Default"/>
    <w:rsid w:val="00A040AE"/>
    <w:pPr>
      <w:autoSpaceDE w:val="0"/>
      <w:autoSpaceDN w:val="0"/>
      <w:adjustRightInd w:val="0"/>
    </w:pPr>
    <w:rPr>
      <w:color w:val="000000"/>
      <w:sz w:val="24"/>
      <w:szCs w:val="24"/>
    </w:rPr>
  </w:style>
  <w:style w:type="character" w:customStyle="1" w:styleId="st1">
    <w:name w:val="st1"/>
    <w:basedOn w:val="DefaultParagraphFont"/>
    <w:rsid w:val="00F661E6"/>
  </w:style>
  <w:style w:type="paragraph" w:customStyle="1" w:styleId="Numbers">
    <w:name w:val="Numbers"/>
    <w:basedOn w:val="Normal"/>
    <w:rsid w:val="004A56DD"/>
    <w:pPr>
      <w:numPr>
        <w:numId w:val="23"/>
      </w:numPr>
      <w:spacing w:before="120" w:after="120"/>
      <w:jc w:val="left"/>
    </w:pPr>
    <w:rPr>
      <w:rFonts w:ascii="Arial" w:eastAsia="Times New Roman" w:hAnsi="Arial"/>
      <w:sz w:val="22"/>
      <w:szCs w:val="24"/>
    </w:rPr>
  </w:style>
  <w:style w:type="paragraph" w:styleId="FootnoteText">
    <w:name w:val="footnote text"/>
    <w:aliases w:val=" Char Char"/>
    <w:basedOn w:val="Normal"/>
    <w:link w:val="FootnoteTextChar"/>
    <w:unhideWhenUsed/>
    <w:qFormat/>
    <w:rsid w:val="004A56DD"/>
    <w:pPr>
      <w:spacing w:line="240" w:lineRule="auto"/>
      <w:jc w:val="left"/>
    </w:pPr>
    <w:rPr>
      <w:rFonts w:ascii="Calibri" w:eastAsia="Calibri" w:hAnsi="Calibri"/>
      <w:sz w:val="20"/>
    </w:rPr>
  </w:style>
  <w:style w:type="character" w:customStyle="1" w:styleId="FootnoteTextChar">
    <w:name w:val="Footnote Text Char"/>
    <w:aliases w:val=" Char Char Char"/>
    <w:basedOn w:val="DefaultParagraphFont"/>
    <w:link w:val="FootnoteText"/>
    <w:rsid w:val="004A56DD"/>
    <w:rPr>
      <w:rFonts w:ascii="Calibri" w:eastAsia="Calibri" w:hAnsi="Calibri"/>
      <w:lang w:eastAsia="en-US"/>
    </w:rPr>
  </w:style>
  <w:style w:type="character" w:styleId="FootnoteReference">
    <w:name w:val="footnote reference"/>
    <w:aliases w:val="(NECG) Footnote Reference,[0],opcalrc,callout,Footnotes refss,4_G,NO,16 Point,Superscript 6 Point,Appel note de bas de p,Appel note de bas de p + 11 pt,Appel note de bas de p1,Appel note de bas de p2,Appel note de bas de p3,o,Ref,fr"/>
    <w:basedOn w:val="DefaultParagraphFont"/>
    <w:unhideWhenUsed/>
    <w:rsid w:val="004A56DD"/>
    <w:rPr>
      <w:vertAlign w:val="superscript"/>
    </w:rPr>
  </w:style>
  <w:style w:type="paragraph" w:customStyle="1" w:styleId="PARA1">
    <w:name w:val="PARA1"/>
    <w:basedOn w:val="Normal"/>
    <w:uiPriority w:val="99"/>
    <w:qFormat/>
    <w:rsid w:val="005C7C4A"/>
    <w:pPr>
      <w:spacing w:line="240" w:lineRule="exact"/>
      <w:ind w:firstLine="340"/>
    </w:pPr>
    <w:rPr>
      <w:rFonts w:eastAsia="MS Mincho"/>
      <w:sz w:val="22"/>
    </w:rPr>
  </w:style>
  <w:style w:type="paragraph" w:customStyle="1" w:styleId="BlockQuote">
    <w:name w:val="Block Quote"/>
    <w:basedOn w:val="Normal"/>
    <w:uiPriority w:val="99"/>
    <w:qFormat/>
    <w:rsid w:val="005C7C4A"/>
    <w:pPr>
      <w:widowControl w:val="0"/>
      <w:tabs>
        <w:tab w:val="left" w:pos="1276"/>
      </w:tabs>
      <w:spacing w:before="60" w:after="60" w:line="220" w:lineRule="exact"/>
      <w:ind w:left="567"/>
    </w:pPr>
    <w:rPr>
      <w:rFonts w:eastAsia="MS Mincho"/>
      <w:sz w:val="20"/>
    </w:rPr>
  </w:style>
  <w:style w:type="paragraph" w:customStyle="1" w:styleId="FOOTNOTE">
    <w:name w:val="FOOTNOTE"/>
    <w:basedOn w:val="Normal"/>
    <w:link w:val="FOOTNOTEChar"/>
    <w:qFormat/>
    <w:rsid w:val="005C7C4A"/>
    <w:pPr>
      <w:keepLines/>
      <w:widowControl w:val="0"/>
      <w:tabs>
        <w:tab w:val="left" w:pos="403"/>
      </w:tabs>
      <w:spacing w:line="192" w:lineRule="exact"/>
      <w:ind w:left="403" w:hanging="403"/>
      <w:jc w:val="left"/>
    </w:pPr>
    <w:rPr>
      <w:rFonts w:eastAsia="MS Mincho"/>
      <w:sz w:val="16"/>
    </w:rPr>
  </w:style>
  <w:style w:type="character" w:customStyle="1" w:styleId="FOOTNOTEChar">
    <w:name w:val="FOOTNOTE Char"/>
    <w:link w:val="FOOTNOTE"/>
    <w:locked/>
    <w:rsid w:val="005C7C4A"/>
    <w:rPr>
      <w:rFonts w:eastAsia="MS Mincho"/>
      <w:sz w:val="16"/>
      <w:lang w:eastAsia="en-US"/>
    </w:rPr>
  </w:style>
  <w:style w:type="character" w:customStyle="1" w:styleId="FOOTNOTEChar1">
    <w:name w:val="FOOTNOTE Char1"/>
    <w:uiPriority w:val="99"/>
    <w:qFormat/>
    <w:rsid w:val="005C7C4A"/>
    <w:rPr>
      <w:rFonts w:ascii="Times New Roman" w:hAnsi="Times New Roman"/>
      <w:color w:val="auto"/>
      <w:position w:val="-4"/>
      <w:sz w:val="22"/>
      <w:u w:val="none"/>
      <w:vertAlign w:val="superscript"/>
      <w:em w:val="none"/>
      <w:lang w:val="en-AU" w:eastAsia="en-US"/>
    </w:rPr>
  </w:style>
  <w:style w:type="paragraph" w:customStyle="1" w:styleId="15">
    <w:name w:val="1.5"/>
    <w:basedOn w:val="Normal"/>
    <w:qFormat/>
    <w:rsid w:val="004B5FA9"/>
    <w:pPr>
      <w:spacing w:after="200" w:line="240" w:lineRule="auto"/>
      <w:ind w:left="720" w:hanging="720"/>
      <w:jc w:val="left"/>
    </w:pPr>
    <w:rPr>
      <w:rFonts w:eastAsiaTheme="minorHAnsi" w:cstheme="minorBidi"/>
      <w:szCs w:val="22"/>
      <w:lang w:val="en-GB" w:eastAsia="en-GB"/>
    </w:rPr>
  </w:style>
  <w:style w:type="character" w:customStyle="1" w:styleId="Heading3Char">
    <w:name w:val="Heading 3 Char"/>
    <w:basedOn w:val="DefaultParagraphFont"/>
    <w:link w:val="Heading3"/>
    <w:rsid w:val="006D0189"/>
    <w:rPr>
      <w:b/>
      <w:i/>
      <w:sz w:val="24"/>
      <w:lang w:eastAsia="en-US"/>
    </w:rPr>
  </w:style>
  <w:style w:type="character" w:customStyle="1" w:styleId="paranumber">
    <w:name w:val="para_number"/>
    <w:basedOn w:val="DefaultParagraphFont"/>
    <w:rsid w:val="0090158E"/>
  </w:style>
  <w:style w:type="character" w:customStyle="1" w:styleId="jade-incoming-citation">
    <w:name w:val="jade-incoming-citation"/>
    <w:basedOn w:val="DefaultParagraphFont"/>
    <w:rsid w:val="007F033A"/>
  </w:style>
  <w:style w:type="paragraph" w:customStyle="1" w:styleId="Quotation">
    <w:name w:val="Quotation"/>
    <w:basedOn w:val="Normal"/>
    <w:rsid w:val="008F60BF"/>
    <w:pPr>
      <w:spacing w:before="240" w:line="240" w:lineRule="auto"/>
      <w:ind w:left="1440"/>
      <w:jc w:val="left"/>
    </w:pPr>
    <w:rPr>
      <w:rFonts w:eastAsia="Times New Roman"/>
      <w:szCs w:val="24"/>
      <w:lang w:val="en-US"/>
    </w:rPr>
  </w:style>
  <w:style w:type="character" w:customStyle="1" w:styleId="BalloonTextChar">
    <w:name w:val="Balloon Text Char"/>
    <w:basedOn w:val="DefaultParagraphFont"/>
    <w:link w:val="BalloonText"/>
    <w:semiHidden/>
    <w:rsid w:val="006C57B2"/>
    <w:rPr>
      <w:rFonts w:ascii="Tahoma" w:hAnsi="Tahoma" w:cs="Tahoma"/>
      <w:sz w:val="16"/>
      <w:szCs w:val="16"/>
      <w:lang w:eastAsia="en-US"/>
    </w:rPr>
  </w:style>
  <w:style w:type="character" w:customStyle="1" w:styleId="HeaderChar">
    <w:name w:val="Header Char"/>
    <w:basedOn w:val="DefaultParagraphFont"/>
    <w:link w:val="Header"/>
    <w:rsid w:val="00FF3F61"/>
    <w:rPr>
      <w:sz w:val="24"/>
      <w:lang w:eastAsia="en-US"/>
    </w:rPr>
  </w:style>
  <w:style w:type="character" w:customStyle="1" w:styleId="ilfuvd">
    <w:name w:val="ilfuvd"/>
    <w:basedOn w:val="DefaultParagraphFont"/>
    <w:rsid w:val="000124E6"/>
  </w:style>
  <w:style w:type="paragraph" w:customStyle="1" w:styleId="jade-outdent">
    <w:name w:val="jade-outdent"/>
    <w:basedOn w:val="Normal"/>
    <w:rsid w:val="00B51AF5"/>
    <w:pPr>
      <w:spacing w:before="100" w:beforeAutospacing="1" w:after="100" w:afterAutospacing="1" w:line="240" w:lineRule="auto"/>
      <w:jc w:val="left"/>
    </w:pPr>
    <w:rPr>
      <w:rFonts w:eastAsia="Times New Roman"/>
      <w:szCs w:val="24"/>
      <w:lang w:eastAsia="en-AU"/>
    </w:rPr>
  </w:style>
  <w:style w:type="character" w:customStyle="1" w:styleId="jade-ts-10">
    <w:name w:val="jade-ts-10"/>
    <w:basedOn w:val="DefaultParagraphFont"/>
    <w:rsid w:val="00B51AF5"/>
  </w:style>
  <w:style w:type="character" w:customStyle="1" w:styleId="jade-ts-9">
    <w:name w:val="jade-ts-9"/>
    <w:basedOn w:val="DefaultParagraphFont"/>
    <w:rsid w:val="00B51AF5"/>
  </w:style>
  <w:style w:type="character" w:customStyle="1" w:styleId="jade-ts-8">
    <w:name w:val="jade-ts-8"/>
    <w:basedOn w:val="DefaultParagraphFont"/>
    <w:rsid w:val="00B51AF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Batang" w:hAnsi="Times New Roman" w:cs="Times New Roman"/>
        <w:lang w:val="en-AU" w:eastAsia="en-AU" w:bidi="ar-SA"/>
      </w:rPr>
    </w:rPrDefault>
    <w:pPrDefault/>
  </w:docDefaults>
  <w:latentStyles w:defLockedState="0" w:defUIPriority="0" w:defSemiHidden="1" w:defUnhideWhenUsed="1" w:defQFormat="0" w:count="267">
    <w:lsdException w:name="Normal" w:semiHidden="0" w:unhideWhenUsed="0"/>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footnote text" w:qFormat="1"/>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Body Text" w:qFormat="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No List"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1"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F81429"/>
    <w:pPr>
      <w:spacing w:line="360" w:lineRule="auto"/>
      <w:jc w:val="both"/>
    </w:pPr>
    <w:rPr>
      <w:sz w:val="24"/>
      <w:lang w:eastAsia="en-US"/>
    </w:rPr>
  </w:style>
  <w:style w:type="paragraph" w:styleId="Heading1">
    <w:name w:val="heading 1"/>
    <w:basedOn w:val="Normal"/>
    <w:next w:val="ParaNumbering"/>
    <w:qFormat/>
    <w:rsid w:val="00F81429"/>
    <w:pPr>
      <w:keepNext/>
      <w:spacing w:before="240" w:after="60" w:line="240" w:lineRule="auto"/>
      <w:outlineLvl w:val="0"/>
    </w:pPr>
    <w:rPr>
      <w:b/>
      <w:caps/>
      <w:kern w:val="28"/>
    </w:rPr>
  </w:style>
  <w:style w:type="paragraph" w:styleId="Heading2">
    <w:name w:val="heading 2"/>
    <w:basedOn w:val="Normal"/>
    <w:next w:val="ParaNumbering"/>
    <w:qFormat/>
    <w:rsid w:val="00F81429"/>
    <w:pPr>
      <w:keepNext/>
      <w:spacing w:before="240" w:after="60" w:line="240" w:lineRule="auto"/>
      <w:outlineLvl w:val="1"/>
    </w:pPr>
    <w:rPr>
      <w:b/>
      <w:szCs w:val="24"/>
    </w:rPr>
  </w:style>
  <w:style w:type="paragraph" w:styleId="Heading3">
    <w:name w:val="heading 3"/>
    <w:basedOn w:val="Normal"/>
    <w:next w:val="ParaNumbering"/>
    <w:link w:val="Heading3Char"/>
    <w:qFormat/>
    <w:rsid w:val="00F81429"/>
    <w:pPr>
      <w:keepNext/>
      <w:spacing w:before="240" w:after="60" w:line="240" w:lineRule="auto"/>
      <w:outlineLvl w:val="2"/>
    </w:pPr>
    <w:rPr>
      <w:b/>
      <w:i/>
    </w:rPr>
  </w:style>
  <w:style w:type="paragraph" w:styleId="Heading4">
    <w:name w:val="heading 4"/>
    <w:basedOn w:val="Normal"/>
    <w:next w:val="ParaNumbering"/>
    <w:link w:val="Heading4Char"/>
    <w:qFormat/>
    <w:rsid w:val="00F81429"/>
    <w:pPr>
      <w:keepNext/>
      <w:spacing w:before="240" w:after="60" w:line="240" w:lineRule="auto"/>
      <w:jc w:val="left"/>
      <w:outlineLvl w:val="3"/>
    </w:pPr>
    <w:rPr>
      <w:i/>
      <w:szCs w:val="24"/>
    </w:rPr>
  </w:style>
  <w:style w:type="paragraph" w:styleId="Heading5">
    <w:name w:val="heading 5"/>
    <w:basedOn w:val="fcHeading1"/>
    <w:next w:val="ParaNumbering"/>
    <w:qFormat/>
    <w:rsid w:val="00F81429"/>
    <w:pPr>
      <w:outlineLvl w:val="4"/>
    </w:pPr>
    <w:rPr>
      <w:caps w:val="0"/>
    </w:rPr>
  </w:style>
  <w:style w:type="paragraph" w:styleId="Heading6">
    <w:name w:val="heading 6"/>
    <w:basedOn w:val="fcHeading2"/>
    <w:next w:val="ParaNumbering"/>
    <w:qFormat/>
    <w:rsid w:val="00F81429"/>
    <w:pPr>
      <w:outlineLvl w:val="5"/>
    </w:pPr>
  </w:style>
  <w:style w:type="paragraph" w:styleId="Heading7">
    <w:name w:val="heading 7"/>
    <w:basedOn w:val="fcHeading3"/>
    <w:next w:val="ParaNumbering"/>
    <w:qFormat/>
    <w:rsid w:val="00F81429"/>
    <w:pPr>
      <w:outlineLvl w:val="6"/>
    </w:pPr>
    <w:rPr>
      <w:i w:val="0"/>
    </w:rPr>
  </w:style>
  <w:style w:type="paragraph" w:styleId="Heading8">
    <w:name w:val="heading 8"/>
    <w:basedOn w:val="fcHeading4"/>
    <w:next w:val="ParaNumbering"/>
    <w:rsid w:val="00F81429"/>
    <w:pPr>
      <w:outlineLvl w:val="7"/>
    </w:pPr>
    <w:rPr>
      <w:smallCaps w:val="0"/>
    </w:rPr>
  </w:style>
  <w:style w:type="paragraph" w:styleId="Heading9">
    <w:name w:val="heading 9"/>
    <w:basedOn w:val="fcHeading5"/>
    <w:next w:val="ParaNumbering"/>
    <w:rsid w:val="00F81429"/>
    <w:pPr>
      <w:outlineLvl w:val="8"/>
    </w:pPr>
    <w:rPr>
      <w:caps w:val="0"/>
    </w:rPr>
  </w:style>
  <w:style w:type="character" w:default="1" w:styleId="DefaultParagraphFont">
    <w:name w:val="Default Paragraph Font"/>
    <w:uiPriority w:val="1"/>
    <w:semiHidden/>
    <w:unhideWhenUsed/>
    <w:rsid w:val="00F81429"/>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F81429"/>
  </w:style>
  <w:style w:type="paragraph" w:customStyle="1" w:styleId="OrdersPage">
    <w:name w:val="OrdersPage"/>
    <w:basedOn w:val="Normal"/>
    <w:semiHidden/>
    <w:rsid w:val="00F81429"/>
    <w:pPr>
      <w:spacing w:line="240" w:lineRule="auto"/>
    </w:pPr>
  </w:style>
  <w:style w:type="paragraph" w:styleId="Header">
    <w:name w:val="header"/>
    <w:basedOn w:val="Normal"/>
    <w:link w:val="HeaderChar"/>
    <w:rsid w:val="00F81429"/>
    <w:pPr>
      <w:tabs>
        <w:tab w:val="center" w:pos="4320"/>
        <w:tab w:val="right" w:pos="8640"/>
      </w:tabs>
    </w:pPr>
  </w:style>
  <w:style w:type="paragraph" w:styleId="Footer">
    <w:name w:val="footer"/>
    <w:basedOn w:val="Normal"/>
    <w:semiHidden/>
    <w:rsid w:val="00F81429"/>
    <w:pPr>
      <w:tabs>
        <w:tab w:val="center" w:pos="4320"/>
        <w:tab w:val="right" w:pos="8640"/>
      </w:tabs>
    </w:pPr>
  </w:style>
  <w:style w:type="paragraph" w:customStyle="1" w:styleId="ParaNumbering">
    <w:name w:val="ParaNumbering"/>
    <w:basedOn w:val="Normal"/>
    <w:rsid w:val="00F81429"/>
    <w:pPr>
      <w:numPr>
        <w:numId w:val="1"/>
      </w:numPr>
      <w:tabs>
        <w:tab w:val="clear" w:pos="720"/>
      </w:tabs>
      <w:spacing w:before="180" w:after="180"/>
    </w:pPr>
  </w:style>
  <w:style w:type="paragraph" w:customStyle="1" w:styleId="Quote1">
    <w:name w:val="Quote1"/>
    <w:rsid w:val="00F81429"/>
    <w:pPr>
      <w:widowControl w:val="0"/>
      <w:spacing w:after="180"/>
      <w:ind w:left="737" w:right="737"/>
      <w:jc w:val="both"/>
    </w:pPr>
    <w:rPr>
      <w:sz w:val="22"/>
      <w:lang w:eastAsia="en-US"/>
    </w:rPr>
  </w:style>
  <w:style w:type="paragraph" w:customStyle="1" w:styleId="NormalHeadings">
    <w:name w:val="Normal Headings"/>
    <w:link w:val="NormalHeadingsChar"/>
    <w:rsid w:val="00F81429"/>
    <w:pPr>
      <w:widowControl w:val="0"/>
      <w:jc w:val="both"/>
    </w:pPr>
    <w:rPr>
      <w:b/>
      <w:sz w:val="24"/>
      <w:lang w:eastAsia="en-US"/>
    </w:rPr>
  </w:style>
  <w:style w:type="table" w:styleId="TableGrid">
    <w:name w:val="Table Grid"/>
    <w:basedOn w:val="TableNormal"/>
    <w:semiHidden/>
    <w:rsid w:val="00F81429"/>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rsid w:val="00F81429"/>
    <w:pPr>
      <w:spacing w:before="20" w:after="20"/>
      <w:jc w:val="center"/>
    </w:pPr>
    <w:rPr>
      <w:b/>
      <w:sz w:val="26"/>
    </w:rPr>
  </w:style>
  <w:style w:type="paragraph" w:customStyle="1" w:styleId="Normal1linespace">
    <w:name w:val="Normal1linespace"/>
    <w:basedOn w:val="Normal"/>
    <w:rsid w:val="00F81429"/>
    <w:pPr>
      <w:spacing w:line="240" w:lineRule="auto"/>
    </w:pPr>
  </w:style>
  <w:style w:type="paragraph" w:styleId="BalloonText">
    <w:name w:val="Balloon Text"/>
    <w:basedOn w:val="Normal"/>
    <w:link w:val="BalloonTextChar"/>
    <w:semiHidden/>
    <w:rsid w:val="00F81429"/>
    <w:rPr>
      <w:rFonts w:ascii="Tahoma" w:hAnsi="Tahoma" w:cs="Tahoma"/>
      <w:sz w:val="16"/>
      <w:szCs w:val="16"/>
    </w:rPr>
  </w:style>
  <w:style w:type="paragraph" w:customStyle="1" w:styleId="StyleBold">
    <w:name w:val="Style Bold"/>
    <w:basedOn w:val="Normal"/>
    <w:next w:val="BodyText"/>
    <w:semiHidden/>
    <w:rsid w:val="00F81429"/>
    <w:rPr>
      <w:szCs w:val="24"/>
    </w:rPr>
  </w:style>
  <w:style w:type="paragraph" w:customStyle="1" w:styleId="Bold">
    <w:name w:val="Bold"/>
    <w:basedOn w:val="Normal"/>
    <w:next w:val="Normal"/>
    <w:semiHidden/>
    <w:rsid w:val="00F81429"/>
    <w:pPr>
      <w:suppressAutoHyphens/>
      <w:jc w:val="left"/>
    </w:pPr>
    <w:rPr>
      <w:b/>
      <w:szCs w:val="24"/>
    </w:rPr>
  </w:style>
  <w:style w:type="paragraph" w:customStyle="1" w:styleId="Certify">
    <w:name w:val="Certify"/>
    <w:basedOn w:val="Normal"/>
    <w:link w:val="CertifyChar"/>
    <w:semiHidden/>
    <w:rsid w:val="00F81429"/>
    <w:pPr>
      <w:spacing w:line="240" w:lineRule="auto"/>
    </w:pPr>
    <w:rPr>
      <w:szCs w:val="24"/>
    </w:rPr>
  </w:style>
  <w:style w:type="character" w:styleId="CommentReference">
    <w:name w:val="annotation reference"/>
    <w:semiHidden/>
    <w:rsid w:val="00F81429"/>
    <w:rPr>
      <w:sz w:val="16"/>
      <w:szCs w:val="16"/>
    </w:rPr>
  </w:style>
  <w:style w:type="paragraph" w:styleId="CommentText">
    <w:name w:val="annotation text"/>
    <w:basedOn w:val="Normal"/>
    <w:semiHidden/>
    <w:rsid w:val="00F81429"/>
    <w:rPr>
      <w:sz w:val="20"/>
    </w:rPr>
  </w:style>
  <w:style w:type="paragraph" w:styleId="CommentSubject">
    <w:name w:val="annotation subject"/>
    <w:basedOn w:val="CommentText"/>
    <w:next w:val="CommentText"/>
    <w:semiHidden/>
    <w:rsid w:val="00F81429"/>
    <w:rPr>
      <w:b/>
      <w:bCs/>
    </w:rPr>
  </w:style>
  <w:style w:type="paragraph" w:customStyle="1" w:styleId="FCBullets">
    <w:name w:val="FCBullets"/>
    <w:basedOn w:val="Normal"/>
    <w:rsid w:val="00F81429"/>
    <w:pPr>
      <w:numPr>
        <w:numId w:val="2"/>
      </w:numPr>
      <w:spacing w:before="60" w:after="60"/>
    </w:pPr>
  </w:style>
  <w:style w:type="paragraph" w:customStyle="1" w:styleId="JudgeStyle">
    <w:name w:val="JudgeStyle"/>
    <w:basedOn w:val="Heading1"/>
    <w:next w:val="ParaNumbering"/>
    <w:semiHidden/>
    <w:rsid w:val="00F81429"/>
  </w:style>
  <w:style w:type="paragraph" w:styleId="TOC1">
    <w:name w:val="toc 1"/>
    <w:basedOn w:val="Normal"/>
    <w:next w:val="Normal"/>
    <w:autoRedefine/>
    <w:semiHidden/>
    <w:rsid w:val="00F81429"/>
    <w:pPr>
      <w:tabs>
        <w:tab w:val="right" w:leader="dot" w:pos="9071"/>
      </w:tabs>
    </w:pPr>
  </w:style>
  <w:style w:type="paragraph" w:styleId="TOC2">
    <w:name w:val="toc 2"/>
    <w:basedOn w:val="Normal"/>
    <w:next w:val="Normal"/>
    <w:autoRedefine/>
    <w:semiHidden/>
    <w:rsid w:val="00F81429"/>
    <w:pPr>
      <w:tabs>
        <w:tab w:val="right" w:leader="dot" w:pos="9071"/>
      </w:tabs>
      <w:ind w:left="240"/>
    </w:pPr>
  </w:style>
  <w:style w:type="paragraph" w:styleId="TOC3">
    <w:name w:val="toc 3"/>
    <w:basedOn w:val="Normal"/>
    <w:next w:val="Normal"/>
    <w:autoRedefine/>
    <w:semiHidden/>
    <w:rsid w:val="00F81429"/>
    <w:pPr>
      <w:tabs>
        <w:tab w:val="right" w:leader="dot" w:pos="9071"/>
      </w:tabs>
      <w:ind w:left="480"/>
    </w:pPr>
  </w:style>
  <w:style w:type="paragraph" w:styleId="TOC4">
    <w:name w:val="toc 4"/>
    <w:basedOn w:val="Normal"/>
    <w:next w:val="Normal"/>
    <w:autoRedefine/>
    <w:semiHidden/>
    <w:rsid w:val="00F81429"/>
    <w:pPr>
      <w:tabs>
        <w:tab w:val="right" w:leader="dot" w:pos="9071"/>
      </w:tabs>
      <w:ind w:left="720"/>
    </w:pPr>
  </w:style>
  <w:style w:type="paragraph" w:customStyle="1" w:styleId="NoNum">
    <w:name w:val="No Num"/>
    <w:basedOn w:val="Normal1linespace"/>
    <w:rsid w:val="00F81429"/>
    <w:pPr>
      <w:spacing w:before="120" w:after="180" w:line="360" w:lineRule="auto"/>
    </w:pPr>
  </w:style>
  <w:style w:type="paragraph" w:customStyle="1" w:styleId="AppealTable">
    <w:name w:val="AppealTable"/>
    <w:basedOn w:val="Normal"/>
    <w:unhideWhenUsed/>
    <w:rsid w:val="00F81429"/>
    <w:pPr>
      <w:spacing w:line="240" w:lineRule="auto"/>
      <w:jc w:val="left"/>
    </w:pPr>
    <w:rPr>
      <w:b/>
      <w:caps/>
      <w:sz w:val="22"/>
      <w:szCs w:val="22"/>
    </w:rPr>
  </w:style>
  <w:style w:type="paragraph" w:customStyle="1" w:styleId="Quote3">
    <w:name w:val="Quote3"/>
    <w:basedOn w:val="Quote1"/>
    <w:rsid w:val="00F81429"/>
    <w:pPr>
      <w:ind w:left="2160"/>
    </w:pPr>
  </w:style>
  <w:style w:type="paragraph" w:customStyle="1" w:styleId="Quote2">
    <w:name w:val="Quote2"/>
    <w:basedOn w:val="Quote1"/>
    <w:rsid w:val="00F81429"/>
    <w:pPr>
      <w:ind w:left="1440"/>
    </w:pPr>
  </w:style>
  <w:style w:type="paragraph" w:customStyle="1" w:styleId="FTOC1">
    <w:name w:val="FTOC 1"/>
    <w:basedOn w:val="Normal"/>
    <w:semiHidden/>
    <w:rsid w:val="00F81429"/>
    <w:pPr>
      <w:tabs>
        <w:tab w:val="right" w:leader="dot" w:pos="9072"/>
      </w:tabs>
      <w:spacing w:before="120" w:after="60" w:line="240" w:lineRule="auto"/>
    </w:pPr>
    <w:rPr>
      <w:b/>
      <w:kern w:val="28"/>
    </w:rPr>
  </w:style>
  <w:style w:type="paragraph" w:customStyle="1" w:styleId="ListNo1">
    <w:name w:val="List No 1"/>
    <w:basedOn w:val="Normal"/>
    <w:rsid w:val="00F81429"/>
    <w:pPr>
      <w:numPr>
        <w:numId w:val="37"/>
      </w:numPr>
      <w:spacing w:before="60" w:after="60"/>
    </w:pPr>
  </w:style>
  <w:style w:type="paragraph" w:customStyle="1" w:styleId="FTOC2">
    <w:name w:val="FTOC 2"/>
    <w:basedOn w:val="Normal"/>
    <w:semiHidden/>
    <w:rsid w:val="00F81429"/>
    <w:pPr>
      <w:tabs>
        <w:tab w:val="right" w:leader="dot" w:pos="9072"/>
      </w:tabs>
      <w:spacing w:before="120" w:after="60" w:line="240" w:lineRule="auto"/>
      <w:ind w:left="238"/>
    </w:pPr>
    <w:rPr>
      <w:b/>
    </w:rPr>
  </w:style>
  <w:style w:type="paragraph" w:customStyle="1" w:styleId="FTOC3">
    <w:name w:val="FTOC 3"/>
    <w:basedOn w:val="Normal"/>
    <w:semiHidden/>
    <w:rsid w:val="00F81429"/>
    <w:pPr>
      <w:tabs>
        <w:tab w:val="right" w:leader="dot" w:pos="9072"/>
      </w:tabs>
      <w:spacing w:before="120" w:after="60" w:line="240" w:lineRule="auto"/>
      <w:ind w:left="482"/>
    </w:pPr>
    <w:rPr>
      <w:b/>
      <w:i/>
    </w:rPr>
  </w:style>
  <w:style w:type="paragraph" w:customStyle="1" w:styleId="FTOC4">
    <w:name w:val="FTOC 4"/>
    <w:basedOn w:val="Normal"/>
    <w:semiHidden/>
    <w:rsid w:val="00F81429"/>
    <w:pPr>
      <w:tabs>
        <w:tab w:val="right" w:leader="dot" w:pos="9072"/>
      </w:tabs>
      <w:spacing w:before="120" w:after="60" w:line="240" w:lineRule="auto"/>
      <w:ind w:left="720"/>
    </w:pPr>
    <w:rPr>
      <w:i/>
    </w:rPr>
  </w:style>
  <w:style w:type="paragraph" w:styleId="TOC5">
    <w:name w:val="toc 5"/>
    <w:basedOn w:val="Normal"/>
    <w:next w:val="Normal"/>
    <w:autoRedefine/>
    <w:semiHidden/>
    <w:rsid w:val="00F81429"/>
    <w:pPr>
      <w:tabs>
        <w:tab w:val="right" w:leader="dot" w:pos="9072"/>
      </w:tabs>
      <w:ind w:left="960"/>
    </w:pPr>
  </w:style>
  <w:style w:type="numbering" w:styleId="111111">
    <w:name w:val="Outline List 2"/>
    <w:basedOn w:val="NoList"/>
    <w:semiHidden/>
    <w:rsid w:val="00F81429"/>
    <w:pPr>
      <w:numPr>
        <w:numId w:val="13"/>
      </w:numPr>
    </w:pPr>
  </w:style>
  <w:style w:type="numbering" w:styleId="1ai">
    <w:name w:val="Outline List 1"/>
    <w:basedOn w:val="NoList"/>
    <w:semiHidden/>
    <w:rsid w:val="00F81429"/>
    <w:pPr>
      <w:numPr>
        <w:numId w:val="14"/>
      </w:numPr>
    </w:pPr>
  </w:style>
  <w:style w:type="numbering" w:styleId="ArticleSection">
    <w:name w:val="Outline List 3"/>
    <w:basedOn w:val="NoList"/>
    <w:semiHidden/>
    <w:rsid w:val="00F81429"/>
    <w:pPr>
      <w:numPr>
        <w:numId w:val="15"/>
      </w:numPr>
    </w:pPr>
  </w:style>
  <w:style w:type="paragraph" w:styleId="BodyText">
    <w:name w:val="Body Text"/>
    <w:basedOn w:val="Normal"/>
    <w:link w:val="BodyTextChar"/>
    <w:qFormat/>
    <w:rsid w:val="00F81429"/>
  </w:style>
  <w:style w:type="paragraph" w:styleId="BodyText2">
    <w:name w:val="Body Text 2"/>
    <w:basedOn w:val="Normal"/>
    <w:semiHidden/>
    <w:rsid w:val="00F81429"/>
    <w:pPr>
      <w:spacing w:after="120" w:line="480" w:lineRule="auto"/>
    </w:pPr>
  </w:style>
  <w:style w:type="paragraph" w:styleId="BodyText3">
    <w:name w:val="Body Text 3"/>
    <w:basedOn w:val="Normal"/>
    <w:semiHidden/>
    <w:rsid w:val="00F81429"/>
    <w:pPr>
      <w:spacing w:after="120"/>
    </w:pPr>
    <w:rPr>
      <w:sz w:val="16"/>
      <w:szCs w:val="16"/>
    </w:rPr>
  </w:style>
  <w:style w:type="paragraph" w:styleId="BodyTextFirstIndent">
    <w:name w:val="Body Text First Indent"/>
    <w:basedOn w:val="BodyText"/>
    <w:semiHidden/>
    <w:rsid w:val="00F81429"/>
    <w:pPr>
      <w:ind w:firstLine="210"/>
    </w:pPr>
  </w:style>
  <w:style w:type="paragraph" w:styleId="BodyTextIndent">
    <w:name w:val="Body Text Indent"/>
    <w:basedOn w:val="Normal"/>
    <w:semiHidden/>
    <w:rsid w:val="00F81429"/>
    <w:pPr>
      <w:spacing w:after="120"/>
      <w:ind w:left="283"/>
    </w:pPr>
  </w:style>
  <w:style w:type="paragraph" w:styleId="BodyTextFirstIndent2">
    <w:name w:val="Body Text First Indent 2"/>
    <w:basedOn w:val="BodyTextIndent"/>
    <w:semiHidden/>
    <w:rsid w:val="00F81429"/>
    <w:pPr>
      <w:ind w:firstLine="210"/>
    </w:pPr>
  </w:style>
  <w:style w:type="paragraph" w:styleId="BodyTextIndent2">
    <w:name w:val="Body Text Indent 2"/>
    <w:basedOn w:val="Normal"/>
    <w:semiHidden/>
    <w:rsid w:val="00F81429"/>
    <w:pPr>
      <w:spacing w:after="120" w:line="480" w:lineRule="auto"/>
      <w:ind w:left="283"/>
    </w:pPr>
  </w:style>
  <w:style w:type="paragraph" w:styleId="BodyTextIndent3">
    <w:name w:val="Body Text Indent 3"/>
    <w:basedOn w:val="Normal"/>
    <w:semiHidden/>
    <w:rsid w:val="00F81429"/>
    <w:pPr>
      <w:spacing w:after="120"/>
      <w:ind w:left="283"/>
    </w:pPr>
    <w:rPr>
      <w:sz w:val="16"/>
      <w:szCs w:val="16"/>
    </w:rPr>
  </w:style>
  <w:style w:type="paragraph" w:styleId="Closing">
    <w:name w:val="Closing"/>
    <w:basedOn w:val="Normal"/>
    <w:semiHidden/>
    <w:rsid w:val="00F81429"/>
    <w:pPr>
      <w:ind w:left="4252"/>
    </w:pPr>
  </w:style>
  <w:style w:type="paragraph" w:styleId="Date">
    <w:name w:val="Date"/>
    <w:basedOn w:val="Normal"/>
    <w:next w:val="Normal"/>
    <w:semiHidden/>
    <w:rsid w:val="00F81429"/>
  </w:style>
  <w:style w:type="paragraph" w:styleId="E-mailSignature">
    <w:name w:val="E-mail Signature"/>
    <w:basedOn w:val="Normal"/>
    <w:semiHidden/>
    <w:rsid w:val="00F81429"/>
  </w:style>
  <w:style w:type="character" w:styleId="Emphasis">
    <w:name w:val="Emphasis"/>
    <w:rsid w:val="00F81429"/>
    <w:rPr>
      <w:i/>
      <w:iCs/>
    </w:rPr>
  </w:style>
  <w:style w:type="paragraph" w:styleId="EnvelopeAddress">
    <w:name w:val="envelope address"/>
    <w:basedOn w:val="Normal"/>
    <w:semiHidden/>
    <w:rsid w:val="00F81429"/>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sid w:val="00F81429"/>
    <w:rPr>
      <w:rFonts w:ascii="Arial" w:hAnsi="Arial" w:cs="Arial"/>
      <w:sz w:val="20"/>
    </w:rPr>
  </w:style>
  <w:style w:type="character" w:styleId="FollowedHyperlink">
    <w:name w:val="FollowedHyperlink"/>
    <w:semiHidden/>
    <w:rsid w:val="00F81429"/>
    <w:rPr>
      <w:color w:val="800080"/>
      <w:u w:val="single"/>
    </w:rPr>
  </w:style>
  <w:style w:type="character" w:styleId="HTMLAcronym">
    <w:name w:val="HTML Acronym"/>
    <w:basedOn w:val="DefaultParagraphFont"/>
    <w:semiHidden/>
    <w:rsid w:val="00F81429"/>
  </w:style>
  <w:style w:type="paragraph" w:styleId="HTMLAddress">
    <w:name w:val="HTML Address"/>
    <w:basedOn w:val="Normal"/>
    <w:semiHidden/>
    <w:rsid w:val="00F81429"/>
    <w:rPr>
      <w:i/>
      <w:iCs/>
    </w:rPr>
  </w:style>
  <w:style w:type="character" w:styleId="HTMLCite">
    <w:name w:val="HTML Cite"/>
    <w:semiHidden/>
    <w:rsid w:val="00F81429"/>
    <w:rPr>
      <w:i/>
      <w:iCs/>
    </w:rPr>
  </w:style>
  <w:style w:type="character" w:styleId="HTMLCode">
    <w:name w:val="HTML Code"/>
    <w:semiHidden/>
    <w:rsid w:val="00F81429"/>
    <w:rPr>
      <w:rFonts w:ascii="Courier New" w:hAnsi="Courier New" w:cs="Courier New"/>
      <w:sz w:val="20"/>
      <w:szCs w:val="20"/>
    </w:rPr>
  </w:style>
  <w:style w:type="character" w:styleId="HTMLDefinition">
    <w:name w:val="HTML Definition"/>
    <w:semiHidden/>
    <w:rsid w:val="00F81429"/>
    <w:rPr>
      <w:i/>
      <w:iCs/>
    </w:rPr>
  </w:style>
  <w:style w:type="character" w:styleId="HTMLKeyboard">
    <w:name w:val="HTML Keyboard"/>
    <w:semiHidden/>
    <w:rsid w:val="00F81429"/>
    <w:rPr>
      <w:rFonts w:ascii="Courier New" w:hAnsi="Courier New" w:cs="Courier New"/>
      <w:sz w:val="20"/>
      <w:szCs w:val="20"/>
    </w:rPr>
  </w:style>
  <w:style w:type="paragraph" w:styleId="HTMLPreformatted">
    <w:name w:val="HTML Preformatted"/>
    <w:basedOn w:val="Normal"/>
    <w:semiHidden/>
    <w:rsid w:val="00F81429"/>
    <w:rPr>
      <w:rFonts w:ascii="Courier New" w:hAnsi="Courier New" w:cs="Courier New"/>
      <w:sz w:val="20"/>
    </w:rPr>
  </w:style>
  <w:style w:type="character" w:styleId="HTMLSample">
    <w:name w:val="HTML Sample"/>
    <w:semiHidden/>
    <w:rsid w:val="00F81429"/>
    <w:rPr>
      <w:rFonts w:ascii="Courier New" w:hAnsi="Courier New" w:cs="Courier New"/>
    </w:rPr>
  </w:style>
  <w:style w:type="character" w:styleId="HTMLTypewriter">
    <w:name w:val="HTML Typewriter"/>
    <w:semiHidden/>
    <w:rsid w:val="00F81429"/>
    <w:rPr>
      <w:rFonts w:ascii="Courier New" w:hAnsi="Courier New" w:cs="Courier New"/>
      <w:sz w:val="20"/>
      <w:szCs w:val="20"/>
    </w:rPr>
  </w:style>
  <w:style w:type="character" w:styleId="HTMLVariable">
    <w:name w:val="HTML Variable"/>
    <w:semiHidden/>
    <w:rsid w:val="00F81429"/>
    <w:rPr>
      <w:i/>
      <w:iCs/>
    </w:rPr>
  </w:style>
  <w:style w:type="character" w:styleId="Hyperlink">
    <w:name w:val="Hyperlink"/>
    <w:semiHidden/>
    <w:rsid w:val="00F81429"/>
    <w:rPr>
      <w:color w:val="0000FF"/>
      <w:u w:val="single"/>
    </w:rPr>
  </w:style>
  <w:style w:type="character" w:styleId="LineNumber">
    <w:name w:val="line number"/>
    <w:basedOn w:val="DefaultParagraphFont"/>
    <w:semiHidden/>
    <w:rsid w:val="00F81429"/>
  </w:style>
  <w:style w:type="paragraph" w:styleId="List">
    <w:name w:val="List"/>
    <w:basedOn w:val="Normal"/>
    <w:semiHidden/>
    <w:rsid w:val="00F81429"/>
    <w:pPr>
      <w:ind w:left="283" w:hanging="283"/>
    </w:pPr>
  </w:style>
  <w:style w:type="paragraph" w:styleId="List2">
    <w:name w:val="List 2"/>
    <w:basedOn w:val="Normal"/>
    <w:semiHidden/>
    <w:rsid w:val="00F81429"/>
    <w:pPr>
      <w:ind w:left="566" w:hanging="283"/>
    </w:pPr>
  </w:style>
  <w:style w:type="paragraph" w:styleId="List3">
    <w:name w:val="List 3"/>
    <w:basedOn w:val="Normal"/>
    <w:semiHidden/>
    <w:rsid w:val="00F81429"/>
    <w:pPr>
      <w:ind w:left="849" w:hanging="283"/>
    </w:pPr>
  </w:style>
  <w:style w:type="paragraph" w:styleId="List4">
    <w:name w:val="List 4"/>
    <w:basedOn w:val="Normal"/>
    <w:semiHidden/>
    <w:rsid w:val="00F81429"/>
    <w:pPr>
      <w:ind w:left="1132" w:hanging="283"/>
    </w:pPr>
  </w:style>
  <w:style w:type="paragraph" w:styleId="List5">
    <w:name w:val="List 5"/>
    <w:basedOn w:val="Normal"/>
    <w:semiHidden/>
    <w:rsid w:val="00F81429"/>
    <w:pPr>
      <w:ind w:left="1415" w:hanging="283"/>
    </w:pPr>
  </w:style>
  <w:style w:type="paragraph" w:styleId="ListBullet">
    <w:name w:val="List Bullet"/>
    <w:basedOn w:val="Normal"/>
    <w:semiHidden/>
    <w:rsid w:val="00F81429"/>
    <w:pPr>
      <w:numPr>
        <w:numId w:val="3"/>
      </w:numPr>
    </w:pPr>
  </w:style>
  <w:style w:type="paragraph" w:styleId="ListBullet2">
    <w:name w:val="List Bullet 2"/>
    <w:basedOn w:val="Normal"/>
    <w:semiHidden/>
    <w:rsid w:val="00F81429"/>
    <w:pPr>
      <w:numPr>
        <w:numId w:val="4"/>
      </w:numPr>
    </w:pPr>
  </w:style>
  <w:style w:type="paragraph" w:styleId="ListBullet3">
    <w:name w:val="List Bullet 3"/>
    <w:basedOn w:val="Normal"/>
    <w:semiHidden/>
    <w:rsid w:val="00F81429"/>
    <w:pPr>
      <w:numPr>
        <w:numId w:val="5"/>
      </w:numPr>
    </w:pPr>
  </w:style>
  <w:style w:type="paragraph" w:styleId="ListBullet4">
    <w:name w:val="List Bullet 4"/>
    <w:basedOn w:val="Normal"/>
    <w:semiHidden/>
    <w:rsid w:val="00F81429"/>
    <w:pPr>
      <w:numPr>
        <w:numId w:val="6"/>
      </w:numPr>
    </w:pPr>
  </w:style>
  <w:style w:type="paragraph" w:styleId="ListBullet5">
    <w:name w:val="List Bullet 5"/>
    <w:basedOn w:val="Normal"/>
    <w:semiHidden/>
    <w:rsid w:val="00F81429"/>
    <w:pPr>
      <w:numPr>
        <w:numId w:val="7"/>
      </w:numPr>
    </w:pPr>
  </w:style>
  <w:style w:type="paragraph" w:styleId="ListContinue">
    <w:name w:val="List Continue"/>
    <w:basedOn w:val="Normal"/>
    <w:semiHidden/>
    <w:rsid w:val="00F81429"/>
    <w:pPr>
      <w:spacing w:after="120"/>
      <w:ind w:left="283"/>
    </w:pPr>
  </w:style>
  <w:style w:type="paragraph" w:styleId="ListContinue2">
    <w:name w:val="List Continue 2"/>
    <w:basedOn w:val="Normal"/>
    <w:semiHidden/>
    <w:rsid w:val="00F81429"/>
    <w:pPr>
      <w:spacing w:after="120"/>
      <w:ind w:left="566"/>
    </w:pPr>
  </w:style>
  <w:style w:type="paragraph" w:styleId="ListContinue3">
    <w:name w:val="List Continue 3"/>
    <w:basedOn w:val="Normal"/>
    <w:semiHidden/>
    <w:rsid w:val="00F81429"/>
    <w:pPr>
      <w:spacing w:after="120"/>
      <w:ind w:left="849"/>
    </w:pPr>
  </w:style>
  <w:style w:type="paragraph" w:styleId="ListContinue4">
    <w:name w:val="List Continue 4"/>
    <w:basedOn w:val="Normal"/>
    <w:semiHidden/>
    <w:rsid w:val="00F81429"/>
    <w:pPr>
      <w:spacing w:after="120"/>
      <w:ind w:left="1132"/>
    </w:pPr>
  </w:style>
  <w:style w:type="paragraph" w:styleId="ListContinue5">
    <w:name w:val="List Continue 5"/>
    <w:basedOn w:val="Normal"/>
    <w:semiHidden/>
    <w:rsid w:val="00F81429"/>
    <w:pPr>
      <w:spacing w:after="120"/>
      <w:ind w:left="1415"/>
    </w:pPr>
  </w:style>
  <w:style w:type="paragraph" w:styleId="ListNumber">
    <w:name w:val="List Number"/>
    <w:basedOn w:val="Normal"/>
    <w:semiHidden/>
    <w:rsid w:val="00F81429"/>
    <w:pPr>
      <w:numPr>
        <w:numId w:val="8"/>
      </w:numPr>
    </w:pPr>
  </w:style>
  <w:style w:type="paragraph" w:styleId="ListNumber2">
    <w:name w:val="List Number 2"/>
    <w:basedOn w:val="Normal"/>
    <w:semiHidden/>
    <w:rsid w:val="00F81429"/>
    <w:pPr>
      <w:numPr>
        <w:numId w:val="9"/>
      </w:numPr>
    </w:pPr>
  </w:style>
  <w:style w:type="paragraph" w:styleId="ListNumber3">
    <w:name w:val="List Number 3"/>
    <w:basedOn w:val="Normal"/>
    <w:semiHidden/>
    <w:rsid w:val="00F81429"/>
    <w:pPr>
      <w:numPr>
        <w:numId w:val="10"/>
      </w:numPr>
    </w:pPr>
  </w:style>
  <w:style w:type="paragraph" w:styleId="ListNumber4">
    <w:name w:val="List Number 4"/>
    <w:basedOn w:val="Normal"/>
    <w:semiHidden/>
    <w:rsid w:val="00F81429"/>
    <w:pPr>
      <w:numPr>
        <w:numId w:val="11"/>
      </w:numPr>
    </w:pPr>
  </w:style>
  <w:style w:type="paragraph" w:styleId="ListNumber5">
    <w:name w:val="List Number 5"/>
    <w:basedOn w:val="Normal"/>
    <w:semiHidden/>
    <w:rsid w:val="00F81429"/>
    <w:pPr>
      <w:numPr>
        <w:numId w:val="12"/>
      </w:numPr>
    </w:pPr>
  </w:style>
  <w:style w:type="paragraph" w:styleId="MessageHeader">
    <w:name w:val="Message Header"/>
    <w:basedOn w:val="Normal"/>
    <w:semiHidden/>
    <w:rsid w:val="00F81429"/>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sid w:val="00F81429"/>
    <w:rPr>
      <w:szCs w:val="24"/>
    </w:rPr>
  </w:style>
  <w:style w:type="paragraph" w:styleId="NormalIndent">
    <w:name w:val="Normal Indent"/>
    <w:basedOn w:val="Normal"/>
    <w:semiHidden/>
    <w:rsid w:val="00F81429"/>
    <w:pPr>
      <w:ind w:left="720"/>
    </w:pPr>
  </w:style>
  <w:style w:type="paragraph" w:styleId="NoteHeading">
    <w:name w:val="Note Heading"/>
    <w:basedOn w:val="Normal"/>
    <w:next w:val="Normal"/>
    <w:semiHidden/>
    <w:rsid w:val="00F81429"/>
  </w:style>
  <w:style w:type="character" w:styleId="PageNumber">
    <w:name w:val="page number"/>
    <w:basedOn w:val="DefaultParagraphFont"/>
    <w:semiHidden/>
    <w:rsid w:val="00F81429"/>
  </w:style>
  <w:style w:type="paragraph" w:styleId="PlainText">
    <w:name w:val="Plain Text"/>
    <w:basedOn w:val="Normal"/>
    <w:semiHidden/>
    <w:rsid w:val="00F81429"/>
    <w:rPr>
      <w:rFonts w:ascii="Courier New" w:hAnsi="Courier New" w:cs="Courier New"/>
      <w:sz w:val="20"/>
    </w:rPr>
  </w:style>
  <w:style w:type="paragraph" w:styleId="Salutation">
    <w:name w:val="Salutation"/>
    <w:basedOn w:val="Normal"/>
    <w:next w:val="Normal"/>
    <w:semiHidden/>
    <w:rsid w:val="00F81429"/>
  </w:style>
  <w:style w:type="paragraph" w:styleId="Signature">
    <w:name w:val="Signature"/>
    <w:basedOn w:val="Normal"/>
    <w:semiHidden/>
    <w:rsid w:val="00F81429"/>
    <w:pPr>
      <w:ind w:left="4252"/>
    </w:pPr>
  </w:style>
  <w:style w:type="character" w:styleId="Strong">
    <w:name w:val="Strong"/>
    <w:rsid w:val="00F81429"/>
    <w:rPr>
      <w:b/>
      <w:bCs/>
    </w:rPr>
  </w:style>
  <w:style w:type="paragraph" w:styleId="Subtitle">
    <w:name w:val="Subtitle"/>
    <w:basedOn w:val="Normal"/>
    <w:semiHidden/>
    <w:rsid w:val="00F81429"/>
    <w:pPr>
      <w:spacing w:after="60"/>
      <w:jc w:val="center"/>
      <w:outlineLvl w:val="1"/>
    </w:pPr>
    <w:rPr>
      <w:rFonts w:ascii="Arial" w:hAnsi="Arial" w:cs="Arial"/>
      <w:szCs w:val="24"/>
    </w:rPr>
  </w:style>
  <w:style w:type="table" w:styleId="Table3Deffects1">
    <w:name w:val="Table 3D effects 1"/>
    <w:basedOn w:val="TableNormal"/>
    <w:semiHidden/>
    <w:rsid w:val="00F81429"/>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81429"/>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81429"/>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81429"/>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81429"/>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81429"/>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81429"/>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81429"/>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81429"/>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81429"/>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81429"/>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81429"/>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81429"/>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81429"/>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81429"/>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81429"/>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81429"/>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F81429"/>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81429"/>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81429"/>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81429"/>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81429"/>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81429"/>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81429"/>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81429"/>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81429"/>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81429"/>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81429"/>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81429"/>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81429"/>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81429"/>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81429"/>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F81429"/>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81429"/>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81429"/>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81429"/>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81429"/>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81429"/>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81429"/>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81429"/>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81429"/>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81429"/>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81429"/>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bTOC1">
    <w:name w:val="bTOC 1"/>
    <w:basedOn w:val="TOC1"/>
    <w:rsid w:val="00F81429"/>
  </w:style>
  <w:style w:type="paragraph" w:customStyle="1" w:styleId="bTOC2">
    <w:name w:val="bTOC 2"/>
    <w:basedOn w:val="TOC2"/>
    <w:semiHidden/>
    <w:rsid w:val="00F81429"/>
  </w:style>
  <w:style w:type="paragraph" w:customStyle="1" w:styleId="bTOC3">
    <w:name w:val="bTOC 3"/>
    <w:basedOn w:val="TOC3"/>
    <w:semiHidden/>
    <w:rsid w:val="00F81429"/>
  </w:style>
  <w:style w:type="paragraph" w:customStyle="1" w:styleId="bTOC4">
    <w:name w:val="bTOC 4"/>
    <w:basedOn w:val="TOC4"/>
    <w:semiHidden/>
    <w:rsid w:val="00F81429"/>
  </w:style>
  <w:style w:type="paragraph" w:customStyle="1" w:styleId="Counsel">
    <w:name w:val="Counsel"/>
    <w:basedOn w:val="Normal"/>
    <w:unhideWhenUsed/>
    <w:rsid w:val="00F81429"/>
    <w:pPr>
      <w:widowControl w:val="0"/>
      <w:suppressAutoHyphens/>
      <w:spacing w:line="240" w:lineRule="auto"/>
    </w:pPr>
  </w:style>
  <w:style w:type="character" w:customStyle="1" w:styleId="CertifyChar">
    <w:name w:val="Certify Char"/>
    <w:link w:val="Certify"/>
    <w:semiHidden/>
    <w:rsid w:val="00F81429"/>
    <w:rPr>
      <w:sz w:val="24"/>
      <w:szCs w:val="24"/>
      <w:lang w:eastAsia="en-US"/>
    </w:rPr>
  </w:style>
  <w:style w:type="paragraph" w:customStyle="1" w:styleId="fcHeading1">
    <w:name w:val="fcHeading 1"/>
    <w:basedOn w:val="Normal"/>
    <w:next w:val="ParaNumbering"/>
    <w:semiHidden/>
    <w:rsid w:val="00F81429"/>
    <w:pPr>
      <w:keepNext/>
      <w:numPr>
        <w:numId w:val="16"/>
      </w:numPr>
      <w:spacing w:before="240" w:after="60" w:line="240" w:lineRule="auto"/>
    </w:pPr>
    <w:rPr>
      <w:b/>
      <w:caps/>
      <w:kern w:val="28"/>
    </w:rPr>
  </w:style>
  <w:style w:type="paragraph" w:customStyle="1" w:styleId="fcHeading2">
    <w:name w:val="fcHeading 2"/>
    <w:basedOn w:val="Normal"/>
    <w:next w:val="ParaNumbering"/>
    <w:semiHidden/>
    <w:rsid w:val="00F81429"/>
    <w:pPr>
      <w:keepNext/>
      <w:numPr>
        <w:ilvl w:val="1"/>
        <w:numId w:val="16"/>
      </w:numPr>
      <w:spacing w:before="240" w:after="60" w:line="240" w:lineRule="auto"/>
    </w:pPr>
    <w:rPr>
      <w:b/>
    </w:rPr>
  </w:style>
  <w:style w:type="paragraph" w:customStyle="1" w:styleId="fcHeading3">
    <w:name w:val="fcHeading 3"/>
    <w:basedOn w:val="Normal"/>
    <w:next w:val="ParaNumbering"/>
    <w:semiHidden/>
    <w:rsid w:val="00F81429"/>
    <w:pPr>
      <w:keepNext/>
      <w:numPr>
        <w:ilvl w:val="2"/>
        <w:numId w:val="16"/>
      </w:numPr>
      <w:spacing w:before="240" w:after="60" w:line="240" w:lineRule="auto"/>
    </w:pPr>
    <w:rPr>
      <w:b/>
      <w:i/>
    </w:rPr>
  </w:style>
  <w:style w:type="paragraph" w:customStyle="1" w:styleId="fcHeading4">
    <w:name w:val="fcHeading 4"/>
    <w:basedOn w:val="Normal"/>
    <w:next w:val="ParaNumbering"/>
    <w:semiHidden/>
    <w:rsid w:val="00F81429"/>
    <w:pPr>
      <w:keepNext/>
      <w:numPr>
        <w:ilvl w:val="3"/>
        <w:numId w:val="16"/>
      </w:numPr>
      <w:spacing w:before="240" w:after="60" w:line="240" w:lineRule="auto"/>
    </w:pPr>
    <w:rPr>
      <w:b/>
      <w:smallCaps/>
    </w:rPr>
  </w:style>
  <w:style w:type="paragraph" w:customStyle="1" w:styleId="fcHeading5">
    <w:name w:val="fcHeading 5"/>
    <w:basedOn w:val="Normal"/>
    <w:next w:val="ParaNumbering"/>
    <w:semiHidden/>
    <w:rsid w:val="00F81429"/>
    <w:pPr>
      <w:keepNext/>
      <w:numPr>
        <w:ilvl w:val="4"/>
        <w:numId w:val="16"/>
      </w:numPr>
      <w:spacing w:before="240" w:after="60" w:line="240" w:lineRule="auto"/>
    </w:pPr>
    <w:rPr>
      <w:b/>
      <w:caps/>
    </w:rPr>
  </w:style>
  <w:style w:type="paragraph" w:customStyle="1" w:styleId="FTOC5">
    <w:name w:val="FTOC 5"/>
    <w:basedOn w:val="Normal"/>
    <w:semiHidden/>
    <w:rsid w:val="00F81429"/>
    <w:pPr>
      <w:tabs>
        <w:tab w:val="right" w:leader="dot" w:pos="9072"/>
      </w:tabs>
      <w:spacing w:before="240" w:after="60" w:line="240" w:lineRule="auto"/>
      <w:ind w:left="709" w:hanging="709"/>
    </w:pPr>
    <w:rPr>
      <w:b/>
      <w:kern w:val="28"/>
    </w:rPr>
  </w:style>
  <w:style w:type="paragraph" w:customStyle="1" w:styleId="FTOC6">
    <w:name w:val="FTOC 6"/>
    <w:basedOn w:val="Normal"/>
    <w:semiHidden/>
    <w:rsid w:val="00F81429"/>
    <w:pPr>
      <w:tabs>
        <w:tab w:val="right" w:leader="dot" w:pos="9072"/>
      </w:tabs>
      <w:spacing w:before="240" w:after="60" w:line="240" w:lineRule="auto"/>
      <w:ind w:left="1418" w:hanging="709"/>
    </w:pPr>
    <w:rPr>
      <w:b/>
    </w:rPr>
  </w:style>
  <w:style w:type="paragraph" w:customStyle="1" w:styleId="FTOC7">
    <w:name w:val="FTOC 7"/>
    <w:basedOn w:val="Normal"/>
    <w:semiHidden/>
    <w:rsid w:val="00F81429"/>
    <w:pPr>
      <w:tabs>
        <w:tab w:val="right" w:leader="dot" w:pos="9072"/>
      </w:tabs>
      <w:spacing w:before="240" w:after="60" w:line="240" w:lineRule="auto"/>
      <w:ind w:left="2127" w:hanging="709"/>
    </w:pPr>
    <w:rPr>
      <w:b/>
    </w:rPr>
  </w:style>
  <w:style w:type="paragraph" w:customStyle="1" w:styleId="FTOC8">
    <w:name w:val="FTOC 8"/>
    <w:basedOn w:val="Normal"/>
    <w:semiHidden/>
    <w:rsid w:val="00F81429"/>
    <w:pPr>
      <w:tabs>
        <w:tab w:val="right" w:leader="dot" w:pos="9072"/>
      </w:tabs>
      <w:spacing w:before="240" w:after="60" w:line="240" w:lineRule="auto"/>
      <w:ind w:left="3260" w:hanging="1134"/>
    </w:pPr>
    <w:rPr>
      <w:b/>
    </w:rPr>
  </w:style>
  <w:style w:type="paragraph" w:customStyle="1" w:styleId="FTOC9">
    <w:name w:val="FTOC 9"/>
    <w:basedOn w:val="Normal"/>
    <w:semiHidden/>
    <w:rsid w:val="00F81429"/>
    <w:pPr>
      <w:tabs>
        <w:tab w:val="right" w:leader="dot" w:pos="9072"/>
      </w:tabs>
      <w:spacing w:before="240" w:after="60" w:line="240" w:lineRule="auto"/>
      <w:ind w:left="3969" w:hanging="1134"/>
    </w:pPr>
    <w:rPr>
      <w:b/>
    </w:rPr>
  </w:style>
  <w:style w:type="paragraph" w:customStyle="1" w:styleId="bTOC5">
    <w:name w:val="bTOC 5"/>
    <w:basedOn w:val="Normal"/>
    <w:semiHidden/>
    <w:rsid w:val="00F81429"/>
    <w:pPr>
      <w:tabs>
        <w:tab w:val="right" w:leader="dot" w:pos="9072"/>
      </w:tabs>
      <w:spacing w:before="240" w:after="60" w:line="240" w:lineRule="auto"/>
      <w:ind w:left="709" w:hanging="709"/>
    </w:pPr>
  </w:style>
  <w:style w:type="paragraph" w:customStyle="1" w:styleId="bTOC6">
    <w:name w:val="bTOC 6"/>
    <w:basedOn w:val="Normal"/>
    <w:semiHidden/>
    <w:rsid w:val="00F81429"/>
    <w:pPr>
      <w:tabs>
        <w:tab w:val="right" w:leader="dot" w:pos="9072"/>
      </w:tabs>
      <w:spacing w:before="240" w:after="60" w:line="240" w:lineRule="auto"/>
      <w:ind w:left="1418" w:hanging="709"/>
    </w:pPr>
  </w:style>
  <w:style w:type="paragraph" w:customStyle="1" w:styleId="bTOC7">
    <w:name w:val="bTOC 7"/>
    <w:basedOn w:val="Normal"/>
    <w:semiHidden/>
    <w:rsid w:val="00F81429"/>
    <w:pPr>
      <w:tabs>
        <w:tab w:val="right" w:leader="dot" w:pos="9072"/>
      </w:tabs>
      <w:spacing w:before="240" w:after="60" w:line="240" w:lineRule="auto"/>
      <w:ind w:left="2127" w:hanging="709"/>
    </w:pPr>
  </w:style>
  <w:style w:type="paragraph" w:customStyle="1" w:styleId="bTOC8">
    <w:name w:val="bTOC 8"/>
    <w:basedOn w:val="Normal"/>
    <w:semiHidden/>
    <w:rsid w:val="00F81429"/>
    <w:pPr>
      <w:keepNext/>
      <w:tabs>
        <w:tab w:val="right" w:leader="dot" w:pos="9072"/>
      </w:tabs>
      <w:spacing w:before="240" w:after="60" w:line="240" w:lineRule="auto"/>
      <w:ind w:left="3260" w:hanging="1134"/>
    </w:pPr>
  </w:style>
  <w:style w:type="paragraph" w:customStyle="1" w:styleId="bTOC9">
    <w:name w:val="bTOC 9"/>
    <w:basedOn w:val="Normal"/>
    <w:semiHidden/>
    <w:rsid w:val="00F81429"/>
    <w:pPr>
      <w:keepNext/>
      <w:tabs>
        <w:tab w:val="right" w:leader="dot" w:pos="9072"/>
      </w:tabs>
      <w:spacing w:before="240" w:after="60" w:line="240" w:lineRule="auto"/>
      <w:ind w:left="3969" w:hanging="1134"/>
    </w:pPr>
  </w:style>
  <w:style w:type="paragraph" w:customStyle="1" w:styleId="ListNo2">
    <w:name w:val="List No 2"/>
    <w:basedOn w:val="ListNo1"/>
    <w:rsid w:val="00F81429"/>
    <w:pPr>
      <w:numPr>
        <w:ilvl w:val="1"/>
      </w:numPr>
    </w:pPr>
  </w:style>
  <w:style w:type="paragraph" w:customStyle="1" w:styleId="ListNo3">
    <w:name w:val="List No 3"/>
    <w:basedOn w:val="ListNo2"/>
    <w:rsid w:val="00F81429"/>
    <w:pPr>
      <w:numPr>
        <w:ilvl w:val="2"/>
      </w:numPr>
    </w:pPr>
  </w:style>
  <w:style w:type="numbering" w:customStyle="1" w:styleId="FCListNo">
    <w:name w:val="FCListNo"/>
    <w:uiPriority w:val="99"/>
    <w:rsid w:val="00F81429"/>
    <w:pPr>
      <w:numPr>
        <w:numId w:val="17"/>
      </w:numPr>
    </w:pPr>
  </w:style>
  <w:style w:type="paragraph" w:customStyle="1" w:styleId="SingleSpace">
    <w:name w:val="SingleSpace"/>
    <w:basedOn w:val="Normal"/>
    <w:rsid w:val="00F81429"/>
    <w:pPr>
      <w:spacing w:line="240" w:lineRule="auto"/>
    </w:pPr>
    <w:rPr>
      <w:szCs w:val="22"/>
    </w:rPr>
  </w:style>
  <w:style w:type="paragraph" w:customStyle="1" w:styleId="Quote1Bullet">
    <w:name w:val="Quote1 Bullet"/>
    <w:basedOn w:val="Quote1"/>
    <w:rsid w:val="00F81429"/>
    <w:pPr>
      <w:numPr>
        <w:numId w:val="18"/>
      </w:numPr>
      <w:ind w:left="1440" w:hanging="720"/>
    </w:pPr>
  </w:style>
  <w:style w:type="paragraph" w:customStyle="1" w:styleId="Quote2Bullet">
    <w:name w:val="Quote2 Bullet"/>
    <w:basedOn w:val="Quote2"/>
    <w:rsid w:val="00F81429"/>
    <w:pPr>
      <w:numPr>
        <w:numId w:val="19"/>
      </w:numPr>
      <w:ind w:hanging="720"/>
    </w:pPr>
  </w:style>
  <w:style w:type="paragraph" w:customStyle="1" w:styleId="Quote3Bullet">
    <w:name w:val="Quote3 Bullet"/>
    <w:basedOn w:val="Quote3"/>
    <w:rsid w:val="00F81429"/>
    <w:pPr>
      <w:numPr>
        <w:numId w:val="20"/>
      </w:numPr>
      <w:ind w:hanging="720"/>
    </w:pPr>
  </w:style>
  <w:style w:type="paragraph" w:customStyle="1" w:styleId="Order1">
    <w:name w:val="Order 1"/>
    <w:basedOn w:val="Normal"/>
    <w:rsid w:val="00F81429"/>
    <w:pPr>
      <w:numPr>
        <w:numId w:val="21"/>
      </w:numPr>
      <w:spacing w:before="60" w:after="60"/>
    </w:pPr>
  </w:style>
  <w:style w:type="paragraph" w:customStyle="1" w:styleId="Order2">
    <w:name w:val="Order 2"/>
    <w:basedOn w:val="Order1"/>
    <w:rsid w:val="00F81429"/>
    <w:pPr>
      <w:numPr>
        <w:ilvl w:val="1"/>
      </w:numPr>
    </w:pPr>
  </w:style>
  <w:style w:type="paragraph" w:customStyle="1" w:styleId="Order3">
    <w:name w:val="Order 3"/>
    <w:basedOn w:val="Order2"/>
    <w:rsid w:val="00F81429"/>
    <w:pPr>
      <w:numPr>
        <w:ilvl w:val="2"/>
      </w:numPr>
    </w:pPr>
  </w:style>
  <w:style w:type="numbering" w:customStyle="1" w:styleId="FCOrders">
    <w:name w:val="FCOrders"/>
    <w:uiPriority w:val="99"/>
    <w:rsid w:val="00F81429"/>
    <w:pPr>
      <w:numPr>
        <w:numId w:val="21"/>
      </w:numPr>
    </w:pPr>
  </w:style>
  <w:style w:type="paragraph" w:customStyle="1" w:styleId="BodyTextBold">
    <w:name w:val="Body Text Bold"/>
    <w:basedOn w:val="BodyText"/>
    <w:rsid w:val="00F81429"/>
    <w:rPr>
      <w:b/>
    </w:rPr>
  </w:style>
  <w:style w:type="paragraph" w:customStyle="1" w:styleId="GeneralHeading">
    <w:name w:val="General Heading"/>
    <w:basedOn w:val="BodyTextBold"/>
    <w:next w:val="BodyText"/>
    <w:rsid w:val="00F81429"/>
    <w:pPr>
      <w:spacing w:line="480" w:lineRule="auto"/>
      <w:jc w:val="center"/>
    </w:pPr>
    <w:rPr>
      <w:sz w:val="28"/>
    </w:rPr>
  </w:style>
  <w:style w:type="paragraph" w:customStyle="1" w:styleId="ReasonJudge">
    <w:name w:val="Reason Judge"/>
    <w:basedOn w:val="BodyText"/>
    <w:next w:val="BodyText"/>
    <w:rsid w:val="00F81429"/>
    <w:pPr>
      <w:jc w:val="left"/>
    </w:pPr>
    <w:rPr>
      <w:b/>
      <w:sz w:val="26"/>
    </w:rPr>
  </w:style>
  <w:style w:type="paragraph" w:customStyle="1" w:styleId="FileNo">
    <w:name w:val="FileNo"/>
    <w:basedOn w:val="NormalHeadings"/>
    <w:rsid w:val="00F81429"/>
    <w:pPr>
      <w:tabs>
        <w:tab w:val="right" w:pos="3609"/>
      </w:tabs>
      <w:spacing w:line="276" w:lineRule="auto"/>
      <w:jc w:val="right"/>
    </w:pPr>
    <w:rPr>
      <w:szCs w:val="24"/>
    </w:rPr>
  </w:style>
  <w:style w:type="paragraph" w:customStyle="1" w:styleId="CasesLegislationAppealFrom">
    <w:name w:val="Cases Legislation Appeal From"/>
    <w:basedOn w:val="Normal1linespace"/>
    <w:rsid w:val="00F81429"/>
    <w:pPr>
      <w:widowControl w:val="0"/>
      <w:spacing w:after="100"/>
      <w:jc w:val="left"/>
    </w:pPr>
  </w:style>
  <w:style w:type="paragraph" w:customStyle="1" w:styleId="PartyName">
    <w:name w:val="Party Name"/>
    <w:basedOn w:val="NormalHeadings"/>
    <w:rsid w:val="00F81429"/>
    <w:pPr>
      <w:jc w:val="left"/>
    </w:pPr>
    <w:rPr>
      <w:szCs w:val="24"/>
    </w:rPr>
  </w:style>
  <w:style w:type="paragraph" w:customStyle="1" w:styleId="PartyType">
    <w:name w:val="Party Type"/>
    <w:basedOn w:val="PartyName"/>
    <w:rsid w:val="00F81429"/>
    <w:rPr>
      <w:b w:val="0"/>
    </w:rPr>
  </w:style>
  <w:style w:type="paragraph" w:customStyle="1" w:styleId="Small-TableswithinQuotes">
    <w:name w:val="Small - Tables within Quotes"/>
    <w:basedOn w:val="BodyText"/>
    <w:rsid w:val="00F81429"/>
    <w:pPr>
      <w:spacing w:line="240" w:lineRule="auto"/>
      <w:jc w:val="left"/>
    </w:pPr>
    <w:rPr>
      <w:sz w:val="22"/>
    </w:rPr>
  </w:style>
  <w:style w:type="character" w:customStyle="1" w:styleId="BodyTextChar">
    <w:name w:val="Body Text Char"/>
    <w:basedOn w:val="DefaultParagraphFont"/>
    <w:link w:val="BodyText"/>
    <w:rsid w:val="00F81429"/>
    <w:rPr>
      <w:sz w:val="24"/>
      <w:lang w:eastAsia="en-US"/>
    </w:rPr>
  </w:style>
  <w:style w:type="character" w:customStyle="1" w:styleId="NormalHeadingsChar">
    <w:name w:val="Normal Headings Char"/>
    <w:basedOn w:val="DefaultParagraphFont"/>
    <w:link w:val="NormalHeadings"/>
    <w:rsid w:val="00F81429"/>
    <w:rPr>
      <w:b/>
      <w:sz w:val="24"/>
      <w:lang w:eastAsia="en-US"/>
    </w:rPr>
  </w:style>
  <w:style w:type="paragraph" w:customStyle="1" w:styleId="subsection">
    <w:name w:val="subsection"/>
    <w:basedOn w:val="Normal"/>
    <w:rsid w:val="004F75CD"/>
    <w:pPr>
      <w:spacing w:before="100" w:beforeAutospacing="1" w:after="100" w:afterAutospacing="1" w:line="240" w:lineRule="auto"/>
      <w:jc w:val="left"/>
    </w:pPr>
    <w:rPr>
      <w:rFonts w:eastAsia="Times New Roman"/>
      <w:szCs w:val="24"/>
      <w:lang w:eastAsia="en-AU"/>
    </w:rPr>
  </w:style>
  <w:style w:type="paragraph" w:customStyle="1" w:styleId="paragraph">
    <w:name w:val="paragraph"/>
    <w:basedOn w:val="Normal"/>
    <w:rsid w:val="004F75CD"/>
    <w:pPr>
      <w:spacing w:before="100" w:beforeAutospacing="1" w:after="100" w:afterAutospacing="1" w:line="240" w:lineRule="auto"/>
      <w:jc w:val="left"/>
    </w:pPr>
    <w:rPr>
      <w:rFonts w:eastAsia="Times New Roman"/>
      <w:szCs w:val="24"/>
      <w:lang w:eastAsia="en-AU"/>
    </w:rPr>
  </w:style>
  <w:style w:type="character" w:customStyle="1" w:styleId="citation">
    <w:name w:val="citation"/>
    <w:basedOn w:val="DefaultParagraphFont"/>
    <w:rsid w:val="00C16917"/>
  </w:style>
  <w:style w:type="paragraph" w:customStyle="1" w:styleId="textbox">
    <w:name w:val="textbox"/>
    <w:basedOn w:val="Normal"/>
    <w:rsid w:val="00FE71B4"/>
    <w:pPr>
      <w:spacing w:before="100" w:beforeAutospacing="1" w:after="100" w:afterAutospacing="1" w:line="240" w:lineRule="auto"/>
      <w:jc w:val="left"/>
    </w:pPr>
    <w:rPr>
      <w:rFonts w:eastAsia="Times New Roman"/>
      <w:szCs w:val="24"/>
      <w:lang w:eastAsia="en-AU"/>
    </w:rPr>
  </w:style>
  <w:style w:type="paragraph" w:styleId="ListParagraph">
    <w:name w:val="List Paragraph"/>
    <w:basedOn w:val="Normal"/>
    <w:uiPriority w:val="1"/>
    <w:qFormat/>
    <w:rsid w:val="007D27A3"/>
    <w:pPr>
      <w:widowControl w:val="0"/>
      <w:autoSpaceDE w:val="0"/>
      <w:autoSpaceDN w:val="0"/>
      <w:spacing w:line="240" w:lineRule="auto"/>
      <w:ind w:left="1831" w:hanging="567"/>
      <w:jc w:val="left"/>
    </w:pPr>
    <w:rPr>
      <w:rFonts w:ascii="Arial" w:eastAsia="Arial" w:hAnsi="Arial" w:cs="Arial"/>
      <w:sz w:val="22"/>
      <w:szCs w:val="22"/>
      <w:lang w:val="en-US"/>
    </w:rPr>
  </w:style>
  <w:style w:type="character" w:customStyle="1" w:styleId="Heading4Char">
    <w:name w:val="Heading 4 Char"/>
    <w:basedOn w:val="DefaultParagraphFont"/>
    <w:link w:val="Heading4"/>
    <w:rsid w:val="00EE4207"/>
    <w:rPr>
      <w:i/>
      <w:sz w:val="24"/>
      <w:szCs w:val="24"/>
      <w:lang w:eastAsia="en-US"/>
    </w:rPr>
  </w:style>
  <w:style w:type="paragraph" w:customStyle="1" w:styleId="Default">
    <w:name w:val="Default"/>
    <w:rsid w:val="00A040AE"/>
    <w:pPr>
      <w:autoSpaceDE w:val="0"/>
      <w:autoSpaceDN w:val="0"/>
      <w:adjustRightInd w:val="0"/>
    </w:pPr>
    <w:rPr>
      <w:color w:val="000000"/>
      <w:sz w:val="24"/>
      <w:szCs w:val="24"/>
    </w:rPr>
  </w:style>
  <w:style w:type="character" w:customStyle="1" w:styleId="st1">
    <w:name w:val="st1"/>
    <w:basedOn w:val="DefaultParagraphFont"/>
    <w:rsid w:val="00F661E6"/>
  </w:style>
  <w:style w:type="paragraph" w:customStyle="1" w:styleId="Numbers">
    <w:name w:val="Numbers"/>
    <w:basedOn w:val="Normal"/>
    <w:rsid w:val="004A56DD"/>
    <w:pPr>
      <w:numPr>
        <w:numId w:val="23"/>
      </w:numPr>
      <w:spacing w:before="120" w:after="120"/>
      <w:jc w:val="left"/>
    </w:pPr>
    <w:rPr>
      <w:rFonts w:ascii="Arial" w:eastAsia="Times New Roman" w:hAnsi="Arial"/>
      <w:sz w:val="22"/>
      <w:szCs w:val="24"/>
    </w:rPr>
  </w:style>
  <w:style w:type="paragraph" w:styleId="FootnoteText">
    <w:name w:val="footnote text"/>
    <w:aliases w:val=" Char Char"/>
    <w:basedOn w:val="Normal"/>
    <w:link w:val="FootnoteTextChar"/>
    <w:unhideWhenUsed/>
    <w:qFormat/>
    <w:rsid w:val="004A56DD"/>
    <w:pPr>
      <w:spacing w:line="240" w:lineRule="auto"/>
      <w:jc w:val="left"/>
    </w:pPr>
    <w:rPr>
      <w:rFonts w:ascii="Calibri" w:eastAsia="Calibri" w:hAnsi="Calibri"/>
      <w:sz w:val="20"/>
    </w:rPr>
  </w:style>
  <w:style w:type="character" w:customStyle="1" w:styleId="FootnoteTextChar">
    <w:name w:val="Footnote Text Char"/>
    <w:aliases w:val=" Char Char Char"/>
    <w:basedOn w:val="DefaultParagraphFont"/>
    <w:link w:val="FootnoteText"/>
    <w:rsid w:val="004A56DD"/>
    <w:rPr>
      <w:rFonts w:ascii="Calibri" w:eastAsia="Calibri" w:hAnsi="Calibri"/>
      <w:lang w:eastAsia="en-US"/>
    </w:rPr>
  </w:style>
  <w:style w:type="character" w:styleId="FootnoteReference">
    <w:name w:val="footnote reference"/>
    <w:aliases w:val="(NECG) Footnote Reference,[0],opcalrc,callout,Footnotes refss,4_G,NO,16 Point,Superscript 6 Point,Appel note de bas de p,Appel note de bas de p + 11 pt,Appel note de bas de p1,Appel note de bas de p2,Appel note de bas de p3,o,Ref,fr"/>
    <w:basedOn w:val="DefaultParagraphFont"/>
    <w:unhideWhenUsed/>
    <w:rsid w:val="004A56DD"/>
    <w:rPr>
      <w:vertAlign w:val="superscript"/>
    </w:rPr>
  </w:style>
  <w:style w:type="paragraph" w:customStyle="1" w:styleId="PARA1">
    <w:name w:val="PARA1"/>
    <w:basedOn w:val="Normal"/>
    <w:uiPriority w:val="99"/>
    <w:qFormat/>
    <w:rsid w:val="005C7C4A"/>
    <w:pPr>
      <w:spacing w:line="240" w:lineRule="exact"/>
      <w:ind w:firstLine="340"/>
    </w:pPr>
    <w:rPr>
      <w:rFonts w:eastAsia="MS Mincho"/>
      <w:sz w:val="22"/>
    </w:rPr>
  </w:style>
  <w:style w:type="paragraph" w:customStyle="1" w:styleId="BlockQuote">
    <w:name w:val="Block Quote"/>
    <w:basedOn w:val="Normal"/>
    <w:uiPriority w:val="99"/>
    <w:qFormat/>
    <w:rsid w:val="005C7C4A"/>
    <w:pPr>
      <w:widowControl w:val="0"/>
      <w:tabs>
        <w:tab w:val="left" w:pos="1276"/>
      </w:tabs>
      <w:spacing w:before="60" w:after="60" w:line="220" w:lineRule="exact"/>
      <w:ind w:left="567"/>
    </w:pPr>
    <w:rPr>
      <w:rFonts w:eastAsia="MS Mincho"/>
      <w:sz w:val="20"/>
    </w:rPr>
  </w:style>
  <w:style w:type="paragraph" w:customStyle="1" w:styleId="FOOTNOTE">
    <w:name w:val="FOOTNOTE"/>
    <w:basedOn w:val="Normal"/>
    <w:link w:val="FOOTNOTEChar"/>
    <w:qFormat/>
    <w:rsid w:val="005C7C4A"/>
    <w:pPr>
      <w:keepLines/>
      <w:widowControl w:val="0"/>
      <w:tabs>
        <w:tab w:val="left" w:pos="403"/>
      </w:tabs>
      <w:spacing w:line="192" w:lineRule="exact"/>
      <w:ind w:left="403" w:hanging="403"/>
      <w:jc w:val="left"/>
    </w:pPr>
    <w:rPr>
      <w:rFonts w:eastAsia="MS Mincho"/>
      <w:sz w:val="16"/>
    </w:rPr>
  </w:style>
  <w:style w:type="character" w:customStyle="1" w:styleId="FOOTNOTEChar">
    <w:name w:val="FOOTNOTE Char"/>
    <w:link w:val="FOOTNOTE"/>
    <w:locked/>
    <w:rsid w:val="005C7C4A"/>
    <w:rPr>
      <w:rFonts w:eastAsia="MS Mincho"/>
      <w:sz w:val="16"/>
      <w:lang w:eastAsia="en-US"/>
    </w:rPr>
  </w:style>
  <w:style w:type="character" w:customStyle="1" w:styleId="FOOTNOTEChar1">
    <w:name w:val="FOOTNOTE Char1"/>
    <w:uiPriority w:val="99"/>
    <w:qFormat/>
    <w:rsid w:val="005C7C4A"/>
    <w:rPr>
      <w:rFonts w:ascii="Times New Roman" w:hAnsi="Times New Roman"/>
      <w:color w:val="auto"/>
      <w:position w:val="-4"/>
      <w:sz w:val="22"/>
      <w:u w:val="none"/>
      <w:vertAlign w:val="superscript"/>
      <w:em w:val="none"/>
      <w:lang w:val="en-AU" w:eastAsia="en-US"/>
    </w:rPr>
  </w:style>
  <w:style w:type="paragraph" w:customStyle="1" w:styleId="15">
    <w:name w:val="1.5"/>
    <w:basedOn w:val="Normal"/>
    <w:qFormat/>
    <w:rsid w:val="004B5FA9"/>
    <w:pPr>
      <w:spacing w:after="200" w:line="240" w:lineRule="auto"/>
      <w:ind w:left="720" w:hanging="720"/>
      <w:jc w:val="left"/>
    </w:pPr>
    <w:rPr>
      <w:rFonts w:eastAsiaTheme="minorHAnsi" w:cstheme="minorBidi"/>
      <w:szCs w:val="22"/>
      <w:lang w:val="en-GB" w:eastAsia="en-GB"/>
    </w:rPr>
  </w:style>
  <w:style w:type="character" w:customStyle="1" w:styleId="Heading3Char">
    <w:name w:val="Heading 3 Char"/>
    <w:basedOn w:val="DefaultParagraphFont"/>
    <w:link w:val="Heading3"/>
    <w:rsid w:val="006D0189"/>
    <w:rPr>
      <w:b/>
      <w:i/>
      <w:sz w:val="24"/>
      <w:lang w:eastAsia="en-US"/>
    </w:rPr>
  </w:style>
  <w:style w:type="character" w:customStyle="1" w:styleId="paranumber">
    <w:name w:val="para_number"/>
    <w:basedOn w:val="DefaultParagraphFont"/>
    <w:rsid w:val="0090158E"/>
  </w:style>
  <w:style w:type="character" w:customStyle="1" w:styleId="jade-incoming-citation">
    <w:name w:val="jade-incoming-citation"/>
    <w:basedOn w:val="DefaultParagraphFont"/>
    <w:rsid w:val="007F033A"/>
  </w:style>
  <w:style w:type="paragraph" w:customStyle="1" w:styleId="Quotation">
    <w:name w:val="Quotation"/>
    <w:basedOn w:val="Normal"/>
    <w:rsid w:val="008F60BF"/>
    <w:pPr>
      <w:spacing w:before="240" w:line="240" w:lineRule="auto"/>
      <w:ind w:left="1440"/>
      <w:jc w:val="left"/>
    </w:pPr>
    <w:rPr>
      <w:rFonts w:eastAsia="Times New Roman"/>
      <w:szCs w:val="24"/>
      <w:lang w:val="en-US"/>
    </w:rPr>
  </w:style>
  <w:style w:type="character" w:customStyle="1" w:styleId="BalloonTextChar">
    <w:name w:val="Balloon Text Char"/>
    <w:basedOn w:val="DefaultParagraphFont"/>
    <w:link w:val="BalloonText"/>
    <w:semiHidden/>
    <w:rsid w:val="006C57B2"/>
    <w:rPr>
      <w:rFonts w:ascii="Tahoma" w:hAnsi="Tahoma" w:cs="Tahoma"/>
      <w:sz w:val="16"/>
      <w:szCs w:val="16"/>
      <w:lang w:eastAsia="en-US"/>
    </w:rPr>
  </w:style>
  <w:style w:type="character" w:customStyle="1" w:styleId="HeaderChar">
    <w:name w:val="Header Char"/>
    <w:basedOn w:val="DefaultParagraphFont"/>
    <w:link w:val="Header"/>
    <w:rsid w:val="00FF3F61"/>
    <w:rPr>
      <w:sz w:val="24"/>
      <w:lang w:eastAsia="en-US"/>
    </w:rPr>
  </w:style>
  <w:style w:type="character" w:customStyle="1" w:styleId="ilfuvd">
    <w:name w:val="ilfuvd"/>
    <w:basedOn w:val="DefaultParagraphFont"/>
    <w:rsid w:val="000124E6"/>
  </w:style>
  <w:style w:type="paragraph" w:customStyle="1" w:styleId="jade-outdent">
    <w:name w:val="jade-outdent"/>
    <w:basedOn w:val="Normal"/>
    <w:rsid w:val="00B51AF5"/>
    <w:pPr>
      <w:spacing w:before="100" w:beforeAutospacing="1" w:after="100" w:afterAutospacing="1" w:line="240" w:lineRule="auto"/>
      <w:jc w:val="left"/>
    </w:pPr>
    <w:rPr>
      <w:rFonts w:eastAsia="Times New Roman"/>
      <w:szCs w:val="24"/>
      <w:lang w:eastAsia="en-AU"/>
    </w:rPr>
  </w:style>
  <w:style w:type="character" w:customStyle="1" w:styleId="jade-ts-10">
    <w:name w:val="jade-ts-10"/>
    <w:basedOn w:val="DefaultParagraphFont"/>
    <w:rsid w:val="00B51AF5"/>
  </w:style>
  <w:style w:type="character" w:customStyle="1" w:styleId="jade-ts-9">
    <w:name w:val="jade-ts-9"/>
    <w:basedOn w:val="DefaultParagraphFont"/>
    <w:rsid w:val="00B51AF5"/>
  </w:style>
  <w:style w:type="character" w:customStyle="1" w:styleId="jade-ts-8">
    <w:name w:val="jade-ts-8"/>
    <w:basedOn w:val="DefaultParagraphFont"/>
    <w:rsid w:val="00B51A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3506516">
      <w:bodyDiv w:val="1"/>
      <w:marLeft w:val="0"/>
      <w:marRight w:val="0"/>
      <w:marTop w:val="0"/>
      <w:marBottom w:val="0"/>
      <w:divBdr>
        <w:top w:val="none" w:sz="0" w:space="0" w:color="auto"/>
        <w:left w:val="none" w:sz="0" w:space="0" w:color="auto"/>
        <w:bottom w:val="none" w:sz="0" w:space="0" w:color="auto"/>
        <w:right w:val="none" w:sz="0" w:space="0" w:color="auto"/>
      </w:divBdr>
      <w:divsChild>
        <w:div w:id="1905413432">
          <w:marLeft w:val="0"/>
          <w:marRight w:val="0"/>
          <w:marTop w:val="0"/>
          <w:marBottom w:val="0"/>
          <w:divBdr>
            <w:top w:val="none" w:sz="0" w:space="0" w:color="auto"/>
            <w:left w:val="none" w:sz="0" w:space="0" w:color="auto"/>
            <w:bottom w:val="none" w:sz="0" w:space="0" w:color="auto"/>
            <w:right w:val="none" w:sz="0" w:space="0" w:color="auto"/>
          </w:divBdr>
          <w:divsChild>
            <w:div w:id="1165823883">
              <w:marLeft w:val="0"/>
              <w:marRight w:val="0"/>
              <w:marTop w:val="0"/>
              <w:marBottom w:val="0"/>
              <w:divBdr>
                <w:top w:val="none" w:sz="0" w:space="0" w:color="auto"/>
                <w:left w:val="none" w:sz="0" w:space="0" w:color="auto"/>
                <w:bottom w:val="none" w:sz="0" w:space="0" w:color="auto"/>
                <w:right w:val="none" w:sz="0" w:space="0" w:color="auto"/>
              </w:divBdr>
              <w:divsChild>
                <w:div w:id="370694989">
                  <w:marLeft w:val="0"/>
                  <w:marRight w:val="0"/>
                  <w:marTop w:val="0"/>
                  <w:marBottom w:val="0"/>
                  <w:divBdr>
                    <w:top w:val="none" w:sz="0" w:space="0" w:color="auto"/>
                    <w:left w:val="none" w:sz="0" w:space="0" w:color="auto"/>
                    <w:bottom w:val="none" w:sz="0" w:space="0" w:color="auto"/>
                    <w:right w:val="none" w:sz="0" w:space="0" w:color="auto"/>
                  </w:divBdr>
                  <w:divsChild>
                    <w:div w:id="146433402">
                      <w:marLeft w:val="0"/>
                      <w:marRight w:val="0"/>
                      <w:marTop w:val="0"/>
                      <w:marBottom w:val="0"/>
                      <w:divBdr>
                        <w:top w:val="none" w:sz="0" w:space="0" w:color="auto"/>
                        <w:left w:val="none" w:sz="0" w:space="0" w:color="auto"/>
                        <w:bottom w:val="none" w:sz="0" w:space="0" w:color="auto"/>
                        <w:right w:val="none" w:sz="0" w:space="0" w:color="auto"/>
                      </w:divBdr>
                      <w:divsChild>
                        <w:div w:id="1586497236">
                          <w:marLeft w:val="0"/>
                          <w:marRight w:val="0"/>
                          <w:marTop w:val="0"/>
                          <w:marBottom w:val="0"/>
                          <w:divBdr>
                            <w:top w:val="none" w:sz="0" w:space="0" w:color="auto"/>
                            <w:left w:val="none" w:sz="0" w:space="0" w:color="auto"/>
                            <w:bottom w:val="none" w:sz="0" w:space="0" w:color="auto"/>
                            <w:right w:val="none" w:sz="0" w:space="0" w:color="auto"/>
                          </w:divBdr>
                          <w:divsChild>
                            <w:div w:id="1406686426">
                              <w:marLeft w:val="0"/>
                              <w:marRight w:val="0"/>
                              <w:marTop w:val="0"/>
                              <w:marBottom w:val="0"/>
                              <w:divBdr>
                                <w:top w:val="none" w:sz="0" w:space="0" w:color="auto"/>
                                <w:left w:val="none" w:sz="0" w:space="0" w:color="auto"/>
                                <w:bottom w:val="none" w:sz="0" w:space="0" w:color="auto"/>
                                <w:right w:val="none" w:sz="0" w:space="0" w:color="auto"/>
                              </w:divBdr>
                              <w:divsChild>
                                <w:div w:id="538393616">
                                  <w:marLeft w:val="0"/>
                                  <w:marRight w:val="0"/>
                                  <w:marTop w:val="0"/>
                                  <w:marBottom w:val="0"/>
                                  <w:divBdr>
                                    <w:top w:val="none" w:sz="0" w:space="0" w:color="auto"/>
                                    <w:left w:val="none" w:sz="0" w:space="0" w:color="auto"/>
                                    <w:bottom w:val="none" w:sz="0" w:space="0" w:color="auto"/>
                                    <w:right w:val="none" w:sz="0" w:space="0" w:color="auto"/>
                                  </w:divBdr>
                                  <w:divsChild>
                                    <w:div w:id="65035498">
                                      <w:marLeft w:val="0"/>
                                      <w:marRight w:val="0"/>
                                      <w:marTop w:val="0"/>
                                      <w:marBottom w:val="0"/>
                                      <w:divBdr>
                                        <w:top w:val="none" w:sz="0" w:space="0" w:color="auto"/>
                                        <w:left w:val="none" w:sz="0" w:space="0" w:color="auto"/>
                                        <w:bottom w:val="none" w:sz="0" w:space="0" w:color="auto"/>
                                        <w:right w:val="none" w:sz="0" w:space="0" w:color="auto"/>
                                      </w:divBdr>
                                      <w:divsChild>
                                        <w:div w:id="135343814">
                                          <w:marLeft w:val="0"/>
                                          <w:marRight w:val="0"/>
                                          <w:marTop w:val="0"/>
                                          <w:marBottom w:val="0"/>
                                          <w:divBdr>
                                            <w:top w:val="none" w:sz="0" w:space="0" w:color="auto"/>
                                            <w:left w:val="none" w:sz="0" w:space="0" w:color="auto"/>
                                            <w:bottom w:val="none" w:sz="0" w:space="0" w:color="auto"/>
                                            <w:right w:val="none" w:sz="0" w:space="0" w:color="auto"/>
                                          </w:divBdr>
                                          <w:divsChild>
                                            <w:div w:id="1171991852">
                                              <w:marLeft w:val="0"/>
                                              <w:marRight w:val="0"/>
                                              <w:marTop w:val="0"/>
                                              <w:marBottom w:val="0"/>
                                              <w:divBdr>
                                                <w:top w:val="none" w:sz="0" w:space="0" w:color="auto"/>
                                                <w:left w:val="none" w:sz="0" w:space="0" w:color="auto"/>
                                                <w:bottom w:val="none" w:sz="0" w:space="0" w:color="auto"/>
                                                <w:right w:val="none" w:sz="0" w:space="0" w:color="auto"/>
                                              </w:divBdr>
                                              <w:divsChild>
                                                <w:div w:id="1124808236">
                                                  <w:marLeft w:val="0"/>
                                                  <w:marRight w:val="0"/>
                                                  <w:marTop w:val="0"/>
                                                  <w:marBottom w:val="0"/>
                                                  <w:divBdr>
                                                    <w:top w:val="none" w:sz="0" w:space="0" w:color="auto"/>
                                                    <w:left w:val="none" w:sz="0" w:space="0" w:color="auto"/>
                                                    <w:bottom w:val="none" w:sz="0" w:space="0" w:color="auto"/>
                                                    <w:right w:val="none" w:sz="0" w:space="0" w:color="auto"/>
                                                  </w:divBdr>
                                                  <w:divsChild>
                                                    <w:div w:id="60065166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933509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8279028">
      <w:bodyDiv w:val="1"/>
      <w:marLeft w:val="0"/>
      <w:marRight w:val="0"/>
      <w:marTop w:val="0"/>
      <w:marBottom w:val="0"/>
      <w:divBdr>
        <w:top w:val="none" w:sz="0" w:space="0" w:color="auto"/>
        <w:left w:val="none" w:sz="0" w:space="0" w:color="auto"/>
        <w:bottom w:val="none" w:sz="0" w:space="0" w:color="auto"/>
        <w:right w:val="none" w:sz="0" w:space="0" w:color="auto"/>
      </w:divBdr>
      <w:divsChild>
        <w:div w:id="1588808769">
          <w:marLeft w:val="0"/>
          <w:marRight w:val="0"/>
          <w:marTop w:val="0"/>
          <w:marBottom w:val="0"/>
          <w:divBdr>
            <w:top w:val="none" w:sz="0" w:space="0" w:color="auto"/>
            <w:left w:val="none" w:sz="0" w:space="0" w:color="auto"/>
            <w:bottom w:val="none" w:sz="0" w:space="0" w:color="auto"/>
            <w:right w:val="none" w:sz="0" w:space="0" w:color="auto"/>
          </w:divBdr>
          <w:divsChild>
            <w:div w:id="1787384867">
              <w:marLeft w:val="0"/>
              <w:marRight w:val="0"/>
              <w:marTop w:val="0"/>
              <w:marBottom w:val="0"/>
              <w:divBdr>
                <w:top w:val="none" w:sz="0" w:space="0" w:color="auto"/>
                <w:left w:val="none" w:sz="0" w:space="0" w:color="auto"/>
                <w:bottom w:val="none" w:sz="0" w:space="0" w:color="auto"/>
                <w:right w:val="none" w:sz="0" w:space="0" w:color="auto"/>
              </w:divBdr>
              <w:divsChild>
                <w:div w:id="1525752570">
                  <w:marLeft w:val="0"/>
                  <w:marRight w:val="0"/>
                  <w:marTop w:val="0"/>
                  <w:marBottom w:val="0"/>
                  <w:divBdr>
                    <w:top w:val="none" w:sz="0" w:space="0" w:color="auto"/>
                    <w:left w:val="none" w:sz="0" w:space="0" w:color="auto"/>
                    <w:bottom w:val="none" w:sz="0" w:space="0" w:color="auto"/>
                    <w:right w:val="none" w:sz="0" w:space="0" w:color="auto"/>
                  </w:divBdr>
                  <w:divsChild>
                    <w:div w:id="1973359836">
                      <w:marLeft w:val="0"/>
                      <w:marRight w:val="0"/>
                      <w:marTop w:val="0"/>
                      <w:marBottom w:val="0"/>
                      <w:divBdr>
                        <w:top w:val="none" w:sz="0" w:space="0" w:color="auto"/>
                        <w:left w:val="none" w:sz="0" w:space="0" w:color="auto"/>
                        <w:bottom w:val="none" w:sz="0" w:space="0" w:color="auto"/>
                        <w:right w:val="none" w:sz="0" w:space="0" w:color="auto"/>
                      </w:divBdr>
                      <w:divsChild>
                        <w:div w:id="1802571053">
                          <w:marLeft w:val="0"/>
                          <w:marRight w:val="0"/>
                          <w:marTop w:val="0"/>
                          <w:marBottom w:val="0"/>
                          <w:divBdr>
                            <w:top w:val="none" w:sz="0" w:space="0" w:color="auto"/>
                            <w:left w:val="none" w:sz="0" w:space="0" w:color="auto"/>
                            <w:bottom w:val="none" w:sz="0" w:space="0" w:color="auto"/>
                            <w:right w:val="none" w:sz="0" w:space="0" w:color="auto"/>
                          </w:divBdr>
                          <w:divsChild>
                            <w:div w:id="1184519026">
                              <w:marLeft w:val="0"/>
                              <w:marRight w:val="0"/>
                              <w:marTop w:val="0"/>
                              <w:marBottom w:val="0"/>
                              <w:divBdr>
                                <w:top w:val="none" w:sz="0" w:space="0" w:color="auto"/>
                                <w:left w:val="none" w:sz="0" w:space="0" w:color="auto"/>
                                <w:bottom w:val="none" w:sz="0" w:space="0" w:color="auto"/>
                                <w:right w:val="none" w:sz="0" w:space="0" w:color="auto"/>
                              </w:divBdr>
                              <w:divsChild>
                                <w:div w:id="1273586313">
                                  <w:marLeft w:val="0"/>
                                  <w:marRight w:val="0"/>
                                  <w:marTop w:val="0"/>
                                  <w:marBottom w:val="0"/>
                                  <w:divBdr>
                                    <w:top w:val="none" w:sz="0" w:space="0" w:color="auto"/>
                                    <w:left w:val="none" w:sz="0" w:space="0" w:color="auto"/>
                                    <w:bottom w:val="none" w:sz="0" w:space="0" w:color="auto"/>
                                    <w:right w:val="none" w:sz="0" w:space="0" w:color="auto"/>
                                  </w:divBdr>
                                  <w:divsChild>
                                    <w:div w:id="202901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2690179">
      <w:bodyDiv w:val="1"/>
      <w:marLeft w:val="0"/>
      <w:marRight w:val="0"/>
      <w:marTop w:val="0"/>
      <w:marBottom w:val="0"/>
      <w:divBdr>
        <w:top w:val="none" w:sz="0" w:space="0" w:color="auto"/>
        <w:left w:val="none" w:sz="0" w:space="0" w:color="auto"/>
        <w:bottom w:val="none" w:sz="0" w:space="0" w:color="auto"/>
        <w:right w:val="none" w:sz="0" w:space="0" w:color="auto"/>
      </w:divBdr>
      <w:divsChild>
        <w:div w:id="662514184">
          <w:marLeft w:val="0"/>
          <w:marRight w:val="0"/>
          <w:marTop w:val="0"/>
          <w:marBottom w:val="0"/>
          <w:divBdr>
            <w:top w:val="none" w:sz="0" w:space="0" w:color="auto"/>
            <w:left w:val="none" w:sz="0" w:space="0" w:color="auto"/>
            <w:bottom w:val="none" w:sz="0" w:space="0" w:color="auto"/>
            <w:right w:val="none" w:sz="0" w:space="0" w:color="auto"/>
          </w:divBdr>
          <w:divsChild>
            <w:div w:id="1891335451">
              <w:marLeft w:val="0"/>
              <w:marRight w:val="0"/>
              <w:marTop w:val="0"/>
              <w:marBottom w:val="0"/>
              <w:divBdr>
                <w:top w:val="none" w:sz="0" w:space="0" w:color="auto"/>
                <w:left w:val="none" w:sz="0" w:space="0" w:color="auto"/>
                <w:bottom w:val="none" w:sz="0" w:space="0" w:color="auto"/>
                <w:right w:val="none" w:sz="0" w:space="0" w:color="auto"/>
              </w:divBdr>
              <w:divsChild>
                <w:div w:id="2020347908">
                  <w:marLeft w:val="0"/>
                  <w:marRight w:val="0"/>
                  <w:marTop w:val="0"/>
                  <w:marBottom w:val="0"/>
                  <w:divBdr>
                    <w:top w:val="none" w:sz="0" w:space="0" w:color="auto"/>
                    <w:left w:val="none" w:sz="0" w:space="0" w:color="auto"/>
                    <w:bottom w:val="none" w:sz="0" w:space="0" w:color="auto"/>
                    <w:right w:val="none" w:sz="0" w:space="0" w:color="auto"/>
                  </w:divBdr>
                  <w:divsChild>
                    <w:div w:id="2129154907">
                      <w:marLeft w:val="0"/>
                      <w:marRight w:val="0"/>
                      <w:marTop w:val="0"/>
                      <w:marBottom w:val="0"/>
                      <w:divBdr>
                        <w:top w:val="none" w:sz="0" w:space="0" w:color="auto"/>
                        <w:left w:val="none" w:sz="0" w:space="0" w:color="auto"/>
                        <w:bottom w:val="none" w:sz="0" w:space="0" w:color="auto"/>
                        <w:right w:val="none" w:sz="0" w:space="0" w:color="auto"/>
                      </w:divBdr>
                      <w:divsChild>
                        <w:div w:id="957298078">
                          <w:marLeft w:val="0"/>
                          <w:marRight w:val="0"/>
                          <w:marTop w:val="0"/>
                          <w:marBottom w:val="0"/>
                          <w:divBdr>
                            <w:top w:val="none" w:sz="0" w:space="0" w:color="auto"/>
                            <w:left w:val="none" w:sz="0" w:space="0" w:color="auto"/>
                            <w:bottom w:val="none" w:sz="0" w:space="0" w:color="auto"/>
                            <w:right w:val="none" w:sz="0" w:space="0" w:color="auto"/>
                          </w:divBdr>
                          <w:divsChild>
                            <w:div w:id="1671718720">
                              <w:marLeft w:val="0"/>
                              <w:marRight w:val="0"/>
                              <w:marTop w:val="0"/>
                              <w:marBottom w:val="0"/>
                              <w:divBdr>
                                <w:top w:val="none" w:sz="0" w:space="0" w:color="auto"/>
                                <w:left w:val="none" w:sz="0" w:space="0" w:color="auto"/>
                                <w:bottom w:val="none" w:sz="0" w:space="0" w:color="auto"/>
                                <w:right w:val="none" w:sz="0" w:space="0" w:color="auto"/>
                              </w:divBdr>
                              <w:divsChild>
                                <w:div w:id="2037191977">
                                  <w:marLeft w:val="0"/>
                                  <w:marRight w:val="0"/>
                                  <w:marTop w:val="0"/>
                                  <w:marBottom w:val="0"/>
                                  <w:divBdr>
                                    <w:top w:val="none" w:sz="0" w:space="0" w:color="auto"/>
                                    <w:left w:val="none" w:sz="0" w:space="0" w:color="auto"/>
                                    <w:bottom w:val="none" w:sz="0" w:space="0" w:color="auto"/>
                                    <w:right w:val="none" w:sz="0" w:space="0" w:color="auto"/>
                                  </w:divBdr>
                                  <w:divsChild>
                                    <w:div w:id="150439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22578015">
      <w:bodyDiv w:val="1"/>
      <w:marLeft w:val="0"/>
      <w:marRight w:val="0"/>
      <w:marTop w:val="0"/>
      <w:marBottom w:val="0"/>
      <w:divBdr>
        <w:top w:val="none" w:sz="0" w:space="0" w:color="auto"/>
        <w:left w:val="none" w:sz="0" w:space="0" w:color="auto"/>
        <w:bottom w:val="none" w:sz="0" w:space="0" w:color="auto"/>
        <w:right w:val="none" w:sz="0" w:space="0" w:color="auto"/>
      </w:divBdr>
      <w:divsChild>
        <w:div w:id="939609401">
          <w:marLeft w:val="0"/>
          <w:marRight w:val="0"/>
          <w:marTop w:val="0"/>
          <w:marBottom w:val="0"/>
          <w:divBdr>
            <w:top w:val="none" w:sz="0" w:space="0" w:color="auto"/>
            <w:left w:val="none" w:sz="0" w:space="0" w:color="auto"/>
            <w:bottom w:val="none" w:sz="0" w:space="0" w:color="auto"/>
            <w:right w:val="none" w:sz="0" w:space="0" w:color="auto"/>
          </w:divBdr>
          <w:divsChild>
            <w:div w:id="492641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267826">
      <w:bodyDiv w:val="1"/>
      <w:marLeft w:val="0"/>
      <w:marRight w:val="0"/>
      <w:marTop w:val="0"/>
      <w:marBottom w:val="0"/>
      <w:divBdr>
        <w:top w:val="none" w:sz="0" w:space="0" w:color="auto"/>
        <w:left w:val="none" w:sz="0" w:space="0" w:color="auto"/>
        <w:bottom w:val="none" w:sz="0" w:space="0" w:color="auto"/>
        <w:right w:val="none" w:sz="0" w:space="0" w:color="auto"/>
      </w:divBdr>
      <w:divsChild>
        <w:div w:id="848711616">
          <w:marLeft w:val="0"/>
          <w:marRight w:val="0"/>
          <w:marTop w:val="0"/>
          <w:marBottom w:val="0"/>
          <w:divBdr>
            <w:top w:val="none" w:sz="0" w:space="0" w:color="auto"/>
            <w:left w:val="none" w:sz="0" w:space="0" w:color="auto"/>
            <w:bottom w:val="none" w:sz="0" w:space="0" w:color="auto"/>
            <w:right w:val="none" w:sz="0" w:space="0" w:color="auto"/>
          </w:divBdr>
          <w:divsChild>
            <w:div w:id="302855767">
              <w:marLeft w:val="0"/>
              <w:marRight w:val="0"/>
              <w:marTop w:val="0"/>
              <w:marBottom w:val="0"/>
              <w:divBdr>
                <w:top w:val="none" w:sz="0" w:space="0" w:color="auto"/>
                <w:left w:val="none" w:sz="0" w:space="0" w:color="auto"/>
                <w:bottom w:val="none" w:sz="0" w:space="0" w:color="auto"/>
                <w:right w:val="none" w:sz="0" w:space="0" w:color="auto"/>
              </w:divBdr>
              <w:divsChild>
                <w:div w:id="358236189">
                  <w:blockQuote w:val="1"/>
                  <w:marLeft w:val="720"/>
                  <w:marRight w:val="720"/>
                  <w:marTop w:val="100"/>
                  <w:marBottom w:val="100"/>
                  <w:divBdr>
                    <w:top w:val="none" w:sz="0" w:space="0" w:color="auto"/>
                    <w:left w:val="none" w:sz="0" w:space="0" w:color="auto"/>
                    <w:bottom w:val="none" w:sz="0" w:space="0" w:color="auto"/>
                    <w:right w:val="none" w:sz="0" w:space="0" w:color="auto"/>
                  </w:divBdr>
                </w:div>
                <w:div w:id="639842968">
                  <w:blockQuote w:val="1"/>
                  <w:marLeft w:val="720"/>
                  <w:marRight w:val="720"/>
                  <w:marTop w:val="100"/>
                  <w:marBottom w:val="100"/>
                  <w:divBdr>
                    <w:top w:val="none" w:sz="0" w:space="0" w:color="auto"/>
                    <w:left w:val="none" w:sz="0" w:space="0" w:color="auto"/>
                    <w:bottom w:val="none" w:sz="0" w:space="0" w:color="auto"/>
                    <w:right w:val="none" w:sz="0" w:space="0" w:color="auto"/>
                  </w:divBdr>
                </w:div>
                <w:div w:id="1624117547">
                  <w:blockQuote w:val="1"/>
                  <w:marLeft w:val="720"/>
                  <w:marRight w:val="720"/>
                  <w:marTop w:val="100"/>
                  <w:marBottom w:val="100"/>
                  <w:divBdr>
                    <w:top w:val="none" w:sz="0" w:space="0" w:color="auto"/>
                    <w:left w:val="none" w:sz="0" w:space="0" w:color="auto"/>
                    <w:bottom w:val="none" w:sz="0" w:space="0" w:color="auto"/>
                    <w:right w:val="none" w:sz="0" w:space="0" w:color="auto"/>
                  </w:divBdr>
                </w:div>
                <w:div w:id="732895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586302713">
                  <w:blockQuote w:val="1"/>
                  <w:marLeft w:val="720"/>
                  <w:marRight w:val="720"/>
                  <w:marTop w:val="100"/>
                  <w:marBottom w:val="100"/>
                  <w:divBdr>
                    <w:top w:val="none" w:sz="0" w:space="0" w:color="auto"/>
                    <w:left w:val="none" w:sz="0" w:space="0" w:color="auto"/>
                    <w:bottom w:val="none" w:sz="0" w:space="0" w:color="auto"/>
                    <w:right w:val="none" w:sz="0" w:space="0" w:color="auto"/>
                  </w:divBdr>
                </w:div>
                <w:div w:id="1978485036">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4770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509101416">
      <w:bodyDiv w:val="1"/>
      <w:marLeft w:val="0"/>
      <w:marRight w:val="0"/>
      <w:marTop w:val="0"/>
      <w:marBottom w:val="0"/>
      <w:divBdr>
        <w:top w:val="none" w:sz="0" w:space="0" w:color="auto"/>
        <w:left w:val="none" w:sz="0" w:space="0" w:color="auto"/>
        <w:bottom w:val="none" w:sz="0" w:space="0" w:color="auto"/>
        <w:right w:val="none" w:sz="0" w:space="0" w:color="auto"/>
      </w:divBdr>
      <w:divsChild>
        <w:div w:id="802771684">
          <w:marLeft w:val="0"/>
          <w:marRight w:val="0"/>
          <w:marTop w:val="0"/>
          <w:marBottom w:val="0"/>
          <w:divBdr>
            <w:top w:val="none" w:sz="0" w:space="0" w:color="auto"/>
            <w:left w:val="none" w:sz="0" w:space="0" w:color="auto"/>
            <w:bottom w:val="none" w:sz="0" w:space="0" w:color="auto"/>
            <w:right w:val="none" w:sz="0" w:space="0" w:color="auto"/>
          </w:divBdr>
          <w:divsChild>
            <w:div w:id="1021207447">
              <w:marLeft w:val="0"/>
              <w:marRight w:val="0"/>
              <w:marTop w:val="0"/>
              <w:marBottom w:val="0"/>
              <w:divBdr>
                <w:top w:val="none" w:sz="0" w:space="0" w:color="auto"/>
                <w:left w:val="none" w:sz="0" w:space="0" w:color="auto"/>
                <w:bottom w:val="none" w:sz="0" w:space="0" w:color="auto"/>
                <w:right w:val="none" w:sz="0" w:space="0" w:color="auto"/>
              </w:divBdr>
              <w:divsChild>
                <w:div w:id="264773492">
                  <w:marLeft w:val="0"/>
                  <w:marRight w:val="0"/>
                  <w:marTop w:val="0"/>
                  <w:marBottom w:val="0"/>
                  <w:divBdr>
                    <w:top w:val="none" w:sz="0" w:space="0" w:color="auto"/>
                    <w:left w:val="none" w:sz="0" w:space="0" w:color="auto"/>
                    <w:bottom w:val="none" w:sz="0" w:space="0" w:color="auto"/>
                    <w:right w:val="none" w:sz="0" w:space="0" w:color="auto"/>
                  </w:divBdr>
                  <w:divsChild>
                    <w:div w:id="1850869397">
                      <w:marLeft w:val="0"/>
                      <w:marRight w:val="0"/>
                      <w:marTop w:val="0"/>
                      <w:marBottom w:val="0"/>
                      <w:divBdr>
                        <w:top w:val="none" w:sz="0" w:space="0" w:color="auto"/>
                        <w:left w:val="none" w:sz="0" w:space="0" w:color="auto"/>
                        <w:bottom w:val="none" w:sz="0" w:space="0" w:color="auto"/>
                        <w:right w:val="none" w:sz="0" w:space="0" w:color="auto"/>
                      </w:divBdr>
                      <w:divsChild>
                        <w:div w:id="179517857">
                          <w:marLeft w:val="0"/>
                          <w:marRight w:val="0"/>
                          <w:marTop w:val="0"/>
                          <w:marBottom w:val="0"/>
                          <w:divBdr>
                            <w:top w:val="none" w:sz="0" w:space="0" w:color="auto"/>
                            <w:left w:val="none" w:sz="0" w:space="0" w:color="auto"/>
                            <w:bottom w:val="none" w:sz="0" w:space="0" w:color="auto"/>
                            <w:right w:val="none" w:sz="0" w:space="0" w:color="auto"/>
                          </w:divBdr>
                          <w:divsChild>
                            <w:div w:id="58327647">
                              <w:marLeft w:val="0"/>
                              <w:marRight w:val="0"/>
                              <w:marTop w:val="0"/>
                              <w:marBottom w:val="0"/>
                              <w:divBdr>
                                <w:top w:val="none" w:sz="0" w:space="0" w:color="auto"/>
                                <w:left w:val="none" w:sz="0" w:space="0" w:color="auto"/>
                                <w:bottom w:val="none" w:sz="0" w:space="0" w:color="auto"/>
                                <w:right w:val="none" w:sz="0" w:space="0" w:color="auto"/>
                              </w:divBdr>
                              <w:divsChild>
                                <w:div w:id="170687894">
                                  <w:marLeft w:val="0"/>
                                  <w:marRight w:val="0"/>
                                  <w:marTop w:val="0"/>
                                  <w:marBottom w:val="0"/>
                                  <w:divBdr>
                                    <w:top w:val="none" w:sz="0" w:space="0" w:color="auto"/>
                                    <w:left w:val="none" w:sz="0" w:space="0" w:color="auto"/>
                                    <w:bottom w:val="none" w:sz="0" w:space="0" w:color="auto"/>
                                    <w:right w:val="none" w:sz="0" w:space="0" w:color="auto"/>
                                  </w:divBdr>
                                  <w:divsChild>
                                    <w:div w:id="180959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11130065">
      <w:bodyDiv w:val="1"/>
      <w:marLeft w:val="0"/>
      <w:marRight w:val="0"/>
      <w:marTop w:val="0"/>
      <w:marBottom w:val="0"/>
      <w:divBdr>
        <w:top w:val="none" w:sz="0" w:space="0" w:color="auto"/>
        <w:left w:val="none" w:sz="0" w:space="0" w:color="auto"/>
        <w:bottom w:val="none" w:sz="0" w:space="0" w:color="auto"/>
        <w:right w:val="none" w:sz="0" w:space="0" w:color="auto"/>
      </w:divBdr>
    </w:div>
    <w:div w:id="759958009">
      <w:bodyDiv w:val="1"/>
      <w:marLeft w:val="0"/>
      <w:marRight w:val="0"/>
      <w:marTop w:val="0"/>
      <w:marBottom w:val="0"/>
      <w:divBdr>
        <w:top w:val="none" w:sz="0" w:space="0" w:color="auto"/>
        <w:left w:val="none" w:sz="0" w:space="0" w:color="auto"/>
        <w:bottom w:val="none" w:sz="0" w:space="0" w:color="auto"/>
        <w:right w:val="none" w:sz="0" w:space="0" w:color="auto"/>
      </w:divBdr>
    </w:div>
    <w:div w:id="774787549">
      <w:bodyDiv w:val="1"/>
      <w:marLeft w:val="360"/>
      <w:marRight w:val="360"/>
      <w:marTop w:val="360"/>
      <w:marBottom w:val="360"/>
      <w:divBdr>
        <w:top w:val="none" w:sz="0" w:space="0" w:color="auto"/>
        <w:left w:val="none" w:sz="0" w:space="0" w:color="auto"/>
        <w:bottom w:val="none" w:sz="0" w:space="0" w:color="auto"/>
        <w:right w:val="none" w:sz="0" w:space="0" w:color="auto"/>
      </w:divBdr>
      <w:divsChild>
        <w:div w:id="164130381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825486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99720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6991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12454209">
      <w:bodyDiv w:val="1"/>
      <w:marLeft w:val="0"/>
      <w:marRight w:val="0"/>
      <w:marTop w:val="0"/>
      <w:marBottom w:val="0"/>
      <w:divBdr>
        <w:top w:val="none" w:sz="0" w:space="0" w:color="auto"/>
        <w:left w:val="none" w:sz="0" w:space="0" w:color="auto"/>
        <w:bottom w:val="none" w:sz="0" w:space="0" w:color="auto"/>
        <w:right w:val="none" w:sz="0" w:space="0" w:color="auto"/>
      </w:divBdr>
    </w:div>
    <w:div w:id="813640093">
      <w:bodyDiv w:val="1"/>
      <w:marLeft w:val="0"/>
      <w:marRight w:val="0"/>
      <w:marTop w:val="0"/>
      <w:marBottom w:val="0"/>
      <w:divBdr>
        <w:top w:val="none" w:sz="0" w:space="0" w:color="auto"/>
        <w:left w:val="none" w:sz="0" w:space="0" w:color="auto"/>
        <w:bottom w:val="none" w:sz="0" w:space="0" w:color="auto"/>
        <w:right w:val="none" w:sz="0" w:space="0" w:color="auto"/>
      </w:divBdr>
      <w:divsChild>
        <w:div w:id="435179954">
          <w:marLeft w:val="0"/>
          <w:marRight w:val="0"/>
          <w:marTop w:val="0"/>
          <w:marBottom w:val="0"/>
          <w:divBdr>
            <w:top w:val="none" w:sz="0" w:space="0" w:color="auto"/>
            <w:left w:val="none" w:sz="0" w:space="0" w:color="auto"/>
            <w:bottom w:val="none" w:sz="0" w:space="0" w:color="auto"/>
            <w:right w:val="none" w:sz="0" w:space="0" w:color="auto"/>
          </w:divBdr>
          <w:divsChild>
            <w:div w:id="437212330">
              <w:marLeft w:val="0"/>
              <w:marRight w:val="0"/>
              <w:marTop w:val="0"/>
              <w:marBottom w:val="0"/>
              <w:divBdr>
                <w:top w:val="none" w:sz="0" w:space="0" w:color="auto"/>
                <w:left w:val="none" w:sz="0" w:space="0" w:color="auto"/>
                <w:bottom w:val="none" w:sz="0" w:space="0" w:color="auto"/>
                <w:right w:val="none" w:sz="0" w:space="0" w:color="auto"/>
              </w:divBdr>
              <w:divsChild>
                <w:div w:id="1385642876">
                  <w:marLeft w:val="0"/>
                  <w:marRight w:val="0"/>
                  <w:marTop w:val="0"/>
                  <w:marBottom w:val="0"/>
                  <w:divBdr>
                    <w:top w:val="none" w:sz="0" w:space="0" w:color="auto"/>
                    <w:left w:val="none" w:sz="0" w:space="0" w:color="auto"/>
                    <w:bottom w:val="none" w:sz="0" w:space="0" w:color="auto"/>
                    <w:right w:val="none" w:sz="0" w:space="0" w:color="auto"/>
                  </w:divBdr>
                  <w:divsChild>
                    <w:div w:id="38743542">
                      <w:marLeft w:val="0"/>
                      <w:marRight w:val="0"/>
                      <w:marTop w:val="0"/>
                      <w:marBottom w:val="0"/>
                      <w:divBdr>
                        <w:top w:val="none" w:sz="0" w:space="0" w:color="auto"/>
                        <w:left w:val="none" w:sz="0" w:space="0" w:color="auto"/>
                        <w:bottom w:val="none" w:sz="0" w:space="0" w:color="auto"/>
                        <w:right w:val="none" w:sz="0" w:space="0" w:color="auto"/>
                      </w:divBdr>
                      <w:divsChild>
                        <w:div w:id="631525522">
                          <w:marLeft w:val="0"/>
                          <w:marRight w:val="0"/>
                          <w:marTop w:val="0"/>
                          <w:marBottom w:val="0"/>
                          <w:divBdr>
                            <w:top w:val="none" w:sz="0" w:space="0" w:color="auto"/>
                            <w:left w:val="none" w:sz="0" w:space="0" w:color="auto"/>
                            <w:bottom w:val="none" w:sz="0" w:space="0" w:color="auto"/>
                            <w:right w:val="none" w:sz="0" w:space="0" w:color="auto"/>
                          </w:divBdr>
                          <w:divsChild>
                            <w:div w:id="344946804">
                              <w:marLeft w:val="0"/>
                              <w:marRight w:val="0"/>
                              <w:marTop w:val="0"/>
                              <w:marBottom w:val="0"/>
                              <w:divBdr>
                                <w:top w:val="none" w:sz="0" w:space="0" w:color="auto"/>
                                <w:left w:val="none" w:sz="0" w:space="0" w:color="auto"/>
                                <w:bottom w:val="none" w:sz="0" w:space="0" w:color="auto"/>
                                <w:right w:val="none" w:sz="0" w:space="0" w:color="auto"/>
                              </w:divBdr>
                              <w:divsChild>
                                <w:div w:id="1857111506">
                                  <w:marLeft w:val="0"/>
                                  <w:marRight w:val="0"/>
                                  <w:marTop w:val="0"/>
                                  <w:marBottom w:val="0"/>
                                  <w:divBdr>
                                    <w:top w:val="none" w:sz="0" w:space="0" w:color="auto"/>
                                    <w:left w:val="none" w:sz="0" w:space="0" w:color="auto"/>
                                    <w:bottom w:val="none" w:sz="0" w:space="0" w:color="auto"/>
                                    <w:right w:val="none" w:sz="0" w:space="0" w:color="auto"/>
                                  </w:divBdr>
                                  <w:divsChild>
                                    <w:div w:id="745150078">
                                      <w:marLeft w:val="0"/>
                                      <w:marRight w:val="0"/>
                                      <w:marTop w:val="0"/>
                                      <w:marBottom w:val="0"/>
                                      <w:divBdr>
                                        <w:top w:val="none" w:sz="0" w:space="0" w:color="auto"/>
                                        <w:left w:val="none" w:sz="0" w:space="0" w:color="auto"/>
                                        <w:bottom w:val="none" w:sz="0" w:space="0" w:color="auto"/>
                                        <w:right w:val="none" w:sz="0" w:space="0" w:color="auto"/>
                                      </w:divBdr>
                                      <w:divsChild>
                                        <w:div w:id="302347430">
                                          <w:marLeft w:val="0"/>
                                          <w:marRight w:val="0"/>
                                          <w:marTop w:val="0"/>
                                          <w:marBottom w:val="0"/>
                                          <w:divBdr>
                                            <w:top w:val="none" w:sz="0" w:space="0" w:color="auto"/>
                                            <w:left w:val="none" w:sz="0" w:space="0" w:color="auto"/>
                                            <w:bottom w:val="none" w:sz="0" w:space="0" w:color="auto"/>
                                            <w:right w:val="none" w:sz="0" w:space="0" w:color="auto"/>
                                          </w:divBdr>
                                          <w:divsChild>
                                            <w:div w:id="1067190910">
                                              <w:marLeft w:val="0"/>
                                              <w:marRight w:val="0"/>
                                              <w:marTop w:val="0"/>
                                              <w:marBottom w:val="0"/>
                                              <w:divBdr>
                                                <w:top w:val="none" w:sz="0" w:space="0" w:color="auto"/>
                                                <w:left w:val="none" w:sz="0" w:space="0" w:color="auto"/>
                                                <w:bottom w:val="none" w:sz="0" w:space="0" w:color="auto"/>
                                                <w:right w:val="none" w:sz="0" w:space="0" w:color="auto"/>
                                              </w:divBdr>
                                              <w:divsChild>
                                                <w:div w:id="1158377728">
                                                  <w:marLeft w:val="0"/>
                                                  <w:marRight w:val="0"/>
                                                  <w:marTop w:val="0"/>
                                                  <w:marBottom w:val="0"/>
                                                  <w:divBdr>
                                                    <w:top w:val="none" w:sz="0" w:space="0" w:color="auto"/>
                                                    <w:left w:val="none" w:sz="0" w:space="0" w:color="auto"/>
                                                    <w:bottom w:val="none" w:sz="0" w:space="0" w:color="auto"/>
                                                    <w:right w:val="none" w:sz="0" w:space="0" w:color="auto"/>
                                                  </w:divBdr>
                                                  <w:divsChild>
                                                    <w:div w:id="137504389">
                                                      <w:marLeft w:val="0"/>
                                                      <w:marRight w:val="0"/>
                                                      <w:marTop w:val="0"/>
                                                      <w:marBottom w:val="0"/>
                                                      <w:divBdr>
                                                        <w:top w:val="none" w:sz="0" w:space="0" w:color="auto"/>
                                                        <w:left w:val="none" w:sz="0" w:space="0" w:color="auto"/>
                                                        <w:bottom w:val="none" w:sz="0" w:space="0" w:color="auto"/>
                                                        <w:right w:val="none" w:sz="0" w:space="0" w:color="auto"/>
                                                      </w:divBdr>
                                                      <w:divsChild>
                                                        <w:div w:id="1289897749">
                                                          <w:marLeft w:val="0"/>
                                                          <w:marRight w:val="0"/>
                                                          <w:marTop w:val="100"/>
                                                          <w:marBottom w:val="100"/>
                                                          <w:divBdr>
                                                            <w:top w:val="none" w:sz="0" w:space="0" w:color="auto"/>
                                                            <w:left w:val="none" w:sz="0" w:space="0" w:color="auto"/>
                                                            <w:bottom w:val="none" w:sz="0" w:space="0" w:color="auto"/>
                                                            <w:right w:val="none" w:sz="0" w:space="0" w:color="auto"/>
                                                          </w:divBdr>
                                                          <w:divsChild>
                                                            <w:div w:id="1693458373">
                                                              <w:marLeft w:val="0"/>
                                                              <w:marRight w:val="0"/>
                                                              <w:marTop w:val="0"/>
                                                              <w:marBottom w:val="0"/>
                                                              <w:divBdr>
                                                                <w:top w:val="none" w:sz="0" w:space="0" w:color="auto"/>
                                                                <w:left w:val="none" w:sz="0" w:space="0" w:color="auto"/>
                                                                <w:bottom w:val="none" w:sz="0" w:space="0" w:color="auto"/>
                                                                <w:right w:val="none" w:sz="0" w:space="0" w:color="auto"/>
                                                              </w:divBdr>
                                                              <w:divsChild>
                                                                <w:div w:id="2010400472">
                                                                  <w:marLeft w:val="0"/>
                                                                  <w:marRight w:val="0"/>
                                                                  <w:marTop w:val="0"/>
                                                                  <w:marBottom w:val="0"/>
                                                                  <w:divBdr>
                                                                    <w:top w:val="none" w:sz="0" w:space="0" w:color="auto"/>
                                                                    <w:left w:val="none" w:sz="0" w:space="0" w:color="auto"/>
                                                                    <w:bottom w:val="none" w:sz="0" w:space="0" w:color="auto"/>
                                                                    <w:right w:val="none" w:sz="0" w:space="0" w:color="auto"/>
                                                                  </w:divBdr>
                                                                  <w:divsChild>
                                                                    <w:div w:id="1398632058">
                                                                      <w:marLeft w:val="0"/>
                                                                      <w:marRight w:val="0"/>
                                                                      <w:marTop w:val="0"/>
                                                                      <w:marBottom w:val="0"/>
                                                                      <w:divBdr>
                                                                        <w:top w:val="none" w:sz="0" w:space="0" w:color="auto"/>
                                                                        <w:left w:val="none" w:sz="0" w:space="0" w:color="auto"/>
                                                                        <w:bottom w:val="none" w:sz="0" w:space="0" w:color="auto"/>
                                                                        <w:right w:val="none" w:sz="0" w:space="0" w:color="auto"/>
                                                                      </w:divBdr>
                                                                      <w:divsChild>
                                                                        <w:div w:id="51573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5344464">
      <w:bodyDiv w:val="1"/>
      <w:marLeft w:val="0"/>
      <w:marRight w:val="0"/>
      <w:marTop w:val="0"/>
      <w:marBottom w:val="0"/>
      <w:divBdr>
        <w:top w:val="none" w:sz="0" w:space="0" w:color="auto"/>
        <w:left w:val="none" w:sz="0" w:space="0" w:color="auto"/>
        <w:bottom w:val="none" w:sz="0" w:space="0" w:color="auto"/>
        <w:right w:val="none" w:sz="0" w:space="0" w:color="auto"/>
      </w:divBdr>
    </w:div>
    <w:div w:id="871503076">
      <w:bodyDiv w:val="1"/>
      <w:marLeft w:val="0"/>
      <w:marRight w:val="0"/>
      <w:marTop w:val="0"/>
      <w:marBottom w:val="0"/>
      <w:divBdr>
        <w:top w:val="none" w:sz="0" w:space="0" w:color="auto"/>
        <w:left w:val="none" w:sz="0" w:space="0" w:color="auto"/>
        <w:bottom w:val="none" w:sz="0" w:space="0" w:color="auto"/>
        <w:right w:val="none" w:sz="0" w:space="0" w:color="auto"/>
      </w:divBdr>
      <w:divsChild>
        <w:div w:id="829445220">
          <w:marLeft w:val="0"/>
          <w:marRight w:val="0"/>
          <w:marTop w:val="0"/>
          <w:marBottom w:val="0"/>
          <w:divBdr>
            <w:top w:val="none" w:sz="0" w:space="0" w:color="auto"/>
            <w:left w:val="none" w:sz="0" w:space="0" w:color="auto"/>
            <w:bottom w:val="none" w:sz="0" w:space="0" w:color="auto"/>
            <w:right w:val="none" w:sz="0" w:space="0" w:color="auto"/>
          </w:divBdr>
          <w:divsChild>
            <w:div w:id="1924145863">
              <w:marLeft w:val="120"/>
              <w:marRight w:val="120"/>
              <w:marTop w:val="0"/>
              <w:marBottom w:val="0"/>
              <w:divBdr>
                <w:top w:val="none" w:sz="0" w:space="0" w:color="auto"/>
                <w:left w:val="none" w:sz="0" w:space="0" w:color="auto"/>
                <w:bottom w:val="none" w:sz="0" w:space="0" w:color="auto"/>
                <w:right w:val="none" w:sz="0" w:space="0" w:color="auto"/>
              </w:divBdr>
              <w:divsChild>
                <w:div w:id="181070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3851804">
      <w:bodyDiv w:val="1"/>
      <w:marLeft w:val="0"/>
      <w:marRight w:val="0"/>
      <w:marTop w:val="0"/>
      <w:marBottom w:val="0"/>
      <w:divBdr>
        <w:top w:val="none" w:sz="0" w:space="0" w:color="auto"/>
        <w:left w:val="none" w:sz="0" w:space="0" w:color="auto"/>
        <w:bottom w:val="none" w:sz="0" w:space="0" w:color="auto"/>
        <w:right w:val="none" w:sz="0" w:space="0" w:color="auto"/>
      </w:divBdr>
    </w:div>
    <w:div w:id="895627592">
      <w:bodyDiv w:val="1"/>
      <w:marLeft w:val="0"/>
      <w:marRight w:val="0"/>
      <w:marTop w:val="0"/>
      <w:marBottom w:val="0"/>
      <w:divBdr>
        <w:top w:val="none" w:sz="0" w:space="0" w:color="auto"/>
        <w:left w:val="none" w:sz="0" w:space="0" w:color="auto"/>
        <w:bottom w:val="none" w:sz="0" w:space="0" w:color="auto"/>
        <w:right w:val="none" w:sz="0" w:space="0" w:color="auto"/>
      </w:divBdr>
      <w:divsChild>
        <w:div w:id="289825847">
          <w:marLeft w:val="0"/>
          <w:marRight w:val="0"/>
          <w:marTop w:val="0"/>
          <w:marBottom w:val="0"/>
          <w:divBdr>
            <w:top w:val="none" w:sz="0" w:space="0" w:color="auto"/>
            <w:left w:val="none" w:sz="0" w:space="0" w:color="auto"/>
            <w:bottom w:val="none" w:sz="0" w:space="0" w:color="auto"/>
            <w:right w:val="none" w:sz="0" w:space="0" w:color="auto"/>
          </w:divBdr>
          <w:divsChild>
            <w:div w:id="1230536317">
              <w:marLeft w:val="0"/>
              <w:marRight w:val="0"/>
              <w:marTop w:val="0"/>
              <w:marBottom w:val="0"/>
              <w:divBdr>
                <w:top w:val="none" w:sz="0" w:space="0" w:color="auto"/>
                <w:left w:val="none" w:sz="0" w:space="0" w:color="auto"/>
                <w:bottom w:val="none" w:sz="0" w:space="0" w:color="auto"/>
                <w:right w:val="none" w:sz="0" w:space="0" w:color="auto"/>
              </w:divBdr>
              <w:divsChild>
                <w:div w:id="173813258">
                  <w:marLeft w:val="0"/>
                  <w:marRight w:val="0"/>
                  <w:marTop w:val="0"/>
                  <w:marBottom w:val="0"/>
                  <w:divBdr>
                    <w:top w:val="none" w:sz="0" w:space="0" w:color="auto"/>
                    <w:left w:val="none" w:sz="0" w:space="0" w:color="auto"/>
                    <w:bottom w:val="none" w:sz="0" w:space="0" w:color="auto"/>
                    <w:right w:val="none" w:sz="0" w:space="0" w:color="auto"/>
                  </w:divBdr>
                  <w:divsChild>
                    <w:div w:id="1973099809">
                      <w:marLeft w:val="0"/>
                      <w:marRight w:val="0"/>
                      <w:marTop w:val="0"/>
                      <w:marBottom w:val="0"/>
                      <w:divBdr>
                        <w:top w:val="none" w:sz="0" w:space="0" w:color="auto"/>
                        <w:left w:val="none" w:sz="0" w:space="0" w:color="auto"/>
                        <w:bottom w:val="none" w:sz="0" w:space="0" w:color="auto"/>
                        <w:right w:val="none" w:sz="0" w:space="0" w:color="auto"/>
                      </w:divBdr>
                      <w:divsChild>
                        <w:div w:id="1237206611">
                          <w:marLeft w:val="0"/>
                          <w:marRight w:val="0"/>
                          <w:marTop w:val="0"/>
                          <w:marBottom w:val="0"/>
                          <w:divBdr>
                            <w:top w:val="none" w:sz="0" w:space="0" w:color="auto"/>
                            <w:left w:val="none" w:sz="0" w:space="0" w:color="auto"/>
                            <w:bottom w:val="none" w:sz="0" w:space="0" w:color="auto"/>
                            <w:right w:val="none" w:sz="0" w:space="0" w:color="auto"/>
                          </w:divBdr>
                          <w:divsChild>
                            <w:div w:id="1081637011">
                              <w:marLeft w:val="0"/>
                              <w:marRight w:val="0"/>
                              <w:marTop w:val="0"/>
                              <w:marBottom w:val="0"/>
                              <w:divBdr>
                                <w:top w:val="none" w:sz="0" w:space="0" w:color="auto"/>
                                <w:left w:val="none" w:sz="0" w:space="0" w:color="auto"/>
                                <w:bottom w:val="none" w:sz="0" w:space="0" w:color="auto"/>
                                <w:right w:val="none" w:sz="0" w:space="0" w:color="auto"/>
                              </w:divBdr>
                              <w:divsChild>
                                <w:div w:id="1521431317">
                                  <w:marLeft w:val="0"/>
                                  <w:marRight w:val="0"/>
                                  <w:marTop w:val="0"/>
                                  <w:marBottom w:val="0"/>
                                  <w:divBdr>
                                    <w:top w:val="none" w:sz="0" w:space="0" w:color="auto"/>
                                    <w:left w:val="none" w:sz="0" w:space="0" w:color="auto"/>
                                    <w:bottom w:val="none" w:sz="0" w:space="0" w:color="auto"/>
                                    <w:right w:val="none" w:sz="0" w:space="0" w:color="auto"/>
                                  </w:divBdr>
                                  <w:divsChild>
                                    <w:div w:id="1730575084">
                                      <w:marLeft w:val="0"/>
                                      <w:marRight w:val="0"/>
                                      <w:marTop w:val="0"/>
                                      <w:marBottom w:val="0"/>
                                      <w:divBdr>
                                        <w:top w:val="none" w:sz="0" w:space="0" w:color="auto"/>
                                        <w:left w:val="none" w:sz="0" w:space="0" w:color="auto"/>
                                        <w:bottom w:val="none" w:sz="0" w:space="0" w:color="auto"/>
                                        <w:right w:val="none" w:sz="0" w:space="0" w:color="auto"/>
                                      </w:divBdr>
                                      <w:divsChild>
                                        <w:div w:id="511576894">
                                          <w:marLeft w:val="0"/>
                                          <w:marRight w:val="0"/>
                                          <w:marTop w:val="0"/>
                                          <w:marBottom w:val="0"/>
                                          <w:divBdr>
                                            <w:top w:val="none" w:sz="0" w:space="0" w:color="auto"/>
                                            <w:left w:val="none" w:sz="0" w:space="0" w:color="auto"/>
                                            <w:bottom w:val="none" w:sz="0" w:space="0" w:color="auto"/>
                                            <w:right w:val="none" w:sz="0" w:space="0" w:color="auto"/>
                                          </w:divBdr>
                                          <w:divsChild>
                                            <w:div w:id="1198155767">
                                              <w:marLeft w:val="0"/>
                                              <w:marRight w:val="0"/>
                                              <w:marTop w:val="0"/>
                                              <w:marBottom w:val="0"/>
                                              <w:divBdr>
                                                <w:top w:val="none" w:sz="0" w:space="0" w:color="auto"/>
                                                <w:left w:val="none" w:sz="0" w:space="0" w:color="auto"/>
                                                <w:bottom w:val="none" w:sz="0" w:space="0" w:color="auto"/>
                                                <w:right w:val="none" w:sz="0" w:space="0" w:color="auto"/>
                                              </w:divBdr>
                                              <w:divsChild>
                                                <w:div w:id="2136367089">
                                                  <w:marLeft w:val="0"/>
                                                  <w:marRight w:val="0"/>
                                                  <w:marTop w:val="0"/>
                                                  <w:marBottom w:val="0"/>
                                                  <w:divBdr>
                                                    <w:top w:val="none" w:sz="0" w:space="0" w:color="auto"/>
                                                    <w:left w:val="none" w:sz="0" w:space="0" w:color="auto"/>
                                                    <w:bottom w:val="none" w:sz="0" w:space="0" w:color="auto"/>
                                                    <w:right w:val="none" w:sz="0" w:space="0" w:color="auto"/>
                                                  </w:divBdr>
                                                  <w:divsChild>
                                                    <w:div w:id="143848209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77738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923537322">
      <w:bodyDiv w:val="1"/>
      <w:marLeft w:val="0"/>
      <w:marRight w:val="0"/>
      <w:marTop w:val="0"/>
      <w:marBottom w:val="0"/>
      <w:divBdr>
        <w:top w:val="none" w:sz="0" w:space="0" w:color="auto"/>
        <w:left w:val="none" w:sz="0" w:space="0" w:color="auto"/>
        <w:bottom w:val="none" w:sz="0" w:space="0" w:color="auto"/>
        <w:right w:val="none" w:sz="0" w:space="0" w:color="auto"/>
      </w:divBdr>
    </w:div>
    <w:div w:id="963391377">
      <w:bodyDiv w:val="1"/>
      <w:marLeft w:val="0"/>
      <w:marRight w:val="0"/>
      <w:marTop w:val="0"/>
      <w:marBottom w:val="0"/>
      <w:divBdr>
        <w:top w:val="none" w:sz="0" w:space="0" w:color="auto"/>
        <w:left w:val="none" w:sz="0" w:space="0" w:color="auto"/>
        <w:bottom w:val="none" w:sz="0" w:space="0" w:color="auto"/>
        <w:right w:val="none" w:sz="0" w:space="0" w:color="auto"/>
      </w:divBdr>
    </w:div>
    <w:div w:id="1059285462">
      <w:bodyDiv w:val="1"/>
      <w:marLeft w:val="0"/>
      <w:marRight w:val="0"/>
      <w:marTop w:val="0"/>
      <w:marBottom w:val="0"/>
      <w:divBdr>
        <w:top w:val="none" w:sz="0" w:space="0" w:color="auto"/>
        <w:left w:val="none" w:sz="0" w:space="0" w:color="auto"/>
        <w:bottom w:val="none" w:sz="0" w:space="0" w:color="auto"/>
        <w:right w:val="none" w:sz="0" w:space="0" w:color="auto"/>
      </w:divBdr>
    </w:div>
    <w:div w:id="1154562467">
      <w:bodyDiv w:val="1"/>
      <w:marLeft w:val="0"/>
      <w:marRight w:val="0"/>
      <w:marTop w:val="0"/>
      <w:marBottom w:val="0"/>
      <w:divBdr>
        <w:top w:val="none" w:sz="0" w:space="0" w:color="auto"/>
        <w:left w:val="none" w:sz="0" w:space="0" w:color="auto"/>
        <w:bottom w:val="none" w:sz="0" w:space="0" w:color="auto"/>
        <w:right w:val="none" w:sz="0" w:space="0" w:color="auto"/>
      </w:divBdr>
    </w:div>
    <w:div w:id="1220439490">
      <w:bodyDiv w:val="1"/>
      <w:marLeft w:val="0"/>
      <w:marRight w:val="0"/>
      <w:marTop w:val="0"/>
      <w:marBottom w:val="0"/>
      <w:divBdr>
        <w:top w:val="none" w:sz="0" w:space="0" w:color="auto"/>
        <w:left w:val="none" w:sz="0" w:space="0" w:color="auto"/>
        <w:bottom w:val="none" w:sz="0" w:space="0" w:color="auto"/>
        <w:right w:val="none" w:sz="0" w:space="0" w:color="auto"/>
      </w:divBdr>
      <w:divsChild>
        <w:div w:id="1141537112">
          <w:marLeft w:val="0"/>
          <w:marRight w:val="0"/>
          <w:marTop w:val="0"/>
          <w:marBottom w:val="0"/>
          <w:divBdr>
            <w:top w:val="none" w:sz="0" w:space="0" w:color="auto"/>
            <w:left w:val="none" w:sz="0" w:space="0" w:color="auto"/>
            <w:bottom w:val="none" w:sz="0" w:space="0" w:color="auto"/>
            <w:right w:val="none" w:sz="0" w:space="0" w:color="auto"/>
          </w:divBdr>
        </w:div>
      </w:divsChild>
    </w:div>
    <w:div w:id="1385636092">
      <w:bodyDiv w:val="1"/>
      <w:marLeft w:val="0"/>
      <w:marRight w:val="0"/>
      <w:marTop w:val="0"/>
      <w:marBottom w:val="0"/>
      <w:divBdr>
        <w:top w:val="none" w:sz="0" w:space="0" w:color="auto"/>
        <w:left w:val="none" w:sz="0" w:space="0" w:color="auto"/>
        <w:bottom w:val="none" w:sz="0" w:space="0" w:color="auto"/>
        <w:right w:val="none" w:sz="0" w:space="0" w:color="auto"/>
      </w:divBdr>
      <w:divsChild>
        <w:div w:id="906691082">
          <w:marLeft w:val="0"/>
          <w:marRight w:val="0"/>
          <w:marTop w:val="0"/>
          <w:marBottom w:val="0"/>
          <w:divBdr>
            <w:top w:val="none" w:sz="0" w:space="0" w:color="auto"/>
            <w:left w:val="none" w:sz="0" w:space="0" w:color="auto"/>
            <w:bottom w:val="none" w:sz="0" w:space="0" w:color="auto"/>
            <w:right w:val="none" w:sz="0" w:space="0" w:color="auto"/>
          </w:divBdr>
          <w:divsChild>
            <w:div w:id="1823277888">
              <w:marLeft w:val="0"/>
              <w:marRight w:val="0"/>
              <w:marTop w:val="0"/>
              <w:marBottom w:val="0"/>
              <w:divBdr>
                <w:top w:val="none" w:sz="0" w:space="0" w:color="auto"/>
                <w:left w:val="none" w:sz="0" w:space="0" w:color="auto"/>
                <w:bottom w:val="none" w:sz="0" w:space="0" w:color="auto"/>
                <w:right w:val="none" w:sz="0" w:space="0" w:color="auto"/>
              </w:divBdr>
              <w:divsChild>
                <w:div w:id="1857233592">
                  <w:marLeft w:val="0"/>
                  <w:marRight w:val="0"/>
                  <w:marTop w:val="0"/>
                  <w:marBottom w:val="0"/>
                  <w:divBdr>
                    <w:top w:val="none" w:sz="0" w:space="0" w:color="auto"/>
                    <w:left w:val="none" w:sz="0" w:space="0" w:color="auto"/>
                    <w:bottom w:val="none" w:sz="0" w:space="0" w:color="auto"/>
                    <w:right w:val="none" w:sz="0" w:space="0" w:color="auto"/>
                  </w:divBdr>
                  <w:divsChild>
                    <w:div w:id="1889031103">
                      <w:marLeft w:val="0"/>
                      <w:marRight w:val="0"/>
                      <w:marTop w:val="0"/>
                      <w:marBottom w:val="0"/>
                      <w:divBdr>
                        <w:top w:val="none" w:sz="0" w:space="0" w:color="auto"/>
                        <w:left w:val="none" w:sz="0" w:space="0" w:color="auto"/>
                        <w:bottom w:val="none" w:sz="0" w:space="0" w:color="auto"/>
                        <w:right w:val="none" w:sz="0" w:space="0" w:color="auto"/>
                      </w:divBdr>
                      <w:divsChild>
                        <w:div w:id="1448622447">
                          <w:marLeft w:val="0"/>
                          <w:marRight w:val="0"/>
                          <w:marTop w:val="0"/>
                          <w:marBottom w:val="0"/>
                          <w:divBdr>
                            <w:top w:val="none" w:sz="0" w:space="0" w:color="auto"/>
                            <w:left w:val="none" w:sz="0" w:space="0" w:color="auto"/>
                            <w:bottom w:val="none" w:sz="0" w:space="0" w:color="auto"/>
                            <w:right w:val="none" w:sz="0" w:space="0" w:color="auto"/>
                          </w:divBdr>
                          <w:divsChild>
                            <w:div w:id="2026008376">
                              <w:marLeft w:val="0"/>
                              <w:marRight w:val="0"/>
                              <w:marTop w:val="0"/>
                              <w:marBottom w:val="0"/>
                              <w:divBdr>
                                <w:top w:val="none" w:sz="0" w:space="0" w:color="auto"/>
                                <w:left w:val="none" w:sz="0" w:space="0" w:color="auto"/>
                                <w:bottom w:val="none" w:sz="0" w:space="0" w:color="auto"/>
                                <w:right w:val="none" w:sz="0" w:space="0" w:color="auto"/>
                              </w:divBdr>
                              <w:divsChild>
                                <w:div w:id="288361409">
                                  <w:marLeft w:val="0"/>
                                  <w:marRight w:val="0"/>
                                  <w:marTop w:val="0"/>
                                  <w:marBottom w:val="0"/>
                                  <w:divBdr>
                                    <w:top w:val="none" w:sz="0" w:space="0" w:color="auto"/>
                                    <w:left w:val="none" w:sz="0" w:space="0" w:color="auto"/>
                                    <w:bottom w:val="none" w:sz="0" w:space="0" w:color="auto"/>
                                    <w:right w:val="none" w:sz="0" w:space="0" w:color="auto"/>
                                  </w:divBdr>
                                  <w:divsChild>
                                    <w:div w:id="1966233563">
                                      <w:marLeft w:val="0"/>
                                      <w:marRight w:val="0"/>
                                      <w:marTop w:val="0"/>
                                      <w:marBottom w:val="0"/>
                                      <w:divBdr>
                                        <w:top w:val="none" w:sz="0" w:space="0" w:color="auto"/>
                                        <w:left w:val="none" w:sz="0" w:space="0" w:color="auto"/>
                                        <w:bottom w:val="none" w:sz="0" w:space="0" w:color="auto"/>
                                        <w:right w:val="none" w:sz="0" w:space="0" w:color="auto"/>
                                      </w:divBdr>
                                      <w:divsChild>
                                        <w:div w:id="1486782459">
                                          <w:marLeft w:val="0"/>
                                          <w:marRight w:val="0"/>
                                          <w:marTop w:val="0"/>
                                          <w:marBottom w:val="0"/>
                                          <w:divBdr>
                                            <w:top w:val="none" w:sz="0" w:space="0" w:color="auto"/>
                                            <w:left w:val="none" w:sz="0" w:space="0" w:color="auto"/>
                                            <w:bottom w:val="none" w:sz="0" w:space="0" w:color="auto"/>
                                            <w:right w:val="none" w:sz="0" w:space="0" w:color="auto"/>
                                          </w:divBdr>
                                          <w:divsChild>
                                            <w:div w:id="589462195">
                                              <w:marLeft w:val="0"/>
                                              <w:marRight w:val="0"/>
                                              <w:marTop w:val="0"/>
                                              <w:marBottom w:val="0"/>
                                              <w:divBdr>
                                                <w:top w:val="none" w:sz="0" w:space="0" w:color="auto"/>
                                                <w:left w:val="none" w:sz="0" w:space="0" w:color="auto"/>
                                                <w:bottom w:val="none" w:sz="0" w:space="0" w:color="auto"/>
                                                <w:right w:val="none" w:sz="0" w:space="0" w:color="auto"/>
                                              </w:divBdr>
                                              <w:divsChild>
                                                <w:div w:id="72090849">
                                                  <w:marLeft w:val="0"/>
                                                  <w:marRight w:val="0"/>
                                                  <w:marTop w:val="0"/>
                                                  <w:marBottom w:val="0"/>
                                                  <w:divBdr>
                                                    <w:top w:val="none" w:sz="0" w:space="0" w:color="auto"/>
                                                    <w:left w:val="none" w:sz="0" w:space="0" w:color="auto"/>
                                                    <w:bottom w:val="none" w:sz="0" w:space="0" w:color="auto"/>
                                                    <w:right w:val="none" w:sz="0" w:space="0" w:color="auto"/>
                                                  </w:divBdr>
                                                  <w:divsChild>
                                                    <w:div w:id="239295735">
                                                      <w:marLeft w:val="0"/>
                                                      <w:marRight w:val="0"/>
                                                      <w:marTop w:val="0"/>
                                                      <w:marBottom w:val="0"/>
                                                      <w:divBdr>
                                                        <w:top w:val="none" w:sz="0" w:space="0" w:color="auto"/>
                                                        <w:left w:val="none" w:sz="0" w:space="0" w:color="auto"/>
                                                        <w:bottom w:val="none" w:sz="0" w:space="0" w:color="auto"/>
                                                        <w:right w:val="none" w:sz="0" w:space="0" w:color="auto"/>
                                                      </w:divBdr>
                                                      <w:divsChild>
                                                        <w:div w:id="1465923668">
                                                          <w:marLeft w:val="0"/>
                                                          <w:marRight w:val="0"/>
                                                          <w:marTop w:val="0"/>
                                                          <w:marBottom w:val="0"/>
                                                          <w:divBdr>
                                                            <w:top w:val="none" w:sz="0" w:space="0" w:color="auto"/>
                                                            <w:left w:val="none" w:sz="0" w:space="0" w:color="auto"/>
                                                            <w:bottom w:val="none" w:sz="0" w:space="0" w:color="auto"/>
                                                            <w:right w:val="none" w:sz="0" w:space="0" w:color="auto"/>
                                                          </w:divBdr>
                                                          <w:divsChild>
                                                            <w:div w:id="309479918">
                                                              <w:marLeft w:val="0"/>
                                                              <w:marRight w:val="0"/>
                                                              <w:marTop w:val="0"/>
                                                              <w:marBottom w:val="0"/>
                                                              <w:divBdr>
                                                                <w:top w:val="none" w:sz="0" w:space="0" w:color="auto"/>
                                                                <w:left w:val="none" w:sz="0" w:space="0" w:color="auto"/>
                                                                <w:bottom w:val="none" w:sz="0" w:space="0" w:color="auto"/>
                                                                <w:right w:val="none" w:sz="0" w:space="0" w:color="auto"/>
                                                              </w:divBdr>
                                                              <w:divsChild>
                                                                <w:div w:id="346906411">
                                                                  <w:marLeft w:val="0"/>
                                                                  <w:marRight w:val="0"/>
                                                                  <w:marTop w:val="0"/>
                                                                  <w:marBottom w:val="0"/>
                                                                  <w:divBdr>
                                                                    <w:top w:val="none" w:sz="0" w:space="0" w:color="auto"/>
                                                                    <w:left w:val="none" w:sz="0" w:space="0" w:color="auto"/>
                                                                    <w:bottom w:val="none" w:sz="0" w:space="0" w:color="auto"/>
                                                                    <w:right w:val="none" w:sz="0" w:space="0" w:color="auto"/>
                                                                  </w:divBdr>
                                                                  <w:divsChild>
                                                                    <w:div w:id="1186794601">
                                                                      <w:marLeft w:val="0"/>
                                                                      <w:marRight w:val="0"/>
                                                                      <w:marTop w:val="0"/>
                                                                      <w:marBottom w:val="0"/>
                                                                      <w:divBdr>
                                                                        <w:top w:val="none" w:sz="0" w:space="0" w:color="auto"/>
                                                                        <w:left w:val="none" w:sz="0" w:space="0" w:color="auto"/>
                                                                        <w:bottom w:val="none" w:sz="0" w:space="0" w:color="auto"/>
                                                                        <w:right w:val="none" w:sz="0" w:space="0" w:color="auto"/>
                                                                      </w:divBdr>
                                                                      <w:divsChild>
                                                                        <w:div w:id="671488627">
                                                                          <w:marLeft w:val="0"/>
                                                                          <w:marRight w:val="0"/>
                                                                          <w:marTop w:val="0"/>
                                                                          <w:marBottom w:val="0"/>
                                                                          <w:divBdr>
                                                                            <w:top w:val="none" w:sz="0" w:space="0" w:color="auto"/>
                                                                            <w:left w:val="none" w:sz="0" w:space="0" w:color="auto"/>
                                                                            <w:bottom w:val="none" w:sz="0" w:space="0" w:color="auto"/>
                                                                            <w:right w:val="none" w:sz="0" w:space="0" w:color="auto"/>
                                                                          </w:divBdr>
                                                                          <w:divsChild>
                                                                            <w:div w:id="81199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9399178">
      <w:bodyDiv w:val="1"/>
      <w:marLeft w:val="0"/>
      <w:marRight w:val="0"/>
      <w:marTop w:val="0"/>
      <w:marBottom w:val="0"/>
      <w:divBdr>
        <w:top w:val="none" w:sz="0" w:space="0" w:color="auto"/>
        <w:left w:val="none" w:sz="0" w:space="0" w:color="auto"/>
        <w:bottom w:val="none" w:sz="0" w:space="0" w:color="auto"/>
        <w:right w:val="none" w:sz="0" w:space="0" w:color="auto"/>
      </w:divBdr>
      <w:divsChild>
        <w:div w:id="1039935006">
          <w:marLeft w:val="0"/>
          <w:marRight w:val="0"/>
          <w:marTop w:val="0"/>
          <w:marBottom w:val="0"/>
          <w:divBdr>
            <w:top w:val="none" w:sz="0" w:space="0" w:color="auto"/>
            <w:left w:val="none" w:sz="0" w:space="0" w:color="auto"/>
            <w:bottom w:val="none" w:sz="0" w:space="0" w:color="auto"/>
            <w:right w:val="none" w:sz="0" w:space="0" w:color="auto"/>
          </w:divBdr>
          <w:divsChild>
            <w:div w:id="2094281836">
              <w:marLeft w:val="0"/>
              <w:marRight w:val="0"/>
              <w:marTop w:val="0"/>
              <w:marBottom w:val="0"/>
              <w:divBdr>
                <w:top w:val="none" w:sz="0" w:space="0" w:color="auto"/>
                <w:left w:val="none" w:sz="0" w:space="0" w:color="auto"/>
                <w:bottom w:val="none" w:sz="0" w:space="0" w:color="auto"/>
                <w:right w:val="none" w:sz="0" w:space="0" w:color="auto"/>
              </w:divBdr>
              <w:divsChild>
                <w:div w:id="117574927">
                  <w:marLeft w:val="0"/>
                  <w:marRight w:val="0"/>
                  <w:marTop w:val="0"/>
                  <w:marBottom w:val="0"/>
                  <w:divBdr>
                    <w:top w:val="none" w:sz="0" w:space="0" w:color="auto"/>
                    <w:left w:val="none" w:sz="0" w:space="0" w:color="auto"/>
                    <w:bottom w:val="none" w:sz="0" w:space="0" w:color="auto"/>
                    <w:right w:val="none" w:sz="0" w:space="0" w:color="auto"/>
                  </w:divBdr>
                  <w:divsChild>
                    <w:div w:id="630284742">
                      <w:marLeft w:val="0"/>
                      <w:marRight w:val="0"/>
                      <w:marTop w:val="0"/>
                      <w:marBottom w:val="0"/>
                      <w:divBdr>
                        <w:top w:val="none" w:sz="0" w:space="0" w:color="auto"/>
                        <w:left w:val="none" w:sz="0" w:space="0" w:color="auto"/>
                        <w:bottom w:val="none" w:sz="0" w:space="0" w:color="auto"/>
                        <w:right w:val="none" w:sz="0" w:space="0" w:color="auto"/>
                      </w:divBdr>
                      <w:divsChild>
                        <w:div w:id="841165731">
                          <w:marLeft w:val="0"/>
                          <w:marRight w:val="0"/>
                          <w:marTop w:val="0"/>
                          <w:marBottom w:val="0"/>
                          <w:divBdr>
                            <w:top w:val="none" w:sz="0" w:space="0" w:color="auto"/>
                            <w:left w:val="none" w:sz="0" w:space="0" w:color="auto"/>
                            <w:bottom w:val="none" w:sz="0" w:space="0" w:color="auto"/>
                            <w:right w:val="none" w:sz="0" w:space="0" w:color="auto"/>
                          </w:divBdr>
                          <w:divsChild>
                            <w:div w:id="1726371684">
                              <w:marLeft w:val="0"/>
                              <w:marRight w:val="0"/>
                              <w:marTop w:val="0"/>
                              <w:marBottom w:val="0"/>
                              <w:divBdr>
                                <w:top w:val="none" w:sz="0" w:space="0" w:color="auto"/>
                                <w:left w:val="none" w:sz="0" w:space="0" w:color="auto"/>
                                <w:bottom w:val="none" w:sz="0" w:space="0" w:color="auto"/>
                                <w:right w:val="none" w:sz="0" w:space="0" w:color="auto"/>
                              </w:divBdr>
                              <w:divsChild>
                                <w:div w:id="1115708368">
                                  <w:marLeft w:val="0"/>
                                  <w:marRight w:val="0"/>
                                  <w:marTop w:val="0"/>
                                  <w:marBottom w:val="0"/>
                                  <w:divBdr>
                                    <w:top w:val="none" w:sz="0" w:space="0" w:color="auto"/>
                                    <w:left w:val="none" w:sz="0" w:space="0" w:color="auto"/>
                                    <w:bottom w:val="none" w:sz="0" w:space="0" w:color="auto"/>
                                    <w:right w:val="none" w:sz="0" w:space="0" w:color="auto"/>
                                  </w:divBdr>
                                  <w:divsChild>
                                    <w:div w:id="1508398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0365089">
      <w:bodyDiv w:val="1"/>
      <w:marLeft w:val="0"/>
      <w:marRight w:val="0"/>
      <w:marTop w:val="0"/>
      <w:marBottom w:val="0"/>
      <w:divBdr>
        <w:top w:val="none" w:sz="0" w:space="0" w:color="auto"/>
        <w:left w:val="none" w:sz="0" w:space="0" w:color="auto"/>
        <w:bottom w:val="none" w:sz="0" w:space="0" w:color="auto"/>
        <w:right w:val="none" w:sz="0" w:space="0" w:color="auto"/>
      </w:divBdr>
      <w:divsChild>
        <w:div w:id="191189140">
          <w:marLeft w:val="0"/>
          <w:marRight w:val="0"/>
          <w:marTop w:val="0"/>
          <w:marBottom w:val="0"/>
          <w:divBdr>
            <w:top w:val="none" w:sz="0" w:space="0" w:color="auto"/>
            <w:left w:val="none" w:sz="0" w:space="0" w:color="auto"/>
            <w:bottom w:val="none" w:sz="0" w:space="0" w:color="auto"/>
            <w:right w:val="none" w:sz="0" w:space="0" w:color="auto"/>
          </w:divBdr>
          <w:divsChild>
            <w:div w:id="810367804">
              <w:marLeft w:val="0"/>
              <w:marRight w:val="0"/>
              <w:marTop w:val="0"/>
              <w:marBottom w:val="0"/>
              <w:divBdr>
                <w:top w:val="none" w:sz="0" w:space="0" w:color="auto"/>
                <w:left w:val="none" w:sz="0" w:space="0" w:color="auto"/>
                <w:bottom w:val="none" w:sz="0" w:space="0" w:color="auto"/>
                <w:right w:val="none" w:sz="0" w:space="0" w:color="auto"/>
              </w:divBdr>
              <w:divsChild>
                <w:div w:id="1462112805">
                  <w:marLeft w:val="0"/>
                  <w:marRight w:val="0"/>
                  <w:marTop w:val="0"/>
                  <w:marBottom w:val="0"/>
                  <w:divBdr>
                    <w:top w:val="none" w:sz="0" w:space="0" w:color="auto"/>
                    <w:left w:val="none" w:sz="0" w:space="0" w:color="auto"/>
                    <w:bottom w:val="none" w:sz="0" w:space="0" w:color="auto"/>
                    <w:right w:val="none" w:sz="0" w:space="0" w:color="auto"/>
                  </w:divBdr>
                  <w:divsChild>
                    <w:div w:id="682322907">
                      <w:marLeft w:val="0"/>
                      <w:marRight w:val="0"/>
                      <w:marTop w:val="0"/>
                      <w:marBottom w:val="0"/>
                      <w:divBdr>
                        <w:top w:val="none" w:sz="0" w:space="0" w:color="auto"/>
                        <w:left w:val="none" w:sz="0" w:space="0" w:color="auto"/>
                        <w:bottom w:val="none" w:sz="0" w:space="0" w:color="auto"/>
                        <w:right w:val="none" w:sz="0" w:space="0" w:color="auto"/>
                      </w:divBdr>
                      <w:divsChild>
                        <w:div w:id="1551500503">
                          <w:marLeft w:val="0"/>
                          <w:marRight w:val="0"/>
                          <w:marTop w:val="0"/>
                          <w:marBottom w:val="0"/>
                          <w:divBdr>
                            <w:top w:val="none" w:sz="0" w:space="0" w:color="auto"/>
                            <w:left w:val="none" w:sz="0" w:space="0" w:color="auto"/>
                            <w:bottom w:val="none" w:sz="0" w:space="0" w:color="auto"/>
                            <w:right w:val="none" w:sz="0" w:space="0" w:color="auto"/>
                          </w:divBdr>
                          <w:divsChild>
                            <w:div w:id="1316255244">
                              <w:marLeft w:val="0"/>
                              <w:marRight w:val="0"/>
                              <w:marTop w:val="0"/>
                              <w:marBottom w:val="0"/>
                              <w:divBdr>
                                <w:top w:val="none" w:sz="0" w:space="0" w:color="auto"/>
                                <w:left w:val="none" w:sz="0" w:space="0" w:color="auto"/>
                                <w:bottom w:val="none" w:sz="0" w:space="0" w:color="auto"/>
                                <w:right w:val="none" w:sz="0" w:space="0" w:color="auto"/>
                              </w:divBdr>
                              <w:divsChild>
                                <w:div w:id="1668438174">
                                  <w:marLeft w:val="0"/>
                                  <w:marRight w:val="0"/>
                                  <w:marTop w:val="0"/>
                                  <w:marBottom w:val="0"/>
                                  <w:divBdr>
                                    <w:top w:val="none" w:sz="0" w:space="0" w:color="auto"/>
                                    <w:left w:val="none" w:sz="0" w:space="0" w:color="auto"/>
                                    <w:bottom w:val="none" w:sz="0" w:space="0" w:color="auto"/>
                                    <w:right w:val="none" w:sz="0" w:space="0" w:color="auto"/>
                                  </w:divBdr>
                                  <w:divsChild>
                                    <w:div w:id="1839614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5420478">
      <w:bodyDiv w:val="1"/>
      <w:marLeft w:val="0"/>
      <w:marRight w:val="0"/>
      <w:marTop w:val="0"/>
      <w:marBottom w:val="0"/>
      <w:divBdr>
        <w:top w:val="none" w:sz="0" w:space="0" w:color="auto"/>
        <w:left w:val="none" w:sz="0" w:space="0" w:color="auto"/>
        <w:bottom w:val="none" w:sz="0" w:space="0" w:color="auto"/>
        <w:right w:val="none" w:sz="0" w:space="0" w:color="auto"/>
      </w:divBdr>
      <w:divsChild>
        <w:div w:id="1133017622">
          <w:marLeft w:val="0"/>
          <w:marRight w:val="0"/>
          <w:marTop w:val="0"/>
          <w:marBottom w:val="0"/>
          <w:divBdr>
            <w:top w:val="none" w:sz="0" w:space="0" w:color="auto"/>
            <w:left w:val="none" w:sz="0" w:space="0" w:color="auto"/>
            <w:bottom w:val="none" w:sz="0" w:space="0" w:color="auto"/>
            <w:right w:val="none" w:sz="0" w:space="0" w:color="auto"/>
          </w:divBdr>
          <w:divsChild>
            <w:div w:id="795490943">
              <w:marLeft w:val="0"/>
              <w:marRight w:val="0"/>
              <w:marTop w:val="0"/>
              <w:marBottom w:val="0"/>
              <w:divBdr>
                <w:top w:val="none" w:sz="0" w:space="0" w:color="auto"/>
                <w:left w:val="none" w:sz="0" w:space="0" w:color="auto"/>
                <w:bottom w:val="none" w:sz="0" w:space="0" w:color="auto"/>
                <w:right w:val="none" w:sz="0" w:space="0" w:color="auto"/>
              </w:divBdr>
              <w:divsChild>
                <w:div w:id="1303928583">
                  <w:marLeft w:val="0"/>
                  <w:marRight w:val="0"/>
                  <w:marTop w:val="0"/>
                  <w:marBottom w:val="0"/>
                  <w:divBdr>
                    <w:top w:val="none" w:sz="0" w:space="0" w:color="auto"/>
                    <w:left w:val="none" w:sz="0" w:space="0" w:color="auto"/>
                    <w:bottom w:val="none" w:sz="0" w:space="0" w:color="auto"/>
                    <w:right w:val="none" w:sz="0" w:space="0" w:color="auto"/>
                  </w:divBdr>
                  <w:divsChild>
                    <w:div w:id="525102743">
                      <w:marLeft w:val="0"/>
                      <w:marRight w:val="0"/>
                      <w:marTop w:val="0"/>
                      <w:marBottom w:val="0"/>
                      <w:divBdr>
                        <w:top w:val="none" w:sz="0" w:space="0" w:color="auto"/>
                        <w:left w:val="none" w:sz="0" w:space="0" w:color="auto"/>
                        <w:bottom w:val="none" w:sz="0" w:space="0" w:color="auto"/>
                        <w:right w:val="none" w:sz="0" w:space="0" w:color="auto"/>
                      </w:divBdr>
                      <w:divsChild>
                        <w:div w:id="1678119478">
                          <w:marLeft w:val="0"/>
                          <w:marRight w:val="0"/>
                          <w:marTop w:val="0"/>
                          <w:marBottom w:val="0"/>
                          <w:divBdr>
                            <w:top w:val="none" w:sz="0" w:space="0" w:color="auto"/>
                            <w:left w:val="none" w:sz="0" w:space="0" w:color="auto"/>
                            <w:bottom w:val="none" w:sz="0" w:space="0" w:color="auto"/>
                            <w:right w:val="none" w:sz="0" w:space="0" w:color="auto"/>
                          </w:divBdr>
                          <w:divsChild>
                            <w:div w:id="1511946438">
                              <w:marLeft w:val="0"/>
                              <w:marRight w:val="0"/>
                              <w:marTop w:val="0"/>
                              <w:marBottom w:val="0"/>
                              <w:divBdr>
                                <w:top w:val="none" w:sz="0" w:space="0" w:color="auto"/>
                                <w:left w:val="none" w:sz="0" w:space="0" w:color="auto"/>
                                <w:bottom w:val="none" w:sz="0" w:space="0" w:color="auto"/>
                                <w:right w:val="none" w:sz="0" w:space="0" w:color="auto"/>
                              </w:divBdr>
                              <w:divsChild>
                                <w:div w:id="429280894">
                                  <w:marLeft w:val="0"/>
                                  <w:marRight w:val="0"/>
                                  <w:marTop w:val="0"/>
                                  <w:marBottom w:val="0"/>
                                  <w:divBdr>
                                    <w:top w:val="none" w:sz="0" w:space="0" w:color="auto"/>
                                    <w:left w:val="none" w:sz="0" w:space="0" w:color="auto"/>
                                    <w:bottom w:val="none" w:sz="0" w:space="0" w:color="auto"/>
                                    <w:right w:val="none" w:sz="0" w:space="0" w:color="auto"/>
                                  </w:divBdr>
                                  <w:divsChild>
                                    <w:div w:id="855882">
                                      <w:marLeft w:val="0"/>
                                      <w:marRight w:val="0"/>
                                      <w:marTop w:val="0"/>
                                      <w:marBottom w:val="0"/>
                                      <w:divBdr>
                                        <w:top w:val="none" w:sz="0" w:space="0" w:color="auto"/>
                                        <w:left w:val="none" w:sz="0" w:space="0" w:color="auto"/>
                                        <w:bottom w:val="none" w:sz="0" w:space="0" w:color="auto"/>
                                        <w:right w:val="none" w:sz="0" w:space="0" w:color="auto"/>
                                      </w:divBdr>
                                      <w:divsChild>
                                        <w:div w:id="281771507">
                                          <w:marLeft w:val="0"/>
                                          <w:marRight w:val="0"/>
                                          <w:marTop w:val="0"/>
                                          <w:marBottom w:val="0"/>
                                          <w:divBdr>
                                            <w:top w:val="none" w:sz="0" w:space="0" w:color="auto"/>
                                            <w:left w:val="none" w:sz="0" w:space="0" w:color="auto"/>
                                            <w:bottom w:val="none" w:sz="0" w:space="0" w:color="auto"/>
                                            <w:right w:val="none" w:sz="0" w:space="0" w:color="auto"/>
                                          </w:divBdr>
                                          <w:divsChild>
                                            <w:div w:id="1731803470">
                                              <w:marLeft w:val="0"/>
                                              <w:marRight w:val="0"/>
                                              <w:marTop w:val="0"/>
                                              <w:marBottom w:val="0"/>
                                              <w:divBdr>
                                                <w:top w:val="none" w:sz="0" w:space="0" w:color="auto"/>
                                                <w:left w:val="none" w:sz="0" w:space="0" w:color="auto"/>
                                                <w:bottom w:val="none" w:sz="0" w:space="0" w:color="auto"/>
                                                <w:right w:val="none" w:sz="0" w:space="0" w:color="auto"/>
                                              </w:divBdr>
                                              <w:divsChild>
                                                <w:div w:id="2089617094">
                                                  <w:marLeft w:val="0"/>
                                                  <w:marRight w:val="0"/>
                                                  <w:marTop w:val="0"/>
                                                  <w:marBottom w:val="0"/>
                                                  <w:divBdr>
                                                    <w:top w:val="none" w:sz="0" w:space="0" w:color="auto"/>
                                                    <w:left w:val="none" w:sz="0" w:space="0" w:color="auto"/>
                                                    <w:bottom w:val="none" w:sz="0" w:space="0" w:color="auto"/>
                                                    <w:right w:val="none" w:sz="0" w:space="0" w:color="auto"/>
                                                  </w:divBdr>
                                                  <w:divsChild>
                                                    <w:div w:id="592977667">
                                                      <w:marLeft w:val="0"/>
                                                      <w:marRight w:val="0"/>
                                                      <w:marTop w:val="0"/>
                                                      <w:marBottom w:val="0"/>
                                                      <w:divBdr>
                                                        <w:top w:val="none" w:sz="0" w:space="0" w:color="auto"/>
                                                        <w:left w:val="none" w:sz="0" w:space="0" w:color="auto"/>
                                                        <w:bottom w:val="none" w:sz="0" w:space="0" w:color="auto"/>
                                                        <w:right w:val="none" w:sz="0" w:space="0" w:color="auto"/>
                                                      </w:divBdr>
                                                      <w:divsChild>
                                                        <w:div w:id="865411702">
                                                          <w:marLeft w:val="0"/>
                                                          <w:marRight w:val="0"/>
                                                          <w:marTop w:val="0"/>
                                                          <w:marBottom w:val="0"/>
                                                          <w:divBdr>
                                                            <w:top w:val="none" w:sz="0" w:space="0" w:color="auto"/>
                                                            <w:left w:val="none" w:sz="0" w:space="0" w:color="auto"/>
                                                            <w:bottom w:val="none" w:sz="0" w:space="0" w:color="auto"/>
                                                            <w:right w:val="none" w:sz="0" w:space="0" w:color="auto"/>
                                                          </w:divBdr>
                                                        </w:div>
                                                      </w:divsChild>
                                                    </w:div>
                                                    <w:div w:id="13849386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742068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521697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1844817">
                                                                  <w:marLeft w:val="0"/>
                                                                  <w:marRight w:val="0"/>
                                                                  <w:marTop w:val="0"/>
                                                                  <w:marBottom w:val="0"/>
                                                                  <w:divBdr>
                                                                    <w:top w:val="none" w:sz="0" w:space="0" w:color="auto"/>
                                                                    <w:left w:val="none" w:sz="0" w:space="0" w:color="auto"/>
                                                                    <w:bottom w:val="none" w:sz="0" w:space="0" w:color="auto"/>
                                                                    <w:right w:val="none" w:sz="0" w:space="0" w:color="auto"/>
                                                                  </w:divBdr>
                                                                  <w:divsChild>
                                                                    <w:div w:id="1139147122">
                                                                      <w:marLeft w:val="0"/>
                                                                      <w:marRight w:val="0"/>
                                                                      <w:marTop w:val="0"/>
                                                                      <w:marBottom w:val="0"/>
                                                                      <w:divBdr>
                                                                        <w:top w:val="none" w:sz="0" w:space="0" w:color="auto"/>
                                                                        <w:left w:val="none" w:sz="0" w:space="0" w:color="auto"/>
                                                                        <w:bottom w:val="none" w:sz="0" w:space="0" w:color="auto"/>
                                                                        <w:right w:val="none" w:sz="0" w:space="0" w:color="auto"/>
                                                                      </w:divBdr>
                                                                    </w:div>
                                                                    <w:div w:id="1755199391">
                                                                      <w:marLeft w:val="0"/>
                                                                      <w:marRight w:val="0"/>
                                                                      <w:marTop w:val="0"/>
                                                                      <w:marBottom w:val="0"/>
                                                                      <w:divBdr>
                                                                        <w:top w:val="none" w:sz="0" w:space="0" w:color="auto"/>
                                                                        <w:left w:val="none" w:sz="0" w:space="0" w:color="auto"/>
                                                                        <w:bottom w:val="none" w:sz="0" w:space="0" w:color="auto"/>
                                                                        <w:right w:val="none" w:sz="0" w:space="0" w:color="auto"/>
                                                                      </w:divBdr>
                                                                    </w:div>
                                                                    <w:div w:id="1961373333">
                                                                      <w:marLeft w:val="0"/>
                                                                      <w:marRight w:val="0"/>
                                                                      <w:marTop w:val="0"/>
                                                                      <w:marBottom w:val="0"/>
                                                                      <w:divBdr>
                                                                        <w:top w:val="none" w:sz="0" w:space="0" w:color="auto"/>
                                                                        <w:left w:val="none" w:sz="0" w:space="0" w:color="auto"/>
                                                                        <w:bottom w:val="none" w:sz="0" w:space="0" w:color="auto"/>
                                                                        <w:right w:val="none" w:sz="0" w:space="0" w:color="auto"/>
                                                                      </w:divBdr>
                                                                    </w:div>
                                                                    <w:div w:id="36012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3392619">
                                              <w:marLeft w:val="0"/>
                                              <w:marRight w:val="0"/>
                                              <w:marTop w:val="0"/>
                                              <w:marBottom w:val="0"/>
                                              <w:divBdr>
                                                <w:top w:val="none" w:sz="0" w:space="0" w:color="auto"/>
                                                <w:left w:val="none" w:sz="0" w:space="0" w:color="auto"/>
                                                <w:bottom w:val="none" w:sz="0" w:space="0" w:color="auto"/>
                                                <w:right w:val="none" w:sz="0" w:space="0" w:color="auto"/>
                                              </w:divBdr>
                                              <w:divsChild>
                                                <w:div w:id="1037244527">
                                                  <w:marLeft w:val="0"/>
                                                  <w:marRight w:val="0"/>
                                                  <w:marTop w:val="0"/>
                                                  <w:marBottom w:val="0"/>
                                                  <w:divBdr>
                                                    <w:top w:val="none" w:sz="0" w:space="0" w:color="auto"/>
                                                    <w:left w:val="none" w:sz="0" w:space="0" w:color="auto"/>
                                                    <w:bottom w:val="none" w:sz="0" w:space="0" w:color="auto"/>
                                                    <w:right w:val="none" w:sz="0" w:space="0" w:color="auto"/>
                                                  </w:divBdr>
                                                  <w:divsChild>
                                                    <w:div w:id="152286076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29042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667374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06468647">
                                                                  <w:marLeft w:val="0"/>
                                                                  <w:marRight w:val="0"/>
                                                                  <w:marTop w:val="0"/>
                                                                  <w:marBottom w:val="0"/>
                                                                  <w:divBdr>
                                                                    <w:top w:val="none" w:sz="0" w:space="0" w:color="auto"/>
                                                                    <w:left w:val="none" w:sz="0" w:space="0" w:color="auto"/>
                                                                    <w:bottom w:val="none" w:sz="0" w:space="0" w:color="auto"/>
                                                                    <w:right w:val="none" w:sz="0" w:space="0" w:color="auto"/>
                                                                  </w:divBdr>
                                                                  <w:divsChild>
                                                                    <w:div w:id="2709892">
                                                                      <w:marLeft w:val="0"/>
                                                                      <w:marRight w:val="0"/>
                                                                      <w:marTop w:val="0"/>
                                                                      <w:marBottom w:val="0"/>
                                                                      <w:divBdr>
                                                                        <w:top w:val="none" w:sz="0" w:space="0" w:color="auto"/>
                                                                        <w:left w:val="none" w:sz="0" w:space="0" w:color="auto"/>
                                                                        <w:bottom w:val="none" w:sz="0" w:space="0" w:color="auto"/>
                                                                        <w:right w:val="none" w:sz="0" w:space="0" w:color="auto"/>
                                                                      </w:divBdr>
                                                                    </w:div>
                                                                  </w:divsChild>
                                                                </w:div>
                                                                <w:div w:id="857810979">
                                                                  <w:marLeft w:val="0"/>
                                                                  <w:marRight w:val="0"/>
                                                                  <w:marTop w:val="0"/>
                                                                  <w:marBottom w:val="0"/>
                                                                  <w:divBdr>
                                                                    <w:top w:val="none" w:sz="0" w:space="0" w:color="auto"/>
                                                                    <w:left w:val="none" w:sz="0" w:space="0" w:color="auto"/>
                                                                    <w:bottom w:val="none" w:sz="0" w:space="0" w:color="auto"/>
                                                                    <w:right w:val="none" w:sz="0" w:space="0" w:color="auto"/>
                                                                  </w:divBdr>
                                                                  <w:divsChild>
                                                                    <w:div w:id="1730498613">
                                                                      <w:marLeft w:val="0"/>
                                                                      <w:marRight w:val="0"/>
                                                                      <w:marTop w:val="0"/>
                                                                      <w:marBottom w:val="0"/>
                                                                      <w:divBdr>
                                                                        <w:top w:val="none" w:sz="0" w:space="0" w:color="auto"/>
                                                                        <w:left w:val="none" w:sz="0" w:space="0" w:color="auto"/>
                                                                        <w:bottom w:val="none" w:sz="0" w:space="0" w:color="auto"/>
                                                                        <w:right w:val="none" w:sz="0" w:space="0" w:color="auto"/>
                                                                      </w:divBdr>
                                                                    </w:div>
                                                                    <w:div w:id="332294930">
                                                                      <w:marLeft w:val="0"/>
                                                                      <w:marRight w:val="0"/>
                                                                      <w:marTop w:val="0"/>
                                                                      <w:marBottom w:val="0"/>
                                                                      <w:divBdr>
                                                                        <w:top w:val="none" w:sz="0" w:space="0" w:color="auto"/>
                                                                        <w:left w:val="none" w:sz="0" w:space="0" w:color="auto"/>
                                                                        <w:bottom w:val="none" w:sz="0" w:space="0" w:color="auto"/>
                                                                        <w:right w:val="none" w:sz="0" w:space="0" w:color="auto"/>
                                                                      </w:divBdr>
                                                                    </w:div>
                                                                  </w:divsChild>
                                                                </w:div>
                                                                <w:div w:id="383910704">
                                                                  <w:marLeft w:val="0"/>
                                                                  <w:marRight w:val="0"/>
                                                                  <w:marTop w:val="0"/>
                                                                  <w:marBottom w:val="0"/>
                                                                  <w:divBdr>
                                                                    <w:top w:val="none" w:sz="0" w:space="0" w:color="auto"/>
                                                                    <w:left w:val="none" w:sz="0" w:space="0" w:color="auto"/>
                                                                    <w:bottom w:val="none" w:sz="0" w:space="0" w:color="auto"/>
                                                                    <w:right w:val="none" w:sz="0" w:space="0" w:color="auto"/>
                                                                  </w:divBdr>
                                                                  <w:divsChild>
                                                                    <w:div w:id="1249460762">
                                                                      <w:marLeft w:val="0"/>
                                                                      <w:marRight w:val="0"/>
                                                                      <w:marTop w:val="0"/>
                                                                      <w:marBottom w:val="0"/>
                                                                      <w:divBdr>
                                                                        <w:top w:val="none" w:sz="0" w:space="0" w:color="auto"/>
                                                                        <w:left w:val="none" w:sz="0" w:space="0" w:color="auto"/>
                                                                        <w:bottom w:val="none" w:sz="0" w:space="0" w:color="auto"/>
                                                                        <w:right w:val="none" w:sz="0" w:space="0" w:color="auto"/>
                                                                      </w:divBdr>
                                                                    </w:div>
                                                                    <w:div w:id="80831270">
                                                                      <w:marLeft w:val="0"/>
                                                                      <w:marRight w:val="0"/>
                                                                      <w:marTop w:val="0"/>
                                                                      <w:marBottom w:val="0"/>
                                                                      <w:divBdr>
                                                                        <w:top w:val="none" w:sz="0" w:space="0" w:color="auto"/>
                                                                        <w:left w:val="none" w:sz="0" w:space="0" w:color="auto"/>
                                                                        <w:bottom w:val="none" w:sz="0" w:space="0" w:color="auto"/>
                                                                        <w:right w:val="none" w:sz="0" w:space="0" w:color="auto"/>
                                                                      </w:divBdr>
                                                                    </w:div>
                                                                    <w:div w:id="1338195329">
                                                                      <w:marLeft w:val="0"/>
                                                                      <w:marRight w:val="0"/>
                                                                      <w:marTop w:val="0"/>
                                                                      <w:marBottom w:val="0"/>
                                                                      <w:divBdr>
                                                                        <w:top w:val="none" w:sz="0" w:space="0" w:color="auto"/>
                                                                        <w:left w:val="none" w:sz="0" w:space="0" w:color="auto"/>
                                                                        <w:bottom w:val="none" w:sz="0" w:space="0" w:color="auto"/>
                                                                        <w:right w:val="none" w:sz="0" w:space="0" w:color="auto"/>
                                                                      </w:divBdr>
                                                                    </w:div>
                                                                  </w:divsChild>
                                                                </w:div>
                                                                <w:div w:id="840464731">
                                                                  <w:marLeft w:val="0"/>
                                                                  <w:marRight w:val="0"/>
                                                                  <w:marTop w:val="0"/>
                                                                  <w:marBottom w:val="0"/>
                                                                  <w:divBdr>
                                                                    <w:top w:val="none" w:sz="0" w:space="0" w:color="auto"/>
                                                                    <w:left w:val="none" w:sz="0" w:space="0" w:color="auto"/>
                                                                    <w:bottom w:val="none" w:sz="0" w:space="0" w:color="auto"/>
                                                                    <w:right w:val="none" w:sz="0" w:space="0" w:color="auto"/>
                                                                  </w:divBdr>
                                                                  <w:divsChild>
                                                                    <w:div w:id="1645891474">
                                                                      <w:marLeft w:val="0"/>
                                                                      <w:marRight w:val="0"/>
                                                                      <w:marTop w:val="0"/>
                                                                      <w:marBottom w:val="0"/>
                                                                      <w:divBdr>
                                                                        <w:top w:val="none" w:sz="0" w:space="0" w:color="auto"/>
                                                                        <w:left w:val="none" w:sz="0" w:space="0" w:color="auto"/>
                                                                        <w:bottom w:val="none" w:sz="0" w:space="0" w:color="auto"/>
                                                                        <w:right w:val="none" w:sz="0" w:space="0" w:color="auto"/>
                                                                      </w:divBdr>
                                                                    </w:div>
                                                                  </w:divsChild>
                                                                </w:div>
                                                                <w:div w:id="1937639204">
                                                                  <w:marLeft w:val="0"/>
                                                                  <w:marRight w:val="0"/>
                                                                  <w:marTop w:val="0"/>
                                                                  <w:marBottom w:val="0"/>
                                                                  <w:divBdr>
                                                                    <w:top w:val="none" w:sz="0" w:space="0" w:color="auto"/>
                                                                    <w:left w:val="none" w:sz="0" w:space="0" w:color="auto"/>
                                                                    <w:bottom w:val="none" w:sz="0" w:space="0" w:color="auto"/>
                                                                    <w:right w:val="none" w:sz="0" w:space="0" w:color="auto"/>
                                                                  </w:divBdr>
                                                                  <w:divsChild>
                                                                    <w:div w:id="1231573714">
                                                                      <w:marLeft w:val="0"/>
                                                                      <w:marRight w:val="0"/>
                                                                      <w:marTop w:val="0"/>
                                                                      <w:marBottom w:val="0"/>
                                                                      <w:divBdr>
                                                                        <w:top w:val="none" w:sz="0" w:space="0" w:color="auto"/>
                                                                        <w:left w:val="none" w:sz="0" w:space="0" w:color="auto"/>
                                                                        <w:bottom w:val="none" w:sz="0" w:space="0" w:color="auto"/>
                                                                        <w:right w:val="none" w:sz="0" w:space="0" w:color="auto"/>
                                                                      </w:divBdr>
                                                                    </w:div>
                                                                  </w:divsChild>
                                                                </w:div>
                                                                <w:div w:id="1900630547">
                                                                  <w:marLeft w:val="0"/>
                                                                  <w:marRight w:val="0"/>
                                                                  <w:marTop w:val="0"/>
                                                                  <w:marBottom w:val="0"/>
                                                                  <w:divBdr>
                                                                    <w:top w:val="none" w:sz="0" w:space="0" w:color="auto"/>
                                                                    <w:left w:val="none" w:sz="0" w:space="0" w:color="auto"/>
                                                                    <w:bottom w:val="none" w:sz="0" w:space="0" w:color="auto"/>
                                                                    <w:right w:val="none" w:sz="0" w:space="0" w:color="auto"/>
                                                                  </w:divBdr>
                                                                  <w:divsChild>
                                                                    <w:div w:id="83648148">
                                                                      <w:marLeft w:val="0"/>
                                                                      <w:marRight w:val="0"/>
                                                                      <w:marTop w:val="0"/>
                                                                      <w:marBottom w:val="0"/>
                                                                      <w:divBdr>
                                                                        <w:top w:val="none" w:sz="0" w:space="0" w:color="auto"/>
                                                                        <w:left w:val="none" w:sz="0" w:space="0" w:color="auto"/>
                                                                        <w:bottom w:val="none" w:sz="0" w:space="0" w:color="auto"/>
                                                                        <w:right w:val="none" w:sz="0" w:space="0" w:color="auto"/>
                                                                      </w:divBdr>
                                                                    </w:div>
                                                                  </w:divsChild>
                                                                </w:div>
                                                                <w:div w:id="161507359">
                                                                  <w:marLeft w:val="0"/>
                                                                  <w:marRight w:val="0"/>
                                                                  <w:marTop w:val="0"/>
                                                                  <w:marBottom w:val="0"/>
                                                                  <w:divBdr>
                                                                    <w:top w:val="none" w:sz="0" w:space="0" w:color="auto"/>
                                                                    <w:left w:val="none" w:sz="0" w:space="0" w:color="auto"/>
                                                                    <w:bottom w:val="none" w:sz="0" w:space="0" w:color="auto"/>
                                                                    <w:right w:val="none" w:sz="0" w:space="0" w:color="auto"/>
                                                                  </w:divBdr>
                                                                  <w:divsChild>
                                                                    <w:div w:id="1005087051">
                                                                      <w:marLeft w:val="0"/>
                                                                      <w:marRight w:val="0"/>
                                                                      <w:marTop w:val="0"/>
                                                                      <w:marBottom w:val="0"/>
                                                                      <w:divBdr>
                                                                        <w:top w:val="none" w:sz="0" w:space="0" w:color="auto"/>
                                                                        <w:left w:val="none" w:sz="0" w:space="0" w:color="auto"/>
                                                                        <w:bottom w:val="none" w:sz="0" w:space="0" w:color="auto"/>
                                                                        <w:right w:val="none" w:sz="0" w:space="0" w:color="auto"/>
                                                                      </w:divBdr>
                                                                    </w:div>
                                                                  </w:divsChild>
                                                                </w:div>
                                                                <w:div w:id="654719156">
                                                                  <w:marLeft w:val="0"/>
                                                                  <w:marRight w:val="0"/>
                                                                  <w:marTop w:val="0"/>
                                                                  <w:marBottom w:val="0"/>
                                                                  <w:divBdr>
                                                                    <w:top w:val="none" w:sz="0" w:space="0" w:color="auto"/>
                                                                    <w:left w:val="none" w:sz="0" w:space="0" w:color="auto"/>
                                                                    <w:bottom w:val="none" w:sz="0" w:space="0" w:color="auto"/>
                                                                    <w:right w:val="none" w:sz="0" w:space="0" w:color="auto"/>
                                                                  </w:divBdr>
                                                                  <w:divsChild>
                                                                    <w:div w:id="135729165">
                                                                      <w:marLeft w:val="0"/>
                                                                      <w:marRight w:val="0"/>
                                                                      <w:marTop w:val="0"/>
                                                                      <w:marBottom w:val="0"/>
                                                                      <w:divBdr>
                                                                        <w:top w:val="none" w:sz="0" w:space="0" w:color="auto"/>
                                                                        <w:left w:val="none" w:sz="0" w:space="0" w:color="auto"/>
                                                                        <w:bottom w:val="none" w:sz="0" w:space="0" w:color="auto"/>
                                                                        <w:right w:val="none" w:sz="0" w:space="0" w:color="auto"/>
                                                                      </w:divBdr>
                                                                    </w:div>
                                                                    <w:div w:id="1441804212">
                                                                      <w:marLeft w:val="0"/>
                                                                      <w:marRight w:val="0"/>
                                                                      <w:marTop w:val="0"/>
                                                                      <w:marBottom w:val="0"/>
                                                                      <w:divBdr>
                                                                        <w:top w:val="none" w:sz="0" w:space="0" w:color="auto"/>
                                                                        <w:left w:val="none" w:sz="0" w:space="0" w:color="auto"/>
                                                                        <w:bottom w:val="none" w:sz="0" w:space="0" w:color="auto"/>
                                                                        <w:right w:val="none" w:sz="0" w:space="0" w:color="auto"/>
                                                                      </w:divBdr>
                                                                    </w:div>
                                                                  </w:divsChild>
                                                                </w:div>
                                                                <w:div w:id="351035048">
                                                                  <w:marLeft w:val="0"/>
                                                                  <w:marRight w:val="0"/>
                                                                  <w:marTop w:val="0"/>
                                                                  <w:marBottom w:val="0"/>
                                                                  <w:divBdr>
                                                                    <w:top w:val="none" w:sz="0" w:space="0" w:color="auto"/>
                                                                    <w:left w:val="none" w:sz="0" w:space="0" w:color="auto"/>
                                                                    <w:bottom w:val="none" w:sz="0" w:space="0" w:color="auto"/>
                                                                    <w:right w:val="none" w:sz="0" w:space="0" w:color="auto"/>
                                                                  </w:divBdr>
                                                                  <w:divsChild>
                                                                    <w:div w:id="1969388269">
                                                                      <w:marLeft w:val="0"/>
                                                                      <w:marRight w:val="0"/>
                                                                      <w:marTop w:val="0"/>
                                                                      <w:marBottom w:val="0"/>
                                                                      <w:divBdr>
                                                                        <w:top w:val="none" w:sz="0" w:space="0" w:color="auto"/>
                                                                        <w:left w:val="none" w:sz="0" w:space="0" w:color="auto"/>
                                                                        <w:bottom w:val="none" w:sz="0" w:space="0" w:color="auto"/>
                                                                        <w:right w:val="none" w:sz="0" w:space="0" w:color="auto"/>
                                                                      </w:divBdr>
                                                                    </w:div>
                                                                  </w:divsChild>
                                                                </w:div>
                                                                <w:div w:id="1929072678">
                                                                  <w:marLeft w:val="0"/>
                                                                  <w:marRight w:val="0"/>
                                                                  <w:marTop w:val="0"/>
                                                                  <w:marBottom w:val="0"/>
                                                                  <w:divBdr>
                                                                    <w:top w:val="none" w:sz="0" w:space="0" w:color="auto"/>
                                                                    <w:left w:val="none" w:sz="0" w:space="0" w:color="auto"/>
                                                                    <w:bottom w:val="none" w:sz="0" w:space="0" w:color="auto"/>
                                                                    <w:right w:val="none" w:sz="0" w:space="0" w:color="auto"/>
                                                                  </w:divBdr>
                                                                  <w:divsChild>
                                                                    <w:div w:id="2119788624">
                                                                      <w:marLeft w:val="0"/>
                                                                      <w:marRight w:val="0"/>
                                                                      <w:marTop w:val="0"/>
                                                                      <w:marBottom w:val="0"/>
                                                                      <w:divBdr>
                                                                        <w:top w:val="none" w:sz="0" w:space="0" w:color="auto"/>
                                                                        <w:left w:val="none" w:sz="0" w:space="0" w:color="auto"/>
                                                                        <w:bottom w:val="none" w:sz="0" w:space="0" w:color="auto"/>
                                                                        <w:right w:val="none" w:sz="0" w:space="0" w:color="auto"/>
                                                                      </w:divBdr>
                                                                    </w:div>
                                                                  </w:divsChild>
                                                                </w:div>
                                                                <w:div w:id="1138911870">
                                                                  <w:marLeft w:val="0"/>
                                                                  <w:marRight w:val="0"/>
                                                                  <w:marTop w:val="0"/>
                                                                  <w:marBottom w:val="0"/>
                                                                  <w:divBdr>
                                                                    <w:top w:val="none" w:sz="0" w:space="0" w:color="auto"/>
                                                                    <w:left w:val="none" w:sz="0" w:space="0" w:color="auto"/>
                                                                    <w:bottom w:val="none" w:sz="0" w:space="0" w:color="auto"/>
                                                                    <w:right w:val="none" w:sz="0" w:space="0" w:color="auto"/>
                                                                  </w:divBdr>
                                                                  <w:divsChild>
                                                                    <w:div w:id="1390377420">
                                                                      <w:marLeft w:val="0"/>
                                                                      <w:marRight w:val="0"/>
                                                                      <w:marTop w:val="0"/>
                                                                      <w:marBottom w:val="0"/>
                                                                      <w:divBdr>
                                                                        <w:top w:val="none" w:sz="0" w:space="0" w:color="auto"/>
                                                                        <w:left w:val="none" w:sz="0" w:space="0" w:color="auto"/>
                                                                        <w:bottom w:val="none" w:sz="0" w:space="0" w:color="auto"/>
                                                                        <w:right w:val="none" w:sz="0" w:space="0" w:color="auto"/>
                                                                      </w:divBdr>
                                                                    </w:div>
                                                                  </w:divsChild>
                                                                </w:div>
                                                                <w:div w:id="83576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73689831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444305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9877490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82215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791287107">
                                                      <w:marLeft w:val="0"/>
                                                      <w:marRight w:val="0"/>
                                                      <w:marTop w:val="0"/>
                                                      <w:marBottom w:val="0"/>
                                                      <w:divBdr>
                                                        <w:top w:val="none" w:sz="0" w:space="0" w:color="auto"/>
                                                        <w:left w:val="none" w:sz="0" w:space="0" w:color="auto"/>
                                                        <w:bottom w:val="none" w:sz="0" w:space="0" w:color="auto"/>
                                                        <w:right w:val="none" w:sz="0" w:space="0" w:color="auto"/>
                                                      </w:divBdr>
                                                      <w:divsChild>
                                                        <w:div w:id="186123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68358704">
      <w:bodyDiv w:val="1"/>
      <w:marLeft w:val="0"/>
      <w:marRight w:val="0"/>
      <w:marTop w:val="0"/>
      <w:marBottom w:val="0"/>
      <w:divBdr>
        <w:top w:val="none" w:sz="0" w:space="0" w:color="auto"/>
        <w:left w:val="none" w:sz="0" w:space="0" w:color="auto"/>
        <w:bottom w:val="none" w:sz="0" w:space="0" w:color="auto"/>
        <w:right w:val="none" w:sz="0" w:space="0" w:color="auto"/>
      </w:divBdr>
      <w:divsChild>
        <w:div w:id="1133986339">
          <w:marLeft w:val="0"/>
          <w:marRight w:val="0"/>
          <w:marTop w:val="0"/>
          <w:marBottom w:val="0"/>
          <w:divBdr>
            <w:top w:val="none" w:sz="0" w:space="0" w:color="auto"/>
            <w:left w:val="none" w:sz="0" w:space="0" w:color="auto"/>
            <w:bottom w:val="none" w:sz="0" w:space="0" w:color="auto"/>
            <w:right w:val="none" w:sz="0" w:space="0" w:color="auto"/>
          </w:divBdr>
          <w:divsChild>
            <w:div w:id="1580555269">
              <w:marLeft w:val="0"/>
              <w:marRight w:val="0"/>
              <w:marTop w:val="0"/>
              <w:marBottom w:val="0"/>
              <w:divBdr>
                <w:top w:val="none" w:sz="0" w:space="0" w:color="auto"/>
                <w:left w:val="none" w:sz="0" w:space="0" w:color="auto"/>
                <w:bottom w:val="none" w:sz="0" w:space="0" w:color="auto"/>
                <w:right w:val="none" w:sz="0" w:space="0" w:color="auto"/>
              </w:divBdr>
              <w:divsChild>
                <w:div w:id="840388319">
                  <w:marLeft w:val="0"/>
                  <w:marRight w:val="0"/>
                  <w:marTop w:val="0"/>
                  <w:marBottom w:val="0"/>
                  <w:divBdr>
                    <w:top w:val="none" w:sz="0" w:space="0" w:color="auto"/>
                    <w:left w:val="none" w:sz="0" w:space="0" w:color="auto"/>
                    <w:bottom w:val="none" w:sz="0" w:space="0" w:color="auto"/>
                    <w:right w:val="none" w:sz="0" w:space="0" w:color="auto"/>
                  </w:divBdr>
                  <w:divsChild>
                    <w:div w:id="1920865993">
                      <w:marLeft w:val="0"/>
                      <w:marRight w:val="0"/>
                      <w:marTop w:val="0"/>
                      <w:marBottom w:val="0"/>
                      <w:divBdr>
                        <w:top w:val="none" w:sz="0" w:space="0" w:color="auto"/>
                        <w:left w:val="none" w:sz="0" w:space="0" w:color="auto"/>
                        <w:bottom w:val="none" w:sz="0" w:space="0" w:color="auto"/>
                        <w:right w:val="none" w:sz="0" w:space="0" w:color="auto"/>
                      </w:divBdr>
                      <w:divsChild>
                        <w:div w:id="729619547">
                          <w:marLeft w:val="0"/>
                          <w:marRight w:val="0"/>
                          <w:marTop w:val="0"/>
                          <w:marBottom w:val="0"/>
                          <w:divBdr>
                            <w:top w:val="none" w:sz="0" w:space="0" w:color="auto"/>
                            <w:left w:val="none" w:sz="0" w:space="0" w:color="auto"/>
                            <w:bottom w:val="none" w:sz="0" w:space="0" w:color="auto"/>
                            <w:right w:val="none" w:sz="0" w:space="0" w:color="auto"/>
                          </w:divBdr>
                          <w:divsChild>
                            <w:div w:id="2089840349">
                              <w:marLeft w:val="0"/>
                              <w:marRight w:val="0"/>
                              <w:marTop w:val="0"/>
                              <w:marBottom w:val="0"/>
                              <w:divBdr>
                                <w:top w:val="none" w:sz="0" w:space="0" w:color="auto"/>
                                <w:left w:val="none" w:sz="0" w:space="0" w:color="auto"/>
                                <w:bottom w:val="none" w:sz="0" w:space="0" w:color="auto"/>
                                <w:right w:val="none" w:sz="0" w:space="0" w:color="auto"/>
                              </w:divBdr>
                              <w:divsChild>
                                <w:div w:id="47146344">
                                  <w:marLeft w:val="0"/>
                                  <w:marRight w:val="0"/>
                                  <w:marTop w:val="0"/>
                                  <w:marBottom w:val="0"/>
                                  <w:divBdr>
                                    <w:top w:val="none" w:sz="0" w:space="0" w:color="auto"/>
                                    <w:left w:val="none" w:sz="0" w:space="0" w:color="auto"/>
                                    <w:bottom w:val="none" w:sz="0" w:space="0" w:color="auto"/>
                                    <w:right w:val="none" w:sz="0" w:space="0" w:color="auto"/>
                                  </w:divBdr>
                                  <w:divsChild>
                                    <w:div w:id="888348084">
                                      <w:marLeft w:val="0"/>
                                      <w:marRight w:val="0"/>
                                      <w:marTop w:val="0"/>
                                      <w:marBottom w:val="0"/>
                                      <w:divBdr>
                                        <w:top w:val="none" w:sz="0" w:space="0" w:color="auto"/>
                                        <w:left w:val="none" w:sz="0" w:space="0" w:color="auto"/>
                                        <w:bottom w:val="none" w:sz="0" w:space="0" w:color="auto"/>
                                        <w:right w:val="none" w:sz="0" w:space="0" w:color="auto"/>
                                      </w:divBdr>
                                      <w:divsChild>
                                        <w:div w:id="2126341395">
                                          <w:marLeft w:val="0"/>
                                          <w:marRight w:val="0"/>
                                          <w:marTop w:val="0"/>
                                          <w:marBottom w:val="0"/>
                                          <w:divBdr>
                                            <w:top w:val="none" w:sz="0" w:space="0" w:color="auto"/>
                                            <w:left w:val="none" w:sz="0" w:space="0" w:color="auto"/>
                                            <w:bottom w:val="none" w:sz="0" w:space="0" w:color="auto"/>
                                            <w:right w:val="none" w:sz="0" w:space="0" w:color="auto"/>
                                          </w:divBdr>
                                          <w:divsChild>
                                            <w:div w:id="79903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2717710">
      <w:bodyDiv w:val="1"/>
      <w:marLeft w:val="0"/>
      <w:marRight w:val="0"/>
      <w:marTop w:val="0"/>
      <w:marBottom w:val="0"/>
      <w:divBdr>
        <w:top w:val="none" w:sz="0" w:space="0" w:color="auto"/>
        <w:left w:val="none" w:sz="0" w:space="0" w:color="auto"/>
        <w:bottom w:val="none" w:sz="0" w:space="0" w:color="auto"/>
        <w:right w:val="none" w:sz="0" w:space="0" w:color="auto"/>
      </w:divBdr>
      <w:divsChild>
        <w:div w:id="1161196084">
          <w:marLeft w:val="0"/>
          <w:marRight w:val="0"/>
          <w:marTop w:val="0"/>
          <w:marBottom w:val="0"/>
          <w:divBdr>
            <w:top w:val="none" w:sz="0" w:space="0" w:color="auto"/>
            <w:left w:val="none" w:sz="0" w:space="0" w:color="auto"/>
            <w:bottom w:val="none" w:sz="0" w:space="0" w:color="auto"/>
            <w:right w:val="none" w:sz="0" w:space="0" w:color="auto"/>
          </w:divBdr>
          <w:divsChild>
            <w:div w:id="595023506">
              <w:marLeft w:val="0"/>
              <w:marRight w:val="0"/>
              <w:marTop w:val="0"/>
              <w:marBottom w:val="0"/>
              <w:divBdr>
                <w:top w:val="none" w:sz="0" w:space="0" w:color="auto"/>
                <w:left w:val="none" w:sz="0" w:space="0" w:color="auto"/>
                <w:bottom w:val="none" w:sz="0" w:space="0" w:color="auto"/>
                <w:right w:val="none" w:sz="0" w:space="0" w:color="auto"/>
              </w:divBdr>
              <w:divsChild>
                <w:div w:id="532813856">
                  <w:marLeft w:val="0"/>
                  <w:marRight w:val="0"/>
                  <w:marTop w:val="0"/>
                  <w:marBottom w:val="0"/>
                  <w:divBdr>
                    <w:top w:val="none" w:sz="0" w:space="0" w:color="auto"/>
                    <w:left w:val="none" w:sz="0" w:space="0" w:color="auto"/>
                    <w:bottom w:val="none" w:sz="0" w:space="0" w:color="auto"/>
                    <w:right w:val="none" w:sz="0" w:space="0" w:color="auto"/>
                  </w:divBdr>
                  <w:divsChild>
                    <w:div w:id="522742712">
                      <w:marLeft w:val="0"/>
                      <w:marRight w:val="0"/>
                      <w:marTop w:val="0"/>
                      <w:marBottom w:val="0"/>
                      <w:divBdr>
                        <w:top w:val="none" w:sz="0" w:space="0" w:color="auto"/>
                        <w:left w:val="none" w:sz="0" w:space="0" w:color="auto"/>
                        <w:bottom w:val="none" w:sz="0" w:space="0" w:color="auto"/>
                        <w:right w:val="none" w:sz="0" w:space="0" w:color="auto"/>
                      </w:divBdr>
                      <w:divsChild>
                        <w:div w:id="417947612">
                          <w:marLeft w:val="0"/>
                          <w:marRight w:val="0"/>
                          <w:marTop w:val="0"/>
                          <w:marBottom w:val="0"/>
                          <w:divBdr>
                            <w:top w:val="none" w:sz="0" w:space="0" w:color="auto"/>
                            <w:left w:val="none" w:sz="0" w:space="0" w:color="auto"/>
                            <w:bottom w:val="none" w:sz="0" w:space="0" w:color="auto"/>
                            <w:right w:val="none" w:sz="0" w:space="0" w:color="auto"/>
                          </w:divBdr>
                          <w:divsChild>
                            <w:div w:id="1188374561">
                              <w:marLeft w:val="0"/>
                              <w:marRight w:val="0"/>
                              <w:marTop w:val="0"/>
                              <w:marBottom w:val="0"/>
                              <w:divBdr>
                                <w:top w:val="none" w:sz="0" w:space="0" w:color="auto"/>
                                <w:left w:val="none" w:sz="0" w:space="0" w:color="auto"/>
                                <w:bottom w:val="none" w:sz="0" w:space="0" w:color="auto"/>
                                <w:right w:val="none" w:sz="0" w:space="0" w:color="auto"/>
                              </w:divBdr>
                              <w:divsChild>
                                <w:div w:id="1152019362">
                                  <w:marLeft w:val="0"/>
                                  <w:marRight w:val="0"/>
                                  <w:marTop w:val="0"/>
                                  <w:marBottom w:val="0"/>
                                  <w:divBdr>
                                    <w:top w:val="none" w:sz="0" w:space="0" w:color="auto"/>
                                    <w:left w:val="none" w:sz="0" w:space="0" w:color="auto"/>
                                    <w:bottom w:val="none" w:sz="0" w:space="0" w:color="auto"/>
                                    <w:right w:val="none" w:sz="0" w:space="0" w:color="auto"/>
                                  </w:divBdr>
                                  <w:divsChild>
                                    <w:div w:id="74423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45361307">
      <w:bodyDiv w:val="1"/>
      <w:marLeft w:val="0"/>
      <w:marRight w:val="0"/>
      <w:marTop w:val="0"/>
      <w:marBottom w:val="0"/>
      <w:divBdr>
        <w:top w:val="none" w:sz="0" w:space="0" w:color="auto"/>
        <w:left w:val="none" w:sz="0" w:space="0" w:color="auto"/>
        <w:bottom w:val="none" w:sz="0" w:space="0" w:color="auto"/>
        <w:right w:val="none" w:sz="0" w:space="0" w:color="auto"/>
      </w:divBdr>
      <w:divsChild>
        <w:div w:id="942110641">
          <w:marLeft w:val="0"/>
          <w:marRight w:val="0"/>
          <w:marTop w:val="0"/>
          <w:marBottom w:val="0"/>
          <w:divBdr>
            <w:top w:val="none" w:sz="0" w:space="0" w:color="auto"/>
            <w:left w:val="none" w:sz="0" w:space="0" w:color="auto"/>
            <w:bottom w:val="none" w:sz="0" w:space="0" w:color="auto"/>
            <w:right w:val="none" w:sz="0" w:space="0" w:color="auto"/>
          </w:divBdr>
          <w:divsChild>
            <w:div w:id="1764105116">
              <w:marLeft w:val="0"/>
              <w:marRight w:val="0"/>
              <w:marTop w:val="0"/>
              <w:marBottom w:val="0"/>
              <w:divBdr>
                <w:top w:val="none" w:sz="0" w:space="0" w:color="auto"/>
                <w:left w:val="none" w:sz="0" w:space="0" w:color="auto"/>
                <w:bottom w:val="none" w:sz="0" w:space="0" w:color="auto"/>
                <w:right w:val="none" w:sz="0" w:space="0" w:color="auto"/>
              </w:divBdr>
              <w:divsChild>
                <w:div w:id="1052458721">
                  <w:marLeft w:val="0"/>
                  <w:marRight w:val="0"/>
                  <w:marTop w:val="0"/>
                  <w:marBottom w:val="0"/>
                  <w:divBdr>
                    <w:top w:val="none" w:sz="0" w:space="0" w:color="auto"/>
                    <w:left w:val="none" w:sz="0" w:space="0" w:color="auto"/>
                    <w:bottom w:val="none" w:sz="0" w:space="0" w:color="auto"/>
                    <w:right w:val="none" w:sz="0" w:space="0" w:color="auto"/>
                  </w:divBdr>
                  <w:divsChild>
                    <w:div w:id="1907303348">
                      <w:marLeft w:val="0"/>
                      <w:marRight w:val="0"/>
                      <w:marTop w:val="0"/>
                      <w:marBottom w:val="0"/>
                      <w:divBdr>
                        <w:top w:val="none" w:sz="0" w:space="0" w:color="auto"/>
                        <w:left w:val="none" w:sz="0" w:space="0" w:color="auto"/>
                        <w:bottom w:val="none" w:sz="0" w:space="0" w:color="auto"/>
                        <w:right w:val="none" w:sz="0" w:space="0" w:color="auto"/>
                      </w:divBdr>
                      <w:divsChild>
                        <w:div w:id="1907492610">
                          <w:marLeft w:val="0"/>
                          <w:marRight w:val="0"/>
                          <w:marTop w:val="0"/>
                          <w:marBottom w:val="0"/>
                          <w:divBdr>
                            <w:top w:val="none" w:sz="0" w:space="0" w:color="auto"/>
                            <w:left w:val="none" w:sz="0" w:space="0" w:color="auto"/>
                            <w:bottom w:val="none" w:sz="0" w:space="0" w:color="auto"/>
                            <w:right w:val="none" w:sz="0" w:space="0" w:color="auto"/>
                          </w:divBdr>
                          <w:divsChild>
                            <w:div w:id="1446385038">
                              <w:marLeft w:val="0"/>
                              <w:marRight w:val="0"/>
                              <w:marTop w:val="0"/>
                              <w:marBottom w:val="0"/>
                              <w:divBdr>
                                <w:top w:val="none" w:sz="0" w:space="0" w:color="auto"/>
                                <w:left w:val="none" w:sz="0" w:space="0" w:color="auto"/>
                                <w:bottom w:val="none" w:sz="0" w:space="0" w:color="auto"/>
                                <w:right w:val="none" w:sz="0" w:space="0" w:color="auto"/>
                              </w:divBdr>
                              <w:divsChild>
                                <w:div w:id="9725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63516280">
      <w:bodyDiv w:val="1"/>
      <w:marLeft w:val="0"/>
      <w:marRight w:val="0"/>
      <w:marTop w:val="0"/>
      <w:marBottom w:val="0"/>
      <w:divBdr>
        <w:top w:val="none" w:sz="0" w:space="0" w:color="auto"/>
        <w:left w:val="none" w:sz="0" w:space="0" w:color="auto"/>
        <w:bottom w:val="none" w:sz="0" w:space="0" w:color="auto"/>
        <w:right w:val="none" w:sz="0" w:space="0" w:color="auto"/>
      </w:divBdr>
      <w:divsChild>
        <w:div w:id="1958413018">
          <w:marLeft w:val="0"/>
          <w:marRight w:val="0"/>
          <w:marTop w:val="0"/>
          <w:marBottom w:val="0"/>
          <w:divBdr>
            <w:top w:val="none" w:sz="0" w:space="0" w:color="auto"/>
            <w:left w:val="none" w:sz="0" w:space="0" w:color="auto"/>
            <w:bottom w:val="none" w:sz="0" w:space="0" w:color="auto"/>
            <w:right w:val="none" w:sz="0" w:space="0" w:color="auto"/>
          </w:divBdr>
          <w:divsChild>
            <w:div w:id="128859500">
              <w:marLeft w:val="0"/>
              <w:marRight w:val="0"/>
              <w:marTop w:val="0"/>
              <w:marBottom w:val="0"/>
              <w:divBdr>
                <w:top w:val="none" w:sz="0" w:space="0" w:color="auto"/>
                <w:left w:val="none" w:sz="0" w:space="0" w:color="auto"/>
                <w:bottom w:val="none" w:sz="0" w:space="0" w:color="auto"/>
                <w:right w:val="none" w:sz="0" w:space="0" w:color="auto"/>
              </w:divBdr>
              <w:divsChild>
                <w:div w:id="9989946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142333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3573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569996685">
      <w:bodyDiv w:val="1"/>
      <w:marLeft w:val="0"/>
      <w:marRight w:val="0"/>
      <w:marTop w:val="0"/>
      <w:marBottom w:val="0"/>
      <w:divBdr>
        <w:top w:val="none" w:sz="0" w:space="0" w:color="auto"/>
        <w:left w:val="none" w:sz="0" w:space="0" w:color="auto"/>
        <w:bottom w:val="none" w:sz="0" w:space="0" w:color="auto"/>
        <w:right w:val="none" w:sz="0" w:space="0" w:color="auto"/>
      </w:divBdr>
      <w:divsChild>
        <w:div w:id="1454472200">
          <w:marLeft w:val="0"/>
          <w:marRight w:val="0"/>
          <w:marTop w:val="0"/>
          <w:marBottom w:val="0"/>
          <w:divBdr>
            <w:top w:val="none" w:sz="0" w:space="0" w:color="auto"/>
            <w:left w:val="none" w:sz="0" w:space="0" w:color="auto"/>
            <w:bottom w:val="none" w:sz="0" w:space="0" w:color="auto"/>
            <w:right w:val="none" w:sz="0" w:space="0" w:color="auto"/>
          </w:divBdr>
          <w:divsChild>
            <w:div w:id="1773236141">
              <w:marLeft w:val="0"/>
              <w:marRight w:val="0"/>
              <w:marTop w:val="0"/>
              <w:marBottom w:val="0"/>
              <w:divBdr>
                <w:top w:val="none" w:sz="0" w:space="0" w:color="auto"/>
                <w:left w:val="none" w:sz="0" w:space="0" w:color="auto"/>
                <w:bottom w:val="none" w:sz="0" w:space="0" w:color="auto"/>
                <w:right w:val="none" w:sz="0" w:space="0" w:color="auto"/>
              </w:divBdr>
              <w:divsChild>
                <w:div w:id="1738241765">
                  <w:marLeft w:val="0"/>
                  <w:marRight w:val="0"/>
                  <w:marTop w:val="0"/>
                  <w:marBottom w:val="0"/>
                  <w:divBdr>
                    <w:top w:val="none" w:sz="0" w:space="0" w:color="auto"/>
                    <w:left w:val="none" w:sz="0" w:space="0" w:color="auto"/>
                    <w:bottom w:val="none" w:sz="0" w:space="0" w:color="auto"/>
                    <w:right w:val="none" w:sz="0" w:space="0" w:color="auto"/>
                  </w:divBdr>
                  <w:divsChild>
                    <w:div w:id="348604520">
                      <w:marLeft w:val="0"/>
                      <w:marRight w:val="0"/>
                      <w:marTop w:val="0"/>
                      <w:marBottom w:val="0"/>
                      <w:divBdr>
                        <w:top w:val="none" w:sz="0" w:space="0" w:color="auto"/>
                        <w:left w:val="none" w:sz="0" w:space="0" w:color="auto"/>
                        <w:bottom w:val="none" w:sz="0" w:space="0" w:color="auto"/>
                        <w:right w:val="none" w:sz="0" w:space="0" w:color="auto"/>
                      </w:divBdr>
                      <w:divsChild>
                        <w:div w:id="1847817481">
                          <w:marLeft w:val="0"/>
                          <w:marRight w:val="0"/>
                          <w:marTop w:val="0"/>
                          <w:marBottom w:val="0"/>
                          <w:divBdr>
                            <w:top w:val="none" w:sz="0" w:space="0" w:color="auto"/>
                            <w:left w:val="none" w:sz="0" w:space="0" w:color="auto"/>
                            <w:bottom w:val="none" w:sz="0" w:space="0" w:color="auto"/>
                            <w:right w:val="none" w:sz="0" w:space="0" w:color="auto"/>
                          </w:divBdr>
                          <w:divsChild>
                            <w:div w:id="236595279">
                              <w:marLeft w:val="0"/>
                              <w:marRight w:val="0"/>
                              <w:marTop w:val="0"/>
                              <w:marBottom w:val="0"/>
                              <w:divBdr>
                                <w:top w:val="none" w:sz="0" w:space="0" w:color="auto"/>
                                <w:left w:val="none" w:sz="0" w:space="0" w:color="auto"/>
                                <w:bottom w:val="none" w:sz="0" w:space="0" w:color="auto"/>
                                <w:right w:val="none" w:sz="0" w:space="0" w:color="auto"/>
                              </w:divBdr>
                              <w:divsChild>
                                <w:div w:id="2130774757">
                                  <w:marLeft w:val="0"/>
                                  <w:marRight w:val="0"/>
                                  <w:marTop w:val="0"/>
                                  <w:marBottom w:val="0"/>
                                  <w:divBdr>
                                    <w:top w:val="none" w:sz="0" w:space="0" w:color="auto"/>
                                    <w:left w:val="none" w:sz="0" w:space="0" w:color="auto"/>
                                    <w:bottom w:val="none" w:sz="0" w:space="0" w:color="auto"/>
                                    <w:right w:val="none" w:sz="0" w:space="0" w:color="auto"/>
                                  </w:divBdr>
                                  <w:divsChild>
                                    <w:div w:id="1854757988">
                                      <w:marLeft w:val="0"/>
                                      <w:marRight w:val="0"/>
                                      <w:marTop w:val="0"/>
                                      <w:marBottom w:val="0"/>
                                      <w:divBdr>
                                        <w:top w:val="none" w:sz="0" w:space="0" w:color="auto"/>
                                        <w:left w:val="none" w:sz="0" w:space="0" w:color="auto"/>
                                        <w:bottom w:val="none" w:sz="0" w:space="0" w:color="auto"/>
                                        <w:right w:val="none" w:sz="0" w:space="0" w:color="auto"/>
                                      </w:divBdr>
                                      <w:divsChild>
                                        <w:div w:id="1876489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5751181">
      <w:bodyDiv w:val="1"/>
      <w:marLeft w:val="0"/>
      <w:marRight w:val="0"/>
      <w:marTop w:val="0"/>
      <w:marBottom w:val="0"/>
      <w:divBdr>
        <w:top w:val="none" w:sz="0" w:space="0" w:color="auto"/>
        <w:left w:val="none" w:sz="0" w:space="0" w:color="auto"/>
        <w:bottom w:val="none" w:sz="0" w:space="0" w:color="auto"/>
        <w:right w:val="none" w:sz="0" w:space="0" w:color="auto"/>
      </w:divBdr>
      <w:divsChild>
        <w:div w:id="163978558">
          <w:marLeft w:val="0"/>
          <w:marRight w:val="0"/>
          <w:marTop w:val="0"/>
          <w:marBottom w:val="0"/>
          <w:divBdr>
            <w:top w:val="none" w:sz="0" w:space="0" w:color="auto"/>
            <w:left w:val="none" w:sz="0" w:space="0" w:color="auto"/>
            <w:bottom w:val="none" w:sz="0" w:space="0" w:color="auto"/>
            <w:right w:val="none" w:sz="0" w:space="0" w:color="auto"/>
          </w:divBdr>
          <w:divsChild>
            <w:div w:id="90514421">
              <w:marLeft w:val="0"/>
              <w:marRight w:val="0"/>
              <w:marTop w:val="300"/>
              <w:marBottom w:val="300"/>
              <w:divBdr>
                <w:top w:val="single" w:sz="6" w:space="0" w:color="E5E5E5"/>
                <w:left w:val="single" w:sz="6" w:space="15" w:color="E5E5E5"/>
                <w:bottom w:val="single" w:sz="6" w:space="15" w:color="E5E5E5"/>
                <w:right w:val="single" w:sz="6" w:space="15" w:color="E5E5E5"/>
              </w:divBdr>
              <w:divsChild>
                <w:div w:id="1684698697">
                  <w:marLeft w:val="0"/>
                  <w:marRight w:val="0"/>
                  <w:marTop w:val="600"/>
                  <w:marBottom w:val="300"/>
                  <w:divBdr>
                    <w:top w:val="none" w:sz="0" w:space="0" w:color="auto"/>
                    <w:left w:val="none" w:sz="0" w:space="0" w:color="auto"/>
                    <w:bottom w:val="none" w:sz="0" w:space="0" w:color="auto"/>
                    <w:right w:val="none" w:sz="0" w:space="0" w:color="auto"/>
                  </w:divBdr>
                  <w:divsChild>
                    <w:div w:id="454952429">
                      <w:marLeft w:val="0"/>
                      <w:marRight w:val="0"/>
                      <w:marTop w:val="0"/>
                      <w:marBottom w:val="0"/>
                      <w:divBdr>
                        <w:top w:val="none" w:sz="0" w:space="0" w:color="auto"/>
                        <w:left w:val="none" w:sz="0" w:space="0" w:color="auto"/>
                        <w:bottom w:val="none" w:sz="0" w:space="0" w:color="auto"/>
                        <w:right w:val="none" w:sz="0" w:space="0" w:color="auto"/>
                      </w:divBdr>
                      <w:divsChild>
                        <w:div w:id="70270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6741128">
      <w:bodyDiv w:val="1"/>
      <w:marLeft w:val="0"/>
      <w:marRight w:val="0"/>
      <w:marTop w:val="0"/>
      <w:marBottom w:val="0"/>
      <w:divBdr>
        <w:top w:val="none" w:sz="0" w:space="0" w:color="auto"/>
        <w:left w:val="none" w:sz="0" w:space="0" w:color="auto"/>
        <w:bottom w:val="none" w:sz="0" w:space="0" w:color="auto"/>
        <w:right w:val="none" w:sz="0" w:space="0" w:color="auto"/>
      </w:divBdr>
      <w:divsChild>
        <w:div w:id="1945654043">
          <w:marLeft w:val="0"/>
          <w:marRight w:val="0"/>
          <w:marTop w:val="0"/>
          <w:marBottom w:val="0"/>
          <w:divBdr>
            <w:top w:val="none" w:sz="0" w:space="0" w:color="auto"/>
            <w:left w:val="none" w:sz="0" w:space="0" w:color="auto"/>
            <w:bottom w:val="none" w:sz="0" w:space="0" w:color="auto"/>
            <w:right w:val="none" w:sz="0" w:space="0" w:color="auto"/>
          </w:divBdr>
          <w:divsChild>
            <w:div w:id="29038840">
              <w:marLeft w:val="0"/>
              <w:marRight w:val="0"/>
              <w:marTop w:val="0"/>
              <w:marBottom w:val="0"/>
              <w:divBdr>
                <w:top w:val="none" w:sz="0" w:space="0" w:color="auto"/>
                <w:left w:val="none" w:sz="0" w:space="0" w:color="auto"/>
                <w:bottom w:val="none" w:sz="0" w:space="0" w:color="auto"/>
                <w:right w:val="none" w:sz="0" w:space="0" w:color="auto"/>
              </w:divBdr>
              <w:divsChild>
                <w:div w:id="156113878">
                  <w:marLeft w:val="0"/>
                  <w:marRight w:val="0"/>
                  <w:marTop w:val="0"/>
                  <w:marBottom w:val="0"/>
                  <w:divBdr>
                    <w:top w:val="none" w:sz="0" w:space="0" w:color="auto"/>
                    <w:left w:val="none" w:sz="0" w:space="0" w:color="auto"/>
                    <w:bottom w:val="none" w:sz="0" w:space="0" w:color="auto"/>
                    <w:right w:val="none" w:sz="0" w:space="0" w:color="auto"/>
                  </w:divBdr>
                  <w:divsChild>
                    <w:div w:id="171994610">
                      <w:marLeft w:val="0"/>
                      <w:marRight w:val="0"/>
                      <w:marTop w:val="0"/>
                      <w:marBottom w:val="0"/>
                      <w:divBdr>
                        <w:top w:val="none" w:sz="0" w:space="0" w:color="auto"/>
                        <w:left w:val="none" w:sz="0" w:space="0" w:color="auto"/>
                        <w:bottom w:val="none" w:sz="0" w:space="0" w:color="auto"/>
                        <w:right w:val="none" w:sz="0" w:space="0" w:color="auto"/>
                      </w:divBdr>
                      <w:divsChild>
                        <w:div w:id="1599604093">
                          <w:marLeft w:val="0"/>
                          <w:marRight w:val="0"/>
                          <w:marTop w:val="0"/>
                          <w:marBottom w:val="0"/>
                          <w:divBdr>
                            <w:top w:val="none" w:sz="0" w:space="0" w:color="auto"/>
                            <w:left w:val="none" w:sz="0" w:space="0" w:color="auto"/>
                            <w:bottom w:val="none" w:sz="0" w:space="0" w:color="auto"/>
                            <w:right w:val="none" w:sz="0" w:space="0" w:color="auto"/>
                          </w:divBdr>
                          <w:divsChild>
                            <w:div w:id="1421877136">
                              <w:marLeft w:val="0"/>
                              <w:marRight w:val="0"/>
                              <w:marTop w:val="0"/>
                              <w:marBottom w:val="0"/>
                              <w:divBdr>
                                <w:top w:val="none" w:sz="0" w:space="0" w:color="auto"/>
                                <w:left w:val="none" w:sz="0" w:space="0" w:color="auto"/>
                                <w:bottom w:val="none" w:sz="0" w:space="0" w:color="auto"/>
                                <w:right w:val="none" w:sz="0" w:space="0" w:color="auto"/>
                              </w:divBdr>
                              <w:divsChild>
                                <w:div w:id="235552905">
                                  <w:marLeft w:val="0"/>
                                  <w:marRight w:val="0"/>
                                  <w:marTop w:val="0"/>
                                  <w:marBottom w:val="0"/>
                                  <w:divBdr>
                                    <w:top w:val="none" w:sz="0" w:space="0" w:color="auto"/>
                                    <w:left w:val="none" w:sz="0" w:space="0" w:color="auto"/>
                                    <w:bottom w:val="none" w:sz="0" w:space="0" w:color="auto"/>
                                    <w:right w:val="none" w:sz="0" w:space="0" w:color="auto"/>
                                  </w:divBdr>
                                  <w:divsChild>
                                    <w:div w:id="1107500288">
                                      <w:marLeft w:val="0"/>
                                      <w:marRight w:val="0"/>
                                      <w:marTop w:val="0"/>
                                      <w:marBottom w:val="0"/>
                                      <w:divBdr>
                                        <w:top w:val="none" w:sz="0" w:space="0" w:color="auto"/>
                                        <w:left w:val="none" w:sz="0" w:space="0" w:color="auto"/>
                                        <w:bottom w:val="none" w:sz="0" w:space="0" w:color="auto"/>
                                        <w:right w:val="none" w:sz="0" w:space="0" w:color="auto"/>
                                      </w:divBdr>
                                      <w:divsChild>
                                        <w:div w:id="76808333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06906710">
      <w:bodyDiv w:val="1"/>
      <w:marLeft w:val="0"/>
      <w:marRight w:val="0"/>
      <w:marTop w:val="0"/>
      <w:marBottom w:val="0"/>
      <w:divBdr>
        <w:top w:val="none" w:sz="0" w:space="0" w:color="auto"/>
        <w:left w:val="none" w:sz="0" w:space="0" w:color="auto"/>
        <w:bottom w:val="none" w:sz="0" w:space="0" w:color="auto"/>
        <w:right w:val="none" w:sz="0" w:space="0" w:color="auto"/>
      </w:divBdr>
      <w:divsChild>
        <w:div w:id="1169448639">
          <w:marLeft w:val="0"/>
          <w:marRight w:val="0"/>
          <w:marTop w:val="0"/>
          <w:marBottom w:val="0"/>
          <w:divBdr>
            <w:top w:val="none" w:sz="0" w:space="0" w:color="auto"/>
            <w:left w:val="none" w:sz="0" w:space="0" w:color="auto"/>
            <w:bottom w:val="none" w:sz="0" w:space="0" w:color="auto"/>
            <w:right w:val="none" w:sz="0" w:space="0" w:color="auto"/>
          </w:divBdr>
          <w:divsChild>
            <w:div w:id="325524883">
              <w:marLeft w:val="0"/>
              <w:marRight w:val="0"/>
              <w:marTop w:val="0"/>
              <w:marBottom w:val="0"/>
              <w:divBdr>
                <w:top w:val="none" w:sz="0" w:space="0" w:color="auto"/>
                <w:left w:val="none" w:sz="0" w:space="0" w:color="auto"/>
                <w:bottom w:val="none" w:sz="0" w:space="0" w:color="auto"/>
                <w:right w:val="none" w:sz="0" w:space="0" w:color="auto"/>
              </w:divBdr>
              <w:divsChild>
                <w:div w:id="2044359562">
                  <w:marLeft w:val="0"/>
                  <w:marRight w:val="0"/>
                  <w:marTop w:val="0"/>
                  <w:marBottom w:val="0"/>
                  <w:divBdr>
                    <w:top w:val="none" w:sz="0" w:space="0" w:color="auto"/>
                    <w:left w:val="none" w:sz="0" w:space="0" w:color="auto"/>
                    <w:bottom w:val="none" w:sz="0" w:space="0" w:color="auto"/>
                    <w:right w:val="none" w:sz="0" w:space="0" w:color="auto"/>
                  </w:divBdr>
                  <w:divsChild>
                    <w:div w:id="370424202">
                      <w:marLeft w:val="0"/>
                      <w:marRight w:val="0"/>
                      <w:marTop w:val="0"/>
                      <w:marBottom w:val="0"/>
                      <w:divBdr>
                        <w:top w:val="none" w:sz="0" w:space="0" w:color="auto"/>
                        <w:left w:val="none" w:sz="0" w:space="0" w:color="auto"/>
                        <w:bottom w:val="none" w:sz="0" w:space="0" w:color="auto"/>
                        <w:right w:val="none" w:sz="0" w:space="0" w:color="auto"/>
                      </w:divBdr>
                      <w:divsChild>
                        <w:div w:id="1449395267">
                          <w:marLeft w:val="0"/>
                          <w:marRight w:val="0"/>
                          <w:marTop w:val="0"/>
                          <w:marBottom w:val="0"/>
                          <w:divBdr>
                            <w:top w:val="none" w:sz="0" w:space="0" w:color="auto"/>
                            <w:left w:val="none" w:sz="0" w:space="0" w:color="auto"/>
                            <w:bottom w:val="none" w:sz="0" w:space="0" w:color="auto"/>
                            <w:right w:val="none" w:sz="0" w:space="0" w:color="auto"/>
                          </w:divBdr>
                          <w:divsChild>
                            <w:div w:id="393816389">
                              <w:marLeft w:val="0"/>
                              <w:marRight w:val="0"/>
                              <w:marTop w:val="0"/>
                              <w:marBottom w:val="0"/>
                              <w:divBdr>
                                <w:top w:val="none" w:sz="0" w:space="0" w:color="auto"/>
                                <w:left w:val="none" w:sz="0" w:space="0" w:color="auto"/>
                                <w:bottom w:val="none" w:sz="0" w:space="0" w:color="auto"/>
                                <w:right w:val="none" w:sz="0" w:space="0" w:color="auto"/>
                              </w:divBdr>
                              <w:divsChild>
                                <w:div w:id="1744596697">
                                  <w:marLeft w:val="0"/>
                                  <w:marRight w:val="0"/>
                                  <w:marTop w:val="0"/>
                                  <w:marBottom w:val="0"/>
                                  <w:divBdr>
                                    <w:top w:val="none" w:sz="0" w:space="0" w:color="auto"/>
                                    <w:left w:val="none" w:sz="0" w:space="0" w:color="auto"/>
                                    <w:bottom w:val="none" w:sz="0" w:space="0" w:color="auto"/>
                                    <w:right w:val="none" w:sz="0" w:space="0" w:color="auto"/>
                                  </w:divBdr>
                                  <w:divsChild>
                                    <w:div w:id="1276131952">
                                      <w:marLeft w:val="0"/>
                                      <w:marRight w:val="0"/>
                                      <w:marTop w:val="0"/>
                                      <w:marBottom w:val="0"/>
                                      <w:divBdr>
                                        <w:top w:val="none" w:sz="0" w:space="0" w:color="auto"/>
                                        <w:left w:val="none" w:sz="0" w:space="0" w:color="auto"/>
                                        <w:bottom w:val="none" w:sz="0" w:space="0" w:color="auto"/>
                                        <w:right w:val="none" w:sz="0" w:space="0" w:color="auto"/>
                                      </w:divBdr>
                                      <w:divsChild>
                                        <w:div w:id="805003760">
                                          <w:marLeft w:val="0"/>
                                          <w:marRight w:val="0"/>
                                          <w:marTop w:val="0"/>
                                          <w:marBottom w:val="0"/>
                                          <w:divBdr>
                                            <w:top w:val="none" w:sz="0" w:space="0" w:color="auto"/>
                                            <w:left w:val="none" w:sz="0" w:space="0" w:color="auto"/>
                                            <w:bottom w:val="none" w:sz="0" w:space="0" w:color="auto"/>
                                            <w:right w:val="none" w:sz="0" w:space="0" w:color="auto"/>
                                          </w:divBdr>
                                          <w:divsChild>
                                            <w:div w:id="1504203773">
                                              <w:marLeft w:val="0"/>
                                              <w:marRight w:val="0"/>
                                              <w:marTop w:val="0"/>
                                              <w:marBottom w:val="0"/>
                                              <w:divBdr>
                                                <w:top w:val="none" w:sz="0" w:space="0" w:color="auto"/>
                                                <w:left w:val="none" w:sz="0" w:space="0" w:color="auto"/>
                                                <w:bottom w:val="none" w:sz="0" w:space="0" w:color="auto"/>
                                                <w:right w:val="none" w:sz="0" w:space="0" w:color="auto"/>
                                              </w:divBdr>
                                              <w:divsChild>
                                                <w:div w:id="1602490855">
                                                  <w:marLeft w:val="0"/>
                                                  <w:marRight w:val="0"/>
                                                  <w:marTop w:val="0"/>
                                                  <w:marBottom w:val="0"/>
                                                  <w:divBdr>
                                                    <w:top w:val="none" w:sz="0" w:space="0" w:color="auto"/>
                                                    <w:left w:val="none" w:sz="0" w:space="0" w:color="auto"/>
                                                    <w:bottom w:val="none" w:sz="0" w:space="0" w:color="auto"/>
                                                    <w:right w:val="none" w:sz="0" w:space="0" w:color="auto"/>
                                                  </w:divBdr>
                                                  <w:divsChild>
                                                    <w:div w:id="10893993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8964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86655889">
      <w:bodyDiv w:val="1"/>
      <w:marLeft w:val="0"/>
      <w:marRight w:val="0"/>
      <w:marTop w:val="0"/>
      <w:marBottom w:val="0"/>
      <w:divBdr>
        <w:top w:val="none" w:sz="0" w:space="0" w:color="auto"/>
        <w:left w:val="none" w:sz="0" w:space="0" w:color="auto"/>
        <w:bottom w:val="none" w:sz="0" w:space="0" w:color="auto"/>
        <w:right w:val="none" w:sz="0" w:space="0" w:color="auto"/>
      </w:divBdr>
      <w:divsChild>
        <w:div w:id="1280339094">
          <w:marLeft w:val="0"/>
          <w:marRight w:val="0"/>
          <w:marTop w:val="0"/>
          <w:marBottom w:val="0"/>
          <w:divBdr>
            <w:top w:val="none" w:sz="0" w:space="0" w:color="auto"/>
            <w:left w:val="none" w:sz="0" w:space="0" w:color="auto"/>
            <w:bottom w:val="none" w:sz="0" w:space="0" w:color="auto"/>
            <w:right w:val="none" w:sz="0" w:space="0" w:color="auto"/>
          </w:divBdr>
          <w:divsChild>
            <w:div w:id="200216024">
              <w:marLeft w:val="0"/>
              <w:marRight w:val="0"/>
              <w:marTop w:val="0"/>
              <w:marBottom w:val="0"/>
              <w:divBdr>
                <w:top w:val="none" w:sz="0" w:space="0" w:color="auto"/>
                <w:left w:val="none" w:sz="0" w:space="0" w:color="auto"/>
                <w:bottom w:val="none" w:sz="0" w:space="0" w:color="auto"/>
                <w:right w:val="none" w:sz="0" w:space="0" w:color="auto"/>
              </w:divBdr>
              <w:divsChild>
                <w:div w:id="1615745343">
                  <w:marLeft w:val="0"/>
                  <w:marRight w:val="0"/>
                  <w:marTop w:val="0"/>
                  <w:marBottom w:val="0"/>
                  <w:divBdr>
                    <w:top w:val="none" w:sz="0" w:space="0" w:color="auto"/>
                    <w:left w:val="none" w:sz="0" w:space="0" w:color="auto"/>
                    <w:bottom w:val="none" w:sz="0" w:space="0" w:color="auto"/>
                    <w:right w:val="none" w:sz="0" w:space="0" w:color="auto"/>
                  </w:divBdr>
                  <w:divsChild>
                    <w:div w:id="1632200190">
                      <w:marLeft w:val="0"/>
                      <w:marRight w:val="0"/>
                      <w:marTop w:val="0"/>
                      <w:marBottom w:val="0"/>
                      <w:divBdr>
                        <w:top w:val="none" w:sz="0" w:space="0" w:color="auto"/>
                        <w:left w:val="none" w:sz="0" w:space="0" w:color="auto"/>
                        <w:bottom w:val="none" w:sz="0" w:space="0" w:color="auto"/>
                        <w:right w:val="none" w:sz="0" w:space="0" w:color="auto"/>
                      </w:divBdr>
                      <w:divsChild>
                        <w:div w:id="1631201018">
                          <w:marLeft w:val="0"/>
                          <w:marRight w:val="0"/>
                          <w:marTop w:val="0"/>
                          <w:marBottom w:val="0"/>
                          <w:divBdr>
                            <w:top w:val="none" w:sz="0" w:space="0" w:color="auto"/>
                            <w:left w:val="none" w:sz="0" w:space="0" w:color="auto"/>
                            <w:bottom w:val="none" w:sz="0" w:space="0" w:color="auto"/>
                            <w:right w:val="none" w:sz="0" w:space="0" w:color="auto"/>
                          </w:divBdr>
                          <w:divsChild>
                            <w:div w:id="1410467449">
                              <w:marLeft w:val="0"/>
                              <w:marRight w:val="0"/>
                              <w:marTop w:val="0"/>
                              <w:marBottom w:val="0"/>
                              <w:divBdr>
                                <w:top w:val="none" w:sz="0" w:space="0" w:color="auto"/>
                                <w:left w:val="none" w:sz="0" w:space="0" w:color="auto"/>
                                <w:bottom w:val="none" w:sz="0" w:space="0" w:color="auto"/>
                                <w:right w:val="none" w:sz="0" w:space="0" w:color="auto"/>
                              </w:divBdr>
                              <w:divsChild>
                                <w:div w:id="1259214648">
                                  <w:marLeft w:val="0"/>
                                  <w:marRight w:val="0"/>
                                  <w:marTop w:val="0"/>
                                  <w:marBottom w:val="0"/>
                                  <w:divBdr>
                                    <w:top w:val="none" w:sz="0" w:space="0" w:color="auto"/>
                                    <w:left w:val="none" w:sz="0" w:space="0" w:color="auto"/>
                                    <w:bottom w:val="none" w:sz="0" w:space="0" w:color="auto"/>
                                    <w:right w:val="none" w:sz="0" w:space="0" w:color="auto"/>
                                  </w:divBdr>
                                  <w:divsChild>
                                    <w:div w:id="918759382">
                                      <w:marLeft w:val="0"/>
                                      <w:marRight w:val="0"/>
                                      <w:marTop w:val="0"/>
                                      <w:marBottom w:val="0"/>
                                      <w:divBdr>
                                        <w:top w:val="none" w:sz="0" w:space="0" w:color="auto"/>
                                        <w:left w:val="none" w:sz="0" w:space="0" w:color="auto"/>
                                        <w:bottom w:val="none" w:sz="0" w:space="0" w:color="auto"/>
                                        <w:right w:val="none" w:sz="0" w:space="0" w:color="auto"/>
                                      </w:divBdr>
                                      <w:divsChild>
                                        <w:div w:id="66075807">
                                          <w:marLeft w:val="0"/>
                                          <w:marRight w:val="0"/>
                                          <w:marTop w:val="0"/>
                                          <w:marBottom w:val="0"/>
                                          <w:divBdr>
                                            <w:top w:val="none" w:sz="0" w:space="0" w:color="auto"/>
                                            <w:left w:val="none" w:sz="0" w:space="0" w:color="auto"/>
                                            <w:bottom w:val="none" w:sz="0" w:space="0" w:color="auto"/>
                                            <w:right w:val="none" w:sz="0" w:space="0" w:color="auto"/>
                                          </w:divBdr>
                                          <w:divsChild>
                                            <w:div w:id="1814593181">
                                              <w:marLeft w:val="0"/>
                                              <w:marRight w:val="0"/>
                                              <w:marTop w:val="0"/>
                                              <w:marBottom w:val="0"/>
                                              <w:divBdr>
                                                <w:top w:val="none" w:sz="0" w:space="0" w:color="auto"/>
                                                <w:left w:val="none" w:sz="0" w:space="0" w:color="auto"/>
                                                <w:bottom w:val="none" w:sz="0" w:space="0" w:color="auto"/>
                                                <w:right w:val="none" w:sz="0" w:space="0" w:color="auto"/>
                                              </w:divBdr>
                                              <w:divsChild>
                                                <w:div w:id="20533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9487957">
      <w:bodyDiv w:val="1"/>
      <w:marLeft w:val="0"/>
      <w:marRight w:val="0"/>
      <w:marTop w:val="0"/>
      <w:marBottom w:val="0"/>
      <w:divBdr>
        <w:top w:val="none" w:sz="0" w:space="0" w:color="auto"/>
        <w:left w:val="none" w:sz="0" w:space="0" w:color="auto"/>
        <w:bottom w:val="none" w:sz="0" w:space="0" w:color="auto"/>
        <w:right w:val="none" w:sz="0" w:space="0" w:color="auto"/>
      </w:divBdr>
      <w:divsChild>
        <w:div w:id="2113277452">
          <w:marLeft w:val="0"/>
          <w:marRight w:val="0"/>
          <w:marTop w:val="0"/>
          <w:marBottom w:val="0"/>
          <w:divBdr>
            <w:top w:val="none" w:sz="0" w:space="0" w:color="auto"/>
            <w:left w:val="none" w:sz="0" w:space="0" w:color="auto"/>
            <w:bottom w:val="none" w:sz="0" w:space="0" w:color="auto"/>
            <w:right w:val="none" w:sz="0" w:space="0" w:color="auto"/>
          </w:divBdr>
          <w:divsChild>
            <w:div w:id="557909356">
              <w:marLeft w:val="0"/>
              <w:marRight w:val="0"/>
              <w:marTop w:val="0"/>
              <w:marBottom w:val="0"/>
              <w:divBdr>
                <w:top w:val="none" w:sz="0" w:space="0" w:color="auto"/>
                <w:left w:val="none" w:sz="0" w:space="0" w:color="auto"/>
                <w:bottom w:val="none" w:sz="0" w:space="0" w:color="auto"/>
                <w:right w:val="none" w:sz="0" w:space="0" w:color="auto"/>
              </w:divBdr>
              <w:divsChild>
                <w:div w:id="806556257">
                  <w:marLeft w:val="0"/>
                  <w:marRight w:val="0"/>
                  <w:marTop w:val="0"/>
                  <w:marBottom w:val="0"/>
                  <w:divBdr>
                    <w:top w:val="none" w:sz="0" w:space="0" w:color="auto"/>
                    <w:left w:val="none" w:sz="0" w:space="0" w:color="auto"/>
                    <w:bottom w:val="none" w:sz="0" w:space="0" w:color="auto"/>
                    <w:right w:val="none" w:sz="0" w:space="0" w:color="auto"/>
                  </w:divBdr>
                  <w:divsChild>
                    <w:div w:id="728919279">
                      <w:marLeft w:val="0"/>
                      <w:marRight w:val="0"/>
                      <w:marTop w:val="0"/>
                      <w:marBottom w:val="0"/>
                      <w:divBdr>
                        <w:top w:val="none" w:sz="0" w:space="0" w:color="auto"/>
                        <w:left w:val="none" w:sz="0" w:space="0" w:color="auto"/>
                        <w:bottom w:val="none" w:sz="0" w:space="0" w:color="auto"/>
                        <w:right w:val="none" w:sz="0" w:space="0" w:color="auto"/>
                      </w:divBdr>
                      <w:divsChild>
                        <w:div w:id="2087140554">
                          <w:marLeft w:val="0"/>
                          <w:marRight w:val="0"/>
                          <w:marTop w:val="0"/>
                          <w:marBottom w:val="0"/>
                          <w:divBdr>
                            <w:top w:val="none" w:sz="0" w:space="0" w:color="auto"/>
                            <w:left w:val="none" w:sz="0" w:space="0" w:color="auto"/>
                            <w:bottom w:val="none" w:sz="0" w:space="0" w:color="auto"/>
                            <w:right w:val="none" w:sz="0" w:space="0" w:color="auto"/>
                          </w:divBdr>
                          <w:divsChild>
                            <w:div w:id="877086435">
                              <w:marLeft w:val="0"/>
                              <w:marRight w:val="0"/>
                              <w:marTop w:val="0"/>
                              <w:marBottom w:val="0"/>
                              <w:divBdr>
                                <w:top w:val="none" w:sz="0" w:space="0" w:color="auto"/>
                                <w:left w:val="none" w:sz="0" w:space="0" w:color="auto"/>
                                <w:bottom w:val="none" w:sz="0" w:space="0" w:color="auto"/>
                                <w:right w:val="none" w:sz="0" w:space="0" w:color="auto"/>
                              </w:divBdr>
                              <w:divsChild>
                                <w:div w:id="2057048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9459231">
      <w:bodyDiv w:val="1"/>
      <w:marLeft w:val="0"/>
      <w:marRight w:val="0"/>
      <w:marTop w:val="0"/>
      <w:marBottom w:val="0"/>
      <w:divBdr>
        <w:top w:val="none" w:sz="0" w:space="0" w:color="auto"/>
        <w:left w:val="none" w:sz="0" w:space="0" w:color="auto"/>
        <w:bottom w:val="none" w:sz="0" w:space="0" w:color="auto"/>
        <w:right w:val="none" w:sz="0" w:space="0" w:color="auto"/>
      </w:divBdr>
      <w:divsChild>
        <w:div w:id="1373000399">
          <w:marLeft w:val="0"/>
          <w:marRight w:val="0"/>
          <w:marTop w:val="0"/>
          <w:marBottom w:val="0"/>
          <w:divBdr>
            <w:top w:val="none" w:sz="0" w:space="0" w:color="auto"/>
            <w:left w:val="none" w:sz="0" w:space="0" w:color="auto"/>
            <w:bottom w:val="none" w:sz="0" w:space="0" w:color="auto"/>
            <w:right w:val="none" w:sz="0" w:space="0" w:color="auto"/>
          </w:divBdr>
          <w:divsChild>
            <w:div w:id="683481332">
              <w:marLeft w:val="0"/>
              <w:marRight w:val="0"/>
              <w:marTop w:val="0"/>
              <w:marBottom w:val="0"/>
              <w:divBdr>
                <w:top w:val="none" w:sz="0" w:space="0" w:color="auto"/>
                <w:left w:val="none" w:sz="0" w:space="0" w:color="auto"/>
                <w:bottom w:val="none" w:sz="0" w:space="0" w:color="auto"/>
                <w:right w:val="none" w:sz="0" w:space="0" w:color="auto"/>
              </w:divBdr>
              <w:divsChild>
                <w:div w:id="1239899317">
                  <w:marLeft w:val="3"/>
                  <w:marRight w:val="0"/>
                  <w:marTop w:val="0"/>
                  <w:marBottom w:val="0"/>
                  <w:divBdr>
                    <w:top w:val="none" w:sz="0" w:space="0" w:color="auto"/>
                    <w:left w:val="none" w:sz="0" w:space="0" w:color="auto"/>
                    <w:bottom w:val="none" w:sz="0" w:space="0" w:color="auto"/>
                    <w:right w:val="none" w:sz="0" w:space="0" w:color="auto"/>
                  </w:divBdr>
                  <w:divsChild>
                    <w:div w:id="1250307647">
                      <w:marLeft w:val="0"/>
                      <w:marRight w:val="0"/>
                      <w:marTop w:val="0"/>
                      <w:marBottom w:val="0"/>
                      <w:divBdr>
                        <w:top w:val="none" w:sz="0" w:space="0" w:color="auto"/>
                        <w:left w:val="none" w:sz="0" w:space="0" w:color="auto"/>
                        <w:bottom w:val="none" w:sz="0" w:space="0" w:color="auto"/>
                        <w:right w:val="none" w:sz="0" w:space="0" w:color="auto"/>
                      </w:divBdr>
                      <w:divsChild>
                        <w:div w:id="793522652">
                          <w:marLeft w:val="0"/>
                          <w:marRight w:val="0"/>
                          <w:marTop w:val="0"/>
                          <w:marBottom w:val="0"/>
                          <w:divBdr>
                            <w:top w:val="none" w:sz="0" w:space="0" w:color="auto"/>
                            <w:left w:val="none" w:sz="0" w:space="0" w:color="auto"/>
                            <w:bottom w:val="none" w:sz="0" w:space="0" w:color="auto"/>
                            <w:right w:val="none" w:sz="0" w:space="0" w:color="auto"/>
                          </w:divBdr>
                          <w:divsChild>
                            <w:div w:id="43135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0116841">
      <w:bodyDiv w:val="1"/>
      <w:marLeft w:val="0"/>
      <w:marRight w:val="0"/>
      <w:marTop w:val="0"/>
      <w:marBottom w:val="0"/>
      <w:divBdr>
        <w:top w:val="none" w:sz="0" w:space="0" w:color="auto"/>
        <w:left w:val="none" w:sz="0" w:space="0" w:color="auto"/>
        <w:bottom w:val="none" w:sz="0" w:space="0" w:color="auto"/>
        <w:right w:val="none" w:sz="0" w:space="0" w:color="auto"/>
      </w:divBdr>
      <w:divsChild>
        <w:div w:id="941648159">
          <w:marLeft w:val="0"/>
          <w:marRight w:val="0"/>
          <w:marTop w:val="0"/>
          <w:marBottom w:val="0"/>
          <w:divBdr>
            <w:top w:val="none" w:sz="0" w:space="0" w:color="auto"/>
            <w:left w:val="none" w:sz="0" w:space="0" w:color="auto"/>
            <w:bottom w:val="none" w:sz="0" w:space="0" w:color="auto"/>
            <w:right w:val="none" w:sz="0" w:space="0" w:color="auto"/>
          </w:divBdr>
          <w:divsChild>
            <w:div w:id="1498959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797323">
      <w:bodyDiv w:val="1"/>
      <w:marLeft w:val="0"/>
      <w:marRight w:val="0"/>
      <w:marTop w:val="0"/>
      <w:marBottom w:val="0"/>
      <w:divBdr>
        <w:top w:val="none" w:sz="0" w:space="0" w:color="auto"/>
        <w:left w:val="none" w:sz="0" w:space="0" w:color="auto"/>
        <w:bottom w:val="none" w:sz="0" w:space="0" w:color="auto"/>
        <w:right w:val="none" w:sz="0" w:space="0" w:color="auto"/>
      </w:divBdr>
    </w:div>
    <w:div w:id="2008092645">
      <w:bodyDiv w:val="1"/>
      <w:marLeft w:val="0"/>
      <w:marRight w:val="0"/>
      <w:marTop w:val="0"/>
      <w:marBottom w:val="0"/>
      <w:divBdr>
        <w:top w:val="none" w:sz="0" w:space="0" w:color="auto"/>
        <w:left w:val="none" w:sz="0" w:space="0" w:color="auto"/>
        <w:bottom w:val="none" w:sz="0" w:space="0" w:color="auto"/>
        <w:right w:val="none" w:sz="0" w:space="0" w:color="auto"/>
      </w:divBdr>
      <w:divsChild>
        <w:div w:id="755398797">
          <w:marLeft w:val="0"/>
          <w:marRight w:val="0"/>
          <w:marTop w:val="0"/>
          <w:marBottom w:val="0"/>
          <w:divBdr>
            <w:top w:val="none" w:sz="0" w:space="0" w:color="auto"/>
            <w:left w:val="none" w:sz="0" w:space="0" w:color="auto"/>
            <w:bottom w:val="none" w:sz="0" w:space="0" w:color="auto"/>
            <w:right w:val="none" w:sz="0" w:space="0" w:color="auto"/>
          </w:divBdr>
          <w:divsChild>
            <w:div w:id="1053969712">
              <w:marLeft w:val="0"/>
              <w:marRight w:val="0"/>
              <w:marTop w:val="0"/>
              <w:marBottom w:val="0"/>
              <w:divBdr>
                <w:top w:val="none" w:sz="0" w:space="0" w:color="auto"/>
                <w:left w:val="none" w:sz="0" w:space="0" w:color="auto"/>
                <w:bottom w:val="none" w:sz="0" w:space="0" w:color="auto"/>
                <w:right w:val="none" w:sz="0" w:space="0" w:color="auto"/>
              </w:divBdr>
              <w:divsChild>
                <w:div w:id="1629238651">
                  <w:marLeft w:val="0"/>
                  <w:marRight w:val="0"/>
                  <w:marTop w:val="0"/>
                  <w:marBottom w:val="0"/>
                  <w:divBdr>
                    <w:top w:val="none" w:sz="0" w:space="0" w:color="auto"/>
                    <w:left w:val="none" w:sz="0" w:space="0" w:color="auto"/>
                    <w:bottom w:val="none" w:sz="0" w:space="0" w:color="auto"/>
                    <w:right w:val="none" w:sz="0" w:space="0" w:color="auto"/>
                  </w:divBdr>
                  <w:divsChild>
                    <w:div w:id="1179274341">
                      <w:marLeft w:val="0"/>
                      <w:marRight w:val="0"/>
                      <w:marTop w:val="0"/>
                      <w:marBottom w:val="0"/>
                      <w:divBdr>
                        <w:top w:val="none" w:sz="0" w:space="0" w:color="auto"/>
                        <w:left w:val="none" w:sz="0" w:space="0" w:color="auto"/>
                        <w:bottom w:val="none" w:sz="0" w:space="0" w:color="auto"/>
                        <w:right w:val="none" w:sz="0" w:space="0" w:color="auto"/>
                      </w:divBdr>
                      <w:divsChild>
                        <w:div w:id="1175457254">
                          <w:marLeft w:val="0"/>
                          <w:marRight w:val="0"/>
                          <w:marTop w:val="0"/>
                          <w:marBottom w:val="0"/>
                          <w:divBdr>
                            <w:top w:val="none" w:sz="0" w:space="0" w:color="auto"/>
                            <w:left w:val="none" w:sz="0" w:space="0" w:color="auto"/>
                            <w:bottom w:val="none" w:sz="0" w:space="0" w:color="auto"/>
                            <w:right w:val="none" w:sz="0" w:space="0" w:color="auto"/>
                          </w:divBdr>
                          <w:divsChild>
                            <w:div w:id="216859073">
                              <w:marLeft w:val="0"/>
                              <w:marRight w:val="0"/>
                              <w:marTop w:val="0"/>
                              <w:marBottom w:val="0"/>
                              <w:divBdr>
                                <w:top w:val="none" w:sz="0" w:space="0" w:color="auto"/>
                                <w:left w:val="none" w:sz="0" w:space="0" w:color="auto"/>
                                <w:bottom w:val="none" w:sz="0" w:space="0" w:color="auto"/>
                                <w:right w:val="none" w:sz="0" w:space="0" w:color="auto"/>
                              </w:divBdr>
                              <w:divsChild>
                                <w:div w:id="1161043146">
                                  <w:marLeft w:val="0"/>
                                  <w:marRight w:val="0"/>
                                  <w:marTop w:val="0"/>
                                  <w:marBottom w:val="0"/>
                                  <w:divBdr>
                                    <w:top w:val="none" w:sz="0" w:space="0" w:color="auto"/>
                                    <w:left w:val="none" w:sz="0" w:space="0" w:color="auto"/>
                                    <w:bottom w:val="none" w:sz="0" w:space="0" w:color="auto"/>
                                    <w:right w:val="none" w:sz="0" w:space="0" w:color="auto"/>
                                  </w:divBdr>
                                  <w:divsChild>
                                    <w:div w:id="388118740">
                                      <w:marLeft w:val="0"/>
                                      <w:marRight w:val="0"/>
                                      <w:marTop w:val="0"/>
                                      <w:marBottom w:val="0"/>
                                      <w:divBdr>
                                        <w:top w:val="none" w:sz="0" w:space="0" w:color="auto"/>
                                        <w:left w:val="none" w:sz="0" w:space="0" w:color="auto"/>
                                        <w:bottom w:val="none" w:sz="0" w:space="0" w:color="auto"/>
                                        <w:right w:val="none" w:sz="0" w:space="0" w:color="auto"/>
                                      </w:divBdr>
                                      <w:divsChild>
                                        <w:div w:id="716586436">
                                          <w:marLeft w:val="0"/>
                                          <w:marRight w:val="0"/>
                                          <w:marTop w:val="0"/>
                                          <w:marBottom w:val="0"/>
                                          <w:divBdr>
                                            <w:top w:val="none" w:sz="0" w:space="0" w:color="auto"/>
                                            <w:left w:val="none" w:sz="0" w:space="0" w:color="auto"/>
                                            <w:bottom w:val="none" w:sz="0" w:space="0" w:color="auto"/>
                                            <w:right w:val="none" w:sz="0" w:space="0" w:color="auto"/>
                                          </w:divBdr>
                                          <w:divsChild>
                                            <w:div w:id="648364731">
                                              <w:marLeft w:val="0"/>
                                              <w:marRight w:val="0"/>
                                              <w:marTop w:val="0"/>
                                              <w:marBottom w:val="0"/>
                                              <w:divBdr>
                                                <w:top w:val="none" w:sz="0" w:space="0" w:color="auto"/>
                                                <w:left w:val="none" w:sz="0" w:space="0" w:color="auto"/>
                                                <w:bottom w:val="none" w:sz="0" w:space="0" w:color="auto"/>
                                                <w:right w:val="none" w:sz="0" w:space="0" w:color="auto"/>
                                              </w:divBdr>
                                              <w:divsChild>
                                                <w:div w:id="1726443892">
                                                  <w:marLeft w:val="0"/>
                                                  <w:marRight w:val="0"/>
                                                  <w:marTop w:val="0"/>
                                                  <w:marBottom w:val="0"/>
                                                  <w:divBdr>
                                                    <w:top w:val="none" w:sz="0" w:space="0" w:color="auto"/>
                                                    <w:left w:val="none" w:sz="0" w:space="0" w:color="auto"/>
                                                    <w:bottom w:val="none" w:sz="0" w:space="0" w:color="auto"/>
                                                    <w:right w:val="none" w:sz="0" w:space="0" w:color="auto"/>
                                                  </w:divBdr>
                                                  <w:divsChild>
                                                    <w:div w:id="11652826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1888473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08866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65445714">
      <w:bodyDiv w:val="1"/>
      <w:marLeft w:val="0"/>
      <w:marRight w:val="0"/>
      <w:marTop w:val="0"/>
      <w:marBottom w:val="0"/>
      <w:divBdr>
        <w:top w:val="none" w:sz="0" w:space="0" w:color="auto"/>
        <w:left w:val="none" w:sz="0" w:space="0" w:color="auto"/>
        <w:bottom w:val="none" w:sz="0" w:space="0" w:color="auto"/>
        <w:right w:val="none" w:sz="0" w:space="0" w:color="auto"/>
      </w:divBdr>
      <w:divsChild>
        <w:div w:id="1074283121">
          <w:marLeft w:val="0"/>
          <w:marRight w:val="0"/>
          <w:marTop w:val="0"/>
          <w:marBottom w:val="0"/>
          <w:divBdr>
            <w:top w:val="none" w:sz="0" w:space="0" w:color="auto"/>
            <w:left w:val="none" w:sz="0" w:space="0" w:color="auto"/>
            <w:bottom w:val="none" w:sz="0" w:space="0" w:color="auto"/>
            <w:right w:val="none" w:sz="0" w:space="0" w:color="auto"/>
          </w:divBdr>
          <w:divsChild>
            <w:div w:id="1630431194">
              <w:marLeft w:val="0"/>
              <w:marRight w:val="0"/>
              <w:marTop w:val="0"/>
              <w:marBottom w:val="0"/>
              <w:divBdr>
                <w:top w:val="none" w:sz="0" w:space="0" w:color="auto"/>
                <w:left w:val="none" w:sz="0" w:space="0" w:color="auto"/>
                <w:bottom w:val="none" w:sz="0" w:space="0" w:color="auto"/>
                <w:right w:val="none" w:sz="0" w:space="0" w:color="auto"/>
              </w:divBdr>
              <w:divsChild>
                <w:div w:id="196064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892675">
          <w:marLeft w:val="0"/>
          <w:marRight w:val="0"/>
          <w:marTop w:val="0"/>
          <w:marBottom w:val="0"/>
          <w:divBdr>
            <w:top w:val="none" w:sz="0" w:space="0" w:color="auto"/>
            <w:left w:val="none" w:sz="0" w:space="0" w:color="auto"/>
            <w:bottom w:val="none" w:sz="0" w:space="0" w:color="auto"/>
            <w:right w:val="none" w:sz="0" w:space="0" w:color="auto"/>
          </w:divBdr>
          <w:divsChild>
            <w:div w:id="300034997">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 w:id="1041320101">
          <w:marLeft w:val="0"/>
          <w:marRight w:val="0"/>
          <w:marTop w:val="0"/>
          <w:marBottom w:val="0"/>
          <w:divBdr>
            <w:top w:val="none" w:sz="0" w:space="0" w:color="auto"/>
            <w:left w:val="none" w:sz="0" w:space="0" w:color="auto"/>
            <w:bottom w:val="none" w:sz="0" w:space="0" w:color="auto"/>
            <w:right w:val="none" w:sz="0" w:space="0" w:color="auto"/>
          </w:divBdr>
          <w:divsChild>
            <w:div w:id="820998060">
              <w:blockQuote w:val="1"/>
              <w:marLeft w:val="720"/>
              <w:marRight w:val="720"/>
              <w:marTop w:val="0"/>
              <w:marBottom w:val="100"/>
              <w:divBdr>
                <w:top w:val="none" w:sz="0" w:space="0" w:color="auto"/>
                <w:left w:val="none" w:sz="0" w:space="0" w:color="auto"/>
                <w:bottom w:val="none" w:sz="0" w:space="0" w:color="auto"/>
                <w:right w:val="none" w:sz="0" w:space="0" w:color="auto"/>
              </w:divBdr>
            </w:div>
          </w:divsChild>
        </w:div>
      </w:divsChild>
    </w:div>
    <w:div w:id="2069649583">
      <w:bodyDiv w:val="1"/>
      <w:marLeft w:val="0"/>
      <w:marRight w:val="0"/>
      <w:marTop w:val="0"/>
      <w:marBottom w:val="0"/>
      <w:divBdr>
        <w:top w:val="none" w:sz="0" w:space="0" w:color="auto"/>
        <w:left w:val="none" w:sz="0" w:space="0" w:color="auto"/>
        <w:bottom w:val="none" w:sz="0" w:space="0" w:color="auto"/>
        <w:right w:val="none" w:sz="0" w:space="0" w:color="auto"/>
      </w:divBdr>
      <w:divsChild>
        <w:div w:id="1154682127">
          <w:marLeft w:val="0"/>
          <w:marRight w:val="0"/>
          <w:marTop w:val="0"/>
          <w:marBottom w:val="0"/>
          <w:divBdr>
            <w:top w:val="none" w:sz="0" w:space="0" w:color="auto"/>
            <w:left w:val="none" w:sz="0" w:space="0" w:color="auto"/>
            <w:bottom w:val="none" w:sz="0" w:space="0" w:color="auto"/>
            <w:right w:val="none" w:sz="0" w:space="0" w:color="auto"/>
          </w:divBdr>
          <w:divsChild>
            <w:div w:id="999620940">
              <w:marLeft w:val="0"/>
              <w:marRight w:val="0"/>
              <w:marTop w:val="0"/>
              <w:marBottom w:val="0"/>
              <w:divBdr>
                <w:top w:val="none" w:sz="0" w:space="0" w:color="auto"/>
                <w:left w:val="none" w:sz="0" w:space="0" w:color="auto"/>
                <w:bottom w:val="none" w:sz="0" w:space="0" w:color="auto"/>
                <w:right w:val="none" w:sz="0" w:space="0" w:color="auto"/>
              </w:divBdr>
              <w:divsChild>
                <w:div w:id="1823690676">
                  <w:marLeft w:val="0"/>
                  <w:marRight w:val="0"/>
                  <w:marTop w:val="0"/>
                  <w:marBottom w:val="0"/>
                  <w:divBdr>
                    <w:top w:val="none" w:sz="0" w:space="0" w:color="auto"/>
                    <w:left w:val="none" w:sz="0" w:space="0" w:color="auto"/>
                    <w:bottom w:val="none" w:sz="0" w:space="0" w:color="auto"/>
                    <w:right w:val="none" w:sz="0" w:space="0" w:color="auto"/>
                  </w:divBdr>
                  <w:divsChild>
                    <w:div w:id="1176043626">
                      <w:marLeft w:val="0"/>
                      <w:marRight w:val="0"/>
                      <w:marTop w:val="0"/>
                      <w:marBottom w:val="0"/>
                      <w:divBdr>
                        <w:top w:val="none" w:sz="0" w:space="0" w:color="auto"/>
                        <w:left w:val="none" w:sz="0" w:space="0" w:color="auto"/>
                        <w:bottom w:val="none" w:sz="0" w:space="0" w:color="auto"/>
                        <w:right w:val="none" w:sz="0" w:space="0" w:color="auto"/>
                      </w:divBdr>
                      <w:divsChild>
                        <w:div w:id="1110010739">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9136090">
      <w:bodyDiv w:val="1"/>
      <w:marLeft w:val="0"/>
      <w:marRight w:val="0"/>
      <w:marTop w:val="0"/>
      <w:marBottom w:val="0"/>
      <w:divBdr>
        <w:top w:val="none" w:sz="0" w:space="0" w:color="auto"/>
        <w:left w:val="none" w:sz="0" w:space="0" w:color="auto"/>
        <w:bottom w:val="none" w:sz="0" w:space="0" w:color="auto"/>
        <w:right w:val="none" w:sz="0" w:space="0" w:color="auto"/>
      </w:divBdr>
      <w:divsChild>
        <w:div w:id="265701027">
          <w:marLeft w:val="0"/>
          <w:marRight w:val="0"/>
          <w:marTop w:val="0"/>
          <w:marBottom w:val="0"/>
          <w:divBdr>
            <w:top w:val="none" w:sz="0" w:space="0" w:color="auto"/>
            <w:left w:val="none" w:sz="0" w:space="0" w:color="auto"/>
            <w:bottom w:val="none" w:sz="0" w:space="0" w:color="auto"/>
            <w:right w:val="none" w:sz="0" w:space="0" w:color="auto"/>
          </w:divBdr>
          <w:divsChild>
            <w:div w:id="1156338978">
              <w:marLeft w:val="0"/>
              <w:marRight w:val="0"/>
              <w:marTop w:val="0"/>
              <w:marBottom w:val="0"/>
              <w:divBdr>
                <w:top w:val="none" w:sz="0" w:space="0" w:color="auto"/>
                <w:left w:val="none" w:sz="0" w:space="0" w:color="auto"/>
                <w:bottom w:val="none" w:sz="0" w:space="0" w:color="auto"/>
                <w:right w:val="none" w:sz="0" w:space="0" w:color="auto"/>
              </w:divBdr>
              <w:divsChild>
                <w:div w:id="1317297280">
                  <w:marLeft w:val="0"/>
                  <w:marRight w:val="0"/>
                  <w:marTop w:val="0"/>
                  <w:marBottom w:val="0"/>
                  <w:divBdr>
                    <w:top w:val="none" w:sz="0" w:space="0" w:color="auto"/>
                    <w:left w:val="none" w:sz="0" w:space="0" w:color="auto"/>
                    <w:bottom w:val="none" w:sz="0" w:space="0" w:color="auto"/>
                    <w:right w:val="none" w:sz="0" w:space="0" w:color="auto"/>
                  </w:divBdr>
                  <w:divsChild>
                    <w:div w:id="1092697528">
                      <w:marLeft w:val="0"/>
                      <w:marRight w:val="0"/>
                      <w:marTop w:val="0"/>
                      <w:marBottom w:val="0"/>
                      <w:divBdr>
                        <w:top w:val="none" w:sz="0" w:space="0" w:color="auto"/>
                        <w:left w:val="none" w:sz="0" w:space="0" w:color="auto"/>
                        <w:bottom w:val="none" w:sz="0" w:space="0" w:color="auto"/>
                        <w:right w:val="none" w:sz="0" w:space="0" w:color="auto"/>
                      </w:divBdr>
                      <w:divsChild>
                        <w:div w:id="980111497">
                          <w:marLeft w:val="0"/>
                          <w:marRight w:val="0"/>
                          <w:marTop w:val="0"/>
                          <w:marBottom w:val="0"/>
                          <w:divBdr>
                            <w:top w:val="none" w:sz="0" w:space="0" w:color="auto"/>
                            <w:left w:val="none" w:sz="0" w:space="0" w:color="auto"/>
                            <w:bottom w:val="none" w:sz="0" w:space="0" w:color="auto"/>
                            <w:right w:val="none" w:sz="0" w:space="0" w:color="auto"/>
                          </w:divBdr>
                          <w:divsChild>
                            <w:div w:id="620890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2944411">
      <w:bodyDiv w:val="1"/>
      <w:marLeft w:val="0"/>
      <w:marRight w:val="0"/>
      <w:marTop w:val="0"/>
      <w:marBottom w:val="0"/>
      <w:divBdr>
        <w:top w:val="none" w:sz="0" w:space="0" w:color="auto"/>
        <w:left w:val="none" w:sz="0" w:space="0" w:color="auto"/>
        <w:bottom w:val="none" w:sz="0" w:space="0" w:color="auto"/>
        <w:right w:val="none" w:sz="0" w:space="0" w:color="auto"/>
      </w:divBdr>
      <w:divsChild>
        <w:div w:id="1569151713">
          <w:marLeft w:val="0"/>
          <w:marRight w:val="0"/>
          <w:marTop w:val="0"/>
          <w:marBottom w:val="0"/>
          <w:divBdr>
            <w:top w:val="none" w:sz="0" w:space="0" w:color="auto"/>
            <w:left w:val="none" w:sz="0" w:space="0" w:color="auto"/>
            <w:bottom w:val="none" w:sz="0" w:space="0" w:color="auto"/>
            <w:right w:val="none" w:sz="0" w:space="0" w:color="auto"/>
          </w:divBdr>
          <w:divsChild>
            <w:div w:id="895508517">
              <w:marLeft w:val="0"/>
              <w:marRight w:val="0"/>
              <w:marTop w:val="0"/>
              <w:marBottom w:val="0"/>
              <w:divBdr>
                <w:top w:val="none" w:sz="0" w:space="0" w:color="auto"/>
                <w:left w:val="none" w:sz="0" w:space="0" w:color="auto"/>
                <w:bottom w:val="none" w:sz="0" w:space="0" w:color="auto"/>
                <w:right w:val="none" w:sz="0" w:space="0" w:color="auto"/>
              </w:divBdr>
              <w:divsChild>
                <w:div w:id="90471160">
                  <w:marLeft w:val="0"/>
                  <w:marRight w:val="0"/>
                  <w:marTop w:val="0"/>
                  <w:marBottom w:val="0"/>
                  <w:divBdr>
                    <w:top w:val="none" w:sz="0" w:space="0" w:color="auto"/>
                    <w:left w:val="none" w:sz="0" w:space="0" w:color="auto"/>
                    <w:bottom w:val="none" w:sz="0" w:space="0" w:color="auto"/>
                    <w:right w:val="none" w:sz="0" w:space="0" w:color="auto"/>
                  </w:divBdr>
                  <w:divsChild>
                    <w:div w:id="1630085529">
                      <w:marLeft w:val="0"/>
                      <w:marRight w:val="0"/>
                      <w:marTop w:val="0"/>
                      <w:marBottom w:val="0"/>
                      <w:divBdr>
                        <w:top w:val="none" w:sz="0" w:space="0" w:color="auto"/>
                        <w:left w:val="none" w:sz="0" w:space="0" w:color="auto"/>
                        <w:bottom w:val="none" w:sz="0" w:space="0" w:color="auto"/>
                        <w:right w:val="none" w:sz="0" w:space="0" w:color="auto"/>
                      </w:divBdr>
                      <w:divsChild>
                        <w:div w:id="356270577">
                          <w:marLeft w:val="0"/>
                          <w:marRight w:val="0"/>
                          <w:marTop w:val="0"/>
                          <w:marBottom w:val="0"/>
                          <w:divBdr>
                            <w:top w:val="none" w:sz="0" w:space="0" w:color="auto"/>
                            <w:left w:val="none" w:sz="0" w:space="0" w:color="auto"/>
                            <w:bottom w:val="none" w:sz="0" w:space="0" w:color="auto"/>
                            <w:right w:val="none" w:sz="0" w:space="0" w:color="auto"/>
                          </w:divBdr>
                          <w:divsChild>
                            <w:div w:id="1902519606">
                              <w:marLeft w:val="0"/>
                              <w:marRight w:val="0"/>
                              <w:marTop w:val="0"/>
                              <w:marBottom w:val="0"/>
                              <w:divBdr>
                                <w:top w:val="none" w:sz="0" w:space="0" w:color="auto"/>
                                <w:left w:val="none" w:sz="0" w:space="0" w:color="auto"/>
                                <w:bottom w:val="none" w:sz="0" w:space="0" w:color="auto"/>
                                <w:right w:val="none" w:sz="0" w:space="0" w:color="auto"/>
                              </w:divBdr>
                              <w:divsChild>
                                <w:div w:id="1468665943">
                                  <w:marLeft w:val="0"/>
                                  <w:marRight w:val="0"/>
                                  <w:marTop w:val="0"/>
                                  <w:marBottom w:val="0"/>
                                  <w:divBdr>
                                    <w:top w:val="none" w:sz="0" w:space="0" w:color="auto"/>
                                    <w:left w:val="none" w:sz="0" w:space="0" w:color="auto"/>
                                    <w:bottom w:val="none" w:sz="0" w:space="0" w:color="auto"/>
                                    <w:right w:val="none" w:sz="0" w:space="0" w:color="auto"/>
                                  </w:divBdr>
                                  <w:divsChild>
                                    <w:div w:id="1054963095">
                                      <w:marLeft w:val="0"/>
                                      <w:marRight w:val="0"/>
                                      <w:marTop w:val="0"/>
                                      <w:marBottom w:val="0"/>
                                      <w:divBdr>
                                        <w:top w:val="none" w:sz="0" w:space="0" w:color="auto"/>
                                        <w:left w:val="none" w:sz="0" w:space="0" w:color="auto"/>
                                        <w:bottom w:val="none" w:sz="0" w:space="0" w:color="auto"/>
                                        <w:right w:val="none" w:sz="0" w:space="0" w:color="auto"/>
                                      </w:divBdr>
                                      <w:divsChild>
                                        <w:div w:id="153182627">
                                          <w:marLeft w:val="0"/>
                                          <w:marRight w:val="0"/>
                                          <w:marTop w:val="0"/>
                                          <w:marBottom w:val="0"/>
                                          <w:divBdr>
                                            <w:top w:val="none" w:sz="0" w:space="0" w:color="auto"/>
                                            <w:left w:val="none" w:sz="0" w:space="0" w:color="auto"/>
                                            <w:bottom w:val="none" w:sz="0" w:space="0" w:color="auto"/>
                                            <w:right w:val="none" w:sz="0" w:space="0" w:color="auto"/>
                                          </w:divBdr>
                                          <w:divsChild>
                                            <w:div w:id="1580365464">
                                              <w:marLeft w:val="0"/>
                                              <w:marRight w:val="0"/>
                                              <w:marTop w:val="0"/>
                                              <w:marBottom w:val="0"/>
                                              <w:divBdr>
                                                <w:top w:val="none" w:sz="0" w:space="0" w:color="auto"/>
                                                <w:left w:val="none" w:sz="0" w:space="0" w:color="auto"/>
                                                <w:bottom w:val="none" w:sz="0" w:space="0" w:color="auto"/>
                                                <w:right w:val="none" w:sz="0" w:space="0" w:color="auto"/>
                                              </w:divBdr>
                                              <w:divsChild>
                                                <w:div w:id="2066558615">
                                                  <w:marLeft w:val="0"/>
                                                  <w:marRight w:val="0"/>
                                                  <w:marTop w:val="0"/>
                                                  <w:marBottom w:val="0"/>
                                                  <w:divBdr>
                                                    <w:top w:val="none" w:sz="0" w:space="0" w:color="auto"/>
                                                    <w:left w:val="none" w:sz="0" w:space="0" w:color="auto"/>
                                                    <w:bottom w:val="none" w:sz="0" w:space="0" w:color="auto"/>
                                                    <w:right w:val="none" w:sz="0" w:space="0" w:color="auto"/>
                                                  </w:divBdr>
                                                </w:div>
                                              </w:divsChild>
                                            </w:div>
                                            <w:div w:id="207961162">
                                              <w:marLeft w:val="0"/>
                                              <w:marRight w:val="0"/>
                                              <w:marTop w:val="0"/>
                                              <w:marBottom w:val="0"/>
                                              <w:divBdr>
                                                <w:top w:val="none" w:sz="0" w:space="0" w:color="auto"/>
                                                <w:left w:val="none" w:sz="0" w:space="0" w:color="auto"/>
                                                <w:bottom w:val="none" w:sz="0" w:space="0" w:color="auto"/>
                                                <w:right w:val="none" w:sz="0" w:space="0" w:color="auto"/>
                                              </w:divBdr>
                                              <w:divsChild>
                                                <w:div w:id="162183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7.xml"/><Relationship Id="rId26" Type="http://schemas.openxmlformats.org/officeDocument/2006/relationships/hyperlink" Target="https://jade.io/article/188377" TargetMode="External"/><Relationship Id="rId39" Type="http://schemas.openxmlformats.org/officeDocument/2006/relationships/image" Target="media/image13.jpeg"/><Relationship Id="rId21" Type="http://schemas.openxmlformats.org/officeDocument/2006/relationships/header" Target="header10.xml"/><Relationship Id="rId34"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header" Target="header6.xml"/><Relationship Id="rId25" Type="http://schemas.openxmlformats.org/officeDocument/2006/relationships/footer" Target="footer5.xm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header" Target="header9.xml"/><Relationship Id="rId29" Type="http://schemas.openxmlformats.org/officeDocument/2006/relationships/image" Target="media/image3.jpeg"/><Relationship Id="rId41" Type="http://schemas.openxmlformats.org/officeDocument/2006/relationships/image" Target="media/image15.jpeg"/><Relationship Id="rId54"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header" Target="header12.xm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footer" Target="footer4.xml"/><Relationship Id="rId28" Type="http://schemas.openxmlformats.org/officeDocument/2006/relationships/image" Target="media/image2.jpeg"/><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header" Target="header8.xm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11.xml"/><Relationship Id="rId27" Type="http://schemas.openxmlformats.org/officeDocument/2006/relationships/image" Target="media/image1.jpeg"/><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5.jpe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ster0a\AppData\Roaming\Microsoft\Templates\Judgment.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98D97D-2AF1-4CF0-A72D-433EF1054D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Judgment.dotx</Template>
  <TotalTime>0</TotalTime>
  <Pages>149</Pages>
  <Words>54293</Words>
  <Characters>275209</Characters>
  <Application>Microsoft Office Word</Application>
  <DocSecurity>0</DocSecurity>
  <Lines>5504</Lines>
  <Paragraphs>1800</Paragraphs>
  <ScaleCrop>false</ScaleCrop>
  <HeadingPairs>
    <vt:vector size="2" baseType="variant">
      <vt:variant>
        <vt:lpstr>Title</vt:lpstr>
      </vt:variant>
      <vt:variant>
        <vt:i4>1</vt:i4>
      </vt:variant>
    </vt:vector>
  </HeadingPairs>
  <TitlesOfParts>
    <vt:vector size="1" baseType="lpstr">
      <vt:lpstr>Perera v GetSwift Limited [2018] FCA 732</vt:lpstr>
    </vt:vector>
  </TitlesOfParts>
  <LinksUpToDate>false</LinksUpToDate>
  <CharactersWithSpaces>327702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Perera v GetSwift Limited [2018] FCA 732</dc:title>
  <dc:creator/>
  <cp:lastModifiedBy/>
  <cp:revision>1</cp:revision>
  <dcterms:created xsi:type="dcterms:W3CDTF">2018-06-26T02:50:00Z</dcterms:created>
  <dcterms:modified xsi:type="dcterms:W3CDTF">2018-07-10T01:47:00Z</dcterms:modified>
</cp:coreProperties>
</file>