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CEA13" w14:textId="751047DA" w:rsidR="00395B24" w:rsidRPr="00E136C5" w:rsidRDefault="00C240DE" w:rsidP="00A22932">
      <w:pPr>
        <w:pStyle w:val="CourtTitle"/>
      </w:pPr>
      <w:r>
        <w:fldChar w:fldCharType="begin"/>
      </w:r>
      <w:r>
        <w:instrText xml:space="preserve"> DOCPROPERTY  Court  \* MERGEFORMAT </w:instrText>
      </w:r>
      <w:r>
        <w:fldChar w:fldCharType="separate"/>
      </w:r>
      <w:r w:rsidR="00D676EF" w:rsidRPr="00E136C5">
        <w:t>Federal Court of Australia</w:t>
      </w:r>
      <w:r>
        <w:fldChar w:fldCharType="end"/>
      </w:r>
    </w:p>
    <w:p w14:paraId="2FDC9DAA" w14:textId="77777777" w:rsidR="004D7950" w:rsidRPr="00E136C5" w:rsidRDefault="004D7950">
      <w:pPr>
        <w:pStyle w:val="NormalHeadings"/>
        <w:jc w:val="center"/>
        <w:rPr>
          <w:sz w:val="32"/>
        </w:rPr>
      </w:pPr>
    </w:p>
    <w:bookmarkStart w:id="0" w:name="MNC"/>
    <w:p w14:paraId="3D995687" w14:textId="11A94026" w:rsidR="00374CC4" w:rsidRPr="00E136C5" w:rsidRDefault="001E0CF5" w:rsidP="001A2B40">
      <w:pPr>
        <w:pStyle w:val="MNC"/>
      </w:pPr>
      <w:sdt>
        <w:sdtPr>
          <w:alias w:val="MNC"/>
          <w:tag w:val="MNC"/>
          <w:id w:val="343289786"/>
          <w:lock w:val="sdtLocked"/>
          <w:placeholder>
            <w:docPart w:val="9550BD7EB96D4CD4A2691D18D19F8A62"/>
          </w:placeholder>
          <w:dataBinding w:prefixMappings="xmlns:ns0='http://schemas.globalmacros.com/FCA'" w:xpath="/ns0:root[1]/ns0:Name[1]" w:storeItemID="{687E7CCB-4AA5-44E7-B148-17BA2B6F57C0}"/>
          <w:text w:multiLine="1"/>
        </w:sdtPr>
        <w:sdtEndPr/>
        <w:sdtContent>
          <w:proofErr w:type="spellStart"/>
          <w:r w:rsidR="000E49CB" w:rsidRPr="001C6845">
            <w:t>Konebada</w:t>
          </w:r>
          <w:proofErr w:type="spellEnd"/>
          <w:r w:rsidR="000E49CB" w:rsidRPr="001C6845">
            <w:t xml:space="preserve"> Pty Ltd ATF t</w:t>
          </w:r>
          <w:r w:rsidR="00053FA0" w:rsidRPr="001C6845">
            <w:t xml:space="preserve">he William </w:t>
          </w:r>
          <w:proofErr w:type="spellStart"/>
          <w:r w:rsidR="00053FA0" w:rsidRPr="001C6845">
            <w:t>Lewski</w:t>
          </w:r>
          <w:proofErr w:type="spellEnd"/>
          <w:r w:rsidR="00053FA0" w:rsidRPr="001C6845">
            <w:t xml:space="preserve"> Family Trust v </w:t>
          </w:r>
          <w:r w:rsidR="00C240DE">
            <w:t xml:space="preserve">Commissioner of Taxation [2023] FCA </w:t>
          </w:r>
          <w:r w:rsidR="001C6845" w:rsidRPr="001C6845">
            <w:t>257</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RPr="00E136C5" w14:paraId="4D79322A" w14:textId="77777777" w:rsidTr="00A5553B">
        <w:tc>
          <w:tcPr>
            <w:tcW w:w="3083" w:type="dxa"/>
            <w:shd w:val="clear" w:color="auto" w:fill="auto"/>
          </w:tcPr>
          <w:p w14:paraId="3E9955BB" w14:textId="03F890FE" w:rsidR="00395B24" w:rsidRPr="00E136C5" w:rsidRDefault="00C240DE" w:rsidP="00663878">
            <w:pPr>
              <w:pStyle w:val="Normal1linespace"/>
              <w:widowControl w:val="0"/>
              <w:jc w:val="left"/>
            </w:pPr>
            <w:r>
              <w:t>File number</w:t>
            </w:r>
            <w:r w:rsidR="002C7385" w:rsidRPr="00E136C5">
              <w:t>:</w:t>
            </w:r>
          </w:p>
        </w:tc>
        <w:tc>
          <w:tcPr>
            <w:tcW w:w="5989" w:type="dxa"/>
            <w:shd w:val="clear" w:color="auto" w:fill="auto"/>
          </w:tcPr>
          <w:p w14:paraId="1B7AB4DD" w14:textId="77777777" w:rsidR="00395B24" w:rsidRPr="00E136C5" w:rsidRDefault="001E0CF5" w:rsidP="00D676EF">
            <w:pPr>
              <w:pStyle w:val="Normal1linespace"/>
              <w:jc w:val="left"/>
            </w:pPr>
            <w:r>
              <w:fldChar w:fldCharType="begin" w:fldLock="1"/>
            </w:r>
            <w:r>
              <w:instrText xml:space="preserve"> REF  FileNo  \* MERGEFORMAT </w:instrText>
            </w:r>
            <w:r>
              <w:fldChar w:fldCharType="separate"/>
            </w:r>
            <w:r w:rsidR="00D676EF" w:rsidRPr="00E136C5">
              <w:t>VID 492 of 2021</w:t>
            </w:r>
            <w:r>
              <w:fldChar w:fldCharType="end"/>
            </w:r>
          </w:p>
        </w:tc>
      </w:tr>
      <w:tr w:rsidR="00395B24" w:rsidRPr="00E136C5" w14:paraId="60F596AD" w14:textId="77777777" w:rsidTr="00A5553B">
        <w:tc>
          <w:tcPr>
            <w:tcW w:w="3083" w:type="dxa"/>
            <w:shd w:val="clear" w:color="auto" w:fill="auto"/>
          </w:tcPr>
          <w:p w14:paraId="3D8651B8" w14:textId="77777777" w:rsidR="00395B24" w:rsidRPr="00E136C5" w:rsidRDefault="00395B24" w:rsidP="00663878">
            <w:pPr>
              <w:pStyle w:val="Normal1linespace"/>
              <w:widowControl w:val="0"/>
              <w:jc w:val="left"/>
            </w:pPr>
          </w:p>
        </w:tc>
        <w:tc>
          <w:tcPr>
            <w:tcW w:w="5989" w:type="dxa"/>
            <w:shd w:val="clear" w:color="auto" w:fill="auto"/>
          </w:tcPr>
          <w:p w14:paraId="64F9DF3A" w14:textId="77777777" w:rsidR="00395B24" w:rsidRPr="00E136C5" w:rsidRDefault="00395B24" w:rsidP="00663878">
            <w:pPr>
              <w:pStyle w:val="Normal1linespace"/>
              <w:widowControl w:val="0"/>
              <w:jc w:val="left"/>
            </w:pPr>
          </w:p>
        </w:tc>
      </w:tr>
      <w:tr w:rsidR="00395B24" w:rsidRPr="00E136C5" w14:paraId="76C2B0DF" w14:textId="77777777" w:rsidTr="00A5553B">
        <w:tc>
          <w:tcPr>
            <w:tcW w:w="3083" w:type="dxa"/>
            <w:shd w:val="clear" w:color="auto" w:fill="auto"/>
          </w:tcPr>
          <w:p w14:paraId="48A2462F" w14:textId="77777777" w:rsidR="00395B24" w:rsidRPr="00E136C5" w:rsidRDefault="002C7385" w:rsidP="00663878">
            <w:pPr>
              <w:pStyle w:val="Normal1linespace"/>
              <w:widowControl w:val="0"/>
              <w:jc w:val="left"/>
            </w:pPr>
            <w:r w:rsidRPr="00E136C5">
              <w:t>Judg</w:t>
            </w:r>
            <w:r w:rsidR="005724F6" w:rsidRPr="00E136C5">
              <w:t>ment of</w:t>
            </w:r>
            <w:r w:rsidRPr="00E136C5">
              <w:t>:</w:t>
            </w:r>
          </w:p>
        </w:tc>
        <w:tc>
          <w:tcPr>
            <w:tcW w:w="5989" w:type="dxa"/>
            <w:shd w:val="clear" w:color="auto" w:fill="auto"/>
          </w:tcPr>
          <w:p w14:paraId="146B6307" w14:textId="77777777" w:rsidR="00395B24" w:rsidRPr="00E136C5" w:rsidRDefault="002C7385" w:rsidP="00663878">
            <w:pPr>
              <w:pStyle w:val="Normal1linespace"/>
              <w:widowControl w:val="0"/>
              <w:jc w:val="left"/>
              <w:rPr>
                <w:b/>
              </w:rPr>
            </w:pPr>
            <w:r w:rsidRPr="00E136C5">
              <w:rPr>
                <w:b/>
              </w:rPr>
              <w:fldChar w:fldCharType="begin" w:fldLock="1"/>
            </w:r>
            <w:r w:rsidRPr="00E136C5">
              <w:rPr>
                <w:b/>
              </w:rPr>
              <w:instrText xml:space="preserve"> REF  Judge  \* MERGEFORMAT </w:instrText>
            </w:r>
            <w:r w:rsidRPr="00E136C5">
              <w:rPr>
                <w:b/>
              </w:rPr>
              <w:fldChar w:fldCharType="separate"/>
            </w:r>
            <w:r w:rsidR="00D676EF" w:rsidRPr="00E136C5">
              <w:rPr>
                <w:b/>
                <w:caps/>
                <w:szCs w:val="24"/>
              </w:rPr>
              <w:t>HESPE J</w:t>
            </w:r>
            <w:r w:rsidRPr="00E136C5">
              <w:rPr>
                <w:b/>
              </w:rPr>
              <w:fldChar w:fldCharType="end"/>
            </w:r>
          </w:p>
        </w:tc>
      </w:tr>
      <w:tr w:rsidR="00395B24" w:rsidRPr="00E136C5" w14:paraId="4DA40612" w14:textId="77777777" w:rsidTr="00A5553B">
        <w:tc>
          <w:tcPr>
            <w:tcW w:w="3083" w:type="dxa"/>
            <w:shd w:val="clear" w:color="auto" w:fill="auto"/>
          </w:tcPr>
          <w:p w14:paraId="26085718" w14:textId="77777777" w:rsidR="00395B24" w:rsidRPr="00E136C5" w:rsidRDefault="00395B24" w:rsidP="00663878">
            <w:pPr>
              <w:pStyle w:val="Normal1linespace"/>
              <w:widowControl w:val="0"/>
              <w:jc w:val="left"/>
            </w:pPr>
          </w:p>
        </w:tc>
        <w:tc>
          <w:tcPr>
            <w:tcW w:w="5989" w:type="dxa"/>
            <w:shd w:val="clear" w:color="auto" w:fill="auto"/>
          </w:tcPr>
          <w:p w14:paraId="290205C4" w14:textId="77777777" w:rsidR="00395B24" w:rsidRPr="00E136C5" w:rsidRDefault="00395B24" w:rsidP="00663878">
            <w:pPr>
              <w:pStyle w:val="Normal1linespace"/>
              <w:widowControl w:val="0"/>
              <w:jc w:val="left"/>
            </w:pPr>
          </w:p>
        </w:tc>
      </w:tr>
      <w:tr w:rsidR="00395B24" w:rsidRPr="00E136C5" w14:paraId="1E7E6B12" w14:textId="77777777" w:rsidTr="00A5553B">
        <w:tc>
          <w:tcPr>
            <w:tcW w:w="3083" w:type="dxa"/>
            <w:shd w:val="clear" w:color="auto" w:fill="auto"/>
          </w:tcPr>
          <w:p w14:paraId="2889C086" w14:textId="77777777" w:rsidR="00395B24" w:rsidRPr="00E136C5" w:rsidRDefault="002C7385" w:rsidP="00663878">
            <w:pPr>
              <w:pStyle w:val="Normal1linespace"/>
              <w:widowControl w:val="0"/>
              <w:jc w:val="left"/>
            </w:pPr>
            <w:r w:rsidRPr="00E136C5">
              <w:t>Date of judgment:</w:t>
            </w:r>
          </w:p>
        </w:tc>
        <w:tc>
          <w:tcPr>
            <w:tcW w:w="5989" w:type="dxa"/>
            <w:shd w:val="clear" w:color="auto" w:fill="auto"/>
          </w:tcPr>
          <w:p w14:paraId="47ABA24E" w14:textId="4C263E44" w:rsidR="00395B24" w:rsidRPr="00E136C5" w:rsidRDefault="004C788C" w:rsidP="00663878">
            <w:pPr>
              <w:pStyle w:val="Normal1linespace"/>
              <w:widowControl w:val="0"/>
              <w:jc w:val="left"/>
            </w:pPr>
            <w:bookmarkStart w:id="1" w:name="JudgmentDate"/>
            <w:bookmarkEnd w:id="1"/>
            <w:r>
              <w:t>24 March 2023</w:t>
            </w:r>
          </w:p>
        </w:tc>
      </w:tr>
      <w:tr w:rsidR="00395B24" w:rsidRPr="00E136C5" w14:paraId="096C2B36" w14:textId="77777777" w:rsidTr="00A5553B">
        <w:tc>
          <w:tcPr>
            <w:tcW w:w="3083" w:type="dxa"/>
            <w:shd w:val="clear" w:color="auto" w:fill="auto"/>
          </w:tcPr>
          <w:p w14:paraId="72DE581E" w14:textId="77777777" w:rsidR="00395B24" w:rsidRPr="00E136C5" w:rsidRDefault="00395B24" w:rsidP="00663878">
            <w:pPr>
              <w:pStyle w:val="Normal1linespace"/>
              <w:widowControl w:val="0"/>
              <w:jc w:val="left"/>
            </w:pPr>
          </w:p>
        </w:tc>
        <w:tc>
          <w:tcPr>
            <w:tcW w:w="5989" w:type="dxa"/>
            <w:shd w:val="clear" w:color="auto" w:fill="auto"/>
          </w:tcPr>
          <w:p w14:paraId="56E77B25" w14:textId="77777777" w:rsidR="00395B24" w:rsidRPr="00E136C5" w:rsidRDefault="00395B24" w:rsidP="00663878">
            <w:pPr>
              <w:pStyle w:val="Normal1linespace"/>
              <w:widowControl w:val="0"/>
              <w:jc w:val="left"/>
            </w:pPr>
          </w:p>
        </w:tc>
      </w:tr>
      <w:tr w:rsidR="00395B24" w:rsidRPr="00D97515" w14:paraId="7DB1BF0D" w14:textId="77777777" w:rsidTr="00A5553B">
        <w:tc>
          <w:tcPr>
            <w:tcW w:w="3083" w:type="dxa"/>
            <w:shd w:val="clear" w:color="auto" w:fill="auto"/>
          </w:tcPr>
          <w:p w14:paraId="15C27842" w14:textId="77777777" w:rsidR="00395B24" w:rsidRPr="00E136C5" w:rsidRDefault="002C7385" w:rsidP="00663878">
            <w:pPr>
              <w:pStyle w:val="Normal1linespace"/>
              <w:widowControl w:val="0"/>
              <w:jc w:val="left"/>
            </w:pPr>
            <w:r w:rsidRPr="00E136C5">
              <w:t>Catchwords:</w:t>
            </w:r>
          </w:p>
        </w:tc>
        <w:tc>
          <w:tcPr>
            <w:tcW w:w="5989" w:type="dxa"/>
            <w:shd w:val="clear" w:color="auto" w:fill="auto"/>
          </w:tcPr>
          <w:p w14:paraId="608C33F2" w14:textId="4CE9BB45" w:rsidR="00395B24" w:rsidRPr="0098557F" w:rsidRDefault="00284EC6" w:rsidP="00FF71C3">
            <w:pPr>
              <w:pStyle w:val="008679f6"/>
              <w:textAlignment w:val="baseline"/>
              <w:rPr>
                <w:color w:val="000000"/>
                <w:bdr w:val="none" w:sz="0" w:space="0" w:color="auto" w:frame="1"/>
              </w:rPr>
            </w:pPr>
            <w:bookmarkStart w:id="2" w:name="Catchwords"/>
            <w:r>
              <w:rPr>
                <w:b/>
                <w:bCs/>
                <w:color w:val="000000"/>
                <w:bdr w:val="none" w:sz="0" w:space="0" w:color="auto" w:frame="1"/>
              </w:rPr>
              <w:t>TAXATION</w:t>
            </w:r>
            <w:r>
              <w:rPr>
                <w:color w:val="000000"/>
                <w:bdr w:val="none" w:sz="0" w:space="0" w:color="auto" w:frame="1"/>
              </w:rPr>
              <w:t> – Goods and Services Tax – </w:t>
            </w:r>
            <w:r>
              <w:rPr>
                <w:i/>
                <w:iCs/>
                <w:color w:val="000000"/>
                <w:bdr w:val="none" w:sz="0" w:space="0" w:color="auto" w:frame="1"/>
              </w:rPr>
              <w:t>A New Tax System (Goods and Services Tax) Act 1999 </w:t>
            </w:r>
            <w:r>
              <w:rPr>
                <w:color w:val="000000"/>
                <w:bdr w:val="none" w:sz="0" w:space="0" w:color="auto" w:frame="1"/>
              </w:rPr>
              <w:t>(</w:t>
            </w:r>
            <w:proofErr w:type="spellStart"/>
            <w:r>
              <w:rPr>
                <w:color w:val="000000"/>
                <w:bdr w:val="none" w:sz="0" w:space="0" w:color="auto" w:frame="1"/>
              </w:rPr>
              <w:t>Cth</w:t>
            </w:r>
            <w:proofErr w:type="spellEnd"/>
            <w:r>
              <w:rPr>
                <w:color w:val="000000"/>
                <w:bdr w:val="none" w:sz="0" w:space="0" w:color="auto" w:frame="1"/>
              </w:rPr>
              <w:t xml:space="preserve">) – whether applicant entitled to input tax credits in respect of payment of invoices for provision of </w:t>
            </w:r>
            <w:r w:rsidR="006757AE" w:rsidRPr="006757AE">
              <w:rPr>
                <w:color w:val="000000"/>
                <w:bdr w:val="none" w:sz="0" w:space="0" w:color="auto" w:frame="1"/>
              </w:rPr>
              <w:t>services</w:t>
            </w:r>
            <w:r w:rsidR="00834CAE">
              <w:rPr>
                <w:color w:val="000000"/>
                <w:bdr w:val="none" w:sz="0" w:space="0" w:color="auto" w:frame="1"/>
              </w:rPr>
              <w:t xml:space="preserve"> </w:t>
            </w:r>
            <w:r>
              <w:rPr>
                <w:color w:val="000000"/>
                <w:bdr w:val="none" w:sz="0" w:space="0" w:color="auto" w:frame="1"/>
              </w:rPr>
              <w:t xml:space="preserve">– whether </w:t>
            </w:r>
            <w:r w:rsidR="004459A8">
              <w:rPr>
                <w:color w:val="000000"/>
                <w:bdr w:val="none" w:sz="0" w:space="0" w:color="auto" w:frame="1"/>
              </w:rPr>
              <w:t xml:space="preserve">services </w:t>
            </w:r>
            <w:r>
              <w:rPr>
                <w:color w:val="000000"/>
                <w:bdr w:val="none" w:sz="0" w:space="0" w:color="auto" w:frame="1"/>
              </w:rPr>
              <w:t>acquired in carrying on an enterpris</w:t>
            </w:r>
            <w:r w:rsidR="003A3B4C">
              <w:rPr>
                <w:color w:val="000000"/>
                <w:bdr w:val="none" w:sz="0" w:space="0" w:color="auto" w:frame="1"/>
              </w:rPr>
              <w:t>e</w:t>
            </w:r>
            <w:bookmarkEnd w:id="2"/>
          </w:p>
        </w:tc>
      </w:tr>
      <w:tr w:rsidR="00395B24" w:rsidRPr="00D97515" w14:paraId="70141269" w14:textId="77777777" w:rsidTr="00A5553B">
        <w:tc>
          <w:tcPr>
            <w:tcW w:w="3083" w:type="dxa"/>
            <w:shd w:val="clear" w:color="auto" w:fill="auto"/>
          </w:tcPr>
          <w:p w14:paraId="26FB4465" w14:textId="77777777" w:rsidR="00395B24" w:rsidRPr="00D97515" w:rsidRDefault="00395B24" w:rsidP="00663878">
            <w:pPr>
              <w:pStyle w:val="Normal1linespace"/>
              <w:widowControl w:val="0"/>
              <w:jc w:val="left"/>
            </w:pPr>
          </w:p>
        </w:tc>
        <w:tc>
          <w:tcPr>
            <w:tcW w:w="5989" w:type="dxa"/>
            <w:shd w:val="clear" w:color="auto" w:fill="auto"/>
          </w:tcPr>
          <w:p w14:paraId="107B951C" w14:textId="77777777" w:rsidR="00395B24" w:rsidRPr="00D97515" w:rsidRDefault="00395B24" w:rsidP="00663878">
            <w:pPr>
              <w:pStyle w:val="Normal1linespace"/>
              <w:widowControl w:val="0"/>
              <w:jc w:val="left"/>
            </w:pPr>
          </w:p>
        </w:tc>
      </w:tr>
      <w:tr w:rsidR="00395B24" w:rsidRPr="00D97515" w14:paraId="74651C8B" w14:textId="77777777" w:rsidTr="00A5553B">
        <w:tc>
          <w:tcPr>
            <w:tcW w:w="3083" w:type="dxa"/>
            <w:shd w:val="clear" w:color="auto" w:fill="auto"/>
          </w:tcPr>
          <w:p w14:paraId="4D132BAC" w14:textId="77777777" w:rsidR="00395B24" w:rsidRPr="00D97515" w:rsidRDefault="002C7385" w:rsidP="00663878">
            <w:pPr>
              <w:pStyle w:val="Normal1linespace"/>
              <w:widowControl w:val="0"/>
              <w:jc w:val="left"/>
            </w:pPr>
            <w:r w:rsidRPr="00D97515">
              <w:t>Legislation:</w:t>
            </w:r>
          </w:p>
        </w:tc>
        <w:tc>
          <w:tcPr>
            <w:tcW w:w="5989" w:type="dxa"/>
            <w:shd w:val="clear" w:color="auto" w:fill="auto"/>
          </w:tcPr>
          <w:p w14:paraId="3E47E586" w14:textId="571DBFB3" w:rsidR="004459A8" w:rsidRDefault="004459A8" w:rsidP="00D82620">
            <w:pPr>
              <w:pStyle w:val="CasesLegislationAppealFrom"/>
              <w:spacing w:after="60"/>
              <w:rPr>
                <w:i/>
              </w:rPr>
            </w:pPr>
            <w:bookmarkStart w:id="3" w:name="Legislation"/>
            <w:r w:rsidRPr="004459A8">
              <w:rPr>
                <w:i/>
              </w:rPr>
              <w:t xml:space="preserve">A New Tax System (Goods and Services Tax) Act 1999 </w:t>
            </w:r>
            <w:r w:rsidRPr="008E1D1C">
              <w:t>(</w:t>
            </w:r>
            <w:proofErr w:type="spellStart"/>
            <w:r w:rsidRPr="008E1D1C">
              <w:t>Cth</w:t>
            </w:r>
            <w:proofErr w:type="spellEnd"/>
            <w:r w:rsidRPr="008E1D1C">
              <w:t>)</w:t>
            </w:r>
            <w:r>
              <w:t xml:space="preserve"> </w:t>
            </w:r>
            <w:proofErr w:type="spellStart"/>
            <w:r>
              <w:t>ss</w:t>
            </w:r>
            <w:proofErr w:type="spellEnd"/>
            <w:r>
              <w:t xml:space="preserve"> </w:t>
            </w:r>
            <w:r w:rsidR="008E1D1C">
              <w:t xml:space="preserve">9-5, 9-20, </w:t>
            </w:r>
            <w:r>
              <w:t>11</w:t>
            </w:r>
            <w:r w:rsidRPr="004459A8">
              <w:t>‑</w:t>
            </w:r>
            <w:r>
              <w:t>5,</w:t>
            </w:r>
            <w:r w:rsidR="008E1D1C">
              <w:t xml:space="preserve"> 11-10</w:t>
            </w:r>
            <w:r w:rsidR="003A3B4C">
              <w:t>,</w:t>
            </w:r>
            <w:r>
              <w:t xml:space="preserve"> 11</w:t>
            </w:r>
            <w:r w:rsidRPr="004459A8">
              <w:t>‑</w:t>
            </w:r>
            <w:r>
              <w:t>15</w:t>
            </w:r>
            <w:r w:rsidR="003A3B4C">
              <w:t xml:space="preserve">, </w:t>
            </w:r>
            <w:r w:rsidR="003A3B4C" w:rsidRPr="003A3B4C">
              <w:t>40‑5</w:t>
            </w:r>
          </w:p>
          <w:p w14:paraId="737F441E" w14:textId="1627910D" w:rsidR="00395B24" w:rsidRPr="00D97515" w:rsidRDefault="002066A5" w:rsidP="00A5553B">
            <w:pPr>
              <w:pStyle w:val="CasesLegislationAppealFrom"/>
              <w:spacing w:after="60"/>
            </w:pPr>
            <w:r w:rsidRPr="008E1D1C">
              <w:rPr>
                <w:i/>
              </w:rPr>
              <w:t>Taxation Administration Act 1953</w:t>
            </w:r>
            <w:r w:rsidRPr="002066A5">
              <w:t xml:space="preserve"> (</w:t>
            </w:r>
            <w:proofErr w:type="spellStart"/>
            <w:r w:rsidRPr="002066A5">
              <w:t>Cth</w:t>
            </w:r>
            <w:proofErr w:type="spellEnd"/>
            <w:r w:rsidRPr="002066A5">
              <w:t>)</w:t>
            </w:r>
            <w:bookmarkEnd w:id="3"/>
          </w:p>
        </w:tc>
      </w:tr>
      <w:tr w:rsidR="00395B24" w:rsidRPr="00D97515" w14:paraId="7E56F1B9" w14:textId="77777777" w:rsidTr="00A5553B">
        <w:tc>
          <w:tcPr>
            <w:tcW w:w="3083" w:type="dxa"/>
            <w:shd w:val="clear" w:color="auto" w:fill="auto"/>
          </w:tcPr>
          <w:p w14:paraId="66050531" w14:textId="77777777" w:rsidR="00395B24" w:rsidRPr="00D97515" w:rsidRDefault="00395B24" w:rsidP="00663878">
            <w:pPr>
              <w:pStyle w:val="Normal1linespace"/>
              <w:widowControl w:val="0"/>
              <w:jc w:val="left"/>
            </w:pPr>
          </w:p>
        </w:tc>
        <w:tc>
          <w:tcPr>
            <w:tcW w:w="5989" w:type="dxa"/>
            <w:shd w:val="clear" w:color="auto" w:fill="auto"/>
          </w:tcPr>
          <w:p w14:paraId="69A51D03" w14:textId="77777777" w:rsidR="00395B24" w:rsidRPr="00D97515" w:rsidRDefault="00395B24" w:rsidP="00663878">
            <w:pPr>
              <w:pStyle w:val="Normal1linespace"/>
              <w:widowControl w:val="0"/>
              <w:jc w:val="left"/>
            </w:pPr>
          </w:p>
        </w:tc>
      </w:tr>
      <w:tr w:rsidR="00395B24" w:rsidRPr="00D97515" w14:paraId="67C67458" w14:textId="77777777" w:rsidTr="00A5553B">
        <w:tc>
          <w:tcPr>
            <w:tcW w:w="3083" w:type="dxa"/>
            <w:shd w:val="clear" w:color="auto" w:fill="auto"/>
          </w:tcPr>
          <w:p w14:paraId="68844D27" w14:textId="77777777" w:rsidR="00395B24" w:rsidRPr="00D97515" w:rsidRDefault="002C7385" w:rsidP="00663878">
            <w:pPr>
              <w:pStyle w:val="Normal1linespace"/>
              <w:widowControl w:val="0"/>
              <w:jc w:val="left"/>
            </w:pPr>
            <w:r w:rsidRPr="00D97515">
              <w:t>Cases cited:</w:t>
            </w:r>
          </w:p>
        </w:tc>
        <w:tc>
          <w:tcPr>
            <w:tcW w:w="5989" w:type="dxa"/>
            <w:shd w:val="clear" w:color="auto" w:fill="auto"/>
          </w:tcPr>
          <w:p w14:paraId="72E0E8C6" w14:textId="77777777" w:rsidR="00AA1CF5" w:rsidRDefault="00AA1CF5" w:rsidP="008E1D1C">
            <w:pPr>
              <w:pStyle w:val="CasesLegislationAppealFrom"/>
              <w:spacing w:after="60"/>
            </w:pPr>
            <w:bookmarkStart w:id="4" w:name="Cases_Cited"/>
            <w:r w:rsidRPr="005C759C">
              <w:rPr>
                <w:i/>
              </w:rPr>
              <w:t xml:space="preserve">Commissioner of Taxation v Myer Emporium Ltd </w:t>
            </w:r>
            <w:r w:rsidRPr="00266F66">
              <w:t>(1987) 163 CLR 199</w:t>
            </w:r>
          </w:p>
          <w:p w14:paraId="0DD9B44B" w14:textId="03371302" w:rsidR="008E1D1C" w:rsidRDefault="008E1D1C" w:rsidP="008E1D1C">
            <w:pPr>
              <w:pStyle w:val="CasesLegislationAppealFrom"/>
              <w:spacing w:after="60"/>
              <w:rPr>
                <w:i/>
                <w:shd w:val="clear" w:color="auto" w:fill="FFFFFF"/>
              </w:rPr>
            </w:pPr>
            <w:r>
              <w:rPr>
                <w:i/>
                <w:shd w:val="clear" w:color="auto" w:fill="FFFFFF"/>
              </w:rPr>
              <w:t xml:space="preserve">Cox v </w:t>
            </w:r>
            <w:proofErr w:type="spellStart"/>
            <w:r>
              <w:rPr>
                <w:i/>
                <w:shd w:val="clear" w:color="auto" w:fill="FFFFFF"/>
              </w:rPr>
              <w:t>Smail</w:t>
            </w:r>
            <w:proofErr w:type="spellEnd"/>
            <w:r>
              <w:rPr>
                <w:shd w:val="clear" w:color="auto" w:fill="FFFFFF"/>
              </w:rPr>
              <w:t xml:space="preserve"> [1912] VLR 274</w:t>
            </w:r>
          </w:p>
          <w:p w14:paraId="1E43AE0D" w14:textId="6105D301" w:rsidR="00C27689" w:rsidRDefault="00C27689" w:rsidP="008E1D1C">
            <w:pPr>
              <w:pStyle w:val="CasesLegislationAppealFrom"/>
              <w:spacing w:after="60"/>
              <w:rPr>
                <w:i/>
              </w:rPr>
            </w:pPr>
            <w:r w:rsidRPr="00D97515">
              <w:rPr>
                <w:i/>
                <w:lang w:eastAsia="en-AU"/>
              </w:rPr>
              <w:t xml:space="preserve">Customs and Excise Commissioners v </w:t>
            </w:r>
            <w:proofErr w:type="spellStart"/>
            <w:r w:rsidRPr="00D97515">
              <w:rPr>
                <w:i/>
                <w:lang w:eastAsia="en-AU"/>
              </w:rPr>
              <w:t>Redrow</w:t>
            </w:r>
            <w:proofErr w:type="spellEnd"/>
            <w:r w:rsidRPr="00D97515">
              <w:rPr>
                <w:i/>
                <w:lang w:eastAsia="en-AU"/>
              </w:rPr>
              <w:t xml:space="preserve"> Group Plc</w:t>
            </w:r>
            <w:r w:rsidRPr="00D97515">
              <w:rPr>
                <w:lang w:eastAsia="en-AU"/>
              </w:rPr>
              <w:t xml:space="preserve"> </w:t>
            </w:r>
            <w:r w:rsidRPr="001608BB">
              <w:rPr>
                <w:lang w:eastAsia="en-AU"/>
              </w:rPr>
              <w:t>[1999] 1 WLR 408</w:t>
            </w:r>
          </w:p>
          <w:p w14:paraId="4B40CB34" w14:textId="5D519811" w:rsidR="00AA1CF5" w:rsidRDefault="00AA1CF5" w:rsidP="008E1D1C">
            <w:pPr>
              <w:pStyle w:val="CasesLegislationAppealFrom"/>
              <w:spacing w:after="60"/>
            </w:pPr>
            <w:r w:rsidRPr="005C759C">
              <w:rPr>
                <w:i/>
              </w:rPr>
              <w:t xml:space="preserve">Edwards (Inspector of Taxes) v </w:t>
            </w:r>
            <w:proofErr w:type="spellStart"/>
            <w:r w:rsidRPr="005C759C">
              <w:rPr>
                <w:i/>
              </w:rPr>
              <w:t>Barnstow</w:t>
            </w:r>
            <w:proofErr w:type="spellEnd"/>
            <w:r w:rsidRPr="005C759C">
              <w:rPr>
                <w:i/>
              </w:rPr>
              <w:t xml:space="preserve"> </w:t>
            </w:r>
            <w:r>
              <w:t>[1956] AC 14</w:t>
            </w:r>
          </w:p>
          <w:p w14:paraId="69FF84F6" w14:textId="53F5C6F7" w:rsidR="00C27689" w:rsidRDefault="00C27689" w:rsidP="008E1D1C">
            <w:pPr>
              <w:pStyle w:val="CasesLegislationAppealFrom"/>
              <w:spacing w:after="60"/>
              <w:rPr>
                <w:i/>
              </w:rPr>
            </w:pPr>
            <w:r>
              <w:rPr>
                <w:i/>
              </w:rPr>
              <w:t xml:space="preserve">Federal Commissioner of Taxation v </w:t>
            </w:r>
            <w:r w:rsidRPr="005C6626">
              <w:rPr>
                <w:i/>
              </w:rPr>
              <w:t>MBI Properties</w:t>
            </w:r>
            <w:r w:rsidRPr="00D97515">
              <w:rPr>
                <w:i/>
              </w:rPr>
              <w:t xml:space="preserve"> </w:t>
            </w:r>
            <w:r>
              <w:rPr>
                <w:i/>
              </w:rPr>
              <w:t>Pty Ltd</w:t>
            </w:r>
            <w:r>
              <w:t xml:space="preserve"> </w:t>
            </w:r>
            <w:r w:rsidRPr="005C6626">
              <w:t>[2014] HCA 49</w:t>
            </w:r>
            <w:r>
              <w:t>;</w:t>
            </w:r>
            <w:r w:rsidRPr="005C6626">
              <w:t xml:space="preserve"> </w:t>
            </w:r>
            <w:r w:rsidRPr="00D97515">
              <w:t>(2014)</w:t>
            </w:r>
            <w:r>
              <w:t xml:space="preserve"> </w:t>
            </w:r>
            <w:r w:rsidRPr="005C6626">
              <w:t>254 CLR 376</w:t>
            </w:r>
          </w:p>
          <w:p w14:paraId="51093906" w14:textId="6BA18438" w:rsidR="00673756" w:rsidRDefault="00673756" w:rsidP="008E1D1C">
            <w:pPr>
              <w:pStyle w:val="CasesLegislationAppealFrom"/>
              <w:spacing w:after="60"/>
              <w:rPr>
                <w:i/>
              </w:rPr>
            </w:pPr>
            <w:r w:rsidRPr="00537CDA">
              <w:rPr>
                <w:i/>
              </w:rPr>
              <w:t xml:space="preserve">Federal </w:t>
            </w:r>
            <w:r w:rsidRPr="00537CDA">
              <w:rPr>
                <w:i/>
                <w:iCs/>
                <w:shd w:val="clear" w:color="auto" w:fill="FFFFFF"/>
              </w:rPr>
              <w:t>Commissioner of Taxation v Montgomery</w:t>
            </w:r>
            <w:r w:rsidRPr="00537CDA">
              <w:rPr>
                <w:shd w:val="clear" w:color="auto" w:fill="FFFFFF"/>
              </w:rPr>
              <w:t> [1999] HCA 34; 198 CLR 639</w:t>
            </w:r>
          </w:p>
          <w:p w14:paraId="43DA7CAD" w14:textId="3504127A" w:rsidR="00A25955" w:rsidRDefault="00A25955" w:rsidP="008E1D1C">
            <w:pPr>
              <w:pStyle w:val="CasesLegislationAppealFrom"/>
              <w:spacing w:after="60"/>
              <w:rPr>
                <w:i/>
              </w:rPr>
            </w:pPr>
            <w:r>
              <w:rPr>
                <w:i/>
                <w:shd w:val="clear" w:color="auto" w:fill="FFFFFF"/>
              </w:rPr>
              <w:t xml:space="preserve">Federal Commissioner of Taxation v </w:t>
            </w:r>
            <w:r w:rsidRPr="00695EDD">
              <w:rPr>
                <w:i/>
                <w:shd w:val="clear" w:color="auto" w:fill="FFFFFF"/>
              </w:rPr>
              <w:t xml:space="preserve">Radnor </w:t>
            </w:r>
            <w:r>
              <w:rPr>
                <w:i/>
                <w:shd w:val="clear" w:color="auto" w:fill="FFFFFF"/>
              </w:rPr>
              <w:t>Pty Ltd</w:t>
            </w:r>
            <w:r>
              <w:rPr>
                <w:shd w:val="clear" w:color="auto" w:fill="FFFFFF"/>
              </w:rPr>
              <w:t xml:space="preserve"> </w:t>
            </w:r>
            <w:r w:rsidRPr="00695EDD">
              <w:rPr>
                <w:shd w:val="clear" w:color="auto" w:fill="FFFFFF"/>
              </w:rPr>
              <w:t>(1991) 102 ALR 187</w:t>
            </w:r>
          </w:p>
          <w:p w14:paraId="7EC3B47E" w14:textId="43D0FF2F" w:rsidR="00673756" w:rsidRDefault="00673756" w:rsidP="008E1D1C">
            <w:pPr>
              <w:pStyle w:val="CasesLegislationAppealFrom"/>
              <w:spacing w:after="60"/>
              <w:rPr>
                <w:i/>
              </w:rPr>
            </w:pPr>
            <w:r>
              <w:rPr>
                <w:i/>
              </w:rPr>
              <w:t xml:space="preserve">Federal </w:t>
            </w:r>
            <w:r w:rsidRPr="00D97515">
              <w:rPr>
                <w:i/>
              </w:rPr>
              <w:t xml:space="preserve">Commissioner of Taxation v </w:t>
            </w:r>
            <w:r w:rsidRPr="00673756">
              <w:rPr>
                <w:i/>
              </w:rPr>
              <w:t>Stone</w:t>
            </w:r>
            <w:r w:rsidRPr="00D97515">
              <w:rPr>
                <w:i/>
              </w:rPr>
              <w:t xml:space="preserve"> </w:t>
            </w:r>
            <w:r>
              <w:t xml:space="preserve">[2005] </w:t>
            </w:r>
            <w:r w:rsidRPr="001225DE">
              <w:t>HCA 21</w:t>
            </w:r>
            <w:r>
              <w:t>;</w:t>
            </w:r>
            <w:r w:rsidRPr="001225DE">
              <w:t xml:space="preserve"> </w:t>
            </w:r>
            <w:r w:rsidRPr="00D97515">
              <w:t>(2005) 222 CLR 289</w:t>
            </w:r>
          </w:p>
          <w:p w14:paraId="7761E029" w14:textId="5094FD3C" w:rsidR="00AA1CF5" w:rsidRDefault="00AA1CF5" w:rsidP="008E1D1C">
            <w:pPr>
              <w:pStyle w:val="CasesLegislationAppealFrom"/>
              <w:spacing w:after="60"/>
              <w:rPr>
                <w:i/>
                <w:shd w:val="clear" w:color="auto" w:fill="FFFFFF"/>
              </w:rPr>
            </w:pPr>
            <w:r w:rsidRPr="005C759C">
              <w:rPr>
                <w:i/>
              </w:rPr>
              <w:t>Federal Commissioner of Taxation v Visy Industries USA Pty Ltd</w:t>
            </w:r>
            <w:r w:rsidRPr="005C759C">
              <w:t xml:space="preserve"> [2012] FCAFC 106; (2012) 205 FCR 317</w:t>
            </w:r>
          </w:p>
          <w:p w14:paraId="2EB3CD8D" w14:textId="2F1FF0B3" w:rsidR="008E1D1C" w:rsidRDefault="008E1D1C" w:rsidP="008E1D1C">
            <w:pPr>
              <w:pStyle w:val="CasesLegislationAppealFrom"/>
              <w:spacing w:after="60"/>
              <w:rPr>
                <w:shd w:val="clear" w:color="auto" w:fill="FFFFFF"/>
              </w:rPr>
            </w:pPr>
            <w:r w:rsidRPr="005F6315">
              <w:rPr>
                <w:i/>
                <w:shd w:val="clear" w:color="auto" w:fill="FFFFFF"/>
              </w:rPr>
              <w:t>Pascoe v Commissioner of Taxation </w:t>
            </w:r>
            <w:r w:rsidRPr="005F6315">
              <w:rPr>
                <w:shd w:val="clear" w:color="auto" w:fill="FFFFFF"/>
              </w:rPr>
              <w:t xml:space="preserve">(1956) </w:t>
            </w:r>
            <w:r>
              <w:rPr>
                <w:shd w:val="clear" w:color="auto" w:fill="FFFFFF"/>
              </w:rPr>
              <w:t>30 ALJR 402</w:t>
            </w:r>
          </w:p>
          <w:p w14:paraId="742F04D5" w14:textId="77777777" w:rsidR="00AA1CF5" w:rsidRDefault="008E1D1C" w:rsidP="008E1D1C">
            <w:pPr>
              <w:pStyle w:val="CasesLegislationAppealFrom"/>
              <w:spacing w:after="60"/>
            </w:pPr>
            <w:r w:rsidRPr="008E1D1C">
              <w:rPr>
                <w:i/>
              </w:rPr>
              <w:t>Professional Admin Service Centres Pty</w:t>
            </w:r>
            <w:r w:rsidRPr="00576C91">
              <w:rPr>
                <w:i/>
              </w:rPr>
              <w:t xml:space="preserve"> Ltd v Federal Commissioner of Taxation</w:t>
            </w:r>
            <w:r>
              <w:t xml:space="preserve"> [2013] FCA 1123; </w:t>
            </w:r>
            <w:r w:rsidRPr="00D772AB">
              <w:t>(2013) 94 ATR 445</w:t>
            </w:r>
          </w:p>
          <w:p w14:paraId="431799BF" w14:textId="3646F0F3" w:rsidR="0098557F" w:rsidRDefault="0098557F" w:rsidP="00AA1CF5">
            <w:pPr>
              <w:pStyle w:val="CasesLegislationAppealFrom"/>
              <w:spacing w:after="60"/>
            </w:pPr>
            <w:r w:rsidRPr="00D97515">
              <w:rPr>
                <w:i/>
              </w:rPr>
              <w:t>Secretar</w:t>
            </w:r>
            <w:r w:rsidRPr="0098557F">
              <w:rPr>
                <w:i/>
              </w:rPr>
              <w:t>y, Department of Transport (</w:t>
            </w:r>
            <w:r w:rsidRPr="00D97515">
              <w:rPr>
                <w:i/>
              </w:rPr>
              <w:t>Vic) v Commissioner of Taxation</w:t>
            </w:r>
            <w:r>
              <w:t xml:space="preserve"> </w:t>
            </w:r>
            <w:r w:rsidRPr="00890E20">
              <w:t>[2009] FCA 1209</w:t>
            </w:r>
            <w:r>
              <w:t>;</w:t>
            </w:r>
            <w:r w:rsidRPr="00D97515">
              <w:rPr>
                <w:i/>
              </w:rPr>
              <w:t xml:space="preserve"> </w:t>
            </w:r>
            <w:r w:rsidRPr="00D97515">
              <w:t>(2009) 261 ALR 39</w:t>
            </w:r>
          </w:p>
          <w:p w14:paraId="5A967D1B" w14:textId="3086824F" w:rsidR="0098557F" w:rsidRDefault="0098557F" w:rsidP="00AA1CF5">
            <w:pPr>
              <w:pStyle w:val="CasesLegislationAppealFrom"/>
              <w:spacing w:after="60"/>
              <w:rPr>
                <w:i/>
              </w:rPr>
            </w:pPr>
            <w:r w:rsidRPr="0098557F">
              <w:rPr>
                <w:i/>
              </w:rPr>
              <w:t>Secretary, Department of Transport (Vic) v Commissioner of Taxation</w:t>
            </w:r>
            <w:r>
              <w:t xml:space="preserve"> </w:t>
            </w:r>
            <w:r w:rsidRPr="0098557F">
              <w:t>[2010] FCAFC 84; (2010) 188 FCR 167</w:t>
            </w:r>
          </w:p>
          <w:p w14:paraId="4945E2D6" w14:textId="0ECD8FD3" w:rsidR="00906641" w:rsidRDefault="00906641" w:rsidP="00AA1CF5">
            <w:pPr>
              <w:pStyle w:val="CasesLegislationAppealFrom"/>
              <w:spacing w:after="60"/>
              <w:rPr>
                <w:i/>
              </w:rPr>
            </w:pPr>
            <w:r w:rsidRPr="00D97515">
              <w:rPr>
                <w:i/>
              </w:rPr>
              <w:lastRenderedPageBreak/>
              <w:t>Stone v F</w:t>
            </w:r>
            <w:r>
              <w:rPr>
                <w:i/>
              </w:rPr>
              <w:t xml:space="preserve">ederal </w:t>
            </w:r>
            <w:r w:rsidRPr="00D97515">
              <w:rPr>
                <w:i/>
              </w:rPr>
              <w:t>C</w:t>
            </w:r>
            <w:r>
              <w:rPr>
                <w:i/>
              </w:rPr>
              <w:t xml:space="preserve">ommissioner of </w:t>
            </w:r>
            <w:r w:rsidRPr="00D97515">
              <w:rPr>
                <w:i/>
              </w:rPr>
              <w:t>T</w:t>
            </w:r>
            <w:r>
              <w:rPr>
                <w:i/>
              </w:rPr>
              <w:t>axation</w:t>
            </w:r>
            <w:r w:rsidRPr="00D97515">
              <w:rPr>
                <w:i/>
              </w:rPr>
              <w:t xml:space="preserve"> </w:t>
            </w:r>
            <w:r w:rsidRPr="00D97515">
              <w:t>(1918) 25 CLR 389</w:t>
            </w:r>
          </w:p>
          <w:p w14:paraId="29852045" w14:textId="3429F918" w:rsidR="00AA1CF5" w:rsidRDefault="00AA1CF5" w:rsidP="00AA1CF5">
            <w:pPr>
              <w:pStyle w:val="CasesLegislationAppealFrom"/>
              <w:spacing w:after="60"/>
              <w:rPr>
                <w:i/>
              </w:rPr>
            </w:pPr>
            <w:proofErr w:type="spellStart"/>
            <w:r w:rsidRPr="005C759C">
              <w:rPr>
                <w:i/>
              </w:rPr>
              <w:t>Thiel</w:t>
            </w:r>
            <w:proofErr w:type="spellEnd"/>
            <w:r w:rsidRPr="005C759C">
              <w:rPr>
                <w:i/>
              </w:rPr>
              <w:t xml:space="preserve"> v Federal Commissioner of Taxation </w:t>
            </w:r>
            <w:r w:rsidRPr="00D45C94">
              <w:t>(1990) 171 CLR 338</w:t>
            </w:r>
          </w:p>
          <w:p w14:paraId="4B4721E8" w14:textId="77777777" w:rsidR="00673756" w:rsidRDefault="00673756" w:rsidP="00673756">
            <w:pPr>
              <w:pStyle w:val="CasesLegislationAppealFrom"/>
              <w:spacing w:after="60"/>
            </w:pPr>
            <w:r w:rsidRPr="00673756">
              <w:rPr>
                <w:i/>
              </w:rPr>
              <w:t>Watson</w:t>
            </w:r>
            <w:r w:rsidRPr="00537CDA">
              <w:rPr>
                <w:i/>
              </w:rPr>
              <w:t xml:space="preserve"> v Federal Commissioner of Taxation</w:t>
            </w:r>
            <w:r>
              <w:t xml:space="preserve"> </w:t>
            </w:r>
            <w:r w:rsidRPr="003B0D46">
              <w:t>[2020] FCAFC 92</w:t>
            </w:r>
            <w:r>
              <w:t>;</w:t>
            </w:r>
            <w:r w:rsidRPr="003B0D46">
              <w:t xml:space="preserve"> (2020) 277 FCR 253</w:t>
            </w:r>
          </w:p>
          <w:p w14:paraId="3690B041" w14:textId="3F541F6E" w:rsidR="00395B24" w:rsidRPr="00D97515" w:rsidRDefault="00673756" w:rsidP="00906641">
            <w:pPr>
              <w:pStyle w:val="CasesLegislationAppealFrom"/>
              <w:spacing w:after="60"/>
            </w:pPr>
            <w:r w:rsidRPr="001225DE">
              <w:rPr>
                <w:i/>
                <w:iCs/>
                <w:shd w:val="clear" w:color="auto" w:fill="FFFFFF"/>
              </w:rPr>
              <w:t xml:space="preserve">Western Gold Mines NL v Commissioner of Taxation (WA) </w:t>
            </w:r>
            <w:r w:rsidRPr="001225DE">
              <w:rPr>
                <w:shd w:val="clear" w:color="auto" w:fill="FFFFFF"/>
              </w:rPr>
              <w:t>(1938) 59 CLR 729</w:t>
            </w:r>
            <w:r w:rsidR="002C7385" w:rsidRPr="00D97515">
              <w:t xml:space="preserve"> </w:t>
            </w:r>
            <w:bookmarkEnd w:id="4"/>
          </w:p>
        </w:tc>
      </w:tr>
      <w:tr w:rsidR="00D676EF" w:rsidRPr="00D97515" w14:paraId="42789D29" w14:textId="77777777" w:rsidTr="00A5553B">
        <w:tc>
          <w:tcPr>
            <w:tcW w:w="3083" w:type="dxa"/>
            <w:shd w:val="clear" w:color="auto" w:fill="auto"/>
          </w:tcPr>
          <w:p w14:paraId="436A3FCA" w14:textId="77777777" w:rsidR="00D676EF" w:rsidRPr="00D97515" w:rsidRDefault="00D676EF" w:rsidP="00C108ED">
            <w:pPr>
              <w:pStyle w:val="Normal1linespace"/>
              <w:widowControl w:val="0"/>
            </w:pPr>
          </w:p>
        </w:tc>
        <w:tc>
          <w:tcPr>
            <w:tcW w:w="5989" w:type="dxa"/>
            <w:shd w:val="clear" w:color="auto" w:fill="auto"/>
          </w:tcPr>
          <w:p w14:paraId="5E1E10D5" w14:textId="77777777" w:rsidR="00D676EF" w:rsidRPr="00D97515" w:rsidRDefault="00D676EF" w:rsidP="00C108ED">
            <w:pPr>
              <w:pStyle w:val="Normal1linespace"/>
              <w:widowControl w:val="0"/>
              <w:jc w:val="left"/>
            </w:pPr>
          </w:p>
        </w:tc>
      </w:tr>
      <w:tr w:rsidR="00D676EF" w:rsidRPr="00D97515" w14:paraId="51DD1B30" w14:textId="77777777" w:rsidTr="00A5553B">
        <w:tc>
          <w:tcPr>
            <w:tcW w:w="3083" w:type="dxa"/>
            <w:shd w:val="clear" w:color="auto" w:fill="auto"/>
          </w:tcPr>
          <w:p w14:paraId="2832094F" w14:textId="77777777" w:rsidR="00D676EF" w:rsidRPr="00D97515" w:rsidRDefault="00D676EF" w:rsidP="00501A12">
            <w:pPr>
              <w:pStyle w:val="Normal1linespace"/>
              <w:widowControl w:val="0"/>
            </w:pPr>
            <w:r w:rsidRPr="00D97515">
              <w:t>Division:</w:t>
            </w:r>
          </w:p>
        </w:tc>
        <w:tc>
          <w:tcPr>
            <w:tcW w:w="5989" w:type="dxa"/>
            <w:shd w:val="clear" w:color="auto" w:fill="auto"/>
          </w:tcPr>
          <w:p w14:paraId="229BE641" w14:textId="77777777" w:rsidR="00D676EF" w:rsidRPr="00D97515" w:rsidRDefault="001E0CF5" w:rsidP="00501A12">
            <w:pPr>
              <w:pStyle w:val="Normal1linespace"/>
              <w:widowControl w:val="0"/>
              <w:jc w:val="left"/>
            </w:pPr>
            <w:r>
              <w:fldChar w:fldCharType="begin"/>
            </w:r>
            <w:r>
              <w:instrText xml:space="preserve"> DOCPROPERTY  Division </w:instrText>
            </w:r>
            <w:r>
              <w:fldChar w:fldCharType="separate"/>
            </w:r>
            <w:r w:rsidR="00D676EF" w:rsidRPr="00D97515">
              <w:t>General Division</w:t>
            </w:r>
            <w:r>
              <w:fldChar w:fldCharType="end"/>
            </w:r>
          </w:p>
        </w:tc>
      </w:tr>
      <w:tr w:rsidR="00D676EF" w:rsidRPr="00D97515" w14:paraId="3F86AB16" w14:textId="77777777" w:rsidTr="00A5553B">
        <w:tc>
          <w:tcPr>
            <w:tcW w:w="3083" w:type="dxa"/>
            <w:shd w:val="clear" w:color="auto" w:fill="auto"/>
          </w:tcPr>
          <w:p w14:paraId="2A68D688" w14:textId="77777777" w:rsidR="00D676EF" w:rsidRPr="00D97515" w:rsidRDefault="00D676EF" w:rsidP="00501A12">
            <w:pPr>
              <w:pStyle w:val="Normal1linespace"/>
              <w:widowControl w:val="0"/>
            </w:pPr>
            <w:bookmarkStart w:id="5" w:name="Registry_rows" w:colFirst="0" w:colLast="1"/>
          </w:p>
        </w:tc>
        <w:tc>
          <w:tcPr>
            <w:tcW w:w="5989" w:type="dxa"/>
            <w:shd w:val="clear" w:color="auto" w:fill="auto"/>
          </w:tcPr>
          <w:p w14:paraId="12FAEDEF" w14:textId="77777777" w:rsidR="00D676EF" w:rsidRPr="00D97515" w:rsidRDefault="00D676EF" w:rsidP="00501A12">
            <w:pPr>
              <w:pStyle w:val="Normal1linespace"/>
              <w:widowControl w:val="0"/>
              <w:jc w:val="left"/>
            </w:pPr>
          </w:p>
        </w:tc>
      </w:tr>
      <w:tr w:rsidR="00D676EF" w:rsidRPr="00D97515" w14:paraId="60031B69" w14:textId="77777777" w:rsidTr="00A5553B">
        <w:tc>
          <w:tcPr>
            <w:tcW w:w="3083" w:type="dxa"/>
            <w:shd w:val="clear" w:color="auto" w:fill="auto"/>
          </w:tcPr>
          <w:p w14:paraId="2C5E4CDA" w14:textId="77777777" w:rsidR="00D676EF" w:rsidRPr="00D97515" w:rsidRDefault="00D676EF" w:rsidP="00501A12">
            <w:pPr>
              <w:pStyle w:val="Normal1linespace"/>
              <w:widowControl w:val="0"/>
            </w:pPr>
            <w:r w:rsidRPr="00D97515">
              <w:t>Registry:</w:t>
            </w:r>
          </w:p>
        </w:tc>
        <w:tc>
          <w:tcPr>
            <w:tcW w:w="5989" w:type="dxa"/>
            <w:shd w:val="clear" w:color="auto" w:fill="auto"/>
          </w:tcPr>
          <w:p w14:paraId="38B70337" w14:textId="77777777" w:rsidR="00D676EF" w:rsidRPr="00D97515" w:rsidRDefault="001E0CF5" w:rsidP="00501A12">
            <w:pPr>
              <w:pStyle w:val="Normal1linespace"/>
              <w:widowControl w:val="0"/>
              <w:jc w:val="left"/>
            </w:pPr>
            <w:r>
              <w:fldChar w:fldCharType="begin"/>
            </w:r>
            <w:r>
              <w:instrText xml:space="preserve"> DOCPROPERTY  Registry </w:instrText>
            </w:r>
            <w:r>
              <w:fldChar w:fldCharType="separate"/>
            </w:r>
            <w:r w:rsidR="00D676EF" w:rsidRPr="00D97515">
              <w:t>Victoria</w:t>
            </w:r>
            <w:r>
              <w:fldChar w:fldCharType="end"/>
            </w:r>
          </w:p>
        </w:tc>
      </w:tr>
      <w:tr w:rsidR="00D676EF" w:rsidRPr="00D97515" w14:paraId="4BB21156" w14:textId="77777777" w:rsidTr="00A5553B">
        <w:tc>
          <w:tcPr>
            <w:tcW w:w="3083" w:type="dxa"/>
            <w:shd w:val="clear" w:color="auto" w:fill="auto"/>
          </w:tcPr>
          <w:p w14:paraId="723F8174" w14:textId="77777777" w:rsidR="00D676EF" w:rsidRPr="00D97515" w:rsidRDefault="00D676EF" w:rsidP="00501A12">
            <w:pPr>
              <w:pStyle w:val="Normal1linespace"/>
              <w:widowControl w:val="0"/>
            </w:pPr>
            <w:bookmarkStart w:id="6" w:name="NPARow" w:colFirst="0" w:colLast="1"/>
            <w:bookmarkEnd w:id="5"/>
          </w:p>
        </w:tc>
        <w:tc>
          <w:tcPr>
            <w:tcW w:w="5989" w:type="dxa"/>
            <w:shd w:val="clear" w:color="auto" w:fill="auto"/>
          </w:tcPr>
          <w:p w14:paraId="09563814" w14:textId="77777777" w:rsidR="00D676EF" w:rsidRPr="00D97515" w:rsidRDefault="00D676EF" w:rsidP="00501A12">
            <w:pPr>
              <w:pStyle w:val="Normal1linespace"/>
              <w:widowControl w:val="0"/>
              <w:jc w:val="left"/>
              <w:rPr>
                <w:b/>
              </w:rPr>
            </w:pPr>
          </w:p>
        </w:tc>
      </w:tr>
      <w:tr w:rsidR="00D676EF" w:rsidRPr="00D97515" w14:paraId="4DE17327" w14:textId="77777777" w:rsidTr="00A5553B">
        <w:tc>
          <w:tcPr>
            <w:tcW w:w="3083" w:type="dxa"/>
            <w:shd w:val="clear" w:color="auto" w:fill="auto"/>
          </w:tcPr>
          <w:p w14:paraId="094FE151" w14:textId="77777777" w:rsidR="00D676EF" w:rsidRPr="00D97515" w:rsidRDefault="00D676EF" w:rsidP="00501A12">
            <w:pPr>
              <w:pStyle w:val="Normal1linespace"/>
              <w:widowControl w:val="0"/>
            </w:pPr>
            <w:r w:rsidRPr="00D97515">
              <w:t>National Practice Area:</w:t>
            </w:r>
          </w:p>
        </w:tc>
        <w:tc>
          <w:tcPr>
            <w:tcW w:w="5989" w:type="dxa"/>
            <w:shd w:val="clear" w:color="auto" w:fill="auto"/>
          </w:tcPr>
          <w:p w14:paraId="5883A86E" w14:textId="77777777" w:rsidR="00D676EF" w:rsidRPr="00D97515" w:rsidRDefault="001E0CF5" w:rsidP="00C108ED">
            <w:pPr>
              <w:pStyle w:val="Normal1linespace"/>
              <w:widowControl w:val="0"/>
              <w:jc w:val="left"/>
              <w:rPr>
                <w:b/>
              </w:rPr>
            </w:pPr>
            <w:r>
              <w:fldChar w:fldCharType="begin"/>
            </w:r>
            <w:r>
              <w:instrText xml:space="preserve"> DOCPROPERTY  "Practice Area"  \* MERGEFORMAT </w:instrText>
            </w:r>
            <w:r>
              <w:fldChar w:fldCharType="separate"/>
            </w:r>
            <w:r w:rsidR="00D676EF" w:rsidRPr="00D97515">
              <w:t>Taxation</w:t>
            </w:r>
            <w:r>
              <w:fldChar w:fldCharType="end"/>
            </w:r>
          </w:p>
        </w:tc>
      </w:tr>
      <w:bookmarkEnd w:id="6"/>
      <w:tr w:rsidR="00D676EF" w:rsidRPr="00D97515" w14:paraId="04C88265" w14:textId="77777777" w:rsidTr="00A5553B">
        <w:tc>
          <w:tcPr>
            <w:tcW w:w="3083" w:type="dxa"/>
            <w:shd w:val="clear" w:color="auto" w:fill="auto"/>
          </w:tcPr>
          <w:p w14:paraId="5D0B8E49" w14:textId="77777777" w:rsidR="00D676EF" w:rsidRPr="00D97515" w:rsidRDefault="00D676EF" w:rsidP="00501A12">
            <w:pPr>
              <w:pStyle w:val="Normal1linespace"/>
              <w:widowControl w:val="0"/>
            </w:pPr>
          </w:p>
        </w:tc>
        <w:tc>
          <w:tcPr>
            <w:tcW w:w="5989" w:type="dxa"/>
            <w:shd w:val="clear" w:color="auto" w:fill="auto"/>
          </w:tcPr>
          <w:p w14:paraId="1F5E6EAC" w14:textId="77777777" w:rsidR="00D676EF" w:rsidRPr="00D97515" w:rsidRDefault="00D676EF" w:rsidP="00501A12">
            <w:pPr>
              <w:pStyle w:val="Normal1linespace"/>
              <w:widowControl w:val="0"/>
              <w:jc w:val="left"/>
            </w:pPr>
          </w:p>
        </w:tc>
      </w:tr>
      <w:tr w:rsidR="00D676EF" w:rsidRPr="00D97515" w14:paraId="00A6AD4A" w14:textId="77777777" w:rsidTr="00A5553B">
        <w:tc>
          <w:tcPr>
            <w:tcW w:w="3083" w:type="dxa"/>
            <w:shd w:val="clear" w:color="auto" w:fill="auto"/>
          </w:tcPr>
          <w:p w14:paraId="1B3F223A" w14:textId="77777777" w:rsidR="00D676EF" w:rsidRPr="00D97515" w:rsidRDefault="00D676EF" w:rsidP="00501A12">
            <w:pPr>
              <w:pStyle w:val="Normal1linespace"/>
              <w:widowControl w:val="0"/>
            </w:pPr>
            <w:r w:rsidRPr="00D97515">
              <w:t>Number of paragraphs:</w:t>
            </w:r>
          </w:p>
        </w:tc>
        <w:tc>
          <w:tcPr>
            <w:tcW w:w="5989" w:type="dxa"/>
            <w:shd w:val="clear" w:color="auto" w:fill="auto"/>
          </w:tcPr>
          <w:p w14:paraId="6010D420" w14:textId="55A12883" w:rsidR="00D676EF" w:rsidRPr="00D97515" w:rsidRDefault="00A5553B" w:rsidP="00501A12">
            <w:pPr>
              <w:pStyle w:val="Normal1linespace"/>
              <w:widowControl w:val="0"/>
              <w:jc w:val="left"/>
            </w:pPr>
            <w:bookmarkStart w:id="7" w:name="PlaceCategoryParagraphs"/>
            <w:r>
              <w:t>135</w:t>
            </w:r>
            <w:bookmarkEnd w:id="7"/>
          </w:p>
        </w:tc>
      </w:tr>
      <w:tr w:rsidR="00D676EF" w:rsidRPr="00D97515" w14:paraId="771C88C4" w14:textId="77777777" w:rsidTr="00A5553B">
        <w:tc>
          <w:tcPr>
            <w:tcW w:w="3083" w:type="dxa"/>
            <w:shd w:val="clear" w:color="auto" w:fill="auto"/>
          </w:tcPr>
          <w:p w14:paraId="1552A54F" w14:textId="77777777" w:rsidR="00D676EF" w:rsidRPr="00D97515" w:rsidRDefault="00D676EF" w:rsidP="00D676EF">
            <w:pPr>
              <w:pStyle w:val="Normal1linespace"/>
              <w:widowControl w:val="0"/>
              <w:jc w:val="left"/>
            </w:pPr>
          </w:p>
        </w:tc>
        <w:tc>
          <w:tcPr>
            <w:tcW w:w="5989" w:type="dxa"/>
            <w:shd w:val="clear" w:color="auto" w:fill="auto"/>
          </w:tcPr>
          <w:p w14:paraId="1E9C8EBC" w14:textId="77777777" w:rsidR="00D676EF" w:rsidRPr="00D97515" w:rsidRDefault="00D676EF" w:rsidP="00D676EF">
            <w:pPr>
              <w:pStyle w:val="Normal1linespace"/>
              <w:widowControl w:val="0"/>
              <w:jc w:val="left"/>
            </w:pPr>
          </w:p>
        </w:tc>
      </w:tr>
      <w:tr w:rsidR="00D676EF" w:rsidRPr="00D97515" w14:paraId="5EA23755" w14:textId="77777777" w:rsidTr="00A5553B">
        <w:tc>
          <w:tcPr>
            <w:tcW w:w="3083" w:type="dxa"/>
            <w:shd w:val="clear" w:color="auto" w:fill="auto"/>
          </w:tcPr>
          <w:p w14:paraId="38D6CE1C" w14:textId="77777777" w:rsidR="00D676EF" w:rsidRPr="00D97515" w:rsidRDefault="00D676EF" w:rsidP="00D676EF">
            <w:pPr>
              <w:pStyle w:val="Normal1linespace"/>
              <w:widowControl w:val="0"/>
              <w:jc w:val="left"/>
            </w:pPr>
            <w:bookmarkStart w:id="8" w:name="CounselDate" w:colFirst="0" w:colLast="2"/>
            <w:r w:rsidRPr="00D97515">
              <w:t>Date of hearing:</w:t>
            </w:r>
          </w:p>
        </w:tc>
        <w:tc>
          <w:tcPr>
            <w:tcW w:w="5989" w:type="dxa"/>
            <w:shd w:val="clear" w:color="auto" w:fill="auto"/>
          </w:tcPr>
          <w:p w14:paraId="23ADD3C7" w14:textId="6A102605" w:rsidR="00D676EF" w:rsidRPr="00D97515" w:rsidRDefault="006B65E5" w:rsidP="00E635B3">
            <w:pPr>
              <w:pStyle w:val="Normal1linespace"/>
              <w:widowControl w:val="0"/>
              <w:jc w:val="left"/>
            </w:pPr>
            <w:bookmarkStart w:id="9" w:name="HearingDate"/>
            <w:r w:rsidRPr="00D97515">
              <w:t>24–26 October 202</w:t>
            </w:r>
            <w:r w:rsidR="00053FA0">
              <w:t>2</w:t>
            </w:r>
            <w:bookmarkEnd w:id="9"/>
          </w:p>
        </w:tc>
      </w:tr>
      <w:tr w:rsidR="00D676EF" w:rsidRPr="00D97515" w14:paraId="55B93009" w14:textId="77777777" w:rsidTr="00A5553B">
        <w:tc>
          <w:tcPr>
            <w:tcW w:w="3083" w:type="dxa"/>
            <w:shd w:val="clear" w:color="auto" w:fill="auto"/>
          </w:tcPr>
          <w:p w14:paraId="1031A102" w14:textId="77777777" w:rsidR="00D676EF" w:rsidRPr="00D97515" w:rsidRDefault="00D676EF" w:rsidP="00D676EF">
            <w:pPr>
              <w:pStyle w:val="Normal1linespace"/>
              <w:widowControl w:val="0"/>
              <w:jc w:val="left"/>
            </w:pPr>
          </w:p>
        </w:tc>
        <w:tc>
          <w:tcPr>
            <w:tcW w:w="5989" w:type="dxa"/>
            <w:shd w:val="clear" w:color="auto" w:fill="auto"/>
          </w:tcPr>
          <w:p w14:paraId="5AFA7722" w14:textId="77777777" w:rsidR="00D676EF" w:rsidRPr="00D97515" w:rsidRDefault="00D676EF" w:rsidP="00D676EF">
            <w:pPr>
              <w:pStyle w:val="Normal1linespace"/>
              <w:widowControl w:val="0"/>
              <w:jc w:val="left"/>
            </w:pPr>
          </w:p>
        </w:tc>
      </w:tr>
      <w:tr w:rsidR="006B65E5" w:rsidRPr="00D97515" w14:paraId="29A13F98" w14:textId="77777777" w:rsidTr="00A5553B">
        <w:tc>
          <w:tcPr>
            <w:tcW w:w="3083" w:type="dxa"/>
            <w:shd w:val="clear" w:color="auto" w:fill="auto"/>
          </w:tcPr>
          <w:p w14:paraId="6AB2ED1B" w14:textId="0B1C8C69" w:rsidR="006B65E5" w:rsidRPr="00D97515" w:rsidRDefault="006B65E5" w:rsidP="001804CF">
            <w:pPr>
              <w:pStyle w:val="Normal1linespace"/>
              <w:widowControl w:val="0"/>
              <w:jc w:val="left"/>
            </w:pPr>
            <w:bookmarkStart w:id="10" w:name="Counsel" w:colFirst="0" w:colLast="2"/>
            <w:bookmarkStart w:id="11" w:name="CompletionTable"/>
            <w:bookmarkEnd w:id="8"/>
            <w:r w:rsidRPr="00D97515">
              <w:t>Counsel for the Applicant:</w:t>
            </w:r>
          </w:p>
        </w:tc>
        <w:tc>
          <w:tcPr>
            <w:tcW w:w="5989" w:type="dxa"/>
            <w:shd w:val="clear" w:color="auto" w:fill="auto"/>
          </w:tcPr>
          <w:p w14:paraId="6D3F1F50" w14:textId="614345C7" w:rsidR="006B65E5" w:rsidRPr="00D97515" w:rsidRDefault="006B65E5" w:rsidP="004B4E98">
            <w:pPr>
              <w:pStyle w:val="Normal1linespace"/>
              <w:widowControl w:val="0"/>
              <w:jc w:val="left"/>
            </w:pPr>
            <w:bookmarkStart w:id="12" w:name="AppCounsel"/>
            <w:bookmarkEnd w:id="12"/>
            <w:r w:rsidRPr="00D97515">
              <w:t xml:space="preserve">Mr A T </w:t>
            </w:r>
            <w:proofErr w:type="spellStart"/>
            <w:r w:rsidRPr="00D97515">
              <w:t>Broadfoot</w:t>
            </w:r>
            <w:proofErr w:type="spellEnd"/>
            <w:r w:rsidRPr="00D97515">
              <w:t xml:space="preserve"> KC with Mr G J </w:t>
            </w:r>
            <w:proofErr w:type="spellStart"/>
            <w:r w:rsidRPr="00D97515">
              <w:t>Redenbach</w:t>
            </w:r>
            <w:proofErr w:type="spellEnd"/>
          </w:p>
        </w:tc>
      </w:tr>
      <w:tr w:rsidR="006B65E5" w:rsidRPr="00D97515" w14:paraId="5D1FEF7E" w14:textId="77777777" w:rsidTr="00A5553B">
        <w:tc>
          <w:tcPr>
            <w:tcW w:w="3083" w:type="dxa"/>
            <w:shd w:val="clear" w:color="auto" w:fill="auto"/>
          </w:tcPr>
          <w:p w14:paraId="0779B992" w14:textId="77777777" w:rsidR="006B65E5" w:rsidRPr="00D97515" w:rsidRDefault="006B65E5" w:rsidP="006B65E5">
            <w:pPr>
              <w:pStyle w:val="Normal1linespace"/>
              <w:widowControl w:val="0"/>
              <w:jc w:val="left"/>
            </w:pPr>
          </w:p>
        </w:tc>
        <w:tc>
          <w:tcPr>
            <w:tcW w:w="5989" w:type="dxa"/>
            <w:shd w:val="clear" w:color="auto" w:fill="auto"/>
          </w:tcPr>
          <w:p w14:paraId="63D0D248" w14:textId="77777777" w:rsidR="006B65E5" w:rsidRPr="00D97515" w:rsidRDefault="006B65E5" w:rsidP="006B65E5">
            <w:pPr>
              <w:pStyle w:val="Normal1linespace"/>
              <w:widowControl w:val="0"/>
              <w:jc w:val="left"/>
            </w:pPr>
          </w:p>
        </w:tc>
      </w:tr>
      <w:tr w:rsidR="006B65E5" w:rsidRPr="00D97515" w14:paraId="7006C310" w14:textId="77777777" w:rsidTr="00A5553B">
        <w:tc>
          <w:tcPr>
            <w:tcW w:w="3083" w:type="dxa"/>
            <w:shd w:val="clear" w:color="auto" w:fill="auto"/>
          </w:tcPr>
          <w:p w14:paraId="7A0050AC" w14:textId="113248F1" w:rsidR="006B65E5" w:rsidRPr="00D97515" w:rsidRDefault="006B65E5" w:rsidP="006B65E5">
            <w:pPr>
              <w:pStyle w:val="Normal1linespace"/>
              <w:widowControl w:val="0"/>
              <w:jc w:val="left"/>
            </w:pPr>
            <w:r w:rsidRPr="00D97515">
              <w:t>Solicitor for the Applicant:</w:t>
            </w:r>
          </w:p>
        </w:tc>
        <w:tc>
          <w:tcPr>
            <w:tcW w:w="5989" w:type="dxa"/>
            <w:shd w:val="clear" w:color="auto" w:fill="auto"/>
          </w:tcPr>
          <w:p w14:paraId="7923DDF4" w14:textId="512509F6" w:rsidR="006B65E5" w:rsidRPr="00D97515" w:rsidRDefault="006B65E5" w:rsidP="006B65E5">
            <w:pPr>
              <w:pStyle w:val="Normal1linespace"/>
              <w:widowControl w:val="0"/>
              <w:jc w:val="left"/>
            </w:pPr>
            <w:proofErr w:type="spellStart"/>
            <w:r w:rsidRPr="00D97515">
              <w:t>Madgwicks</w:t>
            </w:r>
            <w:proofErr w:type="spellEnd"/>
          </w:p>
        </w:tc>
      </w:tr>
      <w:tr w:rsidR="006B65E5" w:rsidRPr="00D97515" w14:paraId="709F9889" w14:textId="77777777" w:rsidTr="00A5553B">
        <w:tc>
          <w:tcPr>
            <w:tcW w:w="3083" w:type="dxa"/>
            <w:shd w:val="clear" w:color="auto" w:fill="auto"/>
          </w:tcPr>
          <w:p w14:paraId="51286C9A" w14:textId="77777777" w:rsidR="006B65E5" w:rsidRPr="00D97515" w:rsidRDefault="006B65E5" w:rsidP="006B65E5">
            <w:pPr>
              <w:pStyle w:val="Normal1linespace"/>
              <w:widowControl w:val="0"/>
              <w:jc w:val="left"/>
            </w:pPr>
          </w:p>
        </w:tc>
        <w:tc>
          <w:tcPr>
            <w:tcW w:w="5989" w:type="dxa"/>
            <w:shd w:val="clear" w:color="auto" w:fill="auto"/>
          </w:tcPr>
          <w:p w14:paraId="16DB2824" w14:textId="77777777" w:rsidR="006B65E5" w:rsidRPr="00D97515" w:rsidRDefault="006B65E5" w:rsidP="006B65E5">
            <w:pPr>
              <w:pStyle w:val="Normal1linespace"/>
              <w:widowControl w:val="0"/>
              <w:jc w:val="left"/>
            </w:pPr>
          </w:p>
        </w:tc>
      </w:tr>
      <w:tr w:rsidR="006B65E5" w:rsidRPr="00D97515" w14:paraId="30B88CB4" w14:textId="77777777" w:rsidTr="00A5553B">
        <w:tc>
          <w:tcPr>
            <w:tcW w:w="3083" w:type="dxa"/>
            <w:shd w:val="clear" w:color="auto" w:fill="auto"/>
          </w:tcPr>
          <w:p w14:paraId="2F6AC167" w14:textId="46BB74C0" w:rsidR="006B65E5" w:rsidRPr="00D97515" w:rsidRDefault="006B65E5" w:rsidP="006B65E5">
            <w:pPr>
              <w:pStyle w:val="Normal1linespace"/>
              <w:widowControl w:val="0"/>
              <w:jc w:val="left"/>
            </w:pPr>
            <w:r w:rsidRPr="00D97515">
              <w:t>Counsel for the Respondent:</w:t>
            </w:r>
          </w:p>
        </w:tc>
        <w:tc>
          <w:tcPr>
            <w:tcW w:w="5989" w:type="dxa"/>
            <w:shd w:val="clear" w:color="auto" w:fill="auto"/>
          </w:tcPr>
          <w:p w14:paraId="2D8A6103" w14:textId="207ACCA8" w:rsidR="006B65E5" w:rsidRPr="00D97515" w:rsidRDefault="006B65E5" w:rsidP="006B65E5">
            <w:pPr>
              <w:pStyle w:val="Normal1linespace"/>
              <w:widowControl w:val="0"/>
              <w:jc w:val="left"/>
            </w:pPr>
            <w:r w:rsidRPr="00D97515">
              <w:t>Ms M L Baker SC</w:t>
            </w:r>
          </w:p>
        </w:tc>
      </w:tr>
      <w:tr w:rsidR="006B65E5" w:rsidRPr="00D97515" w14:paraId="39A198B5" w14:textId="77777777" w:rsidTr="00A5553B">
        <w:tc>
          <w:tcPr>
            <w:tcW w:w="3083" w:type="dxa"/>
            <w:shd w:val="clear" w:color="auto" w:fill="auto"/>
          </w:tcPr>
          <w:p w14:paraId="7A4B397C" w14:textId="77777777" w:rsidR="006B65E5" w:rsidRPr="00D97515" w:rsidRDefault="006B65E5" w:rsidP="006B65E5">
            <w:pPr>
              <w:pStyle w:val="Normal1linespace"/>
              <w:widowControl w:val="0"/>
              <w:jc w:val="left"/>
            </w:pPr>
          </w:p>
        </w:tc>
        <w:tc>
          <w:tcPr>
            <w:tcW w:w="5989" w:type="dxa"/>
            <w:shd w:val="clear" w:color="auto" w:fill="auto"/>
          </w:tcPr>
          <w:p w14:paraId="32E9424F" w14:textId="77777777" w:rsidR="006B65E5" w:rsidRPr="00D97515" w:rsidRDefault="006B65E5" w:rsidP="006B65E5">
            <w:pPr>
              <w:pStyle w:val="Normal1linespace"/>
              <w:widowControl w:val="0"/>
              <w:jc w:val="left"/>
            </w:pPr>
          </w:p>
        </w:tc>
      </w:tr>
      <w:tr w:rsidR="006B65E5" w:rsidRPr="00D97515" w14:paraId="5917DE9D" w14:textId="77777777" w:rsidTr="00A5553B">
        <w:tc>
          <w:tcPr>
            <w:tcW w:w="3083" w:type="dxa"/>
            <w:shd w:val="clear" w:color="auto" w:fill="auto"/>
          </w:tcPr>
          <w:p w14:paraId="184E8FEA" w14:textId="7AB42FC9" w:rsidR="006B65E5" w:rsidRPr="00D97515" w:rsidRDefault="006B65E5" w:rsidP="006B65E5">
            <w:pPr>
              <w:pStyle w:val="Normal1linespace"/>
              <w:widowControl w:val="0"/>
              <w:jc w:val="left"/>
            </w:pPr>
            <w:r w:rsidRPr="00D97515">
              <w:t>Solicitor for the Respondent:</w:t>
            </w:r>
          </w:p>
        </w:tc>
        <w:tc>
          <w:tcPr>
            <w:tcW w:w="5989" w:type="dxa"/>
            <w:shd w:val="clear" w:color="auto" w:fill="auto"/>
          </w:tcPr>
          <w:p w14:paraId="18F3B949" w14:textId="7C518204" w:rsidR="006B65E5" w:rsidRPr="00D97515" w:rsidRDefault="004B4E98" w:rsidP="004B4E98">
            <w:pPr>
              <w:pStyle w:val="Normal1linespace"/>
              <w:widowControl w:val="0"/>
              <w:jc w:val="left"/>
            </w:pPr>
            <w:r w:rsidRPr="00D97515">
              <w:t>Australian Taxation Office</w:t>
            </w:r>
          </w:p>
        </w:tc>
      </w:tr>
      <w:bookmarkEnd w:id="10"/>
      <w:bookmarkEnd w:id="11"/>
    </w:tbl>
    <w:p w14:paraId="6598ED31" w14:textId="77777777" w:rsidR="007470BD" w:rsidRPr="00D97515" w:rsidRDefault="007470BD">
      <w:pPr>
        <w:pStyle w:val="Normal1linespace"/>
      </w:pPr>
    </w:p>
    <w:p w14:paraId="36D04D43" w14:textId="77777777" w:rsidR="00E94CBF" w:rsidRPr="00D97515" w:rsidRDefault="00E94CBF">
      <w:pPr>
        <w:pStyle w:val="Normal1linespace"/>
      </w:pPr>
    </w:p>
    <w:p w14:paraId="7030E2B9" w14:textId="77777777" w:rsidR="00395B24" w:rsidRPr="00D97515" w:rsidRDefault="00395B24">
      <w:pPr>
        <w:pStyle w:val="Normal1linespace"/>
        <w:sectPr w:rsidR="00395B24" w:rsidRPr="00D97515" w:rsidSect="001F2473">
          <w:footerReference w:type="default" r:id="rId12"/>
          <w:endnotePr>
            <w:numFmt w:val="decimal"/>
          </w:endnotePr>
          <w:type w:val="continuous"/>
          <w:pgSz w:w="11907" w:h="16840" w:code="9"/>
          <w:pgMar w:top="1440" w:right="1440" w:bottom="1440" w:left="1440" w:header="851" w:footer="768" w:gutter="0"/>
          <w:pgNumType w:start="1"/>
          <w:cols w:space="720"/>
          <w:noEndnote/>
          <w:titlePg/>
        </w:sectPr>
      </w:pPr>
    </w:p>
    <w:p w14:paraId="1E76B5D1" w14:textId="77777777" w:rsidR="008C7167" w:rsidRPr="00D97515" w:rsidRDefault="0011419D" w:rsidP="00045BB7">
      <w:pPr>
        <w:pStyle w:val="NormalHeadings"/>
        <w:spacing w:line="480" w:lineRule="auto"/>
        <w:jc w:val="center"/>
        <w:rPr>
          <w:sz w:val="28"/>
          <w:szCs w:val="28"/>
        </w:rPr>
      </w:pPr>
      <w:r w:rsidRPr="00D97515">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D97515" w14:paraId="5874A48F" w14:textId="77777777" w:rsidTr="00E81DA6">
        <w:tc>
          <w:tcPr>
            <w:tcW w:w="6912" w:type="dxa"/>
            <w:gridSpan w:val="2"/>
          </w:tcPr>
          <w:p w14:paraId="4B29C7E6" w14:textId="77777777" w:rsidR="00A46CCC" w:rsidRPr="00D97515" w:rsidRDefault="00A46CCC" w:rsidP="00525A49">
            <w:pPr>
              <w:pStyle w:val="NormalHeadings"/>
            </w:pPr>
          </w:p>
        </w:tc>
        <w:tc>
          <w:tcPr>
            <w:tcW w:w="2330" w:type="dxa"/>
          </w:tcPr>
          <w:p w14:paraId="1CE6AC81" w14:textId="77777777" w:rsidR="00A46CCC" w:rsidRPr="00D97515" w:rsidRDefault="00D676EF" w:rsidP="00F92355">
            <w:pPr>
              <w:pStyle w:val="NormalHeadings"/>
              <w:jc w:val="right"/>
            </w:pPr>
            <w:bookmarkStart w:id="13" w:name="FileNo"/>
            <w:r w:rsidRPr="00D97515">
              <w:t>VID 492 of 2021</w:t>
            </w:r>
            <w:bookmarkEnd w:id="13"/>
          </w:p>
        </w:tc>
      </w:tr>
      <w:tr w:rsidR="00A76C13" w:rsidRPr="00D97515" w14:paraId="79338D2A" w14:textId="77777777" w:rsidTr="00C108ED">
        <w:tc>
          <w:tcPr>
            <w:tcW w:w="9242" w:type="dxa"/>
            <w:gridSpan w:val="3"/>
          </w:tcPr>
          <w:p w14:paraId="0DD9D7AC" w14:textId="77777777" w:rsidR="00A76C13" w:rsidRPr="00D97515" w:rsidRDefault="00D676EF" w:rsidP="00D676EF">
            <w:pPr>
              <w:pStyle w:val="NormalHeadings"/>
              <w:jc w:val="left"/>
            </w:pPr>
            <w:bookmarkStart w:id="14" w:name="InTheMatterOf"/>
            <w:r w:rsidRPr="00D97515">
              <w:t xml:space="preserve"> </w:t>
            </w:r>
            <w:bookmarkEnd w:id="14"/>
          </w:p>
        </w:tc>
      </w:tr>
      <w:tr w:rsidR="00A46CCC" w:rsidRPr="00D97515" w14:paraId="45C2F6F5" w14:textId="77777777" w:rsidTr="00C108ED">
        <w:trPr>
          <w:trHeight w:val="386"/>
        </w:trPr>
        <w:tc>
          <w:tcPr>
            <w:tcW w:w="2376" w:type="dxa"/>
          </w:tcPr>
          <w:p w14:paraId="49BB807D" w14:textId="77777777" w:rsidR="00A46CCC" w:rsidRPr="00D97515" w:rsidRDefault="00A46CCC" w:rsidP="00C108ED">
            <w:pPr>
              <w:pStyle w:val="NormalHeadings"/>
              <w:jc w:val="left"/>
              <w:rPr>
                <w:caps/>
                <w:szCs w:val="24"/>
              </w:rPr>
            </w:pPr>
            <w:bookmarkStart w:id="15" w:name="Parties"/>
            <w:r w:rsidRPr="00D97515">
              <w:rPr>
                <w:caps/>
                <w:szCs w:val="24"/>
              </w:rPr>
              <w:t>BETWEEN:</w:t>
            </w:r>
          </w:p>
        </w:tc>
        <w:tc>
          <w:tcPr>
            <w:tcW w:w="6866" w:type="dxa"/>
            <w:gridSpan w:val="2"/>
          </w:tcPr>
          <w:p w14:paraId="393D1B8B" w14:textId="77777777" w:rsidR="00D676EF" w:rsidRPr="00D97515" w:rsidRDefault="00D676EF" w:rsidP="00D676EF">
            <w:pPr>
              <w:pStyle w:val="NormalHeadings"/>
              <w:jc w:val="left"/>
            </w:pPr>
            <w:bookmarkStart w:id="16" w:name="Applicant"/>
            <w:r w:rsidRPr="00D97515">
              <w:t>KONEBADA PTY LTD AS TRUSTEE FOR THE WILLIAM LEWSKI FAMILY TRUST</w:t>
            </w:r>
          </w:p>
          <w:p w14:paraId="78567F0E" w14:textId="77777777" w:rsidR="00D676EF" w:rsidRPr="00D97515" w:rsidRDefault="00D676EF" w:rsidP="00D676EF">
            <w:pPr>
              <w:pStyle w:val="PartyType"/>
            </w:pPr>
            <w:r w:rsidRPr="00D97515">
              <w:t>Applicant</w:t>
            </w:r>
          </w:p>
          <w:bookmarkEnd w:id="16"/>
          <w:p w14:paraId="29553AF1" w14:textId="77777777" w:rsidR="00A46CCC" w:rsidRPr="00D97515" w:rsidRDefault="00A46CCC" w:rsidP="00C108ED">
            <w:pPr>
              <w:pStyle w:val="NormalHeadings"/>
              <w:jc w:val="left"/>
            </w:pPr>
          </w:p>
        </w:tc>
      </w:tr>
      <w:tr w:rsidR="00A46CCC" w:rsidRPr="00D97515" w14:paraId="6184CB99" w14:textId="77777777" w:rsidTr="00C108ED">
        <w:trPr>
          <w:trHeight w:val="386"/>
        </w:trPr>
        <w:tc>
          <w:tcPr>
            <w:tcW w:w="2376" w:type="dxa"/>
          </w:tcPr>
          <w:p w14:paraId="6388F2D0" w14:textId="77777777" w:rsidR="00A46CCC" w:rsidRPr="00D97515" w:rsidRDefault="00A46CCC" w:rsidP="00C108ED">
            <w:pPr>
              <w:pStyle w:val="NormalHeadings"/>
              <w:jc w:val="left"/>
              <w:rPr>
                <w:caps/>
                <w:szCs w:val="24"/>
              </w:rPr>
            </w:pPr>
            <w:r w:rsidRPr="00D97515">
              <w:rPr>
                <w:caps/>
                <w:szCs w:val="24"/>
              </w:rPr>
              <w:t>AND:</w:t>
            </w:r>
          </w:p>
        </w:tc>
        <w:tc>
          <w:tcPr>
            <w:tcW w:w="6866" w:type="dxa"/>
            <w:gridSpan w:val="2"/>
          </w:tcPr>
          <w:p w14:paraId="17D7FF4A" w14:textId="2C8DE2BE" w:rsidR="00D676EF" w:rsidRPr="00D97515" w:rsidRDefault="00D676EF" w:rsidP="00D676EF">
            <w:pPr>
              <w:pStyle w:val="NormalHeadings"/>
              <w:jc w:val="left"/>
            </w:pPr>
            <w:bookmarkStart w:id="17" w:name="Respondent"/>
            <w:r w:rsidRPr="00D97515">
              <w:t>COMMISSIONER OF TAXATION</w:t>
            </w:r>
          </w:p>
          <w:p w14:paraId="546978AC" w14:textId="77777777" w:rsidR="00D676EF" w:rsidRPr="00D97515" w:rsidRDefault="00D676EF" w:rsidP="00D676EF">
            <w:pPr>
              <w:pStyle w:val="PartyType"/>
            </w:pPr>
            <w:r w:rsidRPr="00D97515">
              <w:t>Respondent</w:t>
            </w:r>
          </w:p>
          <w:bookmarkEnd w:id="17"/>
          <w:p w14:paraId="6D474090" w14:textId="77777777" w:rsidR="00A46CCC" w:rsidRPr="00D97515" w:rsidRDefault="00A46CCC" w:rsidP="00C108ED">
            <w:pPr>
              <w:pStyle w:val="NormalHeadings"/>
              <w:jc w:val="left"/>
            </w:pPr>
          </w:p>
        </w:tc>
      </w:tr>
    </w:tbl>
    <w:p w14:paraId="3E838D04" w14:textId="77777777" w:rsidR="00395B24" w:rsidRPr="00D97515"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rsidRPr="00D97515" w14:paraId="4D02CD8D" w14:textId="77777777">
        <w:tc>
          <w:tcPr>
            <w:tcW w:w="2376" w:type="dxa"/>
          </w:tcPr>
          <w:p w14:paraId="57C5A386" w14:textId="77777777" w:rsidR="00395B24" w:rsidRPr="00D97515" w:rsidRDefault="00974709">
            <w:pPr>
              <w:pStyle w:val="NormalHeadings"/>
              <w:spacing w:after="120"/>
              <w:jc w:val="left"/>
              <w:rPr>
                <w:caps/>
                <w:szCs w:val="24"/>
              </w:rPr>
            </w:pPr>
            <w:bookmarkStart w:id="19" w:name="JudgeText"/>
            <w:r w:rsidRPr="00D97515">
              <w:rPr>
                <w:caps/>
                <w:szCs w:val="24"/>
              </w:rPr>
              <w:t>order made by</w:t>
            </w:r>
            <w:bookmarkEnd w:id="19"/>
            <w:r w:rsidR="002C7385" w:rsidRPr="00D97515">
              <w:rPr>
                <w:caps/>
                <w:szCs w:val="24"/>
              </w:rPr>
              <w:t>:</w:t>
            </w:r>
          </w:p>
        </w:tc>
        <w:tc>
          <w:tcPr>
            <w:tcW w:w="6866" w:type="dxa"/>
          </w:tcPr>
          <w:p w14:paraId="541F3A0C" w14:textId="77777777" w:rsidR="00395B24" w:rsidRPr="00D97515" w:rsidRDefault="00D676EF">
            <w:pPr>
              <w:pStyle w:val="NormalHeadings"/>
              <w:jc w:val="left"/>
              <w:rPr>
                <w:caps/>
                <w:szCs w:val="24"/>
              </w:rPr>
            </w:pPr>
            <w:bookmarkStart w:id="20" w:name="Judge"/>
            <w:r w:rsidRPr="00D97515">
              <w:rPr>
                <w:caps/>
                <w:szCs w:val="24"/>
              </w:rPr>
              <w:t>HESPE J</w:t>
            </w:r>
            <w:bookmarkEnd w:id="20"/>
          </w:p>
        </w:tc>
      </w:tr>
      <w:tr w:rsidR="00395B24" w:rsidRPr="00D97515" w14:paraId="5920F689" w14:textId="77777777">
        <w:tc>
          <w:tcPr>
            <w:tcW w:w="2376" w:type="dxa"/>
          </w:tcPr>
          <w:p w14:paraId="7F948956" w14:textId="77777777" w:rsidR="00395B24" w:rsidRPr="00D97515" w:rsidRDefault="002C7385">
            <w:pPr>
              <w:pStyle w:val="NormalHeadings"/>
              <w:spacing w:after="120"/>
              <w:jc w:val="left"/>
              <w:rPr>
                <w:caps/>
                <w:szCs w:val="24"/>
              </w:rPr>
            </w:pPr>
            <w:r w:rsidRPr="00D97515">
              <w:rPr>
                <w:caps/>
                <w:szCs w:val="24"/>
              </w:rPr>
              <w:t>DATE OF ORDER:</w:t>
            </w:r>
          </w:p>
        </w:tc>
        <w:tc>
          <w:tcPr>
            <w:tcW w:w="6866" w:type="dxa"/>
          </w:tcPr>
          <w:p w14:paraId="0065B6C3" w14:textId="6DD979ED" w:rsidR="00395B24" w:rsidRPr="004C788C" w:rsidRDefault="004C788C">
            <w:pPr>
              <w:pStyle w:val="NormalHeadings"/>
              <w:jc w:val="left"/>
              <w:rPr>
                <w:caps/>
                <w:szCs w:val="24"/>
              </w:rPr>
            </w:pPr>
            <w:bookmarkStart w:id="21" w:name="Judgment_Dated"/>
            <w:bookmarkEnd w:id="21"/>
            <w:r w:rsidRPr="004C788C">
              <w:rPr>
                <w:caps/>
                <w:szCs w:val="24"/>
              </w:rPr>
              <w:t xml:space="preserve">24 </w:t>
            </w:r>
            <w:r w:rsidR="009F2385" w:rsidRPr="004C788C">
              <w:rPr>
                <w:caps/>
                <w:szCs w:val="24"/>
              </w:rPr>
              <w:t>MARCH 2023</w:t>
            </w:r>
          </w:p>
        </w:tc>
      </w:tr>
    </w:tbl>
    <w:p w14:paraId="609EB93D" w14:textId="77777777" w:rsidR="00395B24" w:rsidRPr="00D97515" w:rsidRDefault="00395B24">
      <w:pPr>
        <w:pStyle w:val="NormalHeadings"/>
        <w:rPr>
          <w:b w:val="0"/>
        </w:rPr>
      </w:pPr>
    </w:p>
    <w:p w14:paraId="44354EB9" w14:textId="77777777" w:rsidR="008D1617" w:rsidRPr="00D97515" w:rsidRDefault="008D1617">
      <w:pPr>
        <w:pStyle w:val="NormalHeadings"/>
        <w:rPr>
          <w:b w:val="0"/>
        </w:rPr>
      </w:pPr>
    </w:p>
    <w:p w14:paraId="4C19E8D2" w14:textId="77777777" w:rsidR="00395B24" w:rsidRPr="00D97515" w:rsidRDefault="002C7385">
      <w:pPr>
        <w:pStyle w:val="NormalHeadings"/>
      </w:pPr>
      <w:r w:rsidRPr="00D97515">
        <w:t>THE COURT ORDERS THAT:</w:t>
      </w:r>
    </w:p>
    <w:p w14:paraId="1905A36C" w14:textId="77777777" w:rsidR="007F60DF" w:rsidRPr="00D97515" w:rsidRDefault="007F60DF" w:rsidP="00243E5E">
      <w:pPr>
        <w:pStyle w:val="NormalHeadings"/>
      </w:pPr>
    </w:p>
    <w:p w14:paraId="085B25A1" w14:textId="0030278F" w:rsidR="001A6C52" w:rsidRPr="00D97515" w:rsidRDefault="004B4E98" w:rsidP="001A6C52">
      <w:pPr>
        <w:pStyle w:val="Order1"/>
      </w:pPr>
      <w:r w:rsidRPr="00D97515">
        <w:t>The application be dismissed.</w:t>
      </w:r>
    </w:p>
    <w:p w14:paraId="526A5185" w14:textId="072E1110" w:rsidR="007B10A6" w:rsidRPr="00D97515" w:rsidRDefault="007B10A6" w:rsidP="007B10A6">
      <w:pPr>
        <w:pStyle w:val="Order1"/>
      </w:pPr>
      <w:r w:rsidRPr="00D97515">
        <w:t>The applicant pay the respondent’s costs, to be taxed if not agreed.</w:t>
      </w:r>
    </w:p>
    <w:p w14:paraId="2BBF383A" w14:textId="77777777" w:rsidR="001A6C52" w:rsidRPr="00D97515" w:rsidRDefault="001A6C52" w:rsidP="001A6C52">
      <w:pPr>
        <w:pStyle w:val="BodyText"/>
      </w:pPr>
    </w:p>
    <w:p w14:paraId="61DCDF63" w14:textId="77777777" w:rsidR="00A431E6" w:rsidRPr="00D97515" w:rsidRDefault="00A431E6" w:rsidP="001A6C52">
      <w:pPr>
        <w:pStyle w:val="BodyText"/>
      </w:pPr>
    </w:p>
    <w:p w14:paraId="7172BC64" w14:textId="77777777" w:rsidR="0050309C" w:rsidRPr="00D97515" w:rsidRDefault="00D676EF" w:rsidP="004D53E5">
      <w:pPr>
        <w:pStyle w:val="SingleSpace"/>
      </w:pPr>
      <w:bookmarkStart w:id="22" w:name="OrdersStatement"/>
      <w:r w:rsidRPr="00D97515">
        <w:t>Note:</w:t>
      </w:r>
      <w:r w:rsidRPr="00D97515">
        <w:tab/>
        <w:t xml:space="preserve">Entry of orders is dealt with in Rule 39.32 of the </w:t>
      </w:r>
      <w:r w:rsidRPr="00D97515">
        <w:rPr>
          <w:i/>
        </w:rPr>
        <w:t>Federal Court Rules 2011</w:t>
      </w:r>
      <w:r w:rsidRPr="00D97515">
        <w:t>.</w:t>
      </w:r>
      <w:bookmarkEnd w:id="22"/>
    </w:p>
    <w:p w14:paraId="59B249F4" w14:textId="77777777" w:rsidR="00E23577" w:rsidRPr="00D97515" w:rsidRDefault="00E23577" w:rsidP="002B0E91">
      <w:pPr>
        <w:pStyle w:val="BodyText"/>
      </w:pPr>
    </w:p>
    <w:p w14:paraId="27CBF8C6" w14:textId="77777777" w:rsidR="00395B24" w:rsidRPr="00D97515" w:rsidRDefault="00395B24">
      <w:pPr>
        <w:pStyle w:val="NormalHeadings"/>
        <w:spacing w:before="240" w:after="120"/>
        <w:rPr>
          <w:b w:val="0"/>
        </w:rPr>
        <w:sectPr w:rsidR="00395B24" w:rsidRPr="00D97515" w:rsidSect="0092590B">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fmt="lowerRoman" w:start="1"/>
          <w:cols w:space="720"/>
          <w:noEndnote/>
          <w:titlePg/>
        </w:sectPr>
      </w:pPr>
    </w:p>
    <w:p w14:paraId="57138351" w14:textId="77777777" w:rsidR="00484F6D" w:rsidRPr="00D97515" w:rsidRDefault="00484F6D" w:rsidP="00045BB7">
      <w:pPr>
        <w:pStyle w:val="NormalHeadings"/>
        <w:spacing w:line="480" w:lineRule="auto"/>
        <w:jc w:val="center"/>
        <w:rPr>
          <w:sz w:val="28"/>
          <w:szCs w:val="28"/>
        </w:rPr>
      </w:pPr>
      <w:bookmarkStart w:id="23" w:name="ReasonsPage"/>
      <w:bookmarkEnd w:id="23"/>
      <w:r w:rsidRPr="00D97515">
        <w:rPr>
          <w:sz w:val="28"/>
          <w:szCs w:val="28"/>
        </w:rPr>
        <w:lastRenderedPageBreak/>
        <w:t>REASONS FOR JUDGMENT</w:t>
      </w:r>
    </w:p>
    <w:p w14:paraId="22A1ADE4" w14:textId="77777777" w:rsidR="00694BEB" w:rsidRPr="00D97515" w:rsidRDefault="00D676EF" w:rsidP="005E0510">
      <w:pPr>
        <w:pStyle w:val="NormalHeadings"/>
        <w:spacing w:line="360" w:lineRule="auto"/>
        <w:jc w:val="left"/>
        <w:rPr>
          <w:sz w:val="26"/>
          <w:szCs w:val="26"/>
        </w:rPr>
      </w:pPr>
      <w:r w:rsidRPr="00D97515">
        <w:rPr>
          <w:sz w:val="26"/>
          <w:szCs w:val="26"/>
        </w:rPr>
        <w:t>HESPE J:</w:t>
      </w:r>
    </w:p>
    <w:p w14:paraId="2F98DA26" w14:textId="6803BE50" w:rsidR="00CD1346" w:rsidRPr="00D97515" w:rsidRDefault="007E0A88" w:rsidP="00C108ED">
      <w:pPr>
        <w:pStyle w:val="Heading1"/>
      </w:pPr>
      <w:r w:rsidRPr="00D97515">
        <w:rPr>
          <w:caps w:val="0"/>
        </w:rPr>
        <w:t>INTRODUCTION</w:t>
      </w:r>
    </w:p>
    <w:p w14:paraId="728B2688" w14:textId="49CFA4DE" w:rsidR="00C108ED" w:rsidRPr="00D97515" w:rsidRDefault="00C108ED" w:rsidP="00C108ED">
      <w:pPr>
        <w:pStyle w:val="ParaNumbering"/>
      </w:pPr>
      <w:r w:rsidRPr="00D97515">
        <w:t xml:space="preserve">This is an application </w:t>
      </w:r>
      <w:r w:rsidR="00AE5973">
        <w:t xml:space="preserve">by </w:t>
      </w:r>
      <w:proofErr w:type="spellStart"/>
      <w:r w:rsidR="00AE5973">
        <w:t>Konebada</w:t>
      </w:r>
      <w:proofErr w:type="spellEnd"/>
      <w:r w:rsidR="00AE5973">
        <w:t xml:space="preserve"> Pty Ltd (</w:t>
      </w:r>
      <w:r w:rsidR="009A01C9">
        <w:t xml:space="preserve">the </w:t>
      </w:r>
      <w:r w:rsidR="00834CAE">
        <w:rPr>
          <w:b/>
        </w:rPr>
        <w:t>A</w:t>
      </w:r>
      <w:r w:rsidR="00AE5973" w:rsidRPr="00834CAE">
        <w:rPr>
          <w:b/>
        </w:rPr>
        <w:t>pplicant</w:t>
      </w:r>
      <w:r w:rsidR="00AE5973">
        <w:t xml:space="preserve">) </w:t>
      </w:r>
      <w:r w:rsidRPr="00D97515">
        <w:t>under P</w:t>
      </w:r>
      <w:r w:rsidR="00A5553B">
        <w:t>t </w:t>
      </w:r>
      <w:r w:rsidRPr="00D97515">
        <w:t xml:space="preserve">IVC of the </w:t>
      </w:r>
      <w:r w:rsidRPr="00D97515">
        <w:rPr>
          <w:i/>
        </w:rPr>
        <w:t xml:space="preserve">Taxation </w:t>
      </w:r>
      <w:r w:rsidRPr="00A5553B">
        <w:rPr>
          <w:i/>
        </w:rPr>
        <w:t>Administration Act</w:t>
      </w:r>
      <w:r w:rsidRPr="00D97515">
        <w:rPr>
          <w:i/>
        </w:rPr>
        <w:t xml:space="preserve"> 1953 </w:t>
      </w:r>
      <w:r w:rsidRPr="00D97515">
        <w:t>(</w:t>
      </w:r>
      <w:proofErr w:type="spellStart"/>
      <w:r w:rsidRPr="00D97515">
        <w:t>Cth</w:t>
      </w:r>
      <w:proofErr w:type="spellEnd"/>
      <w:r w:rsidRPr="00D97515">
        <w:t>)</w:t>
      </w:r>
      <w:r w:rsidR="00A5553B">
        <w:t xml:space="preserve"> (</w:t>
      </w:r>
      <w:r w:rsidR="00A5553B" w:rsidRPr="00A5553B">
        <w:rPr>
          <w:b/>
          <w:i/>
        </w:rPr>
        <w:t>TAA</w:t>
      </w:r>
      <w:r w:rsidR="00A5553B">
        <w:t>)</w:t>
      </w:r>
      <w:r w:rsidRPr="00D97515">
        <w:t xml:space="preserve"> appealing against objection decisions of the </w:t>
      </w:r>
      <w:r w:rsidRPr="00D97515">
        <w:rPr>
          <w:b/>
        </w:rPr>
        <w:t>Commissioner</w:t>
      </w:r>
      <w:r w:rsidR="009F2385">
        <w:t xml:space="preserve"> of Taxation</w:t>
      </w:r>
      <w:r w:rsidR="00834CAE">
        <w:t xml:space="preserve"> disallowing the A</w:t>
      </w:r>
      <w:r w:rsidRPr="00D97515">
        <w:t>pplicant’s objection against amended assessments of net amount for each of the quarterly periods between</w:t>
      </w:r>
      <w:r w:rsidR="0004209A" w:rsidRPr="00D97515">
        <w:t xml:space="preserve"> 1 January 2015 and 31</w:t>
      </w:r>
      <w:r w:rsidR="007C0AC9">
        <w:t> </w:t>
      </w:r>
      <w:r w:rsidR="0004209A" w:rsidRPr="00D97515">
        <w:t>December</w:t>
      </w:r>
      <w:r w:rsidR="006825CF">
        <w:t xml:space="preserve"> </w:t>
      </w:r>
      <w:r w:rsidRPr="00D97515">
        <w:t>2017</w:t>
      </w:r>
      <w:r w:rsidRPr="00834CAE">
        <w:t xml:space="preserve"> (</w:t>
      </w:r>
      <w:r w:rsidRPr="00D97515">
        <w:rPr>
          <w:b/>
        </w:rPr>
        <w:t>relevant</w:t>
      </w:r>
      <w:r w:rsidRPr="00D97515">
        <w:t xml:space="preserve"> </w:t>
      </w:r>
      <w:r w:rsidRPr="00D97515">
        <w:rPr>
          <w:b/>
        </w:rPr>
        <w:t>periods</w:t>
      </w:r>
      <w:r w:rsidR="0004209A" w:rsidRPr="00834CAE">
        <w:t>).</w:t>
      </w:r>
    </w:p>
    <w:p w14:paraId="5F52148F" w14:textId="6D17A922" w:rsidR="00C108ED" w:rsidRPr="00D97515" w:rsidRDefault="00C108ED" w:rsidP="006E32D1">
      <w:pPr>
        <w:pStyle w:val="ParaNumbering"/>
      </w:pPr>
      <w:r w:rsidRPr="00D97515">
        <w:t>By the amended assessments</w:t>
      </w:r>
      <w:r w:rsidR="0004209A" w:rsidRPr="00D97515">
        <w:t>,</w:t>
      </w:r>
      <w:r w:rsidR="00C948FC">
        <w:t xml:space="preserve"> the Commissioner denied the A</w:t>
      </w:r>
      <w:r w:rsidRPr="00D97515">
        <w:t xml:space="preserve">pplicant’s claims in respect </w:t>
      </w:r>
      <w:r w:rsidR="00793515" w:rsidRPr="00D97515">
        <w:t>of</w:t>
      </w:r>
      <w:r w:rsidRPr="00D97515">
        <w:t xml:space="preserve"> input tax credits that related to invoices paid by the </w:t>
      </w:r>
      <w:r w:rsidR="00C948FC">
        <w:t>Applicant</w:t>
      </w:r>
      <w:r w:rsidRPr="00D97515">
        <w:t xml:space="preserve"> for services provided by lawyers and other professionals in relation to issues concerning members of the </w:t>
      </w:r>
      <w:proofErr w:type="spellStart"/>
      <w:r w:rsidRPr="00D97515">
        <w:t>Lewski</w:t>
      </w:r>
      <w:proofErr w:type="spellEnd"/>
      <w:r w:rsidRPr="00D97515">
        <w:t xml:space="preserve"> family and </w:t>
      </w:r>
      <w:r w:rsidR="006E32D1">
        <w:t xml:space="preserve">affiliated </w:t>
      </w:r>
      <w:r w:rsidRPr="00D97515">
        <w:t>entities</w:t>
      </w:r>
      <w:r w:rsidR="006E32D1" w:rsidRPr="006E32D1">
        <w:t xml:space="preserve"> </w:t>
      </w:r>
      <w:r w:rsidR="00895736">
        <w:t>(</w:t>
      </w:r>
      <w:proofErr w:type="spellStart"/>
      <w:r w:rsidR="00895736" w:rsidRPr="006757AE">
        <w:rPr>
          <w:b/>
        </w:rPr>
        <w:t>Lewski</w:t>
      </w:r>
      <w:proofErr w:type="spellEnd"/>
      <w:r w:rsidR="00895736" w:rsidRPr="006757AE">
        <w:rPr>
          <w:b/>
        </w:rPr>
        <w:t xml:space="preserve"> Family Group</w:t>
      </w:r>
      <w:r w:rsidR="00895736">
        <w:t>)</w:t>
      </w:r>
      <w:r w:rsidRPr="00D97515">
        <w:t xml:space="preserve">.  Some services related to court or tribunal proceedings to which </w:t>
      </w:r>
      <w:proofErr w:type="spellStart"/>
      <w:r w:rsidRPr="00D97515">
        <w:t>Lewski</w:t>
      </w:r>
      <w:proofErr w:type="spellEnd"/>
      <w:r w:rsidRPr="00D97515">
        <w:t xml:space="preserve"> </w:t>
      </w:r>
      <w:r w:rsidR="00895736">
        <w:t xml:space="preserve">Family Group </w:t>
      </w:r>
      <w:r w:rsidRPr="00D97515">
        <w:t>members were a party or were otherwise involved (</w:t>
      </w:r>
      <w:r w:rsidRPr="004F2798">
        <w:rPr>
          <w:b/>
        </w:rPr>
        <w:t>Litigation Services</w:t>
      </w:r>
      <w:r w:rsidRPr="00D97515">
        <w:t xml:space="preserve">).  </w:t>
      </w:r>
      <w:r w:rsidR="00D54CAF" w:rsidRPr="004F2798">
        <w:rPr>
          <w:szCs w:val="24"/>
        </w:rPr>
        <w:t>Members of t</w:t>
      </w:r>
      <w:r w:rsidRPr="004F2798">
        <w:rPr>
          <w:szCs w:val="24"/>
        </w:rPr>
        <w:t xml:space="preserve">he </w:t>
      </w:r>
      <w:proofErr w:type="spellStart"/>
      <w:r w:rsidRPr="004F2798">
        <w:rPr>
          <w:szCs w:val="24"/>
        </w:rPr>
        <w:t>Lewski</w:t>
      </w:r>
      <w:proofErr w:type="spellEnd"/>
      <w:r w:rsidRPr="004F2798">
        <w:rPr>
          <w:szCs w:val="24"/>
        </w:rPr>
        <w:t xml:space="preserve"> </w:t>
      </w:r>
      <w:r w:rsidR="00895736" w:rsidRPr="004F2798">
        <w:rPr>
          <w:szCs w:val="24"/>
        </w:rPr>
        <w:t>F</w:t>
      </w:r>
      <w:r w:rsidRPr="004F2798">
        <w:rPr>
          <w:szCs w:val="24"/>
        </w:rPr>
        <w:t xml:space="preserve">amily </w:t>
      </w:r>
      <w:r w:rsidR="00895736" w:rsidRPr="004F2798">
        <w:rPr>
          <w:szCs w:val="24"/>
        </w:rPr>
        <w:t>Group</w:t>
      </w:r>
      <w:r w:rsidRPr="004F2798">
        <w:rPr>
          <w:szCs w:val="24"/>
        </w:rPr>
        <w:t xml:space="preserve"> were parties to a number of proceedings which resulted in a need for legal representation and advice.  </w:t>
      </w:r>
      <w:r w:rsidRPr="00D97515">
        <w:t>Other services were not related to litigation (</w:t>
      </w:r>
      <w:r w:rsidRPr="004F2798">
        <w:rPr>
          <w:b/>
        </w:rPr>
        <w:t>Other Services</w:t>
      </w:r>
      <w:r w:rsidRPr="00D97515">
        <w:t xml:space="preserve">).  </w:t>
      </w:r>
      <w:r w:rsidR="006825CF" w:rsidRPr="004F2798">
        <w:rPr>
          <w:szCs w:val="24"/>
        </w:rPr>
        <w:t xml:space="preserve">In </w:t>
      </w:r>
      <w:r w:rsidRPr="004F2798">
        <w:rPr>
          <w:szCs w:val="24"/>
        </w:rPr>
        <w:t>the relevant period</w:t>
      </w:r>
      <w:r w:rsidR="006825CF" w:rsidRPr="004F2798">
        <w:rPr>
          <w:szCs w:val="24"/>
        </w:rPr>
        <w:t>s</w:t>
      </w:r>
      <w:r w:rsidRPr="004F2798">
        <w:rPr>
          <w:szCs w:val="24"/>
        </w:rPr>
        <w:t xml:space="preserve">, the </w:t>
      </w:r>
      <w:r w:rsidR="00C948FC">
        <w:rPr>
          <w:szCs w:val="24"/>
        </w:rPr>
        <w:t>Applicant</w:t>
      </w:r>
      <w:r w:rsidRPr="004F2798">
        <w:rPr>
          <w:szCs w:val="24"/>
        </w:rPr>
        <w:t xml:space="preserve"> paid invoices relating to Litigation </w:t>
      </w:r>
      <w:r w:rsidR="00057ED4" w:rsidRPr="00AC3836">
        <w:rPr>
          <w:szCs w:val="24"/>
        </w:rPr>
        <w:t xml:space="preserve">Services </w:t>
      </w:r>
      <w:r w:rsidRPr="004833CE">
        <w:rPr>
          <w:szCs w:val="24"/>
        </w:rPr>
        <w:t>and Other Services totalling over $3.6m.</w:t>
      </w:r>
    </w:p>
    <w:p w14:paraId="6AEB942E" w14:textId="12AB519B" w:rsidR="00C108ED" w:rsidRDefault="00C108ED" w:rsidP="00C108ED">
      <w:pPr>
        <w:pStyle w:val="ParaNumbering"/>
      </w:pPr>
      <w:r w:rsidRPr="00FE7BFA">
        <w:t xml:space="preserve">The following table shows the input tax credits sought to be claimed by the </w:t>
      </w:r>
      <w:r w:rsidR="00C948FC">
        <w:t>Applicant</w:t>
      </w:r>
      <w:r w:rsidRPr="00FE7BFA">
        <w:t xml:space="preserve"> and the adjustments made by the Commissioner to the assessed net amount for each period.</w:t>
      </w:r>
    </w:p>
    <w:tbl>
      <w:tblPr>
        <w:tblStyle w:val="TableGrid"/>
        <w:tblW w:w="5000" w:type="pct"/>
        <w:tblLook w:val="04A0" w:firstRow="1" w:lastRow="0" w:firstColumn="1" w:lastColumn="0" w:noHBand="0" w:noVBand="1"/>
      </w:tblPr>
      <w:tblGrid>
        <w:gridCol w:w="3005"/>
        <w:gridCol w:w="3006"/>
        <w:gridCol w:w="3006"/>
      </w:tblGrid>
      <w:tr w:rsidR="00B47C60" w14:paraId="3B2FC0AB" w14:textId="77777777" w:rsidTr="00BC23B4">
        <w:tc>
          <w:tcPr>
            <w:tcW w:w="1666" w:type="pct"/>
          </w:tcPr>
          <w:p w14:paraId="0709383B" w14:textId="6DD0185C" w:rsidR="00B47C60" w:rsidRDefault="00B47C60" w:rsidP="00D603C2">
            <w:pPr>
              <w:pStyle w:val="Small-TableswithinQuotes"/>
            </w:pPr>
            <w:r w:rsidRPr="00DD1BC9">
              <w:rPr>
                <w:b/>
              </w:rPr>
              <w:t>Period</w:t>
            </w:r>
          </w:p>
        </w:tc>
        <w:tc>
          <w:tcPr>
            <w:tcW w:w="1667" w:type="pct"/>
          </w:tcPr>
          <w:p w14:paraId="07BED80C" w14:textId="1670741A" w:rsidR="00B47C60" w:rsidRDefault="00B47C60" w:rsidP="00D603C2">
            <w:pPr>
              <w:pStyle w:val="Small-TableswithinQuotes"/>
            </w:pPr>
            <w:r w:rsidRPr="00DD1BC9">
              <w:rPr>
                <w:b/>
              </w:rPr>
              <w:t xml:space="preserve">Input credits sought to be claimed </w:t>
            </w:r>
          </w:p>
        </w:tc>
        <w:tc>
          <w:tcPr>
            <w:tcW w:w="1667" w:type="pct"/>
          </w:tcPr>
          <w:p w14:paraId="3F730912" w14:textId="5FD447B7" w:rsidR="00B47C60" w:rsidRDefault="00B47C60" w:rsidP="00D603C2">
            <w:pPr>
              <w:pStyle w:val="Small-TableswithinQuotes"/>
            </w:pPr>
            <w:r w:rsidRPr="00DD1BC9">
              <w:rPr>
                <w:b/>
              </w:rPr>
              <w:t xml:space="preserve">Adjustment to assessed </w:t>
            </w:r>
            <w:r w:rsidRPr="00D97515">
              <w:rPr>
                <w:b/>
              </w:rPr>
              <w:t>n</w:t>
            </w:r>
            <w:r w:rsidRPr="00DD1BC9">
              <w:rPr>
                <w:b/>
              </w:rPr>
              <w:t xml:space="preserve">et </w:t>
            </w:r>
            <w:r w:rsidRPr="00D97515">
              <w:rPr>
                <w:b/>
              </w:rPr>
              <w:t>a</w:t>
            </w:r>
            <w:r w:rsidRPr="00DD1BC9">
              <w:rPr>
                <w:b/>
              </w:rPr>
              <w:t>mount</w:t>
            </w:r>
          </w:p>
        </w:tc>
      </w:tr>
      <w:tr w:rsidR="00B47C60" w14:paraId="10D894E1" w14:textId="77777777" w:rsidTr="00BC23B4">
        <w:tc>
          <w:tcPr>
            <w:tcW w:w="1666" w:type="pct"/>
          </w:tcPr>
          <w:p w14:paraId="54623C82" w14:textId="645F55CA" w:rsidR="00B47C60" w:rsidRPr="004277FE" w:rsidRDefault="00B47C60" w:rsidP="00B47C60">
            <w:pPr>
              <w:pStyle w:val="Small-TableswithinQuotes"/>
            </w:pPr>
            <w:r w:rsidRPr="00D97515">
              <w:t>01/01/2015 – 31/03/2015</w:t>
            </w:r>
          </w:p>
        </w:tc>
        <w:tc>
          <w:tcPr>
            <w:tcW w:w="1667" w:type="pct"/>
            <w:vAlign w:val="center"/>
          </w:tcPr>
          <w:p w14:paraId="57B8209D" w14:textId="3EFEEA5F" w:rsidR="00B47C60" w:rsidRPr="004277FE" w:rsidRDefault="00B47C60" w:rsidP="00B47C60">
            <w:pPr>
              <w:pStyle w:val="Small-TableswithinQuotes"/>
            </w:pPr>
            <w:r w:rsidRPr="00E635B3">
              <w:t>$8,253.67</w:t>
            </w:r>
          </w:p>
        </w:tc>
        <w:tc>
          <w:tcPr>
            <w:tcW w:w="1667" w:type="pct"/>
            <w:vAlign w:val="center"/>
          </w:tcPr>
          <w:p w14:paraId="4DC81BA0" w14:textId="58368D95" w:rsidR="00B47C60" w:rsidRPr="004277FE" w:rsidRDefault="00B47C60" w:rsidP="00B47C60">
            <w:pPr>
              <w:pStyle w:val="Small-TableswithinQuotes"/>
            </w:pPr>
            <w:r w:rsidRPr="00E635B3">
              <w:t>$8,253.67</w:t>
            </w:r>
          </w:p>
        </w:tc>
      </w:tr>
      <w:tr w:rsidR="00B47C60" w14:paraId="31EEE7B5" w14:textId="77777777" w:rsidTr="00BC23B4">
        <w:tc>
          <w:tcPr>
            <w:tcW w:w="1666" w:type="pct"/>
          </w:tcPr>
          <w:p w14:paraId="1BA33097" w14:textId="353BE040" w:rsidR="00B47C60" w:rsidRPr="00D97515" w:rsidRDefault="00B47C60" w:rsidP="00B47C60">
            <w:pPr>
              <w:pStyle w:val="Small-TableswithinQuotes"/>
            </w:pPr>
            <w:r w:rsidRPr="00D97515">
              <w:t>01/04/2015 – 30/06/2015</w:t>
            </w:r>
          </w:p>
        </w:tc>
        <w:tc>
          <w:tcPr>
            <w:tcW w:w="1667" w:type="pct"/>
            <w:vAlign w:val="center"/>
          </w:tcPr>
          <w:p w14:paraId="5E8BE479" w14:textId="5516B464" w:rsidR="00B47C60" w:rsidRPr="00E635B3" w:rsidRDefault="00B47C60" w:rsidP="00B47C60">
            <w:pPr>
              <w:pStyle w:val="Small-TableswithinQuotes"/>
            </w:pPr>
            <w:r w:rsidRPr="00E635B3">
              <w:t>$44,026.39</w:t>
            </w:r>
          </w:p>
        </w:tc>
        <w:tc>
          <w:tcPr>
            <w:tcW w:w="1667" w:type="pct"/>
            <w:vAlign w:val="center"/>
          </w:tcPr>
          <w:p w14:paraId="37C8EB12" w14:textId="64798479" w:rsidR="00B47C60" w:rsidRPr="00FE7BFA" w:rsidRDefault="00B47C60" w:rsidP="00B47C60">
            <w:pPr>
              <w:pStyle w:val="Small-TableswithinQuotes"/>
            </w:pPr>
            <w:r w:rsidRPr="006757AE">
              <w:t>$32,085.00</w:t>
            </w:r>
          </w:p>
        </w:tc>
      </w:tr>
      <w:tr w:rsidR="00B47C60" w14:paraId="3F73B6B1" w14:textId="77777777" w:rsidTr="00BC23B4">
        <w:tc>
          <w:tcPr>
            <w:tcW w:w="1666" w:type="pct"/>
          </w:tcPr>
          <w:p w14:paraId="08AF3201" w14:textId="19F04EBF" w:rsidR="00B47C60" w:rsidRPr="00D97515" w:rsidRDefault="00B47C60" w:rsidP="00B47C60">
            <w:pPr>
              <w:pStyle w:val="Small-TableswithinQuotes"/>
            </w:pPr>
            <w:r w:rsidRPr="00D97515">
              <w:t>01/07/2015 – 30/</w:t>
            </w:r>
            <w:r w:rsidR="00DD5447">
              <w:t>0</w:t>
            </w:r>
            <w:r w:rsidRPr="00D97515">
              <w:t>9/2015</w:t>
            </w:r>
          </w:p>
        </w:tc>
        <w:tc>
          <w:tcPr>
            <w:tcW w:w="1667" w:type="pct"/>
            <w:vAlign w:val="center"/>
          </w:tcPr>
          <w:p w14:paraId="441E123A" w14:textId="57627912" w:rsidR="00B47C60" w:rsidRPr="00E635B3" w:rsidRDefault="00B47C60" w:rsidP="00B47C60">
            <w:pPr>
              <w:pStyle w:val="Small-TableswithinQuotes"/>
            </w:pPr>
            <w:r w:rsidRPr="00E635B3">
              <w:t>$28,236.64</w:t>
            </w:r>
          </w:p>
        </w:tc>
        <w:tc>
          <w:tcPr>
            <w:tcW w:w="1667" w:type="pct"/>
          </w:tcPr>
          <w:p w14:paraId="50AE07F2" w14:textId="77CB9515" w:rsidR="00B47C60" w:rsidRPr="00E635B3" w:rsidRDefault="00B47C60" w:rsidP="00B47C60">
            <w:pPr>
              <w:pStyle w:val="Small-TableswithinQuotes"/>
              <w:rPr>
                <w:highlight w:val="yellow"/>
              </w:rPr>
            </w:pPr>
            <w:r w:rsidRPr="00E635B3">
              <w:t>$28,236.64</w:t>
            </w:r>
          </w:p>
        </w:tc>
      </w:tr>
      <w:tr w:rsidR="00B47C60" w14:paraId="198FAE8D" w14:textId="77777777" w:rsidTr="00BC23B4">
        <w:tc>
          <w:tcPr>
            <w:tcW w:w="1666" w:type="pct"/>
          </w:tcPr>
          <w:p w14:paraId="00AAA1D4" w14:textId="38280B90" w:rsidR="00B47C60" w:rsidRPr="00D97515" w:rsidRDefault="00B47C60" w:rsidP="00B47C60">
            <w:pPr>
              <w:pStyle w:val="Small-TableswithinQuotes"/>
            </w:pPr>
            <w:r w:rsidRPr="00D97515">
              <w:t>01/10/2015 – 31/12/2015</w:t>
            </w:r>
          </w:p>
        </w:tc>
        <w:tc>
          <w:tcPr>
            <w:tcW w:w="1667" w:type="pct"/>
            <w:vAlign w:val="center"/>
          </w:tcPr>
          <w:p w14:paraId="2D0F0467" w14:textId="73505536" w:rsidR="00B47C60" w:rsidRPr="00E635B3" w:rsidRDefault="00B47C60" w:rsidP="00B47C60">
            <w:pPr>
              <w:pStyle w:val="Small-TableswithinQuotes"/>
            </w:pPr>
            <w:r w:rsidRPr="00E635B3">
              <w:t>$15,086.53</w:t>
            </w:r>
          </w:p>
        </w:tc>
        <w:tc>
          <w:tcPr>
            <w:tcW w:w="1667" w:type="pct"/>
            <w:vAlign w:val="center"/>
          </w:tcPr>
          <w:p w14:paraId="3428BAB6" w14:textId="6BE1DC1F" w:rsidR="00B47C60" w:rsidRPr="00E635B3" w:rsidRDefault="00B47C60" w:rsidP="00B47C60">
            <w:pPr>
              <w:pStyle w:val="Small-TableswithinQuotes"/>
            </w:pPr>
            <w:r w:rsidRPr="00E635B3">
              <w:t>$15,086.53</w:t>
            </w:r>
          </w:p>
        </w:tc>
      </w:tr>
      <w:tr w:rsidR="00B47C60" w14:paraId="647B5BE1" w14:textId="77777777" w:rsidTr="00BC23B4">
        <w:tc>
          <w:tcPr>
            <w:tcW w:w="1666" w:type="pct"/>
          </w:tcPr>
          <w:p w14:paraId="55D123B5" w14:textId="6B80B448" w:rsidR="00B47C60" w:rsidRPr="00D97515" w:rsidRDefault="00B47C60" w:rsidP="00B47C60">
            <w:pPr>
              <w:pStyle w:val="Small-TableswithinQuotes"/>
            </w:pPr>
            <w:r w:rsidRPr="00D97515">
              <w:t>01/01/2016 – 31/03/2016</w:t>
            </w:r>
          </w:p>
        </w:tc>
        <w:tc>
          <w:tcPr>
            <w:tcW w:w="1667" w:type="pct"/>
            <w:vAlign w:val="center"/>
          </w:tcPr>
          <w:p w14:paraId="5353BE87" w14:textId="43911D6D" w:rsidR="00B47C60" w:rsidRPr="00E635B3" w:rsidRDefault="00B47C60" w:rsidP="00B47C60">
            <w:pPr>
              <w:pStyle w:val="Small-TableswithinQuotes"/>
            </w:pPr>
            <w:r w:rsidRPr="00E635B3">
              <w:t>$19,479.55</w:t>
            </w:r>
          </w:p>
        </w:tc>
        <w:tc>
          <w:tcPr>
            <w:tcW w:w="1667" w:type="pct"/>
            <w:vAlign w:val="center"/>
          </w:tcPr>
          <w:p w14:paraId="4EC130D6" w14:textId="3122AE66" w:rsidR="00B47C60" w:rsidRPr="00E635B3" w:rsidRDefault="00B47C60" w:rsidP="00B47C60">
            <w:pPr>
              <w:pStyle w:val="Small-TableswithinQuotes"/>
            </w:pPr>
            <w:r w:rsidRPr="00E635B3">
              <w:t>$19,479.55</w:t>
            </w:r>
          </w:p>
        </w:tc>
      </w:tr>
      <w:tr w:rsidR="00B47C60" w14:paraId="64C5C4C9" w14:textId="77777777" w:rsidTr="00BC23B4">
        <w:tc>
          <w:tcPr>
            <w:tcW w:w="1666" w:type="pct"/>
          </w:tcPr>
          <w:p w14:paraId="03B136B2" w14:textId="121B4A29" w:rsidR="00B47C60" w:rsidRPr="00D97515" w:rsidRDefault="00B47C60" w:rsidP="00B47C60">
            <w:pPr>
              <w:pStyle w:val="Small-TableswithinQuotes"/>
            </w:pPr>
            <w:r w:rsidRPr="00D97515">
              <w:t>01/04/2016 – 30/06/2016</w:t>
            </w:r>
          </w:p>
        </w:tc>
        <w:tc>
          <w:tcPr>
            <w:tcW w:w="1667" w:type="pct"/>
            <w:vAlign w:val="center"/>
          </w:tcPr>
          <w:p w14:paraId="408BEF4E" w14:textId="3BF8B307" w:rsidR="00B47C60" w:rsidRPr="00E635B3" w:rsidRDefault="00B47C60" w:rsidP="00B47C60">
            <w:pPr>
              <w:pStyle w:val="Small-TableswithinQuotes"/>
            </w:pPr>
            <w:r w:rsidRPr="00E635B3">
              <w:t>$10,088.69</w:t>
            </w:r>
          </w:p>
        </w:tc>
        <w:tc>
          <w:tcPr>
            <w:tcW w:w="1667" w:type="pct"/>
            <w:vAlign w:val="center"/>
          </w:tcPr>
          <w:p w14:paraId="5368565B" w14:textId="4EF8ECDB" w:rsidR="00B47C60" w:rsidRPr="00E635B3" w:rsidRDefault="00B47C60" w:rsidP="00B47C60">
            <w:pPr>
              <w:pStyle w:val="Small-TableswithinQuotes"/>
            </w:pPr>
            <w:r w:rsidRPr="00E635B3">
              <w:t>$10,088.69</w:t>
            </w:r>
          </w:p>
        </w:tc>
      </w:tr>
      <w:tr w:rsidR="00B47C60" w14:paraId="7EA1A247" w14:textId="77777777" w:rsidTr="00BC23B4">
        <w:tc>
          <w:tcPr>
            <w:tcW w:w="1666" w:type="pct"/>
          </w:tcPr>
          <w:p w14:paraId="1FEAA620" w14:textId="78E186B3" w:rsidR="00B47C60" w:rsidRPr="00D97515" w:rsidRDefault="00B47C60" w:rsidP="00B47C60">
            <w:pPr>
              <w:pStyle w:val="Small-TableswithinQuotes"/>
            </w:pPr>
            <w:r w:rsidRPr="00D97515">
              <w:t>01/07/2016 – 30/</w:t>
            </w:r>
            <w:r w:rsidR="00DD5447">
              <w:t>0</w:t>
            </w:r>
            <w:r w:rsidRPr="00D97515">
              <w:t>9/2016</w:t>
            </w:r>
          </w:p>
        </w:tc>
        <w:tc>
          <w:tcPr>
            <w:tcW w:w="1667" w:type="pct"/>
            <w:vAlign w:val="center"/>
          </w:tcPr>
          <w:p w14:paraId="07F3DC64" w14:textId="12D40487" w:rsidR="00B47C60" w:rsidRPr="00E635B3" w:rsidRDefault="00B47C60" w:rsidP="00B47C60">
            <w:pPr>
              <w:pStyle w:val="Small-TableswithinQuotes"/>
            </w:pPr>
            <w:r w:rsidRPr="00E635B3">
              <w:t>$26,561.68</w:t>
            </w:r>
          </w:p>
        </w:tc>
        <w:tc>
          <w:tcPr>
            <w:tcW w:w="1667" w:type="pct"/>
            <w:vAlign w:val="center"/>
          </w:tcPr>
          <w:p w14:paraId="315AACBD" w14:textId="6ABE6524" w:rsidR="00B47C60" w:rsidRPr="00E635B3" w:rsidRDefault="00B47C60" w:rsidP="00B47C60">
            <w:pPr>
              <w:pStyle w:val="Small-TableswithinQuotes"/>
            </w:pPr>
            <w:r w:rsidRPr="00E635B3">
              <w:t>$26,561.68</w:t>
            </w:r>
          </w:p>
        </w:tc>
      </w:tr>
      <w:tr w:rsidR="00B47C60" w14:paraId="2E99F1A0" w14:textId="77777777" w:rsidTr="00BC23B4">
        <w:tc>
          <w:tcPr>
            <w:tcW w:w="1666" w:type="pct"/>
          </w:tcPr>
          <w:p w14:paraId="5283B232" w14:textId="62D75CFE" w:rsidR="00B47C60" w:rsidRPr="00D97515" w:rsidRDefault="00B47C60" w:rsidP="00B47C60">
            <w:pPr>
              <w:pStyle w:val="Small-TableswithinQuotes"/>
            </w:pPr>
            <w:r w:rsidRPr="00D97515">
              <w:t>01/10/2016 – 31/12/2016</w:t>
            </w:r>
          </w:p>
        </w:tc>
        <w:tc>
          <w:tcPr>
            <w:tcW w:w="1667" w:type="pct"/>
            <w:vAlign w:val="center"/>
          </w:tcPr>
          <w:p w14:paraId="2157FBDC" w14:textId="7B175C41" w:rsidR="00B47C60" w:rsidRPr="00E635B3" w:rsidRDefault="00B47C60" w:rsidP="00B47C60">
            <w:pPr>
              <w:pStyle w:val="Small-TableswithinQuotes"/>
            </w:pPr>
            <w:r w:rsidRPr="00E635B3">
              <w:t>$43,544.53</w:t>
            </w:r>
          </w:p>
        </w:tc>
        <w:tc>
          <w:tcPr>
            <w:tcW w:w="1667" w:type="pct"/>
            <w:vAlign w:val="center"/>
          </w:tcPr>
          <w:p w14:paraId="4765FCA4" w14:textId="4A3B1D9A" w:rsidR="00B47C60" w:rsidRPr="00E635B3" w:rsidRDefault="00B47C60" w:rsidP="00B47C60">
            <w:pPr>
              <w:pStyle w:val="Small-TableswithinQuotes"/>
            </w:pPr>
            <w:r w:rsidRPr="00E635B3">
              <w:t>$43,544.53</w:t>
            </w:r>
          </w:p>
        </w:tc>
      </w:tr>
      <w:tr w:rsidR="00B47C60" w14:paraId="4937003C" w14:textId="77777777" w:rsidTr="00BC23B4">
        <w:tc>
          <w:tcPr>
            <w:tcW w:w="1666" w:type="pct"/>
          </w:tcPr>
          <w:p w14:paraId="0AAB682F" w14:textId="5E10D78F" w:rsidR="00B47C60" w:rsidRPr="00D97515" w:rsidRDefault="00B47C60" w:rsidP="00B47C60">
            <w:pPr>
              <w:pStyle w:val="Small-TableswithinQuotes"/>
            </w:pPr>
            <w:r w:rsidRPr="00D97515">
              <w:t>01/01/2017 – 31/03/2017</w:t>
            </w:r>
          </w:p>
        </w:tc>
        <w:tc>
          <w:tcPr>
            <w:tcW w:w="1667" w:type="pct"/>
            <w:vAlign w:val="center"/>
          </w:tcPr>
          <w:p w14:paraId="6CC88DBE" w14:textId="472A7A04" w:rsidR="00B47C60" w:rsidRPr="00E635B3" w:rsidRDefault="00B47C60" w:rsidP="00B47C60">
            <w:pPr>
              <w:pStyle w:val="Small-TableswithinQuotes"/>
            </w:pPr>
            <w:r w:rsidRPr="00E635B3">
              <w:t>$40,676.16</w:t>
            </w:r>
          </w:p>
        </w:tc>
        <w:tc>
          <w:tcPr>
            <w:tcW w:w="1667" w:type="pct"/>
            <w:vAlign w:val="center"/>
          </w:tcPr>
          <w:p w14:paraId="64F2947A" w14:textId="4397C8F7" w:rsidR="00B47C60" w:rsidRPr="00E635B3" w:rsidRDefault="00B47C60" w:rsidP="00B47C60">
            <w:pPr>
              <w:pStyle w:val="Small-TableswithinQuotes"/>
            </w:pPr>
            <w:r w:rsidRPr="00E635B3">
              <w:t>$40,676.16</w:t>
            </w:r>
          </w:p>
        </w:tc>
      </w:tr>
      <w:tr w:rsidR="00B47C60" w14:paraId="41C87AA9" w14:textId="77777777" w:rsidTr="00BC23B4">
        <w:tc>
          <w:tcPr>
            <w:tcW w:w="1666" w:type="pct"/>
          </w:tcPr>
          <w:p w14:paraId="7B46C701" w14:textId="43168694" w:rsidR="00B47C60" w:rsidRPr="00D97515" w:rsidRDefault="00B47C60" w:rsidP="00B47C60">
            <w:pPr>
              <w:pStyle w:val="Small-TableswithinQuotes"/>
            </w:pPr>
            <w:r w:rsidRPr="00D97515">
              <w:t>01/04/2017 – 30/06/2017</w:t>
            </w:r>
          </w:p>
        </w:tc>
        <w:tc>
          <w:tcPr>
            <w:tcW w:w="1667" w:type="pct"/>
            <w:vAlign w:val="center"/>
          </w:tcPr>
          <w:p w14:paraId="654D7DDA" w14:textId="5235A5CB" w:rsidR="00B47C60" w:rsidRPr="00E635B3" w:rsidRDefault="00B47C60" w:rsidP="00B47C60">
            <w:pPr>
              <w:pStyle w:val="Small-TableswithinQuotes"/>
            </w:pPr>
            <w:r w:rsidRPr="00E635B3">
              <w:t>$49,099.53</w:t>
            </w:r>
          </w:p>
        </w:tc>
        <w:tc>
          <w:tcPr>
            <w:tcW w:w="1667" w:type="pct"/>
            <w:vAlign w:val="center"/>
          </w:tcPr>
          <w:p w14:paraId="68E20436" w14:textId="6F264844" w:rsidR="00B47C60" w:rsidRPr="00E635B3" w:rsidRDefault="00B47C60" w:rsidP="00B47C60">
            <w:pPr>
              <w:pStyle w:val="Small-TableswithinQuotes"/>
            </w:pPr>
            <w:r w:rsidRPr="00E635B3">
              <w:t>$49,099.53</w:t>
            </w:r>
          </w:p>
        </w:tc>
      </w:tr>
      <w:tr w:rsidR="00B47C60" w14:paraId="45714B44" w14:textId="77777777" w:rsidTr="00BC23B4">
        <w:tc>
          <w:tcPr>
            <w:tcW w:w="1666" w:type="pct"/>
          </w:tcPr>
          <w:p w14:paraId="65109805" w14:textId="591BF6AA" w:rsidR="00B47C60" w:rsidRPr="00D97515" w:rsidRDefault="00B47C60" w:rsidP="00B47C60">
            <w:pPr>
              <w:pStyle w:val="Small-TableswithinQuotes"/>
            </w:pPr>
            <w:r w:rsidRPr="00D97515">
              <w:t>01/07/2017 – 30/</w:t>
            </w:r>
            <w:r w:rsidR="00DD5447">
              <w:t>0</w:t>
            </w:r>
            <w:r w:rsidRPr="00D97515">
              <w:t>9/2017</w:t>
            </w:r>
          </w:p>
        </w:tc>
        <w:tc>
          <w:tcPr>
            <w:tcW w:w="1667" w:type="pct"/>
            <w:vAlign w:val="center"/>
          </w:tcPr>
          <w:p w14:paraId="48A4F446" w14:textId="7E859D32" w:rsidR="00B47C60" w:rsidRPr="00E635B3" w:rsidRDefault="00B47C60" w:rsidP="00B47C60">
            <w:pPr>
              <w:pStyle w:val="Small-TableswithinQuotes"/>
            </w:pPr>
            <w:r w:rsidRPr="00E635B3">
              <w:t>$13,045.72</w:t>
            </w:r>
          </w:p>
        </w:tc>
        <w:tc>
          <w:tcPr>
            <w:tcW w:w="1667" w:type="pct"/>
            <w:vAlign w:val="center"/>
          </w:tcPr>
          <w:p w14:paraId="7B3BEFF4" w14:textId="66EC9633" w:rsidR="00B47C60" w:rsidRPr="00E635B3" w:rsidRDefault="00B47C60" w:rsidP="00B47C60">
            <w:pPr>
              <w:pStyle w:val="Small-TableswithinQuotes"/>
            </w:pPr>
            <w:r w:rsidRPr="00E635B3">
              <w:t>$13,045.72</w:t>
            </w:r>
          </w:p>
        </w:tc>
      </w:tr>
      <w:tr w:rsidR="00B47C60" w14:paraId="0F51C90D" w14:textId="77777777" w:rsidTr="00BC23B4">
        <w:tc>
          <w:tcPr>
            <w:tcW w:w="1666" w:type="pct"/>
          </w:tcPr>
          <w:p w14:paraId="605887B4" w14:textId="4F9A9F6F" w:rsidR="00B47C60" w:rsidRPr="00D97515" w:rsidRDefault="00B47C60" w:rsidP="00B47C60">
            <w:pPr>
              <w:pStyle w:val="Small-TableswithinQuotes"/>
            </w:pPr>
            <w:r w:rsidRPr="00D97515">
              <w:t>01/10/2017 – 31/12/2017</w:t>
            </w:r>
          </w:p>
        </w:tc>
        <w:tc>
          <w:tcPr>
            <w:tcW w:w="1667" w:type="pct"/>
            <w:vAlign w:val="center"/>
          </w:tcPr>
          <w:p w14:paraId="3F5AE5DF" w14:textId="79E34980" w:rsidR="00B47C60" w:rsidRPr="00E635B3" w:rsidRDefault="00B47C60" w:rsidP="00B47C60">
            <w:pPr>
              <w:pStyle w:val="Small-TableswithinQuotes"/>
            </w:pPr>
            <w:r w:rsidRPr="00E635B3">
              <w:t>$32,159.40</w:t>
            </w:r>
          </w:p>
        </w:tc>
        <w:tc>
          <w:tcPr>
            <w:tcW w:w="1667" w:type="pct"/>
            <w:vAlign w:val="center"/>
          </w:tcPr>
          <w:p w14:paraId="1D3181EB" w14:textId="1F87AE16" w:rsidR="00B47C60" w:rsidRPr="00E635B3" w:rsidRDefault="00B47C60" w:rsidP="00B47C60">
            <w:pPr>
              <w:pStyle w:val="Small-TableswithinQuotes"/>
            </w:pPr>
            <w:r w:rsidRPr="00E635B3">
              <w:t>$32,159.40</w:t>
            </w:r>
          </w:p>
        </w:tc>
      </w:tr>
    </w:tbl>
    <w:p w14:paraId="1F152821" w14:textId="13F7EB2C" w:rsidR="00C108ED" w:rsidRPr="00D97515" w:rsidRDefault="00C108ED" w:rsidP="00C108ED">
      <w:pPr>
        <w:pStyle w:val="ParaNumbering"/>
      </w:pPr>
      <w:r w:rsidRPr="00D97515">
        <w:t xml:space="preserve">There is disagreement between the parties as to whether the </w:t>
      </w:r>
      <w:r w:rsidR="00C948FC">
        <w:t>Applicant</w:t>
      </w:r>
      <w:r w:rsidRPr="00D97515">
        <w:t xml:space="preserve"> is entitled to now claim input tax credits in an amount in excess of the adjustment ma</w:t>
      </w:r>
      <w:r w:rsidR="00010797" w:rsidRPr="00D97515">
        <w:t>de by the Commissioner (that is,</w:t>
      </w:r>
      <w:r w:rsidRPr="00D97515">
        <w:t xml:space="preserve"> in excess of the input tax credits denied by the Commissioner).  The difference arises because </w:t>
      </w:r>
      <w:r w:rsidRPr="00D97515">
        <w:lastRenderedPageBreak/>
        <w:t xml:space="preserve">the </w:t>
      </w:r>
      <w:r w:rsidR="00C948FC">
        <w:t>Applicant</w:t>
      </w:r>
      <w:r w:rsidRPr="00D97515">
        <w:t xml:space="preserve"> did not claim input tax credits in its </w:t>
      </w:r>
      <w:r w:rsidR="006757AE">
        <w:t>b</w:t>
      </w:r>
      <w:r w:rsidRPr="000E49CB">
        <w:t xml:space="preserve">usiness </w:t>
      </w:r>
      <w:r w:rsidR="006757AE">
        <w:t>a</w:t>
      </w:r>
      <w:r w:rsidRPr="000E49CB">
        <w:t xml:space="preserve">ctivity </w:t>
      </w:r>
      <w:r w:rsidR="006757AE">
        <w:t>s</w:t>
      </w:r>
      <w:r w:rsidRPr="000E49CB">
        <w:t>tatement</w:t>
      </w:r>
      <w:r w:rsidRPr="00D97515">
        <w:t xml:space="preserve"> (</w:t>
      </w:r>
      <w:r w:rsidRPr="00D97515">
        <w:rPr>
          <w:b/>
        </w:rPr>
        <w:t>BAS</w:t>
      </w:r>
      <w:r w:rsidRPr="00D97515">
        <w:t xml:space="preserve">) relating to a number of tax invoices that it has now identified as having been paid during the tax period in respect of which the relevant BAS was lodged.  This disagreement applies only to the period </w:t>
      </w:r>
      <w:r w:rsidR="00D125E8" w:rsidRPr="00D97515">
        <w:t xml:space="preserve">1 April 2015 to 30 June 2015.  </w:t>
      </w:r>
      <w:r w:rsidRPr="00D97515">
        <w:t>Given the reasons below, it is not necess</w:t>
      </w:r>
      <w:r w:rsidR="00D125E8" w:rsidRPr="00D97515">
        <w:t>ary for me to decide this issue</w:t>
      </w:r>
      <w:r w:rsidRPr="00D97515">
        <w:t>.</w:t>
      </w:r>
    </w:p>
    <w:p w14:paraId="09B144D8" w14:textId="77777777" w:rsidR="00C108ED" w:rsidRPr="00D97515" w:rsidRDefault="00C108ED" w:rsidP="00C108ED">
      <w:pPr>
        <w:pStyle w:val="Heading1"/>
      </w:pPr>
      <w:r w:rsidRPr="00D97515">
        <w:t>ISSUES</w:t>
      </w:r>
    </w:p>
    <w:p w14:paraId="6308748C" w14:textId="5E3259B2" w:rsidR="00C108ED" w:rsidRPr="00D97515" w:rsidRDefault="00C108ED" w:rsidP="00C108ED">
      <w:pPr>
        <w:pStyle w:val="ParaNumbering"/>
      </w:pPr>
      <w:r w:rsidRPr="00D97515">
        <w:t>In broad terms</w:t>
      </w:r>
      <w:r w:rsidR="004D77D4" w:rsidRPr="00D97515">
        <w:t>,</w:t>
      </w:r>
      <w:r w:rsidRPr="00D97515">
        <w:t xml:space="preserve"> the ultimate issue in th</w:t>
      </w:r>
      <w:r w:rsidR="002051E6">
        <w:t>is</w:t>
      </w:r>
      <w:r w:rsidRPr="00D97515">
        <w:t xml:space="preserve"> proceeding is whether the </w:t>
      </w:r>
      <w:r w:rsidR="00C948FC">
        <w:t>Applicant</w:t>
      </w:r>
      <w:r w:rsidRPr="00D97515">
        <w:t xml:space="preserve">, acting in its capacity as the trustee of the William </w:t>
      </w:r>
      <w:proofErr w:type="spellStart"/>
      <w:r w:rsidRPr="00D97515">
        <w:t>Lewski</w:t>
      </w:r>
      <w:proofErr w:type="spellEnd"/>
      <w:r w:rsidRPr="00D97515">
        <w:t xml:space="preserve"> Family </w:t>
      </w:r>
      <w:r w:rsidR="002051E6" w:rsidRPr="000E49CB">
        <w:t>T</w:t>
      </w:r>
      <w:r w:rsidRPr="000E49CB">
        <w:t>rust</w:t>
      </w:r>
      <w:r w:rsidR="004D77D4" w:rsidRPr="00D97515">
        <w:t>,</w:t>
      </w:r>
      <w:r w:rsidRPr="00D97515">
        <w:t xml:space="preserve"> is entitled to input tax credits in respect of its payment of invoices for the provision of Litigation Services and Other Services.  This issue raises the following sub</w:t>
      </w:r>
      <w:r w:rsidR="00E136C5">
        <w:t>‑</w:t>
      </w:r>
      <w:r w:rsidRPr="00D97515">
        <w:t>issues:</w:t>
      </w:r>
    </w:p>
    <w:p w14:paraId="651C2831" w14:textId="6CCEF0FC" w:rsidR="00C108ED" w:rsidRPr="00D97515" w:rsidRDefault="00C108ED" w:rsidP="00253839">
      <w:pPr>
        <w:pStyle w:val="ListNo1alt"/>
      </w:pPr>
      <w:r w:rsidRPr="00D97515">
        <w:t xml:space="preserve">Did the </w:t>
      </w:r>
      <w:r w:rsidR="00C948FC">
        <w:t>Applicant</w:t>
      </w:r>
      <w:r w:rsidRPr="00D97515">
        <w:t xml:space="preserve"> acquire the services by way of a taxable supply to the </w:t>
      </w:r>
      <w:r w:rsidR="00C948FC">
        <w:t>Applicant</w:t>
      </w:r>
      <w:r w:rsidRPr="00D97515">
        <w:t>, as required by s 11</w:t>
      </w:r>
      <w:r w:rsidR="00E136C5">
        <w:t>‑</w:t>
      </w:r>
      <w:r w:rsidRPr="00D97515">
        <w:t>5(a) and s 11</w:t>
      </w:r>
      <w:r w:rsidR="00E136C5">
        <w:t>‑</w:t>
      </w:r>
      <w:r w:rsidRPr="00D97515">
        <w:t>5(b) of</w:t>
      </w:r>
      <w:r w:rsidR="007E6156" w:rsidRPr="00D97515">
        <w:t xml:space="preserve"> the</w:t>
      </w:r>
      <w:r w:rsidRPr="00D97515">
        <w:t xml:space="preserve"> </w:t>
      </w:r>
      <w:r w:rsidRPr="00D97515">
        <w:rPr>
          <w:i/>
        </w:rPr>
        <w:t xml:space="preserve">A New Tax System (Goods and Services Tax) Act 1999 </w:t>
      </w:r>
      <w:r w:rsidRPr="00D97515">
        <w:t>(</w:t>
      </w:r>
      <w:proofErr w:type="spellStart"/>
      <w:r w:rsidRPr="00D97515">
        <w:t>Cth</w:t>
      </w:r>
      <w:proofErr w:type="spellEnd"/>
      <w:r w:rsidRPr="00D97515">
        <w:t>) (</w:t>
      </w:r>
      <w:r w:rsidRPr="009A01C9">
        <w:rPr>
          <w:b/>
          <w:i/>
        </w:rPr>
        <w:t>GST Act</w:t>
      </w:r>
      <w:r w:rsidRPr="00D97515">
        <w:t>)?</w:t>
      </w:r>
    </w:p>
    <w:p w14:paraId="043ED644" w14:textId="2334AAD1" w:rsidR="00C108ED" w:rsidRPr="00D97515" w:rsidRDefault="00C108ED" w:rsidP="00253839">
      <w:pPr>
        <w:pStyle w:val="ListNo1alt"/>
      </w:pPr>
      <w:r w:rsidRPr="00D97515">
        <w:t xml:space="preserve">If so, did the </w:t>
      </w:r>
      <w:r w:rsidR="00C948FC">
        <w:t>Applicant</w:t>
      </w:r>
      <w:r w:rsidRPr="00D97515">
        <w:t xml:space="preserve"> acquire those services in carrying on an enterprise and thus acquire those services for a creditable purpose, as required by s 11</w:t>
      </w:r>
      <w:r w:rsidR="00E136C5">
        <w:t>‑</w:t>
      </w:r>
      <w:proofErr w:type="gramStart"/>
      <w:r w:rsidRPr="00D97515">
        <w:t>5(</w:t>
      </w:r>
      <w:proofErr w:type="gramEnd"/>
      <w:r w:rsidRPr="00D97515">
        <w:t>a) and s 11</w:t>
      </w:r>
      <w:r w:rsidR="00E136C5">
        <w:t>‑</w:t>
      </w:r>
      <w:r w:rsidRPr="00D97515">
        <w:t xml:space="preserve">15(1) of the </w:t>
      </w:r>
      <w:r w:rsidRPr="009A01C9">
        <w:rPr>
          <w:i/>
        </w:rPr>
        <w:t>GST Act</w:t>
      </w:r>
      <w:r w:rsidRPr="00D97515">
        <w:t>?</w:t>
      </w:r>
    </w:p>
    <w:p w14:paraId="79AEA8D8" w14:textId="5A6DDAE9" w:rsidR="00C108ED" w:rsidRPr="00D97515" w:rsidRDefault="00C108ED" w:rsidP="00253839">
      <w:pPr>
        <w:pStyle w:val="ListNo1alt"/>
      </w:pPr>
      <w:r w:rsidRPr="00D97515">
        <w:t>If so, did the acquisitions relate to making supplies that would be input taxed as financial supplies (with the result that the services would not be taken to be acquired for a creditable purpose, as provided by s 11</w:t>
      </w:r>
      <w:r w:rsidR="00E136C5">
        <w:t>‑</w:t>
      </w:r>
      <w:r w:rsidRPr="00D97515">
        <w:t xml:space="preserve">15(2)(a) of the </w:t>
      </w:r>
      <w:r w:rsidRPr="009A01C9">
        <w:rPr>
          <w:i/>
        </w:rPr>
        <w:t>GST Act</w:t>
      </w:r>
      <w:r w:rsidR="00010797" w:rsidRPr="00D97515">
        <w:t>)</w:t>
      </w:r>
      <w:r w:rsidRPr="00D97515">
        <w:t>?</w:t>
      </w:r>
    </w:p>
    <w:p w14:paraId="3C9064E0" w14:textId="59183367" w:rsidR="00C108ED" w:rsidRPr="00D97515" w:rsidRDefault="00C108ED" w:rsidP="00253839">
      <w:pPr>
        <w:pStyle w:val="ParaNumbering"/>
      </w:pPr>
      <w:r w:rsidRPr="00D97515">
        <w:t>Only if both (a) and (b) a</w:t>
      </w:r>
      <w:r w:rsidR="004D77D4" w:rsidRPr="00D97515">
        <w:t>re answered in the affirmative</w:t>
      </w:r>
      <w:r w:rsidRPr="00D97515">
        <w:t xml:space="preserve"> will it be necessary to address question</w:t>
      </w:r>
      <w:r w:rsidR="004D77D4" w:rsidRPr="00D97515">
        <w:t> </w:t>
      </w:r>
      <w:r w:rsidRPr="00D97515">
        <w:t>(c).</w:t>
      </w:r>
    </w:p>
    <w:p w14:paraId="0A7AA957" w14:textId="77777777" w:rsidR="00C108ED" w:rsidRPr="00D97515" w:rsidRDefault="00C108ED" w:rsidP="00C108ED">
      <w:pPr>
        <w:pStyle w:val="Heading1"/>
      </w:pPr>
      <w:r w:rsidRPr="00D97515">
        <w:t>FACTUAL BACKGROUND</w:t>
      </w:r>
    </w:p>
    <w:p w14:paraId="1EBF186B" w14:textId="4B44EF6A" w:rsidR="00C108ED" w:rsidRPr="00D97515" w:rsidRDefault="00C108ED" w:rsidP="00C108ED">
      <w:pPr>
        <w:pStyle w:val="ParaNumbering"/>
      </w:pPr>
      <w:r w:rsidRPr="00D97515">
        <w:t xml:space="preserve">The </w:t>
      </w:r>
      <w:r w:rsidR="00C948FC">
        <w:t>Applicant</w:t>
      </w:r>
      <w:r w:rsidRPr="00D97515">
        <w:t xml:space="preserve"> is the trustee of the William </w:t>
      </w:r>
      <w:proofErr w:type="spellStart"/>
      <w:r w:rsidRPr="00D97515">
        <w:t>Lewski</w:t>
      </w:r>
      <w:proofErr w:type="spellEnd"/>
      <w:r w:rsidRPr="00D97515">
        <w:t xml:space="preserve"> Family Trust.  During the relevant period</w:t>
      </w:r>
      <w:r w:rsidR="006825CF">
        <w:t>s</w:t>
      </w:r>
      <w:r w:rsidRPr="00D97515">
        <w:t xml:space="preserve">, Mr Ari </w:t>
      </w:r>
      <w:proofErr w:type="spellStart"/>
      <w:r w:rsidRPr="00D97515">
        <w:t>Lewski</w:t>
      </w:r>
      <w:proofErr w:type="spellEnd"/>
      <w:r w:rsidRPr="00D97515">
        <w:t xml:space="preserve"> was a director of the </w:t>
      </w:r>
      <w:r w:rsidR="00C948FC">
        <w:t>Applicant</w:t>
      </w:r>
      <w:r w:rsidRPr="00D97515">
        <w:t xml:space="preserve">.  Mr William </w:t>
      </w:r>
      <w:proofErr w:type="spellStart"/>
      <w:r w:rsidRPr="00D97515">
        <w:t>Lewski</w:t>
      </w:r>
      <w:proofErr w:type="spellEnd"/>
      <w:r w:rsidRPr="00D97515">
        <w:t xml:space="preserve"> was a director </w:t>
      </w:r>
      <w:r w:rsidR="003E3FE5">
        <w:t xml:space="preserve">of the </w:t>
      </w:r>
      <w:r w:rsidR="00C948FC">
        <w:t>Applicant</w:t>
      </w:r>
      <w:r w:rsidR="003E3FE5">
        <w:t xml:space="preserve"> from its inc</w:t>
      </w:r>
      <w:r w:rsidR="0026791B">
        <w:t>orporation</w:t>
      </w:r>
      <w:r w:rsidR="003E3FE5">
        <w:t xml:space="preserve"> on 3 March 1979 </w:t>
      </w:r>
      <w:r w:rsidRPr="00D97515">
        <w:t>until 2</w:t>
      </w:r>
      <w:r w:rsidR="003E3FE5">
        <w:t>0</w:t>
      </w:r>
      <w:r w:rsidRPr="00D97515">
        <w:t> December 2014</w:t>
      </w:r>
      <w:r w:rsidR="004459A8">
        <w:t>,</w:t>
      </w:r>
      <w:r w:rsidRPr="00D97515">
        <w:t xml:space="preserve"> and again from 12</w:t>
      </w:r>
      <w:r w:rsidR="004459A8">
        <w:t> </w:t>
      </w:r>
      <w:r w:rsidRPr="00D97515">
        <w:t>Augu</w:t>
      </w:r>
      <w:r w:rsidR="009F517B" w:rsidRPr="00D97515">
        <w:t>st 2016 until 11</w:t>
      </w:r>
      <w:r w:rsidR="003E3FE5">
        <w:t> </w:t>
      </w:r>
      <w:r w:rsidR="009F517B" w:rsidRPr="00D97515">
        <w:t>October 2019.</w:t>
      </w:r>
    </w:p>
    <w:p w14:paraId="241881FC" w14:textId="358AD19B" w:rsidR="00C108ED" w:rsidRPr="00D97515" w:rsidRDefault="00C108ED" w:rsidP="00026E9A">
      <w:pPr>
        <w:pStyle w:val="ParaNumbering"/>
      </w:pPr>
      <w:r w:rsidRPr="00D97515">
        <w:t xml:space="preserve">Irrespective of whether he held the office of director or not, Mr William </w:t>
      </w:r>
      <w:proofErr w:type="spellStart"/>
      <w:r w:rsidRPr="00D97515">
        <w:t>Lewski</w:t>
      </w:r>
      <w:proofErr w:type="spellEnd"/>
      <w:r w:rsidRPr="00D97515">
        <w:t xml:space="preserve"> at all times controlled the </w:t>
      </w:r>
      <w:r w:rsidR="00C948FC">
        <w:t>Applicant</w:t>
      </w:r>
      <w:r w:rsidRPr="00D97515">
        <w:t xml:space="preserve">.  Mr William </w:t>
      </w:r>
      <w:proofErr w:type="spellStart"/>
      <w:r w:rsidRPr="00D97515">
        <w:t>Lewski</w:t>
      </w:r>
      <w:proofErr w:type="spellEnd"/>
      <w:r w:rsidRPr="00D97515">
        <w:t xml:space="preserve"> was also the </w:t>
      </w:r>
      <w:r w:rsidR="009F517B" w:rsidRPr="00D97515">
        <w:t>“</w:t>
      </w:r>
      <w:r w:rsidRPr="00D97515">
        <w:t>Specified Beneficiary</w:t>
      </w:r>
      <w:r w:rsidR="009F517B" w:rsidRPr="00D97515">
        <w:t>”</w:t>
      </w:r>
      <w:r w:rsidRPr="00D97515">
        <w:t xml:space="preserve"> of the William </w:t>
      </w:r>
      <w:proofErr w:type="spellStart"/>
      <w:r w:rsidRPr="00D97515">
        <w:t>Lewski</w:t>
      </w:r>
      <w:proofErr w:type="spellEnd"/>
      <w:r w:rsidRPr="00D97515">
        <w:t xml:space="preserve"> Family Trust.  The </w:t>
      </w:r>
      <w:r w:rsidR="009F517B" w:rsidRPr="00D97515">
        <w:t>“</w:t>
      </w:r>
      <w:r w:rsidRPr="00D97515">
        <w:t>General Beneficiaries</w:t>
      </w:r>
      <w:r w:rsidR="009F517B" w:rsidRPr="00D97515">
        <w:t>”</w:t>
      </w:r>
      <w:r w:rsidRPr="00D97515">
        <w:t xml:space="preserve"> of that </w:t>
      </w:r>
      <w:r w:rsidR="004459A8">
        <w:t>T</w:t>
      </w:r>
      <w:r w:rsidRPr="00D97515">
        <w:t xml:space="preserve">rust were defined by reference to their relationship with the Specified Beneficiary.  Relevantly, the General </w:t>
      </w:r>
      <w:r w:rsidRPr="00D97515">
        <w:lastRenderedPageBreak/>
        <w:t>Beneficiaries included</w:t>
      </w:r>
      <w:r w:rsidR="0024549E" w:rsidRPr="00D97515">
        <w:t xml:space="preserve"> Mr </w:t>
      </w:r>
      <w:r w:rsidRPr="00D97515">
        <w:t xml:space="preserve">William </w:t>
      </w:r>
      <w:proofErr w:type="spellStart"/>
      <w:r w:rsidRPr="00D97515">
        <w:t>Lewski’s</w:t>
      </w:r>
      <w:proofErr w:type="spellEnd"/>
      <w:r w:rsidRPr="00D97515">
        <w:t xml:space="preserve"> wife</w:t>
      </w:r>
      <w:r w:rsidR="00026E9A">
        <w:t xml:space="preserve">, Mrs Roslyn </w:t>
      </w:r>
      <w:proofErr w:type="spellStart"/>
      <w:r w:rsidR="00026E9A">
        <w:t>Lewski</w:t>
      </w:r>
      <w:proofErr w:type="spellEnd"/>
      <w:r w:rsidR="00026E9A">
        <w:t>,</w:t>
      </w:r>
      <w:r w:rsidRPr="00D97515">
        <w:t xml:space="preserve"> and </w:t>
      </w:r>
      <w:r w:rsidR="00CE11E0">
        <w:t xml:space="preserve">their </w:t>
      </w:r>
      <w:r w:rsidRPr="00D97515">
        <w:t>sons</w:t>
      </w:r>
      <w:r w:rsidR="00026E9A">
        <w:t xml:space="preserve">, Mr </w:t>
      </w:r>
      <w:r w:rsidR="00026E9A" w:rsidRPr="00026E9A">
        <w:t xml:space="preserve">Ari </w:t>
      </w:r>
      <w:proofErr w:type="spellStart"/>
      <w:r w:rsidR="00026E9A" w:rsidRPr="00026E9A">
        <w:t>Lewski</w:t>
      </w:r>
      <w:proofErr w:type="spellEnd"/>
      <w:r w:rsidR="00026E9A" w:rsidRPr="00026E9A">
        <w:t xml:space="preserve">, </w:t>
      </w:r>
      <w:r w:rsidR="00026E9A">
        <w:t xml:space="preserve">Mr </w:t>
      </w:r>
      <w:r w:rsidR="00026E9A" w:rsidRPr="00026E9A">
        <w:t>Josh</w:t>
      </w:r>
      <w:r w:rsidR="004459A8">
        <w:t>ua</w:t>
      </w:r>
      <w:r w:rsidR="00026E9A" w:rsidRPr="00026E9A">
        <w:t xml:space="preserve"> </w:t>
      </w:r>
      <w:proofErr w:type="spellStart"/>
      <w:r w:rsidR="00026E9A" w:rsidRPr="00026E9A">
        <w:t>Lewski</w:t>
      </w:r>
      <w:proofErr w:type="spellEnd"/>
      <w:r w:rsidR="00026E9A" w:rsidRPr="00026E9A">
        <w:t xml:space="preserve"> and </w:t>
      </w:r>
      <w:r w:rsidR="00026E9A">
        <w:t xml:space="preserve">Mr </w:t>
      </w:r>
      <w:r w:rsidR="00026E9A" w:rsidRPr="00026E9A">
        <w:t>Matt</w:t>
      </w:r>
      <w:r w:rsidR="004459A8">
        <w:t>hew</w:t>
      </w:r>
      <w:r w:rsidR="00026E9A" w:rsidRPr="00026E9A">
        <w:t xml:space="preserve"> </w:t>
      </w:r>
      <w:proofErr w:type="spellStart"/>
      <w:r w:rsidR="00026E9A" w:rsidRPr="00026E9A">
        <w:t>Lewski</w:t>
      </w:r>
      <w:proofErr w:type="spellEnd"/>
      <w:r w:rsidRPr="00D97515">
        <w:t>.</w:t>
      </w:r>
    </w:p>
    <w:p w14:paraId="5B3F7477" w14:textId="51C24E3D" w:rsidR="00C108ED" w:rsidRPr="00D97515" w:rsidRDefault="00C108ED" w:rsidP="00C108ED">
      <w:pPr>
        <w:pStyle w:val="ParaNumbering"/>
      </w:pPr>
      <w:r w:rsidRPr="00D97515">
        <w:t xml:space="preserve">The </w:t>
      </w:r>
      <w:r w:rsidR="00C948FC">
        <w:t>Applicant</w:t>
      </w:r>
      <w:r w:rsidRPr="00D97515">
        <w:t xml:space="preserve">, as trustee for the William </w:t>
      </w:r>
      <w:proofErr w:type="spellStart"/>
      <w:r w:rsidRPr="00D97515">
        <w:t>Lewski</w:t>
      </w:r>
      <w:proofErr w:type="spellEnd"/>
      <w:r w:rsidRPr="00D97515">
        <w:t xml:space="preserve"> </w:t>
      </w:r>
      <w:r w:rsidR="00026E9A">
        <w:t>F</w:t>
      </w:r>
      <w:r w:rsidRPr="00D97515">
        <w:t xml:space="preserve">amily </w:t>
      </w:r>
      <w:r w:rsidR="000E49CB">
        <w:t>T</w:t>
      </w:r>
      <w:r w:rsidRPr="00D97515">
        <w:t>rust, accounted for GST on a cash basis and lodged the BAS</w:t>
      </w:r>
      <w:r w:rsidR="00026E9A">
        <w:t>s</w:t>
      </w:r>
      <w:r w:rsidRPr="00D97515">
        <w:t xml:space="preserve"> for the trust on a quarterly basis.</w:t>
      </w:r>
    </w:p>
    <w:p w14:paraId="2C63E3DB" w14:textId="103FF4E3" w:rsidR="00C108ED" w:rsidRPr="00D97515" w:rsidRDefault="00C108ED" w:rsidP="00C108ED">
      <w:pPr>
        <w:pStyle w:val="ParaNumbering"/>
      </w:pPr>
      <w:r w:rsidRPr="00D97515">
        <w:t xml:space="preserve">Both the </w:t>
      </w:r>
      <w:r w:rsidR="00C948FC">
        <w:t>Applicant</w:t>
      </w:r>
      <w:r w:rsidRPr="00D97515">
        <w:t xml:space="preserve"> and Mr William </w:t>
      </w:r>
      <w:proofErr w:type="spellStart"/>
      <w:r w:rsidRPr="00D97515">
        <w:t>Lewski</w:t>
      </w:r>
      <w:proofErr w:type="spellEnd"/>
      <w:r w:rsidRPr="00D97515">
        <w:t xml:space="preserve"> were registered tax agents.</w:t>
      </w:r>
    </w:p>
    <w:p w14:paraId="0F290E3F" w14:textId="62F82E88" w:rsidR="00C108ED" w:rsidRPr="00D97515" w:rsidRDefault="00C108ED" w:rsidP="008D33D2">
      <w:pPr>
        <w:pStyle w:val="ParaNumbering"/>
      </w:pPr>
      <w:r w:rsidRPr="00D97515">
        <w:t>Aside from the BAS</w:t>
      </w:r>
      <w:r w:rsidR="00CE11E0">
        <w:t>s</w:t>
      </w:r>
      <w:r w:rsidRPr="00D97515">
        <w:t xml:space="preserve"> lodged for the </w:t>
      </w:r>
      <w:r w:rsidR="008D33D2" w:rsidRPr="008D33D2">
        <w:t xml:space="preserve">William </w:t>
      </w:r>
      <w:proofErr w:type="spellStart"/>
      <w:r w:rsidR="008D33D2" w:rsidRPr="008D33D2">
        <w:t>Lewski</w:t>
      </w:r>
      <w:proofErr w:type="spellEnd"/>
      <w:r w:rsidR="008D33D2" w:rsidRPr="008D33D2">
        <w:t xml:space="preserve"> Family Trust</w:t>
      </w:r>
      <w:r w:rsidRPr="00D97515">
        <w:t xml:space="preserve">, there were no financial statements before the Court relating to the </w:t>
      </w:r>
      <w:r w:rsidR="00C948FC">
        <w:t>Applicant</w:t>
      </w:r>
      <w:r w:rsidRPr="00D97515">
        <w:t>.  The BAS</w:t>
      </w:r>
      <w:r w:rsidR="00CE11E0">
        <w:t>s</w:t>
      </w:r>
      <w:r w:rsidRPr="00D97515">
        <w:t xml:space="preserve"> disclosed that</w:t>
      </w:r>
      <w:r w:rsidR="007E0A88" w:rsidRPr="00D97515">
        <w:t xml:space="preserve"> the</w:t>
      </w:r>
      <w:r w:rsidRPr="00D97515">
        <w:t xml:space="preserve"> </w:t>
      </w:r>
      <w:r w:rsidR="00C948FC">
        <w:t>Applicant</w:t>
      </w:r>
      <w:r w:rsidRPr="00D97515">
        <w:t xml:space="preserve"> returned no GST on sales or income in all but four of the </w:t>
      </w:r>
      <w:r w:rsidR="007E0A88" w:rsidRPr="00DB5F55">
        <w:t>twelve</w:t>
      </w:r>
      <w:r w:rsidR="007E0A88" w:rsidRPr="00D97515">
        <w:t xml:space="preserve"> </w:t>
      </w:r>
      <w:r w:rsidRPr="00D97515">
        <w:t>GST returns lodged in the relevant period</w:t>
      </w:r>
      <w:r w:rsidR="00E635B3">
        <w:t>s</w:t>
      </w:r>
      <w:r w:rsidRPr="00D97515">
        <w:t>.  The amounts of income on which GST was returned were:</w:t>
      </w:r>
    </w:p>
    <w:p w14:paraId="35143784" w14:textId="0E6CDDE7" w:rsidR="00C108ED" w:rsidRPr="00D97515" w:rsidRDefault="00C108ED" w:rsidP="00C240DE">
      <w:pPr>
        <w:pStyle w:val="ListNo1"/>
      </w:pPr>
      <w:r w:rsidRPr="00D97515">
        <w:t xml:space="preserve">GST inclusive fees of $146,685 from the Reynolds Road Unit Trust </w:t>
      </w:r>
      <w:r w:rsidR="004370A2">
        <w:t xml:space="preserve">received </w:t>
      </w:r>
      <w:r w:rsidRPr="00D97515">
        <w:t>on 11</w:t>
      </w:r>
      <w:r w:rsidR="0024549E" w:rsidRPr="00D97515">
        <w:t> </w:t>
      </w:r>
      <w:r w:rsidRPr="00D97515">
        <w:t>March 2015;</w:t>
      </w:r>
    </w:p>
    <w:p w14:paraId="63A2985F" w14:textId="000D74DC" w:rsidR="00C108ED" w:rsidRPr="00060E78" w:rsidRDefault="00C108ED" w:rsidP="00C108ED">
      <w:pPr>
        <w:pStyle w:val="ListNo1"/>
      </w:pPr>
      <w:r w:rsidRPr="00D97515">
        <w:t xml:space="preserve">GST inclusive fees </w:t>
      </w:r>
      <w:r w:rsidRPr="00060E78">
        <w:t>of $28,</w:t>
      </w:r>
      <w:r w:rsidR="00B61469" w:rsidRPr="00060E78">
        <w:t>6</w:t>
      </w:r>
      <w:r w:rsidRPr="00060E78">
        <w:t xml:space="preserve">00 from </w:t>
      </w:r>
      <w:r w:rsidR="00CA1216">
        <w:t xml:space="preserve">the </w:t>
      </w:r>
      <w:r w:rsidRPr="00060E78">
        <w:t xml:space="preserve">Reynolds </w:t>
      </w:r>
      <w:r w:rsidR="00CA1216">
        <w:t xml:space="preserve">Road </w:t>
      </w:r>
      <w:r w:rsidRPr="00060E78">
        <w:t xml:space="preserve">Unit Trust </w:t>
      </w:r>
      <w:r w:rsidR="00060E78" w:rsidRPr="00060E78">
        <w:t xml:space="preserve">received </w:t>
      </w:r>
      <w:r w:rsidRPr="00060E78">
        <w:t>on 15</w:t>
      </w:r>
      <w:r w:rsidR="00B61469" w:rsidRPr="00060E78">
        <w:t> </w:t>
      </w:r>
      <w:r w:rsidRPr="00060E78">
        <w:t>July</w:t>
      </w:r>
      <w:r w:rsidR="00B61469" w:rsidRPr="00060E78">
        <w:t> </w:t>
      </w:r>
      <w:r w:rsidRPr="00060E78">
        <w:t>2015;</w:t>
      </w:r>
    </w:p>
    <w:p w14:paraId="6FBC510C" w14:textId="1ED1D088" w:rsidR="00C108ED" w:rsidRPr="00D97515" w:rsidRDefault="00C108ED" w:rsidP="00C108ED">
      <w:pPr>
        <w:pStyle w:val="ListNo1"/>
      </w:pPr>
      <w:r w:rsidRPr="00D97515">
        <w:t>GST inclusive fees of $317,000 relating to the management of “Glendale” and a refund of legal fees of $27,983.14</w:t>
      </w:r>
      <w:r w:rsidR="00436F28">
        <w:t>, both</w:t>
      </w:r>
      <w:r w:rsidR="00436F28" w:rsidRPr="00436F28">
        <w:t xml:space="preserve"> </w:t>
      </w:r>
      <w:r w:rsidR="004370A2">
        <w:t xml:space="preserve">received </w:t>
      </w:r>
      <w:r w:rsidR="00436F28" w:rsidRPr="00D97515">
        <w:t>on 31 March 2013</w:t>
      </w:r>
      <w:r w:rsidR="00C76516" w:rsidRPr="00D97515">
        <w:t>; and</w:t>
      </w:r>
    </w:p>
    <w:p w14:paraId="267E1FB7" w14:textId="5AAD1801" w:rsidR="00C108ED" w:rsidRPr="00D97515" w:rsidRDefault="00C108ED" w:rsidP="00C108ED">
      <w:pPr>
        <w:pStyle w:val="ListNo1"/>
      </w:pPr>
      <w:r w:rsidRPr="00D97515">
        <w:t>GST inclusive fees of $1,443,000 relating to the management of “Glendale” received on 2</w:t>
      </w:r>
      <w:r w:rsidR="00436F28">
        <w:t>0</w:t>
      </w:r>
      <w:r w:rsidRPr="00D97515">
        <w:t xml:space="preserve"> November 2017</w:t>
      </w:r>
      <w:r w:rsidR="00C76516" w:rsidRPr="00D97515">
        <w:t>.</w:t>
      </w:r>
    </w:p>
    <w:p w14:paraId="4F9367C0" w14:textId="77777777" w:rsidR="00C108ED" w:rsidRPr="00D97515" w:rsidRDefault="00C108ED" w:rsidP="009C0943">
      <w:pPr>
        <w:pStyle w:val="Heading2"/>
      </w:pPr>
      <w:r w:rsidRPr="00D97515">
        <w:t>Litigation Funding Agreements</w:t>
      </w:r>
    </w:p>
    <w:p w14:paraId="65001A66" w14:textId="10846832" w:rsidR="00C108ED" w:rsidRPr="00D97515" w:rsidRDefault="00C108ED" w:rsidP="00C108ED">
      <w:pPr>
        <w:pStyle w:val="ParaNumbering"/>
      </w:pPr>
      <w:r w:rsidRPr="00D97515">
        <w:t xml:space="preserve">The </w:t>
      </w:r>
      <w:r w:rsidR="00C948FC">
        <w:t>Applicant</w:t>
      </w:r>
      <w:r w:rsidRPr="00D97515">
        <w:t xml:space="preserve">, as trustee for the William </w:t>
      </w:r>
      <w:proofErr w:type="spellStart"/>
      <w:r w:rsidRPr="00D97515">
        <w:t>Lewski</w:t>
      </w:r>
      <w:proofErr w:type="spellEnd"/>
      <w:r w:rsidRPr="00D97515">
        <w:t xml:space="preserve"> Family </w:t>
      </w:r>
      <w:r w:rsidR="00F04389">
        <w:t>T</w:t>
      </w:r>
      <w:r w:rsidRPr="00D97515">
        <w:t>rust, was a party to the following deeds dated 16 November 2016</w:t>
      </w:r>
      <w:r w:rsidR="000B167A" w:rsidRPr="00D97515">
        <w:t>,</w:t>
      </w:r>
      <w:r w:rsidRPr="00D97515">
        <w:t xml:space="preserve"> each entitled “Litigation Funding Agreement”:</w:t>
      </w:r>
    </w:p>
    <w:p w14:paraId="6198AD9D" w14:textId="71447F06" w:rsidR="00856CE5" w:rsidRDefault="00C108ED" w:rsidP="00B356BD">
      <w:pPr>
        <w:pStyle w:val="ListNo1"/>
        <w:numPr>
          <w:ilvl w:val="0"/>
          <w:numId w:val="28"/>
        </w:numPr>
      </w:pPr>
      <w:r w:rsidRPr="00D97515">
        <w:t xml:space="preserve">An agreement between the </w:t>
      </w:r>
      <w:r w:rsidR="00C948FC">
        <w:t>Applicant</w:t>
      </w:r>
      <w:r w:rsidRPr="00D97515">
        <w:t xml:space="preserve"> as “Litigation Funder” and Mr William </w:t>
      </w:r>
      <w:proofErr w:type="spellStart"/>
      <w:r w:rsidRPr="00D97515">
        <w:t>Lewski</w:t>
      </w:r>
      <w:proofErr w:type="spellEnd"/>
      <w:r w:rsidRPr="00D97515">
        <w:t xml:space="preserve"> as </w:t>
      </w:r>
      <w:r w:rsidR="001B4CD2" w:rsidRPr="00D97515">
        <w:t xml:space="preserve">a </w:t>
      </w:r>
      <w:r w:rsidRPr="00D97515">
        <w:t>“Beneficiary”.  Schedule 2 of the deed listed the following proceedings:</w:t>
      </w:r>
    </w:p>
    <w:p w14:paraId="7C802DC0" w14:textId="1FC94B70" w:rsidR="00EB7FC9" w:rsidRDefault="00EB7FC9" w:rsidP="00366218">
      <w:pPr>
        <w:pStyle w:val="Quote1"/>
        <w:ind w:left="1440" w:hanging="703"/>
      </w:pPr>
      <w:r w:rsidRPr="00EB7FC9">
        <w:t>1</w:t>
      </w:r>
      <w:r w:rsidRPr="00EB7FC9">
        <w:tab/>
        <w:t>Supreme Court of Victoria proceeding no. SCI 2012</w:t>
      </w:r>
      <w:r w:rsidR="00C5779D">
        <w:t xml:space="preserve"> 01199 (Listing Fee Proceeding)</w:t>
      </w:r>
    </w:p>
    <w:p w14:paraId="5DDAD50C" w14:textId="5EDB2192" w:rsidR="00EB7FC9" w:rsidRDefault="00EB7FC9" w:rsidP="00366218">
      <w:pPr>
        <w:pStyle w:val="Quote1"/>
        <w:ind w:left="1440" w:hanging="703"/>
      </w:pPr>
      <w:r>
        <w:t>2</w:t>
      </w:r>
      <w:r>
        <w:tab/>
      </w:r>
      <w:r w:rsidR="0024549E" w:rsidRPr="00D97515">
        <w:t>Supreme Court of Victoria proceeding no. SCI 2013 05042 (Auditor’s Proceeding)</w:t>
      </w:r>
    </w:p>
    <w:p w14:paraId="1B04F2DC" w14:textId="6B5E1376" w:rsidR="00EB7FC9" w:rsidRDefault="00EB7FC9" w:rsidP="00366218">
      <w:pPr>
        <w:pStyle w:val="Quote1"/>
        <w:ind w:left="1440" w:hanging="703"/>
      </w:pPr>
      <w:r>
        <w:t>3</w:t>
      </w:r>
      <w:r>
        <w:tab/>
      </w:r>
      <w:r w:rsidR="0024549E" w:rsidRPr="00D97515">
        <w:t>Supreme Court of Victoria proceeding no. SCI 2014 06713</w:t>
      </w:r>
      <w:r w:rsidR="00C5779D">
        <w:t xml:space="preserve"> (Management Rights Proceeding)</w:t>
      </w:r>
    </w:p>
    <w:p w14:paraId="639FE25A" w14:textId="70F46101" w:rsidR="00EB7FC9" w:rsidRDefault="00EB7FC9" w:rsidP="00366218">
      <w:pPr>
        <w:pStyle w:val="Quote1"/>
        <w:ind w:left="1440" w:hanging="703"/>
      </w:pPr>
      <w:r>
        <w:t>4</w:t>
      </w:r>
      <w:r>
        <w:tab/>
      </w:r>
      <w:r w:rsidR="0024549E" w:rsidRPr="00D97515">
        <w:t>Federal Court of Australia proceeding number VI</w:t>
      </w:r>
      <w:r w:rsidR="00C5779D">
        <w:t>D 594 of 2012 (ASIC Proceeding)</w:t>
      </w:r>
    </w:p>
    <w:p w14:paraId="06080DDA" w14:textId="409AB6A9" w:rsidR="00EB7FC9" w:rsidRDefault="00EB7FC9" w:rsidP="00366218">
      <w:pPr>
        <w:pStyle w:val="Quote1"/>
        <w:ind w:left="1440" w:hanging="703"/>
      </w:pPr>
      <w:r>
        <w:t>5</w:t>
      </w:r>
      <w:r>
        <w:tab/>
      </w:r>
      <w:r w:rsidR="0024549E" w:rsidRPr="00D97515">
        <w:t>Federal Court of Australia proceeding number VID 752 o</w:t>
      </w:r>
      <w:r w:rsidR="00C5779D">
        <w:t>f 2012 (ASIC Appeal Proceeding)</w:t>
      </w:r>
    </w:p>
    <w:p w14:paraId="0538C62E" w14:textId="0EBCD711" w:rsidR="00EB7FC9" w:rsidRDefault="00EB7FC9" w:rsidP="00366218">
      <w:pPr>
        <w:pStyle w:val="Quote1"/>
        <w:ind w:left="1440" w:hanging="703"/>
      </w:pPr>
      <w:r>
        <w:lastRenderedPageBreak/>
        <w:t>6</w:t>
      </w:r>
      <w:r>
        <w:tab/>
      </w:r>
      <w:r w:rsidR="0024549E" w:rsidRPr="00D97515">
        <w:t>Supreme Court of Victoria proceeding no.</w:t>
      </w:r>
      <w:r w:rsidR="00C5779D">
        <w:t xml:space="preserve"> SCI 2013 01341</w:t>
      </w:r>
    </w:p>
    <w:p w14:paraId="093284E6" w14:textId="7D789A7E" w:rsidR="0024549E" w:rsidRPr="00D97515" w:rsidRDefault="00EB7FC9" w:rsidP="00366218">
      <w:pPr>
        <w:pStyle w:val="Quote1"/>
        <w:ind w:left="1440" w:hanging="703"/>
      </w:pPr>
      <w:r>
        <w:t>7</w:t>
      </w:r>
      <w:r>
        <w:tab/>
      </w:r>
      <w:r w:rsidR="0024549E" w:rsidRPr="00D97515">
        <w:t>Supreme Court of Victoria proceeding no. SCI 2014 01136</w:t>
      </w:r>
    </w:p>
    <w:p w14:paraId="68609F5C" w14:textId="72489F77" w:rsidR="00C108ED" w:rsidRPr="00D97515" w:rsidRDefault="00C108ED" w:rsidP="00B356BD">
      <w:pPr>
        <w:pStyle w:val="ListNo1"/>
        <w:numPr>
          <w:ilvl w:val="0"/>
          <w:numId w:val="28"/>
        </w:numPr>
      </w:pPr>
      <w:r w:rsidRPr="00D97515">
        <w:t xml:space="preserve">An agreement between the </w:t>
      </w:r>
      <w:r w:rsidR="00C948FC">
        <w:t>Applicant</w:t>
      </w:r>
      <w:r w:rsidRPr="00D97515">
        <w:t xml:space="preserve"> as “Litigation Funder” and Mrs Roslyn </w:t>
      </w:r>
      <w:proofErr w:type="spellStart"/>
      <w:r w:rsidRPr="00D97515">
        <w:t>Lewski</w:t>
      </w:r>
      <w:proofErr w:type="spellEnd"/>
      <w:r w:rsidRPr="00D97515">
        <w:t xml:space="preserve">, </w:t>
      </w:r>
      <w:r w:rsidR="00EA4A94" w:rsidRPr="00D97515">
        <w:t xml:space="preserve">Mr </w:t>
      </w:r>
      <w:r w:rsidRPr="00D97515">
        <w:t xml:space="preserve">Matthew </w:t>
      </w:r>
      <w:proofErr w:type="spellStart"/>
      <w:r w:rsidRPr="00D97515">
        <w:t>Lewski</w:t>
      </w:r>
      <w:proofErr w:type="spellEnd"/>
      <w:r w:rsidRPr="00D97515">
        <w:t xml:space="preserve"> and </w:t>
      </w:r>
      <w:r w:rsidR="00EA4A94" w:rsidRPr="00D97515">
        <w:t xml:space="preserve">Mr </w:t>
      </w:r>
      <w:r w:rsidRPr="00D97515">
        <w:t xml:space="preserve">Joshua </w:t>
      </w:r>
      <w:proofErr w:type="spellStart"/>
      <w:r w:rsidRPr="00D97515">
        <w:t>Lewski</w:t>
      </w:r>
      <w:proofErr w:type="spellEnd"/>
      <w:r w:rsidRPr="00D97515">
        <w:t xml:space="preserve">, each as </w:t>
      </w:r>
      <w:r w:rsidR="00EA4A94" w:rsidRPr="00D97515">
        <w:t xml:space="preserve">a </w:t>
      </w:r>
      <w:r w:rsidRPr="00D97515">
        <w:t xml:space="preserve">“Beneficiary”. </w:t>
      </w:r>
      <w:r w:rsidR="000B167A" w:rsidRPr="00D97515">
        <w:t xml:space="preserve"> </w:t>
      </w:r>
      <w:r w:rsidRPr="00D97515">
        <w:t>Schedule</w:t>
      </w:r>
      <w:r w:rsidR="001B4CD2" w:rsidRPr="00D97515">
        <w:t> </w:t>
      </w:r>
      <w:r w:rsidRPr="00D97515">
        <w:t xml:space="preserve">2 of the deed listed the following proceedings: </w:t>
      </w:r>
    </w:p>
    <w:p w14:paraId="5D7A0EC3" w14:textId="701496E7" w:rsidR="00CB2A43" w:rsidRDefault="00CB2A43" w:rsidP="00366218">
      <w:pPr>
        <w:pStyle w:val="Quote1"/>
        <w:ind w:left="1440" w:hanging="703"/>
      </w:pPr>
      <w:r>
        <w:t>1</w:t>
      </w:r>
      <w:r>
        <w:tab/>
      </w:r>
      <w:r w:rsidR="00767736" w:rsidRPr="00D97515">
        <w:t>Supreme Court of Victoria proceeding no. SCI 20</w:t>
      </w:r>
      <w:r w:rsidR="00C5779D">
        <w:t>13 05042 (Auditor’s Proceeding)</w:t>
      </w:r>
    </w:p>
    <w:p w14:paraId="52EE80A3" w14:textId="05F38A80" w:rsidR="00CB2A43" w:rsidRDefault="00CB2A43" w:rsidP="00366218">
      <w:pPr>
        <w:pStyle w:val="Quote1"/>
        <w:ind w:left="1440" w:hanging="703"/>
      </w:pPr>
      <w:r>
        <w:t>2</w:t>
      </w:r>
      <w:r>
        <w:tab/>
      </w:r>
      <w:r w:rsidR="00767736" w:rsidRPr="00D97515">
        <w:t>Supreme Court of Victoria proceeding no. SCI 2014 06713</w:t>
      </w:r>
      <w:r w:rsidR="00C5779D">
        <w:t xml:space="preserve"> (Management Rights Proceeding)</w:t>
      </w:r>
    </w:p>
    <w:p w14:paraId="08D318D7" w14:textId="6DA7B642" w:rsidR="00CB2A43" w:rsidRDefault="00CB2A43" w:rsidP="00366218">
      <w:pPr>
        <w:pStyle w:val="Quote1"/>
        <w:ind w:left="1440" w:hanging="703"/>
      </w:pPr>
      <w:r>
        <w:t>3</w:t>
      </w:r>
      <w:r>
        <w:tab/>
      </w:r>
      <w:r w:rsidR="00767736" w:rsidRPr="00D97515">
        <w:t>Supreme Court of Victoria proceeding no. SCI 2013 01341</w:t>
      </w:r>
    </w:p>
    <w:p w14:paraId="1475442B" w14:textId="1D2E9336" w:rsidR="00767736" w:rsidRPr="00D97515" w:rsidRDefault="00CB2A43" w:rsidP="00366218">
      <w:pPr>
        <w:pStyle w:val="Quote1"/>
        <w:ind w:left="1440" w:hanging="703"/>
      </w:pPr>
      <w:r>
        <w:t>4</w:t>
      </w:r>
      <w:r>
        <w:tab/>
      </w:r>
      <w:r w:rsidR="00767736" w:rsidRPr="00D97515">
        <w:t>Supreme Court of Victoria proceeding no.</w:t>
      </w:r>
      <w:r w:rsidR="00C5779D">
        <w:t xml:space="preserve"> SCI 2014 01136</w:t>
      </w:r>
    </w:p>
    <w:p w14:paraId="5DCE8355" w14:textId="74E2F2BA" w:rsidR="00C108ED" w:rsidRPr="00D97515" w:rsidRDefault="00C108ED" w:rsidP="00B356BD">
      <w:pPr>
        <w:pStyle w:val="ListNo1"/>
        <w:numPr>
          <w:ilvl w:val="0"/>
          <w:numId w:val="28"/>
        </w:numPr>
      </w:pPr>
      <w:r w:rsidRPr="00D97515">
        <w:t xml:space="preserve">An </w:t>
      </w:r>
      <w:r w:rsidR="00EA4A94" w:rsidRPr="00D97515">
        <w:t>agreement</w:t>
      </w:r>
      <w:r w:rsidRPr="00D97515">
        <w:t xml:space="preserve"> between the </w:t>
      </w:r>
      <w:r w:rsidR="00C948FC">
        <w:t>Applicant</w:t>
      </w:r>
      <w:r w:rsidRPr="00D97515">
        <w:t xml:space="preserve"> as “Litigation Funder” and </w:t>
      </w:r>
      <w:r w:rsidRPr="002D7695">
        <w:t>Carey Bay</w:t>
      </w:r>
      <w:r w:rsidRPr="00D97515">
        <w:t xml:space="preserve"> Pty Ltd, </w:t>
      </w:r>
      <w:r w:rsidRPr="002D7695">
        <w:t xml:space="preserve">Retirement Guide </w:t>
      </w:r>
      <w:r w:rsidRPr="00D97515">
        <w:t xml:space="preserve">Pty Ltd, </w:t>
      </w:r>
      <w:proofErr w:type="spellStart"/>
      <w:r w:rsidRPr="00B61561">
        <w:rPr>
          <w:b/>
        </w:rPr>
        <w:t>Daytree</w:t>
      </w:r>
      <w:proofErr w:type="spellEnd"/>
      <w:r w:rsidRPr="00D97515">
        <w:t xml:space="preserve"> Pty Ltd, </w:t>
      </w:r>
      <w:r w:rsidRPr="00DD242F">
        <w:t xml:space="preserve">Australian </w:t>
      </w:r>
      <w:r w:rsidRPr="002D7695">
        <w:t>Property Custodian</w:t>
      </w:r>
      <w:r w:rsidR="00DD242F" w:rsidRPr="002D7695">
        <w:t>s</w:t>
      </w:r>
      <w:r w:rsidRPr="00DD242F">
        <w:t xml:space="preserve"> Pty Ltd </w:t>
      </w:r>
      <w:r w:rsidRPr="00D97515">
        <w:t xml:space="preserve">and </w:t>
      </w:r>
      <w:r w:rsidR="00DD242F">
        <w:t xml:space="preserve">Australian </w:t>
      </w:r>
      <w:r w:rsidRPr="002D7695">
        <w:t xml:space="preserve">Property Administrators </w:t>
      </w:r>
      <w:r w:rsidRPr="00D97515">
        <w:t xml:space="preserve">Pty Ltd, each as </w:t>
      </w:r>
      <w:r w:rsidR="001B4CD2" w:rsidRPr="00D97515">
        <w:t xml:space="preserve">a </w:t>
      </w:r>
      <w:r w:rsidRPr="00D97515">
        <w:t>“Beneficiary”.  Schedule</w:t>
      </w:r>
      <w:r w:rsidR="00501554">
        <w:t> </w:t>
      </w:r>
      <w:r w:rsidRPr="00D97515">
        <w:t>2 of the deed listed the following proceedings</w:t>
      </w:r>
      <w:r w:rsidR="00D125E8" w:rsidRPr="00D97515">
        <w:t>:</w:t>
      </w:r>
    </w:p>
    <w:p w14:paraId="7867F3F4" w14:textId="2D3BEB08" w:rsidR="00767736" w:rsidRPr="00D97515" w:rsidRDefault="00DD242F" w:rsidP="00366218">
      <w:pPr>
        <w:pStyle w:val="Quote1"/>
        <w:ind w:left="1440" w:hanging="703"/>
      </w:pPr>
      <w:r>
        <w:t>1</w:t>
      </w:r>
      <w:r>
        <w:tab/>
      </w:r>
      <w:r w:rsidR="00767736" w:rsidRPr="00D97515">
        <w:t>Supreme Court of Victoria proceeding no. SCI 2012</w:t>
      </w:r>
      <w:r w:rsidR="00C5779D">
        <w:t xml:space="preserve"> 01199 (Listing Fee Proceeding)</w:t>
      </w:r>
    </w:p>
    <w:p w14:paraId="4706D452" w14:textId="58A7CE73" w:rsidR="00767736" w:rsidRPr="00D97515" w:rsidRDefault="00DD242F" w:rsidP="00366218">
      <w:pPr>
        <w:pStyle w:val="Quote1"/>
        <w:ind w:left="1440" w:hanging="703"/>
      </w:pPr>
      <w:r>
        <w:t>2</w:t>
      </w:r>
      <w:r>
        <w:tab/>
      </w:r>
      <w:r w:rsidR="00767736" w:rsidRPr="00D97515">
        <w:t>Supreme Court of Victoria proceeding no. SCI 20</w:t>
      </w:r>
      <w:r w:rsidR="00C5779D">
        <w:t>13 05042 (Auditor’s Proceeding)</w:t>
      </w:r>
    </w:p>
    <w:p w14:paraId="6C0C3137" w14:textId="15DE97A7" w:rsidR="00767736" w:rsidRPr="00D97515" w:rsidRDefault="00DD242F" w:rsidP="00366218">
      <w:pPr>
        <w:pStyle w:val="Quote1"/>
        <w:ind w:left="1440" w:hanging="703"/>
      </w:pPr>
      <w:r>
        <w:t>3</w:t>
      </w:r>
      <w:r>
        <w:tab/>
      </w:r>
      <w:r w:rsidR="00767736" w:rsidRPr="00D97515">
        <w:t>Supreme Court of Victoria proceeding no. SCI 2014 06713 (Management Rights Proceeding)</w:t>
      </w:r>
    </w:p>
    <w:p w14:paraId="2AC90C9C" w14:textId="25B4D21D" w:rsidR="00767736" w:rsidRPr="00D97515" w:rsidRDefault="00DD242F" w:rsidP="00366218">
      <w:pPr>
        <w:pStyle w:val="Quote1"/>
        <w:ind w:left="1440" w:hanging="703"/>
      </w:pPr>
      <w:r>
        <w:t>4</w:t>
      </w:r>
      <w:r>
        <w:tab/>
      </w:r>
      <w:r w:rsidR="00767736" w:rsidRPr="00D97515">
        <w:t xml:space="preserve">Supreme Court of Victoria proceeding no. SCI 2013 </w:t>
      </w:r>
      <w:r>
        <w:t>0</w:t>
      </w:r>
      <w:r w:rsidR="00C5779D">
        <w:t>1341</w:t>
      </w:r>
    </w:p>
    <w:p w14:paraId="6B2B469F" w14:textId="19686A00" w:rsidR="00767736" w:rsidRPr="00D97515" w:rsidRDefault="00DD242F" w:rsidP="00366218">
      <w:pPr>
        <w:pStyle w:val="Quote1"/>
        <w:ind w:left="1440" w:hanging="703"/>
      </w:pPr>
      <w:r>
        <w:t>5</w:t>
      </w:r>
      <w:r>
        <w:tab/>
      </w:r>
      <w:r w:rsidR="00767736" w:rsidRPr="00D97515">
        <w:t>Supreme Court of Victoria proceeding no. SCI 2</w:t>
      </w:r>
      <w:r>
        <w:t>0</w:t>
      </w:r>
      <w:r w:rsidR="00767736" w:rsidRPr="00D97515">
        <w:t>14 01136</w:t>
      </w:r>
    </w:p>
    <w:p w14:paraId="764131B4" w14:textId="37F7717B" w:rsidR="00767736" w:rsidRPr="00D97515" w:rsidRDefault="00DD242F" w:rsidP="00366218">
      <w:pPr>
        <w:pStyle w:val="Quote1"/>
        <w:ind w:left="1440" w:hanging="703"/>
      </w:pPr>
      <w:r>
        <w:t>6</w:t>
      </w:r>
      <w:r>
        <w:tab/>
      </w:r>
      <w:r w:rsidR="00767736" w:rsidRPr="00D97515">
        <w:t xml:space="preserve">Supreme Court of Victoria proceeding no. SCI </w:t>
      </w:r>
      <w:r w:rsidR="007A4CFC" w:rsidRPr="00D97515">
        <w:t>2013 05416</w:t>
      </w:r>
    </w:p>
    <w:p w14:paraId="3E1CAE9E" w14:textId="41D2717C" w:rsidR="00767736" w:rsidRPr="00D97515" w:rsidRDefault="00DD242F" w:rsidP="00366218">
      <w:pPr>
        <w:pStyle w:val="Quote1"/>
        <w:ind w:left="1440" w:hanging="703"/>
      </w:pPr>
      <w:r>
        <w:t>7</w:t>
      </w:r>
      <w:r>
        <w:tab/>
      </w:r>
      <w:r w:rsidR="00767736" w:rsidRPr="00D97515">
        <w:t>Supreme Court of Victoria proceeding no. S</w:t>
      </w:r>
      <w:r w:rsidR="007A4CFC" w:rsidRPr="00DD242F">
        <w:t>AP</w:t>
      </w:r>
      <w:r w:rsidR="00767736" w:rsidRPr="00D97515">
        <w:t xml:space="preserve">CI </w:t>
      </w:r>
      <w:r w:rsidR="007A4CFC" w:rsidRPr="00D97515">
        <w:t xml:space="preserve">2016 </w:t>
      </w:r>
      <w:r>
        <w:t>00</w:t>
      </w:r>
      <w:r w:rsidR="007A4CFC" w:rsidRPr="00D97515">
        <w:t>1</w:t>
      </w:r>
      <w:r>
        <w:t>9</w:t>
      </w:r>
    </w:p>
    <w:p w14:paraId="6D63B059" w14:textId="09F4229B" w:rsidR="00767736" w:rsidRPr="00D97515" w:rsidRDefault="00DD242F" w:rsidP="00366218">
      <w:pPr>
        <w:pStyle w:val="Quote1"/>
        <w:ind w:left="1440" w:hanging="703"/>
      </w:pPr>
      <w:r>
        <w:t>8</w:t>
      </w:r>
      <w:r>
        <w:tab/>
      </w:r>
      <w:r w:rsidR="00767736" w:rsidRPr="00D97515">
        <w:t xml:space="preserve">Supreme Court of Victoria proceeding no. SCI </w:t>
      </w:r>
      <w:r w:rsidR="007A4CFC" w:rsidRPr="00D97515">
        <w:t>2016 01357</w:t>
      </w:r>
    </w:p>
    <w:p w14:paraId="40D98325" w14:textId="5017C22B" w:rsidR="00010797" w:rsidRPr="00D97515" w:rsidRDefault="00C108ED" w:rsidP="00B356BD">
      <w:pPr>
        <w:pStyle w:val="ListNo1"/>
        <w:numPr>
          <w:ilvl w:val="0"/>
          <w:numId w:val="28"/>
        </w:numPr>
      </w:pPr>
      <w:r w:rsidRPr="00D97515">
        <w:t xml:space="preserve">An agreement between the </w:t>
      </w:r>
      <w:r w:rsidR="00C948FC">
        <w:t>Applicant</w:t>
      </w:r>
      <w:r w:rsidRPr="00D97515">
        <w:t xml:space="preserve"> as “Litigation Funder” and </w:t>
      </w:r>
      <w:proofErr w:type="spellStart"/>
      <w:r w:rsidR="00B61561" w:rsidRPr="00B61561">
        <w:t>Daytree</w:t>
      </w:r>
      <w:proofErr w:type="spellEnd"/>
      <w:r w:rsidRPr="00D97515">
        <w:t xml:space="preserve"> as </w:t>
      </w:r>
      <w:r w:rsidR="0063568B">
        <w:t>the</w:t>
      </w:r>
      <w:r w:rsidR="001B4CD2" w:rsidRPr="00D97515">
        <w:t xml:space="preserve"> </w:t>
      </w:r>
      <w:r w:rsidRPr="00D97515">
        <w:t>“Beneficiary”.  Schedule 2 of the deed was</w:t>
      </w:r>
      <w:r w:rsidR="00010797" w:rsidRPr="00D97515">
        <w:t xml:space="preserve"> divided into two parts:</w:t>
      </w:r>
    </w:p>
    <w:p w14:paraId="4CC139F4" w14:textId="3E8309E9" w:rsidR="007A4CFC" w:rsidRPr="00D97515" w:rsidRDefault="00010797" w:rsidP="00010797">
      <w:pPr>
        <w:pStyle w:val="ListNo2"/>
      </w:pPr>
      <w:r w:rsidRPr="00D97515">
        <w:t>Part 1</w:t>
      </w:r>
      <w:r w:rsidR="00C108ED" w:rsidRPr="00D97515">
        <w:t xml:space="preserve"> was entitled “Proceedings” and listed the following proceedings:</w:t>
      </w:r>
    </w:p>
    <w:p w14:paraId="00B43FEF" w14:textId="2B4EC099" w:rsidR="007A4CFC" w:rsidRPr="00D97515" w:rsidRDefault="00C5779D" w:rsidP="00DD242F">
      <w:pPr>
        <w:pStyle w:val="Quote2"/>
        <w:ind w:left="2160" w:hanging="720"/>
      </w:pPr>
      <w:r>
        <w:t>1</w:t>
      </w:r>
      <w:r>
        <w:tab/>
      </w:r>
      <w:r w:rsidR="007A4CFC" w:rsidRPr="00D97515">
        <w:t>Supreme Court of Victoria proceeding number SCI 19</w:t>
      </w:r>
      <w:r>
        <w:t>90 of 2012 (</w:t>
      </w:r>
      <w:proofErr w:type="spellStart"/>
      <w:r>
        <w:t>Daytree</w:t>
      </w:r>
      <w:proofErr w:type="spellEnd"/>
      <w:r>
        <w:t xml:space="preserve"> Proceeding)</w:t>
      </w:r>
    </w:p>
    <w:p w14:paraId="4DB3767E" w14:textId="2BDA01A4" w:rsidR="007A4CFC" w:rsidRPr="00D97515" w:rsidRDefault="00C5779D" w:rsidP="00DD242F">
      <w:pPr>
        <w:pStyle w:val="Quote2"/>
        <w:ind w:left="2160" w:hanging="720"/>
      </w:pPr>
      <w:r>
        <w:t>2</w:t>
      </w:r>
      <w:r>
        <w:tab/>
      </w:r>
      <w:r w:rsidR="007A4CFC" w:rsidRPr="00D97515">
        <w:t>County Court of Victoria proceeding number CI</w:t>
      </w:r>
      <w:r w:rsidR="00E136C5">
        <w:t>‑</w:t>
      </w:r>
      <w:r w:rsidR="007A4CFC" w:rsidRPr="00D97515">
        <w:t>16</w:t>
      </w:r>
      <w:r w:rsidR="00E136C5">
        <w:t>‑</w:t>
      </w:r>
      <w:r w:rsidR="007A4CFC" w:rsidRPr="00D97515">
        <w:t xml:space="preserve">03211 </w:t>
      </w:r>
      <w:r>
        <w:t>(Kidder Communities Proceeding)</w:t>
      </w:r>
    </w:p>
    <w:p w14:paraId="569137D5" w14:textId="4A135BF3" w:rsidR="00C108ED" w:rsidRPr="00D97515" w:rsidRDefault="00C108ED" w:rsidP="00010797">
      <w:pPr>
        <w:pStyle w:val="ListNo2"/>
      </w:pPr>
      <w:r w:rsidRPr="00D97515">
        <w:t>Part 2 was entitle</w:t>
      </w:r>
      <w:r w:rsidR="00010797" w:rsidRPr="00D97515">
        <w:t>d</w:t>
      </w:r>
      <w:r w:rsidRPr="00D97515">
        <w:t xml:space="preserve"> “Other Proceeding” and listed the following proceedings: </w:t>
      </w:r>
    </w:p>
    <w:p w14:paraId="1AD6ACA9" w14:textId="0B709EB2" w:rsidR="007A4CFC" w:rsidRPr="00D97515" w:rsidRDefault="00C5779D" w:rsidP="002847E7">
      <w:pPr>
        <w:pStyle w:val="Quote2"/>
        <w:keepNext/>
        <w:keepLines/>
        <w:ind w:left="2160" w:hanging="720"/>
        <w:rPr>
          <w:lang w:eastAsia="en-AU"/>
        </w:rPr>
      </w:pPr>
      <w:proofErr w:type="gramStart"/>
      <w:r>
        <w:rPr>
          <w:lang w:eastAsia="en-AU"/>
        </w:rPr>
        <w:lastRenderedPageBreak/>
        <w:t>1</w:t>
      </w:r>
      <w:r>
        <w:rPr>
          <w:lang w:eastAsia="en-AU"/>
        </w:rPr>
        <w:tab/>
      </w:r>
      <w:r w:rsidR="007A4CFC" w:rsidRPr="00D97515">
        <w:rPr>
          <w:lang w:eastAsia="en-AU"/>
        </w:rPr>
        <w:t>Supreme court</w:t>
      </w:r>
      <w:proofErr w:type="gramEnd"/>
      <w:r w:rsidR="007A4CFC" w:rsidRPr="00D97515">
        <w:rPr>
          <w:lang w:eastAsia="en-AU"/>
        </w:rPr>
        <w:t xml:space="preserve"> of Victoria proceeding no. SCI 2012 01199 (Listing Fee Proceeding)</w:t>
      </w:r>
    </w:p>
    <w:p w14:paraId="38AA7FE0" w14:textId="30515869" w:rsidR="007A4CFC" w:rsidRPr="00D97515" w:rsidRDefault="00C5779D" w:rsidP="00DD242F">
      <w:pPr>
        <w:pStyle w:val="Quote2"/>
        <w:ind w:left="2160" w:hanging="720"/>
        <w:rPr>
          <w:szCs w:val="24"/>
          <w:lang w:eastAsia="en-AU"/>
        </w:rPr>
      </w:pPr>
      <w:r>
        <w:rPr>
          <w:szCs w:val="24"/>
          <w:lang w:eastAsia="en-AU"/>
        </w:rPr>
        <w:t>2</w:t>
      </w:r>
      <w:r>
        <w:rPr>
          <w:szCs w:val="24"/>
          <w:lang w:eastAsia="en-AU"/>
        </w:rPr>
        <w:tab/>
      </w:r>
      <w:r w:rsidR="007A4CFC" w:rsidRPr="00D97515">
        <w:rPr>
          <w:szCs w:val="24"/>
          <w:lang w:eastAsia="en-AU"/>
        </w:rPr>
        <w:t xml:space="preserve">Supreme Court of Victoria proceeding </w:t>
      </w:r>
      <w:r w:rsidR="007A4CFC" w:rsidRPr="00C5779D">
        <w:rPr>
          <w:sz w:val="21"/>
          <w:szCs w:val="21"/>
          <w:lang w:eastAsia="en-AU"/>
        </w:rPr>
        <w:t xml:space="preserve">no. </w:t>
      </w:r>
      <w:r w:rsidR="007A4CFC" w:rsidRPr="00D97515">
        <w:rPr>
          <w:szCs w:val="24"/>
          <w:lang w:eastAsia="en-AU"/>
        </w:rPr>
        <w:t>SCI 2013 05042 (Auditor</w:t>
      </w:r>
      <w:r w:rsidR="001A5826" w:rsidRPr="00D97515">
        <w:rPr>
          <w:szCs w:val="24"/>
          <w:lang w:eastAsia="en-AU"/>
        </w:rPr>
        <w:t>’</w:t>
      </w:r>
      <w:r w:rsidR="007A4CFC" w:rsidRPr="00D97515">
        <w:rPr>
          <w:szCs w:val="24"/>
          <w:lang w:eastAsia="en-AU"/>
        </w:rPr>
        <w:t>s Proceeding)</w:t>
      </w:r>
    </w:p>
    <w:p w14:paraId="7AB46555" w14:textId="491A1C6E" w:rsidR="007A4CFC" w:rsidRPr="00D97515" w:rsidRDefault="00C5779D" w:rsidP="00DD242F">
      <w:pPr>
        <w:pStyle w:val="Quote2"/>
        <w:ind w:left="2160" w:hanging="720"/>
        <w:rPr>
          <w:lang w:eastAsia="en-AU"/>
        </w:rPr>
      </w:pPr>
      <w:r>
        <w:rPr>
          <w:lang w:eastAsia="en-AU"/>
        </w:rPr>
        <w:t>3</w:t>
      </w:r>
      <w:r>
        <w:rPr>
          <w:lang w:eastAsia="en-AU"/>
        </w:rPr>
        <w:tab/>
      </w:r>
      <w:r w:rsidR="007A4CFC" w:rsidRPr="00D97515">
        <w:rPr>
          <w:lang w:eastAsia="en-AU"/>
        </w:rPr>
        <w:t>Supreme Court of Victoria proceeding no. SCI 2014 06713 (Management Rights Proceeding)</w:t>
      </w:r>
    </w:p>
    <w:p w14:paraId="75A079EB" w14:textId="779E1C2A" w:rsidR="007A4CFC" w:rsidRPr="00D97515" w:rsidRDefault="00C5779D" w:rsidP="00DD242F">
      <w:pPr>
        <w:pStyle w:val="Quote2"/>
        <w:ind w:left="2160" w:hanging="720"/>
      </w:pPr>
      <w:r>
        <w:t>4</w:t>
      </w:r>
      <w:r>
        <w:tab/>
      </w:r>
      <w:r w:rsidR="007A4CFC" w:rsidRPr="00D97515">
        <w:t>Federal Court of Australia proceeding number VID 594 of 2012 (ASIC Proceeding)</w:t>
      </w:r>
    </w:p>
    <w:p w14:paraId="287218F2" w14:textId="13F68C3C" w:rsidR="007A4CFC" w:rsidRPr="00D97515" w:rsidRDefault="00C5779D" w:rsidP="00DD242F">
      <w:pPr>
        <w:pStyle w:val="Quote2"/>
        <w:ind w:left="2160" w:hanging="720"/>
      </w:pPr>
      <w:r>
        <w:t>5</w:t>
      </w:r>
      <w:r>
        <w:tab/>
      </w:r>
      <w:r w:rsidR="007A4CFC" w:rsidRPr="00D97515">
        <w:t>Federal Court of Australia proceeding number VID 752 of 2012 (ASIC Appeal Proceeding)</w:t>
      </w:r>
    </w:p>
    <w:p w14:paraId="3C33B708" w14:textId="46EBBB95" w:rsidR="007A4CFC" w:rsidRPr="00D97515" w:rsidRDefault="00C5779D" w:rsidP="00DD242F">
      <w:pPr>
        <w:pStyle w:val="Quote2"/>
        <w:ind w:left="2160" w:hanging="720"/>
        <w:rPr>
          <w:lang w:eastAsia="en-AU"/>
        </w:rPr>
      </w:pPr>
      <w:r>
        <w:t>6</w:t>
      </w:r>
      <w:r>
        <w:tab/>
      </w:r>
      <w:r w:rsidR="007A4CFC" w:rsidRPr="00D97515">
        <w:t>Suprem</w:t>
      </w:r>
      <w:r w:rsidR="007A4CFC" w:rsidRPr="00D97515">
        <w:rPr>
          <w:lang w:eastAsia="en-AU"/>
        </w:rPr>
        <w:t>e Court of Victoria proceeding no.</w:t>
      </w:r>
      <w:r w:rsidR="007A4CFC" w:rsidRPr="00D97515">
        <w:rPr>
          <w:sz w:val="19"/>
          <w:szCs w:val="19"/>
          <w:lang w:eastAsia="en-AU"/>
        </w:rPr>
        <w:t xml:space="preserve"> </w:t>
      </w:r>
      <w:r w:rsidR="007A4CFC" w:rsidRPr="00D97515">
        <w:rPr>
          <w:lang w:eastAsia="en-AU"/>
        </w:rPr>
        <w:t>SCI 2013 01341</w:t>
      </w:r>
    </w:p>
    <w:p w14:paraId="270193D0" w14:textId="302744E7" w:rsidR="007A4CFC" w:rsidRPr="00D97515" w:rsidRDefault="00C5779D" w:rsidP="00DD242F">
      <w:pPr>
        <w:pStyle w:val="Quote2"/>
        <w:ind w:left="2160" w:hanging="720"/>
      </w:pPr>
      <w:r>
        <w:t>7</w:t>
      </w:r>
      <w:r>
        <w:tab/>
      </w:r>
      <w:r w:rsidR="007A4CFC" w:rsidRPr="00D97515">
        <w:t>Supreme Court of Victoria proceeding no. SCI 2014 01136</w:t>
      </w:r>
    </w:p>
    <w:p w14:paraId="0290473E" w14:textId="25C2D785" w:rsidR="007A4CFC" w:rsidRPr="00D97515" w:rsidRDefault="00C5779D" w:rsidP="00DD242F">
      <w:pPr>
        <w:pStyle w:val="Quote2"/>
        <w:ind w:left="2160" w:hanging="720"/>
      </w:pPr>
      <w:r>
        <w:t>8</w:t>
      </w:r>
      <w:r>
        <w:tab/>
      </w:r>
      <w:r w:rsidR="007A4CFC" w:rsidRPr="00D97515">
        <w:t>Supreme Court of Victoria proceeding no. SCI 2013 05416</w:t>
      </w:r>
    </w:p>
    <w:p w14:paraId="7409BD3C" w14:textId="5B38A75C" w:rsidR="007A4CFC" w:rsidRPr="00D97515" w:rsidRDefault="00C5779D" w:rsidP="00DD242F">
      <w:pPr>
        <w:pStyle w:val="Quote2"/>
        <w:ind w:left="2160" w:hanging="720"/>
      </w:pPr>
      <w:proofErr w:type="gramStart"/>
      <w:r>
        <w:t>9</w:t>
      </w:r>
      <w:r>
        <w:tab/>
      </w:r>
      <w:r w:rsidR="007A4CFC" w:rsidRPr="00D97515">
        <w:t>Supreme court</w:t>
      </w:r>
      <w:proofErr w:type="gramEnd"/>
      <w:r w:rsidR="007A4CFC" w:rsidRPr="00D97515">
        <w:t xml:space="preserve"> of Victoria proceeding no. S</w:t>
      </w:r>
      <w:r w:rsidR="007A4CFC" w:rsidRPr="00C5779D">
        <w:rPr>
          <w:lang w:eastAsia="en-AU"/>
        </w:rPr>
        <w:t>AP</w:t>
      </w:r>
      <w:r w:rsidR="007A4CFC" w:rsidRPr="00D97515">
        <w:t>CI 2016 0019</w:t>
      </w:r>
    </w:p>
    <w:p w14:paraId="34AD8AFB" w14:textId="4103D9BD" w:rsidR="007A4CFC" w:rsidRPr="00D97515" w:rsidRDefault="00C5779D" w:rsidP="00DD242F">
      <w:pPr>
        <w:pStyle w:val="Quote2"/>
        <w:ind w:left="2160" w:hanging="720"/>
      </w:pPr>
      <w:r>
        <w:t>10</w:t>
      </w:r>
      <w:r>
        <w:tab/>
      </w:r>
      <w:r w:rsidR="007A4CFC" w:rsidRPr="00D97515">
        <w:t>Supreme Court of Victoria proceeding no. SCI 2016 01357</w:t>
      </w:r>
    </w:p>
    <w:p w14:paraId="00B9840C" w14:textId="052172E7" w:rsidR="007A4CFC" w:rsidRPr="00D97515" w:rsidRDefault="00C5779D" w:rsidP="00DD242F">
      <w:pPr>
        <w:pStyle w:val="Quote2"/>
        <w:ind w:left="2160" w:hanging="720"/>
      </w:pPr>
      <w:r>
        <w:t>11</w:t>
      </w:r>
      <w:r>
        <w:tab/>
      </w:r>
      <w:r w:rsidR="007A4CFC" w:rsidRPr="00D97515">
        <w:t xml:space="preserve">Federal Court </w:t>
      </w:r>
      <w:r w:rsidR="007A4CFC" w:rsidRPr="00DD242F">
        <w:t xml:space="preserve">of </w:t>
      </w:r>
      <w:r w:rsidR="007A4CFC" w:rsidRPr="00D97515">
        <w:t>Australia proceeding no. VID 1496 of 2016</w:t>
      </w:r>
    </w:p>
    <w:p w14:paraId="406EAEB9" w14:textId="5EE10D00" w:rsidR="007A4CFC" w:rsidRPr="00D97515" w:rsidRDefault="00C5779D" w:rsidP="00DD242F">
      <w:pPr>
        <w:pStyle w:val="Quote2"/>
        <w:ind w:left="2160" w:hanging="720"/>
      </w:pPr>
      <w:r>
        <w:t>12</w:t>
      </w:r>
      <w:r>
        <w:tab/>
      </w:r>
      <w:r w:rsidR="007A4CFC" w:rsidRPr="00D97515">
        <w:t>Adminis</w:t>
      </w:r>
      <w:r w:rsidR="007A4CFC" w:rsidRPr="00D97515">
        <w:rPr>
          <w:lang w:eastAsia="en-AU"/>
        </w:rPr>
        <w:t>trative Appeals Tribunal proceeding no. 2015/4655</w:t>
      </w:r>
      <w:r w:rsidR="00E136C5">
        <w:rPr>
          <w:lang w:eastAsia="en-AU"/>
        </w:rPr>
        <w:t>‑</w:t>
      </w:r>
      <w:r w:rsidR="007A4CFC" w:rsidRPr="00D97515">
        <w:rPr>
          <w:lang w:eastAsia="en-AU"/>
        </w:rPr>
        <w:t>4656</w:t>
      </w:r>
    </w:p>
    <w:p w14:paraId="1C17CC0F" w14:textId="1E09780E" w:rsidR="00C108ED" w:rsidRPr="00D97515" w:rsidRDefault="00C108ED" w:rsidP="009845FF">
      <w:pPr>
        <w:pStyle w:val="ParaNumbering"/>
      </w:pPr>
      <w:r w:rsidRPr="00D97515">
        <w:t xml:space="preserve">Although dated 16 November 2016, the </w:t>
      </w:r>
      <w:r w:rsidR="009845FF" w:rsidRPr="009845FF">
        <w:t>Litigation Funding Agreement</w:t>
      </w:r>
      <w:r w:rsidR="009845FF">
        <w:t>s</w:t>
      </w:r>
      <w:r w:rsidR="009845FF" w:rsidRPr="009845FF">
        <w:t xml:space="preserve"> </w:t>
      </w:r>
      <w:r w:rsidRPr="00D97515">
        <w:t>were in fact executed in October</w:t>
      </w:r>
      <w:r w:rsidR="001E23E4" w:rsidRPr="00D97515">
        <w:t> </w:t>
      </w:r>
      <w:r w:rsidRPr="00D97515">
        <w:t xml:space="preserve">2017.  Each was signed on behalf of the </w:t>
      </w:r>
      <w:r w:rsidR="00C948FC">
        <w:t>Applicant</w:t>
      </w:r>
      <w:r w:rsidR="009845FF">
        <w:t xml:space="preserve"> by Mr Ari </w:t>
      </w:r>
      <w:proofErr w:type="spellStart"/>
      <w:r w:rsidR="009845FF">
        <w:t>Lewski</w:t>
      </w:r>
      <w:proofErr w:type="spellEnd"/>
      <w:r w:rsidR="009845FF">
        <w:t xml:space="preserve"> and Mr </w:t>
      </w:r>
      <w:r w:rsidRPr="00D97515">
        <w:t xml:space="preserve">William </w:t>
      </w:r>
      <w:proofErr w:type="spellStart"/>
      <w:r w:rsidRPr="00D97515">
        <w:t>Lewski</w:t>
      </w:r>
      <w:proofErr w:type="spellEnd"/>
      <w:r w:rsidRPr="00D97515">
        <w:t xml:space="preserve"> as directors of the </w:t>
      </w:r>
      <w:r w:rsidR="00C948FC">
        <w:t>Applicant</w:t>
      </w:r>
      <w:r w:rsidRPr="00D97515">
        <w:t>.</w:t>
      </w:r>
    </w:p>
    <w:p w14:paraId="57FC2195" w14:textId="579454C0" w:rsidR="00C108ED" w:rsidRPr="00D97515" w:rsidRDefault="00C108ED" w:rsidP="00C108ED">
      <w:pPr>
        <w:pStyle w:val="ParaNumbering"/>
      </w:pPr>
      <w:r w:rsidRPr="00D97515">
        <w:t xml:space="preserve">The terms of </w:t>
      </w:r>
      <w:r w:rsidR="005668A2">
        <w:t>A</w:t>
      </w:r>
      <w:r w:rsidRPr="00D97515">
        <w:t>greements (1) to (3) were essentially the same.  Relevantly:</w:t>
      </w:r>
    </w:p>
    <w:p w14:paraId="7EA12B90" w14:textId="728548C3" w:rsidR="00C108ED" w:rsidRPr="00D97515" w:rsidRDefault="00C108ED" w:rsidP="00B356BD">
      <w:pPr>
        <w:pStyle w:val="ListNo1alt"/>
        <w:numPr>
          <w:ilvl w:val="0"/>
          <w:numId w:val="33"/>
        </w:numPr>
      </w:pPr>
      <w:r w:rsidRPr="00D97515">
        <w:t>The recital to the deed</w:t>
      </w:r>
      <w:r w:rsidR="00D63D48">
        <w:t>s</w:t>
      </w:r>
      <w:r w:rsidRPr="00D97515">
        <w:t xml:space="preserve"> stated:</w:t>
      </w:r>
    </w:p>
    <w:p w14:paraId="6B5377CE" w14:textId="6D9A6024" w:rsidR="00ED5A3A" w:rsidRPr="00D97515" w:rsidRDefault="00ED5A3A" w:rsidP="00ED5A3A">
      <w:pPr>
        <w:pStyle w:val="Quote1"/>
      </w:pPr>
      <w:r w:rsidRPr="00D97515">
        <w:rPr>
          <w:lang w:eastAsia="en-AU"/>
        </w:rPr>
        <w:t xml:space="preserve">This deed records the agreement between the Litigation Funder and the Beneficiaries in relation to the payment of Litigation Costs and </w:t>
      </w:r>
      <w:r w:rsidR="008A38FD">
        <w:rPr>
          <w:lang w:eastAsia="en-AU"/>
        </w:rPr>
        <w:t>L</w:t>
      </w:r>
      <w:r w:rsidRPr="00D97515">
        <w:rPr>
          <w:lang w:eastAsia="en-AU"/>
        </w:rPr>
        <w:t>itigation Proceeds arising in connection with the Proceedings</w:t>
      </w:r>
      <w:r w:rsidR="001E23E4" w:rsidRPr="00D97515">
        <w:rPr>
          <w:lang w:eastAsia="en-AU"/>
        </w:rPr>
        <w:t>.</w:t>
      </w:r>
    </w:p>
    <w:p w14:paraId="1853B0DF" w14:textId="46B2737D" w:rsidR="00C108ED" w:rsidRPr="00D97515" w:rsidRDefault="001E23E4" w:rsidP="00B356BD">
      <w:pPr>
        <w:pStyle w:val="ListNo1alt"/>
        <w:numPr>
          <w:ilvl w:val="0"/>
          <w:numId w:val="33"/>
        </w:numPr>
      </w:pPr>
      <w:r w:rsidRPr="00D97515">
        <w:t xml:space="preserve">The term </w:t>
      </w:r>
      <w:r w:rsidR="001A5826" w:rsidRPr="00D97515">
        <w:t>“</w:t>
      </w:r>
      <w:r w:rsidR="00C108ED" w:rsidRPr="00D97515">
        <w:t>Proceedings</w:t>
      </w:r>
      <w:r w:rsidR="001A5826" w:rsidRPr="00D97515">
        <w:t>”</w:t>
      </w:r>
      <w:r w:rsidR="00C108ED" w:rsidRPr="00D97515">
        <w:t xml:space="preserve"> was defined </w:t>
      </w:r>
      <w:r w:rsidR="00D63D48">
        <w:t xml:space="preserve">in cl 1.1 </w:t>
      </w:r>
      <w:r w:rsidR="00C108ED" w:rsidRPr="00D97515">
        <w:t>to mean:</w:t>
      </w:r>
    </w:p>
    <w:p w14:paraId="205C3ACD" w14:textId="3712FDEA" w:rsidR="00ED5A3A" w:rsidRPr="00D97515" w:rsidRDefault="00ED5A3A" w:rsidP="00ED5A3A">
      <w:pPr>
        <w:pStyle w:val="Quote1"/>
      </w:pPr>
      <w:r w:rsidRPr="0063568B">
        <w:rPr>
          <w:b/>
        </w:rPr>
        <w:t>Proceedings</w:t>
      </w:r>
      <w:r w:rsidRPr="00D97515">
        <w:t xml:space="preserve"> means the court proceedings described in Schedule 2 and any claim, demand, cause of action or other legal proceedings, whether intermediate, incidental or ancillary, which relate to or are connected with such court proceedings.</w:t>
      </w:r>
    </w:p>
    <w:p w14:paraId="06C5B9E7" w14:textId="77777777" w:rsidR="00C108ED" w:rsidRPr="00D97515" w:rsidRDefault="00C108ED" w:rsidP="00B356BD">
      <w:pPr>
        <w:pStyle w:val="ListNo1alt"/>
        <w:numPr>
          <w:ilvl w:val="0"/>
          <w:numId w:val="33"/>
        </w:numPr>
      </w:pPr>
      <w:r w:rsidRPr="00D97515">
        <w:t>Clause 2 provided:</w:t>
      </w:r>
    </w:p>
    <w:p w14:paraId="2816700C" w14:textId="60711C37" w:rsidR="00ED5A3A" w:rsidRPr="00D97515" w:rsidRDefault="00ED5A3A" w:rsidP="00ED5A3A">
      <w:pPr>
        <w:pStyle w:val="Quote1"/>
      </w:pPr>
      <w:r w:rsidRPr="00D97515">
        <w:t>The parties acknowledge and agree that:</w:t>
      </w:r>
    </w:p>
    <w:p w14:paraId="6E545965" w14:textId="13E3C558" w:rsidR="00ED5A3A" w:rsidRPr="00D97515" w:rsidRDefault="00ED5A3A" w:rsidP="00ED5A3A">
      <w:pPr>
        <w:pStyle w:val="Quote1"/>
        <w:ind w:left="1440" w:hanging="703"/>
      </w:pPr>
      <w:r w:rsidRPr="00D97515">
        <w:t>(a)</w:t>
      </w:r>
      <w:r w:rsidRPr="00D97515">
        <w:tab/>
      </w:r>
      <w:proofErr w:type="gramStart"/>
      <w:r w:rsidRPr="00D97515">
        <w:t>the</w:t>
      </w:r>
      <w:proofErr w:type="gramEnd"/>
      <w:r w:rsidRPr="00D97515">
        <w:t xml:space="preserve"> Litigation Funder has, prior to the </w:t>
      </w:r>
      <w:r w:rsidR="007A4CFC" w:rsidRPr="00D97515">
        <w:t>date</w:t>
      </w:r>
      <w:r w:rsidRPr="00D97515">
        <w:t xml:space="preserve"> of this deed, paid all Litigation Costs; and</w:t>
      </w:r>
    </w:p>
    <w:p w14:paraId="5C951D52" w14:textId="7002D9A9" w:rsidR="00ED5A3A" w:rsidRPr="00D97515" w:rsidRDefault="00ED5A3A" w:rsidP="00ED5A3A">
      <w:pPr>
        <w:pStyle w:val="Quote1"/>
        <w:ind w:left="1440" w:hanging="703"/>
      </w:pPr>
      <w:r w:rsidRPr="00D97515">
        <w:t>(b)</w:t>
      </w:r>
      <w:r w:rsidRPr="00D97515">
        <w:tab/>
      </w:r>
      <w:proofErr w:type="gramStart"/>
      <w:r w:rsidRPr="00D97515">
        <w:t>after</w:t>
      </w:r>
      <w:proofErr w:type="gramEnd"/>
      <w:r w:rsidRPr="00D97515">
        <w:t xml:space="preserve"> the date of this deed, the Litigation Funder will continue to pay all Litigation Costs.</w:t>
      </w:r>
    </w:p>
    <w:p w14:paraId="16B528F3" w14:textId="680DDB7D" w:rsidR="00C108ED" w:rsidRPr="00D97515" w:rsidRDefault="00C108ED" w:rsidP="002847E7">
      <w:pPr>
        <w:pStyle w:val="ListNo1alt"/>
        <w:keepNext/>
        <w:keepLines/>
        <w:numPr>
          <w:ilvl w:val="0"/>
          <w:numId w:val="33"/>
        </w:numPr>
      </w:pPr>
      <w:r w:rsidRPr="00D97515">
        <w:lastRenderedPageBreak/>
        <w:t xml:space="preserve">The term “Litigation Costs” was defined </w:t>
      </w:r>
      <w:r w:rsidR="00D63D48" w:rsidRPr="00D63D48">
        <w:t xml:space="preserve">in cl 1.1 </w:t>
      </w:r>
      <w:r w:rsidRPr="00D97515">
        <w:t>to mean:</w:t>
      </w:r>
    </w:p>
    <w:p w14:paraId="74E46529" w14:textId="35695FF5" w:rsidR="00ED5A3A" w:rsidRPr="00D97515" w:rsidRDefault="00ED5A3A" w:rsidP="002847E7">
      <w:pPr>
        <w:pStyle w:val="Quote1"/>
        <w:keepNext/>
        <w:keepLines/>
        <w:rPr>
          <w:szCs w:val="22"/>
          <w:lang w:eastAsia="en-AU"/>
        </w:rPr>
      </w:pPr>
      <w:r w:rsidRPr="00D97515">
        <w:rPr>
          <w:b/>
          <w:bCs/>
          <w:szCs w:val="22"/>
          <w:lang w:eastAsia="en-AU"/>
        </w:rPr>
        <w:t xml:space="preserve">Litigation Costs </w:t>
      </w:r>
      <w:r w:rsidRPr="00D97515">
        <w:rPr>
          <w:szCs w:val="22"/>
          <w:lang w:eastAsia="en-AU"/>
        </w:rPr>
        <w:t>means all costs and expenses paid or payable by the Beneficiaries</w:t>
      </w:r>
      <w:r w:rsidR="000E5760" w:rsidRPr="00D97515">
        <w:rPr>
          <w:szCs w:val="22"/>
          <w:lang w:eastAsia="en-AU"/>
        </w:rPr>
        <w:t>,</w:t>
      </w:r>
      <w:r w:rsidRPr="00D97515">
        <w:rPr>
          <w:szCs w:val="22"/>
          <w:lang w:eastAsia="en-AU"/>
        </w:rPr>
        <w:t xml:space="preserve"> or</w:t>
      </w:r>
      <w:r w:rsidR="000E5760" w:rsidRPr="00D97515">
        <w:rPr>
          <w:szCs w:val="22"/>
          <w:lang w:eastAsia="en-AU"/>
        </w:rPr>
        <w:t xml:space="preserve"> </w:t>
      </w:r>
      <w:r w:rsidRPr="00D97515">
        <w:rPr>
          <w:szCs w:val="22"/>
          <w:lang w:eastAsia="en-AU"/>
        </w:rPr>
        <w:t xml:space="preserve">incurred for the benefit of the Beneficiaries, that relate to or arise </w:t>
      </w:r>
      <w:r w:rsidR="000E5760" w:rsidRPr="00D97515">
        <w:rPr>
          <w:szCs w:val="22"/>
          <w:lang w:eastAsia="en-AU"/>
        </w:rPr>
        <w:t>i</w:t>
      </w:r>
      <w:r w:rsidRPr="00D97515">
        <w:rPr>
          <w:szCs w:val="22"/>
          <w:lang w:eastAsia="en-AU"/>
        </w:rPr>
        <w:t>n connection with the</w:t>
      </w:r>
      <w:r w:rsidR="000E5760" w:rsidRPr="00D97515">
        <w:rPr>
          <w:szCs w:val="22"/>
          <w:lang w:eastAsia="en-AU"/>
        </w:rPr>
        <w:t xml:space="preserve"> </w:t>
      </w:r>
      <w:r w:rsidRPr="00D97515">
        <w:rPr>
          <w:szCs w:val="22"/>
          <w:lang w:eastAsia="en-AU"/>
        </w:rPr>
        <w:t xml:space="preserve">Proceedings </w:t>
      </w:r>
      <w:r w:rsidR="000E5760" w:rsidRPr="00D97515">
        <w:rPr>
          <w:szCs w:val="22"/>
          <w:lang w:eastAsia="en-AU"/>
        </w:rPr>
        <w:t xml:space="preserve">including </w:t>
      </w:r>
      <w:r w:rsidRPr="00D97515">
        <w:rPr>
          <w:szCs w:val="22"/>
          <w:lang w:eastAsia="en-AU"/>
        </w:rPr>
        <w:t xml:space="preserve">(without </w:t>
      </w:r>
      <w:r w:rsidR="000E5760" w:rsidRPr="00D97515">
        <w:rPr>
          <w:szCs w:val="22"/>
          <w:lang w:eastAsia="en-AU"/>
        </w:rPr>
        <w:t>limitation</w:t>
      </w:r>
      <w:r w:rsidRPr="00D97515">
        <w:rPr>
          <w:szCs w:val="22"/>
          <w:lang w:eastAsia="en-AU"/>
        </w:rPr>
        <w:t>):</w:t>
      </w:r>
    </w:p>
    <w:p w14:paraId="7909DEC9" w14:textId="3F4A61AA" w:rsidR="00ED5A3A" w:rsidRPr="00D97515" w:rsidRDefault="00ED5A3A" w:rsidP="000E5760">
      <w:pPr>
        <w:pStyle w:val="Quote1"/>
        <w:ind w:left="1440" w:hanging="703"/>
        <w:rPr>
          <w:szCs w:val="22"/>
          <w:lang w:eastAsia="en-AU"/>
        </w:rPr>
      </w:pPr>
      <w:r w:rsidRPr="00D97515">
        <w:rPr>
          <w:szCs w:val="22"/>
          <w:lang w:eastAsia="en-AU"/>
        </w:rPr>
        <w:t>(a)</w:t>
      </w:r>
      <w:r w:rsidR="000E5760" w:rsidRPr="00D97515">
        <w:rPr>
          <w:szCs w:val="22"/>
          <w:lang w:eastAsia="en-AU"/>
        </w:rPr>
        <w:tab/>
      </w:r>
      <w:proofErr w:type="gramStart"/>
      <w:r w:rsidRPr="00D97515">
        <w:rPr>
          <w:szCs w:val="22"/>
          <w:lang w:eastAsia="en-AU"/>
        </w:rPr>
        <w:t>all</w:t>
      </w:r>
      <w:proofErr w:type="gramEnd"/>
      <w:r w:rsidRPr="00D97515">
        <w:rPr>
          <w:szCs w:val="22"/>
          <w:lang w:eastAsia="en-AU"/>
        </w:rPr>
        <w:t xml:space="preserve"> </w:t>
      </w:r>
      <w:r w:rsidR="000E5760" w:rsidRPr="00D97515">
        <w:rPr>
          <w:szCs w:val="22"/>
          <w:lang w:eastAsia="en-AU"/>
        </w:rPr>
        <w:t>l</w:t>
      </w:r>
      <w:r w:rsidRPr="00D97515">
        <w:rPr>
          <w:szCs w:val="22"/>
          <w:lang w:eastAsia="en-AU"/>
        </w:rPr>
        <w:t>egal costs, expenses an</w:t>
      </w:r>
      <w:r w:rsidR="000E5760" w:rsidRPr="00D97515">
        <w:rPr>
          <w:szCs w:val="22"/>
          <w:lang w:eastAsia="en-AU"/>
        </w:rPr>
        <w:t>d disburs</w:t>
      </w:r>
      <w:r w:rsidRPr="00D97515">
        <w:rPr>
          <w:szCs w:val="22"/>
          <w:lang w:eastAsia="en-AU"/>
        </w:rPr>
        <w:t>ements incurred in respect of the P</w:t>
      </w:r>
      <w:r w:rsidR="000E5760" w:rsidRPr="00D97515">
        <w:rPr>
          <w:szCs w:val="22"/>
          <w:lang w:eastAsia="en-AU"/>
        </w:rPr>
        <w:t>r</w:t>
      </w:r>
      <w:r w:rsidRPr="00D97515">
        <w:rPr>
          <w:szCs w:val="22"/>
          <w:lang w:eastAsia="en-AU"/>
        </w:rPr>
        <w:t>o</w:t>
      </w:r>
      <w:r w:rsidR="000E5760" w:rsidRPr="00D97515">
        <w:rPr>
          <w:szCs w:val="22"/>
          <w:lang w:eastAsia="en-AU"/>
        </w:rPr>
        <w:t>ceedings;</w:t>
      </w:r>
    </w:p>
    <w:p w14:paraId="0AB4BFD5" w14:textId="00F18956" w:rsidR="00ED5A3A" w:rsidRPr="00D97515" w:rsidRDefault="00ED5A3A" w:rsidP="00ED5A3A">
      <w:pPr>
        <w:pStyle w:val="Quote1"/>
        <w:rPr>
          <w:szCs w:val="22"/>
          <w:lang w:eastAsia="en-AU"/>
        </w:rPr>
      </w:pPr>
      <w:r w:rsidRPr="00D97515">
        <w:rPr>
          <w:szCs w:val="22"/>
          <w:lang w:eastAsia="en-AU"/>
        </w:rPr>
        <w:t>(b)</w:t>
      </w:r>
      <w:r w:rsidR="000E5760" w:rsidRPr="00D97515">
        <w:rPr>
          <w:szCs w:val="22"/>
          <w:lang w:eastAsia="en-AU"/>
        </w:rPr>
        <w:tab/>
      </w:r>
      <w:proofErr w:type="gramStart"/>
      <w:r w:rsidRPr="00D97515">
        <w:rPr>
          <w:szCs w:val="22"/>
          <w:lang w:eastAsia="en-AU"/>
        </w:rPr>
        <w:t>any</w:t>
      </w:r>
      <w:proofErr w:type="gramEnd"/>
      <w:r w:rsidRPr="00D97515">
        <w:rPr>
          <w:szCs w:val="22"/>
          <w:lang w:eastAsia="en-AU"/>
        </w:rPr>
        <w:t xml:space="preserve"> amounts paid or payable </w:t>
      </w:r>
      <w:r w:rsidR="000E5760" w:rsidRPr="00D97515">
        <w:rPr>
          <w:szCs w:val="22"/>
          <w:lang w:eastAsia="en-AU"/>
        </w:rPr>
        <w:t>t</w:t>
      </w:r>
      <w:r w:rsidRPr="00D97515">
        <w:rPr>
          <w:szCs w:val="22"/>
          <w:lang w:eastAsia="en-AU"/>
        </w:rPr>
        <w:t>o the courts in respect of t</w:t>
      </w:r>
      <w:r w:rsidR="000E5760" w:rsidRPr="00D97515">
        <w:rPr>
          <w:szCs w:val="22"/>
          <w:lang w:eastAsia="en-AU"/>
        </w:rPr>
        <w:t>h</w:t>
      </w:r>
      <w:r w:rsidRPr="00D97515">
        <w:rPr>
          <w:szCs w:val="22"/>
          <w:lang w:eastAsia="en-AU"/>
        </w:rPr>
        <w:t>e Proceedings;</w:t>
      </w:r>
    </w:p>
    <w:p w14:paraId="532FF6C4" w14:textId="127F705F" w:rsidR="00ED5A3A" w:rsidRPr="00D97515" w:rsidRDefault="00ED5A3A" w:rsidP="00ED5A3A">
      <w:pPr>
        <w:pStyle w:val="Quote1"/>
        <w:rPr>
          <w:szCs w:val="22"/>
          <w:lang w:eastAsia="en-AU"/>
        </w:rPr>
      </w:pPr>
      <w:r w:rsidRPr="00D97515">
        <w:rPr>
          <w:szCs w:val="22"/>
          <w:lang w:eastAsia="en-AU"/>
        </w:rPr>
        <w:t>(c)</w:t>
      </w:r>
      <w:r w:rsidR="000E5760" w:rsidRPr="00D97515">
        <w:rPr>
          <w:szCs w:val="22"/>
          <w:lang w:eastAsia="en-AU"/>
        </w:rPr>
        <w:tab/>
      </w:r>
      <w:proofErr w:type="gramStart"/>
      <w:r w:rsidR="000E5760" w:rsidRPr="00D97515">
        <w:rPr>
          <w:szCs w:val="22"/>
          <w:lang w:eastAsia="en-AU"/>
        </w:rPr>
        <w:t>transcript</w:t>
      </w:r>
      <w:proofErr w:type="gramEnd"/>
      <w:r w:rsidR="000E5760" w:rsidRPr="00D97515">
        <w:rPr>
          <w:szCs w:val="22"/>
          <w:lang w:eastAsia="en-AU"/>
        </w:rPr>
        <w:t xml:space="preserve"> f</w:t>
      </w:r>
      <w:r w:rsidRPr="00D97515">
        <w:rPr>
          <w:szCs w:val="22"/>
          <w:lang w:eastAsia="en-AU"/>
        </w:rPr>
        <w:t>ees;</w:t>
      </w:r>
    </w:p>
    <w:p w14:paraId="721A935E" w14:textId="5158D832" w:rsidR="00ED5A3A" w:rsidRPr="00D97515" w:rsidRDefault="00ED5A3A" w:rsidP="00ED5A3A">
      <w:pPr>
        <w:pStyle w:val="Quote1"/>
        <w:rPr>
          <w:szCs w:val="22"/>
          <w:lang w:eastAsia="en-AU"/>
        </w:rPr>
      </w:pPr>
      <w:r w:rsidRPr="00D97515">
        <w:rPr>
          <w:szCs w:val="22"/>
          <w:lang w:eastAsia="en-AU"/>
        </w:rPr>
        <w:t>(d)</w:t>
      </w:r>
      <w:r w:rsidR="000E5760" w:rsidRPr="00D97515">
        <w:rPr>
          <w:szCs w:val="22"/>
          <w:lang w:eastAsia="en-AU"/>
        </w:rPr>
        <w:tab/>
      </w:r>
      <w:proofErr w:type="gramStart"/>
      <w:r w:rsidRPr="00D97515">
        <w:rPr>
          <w:szCs w:val="22"/>
          <w:lang w:eastAsia="en-AU"/>
        </w:rPr>
        <w:t>witness</w:t>
      </w:r>
      <w:proofErr w:type="gramEnd"/>
      <w:r w:rsidRPr="00D97515">
        <w:rPr>
          <w:szCs w:val="22"/>
          <w:lang w:eastAsia="en-AU"/>
        </w:rPr>
        <w:t xml:space="preserve"> fees and expenses; and</w:t>
      </w:r>
    </w:p>
    <w:p w14:paraId="225B83D1" w14:textId="4415D977" w:rsidR="00ED5A3A" w:rsidRPr="00D97515" w:rsidRDefault="000E5760" w:rsidP="000E5760">
      <w:pPr>
        <w:pStyle w:val="Quote1"/>
        <w:ind w:left="1440" w:hanging="703"/>
        <w:rPr>
          <w:szCs w:val="22"/>
        </w:rPr>
      </w:pPr>
      <w:r w:rsidRPr="00D97515">
        <w:rPr>
          <w:szCs w:val="22"/>
          <w:lang w:eastAsia="en-AU"/>
        </w:rPr>
        <w:t>(e)</w:t>
      </w:r>
      <w:r w:rsidRPr="00D97515">
        <w:rPr>
          <w:szCs w:val="22"/>
          <w:lang w:eastAsia="en-AU"/>
        </w:rPr>
        <w:tab/>
      </w:r>
      <w:r w:rsidR="00ED5A3A" w:rsidRPr="00D97515">
        <w:rPr>
          <w:szCs w:val="22"/>
          <w:lang w:eastAsia="en-AU"/>
        </w:rPr>
        <w:t xml:space="preserve">any fees or </w:t>
      </w:r>
      <w:r w:rsidRPr="00D97515">
        <w:rPr>
          <w:szCs w:val="22"/>
          <w:lang w:eastAsia="en-AU"/>
        </w:rPr>
        <w:t>costs incurred t</w:t>
      </w:r>
      <w:r w:rsidR="00ED5A3A" w:rsidRPr="00D97515">
        <w:rPr>
          <w:szCs w:val="22"/>
          <w:lang w:eastAsia="en-AU"/>
        </w:rPr>
        <w:t>o any service providers in relation to any of the Proceedings,</w:t>
      </w:r>
      <w:r w:rsidRPr="00D97515">
        <w:rPr>
          <w:szCs w:val="22"/>
          <w:lang w:eastAsia="en-AU"/>
        </w:rPr>
        <w:t xml:space="preserve"> </w:t>
      </w:r>
      <w:r w:rsidR="00ED5A3A" w:rsidRPr="00D97515">
        <w:rPr>
          <w:szCs w:val="22"/>
          <w:lang w:eastAsia="en-AU"/>
        </w:rPr>
        <w:t xml:space="preserve">including database servers, </w:t>
      </w:r>
      <w:r w:rsidRPr="00D97515">
        <w:rPr>
          <w:szCs w:val="22"/>
          <w:lang w:eastAsia="en-AU"/>
        </w:rPr>
        <w:t xml:space="preserve">costs </w:t>
      </w:r>
      <w:r w:rsidR="00ED5A3A" w:rsidRPr="00D97515">
        <w:rPr>
          <w:szCs w:val="22"/>
          <w:lang w:eastAsia="en-AU"/>
        </w:rPr>
        <w:t>consultants and others</w:t>
      </w:r>
      <w:r w:rsidR="001A5826" w:rsidRPr="00D97515">
        <w:rPr>
          <w:szCs w:val="22"/>
          <w:lang w:eastAsia="en-AU"/>
        </w:rPr>
        <w:t>[.]</w:t>
      </w:r>
    </w:p>
    <w:p w14:paraId="7E1BE632" w14:textId="22A75BF2" w:rsidR="00C108ED" w:rsidRPr="00D97515" w:rsidRDefault="00D125E8" w:rsidP="00B356BD">
      <w:pPr>
        <w:pStyle w:val="ListNo1alt"/>
        <w:numPr>
          <w:ilvl w:val="0"/>
          <w:numId w:val="33"/>
        </w:numPr>
      </w:pPr>
      <w:r w:rsidRPr="00D97515">
        <w:t>Clause 3 provided:</w:t>
      </w:r>
    </w:p>
    <w:p w14:paraId="0056DD34" w14:textId="48BDDE89" w:rsidR="000E5760" w:rsidRPr="00D97515" w:rsidRDefault="000E5760" w:rsidP="000E5760">
      <w:pPr>
        <w:pStyle w:val="Quote1"/>
        <w:rPr>
          <w:b/>
          <w:szCs w:val="22"/>
          <w:lang w:eastAsia="en-AU"/>
        </w:rPr>
      </w:pPr>
      <w:r w:rsidRPr="00D97515">
        <w:rPr>
          <w:b/>
          <w:szCs w:val="22"/>
          <w:lang w:eastAsia="en-AU"/>
        </w:rPr>
        <w:t>3.1</w:t>
      </w:r>
      <w:r w:rsidRPr="00D97515">
        <w:rPr>
          <w:b/>
          <w:szCs w:val="22"/>
          <w:lang w:eastAsia="en-AU"/>
        </w:rPr>
        <w:tab/>
        <w:t>Litigation Proceeds</w:t>
      </w:r>
    </w:p>
    <w:p w14:paraId="3899BD3F" w14:textId="1385CB5A" w:rsidR="000E5760" w:rsidRPr="00D97515" w:rsidRDefault="000E5760" w:rsidP="00CE2256">
      <w:pPr>
        <w:pStyle w:val="Quote2"/>
        <w:rPr>
          <w:lang w:eastAsia="en-AU"/>
        </w:rPr>
      </w:pPr>
      <w:r w:rsidRPr="00D97515">
        <w:rPr>
          <w:lang w:eastAsia="en-AU"/>
        </w:rPr>
        <w:t>In consideration for the payment of the Litigation Costs by the Litigation Funder in accordance with clause 2, each of the Beneficiaries agrees to pay to the Litigation Funder any Litigation Proceeds that are paid to it within 5 business days of receipt of such amounts.</w:t>
      </w:r>
    </w:p>
    <w:p w14:paraId="3435559E" w14:textId="4AF6574C" w:rsidR="00C108ED" w:rsidRPr="00D97515" w:rsidRDefault="00C108ED" w:rsidP="00B356BD">
      <w:pPr>
        <w:pStyle w:val="ListNo1alt"/>
        <w:numPr>
          <w:ilvl w:val="0"/>
          <w:numId w:val="33"/>
        </w:numPr>
      </w:pPr>
      <w:r w:rsidRPr="00D97515">
        <w:t>The term “Litigation Proceeds” was defined to mean:</w:t>
      </w:r>
    </w:p>
    <w:p w14:paraId="606186FF" w14:textId="645C5A81" w:rsidR="000E5760" w:rsidRPr="00D97515" w:rsidRDefault="000E5760" w:rsidP="000E5760">
      <w:pPr>
        <w:pStyle w:val="Quote1"/>
        <w:rPr>
          <w:szCs w:val="22"/>
          <w:lang w:eastAsia="en-AU"/>
        </w:rPr>
      </w:pPr>
      <w:r w:rsidRPr="00D97515">
        <w:rPr>
          <w:b/>
          <w:szCs w:val="22"/>
          <w:lang w:eastAsia="en-AU"/>
        </w:rPr>
        <w:t>Litigation</w:t>
      </w:r>
      <w:r w:rsidRPr="00D97515">
        <w:rPr>
          <w:szCs w:val="22"/>
          <w:lang w:eastAsia="en-AU"/>
        </w:rPr>
        <w:t xml:space="preserve"> </w:t>
      </w:r>
      <w:r w:rsidRPr="00D97515">
        <w:rPr>
          <w:b/>
          <w:bCs/>
          <w:szCs w:val="22"/>
          <w:lang w:eastAsia="en-AU"/>
        </w:rPr>
        <w:t xml:space="preserve">Proceeds </w:t>
      </w:r>
      <w:r w:rsidRPr="00D97515">
        <w:rPr>
          <w:szCs w:val="22"/>
          <w:lang w:eastAsia="en-AU"/>
        </w:rPr>
        <w:t>means all money paid or payable to the Beneficiaries in respect of the Proceedings including (without limitation) amounts paid or payable in connection with:</w:t>
      </w:r>
    </w:p>
    <w:p w14:paraId="1884BC01" w14:textId="7B5AB7CE" w:rsidR="000E5760" w:rsidRPr="00D97515" w:rsidRDefault="000E5760" w:rsidP="000E5760">
      <w:pPr>
        <w:pStyle w:val="Quote1"/>
        <w:rPr>
          <w:szCs w:val="22"/>
          <w:lang w:eastAsia="en-AU"/>
        </w:rPr>
      </w:pPr>
      <w:r w:rsidRPr="00D97515">
        <w:rPr>
          <w:szCs w:val="22"/>
          <w:lang w:eastAsia="en-AU"/>
        </w:rPr>
        <w:t>(a)</w:t>
      </w:r>
      <w:r w:rsidRPr="00D97515">
        <w:rPr>
          <w:szCs w:val="22"/>
          <w:lang w:eastAsia="en-AU"/>
        </w:rPr>
        <w:tab/>
      </w:r>
      <w:proofErr w:type="gramStart"/>
      <w:r w:rsidRPr="00D97515">
        <w:rPr>
          <w:szCs w:val="22"/>
          <w:lang w:eastAsia="en-AU"/>
        </w:rPr>
        <w:t>the</w:t>
      </w:r>
      <w:proofErr w:type="gramEnd"/>
      <w:r w:rsidRPr="00D97515">
        <w:rPr>
          <w:szCs w:val="22"/>
          <w:lang w:eastAsia="en-AU"/>
        </w:rPr>
        <w:t xml:space="preserve"> settlement of the Proceedings;</w:t>
      </w:r>
    </w:p>
    <w:p w14:paraId="372D4443" w14:textId="16FE227E" w:rsidR="000E5760" w:rsidRPr="00D97515" w:rsidRDefault="000E5760" w:rsidP="000E5760">
      <w:pPr>
        <w:pStyle w:val="Quote1"/>
        <w:ind w:left="1440" w:hanging="703"/>
        <w:rPr>
          <w:szCs w:val="22"/>
          <w:lang w:eastAsia="en-AU"/>
        </w:rPr>
      </w:pPr>
      <w:r w:rsidRPr="00D97515">
        <w:rPr>
          <w:szCs w:val="22"/>
          <w:lang w:eastAsia="en-AU"/>
        </w:rPr>
        <w:t>(b)</w:t>
      </w:r>
      <w:r w:rsidRPr="00D97515">
        <w:rPr>
          <w:szCs w:val="22"/>
          <w:lang w:eastAsia="en-AU"/>
        </w:rPr>
        <w:tab/>
      </w:r>
      <w:proofErr w:type="gramStart"/>
      <w:r w:rsidRPr="00D97515">
        <w:rPr>
          <w:szCs w:val="22"/>
          <w:lang w:eastAsia="en-AU"/>
        </w:rPr>
        <w:t>an</w:t>
      </w:r>
      <w:proofErr w:type="gramEnd"/>
      <w:r w:rsidRPr="00D97515">
        <w:rPr>
          <w:szCs w:val="22"/>
          <w:lang w:eastAsia="en-AU"/>
        </w:rPr>
        <w:t xml:space="preserve"> amount awarded by the court by way of judgment in favour of the Beneficiaries; and</w:t>
      </w:r>
    </w:p>
    <w:p w14:paraId="5EA08645" w14:textId="354D92FC" w:rsidR="000E5760" w:rsidRPr="00D97515" w:rsidRDefault="000E5760" w:rsidP="000E5760">
      <w:pPr>
        <w:pStyle w:val="Quote1"/>
        <w:rPr>
          <w:szCs w:val="22"/>
          <w:lang w:eastAsia="en-AU"/>
        </w:rPr>
      </w:pPr>
      <w:r w:rsidRPr="00D97515">
        <w:rPr>
          <w:szCs w:val="22"/>
          <w:lang w:eastAsia="en-AU"/>
        </w:rPr>
        <w:t>(c)</w:t>
      </w:r>
      <w:r w:rsidRPr="00D97515">
        <w:rPr>
          <w:szCs w:val="22"/>
          <w:lang w:eastAsia="en-AU"/>
        </w:rPr>
        <w:tab/>
      </w:r>
      <w:proofErr w:type="gramStart"/>
      <w:r w:rsidRPr="00D97515">
        <w:rPr>
          <w:szCs w:val="22"/>
          <w:lang w:eastAsia="en-AU"/>
        </w:rPr>
        <w:t>any</w:t>
      </w:r>
      <w:proofErr w:type="gramEnd"/>
      <w:r w:rsidRPr="00D97515">
        <w:rPr>
          <w:szCs w:val="22"/>
          <w:lang w:eastAsia="en-AU"/>
        </w:rPr>
        <w:t xml:space="preserve"> cost order made by the court in favour of the Beneficiaries</w:t>
      </w:r>
      <w:r w:rsidR="00DA7A53" w:rsidRPr="00D97515">
        <w:rPr>
          <w:szCs w:val="22"/>
          <w:lang w:eastAsia="en-AU"/>
        </w:rPr>
        <w:t>[.]</w:t>
      </w:r>
    </w:p>
    <w:p w14:paraId="6B6D9D8C" w14:textId="1894F269" w:rsidR="00EE16ED" w:rsidRDefault="00C108ED" w:rsidP="00C108ED">
      <w:pPr>
        <w:pStyle w:val="ParaNumbering"/>
      </w:pPr>
      <w:r w:rsidRPr="00D97515">
        <w:t>Agreement (4) was in s</w:t>
      </w:r>
      <w:r w:rsidR="009845FF">
        <w:t>lightly different terms.</w:t>
      </w:r>
    </w:p>
    <w:p w14:paraId="7D225248" w14:textId="199DF084" w:rsidR="00C108ED" w:rsidRDefault="00C108ED" w:rsidP="00B356BD">
      <w:pPr>
        <w:pStyle w:val="ListNo1alt"/>
        <w:numPr>
          <w:ilvl w:val="0"/>
          <w:numId w:val="36"/>
        </w:numPr>
      </w:pPr>
      <w:r w:rsidRPr="00D97515">
        <w:t>Clau</w:t>
      </w:r>
      <w:r w:rsidR="0063568B">
        <w:t>se 3</w:t>
      </w:r>
      <w:r w:rsidR="005668A2">
        <w:t xml:space="preserve"> of that A</w:t>
      </w:r>
      <w:r w:rsidRPr="00D97515">
        <w:t>greement provided:</w:t>
      </w:r>
    </w:p>
    <w:p w14:paraId="3B97BB54" w14:textId="52F4A877" w:rsidR="0063568B" w:rsidRDefault="0063568B" w:rsidP="0063568B">
      <w:pPr>
        <w:pStyle w:val="Quote1"/>
        <w:rPr>
          <w:b/>
        </w:rPr>
      </w:pPr>
      <w:r>
        <w:rPr>
          <w:b/>
        </w:rPr>
        <w:t>3.1</w:t>
      </w:r>
      <w:r>
        <w:rPr>
          <w:b/>
        </w:rPr>
        <w:tab/>
      </w:r>
      <w:r w:rsidRPr="0063568B">
        <w:rPr>
          <w:b/>
        </w:rPr>
        <w:t>Litigation Proceeds and Costs Proceeds</w:t>
      </w:r>
    </w:p>
    <w:p w14:paraId="09530498" w14:textId="32DF4CF2" w:rsidR="0063568B" w:rsidRPr="0063568B" w:rsidRDefault="0063568B" w:rsidP="0063568B">
      <w:pPr>
        <w:pStyle w:val="Quote2"/>
      </w:pPr>
      <w:r w:rsidRPr="0063568B">
        <w:t xml:space="preserve">In consideration for the payment of the Litigation Costs by the Litigation Funder in accordance with clause 2, the Beneficiary agrees to pay to the litigation Funder any Litigation Proceeds and Costs Proceeds that are paid to it within 5 business days of receipt of such amounts. </w:t>
      </w:r>
    </w:p>
    <w:p w14:paraId="3CB93BE1" w14:textId="5EB0C281" w:rsidR="00C108ED" w:rsidRPr="00D97515" w:rsidRDefault="00C108ED" w:rsidP="0063568B">
      <w:pPr>
        <w:pStyle w:val="ListNo1alt"/>
      </w:pPr>
      <w:r w:rsidRPr="00D97515">
        <w:t xml:space="preserve">The terms </w:t>
      </w:r>
      <w:r w:rsidR="0091361D" w:rsidRPr="00D97515">
        <w:t xml:space="preserve">“Costs Proceeds” </w:t>
      </w:r>
      <w:r w:rsidR="0091361D">
        <w:t xml:space="preserve">and </w:t>
      </w:r>
      <w:r w:rsidRPr="00D97515">
        <w:t>“Litigation Proceeds” were defined as follows:</w:t>
      </w:r>
    </w:p>
    <w:p w14:paraId="25C43B01" w14:textId="356D69FD" w:rsidR="0091361D" w:rsidRDefault="0091361D" w:rsidP="000E5760">
      <w:pPr>
        <w:pStyle w:val="Quote1"/>
        <w:rPr>
          <w:bCs/>
        </w:rPr>
      </w:pPr>
      <w:r>
        <w:rPr>
          <w:b/>
          <w:bCs/>
        </w:rPr>
        <w:t>Costs Proceeds</w:t>
      </w:r>
      <w:r>
        <w:rPr>
          <w:bCs/>
        </w:rPr>
        <w:t xml:space="preserve"> </w:t>
      </w:r>
      <w:r w:rsidR="00834E05">
        <w:rPr>
          <w:bCs/>
        </w:rPr>
        <w:t>means all money paid or pay</w:t>
      </w:r>
      <w:r>
        <w:rPr>
          <w:bCs/>
        </w:rPr>
        <w:t>able to the Beneficiary in respect of any cost order made by the court in favour of the Beneficiary in relation to the Proceedings and the Other Proceedings.</w:t>
      </w:r>
    </w:p>
    <w:p w14:paraId="6BBBD60F" w14:textId="0D85BEC3" w:rsidR="0091361D" w:rsidRPr="0091361D" w:rsidRDefault="0091361D" w:rsidP="000E5760">
      <w:pPr>
        <w:pStyle w:val="Quote1"/>
        <w:rPr>
          <w:bCs/>
        </w:rPr>
      </w:pPr>
      <w:r w:rsidRPr="0091361D">
        <w:rPr>
          <w:bCs/>
        </w:rPr>
        <w:t>…</w:t>
      </w:r>
    </w:p>
    <w:p w14:paraId="5BAE97B0" w14:textId="4747BA55" w:rsidR="000E5760" w:rsidRPr="00D97515" w:rsidRDefault="000E5760" w:rsidP="002847E7">
      <w:pPr>
        <w:pStyle w:val="Quote1"/>
        <w:keepNext/>
        <w:keepLines/>
      </w:pPr>
      <w:r w:rsidRPr="00D97515">
        <w:rPr>
          <w:b/>
          <w:bCs/>
        </w:rPr>
        <w:lastRenderedPageBreak/>
        <w:t xml:space="preserve">Litigation Proceeds </w:t>
      </w:r>
      <w:r w:rsidRPr="00D97515">
        <w:t xml:space="preserve">means all money paid or payable to the Beneficiary in respect of the Proceedings including (without limitation) amounts paid or payable in connection with: </w:t>
      </w:r>
    </w:p>
    <w:p w14:paraId="3003773E" w14:textId="4D41F71C" w:rsidR="000E5760" w:rsidRPr="00D97515" w:rsidRDefault="000E5760" w:rsidP="000E5760">
      <w:pPr>
        <w:pStyle w:val="Quote1"/>
      </w:pPr>
      <w:r w:rsidRPr="00D97515">
        <w:t>(a)</w:t>
      </w:r>
      <w:r w:rsidRPr="00D97515">
        <w:tab/>
      </w:r>
      <w:proofErr w:type="gramStart"/>
      <w:r w:rsidRPr="00D97515">
        <w:t>the</w:t>
      </w:r>
      <w:proofErr w:type="gramEnd"/>
      <w:r w:rsidRPr="00D97515">
        <w:t xml:space="preserve"> settlement of the Proceedings; and</w:t>
      </w:r>
    </w:p>
    <w:p w14:paraId="42C0011F" w14:textId="0DEF83A5" w:rsidR="000E5760" w:rsidRPr="00D97515" w:rsidRDefault="000E5760" w:rsidP="000E5760">
      <w:pPr>
        <w:pStyle w:val="Quote1"/>
        <w:ind w:left="1440" w:hanging="703"/>
      </w:pPr>
      <w:r w:rsidRPr="00D97515">
        <w:t>(b)</w:t>
      </w:r>
      <w:r w:rsidRPr="00D97515">
        <w:tab/>
      </w:r>
      <w:proofErr w:type="gramStart"/>
      <w:r w:rsidRPr="00D97515">
        <w:t>an</w:t>
      </w:r>
      <w:proofErr w:type="gramEnd"/>
      <w:r w:rsidRPr="00D97515">
        <w:t xml:space="preserve"> amount awarded by the court by way of judgment in favour of the Beneficiary,</w:t>
      </w:r>
    </w:p>
    <w:p w14:paraId="04982765" w14:textId="4ADDCAD7" w:rsidR="00DA7A53" w:rsidRPr="00D97515" w:rsidRDefault="000E5760" w:rsidP="000E5760">
      <w:pPr>
        <w:pStyle w:val="Quote1"/>
        <w:ind w:left="1440" w:hanging="703"/>
      </w:pPr>
      <w:proofErr w:type="gramStart"/>
      <w:r w:rsidRPr="00D97515">
        <w:t>but</w:t>
      </w:r>
      <w:proofErr w:type="gramEnd"/>
      <w:r w:rsidRPr="00D97515">
        <w:t xml:space="preserve"> only to the extent that such amount is greater than $5,000,000</w:t>
      </w:r>
      <w:r w:rsidR="00834E05">
        <w:t>[.]</w:t>
      </w:r>
    </w:p>
    <w:p w14:paraId="3A34FDC7" w14:textId="23253FB5" w:rsidR="00695EDD" w:rsidRDefault="00695EDD" w:rsidP="00001142">
      <w:pPr>
        <w:pStyle w:val="Heading2"/>
      </w:pPr>
      <w:r>
        <w:t>Lay witness evidence</w:t>
      </w:r>
    </w:p>
    <w:p w14:paraId="57ABDE46" w14:textId="25DC0076" w:rsidR="00C108ED" w:rsidRPr="00D97515" w:rsidRDefault="00C108ED" w:rsidP="00C108ED">
      <w:pPr>
        <w:pStyle w:val="ParaNumbering"/>
      </w:pPr>
      <w:r w:rsidRPr="00D97515">
        <w:t xml:space="preserve">At the hearing of the proceeding, the </w:t>
      </w:r>
      <w:r w:rsidR="00C948FC">
        <w:t>Applicant</w:t>
      </w:r>
      <w:r w:rsidRPr="00D97515">
        <w:t xml:space="preserve"> called evidence from the following lay witnesses, each of whom was cross</w:t>
      </w:r>
      <w:r w:rsidR="00E136C5">
        <w:t>‑</w:t>
      </w:r>
      <w:r w:rsidRPr="00D97515">
        <w:t>examined:</w:t>
      </w:r>
    </w:p>
    <w:p w14:paraId="777AFE17" w14:textId="62BD4F0E" w:rsidR="00C108ED" w:rsidRPr="00D97515" w:rsidRDefault="00C108ED" w:rsidP="00B356BD">
      <w:pPr>
        <w:pStyle w:val="ListNo1"/>
        <w:numPr>
          <w:ilvl w:val="0"/>
          <w:numId w:val="29"/>
        </w:numPr>
      </w:pPr>
      <w:r w:rsidRPr="00D97515">
        <w:t xml:space="preserve">Mr William </w:t>
      </w:r>
      <w:proofErr w:type="spellStart"/>
      <w:r w:rsidRPr="00D97515">
        <w:t>Lewski</w:t>
      </w:r>
      <w:proofErr w:type="spellEnd"/>
      <w:r w:rsidR="00DA7A53" w:rsidRPr="00D97515">
        <w:t>;</w:t>
      </w:r>
    </w:p>
    <w:p w14:paraId="4472B051" w14:textId="74C0D71F" w:rsidR="00C108ED" w:rsidRPr="00D97515" w:rsidRDefault="00C108ED" w:rsidP="00B356BD">
      <w:pPr>
        <w:pStyle w:val="ListNo1"/>
        <w:numPr>
          <w:ilvl w:val="0"/>
          <w:numId w:val="29"/>
        </w:numPr>
      </w:pPr>
      <w:r w:rsidRPr="00D97515">
        <w:t xml:space="preserve">Mr Ari </w:t>
      </w:r>
      <w:proofErr w:type="spellStart"/>
      <w:r w:rsidRPr="00D97515">
        <w:t>Lewski</w:t>
      </w:r>
      <w:proofErr w:type="spellEnd"/>
      <w:r w:rsidR="00DA7A53" w:rsidRPr="00D97515">
        <w:t>;</w:t>
      </w:r>
    </w:p>
    <w:p w14:paraId="7EE2E5EB" w14:textId="2188FEE9" w:rsidR="00C108ED" w:rsidRPr="00D97515" w:rsidRDefault="00C108ED" w:rsidP="00B356BD">
      <w:pPr>
        <w:pStyle w:val="ListNo1"/>
        <w:numPr>
          <w:ilvl w:val="0"/>
          <w:numId w:val="29"/>
        </w:numPr>
      </w:pPr>
      <w:r w:rsidRPr="00D97515">
        <w:t>Mr Andrew Joseph</w:t>
      </w:r>
      <w:r w:rsidR="00DA7A53" w:rsidRPr="00D97515">
        <w:t>;</w:t>
      </w:r>
    </w:p>
    <w:p w14:paraId="619B680C" w14:textId="04ED6FA0" w:rsidR="00C108ED" w:rsidRPr="00D97515" w:rsidRDefault="00C108ED" w:rsidP="00B356BD">
      <w:pPr>
        <w:pStyle w:val="ListNo1"/>
        <w:numPr>
          <w:ilvl w:val="0"/>
          <w:numId w:val="29"/>
        </w:numPr>
      </w:pPr>
      <w:r w:rsidRPr="00D97515">
        <w:t>Mr Samuel Bond</w:t>
      </w:r>
      <w:r w:rsidR="00DA7A53" w:rsidRPr="00D97515">
        <w:t>;</w:t>
      </w:r>
    </w:p>
    <w:p w14:paraId="21F381FB" w14:textId="24E3A9E8" w:rsidR="00C108ED" w:rsidRPr="00D97515" w:rsidRDefault="00C108ED" w:rsidP="00B356BD">
      <w:pPr>
        <w:pStyle w:val="ListNo1"/>
        <w:numPr>
          <w:ilvl w:val="0"/>
          <w:numId w:val="29"/>
        </w:numPr>
      </w:pPr>
      <w:r w:rsidRPr="00D97515">
        <w:t>Mr John Young</w:t>
      </w:r>
      <w:r w:rsidR="00DA7A53" w:rsidRPr="00D97515">
        <w:t>; and</w:t>
      </w:r>
    </w:p>
    <w:p w14:paraId="15CE4A0F" w14:textId="1F888E46" w:rsidR="00C108ED" w:rsidRPr="00D97515" w:rsidRDefault="00C108ED" w:rsidP="00B356BD">
      <w:pPr>
        <w:pStyle w:val="ListNo1"/>
        <w:numPr>
          <w:ilvl w:val="0"/>
          <w:numId w:val="29"/>
        </w:numPr>
      </w:pPr>
      <w:r w:rsidRPr="00D97515">
        <w:t>Mr Steven Casper</w:t>
      </w:r>
      <w:r w:rsidR="00DA7A53" w:rsidRPr="00D97515">
        <w:t>.</w:t>
      </w:r>
    </w:p>
    <w:p w14:paraId="25FBED0E" w14:textId="77777777" w:rsidR="00C108ED" w:rsidRPr="00D97515" w:rsidRDefault="00C108ED" w:rsidP="00C108ED">
      <w:pPr>
        <w:pStyle w:val="Heading3"/>
      </w:pPr>
      <w:r w:rsidRPr="00D97515">
        <w:t xml:space="preserve">Evidence of Mr William </w:t>
      </w:r>
      <w:proofErr w:type="spellStart"/>
      <w:r w:rsidRPr="00D97515">
        <w:t>Lewski</w:t>
      </w:r>
      <w:proofErr w:type="spellEnd"/>
    </w:p>
    <w:p w14:paraId="4CC1F020" w14:textId="4F3BA715" w:rsidR="00C108ED" w:rsidRPr="00D97515" w:rsidRDefault="00C108ED" w:rsidP="00C108ED">
      <w:pPr>
        <w:pStyle w:val="ParaNumbering"/>
      </w:pPr>
      <w:r w:rsidRPr="00D97515">
        <w:t xml:space="preserve">Mr William </w:t>
      </w:r>
      <w:proofErr w:type="spellStart"/>
      <w:r w:rsidRPr="00D97515">
        <w:t>Lewski</w:t>
      </w:r>
      <w:proofErr w:type="spellEnd"/>
      <w:r w:rsidRPr="00D97515">
        <w:t xml:space="preserve"> gave evidence concerning the history of the </w:t>
      </w:r>
      <w:r w:rsidR="00C948FC">
        <w:t>Applicant</w:t>
      </w:r>
      <w:r w:rsidRPr="00D97515">
        <w:t>’s activities.  From</w:t>
      </w:r>
      <w:r w:rsidR="00001142">
        <w:t> </w:t>
      </w:r>
      <w:r w:rsidRPr="00D97515">
        <w:t xml:space="preserve">1979, the </w:t>
      </w:r>
      <w:r w:rsidR="00C948FC">
        <w:t>Applicant</w:t>
      </w:r>
      <w:r w:rsidRPr="00D97515">
        <w:t xml:space="preserve"> had carried on a clothing retail business whic</w:t>
      </w:r>
      <w:r w:rsidR="009845FF">
        <w:t>h it sold in 1987.  In </w:t>
      </w:r>
      <w:r w:rsidR="0024549E" w:rsidRPr="00D97515">
        <w:t>1987, Mr </w:t>
      </w:r>
      <w:proofErr w:type="spellStart"/>
      <w:r w:rsidRPr="00D97515">
        <w:t>Lewski</w:t>
      </w:r>
      <w:proofErr w:type="spellEnd"/>
      <w:r w:rsidRPr="00D97515">
        <w:t xml:space="preserve"> commenced to carry on a practice of providing accounting and commercial consulting as well as being a registered tax agent.  When the rules changed to permit trustees to act as tax agents, the </w:t>
      </w:r>
      <w:r w:rsidR="00C948FC">
        <w:t>Applicant</w:t>
      </w:r>
      <w:r w:rsidRPr="00D97515">
        <w:t xml:space="preserve"> also registered as a tax agent.  Mr </w:t>
      </w:r>
      <w:proofErr w:type="spellStart"/>
      <w:r w:rsidRPr="00D97515">
        <w:t>Lewski’s</w:t>
      </w:r>
      <w:proofErr w:type="spellEnd"/>
      <w:r w:rsidRPr="00D97515">
        <w:t xml:space="preserve"> evidence was that the </w:t>
      </w:r>
      <w:r w:rsidR="00C948FC">
        <w:t>Applicant</w:t>
      </w:r>
      <w:r w:rsidRPr="00D97515">
        <w:t xml:space="preserve"> then took over his consultancy and tax agent practice, providing services to members of the </w:t>
      </w:r>
      <w:proofErr w:type="spellStart"/>
      <w:r w:rsidRPr="00D97515">
        <w:t>Lewski</w:t>
      </w:r>
      <w:proofErr w:type="spellEnd"/>
      <w:r w:rsidRPr="00D97515">
        <w:t xml:space="preserve"> family, the entities they controlled and members of the public.</w:t>
      </w:r>
    </w:p>
    <w:p w14:paraId="4725E4C0" w14:textId="7D336D94" w:rsidR="00C108ED" w:rsidRPr="00D97515" w:rsidRDefault="00C108ED" w:rsidP="007F79BC">
      <w:pPr>
        <w:pStyle w:val="ParaNumbering"/>
        <w:rPr>
          <w:lang w:eastAsia="en-AU"/>
        </w:rPr>
      </w:pPr>
      <w:r w:rsidRPr="00D97515">
        <w:rPr>
          <w:lang w:eastAsia="en-AU"/>
        </w:rPr>
        <w:t xml:space="preserve">Mr </w:t>
      </w:r>
      <w:proofErr w:type="spellStart"/>
      <w:r w:rsidRPr="00D97515">
        <w:rPr>
          <w:lang w:eastAsia="en-AU"/>
        </w:rPr>
        <w:t>Lewski</w:t>
      </w:r>
      <w:proofErr w:type="spellEnd"/>
      <w:r w:rsidRPr="00D97515">
        <w:rPr>
          <w:lang w:eastAsia="en-AU"/>
        </w:rPr>
        <w:t xml:space="preserve"> testified that</w:t>
      </w:r>
      <w:r w:rsidR="003E0395" w:rsidRPr="00D97515">
        <w:rPr>
          <w:lang w:eastAsia="en-AU"/>
        </w:rPr>
        <w:t>,</w:t>
      </w:r>
      <w:r w:rsidRPr="00D97515">
        <w:rPr>
          <w:lang w:eastAsia="en-AU"/>
        </w:rPr>
        <w:t xml:space="preserve"> between 1991 and 1994, the </w:t>
      </w:r>
      <w:r w:rsidR="00C948FC">
        <w:rPr>
          <w:lang w:eastAsia="en-AU"/>
        </w:rPr>
        <w:t>Applicant</w:t>
      </w:r>
      <w:r w:rsidRPr="00D97515">
        <w:rPr>
          <w:lang w:eastAsia="en-AU"/>
        </w:rPr>
        <w:t xml:space="preserve"> also conducted a litigation and forensic accounting speciality practice through which expert valuation reports were prepared for third parties.  From 1995 to 2001, the </w:t>
      </w:r>
      <w:r w:rsidR="00C948FC">
        <w:rPr>
          <w:lang w:eastAsia="en-AU"/>
        </w:rPr>
        <w:t>Applicant</w:t>
      </w:r>
      <w:r w:rsidRPr="00D97515">
        <w:rPr>
          <w:lang w:eastAsia="en-AU"/>
        </w:rPr>
        <w:t xml:space="preserve"> conducted a practice involving the provision of advice </w:t>
      </w:r>
      <w:r w:rsidR="003E0395" w:rsidRPr="00D97515">
        <w:rPr>
          <w:lang w:eastAsia="en-AU"/>
        </w:rPr>
        <w:t xml:space="preserve">in </w:t>
      </w:r>
      <w:r w:rsidRPr="00D97515">
        <w:rPr>
          <w:lang w:eastAsia="en-AU"/>
        </w:rPr>
        <w:t xml:space="preserve">relation to commercial property syndications.  Between 1997 and 1998, the </w:t>
      </w:r>
      <w:r w:rsidR="00C948FC">
        <w:rPr>
          <w:lang w:eastAsia="en-AU"/>
        </w:rPr>
        <w:t>Applicant</w:t>
      </w:r>
      <w:r w:rsidRPr="00D97515">
        <w:rPr>
          <w:lang w:eastAsia="en-AU"/>
        </w:rPr>
        <w:t xml:space="preserve"> conducted chattel leasing businesses and was i</w:t>
      </w:r>
      <w:r w:rsidR="009845FF">
        <w:rPr>
          <w:lang w:eastAsia="en-AU"/>
        </w:rPr>
        <w:t>nvolved in film production.  In </w:t>
      </w:r>
      <w:r w:rsidRPr="00D97515">
        <w:rPr>
          <w:lang w:eastAsia="en-AU"/>
        </w:rPr>
        <w:t>1998</w:t>
      </w:r>
      <w:r w:rsidR="001B0E04" w:rsidRPr="00D97515">
        <w:rPr>
          <w:lang w:eastAsia="en-AU"/>
        </w:rPr>
        <w:t>,</w:t>
      </w:r>
      <w:r w:rsidRPr="00D97515">
        <w:rPr>
          <w:lang w:eastAsia="en-AU"/>
        </w:rPr>
        <w:t xml:space="preserve"> the </w:t>
      </w:r>
      <w:r w:rsidR="00C948FC">
        <w:rPr>
          <w:lang w:eastAsia="en-AU"/>
        </w:rPr>
        <w:t>Applicant</w:t>
      </w:r>
      <w:r w:rsidRPr="00D97515">
        <w:rPr>
          <w:lang w:eastAsia="en-AU"/>
        </w:rPr>
        <w:t xml:space="preserve"> ceased providing accounting and other services to the public and unrelated third parties but continued to provide consultancy, advisory and accounting services to the </w:t>
      </w:r>
      <w:proofErr w:type="spellStart"/>
      <w:r w:rsidRPr="00D97515">
        <w:rPr>
          <w:lang w:eastAsia="en-AU"/>
        </w:rPr>
        <w:t>Lewski</w:t>
      </w:r>
      <w:proofErr w:type="spellEnd"/>
      <w:r w:rsidRPr="00D97515">
        <w:rPr>
          <w:lang w:eastAsia="en-AU"/>
        </w:rPr>
        <w:t xml:space="preserve"> </w:t>
      </w:r>
      <w:r w:rsidR="00425A4D">
        <w:rPr>
          <w:lang w:eastAsia="en-AU"/>
        </w:rPr>
        <w:t>F</w:t>
      </w:r>
      <w:r w:rsidRPr="00D97515">
        <w:rPr>
          <w:lang w:eastAsia="en-AU"/>
        </w:rPr>
        <w:t>amily</w:t>
      </w:r>
      <w:r w:rsidR="00425A4D">
        <w:rPr>
          <w:lang w:eastAsia="en-AU"/>
        </w:rPr>
        <w:t xml:space="preserve"> Group</w:t>
      </w:r>
      <w:r w:rsidRPr="00D97515">
        <w:rPr>
          <w:lang w:eastAsia="en-AU"/>
        </w:rPr>
        <w:t xml:space="preserve">.  From 2001 to 2007, the </w:t>
      </w:r>
      <w:r w:rsidR="00C948FC">
        <w:rPr>
          <w:lang w:eastAsia="en-AU"/>
        </w:rPr>
        <w:t>Applicant</w:t>
      </w:r>
      <w:r w:rsidRPr="00D97515">
        <w:rPr>
          <w:lang w:eastAsia="en-AU"/>
        </w:rPr>
        <w:t xml:space="preserve"> carried on a consultancy and </w:t>
      </w:r>
      <w:r w:rsidRPr="00D97515">
        <w:rPr>
          <w:lang w:eastAsia="en-AU"/>
        </w:rPr>
        <w:lastRenderedPageBreak/>
        <w:t xml:space="preserve">advisory practice providing services to the trustee of the Prime Retirement and Aged Care Property Trust.  The termination of that </w:t>
      </w:r>
      <w:r w:rsidR="00425A4D">
        <w:rPr>
          <w:lang w:eastAsia="en-AU"/>
        </w:rPr>
        <w:t>T</w:t>
      </w:r>
      <w:r w:rsidRPr="00D97515">
        <w:rPr>
          <w:lang w:eastAsia="en-AU"/>
        </w:rPr>
        <w:t>rust and the winding up of its trustee</w:t>
      </w:r>
      <w:r w:rsidR="00CD6538" w:rsidRPr="00D97515">
        <w:rPr>
          <w:lang w:eastAsia="en-AU"/>
        </w:rPr>
        <w:t xml:space="preserve">, </w:t>
      </w:r>
      <w:r w:rsidR="00CD6538" w:rsidRPr="00427CBE">
        <w:rPr>
          <w:lang w:eastAsia="en-AU"/>
        </w:rPr>
        <w:t>Australian Property Custodian Holdings Pty Ltd</w:t>
      </w:r>
      <w:r w:rsidR="005736EB" w:rsidRPr="00427CBE">
        <w:rPr>
          <w:lang w:eastAsia="en-AU"/>
        </w:rPr>
        <w:t xml:space="preserve"> (</w:t>
      </w:r>
      <w:r w:rsidR="005736EB" w:rsidRPr="0094698E">
        <w:rPr>
          <w:b/>
          <w:lang w:eastAsia="en-AU"/>
        </w:rPr>
        <w:t>APCHL</w:t>
      </w:r>
      <w:r w:rsidR="005736EB" w:rsidRPr="00427CBE">
        <w:rPr>
          <w:lang w:eastAsia="en-AU"/>
        </w:rPr>
        <w:t>)</w:t>
      </w:r>
      <w:r w:rsidR="00CD6538" w:rsidRPr="00D97515">
        <w:rPr>
          <w:lang w:eastAsia="en-AU"/>
        </w:rPr>
        <w:t>,</w:t>
      </w:r>
      <w:r w:rsidR="005736EB" w:rsidRPr="00D97515">
        <w:rPr>
          <w:lang w:eastAsia="en-AU"/>
        </w:rPr>
        <w:t xml:space="preserve"> </w:t>
      </w:r>
      <w:r w:rsidRPr="00D97515">
        <w:rPr>
          <w:lang w:eastAsia="en-AU"/>
        </w:rPr>
        <w:t xml:space="preserve">resulted in significant litigation for the </w:t>
      </w:r>
      <w:proofErr w:type="spellStart"/>
      <w:r w:rsidRPr="00D97515">
        <w:rPr>
          <w:lang w:eastAsia="en-AU"/>
        </w:rPr>
        <w:t>Lewski</w:t>
      </w:r>
      <w:proofErr w:type="spellEnd"/>
      <w:r w:rsidRPr="00D97515">
        <w:rPr>
          <w:lang w:eastAsia="en-AU"/>
        </w:rPr>
        <w:t xml:space="preserve"> </w:t>
      </w:r>
      <w:r w:rsidR="00425A4D">
        <w:rPr>
          <w:lang w:eastAsia="en-AU"/>
        </w:rPr>
        <w:t>F</w:t>
      </w:r>
      <w:r w:rsidRPr="00D97515">
        <w:rPr>
          <w:lang w:eastAsia="en-AU"/>
        </w:rPr>
        <w:t xml:space="preserve">amily </w:t>
      </w:r>
      <w:r w:rsidR="00425A4D">
        <w:rPr>
          <w:lang w:eastAsia="en-AU"/>
        </w:rPr>
        <w:t>Group</w:t>
      </w:r>
      <w:r w:rsidRPr="00D97515">
        <w:rPr>
          <w:lang w:eastAsia="en-AU"/>
        </w:rPr>
        <w:t xml:space="preserve">.  The </w:t>
      </w:r>
      <w:r w:rsidR="00C948FC">
        <w:rPr>
          <w:lang w:eastAsia="en-AU"/>
        </w:rPr>
        <w:t>Applicant</w:t>
      </w:r>
      <w:r w:rsidRPr="00D97515">
        <w:rPr>
          <w:lang w:eastAsia="en-AU"/>
        </w:rPr>
        <w:t xml:space="preserve"> was not a party to that litigation.</w:t>
      </w:r>
    </w:p>
    <w:p w14:paraId="13C56D86" w14:textId="6E0FAEBE" w:rsidR="00C108ED" w:rsidRPr="00704990" w:rsidRDefault="00C108ED" w:rsidP="00C108ED">
      <w:pPr>
        <w:pStyle w:val="ParaNumbering"/>
        <w:rPr>
          <w:lang w:eastAsia="en-AU"/>
        </w:rPr>
      </w:pPr>
      <w:r w:rsidRPr="00704990">
        <w:rPr>
          <w:lang w:eastAsia="en-AU"/>
        </w:rPr>
        <w:t xml:space="preserve">The </w:t>
      </w:r>
      <w:r w:rsidR="00C948FC" w:rsidRPr="00704990">
        <w:rPr>
          <w:lang w:eastAsia="en-AU"/>
        </w:rPr>
        <w:t>Applicant</w:t>
      </w:r>
      <w:r w:rsidRPr="00704990">
        <w:rPr>
          <w:lang w:eastAsia="en-AU"/>
        </w:rPr>
        <w:t xml:space="preserve"> continued to provide consultancy services in respect of retirement villages</w:t>
      </w:r>
      <w:r w:rsidR="0028407F" w:rsidRPr="00704990">
        <w:rPr>
          <w:lang w:eastAsia="en-AU"/>
        </w:rPr>
        <w:t>,</w:t>
      </w:r>
      <w:r w:rsidRPr="00704990">
        <w:rPr>
          <w:lang w:eastAsia="en-AU"/>
        </w:rPr>
        <w:t xml:space="preserve"> and residential aged care and home care businesses conducted by companies and trusts controlled by</w:t>
      </w:r>
      <w:r w:rsidR="00F219A5" w:rsidRPr="00704990">
        <w:rPr>
          <w:lang w:eastAsia="en-AU"/>
        </w:rPr>
        <w:t>,</w:t>
      </w:r>
      <w:r w:rsidRPr="00704990">
        <w:rPr>
          <w:lang w:eastAsia="en-AU"/>
        </w:rPr>
        <w:t xml:space="preserve"> </w:t>
      </w:r>
      <w:r w:rsidR="00386B48" w:rsidRPr="00704990">
        <w:rPr>
          <w:lang w:eastAsia="en-AU"/>
        </w:rPr>
        <w:t>or affiliated with</w:t>
      </w:r>
      <w:r w:rsidR="00F219A5" w:rsidRPr="00704990">
        <w:rPr>
          <w:lang w:eastAsia="en-AU"/>
        </w:rPr>
        <w:t>,</w:t>
      </w:r>
      <w:r w:rsidR="00386B48" w:rsidRPr="00704990">
        <w:rPr>
          <w:lang w:eastAsia="en-AU"/>
        </w:rPr>
        <w:t xml:space="preserve"> </w:t>
      </w:r>
      <w:r w:rsidRPr="00704990">
        <w:rPr>
          <w:lang w:eastAsia="en-AU"/>
        </w:rPr>
        <w:t xml:space="preserve">the </w:t>
      </w:r>
      <w:proofErr w:type="spellStart"/>
      <w:r w:rsidRPr="00704990">
        <w:rPr>
          <w:lang w:eastAsia="en-AU"/>
        </w:rPr>
        <w:t>Lewski</w:t>
      </w:r>
      <w:proofErr w:type="spellEnd"/>
      <w:r w:rsidRPr="00704990">
        <w:rPr>
          <w:lang w:eastAsia="en-AU"/>
        </w:rPr>
        <w:t xml:space="preserve"> family.  Mr </w:t>
      </w:r>
      <w:r w:rsidR="0028407F" w:rsidRPr="00704990">
        <w:rPr>
          <w:lang w:eastAsia="en-AU"/>
        </w:rPr>
        <w:t xml:space="preserve">William </w:t>
      </w:r>
      <w:proofErr w:type="spellStart"/>
      <w:r w:rsidRPr="00704990">
        <w:rPr>
          <w:lang w:eastAsia="en-AU"/>
        </w:rPr>
        <w:t>Lewski</w:t>
      </w:r>
      <w:proofErr w:type="spellEnd"/>
      <w:r w:rsidRPr="00704990">
        <w:rPr>
          <w:lang w:eastAsia="en-AU"/>
        </w:rPr>
        <w:t xml:space="preserve"> was the individual engaged by the </w:t>
      </w:r>
      <w:r w:rsidR="00C948FC" w:rsidRPr="00704990">
        <w:rPr>
          <w:lang w:eastAsia="en-AU"/>
        </w:rPr>
        <w:t>Applicant</w:t>
      </w:r>
      <w:r w:rsidRPr="00704990">
        <w:rPr>
          <w:lang w:eastAsia="en-AU"/>
        </w:rPr>
        <w:t xml:space="preserve"> to provide the consulting and advisory services.</w:t>
      </w:r>
    </w:p>
    <w:p w14:paraId="27B0B52D" w14:textId="020AB499" w:rsidR="006D7FB4" w:rsidRDefault="00C108ED" w:rsidP="00C108ED">
      <w:pPr>
        <w:pStyle w:val="ParaNumbering"/>
        <w:rPr>
          <w:lang w:eastAsia="en-AU"/>
        </w:rPr>
      </w:pPr>
      <w:r w:rsidRPr="00D97515">
        <w:rPr>
          <w:lang w:eastAsia="en-AU"/>
        </w:rPr>
        <w:t xml:space="preserve">Mr </w:t>
      </w:r>
      <w:proofErr w:type="spellStart"/>
      <w:r w:rsidRPr="00D97515">
        <w:rPr>
          <w:lang w:eastAsia="en-AU"/>
        </w:rPr>
        <w:t>Lewski’s</w:t>
      </w:r>
      <w:proofErr w:type="spellEnd"/>
      <w:r w:rsidRPr="00D97515">
        <w:rPr>
          <w:lang w:eastAsia="en-AU"/>
        </w:rPr>
        <w:t xml:space="preserve"> evidence was that the </w:t>
      </w:r>
      <w:r w:rsidR="00C948FC">
        <w:rPr>
          <w:lang w:eastAsia="en-AU"/>
        </w:rPr>
        <w:t>Applicant</w:t>
      </w:r>
      <w:r w:rsidRPr="00D97515">
        <w:rPr>
          <w:lang w:eastAsia="en-AU"/>
        </w:rPr>
        <w:t xml:space="preserve"> paid the invoices rendered by solicitors, barristers and accountants, including those relating to the litigation to which members of the </w:t>
      </w:r>
      <w:proofErr w:type="spellStart"/>
      <w:r w:rsidRPr="00D97515">
        <w:rPr>
          <w:lang w:eastAsia="en-AU"/>
        </w:rPr>
        <w:t>Lewski</w:t>
      </w:r>
      <w:proofErr w:type="spellEnd"/>
      <w:r w:rsidRPr="00D97515">
        <w:rPr>
          <w:lang w:eastAsia="en-AU"/>
        </w:rPr>
        <w:t xml:space="preserve"> </w:t>
      </w:r>
      <w:r w:rsidR="006D7FB4">
        <w:rPr>
          <w:lang w:eastAsia="en-AU"/>
        </w:rPr>
        <w:t>F</w:t>
      </w:r>
      <w:r w:rsidRPr="00D97515">
        <w:rPr>
          <w:lang w:eastAsia="en-AU"/>
        </w:rPr>
        <w:t xml:space="preserve">amily </w:t>
      </w:r>
      <w:r w:rsidR="006D7FB4">
        <w:rPr>
          <w:lang w:eastAsia="en-AU"/>
        </w:rPr>
        <w:t xml:space="preserve">Group </w:t>
      </w:r>
      <w:r w:rsidRPr="00D97515">
        <w:rPr>
          <w:lang w:eastAsia="en-AU"/>
        </w:rPr>
        <w:t xml:space="preserve">were parties.  Mr </w:t>
      </w:r>
      <w:proofErr w:type="spellStart"/>
      <w:r w:rsidRPr="00D97515">
        <w:rPr>
          <w:lang w:eastAsia="en-AU"/>
        </w:rPr>
        <w:t>Lewski’s</w:t>
      </w:r>
      <w:proofErr w:type="spellEnd"/>
      <w:r w:rsidRPr="00D97515">
        <w:rPr>
          <w:lang w:eastAsia="en-AU"/>
        </w:rPr>
        <w:t xml:space="preserve"> evidence was that the </w:t>
      </w:r>
      <w:r w:rsidR="00C948FC">
        <w:rPr>
          <w:lang w:eastAsia="en-AU"/>
        </w:rPr>
        <w:t>Applicant</w:t>
      </w:r>
      <w:r w:rsidRPr="00D97515">
        <w:rPr>
          <w:lang w:eastAsia="en-AU"/>
        </w:rPr>
        <w:t xml:space="preserve"> was authorised to “conduct” the litigation on behalf of those persons who were the parties to that litigation.  Although he had no specific recollection of any particular conversations with other members of the </w:t>
      </w:r>
      <w:proofErr w:type="spellStart"/>
      <w:r w:rsidRPr="00D97515">
        <w:rPr>
          <w:lang w:eastAsia="en-AU"/>
        </w:rPr>
        <w:t>Lewski</w:t>
      </w:r>
      <w:proofErr w:type="spellEnd"/>
      <w:r w:rsidRPr="00D97515">
        <w:rPr>
          <w:lang w:eastAsia="en-AU"/>
        </w:rPr>
        <w:t xml:space="preserve"> </w:t>
      </w:r>
      <w:r w:rsidR="00797AE9" w:rsidRPr="00D97515">
        <w:rPr>
          <w:lang w:eastAsia="en-AU"/>
        </w:rPr>
        <w:t>F</w:t>
      </w:r>
      <w:r w:rsidRPr="00D97515">
        <w:rPr>
          <w:lang w:eastAsia="en-AU"/>
        </w:rPr>
        <w:t xml:space="preserve">amily </w:t>
      </w:r>
      <w:r w:rsidR="00797AE9" w:rsidRPr="00D97515">
        <w:rPr>
          <w:lang w:eastAsia="en-AU"/>
        </w:rPr>
        <w:t>Group</w:t>
      </w:r>
      <w:r w:rsidRPr="00D97515">
        <w:rPr>
          <w:lang w:eastAsia="en-AU"/>
        </w:rPr>
        <w:t xml:space="preserve">, his recollection was that each member “approved of the </w:t>
      </w:r>
      <w:r w:rsidR="00C948FC">
        <w:rPr>
          <w:lang w:eastAsia="en-AU"/>
        </w:rPr>
        <w:t>[A]</w:t>
      </w:r>
      <w:proofErr w:type="spellStart"/>
      <w:r w:rsidRPr="00D97515">
        <w:rPr>
          <w:lang w:eastAsia="en-AU"/>
        </w:rPr>
        <w:t>pplicant</w:t>
      </w:r>
      <w:proofErr w:type="spellEnd"/>
      <w:r w:rsidRPr="00D97515">
        <w:rPr>
          <w:lang w:eastAsia="en-AU"/>
        </w:rPr>
        <w:t xml:space="preserve"> managing </w:t>
      </w:r>
      <w:r w:rsidR="006D7FB4">
        <w:rPr>
          <w:lang w:eastAsia="en-AU"/>
        </w:rPr>
        <w:t>[</w:t>
      </w:r>
      <w:r w:rsidRPr="00D97515">
        <w:rPr>
          <w:lang w:eastAsia="en-AU"/>
        </w:rPr>
        <w:t>the</w:t>
      </w:r>
      <w:r w:rsidR="006D7FB4">
        <w:rPr>
          <w:lang w:eastAsia="en-AU"/>
        </w:rPr>
        <w:t>]</w:t>
      </w:r>
      <w:r w:rsidRPr="00D97515">
        <w:rPr>
          <w:lang w:eastAsia="en-AU"/>
        </w:rPr>
        <w:t xml:space="preserve"> litigation”. </w:t>
      </w:r>
      <w:r w:rsidR="00CD6538" w:rsidRPr="00D97515">
        <w:rPr>
          <w:lang w:eastAsia="en-AU"/>
        </w:rPr>
        <w:t xml:space="preserve"> </w:t>
      </w:r>
      <w:r w:rsidRPr="00D97515">
        <w:rPr>
          <w:lang w:eastAsia="en-AU"/>
        </w:rPr>
        <w:t xml:space="preserve">All instructions to </w:t>
      </w:r>
      <w:r w:rsidR="0024549E" w:rsidRPr="00D97515">
        <w:rPr>
          <w:lang w:eastAsia="en-AU"/>
        </w:rPr>
        <w:t>the lawyers were provided by Mr </w:t>
      </w:r>
      <w:proofErr w:type="spellStart"/>
      <w:r w:rsidRPr="00D97515">
        <w:rPr>
          <w:lang w:eastAsia="en-AU"/>
        </w:rPr>
        <w:t>Lewski</w:t>
      </w:r>
      <w:proofErr w:type="spellEnd"/>
      <w:r w:rsidRPr="00D97515">
        <w:rPr>
          <w:lang w:eastAsia="en-AU"/>
        </w:rPr>
        <w:t xml:space="preserve">.  He considered </w:t>
      </w:r>
      <w:r w:rsidR="00CD4371" w:rsidRPr="00D97515">
        <w:rPr>
          <w:lang w:eastAsia="en-AU"/>
        </w:rPr>
        <w:t xml:space="preserve">that </w:t>
      </w:r>
      <w:r w:rsidRPr="00D97515">
        <w:rPr>
          <w:lang w:eastAsia="en-AU"/>
        </w:rPr>
        <w:t xml:space="preserve">he was providing those instructions “as a representative of the </w:t>
      </w:r>
      <w:r w:rsidR="00C948FC">
        <w:rPr>
          <w:lang w:eastAsia="en-AU"/>
        </w:rPr>
        <w:t>[A]</w:t>
      </w:r>
      <w:proofErr w:type="spellStart"/>
      <w:r w:rsidRPr="00D97515">
        <w:rPr>
          <w:lang w:eastAsia="en-AU"/>
        </w:rPr>
        <w:t>pplicant</w:t>
      </w:r>
      <w:proofErr w:type="spellEnd"/>
      <w:r w:rsidRPr="00D97515">
        <w:rPr>
          <w:lang w:eastAsia="en-AU"/>
        </w:rPr>
        <w:t>”.</w:t>
      </w:r>
    </w:p>
    <w:p w14:paraId="6E944849" w14:textId="16705739" w:rsidR="00C108ED" w:rsidRPr="00D97515" w:rsidRDefault="00C108ED" w:rsidP="00C94575">
      <w:pPr>
        <w:pStyle w:val="ParaNumbering"/>
        <w:rPr>
          <w:lang w:eastAsia="en-AU"/>
        </w:rPr>
      </w:pPr>
      <w:r w:rsidRPr="006D7FB4">
        <w:t xml:space="preserve">Mr </w:t>
      </w:r>
      <w:proofErr w:type="spellStart"/>
      <w:r w:rsidRPr="006D7FB4">
        <w:t>Lewski’s</w:t>
      </w:r>
      <w:proofErr w:type="spellEnd"/>
      <w:r w:rsidRPr="006D7FB4">
        <w:t xml:space="preserve"> evidence was that he gave instructions to the lawyers and made a strategic decision about whether and</w:t>
      </w:r>
      <w:r w:rsidR="00CD6538" w:rsidRPr="006D7FB4">
        <w:t>,</w:t>
      </w:r>
      <w:r w:rsidRPr="006D7FB4">
        <w:t xml:space="preserve"> if so</w:t>
      </w:r>
      <w:r w:rsidR="00CD6538" w:rsidRPr="006D7FB4">
        <w:t>,</w:t>
      </w:r>
      <w:r w:rsidRPr="006D7FB4">
        <w:t xml:space="preserve"> how to act on the advice.  He claimed to have received the advice from the barristers and lawyers on behalf of the </w:t>
      </w:r>
      <w:r w:rsidR="00C948FC">
        <w:t>Applicant</w:t>
      </w:r>
      <w:r w:rsidRPr="006D7FB4">
        <w:t xml:space="preserve"> and </w:t>
      </w:r>
      <w:r w:rsidR="00CD4371" w:rsidRPr="006D7FB4">
        <w:t xml:space="preserve">that </w:t>
      </w:r>
      <w:r w:rsidRPr="006D7FB4">
        <w:t xml:space="preserve">he, as representative of the </w:t>
      </w:r>
      <w:r w:rsidR="00C948FC">
        <w:t>Applicant</w:t>
      </w:r>
      <w:r w:rsidRPr="006D7FB4">
        <w:t>, “disseminated” that advice to the members of his family.</w:t>
      </w:r>
      <w:r w:rsidR="0094698E">
        <w:t xml:space="preserve">  </w:t>
      </w:r>
      <w:r w:rsidRPr="00D97515">
        <w:t xml:space="preserve">Mr </w:t>
      </w:r>
      <w:proofErr w:type="spellStart"/>
      <w:r w:rsidRPr="00D97515">
        <w:t>Lewski</w:t>
      </w:r>
      <w:proofErr w:type="spellEnd"/>
      <w:r w:rsidRPr="00D97515">
        <w:t xml:space="preserve"> gave oral evidence in this respect in the following terms:</w:t>
      </w:r>
    </w:p>
    <w:p w14:paraId="49A61520" w14:textId="70070C0D" w:rsidR="00C108ED" w:rsidRPr="00D97515" w:rsidRDefault="007F79BC" w:rsidP="00C108ED">
      <w:pPr>
        <w:pStyle w:val="Quote1"/>
      </w:pPr>
      <w:r w:rsidRPr="00D97515">
        <w:t>[</w:t>
      </w:r>
      <w:r w:rsidR="007568A6" w:rsidRPr="00D97515">
        <w:t>COUNSEL</w:t>
      </w:r>
      <w:r w:rsidR="00CD4371" w:rsidRPr="00D97515">
        <w:t xml:space="preserve"> FOR THE </w:t>
      </w:r>
      <w:r w:rsidR="0048502E">
        <w:t>APPLICANT</w:t>
      </w:r>
      <w:r w:rsidR="007568A6" w:rsidRPr="00D97515">
        <w:t>:</w:t>
      </w:r>
      <w:r w:rsidRPr="00D97515">
        <w:t>]</w:t>
      </w:r>
      <w:r w:rsidR="007568A6" w:rsidRPr="00D97515">
        <w:t xml:space="preserve"> </w:t>
      </w:r>
      <w:r w:rsidR="00C108ED" w:rsidRPr="00D97515">
        <w:t xml:space="preserve">Was there or was there not, Mr </w:t>
      </w:r>
      <w:proofErr w:type="spellStart"/>
      <w:r w:rsidR="00C108ED" w:rsidRPr="00D97515">
        <w:t>Lewski</w:t>
      </w:r>
      <w:proofErr w:type="spellEnd"/>
      <w:r w:rsidR="00C108ED" w:rsidRPr="00D97515">
        <w:t xml:space="preserve">, ever any formal conferral of authority on you or on </w:t>
      </w:r>
      <w:r w:rsidR="00C609E6">
        <w:t xml:space="preserve">[the </w:t>
      </w:r>
      <w:r w:rsidR="00C948FC">
        <w:t>Applicant</w:t>
      </w:r>
      <w:r w:rsidR="00C609E6">
        <w:t>]</w:t>
      </w:r>
      <w:r w:rsidR="00C108ED" w:rsidRPr="00D97515">
        <w:t xml:space="preserve"> by other </w:t>
      </w:r>
      <w:proofErr w:type="spellStart"/>
      <w:r w:rsidR="00C108ED" w:rsidRPr="00D97515">
        <w:t>Lewski</w:t>
      </w:r>
      <w:proofErr w:type="spellEnd"/>
      <w:r w:rsidR="00C108ED" w:rsidRPr="00D97515">
        <w:t xml:space="preserve"> Family Group individuals or corporate entities for </w:t>
      </w:r>
      <w:r w:rsidR="00C609E6" w:rsidRPr="00C609E6">
        <w:t xml:space="preserve">[the </w:t>
      </w:r>
      <w:r w:rsidR="00C948FC">
        <w:t>Applicant</w:t>
      </w:r>
      <w:r w:rsidR="00C609E6" w:rsidRPr="00C609E6">
        <w:t>]</w:t>
      </w:r>
      <w:r w:rsidR="00C108ED" w:rsidRPr="00D97515">
        <w:t xml:space="preserve"> to acquire services for the broader group</w:t>
      </w:r>
      <w:proofErr w:type="gramStart"/>
      <w:r w:rsidR="00C108ED" w:rsidRPr="00D97515">
        <w:t>?---</w:t>
      </w:r>
      <w:proofErr w:type="gramEnd"/>
      <w:r w:rsidR="00C108ED" w:rsidRPr="00D97515">
        <w:t>What do you mean by formal?</w:t>
      </w:r>
    </w:p>
    <w:p w14:paraId="0385492A" w14:textId="33A80F1C" w:rsidR="00C108ED" w:rsidRPr="00D97515" w:rsidRDefault="00C108ED" w:rsidP="00C108ED">
      <w:pPr>
        <w:pStyle w:val="Quote1"/>
        <w:rPr>
          <w:sz w:val="24"/>
          <w:lang w:eastAsia="en-AU"/>
        </w:rPr>
      </w:pPr>
      <w:r w:rsidRPr="00D97515">
        <w:t xml:space="preserve">Well, written, verbal, recorded. How did it work? Tell her Honour how it worked?---Your Honour, we’re </w:t>
      </w:r>
      <w:r w:rsidR="00C94575">
        <w:t>—</w:t>
      </w:r>
      <w:r w:rsidRPr="00D97515">
        <w:t xml:space="preserve"> we’re a tight</w:t>
      </w:r>
      <w:r w:rsidR="00E136C5">
        <w:t>‑</w:t>
      </w:r>
      <w:r w:rsidRPr="00D97515">
        <w:t xml:space="preserve">knit family, and as </w:t>
      </w:r>
      <w:r w:rsidR="0048502E">
        <w:t>—</w:t>
      </w:r>
      <w:r w:rsidR="0048502E" w:rsidRPr="00D97515">
        <w:t xml:space="preserve"> </w:t>
      </w:r>
      <w:r w:rsidRPr="00D97515">
        <w:t xml:space="preserve">as a family business and conducting family businesses, I </w:t>
      </w:r>
      <w:r w:rsidR="0048502E">
        <w:t>—</w:t>
      </w:r>
      <w:r w:rsidR="0048502E" w:rsidRPr="00D97515">
        <w:t xml:space="preserve"> </w:t>
      </w:r>
      <w:r w:rsidRPr="00D97515">
        <w:t xml:space="preserve">I was obviously more experienced, skilled and knowledge </w:t>
      </w:r>
      <w:r w:rsidR="006C2965" w:rsidRPr="00D97515">
        <w:t>[</w:t>
      </w:r>
      <w:r w:rsidR="0048502E">
        <w:t>sic</w:t>
      </w:r>
      <w:r w:rsidR="006C2965" w:rsidRPr="00D97515">
        <w:t xml:space="preserve">] </w:t>
      </w:r>
      <w:r w:rsidRPr="00D97515">
        <w:t xml:space="preserve">than any other members of the family, but I always communicated with whomever was involved and however they were to be involved with activities that related to what they were doing and what </w:t>
      </w:r>
      <w:r w:rsidR="00C609E6" w:rsidRPr="00C609E6">
        <w:t xml:space="preserve">[the </w:t>
      </w:r>
      <w:r w:rsidR="00C948FC">
        <w:t>Applicant</w:t>
      </w:r>
      <w:r w:rsidR="00C609E6" w:rsidRPr="00C609E6">
        <w:t>]</w:t>
      </w:r>
      <w:r w:rsidRPr="00D97515">
        <w:t xml:space="preserve"> as trustee of the trust needed to support them with, whether it be advice, compliance work or accounting services, etcetera. It </w:t>
      </w:r>
      <w:r w:rsidR="00C94575">
        <w:t>—</w:t>
      </w:r>
      <w:r w:rsidRPr="00D97515">
        <w:t xml:space="preserve"> it was a range of activities over a long period of time, and in the course of family dealings, things are done informally. Each member of the family that was involved either dealt with me on a day</w:t>
      </w:r>
      <w:r w:rsidR="00E136C5">
        <w:t>‑</w:t>
      </w:r>
      <w:r w:rsidRPr="00D97515">
        <w:t>to</w:t>
      </w:r>
      <w:r w:rsidR="00E136C5">
        <w:t>‑</w:t>
      </w:r>
      <w:r w:rsidRPr="00D97515">
        <w:t xml:space="preserve">day basis in our office, because we work in the same offices, or at home at the dinner table whenever a matter arose and I </w:t>
      </w:r>
      <w:r w:rsidRPr="00D97515">
        <w:lastRenderedPageBreak/>
        <w:t>needed to communicate something if I hadn’t spoken to them during the day. It was what I would say oral, but you say oral is formal. I would have said informal.</w:t>
      </w:r>
    </w:p>
    <w:p w14:paraId="2B549040" w14:textId="77777777" w:rsidR="00C108ED" w:rsidRPr="00D97515" w:rsidRDefault="00C108ED" w:rsidP="00C108ED">
      <w:pPr>
        <w:pStyle w:val="ParaNumbering"/>
        <w:rPr>
          <w:lang w:eastAsia="en-AU"/>
        </w:rPr>
      </w:pPr>
      <w:r w:rsidRPr="00D97515">
        <w:t>And later:</w:t>
      </w:r>
    </w:p>
    <w:p w14:paraId="662E9F5F" w14:textId="70B26DB1" w:rsidR="00C108ED" w:rsidRPr="00D97515" w:rsidRDefault="00474F5C" w:rsidP="00C108ED">
      <w:pPr>
        <w:pStyle w:val="Quote1"/>
        <w:rPr>
          <w:sz w:val="20"/>
        </w:rPr>
      </w:pPr>
      <w:r w:rsidRPr="00D97515">
        <w:t xml:space="preserve">[COUNSEL FOR THE </w:t>
      </w:r>
      <w:r w:rsidR="00C94575">
        <w:t>APPLICANT</w:t>
      </w:r>
      <w:r w:rsidRPr="00D97515">
        <w:t>:]</w:t>
      </w:r>
      <w:r w:rsidR="007F79BC" w:rsidRPr="00D97515">
        <w:t xml:space="preserve"> </w:t>
      </w:r>
      <w:r w:rsidR="00C108ED" w:rsidRPr="00D97515">
        <w:t xml:space="preserve">And what did you do with the advice once </w:t>
      </w:r>
      <w:r w:rsidR="00C609E6" w:rsidRPr="00C609E6">
        <w:t xml:space="preserve">[the </w:t>
      </w:r>
      <w:r w:rsidR="00C948FC">
        <w:t>Applicant</w:t>
      </w:r>
      <w:r w:rsidR="00C609E6" w:rsidRPr="00C609E6">
        <w:t>]</w:t>
      </w:r>
      <w:r w:rsidR="00C108ED" w:rsidRPr="00D97515">
        <w:t xml:space="preserve"> received it</w:t>
      </w:r>
      <w:proofErr w:type="gramStart"/>
      <w:r w:rsidR="00C108ED" w:rsidRPr="00D97515">
        <w:t>?---</w:t>
      </w:r>
      <w:proofErr w:type="gramEnd"/>
      <w:r w:rsidR="00C108ED" w:rsidRPr="00D97515">
        <w:t xml:space="preserve">Well, I dealt with the advice, formulated whatever actions needed to be taken, including </w:t>
      </w:r>
      <w:proofErr w:type="spellStart"/>
      <w:r w:rsidR="00C108ED" w:rsidRPr="00D97515">
        <w:t>strategising</w:t>
      </w:r>
      <w:proofErr w:type="spellEnd"/>
      <w:r w:rsidR="00C108ED" w:rsidRPr="00D97515">
        <w:t xml:space="preserve">, consulting with the lawyers and then instructing them and, at the same time, advising any member of the group that was affected, at what stage we were up to and what was happening. </w:t>
      </w:r>
    </w:p>
    <w:p w14:paraId="407B0022" w14:textId="5D76F306" w:rsidR="00C108ED" w:rsidRPr="00D97515" w:rsidRDefault="00C108ED" w:rsidP="00474F5C">
      <w:pPr>
        <w:pStyle w:val="Quote1"/>
      </w:pPr>
      <w:r w:rsidRPr="00D97515">
        <w:t xml:space="preserve">And what happened after the group members were advised? Did they make decisions or tell you what to do or did you tell them what to do or how did </w:t>
      </w:r>
      <w:r w:rsidR="00474F5C" w:rsidRPr="00D97515">
        <w:t xml:space="preserve">… </w:t>
      </w:r>
      <w:r w:rsidRPr="00D97515">
        <w:t>the decision</w:t>
      </w:r>
      <w:r w:rsidR="00E136C5">
        <w:t>‑</w:t>
      </w:r>
      <w:r w:rsidRPr="00D97515">
        <w:t>ma</w:t>
      </w:r>
      <w:r w:rsidR="0094698E">
        <w:t>king get implemented</w:t>
      </w:r>
      <w:proofErr w:type="gramStart"/>
      <w:r w:rsidR="0094698E">
        <w:t>?---</w:t>
      </w:r>
      <w:proofErr w:type="gramEnd"/>
      <w:r w:rsidR="0094698E">
        <w:t xml:space="preserve">Well </w:t>
      </w:r>
      <w:r w:rsidR="00C94575">
        <w:t>…</w:t>
      </w:r>
      <w:r w:rsidRPr="00D97515">
        <w:t xml:space="preserve"> the word I heard before was “disseminate”. I disseminated the information and the final determinations that were decided between the lawyers and myself, told them what they meant in respect of their particular circumstance and said to them, “This is the way I believe we need to move forward and deal with these matters,” and they acquiesced, again, in oral communications.</w:t>
      </w:r>
    </w:p>
    <w:p w14:paraId="49C0FDCE" w14:textId="6CD9DEF8" w:rsidR="00C108ED" w:rsidRPr="00D97515" w:rsidRDefault="00C108ED" w:rsidP="00C108ED">
      <w:pPr>
        <w:pStyle w:val="ParaNumbering"/>
        <w:rPr>
          <w:lang w:eastAsia="en-AU"/>
        </w:rPr>
      </w:pPr>
      <w:r w:rsidRPr="00D97515">
        <w:t>In cross</w:t>
      </w:r>
      <w:r w:rsidR="006B2F5D">
        <w:t>‐</w:t>
      </w:r>
      <w:r w:rsidRPr="00D97515">
        <w:t xml:space="preserve">examination, Mr </w:t>
      </w:r>
      <w:proofErr w:type="spellStart"/>
      <w:r w:rsidRPr="00D97515">
        <w:t>Lewski</w:t>
      </w:r>
      <w:proofErr w:type="spellEnd"/>
      <w:r w:rsidRPr="00D97515">
        <w:t xml:space="preserve"> said (emphasis added):</w:t>
      </w:r>
    </w:p>
    <w:p w14:paraId="0BD59F6E" w14:textId="3222317E" w:rsidR="00C108ED" w:rsidRPr="00D97515" w:rsidRDefault="00474F5C" w:rsidP="00C108ED">
      <w:pPr>
        <w:pStyle w:val="Quote1"/>
        <w:rPr>
          <w:sz w:val="20"/>
        </w:rPr>
      </w:pPr>
      <w:r w:rsidRPr="00D97515">
        <w:t>[COUNSEL FOR THE COMMISSIONER:]</w:t>
      </w:r>
      <w:r w:rsidR="006C2965" w:rsidRPr="00D97515">
        <w:t xml:space="preserve"> </w:t>
      </w:r>
      <w:r w:rsidR="00C108ED" w:rsidRPr="00D97515">
        <w:t>What I’m trying to understand, Mr</w:t>
      </w:r>
      <w:r w:rsidRPr="00D97515">
        <w:t> </w:t>
      </w:r>
      <w:proofErr w:type="spellStart"/>
      <w:r w:rsidR="00C108ED" w:rsidRPr="00D97515">
        <w:t>Lewski</w:t>
      </w:r>
      <w:proofErr w:type="spellEnd"/>
      <w:r w:rsidR="00C108ED" w:rsidRPr="00D97515">
        <w:t xml:space="preserve">, is exactly what services you say </w:t>
      </w:r>
      <w:r w:rsidR="00C609E6" w:rsidRPr="00C609E6">
        <w:t xml:space="preserve">[the </w:t>
      </w:r>
      <w:r w:rsidR="00C948FC">
        <w:t>Applicant</w:t>
      </w:r>
      <w:r w:rsidR="00C609E6" w:rsidRPr="00C609E6">
        <w:t>]</w:t>
      </w:r>
      <w:r w:rsidR="00C108ED" w:rsidRPr="00D97515">
        <w:t xml:space="preserve"> was providing to members of the </w:t>
      </w:r>
      <w:proofErr w:type="spellStart"/>
      <w:r w:rsidR="00C108ED" w:rsidRPr="00D97515">
        <w:t>Lewski</w:t>
      </w:r>
      <w:proofErr w:type="spellEnd"/>
      <w:r w:rsidR="00C108ED" w:rsidRPr="00D97515">
        <w:t xml:space="preserve"> Family Group when it paid for the legal costs of those members of the </w:t>
      </w:r>
      <w:proofErr w:type="spellStart"/>
      <w:r w:rsidR="00C108ED" w:rsidRPr="00D97515">
        <w:t>Lewski</w:t>
      </w:r>
      <w:proofErr w:type="spellEnd"/>
      <w:r w:rsidR="00C108ED" w:rsidRPr="00D97515">
        <w:t xml:space="preserve"> Family Group?---It provided advice</w:t>
      </w:r>
      <w:r w:rsidR="00C108ED" w:rsidRPr="00D97515">
        <w:rPr>
          <w:sz w:val="20"/>
        </w:rPr>
        <w:t xml:space="preserve"> </w:t>
      </w:r>
      <w:r w:rsidR="00C108ED" w:rsidRPr="00D97515">
        <w:t xml:space="preserve">and services related to </w:t>
      </w:r>
      <w:proofErr w:type="spellStart"/>
      <w:r w:rsidR="00C108ED" w:rsidRPr="00D97515">
        <w:t>strategising</w:t>
      </w:r>
      <w:proofErr w:type="spellEnd"/>
      <w:r w:rsidR="00C108ED" w:rsidRPr="00D97515">
        <w:t xml:space="preserve"> ensuring that their solvency could be maintained for those that were defendants; those members, entities or individuals, that were defendants and, on the other hand, for those that were plaintiffs, again, advising them and telling them exactly what was decided in terms of the legal process as it was evolving from time to time.</w:t>
      </w:r>
    </w:p>
    <w:p w14:paraId="1D51FF67" w14:textId="27243D06" w:rsidR="00C108ED" w:rsidRPr="00D97515" w:rsidRDefault="00C108ED" w:rsidP="00C108ED">
      <w:pPr>
        <w:pStyle w:val="Quote1"/>
      </w:pPr>
      <w:r w:rsidRPr="00D97515">
        <w:t xml:space="preserve">When you say that </w:t>
      </w:r>
      <w:r w:rsidR="00C609E6" w:rsidRPr="00C609E6">
        <w:t xml:space="preserve">[the </w:t>
      </w:r>
      <w:r w:rsidR="00C948FC">
        <w:t>Applicant</w:t>
      </w:r>
      <w:r w:rsidR="00C609E6" w:rsidRPr="00C609E6">
        <w:t>]</w:t>
      </w:r>
      <w:r w:rsidRPr="00D97515">
        <w:t xml:space="preserve"> was advising them about the legal processes, that advice was actually being provided directly to the parties of the litigation by the law firms concerned, wasn’t it?---No.</w:t>
      </w:r>
    </w:p>
    <w:p w14:paraId="6DBFCDFC" w14:textId="256B80F6" w:rsidR="00C108ED" w:rsidRPr="00D97515" w:rsidRDefault="00C108ED" w:rsidP="00C108ED">
      <w:pPr>
        <w:pStyle w:val="Quote1"/>
      </w:pPr>
      <w:r w:rsidRPr="00D97515">
        <w:t>The law firms were not performing services on behalf of the litigants to the - - -</w:t>
      </w:r>
      <w:proofErr w:type="gramStart"/>
      <w:r w:rsidRPr="00D97515">
        <w:t>?---</w:t>
      </w:r>
      <w:proofErr w:type="gramEnd"/>
      <w:r w:rsidRPr="00D97515">
        <w:t>You said providing advices directly to them and they weren’t.</w:t>
      </w:r>
    </w:p>
    <w:p w14:paraId="724E25E5" w14:textId="49C6B42C" w:rsidR="00C108ED" w:rsidRPr="006E3AF9" w:rsidRDefault="00C108ED" w:rsidP="00C108ED">
      <w:pPr>
        <w:pStyle w:val="Quote1"/>
        <w:rPr>
          <w:i/>
        </w:rPr>
      </w:pPr>
      <w:r w:rsidRPr="00D97515">
        <w:t xml:space="preserve">The advice </w:t>
      </w:r>
      <w:r w:rsidR="006B2F5D">
        <w:t>—</w:t>
      </w:r>
      <w:r w:rsidRPr="00D97515">
        <w:t xml:space="preserve"> when you use the expression “directly” in that context, are you talking about physically receiving a piece of advice that c</w:t>
      </w:r>
      <w:r w:rsidR="0024549E" w:rsidRPr="00D97515">
        <w:t xml:space="preserve">oncerns the affairs of another </w:t>
      </w:r>
      <w:r w:rsidRPr="00D97515">
        <w:t xml:space="preserve">party? Is that what </w:t>
      </w:r>
      <w:r w:rsidR="00C609E6" w:rsidRPr="00C609E6">
        <w:t xml:space="preserve">[the </w:t>
      </w:r>
      <w:r w:rsidR="00C948FC">
        <w:t>Applicant</w:t>
      </w:r>
      <w:r w:rsidR="00C609E6" w:rsidRPr="00C609E6">
        <w:t>]</w:t>
      </w:r>
      <w:r w:rsidRPr="00D97515">
        <w:t>’s role was limited to</w:t>
      </w:r>
      <w:proofErr w:type="gramStart"/>
      <w:r w:rsidRPr="00D97515">
        <w:t>?---</w:t>
      </w:r>
      <w:proofErr w:type="gramEnd"/>
      <w:r w:rsidRPr="00D97515">
        <w:t xml:space="preserve">I’m sorry. You’re confusing me now. What I’m trying to say is that, as I understood your question to be, the lawyers were providing advice directly to the plaintiff entities or the defendants and defendant entities of the various litigation matters during the period. </w:t>
      </w:r>
      <w:r w:rsidRPr="006E3AF9">
        <w:rPr>
          <w:i/>
        </w:rPr>
        <w:t>A</w:t>
      </w:r>
      <w:r w:rsidRPr="00D97515">
        <w:rPr>
          <w:i/>
        </w:rPr>
        <w:t xml:space="preserve">nd the answer to that is no, unless they needed to call for individuals to become witnesses for any proceedings, their advice was to </w:t>
      </w:r>
      <w:r w:rsidR="00C609E6" w:rsidRPr="0094698E">
        <w:t>[</w:t>
      </w:r>
      <w:r w:rsidR="00C609E6" w:rsidRPr="00C609E6">
        <w:rPr>
          <w:i/>
        </w:rPr>
        <w:t xml:space="preserve">the </w:t>
      </w:r>
      <w:r w:rsidR="00C948FC">
        <w:rPr>
          <w:i/>
        </w:rPr>
        <w:t>Applicant</w:t>
      </w:r>
      <w:r w:rsidR="0094698E">
        <w:t>]</w:t>
      </w:r>
      <w:r w:rsidRPr="00D97515">
        <w:rPr>
          <w:i/>
        </w:rPr>
        <w:t xml:space="preserve">. </w:t>
      </w:r>
      <w:r w:rsidR="0094698E">
        <w:t>[</w:t>
      </w:r>
      <w:r w:rsidR="00C609E6">
        <w:rPr>
          <w:i/>
        </w:rPr>
        <w:t>T</w:t>
      </w:r>
      <w:r w:rsidR="00C609E6" w:rsidRPr="00C609E6">
        <w:rPr>
          <w:i/>
        </w:rPr>
        <w:t xml:space="preserve">he </w:t>
      </w:r>
      <w:r w:rsidR="00C948FC">
        <w:rPr>
          <w:i/>
        </w:rPr>
        <w:t>Applicant</w:t>
      </w:r>
      <w:r w:rsidR="0094698E">
        <w:t>]</w:t>
      </w:r>
      <w:r w:rsidRPr="00D97515">
        <w:rPr>
          <w:i/>
        </w:rPr>
        <w:t>, in turn, informed and advised each of the parties that were associated to the proceedings of what was happening and how it was happening as matters evolved.</w:t>
      </w:r>
    </w:p>
    <w:p w14:paraId="3B10AB04" w14:textId="5DFB8B55" w:rsidR="00C108ED" w:rsidRPr="00D97515" w:rsidRDefault="00C108ED" w:rsidP="00C108ED">
      <w:pPr>
        <w:pStyle w:val="Quote1"/>
      </w:pPr>
      <w:r w:rsidRPr="00D97515">
        <w:t>Perhaps we’re at cross</w:t>
      </w:r>
      <w:r w:rsidR="00E136C5">
        <w:t>‑</w:t>
      </w:r>
      <w:r w:rsidRPr="00D97515">
        <w:t xml:space="preserve">purposes, Mr </w:t>
      </w:r>
      <w:proofErr w:type="spellStart"/>
      <w:r w:rsidRPr="00D97515">
        <w:t>Lewski</w:t>
      </w:r>
      <w:proofErr w:type="spellEnd"/>
      <w:r w:rsidRPr="00D97515">
        <w:t xml:space="preserve">, and I apologise for confusing you. The role that you’ve just described when you say that </w:t>
      </w:r>
      <w:r w:rsidR="00C609E6" w:rsidRPr="00C609E6">
        <w:t xml:space="preserve">[the </w:t>
      </w:r>
      <w:r w:rsidR="00C948FC">
        <w:t>Applicant</w:t>
      </w:r>
      <w:r w:rsidR="00C609E6" w:rsidRPr="00C609E6">
        <w:t>]</w:t>
      </w:r>
      <w:r w:rsidRPr="00D97515">
        <w:t xml:space="preserve"> was having the advice provided to it: was </w:t>
      </w:r>
      <w:r w:rsidR="00C609E6" w:rsidRPr="00C609E6">
        <w:t xml:space="preserve">[the </w:t>
      </w:r>
      <w:r w:rsidR="00C948FC">
        <w:t>Applicant</w:t>
      </w:r>
      <w:r w:rsidR="00C609E6" w:rsidRPr="00C609E6">
        <w:t>]</w:t>
      </w:r>
      <w:r w:rsidRPr="00D97515">
        <w:t xml:space="preserve"> the conduit for receiving advice that actually concerned the other members of the </w:t>
      </w:r>
      <w:proofErr w:type="spellStart"/>
      <w:r w:rsidRPr="00D97515">
        <w:t>Lewski</w:t>
      </w:r>
      <w:proofErr w:type="spellEnd"/>
      <w:r w:rsidRPr="00D97515">
        <w:t xml:space="preserve"> Family Group</w:t>
      </w:r>
      <w:proofErr w:type="gramStart"/>
      <w:r w:rsidRPr="00D97515">
        <w:t>?---</w:t>
      </w:r>
      <w:proofErr w:type="gramEnd"/>
      <w:r w:rsidRPr="00D97515">
        <w:t>Yes.</w:t>
      </w:r>
    </w:p>
    <w:p w14:paraId="097D96CB" w14:textId="24D6D3A4" w:rsidR="00C108ED" w:rsidRPr="00D97515" w:rsidRDefault="00C108ED" w:rsidP="00C108ED">
      <w:pPr>
        <w:pStyle w:val="Quote1"/>
      </w:pPr>
      <w:r w:rsidRPr="00D97515">
        <w:t>So its role was simply as conduit. It wasn’t actually advising personally</w:t>
      </w:r>
      <w:proofErr w:type="gramStart"/>
      <w:r w:rsidRPr="00D97515">
        <w:t>?---</w:t>
      </w:r>
      <w:proofErr w:type="gramEnd"/>
      <w:r w:rsidRPr="00D97515">
        <w:t xml:space="preserve">No, it was. It was advising, consulting, </w:t>
      </w:r>
      <w:proofErr w:type="spellStart"/>
      <w:r w:rsidRPr="00D97515">
        <w:t>strategising</w:t>
      </w:r>
      <w:proofErr w:type="spellEnd"/>
      <w:r w:rsidRPr="00D97515">
        <w:t xml:space="preserve">. I mean, I engaged </w:t>
      </w:r>
      <w:r w:rsidR="006E3AF9">
        <w:t>—</w:t>
      </w:r>
      <w:r w:rsidRPr="00D97515">
        <w:t xml:space="preserve"> </w:t>
      </w:r>
      <w:r w:rsidR="00C609E6" w:rsidRPr="00C609E6">
        <w:t xml:space="preserve">[the </w:t>
      </w:r>
      <w:r w:rsidR="00C948FC">
        <w:t>Applicant</w:t>
      </w:r>
      <w:r w:rsidR="00C609E6" w:rsidRPr="00C609E6">
        <w:t>]</w:t>
      </w:r>
      <w:r w:rsidRPr="00D97515">
        <w:t xml:space="preserve"> selected lawyers, instructed the lawyers, advised and </w:t>
      </w:r>
      <w:proofErr w:type="spellStart"/>
      <w:r w:rsidRPr="00D97515">
        <w:t>strategised</w:t>
      </w:r>
      <w:proofErr w:type="spellEnd"/>
      <w:r w:rsidRPr="00D97515">
        <w:t xml:space="preserve"> and even sacked lawyers from </w:t>
      </w:r>
      <w:r w:rsidRPr="00D97515">
        <w:lastRenderedPageBreak/>
        <w:t xml:space="preserve">time to time if they weren’t aligned with the strategies that </w:t>
      </w:r>
      <w:r w:rsidR="00C609E6" w:rsidRPr="00C609E6">
        <w:t xml:space="preserve">[the </w:t>
      </w:r>
      <w:r w:rsidR="00C948FC">
        <w:t>Applicant</w:t>
      </w:r>
      <w:r w:rsidR="00C609E6" w:rsidRPr="00C609E6">
        <w:t>]</w:t>
      </w:r>
      <w:r w:rsidRPr="00D97515">
        <w:t xml:space="preserve"> wanted adopted. So that’s not true at all.</w:t>
      </w:r>
    </w:p>
    <w:p w14:paraId="320E9129" w14:textId="77777777" w:rsidR="00C108ED" w:rsidRPr="00D97515" w:rsidRDefault="00C108ED" w:rsidP="006E3AF9">
      <w:pPr>
        <w:pStyle w:val="ParaNumbering"/>
      </w:pPr>
      <w:r w:rsidRPr="00D97515">
        <w:t>And later:</w:t>
      </w:r>
    </w:p>
    <w:p w14:paraId="73E39A33" w14:textId="1D0E2EB2" w:rsidR="00C108ED" w:rsidRPr="00D97515" w:rsidRDefault="002900FD" w:rsidP="00C108ED">
      <w:pPr>
        <w:pStyle w:val="Quote1"/>
      </w:pPr>
      <w:r w:rsidRPr="00D97515">
        <w:t>[COUNSEL FOR THE COMMISSIONER:]</w:t>
      </w:r>
      <w:r w:rsidR="006C2965" w:rsidRPr="00D97515">
        <w:t xml:space="preserve"> </w:t>
      </w:r>
      <w:r w:rsidR="00C108ED" w:rsidRPr="00D97515">
        <w:t>What was the arrangement, as you understood it, with respect to the legal services that were being performed by the law firms in relation to litigation</w:t>
      </w:r>
      <w:proofErr w:type="gramStart"/>
      <w:r w:rsidR="00C108ED" w:rsidRPr="00D97515">
        <w:t>?---</w:t>
      </w:r>
      <w:proofErr w:type="gramEnd"/>
      <w:r w:rsidR="00C108ED" w:rsidRPr="00D97515">
        <w:t xml:space="preserve">What do I understand - - - </w:t>
      </w:r>
    </w:p>
    <w:p w14:paraId="7D9F7B3A" w14:textId="79D04A69" w:rsidR="00C108ED" w:rsidRPr="00D97515" w:rsidRDefault="00C108ED" w:rsidP="00C108ED">
      <w:pPr>
        <w:pStyle w:val="Quote1"/>
      </w:pPr>
      <w:r w:rsidRPr="00D97515">
        <w:t xml:space="preserve">Was </w:t>
      </w:r>
      <w:r w:rsidR="00C609E6" w:rsidRPr="00C609E6">
        <w:t xml:space="preserve">[the </w:t>
      </w:r>
      <w:r w:rsidR="00C948FC">
        <w:t>Applicant</w:t>
      </w:r>
      <w:r w:rsidR="00C609E6" w:rsidRPr="00C609E6">
        <w:t>]</w:t>
      </w:r>
      <w:r w:rsidRPr="00D97515">
        <w:t xml:space="preserve"> acquiring the legal services - - -</w:t>
      </w:r>
      <w:proofErr w:type="gramStart"/>
      <w:r w:rsidRPr="00D97515">
        <w:t>?---</w:t>
      </w:r>
      <w:proofErr w:type="gramEnd"/>
      <w:r w:rsidRPr="00D97515">
        <w:t>Yes. Yes.</w:t>
      </w:r>
    </w:p>
    <w:p w14:paraId="6A476511" w14:textId="55580CDA" w:rsidR="00C108ED" w:rsidRPr="00D97515" w:rsidRDefault="00C108ED" w:rsidP="00C108ED">
      <w:pPr>
        <w:pStyle w:val="Quote1"/>
      </w:pPr>
      <w:r w:rsidRPr="00D97515">
        <w:t>- - - and then on</w:t>
      </w:r>
      <w:r w:rsidR="00E136C5">
        <w:t>‑</w:t>
      </w:r>
      <w:r w:rsidRPr="00D97515">
        <w:t xml:space="preserve">supplying the litigation services to the members of the </w:t>
      </w:r>
      <w:proofErr w:type="spellStart"/>
      <w:r w:rsidRPr="00D97515">
        <w:t>Lewski</w:t>
      </w:r>
      <w:proofErr w:type="spellEnd"/>
      <w:r w:rsidRPr="00D97515">
        <w:t xml:space="preserve"> Family Group?---</w:t>
      </w:r>
      <w:r w:rsidRPr="00D97515">
        <w:rPr>
          <w:i/>
        </w:rPr>
        <w:t xml:space="preserve">It was providing services to the members of the </w:t>
      </w:r>
      <w:proofErr w:type="spellStart"/>
      <w:r w:rsidRPr="00D97515">
        <w:rPr>
          <w:i/>
        </w:rPr>
        <w:t>Lewski</w:t>
      </w:r>
      <w:proofErr w:type="spellEnd"/>
      <w:r w:rsidRPr="00D97515">
        <w:rPr>
          <w:i/>
        </w:rPr>
        <w:t xml:space="preserve"> Family Group which may have, in part, included legal advice that </w:t>
      </w:r>
      <w:r w:rsidR="0094698E">
        <w:t>[</w:t>
      </w:r>
      <w:r w:rsidR="00C609E6" w:rsidRPr="00C609E6">
        <w:rPr>
          <w:i/>
        </w:rPr>
        <w:t xml:space="preserve">the </w:t>
      </w:r>
      <w:r w:rsidR="00C948FC">
        <w:rPr>
          <w:i/>
        </w:rPr>
        <w:t>Applicant</w:t>
      </w:r>
      <w:r w:rsidR="0094698E">
        <w:t>]</w:t>
      </w:r>
      <w:r w:rsidRPr="00D97515">
        <w:rPr>
          <w:i/>
        </w:rPr>
        <w:t xml:space="preserve"> received in its direct form or in a modified form, depending on what </w:t>
      </w:r>
      <w:r w:rsidR="0094698E">
        <w:t>[</w:t>
      </w:r>
      <w:r w:rsidR="00C609E6" w:rsidRPr="00C609E6">
        <w:rPr>
          <w:i/>
        </w:rPr>
        <w:t xml:space="preserve">the </w:t>
      </w:r>
      <w:r w:rsidR="00C948FC">
        <w:rPr>
          <w:i/>
        </w:rPr>
        <w:t>Applicant</w:t>
      </w:r>
      <w:r w:rsidR="0094698E">
        <w:t>]</w:t>
      </w:r>
      <w:r w:rsidRPr="00D97515">
        <w:rPr>
          <w:i/>
        </w:rPr>
        <w:t xml:space="preserve"> made of the advice.</w:t>
      </w:r>
    </w:p>
    <w:p w14:paraId="4FFD26E6" w14:textId="7075ADC5" w:rsidR="00C108ED" w:rsidRPr="00D97515" w:rsidRDefault="00C108ED" w:rsidP="0024549E">
      <w:pPr>
        <w:pStyle w:val="Quote1"/>
      </w:pPr>
      <w:r w:rsidRPr="00D97515">
        <w:t xml:space="preserve">Put aside legal advice as an example and think about activities performed in litigation. So the drawing of an affidavit. You’re saying that, in the context of litigation, that work was performed for </w:t>
      </w:r>
      <w:r w:rsidR="00C609E6" w:rsidRPr="00C609E6">
        <w:t xml:space="preserve">[the </w:t>
      </w:r>
      <w:r w:rsidR="00C948FC">
        <w:t>Applicant</w:t>
      </w:r>
      <w:r w:rsidR="00C609E6" w:rsidRPr="00C609E6">
        <w:t>]</w:t>
      </w:r>
      <w:r w:rsidRPr="00D97515">
        <w:t xml:space="preserve"> and not the parties to the litigation</w:t>
      </w:r>
      <w:proofErr w:type="gramStart"/>
      <w:r w:rsidRPr="00D97515">
        <w:t>?---</w:t>
      </w:r>
      <w:proofErr w:type="gramEnd"/>
      <w:r w:rsidRPr="00D97515">
        <w:t xml:space="preserve">It was performed under the instruction of </w:t>
      </w:r>
      <w:r w:rsidR="00C609E6" w:rsidRPr="00C609E6">
        <w:t xml:space="preserve">[the </w:t>
      </w:r>
      <w:r w:rsidR="00C948FC">
        <w:t>Applicant</w:t>
      </w:r>
      <w:r w:rsidR="00C609E6" w:rsidRPr="00C609E6">
        <w:t>]</w:t>
      </w:r>
      <w:r w:rsidRPr="00D97515">
        <w:t xml:space="preserve"> for the purposes of the litigation, and it was performed by the lawyers that were engaged to do so.</w:t>
      </w:r>
    </w:p>
    <w:p w14:paraId="3DCA2AB5" w14:textId="5654AFDD" w:rsidR="00C108ED" w:rsidRPr="00D97515" w:rsidRDefault="00C108ED" w:rsidP="00C108ED">
      <w:pPr>
        <w:pStyle w:val="ParaNumbering"/>
        <w:rPr>
          <w:lang w:eastAsia="en-AU"/>
        </w:rPr>
      </w:pPr>
      <w:r w:rsidRPr="00D97515">
        <w:t>In cross</w:t>
      </w:r>
      <w:r w:rsidR="00E136C5">
        <w:t>‑</w:t>
      </w:r>
      <w:r w:rsidRPr="00D97515">
        <w:t>examination</w:t>
      </w:r>
      <w:r w:rsidR="00426203" w:rsidRPr="00D97515">
        <w:t>,</w:t>
      </w:r>
      <w:r w:rsidRPr="00D97515">
        <w:t xml:space="preserve"> Mr </w:t>
      </w:r>
      <w:proofErr w:type="spellStart"/>
      <w:r w:rsidRPr="00D97515">
        <w:t>Lewski</w:t>
      </w:r>
      <w:proofErr w:type="spellEnd"/>
      <w:r w:rsidRPr="00D97515">
        <w:t xml:space="preserve"> said of the Litigation Funding Agreements:</w:t>
      </w:r>
    </w:p>
    <w:p w14:paraId="0FD543D7" w14:textId="7A954E18" w:rsidR="00C108ED" w:rsidRPr="00D97515" w:rsidRDefault="006C2965" w:rsidP="00C108ED">
      <w:pPr>
        <w:pStyle w:val="Quote1"/>
      </w:pPr>
      <w:r w:rsidRPr="00D97515">
        <w:t>[T]</w:t>
      </w:r>
      <w:r w:rsidR="00C108ED" w:rsidRPr="00D97515">
        <w:t xml:space="preserve">he litigation funding arrangements </w:t>
      </w:r>
      <w:r w:rsidR="006E3AF9">
        <w:t>—</w:t>
      </w:r>
      <w:r w:rsidR="00C108ED" w:rsidRPr="00D97515">
        <w:t xml:space="preserve"> and that’s kind of a misnomer. It really is an engagement for services arrangement. [The </w:t>
      </w:r>
      <w:r w:rsidR="00C948FC">
        <w:t>Applicant</w:t>
      </w:r>
      <w:r w:rsidR="00C108ED" w:rsidRPr="00D97515">
        <w:t>] coordinated all the ensuing litigation that emanated out of the APCHL liquidation where individual members might have been defendants or joined as defendants in any of the proceedings.</w:t>
      </w:r>
    </w:p>
    <w:p w14:paraId="039839AB" w14:textId="257850D6" w:rsidR="00C108ED" w:rsidRPr="00D97515" w:rsidRDefault="00C108ED" w:rsidP="001B13DD">
      <w:pPr>
        <w:pStyle w:val="ParaNumbering"/>
      </w:pPr>
      <w:r w:rsidRPr="00D97515">
        <w:t>And later</w:t>
      </w:r>
      <w:r w:rsidR="00797AE9" w:rsidRPr="00D97515">
        <w:t xml:space="preserve"> (emphasis added)</w:t>
      </w:r>
      <w:r w:rsidRPr="00D97515">
        <w:t>:</w:t>
      </w:r>
    </w:p>
    <w:p w14:paraId="01E90F32" w14:textId="54288B25" w:rsidR="00C108ED" w:rsidRPr="00D97515" w:rsidRDefault="00FB0133" w:rsidP="00C108ED">
      <w:pPr>
        <w:pStyle w:val="Quote1"/>
      </w:pPr>
      <w:r w:rsidRPr="00D97515">
        <w:t xml:space="preserve">[COUNSEL FOR THE COMMISSIONER:] </w:t>
      </w:r>
      <w:r w:rsidR="00C108ED" w:rsidRPr="00D97515">
        <w:t xml:space="preserve">Now, I think earlier in your answers you had said that the </w:t>
      </w:r>
      <w:r w:rsidR="00593F48">
        <w:t>L</w:t>
      </w:r>
      <w:r w:rsidR="00C108ED" w:rsidRPr="00D97515">
        <w:t xml:space="preserve">itigation </w:t>
      </w:r>
      <w:r w:rsidR="00593F48">
        <w:t>F</w:t>
      </w:r>
      <w:r w:rsidR="00C108ED" w:rsidRPr="00D97515">
        <w:t xml:space="preserve">unding </w:t>
      </w:r>
      <w:r w:rsidR="00593F48">
        <w:t>A</w:t>
      </w:r>
      <w:r w:rsidR="00C108ED" w:rsidRPr="00D97515">
        <w:t>greements weren’t really litigation funding agreements, they were services agreements</w:t>
      </w:r>
      <w:proofErr w:type="gramStart"/>
      <w:r w:rsidR="00C108ED" w:rsidRPr="00D97515">
        <w:t>?---</w:t>
      </w:r>
      <w:proofErr w:type="gramEnd"/>
      <w:r w:rsidR="00C108ED" w:rsidRPr="00D97515">
        <w:t xml:space="preserve">Well, engagements for services agreements, yes. </w:t>
      </w:r>
    </w:p>
    <w:p w14:paraId="64F89BDF" w14:textId="16EA5E12" w:rsidR="00C108ED" w:rsidRPr="00D97515" w:rsidRDefault="00C108ED" w:rsidP="00C108ED">
      <w:pPr>
        <w:pStyle w:val="Quote1"/>
      </w:pPr>
      <w:r w:rsidRPr="00D97515">
        <w:t xml:space="preserve">Is that to say that you didn’t consider that the </w:t>
      </w:r>
      <w:r w:rsidR="00C948FC">
        <w:t>Applicant</w:t>
      </w:r>
      <w:r w:rsidR="0094698E">
        <w:t xml:space="preserve"> </w:t>
      </w:r>
      <w:r w:rsidR="00C609E6">
        <w:t>…</w:t>
      </w:r>
      <w:r w:rsidRPr="00D97515">
        <w:t xml:space="preserve"> was carrying on a business of being a litigation funder</w:t>
      </w:r>
      <w:proofErr w:type="gramStart"/>
      <w:r w:rsidRPr="00D97515">
        <w:t>?---</w:t>
      </w:r>
      <w:proofErr w:type="gramEnd"/>
      <w:r w:rsidRPr="00D97515">
        <w:t xml:space="preserve">What I’m saying is it carried on the business of managing all the litigation that emanated from APCHL and the family members that would be affected in the event that if they were found to be liable in any of their proceedings it would affect the ability for the plaintiff entities to retain the proceeds that it would be entitled to. So by way of example: if </w:t>
      </w:r>
      <w:r w:rsidR="00547E15">
        <w:t xml:space="preserve">[Mrs </w:t>
      </w:r>
      <w:r w:rsidRPr="00D97515">
        <w:t xml:space="preserve">Roslyn </w:t>
      </w:r>
      <w:proofErr w:type="spellStart"/>
      <w:r w:rsidR="00547E15">
        <w:t>Lewski</w:t>
      </w:r>
      <w:proofErr w:type="spellEnd"/>
      <w:r w:rsidR="00547E15">
        <w:t xml:space="preserve">] </w:t>
      </w:r>
      <w:r w:rsidRPr="00D97515">
        <w:t>went bankrupt, she’s a beneficiary of a trust; if I went bankrupt; if the boys went bankrupt, it would open up the asset protection that otherwise wouldn’t be afforded to them if their proceedings were defended, so that whatever proceeds were received would be then unfettered by a trustee in bankruptcy stepping into the shoes of the various entities.</w:t>
      </w:r>
    </w:p>
    <w:p w14:paraId="52C8976F" w14:textId="7ABC3341" w:rsidR="00C108ED" w:rsidRPr="00D97515" w:rsidRDefault="00C108ED" w:rsidP="00C108ED">
      <w:pPr>
        <w:pStyle w:val="Quote1"/>
      </w:pPr>
      <w:r w:rsidRPr="00D97515">
        <w:t xml:space="preserve">Sorry, Mr </w:t>
      </w:r>
      <w:proofErr w:type="spellStart"/>
      <w:r w:rsidRPr="00D97515">
        <w:t>Lewski</w:t>
      </w:r>
      <w:proofErr w:type="spellEnd"/>
      <w:r w:rsidRPr="00D97515">
        <w:t>, you might have to explain that to me again</w:t>
      </w:r>
      <w:proofErr w:type="gramStart"/>
      <w:r w:rsidRPr="00D97515">
        <w:t>?---</w:t>
      </w:r>
      <w:proofErr w:type="gramEnd"/>
      <w:r w:rsidRPr="00D97515">
        <w:t>The entities that were entitled to proceeds also had as ownership interests family members. If the family members were found liable in other causes of action then they may become bankrupt and if they were bankrupt then the trustee in bankruptcy would have entitlement to the entities that were receiving proceeds, the benefit of those proceeds.</w:t>
      </w:r>
    </w:p>
    <w:p w14:paraId="16FF42DA" w14:textId="07BBBBCE" w:rsidR="00C108ED" w:rsidRPr="00D97515" w:rsidRDefault="00C108ED" w:rsidP="00C108ED">
      <w:pPr>
        <w:pStyle w:val="Quote1"/>
      </w:pPr>
      <w:r w:rsidRPr="00D97515">
        <w:t xml:space="preserve">So when you say that, you’re saying that the </w:t>
      </w:r>
      <w:r w:rsidR="00593F48">
        <w:t>L</w:t>
      </w:r>
      <w:r w:rsidRPr="00D97515">
        <w:t xml:space="preserve">itigation </w:t>
      </w:r>
      <w:r w:rsidR="00593F48">
        <w:t>F</w:t>
      </w:r>
      <w:r w:rsidRPr="00D97515">
        <w:t xml:space="preserve">unding </w:t>
      </w:r>
      <w:r w:rsidR="00593F48">
        <w:t>A</w:t>
      </w:r>
      <w:r w:rsidRPr="00D97515">
        <w:t xml:space="preserve">greements were the way of protecting the assets of the </w:t>
      </w:r>
      <w:proofErr w:type="spellStart"/>
      <w:r w:rsidRPr="00D97515">
        <w:t>Lewski</w:t>
      </w:r>
      <w:proofErr w:type="spellEnd"/>
      <w:r w:rsidRPr="00D97515">
        <w:t xml:space="preserve"> Family Group</w:t>
      </w:r>
      <w:proofErr w:type="gramStart"/>
      <w:r w:rsidRPr="00D97515">
        <w:t>?---</w:t>
      </w:r>
      <w:proofErr w:type="gramEnd"/>
      <w:r w:rsidRPr="0094698E">
        <w:rPr>
          <w:i/>
        </w:rPr>
        <w:t>W</w:t>
      </w:r>
      <w:r w:rsidRPr="00D97515">
        <w:rPr>
          <w:i/>
        </w:rPr>
        <w:t>hat I’m saying to you is that the coordination of all the litigation unde</w:t>
      </w:r>
      <w:r w:rsidR="00253AC4">
        <w:rPr>
          <w:i/>
        </w:rPr>
        <w:t>r the control of the A</w:t>
      </w:r>
      <w:r w:rsidRPr="00D97515">
        <w:rPr>
          <w:i/>
        </w:rPr>
        <w:t xml:space="preserve">pplicant was the </w:t>
      </w:r>
      <w:r w:rsidRPr="00D97515">
        <w:rPr>
          <w:i/>
        </w:rPr>
        <w:lastRenderedPageBreak/>
        <w:t xml:space="preserve">form of protection. The </w:t>
      </w:r>
      <w:r w:rsidR="0094698E">
        <w:t>[</w:t>
      </w:r>
      <w:r w:rsidR="00593F48">
        <w:rPr>
          <w:i/>
        </w:rPr>
        <w:t>Litigation Funding Agreements</w:t>
      </w:r>
      <w:r w:rsidR="0094698E">
        <w:t>]</w:t>
      </w:r>
      <w:r w:rsidRPr="00D97515">
        <w:rPr>
          <w:i/>
        </w:rPr>
        <w:t xml:space="preserve"> were supposed to memorialise what in fact was in practice for a number of years already such that there would be a formal record of some sort to point to so that the situation of proceeds being received and returned to </w:t>
      </w:r>
      <w:r w:rsidR="00C609E6" w:rsidRPr="0094698E">
        <w:t>[</w:t>
      </w:r>
      <w:r w:rsidR="00C609E6" w:rsidRPr="00C609E6">
        <w:rPr>
          <w:i/>
        </w:rPr>
        <w:t xml:space="preserve">the </w:t>
      </w:r>
      <w:r w:rsidR="00C948FC">
        <w:rPr>
          <w:i/>
        </w:rPr>
        <w:t>Applicant</w:t>
      </w:r>
      <w:r w:rsidR="00C609E6" w:rsidRPr="0094698E">
        <w:t>]</w:t>
      </w:r>
      <w:r w:rsidRPr="00D97515">
        <w:rPr>
          <w:i/>
        </w:rPr>
        <w:t xml:space="preserve"> could be explained.</w:t>
      </w:r>
    </w:p>
    <w:p w14:paraId="59B46B1A" w14:textId="11826D64" w:rsidR="00C108ED" w:rsidRPr="00D97515" w:rsidRDefault="00C108ED" w:rsidP="00B61561">
      <w:pPr>
        <w:pStyle w:val="ParaNumbering"/>
      </w:pPr>
      <w:r w:rsidRPr="00D97515">
        <w:t xml:space="preserve">In oral evidence, Mr </w:t>
      </w:r>
      <w:proofErr w:type="spellStart"/>
      <w:r w:rsidRPr="00D97515">
        <w:t>Lewski</w:t>
      </w:r>
      <w:proofErr w:type="spellEnd"/>
      <w:r w:rsidRPr="00D97515">
        <w:t xml:space="preserve"> provided further context to the Litigation Funding Agreement in respect of wh</w:t>
      </w:r>
      <w:r w:rsidR="00010797" w:rsidRPr="00D97515">
        <w:t xml:space="preserve">ich </w:t>
      </w:r>
      <w:proofErr w:type="spellStart"/>
      <w:r w:rsidR="00B61561" w:rsidRPr="00B61561">
        <w:t>Daytree</w:t>
      </w:r>
      <w:proofErr w:type="spellEnd"/>
      <w:r w:rsidR="00B61561" w:rsidRPr="00B61561">
        <w:t xml:space="preserve"> </w:t>
      </w:r>
      <w:r w:rsidR="00010797" w:rsidRPr="00D97515">
        <w:t>was the Beneficiary</w:t>
      </w:r>
      <w:r w:rsidRPr="00D97515">
        <w:t xml:space="preserve">.  </w:t>
      </w:r>
      <w:r w:rsidRPr="00D97515">
        <w:rPr>
          <w:lang w:eastAsia="en-AU"/>
        </w:rPr>
        <w:t xml:space="preserve">The proceedings involved claims by members of the </w:t>
      </w:r>
      <w:proofErr w:type="spellStart"/>
      <w:r w:rsidRPr="00D97515">
        <w:rPr>
          <w:lang w:eastAsia="en-AU"/>
        </w:rPr>
        <w:t>Lewski</w:t>
      </w:r>
      <w:proofErr w:type="spellEnd"/>
      <w:r w:rsidRPr="00D97515">
        <w:rPr>
          <w:lang w:eastAsia="en-AU"/>
        </w:rPr>
        <w:t xml:space="preserve"> Family Group against the liquidators for unpaid debts owed by the trustee company and the enforcement of security over particular assets of the trust.  </w:t>
      </w:r>
      <w:proofErr w:type="spellStart"/>
      <w:r w:rsidRPr="00D97515">
        <w:rPr>
          <w:lang w:eastAsia="en-AU"/>
        </w:rPr>
        <w:t>Daytree</w:t>
      </w:r>
      <w:proofErr w:type="spellEnd"/>
      <w:r w:rsidRPr="00D97515">
        <w:rPr>
          <w:lang w:eastAsia="en-AU"/>
        </w:rPr>
        <w:t xml:space="preserve"> claimed an entitlement to security to the value of $5m in the Australian Financial Services Licence that was held by the trustee company in respect of a loan made by </w:t>
      </w:r>
      <w:proofErr w:type="spellStart"/>
      <w:r w:rsidRPr="00D97515">
        <w:rPr>
          <w:lang w:eastAsia="en-AU"/>
        </w:rPr>
        <w:t>Daytree</w:t>
      </w:r>
      <w:proofErr w:type="spellEnd"/>
      <w:r w:rsidRPr="00D97515">
        <w:rPr>
          <w:lang w:eastAsia="en-AU"/>
        </w:rPr>
        <w:t xml:space="preserve">.  The $5m had since been recovered and </w:t>
      </w:r>
      <w:proofErr w:type="spellStart"/>
      <w:r w:rsidRPr="00D97515">
        <w:rPr>
          <w:lang w:eastAsia="en-AU"/>
        </w:rPr>
        <w:t>Daytree</w:t>
      </w:r>
      <w:proofErr w:type="spellEnd"/>
      <w:r w:rsidRPr="00D97515">
        <w:rPr>
          <w:lang w:eastAsia="en-AU"/>
        </w:rPr>
        <w:t xml:space="preserve"> and other members of the </w:t>
      </w:r>
      <w:proofErr w:type="spellStart"/>
      <w:r w:rsidRPr="00D97515">
        <w:rPr>
          <w:lang w:eastAsia="en-AU"/>
        </w:rPr>
        <w:t>Lewski</w:t>
      </w:r>
      <w:proofErr w:type="spellEnd"/>
      <w:r w:rsidRPr="00D97515">
        <w:rPr>
          <w:lang w:eastAsia="en-AU"/>
        </w:rPr>
        <w:t xml:space="preserve"> Family Group had lodged proofs of debts with the liquidators of the trustee company in respect of moneys still owed over and above that $5m.  A deed of settlement had been entered into with the liquidator and Mr </w:t>
      </w:r>
      <w:proofErr w:type="spellStart"/>
      <w:r w:rsidRPr="00D97515">
        <w:rPr>
          <w:lang w:eastAsia="en-AU"/>
        </w:rPr>
        <w:t>Lewski</w:t>
      </w:r>
      <w:proofErr w:type="spellEnd"/>
      <w:r w:rsidRPr="00D97515">
        <w:rPr>
          <w:lang w:eastAsia="en-AU"/>
        </w:rPr>
        <w:t xml:space="preserve"> believed there would be a return to the members of the </w:t>
      </w:r>
      <w:proofErr w:type="spellStart"/>
      <w:r w:rsidRPr="00D97515">
        <w:rPr>
          <w:lang w:eastAsia="en-AU"/>
        </w:rPr>
        <w:t>Lewski</w:t>
      </w:r>
      <w:proofErr w:type="spellEnd"/>
      <w:r w:rsidRPr="00D97515">
        <w:rPr>
          <w:lang w:eastAsia="en-AU"/>
        </w:rPr>
        <w:t xml:space="preserve"> Family Group.</w:t>
      </w:r>
    </w:p>
    <w:p w14:paraId="240342AD" w14:textId="12CE747B" w:rsidR="00785C99" w:rsidRPr="00785C99" w:rsidRDefault="00C108ED" w:rsidP="00785C99">
      <w:pPr>
        <w:pStyle w:val="ParaNumbering"/>
      </w:pPr>
      <w:r w:rsidRPr="00D97515">
        <w:t xml:space="preserve">I accept that Mr </w:t>
      </w:r>
      <w:proofErr w:type="spellStart"/>
      <w:r w:rsidRPr="00D97515">
        <w:t>Lewski</w:t>
      </w:r>
      <w:proofErr w:type="spellEnd"/>
      <w:r w:rsidRPr="00D97515">
        <w:t xml:space="preserve"> was the directing mind of the </w:t>
      </w:r>
      <w:r w:rsidR="00C948FC">
        <w:t>Applicant</w:t>
      </w:r>
      <w:r w:rsidRPr="00D97515">
        <w:t xml:space="preserve">, irrespective of whether he held the office of director or not.  As the directing mind of the </w:t>
      </w:r>
      <w:r w:rsidR="00C948FC">
        <w:t>Applicant</w:t>
      </w:r>
      <w:r w:rsidRPr="00D97515">
        <w:t>, evidence of his state of mind is relevant</w:t>
      </w:r>
      <w:r w:rsidR="005D463B" w:rsidRPr="00D97515">
        <w:t>:</w:t>
      </w:r>
      <w:r w:rsidRPr="00D97515">
        <w:t xml:space="preserve"> </w:t>
      </w:r>
      <w:r w:rsidRPr="00785C99">
        <w:rPr>
          <w:i/>
        </w:rPr>
        <w:t>Allied Pastoral</w:t>
      </w:r>
      <w:r w:rsidR="00797AE9" w:rsidRPr="003674A6">
        <w:rPr>
          <w:i/>
        </w:rPr>
        <w:t xml:space="preserve"> Holdings Pty Ltd v Commissioner of Taxation </w:t>
      </w:r>
      <w:r w:rsidR="00962A19">
        <w:t>[</w:t>
      </w:r>
      <w:r w:rsidR="00797AE9" w:rsidRPr="003674A6">
        <w:t>1983</w:t>
      </w:r>
      <w:r w:rsidR="00962A19">
        <w:t>]</w:t>
      </w:r>
      <w:r w:rsidR="00797AE9" w:rsidRPr="003674A6">
        <w:t xml:space="preserve"> 1</w:t>
      </w:r>
      <w:r w:rsidR="003674A6">
        <w:t> </w:t>
      </w:r>
      <w:r w:rsidR="00797AE9" w:rsidRPr="003674A6">
        <w:t xml:space="preserve">NSWLR 1 </w:t>
      </w:r>
      <w:r w:rsidRPr="00962A19">
        <w:t xml:space="preserve">at </w:t>
      </w:r>
      <w:r w:rsidR="00437FA3" w:rsidRPr="003674A6">
        <w:t>5</w:t>
      </w:r>
      <w:r w:rsidR="00E464A2" w:rsidRPr="003674A6">
        <w:t xml:space="preserve"> (Hunt J)</w:t>
      </w:r>
      <w:r w:rsidRPr="00D97515">
        <w:t>.</w:t>
      </w:r>
      <w:r w:rsidR="004B4A54" w:rsidRPr="00D97515">
        <w:t xml:space="preserve">  I accept that Mr </w:t>
      </w:r>
      <w:proofErr w:type="spellStart"/>
      <w:r w:rsidR="004B4A54" w:rsidRPr="00D97515">
        <w:t>Lewski</w:t>
      </w:r>
      <w:proofErr w:type="spellEnd"/>
      <w:r w:rsidR="004B4A54" w:rsidRPr="00D97515">
        <w:t xml:space="preserve"> sought to co</w:t>
      </w:r>
      <w:r w:rsidR="00E136C5">
        <w:t>‑</w:t>
      </w:r>
      <w:r w:rsidR="004B4A54" w:rsidRPr="00D97515">
        <w:t xml:space="preserve">ordinate the direction of complex interrelated litigation and that he directed the strategy for the conduct of that litigation.  I also accept Mr </w:t>
      </w:r>
      <w:proofErr w:type="spellStart"/>
      <w:r w:rsidR="004B4A54" w:rsidRPr="00D97515">
        <w:t>Lewski’s</w:t>
      </w:r>
      <w:proofErr w:type="spellEnd"/>
      <w:r w:rsidR="004B4A54" w:rsidRPr="00D97515">
        <w:t xml:space="preserve"> evidence that he believed that having litigation proceeds paid to the </w:t>
      </w:r>
      <w:r w:rsidR="00C948FC">
        <w:t>Applicant</w:t>
      </w:r>
      <w:r w:rsidR="004B4A54" w:rsidRPr="00D97515">
        <w:t xml:space="preserve"> rather than individuals might insulate the proceeds from the claims of future creditors against those individuals.  I </w:t>
      </w:r>
      <w:r w:rsidR="004B4A54" w:rsidRPr="00785C99">
        <w:rPr>
          <w:szCs w:val="24"/>
        </w:rPr>
        <w:t xml:space="preserve">accept </w:t>
      </w:r>
      <w:r w:rsidR="00483436" w:rsidRPr="00785C99">
        <w:rPr>
          <w:szCs w:val="24"/>
        </w:rPr>
        <w:t xml:space="preserve">that </w:t>
      </w:r>
      <w:r w:rsidR="004B4A54" w:rsidRPr="00785C99">
        <w:rPr>
          <w:szCs w:val="24"/>
        </w:rPr>
        <w:t xml:space="preserve">Mr </w:t>
      </w:r>
      <w:proofErr w:type="spellStart"/>
      <w:r w:rsidR="004B4A54" w:rsidRPr="00785C99">
        <w:rPr>
          <w:szCs w:val="24"/>
        </w:rPr>
        <w:t>Lewski</w:t>
      </w:r>
      <w:proofErr w:type="spellEnd"/>
      <w:r w:rsidR="004B4A54" w:rsidRPr="00785C99">
        <w:rPr>
          <w:szCs w:val="24"/>
        </w:rPr>
        <w:t xml:space="preserve"> instructed the lawyers acting for members of the </w:t>
      </w:r>
      <w:proofErr w:type="spellStart"/>
      <w:r w:rsidR="004B4A54" w:rsidRPr="00785C99">
        <w:rPr>
          <w:szCs w:val="24"/>
        </w:rPr>
        <w:t>Lewski</w:t>
      </w:r>
      <w:proofErr w:type="spellEnd"/>
      <w:r w:rsidR="004B4A54" w:rsidRPr="00785C99">
        <w:rPr>
          <w:szCs w:val="24"/>
        </w:rPr>
        <w:t xml:space="preserve"> </w:t>
      </w:r>
      <w:r w:rsidR="00F46F0D" w:rsidRPr="00785C99">
        <w:rPr>
          <w:szCs w:val="24"/>
        </w:rPr>
        <w:t>F</w:t>
      </w:r>
      <w:r w:rsidR="004B4A54" w:rsidRPr="00785C99">
        <w:rPr>
          <w:szCs w:val="24"/>
        </w:rPr>
        <w:t xml:space="preserve">amily </w:t>
      </w:r>
      <w:r w:rsidR="00F46F0D" w:rsidRPr="00785C99">
        <w:rPr>
          <w:szCs w:val="24"/>
        </w:rPr>
        <w:t>G</w:t>
      </w:r>
      <w:r w:rsidR="004B4A54" w:rsidRPr="00785C99">
        <w:rPr>
          <w:szCs w:val="24"/>
        </w:rPr>
        <w:t xml:space="preserve">roup.  I accept that Mr </w:t>
      </w:r>
      <w:proofErr w:type="spellStart"/>
      <w:r w:rsidR="004B4A54" w:rsidRPr="00785C99">
        <w:rPr>
          <w:szCs w:val="24"/>
        </w:rPr>
        <w:t>Lewski</w:t>
      </w:r>
      <w:proofErr w:type="spellEnd"/>
      <w:r w:rsidR="004B4A54" w:rsidRPr="00785C99">
        <w:rPr>
          <w:szCs w:val="24"/>
        </w:rPr>
        <w:t xml:space="preserve"> was the party to whom the lawyers conveyed their advice and that he made strategic decisions concerning whether to accept advice given by the lawyers.  I also accept that the </w:t>
      </w:r>
      <w:r w:rsidR="00C948FC">
        <w:rPr>
          <w:szCs w:val="24"/>
        </w:rPr>
        <w:t>Applicant</w:t>
      </w:r>
      <w:r w:rsidR="004B4A54" w:rsidRPr="00785C99">
        <w:rPr>
          <w:szCs w:val="24"/>
        </w:rPr>
        <w:t xml:space="preserve"> paid the invoices rendered by the professional service providers.</w:t>
      </w:r>
    </w:p>
    <w:p w14:paraId="564FBBC3" w14:textId="383CD720" w:rsidR="00C108ED" w:rsidRPr="00E20E12" w:rsidRDefault="00C108ED" w:rsidP="00785C99">
      <w:pPr>
        <w:pStyle w:val="ParaNumbering"/>
        <w:rPr>
          <w:szCs w:val="24"/>
          <w:shd w:val="clear" w:color="auto" w:fill="FFFFFF"/>
        </w:rPr>
      </w:pPr>
      <w:r w:rsidRPr="00D97515">
        <w:t>However</w:t>
      </w:r>
      <w:r w:rsidR="00483436">
        <w:t>,</w:t>
      </w:r>
      <w:r w:rsidRPr="00D97515">
        <w:t xml:space="preserve"> I attach little weight to the evidence of Mr </w:t>
      </w:r>
      <w:proofErr w:type="spellStart"/>
      <w:r w:rsidRPr="00D97515">
        <w:t>Lewski’s</w:t>
      </w:r>
      <w:proofErr w:type="spellEnd"/>
      <w:r w:rsidRPr="00D97515">
        <w:t xml:space="preserve"> </w:t>
      </w:r>
      <w:r w:rsidRPr="00785C99">
        <w:rPr>
          <w:i/>
        </w:rPr>
        <w:t>ex post</w:t>
      </w:r>
      <w:r w:rsidR="00F46F0D" w:rsidRPr="00785C99">
        <w:rPr>
          <w:i/>
        </w:rPr>
        <w:t xml:space="preserve"> facto</w:t>
      </w:r>
      <w:r w:rsidRPr="00785C99">
        <w:rPr>
          <w:i/>
        </w:rPr>
        <w:t xml:space="preserve"> </w:t>
      </w:r>
      <w:r w:rsidRPr="00D97515">
        <w:t>understanding of the capacity in which he gave instructions and received advice</w:t>
      </w:r>
      <w:r w:rsidR="00520187" w:rsidRPr="00D97515">
        <w:t>,</w:t>
      </w:r>
      <w:r w:rsidRPr="00D97515">
        <w:t xml:space="preserve"> or to his characterisation of the operations of the </w:t>
      </w:r>
      <w:r w:rsidR="00C948FC">
        <w:t>Applicant</w:t>
      </w:r>
      <w:r w:rsidRPr="00D97515">
        <w:t xml:space="preserve"> in so far as they related to the issues in this case.  There are a number of difficulties with Mr </w:t>
      </w:r>
      <w:proofErr w:type="spellStart"/>
      <w:r w:rsidRPr="00D97515">
        <w:t>Lewski’s</w:t>
      </w:r>
      <w:proofErr w:type="spellEnd"/>
      <w:r w:rsidRPr="00D97515">
        <w:t xml:space="preserve"> evidence.  First, </w:t>
      </w:r>
      <w:r w:rsidRPr="00785C99">
        <w:rPr>
          <w:szCs w:val="24"/>
        </w:rPr>
        <w:t xml:space="preserve">much of his evidence was </w:t>
      </w:r>
      <w:proofErr w:type="spellStart"/>
      <w:r w:rsidRPr="00785C99">
        <w:rPr>
          <w:szCs w:val="24"/>
        </w:rPr>
        <w:t>conclusionary</w:t>
      </w:r>
      <w:proofErr w:type="spellEnd"/>
      <w:r w:rsidRPr="00785C99">
        <w:rPr>
          <w:szCs w:val="24"/>
        </w:rPr>
        <w:t xml:space="preserve"> or argumentative in form.  The evidence approached that described by Dixon J (as he then was) in</w:t>
      </w:r>
      <w:r w:rsidR="00483436" w:rsidRPr="00785C99">
        <w:rPr>
          <w:szCs w:val="24"/>
        </w:rPr>
        <w:t xml:space="preserve"> </w:t>
      </w:r>
      <w:proofErr w:type="gramStart"/>
      <w:r w:rsidRPr="00785C99">
        <w:rPr>
          <w:i/>
          <w:szCs w:val="24"/>
        </w:rPr>
        <w:t>Williams</w:t>
      </w:r>
      <w:proofErr w:type="gramEnd"/>
      <w:r w:rsidRPr="00785C99">
        <w:rPr>
          <w:i/>
          <w:szCs w:val="24"/>
        </w:rPr>
        <w:t xml:space="preserve"> v Lloyd</w:t>
      </w:r>
      <w:r w:rsidR="00674923" w:rsidRPr="00785C99">
        <w:rPr>
          <w:szCs w:val="24"/>
        </w:rPr>
        <w:t xml:space="preserve"> </w:t>
      </w:r>
      <w:r w:rsidRPr="00785C99">
        <w:rPr>
          <w:szCs w:val="24"/>
        </w:rPr>
        <w:t>(1934) 50 CLR 341</w:t>
      </w:r>
      <w:r w:rsidRPr="00E20E12">
        <w:rPr>
          <w:szCs w:val="24"/>
        </w:rPr>
        <w:t xml:space="preserve"> at</w:t>
      </w:r>
      <w:r w:rsidR="00674923" w:rsidRPr="00E20E12">
        <w:rPr>
          <w:szCs w:val="24"/>
        </w:rPr>
        <w:t xml:space="preserve"> </w:t>
      </w:r>
      <w:r w:rsidRPr="00E20E12">
        <w:rPr>
          <w:szCs w:val="24"/>
        </w:rPr>
        <w:t>371:</w:t>
      </w:r>
      <w:r w:rsidR="00785C99" w:rsidRPr="00E20E12">
        <w:rPr>
          <w:szCs w:val="24"/>
        </w:rPr>
        <w:t xml:space="preserve"> “</w:t>
      </w:r>
      <w:r w:rsidR="003674A6" w:rsidRPr="00E20E12">
        <w:rPr>
          <w:szCs w:val="24"/>
        </w:rPr>
        <w:t>[</w:t>
      </w:r>
      <w:r w:rsidR="003674A6" w:rsidRPr="00E20E12">
        <w:rPr>
          <w:i/>
          <w:szCs w:val="24"/>
        </w:rPr>
        <w:t>e</w:t>
      </w:r>
      <w:r w:rsidR="003674A6" w:rsidRPr="00E20E12">
        <w:rPr>
          <w:szCs w:val="24"/>
        </w:rPr>
        <w:t>]</w:t>
      </w:r>
      <w:r w:rsidRPr="00E20E12">
        <w:rPr>
          <w:i/>
          <w:szCs w:val="24"/>
        </w:rPr>
        <w:t>x post facto</w:t>
      </w:r>
      <w:r w:rsidR="00674923" w:rsidRPr="00E20E12">
        <w:rPr>
          <w:i/>
          <w:szCs w:val="24"/>
        </w:rPr>
        <w:t xml:space="preserve"> </w:t>
      </w:r>
      <w:r w:rsidRPr="00E20E12">
        <w:rPr>
          <w:szCs w:val="24"/>
          <w:shd w:val="clear" w:color="auto" w:fill="FFFFFF"/>
        </w:rPr>
        <w:t>statements of a narrative order are not admissible upon the state of mind at a past date of the person who makes them</w:t>
      </w:r>
      <w:r w:rsidR="00785C99" w:rsidRPr="00E20E12">
        <w:rPr>
          <w:szCs w:val="24"/>
          <w:shd w:val="clear" w:color="auto" w:fill="FFFFFF"/>
        </w:rPr>
        <w:t>”</w:t>
      </w:r>
      <w:r w:rsidRPr="00E20E12">
        <w:rPr>
          <w:szCs w:val="24"/>
          <w:shd w:val="clear" w:color="auto" w:fill="FFFFFF"/>
        </w:rPr>
        <w:t>.</w:t>
      </w:r>
    </w:p>
    <w:p w14:paraId="4BE3111D" w14:textId="5C85C627" w:rsidR="00C108ED" w:rsidRPr="00D97515" w:rsidRDefault="00C108ED" w:rsidP="00BA23D2">
      <w:pPr>
        <w:pStyle w:val="ParaNumbering"/>
        <w:rPr>
          <w:shd w:val="clear" w:color="auto" w:fill="FFFFFF"/>
        </w:rPr>
      </w:pPr>
      <w:r w:rsidRPr="00D97515">
        <w:rPr>
          <w:shd w:val="clear" w:color="auto" w:fill="FFFFFF"/>
        </w:rPr>
        <w:lastRenderedPageBreak/>
        <w:t xml:space="preserve">Second, Mr </w:t>
      </w:r>
      <w:proofErr w:type="spellStart"/>
      <w:r w:rsidRPr="00D97515">
        <w:rPr>
          <w:shd w:val="clear" w:color="auto" w:fill="FFFFFF"/>
        </w:rPr>
        <w:t>Lewski’s</w:t>
      </w:r>
      <w:proofErr w:type="spellEnd"/>
      <w:r w:rsidRPr="00D97515">
        <w:rPr>
          <w:shd w:val="clear" w:color="auto" w:fill="FFFFFF"/>
        </w:rPr>
        <w:t xml:space="preserve"> evidence was also self</w:t>
      </w:r>
      <w:r w:rsidR="00E136C5">
        <w:rPr>
          <w:shd w:val="clear" w:color="auto" w:fill="FFFFFF"/>
        </w:rPr>
        <w:t>‑</w:t>
      </w:r>
      <w:r w:rsidRPr="00D97515">
        <w:rPr>
          <w:shd w:val="clear" w:color="auto" w:fill="FFFFFF"/>
        </w:rPr>
        <w:t xml:space="preserve">serving and uncorroborated by contemporaneous documentary evidence.  The evidence of witnesses who have interests that turn on whether their evidence is accepted needs to be approached critically and will necessarily be the subject of careful scrutiny. </w:t>
      </w:r>
      <w:r w:rsidR="00BC0CD1" w:rsidRPr="00D97515">
        <w:rPr>
          <w:shd w:val="clear" w:color="auto" w:fill="FFFFFF"/>
        </w:rPr>
        <w:t xml:space="preserve"> </w:t>
      </w:r>
      <w:r w:rsidRPr="00D97515">
        <w:rPr>
          <w:shd w:val="clear" w:color="auto" w:fill="FFFFFF"/>
        </w:rPr>
        <w:t>Although evidence that may be described as “self</w:t>
      </w:r>
      <w:r w:rsidR="00E136C5">
        <w:rPr>
          <w:shd w:val="clear" w:color="auto" w:fill="FFFFFF"/>
        </w:rPr>
        <w:t>‑</w:t>
      </w:r>
      <w:r w:rsidRPr="00D97515">
        <w:rPr>
          <w:shd w:val="clear" w:color="auto" w:fill="FFFFFF"/>
        </w:rPr>
        <w:t>serving” should not necessarily be disbelieved (</w:t>
      </w:r>
      <w:r w:rsidRPr="00D97515">
        <w:rPr>
          <w:i/>
          <w:shd w:val="clear" w:color="auto" w:fill="FFFFFF"/>
        </w:rPr>
        <w:t xml:space="preserve">Imperial </w:t>
      </w:r>
      <w:proofErr w:type="spellStart"/>
      <w:r w:rsidRPr="00D97515">
        <w:rPr>
          <w:i/>
          <w:shd w:val="clear" w:color="auto" w:fill="FFFFFF"/>
        </w:rPr>
        <w:t>Bottleshops</w:t>
      </w:r>
      <w:proofErr w:type="spellEnd"/>
      <w:r w:rsidRPr="00D97515">
        <w:rPr>
          <w:i/>
          <w:shd w:val="clear" w:color="auto" w:fill="FFFFFF"/>
        </w:rPr>
        <w:t xml:space="preserve"> Pty Ltd v Federal Commissioner of</w:t>
      </w:r>
      <w:r w:rsidR="00F46F0D" w:rsidRPr="00D97515">
        <w:rPr>
          <w:i/>
          <w:shd w:val="clear" w:color="auto" w:fill="FFFFFF"/>
        </w:rPr>
        <w:t xml:space="preserve"> </w:t>
      </w:r>
      <w:r w:rsidRPr="00D97515">
        <w:rPr>
          <w:i/>
          <w:shd w:val="clear" w:color="auto" w:fill="FFFFFF"/>
        </w:rPr>
        <w:t>Taxation</w:t>
      </w:r>
      <w:r w:rsidRPr="00D97515">
        <w:rPr>
          <w:shd w:val="clear" w:color="auto" w:fill="FFFFFF"/>
        </w:rPr>
        <w:t xml:space="preserve"> </w:t>
      </w:r>
      <w:r w:rsidR="007B7EC2">
        <w:rPr>
          <w:shd w:val="clear" w:color="auto" w:fill="FFFFFF"/>
        </w:rPr>
        <w:t xml:space="preserve">(1991) </w:t>
      </w:r>
      <w:r w:rsidRPr="00D97515">
        <w:rPr>
          <w:shd w:val="clear" w:color="auto" w:fill="FFFFFF"/>
        </w:rPr>
        <w:t>91 ATC 4546 at 4552 per Hill J) or be regarded as “prima facie unacceptable” (</w:t>
      </w:r>
      <w:r w:rsidRPr="00D97515">
        <w:rPr>
          <w:i/>
          <w:shd w:val="clear" w:color="auto" w:fill="FFFFFF"/>
        </w:rPr>
        <w:t>McCormack v Commissioner of</w:t>
      </w:r>
      <w:r w:rsidR="00F46F0D" w:rsidRPr="00D97515">
        <w:rPr>
          <w:i/>
          <w:shd w:val="clear" w:color="auto" w:fill="FFFFFF"/>
        </w:rPr>
        <w:t xml:space="preserve"> </w:t>
      </w:r>
      <w:r w:rsidRPr="00D97515">
        <w:rPr>
          <w:i/>
          <w:shd w:val="clear" w:color="auto" w:fill="FFFFFF"/>
        </w:rPr>
        <w:t>Taxation</w:t>
      </w:r>
      <w:r w:rsidR="00F46F0D" w:rsidRPr="00D97515">
        <w:rPr>
          <w:shd w:val="clear" w:color="auto" w:fill="FFFFFF"/>
        </w:rPr>
        <w:t xml:space="preserve"> </w:t>
      </w:r>
      <w:r w:rsidRPr="00D97515">
        <w:rPr>
          <w:shd w:val="clear" w:color="auto" w:fill="FFFFFF"/>
        </w:rPr>
        <w:t>(1979) 143 CLR 284</w:t>
      </w:r>
      <w:r w:rsidR="00F46F0D" w:rsidRPr="00D97515">
        <w:rPr>
          <w:shd w:val="clear" w:color="auto" w:fill="FFFFFF"/>
        </w:rPr>
        <w:t xml:space="preserve"> </w:t>
      </w:r>
      <w:r w:rsidRPr="00D97515">
        <w:rPr>
          <w:shd w:val="clear" w:color="auto" w:fill="FFFFFF"/>
        </w:rPr>
        <w:t>at 302 per Gibbs J)</w:t>
      </w:r>
      <w:r w:rsidR="00F46F0D" w:rsidRPr="00D97515">
        <w:rPr>
          <w:shd w:val="clear" w:color="auto" w:fill="FFFFFF"/>
        </w:rPr>
        <w:t>,</w:t>
      </w:r>
      <w:r w:rsidRPr="00D97515">
        <w:rPr>
          <w:shd w:val="clear" w:color="auto" w:fill="FFFFFF"/>
        </w:rPr>
        <w:t xml:space="preserve"> statements of purpose, object or state of mind must be </w:t>
      </w:r>
      <w:r w:rsidR="00F46F0D" w:rsidRPr="00D97515">
        <w:rPr>
          <w:shd w:val="clear" w:color="auto" w:fill="FFFFFF"/>
        </w:rPr>
        <w:t>“</w:t>
      </w:r>
      <w:r w:rsidRPr="00D97515">
        <w:rPr>
          <w:shd w:val="clear" w:color="auto" w:fill="FFFFFF"/>
        </w:rPr>
        <w:t>tested most closely, and received with the greatest caution</w:t>
      </w:r>
      <w:r w:rsidR="00F46F0D" w:rsidRPr="00D97515">
        <w:rPr>
          <w:shd w:val="clear" w:color="auto" w:fill="FFFFFF"/>
        </w:rPr>
        <w:t>”</w:t>
      </w:r>
      <w:r w:rsidRPr="00D97515">
        <w:rPr>
          <w:shd w:val="clear" w:color="auto" w:fill="FFFFFF"/>
        </w:rPr>
        <w:t xml:space="preserve"> </w:t>
      </w:r>
      <w:r w:rsidR="008F0F18">
        <w:rPr>
          <w:shd w:val="clear" w:color="auto" w:fill="FFFFFF"/>
        </w:rPr>
        <w:t>(</w:t>
      </w:r>
      <w:r w:rsidRPr="005F6315">
        <w:rPr>
          <w:i/>
          <w:shd w:val="clear" w:color="auto" w:fill="FFFFFF"/>
        </w:rPr>
        <w:t>Pascoe v Commissioner of Taxation </w:t>
      </w:r>
      <w:r w:rsidR="005F6315" w:rsidRPr="005F6315">
        <w:rPr>
          <w:shd w:val="clear" w:color="auto" w:fill="FFFFFF"/>
        </w:rPr>
        <w:t xml:space="preserve">(1956) </w:t>
      </w:r>
      <w:r w:rsidR="005F6315">
        <w:rPr>
          <w:shd w:val="clear" w:color="auto" w:fill="FFFFFF"/>
        </w:rPr>
        <w:t xml:space="preserve">30 ALJR 402 at </w:t>
      </w:r>
      <w:r w:rsidR="008433D6">
        <w:rPr>
          <w:shd w:val="clear" w:color="auto" w:fill="FFFFFF"/>
        </w:rPr>
        <w:t>403</w:t>
      </w:r>
      <w:r w:rsidR="008F0F18">
        <w:rPr>
          <w:shd w:val="clear" w:color="auto" w:fill="FFFFFF"/>
        </w:rPr>
        <w:t xml:space="preserve"> per </w:t>
      </w:r>
      <w:proofErr w:type="spellStart"/>
      <w:r w:rsidR="00BA23D2" w:rsidRPr="005F6315">
        <w:rPr>
          <w:shd w:val="clear" w:color="auto" w:fill="FFFFFF"/>
        </w:rPr>
        <w:t>Fullagar</w:t>
      </w:r>
      <w:proofErr w:type="spellEnd"/>
      <w:r w:rsidR="00BA23D2" w:rsidRPr="005F6315">
        <w:rPr>
          <w:shd w:val="clear" w:color="auto" w:fill="FFFFFF"/>
        </w:rPr>
        <w:t xml:space="preserve"> J</w:t>
      </w:r>
      <w:r w:rsidR="00723844">
        <w:rPr>
          <w:shd w:val="clear" w:color="auto" w:fill="FFFFFF"/>
        </w:rPr>
        <w:t xml:space="preserve">, citing </w:t>
      </w:r>
      <w:r w:rsidR="00723844">
        <w:rPr>
          <w:i/>
          <w:shd w:val="clear" w:color="auto" w:fill="FFFFFF"/>
        </w:rPr>
        <w:t xml:space="preserve">Cox v </w:t>
      </w:r>
      <w:proofErr w:type="spellStart"/>
      <w:r w:rsidR="00723844">
        <w:rPr>
          <w:i/>
          <w:shd w:val="clear" w:color="auto" w:fill="FFFFFF"/>
        </w:rPr>
        <w:t>Smail</w:t>
      </w:r>
      <w:proofErr w:type="spellEnd"/>
      <w:r w:rsidR="00723844">
        <w:rPr>
          <w:shd w:val="clear" w:color="auto" w:fill="FFFFFF"/>
        </w:rPr>
        <w:t xml:space="preserve"> </w:t>
      </w:r>
      <w:r w:rsidR="008F0F18">
        <w:rPr>
          <w:shd w:val="clear" w:color="auto" w:fill="FFFFFF"/>
        </w:rPr>
        <w:t xml:space="preserve">[1912] VLR 274 at 283 per </w:t>
      </w:r>
      <w:proofErr w:type="spellStart"/>
      <w:r w:rsidR="008F0F18">
        <w:rPr>
          <w:shd w:val="clear" w:color="auto" w:fill="FFFFFF"/>
        </w:rPr>
        <w:t>Cussen</w:t>
      </w:r>
      <w:proofErr w:type="spellEnd"/>
      <w:r w:rsidR="008F0F18">
        <w:rPr>
          <w:shd w:val="clear" w:color="auto" w:fill="FFFFFF"/>
        </w:rPr>
        <w:t xml:space="preserve"> J)</w:t>
      </w:r>
      <w:r w:rsidR="00F46F0D" w:rsidRPr="00D97515">
        <w:rPr>
          <w:shd w:val="clear" w:color="auto" w:fill="FFFFFF"/>
        </w:rPr>
        <w:t>.</w:t>
      </w:r>
    </w:p>
    <w:p w14:paraId="6114673D" w14:textId="6C9C0117" w:rsidR="00C108ED" w:rsidRPr="00D97515" w:rsidRDefault="00C108ED" w:rsidP="00C108ED">
      <w:pPr>
        <w:pStyle w:val="ParaNumbering"/>
        <w:rPr>
          <w:shd w:val="clear" w:color="auto" w:fill="FFFFFF"/>
        </w:rPr>
      </w:pPr>
      <w:r w:rsidRPr="00D97515">
        <w:rPr>
          <w:shd w:val="clear" w:color="auto" w:fill="FFFFFF"/>
        </w:rPr>
        <w:t xml:space="preserve">Mr </w:t>
      </w:r>
      <w:proofErr w:type="spellStart"/>
      <w:r w:rsidRPr="00D97515">
        <w:rPr>
          <w:shd w:val="clear" w:color="auto" w:fill="FFFFFF"/>
        </w:rPr>
        <w:t>Lewski’s</w:t>
      </w:r>
      <w:proofErr w:type="spellEnd"/>
      <w:r w:rsidRPr="00D97515">
        <w:rPr>
          <w:shd w:val="clear" w:color="auto" w:fill="FFFFFF"/>
        </w:rPr>
        <w:t xml:space="preserve"> evidence must be weighed in light of the objective facts.  Those objective facts include the fact that Mr </w:t>
      </w:r>
      <w:proofErr w:type="spellStart"/>
      <w:r w:rsidRPr="00D97515">
        <w:rPr>
          <w:shd w:val="clear" w:color="auto" w:fill="FFFFFF"/>
        </w:rPr>
        <w:t>Lewski</w:t>
      </w:r>
      <w:proofErr w:type="spellEnd"/>
      <w:r w:rsidRPr="00D97515">
        <w:rPr>
          <w:shd w:val="clear" w:color="auto" w:fill="FFFFFF"/>
        </w:rPr>
        <w:t xml:space="preserve"> was a registered tax agent with knowledge of GST.  Not only was Mr </w:t>
      </w:r>
      <w:proofErr w:type="spellStart"/>
      <w:r w:rsidRPr="00D97515">
        <w:rPr>
          <w:shd w:val="clear" w:color="auto" w:fill="FFFFFF"/>
        </w:rPr>
        <w:t>Lewski</w:t>
      </w:r>
      <w:proofErr w:type="spellEnd"/>
      <w:r w:rsidRPr="00D97515">
        <w:rPr>
          <w:shd w:val="clear" w:color="auto" w:fill="FFFFFF"/>
        </w:rPr>
        <w:t xml:space="preserve"> a party with an interest in the outcome of the proceedings, he had an educated and technical understanding of the nature of the issues in these proceedings.</w:t>
      </w:r>
    </w:p>
    <w:p w14:paraId="5E0058E4" w14:textId="63EB11EF" w:rsidR="00386B48" w:rsidRPr="00704990" w:rsidRDefault="00C108ED" w:rsidP="00704990">
      <w:pPr>
        <w:pStyle w:val="ParaNumbering"/>
        <w:rPr>
          <w:shd w:val="clear" w:color="auto" w:fill="FFFFFF"/>
        </w:rPr>
      </w:pPr>
      <w:r w:rsidRPr="00704990">
        <w:rPr>
          <w:shd w:val="clear" w:color="auto" w:fill="FFFFFF"/>
        </w:rPr>
        <w:t xml:space="preserve">Mr </w:t>
      </w:r>
      <w:proofErr w:type="spellStart"/>
      <w:r w:rsidRPr="00704990">
        <w:rPr>
          <w:shd w:val="clear" w:color="auto" w:fill="FFFFFF"/>
        </w:rPr>
        <w:t>Lewski’s</w:t>
      </w:r>
      <w:proofErr w:type="spellEnd"/>
      <w:r w:rsidRPr="00704990">
        <w:rPr>
          <w:shd w:val="clear" w:color="auto" w:fill="FFFFFF"/>
        </w:rPr>
        <w:t xml:space="preserve"> evidence that the </w:t>
      </w:r>
      <w:r w:rsidR="00C948FC" w:rsidRPr="00704990">
        <w:rPr>
          <w:shd w:val="clear" w:color="auto" w:fill="FFFFFF"/>
        </w:rPr>
        <w:t>Applicant</w:t>
      </w:r>
      <w:r w:rsidR="00AA3AED" w:rsidRPr="00704990">
        <w:rPr>
          <w:shd w:val="clear" w:color="auto" w:fill="FFFFFF"/>
        </w:rPr>
        <w:t xml:space="preserve"> received advice and then </w:t>
      </w:r>
      <w:r w:rsidRPr="00704990">
        <w:rPr>
          <w:shd w:val="clear" w:color="auto" w:fill="FFFFFF"/>
        </w:rPr>
        <w:t>disseminated the advice</w:t>
      </w:r>
      <w:r w:rsidR="00AA3AED" w:rsidRPr="00704990">
        <w:rPr>
          <w:shd w:val="clear" w:color="auto" w:fill="FFFFFF"/>
        </w:rPr>
        <w:t>, or</w:t>
      </w:r>
      <w:r w:rsidRPr="00704990">
        <w:rPr>
          <w:shd w:val="clear" w:color="auto" w:fill="FFFFFF"/>
        </w:rPr>
        <w:t xml:space="preserve"> </w:t>
      </w:r>
      <w:r w:rsidR="00AA3AED" w:rsidRPr="00704990">
        <w:rPr>
          <w:shd w:val="clear" w:color="auto" w:fill="FFFFFF"/>
        </w:rPr>
        <w:t xml:space="preserve">used the advice to formulate its own advice, </w:t>
      </w:r>
      <w:r w:rsidRPr="00704990">
        <w:rPr>
          <w:shd w:val="clear" w:color="auto" w:fill="FFFFFF"/>
        </w:rPr>
        <w:t xml:space="preserve">was not supported by contemporaneous evidence. </w:t>
      </w:r>
      <w:r w:rsidR="00BA23D2" w:rsidRPr="00704990">
        <w:rPr>
          <w:shd w:val="clear" w:color="auto" w:fill="FFFFFF"/>
        </w:rPr>
        <w:t xml:space="preserve"> </w:t>
      </w:r>
      <w:r w:rsidRPr="00704990">
        <w:rPr>
          <w:shd w:val="clear" w:color="auto" w:fill="FFFFFF"/>
        </w:rPr>
        <w:t xml:space="preserve">There was no contemporaneous evidence that the </w:t>
      </w:r>
      <w:r w:rsidR="00C948FC" w:rsidRPr="00704990">
        <w:rPr>
          <w:shd w:val="clear" w:color="auto" w:fill="FFFFFF"/>
        </w:rPr>
        <w:t>Applicant</w:t>
      </w:r>
      <w:r w:rsidRPr="00704990">
        <w:rPr>
          <w:shd w:val="clear" w:color="auto" w:fill="FFFFFF"/>
        </w:rPr>
        <w:t xml:space="preserve"> conducted</w:t>
      </w:r>
      <w:r w:rsidR="00B85471" w:rsidRPr="00704990">
        <w:rPr>
          <w:shd w:val="clear" w:color="auto" w:fill="FFFFFF"/>
        </w:rPr>
        <w:t>,</w:t>
      </w:r>
      <w:r w:rsidRPr="00704990">
        <w:rPr>
          <w:shd w:val="clear" w:color="auto" w:fill="FFFFFF"/>
        </w:rPr>
        <w:t xml:space="preserve"> or was legally able to conduct, a practice entailing the provision of legal advice. </w:t>
      </w:r>
      <w:r w:rsidR="00BA23D2" w:rsidRPr="00704990">
        <w:rPr>
          <w:shd w:val="clear" w:color="auto" w:fill="FFFFFF"/>
        </w:rPr>
        <w:t xml:space="preserve"> </w:t>
      </w:r>
      <w:r w:rsidR="003D51F5" w:rsidRPr="00704990">
        <w:rPr>
          <w:shd w:val="clear" w:color="auto" w:fill="FFFFFF"/>
        </w:rPr>
        <w:t>T</w:t>
      </w:r>
      <w:r w:rsidRPr="00704990">
        <w:rPr>
          <w:shd w:val="clear" w:color="auto" w:fill="FFFFFF"/>
        </w:rPr>
        <w:t xml:space="preserve">here were no trustee resolutions or board papers or other documents </w:t>
      </w:r>
      <w:r w:rsidR="003D51F5" w:rsidRPr="00704990">
        <w:rPr>
          <w:shd w:val="clear" w:color="auto" w:fill="FFFFFF"/>
        </w:rPr>
        <w:t xml:space="preserve">to </w:t>
      </w:r>
      <w:r w:rsidRPr="00704990">
        <w:rPr>
          <w:shd w:val="clear" w:color="auto" w:fill="FFFFFF"/>
        </w:rPr>
        <w:t xml:space="preserve">support a conclusion that the </w:t>
      </w:r>
      <w:r w:rsidR="00C948FC" w:rsidRPr="00704990">
        <w:rPr>
          <w:shd w:val="clear" w:color="auto" w:fill="FFFFFF"/>
        </w:rPr>
        <w:t>Applicant</w:t>
      </w:r>
      <w:r w:rsidRPr="00704990">
        <w:rPr>
          <w:shd w:val="clear" w:color="auto" w:fill="FFFFFF"/>
        </w:rPr>
        <w:t xml:space="preserve"> provided legal advisory services to the members of the </w:t>
      </w:r>
      <w:proofErr w:type="spellStart"/>
      <w:r w:rsidRPr="00704990">
        <w:rPr>
          <w:shd w:val="clear" w:color="auto" w:fill="FFFFFF"/>
        </w:rPr>
        <w:t>Lewski</w:t>
      </w:r>
      <w:proofErr w:type="spellEnd"/>
      <w:r w:rsidRPr="00704990">
        <w:rPr>
          <w:shd w:val="clear" w:color="auto" w:fill="FFFFFF"/>
        </w:rPr>
        <w:t xml:space="preserve"> </w:t>
      </w:r>
      <w:r w:rsidR="008433D6" w:rsidRPr="00704990">
        <w:rPr>
          <w:shd w:val="clear" w:color="auto" w:fill="FFFFFF"/>
        </w:rPr>
        <w:t>F</w:t>
      </w:r>
      <w:r w:rsidRPr="00704990">
        <w:rPr>
          <w:shd w:val="clear" w:color="auto" w:fill="FFFFFF"/>
        </w:rPr>
        <w:t xml:space="preserve">amily </w:t>
      </w:r>
      <w:r w:rsidR="008433D6" w:rsidRPr="00704990">
        <w:rPr>
          <w:shd w:val="clear" w:color="auto" w:fill="FFFFFF"/>
        </w:rPr>
        <w:t>Group</w:t>
      </w:r>
      <w:r w:rsidRPr="00704990">
        <w:rPr>
          <w:shd w:val="clear" w:color="auto" w:fill="FFFFFF"/>
        </w:rPr>
        <w:t xml:space="preserve">.  There was no evidence that the </w:t>
      </w:r>
      <w:r w:rsidR="00C948FC" w:rsidRPr="00704990">
        <w:rPr>
          <w:shd w:val="clear" w:color="auto" w:fill="FFFFFF"/>
        </w:rPr>
        <w:t>Applicant</w:t>
      </w:r>
      <w:r w:rsidRPr="00704990">
        <w:rPr>
          <w:shd w:val="clear" w:color="auto" w:fill="FFFFFF"/>
        </w:rPr>
        <w:t xml:space="preserve"> received fees or remuneration for the provision of such services.</w:t>
      </w:r>
      <w:r w:rsidR="00A02802">
        <w:rPr>
          <w:shd w:val="clear" w:color="auto" w:fill="FFFFFF"/>
        </w:rPr>
        <w:t xml:space="preserve">  The revenue</w:t>
      </w:r>
      <w:r w:rsidR="00A660BD">
        <w:rPr>
          <w:shd w:val="clear" w:color="auto" w:fill="FFFFFF"/>
        </w:rPr>
        <w:t>s</w:t>
      </w:r>
      <w:r w:rsidR="00A02802">
        <w:rPr>
          <w:shd w:val="clear" w:color="auto" w:fill="FFFFFF"/>
        </w:rPr>
        <w:t xml:space="preserve"> recorded in the Applicant’s </w:t>
      </w:r>
      <w:r w:rsidR="00A660BD">
        <w:rPr>
          <w:shd w:val="clear" w:color="auto" w:fill="FFFFFF"/>
        </w:rPr>
        <w:t>BAS</w:t>
      </w:r>
      <w:r w:rsidR="00A02802">
        <w:rPr>
          <w:shd w:val="clear" w:color="auto" w:fill="FFFFFF"/>
        </w:rPr>
        <w:t xml:space="preserve">s were limited to revenues referable to </w:t>
      </w:r>
      <w:r w:rsidR="00386B48" w:rsidRPr="00704990">
        <w:rPr>
          <w:shd w:val="clear" w:color="auto" w:fill="FFFFFF"/>
        </w:rPr>
        <w:t xml:space="preserve">advisory </w:t>
      </w:r>
      <w:r w:rsidR="00A660BD">
        <w:rPr>
          <w:shd w:val="clear" w:color="auto" w:fill="FFFFFF"/>
        </w:rPr>
        <w:t xml:space="preserve">and consulting </w:t>
      </w:r>
      <w:r w:rsidR="00386B48" w:rsidRPr="00704990">
        <w:rPr>
          <w:shd w:val="clear" w:color="auto" w:fill="FFFFFF"/>
        </w:rPr>
        <w:t xml:space="preserve">services provided by the Applicant relating to the </w:t>
      </w:r>
      <w:r w:rsidR="00386B48" w:rsidRPr="00704990">
        <w:rPr>
          <w:lang w:eastAsia="en-AU"/>
        </w:rPr>
        <w:t>retirement villages, and residential aged care and home care businesses conducted by companies and trusts controlled by</w:t>
      </w:r>
      <w:r w:rsidR="00704990">
        <w:rPr>
          <w:lang w:eastAsia="en-AU"/>
        </w:rPr>
        <w:t>,</w:t>
      </w:r>
      <w:r w:rsidR="00386B48" w:rsidRPr="00704990">
        <w:rPr>
          <w:lang w:eastAsia="en-AU"/>
        </w:rPr>
        <w:t xml:space="preserve"> or affiliated with</w:t>
      </w:r>
      <w:r w:rsidR="00704990">
        <w:rPr>
          <w:lang w:eastAsia="en-AU"/>
        </w:rPr>
        <w:t>,</w:t>
      </w:r>
      <w:r w:rsidR="00386B48" w:rsidRPr="00704990">
        <w:rPr>
          <w:lang w:eastAsia="en-AU"/>
        </w:rPr>
        <w:t xml:space="preserve"> the </w:t>
      </w:r>
      <w:proofErr w:type="spellStart"/>
      <w:r w:rsidR="00386B48" w:rsidRPr="00704990">
        <w:rPr>
          <w:lang w:eastAsia="en-AU"/>
        </w:rPr>
        <w:t>Lewski</w:t>
      </w:r>
      <w:proofErr w:type="spellEnd"/>
      <w:r w:rsidR="00386B48" w:rsidRPr="00704990">
        <w:rPr>
          <w:lang w:eastAsia="en-AU"/>
        </w:rPr>
        <w:t xml:space="preserve"> Family Group.</w:t>
      </w:r>
    </w:p>
    <w:p w14:paraId="5CBEBDC4" w14:textId="51FD2134" w:rsidR="00C108ED" w:rsidRPr="00D97515" w:rsidRDefault="00C108ED" w:rsidP="00C108ED">
      <w:pPr>
        <w:pStyle w:val="ParaNumbering"/>
      </w:pPr>
      <w:r w:rsidRPr="00D97515">
        <w:t xml:space="preserve">The arrangements as described by Mr </w:t>
      </w:r>
      <w:proofErr w:type="spellStart"/>
      <w:r w:rsidRPr="00D97515">
        <w:t>Lewski</w:t>
      </w:r>
      <w:proofErr w:type="spellEnd"/>
      <w:r w:rsidRPr="00D97515">
        <w:t xml:space="preserve"> have an air of artificiality.  By his description</w:t>
      </w:r>
      <w:r w:rsidR="00B85471" w:rsidRPr="00D97515">
        <w:t>,</w:t>
      </w:r>
      <w:r w:rsidRPr="00D97515">
        <w:t xml:space="preserve"> the </w:t>
      </w:r>
      <w:r w:rsidR="00C948FC">
        <w:t>Applicant</w:t>
      </w:r>
      <w:r w:rsidRPr="00D97515">
        <w:t xml:space="preserve">, a trustee of a family trust, received legal advice relating to proceedings or matters to which it was not a party </w:t>
      </w:r>
      <w:r w:rsidR="008433D6">
        <w:t>and then</w:t>
      </w:r>
      <w:r w:rsidRPr="00D97515">
        <w:t xml:space="preserve"> formulat</w:t>
      </w:r>
      <w:r w:rsidR="008433D6">
        <w:t>ed</w:t>
      </w:r>
      <w:r w:rsidRPr="00D97515">
        <w:t xml:space="preserve"> recommendations and advis</w:t>
      </w:r>
      <w:r w:rsidR="008433D6">
        <w:t>ed</w:t>
      </w:r>
      <w:r w:rsidRPr="00D97515">
        <w:t xml:space="preserve"> family group entities</w:t>
      </w:r>
      <w:r w:rsidR="00BA23D2">
        <w:t>,</w:t>
      </w:r>
      <w:r w:rsidRPr="00D97515">
        <w:t xml:space="preserve"> and provid</w:t>
      </w:r>
      <w:r w:rsidR="008433D6">
        <w:t>ed</w:t>
      </w:r>
      <w:r w:rsidRPr="00D97515">
        <w:t xml:space="preserve"> instructions to the professional advisors advising in relation to those proceedings </w:t>
      </w:r>
      <w:r w:rsidR="005668A2">
        <w:t>o</w:t>
      </w:r>
      <w:r w:rsidRPr="00D97515">
        <w:t>r matters and the legal representatives for the parties to those proceedings.</w:t>
      </w:r>
    </w:p>
    <w:p w14:paraId="684E21D1" w14:textId="0A93ED8C" w:rsidR="00C108ED" w:rsidRPr="00D97515" w:rsidRDefault="004B4A54" w:rsidP="00C108ED">
      <w:pPr>
        <w:pStyle w:val="ParaNumbering"/>
      </w:pPr>
      <w:r w:rsidRPr="00D97515">
        <w:t>For these reasons</w:t>
      </w:r>
      <w:r w:rsidR="00B85471" w:rsidRPr="00D97515">
        <w:t>,</w:t>
      </w:r>
      <w:r w:rsidR="00C108ED" w:rsidRPr="00D97515">
        <w:t xml:space="preserve"> I do not accept that Mr </w:t>
      </w:r>
      <w:proofErr w:type="spellStart"/>
      <w:r w:rsidR="00C108ED" w:rsidRPr="00D97515">
        <w:t>Lewski</w:t>
      </w:r>
      <w:proofErr w:type="spellEnd"/>
      <w:r w:rsidR="00C108ED" w:rsidRPr="00D97515">
        <w:t xml:space="preserve"> instructed lawyers and received </w:t>
      </w:r>
      <w:r w:rsidR="00786097">
        <w:t>the Litigation S</w:t>
      </w:r>
      <w:r w:rsidR="00C108ED" w:rsidRPr="00D97515">
        <w:t>ervices a</w:t>
      </w:r>
      <w:r w:rsidR="00010797" w:rsidRPr="00D97515">
        <w:t xml:space="preserve">nd </w:t>
      </w:r>
      <w:r w:rsidR="00786097">
        <w:t>O</w:t>
      </w:r>
      <w:r w:rsidR="00010797" w:rsidRPr="00D97515">
        <w:t xml:space="preserve">ther </w:t>
      </w:r>
      <w:r w:rsidR="00786097">
        <w:t>S</w:t>
      </w:r>
      <w:r w:rsidR="00010797" w:rsidRPr="00D97515">
        <w:t xml:space="preserve">ervices </w:t>
      </w:r>
      <w:r w:rsidR="00C108ED" w:rsidRPr="00D97515">
        <w:t xml:space="preserve">on behalf of the </w:t>
      </w:r>
      <w:r w:rsidR="00C948FC">
        <w:t>Applicant</w:t>
      </w:r>
      <w:r w:rsidR="00010797" w:rsidRPr="00D97515">
        <w:t xml:space="preserve"> as trustee of the </w:t>
      </w:r>
      <w:r w:rsidR="00786097">
        <w:t>W</w:t>
      </w:r>
      <w:r w:rsidR="005668A2">
        <w:t xml:space="preserve">illiam </w:t>
      </w:r>
      <w:proofErr w:type="spellStart"/>
      <w:r w:rsidR="00010797" w:rsidRPr="00D97515">
        <w:t>Lewski</w:t>
      </w:r>
      <w:proofErr w:type="spellEnd"/>
      <w:r w:rsidR="00010797" w:rsidRPr="00D97515">
        <w:t xml:space="preserve"> Family </w:t>
      </w:r>
      <w:r w:rsidR="00010797" w:rsidRPr="00D97515">
        <w:lastRenderedPageBreak/>
        <w:t>T</w:t>
      </w:r>
      <w:r w:rsidR="00C108ED" w:rsidRPr="00D97515">
        <w:t>rust.  Rather</w:t>
      </w:r>
      <w:r w:rsidR="00010797" w:rsidRPr="00D97515">
        <w:t>,</w:t>
      </w:r>
      <w:r w:rsidR="00C108ED" w:rsidRPr="00D97515">
        <w:t xml:space="preserve"> I conclude that he did so for and on behalf of the </w:t>
      </w:r>
      <w:proofErr w:type="spellStart"/>
      <w:r w:rsidR="00786097">
        <w:t>Lewski</w:t>
      </w:r>
      <w:proofErr w:type="spellEnd"/>
      <w:r w:rsidR="00786097">
        <w:t xml:space="preserve"> F</w:t>
      </w:r>
      <w:r w:rsidR="00C108ED" w:rsidRPr="00D97515">
        <w:t xml:space="preserve">amily </w:t>
      </w:r>
      <w:r w:rsidR="00786097">
        <w:t>G</w:t>
      </w:r>
      <w:r w:rsidR="00C108ED" w:rsidRPr="00D97515">
        <w:t>roup individual or entity that was party to the proceedings or the transaction or dealing in issue.</w:t>
      </w:r>
    </w:p>
    <w:p w14:paraId="1874320F" w14:textId="30C430CE" w:rsidR="00C108ED" w:rsidRPr="00D97515" w:rsidRDefault="00C108ED" w:rsidP="00C108ED">
      <w:pPr>
        <w:pStyle w:val="ParaNumbering"/>
        <w:rPr>
          <w:szCs w:val="24"/>
        </w:rPr>
      </w:pPr>
      <w:r w:rsidRPr="00D97515">
        <w:rPr>
          <w:szCs w:val="24"/>
        </w:rPr>
        <w:t xml:space="preserve">Further, </w:t>
      </w:r>
      <w:r w:rsidRPr="00D97515">
        <w:rPr>
          <w:shd w:val="clear" w:color="auto" w:fill="FFFFFF"/>
        </w:rPr>
        <w:t xml:space="preserve">I do not accept Mr </w:t>
      </w:r>
      <w:proofErr w:type="spellStart"/>
      <w:r w:rsidRPr="00D97515">
        <w:rPr>
          <w:shd w:val="clear" w:color="auto" w:fill="FFFFFF"/>
        </w:rPr>
        <w:t>Lewski’s</w:t>
      </w:r>
      <w:proofErr w:type="spellEnd"/>
      <w:r w:rsidRPr="00D97515">
        <w:rPr>
          <w:shd w:val="clear" w:color="auto" w:fill="FFFFFF"/>
        </w:rPr>
        <w:t xml:space="preserve"> evidence that the Litigation Funding Agreements were really agreements for the provision of services.  That description is not supported by the terms of the Agreements, which, as set out above, do not require the </w:t>
      </w:r>
      <w:r w:rsidR="00C948FC">
        <w:rPr>
          <w:shd w:val="clear" w:color="auto" w:fill="FFFFFF"/>
        </w:rPr>
        <w:t>Applicant</w:t>
      </w:r>
      <w:r w:rsidRPr="00D97515">
        <w:rPr>
          <w:shd w:val="clear" w:color="auto" w:fill="FFFFFF"/>
        </w:rPr>
        <w:t xml:space="preserve"> to provide any services to the named Beneficiary, other than to pay invoices.  The </w:t>
      </w:r>
      <w:r w:rsidR="00FF4C9F">
        <w:rPr>
          <w:shd w:val="clear" w:color="auto" w:fill="FFFFFF"/>
        </w:rPr>
        <w:t>A</w:t>
      </w:r>
      <w:r w:rsidRPr="00D97515">
        <w:rPr>
          <w:shd w:val="clear" w:color="auto" w:fill="FFFFFF"/>
        </w:rPr>
        <w:t xml:space="preserve">greements did not require the </w:t>
      </w:r>
      <w:r w:rsidR="00C948FC">
        <w:rPr>
          <w:shd w:val="clear" w:color="auto" w:fill="FFFFFF"/>
        </w:rPr>
        <w:t>Applicant</w:t>
      </w:r>
      <w:r w:rsidRPr="00D97515">
        <w:rPr>
          <w:shd w:val="clear" w:color="auto" w:fill="FFFFFF"/>
        </w:rPr>
        <w:t xml:space="preserve"> to provide some form of service to the Beneficiary which would have created a need for the </w:t>
      </w:r>
      <w:r w:rsidR="00C948FC">
        <w:rPr>
          <w:shd w:val="clear" w:color="auto" w:fill="FFFFFF"/>
        </w:rPr>
        <w:t>Applicant</w:t>
      </w:r>
      <w:r w:rsidRPr="00D97515">
        <w:rPr>
          <w:shd w:val="clear" w:color="auto" w:fill="FFFFFF"/>
        </w:rPr>
        <w:t xml:space="preserve"> to acquire legal services for its own account.  The </w:t>
      </w:r>
      <w:r w:rsidR="00FF4C9F">
        <w:rPr>
          <w:shd w:val="clear" w:color="auto" w:fill="FFFFFF"/>
        </w:rPr>
        <w:t>A</w:t>
      </w:r>
      <w:r w:rsidRPr="00D97515">
        <w:rPr>
          <w:shd w:val="clear" w:color="auto" w:fill="FFFFFF"/>
        </w:rPr>
        <w:t xml:space="preserve">greements required the </w:t>
      </w:r>
      <w:r w:rsidR="00C948FC">
        <w:rPr>
          <w:shd w:val="clear" w:color="auto" w:fill="FFFFFF"/>
        </w:rPr>
        <w:t>Applicant</w:t>
      </w:r>
      <w:r w:rsidRPr="00D97515">
        <w:rPr>
          <w:shd w:val="clear" w:color="auto" w:fill="FFFFFF"/>
        </w:rPr>
        <w:t xml:space="preserve"> to fund the provision of service</w:t>
      </w:r>
      <w:r w:rsidR="00FF4C9F">
        <w:rPr>
          <w:shd w:val="clear" w:color="auto" w:fill="FFFFFF"/>
        </w:rPr>
        <w:t>s by others.  Furthermore, the A</w:t>
      </w:r>
      <w:r w:rsidRPr="00D97515">
        <w:rPr>
          <w:shd w:val="clear" w:color="auto" w:fill="FFFFFF"/>
        </w:rPr>
        <w:t xml:space="preserve">greements do not cover all </w:t>
      </w:r>
      <w:r w:rsidR="00283B03" w:rsidRPr="00D97515">
        <w:rPr>
          <w:shd w:val="clear" w:color="auto" w:fill="FFFFFF"/>
        </w:rPr>
        <w:t xml:space="preserve">of </w:t>
      </w:r>
      <w:r w:rsidRPr="00D97515">
        <w:rPr>
          <w:shd w:val="clear" w:color="auto" w:fill="FFFFFF"/>
        </w:rPr>
        <w:t xml:space="preserve">the proceedings to which </w:t>
      </w:r>
      <w:r w:rsidR="00080684">
        <w:rPr>
          <w:shd w:val="clear" w:color="auto" w:fill="FFFFFF"/>
        </w:rPr>
        <w:t xml:space="preserve">members of </w:t>
      </w:r>
      <w:r w:rsidRPr="00D97515">
        <w:rPr>
          <w:shd w:val="clear" w:color="auto" w:fill="FFFFFF"/>
        </w:rPr>
        <w:t xml:space="preserve">the </w:t>
      </w:r>
      <w:proofErr w:type="spellStart"/>
      <w:r w:rsidRPr="00D97515">
        <w:rPr>
          <w:shd w:val="clear" w:color="auto" w:fill="FFFFFF"/>
        </w:rPr>
        <w:t>Lewski</w:t>
      </w:r>
      <w:proofErr w:type="spellEnd"/>
      <w:r w:rsidRPr="00D97515">
        <w:rPr>
          <w:shd w:val="clear" w:color="auto" w:fill="FFFFFF"/>
        </w:rPr>
        <w:t xml:space="preserve"> </w:t>
      </w:r>
      <w:r w:rsidR="00080684">
        <w:rPr>
          <w:shd w:val="clear" w:color="auto" w:fill="FFFFFF"/>
        </w:rPr>
        <w:t>F</w:t>
      </w:r>
      <w:r w:rsidRPr="00D97515">
        <w:rPr>
          <w:shd w:val="clear" w:color="auto" w:fill="FFFFFF"/>
        </w:rPr>
        <w:t xml:space="preserve">amily </w:t>
      </w:r>
      <w:r w:rsidR="00080684">
        <w:rPr>
          <w:shd w:val="clear" w:color="auto" w:fill="FFFFFF"/>
        </w:rPr>
        <w:t xml:space="preserve">Group </w:t>
      </w:r>
      <w:r w:rsidRPr="00D97515">
        <w:rPr>
          <w:shd w:val="clear" w:color="auto" w:fill="FFFFFF"/>
        </w:rPr>
        <w:t>were parties.  Mr</w:t>
      </w:r>
      <w:r w:rsidR="00283B03" w:rsidRPr="00D97515">
        <w:rPr>
          <w:shd w:val="clear" w:color="auto" w:fill="FFFFFF"/>
        </w:rPr>
        <w:t> </w:t>
      </w:r>
      <w:proofErr w:type="spellStart"/>
      <w:r w:rsidRPr="00D97515">
        <w:rPr>
          <w:shd w:val="clear" w:color="auto" w:fill="FFFFFF"/>
        </w:rPr>
        <w:t>Lewski</w:t>
      </w:r>
      <w:proofErr w:type="spellEnd"/>
      <w:r w:rsidRPr="00D97515">
        <w:rPr>
          <w:shd w:val="clear" w:color="auto" w:fill="FFFFFF"/>
        </w:rPr>
        <w:t xml:space="preserve"> testified that any such </w:t>
      </w:r>
      <w:r w:rsidR="005F6315">
        <w:rPr>
          <w:shd w:val="clear" w:color="auto" w:fill="FFFFFF"/>
        </w:rPr>
        <w:t xml:space="preserve">oversights </w:t>
      </w:r>
      <w:r w:rsidRPr="00D97515">
        <w:rPr>
          <w:shd w:val="clear" w:color="auto" w:fill="FFFFFF"/>
        </w:rPr>
        <w:t xml:space="preserve">were </w:t>
      </w:r>
      <w:r w:rsidR="005668A2">
        <w:rPr>
          <w:shd w:val="clear" w:color="auto" w:fill="FFFFFF"/>
        </w:rPr>
        <w:t>“</w:t>
      </w:r>
      <w:r w:rsidR="005F6315">
        <w:rPr>
          <w:shd w:val="clear" w:color="auto" w:fill="FFFFFF"/>
        </w:rPr>
        <w:t>omissions</w:t>
      </w:r>
      <w:r w:rsidRPr="00D97515">
        <w:rPr>
          <w:shd w:val="clear" w:color="auto" w:fill="FFFFFF"/>
        </w:rPr>
        <w:t>”</w:t>
      </w:r>
      <w:r w:rsidR="005F6315">
        <w:rPr>
          <w:shd w:val="clear" w:color="auto" w:fill="FFFFFF"/>
        </w:rPr>
        <w:t xml:space="preserve"> or “mistakes”</w:t>
      </w:r>
      <w:r w:rsidRPr="00D97515">
        <w:rPr>
          <w:shd w:val="clear" w:color="auto" w:fill="FFFFFF"/>
        </w:rPr>
        <w:t>.  As explained further below, I do not accept that evidence.</w:t>
      </w:r>
    </w:p>
    <w:p w14:paraId="3CB128D7" w14:textId="6601BE14" w:rsidR="00C108ED" w:rsidRPr="00AA20EE" w:rsidRDefault="00C108ED" w:rsidP="008D33D2">
      <w:pPr>
        <w:pStyle w:val="ParaNumbering"/>
      </w:pPr>
      <w:r w:rsidRPr="00AA20EE">
        <w:t xml:space="preserve">I also attach no weight to Mr </w:t>
      </w:r>
      <w:proofErr w:type="spellStart"/>
      <w:r w:rsidRPr="00AA20EE">
        <w:t>Lewski’s</w:t>
      </w:r>
      <w:proofErr w:type="spellEnd"/>
      <w:r w:rsidRPr="00AA20EE">
        <w:t xml:space="preserve"> evidence that the Litigation Funding Agreements “memorialised” arrangements that had been in place for decades.  There is no objective contemporaneous evidence of an arrangement by which the </w:t>
      </w:r>
      <w:r w:rsidR="00C948FC">
        <w:t>Applicant</w:t>
      </w:r>
      <w:r w:rsidRPr="00AA20EE">
        <w:t xml:space="preserve"> provided legal advice and litigation support services to the members of the </w:t>
      </w:r>
      <w:proofErr w:type="spellStart"/>
      <w:r w:rsidRPr="00AA20EE">
        <w:t>Lewski</w:t>
      </w:r>
      <w:proofErr w:type="spellEnd"/>
      <w:r w:rsidRPr="00AA20EE">
        <w:t xml:space="preserve"> </w:t>
      </w:r>
      <w:r w:rsidR="00786097">
        <w:t>F</w:t>
      </w:r>
      <w:r w:rsidRPr="00AA20EE">
        <w:t xml:space="preserve">amily </w:t>
      </w:r>
      <w:r w:rsidR="00786097">
        <w:t xml:space="preserve">Group </w:t>
      </w:r>
      <w:r w:rsidRPr="00AA20EE">
        <w:t xml:space="preserve">prior to the </w:t>
      </w:r>
      <w:r w:rsidR="007A4CFC" w:rsidRPr="00AA20EE">
        <w:t>execution</w:t>
      </w:r>
      <w:r w:rsidRPr="00AA20EE">
        <w:t xml:space="preserve"> of the Litigation Funding Agreements.  The contemporaneous evidence discloses that the </w:t>
      </w:r>
      <w:r w:rsidR="00C948FC">
        <w:t>Applicant</w:t>
      </w:r>
      <w:r w:rsidRPr="00AA20EE">
        <w:t xml:space="preserve"> received the proceeds of a costs order and paid invoices, but the basis and reasons for t</w:t>
      </w:r>
      <w:r w:rsidRPr="00696D11">
        <w:t xml:space="preserve">he payment, other than to benefit the beneficiaries of the </w:t>
      </w:r>
      <w:r w:rsidR="008D33D2" w:rsidRPr="008D33D2">
        <w:t xml:space="preserve">William </w:t>
      </w:r>
      <w:proofErr w:type="spellStart"/>
      <w:r w:rsidR="008D33D2" w:rsidRPr="008D33D2">
        <w:t>Lewski</w:t>
      </w:r>
      <w:proofErr w:type="spellEnd"/>
      <w:r w:rsidR="008D33D2" w:rsidRPr="008D33D2">
        <w:t xml:space="preserve"> Family Trust</w:t>
      </w:r>
      <w:r w:rsidRPr="00696D11">
        <w:t xml:space="preserve"> of which the </w:t>
      </w:r>
      <w:r w:rsidR="00C948FC">
        <w:t>Applicant</w:t>
      </w:r>
      <w:r w:rsidRPr="00696D11">
        <w:t xml:space="preserve"> was trustee</w:t>
      </w:r>
      <w:r w:rsidR="00283B03" w:rsidRPr="00693369">
        <w:t>,</w:t>
      </w:r>
      <w:r w:rsidRPr="00693369">
        <w:t xml:space="preserve"> were not determined prior to 2017 when the GST audit commenced.  As Mr </w:t>
      </w:r>
      <w:proofErr w:type="spellStart"/>
      <w:r w:rsidRPr="00693369">
        <w:t>Lewski</w:t>
      </w:r>
      <w:proofErr w:type="spellEnd"/>
      <w:r w:rsidRPr="00693369">
        <w:t xml:space="preserve"> himself said</w:t>
      </w:r>
      <w:r w:rsidR="00283B03" w:rsidRPr="00EA2BE4">
        <w:t>,</w:t>
      </w:r>
      <w:r w:rsidR="004A26F7">
        <w:t xml:space="preserve"> he “realised that, because of the audit, there may be a need to have something formally in place recording what the practicalities of what going on in the family business was about with respect to [the] litigations” and</w:t>
      </w:r>
      <w:r w:rsidRPr="00AA20EE">
        <w:t xml:space="preserve"> the Litigation Funding Agreements were </w:t>
      </w:r>
      <w:r w:rsidR="00AA20EE">
        <w:t>“</w:t>
      </w:r>
      <w:r w:rsidRPr="00AA20EE">
        <w:t xml:space="preserve">a formal record of some sort to point to so that the situation of proceeds being received and returned to [the </w:t>
      </w:r>
      <w:r w:rsidR="00C948FC">
        <w:t>Applicant</w:t>
      </w:r>
      <w:r w:rsidRPr="00AA20EE">
        <w:t>] could be explained</w:t>
      </w:r>
      <w:r w:rsidR="00AA20EE" w:rsidRPr="00701ECA">
        <w:t>”</w:t>
      </w:r>
      <w:r w:rsidRPr="00701ECA">
        <w:t>.  Prior to that time,</w:t>
      </w:r>
      <w:r w:rsidRPr="00701ECA">
        <w:rPr>
          <w:i/>
        </w:rPr>
        <w:t xml:space="preserve"> </w:t>
      </w:r>
      <w:r w:rsidR="00FF4C9F" w:rsidRPr="00701ECA">
        <w:t>everything was said by Mr </w:t>
      </w:r>
      <w:proofErr w:type="spellStart"/>
      <w:r w:rsidRPr="00701ECA">
        <w:t>Lewski</w:t>
      </w:r>
      <w:proofErr w:type="spellEnd"/>
      <w:r w:rsidRPr="00701ECA">
        <w:t xml:space="preserve"> to have been done “informally”.  I infer that </w:t>
      </w:r>
      <w:r w:rsidR="00283B03" w:rsidRPr="00701ECA">
        <w:t xml:space="preserve">this </w:t>
      </w:r>
      <w:r w:rsidRPr="00701ECA">
        <w:t>informality extended not just to the initial form of the arrangement (not being formally recorded in writing) but also to the terms of the arrangement</w:t>
      </w:r>
      <w:r w:rsidR="00C07AC2" w:rsidRPr="00701ECA">
        <w:t>,</w:t>
      </w:r>
      <w:r w:rsidRPr="00701ECA">
        <w:t xml:space="preserve"> which had not been fully thought</w:t>
      </w:r>
      <w:r w:rsidR="00696D11" w:rsidRPr="00701ECA">
        <w:t>‐</w:t>
      </w:r>
      <w:r w:rsidRPr="00701ECA">
        <w:t>through or developed prior to the drafting of the Litigation Funding Agreements.</w:t>
      </w:r>
      <w:r w:rsidR="0086369B" w:rsidRPr="00701ECA">
        <w:t xml:space="preserve">  </w:t>
      </w:r>
      <w:r w:rsidR="004A26F7" w:rsidRPr="00701ECA">
        <w:t xml:space="preserve">Even then, Mr </w:t>
      </w:r>
      <w:proofErr w:type="spellStart"/>
      <w:r w:rsidR="004A26F7" w:rsidRPr="00701ECA">
        <w:t>Lewski’s</w:t>
      </w:r>
      <w:proofErr w:type="spellEnd"/>
      <w:r w:rsidR="004A26F7" w:rsidRPr="00701ECA">
        <w:t xml:space="preserve"> evidence was that the Litigation Funding Agreement</w:t>
      </w:r>
      <w:r w:rsidR="00701ECA" w:rsidRPr="00701ECA">
        <w:t>s</w:t>
      </w:r>
      <w:r w:rsidR="004A26F7" w:rsidRPr="00701ECA">
        <w:t xml:space="preserve"> </w:t>
      </w:r>
      <w:r w:rsidR="0086369B" w:rsidRPr="00701ECA">
        <w:t>d</w:t>
      </w:r>
      <w:r w:rsidR="0086369B">
        <w:t>id not accurately record what he described as an engagement for services arrangement</w:t>
      </w:r>
      <w:r w:rsidR="004A26F7">
        <w:t>.</w:t>
      </w:r>
    </w:p>
    <w:p w14:paraId="72CE0092" w14:textId="77777777" w:rsidR="00C108ED" w:rsidRPr="00D97515" w:rsidRDefault="00C108ED" w:rsidP="00C108ED">
      <w:pPr>
        <w:pStyle w:val="Heading3"/>
      </w:pPr>
      <w:r w:rsidRPr="00D97515">
        <w:lastRenderedPageBreak/>
        <w:t xml:space="preserve">Evidence of Mr Ari </w:t>
      </w:r>
      <w:proofErr w:type="spellStart"/>
      <w:r w:rsidRPr="00D97515">
        <w:t>Lewski</w:t>
      </w:r>
      <w:proofErr w:type="spellEnd"/>
    </w:p>
    <w:p w14:paraId="63F8C478" w14:textId="22B8E36B" w:rsidR="00C108ED" w:rsidRPr="00B05432" w:rsidRDefault="00C108ED" w:rsidP="00C533D0">
      <w:pPr>
        <w:pStyle w:val="ParaNumbering"/>
        <w:rPr>
          <w:szCs w:val="24"/>
          <w:lang w:eastAsia="en-AU"/>
        </w:rPr>
      </w:pPr>
      <w:r w:rsidRPr="00D97515">
        <w:t xml:space="preserve">Mr Ari </w:t>
      </w:r>
      <w:proofErr w:type="spellStart"/>
      <w:r w:rsidRPr="00D97515">
        <w:t>Lewski</w:t>
      </w:r>
      <w:proofErr w:type="spellEnd"/>
      <w:r w:rsidRPr="00D97515">
        <w:t xml:space="preserve"> is the son of Mr William </w:t>
      </w:r>
      <w:proofErr w:type="spellStart"/>
      <w:r w:rsidRPr="00D97515">
        <w:t>Lewski</w:t>
      </w:r>
      <w:proofErr w:type="spellEnd"/>
      <w:r w:rsidRPr="00D97515">
        <w:t xml:space="preserve"> and also a director of the </w:t>
      </w:r>
      <w:r w:rsidR="00C948FC">
        <w:t>Applicant</w:t>
      </w:r>
      <w:r w:rsidRPr="00D97515">
        <w:t xml:space="preserve">.  He gave evidence that he was “aware” that the </w:t>
      </w:r>
      <w:r w:rsidR="00C948FC">
        <w:t>Applicant</w:t>
      </w:r>
      <w:r w:rsidRPr="00D97515">
        <w:t xml:space="preserve"> (through his father) dealt with lawyers and accountants and his understanding was that</w:t>
      </w:r>
      <w:r w:rsidR="00C533D0" w:rsidRPr="00D97515">
        <w:t>,</w:t>
      </w:r>
      <w:r w:rsidRPr="00D97515">
        <w:t xml:space="preserve"> in doing so, the </w:t>
      </w:r>
      <w:r w:rsidR="00C948FC">
        <w:t>Applicant</w:t>
      </w:r>
      <w:r w:rsidRPr="00D97515">
        <w:t xml:space="preserve"> was giving instructions and receiving services for natural persons in his family and the entities associated with his family.  Mr Ari </w:t>
      </w:r>
      <w:proofErr w:type="spellStart"/>
      <w:r w:rsidRPr="00D97515">
        <w:t>Lewski’s</w:t>
      </w:r>
      <w:proofErr w:type="spellEnd"/>
      <w:r w:rsidRPr="00D97515">
        <w:t xml:space="preserve"> understanding was that it was the </w:t>
      </w:r>
      <w:r w:rsidR="00C948FC">
        <w:t>Applicant</w:t>
      </w:r>
      <w:r w:rsidRPr="00D97515">
        <w:t xml:space="preserve"> that co</w:t>
      </w:r>
      <w:r w:rsidR="00E136C5">
        <w:t>‑</w:t>
      </w:r>
      <w:r w:rsidRPr="00D97515">
        <w:t>ordinated and effectively managed litigious and non</w:t>
      </w:r>
      <w:r w:rsidR="00E136C5">
        <w:t>‑</w:t>
      </w:r>
      <w:r w:rsidRPr="00D97515">
        <w:t xml:space="preserve">litigious work for the </w:t>
      </w:r>
      <w:proofErr w:type="spellStart"/>
      <w:r w:rsidRPr="00D97515">
        <w:t>Lewski</w:t>
      </w:r>
      <w:proofErr w:type="spellEnd"/>
      <w:r w:rsidRPr="00D97515">
        <w:t xml:space="preserve"> </w:t>
      </w:r>
      <w:r w:rsidR="00B05432">
        <w:t>F</w:t>
      </w:r>
      <w:r w:rsidRPr="00D97515">
        <w:t xml:space="preserve">amily </w:t>
      </w:r>
      <w:r w:rsidR="00B05432">
        <w:t>Group</w:t>
      </w:r>
      <w:r w:rsidRPr="00D97515">
        <w:t xml:space="preserve">, “with the </w:t>
      </w:r>
      <w:r w:rsidR="000F700A">
        <w:t>A</w:t>
      </w:r>
      <w:r w:rsidRPr="00D97515">
        <w:t>pplicant paying fees and acting as a central point of contact to co</w:t>
      </w:r>
      <w:r w:rsidR="00E136C5">
        <w:t>‑</w:t>
      </w:r>
      <w:r w:rsidRPr="00D97515">
        <w:t xml:space="preserve">ordinate the obtaining of professional services and to which (through </w:t>
      </w:r>
      <w:r w:rsidR="00693369">
        <w:t>[his]</w:t>
      </w:r>
      <w:r w:rsidR="00693369" w:rsidRPr="00D97515">
        <w:t xml:space="preserve"> </w:t>
      </w:r>
      <w:r w:rsidRPr="00D97515">
        <w:t>father) advice and other services were provided”</w:t>
      </w:r>
      <w:r w:rsidR="00C533D0" w:rsidRPr="00D97515">
        <w:t>.</w:t>
      </w:r>
      <w:r w:rsidRPr="00D97515">
        <w:t xml:space="preserve">  His evidence was that the work performed by Mr William </w:t>
      </w:r>
      <w:proofErr w:type="spellStart"/>
      <w:r w:rsidRPr="00D97515">
        <w:t>Lewski</w:t>
      </w:r>
      <w:proofErr w:type="spellEnd"/>
      <w:r w:rsidRPr="00D97515">
        <w:t xml:space="preserve"> for the </w:t>
      </w:r>
      <w:r w:rsidR="00C948FC">
        <w:t>Applicant</w:t>
      </w:r>
      <w:r w:rsidRPr="00D97515">
        <w:t xml:space="preserve"> was performed “with my knowledge and approval”.</w:t>
      </w:r>
    </w:p>
    <w:p w14:paraId="59960AEE" w14:textId="1818AE13" w:rsidR="00C108ED" w:rsidRPr="00B05432" w:rsidRDefault="00C108ED" w:rsidP="00C533D0">
      <w:pPr>
        <w:pStyle w:val="ParaNumbering"/>
        <w:rPr>
          <w:sz w:val="22"/>
          <w:szCs w:val="22"/>
          <w:lang w:eastAsia="en-AU"/>
        </w:rPr>
      </w:pPr>
      <w:r w:rsidRPr="00D97515">
        <w:t xml:space="preserve">Mr Ari </w:t>
      </w:r>
      <w:proofErr w:type="spellStart"/>
      <w:r w:rsidRPr="00D97515">
        <w:t>Lewski</w:t>
      </w:r>
      <w:proofErr w:type="spellEnd"/>
      <w:r w:rsidRPr="00D97515">
        <w:t xml:space="preserve"> was aware of numerous litigious matters involving members of the </w:t>
      </w:r>
      <w:proofErr w:type="spellStart"/>
      <w:r w:rsidRPr="00D97515">
        <w:t>Lewski</w:t>
      </w:r>
      <w:proofErr w:type="spellEnd"/>
      <w:r w:rsidRPr="00D97515">
        <w:t xml:space="preserve"> </w:t>
      </w:r>
      <w:r w:rsidR="00B05432">
        <w:t>F</w:t>
      </w:r>
      <w:r w:rsidRPr="00D97515">
        <w:t xml:space="preserve">amily </w:t>
      </w:r>
      <w:r w:rsidR="00B05432">
        <w:t>Group</w:t>
      </w:r>
      <w:r w:rsidRPr="00D97515">
        <w:t>, including:</w:t>
      </w:r>
    </w:p>
    <w:p w14:paraId="2D9FD6B1" w14:textId="77777777" w:rsidR="00F44FDB" w:rsidRDefault="00C108ED" w:rsidP="00F44FDB">
      <w:pPr>
        <w:pStyle w:val="ListNo1"/>
        <w:numPr>
          <w:ilvl w:val="0"/>
          <w:numId w:val="38"/>
        </w:numPr>
        <w:rPr>
          <w:szCs w:val="24"/>
          <w:lang w:eastAsia="en-AU"/>
        </w:rPr>
      </w:pPr>
      <w:r w:rsidRPr="00F44FDB">
        <w:rPr>
          <w:szCs w:val="24"/>
          <w:lang w:eastAsia="en-AU"/>
        </w:rPr>
        <w:t>Supreme Court of Victoria proceeding n</w:t>
      </w:r>
      <w:r w:rsidR="00C533D0" w:rsidRPr="00F44FDB">
        <w:rPr>
          <w:szCs w:val="24"/>
          <w:lang w:eastAsia="en-AU"/>
        </w:rPr>
        <w:t>umber</w:t>
      </w:r>
      <w:r w:rsidRPr="00F44FDB">
        <w:rPr>
          <w:szCs w:val="24"/>
          <w:lang w:eastAsia="en-AU"/>
        </w:rPr>
        <w:t xml:space="preserve"> SCI 2012 01199 (Listing fee Proceeding).  The members of the </w:t>
      </w:r>
      <w:proofErr w:type="spellStart"/>
      <w:r w:rsidRPr="00F44FDB">
        <w:rPr>
          <w:szCs w:val="24"/>
          <w:lang w:eastAsia="en-AU"/>
        </w:rPr>
        <w:t>Lewski</w:t>
      </w:r>
      <w:proofErr w:type="spellEnd"/>
      <w:r w:rsidRPr="00F44FDB">
        <w:rPr>
          <w:szCs w:val="24"/>
          <w:lang w:eastAsia="en-AU"/>
        </w:rPr>
        <w:t xml:space="preserve"> Family Group that were parties to this proceeding were </w:t>
      </w:r>
      <w:r w:rsidR="00C533D0" w:rsidRPr="00F44FDB">
        <w:rPr>
          <w:szCs w:val="24"/>
          <w:lang w:eastAsia="en-AU"/>
        </w:rPr>
        <w:t>Mr </w:t>
      </w:r>
      <w:r w:rsidRPr="00F44FDB">
        <w:rPr>
          <w:szCs w:val="24"/>
          <w:lang w:eastAsia="en-AU"/>
        </w:rPr>
        <w:t xml:space="preserve">William </w:t>
      </w:r>
      <w:proofErr w:type="spellStart"/>
      <w:r w:rsidRPr="00F44FDB">
        <w:rPr>
          <w:szCs w:val="24"/>
          <w:lang w:eastAsia="en-AU"/>
        </w:rPr>
        <w:t>Lewski</w:t>
      </w:r>
      <w:proofErr w:type="spellEnd"/>
      <w:r w:rsidRPr="00F44FDB">
        <w:rPr>
          <w:szCs w:val="24"/>
          <w:lang w:eastAsia="en-AU"/>
        </w:rPr>
        <w:t xml:space="preserve">; </w:t>
      </w:r>
      <w:proofErr w:type="spellStart"/>
      <w:r w:rsidRPr="00F44FDB">
        <w:rPr>
          <w:szCs w:val="24"/>
          <w:lang w:eastAsia="en-AU"/>
        </w:rPr>
        <w:t>Daytree</w:t>
      </w:r>
      <w:proofErr w:type="spellEnd"/>
      <w:r w:rsidRPr="00F44FDB">
        <w:rPr>
          <w:szCs w:val="24"/>
          <w:lang w:eastAsia="en-AU"/>
        </w:rPr>
        <w:t>; Carey Bay Pty Ltd and Australian Property Administrators P</w:t>
      </w:r>
      <w:r w:rsidR="002D7695" w:rsidRPr="00F44FDB">
        <w:rPr>
          <w:szCs w:val="24"/>
          <w:lang w:eastAsia="en-AU"/>
        </w:rPr>
        <w:t>t</w:t>
      </w:r>
      <w:r w:rsidRPr="00F44FDB">
        <w:rPr>
          <w:szCs w:val="24"/>
          <w:lang w:eastAsia="en-AU"/>
        </w:rPr>
        <w:t xml:space="preserve">y Ltd.  </w:t>
      </w:r>
      <w:r w:rsidR="005736EB" w:rsidRPr="00F44FDB">
        <w:rPr>
          <w:szCs w:val="24"/>
          <w:lang w:eastAsia="en-AU"/>
        </w:rPr>
        <w:t>T</w:t>
      </w:r>
      <w:r w:rsidRPr="00F44FDB">
        <w:rPr>
          <w:szCs w:val="24"/>
          <w:lang w:eastAsia="en-AU"/>
        </w:rPr>
        <w:t xml:space="preserve">hese proceedings involved claims by the liquidator of APCHL, the trustee of </w:t>
      </w:r>
      <w:r w:rsidR="009845FF" w:rsidRPr="00F44FDB">
        <w:rPr>
          <w:szCs w:val="24"/>
          <w:lang w:eastAsia="en-AU"/>
        </w:rPr>
        <w:t>the Prime Retirement and Aged Care Property Trust</w:t>
      </w:r>
      <w:r w:rsidR="00B05432" w:rsidRPr="00F44FDB">
        <w:rPr>
          <w:szCs w:val="24"/>
          <w:lang w:eastAsia="en-AU"/>
        </w:rPr>
        <w:t>,</w:t>
      </w:r>
      <w:r w:rsidRPr="00F44FDB">
        <w:rPr>
          <w:szCs w:val="24"/>
          <w:lang w:eastAsia="en-AU"/>
        </w:rPr>
        <w:t xml:space="preserve"> seeking repayment or damages in respect of a $33m listing fee payment made by </w:t>
      </w:r>
      <w:r w:rsidR="00796A8E" w:rsidRPr="00F44FDB">
        <w:rPr>
          <w:szCs w:val="24"/>
          <w:lang w:eastAsia="en-AU"/>
        </w:rPr>
        <w:t>APCHL</w:t>
      </w:r>
      <w:r w:rsidRPr="00F44FDB">
        <w:rPr>
          <w:szCs w:val="24"/>
          <w:lang w:eastAsia="en-AU"/>
        </w:rPr>
        <w:t xml:space="preserve"> as trustee;</w:t>
      </w:r>
    </w:p>
    <w:p w14:paraId="52783C71" w14:textId="77777777" w:rsidR="00F44FDB" w:rsidRDefault="00C108ED" w:rsidP="00F44FDB">
      <w:pPr>
        <w:pStyle w:val="ListNo1"/>
        <w:numPr>
          <w:ilvl w:val="0"/>
          <w:numId w:val="38"/>
        </w:numPr>
        <w:rPr>
          <w:szCs w:val="24"/>
          <w:lang w:eastAsia="en-AU"/>
        </w:rPr>
      </w:pPr>
      <w:r w:rsidRPr="00D97515">
        <w:rPr>
          <w:lang w:eastAsia="en-AU"/>
        </w:rPr>
        <w:t>Supreme Court of Victoria proceeding n</w:t>
      </w:r>
      <w:r w:rsidR="00C533D0" w:rsidRPr="00D97515">
        <w:rPr>
          <w:lang w:eastAsia="en-AU"/>
        </w:rPr>
        <w:t>umber</w:t>
      </w:r>
      <w:r w:rsidRPr="00D97515">
        <w:rPr>
          <w:lang w:eastAsia="en-AU"/>
        </w:rPr>
        <w:t xml:space="preserve"> SCI 2013 05042 (Auditor</w:t>
      </w:r>
      <w:r w:rsidR="00C533D0" w:rsidRPr="00D97515">
        <w:rPr>
          <w:lang w:eastAsia="en-AU"/>
        </w:rPr>
        <w:t>’</w:t>
      </w:r>
      <w:r w:rsidRPr="00D97515">
        <w:rPr>
          <w:lang w:eastAsia="en-AU"/>
        </w:rPr>
        <w:t xml:space="preserve">s Proceeding). </w:t>
      </w:r>
      <w:r w:rsidR="00796A8E">
        <w:rPr>
          <w:lang w:eastAsia="en-AU"/>
        </w:rPr>
        <w:t xml:space="preserve"> </w:t>
      </w:r>
      <w:r w:rsidRPr="00D97515">
        <w:rPr>
          <w:lang w:eastAsia="en-AU"/>
        </w:rPr>
        <w:t xml:space="preserve">The members of the </w:t>
      </w:r>
      <w:proofErr w:type="spellStart"/>
      <w:r w:rsidRPr="00D97515">
        <w:rPr>
          <w:lang w:eastAsia="en-AU"/>
        </w:rPr>
        <w:t>Lewski</w:t>
      </w:r>
      <w:proofErr w:type="spellEnd"/>
      <w:r w:rsidRPr="00D97515">
        <w:rPr>
          <w:lang w:eastAsia="en-AU"/>
        </w:rPr>
        <w:t xml:space="preserve"> Family Group that were parties to this proceeding were </w:t>
      </w:r>
      <w:r w:rsidR="00C533D0" w:rsidRPr="00D97515">
        <w:rPr>
          <w:lang w:eastAsia="en-AU"/>
        </w:rPr>
        <w:t xml:space="preserve">Mr </w:t>
      </w:r>
      <w:r w:rsidRPr="00D97515">
        <w:rPr>
          <w:lang w:eastAsia="en-AU"/>
        </w:rPr>
        <w:t xml:space="preserve">William </w:t>
      </w:r>
      <w:proofErr w:type="spellStart"/>
      <w:r w:rsidRPr="00D97515">
        <w:rPr>
          <w:lang w:eastAsia="en-AU"/>
        </w:rPr>
        <w:t>Lewski</w:t>
      </w:r>
      <w:proofErr w:type="spellEnd"/>
      <w:r w:rsidRPr="00D97515">
        <w:rPr>
          <w:lang w:eastAsia="en-AU"/>
        </w:rPr>
        <w:t xml:space="preserve">; </w:t>
      </w:r>
      <w:proofErr w:type="spellStart"/>
      <w:r w:rsidRPr="00D97515">
        <w:rPr>
          <w:lang w:eastAsia="en-AU"/>
        </w:rPr>
        <w:t>Daytree</w:t>
      </w:r>
      <w:proofErr w:type="spellEnd"/>
      <w:r w:rsidRPr="00D97515">
        <w:rPr>
          <w:lang w:eastAsia="en-AU"/>
        </w:rPr>
        <w:t xml:space="preserve">; Retirement Guide Pty Ltd; </w:t>
      </w:r>
      <w:r w:rsidRPr="001B13DD">
        <w:rPr>
          <w:lang w:eastAsia="en-AU"/>
        </w:rPr>
        <w:t>Australian Property Custodians Pty Ltd</w:t>
      </w:r>
      <w:r w:rsidRPr="00D97515">
        <w:rPr>
          <w:lang w:eastAsia="en-AU"/>
        </w:rPr>
        <w:t xml:space="preserve">; Australian Property Administrators Pty Ltd; </w:t>
      </w:r>
      <w:r w:rsidR="00C533D0" w:rsidRPr="00D97515">
        <w:rPr>
          <w:lang w:eastAsia="en-AU"/>
        </w:rPr>
        <w:t>M</w:t>
      </w:r>
      <w:r w:rsidR="00B05432">
        <w:rPr>
          <w:lang w:eastAsia="en-AU"/>
        </w:rPr>
        <w:t>r</w:t>
      </w:r>
      <w:r w:rsidR="00C533D0" w:rsidRPr="00D97515">
        <w:rPr>
          <w:lang w:eastAsia="en-AU"/>
        </w:rPr>
        <w:t xml:space="preserve">s </w:t>
      </w:r>
      <w:r w:rsidRPr="00D97515">
        <w:rPr>
          <w:lang w:eastAsia="en-AU"/>
        </w:rPr>
        <w:t xml:space="preserve">Roslyn </w:t>
      </w:r>
      <w:proofErr w:type="spellStart"/>
      <w:r w:rsidRPr="00D97515">
        <w:rPr>
          <w:lang w:eastAsia="en-AU"/>
        </w:rPr>
        <w:t>Lewski</w:t>
      </w:r>
      <w:proofErr w:type="spellEnd"/>
      <w:r w:rsidRPr="00D97515">
        <w:rPr>
          <w:lang w:eastAsia="en-AU"/>
        </w:rPr>
        <w:t xml:space="preserve">; </w:t>
      </w:r>
      <w:r w:rsidR="00C533D0" w:rsidRPr="00D97515">
        <w:rPr>
          <w:lang w:eastAsia="en-AU"/>
        </w:rPr>
        <w:t xml:space="preserve">Mr </w:t>
      </w:r>
      <w:r w:rsidRPr="00D97515">
        <w:rPr>
          <w:lang w:eastAsia="en-AU"/>
        </w:rPr>
        <w:t xml:space="preserve">Joshua </w:t>
      </w:r>
      <w:proofErr w:type="spellStart"/>
      <w:r w:rsidRPr="00D97515">
        <w:rPr>
          <w:lang w:eastAsia="en-AU"/>
        </w:rPr>
        <w:t>Lewski</w:t>
      </w:r>
      <w:proofErr w:type="spellEnd"/>
      <w:r w:rsidRPr="00D97515">
        <w:rPr>
          <w:lang w:eastAsia="en-AU"/>
        </w:rPr>
        <w:t xml:space="preserve"> and </w:t>
      </w:r>
      <w:r w:rsidR="00C533D0" w:rsidRPr="00D97515">
        <w:rPr>
          <w:lang w:eastAsia="en-AU"/>
        </w:rPr>
        <w:t xml:space="preserve">Mr </w:t>
      </w:r>
      <w:r w:rsidRPr="00D97515">
        <w:rPr>
          <w:lang w:eastAsia="en-AU"/>
        </w:rPr>
        <w:t>Matt</w:t>
      </w:r>
      <w:r w:rsidR="00B05432">
        <w:rPr>
          <w:lang w:eastAsia="en-AU"/>
        </w:rPr>
        <w:t>hew</w:t>
      </w:r>
      <w:r w:rsidRPr="00D97515">
        <w:rPr>
          <w:lang w:eastAsia="en-AU"/>
        </w:rPr>
        <w:t xml:space="preserve"> </w:t>
      </w:r>
      <w:proofErr w:type="spellStart"/>
      <w:r w:rsidRPr="00D97515">
        <w:rPr>
          <w:lang w:eastAsia="en-AU"/>
        </w:rPr>
        <w:t>Lewski</w:t>
      </w:r>
      <w:proofErr w:type="spellEnd"/>
      <w:r w:rsidRPr="00D97515">
        <w:rPr>
          <w:lang w:eastAsia="en-AU"/>
        </w:rPr>
        <w:t>;</w:t>
      </w:r>
    </w:p>
    <w:p w14:paraId="510DD4D1" w14:textId="77777777" w:rsidR="00F44FDB" w:rsidRDefault="00C108ED" w:rsidP="00F44FDB">
      <w:pPr>
        <w:pStyle w:val="ListNo1"/>
        <w:numPr>
          <w:ilvl w:val="0"/>
          <w:numId w:val="38"/>
        </w:numPr>
        <w:rPr>
          <w:szCs w:val="24"/>
          <w:lang w:eastAsia="en-AU"/>
        </w:rPr>
      </w:pPr>
      <w:r w:rsidRPr="00D97515">
        <w:rPr>
          <w:lang w:eastAsia="en-AU"/>
        </w:rPr>
        <w:t>Supreme Court of Victoria proceeding n</w:t>
      </w:r>
      <w:r w:rsidR="00C533D0" w:rsidRPr="00D97515">
        <w:rPr>
          <w:lang w:eastAsia="en-AU"/>
        </w:rPr>
        <w:t>umber</w:t>
      </w:r>
      <w:r w:rsidRPr="00D97515">
        <w:rPr>
          <w:lang w:eastAsia="en-AU"/>
        </w:rPr>
        <w:t xml:space="preserve"> SCI 2014 06713 (Management Rights Proceeding). </w:t>
      </w:r>
      <w:r w:rsidR="0029018F">
        <w:rPr>
          <w:lang w:eastAsia="en-AU"/>
        </w:rPr>
        <w:t xml:space="preserve"> </w:t>
      </w:r>
      <w:r w:rsidRPr="00D97515">
        <w:rPr>
          <w:lang w:eastAsia="en-AU"/>
        </w:rPr>
        <w:t xml:space="preserve">The members of the </w:t>
      </w:r>
      <w:proofErr w:type="spellStart"/>
      <w:r w:rsidRPr="00D97515">
        <w:rPr>
          <w:lang w:eastAsia="en-AU"/>
        </w:rPr>
        <w:t>Lewski</w:t>
      </w:r>
      <w:proofErr w:type="spellEnd"/>
      <w:r w:rsidRPr="00D97515">
        <w:rPr>
          <w:lang w:eastAsia="en-AU"/>
        </w:rPr>
        <w:t xml:space="preserve"> Family Group that were parties to this proceeding were Retirement Guide Pty Ltd; </w:t>
      </w:r>
      <w:r w:rsidRPr="001B13DD">
        <w:rPr>
          <w:lang w:eastAsia="en-AU"/>
        </w:rPr>
        <w:t>Australian Property Custodians Pty Ltd;</w:t>
      </w:r>
      <w:r w:rsidRPr="00D97515">
        <w:rPr>
          <w:lang w:eastAsia="en-AU"/>
        </w:rPr>
        <w:t xml:space="preserve"> </w:t>
      </w:r>
      <w:r w:rsidR="00C533D0" w:rsidRPr="00D97515">
        <w:rPr>
          <w:lang w:eastAsia="en-AU"/>
        </w:rPr>
        <w:t>Mr</w:t>
      </w:r>
      <w:r w:rsidR="00C533D0" w:rsidRPr="00D97515">
        <w:t> </w:t>
      </w:r>
      <w:r w:rsidRPr="00D97515">
        <w:rPr>
          <w:lang w:eastAsia="en-AU"/>
        </w:rPr>
        <w:t xml:space="preserve">William </w:t>
      </w:r>
      <w:proofErr w:type="spellStart"/>
      <w:r w:rsidRPr="00D97515">
        <w:rPr>
          <w:lang w:eastAsia="en-AU"/>
        </w:rPr>
        <w:t>Lewski</w:t>
      </w:r>
      <w:proofErr w:type="spellEnd"/>
      <w:r w:rsidRPr="00D97515">
        <w:rPr>
          <w:lang w:eastAsia="en-AU"/>
        </w:rPr>
        <w:t xml:space="preserve">; </w:t>
      </w:r>
      <w:r w:rsidR="00C533D0" w:rsidRPr="00D97515">
        <w:rPr>
          <w:lang w:eastAsia="en-AU"/>
        </w:rPr>
        <w:t>M</w:t>
      </w:r>
      <w:r w:rsidR="00B05432">
        <w:rPr>
          <w:lang w:eastAsia="en-AU"/>
        </w:rPr>
        <w:t>r</w:t>
      </w:r>
      <w:r w:rsidR="00C533D0" w:rsidRPr="00D97515">
        <w:rPr>
          <w:lang w:eastAsia="en-AU"/>
        </w:rPr>
        <w:t xml:space="preserve">s </w:t>
      </w:r>
      <w:r w:rsidRPr="00D97515">
        <w:rPr>
          <w:lang w:eastAsia="en-AU"/>
        </w:rPr>
        <w:t xml:space="preserve">Roslyn </w:t>
      </w:r>
      <w:proofErr w:type="spellStart"/>
      <w:r w:rsidRPr="00D97515">
        <w:rPr>
          <w:lang w:eastAsia="en-AU"/>
        </w:rPr>
        <w:t>Lewski</w:t>
      </w:r>
      <w:proofErr w:type="spellEnd"/>
      <w:r w:rsidRPr="00D97515">
        <w:rPr>
          <w:lang w:eastAsia="en-AU"/>
        </w:rPr>
        <w:t xml:space="preserve">; </w:t>
      </w:r>
      <w:r w:rsidR="00C533D0" w:rsidRPr="00D97515">
        <w:rPr>
          <w:lang w:eastAsia="en-AU"/>
        </w:rPr>
        <w:t xml:space="preserve">Mr </w:t>
      </w:r>
      <w:r w:rsidRPr="00D97515">
        <w:rPr>
          <w:lang w:eastAsia="en-AU"/>
        </w:rPr>
        <w:t xml:space="preserve">Joshua </w:t>
      </w:r>
      <w:proofErr w:type="spellStart"/>
      <w:r w:rsidRPr="00D97515">
        <w:rPr>
          <w:lang w:eastAsia="en-AU"/>
        </w:rPr>
        <w:t>Lewski</w:t>
      </w:r>
      <w:proofErr w:type="spellEnd"/>
      <w:r w:rsidRPr="00D97515">
        <w:rPr>
          <w:lang w:eastAsia="en-AU"/>
        </w:rPr>
        <w:t xml:space="preserve"> and </w:t>
      </w:r>
      <w:r w:rsidR="00C533D0" w:rsidRPr="00D97515">
        <w:rPr>
          <w:lang w:eastAsia="en-AU"/>
        </w:rPr>
        <w:t xml:space="preserve">Mr </w:t>
      </w:r>
      <w:r w:rsidRPr="00D97515">
        <w:rPr>
          <w:lang w:eastAsia="en-AU"/>
        </w:rPr>
        <w:t>Matt</w:t>
      </w:r>
      <w:r w:rsidR="00B05432">
        <w:rPr>
          <w:lang w:eastAsia="en-AU"/>
        </w:rPr>
        <w:t>hew</w:t>
      </w:r>
      <w:r w:rsidRPr="00D97515">
        <w:rPr>
          <w:lang w:eastAsia="en-AU"/>
        </w:rPr>
        <w:t xml:space="preserve"> </w:t>
      </w:r>
      <w:proofErr w:type="spellStart"/>
      <w:r w:rsidRPr="00D97515">
        <w:rPr>
          <w:lang w:eastAsia="en-AU"/>
        </w:rPr>
        <w:t>Lewski</w:t>
      </w:r>
      <w:proofErr w:type="spellEnd"/>
      <w:r w:rsidRPr="00D97515">
        <w:rPr>
          <w:lang w:eastAsia="en-AU"/>
        </w:rPr>
        <w:t xml:space="preserve">.  </w:t>
      </w:r>
      <w:r w:rsidR="005736EB" w:rsidRPr="00D97515">
        <w:rPr>
          <w:lang w:eastAsia="en-AU"/>
        </w:rPr>
        <w:t>T</w:t>
      </w:r>
      <w:r w:rsidRPr="00D97515">
        <w:rPr>
          <w:lang w:eastAsia="en-AU"/>
        </w:rPr>
        <w:t>hese proceedings related to claims by the liquidator seeking repayment or damages in respect of</w:t>
      </w:r>
      <w:r w:rsidR="005736EB" w:rsidRPr="00D97515">
        <w:rPr>
          <w:lang w:eastAsia="en-AU"/>
        </w:rPr>
        <w:t xml:space="preserve"> a </w:t>
      </w:r>
      <w:r w:rsidR="00796A8E">
        <w:rPr>
          <w:lang w:eastAsia="en-AU"/>
        </w:rPr>
        <w:t xml:space="preserve">$60m </w:t>
      </w:r>
      <w:r w:rsidR="005736EB" w:rsidRPr="00D97515">
        <w:rPr>
          <w:lang w:eastAsia="en-AU"/>
        </w:rPr>
        <w:t>payment</w:t>
      </w:r>
      <w:r w:rsidRPr="00D97515">
        <w:rPr>
          <w:lang w:eastAsia="en-AU"/>
        </w:rPr>
        <w:t xml:space="preserve"> received by members of the </w:t>
      </w:r>
      <w:proofErr w:type="spellStart"/>
      <w:r w:rsidRPr="00D97515">
        <w:rPr>
          <w:lang w:eastAsia="en-AU"/>
        </w:rPr>
        <w:t>Lewski</w:t>
      </w:r>
      <w:proofErr w:type="spellEnd"/>
      <w:r w:rsidRPr="00D97515">
        <w:rPr>
          <w:lang w:eastAsia="en-AU"/>
        </w:rPr>
        <w:t xml:space="preserve"> Family Group </w:t>
      </w:r>
      <w:r w:rsidR="005736EB" w:rsidRPr="00D97515">
        <w:rPr>
          <w:lang w:eastAsia="en-AU"/>
        </w:rPr>
        <w:t xml:space="preserve">relating </w:t>
      </w:r>
      <w:r w:rsidR="005736EB" w:rsidRPr="00D97515">
        <w:rPr>
          <w:lang w:eastAsia="en-AU"/>
        </w:rPr>
        <w:lastRenderedPageBreak/>
        <w:t>to</w:t>
      </w:r>
      <w:r w:rsidRPr="00D97515">
        <w:rPr>
          <w:lang w:eastAsia="en-AU"/>
        </w:rPr>
        <w:t xml:space="preserve"> the sale of management rights in respect of particular aged care properties to Babcock &amp; Brown</w:t>
      </w:r>
      <w:r w:rsidR="005736EB" w:rsidRPr="00D97515">
        <w:rPr>
          <w:lang w:eastAsia="en-AU"/>
        </w:rPr>
        <w:t>;</w:t>
      </w:r>
    </w:p>
    <w:p w14:paraId="73B0B7BA" w14:textId="77777777" w:rsidR="00F44FDB" w:rsidRDefault="00C108ED" w:rsidP="00F44FDB">
      <w:pPr>
        <w:pStyle w:val="ListNo1"/>
        <w:numPr>
          <w:ilvl w:val="0"/>
          <w:numId w:val="38"/>
        </w:numPr>
        <w:rPr>
          <w:szCs w:val="24"/>
          <w:lang w:eastAsia="en-AU"/>
        </w:rPr>
      </w:pPr>
      <w:r w:rsidRPr="00D97515">
        <w:rPr>
          <w:lang w:eastAsia="en-AU"/>
        </w:rPr>
        <w:t>Federal Court of Australia proceeding n</w:t>
      </w:r>
      <w:r w:rsidR="00C533D0" w:rsidRPr="00D97515">
        <w:rPr>
          <w:lang w:eastAsia="en-AU"/>
        </w:rPr>
        <w:t>umber</w:t>
      </w:r>
      <w:r w:rsidRPr="00D97515">
        <w:rPr>
          <w:lang w:eastAsia="en-AU"/>
        </w:rPr>
        <w:t xml:space="preserve"> VID 59</w:t>
      </w:r>
      <w:r w:rsidR="0024549E" w:rsidRPr="00D97515">
        <w:rPr>
          <w:lang w:eastAsia="en-AU"/>
        </w:rPr>
        <w:t xml:space="preserve">4 of 2012 (ASIC Proceeding). </w:t>
      </w:r>
      <w:r w:rsidR="0029018F">
        <w:rPr>
          <w:lang w:eastAsia="en-AU"/>
        </w:rPr>
        <w:t xml:space="preserve"> </w:t>
      </w:r>
      <w:r w:rsidR="0024549E" w:rsidRPr="00D97515">
        <w:rPr>
          <w:lang w:eastAsia="en-AU"/>
        </w:rPr>
        <w:t>Mr </w:t>
      </w:r>
      <w:r w:rsidRPr="00D97515">
        <w:rPr>
          <w:lang w:eastAsia="en-AU"/>
        </w:rPr>
        <w:t xml:space="preserve">William </w:t>
      </w:r>
      <w:proofErr w:type="spellStart"/>
      <w:r w:rsidRPr="00D97515">
        <w:rPr>
          <w:lang w:eastAsia="en-AU"/>
        </w:rPr>
        <w:t>Lewski</w:t>
      </w:r>
      <w:proofErr w:type="spellEnd"/>
      <w:r w:rsidRPr="00D97515">
        <w:rPr>
          <w:lang w:eastAsia="en-AU"/>
        </w:rPr>
        <w:t xml:space="preserve"> was a party to this proceeding </w:t>
      </w:r>
      <w:r w:rsidR="0024549E" w:rsidRPr="00D97515">
        <w:rPr>
          <w:lang w:eastAsia="en-AU"/>
        </w:rPr>
        <w:t xml:space="preserve">in which ASIC sought to have </w:t>
      </w:r>
      <w:r w:rsidR="00DE7E11">
        <w:rPr>
          <w:lang w:eastAsia="en-AU"/>
        </w:rPr>
        <w:t>him</w:t>
      </w:r>
      <w:r w:rsidRPr="00D97515">
        <w:rPr>
          <w:lang w:eastAsia="en-AU"/>
        </w:rPr>
        <w:t xml:space="preserve"> banned from being a director;</w:t>
      </w:r>
    </w:p>
    <w:p w14:paraId="2D6B4DC0" w14:textId="77777777" w:rsidR="00F44FDB" w:rsidRDefault="00C108ED" w:rsidP="00F44FDB">
      <w:pPr>
        <w:pStyle w:val="ListNo1"/>
        <w:numPr>
          <w:ilvl w:val="0"/>
          <w:numId w:val="38"/>
        </w:numPr>
        <w:rPr>
          <w:szCs w:val="24"/>
          <w:lang w:eastAsia="en-AU"/>
        </w:rPr>
      </w:pPr>
      <w:r w:rsidRPr="00D97515">
        <w:rPr>
          <w:lang w:eastAsia="en-AU"/>
        </w:rPr>
        <w:t>Federal Court of Australia proceeding n</w:t>
      </w:r>
      <w:r w:rsidR="00C533D0" w:rsidRPr="00D97515">
        <w:rPr>
          <w:lang w:eastAsia="en-AU"/>
        </w:rPr>
        <w:t>umber</w:t>
      </w:r>
      <w:r w:rsidRPr="00D97515">
        <w:rPr>
          <w:lang w:eastAsia="en-AU"/>
        </w:rPr>
        <w:t xml:space="preserve"> VID 752 of 201</w:t>
      </w:r>
      <w:r w:rsidR="00B800B2">
        <w:rPr>
          <w:lang w:eastAsia="en-AU"/>
        </w:rPr>
        <w:t>2</w:t>
      </w:r>
      <w:r w:rsidRPr="00D97515">
        <w:rPr>
          <w:lang w:eastAsia="en-AU"/>
        </w:rPr>
        <w:t xml:space="preserve"> (ASIC Appeal Proceeding).  This was an appeal by Mr William </w:t>
      </w:r>
      <w:proofErr w:type="spellStart"/>
      <w:r w:rsidRPr="00D97515">
        <w:rPr>
          <w:lang w:eastAsia="en-AU"/>
        </w:rPr>
        <w:t>Lewski</w:t>
      </w:r>
      <w:proofErr w:type="spellEnd"/>
      <w:r w:rsidRPr="00D97515">
        <w:rPr>
          <w:lang w:eastAsia="en-AU"/>
        </w:rPr>
        <w:t xml:space="preserve"> (amongst others) against the banning orders obtained by ASIC;</w:t>
      </w:r>
    </w:p>
    <w:p w14:paraId="3B996295" w14:textId="77777777" w:rsidR="00F44FDB" w:rsidRDefault="00C108ED" w:rsidP="00F44FDB">
      <w:pPr>
        <w:pStyle w:val="ListNo1"/>
        <w:numPr>
          <w:ilvl w:val="0"/>
          <w:numId w:val="38"/>
        </w:numPr>
        <w:rPr>
          <w:szCs w:val="24"/>
          <w:lang w:eastAsia="en-AU"/>
        </w:rPr>
      </w:pPr>
      <w:r w:rsidRPr="00D97515">
        <w:rPr>
          <w:lang w:eastAsia="en-AU"/>
        </w:rPr>
        <w:t xml:space="preserve">Supreme Court of Victoria proceeding no. SCI 2013 01341. </w:t>
      </w:r>
      <w:r w:rsidR="00C533D0" w:rsidRPr="00D97515">
        <w:rPr>
          <w:lang w:eastAsia="en-AU"/>
        </w:rPr>
        <w:t xml:space="preserve"> </w:t>
      </w:r>
      <w:r w:rsidRPr="00D97515">
        <w:rPr>
          <w:lang w:eastAsia="en-AU"/>
        </w:rPr>
        <w:t xml:space="preserve">The members of the </w:t>
      </w:r>
      <w:proofErr w:type="spellStart"/>
      <w:r w:rsidRPr="00D97515">
        <w:rPr>
          <w:lang w:eastAsia="en-AU"/>
        </w:rPr>
        <w:t>Lewski</w:t>
      </w:r>
      <w:proofErr w:type="spellEnd"/>
      <w:r w:rsidRPr="00D97515">
        <w:rPr>
          <w:lang w:eastAsia="en-AU"/>
        </w:rPr>
        <w:t xml:space="preserve"> Family Group that were parties to this proceeding were </w:t>
      </w:r>
      <w:r w:rsidR="00C533D0" w:rsidRPr="00D97515">
        <w:rPr>
          <w:lang w:eastAsia="en-AU"/>
        </w:rPr>
        <w:t xml:space="preserve">Mr </w:t>
      </w:r>
      <w:r w:rsidRPr="00D97515">
        <w:rPr>
          <w:lang w:eastAsia="en-AU"/>
        </w:rPr>
        <w:t xml:space="preserve">William </w:t>
      </w:r>
      <w:proofErr w:type="spellStart"/>
      <w:r w:rsidRPr="00D97515">
        <w:rPr>
          <w:lang w:eastAsia="en-AU"/>
        </w:rPr>
        <w:t>Lewski</w:t>
      </w:r>
      <w:proofErr w:type="spellEnd"/>
      <w:r w:rsidRPr="00D97515">
        <w:rPr>
          <w:lang w:eastAsia="en-AU"/>
        </w:rPr>
        <w:t xml:space="preserve">; Retirement Guide Pty Ltd; </w:t>
      </w:r>
      <w:proofErr w:type="spellStart"/>
      <w:r w:rsidRPr="00D97515">
        <w:rPr>
          <w:lang w:eastAsia="en-AU"/>
        </w:rPr>
        <w:t>Daytree</w:t>
      </w:r>
      <w:proofErr w:type="spellEnd"/>
      <w:r w:rsidRPr="00D97515">
        <w:rPr>
          <w:lang w:eastAsia="en-AU"/>
        </w:rPr>
        <w:t xml:space="preserve">; Carey Bay Pty Ltd; </w:t>
      </w:r>
      <w:r w:rsidRPr="001B13DD">
        <w:rPr>
          <w:lang w:eastAsia="en-AU"/>
        </w:rPr>
        <w:t>Australian Property Custodians Pty Ltd</w:t>
      </w:r>
      <w:r w:rsidRPr="00D97515">
        <w:rPr>
          <w:lang w:eastAsia="en-AU"/>
        </w:rPr>
        <w:t xml:space="preserve">; Australian Property Administrators Pty Ltd; </w:t>
      </w:r>
      <w:r w:rsidR="006B43AE" w:rsidRPr="00D97515">
        <w:rPr>
          <w:lang w:eastAsia="en-AU"/>
        </w:rPr>
        <w:t>M</w:t>
      </w:r>
      <w:r w:rsidR="00B05432">
        <w:rPr>
          <w:lang w:eastAsia="en-AU"/>
        </w:rPr>
        <w:t>r</w:t>
      </w:r>
      <w:r w:rsidR="006B43AE" w:rsidRPr="00D97515">
        <w:rPr>
          <w:lang w:eastAsia="en-AU"/>
        </w:rPr>
        <w:t xml:space="preserve">s </w:t>
      </w:r>
      <w:r w:rsidRPr="00D97515">
        <w:rPr>
          <w:lang w:eastAsia="en-AU"/>
        </w:rPr>
        <w:t xml:space="preserve">Roslyn </w:t>
      </w:r>
      <w:proofErr w:type="spellStart"/>
      <w:r w:rsidRPr="00D97515">
        <w:rPr>
          <w:lang w:eastAsia="en-AU"/>
        </w:rPr>
        <w:t>Lewski</w:t>
      </w:r>
      <w:proofErr w:type="spellEnd"/>
      <w:r w:rsidRPr="00D97515">
        <w:rPr>
          <w:lang w:eastAsia="en-AU"/>
        </w:rPr>
        <w:t xml:space="preserve">; </w:t>
      </w:r>
      <w:r w:rsidR="006B43AE" w:rsidRPr="00D97515">
        <w:rPr>
          <w:lang w:eastAsia="en-AU"/>
        </w:rPr>
        <w:t>Mr</w:t>
      </w:r>
      <w:r w:rsidR="006B43AE" w:rsidRPr="00D97515">
        <w:t> </w:t>
      </w:r>
      <w:r w:rsidRPr="00D97515">
        <w:rPr>
          <w:lang w:eastAsia="en-AU"/>
        </w:rPr>
        <w:t xml:space="preserve">Joshua </w:t>
      </w:r>
      <w:proofErr w:type="spellStart"/>
      <w:r w:rsidRPr="00D97515">
        <w:rPr>
          <w:lang w:eastAsia="en-AU"/>
        </w:rPr>
        <w:t>Lewski</w:t>
      </w:r>
      <w:proofErr w:type="spellEnd"/>
      <w:r w:rsidRPr="00D97515">
        <w:rPr>
          <w:lang w:eastAsia="en-AU"/>
        </w:rPr>
        <w:t xml:space="preserve"> and </w:t>
      </w:r>
      <w:r w:rsidR="006B43AE" w:rsidRPr="00D97515">
        <w:rPr>
          <w:lang w:eastAsia="en-AU"/>
        </w:rPr>
        <w:t xml:space="preserve">Mr </w:t>
      </w:r>
      <w:r w:rsidRPr="00D97515">
        <w:rPr>
          <w:lang w:eastAsia="en-AU"/>
        </w:rPr>
        <w:t>Matt</w:t>
      </w:r>
      <w:r w:rsidR="00B05432">
        <w:rPr>
          <w:lang w:eastAsia="en-AU"/>
        </w:rPr>
        <w:t>hew</w:t>
      </w:r>
      <w:r w:rsidRPr="00D97515">
        <w:rPr>
          <w:lang w:eastAsia="en-AU"/>
        </w:rPr>
        <w:t xml:space="preserve"> </w:t>
      </w:r>
      <w:proofErr w:type="spellStart"/>
      <w:r w:rsidRPr="00D97515">
        <w:rPr>
          <w:lang w:eastAsia="en-AU"/>
        </w:rPr>
        <w:t>Lewski</w:t>
      </w:r>
      <w:proofErr w:type="spellEnd"/>
      <w:r w:rsidRPr="00D97515">
        <w:rPr>
          <w:lang w:eastAsia="en-AU"/>
        </w:rPr>
        <w:t>;</w:t>
      </w:r>
    </w:p>
    <w:p w14:paraId="1F9634F2" w14:textId="77777777" w:rsidR="00F44FDB" w:rsidRDefault="00C108ED" w:rsidP="00F44FDB">
      <w:pPr>
        <w:pStyle w:val="ListNo1"/>
        <w:numPr>
          <w:ilvl w:val="0"/>
          <w:numId w:val="38"/>
        </w:numPr>
        <w:rPr>
          <w:szCs w:val="24"/>
          <w:lang w:eastAsia="en-AU"/>
        </w:rPr>
      </w:pPr>
      <w:r w:rsidRPr="00D97515">
        <w:rPr>
          <w:lang w:eastAsia="en-AU"/>
        </w:rPr>
        <w:t>Supreme Court of Victoria proceeding n</w:t>
      </w:r>
      <w:r w:rsidR="006B43AE" w:rsidRPr="00D97515">
        <w:rPr>
          <w:lang w:eastAsia="en-AU"/>
        </w:rPr>
        <w:t>umber</w:t>
      </w:r>
      <w:r w:rsidRPr="00D97515">
        <w:rPr>
          <w:lang w:eastAsia="en-AU"/>
        </w:rPr>
        <w:t xml:space="preserve"> SCI 2014 01136. </w:t>
      </w:r>
      <w:r w:rsidR="006B43AE" w:rsidRPr="00D97515">
        <w:rPr>
          <w:lang w:eastAsia="en-AU"/>
        </w:rPr>
        <w:t xml:space="preserve"> </w:t>
      </w:r>
      <w:r w:rsidRPr="00D97515">
        <w:rPr>
          <w:lang w:eastAsia="en-AU"/>
        </w:rPr>
        <w:t>The members of the</w:t>
      </w:r>
      <w:r w:rsidR="0024549E" w:rsidRPr="00D97515">
        <w:rPr>
          <w:lang w:eastAsia="en-AU"/>
        </w:rPr>
        <w:t xml:space="preserve"> </w:t>
      </w:r>
      <w:proofErr w:type="spellStart"/>
      <w:r w:rsidRPr="00D97515">
        <w:rPr>
          <w:lang w:eastAsia="en-AU"/>
        </w:rPr>
        <w:t>Lewski</w:t>
      </w:r>
      <w:proofErr w:type="spellEnd"/>
      <w:r w:rsidRPr="00D97515">
        <w:rPr>
          <w:lang w:eastAsia="en-AU"/>
        </w:rPr>
        <w:t xml:space="preserve"> Family Group that were parties to this proceeding were </w:t>
      </w:r>
      <w:r w:rsidR="006B43AE" w:rsidRPr="00D97515">
        <w:rPr>
          <w:lang w:eastAsia="en-AU"/>
        </w:rPr>
        <w:t xml:space="preserve">Mr </w:t>
      </w:r>
      <w:r w:rsidRPr="00D97515">
        <w:rPr>
          <w:lang w:eastAsia="en-AU"/>
        </w:rPr>
        <w:t xml:space="preserve">William </w:t>
      </w:r>
      <w:proofErr w:type="spellStart"/>
      <w:r w:rsidRPr="00D97515">
        <w:rPr>
          <w:lang w:eastAsia="en-AU"/>
        </w:rPr>
        <w:t>Lewski</w:t>
      </w:r>
      <w:proofErr w:type="spellEnd"/>
      <w:r w:rsidRPr="00D97515">
        <w:rPr>
          <w:lang w:eastAsia="en-AU"/>
        </w:rPr>
        <w:t xml:space="preserve">; Retirement Guide Pty Ltd; </w:t>
      </w:r>
      <w:proofErr w:type="spellStart"/>
      <w:r w:rsidRPr="00D97515">
        <w:rPr>
          <w:lang w:eastAsia="en-AU"/>
        </w:rPr>
        <w:t>Daytree</w:t>
      </w:r>
      <w:proofErr w:type="spellEnd"/>
      <w:r w:rsidRPr="00D97515">
        <w:rPr>
          <w:lang w:eastAsia="en-AU"/>
        </w:rPr>
        <w:t xml:space="preserve">; Carey Bay Pty Ltd; Australian Property Custodians Pty Ltd; Australian Property Administrators Pty Ltd; </w:t>
      </w:r>
      <w:r w:rsidR="006B43AE" w:rsidRPr="00D97515">
        <w:rPr>
          <w:lang w:eastAsia="en-AU"/>
        </w:rPr>
        <w:t>M</w:t>
      </w:r>
      <w:r w:rsidR="00B05432">
        <w:rPr>
          <w:lang w:eastAsia="en-AU"/>
        </w:rPr>
        <w:t>r</w:t>
      </w:r>
      <w:r w:rsidR="006B43AE" w:rsidRPr="00D97515">
        <w:rPr>
          <w:lang w:eastAsia="en-AU"/>
        </w:rPr>
        <w:t xml:space="preserve">s </w:t>
      </w:r>
      <w:r w:rsidRPr="00D97515">
        <w:rPr>
          <w:lang w:eastAsia="en-AU"/>
        </w:rPr>
        <w:t xml:space="preserve">Roslyn </w:t>
      </w:r>
      <w:proofErr w:type="spellStart"/>
      <w:r w:rsidRPr="00D97515">
        <w:rPr>
          <w:lang w:eastAsia="en-AU"/>
        </w:rPr>
        <w:t>Lewski</w:t>
      </w:r>
      <w:proofErr w:type="spellEnd"/>
      <w:r w:rsidRPr="00D97515">
        <w:rPr>
          <w:lang w:eastAsia="en-AU"/>
        </w:rPr>
        <w:t xml:space="preserve">; </w:t>
      </w:r>
      <w:r w:rsidR="006B43AE" w:rsidRPr="00D97515">
        <w:rPr>
          <w:lang w:eastAsia="en-AU"/>
        </w:rPr>
        <w:t xml:space="preserve">Mr </w:t>
      </w:r>
      <w:r w:rsidRPr="00D97515">
        <w:rPr>
          <w:lang w:eastAsia="en-AU"/>
        </w:rPr>
        <w:t xml:space="preserve">Joshua </w:t>
      </w:r>
      <w:proofErr w:type="spellStart"/>
      <w:r w:rsidRPr="00D97515">
        <w:rPr>
          <w:lang w:eastAsia="en-AU"/>
        </w:rPr>
        <w:t>Lewski</w:t>
      </w:r>
      <w:proofErr w:type="spellEnd"/>
      <w:r w:rsidRPr="00D97515">
        <w:rPr>
          <w:lang w:eastAsia="en-AU"/>
        </w:rPr>
        <w:t xml:space="preserve"> and </w:t>
      </w:r>
      <w:r w:rsidR="006B43AE" w:rsidRPr="00D97515">
        <w:rPr>
          <w:lang w:eastAsia="en-AU"/>
        </w:rPr>
        <w:t xml:space="preserve">Mr </w:t>
      </w:r>
      <w:r w:rsidRPr="00D97515">
        <w:rPr>
          <w:lang w:eastAsia="en-AU"/>
        </w:rPr>
        <w:t>Matt</w:t>
      </w:r>
      <w:r w:rsidR="00B05432">
        <w:rPr>
          <w:lang w:eastAsia="en-AU"/>
        </w:rPr>
        <w:t>hew</w:t>
      </w:r>
      <w:r w:rsidRPr="00D97515">
        <w:rPr>
          <w:lang w:eastAsia="en-AU"/>
        </w:rPr>
        <w:t xml:space="preserve"> </w:t>
      </w:r>
      <w:proofErr w:type="spellStart"/>
      <w:r w:rsidRPr="00D97515">
        <w:rPr>
          <w:lang w:eastAsia="en-AU"/>
        </w:rPr>
        <w:t>Lewski</w:t>
      </w:r>
      <w:proofErr w:type="spellEnd"/>
      <w:r w:rsidRPr="00D97515">
        <w:rPr>
          <w:lang w:eastAsia="en-AU"/>
        </w:rPr>
        <w:t>;</w:t>
      </w:r>
    </w:p>
    <w:p w14:paraId="4872EB94" w14:textId="77777777" w:rsidR="00F44FDB" w:rsidRDefault="00C108ED" w:rsidP="00F44FDB">
      <w:pPr>
        <w:pStyle w:val="ListNo1"/>
        <w:numPr>
          <w:ilvl w:val="0"/>
          <w:numId w:val="38"/>
        </w:numPr>
        <w:rPr>
          <w:szCs w:val="24"/>
          <w:lang w:eastAsia="en-AU"/>
        </w:rPr>
      </w:pPr>
      <w:r w:rsidRPr="00D97515">
        <w:rPr>
          <w:lang w:eastAsia="en-AU"/>
        </w:rPr>
        <w:t>Supreme Court of Victoria proceeding n</w:t>
      </w:r>
      <w:r w:rsidR="006B43AE" w:rsidRPr="00D97515">
        <w:rPr>
          <w:lang w:eastAsia="en-AU"/>
        </w:rPr>
        <w:t>umber</w:t>
      </w:r>
      <w:r w:rsidRPr="00D97515">
        <w:rPr>
          <w:lang w:eastAsia="en-AU"/>
        </w:rPr>
        <w:t xml:space="preserve"> SCI 2013 05416. </w:t>
      </w:r>
      <w:r w:rsidR="0029018F">
        <w:rPr>
          <w:lang w:eastAsia="en-AU"/>
        </w:rPr>
        <w:t xml:space="preserve"> </w:t>
      </w:r>
      <w:r w:rsidRPr="00D97515">
        <w:rPr>
          <w:lang w:eastAsia="en-AU"/>
        </w:rPr>
        <w:t xml:space="preserve">The member of the </w:t>
      </w:r>
      <w:proofErr w:type="spellStart"/>
      <w:r w:rsidRPr="00D97515">
        <w:rPr>
          <w:lang w:eastAsia="en-AU"/>
        </w:rPr>
        <w:t>Lewski</w:t>
      </w:r>
      <w:proofErr w:type="spellEnd"/>
      <w:r w:rsidRPr="00D97515">
        <w:rPr>
          <w:lang w:eastAsia="en-AU"/>
        </w:rPr>
        <w:t xml:space="preserve"> Family Group that was a party to this proceeding was Retirement Guide Pty Ltd;</w:t>
      </w:r>
    </w:p>
    <w:p w14:paraId="5C85D3D9" w14:textId="77777777" w:rsidR="00F44FDB" w:rsidRDefault="00C108ED" w:rsidP="00F44FDB">
      <w:pPr>
        <w:pStyle w:val="ListNo1"/>
        <w:numPr>
          <w:ilvl w:val="0"/>
          <w:numId w:val="38"/>
        </w:numPr>
        <w:rPr>
          <w:szCs w:val="24"/>
          <w:lang w:eastAsia="en-AU"/>
        </w:rPr>
      </w:pPr>
      <w:r w:rsidRPr="00D97515">
        <w:rPr>
          <w:lang w:eastAsia="en-AU"/>
        </w:rPr>
        <w:t>Supreme Court of Victoria proceeding n</w:t>
      </w:r>
      <w:r w:rsidR="006B43AE" w:rsidRPr="00D97515">
        <w:rPr>
          <w:lang w:eastAsia="en-AU"/>
        </w:rPr>
        <w:t>umber</w:t>
      </w:r>
      <w:r w:rsidRPr="00D97515">
        <w:rPr>
          <w:lang w:eastAsia="en-AU"/>
        </w:rPr>
        <w:t xml:space="preserve"> SAPCI 2016 0019.</w:t>
      </w:r>
      <w:r w:rsidR="0029018F">
        <w:rPr>
          <w:lang w:eastAsia="en-AU"/>
        </w:rPr>
        <w:t xml:space="preserve"> </w:t>
      </w:r>
      <w:r w:rsidRPr="00D97515">
        <w:rPr>
          <w:lang w:eastAsia="en-AU"/>
        </w:rPr>
        <w:t xml:space="preserve"> </w:t>
      </w:r>
      <w:r w:rsidRPr="00E052D2">
        <w:rPr>
          <w:lang w:eastAsia="en-AU"/>
        </w:rPr>
        <w:t xml:space="preserve">According to </w:t>
      </w:r>
      <w:r w:rsidR="00460D49">
        <w:rPr>
          <w:lang w:eastAsia="en-AU"/>
        </w:rPr>
        <w:t>Mr </w:t>
      </w:r>
      <w:r w:rsidRPr="00E052D2">
        <w:rPr>
          <w:lang w:eastAsia="en-AU"/>
        </w:rPr>
        <w:t xml:space="preserve">Ari </w:t>
      </w:r>
      <w:proofErr w:type="spellStart"/>
      <w:r w:rsidRPr="00E052D2">
        <w:rPr>
          <w:lang w:eastAsia="en-AU"/>
        </w:rPr>
        <w:t>Lewski</w:t>
      </w:r>
      <w:proofErr w:type="spellEnd"/>
      <w:r w:rsidRPr="00E052D2">
        <w:rPr>
          <w:lang w:eastAsia="en-AU"/>
        </w:rPr>
        <w:t>,</w:t>
      </w:r>
      <w:r w:rsidRPr="00D97515">
        <w:rPr>
          <w:lang w:eastAsia="en-AU"/>
        </w:rPr>
        <w:t xml:space="preserve"> the member of the </w:t>
      </w:r>
      <w:proofErr w:type="spellStart"/>
      <w:r w:rsidRPr="00D97515">
        <w:rPr>
          <w:lang w:eastAsia="en-AU"/>
        </w:rPr>
        <w:t>Lewski</w:t>
      </w:r>
      <w:proofErr w:type="spellEnd"/>
      <w:r w:rsidRPr="00D97515">
        <w:rPr>
          <w:lang w:eastAsia="en-AU"/>
        </w:rPr>
        <w:t xml:space="preserve"> Family Group that was a party to this proceeding was Retirement Guide Pty Ltd.  </w:t>
      </w:r>
      <w:r w:rsidR="005736EB" w:rsidRPr="00D97515">
        <w:rPr>
          <w:lang w:eastAsia="en-AU"/>
        </w:rPr>
        <w:t>I</w:t>
      </w:r>
      <w:r w:rsidRPr="00D97515">
        <w:rPr>
          <w:lang w:eastAsia="en-AU"/>
        </w:rPr>
        <w:t xml:space="preserve">n addition to causes of action against a number of entities controlled by the </w:t>
      </w:r>
      <w:proofErr w:type="spellStart"/>
      <w:r w:rsidRPr="00D97515">
        <w:rPr>
          <w:lang w:eastAsia="en-AU"/>
        </w:rPr>
        <w:t>Lewski</w:t>
      </w:r>
      <w:proofErr w:type="spellEnd"/>
      <w:r w:rsidRPr="00D97515">
        <w:rPr>
          <w:lang w:eastAsia="en-AU"/>
        </w:rPr>
        <w:t xml:space="preserve"> family, these proceedings </w:t>
      </w:r>
      <w:r w:rsidR="005736EB" w:rsidRPr="00D97515">
        <w:rPr>
          <w:lang w:eastAsia="en-AU"/>
        </w:rPr>
        <w:t>also appeared to involve Mr</w:t>
      </w:r>
      <w:r w:rsidR="006B43AE" w:rsidRPr="00D97515">
        <w:rPr>
          <w:lang w:eastAsia="en-AU"/>
        </w:rPr>
        <w:t> </w:t>
      </w:r>
      <w:r w:rsidR="005736EB" w:rsidRPr="00D97515">
        <w:rPr>
          <w:lang w:eastAsia="en-AU"/>
        </w:rPr>
        <w:t xml:space="preserve">William </w:t>
      </w:r>
      <w:proofErr w:type="spellStart"/>
      <w:r w:rsidR="005736EB" w:rsidRPr="00D97515">
        <w:rPr>
          <w:lang w:eastAsia="en-AU"/>
        </w:rPr>
        <w:t>Lewski</w:t>
      </w:r>
      <w:proofErr w:type="spellEnd"/>
      <w:r w:rsidR="005736EB" w:rsidRPr="00D97515">
        <w:rPr>
          <w:lang w:eastAsia="en-AU"/>
        </w:rPr>
        <w:t xml:space="preserve"> </w:t>
      </w:r>
      <w:r w:rsidRPr="00D97515">
        <w:rPr>
          <w:lang w:eastAsia="en-AU"/>
        </w:rPr>
        <w:t>being personally sued</w:t>
      </w:r>
      <w:r w:rsidR="005736EB" w:rsidRPr="00D97515">
        <w:rPr>
          <w:lang w:eastAsia="en-AU"/>
        </w:rPr>
        <w:t xml:space="preserve"> for breach of fiduciary duties</w:t>
      </w:r>
      <w:r w:rsidRPr="00D97515">
        <w:rPr>
          <w:lang w:eastAsia="en-AU"/>
        </w:rPr>
        <w:t>;</w:t>
      </w:r>
    </w:p>
    <w:p w14:paraId="53D626B4" w14:textId="77777777" w:rsidR="00F44FDB" w:rsidRDefault="00C108ED" w:rsidP="00F44FDB">
      <w:pPr>
        <w:pStyle w:val="ListNo1"/>
        <w:numPr>
          <w:ilvl w:val="0"/>
          <w:numId w:val="38"/>
        </w:numPr>
        <w:rPr>
          <w:szCs w:val="24"/>
          <w:lang w:eastAsia="en-AU"/>
        </w:rPr>
      </w:pPr>
      <w:r w:rsidRPr="00D97515">
        <w:rPr>
          <w:lang w:eastAsia="en-AU"/>
        </w:rPr>
        <w:t>Supreme Court of Victoria proceeding n</w:t>
      </w:r>
      <w:r w:rsidR="006B43AE" w:rsidRPr="00D97515">
        <w:rPr>
          <w:lang w:eastAsia="en-AU"/>
        </w:rPr>
        <w:t>umber</w:t>
      </w:r>
      <w:r w:rsidRPr="00D97515">
        <w:rPr>
          <w:lang w:eastAsia="en-AU"/>
        </w:rPr>
        <w:t xml:space="preserve"> SCI 2016 01357. </w:t>
      </w:r>
      <w:r w:rsidR="006B43AE" w:rsidRPr="00D97515">
        <w:rPr>
          <w:lang w:eastAsia="en-AU"/>
        </w:rPr>
        <w:t xml:space="preserve"> </w:t>
      </w:r>
      <w:r w:rsidRPr="00D97515">
        <w:rPr>
          <w:lang w:eastAsia="en-AU"/>
        </w:rPr>
        <w:t xml:space="preserve">The member of the </w:t>
      </w:r>
      <w:proofErr w:type="spellStart"/>
      <w:r w:rsidRPr="00D97515">
        <w:rPr>
          <w:lang w:eastAsia="en-AU"/>
        </w:rPr>
        <w:t>Lewski</w:t>
      </w:r>
      <w:proofErr w:type="spellEnd"/>
      <w:r w:rsidRPr="00D97515">
        <w:rPr>
          <w:lang w:eastAsia="en-AU"/>
        </w:rPr>
        <w:t xml:space="preserve"> Family Group that was a party to this proceeding was </w:t>
      </w:r>
      <w:proofErr w:type="spellStart"/>
      <w:r w:rsidRPr="00D97515">
        <w:rPr>
          <w:lang w:eastAsia="en-AU"/>
        </w:rPr>
        <w:t>Kingsby</w:t>
      </w:r>
      <w:proofErr w:type="spellEnd"/>
      <w:r w:rsidRPr="00D97515">
        <w:rPr>
          <w:lang w:eastAsia="en-AU"/>
        </w:rPr>
        <w:t xml:space="preserve"> Pty Ltd;</w:t>
      </w:r>
    </w:p>
    <w:p w14:paraId="10A0E764" w14:textId="77777777" w:rsidR="00F44FDB" w:rsidRDefault="00C108ED" w:rsidP="00F44FDB">
      <w:pPr>
        <w:pStyle w:val="ListNo1"/>
        <w:numPr>
          <w:ilvl w:val="0"/>
          <w:numId w:val="38"/>
        </w:numPr>
        <w:rPr>
          <w:szCs w:val="24"/>
          <w:lang w:eastAsia="en-AU"/>
        </w:rPr>
      </w:pPr>
      <w:r w:rsidRPr="00D97515">
        <w:rPr>
          <w:lang w:eastAsia="en-AU"/>
        </w:rPr>
        <w:t>Supreme Court of Victoria proceeding n</w:t>
      </w:r>
      <w:r w:rsidR="006B43AE" w:rsidRPr="00D97515">
        <w:rPr>
          <w:lang w:eastAsia="en-AU"/>
        </w:rPr>
        <w:t>umber</w:t>
      </w:r>
      <w:r w:rsidRPr="00D97515">
        <w:rPr>
          <w:lang w:eastAsia="en-AU"/>
        </w:rPr>
        <w:t xml:space="preserve"> SCI 1990 2012 (</w:t>
      </w:r>
      <w:proofErr w:type="spellStart"/>
      <w:r w:rsidRPr="00D97515">
        <w:rPr>
          <w:lang w:eastAsia="en-AU"/>
        </w:rPr>
        <w:t>Daytree</w:t>
      </w:r>
      <w:proofErr w:type="spellEnd"/>
      <w:r w:rsidRPr="00D97515">
        <w:rPr>
          <w:lang w:eastAsia="en-AU"/>
        </w:rPr>
        <w:t xml:space="preserve"> Proceeding). </w:t>
      </w:r>
      <w:r w:rsidR="006B43AE" w:rsidRPr="00D97515">
        <w:rPr>
          <w:lang w:eastAsia="en-AU"/>
        </w:rPr>
        <w:t xml:space="preserve"> </w:t>
      </w:r>
      <w:r w:rsidRPr="00D97515">
        <w:rPr>
          <w:lang w:eastAsia="en-AU"/>
        </w:rPr>
        <w:t xml:space="preserve">The members of the </w:t>
      </w:r>
      <w:proofErr w:type="spellStart"/>
      <w:r w:rsidRPr="00D97515">
        <w:rPr>
          <w:lang w:eastAsia="en-AU"/>
        </w:rPr>
        <w:t>Lewski</w:t>
      </w:r>
      <w:proofErr w:type="spellEnd"/>
      <w:r w:rsidRPr="00D97515">
        <w:rPr>
          <w:lang w:eastAsia="en-AU"/>
        </w:rPr>
        <w:t xml:space="preserve"> Family Group that were parties to this proceeding were </w:t>
      </w:r>
      <w:proofErr w:type="spellStart"/>
      <w:r w:rsidRPr="00D97515">
        <w:rPr>
          <w:lang w:eastAsia="en-AU"/>
        </w:rPr>
        <w:t>Daytree</w:t>
      </w:r>
      <w:proofErr w:type="spellEnd"/>
      <w:r w:rsidRPr="00D97515">
        <w:rPr>
          <w:lang w:eastAsia="en-AU"/>
        </w:rPr>
        <w:t xml:space="preserve">; </w:t>
      </w:r>
      <w:r w:rsidR="006B43AE" w:rsidRPr="00D97515">
        <w:rPr>
          <w:lang w:eastAsia="en-AU"/>
        </w:rPr>
        <w:t xml:space="preserve">Mr </w:t>
      </w:r>
      <w:r w:rsidRPr="00D97515">
        <w:rPr>
          <w:lang w:eastAsia="en-AU"/>
        </w:rPr>
        <w:t xml:space="preserve">William </w:t>
      </w:r>
      <w:proofErr w:type="spellStart"/>
      <w:r w:rsidRPr="00D97515">
        <w:rPr>
          <w:lang w:eastAsia="en-AU"/>
        </w:rPr>
        <w:t>Lewski</w:t>
      </w:r>
      <w:proofErr w:type="spellEnd"/>
      <w:r w:rsidRPr="00D97515">
        <w:rPr>
          <w:lang w:eastAsia="en-AU"/>
        </w:rPr>
        <w:t xml:space="preserve">; </w:t>
      </w:r>
      <w:r w:rsidR="006B43AE" w:rsidRPr="00D97515">
        <w:rPr>
          <w:lang w:eastAsia="en-AU"/>
        </w:rPr>
        <w:t>M</w:t>
      </w:r>
      <w:r w:rsidR="00B05432">
        <w:rPr>
          <w:lang w:eastAsia="en-AU"/>
        </w:rPr>
        <w:t>r</w:t>
      </w:r>
      <w:r w:rsidR="006B43AE" w:rsidRPr="00D97515">
        <w:rPr>
          <w:lang w:eastAsia="en-AU"/>
        </w:rPr>
        <w:t xml:space="preserve">s </w:t>
      </w:r>
      <w:r w:rsidRPr="00D97515">
        <w:rPr>
          <w:lang w:eastAsia="en-AU"/>
        </w:rPr>
        <w:t xml:space="preserve">Roslyn </w:t>
      </w:r>
      <w:proofErr w:type="spellStart"/>
      <w:r w:rsidRPr="00D97515">
        <w:rPr>
          <w:lang w:eastAsia="en-AU"/>
        </w:rPr>
        <w:t>Lewski</w:t>
      </w:r>
      <w:proofErr w:type="spellEnd"/>
      <w:r w:rsidRPr="00D97515">
        <w:rPr>
          <w:lang w:eastAsia="en-AU"/>
        </w:rPr>
        <w:t>; Australian Property Administrators Pty Ltd</w:t>
      </w:r>
      <w:r w:rsidR="002D7695">
        <w:rPr>
          <w:lang w:eastAsia="en-AU"/>
        </w:rPr>
        <w:t xml:space="preserve"> </w:t>
      </w:r>
      <w:r w:rsidR="00E052D2">
        <w:rPr>
          <w:lang w:eastAsia="en-AU"/>
        </w:rPr>
        <w:t>and</w:t>
      </w:r>
      <w:r w:rsidRPr="00D97515">
        <w:rPr>
          <w:lang w:eastAsia="en-AU"/>
        </w:rPr>
        <w:t xml:space="preserve"> </w:t>
      </w:r>
      <w:r w:rsidR="006B43AE" w:rsidRPr="00D97515">
        <w:rPr>
          <w:lang w:eastAsia="en-AU"/>
        </w:rPr>
        <w:t xml:space="preserve">Mr </w:t>
      </w:r>
      <w:r w:rsidRPr="00E052D2">
        <w:rPr>
          <w:lang w:eastAsia="en-AU"/>
        </w:rPr>
        <w:t>Harry</w:t>
      </w:r>
      <w:r w:rsidRPr="00D97515">
        <w:rPr>
          <w:lang w:eastAsia="en-AU"/>
        </w:rPr>
        <w:t xml:space="preserve"> </w:t>
      </w:r>
      <w:proofErr w:type="spellStart"/>
      <w:r w:rsidRPr="00D97515">
        <w:rPr>
          <w:lang w:eastAsia="en-AU"/>
        </w:rPr>
        <w:t>Lewski</w:t>
      </w:r>
      <w:proofErr w:type="spellEnd"/>
      <w:r w:rsidRPr="00D97515">
        <w:rPr>
          <w:lang w:eastAsia="en-AU"/>
        </w:rPr>
        <w:t xml:space="preserve"> (as trustee for David </w:t>
      </w:r>
      <w:proofErr w:type="spellStart"/>
      <w:r w:rsidRPr="00D97515">
        <w:rPr>
          <w:lang w:eastAsia="en-AU"/>
        </w:rPr>
        <w:t>Lewski</w:t>
      </w:r>
      <w:proofErr w:type="spellEnd"/>
      <w:r w:rsidRPr="00D97515">
        <w:rPr>
          <w:lang w:eastAsia="en-AU"/>
        </w:rPr>
        <w:t xml:space="preserve"> and Mala </w:t>
      </w:r>
      <w:proofErr w:type="spellStart"/>
      <w:r w:rsidRPr="00D97515">
        <w:rPr>
          <w:lang w:eastAsia="en-AU"/>
        </w:rPr>
        <w:t>Lewski</w:t>
      </w:r>
      <w:proofErr w:type="spellEnd"/>
      <w:r w:rsidRPr="00D97515">
        <w:rPr>
          <w:lang w:eastAsia="en-AU"/>
        </w:rPr>
        <w:t>);</w:t>
      </w:r>
    </w:p>
    <w:p w14:paraId="185456D2" w14:textId="77777777" w:rsidR="00F44FDB" w:rsidRDefault="00C108ED" w:rsidP="00F44FDB">
      <w:pPr>
        <w:pStyle w:val="ListNo1"/>
        <w:numPr>
          <w:ilvl w:val="0"/>
          <w:numId w:val="38"/>
        </w:numPr>
        <w:rPr>
          <w:szCs w:val="24"/>
          <w:lang w:eastAsia="en-AU"/>
        </w:rPr>
      </w:pPr>
      <w:r w:rsidRPr="00D97515">
        <w:rPr>
          <w:lang w:eastAsia="en-AU"/>
        </w:rPr>
        <w:lastRenderedPageBreak/>
        <w:t>County Court of Victoria proceeding n</w:t>
      </w:r>
      <w:r w:rsidR="006B43AE" w:rsidRPr="00D97515">
        <w:rPr>
          <w:lang w:eastAsia="en-AU"/>
        </w:rPr>
        <w:t>umber</w:t>
      </w:r>
      <w:r w:rsidRPr="00D97515">
        <w:rPr>
          <w:lang w:eastAsia="en-AU"/>
        </w:rPr>
        <w:t xml:space="preserve"> CI</w:t>
      </w:r>
      <w:r w:rsidR="00E136C5">
        <w:rPr>
          <w:lang w:eastAsia="en-AU"/>
        </w:rPr>
        <w:t>‑</w:t>
      </w:r>
      <w:r w:rsidRPr="00D97515">
        <w:rPr>
          <w:lang w:eastAsia="en-AU"/>
        </w:rPr>
        <w:t>16</w:t>
      </w:r>
      <w:r w:rsidR="00E136C5">
        <w:rPr>
          <w:lang w:eastAsia="en-AU"/>
        </w:rPr>
        <w:t>‑</w:t>
      </w:r>
      <w:r w:rsidRPr="00D97515">
        <w:rPr>
          <w:lang w:eastAsia="en-AU"/>
        </w:rPr>
        <w:t xml:space="preserve">03211 (Kidder Communities Proceeding). </w:t>
      </w:r>
      <w:r w:rsidR="006B43AE" w:rsidRPr="00D97515">
        <w:rPr>
          <w:lang w:eastAsia="en-AU"/>
        </w:rPr>
        <w:t xml:space="preserve"> </w:t>
      </w:r>
      <w:r w:rsidRPr="00D97515">
        <w:rPr>
          <w:lang w:eastAsia="en-AU"/>
        </w:rPr>
        <w:t xml:space="preserve">The member of the </w:t>
      </w:r>
      <w:proofErr w:type="spellStart"/>
      <w:r w:rsidRPr="00D97515">
        <w:rPr>
          <w:lang w:eastAsia="en-AU"/>
        </w:rPr>
        <w:t>Lewski</w:t>
      </w:r>
      <w:proofErr w:type="spellEnd"/>
      <w:r w:rsidRPr="00D97515">
        <w:rPr>
          <w:lang w:eastAsia="en-AU"/>
        </w:rPr>
        <w:t xml:space="preserve"> Family Group that was a party to this proceeding was </w:t>
      </w:r>
      <w:proofErr w:type="spellStart"/>
      <w:r w:rsidRPr="00D97515">
        <w:rPr>
          <w:lang w:eastAsia="en-AU"/>
        </w:rPr>
        <w:t>Daytree</w:t>
      </w:r>
      <w:proofErr w:type="spellEnd"/>
      <w:r w:rsidRPr="00D97515">
        <w:rPr>
          <w:lang w:eastAsia="en-AU"/>
        </w:rPr>
        <w:t>;</w:t>
      </w:r>
    </w:p>
    <w:p w14:paraId="10E7B11D" w14:textId="77777777" w:rsidR="00F44FDB" w:rsidRDefault="00C108ED" w:rsidP="00F44FDB">
      <w:pPr>
        <w:pStyle w:val="ListNo1"/>
        <w:numPr>
          <w:ilvl w:val="0"/>
          <w:numId w:val="38"/>
        </w:numPr>
        <w:rPr>
          <w:szCs w:val="24"/>
          <w:lang w:eastAsia="en-AU"/>
        </w:rPr>
      </w:pPr>
      <w:r w:rsidRPr="00D97515">
        <w:rPr>
          <w:lang w:eastAsia="en-AU"/>
        </w:rPr>
        <w:t>Federal Court of Australia proceeding n</w:t>
      </w:r>
      <w:r w:rsidR="006B43AE" w:rsidRPr="00D97515">
        <w:rPr>
          <w:lang w:eastAsia="en-AU"/>
        </w:rPr>
        <w:t>umber</w:t>
      </w:r>
      <w:r w:rsidRPr="00D97515">
        <w:rPr>
          <w:lang w:eastAsia="en-AU"/>
        </w:rPr>
        <w:t xml:space="preserve"> VID 1496 of 2016. </w:t>
      </w:r>
      <w:r w:rsidR="006B43AE" w:rsidRPr="00D97515">
        <w:rPr>
          <w:lang w:eastAsia="en-AU"/>
        </w:rPr>
        <w:t xml:space="preserve"> </w:t>
      </w:r>
      <w:r w:rsidRPr="00D97515">
        <w:rPr>
          <w:lang w:eastAsia="en-AU"/>
        </w:rPr>
        <w:t xml:space="preserve">The member of the </w:t>
      </w:r>
      <w:proofErr w:type="spellStart"/>
      <w:r w:rsidRPr="00D97515">
        <w:rPr>
          <w:lang w:eastAsia="en-AU"/>
        </w:rPr>
        <w:t>Lewski</w:t>
      </w:r>
      <w:proofErr w:type="spellEnd"/>
      <w:r w:rsidRPr="00D97515">
        <w:rPr>
          <w:lang w:eastAsia="en-AU"/>
        </w:rPr>
        <w:t xml:space="preserve"> Family Group that was a party to this proceeding was </w:t>
      </w:r>
      <w:r w:rsidR="006B43AE" w:rsidRPr="00D97515">
        <w:rPr>
          <w:lang w:eastAsia="en-AU"/>
        </w:rPr>
        <w:t>M</w:t>
      </w:r>
      <w:r w:rsidR="00B05432">
        <w:rPr>
          <w:lang w:eastAsia="en-AU"/>
        </w:rPr>
        <w:t>r</w:t>
      </w:r>
      <w:r w:rsidR="006B43AE" w:rsidRPr="00D97515">
        <w:rPr>
          <w:lang w:eastAsia="en-AU"/>
        </w:rPr>
        <w:t xml:space="preserve">s </w:t>
      </w:r>
      <w:r w:rsidRPr="00D97515">
        <w:rPr>
          <w:lang w:eastAsia="en-AU"/>
        </w:rPr>
        <w:t xml:space="preserve">Roslyn </w:t>
      </w:r>
      <w:proofErr w:type="spellStart"/>
      <w:r w:rsidRPr="00D97515">
        <w:rPr>
          <w:lang w:eastAsia="en-AU"/>
        </w:rPr>
        <w:t>Lewski</w:t>
      </w:r>
      <w:proofErr w:type="spellEnd"/>
      <w:r w:rsidRPr="00D97515">
        <w:rPr>
          <w:lang w:eastAsia="en-AU"/>
        </w:rPr>
        <w:t>;</w:t>
      </w:r>
    </w:p>
    <w:p w14:paraId="043CAD33" w14:textId="63500BF5" w:rsidR="00C108ED" w:rsidRPr="00F44FDB" w:rsidRDefault="00C108ED" w:rsidP="00F44FDB">
      <w:pPr>
        <w:pStyle w:val="ListNo1"/>
        <w:numPr>
          <w:ilvl w:val="0"/>
          <w:numId w:val="38"/>
        </w:numPr>
        <w:rPr>
          <w:szCs w:val="24"/>
          <w:lang w:eastAsia="en-AU"/>
        </w:rPr>
      </w:pPr>
      <w:r w:rsidRPr="00D97515">
        <w:rPr>
          <w:lang w:eastAsia="en-AU"/>
        </w:rPr>
        <w:t>Administrative Appeals Tribunal proceeding n</w:t>
      </w:r>
      <w:r w:rsidR="006B43AE" w:rsidRPr="00D97515">
        <w:rPr>
          <w:lang w:eastAsia="en-AU"/>
        </w:rPr>
        <w:t>umber</w:t>
      </w:r>
      <w:r w:rsidRPr="00D97515">
        <w:rPr>
          <w:lang w:eastAsia="en-AU"/>
        </w:rPr>
        <w:t xml:space="preserve"> 2015/4655</w:t>
      </w:r>
      <w:r w:rsidR="00E136C5">
        <w:rPr>
          <w:lang w:eastAsia="en-AU"/>
        </w:rPr>
        <w:t>‑</w:t>
      </w:r>
      <w:r w:rsidRPr="00D97515">
        <w:rPr>
          <w:lang w:eastAsia="en-AU"/>
        </w:rPr>
        <w:t xml:space="preserve">4656. </w:t>
      </w:r>
      <w:r w:rsidR="006B43AE" w:rsidRPr="00D97515">
        <w:rPr>
          <w:lang w:eastAsia="en-AU"/>
        </w:rPr>
        <w:t xml:space="preserve"> M</w:t>
      </w:r>
      <w:r w:rsidR="00B05432">
        <w:rPr>
          <w:lang w:eastAsia="en-AU"/>
        </w:rPr>
        <w:t>r</w:t>
      </w:r>
      <w:r w:rsidR="006B43AE" w:rsidRPr="00D97515">
        <w:rPr>
          <w:lang w:eastAsia="en-AU"/>
        </w:rPr>
        <w:t xml:space="preserve">s </w:t>
      </w:r>
      <w:r w:rsidRPr="00D97515">
        <w:rPr>
          <w:lang w:eastAsia="en-AU"/>
        </w:rPr>
        <w:t xml:space="preserve">Roslyn </w:t>
      </w:r>
      <w:proofErr w:type="spellStart"/>
      <w:r w:rsidRPr="00D97515">
        <w:rPr>
          <w:lang w:eastAsia="en-AU"/>
        </w:rPr>
        <w:t>Lewski</w:t>
      </w:r>
      <w:proofErr w:type="spellEnd"/>
      <w:r w:rsidRPr="00D97515">
        <w:rPr>
          <w:lang w:eastAsia="en-AU"/>
        </w:rPr>
        <w:t xml:space="preserve"> was the Applicant in </w:t>
      </w:r>
      <w:r w:rsidR="00BE6C73">
        <w:rPr>
          <w:lang w:eastAsia="en-AU"/>
        </w:rPr>
        <w:t>this</w:t>
      </w:r>
      <w:r w:rsidR="00BE6C73" w:rsidRPr="00D97515">
        <w:rPr>
          <w:lang w:eastAsia="en-AU"/>
        </w:rPr>
        <w:t xml:space="preserve"> </w:t>
      </w:r>
      <w:r w:rsidRPr="00D97515">
        <w:rPr>
          <w:lang w:eastAsia="en-AU"/>
        </w:rPr>
        <w:t>proceeding, which also involved Australian Commercial Property Syndications Pty Ltd (as trustee of a trust) and Drewvale Pty Ltd (as trustee of a trust), whose income had been adjusted which</w:t>
      </w:r>
      <w:r w:rsidR="00BE6C73">
        <w:rPr>
          <w:lang w:eastAsia="en-AU"/>
        </w:rPr>
        <w:t>,</w:t>
      </w:r>
      <w:r w:rsidRPr="00D97515">
        <w:rPr>
          <w:lang w:eastAsia="en-AU"/>
        </w:rPr>
        <w:t xml:space="preserve"> in turn</w:t>
      </w:r>
      <w:r w:rsidR="00BE6C73">
        <w:rPr>
          <w:lang w:eastAsia="en-AU"/>
        </w:rPr>
        <w:t>,</w:t>
      </w:r>
      <w:r w:rsidRPr="00D97515">
        <w:rPr>
          <w:lang w:eastAsia="en-AU"/>
        </w:rPr>
        <w:t xml:space="preserve"> affected </w:t>
      </w:r>
      <w:r w:rsidR="006B43AE" w:rsidRPr="00D97515">
        <w:rPr>
          <w:lang w:eastAsia="en-AU"/>
        </w:rPr>
        <w:t>M</w:t>
      </w:r>
      <w:r w:rsidR="00B05432">
        <w:rPr>
          <w:lang w:eastAsia="en-AU"/>
        </w:rPr>
        <w:t>r</w:t>
      </w:r>
      <w:r w:rsidR="006B43AE" w:rsidRPr="00D97515">
        <w:rPr>
          <w:lang w:eastAsia="en-AU"/>
        </w:rPr>
        <w:t>s </w:t>
      </w:r>
      <w:r w:rsidRPr="00D97515">
        <w:rPr>
          <w:lang w:eastAsia="en-AU"/>
        </w:rPr>
        <w:t xml:space="preserve">Roslyn </w:t>
      </w:r>
      <w:proofErr w:type="spellStart"/>
      <w:r w:rsidRPr="00D97515">
        <w:rPr>
          <w:lang w:eastAsia="en-AU"/>
        </w:rPr>
        <w:t>Lewski</w:t>
      </w:r>
      <w:proofErr w:type="spellEnd"/>
      <w:r w:rsidRPr="00D97515">
        <w:rPr>
          <w:lang w:eastAsia="en-AU"/>
        </w:rPr>
        <w:t xml:space="preserve"> as a trust beneficiary.</w:t>
      </w:r>
    </w:p>
    <w:p w14:paraId="26CD314E" w14:textId="1D34D92C" w:rsidR="00C108ED" w:rsidRPr="0098656F" w:rsidRDefault="00010797" w:rsidP="00C108ED">
      <w:pPr>
        <w:pStyle w:val="ParaNumbering"/>
        <w:rPr>
          <w:sz w:val="22"/>
          <w:szCs w:val="22"/>
          <w:lang w:eastAsia="en-AU"/>
        </w:rPr>
      </w:pPr>
      <w:r w:rsidRPr="00D97515">
        <w:t xml:space="preserve">Mr Ari </w:t>
      </w:r>
      <w:proofErr w:type="spellStart"/>
      <w:r w:rsidRPr="00D97515">
        <w:t>Lewski</w:t>
      </w:r>
      <w:proofErr w:type="spellEnd"/>
      <w:r w:rsidRPr="00D97515">
        <w:t xml:space="preserve"> was </w:t>
      </w:r>
      <w:r w:rsidR="00C108ED" w:rsidRPr="00D97515">
        <w:t xml:space="preserve">a director of many of the companies controlled by the </w:t>
      </w:r>
      <w:proofErr w:type="spellStart"/>
      <w:r w:rsidR="00C108ED" w:rsidRPr="00D97515">
        <w:t>Lewski</w:t>
      </w:r>
      <w:proofErr w:type="spellEnd"/>
      <w:r w:rsidR="00C108ED" w:rsidRPr="00D97515">
        <w:t xml:space="preserve"> family.  As a director of these entities, he said he “knew of and approved of the Applicant managing and co</w:t>
      </w:r>
      <w:r w:rsidR="00E136C5">
        <w:t>‑</w:t>
      </w:r>
      <w:r w:rsidR="00C108ED" w:rsidRPr="00D97515">
        <w:t>ordinating” the “provision of instructions and obtaining of services” but that there was n</w:t>
      </w:r>
      <w:r w:rsidR="00253AC4">
        <w:t>o “explicit decision” that the A</w:t>
      </w:r>
      <w:r w:rsidR="00C108ED" w:rsidRPr="00D97515">
        <w:t xml:space="preserve">pplicant “represented other entities that were part of the </w:t>
      </w:r>
      <w:proofErr w:type="spellStart"/>
      <w:r w:rsidR="00C108ED" w:rsidRPr="00D97515">
        <w:t>Lewski</w:t>
      </w:r>
      <w:proofErr w:type="spellEnd"/>
      <w:r w:rsidR="00C108ED" w:rsidRPr="00D97515">
        <w:t xml:space="preserve"> </w:t>
      </w:r>
      <w:r w:rsidR="006B43AE" w:rsidRPr="00D97515">
        <w:t>F</w:t>
      </w:r>
      <w:r w:rsidR="00C108ED" w:rsidRPr="00D97515">
        <w:t xml:space="preserve">amily </w:t>
      </w:r>
      <w:r w:rsidR="006B43AE" w:rsidRPr="00D97515">
        <w:t>G</w:t>
      </w:r>
      <w:r w:rsidR="00C108ED" w:rsidRPr="00D97515">
        <w:t>roup”.</w:t>
      </w:r>
    </w:p>
    <w:p w14:paraId="28E94485" w14:textId="54CEDF31" w:rsidR="00C108ED" w:rsidRPr="0098656F" w:rsidRDefault="00C108ED" w:rsidP="00C108ED">
      <w:pPr>
        <w:pStyle w:val="ParaNumbering"/>
        <w:rPr>
          <w:sz w:val="22"/>
          <w:szCs w:val="22"/>
          <w:lang w:eastAsia="en-AU"/>
        </w:rPr>
      </w:pPr>
      <w:r w:rsidRPr="00D97515">
        <w:t>His evidence in cross</w:t>
      </w:r>
      <w:r w:rsidR="00C0752C">
        <w:t>‑</w:t>
      </w:r>
      <w:r w:rsidRPr="00D97515">
        <w:t>examination was:</w:t>
      </w:r>
    </w:p>
    <w:p w14:paraId="17F66B39" w14:textId="3E377C68" w:rsidR="00C108ED" w:rsidRPr="00D97515" w:rsidRDefault="00E41BA6" w:rsidP="00C108ED">
      <w:pPr>
        <w:pStyle w:val="Quote1"/>
      </w:pPr>
      <w:r w:rsidRPr="00D97515">
        <w:t xml:space="preserve">[COUNSEL FOR THE COMMISSIONER:] </w:t>
      </w:r>
      <w:r w:rsidR="00C108ED" w:rsidRPr="00D97515">
        <w:t xml:space="preserve">So you can’t tell me whether </w:t>
      </w:r>
      <w:r w:rsidR="00C609E6" w:rsidRPr="00C609E6">
        <w:t xml:space="preserve">[the </w:t>
      </w:r>
      <w:r w:rsidR="00C948FC">
        <w:t>Applicant</w:t>
      </w:r>
      <w:r w:rsidR="00C609E6" w:rsidRPr="00C609E6">
        <w:t>]</w:t>
      </w:r>
      <w:r w:rsidR="00C108ED" w:rsidRPr="00D97515">
        <w:t xml:space="preserve"> itself provided legal services to members of the </w:t>
      </w:r>
      <w:proofErr w:type="spellStart"/>
      <w:r w:rsidR="00C108ED" w:rsidRPr="00D97515">
        <w:t>Lewski</w:t>
      </w:r>
      <w:proofErr w:type="spellEnd"/>
      <w:r w:rsidR="00C108ED" w:rsidRPr="00D97515">
        <w:t xml:space="preserve"> Family Group</w:t>
      </w:r>
      <w:proofErr w:type="gramStart"/>
      <w:r w:rsidR="00C108ED" w:rsidRPr="00D97515">
        <w:t>?---</w:t>
      </w:r>
      <w:proofErr w:type="gramEnd"/>
      <w:r w:rsidR="00C108ED" w:rsidRPr="00D97515">
        <w:t xml:space="preserve">As far as I know, </w:t>
      </w:r>
      <w:r w:rsidR="00C609E6" w:rsidRPr="00C609E6">
        <w:t xml:space="preserve">[the </w:t>
      </w:r>
      <w:r w:rsidR="00C948FC">
        <w:t>Applicant</w:t>
      </w:r>
      <w:r w:rsidR="00C609E6" w:rsidRPr="00C609E6">
        <w:t>]</w:t>
      </w:r>
      <w:r w:rsidR="00C108ED" w:rsidRPr="00D97515">
        <w:t xml:space="preserve"> was acting</w:t>
      </w:r>
      <w:r w:rsidR="00460D49">
        <w:t xml:space="preserve"> on behalf of the Family Group.</w:t>
      </w:r>
    </w:p>
    <w:p w14:paraId="637C396E" w14:textId="69CBAA60" w:rsidR="00C108ED" w:rsidRPr="00D97515" w:rsidRDefault="00C108ED" w:rsidP="00C108ED">
      <w:pPr>
        <w:pStyle w:val="Quote1"/>
      </w:pPr>
      <w:r w:rsidRPr="00D97515">
        <w:t xml:space="preserve">Now, you yourself, you had limited dealings with the lawyers and the service providers that were involved in providing legal services and advice to the </w:t>
      </w:r>
      <w:proofErr w:type="spellStart"/>
      <w:r w:rsidRPr="00D97515">
        <w:t>Lewski</w:t>
      </w:r>
      <w:proofErr w:type="spellEnd"/>
      <w:r w:rsidRPr="00D97515">
        <w:t xml:space="preserve"> Family Group during the period that you were a director of </w:t>
      </w:r>
      <w:r w:rsidR="00C609E6" w:rsidRPr="00C609E6">
        <w:t xml:space="preserve">[the </w:t>
      </w:r>
      <w:r w:rsidR="00C948FC">
        <w:t>Applicant</w:t>
      </w:r>
      <w:r w:rsidR="00C609E6" w:rsidRPr="00C609E6">
        <w:t>]</w:t>
      </w:r>
      <w:r w:rsidR="00460D49">
        <w:t>?---That is correct.</w:t>
      </w:r>
    </w:p>
    <w:p w14:paraId="2FB414FE" w14:textId="44045E55" w:rsidR="00C108ED" w:rsidRPr="00D97515" w:rsidRDefault="00C108ED" w:rsidP="00C108ED">
      <w:pPr>
        <w:pStyle w:val="Quote1"/>
      </w:pPr>
      <w:r w:rsidRPr="00D97515">
        <w:t>And is that because that’s work that you left to your father</w:t>
      </w:r>
      <w:proofErr w:type="gramStart"/>
      <w:r w:rsidRPr="00D97515">
        <w:t>?---</w:t>
      </w:r>
      <w:proofErr w:type="gramEnd"/>
      <w:r w:rsidRPr="00D97515">
        <w:t>Yes. I didn’t have the requisite skill or expertise to manage those activities, so I left it to someone who I trusted who did have that requisite ski</w:t>
      </w:r>
      <w:r w:rsidR="00460D49">
        <w:t>ll, knowledge, expertise.</w:t>
      </w:r>
    </w:p>
    <w:p w14:paraId="2A961A8F" w14:textId="2DE6F68C" w:rsidR="00C108ED" w:rsidRPr="00D97515" w:rsidRDefault="00C108ED" w:rsidP="00C108ED">
      <w:pPr>
        <w:pStyle w:val="Quote1"/>
      </w:pPr>
      <w:r w:rsidRPr="00D97515">
        <w:t xml:space="preserve">And in terms of your father’s authority to act, you say in your affidavit, I think a couple of times, that there was no formal conferral of authority on your family to act on behalf of </w:t>
      </w:r>
      <w:r w:rsidR="00C609E6" w:rsidRPr="00C609E6">
        <w:t xml:space="preserve">[the </w:t>
      </w:r>
      <w:r w:rsidR="00C948FC">
        <w:t>Applicant</w:t>
      </w:r>
      <w:r w:rsidR="00C609E6" w:rsidRPr="00C609E6">
        <w:t>]</w:t>
      </w:r>
      <w:r w:rsidRPr="00D97515">
        <w:t xml:space="preserve"> in representing </w:t>
      </w:r>
      <w:r w:rsidR="00C609E6" w:rsidRPr="00C609E6">
        <w:t xml:space="preserve">[the </w:t>
      </w:r>
      <w:r w:rsidR="00C948FC">
        <w:t>Applicant</w:t>
      </w:r>
      <w:r w:rsidR="00C609E6" w:rsidRPr="00C609E6">
        <w:t>]</w:t>
      </w:r>
      <w:r w:rsidR="00460D49">
        <w:t xml:space="preserve"> in litigation?---Yes.</w:t>
      </w:r>
    </w:p>
    <w:p w14:paraId="5B85A1F6" w14:textId="64DC4B43" w:rsidR="00C108ED" w:rsidRPr="00EA2BE4" w:rsidRDefault="00C108ED" w:rsidP="00C108ED">
      <w:pPr>
        <w:pStyle w:val="Quote1"/>
        <w:rPr>
          <w:szCs w:val="22"/>
          <w:lang w:eastAsia="en-AU"/>
        </w:rPr>
      </w:pPr>
      <w:r w:rsidRPr="00D97515">
        <w:t xml:space="preserve">Okay. So, in terms of there being no formal conferral or authority, was the arrangement that you approved of </w:t>
      </w:r>
      <w:r w:rsidR="0098656F">
        <w:t>—</w:t>
      </w:r>
      <w:r w:rsidRPr="00D97515">
        <w:t xml:space="preserve"> that you were aware of and that you approved of simply that </w:t>
      </w:r>
      <w:r w:rsidR="00C609E6" w:rsidRPr="00C609E6">
        <w:t xml:space="preserve">[the </w:t>
      </w:r>
      <w:r w:rsidR="00C948FC">
        <w:t>Applicant</w:t>
      </w:r>
      <w:r w:rsidR="00C609E6" w:rsidRPr="00C609E6">
        <w:t>]</w:t>
      </w:r>
      <w:r w:rsidRPr="00D97515">
        <w:t xml:space="preserve"> was paying the fees and acting as a central point of contact in the litigation and the legal services?---Yes.</w:t>
      </w:r>
    </w:p>
    <w:p w14:paraId="30A3352E" w14:textId="0544CAA9" w:rsidR="00C108ED" w:rsidRPr="00EA2BE4" w:rsidRDefault="00C108ED" w:rsidP="00C108ED">
      <w:pPr>
        <w:pStyle w:val="ParaNumbering"/>
        <w:rPr>
          <w:sz w:val="22"/>
          <w:szCs w:val="22"/>
          <w:lang w:eastAsia="en-AU"/>
        </w:rPr>
      </w:pPr>
      <w:r w:rsidRPr="00EA2BE4">
        <w:t xml:space="preserve">I accept that Mr Ari </w:t>
      </w:r>
      <w:proofErr w:type="spellStart"/>
      <w:r w:rsidRPr="00EA2BE4">
        <w:t>Lewski</w:t>
      </w:r>
      <w:proofErr w:type="spellEnd"/>
      <w:r w:rsidRPr="00EA2BE4">
        <w:t xml:space="preserve"> answered questions in cross</w:t>
      </w:r>
      <w:r w:rsidR="00E136C5">
        <w:t>‑</w:t>
      </w:r>
      <w:r w:rsidRPr="00EA2BE4">
        <w:t xml:space="preserve">examination to the best of his ability.  However, like Mr William </w:t>
      </w:r>
      <w:proofErr w:type="spellStart"/>
      <w:r w:rsidRPr="00EA2BE4">
        <w:t>Lewski’s</w:t>
      </w:r>
      <w:proofErr w:type="spellEnd"/>
      <w:r w:rsidRPr="00EA2BE4">
        <w:t xml:space="preserve"> evidence, much of it was </w:t>
      </w:r>
      <w:proofErr w:type="spellStart"/>
      <w:r w:rsidRPr="00EA2BE4">
        <w:t>conclusionary</w:t>
      </w:r>
      <w:proofErr w:type="spellEnd"/>
      <w:r w:rsidRPr="00EA2BE4">
        <w:t xml:space="preserve">.  The basis on which he considered the </w:t>
      </w:r>
      <w:r w:rsidR="00C948FC">
        <w:t>Applicant</w:t>
      </w:r>
      <w:r w:rsidRPr="00EA2BE4">
        <w:t xml:space="preserve"> (as opposed to his father) “managed” the litigation to which the family were parties and knew that the </w:t>
      </w:r>
      <w:r w:rsidR="00C948FC">
        <w:t>Applicant</w:t>
      </w:r>
      <w:r w:rsidRPr="00EA2BE4">
        <w:t xml:space="preserve"> was</w:t>
      </w:r>
      <w:r w:rsidRPr="00EA2BE4">
        <w:rPr>
          <w:sz w:val="22"/>
          <w:szCs w:val="22"/>
          <w:lang w:eastAsia="en-AU"/>
        </w:rPr>
        <w:t xml:space="preserve"> “</w:t>
      </w:r>
      <w:r w:rsidRPr="00EA2BE4">
        <w:t xml:space="preserve">involved with managing those and </w:t>
      </w:r>
      <w:r w:rsidRPr="00EA2BE4">
        <w:lastRenderedPageBreak/>
        <w:t>co</w:t>
      </w:r>
      <w:r w:rsidR="00E136C5">
        <w:t>‑</w:t>
      </w:r>
      <w:r w:rsidRPr="00EA2BE4">
        <w:t xml:space="preserve">ordinating those on behalf of the family group” was not evident beyond his reliance on what his father had told him.  He described the role of the </w:t>
      </w:r>
      <w:r w:rsidR="00C948FC">
        <w:t>Applicant</w:t>
      </w:r>
      <w:r w:rsidRPr="00EA2BE4">
        <w:t xml:space="preserve"> in sporting terms, as</w:t>
      </w:r>
      <w:r w:rsidR="00E70C8F" w:rsidRPr="00D97515">
        <w:t>:</w:t>
      </w:r>
      <w:r w:rsidRPr="00EA2BE4">
        <w:t xml:space="preserve"> </w:t>
      </w:r>
    </w:p>
    <w:p w14:paraId="003C0540" w14:textId="3F39EE88" w:rsidR="00C108ED" w:rsidRPr="00EA2BE4" w:rsidRDefault="00C108ED" w:rsidP="00C108ED">
      <w:pPr>
        <w:pStyle w:val="Quote1"/>
        <w:rPr>
          <w:szCs w:val="22"/>
          <w:lang w:eastAsia="en-AU"/>
        </w:rPr>
      </w:pPr>
      <w:r w:rsidRPr="00EA2BE4">
        <w:t xml:space="preserve">Playing point. Running point. Being in charge of </w:t>
      </w:r>
      <w:r w:rsidR="00EA2BE4">
        <w:t>—</w:t>
      </w:r>
      <w:r w:rsidRPr="00EA2BE4">
        <w:t xml:space="preserve"> the point guard in basketball is the one that distributes, delegates. So I sort of see it the same way. Sort of like a streamlines process.</w:t>
      </w:r>
    </w:p>
    <w:p w14:paraId="19A20C12" w14:textId="09E13BEA" w:rsidR="00C108ED" w:rsidRPr="00EA2BE4" w:rsidRDefault="00C108ED" w:rsidP="00C108ED">
      <w:pPr>
        <w:pStyle w:val="ParaNumbering"/>
        <w:rPr>
          <w:sz w:val="22"/>
          <w:szCs w:val="22"/>
          <w:lang w:eastAsia="en-AU"/>
        </w:rPr>
      </w:pPr>
      <w:r w:rsidRPr="00EA2BE4">
        <w:t xml:space="preserve">What is evident is that Mr Ari </w:t>
      </w:r>
      <w:proofErr w:type="spellStart"/>
      <w:r w:rsidRPr="00EA2BE4">
        <w:t>Lewski</w:t>
      </w:r>
      <w:proofErr w:type="spellEnd"/>
      <w:r w:rsidRPr="00EA2BE4">
        <w:t xml:space="preserve"> had complete trust in his father to handle the litigation to which </w:t>
      </w:r>
      <w:r w:rsidR="00E70C8F" w:rsidRPr="00D97515">
        <w:t xml:space="preserve">members of </w:t>
      </w:r>
      <w:r w:rsidRPr="00EA2BE4">
        <w:t xml:space="preserve">the </w:t>
      </w:r>
      <w:proofErr w:type="spellStart"/>
      <w:r w:rsidRPr="00EA2BE4">
        <w:t>Lewski</w:t>
      </w:r>
      <w:proofErr w:type="spellEnd"/>
      <w:r w:rsidRPr="00EA2BE4">
        <w:t xml:space="preserve"> </w:t>
      </w:r>
      <w:r w:rsidR="0098656F">
        <w:t>F</w:t>
      </w:r>
      <w:r w:rsidRPr="00EA2BE4">
        <w:t xml:space="preserve">amily </w:t>
      </w:r>
      <w:r w:rsidR="0098656F">
        <w:t>Group</w:t>
      </w:r>
      <w:r w:rsidR="00E70C8F" w:rsidRPr="00D97515">
        <w:t xml:space="preserve"> </w:t>
      </w:r>
      <w:r w:rsidRPr="00EA2BE4">
        <w:t xml:space="preserve">were parties.  I </w:t>
      </w:r>
      <w:r w:rsidR="00460D49">
        <w:t>accept that it made sense to Mr </w:t>
      </w:r>
      <w:r w:rsidRPr="00EA2BE4">
        <w:t xml:space="preserve">Ari </w:t>
      </w:r>
      <w:proofErr w:type="spellStart"/>
      <w:r w:rsidRPr="00EA2BE4">
        <w:t>Lewski</w:t>
      </w:r>
      <w:proofErr w:type="spellEnd"/>
      <w:r w:rsidRPr="00EA2BE4">
        <w:t xml:space="preserve"> for his father to co</w:t>
      </w:r>
      <w:r w:rsidR="00E136C5">
        <w:t>‑</w:t>
      </w:r>
      <w:r w:rsidRPr="00EA2BE4">
        <w:t xml:space="preserve">ordinate the handling of the numerous litigious matters.  I accept </w:t>
      </w:r>
      <w:r w:rsidR="00E70C8F" w:rsidRPr="00D97515">
        <w:t xml:space="preserve">that </w:t>
      </w:r>
      <w:r w:rsidRPr="00EA2BE4">
        <w:t xml:space="preserve">Mr Ari </w:t>
      </w:r>
      <w:proofErr w:type="spellStart"/>
      <w:r w:rsidRPr="00EA2BE4">
        <w:t>Lewski</w:t>
      </w:r>
      <w:proofErr w:type="spellEnd"/>
      <w:r w:rsidRPr="00EA2BE4">
        <w:t xml:space="preserve"> understood that the </w:t>
      </w:r>
      <w:r w:rsidR="00C948FC">
        <w:t>Applicant</w:t>
      </w:r>
      <w:r w:rsidRPr="00EA2BE4">
        <w:t xml:space="preserve"> was paying all </w:t>
      </w:r>
      <w:r w:rsidR="00E70C8F" w:rsidRPr="00D97515">
        <w:t xml:space="preserve">of </w:t>
      </w:r>
      <w:r w:rsidRPr="00EA2BE4">
        <w:t>the invoice</w:t>
      </w:r>
      <w:r w:rsidR="00E70C8F" w:rsidRPr="00D97515">
        <w:t>s</w:t>
      </w:r>
      <w:r w:rsidRPr="00EA2BE4">
        <w:t xml:space="preserve"> related to the conduct of the litigation and that his father was the person responsible for providing instructions to</w:t>
      </w:r>
      <w:r w:rsidR="0098656F">
        <w:t>,</w:t>
      </w:r>
      <w:r w:rsidRPr="00EA2BE4">
        <w:t xml:space="preserve"> and dealing with</w:t>
      </w:r>
      <w:r w:rsidR="0098656F">
        <w:t>,</w:t>
      </w:r>
      <w:r w:rsidRPr="00EA2BE4">
        <w:t xml:space="preserve"> the legal advisors.</w:t>
      </w:r>
    </w:p>
    <w:p w14:paraId="78B5BB45" w14:textId="32E32D7A" w:rsidR="00C108ED" w:rsidRPr="00EA2BE4" w:rsidRDefault="00C108ED" w:rsidP="00C108ED">
      <w:pPr>
        <w:pStyle w:val="ParaNumbering"/>
        <w:rPr>
          <w:sz w:val="22"/>
          <w:szCs w:val="22"/>
          <w:lang w:eastAsia="en-AU"/>
        </w:rPr>
      </w:pPr>
      <w:r w:rsidRPr="00D97515">
        <w:t xml:space="preserve">Mr Ari </w:t>
      </w:r>
      <w:proofErr w:type="spellStart"/>
      <w:r w:rsidRPr="00D97515">
        <w:t>Lewski</w:t>
      </w:r>
      <w:proofErr w:type="spellEnd"/>
      <w:r w:rsidRPr="00D97515">
        <w:t xml:space="preserve"> was a signatory on behalf of the </w:t>
      </w:r>
      <w:r w:rsidR="00C948FC">
        <w:t>Applicant</w:t>
      </w:r>
      <w:r w:rsidRPr="00D97515">
        <w:t xml:space="preserve"> to the </w:t>
      </w:r>
      <w:r w:rsidR="0025443F">
        <w:t>L</w:t>
      </w:r>
      <w:r w:rsidRPr="00D97515">
        <w:t xml:space="preserve">itigation </w:t>
      </w:r>
      <w:r w:rsidR="0025443F">
        <w:t>F</w:t>
      </w:r>
      <w:r w:rsidRPr="00D97515">
        <w:t xml:space="preserve">unding </w:t>
      </w:r>
      <w:r w:rsidR="0025443F">
        <w:t>A</w:t>
      </w:r>
      <w:r w:rsidRPr="00D97515">
        <w:t>greements.  He recalled signing them some time in 2017.  His evidence of why the agreements bore the date of 16 November 2016 was:</w:t>
      </w:r>
    </w:p>
    <w:p w14:paraId="6EDE3F21" w14:textId="654C888C" w:rsidR="00C108ED" w:rsidRPr="00D97515" w:rsidRDefault="00C108ED" w:rsidP="00C108ED">
      <w:pPr>
        <w:pStyle w:val="Quote1"/>
      </w:pPr>
      <w:r w:rsidRPr="00D97515">
        <w:t xml:space="preserve">As far as I can recall, the agreements were </w:t>
      </w:r>
      <w:r w:rsidR="0025443F">
        <w:t>—</w:t>
      </w:r>
      <w:r w:rsidR="004E67F1" w:rsidRPr="00D97515">
        <w:t xml:space="preserve"> </w:t>
      </w:r>
      <w:r w:rsidRPr="00D97515">
        <w:t xml:space="preserve">were backdated with that date. The arrangement documented in this </w:t>
      </w:r>
      <w:r w:rsidR="0025443F">
        <w:t>—</w:t>
      </w:r>
      <w:r w:rsidRPr="00D97515">
        <w:t xml:space="preserve"> these agreements were certainly already sort of effective in practice; this is what was happening and we were </w:t>
      </w:r>
      <w:r w:rsidR="0025443F">
        <w:t>—</w:t>
      </w:r>
      <w:r w:rsidR="0025443F" w:rsidRPr="00D97515">
        <w:t xml:space="preserve"> </w:t>
      </w:r>
      <w:r w:rsidRPr="00D97515">
        <w:t xml:space="preserve">we decided to formalise and document what was already in place and in practice at a time when, I believe, we received a GST audit notice, then we just thought it would be best to put this </w:t>
      </w:r>
      <w:r w:rsidR="0025443F">
        <w:t>—</w:t>
      </w:r>
      <w:r w:rsidR="0025443F" w:rsidRPr="00D97515">
        <w:t xml:space="preserve"> </w:t>
      </w:r>
      <w:r w:rsidRPr="00D97515">
        <w:t>formalise this in writing and document it properly because of that.</w:t>
      </w:r>
    </w:p>
    <w:p w14:paraId="5F28CB26" w14:textId="2E1CC8F1" w:rsidR="00C108ED" w:rsidRPr="0025443F" w:rsidRDefault="004E67F1" w:rsidP="00C108ED">
      <w:pPr>
        <w:pStyle w:val="Quote1"/>
        <w:rPr>
          <w:szCs w:val="22"/>
          <w:lang w:eastAsia="en-AU"/>
        </w:rPr>
      </w:pPr>
      <w:r w:rsidRPr="00D97515">
        <w:t xml:space="preserve">[COUNSEL FOR THE COMMISSIONER:] </w:t>
      </w:r>
      <w:r w:rsidR="00C108ED" w:rsidRPr="00D97515">
        <w:t xml:space="preserve">When you talk about formalising writing and documenting it properly, what was the </w:t>
      </w:r>
      <w:r w:rsidR="0025443F">
        <w:t>—</w:t>
      </w:r>
      <w:r w:rsidR="00C108ED" w:rsidRPr="00D97515">
        <w:t xml:space="preserve"> what is it that you’re talking about having formalised by these agreements</w:t>
      </w:r>
      <w:proofErr w:type="gramStart"/>
      <w:r w:rsidR="00C108ED" w:rsidRPr="00D97515">
        <w:t>?---</w:t>
      </w:r>
      <w:proofErr w:type="gramEnd"/>
      <w:r w:rsidR="00C108ED" w:rsidRPr="00D97515">
        <w:t xml:space="preserve">Formalising the arrangement that was in place, what was happening in practice: </w:t>
      </w:r>
      <w:r w:rsidR="00C609E6" w:rsidRPr="00C609E6">
        <w:t xml:space="preserve">[the </w:t>
      </w:r>
      <w:r w:rsidR="00C948FC">
        <w:t>Applicant</w:t>
      </w:r>
      <w:r w:rsidR="00C609E6" w:rsidRPr="00C609E6">
        <w:t>]</w:t>
      </w:r>
      <w:r w:rsidR="00C108ED" w:rsidRPr="00D97515">
        <w:t xml:space="preserve"> representing the entities, running </w:t>
      </w:r>
      <w:r w:rsidR="00D867F6">
        <w:t>—</w:t>
      </w:r>
      <w:r w:rsidR="00C108ED" w:rsidRPr="00D97515">
        <w:t xml:space="preserve"> running or advising or managing the </w:t>
      </w:r>
      <w:r w:rsidR="0025443F">
        <w:t>—</w:t>
      </w:r>
      <w:r w:rsidR="0025443F" w:rsidRPr="00D97515">
        <w:t xml:space="preserve"> </w:t>
      </w:r>
      <w:r w:rsidR="00C108ED" w:rsidRPr="00D97515">
        <w:t xml:space="preserve">the lawyers, the litigation, </w:t>
      </w:r>
      <w:proofErr w:type="spellStart"/>
      <w:r w:rsidR="00C108ED" w:rsidRPr="00D97515">
        <w:t>strategising</w:t>
      </w:r>
      <w:proofErr w:type="spellEnd"/>
      <w:r w:rsidR="00C108ED" w:rsidRPr="00D97515">
        <w:t xml:space="preserve">, all that </w:t>
      </w:r>
      <w:r w:rsidR="00D867F6">
        <w:t>—</w:t>
      </w:r>
      <w:r w:rsidR="00C108ED" w:rsidRPr="00D97515">
        <w:t xml:space="preserve"> all those activities related to the litigation, they were in charge of doing that</w:t>
      </w:r>
      <w:r w:rsidRPr="00D97515">
        <w:t>.</w:t>
      </w:r>
    </w:p>
    <w:p w14:paraId="3B065BE1" w14:textId="25B50A9F" w:rsidR="00C108ED" w:rsidRPr="00D97515" w:rsidRDefault="00C108ED" w:rsidP="00C108ED">
      <w:pPr>
        <w:pStyle w:val="Quote1"/>
      </w:pPr>
      <w:r w:rsidRPr="00D97515">
        <w:t>Now, that arrangement that you described, that pre</w:t>
      </w:r>
      <w:r w:rsidR="00E136C5">
        <w:t>‑</w:t>
      </w:r>
      <w:r w:rsidRPr="00D97515">
        <w:t xml:space="preserve">dates you becoming a director of </w:t>
      </w:r>
      <w:r w:rsidR="00C609E6" w:rsidRPr="00C609E6">
        <w:t xml:space="preserve">[the </w:t>
      </w:r>
      <w:r w:rsidR="00C948FC">
        <w:t>Applicant</w:t>
      </w:r>
      <w:r w:rsidR="00C609E6" w:rsidRPr="00C609E6">
        <w:t>]</w:t>
      </w:r>
      <w:r w:rsidRPr="00D97515">
        <w:t>; is that right</w:t>
      </w:r>
      <w:proofErr w:type="gramStart"/>
      <w:r w:rsidRPr="00D97515">
        <w:t>?---</w:t>
      </w:r>
      <w:proofErr w:type="gramEnd"/>
      <w:r w:rsidRPr="00D97515">
        <w:t xml:space="preserve">Yes. </w:t>
      </w:r>
    </w:p>
    <w:p w14:paraId="7DFF8FDD" w14:textId="7745B6D8" w:rsidR="00C108ED" w:rsidRPr="00D97515" w:rsidRDefault="00C108ED" w:rsidP="00C108ED">
      <w:pPr>
        <w:pStyle w:val="Quote1"/>
      </w:pPr>
      <w:r w:rsidRPr="00D97515">
        <w:t>And it also pre</w:t>
      </w:r>
      <w:r w:rsidR="00E136C5">
        <w:t>‑</w:t>
      </w:r>
      <w:r w:rsidRPr="00D97515">
        <w:t>dates you becoming a director of the other entities that I think you’ve named in paragraph 6 of your affidavit</w:t>
      </w:r>
      <w:proofErr w:type="gramStart"/>
      <w:r w:rsidRPr="00D97515">
        <w:t>?---</w:t>
      </w:r>
      <w:proofErr w:type="gramEnd"/>
      <w:r w:rsidRPr="00D97515">
        <w:t xml:space="preserve">It </w:t>
      </w:r>
      <w:r w:rsidR="00CD370E">
        <w:t>—</w:t>
      </w:r>
      <w:r w:rsidR="00CD370E" w:rsidRPr="00D97515">
        <w:t xml:space="preserve"> </w:t>
      </w:r>
      <w:r w:rsidRPr="00D97515">
        <w:t>it may. I don’t remember specific dates, but I suggest since 2012 or so it was working like that.</w:t>
      </w:r>
    </w:p>
    <w:p w14:paraId="503F1C47" w14:textId="447431F9" w:rsidR="00C108ED" w:rsidRPr="00D97515" w:rsidRDefault="00C108ED" w:rsidP="00C108ED">
      <w:pPr>
        <w:pStyle w:val="Quote1"/>
      </w:pPr>
      <w:r w:rsidRPr="00D97515">
        <w:t>Okay. So in terms of the arrangement from 2012, you weren’t part of agreeing that original arrangement</w:t>
      </w:r>
      <w:proofErr w:type="gramStart"/>
      <w:r w:rsidRPr="00D97515">
        <w:t>?---</w:t>
      </w:r>
      <w:proofErr w:type="gramEnd"/>
      <w:r w:rsidRPr="00D97515">
        <w:t xml:space="preserve">Not at </w:t>
      </w:r>
      <w:r w:rsidR="00CD370E">
        <w:t>—</w:t>
      </w:r>
      <w:r w:rsidRPr="00D97515">
        <w:t xml:space="preserve"> not at 2012, not at the very beginning, because I wasn’t a director. I mean, it was discussed and, as I said, we were kept abreast of everything that was happening as affecting the family. So these were family entities.  We all had an interest, so I was aware what was going on and that </w:t>
      </w:r>
      <w:r w:rsidR="00CD370E">
        <w:t>—</w:t>
      </w:r>
      <w:r w:rsidRPr="00D97515">
        <w:t xml:space="preserve"> it continued on.</w:t>
      </w:r>
    </w:p>
    <w:p w14:paraId="202CA789" w14:textId="2D952D33" w:rsidR="00C108ED" w:rsidRPr="00D97515" w:rsidRDefault="00C108ED" w:rsidP="00C108ED">
      <w:pPr>
        <w:pStyle w:val="Quote1"/>
      </w:pPr>
      <w:r w:rsidRPr="00D97515">
        <w:t>But is it the case that your father simply told you to sign these agreements on the basis that they were in some way reflecting an earlier agreement</w:t>
      </w:r>
      <w:proofErr w:type="gramStart"/>
      <w:r w:rsidRPr="00D97515">
        <w:t>?---</w:t>
      </w:r>
      <w:proofErr w:type="gramEnd"/>
      <w:r w:rsidRPr="00D97515">
        <w:t>No, I wouldn’t sign anything that he just tells me to sign. I review and</w:t>
      </w:r>
      <w:r w:rsidR="00010797" w:rsidRPr="00D97515">
        <w:t xml:space="preserve"> I understood what was going </w:t>
      </w:r>
      <w:r w:rsidRPr="00D97515">
        <w:t>on. It fit in with my understanding of the circumstance and I signed on that basis.</w:t>
      </w:r>
    </w:p>
    <w:p w14:paraId="6C240124" w14:textId="6FD831E0" w:rsidR="00C108ED" w:rsidRPr="00D97515" w:rsidRDefault="00C108ED" w:rsidP="00C108ED">
      <w:pPr>
        <w:pStyle w:val="Quote1"/>
      </w:pPr>
      <w:r w:rsidRPr="00D97515">
        <w:lastRenderedPageBreak/>
        <w:t xml:space="preserve">What, on the basis that </w:t>
      </w:r>
      <w:r w:rsidR="00C609E6" w:rsidRPr="00C609E6">
        <w:t xml:space="preserve">[the </w:t>
      </w:r>
      <w:r w:rsidR="00C948FC">
        <w:t>Applicant</w:t>
      </w:r>
      <w:r w:rsidR="00C609E6" w:rsidRPr="00C609E6">
        <w:t>]</w:t>
      </w:r>
      <w:r w:rsidRPr="00D97515">
        <w:t xml:space="preserve"> was paying the invoices and playing point</w:t>
      </w:r>
      <w:proofErr w:type="gramStart"/>
      <w:r w:rsidRPr="00D97515">
        <w:t>?---</w:t>
      </w:r>
      <w:proofErr w:type="gramEnd"/>
      <w:r w:rsidRPr="00D97515">
        <w:t>Correct.</w:t>
      </w:r>
    </w:p>
    <w:p w14:paraId="3C4CC222" w14:textId="00355C86" w:rsidR="00C108ED" w:rsidRPr="00D97515" w:rsidRDefault="00C108ED" w:rsidP="00C108ED">
      <w:pPr>
        <w:pStyle w:val="ParaNumbering"/>
      </w:pPr>
      <w:r w:rsidRPr="00D97515">
        <w:t xml:space="preserve">Like Mr William </w:t>
      </w:r>
      <w:proofErr w:type="spellStart"/>
      <w:r w:rsidRPr="00D97515">
        <w:t>Lewski’s</w:t>
      </w:r>
      <w:proofErr w:type="spellEnd"/>
      <w:r w:rsidRPr="00D97515">
        <w:t xml:space="preserve"> evidence, Mr Ari </w:t>
      </w:r>
      <w:proofErr w:type="spellStart"/>
      <w:r w:rsidRPr="00D97515">
        <w:t>Lewski’s</w:t>
      </w:r>
      <w:proofErr w:type="spellEnd"/>
      <w:r w:rsidRPr="00D97515">
        <w:t xml:space="preserve"> description of the </w:t>
      </w:r>
      <w:r w:rsidR="004E67F1" w:rsidRPr="00D97515">
        <w:t>L</w:t>
      </w:r>
      <w:r w:rsidRPr="00D97515">
        <w:t xml:space="preserve">itigation </w:t>
      </w:r>
      <w:r w:rsidR="004E67F1" w:rsidRPr="00D97515">
        <w:t>F</w:t>
      </w:r>
      <w:r w:rsidRPr="00D97515">
        <w:t xml:space="preserve">unding </w:t>
      </w:r>
      <w:r w:rsidR="004E67F1" w:rsidRPr="00D97515">
        <w:t>A</w:t>
      </w:r>
      <w:r w:rsidRPr="00D97515">
        <w:t xml:space="preserve">greements </w:t>
      </w:r>
      <w:r w:rsidR="004E67F1" w:rsidRPr="00D97515">
        <w:t xml:space="preserve">as </w:t>
      </w:r>
      <w:r w:rsidRPr="00D97515">
        <w:t xml:space="preserve">documenting an arrangement pursuant to which the Applicant “was representing the entities, running </w:t>
      </w:r>
      <w:r w:rsidR="00CD370E">
        <w:t>—</w:t>
      </w:r>
      <w:r w:rsidRPr="00D97515">
        <w:t xml:space="preserve"> running or advising or managing the </w:t>
      </w:r>
      <w:r w:rsidR="00CD370E">
        <w:t>—</w:t>
      </w:r>
      <w:r w:rsidRPr="00D97515">
        <w:t xml:space="preserve"> the lawyers, the litigation, </w:t>
      </w:r>
      <w:proofErr w:type="spellStart"/>
      <w:r w:rsidRPr="00D97515">
        <w:t>strategising</w:t>
      </w:r>
      <w:proofErr w:type="spellEnd"/>
      <w:r w:rsidRPr="00D97515">
        <w:t xml:space="preserve">, all that </w:t>
      </w:r>
      <w:r w:rsidR="00CD370E">
        <w:t>—</w:t>
      </w:r>
      <w:r w:rsidRPr="00D97515">
        <w:t xml:space="preserve"> all those activities related to the litigation</w:t>
      </w:r>
      <w:r w:rsidR="004E67F1" w:rsidRPr="00D97515">
        <w:t>”</w:t>
      </w:r>
      <w:r w:rsidRPr="00D97515">
        <w:t xml:space="preserve"> </w:t>
      </w:r>
      <w:r w:rsidR="007C34A6" w:rsidRPr="00D97515">
        <w:t xml:space="preserve">does </w:t>
      </w:r>
      <w:r w:rsidRPr="00D97515">
        <w:t xml:space="preserve">not reflect the terms of the </w:t>
      </w:r>
      <w:r w:rsidR="007C34A6" w:rsidRPr="00D97515">
        <w:t>L</w:t>
      </w:r>
      <w:r w:rsidRPr="00D97515">
        <w:t xml:space="preserve">itigation </w:t>
      </w:r>
      <w:r w:rsidR="007C34A6" w:rsidRPr="00D97515">
        <w:t>F</w:t>
      </w:r>
      <w:r w:rsidRPr="00D97515">
        <w:t xml:space="preserve">unding </w:t>
      </w:r>
      <w:r w:rsidR="007C34A6" w:rsidRPr="00D97515">
        <w:t>A</w:t>
      </w:r>
      <w:r w:rsidRPr="00D97515">
        <w:t>greements which he signed.</w:t>
      </w:r>
    </w:p>
    <w:p w14:paraId="67C05629" w14:textId="2F5A56C9" w:rsidR="00C108ED" w:rsidRPr="00D97515" w:rsidRDefault="00C108ED" w:rsidP="00C108ED">
      <w:pPr>
        <w:pStyle w:val="ParaNumbering"/>
      </w:pPr>
      <w:r w:rsidRPr="00D97515">
        <w:t xml:space="preserve">When asked why there was no litigation funding agreement in respect of which he was named </w:t>
      </w:r>
      <w:r w:rsidR="007C34A6" w:rsidRPr="00D97515">
        <w:t xml:space="preserve">as </w:t>
      </w:r>
      <w:r w:rsidRPr="00D97515">
        <w:t xml:space="preserve">a </w:t>
      </w:r>
      <w:r w:rsidR="007C34A6" w:rsidRPr="00D97515">
        <w:t>B</w:t>
      </w:r>
      <w:r w:rsidRPr="00D97515">
        <w:t xml:space="preserve">eneficiary, Mr Ari </w:t>
      </w:r>
      <w:proofErr w:type="spellStart"/>
      <w:r w:rsidRPr="00D97515">
        <w:t>Lewski</w:t>
      </w:r>
      <w:proofErr w:type="spellEnd"/>
      <w:r w:rsidRPr="00D97515">
        <w:t xml:space="preserve"> testified that:</w:t>
      </w:r>
    </w:p>
    <w:p w14:paraId="58B64B7E" w14:textId="66609E11" w:rsidR="00C108ED" w:rsidRPr="00D97515" w:rsidRDefault="00C108ED" w:rsidP="00C108ED">
      <w:pPr>
        <w:pStyle w:val="Quote1"/>
      </w:pPr>
      <w:r w:rsidRPr="00D97515">
        <w:t xml:space="preserve">I relied on the </w:t>
      </w:r>
      <w:r w:rsidR="00CD370E">
        <w:t>—</w:t>
      </w:r>
      <w:r w:rsidRPr="00D97515">
        <w:t xml:space="preserve"> the advice and expertise of my father, so </w:t>
      </w:r>
      <w:r w:rsidR="00CD370E">
        <w:t>—</w:t>
      </w:r>
      <w:r w:rsidRPr="00D97515">
        <w:t xml:space="preserve"> in these particular matters. So I relied on him working out what litigation funding agreements were necessary given what was happening</w:t>
      </w:r>
      <w:r w:rsidR="00010797" w:rsidRPr="00D97515">
        <w:t xml:space="preserve"> at the time, and so, if one </w:t>
      </w:r>
      <w:r w:rsidRPr="00D97515">
        <w:t>wasn’t done for me personally, there must have been a reason for it.</w:t>
      </w:r>
    </w:p>
    <w:p w14:paraId="647B107D" w14:textId="77777777" w:rsidR="00C108ED" w:rsidRPr="00D97515" w:rsidRDefault="00C108ED" w:rsidP="00C108ED">
      <w:pPr>
        <w:pStyle w:val="Heading3"/>
      </w:pPr>
      <w:r w:rsidRPr="00D97515">
        <w:t>Evidence of Mr Joseph</w:t>
      </w:r>
    </w:p>
    <w:p w14:paraId="603484F1" w14:textId="0B9DBF67" w:rsidR="00C108ED" w:rsidRPr="00D97515" w:rsidRDefault="00C108ED" w:rsidP="00C108ED">
      <w:pPr>
        <w:pStyle w:val="ParaNumbering"/>
      </w:pPr>
      <w:r w:rsidRPr="00D97515">
        <w:t>Mr Joseph is a retired partner of the law firm known as Strongman &amp; Crouch (</w:t>
      </w:r>
      <w:r w:rsidRPr="00D97515">
        <w:rPr>
          <w:b/>
        </w:rPr>
        <w:t>S&amp;C</w:t>
      </w:r>
      <w:r w:rsidRPr="00D97515">
        <w:t xml:space="preserve">), which firm worked on a number of matters for entities related to the </w:t>
      </w:r>
      <w:proofErr w:type="spellStart"/>
      <w:r w:rsidRPr="00D97515">
        <w:t>Lewski</w:t>
      </w:r>
      <w:proofErr w:type="spellEnd"/>
      <w:r w:rsidRPr="00D97515">
        <w:t xml:space="preserve"> family.  Mr Joseph gave evidence of the background to S&amp;C’s retainers in relation to the litigation related to the liquidation of APCHL as follows:</w:t>
      </w:r>
    </w:p>
    <w:p w14:paraId="6DEC2449" w14:textId="77777777" w:rsidR="00F44FDB" w:rsidRDefault="00C108ED" w:rsidP="00F44FDB">
      <w:pPr>
        <w:pStyle w:val="ListNo1"/>
        <w:numPr>
          <w:ilvl w:val="0"/>
          <w:numId w:val="32"/>
        </w:numPr>
        <w:rPr>
          <w:lang w:eastAsia="en-AU"/>
        </w:rPr>
      </w:pPr>
      <w:r w:rsidRPr="00D97515">
        <w:rPr>
          <w:lang w:eastAsia="en-AU"/>
        </w:rPr>
        <w:t xml:space="preserve">In August 2011, S&amp;C was retained by </w:t>
      </w:r>
      <w:r w:rsidR="00010797" w:rsidRPr="00D97515">
        <w:rPr>
          <w:lang w:eastAsia="en-AU"/>
        </w:rPr>
        <w:t>Mr William</w:t>
      </w:r>
      <w:r w:rsidRPr="00D97515">
        <w:rPr>
          <w:lang w:eastAsia="en-AU"/>
        </w:rPr>
        <w:t xml:space="preserve"> </w:t>
      </w:r>
      <w:proofErr w:type="spellStart"/>
      <w:r w:rsidRPr="00D97515">
        <w:rPr>
          <w:lang w:eastAsia="en-AU"/>
        </w:rPr>
        <w:t>Lewski</w:t>
      </w:r>
      <w:proofErr w:type="spellEnd"/>
      <w:r w:rsidRPr="00D97515">
        <w:rPr>
          <w:lang w:eastAsia="en-AU"/>
        </w:rPr>
        <w:t xml:space="preserve"> and associated companies in connection with the </w:t>
      </w:r>
      <w:r w:rsidR="007C34A6" w:rsidRPr="00D97515">
        <w:rPr>
          <w:lang w:eastAsia="en-AU"/>
        </w:rPr>
        <w:t>“</w:t>
      </w:r>
      <w:r w:rsidRPr="00D97515">
        <w:rPr>
          <w:lang w:eastAsia="en-AU"/>
        </w:rPr>
        <w:t>defence of prospective proceedings against professional advisers &amp; others, and all related and consequential matters</w:t>
      </w:r>
      <w:r w:rsidR="007C34A6" w:rsidRPr="00D97515">
        <w:rPr>
          <w:lang w:eastAsia="en-AU"/>
        </w:rPr>
        <w:t>”</w:t>
      </w:r>
      <w:r w:rsidRPr="005729E7">
        <w:rPr>
          <w:lang w:eastAsia="en-AU"/>
        </w:rPr>
        <w:t xml:space="preserve">. </w:t>
      </w:r>
      <w:r w:rsidR="005729E7">
        <w:rPr>
          <w:lang w:eastAsia="en-AU"/>
        </w:rPr>
        <w:t xml:space="preserve"> </w:t>
      </w:r>
      <w:r w:rsidR="0024549E" w:rsidRPr="00D97515">
        <w:rPr>
          <w:lang w:eastAsia="en-AU"/>
        </w:rPr>
        <w:t>This was a “</w:t>
      </w:r>
      <w:r w:rsidRPr="00D97515">
        <w:rPr>
          <w:lang w:eastAsia="en-AU"/>
        </w:rPr>
        <w:t>general retainer</w:t>
      </w:r>
      <w:r w:rsidR="0024549E" w:rsidRPr="00D97515">
        <w:rPr>
          <w:lang w:eastAsia="en-AU"/>
        </w:rPr>
        <w:t>”</w:t>
      </w:r>
      <w:r w:rsidRPr="00D97515">
        <w:rPr>
          <w:lang w:eastAsia="en-AU"/>
        </w:rPr>
        <w:t xml:space="preserve"> in anticipation of matters pertaining to </w:t>
      </w:r>
      <w:r w:rsidRPr="005729E7">
        <w:rPr>
          <w:lang w:eastAsia="en-AU"/>
        </w:rPr>
        <w:t>APCHL</w:t>
      </w:r>
      <w:r w:rsidRPr="00D97515">
        <w:rPr>
          <w:lang w:eastAsia="en-AU"/>
        </w:rPr>
        <w:t>.  The acknowledgement by the client of the terms of engagement was signed by Mr</w:t>
      </w:r>
      <w:r w:rsidR="0024549E" w:rsidRPr="00D97515">
        <w:rPr>
          <w:lang w:eastAsia="en-AU"/>
        </w:rPr>
        <w:t> </w:t>
      </w:r>
      <w:r w:rsidR="00F44FDB">
        <w:rPr>
          <w:lang w:eastAsia="en-AU"/>
        </w:rPr>
        <w:t xml:space="preserve">William </w:t>
      </w:r>
      <w:proofErr w:type="spellStart"/>
      <w:r w:rsidR="00F44FDB">
        <w:rPr>
          <w:lang w:eastAsia="en-AU"/>
        </w:rPr>
        <w:t>Lewski</w:t>
      </w:r>
      <w:proofErr w:type="spellEnd"/>
      <w:r w:rsidR="00F44FDB">
        <w:rPr>
          <w:lang w:eastAsia="en-AU"/>
        </w:rPr>
        <w:t>.</w:t>
      </w:r>
    </w:p>
    <w:p w14:paraId="742FCAFC" w14:textId="77777777" w:rsidR="00F44FDB" w:rsidRDefault="00C108ED" w:rsidP="00F44FDB">
      <w:pPr>
        <w:pStyle w:val="ListNo1"/>
        <w:numPr>
          <w:ilvl w:val="0"/>
          <w:numId w:val="32"/>
        </w:numPr>
        <w:rPr>
          <w:lang w:eastAsia="en-AU"/>
        </w:rPr>
      </w:pPr>
      <w:r w:rsidRPr="00D97515">
        <w:rPr>
          <w:lang w:eastAsia="en-AU"/>
        </w:rPr>
        <w:t xml:space="preserve">In January 2012, S&amp;C was retained by Mr William </w:t>
      </w:r>
      <w:proofErr w:type="spellStart"/>
      <w:r w:rsidRPr="00D97515">
        <w:rPr>
          <w:lang w:eastAsia="en-AU"/>
        </w:rPr>
        <w:t>Lewski</w:t>
      </w:r>
      <w:proofErr w:type="spellEnd"/>
      <w:r w:rsidRPr="00D97515">
        <w:rPr>
          <w:lang w:eastAsia="en-AU"/>
        </w:rPr>
        <w:t xml:space="preserve">, </w:t>
      </w:r>
      <w:r w:rsidR="005729E7">
        <w:rPr>
          <w:lang w:eastAsia="en-AU"/>
        </w:rPr>
        <w:t xml:space="preserve">Mrs </w:t>
      </w:r>
      <w:r w:rsidRPr="00D97515">
        <w:rPr>
          <w:lang w:eastAsia="en-AU"/>
        </w:rPr>
        <w:t>Roslyn</w:t>
      </w:r>
      <w:r w:rsidR="005729E7">
        <w:rPr>
          <w:lang w:eastAsia="en-AU"/>
        </w:rPr>
        <w:t xml:space="preserve"> </w:t>
      </w:r>
      <w:proofErr w:type="spellStart"/>
      <w:r w:rsidR="005729E7">
        <w:rPr>
          <w:lang w:eastAsia="en-AU"/>
        </w:rPr>
        <w:t>Lewski</w:t>
      </w:r>
      <w:proofErr w:type="spellEnd"/>
      <w:r w:rsidRPr="00D97515">
        <w:rPr>
          <w:lang w:eastAsia="en-AU"/>
        </w:rPr>
        <w:t xml:space="preserve">, and </w:t>
      </w:r>
      <w:r w:rsidR="005729E7" w:rsidRPr="005729E7">
        <w:rPr>
          <w:lang w:eastAsia="en-AU"/>
        </w:rPr>
        <w:t xml:space="preserve">Mr William </w:t>
      </w:r>
      <w:proofErr w:type="spellStart"/>
      <w:r w:rsidR="005729E7" w:rsidRPr="005729E7">
        <w:rPr>
          <w:lang w:eastAsia="en-AU"/>
        </w:rPr>
        <w:t>Lewski</w:t>
      </w:r>
      <w:r w:rsidR="005729E7">
        <w:rPr>
          <w:lang w:eastAsia="en-AU"/>
        </w:rPr>
        <w:t>’s</w:t>
      </w:r>
      <w:proofErr w:type="spellEnd"/>
      <w:r w:rsidR="005729E7" w:rsidRPr="005729E7" w:rsidDel="005729E7">
        <w:rPr>
          <w:lang w:eastAsia="en-AU"/>
        </w:rPr>
        <w:t xml:space="preserve"> </w:t>
      </w:r>
      <w:r w:rsidRPr="00D97515">
        <w:rPr>
          <w:lang w:eastAsia="en-AU"/>
        </w:rPr>
        <w:t>parents</w:t>
      </w:r>
      <w:r w:rsidR="00DD07F9">
        <w:rPr>
          <w:lang w:eastAsia="en-AU"/>
        </w:rPr>
        <w:t>,</w:t>
      </w:r>
      <w:r w:rsidRPr="00D97515">
        <w:rPr>
          <w:lang w:eastAsia="en-AU"/>
        </w:rPr>
        <w:t xml:space="preserve"> Mala and David, to act generally in the liquidation of </w:t>
      </w:r>
      <w:r w:rsidRPr="001B13DD">
        <w:rPr>
          <w:lang w:eastAsia="en-AU"/>
        </w:rPr>
        <w:t>APCHL</w:t>
      </w:r>
      <w:r w:rsidRPr="00D97515">
        <w:rPr>
          <w:lang w:eastAsia="en-AU"/>
        </w:rPr>
        <w:t xml:space="preserve">. </w:t>
      </w:r>
      <w:r w:rsidR="005729E7">
        <w:rPr>
          <w:lang w:eastAsia="en-AU"/>
        </w:rPr>
        <w:t xml:space="preserve"> </w:t>
      </w:r>
      <w:r w:rsidRPr="00D97515">
        <w:rPr>
          <w:lang w:eastAsia="en-AU"/>
        </w:rPr>
        <w:t xml:space="preserve">The acknowledgement by the client of the terms of engagement was signed by Mr William </w:t>
      </w:r>
      <w:proofErr w:type="spellStart"/>
      <w:r w:rsidRPr="00D97515">
        <w:rPr>
          <w:lang w:eastAsia="en-AU"/>
        </w:rPr>
        <w:t>Lewski</w:t>
      </w:r>
      <w:proofErr w:type="spellEnd"/>
      <w:r w:rsidRPr="00D97515">
        <w:rPr>
          <w:lang w:eastAsia="en-AU"/>
        </w:rPr>
        <w:t xml:space="preserve"> on his own behalf and on behalf of Australian Property Administrators Pty Ltd and </w:t>
      </w:r>
      <w:proofErr w:type="spellStart"/>
      <w:r w:rsidRPr="00D97515">
        <w:rPr>
          <w:lang w:eastAsia="en-AU"/>
        </w:rPr>
        <w:t>Daytree</w:t>
      </w:r>
      <w:proofErr w:type="spellEnd"/>
      <w:r w:rsidR="007C34A6" w:rsidRPr="00D97515">
        <w:rPr>
          <w:lang w:eastAsia="en-AU"/>
        </w:rPr>
        <w:t>,</w:t>
      </w:r>
      <w:r w:rsidRPr="00D97515">
        <w:rPr>
          <w:lang w:eastAsia="en-AU"/>
        </w:rPr>
        <w:t xml:space="preserve"> and on b</w:t>
      </w:r>
      <w:r w:rsidR="0024549E" w:rsidRPr="00D97515">
        <w:rPr>
          <w:lang w:eastAsia="en-AU"/>
        </w:rPr>
        <w:t>e</w:t>
      </w:r>
      <w:r w:rsidRPr="00D97515">
        <w:rPr>
          <w:lang w:eastAsia="en-AU"/>
        </w:rPr>
        <w:t>h</w:t>
      </w:r>
      <w:r w:rsidR="0024549E" w:rsidRPr="00D97515">
        <w:rPr>
          <w:lang w:eastAsia="en-AU"/>
        </w:rPr>
        <w:t>a</w:t>
      </w:r>
      <w:r w:rsidRPr="00D97515">
        <w:rPr>
          <w:lang w:eastAsia="en-AU"/>
        </w:rPr>
        <w:t xml:space="preserve">lf of his parents under power of attorney.  The acknowledgement was also signed by Mrs Roslyn </w:t>
      </w:r>
      <w:proofErr w:type="spellStart"/>
      <w:r w:rsidRPr="00D97515">
        <w:rPr>
          <w:lang w:eastAsia="en-AU"/>
        </w:rPr>
        <w:t>Lewski</w:t>
      </w:r>
      <w:proofErr w:type="spellEnd"/>
      <w:r w:rsidR="0098656F">
        <w:rPr>
          <w:lang w:eastAsia="en-AU"/>
        </w:rPr>
        <w:t>.</w:t>
      </w:r>
    </w:p>
    <w:p w14:paraId="0D25BBA0" w14:textId="07982E2B" w:rsidR="00C108ED" w:rsidRPr="00D97515" w:rsidRDefault="00C108ED" w:rsidP="00F44FDB">
      <w:pPr>
        <w:pStyle w:val="ListNo1"/>
        <w:numPr>
          <w:ilvl w:val="0"/>
          <w:numId w:val="32"/>
        </w:numPr>
        <w:rPr>
          <w:lang w:eastAsia="en-AU"/>
        </w:rPr>
      </w:pPr>
      <w:r w:rsidRPr="00D97515">
        <w:rPr>
          <w:lang w:eastAsia="en-AU"/>
        </w:rPr>
        <w:t xml:space="preserve">Subsequent to the issue of </w:t>
      </w:r>
      <w:r w:rsidR="00C169FB">
        <w:rPr>
          <w:lang w:eastAsia="en-AU"/>
        </w:rPr>
        <w:t>p</w:t>
      </w:r>
      <w:r w:rsidRPr="00D97515">
        <w:rPr>
          <w:lang w:eastAsia="en-AU"/>
        </w:rPr>
        <w:t xml:space="preserve">roceedings </w:t>
      </w:r>
      <w:r w:rsidR="00C169FB">
        <w:rPr>
          <w:lang w:eastAsia="en-AU"/>
        </w:rPr>
        <w:t xml:space="preserve">in the Supreme Court of Victoria </w:t>
      </w:r>
      <w:r w:rsidRPr="00D97515">
        <w:rPr>
          <w:lang w:eastAsia="en-AU"/>
        </w:rPr>
        <w:t xml:space="preserve">numbered 01199 of 2012 and 01990 of 2012, Mr William </w:t>
      </w:r>
      <w:proofErr w:type="spellStart"/>
      <w:r w:rsidRPr="00D97515">
        <w:rPr>
          <w:lang w:eastAsia="en-AU"/>
        </w:rPr>
        <w:t>Lewski</w:t>
      </w:r>
      <w:proofErr w:type="spellEnd"/>
      <w:r w:rsidRPr="00D97515">
        <w:rPr>
          <w:lang w:eastAsia="en-AU"/>
        </w:rPr>
        <w:t xml:space="preserve"> told Mr Joseph that the Applicant was to pay the professional costs and disbursements rendered by S&amp;C in both </w:t>
      </w:r>
      <w:r w:rsidRPr="00D97515">
        <w:rPr>
          <w:lang w:eastAsia="en-AU"/>
        </w:rPr>
        <w:lastRenderedPageBreak/>
        <w:t xml:space="preserve">these proceedings (and in all subsequent matters arising out of </w:t>
      </w:r>
      <w:r w:rsidRPr="00F44FDB">
        <w:rPr>
          <w:bCs/>
          <w:lang w:eastAsia="en-AU"/>
        </w:rPr>
        <w:t xml:space="preserve">APCHL).  </w:t>
      </w:r>
      <w:r w:rsidR="000A0655">
        <w:rPr>
          <w:lang w:eastAsia="en-AU"/>
        </w:rPr>
        <w:t>On 31 July </w:t>
      </w:r>
      <w:r w:rsidRPr="00D97515">
        <w:rPr>
          <w:lang w:eastAsia="en-AU"/>
        </w:rPr>
        <w:t>2013, Mr Joseph sent two further costs agreements addressed to the Applicant:</w:t>
      </w:r>
    </w:p>
    <w:p w14:paraId="7B9B9508" w14:textId="5D86CBBE" w:rsidR="00C108ED" w:rsidRPr="00D97515" w:rsidRDefault="00C108ED" w:rsidP="005729E7">
      <w:pPr>
        <w:pStyle w:val="ListNo2"/>
        <w:rPr>
          <w:lang w:eastAsia="en-AU"/>
        </w:rPr>
      </w:pPr>
      <w:r w:rsidRPr="00D97515">
        <w:rPr>
          <w:lang w:eastAsia="en-AU"/>
        </w:rPr>
        <w:t xml:space="preserve">One disclosure statement was in regard to </w:t>
      </w:r>
      <w:r w:rsidRPr="00165A96">
        <w:rPr>
          <w:lang w:eastAsia="en-AU"/>
        </w:rPr>
        <w:t xml:space="preserve">Supreme Court </w:t>
      </w:r>
      <w:r w:rsidR="00C169FB">
        <w:rPr>
          <w:lang w:eastAsia="en-AU"/>
        </w:rPr>
        <w:t xml:space="preserve">of Victoria </w:t>
      </w:r>
      <w:r w:rsidRPr="00165A96">
        <w:rPr>
          <w:lang w:eastAsia="en-AU"/>
        </w:rPr>
        <w:t>proceeding</w:t>
      </w:r>
      <w:r w:rsidR="00C169FB">
        <w:rPr>
          <w:lang w:eastAsia="en-AU"/>
        </w:rPr>
        <w:t xml:space="preserve"> number</w:t>
      </w:r>
      <w:r w:rsidRPr="00165A96">
        <w:rPr>
          <w:lang w:eastAsia="en-AU"/>
        </w:rPr>
        <w:t xml:space="preserve"> </w:t>
      </w:r>
      <w:r w:rsidR="00C169FB" w:rsidRPr="00165A96">
        <w:rPr>
          <w:lang w:eastAsia="en-AU"/>
        </w:rPr>
        <w:t>2012</w:t>
      </w:r>
      <w:r w:rsidR="00C169FB">
        <w:rPr>
          <w:lang w:eastAsia="en-AU"/>
        </w:rPr>
        <w:t xml:space="preserve"> 01990 between </w:t>
      </w:r>
      <w:proofErr w:type="spellStart"/>
      <w:r w:rsidRPr="00165A96">
        <w:rPr>
          <w:lang w:eastAsia="en-AU"/>
        </w:rPr>
        <w:t>Daytree</w:t>
      </w:r>
      <w:proofErr w:type="spellEnd"/>
      <w:r w:rsidRPr="00165A96">
        <w:rPr>
          <w:lang w:eastAsia="en-AU"/>
        </w:rPr>
        <w:t xml:space="preserve"> &amp; </w:t>
      </w:r>
      <w:proofErr w:type="spellStart"/>
      <w:r w:rsidRPr="00165A96">
        <w:rPr>
          <w:lang w:eastAsia="en-AU"/>
        </w:rPr>
        <w:t>Ors</w:t>
      </w:r>
      <w:proofErr w:type="spellEnd"/>
      <w:r w:rsidRPr="00165A96">
        <w:rPr>
          <w:lang w:eastAsia="en-AU"/>
        </w:rPr>
        <w:t xml:space="preserve"> and APCHL (in </w:t>
      </w:r>
      <w:proofErr w:type="spellStart"/>
      <w:r w:rsidRPr="00165A96">
        <w:rPr>
          <w:lang w:eastAsia="en-AU"/>
        </w:rPr>
        <w:t>Liq</w:t>
      </w:r>
      <w:proofErr w:type="spellEnd"/>
      <w:r w:rsidRPr="00165A96">
        <w:rPr>
          <w:lang w:eastAsia="en-AU"/>
        </w:rPr>
        <w:t>) (Rectification Proceedings)</w:t>
      </w:r>
      <w:r w:rsidRPr="00D97515">
        <w:rPr>
          <w:lang w:eastAsia="en-AU"/>
        </w:rPr>
        <w:t xml:space="preserve"> and all related and consequential matters.  The acknowledgement by the client of the terms of engagement was to be signed for and on behalf of the </w:t>
      </w:r>
      <w:r w:rsidR="00C948FC">
        <w:rPr>
          <w:lang w:eastAsia="en-AU"/>
        </w:rPr>
        <w:t>Applicant</w:t>
      </w:r>
      <w:r w:rsidRPr="00D97515">
        <w:rPr>
          <w:lang w:eastAsia="en-AU"/>
        </w:rPr>
        <w:t>.  Mr</w:t>
      </w:r>
      <w:r w:rsidR="0024549E" w:rsidRPr="00D97515">
        <w:rPr>
          <w:lang w:eastAsia="en-AU"/>
        </w:rPr>
        <w:t> </w:t>
      </w:r>
      <w:r w:rsidRPr="00D97515">
        <w:rPr>
          <w:lang w:eastAsia="en-AU"/>
        </w:rPr>
        <w:t>Joseph’s evidence was that</w:t>
      </w:r>
      <w:r w:rsidR="00525FAD">
        <w:rPr>
          <w:lang w:eastAsia="en-AU"/>
        </w:rPr>
        <w:t>,</w:t>
      </w:r>
      <w:r w:rsidRPr="00D97515">
        <w:rPr>
          <w:lang w:eastAsia="en-AU"/>
        </w:rPr>
        <w:t xml:space="preserve"> although the copy attached to his affidavit was not signed on behalf of the Applicant, he believed that a signed page had been received by S&amp;C at the time.  Attached to the acknowledgment was a note entitled “note in relation to third party funding”</w:t>
      </w:r>
      <w:r w:rsidR="00C47FDC" w:rsidRPr="00D97515">
        <w:rPr>
          <w:lang w:eastAsia="en-AU"/>
        </w:rPr>
        <w:t>.</w:t>
      </w:r>
      <w:r w:rsidRPr="00D97515">
        <w:rPr>
          <w:lang w:eastAsia="en-AU"/>
        </w:rPr>
        <w:t xml:space="preserve">  That note included the following caution:</w:t>
      </w:r>
    </w:p>
    <w:p w14:paraId="1AB13EAF" w14:textId="77777777" w:rsidR="00C108ED" w:rsidRPr="00D97515" w:rsidRDefault="00C108ED" w:rsidP="005729E7">
      <w:pPr>
        <w:pStyle w:val="Quote3"/>
        <w:rPr>
          <w:lang w:eastAsia="en-AU"/>
        </w:rPr>
      </w:pPr>
      <w:r w:rsidRPr="00D97515">
        <w:rPr>
          <w:lang w:eastAsia="en-AU"/>
        </w:rPr>
        <w:t xml:space="preserve">If </w:t>
      </w:r>
      <w:proofErr w:type="gramStart"/>
      <w:r w:rsidRPr="00D97515">
        <w:rPr>
          <w:lang w:eastAsia="en-AU"/>
        </w:rPr>
        <w:t>your</w:t>
      </w:r>
      <w:proofErr w:type="gramEnd"/>
      <w:r w:rsidRPr="00D97515">
        <w:rPr>
          <w:lang w:eastAsia="en-AU"/>
        </w:rPr>
        <w:t xml:space="preserve"> legal proceedings are, or may be, funded and maintained by a </w:t>
      </w:r>
      <w:proofErr w:type="spellStart"/>
      <w:r w:rsidRPr="00D97515">
        <w:rPr>
          <w:lang w:eastAsia="en-AU"/>
        </w:rPr>
        <w:t>non party</w:t>
      </w:r>
      <w:proofErr w:type="spellEnd"/>
      <w:r w:rsidRPr="00D97515">
        <w:rPr>
          <w:lang w:eastAsia="en-AU"/>
        </w:rPr>
        <w:t xml:space="preserve">, that being a </w:t>
      </w:r>
      <w:proofErr w:type="spellStart"/>
      <w:r w:rsidRPr="00D97515">
        <w:rPr>
          <w:lang w:eastAsia="en-AU"/>
        </w:rPr>
        <w:t>non party</w:t>
      </w:r>
      <w:proofErr w:type="spellEnd"/>
      <w:r w:rsidRPr="00D97515">
        <w:rPr>
          <w:lang w:eastAsia="en-AU"/>
        </w:rPr>
        <w:t xml:space="preserve"> with no apparent interest in those proceedings, these cases may be relevant.</w:t>
      </w:r>
    </w:p>
    <w:p w14:paraId="1CBE6CE9" w14:textId="7818D28D" w:rsidR="00C108ED" w:rsidRPr="00D97515" w:rsidRDefault="00C108ED" w:rsidP="005729E7">
      <w:pPr>
        <w:pStyle w:val="Quote3"/>
        <w:rPr>
          <w:lang w:eastAsia="en-AU"/>
        </w:rPr>
      </w:pPr>
      <w:r w:rsidRPr="00D97515">
        <w:rPr>
          <w:lang w:eastAsia="en-AU"/>
        </w:rPr>
        <w:t xml:space="preserve">It is very difficult to say whether an adverse party in a case would apply for such an Order against a </w:t>
      </w:r>
      <w:proofErr w:type="spellStart"/>
      <w:r w:rsidRPr="00D97515">
        <w:rPr>
          <w:lang w:eastAsia="en-AU"/>
        </w:rPr>
        <w:t>non party</w:t>
      </w:r>
      <w:proofErr w:type="spellEnd"/>
      <w:r w:rsidRPr="00D97515">
        <w:rPr>
          <w:lang w:eastAsia="en-AU"/>
        </w:rPr>
        <w:t xml:space="preserve">, and whether a Court would hold the </w:t>
      </w:r>
      <w:proofErr w:type="spellStart"/>
      <w:r w:rsidRPr="00D97515">
        <w:rPr>
          <w:lang w:eastAsia="en-AU"/>
        </w:rPr>
        <w:t>non party</w:t>
      </w:r>
      <w:proofErr w:type="spellEnd"/>
      <w:r w:rsidRPr="00D97515">
        <w:rPr>
          <w:lang w:eastAsia="en-AU"/>
        </w:rPr>
        <w:t xml:space="preserve"> responsible for any costs ordered against you. This is not least because the matter of liability for costs is subject to the discretion of the Court. However, the cases, at least, make such an outcome possible. It is most important that any </w:t>
      </w:r>
      <w:proofErr w:type="spellStart"/>
      <w:r w:rsidRPr="00D97515">
        <w:rPr>
          <w:lang w:eastAsia="en-AU"/>
        </w:rPr>
        <w:t>non party</w:t>
      </w:r>
      <w:proofErr w:type="spellEnd"/>
      <w:r w:rsidRPr="00D97515">
        <w:rPr>
          <w:lang w:eastAsia="en-AU"/>
        </w:rPr>
        <w:t xml:space="preserve"> understands this. Our own view is that though it may seem unjust that a </w:t>
      </w:r>
      <w:proofErr w:type="spellStart"/>
      <w:r w:rsidRPr="00D97515">
        <w:rPr>
          <w:lang w:eastAsia="en-AU"/>
        </w:rPr>
        <w:t>non party</w:t>
      </w:r>
      <w:proofErr w:type="spellEnd"/>
      <w:r w:rsidRPr="00D97515">
        <w:rPr>
          <w:lang w:eastAsia="en-AU"/>
        </w:rPr>
        <w:t xml:space="preserve"> cannot assist you without such an exposure, it is clear that risk is involved for that </w:t>
      </w:r>
      <w:proofErr w:type="spellStart"/>
      <w:r w:rsidRPr="00D97515">
        <w:rPr>
          <w:lang w:eastAsia="en-AU"/>
        </w:rPr>
        <w:t>non party</w:t>
      </w:r>
      <w:proofErr w:type="spellEnd"/>
      <w:r w:rsidRPr="00D97515">
        <w:rPr>
          <w:lang w:eastAsia="en-AU"/>
        </w:rPr>
        <w:t>.</w:t>
      </w:r>
    </w:p>
    <w:p w14:paraId="5064D600" w14:textId="6C6FB76A" w:rsidR="00C108ED" w:rsidRPr="00D97515" w:rsidRDefault="00C108ED" w:rsidP="005729E7">
      <w:pPr>
        <w:pStyle w:val="Quote3"/>
        <w:rPr>
          <w:lang w:eastAsia="en-AU"/>
        </w:rPr>
      </w:pPr>
      <w:r w:rsidRPr="00D97515">
        <w:rPr>
          <w:lang w:eastAsia="en-AU"/>
        </w:rPr>
        <w:t>As your interests conf</w:t>
      </w:r>
      <w:r w:rsidR="0098656F">
        <w:rPr>
          <w:lang w:eastAsia="en-AU"/>
        </w:rPr>
        <w:t>l</w:t>
      </w:r>
      <w:r w:rsidRPr="00D97515">
        <w:rPr>
          <w:lang w:eastAsia="en-AU"/>
        </w:rPr>
        <w:t xml:space="preserve">ict with those of any </w:t>
      </w:r>
      <w:proofErr w:type="spellStart"/>
      <w:r w:rsidRPr="00D97515">
        <w:rPr>
          <w:lang w:eastAsia="en-AU"/>
        </w:rPr>
        <w:t>non party</w:t>
      </w:r>
      <w:proofErr w:type="spellEnd"/>
      <w:r w:rsidRPr="00D97515">
        <w:rPr>
          <w:lang w:eastAsia="en-AU"/>
        </w:rPr>
        <w:t xml:space="preserve"> in this case we cannot advise the </w:t>
      </w:r>
      <w:proofErr w:type="spellStart"/>
      <w:r w:rsidRPr="00D97515">
        <w:rPr>
          <w:lang w:eastAsia="en-AU"/>
        </w:rPr>
        <w:t>non party</w:t>
      </w:r>
      <w:proofErr w:type="spellEnd"/>
      <w:r w:rsidRPr="00D97515">
        <w:rPr>
          <w:lang w:eastAsia="en-AU"/>
        </w:rPr>
        <w:t xml:space="preserve"> on what course should be taken. Any </w:t>
      </w:r>
      <w:proofErr w:type="spellStart"/>
      <w:r w:rsidRPr="00D97515">
        <w:rPr>
          <w:lang w:eastAsia="en-AU"/>
        </w:rPr>
        <w:t>non party</w:t>
      </w:r>
      <w:proofErr w:type="spellEnd"/>
      <w:r w:rsidRPr="00D97515">
        <w:rPr>
          <w:lang w:eastAsia="en-AU"/>
        </w:rPr>
        <w:t xml:space="preserve"> should take this opportunity to seek independent legal advice and to be satisfied about the extent of any potential liability that may exist in funding your litigation.</w:t>
      </w:r>
    </w:p>
    <w:p w14:paraId="4772900C" w14:textId="6574B092" w:rsidR="00C108ED" w:rsidRPr="00D97515" w:rsidRDefault="00C108ED" w:rsidP="00C169FB">
      <w:pPr>
        <w:pStyle w:val="ListNo2"/>
        <w:rPr>
          <w:lang w:eastAsia="en-AU"/>
        </w:rPr>
      </w:pPr>
      <w:r w:rsidRPr="00D97515">
        <w:rPr>
          <w:lang w:eastAsia="en-AU"/>
        </w:rPr>
        <w:t>The second disclosure statement was in regard to S</w:t>
      </w:r>
      <w:r w:rsidRPr="00165A96">
        <w:rPr>
          <w:lang w:eastAsia="en-AU"/>
        </w:rPr>
        <w:t xml:space="preserve">upreme Court </w:t>
      </w:r>
      <w:r w:rsidR="00C169FB">
        <w:rPr>
          <w:lang w:eastAsia="en-AU"/>
        </w:rPr>
        <w:t xml:space="preserve">of Victoria proceeding </w:t>
      </w:r>
      <w:r w:rsidR="00C169FB" w:rsidRPr="00C169FB">
        <w:rPr>
          <w:lang w:eastAsia="en-AU"/>
        </w:rPr>
        <w:t>number 2012 01199</w:t>
      </w:r>
      <w:r w:rsidR="00C169FB">
        <w:rPr>
          <w:lang w:eastAsia="en-AU"/>
        </w:rPr>
        <w:t xml:space="preserve"> </w:t>
      </w:r>
      <w:r w:rsidR="00165A96">
        <w:rPr>
          <w:lang w:eastAsia="en-AU"/>
        </w:rPr>
        <w:t xml:space="preserve">between </w:t>
      </w:r>
      <w:proofErr w:type="spellStart"/>
      <w:r w:rsidRPr="00165A96">
        <w:rPr>
          <w:lang w:eastAsia="en-AU"/>
        </w:rPr>
        <w:t>Daytree</w:t>
      </w:r>
      <w:proofErr w:type="spellEnd"/>
      <w:r w:rsidRPr="00165A96">
        <w:rPr>
          <w:lang w:eastAsia="en-AU"/>
        </w:rPr>
        <w:t xml:space="preserve"> &amp; </w:t>
      </w:r>
      <w:proofErr w:type="spellStart"/>
      <w:r w:rsidRPr="00165A96">
        <w:rPr>
          <w:lang w:eastAsia="en-AU"/>
        </w:rPr>
        <w:t>Ors</w:t>
      </w:r>
      <w:proofErr w:type="spellEnd"/>
      <w:r w:rsidRPr="00165A96">
        <w:rPr>
          <w:lang w:eastAsia="en-AU"/>
        </w:rPr>
        <w:t xml:space="preserve"> </w:t>
      </w:r>
      <w:r w:rsidR="00165A96">
        <w:rPr>
          <w:lang w:eastAsia="en-AU"/>
        </w:rPr>
        <w:t>and</w:t>
      </w:r>
      <w:r w:rsidR="00165A96" w:rsidRPr="00165A96">
        <w:rPr>
          <w:lang w:eastAsia="en-AU"/>
        </w:rPr>
        <w:t xml:space="preserve"> </w:t>
      </w:r>
      <w:r w:rsidRPr="00165A96">
        <w:rPr>
          <w:lang w:eastAsia="en-AU"/>
        </w:rPr>
        <w:t xml:space="preserve">APCHL &amp; </w:t>
      </w:r>
      <w:proofErr w:type="spellStart"/>
      <w:r w:rsidRPr="00165A96">
        <w:rPr>
          <w:lang w:eastAsia="en-AU"/>
        </w:rPr>
        <w:t>Ors</w:t>
      </w:r>
      <w:proofErr w:type="spellEnd"/>
      <w:r w:rsidRPr="00165A96">
        <w:rPr>
          <w:lang w:eastAsia="en-AU"/>
        </w:rPr>
        <w:t xml:space="preserve"> </w:t>
      </w:r>
      <w:r w:rsidR="00165A96">
        <w:rPr>
          <w:lang w:eastAsia="en-AU"/>
        </w:rPr>
        <w:t xml:space="preserve">arising from </w:t>
      </w:r>
      <w:r w:rsidR="00165A96" w:rsidRPr="00165A96">
        <w:rPr>
          <w:lang w:eastAsia="en-AU"/>
        </w:rPr>
        <w:t>a $33m listing fee payment made by APCHL as trustee</w:t>
      </w:r>
      <w:r w:rsidRPr="00D97515">
        <w:rPr>
          <w:lang w:eastAsia="en-AU"/>
        </w:rPr>
        <w:t xml:space="preserve"> and all related and consequential matters.  The acknowledgement by the client of the terms of engagement was signed for and on behalf of the </w:t>
      </w:r>
      <w:r w:rsidR="00C948FC">
        <w:rPr>
          <w:lang w:eastAsia="en-AU"/>
        </w:rPr>
        <w:t>Applicant</w:t>
      </w:r>
      <w:r w:rsidRPr="00D97515">
        <w:rPr>
          <w:lang w:eastAsia="en-AU"/>
        </w:rPr>
        <w:t xml:space="preserve">. </w:t>
      </w:r>
      <w:r w:rsidR="00C47FDC" w:rsidRPr="00D97515">
        <w:rPr>
          <w:lang w:eastAsia="en-AU"/>
        </w:rPr>
        <w:t xml:space="preserve"> </w:t>
      </w:r>
      <w:r w:rsidRPr="00D97515">
        <w:rPr>
          <w:lang w:eastAsia="en-AU"/>
        </w:rPr>
        <w:t xml:space="preserve">Attached to the acknowledgment was a copy of the </w:t>
      </w:r>
      <w:r w:rsidR="00A0161D">
        <w:rPr>
          <w:lang w:eastAsia="en-AU"/>
        </w:rPr>
        <w:t>“</w:t>
      </w:r>
      <w:r w:rsidRPr="00D97515">
        <w:rPr>
          <w:lang w:eastAsia="en-AU"/>
        </w:rPr>
        <w:t>note in relation to third party funding”</w:t>
      </w:r>
      <w:r w:rsidR="00C47FDC" w:rsidRPr="00D97515">
        <w:rPr>
          <w:lang w:eastAsia="en-AU"/>
        </w:rPr>
        <w:t>.</w:t>
      </w:r>
    </w:p>
    <w:p w14:paraId="38761A1E" w14:textId="77777777" w:rsidR="000D1F9A" w:rsidRDefault="00C108ED" w:rsidP="000D1F9A">
      <w:pPr>
        <w:pStyle w:val="ListNo1"/>
        <w:rPr>
          <w:lang w:eastAsia="en-AU"/>
        </w:rPr>
      </w:pPr>
      <w:r w:rsidRPr="00382680">
        <w:rPr>
          <w:lang w:eastAsia="en-AU"/>
        </w:rPr>
        <w:t>In February 2018</w:t>
      </w:r>
      <w:r w:rsidR="00BF11BF" w:rsidRPr="00382680">
        <w:rPr>
          <w:lang w:eastAsia="en-AU"/>
        </w:rPr>
        <w:t>,</w:t>
      </w:r>
      <w:r w:rsidRPr="00382680">
        <w:rPr>
          <w:lang w:eastAsia="en-AU"/>
        </w:rPr>
        <w:t xml:space="preserve"> it seems that S&amp;C sent a further costs agreement to Mr</w:t>
      </w:r>
      <w:r w:rsidR="0024549E" w:rsidRPr="00382680">
        <w:rPr>
          <w:lang w:eastAsia="en-AU"/>
        </w:rPr>
        <w:t> </w:t>
      </w:r>
      <w:proofErr w:type="spellStart"/>
      <w:r w:rsidRPr="00382680">
        <w:rPr>
          <w:lang w:eastAsia="en-AU"/>
        </w:rPr>
        <w:t>Lewski</w:t>
      </w:r>
      <w:proofErr w:type="spellEnd"/>
      <w:r w:rsidRPr="00382680">
        <w:rPr>
          <w:lang w:eastAsia="en-AU"/>
        </w:rPr>
        <w:t xml:space="preserve"> in relation to Supreme Court </w:t>
      </w:r>
      <w:r w:rsidR="00382680" w:rsidRPr="00382680">
        <w:rPr>
          <w:lang w:eastAsia="en-AU"/>
        </w:rPr>
        <w:t xml:space="preserve">of Victoria </w:t>
      </w:r>
      <w:r w:rsidRPr="00382680">
        <w:rPr>
          <w:lang w:eastAsia="en-AU"/>
        </w:rPr>
        <w:t>proceeding</w:t>
      </w:r>
      <w:r w:rsidR="00382680">
        <w:rPr>
          <w:lang w:eastAsia="en-AU"/>
        </w:rPr>
        <w:t xml:space="preserve"> number</w:t>
      </w:r>
      <w:r w:rsidRPr="00382680">
        <w:rPr>
          <w:lang w:eastAsia="en-AU"/>
        </w:rPr>
        <w:t xml:space="preserve"> </w:t>
      </w:r>
      <w:r w:rsidR="00382680" w:rsidRPr="00382680">
        <w:rPr>
          <w:lang w:eastAsia="en-AU"/>
        </w:rPr>
        <w:t xml:space="preserve">2012 </w:t>
      </w:r>
      <w:r w:rsidRPr="00382680">
        <w:rPr>
          <w:lang w:eastAsia="en-AU"/>
        </w:rPr>
        <w:t xml:space="preserve">01990 and all related and consequential matters. </w:t>
      </w:r>
      <w:r w:rsidR="00BF11BF" w:rsidRPr="00382680">
        <w:rPr>
          <w:lang w:eastAsia="en-AU"/>
        </w:rPr>
        <w:t xml:space="preserve"> </w:t>
      </w:r>
      <w:r w:rsidRPr="00382680">
        <w:rPr>
          <w:lang w:eastAsia="en-AU"/>
        </w:rPr>
        <w:t xml:space="preserve">This costs agreement was directed to the Applicant as well </w:t>
      </w:r>
      <w:r w:rsidRPr="00382680">
        <w:rPr>
          <w:lang w:eastAsia="en-AU"/>
        </w:rPr>
        <w:lastRenderedPageBreak/>
        <w:t xml:space="preserve">as </w:t>
      </w:r>
      <w:proofErr w:type="spellStart"/>
      <w:r w:rsidRPr="00382680">
        <w:rPr>
          <w:lang w:eastAsia="en-AU"/>
        </w:rPr>
        <w:t>Daytree</w:t>
      </w:r>
      <w:proofErr w:type="spellEnd"/>
      <w:r w:rsidRPr="00382680">
        <w:rPr>
          <w:lang w:eastAsia="en-AU"/>
        </w:rPr>
        <w:t xml:space="preserve">, Mr William </w:t>
      </w:r>
      <w:proofErr w:type="spellStart"/>
      <w:r w:rsidRPr="00382680">
        <w:rPr>
          <w:lang w:eastAsia="en-AU"/>
        </w:rPr>
        <w:t>Lewski</w:t>
      </w:r>
      <w:proofErr w:type="spellEnd"/>
      <w:r w:rsidRPr="00382680">
        <w:rPr>
          <w:lang w:eastAsia="en-AU"/>
        </w:rPr>
        <w:t>, Mrs</w:t>
      </w:r>
      <w:r w:rsidR="00A0161D">
        <w:rPr>
          <w:lang w:eastAsia="en-AU"/>
        </w:rPr>
        <w:t xml:space="preserve"> </w:t>
      </w:r>
      <w:r w:rsidRPr="00382680">
        <w:rPr>
          <w:lang w:eastAsia="en-AU"/>
        </w:rPr>
        <w:t xml:space="preserve">Roslyn </w:t>
      </w:r>
      <w:proofErr w:type="spellStart"/>
      <w:r w:rsidRPr="00382680">
        <w:rPr>
          <w:lang w:eastAsia="en-AU"/>
        </w:rPr>
        <w:t>Lewski</w:t>
      </w:r>
      <w:proofErr w:type="spellEnd"/>
      <w:r w:rsidRPr="00382680">
        <w:rPr>
          <w:lang w:eastAsia="en-AU"/>
        </w:rPr>
        <w:t xml:space="preserve">, Mr Harry </w:t>
      </w:r>
      <w:proofErr w:type="spellStart"/>
      <w:r w:rsidRPr="00382680">
        <w:rPr>
          <w:lang w:eastAsia="en-AU"/>
        </w:rPr>
        <w:t>Lewski</w:t>
      </w:r>
      <w:proofErr w:type="spellEnd"/>
      <w:r w:rsidRPr="00382680">
        <w:rPr>
          <w:lang w:eastAsia="en-AU"/>
        </w:rPr>
        <w:t xml:space="preserve"> and </w:t>
      </w:r>
      <w:r w:rsidR="007A4CFC" w:rsidRPr="000C51EE">
        <w:rPr>
          <w:lang w:eastAsia="en-AU"/>
        </w:rPr>
        <w:t>Australian</w:t>
      </w:r>
      <w:r w:rsidRPr="000C51EE">
        <w:rPr>
          <w:lang w:eastAsia="en-AU"/>
        </w:rPr>
        <w:t xml:space="preserve"> Property Administrators </w:t>
      </w:r>
      <w:r w:rsidR="002D7695">
        <w:rPr>
          <w:lang w:eastAsia="en-AU"/>
        </w:rPr>
        <w:t>Pty Ltd</w:t>
      </w:r>
      <w:r w:rsidR="003814AE">
        <w:rPr>
          <w:lang w:eastAsia="en-AU"/>
        </w:rPr>
        <w:t xml:space="preserve"> </w:t>
      </w:r>
      <w:r w:rsidRPr="000C51EE">
        <w:rPr>
          <w:lang w:eastAsia="en-AU"/>
        </w:rPr>
        <w:t xml:space="preserve">(together referred to as “the client”).  Mr Joseph had no clear memory of why that agreement </w:t>
      </w:r>
      <w:r w:rsidRPr="00693DB4">
        <w:rPr>
          <w:lang w:eastAsia="en-AU"/>
        </w:rPr>
        <w:t>was necessary.  It too contained</w:t>
      </w:r>
      <w:r w:rsidRPr="00382680">
        <w:rPr>
          <w:lang w:eastAsia="en-AU"/>
        </w:rPr>
        <w:t xml:space="preserve"> the </w:t>
      </w:r>
      <w:r w:rsidR="00A0161D">
        <w:rPr>
          <w:lang w:eastAsia="en-AU"/>
        </w:rPr>
        <w:t>“</w:t>
      </w:r>
      <w:r w:rsidRPr="00382680">
        <w:rPr>
          <w:lang w:eastAsia="en-AU"/>
        </w:rPr>
        <w:t xml:space="preserve">note </w:t>
      </w:r>
      <w:r w:rsidR="00BF11BF" w:rsidRPr="00382680">
        <w:rPr>
          <w:lang w:eastAsia="en-AU"/>
        </w:rPr>
        <w:t xml:space="preserve">in relation to </w:t>
      </w:r>
      <w:r w:rsidRPr="00382680">
        <w:rPr>
          <w:lang w:eastAsia="en-AU"/>
        </w:rPr>
        <w:t>third party funding</w:t>
      </w:r>
      <w:r w:rsidR="00A0161D">
        <w:rPr>
          <w:lang w:eastAsia="en-AU"/>
        </w:rPr>
        <w:t>”</w:t>
      </w:r>
      <w:r w:rsidR="000D1F9A">
        <w:rPr>
          <w:lang w:eastAsia="en-AU"/>
        </w:rPr>
        <w:t>.</w:t>
      </w:r>
    </w:p>
    <w:p w14:paraId="38B57B0E" w14:textId="31021897" w:rsidR="00C108ED" w:rsidRPr="00D97515" w:rsidRDefault="00C108ED" w:rsidP="000D1F9A">
      <w:pPr>
        <w:pStyle w:val="ListNo1"/>
        <w:rPr>
          <w:lang w:eastAsia="en-AU"/>
        </w:rPr>
      </w:pPr>
      <w:r w:rsidRPr="00D97515">
        <w:rPr>
          <w:lang w:eastAsia="en-AU"/>
        </w:rPr>
        <w:t xml:space="preserve">Mr Joseph at all times had taken instructions from Mr William </w:t>
      </w:r>
      <w:proofErr w:type="spellStart"/>
      <w:r w:rsidRPr="00D97515">
        <w:rPr>
          <w:lang w:eastAsia="en-AU"/>
        </w:rPr>
        <w:t>Lewski</w:t>
      </w:r>
      <w:proofErr w:type="spellEnd"/>
      <w:r w:rsidRPr="00D97515">
        <w:rPr>
          <w:lang w:eastAsia="en-AU"/>
        </w:rPr>
        <w:t xml:space="preserve"> almost exclusively.  Mr William </w:t>
      </w:r>
      <w:proofErr w:type="spellStart"/>
      <w:r w:rsidRPr="00D97515">
        <w:rPr>
          <w:lang w:eastAsia="en-AU"/>
        </w:rPr>
        <w:t>Lewski</w:t>
      </w:r>
      <w:proofErr w:type="spellEnd"/>
      <w:r w:rsidRPr="00D97515">
        <w:rPr>
          <w:lang w:eastAsia="en-AU"/>
        </w:rPr>
        <w:t xml:space="preserve"> was the single point of contact for taking instructions in litigation </w:t>
      </w:r>
      <w:r w:rsidR="007A4CFC" w:rsidRPr="00D97515">
        <w:rPr>
          <w:lang w:eastAsia="en-AU"/>
        </w:rPr>
        <w:t>related</w:t>
      </w:r>
      <w:r w:rsidRPr="00D97515">
        <w:rPr>
          <w:lang w:eastAsia="en-AU"/>
        </w:rPr>
        <w:t xml:space="preserve"> to the </w:t>
      </w:r>
      <w:proofErr w:type="spellStart"/>
      <w:r w:rsidR="000C51EE">
        <w:rPr>
          <w:lang w:eastAsia="en-AU"/>
        </w:rPr>
        <w:t>Lewski</w:t>
      </w:r>
      <w:proofErr w:type="spellEnd"/>
      <w:r w:rsidR="000C51EE">
        <w:rPr>
          <w:lang w:eastAsia="en-AU"/>
        </w:rPr>
        <w:t xml:space="preserve"> F</w:t>
      </w:r>
      <w:r w:rsidRPr="00D97515">
        <w:rPr>
          <w:lang w:eastAsia="en-AU"/>
        </w:rPr>
        <w:t xml:space="preserve">amily </w:t>
      </w:r>
      <w:r w:rsidR="000C51EE">
        <w:rPr>
          <w:lang w:eastAsia="en-AU"/>
        </w:rPr>
        <w:t>G</w:t>
      </w:r>
      <w:r w:rsidRPr="00D97515">
        <w:rPr>
          <w:lang w:eastAsia="en-AU"/>
        </w:rPr>
        <w:t xml:space="preserve">roup.  Mr Joseph </w:t>
      </w:r>
      <w:r w:rsidRPr="000C51EE">
        <w:rPr>
          <w:lang w:eastAsia="en-AU"/>
        </w:rPr>
        <w:t xml:space="preserve">met </w:t>
      </w:r>
      <w:r w:rsidR="00DD07F9">
        <w:rPr>
          <w:lang w:eastAsia="en-AU"/>
        </w:rPr>
        <w:t xml:space="preserve">with </w:t>
      </w:r>
      <w:r w:rsidRPr="000C51EE">
        <w:rPr>
          <w:lang w:eastAsia="en-AU"/>
        </w:rPr>
        <w:t>and</w:t>
      </w:r>
      <w:r w:rsidRPr="00D97515">
        <w:rPr>
          <w:lang w:eastAsia="en-AU"/>
        </w:rPr>
        <w:t xml:space="preserve"> discussed matters with the natural persons who were named as litigants on very rare occasions, usually prior to a public examination or giving evidence</w:t>
      </w:r>
      <w:r w:rsidR="000C51EE">
        <w:rPr>
          <w:lang w:eastAsia="en-AU"/>
        </w:rPr>
        <w:t>, and</w:t>
      </w:r>
      <w:r w:rsidRPr="00D97515">
        <w:rPr>
          <w:lang w:eastAsia="en-AU"/>
        </w:rPr>
        <w:t xml:space="preserve"> on the day </w:t>
      </w:r>
      <w:r w:rsidR="000C51EE">
        <w:rPr>
          <w:lang w:eastAsia="en-AU"/>
        </w:rPr>
        <w:t>evidence</w:t>
      </w:r>
      <w:r w:rsidR="000C51EE" w:rsidRPr="00D97515">
        <w:rPr>
          <w:lang w:eastAsia="en-AU"/>
        </w:rPr>
        <w:t xml:space="preserve"> </w:t>
      </w:r>
      <w:r w:rsidRPr="00D97515">
        <w:rPr>
          <w:lang w:eastAsia="en-AU"/>
        </w:rPr>
        <w:t xml:space="preserve">was </w:t>
      </w:r>
      <w:r w:rsidR="000C51EE">
        <w:rPr>
          <w:lang w:eastAsia="en-AU"/>
        </w:rPr>
        <w:t xml:space="preserve">to be </w:t>
      </w:r>
      <w:r w:rsidRPr="00D97515">
        <w:rPr>
          <w:lang w:eastAsia="en-AU"/>
        </w:rPr>
        <w:t>given.  Ordinarily</w:t>
      </w:r>
      <w:r w:rsidR="00BF11BF" w:rsidRPr="00D97515">
        <w:rPr>
          <w:lang w:eastAsia="en-AU"/>
        </w:rPr>
        <w:t>,</w:t>
      </w:r>
      <w:r w:rsidRPr="00D97515">
        <w:rPr>
          <w:lang w:eastAsia="en-AU"/>
        </w:rPr>
        <w:t xml:space="preserve"> Mr</w:t>
      </w:r>
      <w:r w:rsidR="00BF11BF" w:rsidRPr="00D97515">
        <w:rPr>
          <w:lang w:eastAsia="en-AU"/>
        </w:rPr>
        <w:t> </w:t>
      </w:r>
      <w:r w:rsidRPr="00D97515">
        <w:rPr>
          <w:lang w:eastAsia="en-AU"/>
        </w:rPr>
        <w:t xml:space="preserve">Joseph gave his work product to Mr William </w:t>
      </w:r>
      <w:proofErr w:type="spellStart"/>
      <w:r w:rsidRPr="00D97515">
        <w:rPr>
          <w:lang w:eastAsia="en-AU"/>
        </w:rPr>
        <w:t>Lewski</w:t>
      </w:r>
      <w:proofErr w:type="spellEnd"/>
      <w:r w:rsidRPr="00D97515">
        <w:rPr>
          <w:lang w:eastAsia="en-AU"/>
        </w:rPr>
        <w:t xml:space="preserve"> “who issued instructions on behalf of the relevant litigant”.</w:t>
      </w:r>
    </w:p>
    <w:p w14:paraId="253E95B7" w14:textId="77777777" w:rsidR="00C108ED" w:rsidRPr="00D97515" w:rsidRDefault="00C108ED" w:rsidP="00C108ED">
      <w:pPr>
        <w:pStyle w:val="ParaNumbering"/>
      </w:pPr>
      <w:r w:rsidRPr="00D97515">
        <w:rPr>
          <w:lang w:eastAsia="en-AU"/>
        </w:rPr>
        <w:t>Mr Joseph’s affidavit evidence was:</w:t>
      </w:r>
    </w:p>
    <w:p w14:paraId="6D0247D9" w14:textId="43E28673" w:rsidR="00C108ED" w:rsidRPr="00D97515" w:rsidRDefault="00C108ED" w:rsidP="00C108ED">
      <w:pPr>
        <w:pStyle w:val="Quote1"/>
        <w:rPr>
          <w:lang w:eastAsia="en-AU"/>
        </w:rPr>
      </w:pPr>
      <w:r w:rsidRPr="00D97515">
        <w:rPr>
          <w:lang w:eastAsia="en-AU"/>
        </w:rPr>
        <w:t xml:space="preserve">Consistent with my professional obligations, I regarded my clients as those to whom my firm and I owed contractual, tortious and/or fiduciary obligations in the relevant litigation. This included the actual plaintiffs or defendants as the case required in each matter. I do not regard this as inconsistent with acting in accordance with instructions given through a person who is authorised to act on the behalf of the litigant. In these matters, I would generally regard as my clients the relevant plaintiff or defendant (as the case required) and, depending on the costs agreement, or oral instructions from </w:t>
      </w:r>
      <w:r w:rsidR="00DD07F9">
        <w:rPr>
          <w:lang w:eastAsia="en-AU"/>
        </w:rPr>
        <w:t>[Mr </w:t>
      </w:r>
      <w:r w:rsidR="000C51EE">
        <w:rPr>
          <w:lang w:eastAsia="en-AU"/>
        </w:rPr>
        <w:t>William]</w:t>
      </w:r>
      <w:r w:rsidR="000C51EE" w:rsidRPr="00D97515">
        <w:rPr>
          <w:lang w:eastAsia="en-AU"/>
        </w:rPr>
        <w:t xml:space="preserve"> </w:t>
      </w:r>
      <w:proofErr w:type="spellStart"/>
      <w:r w:rsidRPr="00D97515">
        <w:rPr>
          <w:lang w:eastAsia="en-AU"/>
        </w:rPr>
        <w:t>Lewski</w:t>
      </w:r>
      <w:proofErr w:type="spellEnd"/>
      <w:r w:rsidRPr="00D97515">
        <w:rPr>
          <w:lang w:eastAsia="en-AU"/>
        </w:rPr>
        <w:t xml:space="preserve">, other entities such as </w:t>
      </w:r>
      <w:r w:rsidR="00C609E6" w:rsidRPr="00C609E6">
        <w:rPr>
          <w:lang w:eastAsia="en-AU"/>
        </w:rPr>
        <w:t xml:space="preserve">[the </w:t>
      </w:r>
      <w:r w:rsidR="00C948FC">
        <w:rPr>
          <w:lang w:eastAsia="en-AU"/>
        </w:rPr>
        <w:t>Applicant</w:t>
      </w:r>
      <w:r w:rsidR="00C609E6" w:rsidRPr="00C609E6">
        <w:rPr>
          <w:lang w:eastAsia="en-AU"/>
        </w:rPr>
        <w:t>]</w:t>
      </w:r>
      <w:r w:rsidRPr="00D97515">
        <w:rPr>
          <w:lang w:eastAsia="en-AU"/>
        </w:rPr>
        <w:t xml:space="preserve">. I believe that after July 2013 most if not all invoices from S&amp;C in relation to APCHL were directed to </w:t>
      </w:r>
      <w:r w:rsidR="00C609E6" w:rsidRPr="00C609E6">
        <w:rPr>
          <w:lang w:eastAsia="en-AU"/>
        </w:rPr>
        <w:t xml:space="preserve">[the </w:t>
      </w:r>
      <w:r w:rsidR="00C948FC">
        <w:rPr>
          <w:lang w:eastAsia="en-AU"/>
        </w:rPr>
        <w:t>Applicant</w:t>
      </w:r>
      <w:r w:rsidR="00C609E6" w:rsidRPr="00C609E6">
        <w:rPr>
          <w:lang w:eastAsia="en-AU"/>
        </w:rPr>
        <w:t>]</w:t>
      </w:r>
      <w:r w:rsidRPr="00D97515">
        <w:rPr>
          <w:lang w:eastAsia="en-AU"/>
        </w:rPr>
        <w:t xml:space="preserve">. I do not now recall whether the other clients in each retainer were included in the invoices, but it was certainly </w:t>
      </w:r>
      <w:r w:rsidR="00C609E6" w:rsidRPr="00C609E6">
        <w:rPr>
          <w:lang w:eastAsia="en-AU"/>
        </w:rPr>
        <w:t xml:space="preserve">[the </w:t>
      </w:r>
      <w:r w:rsidR="00C948FC">
        <w:rPr>
          <w:lang w:eastAsia="en-AU"/>
        </w:rPr>
        <w:t>Applicant</w:t>
      </w:r>
      <w:r w:rsidR="00C609E6" w:rsidRPr="00C609E6">
        <w:rPr>
          <w:lang w:eastAsia="en-AU"/>
        </w:rPr>
        <w:t>]</w:t>
      </w:r>
      <w:r w:rsidR="00DD07F9">
        <w:rPr>
          <w:lang w:eastAsia="en-AU"/>
        </w:rPr>
        <w:t xml:space="preserve"> </w:t>
      </w:r>
      <w:r w:rsidRPr="00D97515">
        <w:rPr>
          <w:lang w:eastAsia="en-AU"/>
        </w:rPr>
        <w:t>that I generally expected to pay them, and who I think did pay them.</w:t>
      </w:r>
    </w:p>
    <w:p w14:paraId="0B8B3CC8" w14:textId="45D1A70D" w:rsidR="00C108ED" w:rsidRPr="00D97515" w:rsidRDefault="00C108ED" w:rsidP="00C108ED">
      <w:pPr>
        <w:pStyle w:val="Quote1"/>
        <w:rPr>
          <w:lang w:eastAsia="en-AU"/>
        </w:rPr>
      </w:pPr>
      <w:r w:rsidRPr="00D97515">
        <w:rPr>
          <w:lang w:eastAsia="en-AU"/>
        </w:rPr>
        <w:t xml:space="preserve">I cannot say that I thought of my instructions coming from </w:t>
      </w:r>
      <w:r w:rsidR="000C51EE">
        <w:rPr>
          <w:lang w:eastAsia="en-AU"/>
        </w:rPr>
        <w:t>[Mr William]</w:t>
      </w:r>
      <w:r w:rsidR="000C51EE" w:rsidRPr="00D97515">
        <w:rPr>
          <w:lang w:eastAsia="en-AU"/>
        </w:rPr>
        <w:t xml:space="preserve"> </w:t>
      </w:r>
      <w:proofErr w:type="spellStart"/>
      <w:r w:rsidRPr="00D97515">
        <w:rPr>
          <w:lang w:eastAsia="en-AU"/>
        </w:rPr>
        <w:t>Lewski</w:t>
      </w:r>
      <w:proofErr w:type="spellEnd"/>
      <w:r w:rsidRPr="00D97515">
        <w:rPr>
          <w:lang w:eastAsia="en-AU"/>
        </w:rPr>
        <w:t xml:space="preserve"> in any particular </w:t>
      </w:r>
      <w:r w:rsidR="007A4CFC" w:rsidRPr="00D97515">
        <w:rPr>
          <w:lang w:eastAsia="en-AU"/>
        </w:rPr>
        <w:t>corporate</w:t>
      </w:r>
      <w:r w:rsidRPr="00D97515">
        <w:rPr>
          <w:lang w:eastAsia="en-AU"/>
        </w:rPr>
        <w:t xml:space="preserve"> capacity, and whether that capacity related to </w:t>
      </w:r>
      <w:r w:rsidR="00C609E6" w:rsidRPr="00C609E6">
        <w:rPr>
          <w:lang w:eastAsia="en-AU"/>
        </w:rPr>
        <w:t xml:space="preserve">[the </w:t>
      </w:r>
      <w:r w:rsidR="00C948FC">
        <w:rPr>
          <w:lang w:eastAsia="en-AU"/>
        </w:rPr>
        <w:t>Applicant</w:t>
      </w:r>
      <w:r w:rsidR="00C609E6" w:rsidRPr="00C609E6">
        <w:rPr>
          <w:lang w:eastAsia="en-AU"/>
        </w:rPr>
        <w:t>]</w:t>
      </w:r>
      <w:r w:rsidR="00DD07F9">
        <w:rPr>
          <w:lang w:eastAsia="en-AU"/>
        </w:rPr>
        <w:t xml:space="preserve"> </w:t>
      </w:r>
      <w:r w:rsidRPr="00D97515">
        <w:rPr>
          <w:lang w:eastAsia="en-AU"/>
        </w:rPr>
        <w:t xml:space="preserve">or another entity named in the litigation. I can say that I was satisfied at the time of the matters that </w:t>
      </w:r>
      <w:r w:rsidR="00A0161D">
        <w:rPr>
          <w:lang w:eastAsia="en-AU"/>
        </w:rPr>
        <w:t>[Mr William]</w:t>
      </w:r>
      <w:r w:rsidR="00A0161D" w:rsidRPr="00D97515">
        <w:rPr>
          <w:lang w:eastAsia="en-AU"/>
        </w:rPr>
        <w:t xml:space="preserve"> </w:t>
      </w:r>
      <w:proofErr w:type="spellStart"/>
      <w:r w:rsidRPr="00D97515">
        <w:rPr>
          <w:lang w:eastAsia="en-AU"/>
        </w:rPr>
        <w:t>Lewski</w:t>
      </w:r>
      <w:proofErr w:type="spellEnd"/>
      <w:r w:rsidRPr="00D97515">
        <w:rPr>
          <w:lang w:eastAsia="en-AU"/>
        </w:rPr>
        <w:t xml:space="preserve"> had authority to receive information and advice from me about the conduct of the litigation and to issue instructions in respect of the litigation.</w:t>
      </w:r>
    </w:p>
    <w:p w14:paraId="77A77C53" w14:textId="22E02685" w:rsidR="00C108ED" w:rsidRPr="00D97515" w:rsidRDefault="00C108ED" w:rsidP="00C108ED">
      <w:pPr>
        <w:pStyle w:val="ParaNumbering"/>
      </w:pPr>
      <w:r w:rsidRPr="00D97515">
        <w:rPr>
          <w:lang w:eastAsia="en-AU"/>
        </w:rPr>
        <w:t>Mr Joseph’s evidence in cross</w:t>
      </w:r>
      <w:r w:rsidR="00E136C5">
        <w:rPr>
          <w:lang w:eastAsia="en-AU"/>
        </w:rPr>
        <w:t>‑</w:t>
      </w:r>
      <w:r w:rsidRPr="00D97515">
        <w:rPr>
          <w:lang w:eastAsia="en-AU"/>
        </w:rPr>
        <w:t xml:space="preserve">examination was that, although he could not recall precisely, he doubted whether the </w:t>
      </w:r>
      <w:r w:rsidR="00C948FC">
        <w:rPr>
          <w:lang w:eastAsia="en-AU"/>
        </w:rPr>
        <w:t>Applicant</w:t>
      </w:r>
      <w:r w:rsidRPr="00D97515">
        <w:rPr>
          <w:lang w:eastAsia="en-AU"/>
        </w:rPr>
        <w:t xml:space="preserve"> was a party to any of the Supreme Court </w:t>
      </w:r>
      <w:r w:rsidR="00E62064">
        <w:rPr>
          <w:lang w:eastAsia="en-AU"/>
        </w:rPr>
        <w:t xml:space="preserve">of Victoria </w:t>
      </w:r>
      <w:r w:rsidRPr="00D97515">
        <w:rPr>
          <w:lang w:eastAsia="en-AU"/>
        </w:rPr>
        <w:t xml:space="preserve">proceedings to which the costs agreements related.  According to Mr Joseph, the reason he believed he had received a signed acknowledgment from the </w:t>
      </w:r>
      <w:r w:rsidR="00C948FC">
        <w:rPr>
          <w:lang w:eastAsia="en-AU"/>
        </w:rPr>
        <w:t>Applicant</w:t>
      </w:r>
      <w:r w:rsidRPr="00D97515">
        <w:rPr>
          <w:lang w:eastAsia="en-AU"/>
        </w:rPr>
        <w:t xml:space="preserve"> was</w:t>
      </w:r>
      <w:r w:rsidR="00010797" w:rsidRPr="00D97515">
        <w:rPr>
          <w:lang w:eastAsia="en-AU"/>
        </w:rPr>
        <w:t xml:space="preserve"> that</w:t>
      </w:r>
      <w:r w:rsidRPr="00D97515">
        <w:rPr>
          <w:lang w:eastAsia="en-AU"/>
        </w:rPr>
        <w:t>:</w:t>
      </w:r>
    </w:p>
    <w:p w14:paraId="6F597AC7" w14:textId="053B3020" w:rsidR="00C108ED" w:rsidRPr="00D97515" w:rsidRDefault="00AB6EBE" w:rsidP="00C108ED">
      <w:pPr>
        <w:pStyle w:val="Quote1"/>
      </w:pPr>
      <w:r w:rsidRPr="00D97515">
        <w:t>[T]</w:t>
      </w:r>
      <w:r w:rsidR="00C108ED" w:rsidRPr="00D97515">
        <w:t xml:space="preserve">he single most important aspect of acting for a client if you’re a commercial solicitor is knowing it’s going to pay, and if </w:t>
      </w:r>
      <w:r w:rsidR="00E62064">
        <w:t xml:space="preserve">[Mr William </w:t>
      </w:r>
      <w:proofErr w:type="spellStart"/>
      <w:r w:rsidR="00E62064">
        <w:t>Lewski</w:t>
      </w:r>
      <w:proofErr w:type="spellEnd"/>
      <w:r w:rsidR="00E62064">
        <w:t>]</w:t>
      </w:r>
      <w:r w:rsidR="00E62064" w:rsidRPr="00D97515">
        <w:t xml:space="preserve"> </w:t>
      </w:r>
      <w:r w:rsidR="00C108ED" w:rsidRPr="00D97515">
        <w:t xml:space="preserve">had said to me he wanted </w:t>
      </w:r>
      <w:r w:rsidR="00C609E6" w:rsidRPr="00C609E6">
        <w:t xml:space="preserve">[the </w:t>
      </w:r>
      <w:r w:rsidR="00C948FC">
        <w:t>Applicant</w:t>
      </w:r>
      <w:r w:rsidR="00C609E6" w:rsidRPr="00C609E6">
        <w:t>]</w:t>
      </w:r>
      <w:r w:rsidR="00C108ED" w:rsidRPr="00D97515">
        <w:t xml:space="preserve"> to be the person liable, then, as far as I was concerned, it was very important to have </w:t>
      </w:r>
      <w:r w:rsidR="00C609E6" w:rsidRPr="00C609E6">
        <w:t xml:space="preserve">[the </w:t>
      </w:r>
      <w:r w:rsidR="00C948FC">
        <w:t>Applicant</w:t>
      </w:r>
      <w:r w:rsidR="00C609E6" w:rsidRPr="00C609E6">
        <w:t>]</w:t>
      </w:r>
      <w:r w:rsidR="00C108ED" w:rsidRPr="00D97515">
        <w:t xml:space="preserve"> sign up.</w:t>
      </w:r>
    </w:p>
    <w:p w14:paraId="56C82398" w14:textId="56E72B41" w:rsidR="00C108ED" w:rsidRPr="002B5201" w:rsidRDefault="00C108ED" w:rsidP="00C108ED">
      <w:pPr>
        <w:pStyle w:val="ParaNumbering"/>
        <w:rPr>
          <w:szCs w:val="24"/>
        </w:rPr>
      </w:pPr>
      <w:r w:rsidRPr="002B5201">
        <w:rPr>
          <w:szCs w:val="24"/>
        </w:rPr>
        <w:lastRenderedPageBreak/>
        <w:t xml:space="preserve">Mr Joseph accepted that there were instances where S&amp;C issued invoices to the </w:t>
      </w:r>
      <w:r w:rsidR="00C948FC" w:rsidRPr="002B5201">
        <w:rPr>
          <w:szCs w:val="24"/>
        </w:rPr>
        <w:t>Applicant</w:t>
      </w:r>
      <w:r w:rsidRPr="002B5201">
        <w:rPr>
          <w:szCs w:val="24"/>
        </w:rPr>
        <w:t xml:space="preserve"> even though there was no costs agreement naming the </w:t>
      </w:r>
      <w:r w:rsidR="00C948FC" w:rsidRPr="002B5201">
        <w:rPr>
          <w:szCs w:val="24"/>
        </w:rPr>
        <w:t>Applicant</w:t>
      </w:r>
      <w:r w:rsidRPr="002B5201">
        <w:rPr>
          <w:szCs w:val="24"/>
        </w:rPr>
        <w:t xml:space="preserve"> as the client and “that may well </w:t>
      </w:r>
      <w:r w:rsidR="00A0161D" w:rsidRPr="002B5201">
        <w:rPr>
          <w:szCs w:val="24"/>
        </w:rPr>
        <w:t>[have been]</w:t>
      </w:r>
      <w:r w:rsidRPr="002B5201">
        <w:rPr>
          <w:szCs w:val="24"/>
        </w:rPr>
        <w:t xml:space="preserve"> the case, because Mr [William] </w:t>
      </w:r>
      <w:proofErr w:type="spellStart"/>
      <w:r w:rsidRPr="002B5201">
        <w:rPr>
          <w:szCs w:val="24"/>
        </w:rPr>
        <w:t>Lewski</w:t>
      </w:r>
      <w:proofErr w:type="spellEnd"/>
      <w:r w:rsidRPr="002B5201">
        <w:rPr>
          <w:szCs w:val="24"/>
        </w:rPr>
        <w:t xml:space="preserve"> had said that that’s the way he wanted it to be”</w:t>
      </w:r>
      <w:r w:rsidR="00AB6EBE" w:rsidRPr="002B5201">
        <w:rPr>
          <w:szCs w:val="24"/>
        </w:rPr>
        <w:t>.</w:t>
      </w:r>
    </w:p>
    <w:p w14:paraId="570A6F6F" w14:textId="77777777" w:rsidR="00C108ED" w:rsidRPr="002B5201" w:rsidRDefault="00C108ED" w:rsidP="00C108ED">
      <w:pPr>
        <w:pStyle w:val="ParaNumbering"/>
        <w:rPr>
          <w:szCs w:val="24"/>
        </w:rPr>
      </w:pPr>
      <w:r w:rsidRPr="002B5201">
        <w:rPr>
          <w:szCs w:val="24"/>
        </w:rPr>
        <w:t>Mr Joseph’s evidence was:</w:t>
      </w:r>
    </w:p>
    <w:p w14:paraId="33F8D18A" w14:textId="74E17B36" w:rsidR="00C108ED" w:rsidRPr="00D97515" w:rsidRDefault="00C108ED" w:rsidP="00E62064">
      <w:pPr>
        <w:pStyle w:val="Quote1"/>
      </w:pPr>
      <w:r w:rsidRPr="00D97515">
        <w:t xml:space="preserve">I trusted Mr </w:t>
      </w:r>
      <w:r w:rsidR="00E62064">
        <w:t xml:space="preserve">[William] </w:t>
      </w:r>
      <w:proofErr w:type="spellStart"/>
      <w:r w:rsidRPr="00D97515">
        <w:t>Lewski</w:t>
      </w:r>
      <w:proofErr w:type="spellEnd"/>
      <w:r w:rsidRPr="00D97515">
        <w:t xml:space="preserve"> completely. He was a very good client as far as I was concerned; always treated me very well; never any problem with getting paid that I recall. Once he said to me that </w:t>
      </w:r>
      <w:r w:rsidR="00C609E6" w:rsidRPr="00C609E6">
        <w:t xml:space="preserve">[the </w:t>
      </w:r>
      <w:r w:rsidR="00C948FC">
        <w:t>Applicant</w:t>
      </w:r>
      <w:r w:rsidR="00C609E6" w:rsidRPr="00C609E6">
        <w:t>]</w:t>
      </w:r>
      <w:r w:rsidRPr="00D97515">
        <w:t xml:space="preserve"> was going to pay and once I had him signed up on those two initial costs agreements, I promptly took the view that that was enough, but I never thought that </w:t>
      </w:r>
      <w:r w:rsidR="00E62064">
        <w:t>—</w:t>
      </w:r>
      <w:r w:rsidRPr="00D97515">
        <w:t xml:space="preserve"> of course, I had duties to </w:t>
      </w:r>
      <w:r w:rsidR="00C609E6" w:rsidRPr="00C609E6">
        <w:t xml:space="preserve">[the </w:t>
      </w:r>
      <w:r w:rsidR="00C948FC">
        <w:t>Applicant</w:t>
      </w:r>
      <w:r w:rsidR="00C609E6" w:rsidRPr="00C609E6">
        <w:t>]</w:t>
      </w:r>
      <w:r w:rsidRPr="00D97515">
        <w:t xml:space="preserve">, but I never thought it was the client in any </w:t>
      </w:r>
      <w:r w:rsidR="00E62064">
        <w:t>—</w:t>
      </w:r>
      <w:r w:rsidRPr="00D97515">
        <w:t xml:space="preserve"> in any – inasmuch as it wasn’t a party to relevant legal proceedings. I </w:t>
      </w:r>
      <w:r w:rsidR="00E62064">
        <w:t>—</w:t>
      </w:r>
      <w:r w:rsidR="00E62064" w:rsidRPr="00D97515">
        <w:t xml:space="preserve"> </w:t>
      </w:r>
      <w:r w:rsidRPr="00D97515">
        <w:t xml:space="preserve">I’m drawing </w:t>
      </w:r>
      <w:r w:rsidR="00E62064">
        <w:t>…</w:t>
      </w:r>
      <w:r w:rsidRPr="00D97515">
        <w:t xml:space="preserve"> a distinction between the clients on the record and the person who was to pay the bill. I hope that doesn’t confuse you.</w:t>
      </w:r>
    </w:p>
    <w:p w14:paraId="5E9AB712" w14:textId="02D05C94" w:rsidR="00C108ED" w:rsidRPr="00D97515" w:rsidRDefault="008A3444" w:rsidP="00C108ED">
      <w:pPr>
        <w:pStyle w:val="Quote1"/>
        <w:rPr>
          <w:szCs w:val="22"/>
        </w:rPr>
      </w:pPr>
      <w:r w:rsidRPr="008A3444">
        <w:t xml:space="preserve">[COUNSEL FOR THE </w:t>
      </w:r>
      <w:r>
        <w:t>COMMISSIONER</w:t>
      </w:r>
      <w:r w:rsidRPr="008A3444">
        <w:t xml:space="preserve">:] </w:t>
      </w:r>
      <w:r w:rsidR="00C108ED" w:rsidRPr="00D97515">
        <w:t xml:space="preserve">No, Mr Joseph. I </w:t>
      </w:r>
      <w:r w:rsidR="00E62064">
        <w:t>—</w:t>
      </w:r>
      <w:r w:rsidR="00C108ED" w:rsidRPr="00D97515">
        <w:t xml:space="preserve"> to use an expression that I think is used under the costs legislation these days, you regarded </w:t>
      </w:r>
      <w:r w:rsidR="00C609E6" w:rsidRPr="00C609E6">
        <w:t xml:space="preserve">[the </w:t>
      </w:r>
      <w:r w:rsidR="00C948FC">
        <w:t>Applicant</w:t>
      </w:r>
      <w:r w:rsidR="00C609E6" w:rsidRPr="00C609E6">
        <w:t>]</w:t>
      </w:r>
      <w:r w:rsidR="00C108ED" w:rsidRPr="00D97515">
        <w:t xml:space="preserve"> as a third</w:t>
      </w:r>
      <w:r w:rsidR="00E136C5">
        <w:t>‑</w:t>
      </w:r>
      <w:r w:rsidR="00C108ED" w:rsidRPr="00D97515">
        <w:t>party payer</w:t>
      </w:r>
      <w:proofErr w:type="gramStart"/>
      <w:r w:rsidR="00C108ED" w:rsidRPr="00D97515">
        <w:t>?---</w:t>
      </w:r>
      <w:proofErr w:type="gramEnd"/>
      <w:r w:rsidR="00C108ED" w:rsidRPr="00D97515">
        <w:t xml:space="preserve">Yes, that’s a reasonable </w:t>
      </w:r>
      <w:r w:rsidR="00D46D88">
        <w:t>—</w:t>
      </w:r>
      <w:r w:rsidR="00C108ED" w:rsidRPr="00D97515">
        <w:t xml:space="preserve"> yes, that’s reasonable.</w:t>
      </w:r>
      <w:r w:rsidR="00D46D88">
        <w:rPr>
          <w:szCs w:val="22"/>
        </w:rPr>
        <w:t xml:space="preserve"> </w:t>
      </w:r>
      <w:r w:rsidR="00C108ED" w:rsidRPr="00E62064">
        <w:rPr>
          <w:szCs w:val="22"/>
        </w:rPr>
        <w:t xml:space="preserve">Yes. It was akin to a position where you acted for an insurer </w:t>
      </w:r>
      <w:r w:rsidR="00D46D88">
        <w:rPr>
          <w:szCs w:val="22"/>
        </w:rPr>
        <w:t>—</w:t>
      </w:r>
      <w:r w:rsidR="00C108ED" w:rsidRPr="00E62064">
        <w:rPr>
          <w:szCs w:val="22"/>
        </w:rPr>
        <w:t xml:space="preserve"> you acted for a </w:t>
      </w:r>
      <w:r w:rsidR="00D46D88">
        <w:rPr>
          <w:szCs w:val="22"/>
        </w:rPr>
        <w:t>—</w:t>
      </w:r>
      <w:r w:rsidR="00C108ED" w:rsidRPr="00E62064">
        <w:rPr>
          <w:szCs w:val="22"/>
        </w:rPr>
        <w:t xml:space="preserve"> which was </w:t>
      </w:r>
      <w:r w:rsidR="00D46D88">
        <w:rPr>
          <w:szCs w:val="22"/>
        </w:rPr>
        <w:t>—</w:t>
      </w:r>
      <w:r w:rsidR="00C108ED" w:rsidRPr="00E62064">
        <w:rPr>
          <w:szCs w:val="22"/>
        </w:rPr>
        <w:t xml:space="preserve"> and you acted in the name of a particular person, who was your client, that is to say the party to the litigation, but the insurer was paying the bills. Alternatively, it was akin to a position where you acted for a managing director of a public company where the public company was paying the bills, but the director was the client and the name on the record; he was the real client, but the public company simply paid his bills; that’s how I treated it</w:t>
      </w:r>
      <w:r w:rsidR="00D76ECE" w:rsidRPr="00E62064">
        <w:rPr>
          <w:szCs w:val="22"/>
        </w:rPr>
        <w:t>.</w:t>
      </w:r>
    </w:p>
    <w:p w14:paraId="706E09C6" w14:textId="5560820D" w:rsidR="00C108ED" w:rsidRPr="002B5201" w:rsidRDefault="00C108ED" w:rsidP="00C108ED">
      <w:pPr>
        <w:pStyle w:val="ParaNumbering"/>
        <w:rPr>
          <w:szCs w:val="24"/>
        </w:rPr>
      </w:pPr>
      <w:r w:rsidRPr="002B5201">
        <w:rPr>
          <w:szCs w:val="24"/>
        </w:rPr>
        <w:t>In re</w:t>
      </w:r>
      <w:r w:rsidR="00E136C5" w:rsidRPr="002B5201">
        <w:rPr>
          <w:szCs w:val="24"/>
        </w:rPr>
        <w:t>‑</w:t>
      </w:r>
      <w:r w:rsidRPr="002B5201">
        <w:rPr>
          <w:szCs w:val="24"/>
        </w:rPr>
        <w:t>examination</w:t>
      </w:r>
      <w:r w:rsidR="008A3444" w:rsidRPr="002B5201">
        <w:rPr>
          <w:szCs w:val="24"/>
        </w:rPr>
        <w:t>,</w:t>
      </w:r>
      <w:r w:rsidRPr="002B5201">
        <w:rPr>
          <w:szCs w:val="24"/>
        </w:rPr>
        <w:t xml:space="preserve"> Mr Joseph explained </w:t>
      </w:r>
      <w:r w:rsidR="008A3444" w:rsidRPr="002B5201">
        <w:rPr>
          <w:szCs w:val="24"/>
        </w:rPr>
        <w:t xml:space="preserve">that </w:t>
      </w:r>
      <w:r w:rsidRPr="002B5201">
        <w:rPr>
          <w:szCs w:val="24"/>
        </w:rPr>
        <w:t>the similarity with an insurer</w:t>
      </w:r>
      <w:r w:rsidR="008A3444" w:rsidRPr="002B5201">
        <w:rPr>
          <w:szCs w:val="24"/>
        </w:rPr>
        <w:t>,</w:t>
      </w:r>
      <w:r w:rsidRPr="002B5201">
        <w:rPr>
          <w:szCs w:val="24"/>
        </w:rPr>
        <w:t xml:space="preserve"> as he saw it</w:t>
      </w:r>
      <w:r w:rsidR="008A3444" w:rsidRPr="002B5201">
        <w:rPr>
          <w:szCs w:val="24"/>
        </w:rPr>
        <w:t>,</w:t>
      </w:r>
      <w:r w:rsidRPr="002B5201">
        <w:rPr>
          <w:szCs w:val="24"/>
        </w:rPr>
        <w:t xml:space="preserve"> was that</w:t>
      </w:r>
      <w:r w:rsidR="005427D0" w:rsidRPr="002B5201">
        <w:rPr>
          <w:szCs w:val="24"/>
        </w:rPr>
        <w:t xml:space="preserve"> (emphasis added)</w:t>
      </w:r>
      <w:r w:rsidRPr="002B5201">
        <w:rPr>
          <w:szCs w:val="24"/>
        </w:rPr>
        <w:t>:</w:t>
      </w:r>
    </w:p>
    <w:p w14:paraId="4879E1C6" w14:textId="323AD3A8" w:rsidR="00C108ED" w:rsidRPr="00D97515" w:rsidRDefault="008A3444" w:rsidP="00C108ED">
      <w:pPr>
        <w:pStyle w:val="Quote1"/>
      </w:pPr>
      <w:r>
        <w:t>[W]</w:t>
      </w:r>
      <w:proofErr w:type="spellStart"/>
      <w:r w:rsidR="00C108ED" w:rsidRPr="00D97515">
        <w:t>hen</w:t>
      </w:r>
      <w:proofErr w:type="spellEnd"/>
      <w:r w:rsidR="00C108ED" w:rsidRPr="00D97515">
        <w:t xml:space="preserve"> you act for an insurer, the insurer is not named as a party to the legal proceeding. The insurer is normally </w:t>
      </w:r>
      <w:r w:rsidR="00D46D88">
        <w:t>—</w:t>
      </w:r>
      <w:r w:rsidR="00C108ED" w:rsidRPr="00D97515">
        <w:t xml:space="preserve"> in my experience, anyway </w:t>
      </w:r>
      <w:r w:rsidR="00D46D88">
        <w:t>—</w:t>
      </w:r>
      <w:r>
        <w:t xml:space="preserve"> the insured.</w:t>
      </w:r>
    </w:p>
    <w:p w14:paraId="06D731B0" w14:textId="171366C7" w:rsidR="00C108ED" w:rsidRPr="00D97515" w:rsidRDefault="00D76ECE" w:rsidP="00C108ED">
      <w:pPr>
        <w:pStyle w:val="Quote1"/>
      </w:pPr>
      <w:r w:rsidRPr="00D97515">
        <w:t xml:space="preserve">[COUNSEL FOR THE </w:t>
      </w:r>
      <w:r w:rsidRPr="00D46D88">
        <w:t>APPLICANT</w:t>
      </w:r>
      <w:r w:rsidRPr="00D97515">
        <w:t xml:space="preserve">:] </w:t>
      </w:r>
      <w:r w:rsidR="00C108ED" w:rsidRPr="00D97515">
        <w:t>Sorry, the client is the insure</w:t>
      </w:r>
      <w:r w:rsidR="008A3444">
        <w:t>d</w:t>
      </w:r>
      <w:proofErr w:type="gramStart"/>
      <w:r w:rsidR="008A3444">
        <w:t>?---</w:t>
      </w:r>
      <w:proofErr w:type="gramEnd"/>
      <w:r w:rsidR="008A3444">
        <w:t>The client is the insured.</w:t>
      </w:r>
    </w:p>
    <w:p w14:paraId="0899EEBA" w14:textId="77777777" w:rsidR="00C108ED" w:rsidRPr="00D97515" w:rsidRDefault="00C108ED" w:rsidP="00C108ED">
      <w:pPr>
        <w:pStyle w:val="Quote1"/>
      </w:pPr>
      <w:r w:rsidRPr="00D97515">
        <w:t>Yes</w:t>
      </w:r>
      <w:proofErr w:type="gramStart"/>
      <w:r w:rsidRPr="00D97515">
        <w:t>?---</w:t>
      </w:r>
      <w:proofErr w:type="gramEnd"/>
      <w:r w:rsidRPr="00D97515">
        <w:t xml:space="preserve">You’re quite right. The client is the insured. The insurer is paying the bill. </w:t>
      </w:r>
    </w:p>
    <w:p w14:paraId="14681B7B" w14:textId="62DDF427" w:rsidR="00C108ED" w:rsidRPr="00D97515" w:rsidRDefault="00C108ED" w:rsidP="00C108ED">
      <w:pPr>
        <w:pStyle w:val="Quote1"/>
      </w:pPr>
      <w:r w:rsidRPr="00D97515">
        <w:t>Yes</w:t>
      </w:r>
      <w:proofErr w:type="gramStart"/>
      <w:r w:rsidRPr="00D97515">
        <w:t>?---</w:t>
      </w:r>
      <w:proofErr w:type="gramEnd"/>
      <w:r w:rsidRPr="00D97515">
        <w:t>Th</w:t>
      </w:r>
      <w:r w:rsidR="008A3444">
        <w:t>at’s why I said it was kindred.</w:t>
      </w:r>
    </w:p>
    <w:p w14:paraId="78F30337" w14:textId="09524E32" w:rsidR="00C108ED" w:rsidRPr="00D97515" w:rsidRDefault="00C108ED" w:rsidP="00C108ED">
      <w:pPr>
        <w:pStyle w:val="Quote1"/>
      </w:pPr>
      <w:r w:rsidRPr="00D97515">
        <w:t xml:space="preserve">And what role, if any, does the insurer have with respect to making decisions or strategies or - - -?---They have quite – they have quite a substantial role, because under the policy, it has got the right to conduct the </w:t>
      </w:r>
      <w:r w:rsidR="008A3444">
        <w:t>litigation, ordinarily.</w:t>
      </w:r>
    </w:p>
    <w:p w14:paraId="1DCF4467" w14:textId="48D45FAA" w:rsidR="00C108ED" w:rsidRPr="00D46D88" w:rsidRDefault="00C108ED" w:rsidP="00C108ED">
      <w:pPr>
        <w:pStyle w:val="Quote1"/>
        <w:rPr>
          <w:i/>
        </w:rPr>
      </w:pPr>
      <w:r w:rsidRPr="00D97515">
        <w:t>Yes. And is that a feature of representing the parties to the litigation that you were involved in that was similar to the situation with an insurer?---</w:t>
      </w:r>
      <w:r w:rsidRPr="00D46D88">
        <w:rPr>
          <w:i/>
        </w:rPr>
        <w:t>I</w:t>
      </w:r>
      <w:r w:rsidRPr="00D97515">
        <w:rPr>
          <w:i/>
        </w:rPr>
        <w:t xml:space="preserve">t wasn’t identical, because I have no doubt that when Mr </w:t>
      </w:r>
      <w:proofErr w:type="spellStart"/>
      <w:r w:rsidRPr="00D97515">
        <w:rPr>
          <w:i/>
        </w:rPr>
        <w:t>Lewski</w:t>
      </w:r>
      <w:proofErr w:type="spellEnd"/>
      <w:r w:rsidRPr="00D97515">
        <w:rPr>
          <w:i/>
        </w:rPr>
        <w:t xml:space="preserve"> gave instructions, he was giving them on behalf of the parties to the litigation. He wasn’t giving them representing a separate interest, such </w:t>
      </w:r>
      <w:r w:rsidR="00D46D88">
        <w:rPr>
          <w:i/>
        </w:rPr>
        <w:t>—</w:t>
      </w:r>
      <w:r w:rsidRPr="00D97515">
        <w:rPr>
          <w:i/>
        </w:rPr>
        <w:t xml:space="preserve"> such a</w:t>
      </w:r>
      <w:r w:rsidR="008A3444">
        <w:rPr>
          <w:i/>
        </w:rPr>
        <w:t>s would be equal to an insurer.</w:t>
      </w:r>
    </w:p>
    <w:p w14:paraId="337FDACB" w14:textId="79D18B45" w:rsidR="00C108ED" w:rsidRPr="00D97515" w:rsidRDefault="00C108ED" w:rsidP="00C108ED">
      <w:pPr>
        <w:pStyle w:val="Quote1"/>
      </w:pPr>
      <w:r w:rsidRPr="00D97515">
        <w:t>Well, what - - -</w:t>
      </w:r>
      <w:proofErr w:type="gramStart"/>
      <w:r w:rsidRPr="00D97515">
        <w:t>?---</w:t>
      </w:r>
      <w:proofErr w:type="gramEnd"/>
      <w:r w:rsidRPr="00D97515">
        <w:t xml:space="preserve">A rather subtle </w:t>
      </w:r>
      <w:r w:rsidR="00D46D88">
        <w:t>—</w:t>
      </w:r>
      <w:r w:rsidRPr="00D97515">
        <w:t xml:space="preserve"> subtle distinction, but that’s how I thought abo</w:t>
      </w:r>
      <w:r w:rsidR="008A3444">
        <w:t>ut it.</w:t>
      </w:r>
    </w:p>
    <w:p w14:paraId="4AF95A23" w14:textId="0FBC4EF2" w:rsidR="00C108ED" w:rsidRPr="00D97515" w:rsidRDefault="00C108ED" w:rsidP="00C108ED">
      <w:pPr>
        <w:pStyle w:val="Quote1"/>
        <w:rPr>
          <w:i/>
        </w:rPr>
      </w:pPr>
      <w:r w:rsidRPr="00D97515">
        <w:rPr>
          <w:i/>
        </w:rPr>
        <w:t xml:space="preserve">Well, what role did you understand </w:t>
      </w:r>
      <w:r w:rsidR="00C609E6" w:rsidRPr="00DD07F9">
        <w:t>[</w:t>
      </w:r>
      <w:r w:rsidR="00C609E6" w:rsidRPr="00C609E6">
        <w:rPr>
          <w:i/>
        </w:rPr>
        <w:t xml:space="preserve">the </w:t>
      </w:r>
      <w:r w:rsidR="00C948FC">
        <w:rPr>
          <w:i/>
        </w:rPr>
        <w:t>Applicant</w:t>
      </w:r>
      <w:r w:rsidR="00C609E6" w:rsidRPr="00DD07F9">
        <w:t>]</w:t>
      </w:r>
      <w:r w:rsidRPr="00D97515">
        <w:rPr>
          <w:i/>
        </w:rPr>
        <w:t xml:space="preserve"> to be playing in the scheme of </w:t>
      </w:r>
      <w:r w:rsidRPr="00D97515">
        <w:rPr>
          <w:i/>
        </w:rPr>
        <w:lastRenderedPageBreak/>
        <w:t>things, t</w:t>
      </w:r>
      <w:r w:rsidR="008A3444">
        <w:rPr>
          <w:i/>
        </w:rPr>
        <w:t>hen</w:t>
      </w:r>
      <w:proofErr w:type="gramStart"/>
      <w:r w:rsidR="008A3444">
        <w:rPr>
          <w:i/>
        </w:rPr>
        <w:t>?---</w:t>
      </w:r>
      <w:proofErr w:type="gramEnd"/>
      <w:r w:rsidR="008A3444">
        <w:rPr>
          <w:i/>
        </w:rPr>
        <w:t>It was paying the bills.</w:t>
      </w:r>
    </w:p>
    <w:p w14:paraId="5B03D9FD" w14:textId="69D7D93B" w:rsidR="00C108ED" w:rsidRPr="00D97515" w:rsidRDefault="00C108ED" w:rsidP="00C108ED">
      <w:pPr>
        <w:pStyle w:val="Quote1"/>
        <w:rPr>
          <w:i/>
        </w:rPr>
      </w:pPr>
      <w:r w:rsidRPr="00D97515">
        <w:rPr>
          <w:i/>
        </w:rPr>
        <w:t>All right</w:t>
      </w:r>
      <w:proofErr w:type="gramStart"/>
      <w:r w:rsidRPr="00D97515">
        <w:rPr>
          <w:i/>
        </w:rPr>
        <w:t>?---</w:t>
      </w:r>
      <w:proofErr w:type="gramEnd"/>
      <w:r w:rsidRPr="00D97515">
        <w:rPr>
          <w:i/>
        </w:rPr>
        <w:t xml:space="preserve">Unless it was a party to the proceeding, it was </w:t>
      </w:r>
      <w:r w:rsidR="00D46D88">
        <w:rPr>
          <w:i/>
        </w:rPr>
        <w:t>—</w:t>
      </w:r>
      <w:r w:rsidRPr="00D97515">
        <w:rPr>
          <w:i/>
        </w:rPr>
        <w:t xml:space="preserve"> it was merely paying the bills.</w:t>
      </w:r>
    </w:p>
    <w:p w14:paraId="0961FC28" w14:textId="7E7BDE01" w:rsidR="009A56A2" w:rsidRPr="00D97515" w:rsidRDefault="00C108ED" w:rsidP="00C108ED">
      <w:pPr>
        <w:pStyle w:val="ParaNumbering"/>
      </w:pPr>
      <w:r w:rsidRPr="00D97515">
        <w:t xml:space="preserve">Although Mr Joseph did not know the capacity in which Mr William </w:t>
      </w:r>
      <w:proofErr w:type="spellStart"/>
      <w:r w:rsidRPr="00D97515">
        <w:t>Lewski</w:t>
      </w:r>
      <w:proofErr w:type="spellEnd"/>
      <w:r w:rsidRPr="00D97515">
        <w:t xml:space="preserve"> was acting when he provided instructions</w:t>
      </w:r>
      <w:r w:rsidR="008B2C06">
        <w:t>, his evidence was that</w:t>
      </w:r>
      <w:r w:rsidR="009A56A2" w:rsidRPr="00D97515">
        <w:t>:</w:t>
      </w:r>
    </w:p>
    <w:p w14:paraId="3DCEA09E" w14:textId="3300974B" w:rsidR="00C108ED" w:rsidRPr="00D97515" w:rsidRDefault="008A3444" w:rsidP="00693DB4">
      <w:pPr>
        <w:pStyle w:val="Quote1"/>
      </w:pPr>
      <w:r>
        <w:t>[T]</w:t>
      </w:r>
      <w:r w:rsidR="00C108ED" w:rsidRPr="00D97515">
        <w:t xml:space="preserve">here was an overwhelming </w:t>
      </w:r>
      <w:r w:rsidR="00693DB4">
        <w:t>—</w:t>
      </w:r>
      <w:r w:rsidR="00C108ED" w:rsidRPr="00D97515">
        <w:t xml:space="preserve"> overwhelming inference that he was the agent of the persons on whose behalf he was providing the instructions. It’s not unusual in the </w:t>
      </w:r>
      <w:r w:rsidR="008B2C06">
        <w:t>—</w:t>
      </w:r>
      <w:r w:rsidR="00C108ED" w:rsidRPr="00D97515">
        <w:t xml:space="preserve"> in such circumstances to draw that inference. I’ve known the fellow very well for 25 years before these proceedings started.</w:t>
      </w:r>
    </w:p>
    <w:p w14:paraId="3AF4A1D8" w14:textId="01F30967" w:rsidR="00C108ED" w:rsidRPr="00D97515" w:rsidRDefault="00C108ED" w:rsidP="00C108ED">
      <w:pPr>
        <w:pStyle w:val="ParaNumbering"/>
      </w:pPr>
      <w:r w:rsidRPr="00D97515">
        <w:t>Mr Joseph gave his evidence in a considered and honest manner.  I accept his evidence.</w:t>
      </w:r>
    </w:p>
    <w:p w14:paraId="55F1AA24" w14:textId="77777777" w:rsidR="00C108ED" w:rsidRPr="00D97515" w:rsidRDefault="00C108ED" w:rsidP="00C108ED">
      <w:pPr>
        <w:pStyle w:val="Heading3"/>
      </w:pPr>
      <w:r w:rsidRPr="00D97515">
        <w:t>Evidence of Mr Bond</w:t>
      </w:r>
    </w:p>
    <w:p w14:paraId="33191CA4" w14:textId="11357DA0" w:rsidR="00C108ED" w:rsidRPr="00D97515" w:rsidRDefault="00C108ED" w:rsidP="00C108ED">
      <w:pPr>
        <w:pStyle w:val="ParaNumbering"/>
      </w:pPr>
      <w:r w:rsidRPr="00D97515">
        <w:t>Some of the disputed input tax credits related to invoices issue</w:t>
      </w:r>
      <w:r w:rsidR="004F2798">
        <w:t>d</w:t>
      </w:r>
      <w:r w:rsidRPr="00D97515">
        <w:t xml:space="preserve"> by </w:t>
      </w:r>
      <w:r w:rsidR="004F2798">
        <w:t xml:space="preserve">a law firm known as </w:t>
      </w:r>
      <w:r w:rsidRPr="00D97515">
        <w:t>SBA</w:t>
      </w:r>
      <w:r w:rsidR="004F2798">
        <w:t> </w:t>
      </w:r>
      <w:r w:rsidRPr="00D97515">
        <w:t>Law Pty Ltd.  Mr Bond is a principal of SBA Law.</w:t>
      </w:r>
    </w:p>
    <w:p w14:paraId="656C9931" w14:textId="4EBB47E0" w:rsidR="00C108ED" w:rsidRPr="00D97515" w:rsidRDefault="00C108ED" w:rsidP="00C108ED">
      <w:pPr>
        <w:pStyle w:val="ParaNumbering"/>
      </w:pPr>
      <w:r w:rsidRPr="00D97515">
        <w:t>Mr Bond’s evidence was that</w:t>
      </w:r>
      <w:r w:rsidR="005D19AA" w:rsidRPr="00D97515">
        <w:t>,</w:t>
      </w:r>
      <w:r w:rsidRPr="00D97515">
        <w:t xml:space="preserve"> from at least 2006, SBA Law worked on a number of matters for the </w:t>
      </w:r>
      <w:proofErr w:type="spellStart"/>
      <w:r w:rsidRPr="00D97515">
        <w:t>Lewski</w:t>
      </w:r>
      <w:proofErr w:type="spellEnd"/>
      <w:r w:rsidRPr="00D97515">
        <w:t xml:space="preserve"> Family Group.  Mr Bond acted in litigious matters involving entities and individuals in the </w:t>
      </w:r>
      <w:proofErr w:type="spellStart"/>
      <w:r w:rsidRPr="00F10848">
        <w:t>Lewski</w:t>
      </w:r>
      <w:proofErr w:type="spellEnd"/>
      <w:r w:rsidRPr="00F10848">
        <w:t xml:space="preserve"> Family Group</w:t>
      </w:r>
      <w:r w:rsidRPr="00D97515">
        <w:t xml:space="preserve">.  In respect of those matters, Mr Bond nearly wholly dealt with Mr William </w:t>
      </w:r>
      <w:proofErr w:type="spellStart"/>
      <w:r w:rsidRPr="00D97515">
        <w:t>Lewski</w:t>
      </w:r>
      <w:proofErr w:type="spellEnd"/>
      <w:r w:rsidRPr="00D97515">
        <w:t>.  Almost all instructions Mr Bond received were given by Mr</w:t>
      </w:r>
      <w:r w:rsidR="005D19AA" w:rsidRPr="00D97515">
        <w:t> </w:t>
      </w:r>
      <w:r w:rsidRPr="00D97515">
        <w:t xml:space="preserve">William </w:t>
      </w:r>
      <w:proofErr w:type="spellStart"/>
      <w:r w:rsidRPr="00D97515">
        <w:t>Lewski</w:t>
      </w:r>
      <w:proofErr w:type="spellEnd"/>
      <w:r w:rsidR="00ED066F">
        <w:t>,</w:t>
      </w:r>
      <w:r w:rsidRPr="00D97515">
        <w:t xml:space="preserve"> and all information and advice given by Mr Bond was given to Mr</w:t>
      </w:r>
      <w:r w:rsidR="00AC3836">
        <w:t> </w:t>
      </w:r>
      <w:proofErr w:type="spellStart"/>
      <w:r w:rsidRPr="00D97515">
        <w:t>Lewski</w:t>
      </w:r>
      <w:proofErr w:type="spellEnd"/>
      <w:r w:rsidRPr="00D97515">
        <w:t>.</w:t>
      </w:r>
    </w:p>
    <w:p w14:paraId="123DCFEF" w14:textId="34A64842" w:rsidR="00C108ED" w:rsidRPr="00D97515" w:rsidRDefault="00C108ED" w:rsidP="00C108ED">
      <w:pPr>
        <w:pStyle w:val="ParaNumbering"/>
      </w:pPr>
      <w:r w:rsidRPr="00D97515">
        <w:t xml:space="preserve">When Mr William </w:t>
      </w:r>
      <w:proofErr w:type="spellStart"/>
      <w:r w:rsidRPr="00D97515">
        <w:t>Lewski</w:t>
      </w:r>
      <w:proofErr w:type="spellEnd"/>
      <w:r w:rsidRPr="00D97515">
        <w:t xml:space="preserve"> ceased to be a director of a number of entities in the </w:t>
      </w:r>
      <w:proofErr w:type="spellStart"/>
      <w:r w:rsidRPr="00D97515">
        <w:t>Lewski</w:t>
      </w:r>
      <w:proofErr w:type="spellEnd"/>
      <w:r w:rsidRPr="00D97515">
        <w:t xml:space="preserve"> Family Group in 2014, Mr Bond spoke with the replacement or remaining directors (in particular</w:t>
      </w:r>
      <w:r w:rsidR="005D19AA" w:rsidRPr="00D97515">
        <w:t>,</w:t>
      </w:r>
      <w:r w:rsidRPr="00D97515">
        <w:t xml:space="preserve"> Mr</w:t>
      </w:r>
      <w:r w:rsidR="0024549E" w:rsidRPr="00D97515">
        <w:t> </w:t>
      </w:r>
      <w:r w:rsidRPr="00D97515">
        <w:t xml:space="preserve">Ari </w:t>
      </w:r>
      <w:proofErr w:type="spellStart"/>
      <w:r w:rsidRPr="00D97515">
        <w:t>Lewski</w:t>
      </w:r>
      <w:proofErr w:type="spellEnd"/>
      <w:r w:rsidRPr="00D97515">
        <w:t xml:space="preserve"> and Mr Joshua </w:t>
      </w:r>
      <w:proofErr w:type="spellStart"/>
      <w:r w:rsidRPr="00D97515">
        <w:t>Lewski</w:t>
      </w:r>
      <w:proofErr w:type="spellEnd"/>
      <w:r w:rsidRPr="00D97515">
        <w:t xml:space="preserve">) to confirm </w:t>
      </w:r>
      <w:r w:rsidR="005D19AA" w:rsidRPr="00D97515">
        <w:t xml:space="preserve">that </w:t>
      </w:r>
      <w:r w:rsidRPr="00D97515">
        <w:t xml:space="preserve">Mr William </w:t>
      </w:r>
      <w:proofErr w:type="spellStart"/>
      <w:r w:rsidRPr="00D97515">
        <w:t>Lewski</w:t>
      </w:r>
      <w:proofErr w:type="spellEnd"/>
      <w:r w:rsidRPr="00D97515">
        <w:t xml:space="preserve"> was authorised to give instructions.</w:t>
      </w:r>
    </w:p>
    <w:p w14:paraId="685EC336" w14:textId="54ACFAC0" w:rsidR="00C108ED" w:rsidRPr="00D97515" w:rsidRDefault="00C108ED" w:rsidP="00C108ED">
      <w:pPr>
        <w:pStyle w:val="ParaNumbering"/>
      </w:pPr>
      <w:bookmarkStart w:id="24" w:name="_Ref130295326"/>
      <w:r w:rsidRPr="00D97515">
        <w:t>Most of the litigation matter</w:t>
      </w:r>
      <w:r w:rsidR="005D19AA" w:rsidRPr="00D97515">
        <w:t>s</w:t>
      </w:r>
      <w:r w:rsidRPr="00D97515">
        <w:t xml:space="preserve"> in respect of which Mr Bond provided services related to the liquidation and receivership of </w:t>
      </w:r>
      <w:r w:rsidR="00425A4D">
        <w:t>APCHL,</w:t>
      </w:r>
      <w:r w:rsidR="00425A4D" w:rsidRPr="00D97515" w:rsidDel="00AC3836">
        <w:t xml:space="preserve"> </w:t>
      </w:r>
      <w:r w:rsidRPr="00D97515">
        <w:t>t</w:t>
      </w:r>
      <w:r w:rsidRPr="00425A4D">
        <w:t>he trustee of the</w:t>
      </w:r>
      <w:r w:rsidRPr="00D97515">
        <w:t xml:space="preserve"> Prime Retirement and Aged Care Property Trust.  Mr Bond testified that SBA Law acted for a number of different entities in the </w:t>
      </w:r>
      <w:proofErr w:type="spellStart"/>
      <w:r w:rsidRPr="00D97515">
        <w:t>Lewski</w:t>
      </w:r>
      <w:proofErr w:type="spellEnd"/>
      <w:r w:rsidRPr="00D97515">
        <w:t xml:space="preserve"> Family Group which were defendants to claims by the liquidators and receivers and/or were creditors proving in the winding up.  The claims by the </w:t>
      </w:r>
      <w:r w:rsidR="007A4CFC" w:rsidRPr="00D97515">
        <w:t>liquidators</w:t>
      </w:r>
      <w:r w:rsidRPr="00D97515">
        <w:t xml:space="preserve"> and receivers were against members of the </w:t>
      </w:r>
      <w:proofErr w:type="spellStart"/>
      <w:r w:rsidRPr="00D97515">
        <w:t>Lewski</w:t>
      </w:r>
      <w:proofErr w:type="spellEnd"/>
      <w:r w:rsidRPr="00D97515">
        <w:t xml:space="preserve"> Family Group relating to the payment of a </w:t>
      </w:r>
      <w:r w:rsidR="007A4CFC" w:rsidRPr="00D97515">
        <w:t>listing</w:t>
      </w:r>
      <w:r w:rsidRPr="00D97515">
        <w:t xml:space="preserve"> fee of $33m to entities in the </w:t>
      </w:r>
      <w:proofErr w:type="spellStart"/>
      <w:r w:rsidRPr="00D97515">
        <w:t>Lewski</w:t>
      </w:r>
      <w:proofErr w:type="spellEnd"/>
      <w:r w:rsidRPr="00D97515">
        <w:t xml:space="preserve"> Family Group upon the listing of the Prime Retirement and Aged Ca</w:t>
      </w:r>
      <w:r w:rsidR="00010797" w:rsidRPr="00D97515">
        <w:t>re Property Trust</w:t>
      </w:r>
      <w:r w:rsidR="005D19AA" w:rsidRPr="00D97515">
        <w:t>,</w:t>
      </w:r>
      <w:r w:rsidR="00010797" w:rsidRPr="00D97515">
        <w:t xml:space="preserve"> and the sale </w:t>
      </w:r>
      <w:r w:rsidRPr="00D97515">
        <w:t xml:space="preserve">by members of the </w:t>
      </w:r>
      <w:proofErr w:type="spellStart"/>
      <w:r w:rsidRPr="00D97515">
        <w:t>Lewski</w:t>
      </w:r>
      <w:proofErr w:type="spellEnd"/>
      <w:r w:rsidRPr="00D97515">
        <w:t xml:space="preserve"> Family Group of management rights in respect of </w:t>
      </w:r>
      <w:r w:rsidR="00FB477A">
        <w:t xml:space="preserve">particular </w:t>
      </w:r>
      <w:r w:rsidRPr="00D97515">
        <w:t>aged care properties, for approximately $</w:t>
      </w:r>
      <w:r w:rsidR="00FB477A">
        <w:t>6</w:t>
      </w:r>
      <w:r w:rsidRPr="00D97515">
        <w:t xml:space="preserve">0m.  The creditor claims made </w:t>
      </w:r>
      <w:r w:rsidRPr="00D97515">
        <w:lastRenderedPageBreak/>
        <w:t xml:space="preserve">by the members of the </w:t>
      </w:r>
      <w:proofErr w:type="spellStart"/>
      <w:r w:rsidRPr="00D97515">
        <w:t>Lewski</w:t>
      </w:r>
      <w:proofErr w:type="spellEnd"/>
      <w:r w:rsidRPr="00D97515">
        <w:t xml:space="preserve"> Family Group were for debts owed by </w:t>
      </w:r>
      <w:r w:rsidR="00FB477A">
        <w:t>APCHL</w:t>
      </w:r>
      <w:r w:rsidR="001F226A">
        <w:t xml:space="preserve"> to those</w:t>
      </w:r>
      <w:r w:rsidR="00386B48">
        <w:t xml:space="preserve"> </w:t>
      </w:r>
      <w:r w:rsidRPr="00D97515">
        <w:t>members.</w:t>
      </w:r>
      <w:bookmarkEnd w:id="24"/>
    </w:p>
    <w:p w14:paraId="1673E216" w14:textId="419958D5" w:rsidR="00C108ED" w:rsidRPr="00D97515" w:rsidRDefault="00C108ED" w:rsidP="00C108ED">
      <w:pPr>
        <w:pStyle w:val="ParaNumbering"/>
      </w:pPr>
      <w:r w:rsidRPr="00D97515">
        <w:t>The litigious matters in which SBA Law, by Mr Bond, acted a</w:t>
      </w:r>
      <w:r w:rsidR="0024549E" w:rsidRPr="00D97515">
        <w:t>lso included a claim against Mr </w:t>
      </w:r>
      <w:r w:rsidR="007A4CFC" w:rsidRPr="00D97515">
        <w:t>William</w:t>
      </w:r>
      <w:r w:rsidRPr="00D97515">
        <w:t xml:space="preserve"> </w:t>
      </w:r>
      <w:proofErr w:type="spellStart"/>
      <w:r w:rsidRPr="00D97515">
        <w:t>Lewski</w:t>
      </w:r>
      <w:proofErr w:type="spellEnd"/>
      <w:r w:rsidRPr="00D97515">
        <w:t xml:space="preserve"> for a breach of fiduciary duty as well as a claim by </w:t>
      </w:r>
      <w:r w:rsidR="00FB477A">
        <w:t>APCHL</w:t>
      </w:r>
      <w:r w:rsidR="00FB477A" w:rsidRPr="00D97515">
        <w:t xml:space="preserve"> </w:t>
      </w:r>
      <w:r w:rsidRPr="00D97515">
        <w:t xml:space="preserve">against Pitcher Partners and in respect of which a number of entities in the </w:t>
      </w:r>
      <w:proofErr w:type="spellStart"/>
      <w:r w:rsidRPr="00D97515">
        <w:t>Lewski</w:t>
      </w:r>
      <w:proofErr w:type="spellEnd"/>
      <w:r w:rsidRPr="00D97515">
        <w:t xml:space="preserve"> Family Group were joined as third parties.  SBA Law also acted in proceedings involving the public examination of members </w:t>
      </w:r>
      <w:r w:rsidR="007A4CFC" w:rsidRPr="00D97515">
        <w:t>of</w:t>
      </w:r>
      <w:r w:rsidR="00CF3884">
        <w:t xml:space="preserve"> the </w:t>
      </w:r>
      <w:proofErr w:type="spellStart"/>
      <w:r w:rsidR="00CF3884">
        <w:t>Lewski</w:t>
      </w:r>
      <w:proofErr w:type="spellEnd"/>
      <w:r w:rsidR="00CF3884">
        <w:t xml:space="preserve"> Family Group </w:t>
      </w:r>
      <w:r w:rsidRPr="00D97515">
        <w:t>by the liquidators.</w:t>
      </w:r>
    </w:p>
    <w:p w14:paraId="76B515F1" w14:textId="0CE106C2" w:rsidR="00C108ED" w:rsidRPr="00D97515" w:rsidRDefault="00C108ED" w:rsidP="00C108ED">
      <w:pPr>
        <w:pStyle w:val="ParaNumbering"/>
      </w:pPr>
      <w:r w:rsidRPr="00D97515">
        <w:t xml:space="preserve">Mr Bond’s evidence was that the majority of the work in relation to the litigation was defensive and resisting claims by the liquidators against </w:t>
      </w:r>
      <w:r w:rsidR="007A4CFC" w:rsidRPr="00D97515">
        <w:t>members</w:t>
      </w:r>
      <w:r w:rsidRPr="00D97515">
        <w:t xml:space="preserve"> </w:t>
      </w:r>
      <w:r w:rsidR="007A4CFC" w:rsidRPr="00D97515">
        <w:t>of</w:t>
      </w:r>
      <w:r w:rsidR="00010797" w:rsidRPr="00D97515">
        <w:t xml:space="preserve"> the </w:t>
      </w:r>
      <w:proofErr w:type="spellStart"/>
      <w:r w:rsidR="00010797" w:rsidRPr="00D97515">
        <w:t>Lewski</w:t>
      </w:r>
      <w:proofErr w:type="spellEnd"/>
      <w:r w:rsidR="00010797" w:rsidRPr="00D97515">
        <w:t xml:space="preserve"> Family Group</w:t>
      </w:r>
      <w:r w:rsidR="005D19AA" w:rsidRPr="00D97515">
        <w:t>,</w:t>
      </w:r>
      <w:r w:rsidR="00010797" w:rsidRPr="00D97515">
        <w:t xml:space="preserve"> but </w:t>
      </w:r>
      <w:r w:rsidRPr="00D97515">
        <w:t xml:space="preserve">a claim by </w:t>
      </w:r>
      <w:proofErr w:type="spellStart"/>
      <w:r w:rsidRPr="00D97515">
        <w:t>Daytree</w:t>
      </w:r>
      <w:proofErr w:type="spellEnd"/>
      <w:r w:rsidRPr="00D97515">
        <w:t xml:space="preserve"> in respect of a debt owed to it by </w:t>
      </w:r>
      <w:r w:rsidR="00FB477A">
        <w:t xml:space="preserve">APCHL </w:t>
      </w:r>
      <w:r w:rsidRPr="00D97515">
        <w:t xml:space="preserve">might give rise to payments to </w:t>
      </w:r>
      <w:proofErr w:type="spellStart"/>
      <w:r w:rsidRPr="00D97515">
        <w:t>Daytree</w:t>
      </w:r>
      <w:proofErr w:type="spellEnd"/>
      <w:r w:rsidRPr="00D97515">
        <w:t xml:space="preserve">, </w:t>
      </w:r>
      <w:r w:rsidR="007A4CFC" w:rsidRPr="00D97515">
        <w:t>depending</w:t>
      </w:r>
      <w:r w:rsidRPr="00D97515">
        <w:t xml:space="preserve"> on the outcome of the liquidation.  In cross</w:t>
      </w:r>
      <w:r w:rsidR="004833CE">
        <w:t>‑</w:t>
      </w:r>
      <w:r w:rsidRPr="00D97515">
        <w:t>examination, Mr</w:t>
      </w:r>
      <w:r w:rsidR="004833CE">
        <w:t> </w:t>
      </w:r>
      <w:r w:rsidRPr="00D97515">
        <w:t xml:space="preserve">Bond testified that he understood that </w:t>
      </w:r>
      <w:r w:rsidR="004833CE">
        <w:t>APCHL</w:t>
      </w:r>
      <w:r w:rsidRPr="00D97515">
        <w:t xml:space="preserve">’s liabilities greatly exceeded its assets and that the </w:t>
      </w:r>
      <w:r w:rsidR="007A4CFC" w:rsidRPr="00D97515">
        <w:t>liquidators</w:t>
      </w:r>
      <w:r w:rsidRPr="00D97515">
        <w:t xml:space="preserve"> had yet to complete their work.</w:t>
      </w:r>
    </w:p>
    <w:p w14:paraId="1C17C859" w14:textId="25F3B1E5" w:rsidR="00C108ED" w:rsidRPr="00D97515" w:rsidRDefault="00C108ED" w:rsidP="00C108ED">
      <w:pPr>
        <w:pStyle w:val="ParaNumbering"/>
      </w:pPr>
      <w:r w:rsidRPr="00D97515">
        <w:t xml:space="preserve">The </w:t>
      </w:r>
      <w:r w:rsidR="00C948FC">
        <w:t>Applicant</w:t>
      </w:r>
      <w:r w:rsidRPr="00D97515">
        <w:t xml:space="preserve"> was the entity billed for the services rendered by SBA Law to the named parties to the litigation proceedings and Mr Bond considered the Applicant to be liable for those fees.</w:t>
      </w:r>
    </w:p>
    <w:p w14:paraId="576DB34E" w14:textId="52B8EB80" w:rsidR="00C108ED" w:rsidRPr="00D97515" w:rsidRDefault="00C108ED" w:rsidP="00C108ED">
      <w:pPr>
        <w:pStyle w:val="ParaNumbering"/>
      </w:pPr>
      <w:r w:rsidRPr="00D97515">
        <w:t>Mr Bond</w:t>
      </w:r>
      <w:r w:rsidR="0048015E">
        <w:t>,</w:t>
      </w:r>
      <w:r w:rsidRPr="00D97515">
        <w:t xml:space="preserve"> as principal of SBA Law</w:t>
      </w:r>
      <w:r w:rsidR="0048015E">
        <w:t>,</w:t>
      </w:r>
      <w:r w:rsidRPr="00D97515">
        <w:t xml:space="preserve"> also acted in respect of prosecution proceedings </w:t>
      </w:r>
      <w:r w:rsidR="005D19AA" w:rsidRPr="00D97515">
        <w:t xml:space="preserve">brought </w:t>
      </w:r>
      <w:r w:rsidRPr="00D97515">
        <w:t xml:space="preserve">by ASIC which resulted in banning orders against Mr William </w:t>
      </w:r>
      <w:proofErr w:type="spellStart"/>
      <w:r w:rsidRPr="00D97515">
        <w:t>Lewski</w:t>
      </w:r>
      <w:proofErr w:type="spellEnd"/>
      <w:r w:rsidRPr="00D97515">
        <w:t>, preventing him from being a company director for a period of time.  In respect of these matters</w:t>
      </w:r>
      <w:r w:rsidR="005D19AA" w:rsidRPr="00D97515">
        <w:t>,</w:t>
      </w:r>
      <w:r w:rsidRPr="00D97515">
        <w:t xml:space="preserve"> all fees were rendered to the Applicant and Mr Bond considered the Applicant to be liable for those fees.</w:t>
      </w:r>
    </w:p>
    <w:p w14:paraId="2684A149" w14:textId="29BD9E3A" w:rsidR="00C108ED" w:rsidRPr="00D97515" w:rsidRDefault="00C108ED" w:rsidP="00C108ED">
      <w:pPr>
        <w:pStyle w:val="ParaNumbering"/>
      </w:pPr>
      <w:r w:rsidRPr="00D97515">
        <w:t xml:space="preserve">SBA Law also performed work in relation to taxation proceedings involving an entity in the </w:t>
      </w:r>
      <w:proofErr w:type="spellStart"/>
      <w:r w:rsidRPr="00D97515">
        <w:t>Lewski</w:t>
      </w:r>
      <w:proofErr w:type="spellEnd"/>
      <w:r w:rsidRPr="00D97515">
        <w:t xml:space="preserve"> Family Group which was a trustee for a superannuation fund.  Mr Bond was instructed by and provided advice to Mr William </w:t>
      </w:r>
      <w:proofErr w:type="spellStart"/>
      <w:r w:rsidRPr="00D97515">
        <w:t>Lewski</w:t>
      </w:r>
      <w:proofErr w:type="spellEnd"/>
      <w:r w:rsidRPr="00D97515">
        <w:t>.  All fees were rendered to the Applicant and Mr Bond considered the Applicant to be liable for those fees.</w:t>
      </w:r>
    </w:p>
    <w:p w14:paraId="492C4137" w14:textId="0318E8F1" w:rsidR="00C108ED" w:rsidRPr="00914FDD" w:rsidRDefault="00C108ED" w:rsidP="00C108ED">
      <w:pPr>
        <w:pStyle w:val="ParaNumbering"/>
        <w:rPr>
          <w:szCs w:val="24"/>
        </w:rPr>
      </w:pPr>
      <w:r w:rsidRPr="00914FDD">
        <w:rPr>
          <w:szCs w:val="24"/>
        </w:rPr>
        <w:t xml:space="preserve">Annexed to Mr Bond’s affidavit were two unsigned costs agreements.  The first costs agreement named </w:t>
      </w:r>
      <w:r w:rsidR="005C7700" w:rsidRPr="00134741">
        <w:rPr>
          <w:szCs w:val="24"/>
        </w:rPr>
        <w:t>“</w:t>
      </w:r>
      <w:r w:rsidRPr="00134741">
        <w:rPr>
          <w:szCs w:val="24"/>
        </w:rPr>
        <w:t xml:space="preserve">Mr Bill </w:t>
      </w:r>
      <w:proofErr w:type="spellStart"/>
      <w:r w:rsidRPr="00134741">
        <w:rPr>
          <w:szCs w:val="24"/>
        </w:rPr>
        <w:t>Lewski</w:t>
      </w:r>
      <w:proofErr w:type="spellEnd"/>
      <w:r w:rsidR="005C7700" w:rsidRPr="00134741">
        <w:rPr>
          <w:szCs w:val="24"/>
        </w:rPr>
        <w:t>”</w:t>
      </w:r>
      <w:r w:rsidRPr="00134741">
        <w:rPr>
          <w:szCs w:val="24"/>
        </w:rPr>
        <w:t xml:space="preserve"> as the client and the matter </w:t>
      </w:r>
      <w:r w:rsidR="001A19DC" w:rsidRPr="00134741">
        <w:rPr>
          <w:szCs w:val="24"/>
        </w:rPr>
        <w:t xml:space="preserve">was </w:t>
      </w:r>
      <w:r w:rsidRPr="00134741">
        <w:rPr>
          <w:szCs w:val="24"/>
        </w:rPr>
        <w:t xml:space="preserve">described as “Australian Property Custodian Holdings Limited (Receivers and Managers Appointed) (Controllers Appointed) (Administrators Appointed)”.  The second was a redlined draft entitled “Costs Agreement </w:t>
      </w:r>
      <w:proofErr w:type="gramStart"/>
      <w:r w:rsidRPr="00134741">
        <w:rPr>
          <w:szCs w:val="24"/>
        </w:rPr>
        <w:t>Between</w:t>
      </w:r>
      <w:proofErr w:type="gramEnd"/>
      <w:r w:rsidRPr="00134741">
        <w:rPr>
          <w:szCs w:val="24"/>
        </w:rPr>
        <w:t xml:space="preserve"> a Law Practice and an Associated Thir</w:t>
      </w:r>
      <w:r w:rsidRPr="00DA5FFB">
        <w:rPr>
          <w:szCs w:val="24"/>
        </w:rPr>
        <w:t>d Party Payer”.  It appeared to have been pre</w:t>
      </w:r>
      <w:r w:rsidRPr="00425761">
        <w:rPr>
          <w:szCs w:val="24"/>
        </w:rPr>
        <w:t>pared in 2016 and included the following text:</w:t>
      </w:r>
    </w:p>
    <w:p w14:paraId="315D9513" w14:textId="42B5CEAB" w:rsidR="00C108ED" w:rsidRPr="00914FDD" w:rsidRDefault="00C108ED" w:rsidP="00D97515">
      <w:pPr>
        <w:pStyle w:val="Quote1"/>
        <w:rPr>
          <w:szCs w:val="22"/>
          <w:lang w:eastAsia="en-AU"/>
        </w:rPr>
      </w:pPr>
      <w:r w:rsidRPr="00914FDD">
        <w:rPr>
          <w:szCs w:val="22"/>
          <w:lang w:eastAsia="en-AU"/>
        </w:rPr>
        <w:t>Section 180(1)(d) of the Uniform Law allows a Costs Agreement to be made between a law practice and an associated third party payer (refer to section 171 of the Un</w:t>
      </w:r>
      <w:r w:rsidRPr="00134741">
        <w:rPr>
          <w:szCs w:val="22"/>
          <w:lang w:eastAsia="en-AU"/>
        </w:rPr>
        <w:t xml:space="preserve">iform </w:t>
      </w:r>
      <w:r w:rsidRPr="00134741">
        <w:rPr>
          <w:szCs w:val="22"/>
          <w:lang w:eastAsia="en-AU"/>
        </w:rPr>
        <w:lastRenderedPageBreak/>
        <w:t xml:space="preserve">Law for the definitions of </w:t>
      </w:r>
      <w:r w:rsidR="00914FDD" w:rsidRPr="00134741">
        <w:rPr>
          <w:szCs w:val="22"/>
          <w:lang w:eastAsia="en-AU"/>
        </w:rPr>
        <w:t>‘</w:t>
      </w:r>
      <w:r w:rsidRPr="00134741">
        <w:rPr>
          <w:szCs w:val="22"/>
          <w:lang w:eastAsia="en-AU"/>
        </w:rPr>
        <w:t>third party payer</w:t>
      </w:r>
      <w:r w:rsidR="00914FDD" w:rsidRPr="00134741">
        <w:rPr>
          <w:szCs w:val="22"/>
          <w:lang w:eastAsia="en-AU"/>
        </w:rPr>
        <w:t>’</w:t>
      </w:r>
      <w:r w:rsidRPr="00914FDD">
        <w:rPr>
          <w:szCs w:val="22"/>
          <w:lang w:eastAsia="en-AU"/>
        </w:rPr>
        <w:t xml:space="preserve"> and </w:t>
      </w:r>
      <w:r w:rsidR="00914FDD">
        <w:rPr>
          <w:szCs w:val="22"/>
          <w:lang w:eastAsia="en-AU"/>
        </w:rPr>
        <w:t>‘</w:t>
      </w:r>
      <w:r w:rsidRPr="00914FDD">
        <w:rPr>
          <w:szCs w:val="22"/>
          <w:lang w:eastAsia="en-AU"/>
        </w:rPr>
        <w:t>associated third party payer’). In this case</w:t>
      </w:r>
      <w:r w:rsidR="00914FDD">
        <w:rPr>
          <w:szCs w:val="22"/>
          <w:lang w:eastAsia="en-AU"/>
        </w:rPr>
        <w:t>,</w:t>
      </w:r>
      <w:r w:rsidRPr="00914FDD">
        <w:rPr>
          <w:szCs w:val="22"/>
          <w:lang w:eastAsia="en-AU"/>
        </w:rPr>
        <w:t xml:space="preserve"> </w:t>
      </w:r>
      <w:proofErr w:type="spellStart"/>
      <w:r w:rsidRPr="00914FDD">
        <w:rPr>
          <w:szCs w:val="22"/>
          <w:lang w:eastAsia="en-AU"/>
        </w:rPr>
        <w:t>Konebada</w:t>
      </w:r>
      <w:proofErr w:type="spellEnd"/>
      <w:r w:rsidRPr="00914FDD">
        <w:rPr>
          <w:szCs w:val="22"/>
          <w:lang w:eastAsia="en-AU"/>
        </w:rPr>
        <w:t xml:space="preserve"> Pty Ltd (</w:t>
      </w:r>
      <w:proofErr w:type="spellStart"/>
      <w:r w:rsidRPr="00DD07F9">
        <w:rPr>
          <w:b/>
          <w:szCs w:val="22"/>
          <w:lang w:eastAsia="en-AU"/>
        </w:rPr>
        <w:t>Konebada</w:t>
      </w:r>
      <w:proofErr w:type="spellEnd"/>
      <w:r w:rsidRPr="00914FDD">
        <w:rPr>
          <w:szCs w:val="22"/>
          <w:lang w:eastAsia="en-AU"/>
        </w:rPr>
        <w:t>) is an associated third party payer.</w:t>
      </w:r>
    </w:p>
    <w:p w14:paraId="6E2CCFC5" w14:textId="6B932DE4" w:rsidR="00C108ED" w:rsidRPr="00914FDD" w:rsidRDefault="00C108ED" w:rsidP="00D97515">
      <w:pPr>
        <w:pStyle w:val="Quote1"/>
        <w:rPr>
          <w:szCs w:val="22"/>
          <w:lang w:eastAsia="en-AU"/>
        </w:rPr>
      </w:pPr>
      <w:r w:rsidRPr="00914FDD">
        <w:rPr>
          <w:szCs w:val="22"/>
          <w:lang w:eastAsia="en-AU"/>
        </w:rPr>
        <w:t xml:space="preserve">This document is an offer to enter into a Costs Agreement with </w:t>
      </w:r>
      <w:proofErr w:type="spellStart"/>
      <w:r w:rsidRPr="00914FDD">
        <w:rPr>
          <w:szCs w:val="22"/>
          <w:lang w:eastAsia="en-AU"/>
        </w:rPr>
        <w:t>Konebada</w:t>
      </w:r>
      <w:proofErr w:type="spellEnd"/>
      <w:r w:rsidRPr="00914FDD">
        <w:rPr>
          <w:szCs w:val="22"/>
          <w:lang w:eastAsia="en-AU"/>
        </w:rPr>
        <w:t>, the associated third party payer</w:t>
      </w:r>
      <w:r w:rsidR="00914FDD">
        <w:rPr>
          <w:szCs w:val="22"/>
          <w:lang w:eastAsia="en-AU"/>
        </w:rPr>
        <w:t>,</w:t>
      </w:r>
      <w:r w:rsidRPr="00914FDD">
        <w:rPr>
          <w:szCs w:val="22"/>
          <w:lang w:eastAsia="en-AU"/>
        </w:rPr>
        <w:t xml:space="preserve"> in accordance with the information contained in the Disclosure Statement (</w:t>
      </w:r>
      <w:r w:rsidR="007A4CFC" w:rsidRPr="00DD07F9">
        <w:rPr>
          <w:b/>
          <w:szCs w:val="22"/>
          <w:lang w:eastAsia="en-AU"/>
        </w:rPr>
        <w:t>attached</w:t>
      </w:r>
      <w:r w:rsidR="00914FDD">
        <w:rPr>
          <w:szCs w:val="22"/>
          <w:lang w:eastAsia="en-AU"/>
        </w:rPr>
        <w:t>)</w:t>
      </w:r>
      <w:r w:rsidRPr="00914FDD">
        <w:rPr>
          <w:szCs w:val="22"/>
          <w:lang w:eastAsia="en-AU"/>
        </w:rPr>
        <w:t xml:space="preserve"> given to our clients, Hamish MacKinnon and Kidder Communities Pty Ltd (Receiver &amp; Manager Appointed) (</w:t>
      </w:r>
      <w:r w:rsidRPr="00DD07F9">
        <w:rPr>
          <w:b/>
          <w:szCs w:val="22"/>
          <w:lang w:eastAsia="en-AU"/>
        </w:rPr>
        <w:t>Our Clients</w:t>
      </w:r>
      <w:r w:rsidRPr="00914FDD">
        <w:rPr>
          <w:szCs w:val="22"/>
          <w:lang w:eastAsia="en-AU"/>
        </w:rPr>
        <w:t xml:space="preserve">), in compliance with Division 3 of Part 4.3 of the Uniform Law. A copy of that Disclosure Statement is hereby given to </w:t>
      </w:r>
      <w:proofErr w:type="spellStart"/>
      <w:r w:rsidRPr="00914FDD">
        <w:rPr>
          <w:szCs w:val="22"/>
          <w:lang w:eastAsia="en-AU"/>
        </w:rPr>
        <w:t>Konebada</w:t>
      </w:r>
      <w:proofErr w:type="spellEnd"/>
      <w:r w:rsidRPr="00914FDD">
        <w:rPr>
          <w:szCs w:val="22"/>
          <w:lang w:eastAsia="en-AU"/>
        </w:rPr>
        <w:t xml:space="preserve"> in compliance with section 176 of the Uniform Law.</w:t>
      </w:r>
    </w:p>
    <w:p w14:paraId="482B988D" w14:textId="77777777" w:rsidR="00C108ED" w:rsidRPr="00DA5FFB" w:rsidRDefault="00C108ED" w:rsidP="00D97515">
      <w:pPr>
        <w:pStyle w:val="Quote1"/>
        <w:rPr>
          <w:szCs w:val="22"/>
          <w:lang w:eastAsia="en-AU"/>
        </w:rPr>
      </w:pPr>
      <w:r w:rsidRPr="00DA5FFB">
        <w:rPr>
          <w:szCs w:val="22"/>
          <w:lang w:eastAsia="en-AU"/>
        </w:rPr>
        <w:t xml:space="preserve">If </w:t>
      </w:r>
      <w:proofErr w:type="spellStart"/>
      <w:r w:rsidRPr="00DA5FFB">
        <w:rPr>
          <w:szCs w:val="22"/>
          <w:lang w:eastAsia="en-AU"/>
        </w:rPr>
        <w:t>Konebada</w:t>
      </w:r>
      <w:proofErr w:type="spellEnd"/>
      <w:r w:rsidRPr="00DA5FFB">
        <w:rPr>
          <w:szCs w:val="22"/>
          <w:lang w:eastAsia="en-AU"/>
        </w:rPr>
        <w:t xml:space="preserve"> accepts these terms, the Disclosure Statement and this document will make up the complete Agreement between us for this matter.</w:t>
      </w:r>
    </w:p>
    <w:p w14:paraId="4B8826EC" w14:textId="28A4F02E" w:rsidR="00C108ED" w:rsidRPr="00134741" w:rsidRDefault="00C108ED" w:rsidP="002847E7">
      <w:pPr>
        <w:pStyle w:val="Quote1"/>
        <w:keepNext/>
        <w:keepLines/>
        <w:rPr>
          <w:szCs w:val="22"/>
          <w:lang w:eastAsia="en-AU"/>
        </w:rPr>
      </w:pPr>
      <w:proofErr w:type="spellStart"/>
      <w:r w:rsidRPr="00914FDD">
        <w:rPr>
          <w:szCs w:val="22"/>
          <w:lang w:eastAsia="en-AU"/>
        </w:rPr>
        <w:t>Konebada</w:t>
      </w:r>
      <w:proofErr w:type="spellEnd"/>
      <w:r w:rsidRPr="00914FDD">
        <w:rPr>
          <w:szCs w:val="22"/>
          <w:lang w:eastAsia="en-AU"/>
        </w:rPr>
        <w:t xml:space="preserve"> may accept the Agreement by writing to us indicating </w:t>
      </w:r>
      <w:r w:rsidR="00914FDD">
        <w:rPr>
          <w:szCs w:val="22"/>
          <w:lang w:eastAsia="en-AU"/>
        </w:rPr>
        <w:t>its</w:t>
      </w:r>
      <w:r w:rsidR="00914FDD" w:rsidRPr="00134741">
        <w:rPr>
          <w:szCs w:val="22"/>
          <w:lang w:eastAsia="en-AU"/>
        </w:rPr>
        <w:t xml:space="preserve"> </w:t>
      </w:r>
      <w:r w:rsidRPr="00134741">
        <w:rPr>
          <w:szCs w:val="22"/>
          <w:lang w:eastAsia="en-AU"/>
        </w:rPr>
        <w:t>acceptance</w:t>
      </w:r>
      <w:r w:rsidR="00767736" w:rsidRPr="00134741">
        <w:rPr>
          <w:szCs w:val="22"/>
          <w:lang w:eastAsia="en-AU"/>
        </w:rPr>
        <w:t xml:space="preserve"> </w:t>
      </w:r>
      <w:r w:rsidRPr="00DA5FFB">
        <w:rPr>
          <w:szCs w:val="22"/>
          <w:lang w:eastAsia="en-AU"/>
        </w:rPr>
        <w:t>or by returning a signed copy of this document as provided in the Acknowledgement at the end of this document</w:t>
      </w:r>
      <w:r w:rsidR="00914FDD">
        <w:rPr>
          <w:szCs w:val="22"/>
          <w:lang w:eastAsia="en-AU"/>
        </w:rPr>
        <w:t>.</w:t>
      </w:r>
    </w:p>
    <w:p w14:paraId="51D87226" w14:textId="45FA8B04" w:rsidR="00C108ED" w:rsidRPr="00D97515" w:rsidRDefault="00C108ED" w:rsidP="00C108ED">
      <w:pPr>
        <w:pStyle w:val="ParaNumbering"/>
      </w:pPr>
      <w:r w:rsidRPr="00D97515">
        <w:t>In cross</w:t>
      </w:r>
      <w:r w:rsidR="00452994">
        <w:t>‑</w:t>
      </w:r>
      <w:r w:rsidRPr="00D97515">
        <w:t>examination, Mr Bond testified that</w:t>
      </w:r>
      <w:r w:rsidR="005C7700" w:rsidRPr="00D97515">
        <w:t>,</w:t>
      </w:r>
      <w:r w:rsidRPr="00D97515">
        <w:t xml:space="preserve"> in his view, the named party to litigation proceedings was his client.  His evidence was that</w:t>
      </w:r>
      <w:r w:rsidR="005C7700" w:rsidRPr="00D97515">
        <w:t>,</w:t>
      </w:r>
      <w:r w:rsidRPr="00D97515">
        <w:t xml:space="preserve"> when speaking to Mr </w:t>
      </w:r>
      <w:r w:rsidR="005C7700" w:rsidRPr="00D97515">
        <w:t xml:space="preserve">William </w:t>
      </w:r>
      <w:proofErr w:type="spellStart"/>
      <w:r w:rsidRPr="00D97515">
        <w:t>Lewski</w:t>
      </w:r>
      <w:proofErr w:type="spellEnd"/>
      <w:r w:rsidRPr="00D97515">
        <w:t xml:space="preserve"> day</w:t>
      </w:r>
      <w:r w:rsidR="00E136C5">
        <w:t>‑</w:t>
      </w:r>
      <w:r w:rsidRPr="00D97515">
        <w:t>to</w:t>
      </w:r>
      <w:r w:rsidR="00E136C5">
        <w:t>‑</w:t>
      </w:r>
      <w:r w:rsidRPr="00D97515">
        <w:t xml:space="preserve">day, Mr Bond did not turn his mind to the capacity in which Mr </w:t>
      </w:r>
      <w:proofErr w:type="spellStart"/>
      <w:r w:rsidRPr="00D97515">
        <w:t>Lewski</w:t>
      </w:r>
      <w:proofErr w:type="spellEnd"/>
      <w:r w:rsidRPr="00D97515">
        <w:t xml:space="preserve"> was receiving advice or providing instructions.  Mr Bond’s focus was on the various litigation proceedings rather than the hat Mr </w:t>
      </w:r>
      <w:proofErr w:type="spellStart"/>
      <w:r w:rsidRPr="00D97515">
        <w:t>Lewski</w:t>
      </w:r>
      <w:proofErr w:type="spellEnd"/>
      <w:r w:rsidRPr="00D97515">
        <w:t xml:space="preserve"> was wearing at the </w:t>
      </w:r>
      <w:r w:rsidR="005C7700" w:rsidRPr="00D97515">
        <w:t xml:space="preserve">particular </w:t>
      </w:r>
      <w:r w:rsidRPr="00D97515">
        <w:t>time.  Mr</w:t>
      </w:r>
      <w:r w:rsidR="005146BD">
        <w:t> </w:t>
      </w:r>
      <w:r w:rsidRPr="00D97515">
        <w:t xml:space="preserve">Bond’s evidence was that the Applicant was not a named party to any of the proceedings in </w:t>
      </w:r>
      <w:r w:rsidR="007A4CFC" w:rsidRPr="00D97515">
        <w:t>respect</w:t>
      </w:r>
      <w:r w:rsidRPr="00D97515">
        <w:t xml:space="preserve"> of which he acted.</w:t>
      </w:r>
    </w:p>
    <w:p w14:paraId="779FFA10" w14:textId="77777777" w:rsidR="00C108ED" w:rsidRPr="00D97515" w:rsidRDefault="00C108ED" w:rsidP="00C108ED">
      <w:pPr>
        <w:pStyle w:val="ParaNumbering"/>
      </w:pPr>
      <w:r w:rsidRPr="00D97515">
        <w:t>I accept Mr Bond’s evidence.</w:t>
      </w:r>
    </w:p>
    <w:p w14:paraId="4F4924FB" w14:textId="77777777" w:rsidR="00C108ED" w:rsidRPr="00D97515" w:rsidRDefault="00C108ED" w:rsidP="00C108ED">
      <w:pPr>
        <w:pStyle w:val="Heading3"/>
      </w:pPr>
      <w:r w:rsidRPr="00D97515">
        <w:t>Evidence of Mr Casper</w:t>
      </w:r>
    </w:p>
    <w:p w14:paraId="441CA40C" w14:textId="4762E4DA" w:rsidR="00C108ED" w:rsidRPr="00D97515" w:rsidRDefault="00C108ED" w:rsidP="00C108ED">
      <w:pPr>
        <w:pStyle w:val="ParaNumbering"/>
      </w:pPr>
      <w:r w:rsidRPr="00D97515">
        <w:t>Mr Casper is another principal of SBA Law.  He performed what he described as “compliance related work” (such as drawing meeting minutes and other regulatory compliance work</w:t>
      </w:r>
      <w:r w:rsidR="00010797" w:rsidRPr="00D97515">
        <w:t>) and transaction</w:t>
      </w:r>
      <w:r w:rsidR="00E136C5">
        <w:t>‑</w:t>
      </w:r>
      <w:r w:rsidR="00010797" w:rsidRPr="00D97515">
        <w:t>related</w:t>
      </w:r>
      <w:r w:rsidR="005C7700" w:rsidRPr="00D97515">
        <w:t>, non</w:t>
      </w:r>
      <w:r w:rsidR="00E136C5">
        <w:t>‑</w:t>
      </w:r>
      <w:r w:rsidR="005C7700" w:rsidRPr="00D97515">
        <w:t>litigious</w:t>
      </w:r>
      <w:r w:rsidR="00010797" w:rsidRPr="00D97515">
        <w:t xml:space="preserve"> work </w:t>
      </w:r>
      <w:r w:rsidRPr="00D97515">
        <w:t xml:space="preserve">for the </w:t>
      </w:r>
      <w:proofErr w:type="spellStart"/>
      <w:r w:rsidRPr="00D97515">
        <w:t>Lewski</w:t>
      </w:r>
      <w:proofErr w:type="spellEnd"/>
      <w:r w:rsidRPr="00D97515">
        <w:t xml:space="preserve"> Family Group.</w:t>
      </w:r>
    </w:p>
    <w:p w14:paraId="19CE4BA9" w14:textId="2F4E6D19" w:rsidR="00C108ED" w:rsidRPr="00D97515" w:rsidRDefault="00C108ED" w:rsidP="005C7700">
      <w:pPr>
        <w:pStyle w:val="ParaNumbering"/>
      </w:pPr>
      <w:r w:rsidRPr="00D97515">
        <w:t>Mr Casper testified that</w:t>
      </w:r>
      <w:r w:rsidR="005C7700" w:rsidRPr="00D97515">
        <w:t>,</w:t>
      </w:r>
      <w:r w:rsidRPr="00D97515">
        <w:t xml:space="preserve"> following discussions he had with Mr William </w:t>
      </w:r>
      <w:proofErr w:type="spellStart"/>
      <w:r w:rsidRPr="00D97515">
        <w:t>Lewski</w:t>
      </w:r>
      <w:proofErr w:type="spellEnd"/>
      <w:r w:rsidRPr="00D97515">
        <w:t xml:space="preserve">, the Applicant was the entity SBA Law billed for Mr Casper’s services.  Mr </w:t>
      </w:r>
      <w:r w:rsidR="007624DB">
        <w:t>Casper recalled dealing with Mr </w:t>
      </w:r>
      <w:r w:rsidR="007A4CFC" w:rsidRPr="00D97515">
        <w:t>William</w:t>
      </w:r>
      <w:r w:rsidR="00010797" w:rsidRPr="00D97515">
        <w:t xml:space="preserve"> </w:t>
      </w:r>
      <w:proofErr w:type="spellStart"/>
      <w:r w:rsidR="00010797" w:rsidRPr="00D97515">
        <w:t>Lewski</w:t>
      </w:r>
      <w:proofErr w:type="spellEnd"/>
      <w:r w:rsidR="00010797" w:rsidRPr="00D97515">
        <w:t xml:space="preserve"> </w:t>
      </w:r>
      <w:r w:rsidRPr="00D97515">
        <w:t xml:space="preserve">and Mr Joshua </w:t>
      </w:r>
      <w:proofErr w:type="spellStart"/>
      <w:r w:rsidRPr="00D97515">
        <w:t>Lewski</w:t>
      </w:r>
      <w:proofErr w:type="spellEnd"/>
      <w:r w:rsidRPr="00D97515">
        <w:t>.  Mr Casper’s evide</w:t>
      </w:r>
      <w:r w:rsidR="00767736" w:rsidRPr="00D97515">
        <w:t>nce was that</w:t>
      </w:r>
      <w:r w:rsidR="005C7700" w:rsidRPr="00D97515">
        <w:t>,</w:t>
      </w:r>
      <w:r w:rsidR="00767736" w:rsidRPr="00D97515">
        <w:t xml:space="preserve"> in terms of day</w:t>
      </w:r>
      <w:r w:rsidR="005C7700" w:rsidRPr="00D97515">
        <w:t>‑</w:t>
      </w:r>
      <w:r w:rsidR="00767736" w:rsidRPr="00D97515">
        <w:t>to</w:t>
      </w:r>
      <w:r w:rsidR="005C7700" w:rsidRPr="00D97515">
        <w:t>‑</w:t>
      </w:r>
      <w:r w:rsidRPr="00D97515">
        <w:t>day matters</w:t>
      </w:r>
      <w:r w:rsidR="005C7700" w:rsidRPr="00D97515">
        <w:t>,</w:t>
      </w:r>
      <w:r w:rsidRPr="00D97515">
        <w:t xml:space="preserve"> he dealt with </w:t>
      </w:r>
      <w:r w:rsidR="00E136C5" w:rsidRPr="00D97515">
        <w:t xml:space="preserve">Mr </w:t>
      </w:r>
      <w:r w:rsidRPr="00D97515">
        <w:t>Josh</w:t>
      </w:r>
      <w:r w:rsidR="00E136C5" w:rsidRPr="00D97515">
        <w:t>ua</w:t>
      </w:r>
      <w:r w:rsidRPr="00D97515">
        <w:t xml:space="preserve"> </w:t>
      </w:r>
      <w:proofErr w:type="spellStart"/>
      <w:r w:rsidRPr="00D97515">
        <w:t>Lewski</w:t>
      </w:r>
      <w:proofErr w:type="spellEnd"/>
      <w:r w:rsidRPr="00D97515">
        <w:t xml:space="preserve"> but “in terms of strategic direction, the advice was given to and instructions received from</w:t>
      </w:r>
      <w:r w:rsidR="00134741">
        <w:t>”</w:t>
      </w:r>
      <w:r w:rsidRPr="00D97515">
        <w:t xml:space="preserve"> either </w:t>
      </w:r>
      <w:r w:rsidR="00C93CF0">
        <w:t xml:space="preserve">Mr </w:t>
      </w:r>
      <w:r w:rsidRPr="00D97515">
        <w:t xml:space="preserve">William </w:t>
      </w:r>
      <w:proofErr w:type="spellStart"/>
      <w:r w:rsidRPr="00D97515">
        <w:t>Lewski</w:t>
      </w:r>
      <w:proofErr w:type="spellEnd"/>
      <w:r w:rsidRPr="00D97515">
        <w:t xml:space="preserve"> or from </w:t>
      </w:r>
      <w:r w:rsidR="00E136C5" w:rsidRPr="00D97515">
        <w:t>Mr</w:t>
      </w:r>
      <w:r w:rsidR="00206643">
        <w:t> </w:t>
      </w:r>
      <w:r w:rsidRPr="00D97515">
        <w:t>Josh</w:t>
      </w:r>
      <w:r w:rsidR="00134741">
        <w:t>ua</w:t>
      </w:r>
      <w:r w:rsidRPr="00D97515">
        <w:t xml:space="preserve"> </w:t>
      </w:r>
      <w:proofErr w:type="spellStart"/>
      <w:r w:rsidRPr="00D97515">
        <w:t>Lewski</w:t>
      </w:r>
      <w:proofErr w:type="spellEnd"/>
      <w:r w:rsidRPr="00D97515">
        <w:t xml:space="preserve"> together w</w:t>
      </w:r>
      <w:r w:rsidR="00010797" w:rsidRPr="00D97515">
        <w:t xml:space="preserve">ith Mr William </w:t>
      </w:r>
      <w:proofErr w:type="spellStart"/>
      <w:r w:rsidR="00010797" w:rsidRPr="00D97515">
        <w:t>Lewski</w:t>
      </w:r>
      <w:proofErr w:type="spellEnd"/>
      <w:r w:rsidR="00010797" w:rsidRPr="00D97515">
        <w:t xml:space="preserve">.  He was </w:t>
      </w:r>
      <w:r w:rsidRPr="00D97515">
        <w:t xml:space="preserve">not aware of </w:t>
      </w:r>
      <w:r w:rsidR="00767736" w:rsidRPr="00D97515">
        <w:t>the capacity in which Mr </w:t>
      </w:r>
      <w:r w:rsidRPr="00D97515">
        <w:t xml:space="preserve">William </w:t>
      </w:r>
      <w:proofErr w:type="spellStart"/>
      <w:r w:rsidRPr="00D97515">
        <w:t>Lewski</w:t>
      </w:r>
      <w:proofErr w:type="spellEnd"/>
      <w:r w:rsidRPr="00D97515">
        <w:t xml:space="preserve"> or </w:t>
      </w:r>
      <w:r w:rsidR="00E136C5" w:rsidRPr="00D97515">
        <w:t xml:space="preserve">Mr </w:t>
      </w:r>
      <w:r w:rsidRPr="00D97515">
        <w:t>Josh</w:t>
      </w:r>
      <w:r w:rsidR="00E136C5" w:rsidRPr="00D97515">
        <w:t>ua</w:t>
      </w:r>
      <w:r w:rsidRPr="00D97515">
        <w:t xml:space="preserve"> </w:t>
      </w:r>
      <w:proofErr w:type="spellStart"/>
      <w:r w:rsidRPr="00D97515">
        <w:t>Lewski</w:t>
      </w:r>
      <w:proofErr w:type="spellEnd"/>
      <w:r w:rsidRPr="00D97515">
        <w:t xml:space="preserve"> acted </w:t>
      </w:r>
      <w:r w:rsidR="002422B6" w:rsidRPr="00D97515">
        <w:t>when giving</w:t>
      </w:r>
      <w:r w:rsidRPr="00D97515">
        <w:t xml:space="preserve"> instructions or receiving advice.</w:t>
      </w:r>
    </w:p>
    <w:p w14:paraId="1A394A12" w14:textId="67ED37F6" w:rsidR="00C108ED" w:rsidRPr="00D97515" w:rsidRDefault="00C108ED" w:rsidP="00C108ED">
      <w:pPr>
        <w:pStyle w:val="ParaNumbering"/>
      </w:pPr>
      <w:r w:rsidRPr="00D97515">
        <w:t xml:space="preserve">Mr Casper’s evidence was that the Applicant was not a party to the transactions in respect of which he provided legal services.  Although he “understood </w:t>
      </w:r>
      <w:r w:rsidR="00134741">
        <w:t xml:space="preserve">that </w:t>
      </w:r>
      <w:r w:rsidRPr="00D97515">
        <w:t xml:space="preserve">[the Applicant] would ultimately benefit commercially from the deals that were being worked on in some manner”, </w:t>
      </w:r>
      <w:r w:rsidRPr="00D97515">
        <w:lastRenderedPageBreak/>
        <w:t>he “did not understand the detail or inter</w:t>
      </w:r>
      <w:r w:rsidR="00134741">
        <w:t>‑</w:t>
      </w:r>
      <w:r w:rsidRPr="00D97515">
        <w:t xml:space="preserve">relationship of all entities </w:t>
      </w:r>
      <w:r w:rsidR="00134741">
        <w:t>with</w:t>
      </w:r>
      <w:r w:rsidRPr="00D97515">
        <w:t>in the broader group”.  The compliance work Mr Casper performed did not specifically relate to the Applicant.</w:t>
      </w:r>
    </w:p>
    <w:p w14:paraId="22DB4672" w14:textId="77777777" w:rsidR="00C108ED" w:rsidRPr="00D97515" w:rsidRDefault="00C108ED" w:rsidP="00C108ED">
      <w:pPr>
        <w:pStyle w:val="ParaNumbering"/>
      </w:pPr>
      <w:r w:rsidRPr="00D97515">
        <w:t xml:space="preserve">Mr Casper was not aware of any written costs agreement between SBA Law and any member of the </w:t>
      </w:r>
      <w:proofErr w:type="spellStart"/>
      <w:r w:rsidRPr="00D97515">
        <w:t>Lewski</w:t>
      </w:r>
      <w:proofErr w:type="spellEnd"/>
      <w:r w:rsidRPr="00D97515">
        <w:t xml:space="preserve"> Family Group in respect of the work he performed.</w:t>
      </w:r>
    </w:p>
    <w:p w14:paraId="512A35D7" w14:textId="4ED2CB82" w:rsidR="00C108ED" w:rsidRPr="00D97515" w:rsidRDefault="00C108ED" w:rsidP="00C108ED">
      <w:pPr>
        <w:pStyle w:val="ParaNumbering"/>
      </w:pPr>
      <w:r w:rsidRPr="00D97515">
        <w:t>Mr Casper was a careful and honest witness.  I accept his evidence</w:t>
      </w:r>
      <w:r w:rsidR="00E136C5" w:rsidRPr="00D97515">
        <w:t>,</w:t>
      </w:r>
      <w:r w:rsidRPr="00D97515">
        <w:t xml:space="preserve"> though </w:t>
      </w:r>
      <w:r w:rsidR="00E136C5" w:rsidRPr="00D97515">
        <w:t xml:space="preserve">I </w:t>
      </w:r>
      <w:r w:rsidRPr="00D97515">
        <w:t xml:space="preserve">attach little weight to his understanding of the commercial benefit to the Applicant.  He did not profess to have </w:t>
      </w:r>
      <w:r w:rsidR="00E136C5" w:rsidRPr="00D97515">
        <w:t xml:space="preserve">any </w:t>
      </w:r>
      <w:r w:rsidRPr="00D97515">
        <w:t xml:space="preserve">knowledge of the relationship between the entities in the </w:t>
      </w:r>
      <w:proofErr w:type="spellStart"/>
      <w:r w:rsidRPr="00D97515">
        <w:t>Lewski</w:t>
      </w:r>
      <w:proofErr w:type="spellEnd"/>
      <w:r w:rsidRPr="00D97515">
        <w:t xml:space="preserve"> Family Group.</w:t>
      </w:r>
    </w:p>
    <w:p w14:paraId="5B605C4F" w14:textId="77777777" w:rsidR="00C108ED" w:rsidRPr="00D97515" w:rsidRDefault="00C108ED" w:rsidP="00C108ED">
      <w:pPr>
        <w:pStyle w:val="Heading3"/>
      </w:pPr>
      <w:r w:rsidRPr="00D97515">
        <w:t>Evidence of Mr Young</w:t>
      </w:r>
    </w:p>
    <w:p w14:paraId="1AC22F6C" w14:textId="3B6A834D" w:rsidR="00C108ED" w:rsidRPr="00D97515" w:rsidRDefault="00C108ED" w:rsidP="00C108ED">
      <w:pPr>
        <w:pStyle w:val="ParaNumbering"/>
      </w:pPr>
      <w:r w:rsidRPr="00D97515">
        <w:t xml:space="preserve">Mr Young carries on his own practice as a tax consulting lawyer.  He was previously the solicitor on the record for this application but ceased </w:t>
      </w:r>
      <w:r w:rsidR="00E136C5" w:rsidRPr="00D97515">
        <w:t xml:space="preserve">to act </w:t>
      </w:r>
      <w:r w:rsidRPr="00D97515">
        <w:t>when it became apparent to him that he was to be a witness in the proceedings.</w:t>
      </w:r>
    </w:p>
    <w:p w14:paraId="26A20B37" w14:textId="04C20C04" w:rsidR="00C108ED" w:rsidRPr="00D97515" w:rsidRDefault="00C108ED" w:rsidP="00C108ED">
      <w:pPr>
        <w:pStyle w:val="ParaNumbering"/>
      </w:pPr>
      <w:r w:rsidRPr="00D97515">
        <w:t xml:space="preserve">Mr Young commenced performing work in relation to matters concerning the </w:t>
      </w:r>
      <w:proofErr w:type="spellStart"/>
      <w:r w:rsidRPr="00D97515">
        <w:t>Lewski</w:t>
      </w:r>
      <w:proofErr w:type="spellEnd"/>
      <w:r w:rsidRPr="00D97515">
        <w:t xml:space="preserve"> Family Group in 2000.  Mr Young was instructed by Mr William </w:t>
      </w:r>
      <w:proofErr w:type="spellStart"/>
      <w:r w:rsidRPr="00D97515">
        <w:t>Lewski</w:t>
      </w:r>
      <w:proofErr w:type="spellEnd"/>
      <w:r w:rsidRPr="00D97515">
        <w:t xml:space="preserve"> in July 2004 to prepare notices of objection against assessments issued to members of the </w:t>
      </w:r>
      <w:proofErr w:type="spellStart"/>
      <w:r w:rsidRPr="00D97515">
        <w:t>Lewski</w:t>
      </w:r>
      <w:proofErr w:type="spellEnd"/>
      <w:r w:rsidRPr="00D97515">
        <w:t xml:space="preserve"> Family Group relating to issues concerning retirement villages.</w:t>
      </w:r>
    </w:p>
    <w:p w14:paraId="319513AC" w14:textId="2E8E7833" w:rsidR="00C108ED" w:rsidRPr="00D97515" w:rsidRDefault="00C108ED" w:rsidP="00C108ED">
      <w:pPr>
        <w:pStyle w:val="ParaNumbering"/>
      </w:pPr>
      <w:r w:rsidRPr="00D97515">
        <w:t>Since 2006</w:t>
      </w:r>
      <w:r w:rsidR="00E136C5" w:rsidRPr="00D97515">
        <w:t>,</w:t>
      </w:r>
      <w:r w:rsidRPr="00D97515">
        <w:t xml:space="preserve"> Mr Young has worked on about a dozen tax</w:t>
      </w:r>
      <w:r w:rsidR="00E136C5" w:rsidRPr="00D97515">
        <w:t>‐</w:t>
      </w:r>
      <w:r w:rsidRPr="00D97515">
        <w:t xml:space="preserve">related matters for the </w:t>
      </w:r>
      <w:proofErr w:type="spellStart"/>
      <w:r w:rsidRPr="00D97515">
        <w:t>Lewski</w:t>
      </w:r>
      <w:proofErr w:type="spellEnd"/>
      <w:r w:rsidRPr="00D97515">
        <w:t xml:space="preserve"> Family Group.  Mr Young received instructions from Mr William </w:t>
      </w:r>
      <w:proofErr w:type="spellStart"/>
      <w:r w:rsidRPr="00D97515">
        <w:t>Lewski</w:t>
      </w:r>
      <w:proofErr w:type="spellEnd"/>
      <w:r w:rsidRPr="00D97515">
        <w:t>.</w:t>
      </w:r>
    </w:p>
    <w:p w14:paraId="3F208D65" w14:textId="2E8DB2F9" w:rsidR="00C108ED" w:rsidRPr="00D97515" w:rsidRDefault="00C108ED" w:rsidP="00C108ED">
      <w:pPr>
        <w:pStyle w:val="ParaNumbering"/>
      </w:pPr>
      <w:r w:rsidRPr="00D97515">
        <w:t>Two invoices annexed to Mr Young’s affidavit were dated 31 August 2006 and 27</w:t>
      </w:r>
      <w:r w:rsidR="00B87EE2">
        <w:t> </w:t>
      </w:r>
      <w:r w:rsidRPr="00D97515">
        <w:t>October</w:t>
      </w:r>
      <w:r w:rsidR="00B87EE2">
        <w:t> </w:t>
      </w:r>
      <w:r w:rsidRPr="00D97515">
        <w:t xml:space="preserve">2006.  Each was addressed to “Mr Bill </w:t>
      </w:r>
      <w:proofErr w:type="spellStart"/>
      <w:r w:rsidRPr="00D97515">
        <w:t>Lewski</w:t>
      </w:r>
      <w:proofErr w:type="spellEnd"/>
      <w:r w:rsidR="008752FB">
        <w:t>,</w:t>
      </w:r>
      <w:r w:rsidRPr="00D97515">
        <w:t xml:space="preserve"> Public Accoun</w:t>
      </w:r>
      <w:r w:rsidR="00767736" w:rsidRPr="00D97515">
        <w:t>tant”.  Deposit slips record Mr </w:t>
      </w:r>
      <w:r w:rsidRPr="00D97515">
        <w:t xml:space="preserve">Young having received payment of those invoices from accounts in the name of the Applicant.  Mr Young had no written costs agreements with the Applicant or any member of the </w:t>
      </w:r>
      <w:proofErr w:type="spellStart"/>
      <w:r w:rsidRPr="00D97515">
        <w:t>Lewski</w:t>
      </w:r>
      <w:proofErr w:type="spellEnd"/>
      <w:r w:rsidRPr="00D97515">
        <w:t xml:space="preserve"> Family Group.</w:t>
      </w:r>
    </w:p>
    <w:p w14:paraId="5EDD2259" w14:textId="481DD42A" w:rsidR="00C108ED" w:rsidRPr="00D97515" w:rsidRDefault="00C108ED" w:rsidP="00C108ED">
      <w:pPr>
        <w:pStyle w:val="ParaNumbering"/>
      </w:pPr>
      <w:r w:rsidRPr="00D97515">
        <w:t>In cross</w:t>
      </w:r>
      <w:r w:rsidR="00E136C5">
        <w:t>‑</w:t>
      </w:r>
      <w:r w:rsidRPr="00D97515">
        <w:t>examination, Mr Young testified that:</w:t>
      </w:r>
    </w:p>
    <w:p w14:paraId="647B952F" w14:textId="337CBFAE" w:rsidR="00C108ED" w:rsidRPr="006437F8" w:rsidRDefault="00C108ED" w:rsidP="00C108ED">
      <w:pPr>
        <w:pStyle w:val="Quote1"/>
        <w:rPr>
          <w:szCs w:val="22"/>
          <w:lang w:eastAsia="en-AU"/>
        </w:rPr>
      </w:pPr>
      <w:r w:rsidRPr="006437F8">
        <w:rPr>
          <w:szCs w:val="22"/>
          <w:lang w:eastAsia="en-AU"/>
        </w:rPr>
        <w:t xml:space="preserve">I knew at the time that </w:t>
      </w:r>
      <w:r w:rsidR="006437F8" w:rsidRPr="006437F8">
        <w:rPr>
          <w:szCs w:val="22"/>
          <w:lang w:eastAsia="en-AU"/>
        </w:rPr>
        <w:t>[William]</w:t>
      </w:r>
      <w:r w:rsidRPr="006437F8">
        <w:rPr>
          <w:szCs w:val="22"/>
          <w:lang w:eastAsia="en-AU"/>
        </w:rPr>
        <w:t xml:space="preserve"> </w:t>
      </w:r>
      <w:proofErr w:type="spellStart"/>
      <w:r w:rsidRPr="006437F8">
        <w:rPr>
          <w:szCs w:val="22"/>
          <w:lang w:eastAsia="en-AU"/>
        </w:rPr>
        <w:t>Lewski</w:t>
      </w:r>
      <w:proofErr w:type="spellEnd"/>
      <w:r w:rsidRPr="006437F8">
        <w:rPr>
          <w:szCs w:val="22"/>
          <w:lang w:eastAsia="en-AU"/>
        </w:rPr>
        <w:t xml:space="preserve"> was a director of [the Applicant] and he was heavily involved in those matters, so, to that extent, [the </w:t>
      </w:r>
      <w:r w:rsidRPr="00E945B3">
        <w:rPr>
          <w:szCs w:val="22"/>
          <w:lang w:eastAsia="en-AU"/>
        </w:rPr>
        <w:t>Applicant] was involved through his directorship.</w:t>
      </w:r>
    </w:p>
    <w:p w14:paraId="741718A4" w14:textId="17E1F136" w:rsidR="00C108ED" w:rsidRPr="006437F8" w:rsidRDefault="00B87EE2" w:rsidP="00C108ED">
      <w:pPr>
        <w:pStyle w:val="Quote1"/>
        <w:rPr>
          <w:rFonts w:eastAsia="TimesNewRomanPSMT"/>
          <w:szCs w:val="22"/>
          <w:lang w:eastAsia="en-AU"/>
        </w:rPr>
      </w:pPr>
      <w:r w:rsidRPr="006437F8">
        <w:rPr>
          <w:szCs w:val="22"/>
          <w:lang w:eastAsia="en-AU"/>
        </w:rPr>
        <w:t xml:space="preserve">[COUNSEL FOR THE COMMISSIONER:] </w:t>
      </w:r>
      <w:r w:rsidR="00C108ED" w:rsidRPr="006437F8">
        <w:rPr>
          <w:szCs w:val="22"/>
          <w:lang w:eastAsia="en-AU"/>
        </w:rPr>
        <w:t>Now, Mr Young, when you say that, you</w:t>
      </w:r>
      <w:r w:rsidR="00C108ED" w:rsidRPr="006437F8">
        <w:rPr>
          <w:rFonts w:eastAsia="TimesNewRomanPSMT"/>
          <w:szCs w:val="22"/>
          <w:lang w:eastAsia="en-AU"/>
        </w:rPr>
        <w:t>’</w:t>
      </w:r>
      <w:r w:rsidR="00C108ED" w:rsidRPr="006437F8">
        <w:rPr>
          <w:szCs w:val="22"/>
          <w:lang w:eastAsia="en-AU"/>
        </w:rPr>
        <w:t xml:space="preserve">re inferring from the fact that [the Applicant] </w:t>
      </w:r>
      <w:r w:rsidR="006437F8" w:rsidRPr="006437F8">
        <w:rPr>
          <w:rFonts w:eastAsia="TimesNewRomanPSMT"/>
          <w:szCs w:val="22"/>
          <w:lang w:eastAsia="en-AU"/>
        </w:rPr>
        <w:t xml:space="preserve">— </w:t>
      </w:r>
      <w:r w:rsidR="00C108ED" w:rsidRPr="006437F8">
        <w:rPr>
          <w:szCs w:val="22"/>
          <w:lang w:eastAsia="en-AU"/>
        </w:rPr>
        <w:t xml:space="preserve">sorry </w:t>
      </w:r>
      <w:r w:rsidR="006437F8" w:rsidRPr="006437F8">
        <w:rPr>
          <w:rFonts w:eastAsia="TimesNewRomanPSMT"/>
          <w:szCs w:val="22"/>
          <w:lang w:eastAsia="en-AU"/>
        </w:rPr>
        <w:t xml:space="preserve">— </w:t>
      </w:r>
      <w:r w:rsidR="00C108ED" w:rsidRPr="006437F8">
        <w:rPr>
          <w:szCs w:val="22"/>
          <w:lang w:eastAsia="en-AU"/>
        </w:rPr>
        <w:t xml:space="preserve">Mr </w:t>
      </w:r>
      <w:proofErr w:type="spellStart"/>
      <w:r w:rsidR="00C108ED" w:rsidRPr="006437F8">
        <w:rPr>
          <w:szCs w:val="22"/>
          <w:lang w:eastAsia="en-AU"/>
        </w:rPr>
        <w:t>Lewski</w:t>
      </w:r>
      <w:proofErr w:type="spellEnd"/>
      <w:r w:rsidR="00C108ED" w:rsidRPr="006437F8">
        <w:rPr>
          <w:szCs w:val="22"/>
          <w:lang w:eastAsia="en-AU"/>
        </w:rPr>
        <w:t xml:space="preserve"> was a director of [the </w:t>
      </w:r>
      <w:r w:rsidR="00C108ED" w:rsidRPr="00E945B3">
        <w:rPr>
          <w:szCs w:val="22"/>
          <w:lang w:eastAsia="en-AU"/>
        </w:rPr>
        <w:t xml:space="preserve">Applicant], that [the </w:t>
      </w:r>
      <w:r w:rsidR="00C108ED" w:rsidRPr="00BC04CE">
        <w:rPr>
          <w:szCs w:val="22"/>
          <w:lang w:eastAsia="en-AU"/>
        </w:rPr>
        <w:t>Applicant], therefore, had some</w:t>
      </w:r>
      <w:r w:rsidR="00C108ED" w:rsidRPr="00BC04CE">
        <w:rPr>
          <w:rFonts w:eastAsia="TimesNewRomanPSMT"/>
          <w:szCs w:val="22"/>
          <w:lang w:eastAsia="en-AU"/>
        </w:rPr>
        <w:t xml:space="preserve"> </w:t>
      </w:r>
      <w:r w:rsidR="00C108ED" w:rsidRPr="00BC04CE">
        <w:rPr>
          <w:szCs w:val="22"/>
          <w:lang w:eastAsia="en-AU"/>
        </w:rPr>
        <w:t>involvement in those proceedings beyond paying your invoices?-</w:t>
      </w:r>
      <w:r w:rsidR="00C108ED" w:rsidRPr="00DA5FFB">
        <w:rPr>
          <w:szCs w:val="22"/>
          <w:lang w:eastAsia="en-AU"/>
        </w:rPr>
        <w:t>--Well, yes, because</w:t>
      </w:r>
      <w:r w:rsidR="00C108ED" w:rsidRPr="00DA5FFB">
        <w:rPr>
          <w:rFonts w:eastAsia="TimesNewRomanPSMT"/>
          <w:szCs w:val="22"/>
          <w:lang w:eastAsia="en-AU"/>
        </w:rPr>
        <w:t xml:space="preserve"> </w:t>
      </w:r>
      <w:r w:rsidR="00C108ED" w:rsidRPr="00890E20">
        <w:rPr>
          <w:szCs w:val="22"/>
          <w:lang w:eastAsia="en-AU"/>
        </w:rPr>
        <w:t xml:space="preserve">I </w:t>
      </w:r>
      <w:r w:rsidR="006437F8">
        <w:rPr>
          <w:rFonts w:eastAsia="TimesNewRomanPSMT"/>
          <w:szCs w:val="22"/>
          <w:lang w:eastAsia="en-AU"/>
        </w:rPr>
        <w:t>—</w:t>
      </w:r>
      <w:r w:rsidR="00C108ED" w:rsidRPr="006437F8">
        <w:rPr>
          <w:rFonts w:eastAsia="TimesNewRomanPSMT"/>
          <w:szCs w:val="22"/>
          <w:lang w:eastAsia="en-AU"/>
        </w:rPr>
        <w:t xml:space="preserve"> </w:t>
      </w:r>
      <w:r w:rsidR="00C108ED" w:rsidRPr="006437F8">
        <w:rPr>
          <w:szCs w:val="22"/>
          <w:lang w:eastAsia="en-AU"/>
        </w:rPr>
        <w:t xml:space="preserve">I regarded </w:t>
      </w:r>
      <w:r w:rsidR="006437F8">
        <w:rPr>
          <w:szCs w:val="22"/>
          <w:lang w:eastAsia="en-AU"/>
        </w:rPr>
        <w:t>[William]</w:t>
      </w:r>
      <w:r w:rsidR="00C108ED" w:rsidRPr="006437F8">
        <w:rPr>
          <w:szCs w:val="22"/>
          <w:lang w:eastAsia="en-AU"/>
        </w:rPr>
        <w:t xml:space="preserve"> </w:t>
      </w:r>
      <w:proofErr w:type="spellStart"/>
      <w:r w:rsidR="00C108ED" w:rsidRPr="006437F8">
        <w:rPr>
          <w:szCs w:val="22"/>
          <w:lang w:eastAsia="en-AU"/>
        </w:rPr>
        <w:t>Lewski</w:t>
      </w:r>
      <w:proofErr w:type="spellEnd"/>
      <w:r w:rsidR="00C108ED" w:rsidRPr="006437F8">
        <w:rPr>
          <w:szCs w:val="22"/>
          <w:lang w:eastAsia="en-AU"/>
        </w:rPr>
        <w:t xml:space="preserve"> as my sort of ultimate client in that respect, but he was</w:t>
      </w:r>
      <w:r w:rsidR="00C108ED" w:rsidRPr="006437F8">
        <w:rPr>
          <w:rFonts w:eastAsia="TimesNewRomanPSMT"/>
          <w:szCs w:val="22"/>
          <w:lang w:eastAsia="en-AU"/>
        </w:rPr>
        <w:t xml:space="preserve"> </w:t>
      </w:r>
      <w:r w:rsidR="00C108ED" w:rsidRPr="006437F8">
        <w:rPr>
          <w:szCs w:val="22"/>
          <w:lang w:eastAsia="en-AU"/>
        </w:rPr>
        <w:t xml:space="preserve">acting, I understood, the whole way through as a representative of [the </w:t>
      </w:r>
      <w:r w:rsidR="00C108ED" w:rsidRPr="00E945B3">
        <w:rPr>
          <w:szCs w:val="22"/>
          <w:lang w:eastAsia="en-AU"/>
        </w:rPr>
        <w:t xml:space="preserve">Applicant] and [the </w:t>
      </w:r>
      <w:r w:rsidR="00C108ED" w:rsidRPr="00DA5FFB">
        <w:rPr>
          <w:szCs w:val="22"/>
          <w:lang w:eastAsia="en-AU"/>
        </w:rPr>
        <w:t>A</w:t>
      </w:r>
      <w:r w:rsidR="00C108ED" w:rsidRPr="00890E20">
        <w:rPr>
          <w:szCs w:val="22"/>
          <w:lang w:eastAsia="en-AU"/>
        </w:rPr>
        <w:t xml:space="preserve">pplicant] was paying my bills, so I would receive instructions from </w:t>
      </w:r>
      <w:r w:rsidR="006437F8">
        <w:rPr>
          <w:szCs w:val="22"/>
          <w:lang w:eastAsia="en-AU"/>
        </w:rPr>
        <w:t xml:space="preserve">[William </w:t>
      </w:r>
      <w:proofErr w:type="spellStart"/>
      <w:r w:rsidR="006437F8">
        <w:rPr>
          <w:szCs w:val="22"/>
          <w:lang w:eastAsia="en-AU"/>
        </w:rPr>
        <w:lastRenderedPageBreak/>
        <w:t>Lewski</w:t>
      </w:r>
      <w:proofErr w:type="spellEnd"/>
      <w:r w:rsidR="006437F8">
        <w:rPr>
          <w:szCs w:val="22"/>
          <w:lang w:eastAsia="en-AU"/>
        </w:rPr>
        <w:t>]</w:t>
      </w:r>
      <w:r w:rsidR="00C108ED" w:rsidRPr="006437F8">
        <w:rPr>
          <w:szCs w:val="22"/>
          <w:lang w:eastAsia="en-AU"/>
        </w:rPr>
        <w:t>. I would</w:t>
      </w:r>
      <w:r w:rsidR="00C108ED" w:rsidRPr="006437F8">
        <w:rPr>
          <w:rFonts w:eastAsia="TimesNewRomanPSMT"/>
          <w:szCs w:val="22"/>
          <w:lang w:eastAsia="en-AU"/>
        </w:rPr>
        <w:t xml:space="preserve"> </w:t>
      </w:r>
      <w:r w:rsidR="00C108ED" w:rsidRPr="006437F8">
        <w:rPr>
          <w:szCs w:val="22"/>
          <w:lang w:eastAsia="en-AU"/>
        </w:rPr>
        <w:t xml:space="preserve">provide advice to </w:t>
      </w:r>
      <w:r w:rsidR="006437F8" w:rsidRPr="006437F8">
        <w:rPr>
          <w:szCs w:val="22"/>
          <w:lang w:eastAsia="en-AU"/>
        </w:rPr>
        <w:t xml:space="preserve">[William </w:t>
      </w:r>
      <w:proofErr w:type="spellStart"/>
      <w:r w:rsidR="006437F8" w:rsidRPr="006437F8">
        <w:rPr>
          <w:szCs w:val="22"/>
          <w:lang w:eastAsia="en-AU"/>
        </w:rPr>
        <w:t>Lewski</w:t>
      </w:r>
      <w:proofErr w:type="spellEnd"/>
      <w:r w:rsidR="006437F8" w:rsidRPr="006437F8">
        <w:rPr>
          <w:szCs w:val="22"/>
          <w:lang w:eastAsia="en-AU"/>
        </w:rPr>
        <w:t>]</w:t>
      </w:r>
      <w:r w:rsidR="00C108ED" w:rsidRPr="006437F8">
        <w:rPr>
          <w:szCs w:val="22"/>
          <w:lang w:eastAsia="en-AU"/>
        </w:rPr>
        <w:t xml:space="preserve"> and I would bill [the Applicant] and [the Applicant] would pay the bill.</w:t>
      </w:r>
      <w:r w:rsidR="00C108ED" w:rsidRPr="006437F8">
        <w:rPr>
          <w:rFonts w:eastAsia="TimesNewRomanPSMT"/>
          <w:szCs w:val="22"/>
          <w:lang w:eastAsia="en-AU"/>
        </w:rPr>
        <w:t xml:space="preserve"> </w:t>
      </w:r>
      <w:r w:rsidR="00C108ED" w:rsidRPr="006437F8">
        <w:rPr>
          <w:szCs w:val="22"/>
          <w:lang w:eastAsia="en-AU"/>
        </w:rPr>
        <w:t xml:space="preserve">So, in my mind, it was </w:t>
      </w:r>
      <w:r w:rsidR="006437F8">
        <w:rPr>
          <w:szCs w:val="22"/>
          <w:lang w:eastAsia="en-AU"/>
        </w:rPr>
        <w:t xml:space="preserve">[the </w:t>
      </w:r>
      <w:r w:rsidR="00C948FC">
        <w:rPr>
          <w:szCs w:val="22"/>
          <w:lang w:eastAsia="en-AU"/>
        </w:rPr>
        <w:t>A</w:t>
      </w:r>
      <w:r w:rsidR="006437F8">
        <w:rPr>
          <w:szCs w:val="22"/>
          <w:lang w:eastAsia="en-AU"/>
        </w:rPr>
        <w:t>pplicant]</w:t>
      </w:r>
      <w:r w:rsidR="00C108ED" w:rsidRPr="006437F8">
        <w:rPr>
          <w:szCs w:val="22"/>
          <w:lang w:eastAsia="en-AU"/>
        </w:rPr>
        <w:t xml:space="preserve"> that was involved in all of those matters. I find it </w:t>
      </w:r>
      <w:r w:rsidR="006437F8">
        <w:rPr>
          <w:rFonts w:eastAsia="TimesNewRomanPSMT"/>
          <w:szCs w:val="22"/>
          <w:lang w:eastAsia="en-AU"/>
        </w:rPr>
        <w:t xml:space="preserve">— </w:t>
      </w:r>
      <w:r w:rsidR="00C108ED" w:rsidRPr="006437F8">
        <w:rPr>
          <w:szCs w:val="22"/>
          <w:lang w:eastAsia="en-AU"/>
        </w:rPr>
        <w:t>I do accept that it</w:t>
      </w:r>
      <w:r w:rsidR="00C108ED" w:rsidRPr="006437F8">
        <w:rPr>
          <w:rFonts w:eastAsia="TimesNewRomanPSMT"/>
          <w:szCs w:val="22"/>
          <w:lang w:eastAsia="en-AU"/>
        </w:rPr>
        <w:t xml:space="preserve">’s </w:t>
      </w:r>
      <w:r w:rsidR="00C108ED" w:rsidRPr="006437F8">
        <w:rPr>
          <w:szCs w:val="22"/>
          <w:lang w:eastAsia="en-AU"/>
        </w:rPr>
        <w:t>hard to get your head around a concept of taking instructions</w:t>
      </w:r>
      <w:r w:rsidR="00C108ED" w:rsidRPr="006437F8">
        <w:rPr>
          <w:rFonts w:eastAsia="TimesNewRomanPSMT"/>
          <w:szCs w:val="22"/>
          <w:lang w:eastAsia="en-AU"/>
        </w:rPr>
        <w:t xml:space="preserve"> </w:t>
      </w:r>
      <w:r w:rsidR="00C108ED" w:rsidRPr="006437F8">
        <w:rPr>
          <w:szCs w:val="22"/>
          <w:lang w:eastAsia="en-AU"/>
        </w:rPr>
        <w:t>other than from a human being, so there was somebody at the end of the line and that</w:t>
      </w:r>
      <w:r w:rsidR="00C108ED" w:rsidRPr="006437F8">
        <w:rPr>
          <w:rFonts w:eastAsia="TimesNewRomanPSMT"/>
          <w:szCs w:val="22"/>
          <w:lang w:eastAsia="en-AU"/>
        </w:rPr>
        <w:t xml:space="preserve"> </w:t>
      </w:r>
      <w:r w:rsidR="00C108ED" w:rsidRPr="006437F8">
        <w:rPr>
          <w:szCs w:val="22"/>
          <w:lang w:eastAsia="en-AU"/>
        </w:rPr>
        <w:t xml:space="preserve">was </w:t>
      </w:r>
      <w:r w:rsidR="006437F8" w:rsidRPr="006437F8">
        <w:rPr>
          <w:szCs w:val="22"/>
          <w:lang w:eastAsia="en-AU"/>
        </w:rPr>
        <w:t xml:space="preserve">[William </w:t>
      </w:r>
      <w:proofErr w:type="spellStart"/>
      <w:r w:rsidR="006437F8" w:rsidRPr="006437F8">
        <w:rPr>
          <w:szCs w:val="22"/>
          <w:lang w:eastAsia="en-AU"/>
        </w:rPr>
        <w:t>Lewski</w:t>
      </w:r>
      <w:proofErr w:type="spellEnd"/>
      <w:r w:rsidR="006437F8" w:rsidRPr="006437F8">
        <w:rPr>
          <w:szCs w:val="22"/>
          <w:lang w:eastAsia="en-AU"/>
        </w:rPr>
        <w:t>]</w:t>
      </w:r>
      <w:r w:rsidR="00C108ED" w:rsidRPr="006437F8">
        <w:rPr>
          <w:szCs w:val="22"/>
          <w:lang w:eastAsia="en-AU"/>
        </w:rPr>
        <w:t>.</w:t>
      </w:r>
    </w:p>
    <w:p w14:paraId="35195359" w14:textId="7C074604" w:rsidR="00C108ED" w:rsidRPr="006437F8" w:rsidRDefault="00C108ED" w:rsidP="00C108ED">
      <w:pPr>
        <w:pStyle w:val="Quote1"/>
        <w:rPr>
          <w:lang w:eastAsia="en-AU"/>
        </w:rPr>
      </w:pPr>
      <w:r w:rsidRPr="006437F8">
        <w:rPr>
          <w:szCs w:val="22"/>
          <w:lang w:eastAsia="en-AU"/>
        </w:rPr>
        <w:t xml:space="preserve">What was said to you that made you think that [the Applicant] was involved at that point in 2006?---Well, initially, </w:t>
      </w:r>
      <w:r w:rsidR="006437F8" w:rsidRPr="006437F8">
        <w:rPr>
          <w:szCs w:val="22"/>
          <w:lang w:eastAsia="en-AU"/>
        </w:rPr>
        <w:t xml:space="preserve">[William </w:t>
      </w:r>
      <w:proofErr w:type="spellStart"/>
      <w:r w:rsidR="006437F8" w:rsidRPr="006437F8">
        <w:rPr>
          <w:szCs w:val="22"/>
          <w:lang w:eastAsia="en-AU"/>
        </w:rPr>
        <w:t>Lewski</w:t>
      </w:r>
      <w:proofErr w:type="spellEnd"/>
      <w:r w:rsidR="006437F8" w:rsidRPr="006437F8">
        <w:rPr>
          <w:szCs w:val="22"/>
          <w:lang w:eastAsia="en-AU"/>
        </w:rPr>
        <w:t>]</w:t>
      </w:r>
      <w:r w:rsidR="006437F8">
        <w:rPr>
          <w:szCs w:val="22"/>
          <w:lang w:eastAsia="en-AU"/>
        </w:rPr>
        <w:t xml:space="preserve"> </w:t>
      </w:r>
      <w:r w:rsidRPr="006437F8">
        <w:rPr>
          <w:szCs w:val="22"/>
          <w:lang w:eastAsia="en-AU"/>
        </w:rPr>
        <w:t xml:space="preserve">said, </w:t>
      </w:r>
      <w:r w:rsidRPr="006437F8">
        <w:rPr>
          <w:rFonts w:eastAsia="TimesNewRomanPSMT"/>
          <w:szCs w:val="22"/>
          <w:lang w:eastAsia="en-AU"/>
        </w:rPr>
        <w:t>“</w:t>
      </w:r>
      <w:r w:rsidRPr="006437F8">
        <w:rPr>
          <w:szCs w:val="22"/>
          <w:lang w:eastAsia="en-AU"/>
        </w:rPr>
        <w:t>You had better</w:t>
      </w:r>
      <w:r w:rsidRPr="006437F8">
        <w:rPr>
          <w:rFonts w:eastAsia="TimesNewRomanPSMT"/>
          <w:szCs w:val="22"/>
          <w:lang w:eastAsia="en-AU"/>
        </w:rPr>
        <w:t xml:space="preserve">” </w:t>
      </w:r>
      <w:r w:rsidR="006437F8">
        <w:rPr>
          <w:rFonts w:eastAsia="TimesNewRomanPSMT"/>
          <w:szCs w:val="22"/>
          <w:lang w:eastAsia="en-AU"/>
        </w:rPr>
        <w:t>—</w:t>
      </w:r>
      <w:r w:rsidRPr="006437F8">
        <w:rPr>
          <w:rFonts w:eastAsia="TimesNewRomanPSMT"/>
          <w:szCs w:val="22"/>
          <w:lang w:eastAsia="en-AU"/>
        </w:rPr>
        <w:t xml:space="preserve"> </w:t>
      </w:r>
      <w:r w:rsidRPr="006437F8">
        <w:rPr>
          <w:szCs w:val="22"/>
          <w:lang w:eastAsia="en-AU"/>
        </w:rPr>
        <w:t xml:space="preserve">well, it was paying the bills for starters, and then </w:t>
      </w:r>
      <w:r w:rsidR="006437F8" w:rsidRPr="006437F8">
        <w:rPr>
          <w:szCs w:val="22"/>
          <w:lang w:eastAsia="en-AU"/>
        </w:rPr>
        <w:t xml:space="preserve">[William </w:t>
      </w:r>
      <w:proofErr w:type="spellStart"/>
      <w:r w:rsidR="006437F8" w:rsidRPr="006437F8">
        <w:rPr>
          <w:szCs w:val="22"/>
          <w:lang w:eastAsia="en-AU"/>
        </w:rPr>
        <w:t>Lewski</w:t>
      </w:r>
      <w:proofErr w:type="spellEnd"/>
      <w:r w:rsidR="006437F8" w:rsidRPr="006437F8">
        <w:rPr>
          <w:szCs w:val="22"/>
          <w:lang w:eastAsia="en-AU"/>
        </w:rPr>
        <w:t>]</w:t>
      </w:r>
      <w:r w:rsidRPr="006437F8">
        <w:rPr>
          <w:szCs w:val="22"/>
          <w:lang w:eastAsia="en-AU"/>
        </w:rPr>
        <w:t xml:space="preserve"> said, </w:t>
      </w:r>
      <w:r w:rsidRPr="006437F8">
        <w:rPr>
          <w:rFonts w:eastAsia="TimesNewRomanPSMT"/>
          <w:szCs w:val="22"/>
          <w:lang w:eastAsia="en-AU"/>
        </w:rPr>
        <w:t>“</w:t>
      </w:r>
      <w:r w:rsidRPr="006437F8">
        <w:rPr>
          <w:szCs w:val="22"/>
          <w:lang w:eastAsia="en-AU"/>
        </w:rPr>
        <w:t>You had better bill [the Applicant]</w:t>
      </w:r>
      <w:r w:rsidRPr="006437F8">
        <w:rPr>
          <w:rFonts w:eastAsia="TimesNewRomanPSMT"/>
          <w:szCs w:val="22"/>
          <w:lang w:eastAsia="en-AU"/>
        </w:rPr>
        <w:t>”</w:t>
      </w:r>
      <w:r w:rsidR="006437F8">
        <w:rPr>
          <w:rFonts w:eastAsia="TimesNewRomanPSMT"/>
          <w:szCs w:val="22"/>
          <w:lang w:eastAsia="en-AU"/>
        </w:rPr>
        <w:t>.</w:t>
      </w:r>
    </w:p>
    <w:p w14:paraId="279F5C45" w14:textId="3D90043A" w:rsidR="00C108ED" w:rsidRPr="00D97515" w:rsidRDefault="00C108ED" w:rsidP="00C108ED">
      <w:pPr>
        <w:pStyle w:val="ParaNumbering"/>
      </w:pPr>
      <w:r w:rsidRPr="00D97515">
        <w:t xml:space="preserve">In the </w:t>
      </w:r>
      <w:r w:rsidR="00AB46F3">
        <w:t xml:space="preserve">relevant </w:t>
      </w:r>
      <w:r w:rsidR="004905E2">
        <w:t>periods</w:t>
      </w:r>
      <w:r w:rsidRPr="00D97515">
        <w:t>, Mr Young performed services in respect of both litigious and non</w:t>
      </w:r>
      <w:r w:rsidR="00E136C5">
        <w:t>‑</w:t>
      </w:r>
      <w:r w:rsidRPr="00D97515">
        <w:t xml:space="preserve">litigious matters.  The litigious matters related to the review of objection decisions in respect of income tax assessments issued to Mrs Roslyn </w:t>
      </w:r>
      <w:proofErr w:type="spellStart"/>
      <w:r w:rsidRPr="00D97515">
        <w:t>Lewski</w:t>
      </w:r>
      <w:proofErr w:type="spellEnd"/>
      <w:r w:rsidRPr="00D97515">
        <w:t>.  Although the Administrative Appeals Tribunal initially affirmed the objection decisions, the Full Cou</w:t>
      </w:r>
      <w:r w:rsidR="00DA0357">
        <w:t>rt allowed Mrs </w:t>
      </w:r>
      <w:proofErr w:type="spellStart"/>
      <w:r w:rsidRPr="00D97515">
        <w:t>Lewski’s</w:t>
      </w:r>
      <w:proofErr w:type="spellEnd"/>
      <w:r w:rsidRPr="00D97515">
        <w:t xml:space="preserve"> appeal and the Commi</w:t>
      </w:r>
      <w:r w:rsidR="00767736" w:rsidRPr="00D97515">
        <w:t xml:space="preserve">ssioner was </w:t>
      </w:r>
      <w:r w:rsidR="00BC52AD">
        <w:t>ordered</w:t>
      </w:r>
      <w:r w:rsidR="00BC52AD" w:rsidRPr="00D97515">
        <w:t xml:space="preserve"> </w:t>
      </w:r>
      <w:r w:rsidR="00767736" w:rsidRPr="00D97515">
        <w:t xml:space="preserve">to pay </w:t>
      </w:r>
      <w:r w:rsidR="001006D8">
        <w:t xml:space="preserve">90% of </w:t>
      </w:r>
      <w:r w:rsidR="00767736" w:rsidRPr="00D97515">
        <w:t>Mrs </w:t>
      </w:r>
      <w:proofErr w:type="spellStart"/>
      <w:r w:rsidRPr="00D97515">
        <w:t>Lewski’s</w:t>
      </w:r>
      <w:proofErr w:type="spellEnd"/>
      <w:r w:rsidRPr="00D97515">
        <w:t xml:space="preserve"> costs </w:t>
      </w:r>
      <w:r w:rsidR="001006D8">
        <w:t xml:space="preserve">of the appeal </w:t>
      </w:r>
      <w:r w:rsidRPr="00D97515">
        <w:t>as taxed if not agreed.  An agreement on costs was reached and the payment from the Commissioner was deposited into a bank account in the name of the Applicant.</w:t>
      </w:r>
    </w:p>
    <w:p w14:paraId="27A37BDD" w14:textId="7A95D981" w:rsidR="00C108ED" w:rsidRPr="00D97515" w:rsidRDefault="00C108ED" w:rsidP="00C108ED">
      <w:pPr>
        <w:pStyle w:val="ParaNumbering"/>
      </w:pPr>
      <w:r w:rsidRPr="00D97515">
        <w:t xml:space="preserve">In relation to that dispute, Mr Young obtained direct instructions from Mrs </w:t>
      </w:r>
      <w:proofErr w:type="spellStart"/>
      <w:r w:rsidRPr="00D97515">
        <w:t>Lewski</w:t>
      </w:r>
      <w:proofErr w:type="spellEnd"/>
      <w:r w:rsidRPr="00D97515">
        <w:t xml:space="preserve"> on only one occasion, but otherwise received all instructions from Mr William </w:t>
      </w:r>
      <w:proofErr w:type="spellStart"/>
      <w:r w:rsidRPr="00D97515">
        <w:t>Lewski</w:t>
      </w:r>
      <w:proofErr w:type="spellEnd"/>
      <w:r w:rsidRPr="00D97515">
        <w:t xml:space="preserve"> and all information and advice was provided to Mr </w:t>
      </w:r>
      <w:proofErr w:type="spellStart"/>
      <w:r w:rsidRPr="00D97515">
        <w:t>Lewski</w:t>
      </w:r>
      <w:proofErr w:type="spellEnd"/>
      <w:r w:rsidRPr="00D97515">
        <w:t xml:space="preserve">.  Mr Young’s evidence was that he was of the understanding that Mr </w:t>
      </w:r>
      <w:proofErr w:type="spellStart"/>
      <w:r w:rsidRPr="00D97515">
        <w:t>Lewski</w:t>
      </w:r>
      <w:proofErr w:type="spellEnd"/>
      <w:r w:rsidRPr="00D97515">
        <w:t xml:space="preserve"> was authorised to act in respect of the litigation</w:t>
      </w:r>
      <w:r w:rsidR="00541E8B">
        <w:t xml:space="preserve"> on behalf of the Applicant and </w:t>
      </w:r>
      <w:r w:rsidRPr="00D97515">
        <w:t xml:space="preserve">considered </w:t>
      </w:r>
      <w:r w:rsidR="00541E8B">
        <w:t xml:space="preserve">that </w:t>
      </w:r>
      <w:r w:rsidRPr="00D97515">
        <w:t xml:space="preserve">he was dealing with Mr </w:t>
      </w:r>
      <w:proofErr w:type="spellStart"/>
      <w:r w:rsidRPr="00D97515">
        <w:t>Lewski</w:t>
      </w:r>
      <w:proofErr w:type="spellEnd"/>
      <w:r w:rsidRPr="00D97515">
        <w:t xml:space="preserve"> “in that capacity in some respect”.</w:t>
      </w:r>
    </w:p>
    <w:p w14:paraId="45D39AFC" w14:textId="7DB09D9C" w:rsidR="00C108ED" w:rsidRPr="00D97515" w:rsidRDefault="00C108ED" w:rsidP="00C108ED">
      <w:pPr>
        <w:pStyle w:val="ParaNumbering"/>
        <w:rPr>
          <w:i/>
        </w:rPr>
      </w:pPr>
      <w:r w:rsidRPr="00D97515">
        <w:t>The non</w:t>
      </w:r>
      <w:r w:rsidR="00E136C5">
        <w:t>‑</w:t>
      </w:r>
      <w:r w:rsidRPr="00D97515">
        <w:t xml:space="preserve">litigious work performed by Mr Young included matters incidental to Mrs </w:t>
      </w:r>
      <w:proofErr w:type="spellStart"/>
      <w:r w:rsidRPr="00D97515">
        <w:t>Lewski’s</w:t>
      </w:r>
      <w:proofErr w:type="spellEnd"/>
      <w:r w:rsidRPr="00D97515">
        <w:t xml:space="preserve"> matters in addition to matters unrelated to that litigation.  Some of the work performed included advising the Applicant about the taxation treatment of a payment it might receive as compensation for the cance</w:t>
      </w:r>
      <w:r w:rsidR="004F12A6">
        <w:t>llation of a service agreement.</w:t>
      </w:r>
    </w:p>
    <w:p w14:paraId="61ED9D3F" w14:textId="6FB1BB77" w:rsidR="00C108ED" w:rsidRPr="00D97515" w:rsidRDefault="00C108ED" w:rsidP="00C108ED">
      <w:pPr>
        <w:pStyle w:val="ParaNumbering"/>
        <w:rPr>
          <w:i/>
        </w:rPr>
      </w:pPr>
      <w:r w:rsidRPr="00D97515">
        <w:t>In relation to non</w:t>
      </w:r>
      <w:r w:rsidR="00E136C5">
        <w:t>‑</w:t>
      </w:r>
      <w:r w:rsidRPr="00D97515">
        <w:t xml:space="preserve">litigious matters, Mr Young received his instructions from Mr William </w:t>
      </w:r>
      <w:proofErr w:type="spellStart"/>
      <w:r w:rsidRPr="00D97515">
        <w:t>Lewski</w:t>
      </w:r>
      <w:proofErr w:type="spellEnd"/>
      <w:r w:rsidR="004F12A6">
        <w:t>,</w:t>
      </w:r>
      <w:r w:rsidRPr="00D97515">
        <w:t xml:space="preserve"> and provided all information and advice to Mr </w:t>
      </w:r>
      <w:proofErr w:type="spellStart"/>
      <w:r w:rsidRPr="00D97515">
        <w:t>Lewski</w:t>
      </w:r>
      <w:proofErr w:type="spellEnd"/>
      <w:r w:rsidRPr="00D97515">
        <w:t>.  Although there was no written costs agreement, all invoices were issued to the Applica</w:t>
      </w:r>
      <w:r w:rsidR="004F12A6">
        <w:t>nt.  Mr Young was aware that Mr </w:t>
      </w:r>
      <w:proofErr w:type="spellStart"/>
      <w:r w:rsidRPr="00D97515">
        <w:t>Lewski</w:t>
      </w:r>
      <w:proofErr w:type="spellEnd"/>
      <w:r w:rsidRPr="00D97515">
        <w:t xml:space="preserve"> was a director of the Applicant and that he “was </w:t>
      </w:r>
      <w:r w:rsidR="007A4CFC" w:rsidRPr="00D97515">
        <w:t>dealing</w:t>
      </w:r>
      <w:r w:rsidRPr="00D97515">
        <w:t xml:space="preserve"> with him in that capacity in some respect”.  Mr Young testified that “there were usually a number of entities involved in each transaction and I was generally dealing with multiple entities </w:t>
      </w:r>
      <w:r w:rsidR="007A4CFC" w:rsidRPr="00D97515">
        <w:t>simultaneously</w:t>
      </w:r>
      <w:r w:rsidRPr="00D97515">
        <w:t xml:space="preserve"> by providing advice and information to [</w:t>
      </w:r>
      <w:r w:rsidR="00BC52AD">
        <w:t xml:space="preserve">Mr </w:t>
      </w:r>
      <w:r w:rsidRPr="00D97515">
        <w:t xml:space="preserve">William] </w:t>
      </w:r>
      <w:proofErr w:type="spellStart"/>
      <w:r w:rsidRPr="00D97515">
        <w:t>Lewski</w:t>
      </w:r>
      <w:proofErr w:type="spellEnd"/>
      <w:r w:rsidRPr="00D97515">
        <w:t xml:space="preserve"> a</w:t>
      </w:r>
      <w:r w:rsidR="004F12A6">
        <w:t>nd receiving instructions”.  In </w:t>
      </w:r>
      <w:r w:rsidRPr="00D97515">
        <w:t>cross</w:t>
      </w:r>
      <w:r w:rsidR="00E136C5">
        <w:t>‑</w:t>
      </w:r>
      <w:r w:rsidRPr="00D97515">
        <w:t>examination</w:t>
      </w:r>
      <w:r w:rsidR="004F12A6">
        <w:t>,</w:t>
      </w:r>
      <w:r w:rsidRPr="00D97515">
        <w:t xml:space="preserve"> Mr Young accepted that</w:t>
      </w:r>
      <w:r w:rsidR="00A17FAC">
        <w:t>,</w:t>
      </w:r>
      <w:r w:rsidRPr="00D97515">
        <w:t xml:space="preserve"> in relation to the non</w:t>
      </w:r>
      <w:r w:rsidR="00E136C5">
        <w:t>‑</w:t>
      </w:r>
      <w:r w:rsidRPr="00D97515">
        <w:t xml:space="preserve">litigious matters, he did </w:t>
      </w:r>
      <w:r w:rsidR="007A4CFC" w:rsidRPr="00D97515">
        <w:t>not</w:t>
      </w:r>
      <w:r w:rsidRPr="00D97515">
        <w:t xml:space="preserve"> know </w:t>
      </w:r>
      <w:r w:rsidR="00A17FAC">
        <w:t xml:space="preserve">in </w:t>
      </w:r>
      <w:r w:rsidRPr="00D97515">
        <w:t xml:space="preserve">what capacity Mr </w:t>
      </w:r>
      <w:proofErr w:type="spellStart"/>
      <w:r w:rsidRPr="00D97515">
        <w:t>Lewski</w:t>
      </w:r>
      <w:proofErr w:type="spellEnd"/>
      <w:r w:rsidRPr="00D97515">
        <w:t xml:space="preserve"> was acti</w:t>
      </w:r>
      <w:r w:rsidR="00767736" w:rsidRPr="00D97515">
        <w:t xml:space="preserve">ng </w:t>
      </w:r>
      <w:r w:rsidR="00A17FAC">
        <w:t>when</w:t>
      </w:r>
      <w:r w:rsidR="00A17FAC" w:rsidRPr="00D97515">
        <w:t xml:space="preserve"> </w:t>
      </w:r>
      <w:r w:rsidR="00767736" w:rsidRPr="00D97515">
        <w:t>providing instructions</w:t>
      </w:r>
      <w:r w:rsidR="00A17FAC">
        <w:t>.</w:t>
      </w:r>
    </w:p>
    <w:p w14:paraId="73B662B5" w14:textId="162F9E55" w:rsidR="00C108ED" w:rsidRPr="00BC52AD" w:rsidRDefault="00C108ED" w:rsidP="00C108ED">
      <w:pPr>
        <w:pStyle w:val="ParaNumbering"/>
        <w:rPr>
          <w:i/>
        </w:rPr>
      </w:pPr>
      <w:r w:rsidRPr="00BC52AD">
        <w:lastRenderedPageBreak/>
        <w:t>In a letter sent to the Australian Taxation Office in December 2019, Mr Young e</w:t>
      </w:r>
      <w:r w:rsidR="002422B6" w:rsidRPr="00D56DB3">
        <w:t xml:space="preserve">stimated </w:t>
      </w:r>
      <w:r w:rsidRPr="00D56DB3">
        <w:t>that</w:t>
      </w:r>
      <w:r w:rsidR="002422B6" w:rsidRPr="00BC52AD">
        <w:t xml:space="preserve"> </w:t>
      </w:r>
      <w:r w:rsidRPr="00BC52AD">
        <w:t>about $4.</w:t>
      </w:r>
      <w:r w:rsidR="00D56DB3">
        <w:t>1</w:t>
      </w:r>
      <w:r w:rsidRPr="00BC52AD">
        <w:t xml:space="preserve">4m would be paid by the liquidators </w:t>
      </w:r>
      <w:r w:rsidR="00D56DB3">
        <w:t xml:space="preserve">of APCHL </w:t>
      </w:r>
      <w:r w:rsidRPr="00BC52AD">
        <w:t xml:space="preserve">and </w:t>
      </w:r>
      <w:r w:rsidR="00A17FAC" w:rsidRPr="00BC52AD">
        <w:t xml:space="preserve">that </w:t>
      </w:r>
      <w:r w:rsidRPr="00BC52AD">
        <w:t xml:space="preserve">the payment would be received by the Applicant.  As at the date of </w:t>
      </w:r>
      <w:r w:rsidR="00BC52AD">
        <w:t xml:space="preserve">the </w:t>
      </w:r>
      <w:r w:rsidRPr="00BC52AD">
        <w:t>hearing</w:t>
      </w:r>
      <w:r w:rsidR="00BC52AD">
        <w:t xml:space="preserve"> in this matter</w:t>
      </w:r>
      <w:r w:rsidRPr="00BC52AD">
        <w:t>, no payment had been received from the liquidators</w:t>
      </w:r>
      <w:r w:rsidR="002F5E1C" w:rsidRPr="00BC52AD">
        <w:t>.</w:t>
      </w:r>
      <w:r w:rsidRPr="00BC52AD">
        <w:t xml:space="preserve">  Mr Young testified in cross</w:t>
      </w:r>
      <w:r w:rsidR="00E136C5" w:rsidRPr="00BC52AD">
        <w:t>‑</w:t>
      </w:r>
      <w:r w:rsidRPr="00BC52AD">
        <w:t>examination that the statement he made to the Australian Taxation Office in relation to the prospect of payment from the liquidators was not based on his personal knowledge but had been based on instr</w:t>
      </w:r>
      <w:r w:rsidR="00767736" w:rsidRPr="00BC52AD">
        <w:t>uctions he had received from Mr </w:t>
      </w:r>
      <w:proofErr w:type="spellStart"/>
      <w:r w:rsidRPr="00BC52AD">
        <w:t>Lewski</w:t>
      </w:r>
      <w:proofErr w:type="spellEnd"/>
      <w:r w:rsidRPr="00BC52AD">
        <w:t>.</w:t>
      </w:r>
    </w:p>
    <w:p w14:paraId="36F5BE61" w14:textId="5898487C" w:rsidR="00C108ED" w:rsidRPr="00D97515" w:rsidRDefault="00C108ED" w:rsidP="00C108ED">
      <w:pPr>
        <w:pStyle w:val="ParaNumbering"/>
      </w:pPr>
      <w:r w:rsidRPr="00D97515">
        <w:t xml:space="preserve">I accept Mr Young’s evidence that he dealt with Mr </w:t>
      </w:r>
      <w:proofErr w:type="spellStart"/>
      <w:r w:rsidRPr="00D97515">
        <w:t>Lewski</w:t>
      </w:r>
      <w:proofErr w:type="spellEnd"/>
      <w:r w:rsidRPr="00D97515">
        <w:t>, that</w:t>
      </w:r>
      <w:r w:rsidR="002F5E1C">
        <w:t>,</w:t>
      </w:r>
      <w:r w:rsidR="004F12A6">
        <w:t xml:space="preserve"> at some point after October </w:t>
      </w:r>
      <w:r w:rsidRPr="00D97515">
        <w:t>2006, he issued invoices to the Applicant</w:t>
      </w:r>
      <w:r w:rsidR="004F12A6">
        <w:t>,</w:t>
      </w:r>
      <w:r w:rsidRPr="00D97515">
        <w:t xml:space="preserve"> and that he was paid by the Applicant.  However, I attach no weight to the evidence of his understanding that he dealt with Mr </w:t>
      </w:r>
      <w:proofErr w:type="spellStart"/>
      <w:r w:rsidRPr="00D97515">
        <w:t>Lewski</w:t>
      </w:r>
      <w:proofErr w:type="spellEnd"/>
      <w:r w:rsidRPr="00D97515">
        <w:t xml:space="preserve"> in his capacity as director of the Applicant </w:t>
      </w:r>
      <w:r w:rsidR="00D56DB3">
        <w:t>or</w:t>
      </w:r>
      <w:r w:rsidR="00D56DB3" w:rsidRPr="00D97515">
        <w:t xml:space="preserve"> </w:t>
      </w:r>
      <w:r w:rsidRPr="00D97515">
        <w:t>that the Applicant was his client.</w:t>
      </w:r>
    </w:p>
    <w:p w14:paraId="0C955633" w14:textId="22D26811" w:rsidR="00C108ED" w:rsidRPr="00D97515" w:rsidRDefault="004512F0" w:rsidP="00C108ED">
      <w:pPr>
        <w:pStyle w:val="ParaNumbering"/>
      </w:pPr>
      <w:r w:rsidRPr="00D97515">
        <w:t xml:space="preserve">Even though Mr Young is </w:t>
      </w:r>
      <w:r w:rsidR="00C108ED" w:rsidRPr="00D97515">
        <w:t>not an applicant</w:t>
      </w:r>
      <w:r w:rsidRPr="00D97515">
        <w:t xml:space="preserve"> in these proceedings</w:t>
      </w:r>
      <w:r w:rsidR="00C108ED" w:rsidRPr="00D97515">
        <w:t>, I regard his evidence to be in the nature of self</w:t>
      </w:r>
      <w:r w:rsidR="00E136C5">
        <w:t>‑</w:t>
      </w:r>
      <w:r w:rsidR="00C108ED" w:rsidRPr="00D97515">
        <w:t xml:space="preserve">serving evidence and in the nature of advocacy.  Mr Young represented the </w:t>
      </w:r>
      <w:r w:rsidR="00253AC4">
        <w:t>A</w:t>
      </w:r>
      <w:r w:rsidR="00C108ED" w:rsidRPr="00D97515">
        <w:t>pplicant in these proceedings initially and had repre</w:t>
      </w:r>
      <w:r w:rsidR="00253AC4">
        <w:t>sented the A</w:t>
      </w:r>
      <w:r w:rsidR="00C108ED" w:rsidRPr="00D97515">
        <w:t xml:space="preserve">pplicant in liaising with the </w:t>
      </w:r>
      <w:r w:rsidR="006006BF" w:rsidRPr="00D97515">
        <w:t>Australian</w:t>
      </w:r>
      <w:r w:rsidR="00C108ED" w:rsidRPr="00D97515">
        <w:t xml:space="preserve"> Taxation Office in its audit of the Applicant in respect of the subject matter of th</w:t>
      </w:r>
      <w:r w:rsidR="00697063">
        <w:t>i</w:t>
      </w:r>
      <w:r w:rsidR="00C108ED" w:rsidRPr="00D97515">
        <w:t xml:space="preserve">s proceeding.  His evidence is not that of a disinterested party. </w:t>
      </w:r>
      <w:r w:rsidR="00742A72">
        <w:t xml:space="preserve"> </w:t>
      </w:r>
      <w:r w:rsidR="00C108ED" w:rsidRPr="00D97515">
        <w:t xml:space="preserve">His evidence before this Court that he dealt with Mr </w:t>
      </w:r>
      <w:proofErr w:type="spellStart"/>
      <w:r w:rsidR="00C108ED" w:rsidRPr="00D97515">
        <w:t>Lewski</w:t>
      </w:r>
      <w:proofErr w:type="spellEnd"/>
      <w:r w:rsidR="00C108ED" w:rsidRPr="00D97515">
        <w:t xml:space="preserve"> in h</w:t>
      </w:r>
      <w:r w:rsidRPr="00D97515">
        <w:t xml:space="preserve">is capacity as director of the </w:t>
      </w:r>
      <w:r w:rsidR="00253AC4">
        <w:t>Applicant</w:t>
      </w:r>
      <w:r w:rsidR="00C108ED" w:rsidRPr="00D97515">
        <w:t xml:space="preserve"> in respect of Mrs</w:t>
      </w:r>
      <w:r w:rsidR="00697063">
        <w:t> </w:t>
      </w:r>
      <w:proofErr w:type="spellStart"/>
      <w:r w:rsidR="00C108ED" w:rsidRPr="00D97515">
        <w:t>Lewski’s</w:t>
      </w:r>
      <w:proofErr w:type="spellEnd"/>
      <w:r w:rsidR="00C108ED" w:rsidRPr="00D97515">
        <w:t xml:space="preserve"> taxation dispute is not consistent with the statement he filed w</w:t>
      </w:r>
      <w:r w:rsidRPr="00D97515">
        <w:t>ith the Administrative Appeals T</w:t>
      </w:r>
      <w:r w:rsidR="00C108ED" w:rsidRPr="00D97515">
        <w:t>ribunal where he stated that he “dealt almost exclusively with Mr</w:t>
      </w:r>
      <w:r w:rsidR="00697063">
        <w:t> </w:t>
      </w:r>
      <w:r w:rsidR="00C108ED" w:rsidRPr="00D97515">
        <w:t xml:space="preserve">William </w:t>
      </w:r>
      <w:proofErr w:type="spellStart"/>
      <w:r w:rsidR="00C108ED" w:rsidRPr="00D97515">
        <w:t>Lewski</w:t>
      </w:r>
      <w:proofErr w:type="spellEnd"/>
      <w:r w:rsidR="00C108ED" w:rsidRPr="00D97515">
        <w:t xml:space="preserve"> who </w:t>
      </w:r>
      <w:r w:rsidR="00697063">
        <w:t>[he]</w:t>
      </w:r>
      <w:r w:rsidR="00C108ED" w:rsidRPr="00D97515">
        <w:t xml:space="preserve"> understood to be acting on behalf of </w:t>
      </w:r>
      <w:r w:rsidR="00697063">
        <w:t>[Mrs </w:t>
      </w:r>
      <w:proofErr w:type="spellStart"/>
      <w:r w:rsidR="00697063">
        <w:t>Lewski</w:t>
      </w:r>
      <w:proofErr w:type="spellEnd"/>
      <w:r w:rsidR="00697063">
        <w:t xml:space="preserve">] </w:t>
      </w:r>
      <w:r w:rsidR="00C108ED" w:rsidRPr="00D97515">
        <w:t xml:space="preserve">as her tax agent”. </w:t>
      </w:r>
      <w:r w:rsidR="00697063">
        <w:t xml:space="preserve"> </w:t>
      </w:r>
      <w:r w:rsidR="00C108ED" w:rsidRPr="00D97515">
        <w:t xml:space="preserve">Nor </w:t>
      </w:r>
      <w:r w:rsidRPr="00D97515">
        <w:t xml:space="preserve">is </w:t>
      </w:r>
      <w:r w:rsidR="00C108ED" w:rsidRPr="00D97515">
        <w:t>his evidence supported by contemporaneous documents.</w:t>
      </w:r>
    </w:p>
    <w:p w14:paraId="58189687" w14:textId="0384F87A" w:rsidR="00C108ED" w:rsidRPr="00D97515" w:rsidRDefault="00C108ED" w:rsidP="00C108ED">
      <w:pPr>
        <w:pStyle w:val="ParaNumbering"/>
      </w:pPr>
      <w:r w:rsidRPr="00D97515">
        <w:t xml:space="preserve">As with Mr William </w:t>
      </w:r>
      <w:proofErr w:type="spellStart"/>
      <w:r w:rsidRPr="00D97515">
        <w:t>Lewski’s</w:t>
      </w:r>
      <w:proofErr w:type="spellEnd"/>
      <w:r w:rsidRPr="00D97515">
        <w:t xml:space="preserve"> evidence, there is an air of artificiality and reconstruction about Mr Young’s evidence of the basis on which he provided advice to</w:t>
      </w:r>
      <w:r w:rsidR="004512F0" w:rsidRPr="00D97515">
        <w:t>,</w:t>
      </w:r>
      <w:r w:rsidRPr="00D97515">
        <w:t xml:space="preserve"> and received instructions from</w:t>
      </w:r>
      <w:r w:rsidR="004512F0" w:rsidRPr="00D97515">
        <w:t>,</w:t>
      </w:r>
      <w:r w:rsidR="008E1D1C">
        <w:t xml:space="preserve"> Mr </w:t>
      </w:r>
      <w:proofErr w:type="spellStart"/>
      <w:r w:rsidR="008E1D1C">
        <w:t>Lewski</w:t>
      </w:r>
      <w:proofErr w:type="spellEnd"/>
      <w:r w:rsidR="008E1D1C">
        <w:t>.</w:t>
      </w:r>
    </w:p>
    <w:p w14:paraId="42539521" w14:textId="77777777" w:rsidR="00C108ED" w:rsidRPr="00D97515" w:rsidRDefault="00C108ED" w:rsidP="00C108ED">
      <w:pPr>
        <w:pStyle w:val="Heading1"/>
      </w:pPr>
      <w:r w:rsidRPr="00D97515">
        <w:rPr>
          <w:caps w:val="0"/>
        </w:rPr>
        <w:t>STATUTORY FRAMEWORK</w:t>
      </w:r>
    </w:p>
    <w:p w14:paraId="1B8CF5E5" w14:textId="17AA20FF" w:rsidR="00C108ED" w:rsidRPr="00D97515" w:rsidRDefault="00C108ED" w:rsidP="00C108ED">
      <w:pPr>
        <w:pStyle w:val="ParaNumbering"/>
      </w:pPr>
      <w:r w:rsidRPr="00D97515">
        <w:t>Under s 9</w:t>
      </w:r>
      <w:r w:rsidR="00E136C5">
        <w:t>‑</w:t>
      </w:r>
      <w:r w:rsidRPr="00D97515">
        <w:t xml:space="preserve">5 of the </w:t>
      </w:r>
      <w:r w:rsidRPr="009A01C9">
        <w:rPr>
          <w:i/>
        </w:rPr>
        <w:t>GST Act</w:t>
      </w:r>
      <w:r w:rsidRPr="00D97515">
        <w:t xml:space="preserve">, you make a </w:t>
      </w:r>
      <w:r w:rsidR="007017C1">
        <w:t>“</w:t>
      </w:r>
      <w:r w:rsidRPr="00D97515">
        <w:t>taxable supply</w:t>
      </w:r>
      <w:r w:rsidR="007017C1">
        <w:t>”</w:t>
      </w:r>
      <w:r w:rsidRPr="00D97515">
        <w:t xml:space="preserve"> if:</w:t>
      </w:r>
    </w:p>
    <w:p w14:paraId="09C2230B" w14:textId="77777777" w:rsidR="00C108ED" w:rsidRPr="00D97515" w:rsidRDefault="00C108ED" w:rsidP="00C108ED">
      <w:pPr>
        <w:pStyle w:val="Quote1"/>
        <w:widowControl/>
        <w:spacing w:before="120"/>
      </w:pPr>
      <w:r w:rsidRPr="00D97515">
        <w:t>(a)</w:t>
      </w:r>
      <w:r w:rsidRPr="00D97515">
        <w:tab/>
      </w:r>
      <w:proofErr w:type="gramStart"/>
      <w:r w:rsidRPr="00D97515">
        <w:t>you</w:t>
      </w:r>
      <w:proofErr w:type="gramEnd"/>
      <w:r w:rsidRPr="00D97515">
        <w:t xml:space="preserve"> make the supply for *consideration; and</w:t>
      </w:r>
    </w:p>
    <w:p w14:paraId="77C71018" w14:textId="6E288A3F" w:rsidR="00C108ED" w:rsidRPr="00D97515" w:rsidRDefault="00C108ED" w:rsidP="00C108ED">
      <w:pPr>
        <w:pStyle w:val="Quote1"/>
        <w:widowControl/>
        <w:spacing w:before="120"/>
        <w:ind w:left="1440" w:hanging="703"/>
      </w:pPr>
      <w:r w:rsidRPr="00D97515">
        <w:t>(b)</w:t>
      </w:r>
      <w:r w:rsidRPr="00D97515">
        <w:tab/>
      </w:r>
      <w:proofErr w:type="gramStart"/>
      <w:r w:rsidRPr="00D97515">
        <w:t>the</w:t>
      </w:r>
      <w:proofErr w:type="gramEnd"/>
      <w:r w:rsidRPr="00D97515">
        <w:t xml:space="preserve"> supply is made in the course or furtherance of an *enterprise that you </w:t>
      </w:r>
      <w:r w:rsidR="00CB5CEB">
        <w:t>*</w:t>
      </w:r>
      <w:r w:rsidRPr="00D97515">
        <w:t>carry on; and</w:t>
      </w:r>
    </w:p>
    <w:p w14:paraId="2AC16447" w14:textId="3590285A" w:rsidR="00C108ED" w:rsidRPr="00D97515" w:rsidRDefault="00C108ED" w:rsidP="00C108ED">
      <w:pPr>
        <w:pStyle w:val="Quote1"/>
        <w:widowControl/>
        <w:spacing w:before="120"/>
      </w:pPr>
      <w:r w:rsidRPr="00D97515">
        <w:t>(c)</w:t>
      </w:r>
      <w:r w:rsidRPr="00D97515">
        <w:tab/>
      </w:r>
      <w:proofErr w:type="gramStart"/>
      <w:r w:rsidRPr="00D97515">
        <w:t>the</w:t>
      </w:r>
      <w:proofErr w:type="gramEnd"/>
      <w:r w:rsidRPr="00D97515">
        <w:t xml:space="preserve"> supply is *connected with </w:t>
      </w:r>
      <w:r w:rsidR="00CB5CEB">
        <w:t>the indirect tax zone</w:t>
      </w:r>
      <w:r w:rsidRPr="00D97515">
        <w:t>; and</w:t>
      </w:r>
    </w:p>
    <w:p w14:paraId="5830BF80" w14:textId="076169D5" w:rsidR="00C108ED" w:rsidRPr="00D97515" w:rsidRDefault="00C108ED" w:rsidP="00C108ED">
      <w:pPr>
        <w:pStyle w:val="Quote1"/>
        <w:widowControl/>
        <w:spacing w:before="120"/>
      </w:pPr>
      <w:r w:rsidRPr="00D97515">
        <w:t>(d)</w:t>
      </w:r>
      <w:r w:rsidRPr="00D97515">
        <w:tab/>
      </w:r>
      <w:proofErr w:type="gramStart"/>
      <w:r w:rsidRPr="00D97515">
        <w:t>you</w:t>
      </w:r>
      <w:proofErr w:type="gramEnd"/>
      <w:r w:rsidRPr="00D97515">
        <w:t xml:space="preserve"> are </w:t>
      </w:r>
      <w:r w:rsidR="00CB5CEB">
        <w:t>*</w:t>
      </w:r>
      <w:r w:rsidRPr="00D97515">
        <w:t>registered, or *required to be registered.</w:t>
      </w:r>
    </w:p>
    <w:p w14:paraId="612F64D2" w14:textId="3B74F8D3" w:rsidR="00C108ED" w:rsidRPr="00D97515" w:rsidRDefault="00C108ED" w:rsidP="00C108ED">
      <w:pPr>
        <w:pStyle w:val="Quote1"/>
        <w:widowControl/>
        <w:spacing w:before="120"/>
      </w:pPr>
      <w:r w:rsidRPr="00D97515">
        <w:lastRenderedPageBreak/>
        <w:t>However, the supply is not a *taxable supply to the extent that it is *GST</w:t>
      </w:r>
      <w:r w:rsidR="00E136C5">
        <w:t>‑</w:t>
      </w:r>
      <w:r w:rsidRPr="00D97515">
        <w:t>free or *input taxed.</w:t>
      </w:r>
    </w:p>
    <w:p w14:paraId="754A12B1" w14:textId="78D8773C" w:rsidR="00C108ED" w:rsidRPr="00D97515" w:rsidRDefault="00C108ED" w:rsidP="00C108ED">
      <w:pPr>
        <w:pStyle w:val="ParaNumbering"/>
      </w:pPr>
      <w:r w:rsidRPr="00D97515">
        <w:t>Under s 11</w:t>
      </w:r>
      <w:r w:rsidR="00E136C5">
        <w:t>‑</w:t>
      </w:r>
      <w:r w:rsidRPr="00D97515">
        <w:t xml:space="preserve">5 of the </w:t>
      </w:r>
      <w:r w:rsidRPr="009A01C9">
        <w:rPr>
          <w:i/>
        </w:rPr>
        <w:t>GST Act</w:t>
      </w:r>
      <w:r w:rsidRPr="00D97515">
        <w:t xml:space="preserve">, you make a </w:t>
      </w:r>
      <w:r w:rsidR="007017C1">
        <w:t>“</w:t>
      </w:r>
      <w:r w:rsidRPr="00D97515">
        <w:t>creditable acquisition</w:t>
      </w:r>
      <w:r w:rsidR="007017C1">
        <w:t>”</w:t>
      </w:r>
      <w:r w:rsidRPr="00D97515">
        <w:t xml:space="preserve"> if:</w:t>
      </w:r>
    </w:p>
    <w:p w14:paraId="35BC0ACF" w14:textId="77777777" w:rsidR="00C108ED" w:rsidRPr="00D97515" w:rsidRDefault="00C108ED" w:rsidP="00C108ED">
      <w:pPr>
        <w:pStyle w:val="Quote1"/>
        <w:widowControl/>
        <w:spacing w:before="120"/>
      </w:pPr>
      <w:r w:rsidRPr="00D97515">
        <w:t>(a)</w:t>
      </w:r>
      <w:r w:rsidRPr="00D97515">
        <w:tab/>
      </w:r>
      <w:proofErr w:type="gramStart"/>
      <w:r w:rsidRPr="00D97515">
        <w:t>you</w:t>
      </w:r>
      <w:proofErr w:type="gramEnd"/>
      <w:r w:rsidRPr="00D97515">
        <w:t xml:space="preserve"> acquire anything solely or partly for a *creditable purpose; and</w:t>
      </w:r>
    </w:p>
    <w:p w14:paraId="09F78071" w14:textId="77777777" w:rsidR="00C108ED" w:rsidRPr="00D97515" w:rsidRDefault="00C108ED" w:rsidP="00C108ED">
      <w:pPr>
        <w:pStyle w:val="Quote1"/>
        <w:widowControl/>
        <w:spacing w:before="120"/>
      </w:pPr>
      <w:r w:rsidRPr="00D97515">
        <w:t>(b)</w:t>
      </w:r>
      <w:r w:rsidRPr="00D97515">
        <w:tab/>
      </w:r>
      <w:proofErr w:type="gramStart"/>
      <w:r w:rsidRPr="00D97515">
        <w:t>the</w:t>
      </w:r>
      <w:proofErr w:type="gramEnd"/>
      <w:r w:rsidRPr="00D97515">
        <w:t xml:space="preserve"> supply of the thing to you is a *taxable supply; and</w:t>
      </w:r>
    </w:p>
    <w:p w14:paraId="77072F56" w14:textId="77777777" w:rsidR="00C108ED" w:rsidRPr="00D97515" w:rsidRDefault="00C108ED" w:rsidP="00C108ED">
      <w:pPr>
        <w:pStyle w:val="Quote1"/>
        <w:widowControl/>
        <w:spacing w:before="120"/>
      </w:pPr>
      <w:r w:rsidRPr="00D97515">
        <w:t>(c)</w:t>
      </w:r>
      <w:r w:rsidRPr="00D97515">
        <w:tab/>
      </w:r>
      <w:proofErr w:type="gramStart"/>
      <w:r w:rsidRPr="00D97515">
        <w:t>you</w:t>
      </w:r>
      <w:proofErr w:type="gramEnd"/>
      <w:r w:rsidRPr="00D97515">
        <w:t xml:space="preserve"> provide or are liable to provide, *consideration for the supply; and</w:t>
      </w:r>
    </w:p>
    <w:p w14:paraId="69AFF099" w14:textId="587C22A8" w:rsidR="00C108ED" w:rsidRPr="00D97515" w:rsidRDefault="00C108ED" w:rsidP="00C108ED">
      <w:pPr>
        <w:pStyle w:val="Quote1"/>
        <w:widowControl/>
        <w:spacing w:before="120"/>
      </w:pPr>
      <w:r w:rsidRPr="00D97515">
        <w:t>(d)</w:t>
      </w:r>
      <w:r w:rsidRPr="00D97515">
        <w:tab/>
      </w:r>
      <w:proofErr w:type="gramStart"/>
      <w:r w:rsidRPr="00D97515">
        <w:t>you</w:t>
      </w:r>
      <w:proofErr w:type="gramEnd"/>
      <w:r w:rsidRPr="00D97515">
        <w:t xml:space="preserve"> are </w:t>
      </w:r>
      <w:r w:rsidR="00CB5CEB">
        <w:t>*</w:t>
      </w:r>
      <w:r w:rsidRPr="00D97515">
        <w:t>registered, or *required to be registered.</w:t>
      </w:r>
    </w:p>
    <w:p w14:paraId="398BD2C8" w14:textId="2D1C35BB" w:rsidR="00C108ED" w:rsidRPr="00D97515" w:rsidRDefault="00C108ED" w:rsidP="00C108ED">
      <w:pPr>
        <w:pStyle w:val="ParaNumbering"/>
      </w:pPr>
      <w:r w:rsidRPr="00D97515">
        <w:t>Section 11</w:t>
      </w:r>
      <w:r w:rsidR="00E136C5">
        <w:t>‑</w:t>
      </w:r>
      <w:r w:rsidRPr="00D97515">
        <w:t xml:space="preserve">10 </w:t>
      </w:r>
      <w:r w:rsidR="007017C1">
        <w:t xml:space="preserve">defines the concept of an “acquisition” and </w:t>
      </w:r>
      <w:r w:rsidRPr="00D97515">
        <w:t>relevantly provides:</w:t>
      </w:r>
    </w:p>
    <w:p w14:paraId="442215E7" w14:textId="77777777" w:rsidR="00C108ED" w:rsidRPr="00D97515" w:rsidRDefault="00C108ED" w:rsidP="00C108ED">
      <w:pPr>
        <w:pStyle w:val="Quote1"/>
        <w:rPr>
          <w:lang w:eastAsia="en-AU"/>
        </w:rPr>
      </w:pPr>
      <w:r w:rsidRPr="00D97515">
        <w:t>(1)</w:t>
      </w:r>
      <w:r w:rsidRPr="00D97515">
        <w:tab/>
        <w:t xml:space="preserve">An </w:t>
      </w:r>
      <w:r w:rsidRPr="00D97515">
        <w:rPr>
          <w:b/>
          <w:bCs/>
          <w:i/>
          <w:iCs/>
        </w:rPr>
        <w:t>acquisition</w:t>
      </w:r>
      <w:r w:rsidRPr="00D97515">
        <w:t xml:space="preserve"> is any form of acquisition whatsoever.</w:t>
      </w:r>
    </w:p>
    <w:p w14:paraId="6AAF1130" w14:textId="77777777" w:rsidR="00C108ED" w:rsidRPr="00D97515" w:rsidRDefault="00C108ED" w:rsidP="00C108ED">
      <w:pPr>
        <w:pStyle w:val="Quote1"/>
      </w:pPr>
      <w:r w:rsidRPr="00D97515">
        <w:t>(2)</w:t>
      </w:r>
      <w:r w:rsidRPr="00D97515">
        <w:tab/>
        <w:t xml:space="preserve">Without limiting subsection (1), </w:t>
      </w:r>
      <w:r w:rsidRPr="00D97515">
        <w:rPr>
          <w:b/>
          <w:bCs/>
          <w:i/>
          <w:iCs/>
        </w:rPr>
        <w:t>acquisition</w:t>
      </w:r>
      <w:r w:rsidRPr="00D97515">
        <w:t xml:space="preserve"> includes any of these:</w:t>
      </w:r>
    </w:p>
    <w:p w14:paraId="59334936" w14:textId="77777777" w:rsidR="00C108ED" w:rsidRPr="00D97515" w:rsidRDefault="00C108ED" w:rsidP="00C108ED">
      <w:pPr>
        <w:pStyle w:val="Quote2"/>
      </w:pPr>
      <w:r w:rsidRPr="00D97515">
        <w:t>(a)</w:t>
      </w:r>
      <w:r w:rsidRPr="00D97515">
        <w:tab/>
      </w:r>
      <w:proofErr w:type="gramStart"/>
      <w:r w:rsidRPr="00D97515">
        <w:t>an</w:t>
      </w:r>
      <w:proofErr w:type="gramEnd"/>
      <w:r w:rsidRPr="00D97515">
        <w:t xml:space="preserve"> acquisition of goods;</w:t>
      </w:r>
    </w:p>
    <w:p w14:paraId="1F8C703D" w14:textId="77777777" w:rsidR="00C108ED" w:rsidRPr="00D97515" w:rsidRDefault="00C108ED" w:rsidP="00C108ED">
      <w:pPr>
        <w:pStyle w:val="Quote2"/>
      </w:pPr>
      <w:r w:rsidRPr="00D97515">
        <w:t>(b)</w:t>
      </w:r>
      <w:r w:rsidRPr="00D97515">
        <w:tab/>
      </w:r>
      <w:proofErr w:type="gramStart"/>
      <w:r w:rsidRPr="00D97515">
        <w:t>an</w:t>
      </w:r>
      <w:proofErr w:type="gramEnd"/>
      <w:r w:rsidRPr="00D97515">
        <w:t xml:space="preserve"> acquisition of services;</w:t>
      </w:r>
    </w:p>
    <w:p w14:paraId="69BAA2E8" w14:textId="77777777" w:rsidR="00C108ED" w:rsidRPr="00D97515" w:rsidRDefault="00C108ED" w:rsidP="00C108ED">
      <w:pPr>
        <w:pStyle w:val="Quote2"/>
      </w:pPr>
      <w:r w:rsidRPr="00D97515">
        <w:t>(c)</w:t>
      </w:r>
      <w:r w:rsidRPr="00D97515">
        <w:tab/>
      </w:r>
      <w:proofErr w:type="gramStart"/>
      <w:r w:rsidRPr="00D97515">
        <w:t>a</w:t>
      </w:r>
      <w:proofErr w:type="gramEnd"/>
      <w:r w:rsidRPr="00D97515">
        <w:t xml:space="preserve"> receipt of advice or information;</w:t>
      </w:r>
    </w:p>
    <w:p w14:paraId="38089AD0" w14:textId="77777777" w:rsidR="00C108ED" w:rsidRPr="00D97515" w:rsidRDefault="00C108ED" w:rsidP="00C108ED">
      <w:pPr>
        <w:pStyle w:val="Quote2"/>
      </w:pPr>
      <w:r w:rsidRPr="00D97515">
        <w:t>(d)</w:t>
      </w:r>
      <w:r w:rsidRPr="00D97515">
        <w:tab/>
      </w:r>
      <w:proofErr w:type="gramStart"/>
      <w:r w:rsidRPr="00D97515">
        <w:t>an</w:t>
      </w:r>
      <w:proofErr w:type="gramEnd"/>
      <w:r w:rsidRPr="00D97515">
        <w:t xml:space="preserve"> acceptance of a grant, assignment or surrender of </w:t>
      </w:r>
      <w:r w:rsidRPr="00D97515">
        <w:rPr>
          <w:position w:val="6"/>
          <w:sz w:val="16"/>
          <w:szCs w:val="16"/>
        </w:rPr>
        <w:t>*</w:t>
      </w:r>
      <w:r w:rsidRPr="00D97515">
        <w:t>real property;</w:t>
      </w:r>
    </w:p>
    <w:p w14:paraId="3D27F30E" w14:textId="77777777" w:rsidR="00C108ED" w:rsidRPr="00D97515" w:rsidRDefault="00C108ED" w:rsidP="00C108ED">
      <w:pPr>
        <w:pStyle w:val="Quote2"/>
      </w:pPr>
      <w:r w:rsidRPr="00D97515">
        <w:t>(e)</w:t>
      </w:r>
      <w:r w:rsidRPr="00D97515">
        <w:tab/>
      </w:r>
      <w:proofErr w:type="gramStart"/>
      <w:r w:rsidRPr="00D97515">
        <w:t>an</w:t>
      </w:r>
      <w:proofErr w:type="gramEnd"/>
      <w:r w:rsidRPr="00D97515">
        <w:t xml:space="preserve"> acceptance of a grant, transfer, assignment or surrender of any right;</w:t>
      </w:r>
    </w:p>
    <w:p w14:paraId="40A44397" w14:textId="77777777" w:rsidR="00C108ED" w:rsidRPr="00D97515" w:rsidRDefault="00C108ED" w:rsidP="00C108ED">
      <w:pPr>
        <w:pStyle w:val="Quote2"/>
      </w:pPr>
      <w:r w:rsidRPr="00D97515">
        <w:t>(f)</w:t>
      </w:r>
      <w:r w:rsidRPr="00D97515">
        <w:tab/>
      </w:r>
      <w:proofErr w:type="gramStart"/>
      <w:r w:rsidRPr="00D97515">
        <w:t>an</w:t>
      </w:r>
      <w:proofErr w:type="gramEnd"/>
      <w:r w:rsidRPr="00D97515">
        <w:t xml:space="preserve"> acquisition of something the supply of which is a </w:t>
      </w:r>
      <w:r w:rsidRPr="00D97515">
        <w:rPr>
          <w:position w:val="6"/>
          <w:sz w:val="16"/>
          <w:szCs w:val="16"/>
        </w:rPr>
        <w:t>*</w:t>
      </w:r>
      <w:r w:rsidRPr="00D97515">
        <w:t>financial supply;</w:t>
      </w:r>
    </w:p>
    <w:p w14:paraId="78C1DA15" w14:textId="77777777" w:rsidR="00C108ED" w:rsidRPr="00D97515" w:rsidRDefault="00C108ED" w:rsidP="00C108ED">
      <w:pPr>
        <w:pStyle w:val="Quote2"/>
      </w:pPr>
      <w:r w:rsidRPr="00D97515">
        <w:t>(g)</w:t>
      </w:r>
      <w:r w:rsidRPr="00D97515">
        <w:tab/>
      </w:r>
      <w:proofErr w:type="gramStart"/>
      <w:r w:rsidRPr="00D97515">
        <w:t>an</w:t>
      </w:r>
      <w:proofErr w:type="gramEnd"/>
      <w:r w:rsidRPr="00D97515">
        <w:t xml:space="preserve"> acquisition of a right to require another person:</w:t>
      </w:r>
    </w:p>
    <w:p w14:paraId="3FD85CDA" w14:textId="77777777" w:rsidR="00C108ED" w:rsidRPr="00D97515" w:rsidRDefault="00C108ED" w:rsidP="00C108ED">
      <w:pPr>
        <w:pStyle w:val="Quote3"/>
      </w:pPr>
      <w:r w:rsidRPr="00D97515">
        <w:t>(</w:t>
      </w:r>
      <w:proofErr w:type="spellStart"/>
      <w:r w:rsidRPr="00D97515">
        <w:t>i</w:t>
      </w:r>
      <w:proofErr w:type="spellEnd"/>
      <w:r w:rsidRPr="00D97515">
        <w:t>)</w:t>
      </w:r>
      <w:r w:rsidRPr="00D97515">
        <w:tab/>
      </w:r>
      <w:proofErr w:type="gramStart"/>
      <w:r w:rsidRPr="00D97515">
        <w:t>to</w:t>
      </w:r>
      <w:proofErr w:type="gramEnd"/>
      <w:r w:rsidRPr="00D97515">
        <w:t xml:space="preserve"> do anything; or</w:t>
      </w:r>
    </w:p>
    <w:p w14:paraId="6A6EEF89" w14:textId="77777777" w:rsidR="00C108ED" w:rsidRPr="00D97515" w:rsidRDefault="00C108ED" w:rsidP="00C108ED">
      <w:pPr>
        <w:pStyle w:val="Quote3"/>
      </w:pPr>
      <w:r w:rsidRPr="00D97515">
        <w:t>(ii)</w:t>
      </w:r>
      <w:r w:rsidRPr="00D97515">
        <w:tab/>
      </w:r>
      <w:proofErr w:type="gramStart"/>
      <w:r w:rsidRPr="00D97515">
        <w:t>to</w:t>
      </w:r>
      <w:proofErr w:type="gramEnd"/>
      <w:r w:rsidRPr="00D97515">
        <w:t xml:space="preserve"> refrain from an act; or</w:t>
      </w:r>
    </w:p>
    <w:p w14:paraId="3CE83A87" w14:textId="77777777" w:rsidR="00C108ED" w:rsidRPr="00D97515" w:rsidRDefault="00C108ED" w:rsidP="00C108ED">
      <w:pPr>
        <w:pStyle w:val="Quote3"/>
      </w:pPr>
      <w:r w:rsidRPr="00D97515">
        <w:t>(iii)</w:t>
      </w:r>
      <w:r w:rsidRPr="00D97515">
        <w:tab/>
      </w:r>
      <w:proofErr w:type="gramStart"/>
      <w:r w:rsidRPr="00D97515">
        <w:t>to</w:t>
      </w:r>
      <w:proofErr w:type="gramEnd"/>
      <w:r w:rsidRPr="00D97515">
        <w:t xml:space="preserve"> tolerate an act or situation;</w:t>
      </w:r>
    </w:p>
    <w:p w14:paraId="341A2C21" w14:textId="77777777" w:rsidR="00C108ED" w:rsidRPr="00D97515" w:rsidRDefault="00C108ED" w:rsidP="00C108ED">
      <w:pPr>
        <w:pStyle w:val="Quote2"/>
        <w:ind w:left="2160" w:hanging="720"/>
      </w:pPr>
      <w:r w:rsidRPr="00D97515">
        <w:t>(h)</w:t>
      </w:r>
      <w:r w:rsidRPr="00D97515">
        <w:tab/>
      </w:r>
      <w:proofErr w:type="gramStart"/>
      <w:r w:rsidRPr="00D97515">
        <w:t>any</w:t>
      </w:r>
      <w:proofErr w:type="gramEnd"/>
      <w:r w:rsidRPr="00D97515">
        <w:t xml:space="preserve"> combination of any 2 or more of the matters referred to in paragraphs (a) to (g).</w:t>
      </w:r>
    </w:p>
    <w:p w14:paraId="20F0E2AB" w14:textId="3128AEF8" w:rsidR="00C108ED" w:rsidRPr="00D97515" w:rsidRDefault="00C108ED" w:rsidP="00C108ED">
      <w:pPr>
        <w:pStyle w:val="ParaNumbering"/>
      </w:pPr>
      <w:r w:rsidRPr="00D97515">
        <w:t>Section 11</w:t>
      </w:r>
      <w:r w:rsidR="00E136C5">
        <w:t>‑</w:t>
      </w:r>
      <w:r w:rsidRPr="00D97515">
        <w:t>15 relevantly provides:</w:t>
      </w:r>
    </w:p>
    <w:p w14:paraId="54347C48" w14:textId="77777777" w:rsidR="00C108ED" w:rsidRPr="00D97515" w:rsidRDefault="00C108ED" w:rsidP="00C108ED">
      <w:pPr>
        <w:pStyle w:val="Quote1"/>
        <w:ind w:left="1440" w:hanging="703"/>
        <w:rPr>
          <w:lang w:eastAsia="en-AU"/>
        </w:rPr>
      </w:pPr>
      <w:r w:rsidRPr="00D97515">
        <w:t>(1)</w:t>
      </w:r>
      <w:r w:rsidRPr="00D97515">
        <w:tab/>
        <w:t xml:space="preserve">You acquire a thing for a </w:t>
      </w:r>
      <w:r w:rsidRPr="00D97515">
        <w:rPr>
          <w:b/>
          <w:bCs/>
          <w:i/>
          <w:iCs/>
        </w:rPr>
        <w:t>creditable purpose</w:t>
      </w:r>
      <w:r w:rsidRPr="00D97515">
        <w:t xml:space="preserve"> to the extent that you acquire it in </w:t>
      </w:r>
      <w:r w:rsidRPr="00D97515">
        <w:rPr>
          <w:position w:val="6"/>
          <w:sz w:val="16"/>
          <w:szCs w:val="16"/>
        </w:rPr>
        <w:t>*</w:t>
      </w:r>
      <w:r w:rsidRPr="00D97515">
        <w:t xml:space="preserve">carrying on your </w:t>
      </w:r>
      <w:r w:rsidRPr="00D97515">
        <w:rPr>
          <w:position w:val="6"/>
          <w:sz w:val="16"/>
          <w:szCs w:val="16"/>
        </w:rPr>
        <w:t>*</w:t>
      </w:r>
      <w:r w:rsidRPr="00D97515">
        <w:t>enterprise.</w:t>
      </w:r>
    </w:p>
    <w:p w14:paraId="7C90BEE7" w14:textId="77777777" w:rsidR="00C108ED" w:rsidRPr="00D97515" w:rsidRDefault="00C108ED" w:rsidP="00C108ED">
      <w:pPr>
        <w:pStyle w:val="Quote1"/>
        <w:ind w:left="1440" w:hanging="703"/>
      </w:pPr>
      <w:r w:rsidRPr="00D97515">
        <w:t>(2)</w:t>
      </w:r>
      <w:r w:rsidRPr="00D97515">
        <w:tab/>
        <w:t>However, you do not acquire the thing for a creditable purpose to the extent that:</w:t>
      </w:r>
    </w:p>
    <w:p w14:paraId="57F8A192" w14:textId="77777777" w:rsidR="00C108ED" w:rsidRPr="00D97515" w:rsidRDefault="00C108ED" w:rsidP="00A3056B">
      <w:pPr>
        <w:pStyle w:val="Quote2"/>
        <w:ind w:left="2160" w:hanging="720"/>
      </w:pPr>
      <w:r w:rsidRPr="00D97515">
        <w:t>(a)</w:t>
      </w:r>
      <w:r w:rsidRPr="00D97515">
        <w:tab/>
      </w:r>
      <w:proofErr w:type="gramStart"/>
      <w:r w:rsidRPr="00D97515">
        <w:t>the</w:t>
      </w:r>
      <w:proofErr w:type="gramEnd"/>
      <w:r w:rsidRPr="00D97515">
        <w:t xml:space="preserve"> acquisition relates to making supplies that would be </w:t>
      </w:r>
      <w:r w:rsidRPr="00D97515">
        <w:rPr>
          <w:position w:val="6"/>
          <w:sz w:val="16"/>
          <w:szCs w:val="16"/>
        </w:rPr>
        <w:t>*</w:t>
      </w:r>
      <w:r w:rsidRPr="00D97515">
        <w:t>input taxed; or</w:t>
      </w:r>
    </w:p>
    <w:p w14:paraId="785B4F67" w14:textId="77777777" w:rsidR="00C108ED" w:rsidRPr="00D97515" w:rsidRDefault="00C108ED" w:rsidP="00C108ED">
      <w:pPr>
        <w:pStyle w:val="Quote2"/>
      </w:pPr>
      <w:r w:rsidRPr="00D97515">
        <w:t>(b)</w:t>
      </w:r>
      <w:r w:rsidRPr="00D97515">
        <w:tab/>
      </w:r>
      <w:proofErr w:type="gramStart"/>
      <w:r w:rsidRPr="00D97515">
        <w:t>the</w:t>
      </w:r>
      <w:proofErr w:type="gramEnd"/>
      <w:r w:rsidRPr="00D97515">
        <w:t xml:space="preserve"> acquisition is of a private or domestic nature.</w:t>
      </w:r>
    </w:p>
    <w:p w14:paraId="05F16B35" w14:textId="7A56D503" w:rsidR="00C108ED" w:rsidRPr="00D97515" w:rsidRDefault="00C108ED" w:rsidP="00D772AB">
      <w:pPr>
        <w:pStyle w:val="ParaNumbering"/>
      </w:pPr>
      <w:r w:rsidRPr="00D97515">
        <w:t xml:space="preserve">As Edmonds J said in </w:t>
      </w:r>
      <w:r w:rsidRPr="00206643">
        <w:rPr>
          <w:b/>
          <w:i/>
        </w:rPr>
        <w:t>Professional Admin Service Centres</w:t>
      </w:r>
      <w:r w:rsidRPr="00206643">
        <w:rPr>
          <w:i/>
        </w:rPr>
        <w:t xml:space="preserve"> Pty Ltd v F</w:t>
      </w:r>
      <w:r w:rsidR="00D772AB" w:rsidRPr="00206643">
        <w:rPr>
          <w:i/>
        </w:rPr>
        <w:t xml:space="preserve">ederal </w:t>
      </w:r>
      <w:r w:rsidRPr="00206643">
        <w:rPr>
          <w:i/>
        </w:rPr>
        <w:t>C</w:t>
      </w:r>
      <w:r w:rsidR="00D772AB" w:rsidRPr="00206643">
        <w:rPr>
          <w:i/>
        </w:rPr>
        <w:t xml:space="preserve">ommissioner of </w:t>
      </w:r>
      <w:r w:rsidRPr="00206643">
        <w:rPr>
          <w:i/>
        </w:rPr>
        <w:t>T</w:t>
      </w:r>
      <w:r w:rsidR="00D772AB" w:rsidRPr="00206643">
        <w:rPr>
          <w:i/>
        </w:rPr>
        <w:t>axation</w:t>
      </w:r>
      <w:r w:rsidR="00D772AB">
        <w:t xml:space="preserve"> [2013] FCA 1123; </w:t>
      </w:r>
      <w:r w:rsidR="00D772AB" w:rsidRPr="00D772AB">
        <w:t>(2013) 94 ATR 445</w:t>
      </w:r>
      <w:r w:rsidR="00A3056B" w:rsidRPr="00D97515">
        <w:t xml:space="preserve"> at </w:t>
      </w:r>
      <w:r w:rsidR="00D772AB">
        <w:t xml:space="preserve">453 </w:t>
      </w:r>
      <w:r w:rsidR="00A3056B" w:rsidRPr="00D97515">
        <w:t>[37]:</w:t>
      </w:r>
    </w:p>
    <w:p w14:paraId="19AA7AAA" w14:textId="2EACED8B" w:rsidR="00C108ED" w:rsidRPr="00D97515" w:rsidRDefault="00D772AB" w:rsidP="00C108ED">
      <w:pPr>
        <w:pStyle w:val="Quote1"/>
      </w:pPr>
      <w:r>
        <w:t>T</w:t>
      </w:r>
      <w:r w:rsidR="00C108ED" w:rsidRPr="00D97515">
        <w:t>he concept of “</w:t>
      </w:r>
      <w:r w:rsidR="00C108ED" w:rsidRPr="00D772AB">
        <w:t xml:space="preserve">enterprise” is central to the GST Act; the carrying on of an enterprise </w:t>
      </w:r>
      <w:r w:rsidR="00C108ED" w:rsidRPr="00D772AB">
        <w:lastRenderedPageBreak/>
        <w:t>is the first requirement to trigger the obligation to register (s 23</w:t>
      </w:r>
      <w:r w:rsidR="00E136C5" w:rsidRPr="00D772AB">
        <w:t>‑</w:t>
      </w:r>
      <w:proofErr w:type="gramStart"/>
      <w:r w:rsidR="00C108ED" w:rsidRPr="00D772AB">
        <w:t>5(</w:t>
      </w:r>
      <w:proofErr w:type="gramEnd"/>
      <w:r w:rsidR="00C108ED" w:rsidRPr="00D772AB">
        <w:t>a) of the GST Act); the second requirement to the making of a taxable supply (s 9</w:t>
      </w:r>
      <w:r w:rsidR="00E136C5" w:rsidRPr="00D772AB">
        <w:t>‑</w:t>
      </w:r>
      <w:r w:rsidR="00C108ED" w:rsidRPr="00D772AB">
        <w:t>5(b) of the GST Act); and a fundamental requirement to the entitlement to credit for input tax (s 11</w:t>
      </w:r>
      <w:r w:rsidR="00E136C5" w:rsidRPr="00D772AB">
        <w:t>‑</w:t>
      </w:r>
      <w:r w:rsidR="00C108ED" w:rsidRPr="00D772AB">
        <w:t>15(1) of the GST Act).</w:t>
      </w:r>
    </w:p>
    <w:p w14:paraId="3C309E41" w14:textId="6CE9B6A4" w:rsidR="00C108ED" w:rsidRPr="00D97515" w:rsidRDefault="00C108ED" w:rsidP="00DA0357">
      <w:pPr>
        <w:pStyle w:val="ParaNumbering"/>
        <w:keepNext/>
        <w:keepLines/>
      </w:pPr>
      <w:r w:rsidRPr="00D97515">
        <w:t>The term “enterprise” is relevantly defined in s 9</w:t>
      </w:r>
      <w:r w:rsidR="00E136C5">
        <w:t>‑</w:t>
      </w:r>
      <w:r w:rsidRPr="00D97515">
        <w:t xml:space="preserve">20 </w:t>
      </w:r>
      <w:r w:rsidR="007017C1">
        <w:t xml:space="preserve">of the </w:t>
      </w:r>
      <w:r w:rsidR="007017C1" w:rsidRPr="009A01C9">
        <w:rPr>
          <w:i/>
        </w:rPr>
        <w:t>GST Act</w:t>
      </w:r>
      <w:r w:rsidR="007017C1">
        <w:t xml:space="preserve"> </w:t>
      </w:r>
      <w:r w:rsidRPr="00D97515">
        <w:t>as follows:</w:t>
      </w:r>
    </w:p>
    <w:p w14:paraId="3033FCEE" w14:textId="783FFBAD" w:rsidR="00C108ED" w:rsidRPr="00D97515" w:rsidRDefault="00C108ED" w:rsidP="00DA0357">
      <w:pPr>
        <w:pStyle w:val="Quote1"/>
        <w:keepNext/>
        <w:keepLines/>
        <w:widowControl/>
      </w:pPr>
      <w:r w:rsidRPr="00D97515">
        <w:t>(1)</w:t>
      </w:r>
      <w:r w:rsidR="00A3056B" w:rsidRPr="00D97515">
        <w:tab/>
      </w:r>
      <w:r w:rsidRPr="00D97515">
        <w:t xml:space="preserve">An </w:t>
      </w:r>
      <w:r w:rsidRPr="00206643">
        <w:rPr>
          <w:b/>
          <w:i/>
        </w:rPr>
        <w:t>enterprise</w:t>
      </w:r>
      <w:r w:rsidRPr="00D97515">
        <w:t xml:space="preserve"> is an activity, or series of activities, done:</w:t>
      </w:r>
    </w:p>
    <w:p w14:paraId="557AFDB7" w14:textId="77777777" w:rsidR="00C108ED" w:rsidRPr="00D97515" w:rsidRDefault="00C108ED" w:rsidP="00A3056B">
      <w:pPr>
        <w:pStyle w:val="Quote2"/>
      </w:pPr>
      <w:r w:rsidRPr="00D97515">
        <w:t>(a)</w:t>
      </w:r>
      <w:r w:rsidRPr="00D97515">
        <w:tab/>
      </w:r>
      <w:proofErr w:type="gramStart"/>
      <w:r w:rsidRPr="00D97515">
        <w:t>in</w:t>
      </w:r>
      <w:proofErr w:type="gramEnd"/>
      <w:r w:rsidRPr="00D97515">
        <w:t xml:space="preserve"> the form of a *business; or</w:t>
      </w:r>
    </w:p>
    <w:p w14:paraId="6A644BB7" w14:textId="4BD9CABE" w:rsidR="00C108ED" w:rsidRPr="00D97515" w:rsidRDefault="00C108ED" w:rsidP="00A3056B">
      <w:pPr>
        <w:pStyle w:val="Quote2"/>
      </w:pPr>
      <w:r w:rsidRPr="00D97515">
        <w:t>(b)</w:t>
      </w:r>
      <w:r w:rsidRPr="00D97515">
        <w:tab/>
      </w:r>
      <w:proofErr w:type="gramStart"/>
      <w:r w:rsidRPr="00D97515">
        <w:t>in</w:t>
      </w:r>
      <w:proofErr w:type="gramEnd"/>
      <w:r w:rsidRPr="00D97515">
        <w:t xml:space="preserve"> the form of an adventure or concern in the nature of trade;</w:t>
      </w:r>
      <w:r w:rsidR="007017C1">
        <w:t xml:space="preserve"> or</w:t>
      </w:r>
    </w:p>
    <w:p w14:paraId="24B99D73" w14:textId="6C8448F6" w:rsidR="00C108ED" w:rsidRPr="00D97515" w:rsidRDefault="00C108ED" w:rsidP="00A3056B">
      <w:pPr>
        <w:pStyle w:val="Quote2"/>
      </w:pPr>
      <w:r w:rsidRPr="00D97515">
        <w:t>…</w:t>
      </w:r>
    </w:p>
    <w:p w14:paraId="69AAF50C" w14:textId="2FD64CBC" w:rsidR="00C108ED" w:rsidRPr="00D97515" w:rsidRDefault="00C108ED" w:rsidP="008E1D1C">
      <w:pPr>
        <w:pStyle w:val="Quote2"/>
        <w:ind w:left="2160" w:hanging="720"/>
      </w:pPr>
      <w:r w:rsidRPr="00D97515">
        <w:t>(g)</w:t>
      </w:r>
      <w:r w:rsidRPr="00D97515">
        <w:tab/>
      </w:r>
      <w:proofErr w:type="gramStart"/>
      <w:r w:rsidRPr="00D97515">
        <w:t>by</w:t>
      </w:r>
      <w:proofErr w:type="gramEnd"/>
      <w:r w:rsidRPr="00D97515">
        <w:t xml:space="preserve"> the Commonwealth, a State or a Territory, or by a body corporate or corporation sole, established for a public purpose by or under a law of the Commonwealth, a State or a Territory</w:t>
      </w:r>
      <w:r w:rsidR="00A41124">
        <w:t>…</w:t>
      </w:r>
    </w:p>
    <w:p w14:paraId="5E87C791" w14:textId="77777777" w:rsidR="00C108ED" w:rsidRPr="00D97515" w:rsidRDefault="00C108ED" w:rsidP="00C108ED">
      <w:pPr>
        <w:pStyle w:val="Quote1"/>
      </w:pPr>
      <w:r w:rsidRPr="00D97515">
        <w:t>(2)</w:t>
      </w:r>
      <w:r w:rsidRPr="00D97515">
        <w:tab/>
        <w:t xml:space="preserve">However, </w:t>
      </w:r>
      <w:r w:rsidRPr="00D97515">
        <w:rPr>
          <w:b/>
          <w:bCs/>
          <w:i/>
          <w:iCs/>
        </w:rPr>
        <w:t>enterprise</w:t>
      </w:r>
      <w:r w:rsidRPr="00D97515">
        <w:t xml:space="preserve"> does not include an activity, or series of activities, done:</w:t>
      </w:r>
    </w:p>
    <w:p w14:paraId="19FFE955" w14:textId="77777777" w:rsidR="00C108ED" w:rsidRPr="00D97515" w:rsidRDefault="00C108ED" w:rsidP="008E1D1C">
      <w:pPr>
        <w:pStyle w:val="Quote2"/>
        <w:rPr>
          <w:lang w:eastAsia="en-AU"/>
        </w:rPr>
      </w:pPr>
      <w:r w:rsidRPr="00D97515">
        <w:t>…</w:t>
      </w:r>
    </w:p>
    <w:p w14:paraId="09A72BB0" w14:textId="45DEC2B5" w:rsidR="00C108ED" w:rsidRPr="00D97515" w:rsidRDefault="00C108ED" w:rsidP="00A3056B">
      <w:pPr>
        <w:pStyle w:val="Quote2"/>
        <w:ind w:left="2160" w:hanging="720"/>
      </w:pPr>
      <w:r w:rsidRPr="00D97515">
        <w:t>(c)</w:t>
      </w:r>
      <w:r w:rsidRPr="00D97515">
        <w:tab/>
        <w:t>by an individual (other than a trustee of a charitable fund, or of a fund covered by item 2 of the table in section 30</w:t>
      </w:r>
      <w:r w:rsidR="00E136C5">
        <w:t>‑</w:t>
      </w:r>
      <w:r w:rsidRPr="00D97515">
        <w:t xml:space="preserve">15 of the ITAA 1997 or of a fund that would be covered by that item if it had an ABN), or a </w:t>
      </w:r>
      <w:r w:rsidRPr="00D97515">
        <w:rPr>
          <w:position w:val="6"/>
          <w:sz w:val="16"/>
          <w:szCs w:val="16"/>
        </w:rPr>
        <w:t>*</w:t>
      </w:r>
      <w:r w:rsidRPr="00D97515">
        <w:t>partnership (all or most of the members of which are individuals), without a reasonable expectation of profit or gain</w:t>
      </w:r>
      <w:r w:rsidR="00A41124">
        <w:t>…</w:t>
      </w:r>
    </w:p>
    <w:p w14:paraId="6D43AF30" w14:textId="6F436D9D" w:rsidR="00C108ED" w:rsidRPr="00D97515" w:rsidRDefault="00C108ED" w:rsidP="002422B6">
      <w:pPr>
        <w:pStyle w:val="ParaNumbering"/>
      </w:pPr>
      <w:r w:rsidRPr="00D97515">
        <w:t>The word “business” is defined in s 195</w:t>
      </w:r>
      <w:r w:rsidR="00E136C5">
        <w:t>‑</w:t>
      </w:r>
      <w:r w:rsidRPr="00D97515">
        <w:t xml:space="preserve">1 of the </w:t>
      </w:r>
      <w:r w:rsidRPr="009A01C9">
        <w:rPr>
          <w:i/>
        </w:rPr>
        <w:t>GST Act</w:t>
      </w:r>
      <w:r w:rsidRPr="00D97515">
        <w:t xml:space="preserve"> as including “any profession, trade, employment, vocation or calling but does not include occupation as an employee”.  As</w:t>
      </w:r>
      <w:r w:rsidR="00E359FE">
        <w:t> </w:t>
      </w:r>
      <w:r w:rsidRPr="00D97515">
        <w:t xml:space="preserve">Edmonds J said in </w:t>
      </w:r>
      <w:r w:rsidRPr="00D97515">
        <w:rPr>
          <w:i/>
        </w:rPr>
        <w:t xml:space="preserve">Professional Admin Service Centres </w:t>
      </w:r>
      <w:r w:rsidRPr="00D97515">
        <w:t xml:space="preserve">at </w:t>
      </w:r>
      <w:r w:rsidR="00513236">
        <w:t xml:space="preserve">453 </w:t>
      </w:r>
      <w:r w:rsidRPr="00D97515">
        <w:t>[39]:</w:t>
      </w:r>
    </w:p>
    <w:p w14:paraId="58A4C3BD" w14:textId="04E9DD36" w:rsidR="00C108ED" w:rsidRPr="00D97515" w:rsidRDefault="00C108ED" w:rsidP="00C108ED">
      <w:pPr>
        <w:pStyle w:val="Quote1"/>
      </w:pPr>
      <w:r w:rsidRPr="00D97515">
        <w:t>Australian income tax law jurisprudence emphasises the existence of a profit</w:t>
      </w:r>
      <w:r w:rsidR="00E136C5">
        <w:t>‑</w:t>
      </w:r>
      <w:r w:rsidRPr="00D97515">
        <w:t>making purpose, repetition and regularity, the conduct of activities using business</w:t>
      </w:r>
      <w:r w:rsidR="00E136C5">
        <w:t>‑</w:t>
      </w:r>
      <w:r w:rsidRPr="00D97515">
        <w:t>like methods, the volume of activity and the existence of a significant commercial purpose as relevant indicia to a finding that the activity or activities constitute a business.</w:t>
      </w:r>
    </w:p>
    <w:p w14:paraId="43F61AE0" w14:textId="45F0A10F" w:rsidR="00C108ED" w:rsidRPr="00780E12" w:rsidRDefault="00C108ED" w:rsidP="00425761">
      <w:pPr>
        <w:pStyle w:val="ParaNumbering"/>
      </w:pPr>
      <w:r w:rsidRPr="00780E12">
        <w:t>Section 9</w:t>
      </w:r>
      <w:r w:rsidR="00E136C5" w:rsidRPr="00780E12">
        <w:t>‑</w:t>
      </w:r>
      <w:proofErr w:type="gramStart"/>
      <w:r w:rsidRPr="00780E12">
        <w:t>20(</w:t>
      </w:r>
      <w:proofErr w:type="gramEnd"/>
      <w:r w:rsidRPr="00780E12">
        <w:t xml:space="preserve">1)(b) extends the concept of an “enterprise” beyond a business to include an </w:t>
      </w:r>
      <w:r w:rsidRPr="005C759C">
        <w:t xml:space="preserve">adventure or concern in the nature of trade.  The entry into an adventure in the nature of trade imports an element of commerciality, involving a consideration of the context in which the transaction was entered into and the exercise of business skill and judgment, which will usually include a consideration of the benefits of the transaction to the taxpayer: </w:t>
      </w:r>
      <w:r w:rsidR="00780E12" w:rsidRPr="005C759C">
        <w:t xml:space="preserve">See, </w:t>
      </w:r>
      <w:proofErr w:type="spellStart"/>
      <w:r w:rsidR="00780E12" w:rsidRPr="005C759C">
        <w:t>eg</w:t>
      </w:r>
      <w:proofErr w:type="spellEnd"/>
      <w:r w:rsidR="00780E12" w:rsidRPr="005C759C">
        <w:t xml:space="preserve">, </w:t>
      </w:r>
      <w:r w:rsidR="00A41A50" w:rsidRPr="005C759C">
        <w:rPr>
          <w:i/>
        </w:rPr>
        <w:t>Federal Commissioner of Taxation v Visy Industries USA Pty Ltd</w:t>
      </w:r>
      <w:r w:rsidR="00A41A50" w:rsidRPr="005C759C">
        <w:t xml:space="preserve"> [</w:t>
      </w:r>
      <w:r w:rsidR="000E227A">
        <w:t>2012] FCAFC 106; (2012) 205 FCR </w:t>
      </w:r>
      <w:r w:rsidR="00A41A50" w:rsidRPr="005C759C">
        <w:t>317</w:t>
      </w:r>
      <w:r w:rsidRPr="005C759C">
        <w:t xml:space="preserve"> </w:t>
      </w:r>
      <w:r w:rsidR="00A41A50" w:rsidRPr="005C759C">
        <w:t>(</w:t>
      </w:r>
      <w:r w:rsidRPr="00206643">
        <w:rPr>
          <w:b/>
          <w:i/>
        </w:rPr>
        <w:t>Visy USA</w:t>
      </w:r>
      <w:r w:rsidR="00A41A50" w:rsidRPr="00780E12">
        <w:t>)</w:t>
      </w:r>
      <w:r w:rsidRPr="005C759C">
        <w:rPr>
          <w:i/>
        </w:rPr>
        <w:t>.</w:t>
      </w:r>
      <w:r w:rsidRPr="00780E12">
        <w:t xml:space="preserve"> </w:t>
      </w:r>
      <w:r w:rsidR="001F083E" w:rsidRPr="00780E12">
        <w:t xml:space="preserve"> </w:t>
      </w:r>
      <w:r w:rsidRPr="00780E12">
        <w:t>A</w:t>
      </w:r>
      <w:r w:rsidRPr="005C759C">
        <w:rPr>
          <w:i/>
        </w:rPr>
        <w:t xml:space="preserve"> </w:t>
      </w:r>
      <w:r w:rsidRPr="00D45C94">
        <w:t>commercial venture in the nature of trade implies that it be entered into for a commercial purpose, including the purpose of profit</w:t>
      </w:r>
      <w:r w:rsidR="00E136C5" w:rsidRPr="005C759C">
        <w:t>‑</w:t>
      </w:r>
      <w:r w:rsidRPr="005C759C">
        <w:t xml:space="preserve">making: </w:t>
      </w:r>
      <w:r w:rsidRPr="005C759C">
        <w:rPr>
          <w:i/>
        </w:rPr>
        <w:t xml:space="preserve">Professional Admin Service Centres </w:t>
      </w:r>
      <w:r w:rsidRPr="005C759C">
        <w:t xml:space="preserve">at </w:t>
      </w:r>
      <w:r w:rsidR="00780E12">
        <w:t xml:space="preserve">453 </w:t>
      </w:r>
      <w:r w:rsidRPr="00780E12">
        <w:t xml:space="preserve">[39] </w:t>
      </w:r>
      <w:r w:rsidR="00A41124" w:rsidRPr="00780E12">
        <w:t>(</w:t>
      </w:r>
      <w:r w:rsidR="00513236" w:rsidRPr="00780E12">
        <w:t>Edmonds J</w:t>
      </w:r>
      <w:r w:rsidR="00A41124" w:rsidRPr="00780E12">
        <w:t>)</w:t>
      </w:r>
      <w:r w:rsidR="00266F66">
        <w:t>,</w:t>
      </w:r>
      <w:r w:rsidR="00A41124" w:rsidRPr="00780E12">
        <w:t xml:space="preserve"> </w:t>
      </w:r>
      <w:r w:rsidRPr="00780E12">
        <w:t>citing</w:t>
      </w:r>
      <w:r w:rsidRPr="005C759C">
        <w:rPr>
          <w:i/>
        </w:rPr>
        <w:t xml:space="preserve"> Edwards (Inspector of Taxes) v </w:t>
      </w:r>
      <w:proofErr w:type="spellStart"/>
      <w:r w:rsidRPr="005C759C">
        <w:rPr>
          <w:i/>
        </w:rPr>
        <w:t>Barnstow</w:t>
      </w:r>
      <w:proofErr w:type="spellEnd"/>
      <w:r w:rsidRPr="005C759C">
        <w:rPr>
          <w:i/>
        </w:rPr>
        <w:t xml:space="preserve"> </w:t>
      </w:r>
      <w:r w:rsidRPr="00780E12">
        <w:t xml:space="preserve">[1956] AC 14; </w:t>
      </w:r>
      <w:r w:rsidRPr="005C759C">
        <w:rPr>
          <w:i/>
        </w:rPr>
        <w:t xml:space="preserve">Commissioner of Taxation v Myer Emporium Ltd </w:t>
      </w:r>
      <w:r w:rsidRPr="00266F66">
        <w:t>(1987) 163 CLR 199</w:t>
      </w:r>
      <w:r w:rsidR="00266F66">
        <w:t xml:space="preserve"> and</w:t>
      </w:r>
      <w:r w:rsidRPr="00266F66">
        <w:t xml:space="preserve"> </w:t>
      </w:r>
      <w:proofErr w:type="spellStart"/>
      <w:r w:rsidR="000508DF">
        <w:rPr>
          <w:i/>
        </w:rPr>
        <w:lastRenderedPageBreak/>
        <w:t>Thiel</w:t>
      </w:r>
      <w:proofErr w:type="spellEnd"/>
      <w:r w:rsidR="000508DF">
        <w:rPr>
          <w:i/>
        </w:rPr>
        <w:t> </w:t>
      </w:r>
      <w:r w:rsidRPr="005C759C">
        <w:rPr>
          <w:i/>
        </w:rPr>
        <w:t xml:space="preserve">v Federal Commissioner of Taxation </w:t>
      </w:r>
      <w:r w:rsidRPr="00D45C94">
        <w:t>(1990) 171 CLR 338 at 344–</w:t>
      </w:r>
      <w:r w:rsidRPr="005C759C">
        <w:t xml:space="preserve">5 </w:t>
      </w:r>
      <w:r w:rsidR="00A41124" w:rsidRPr="005C759C">
        <w:t>(</w:t>
      </w:r>
      <w:r w:rsidRPr="005C759C">
        <w:t xml:space="preserve">Mason CJ, Brennan and </w:t>
      </w:r>
      <w:proofErr w:type="spellStart"/>
      <w:r w:rsidRPr="005C759C">
        <w:t>Gaudron</w:t>
      </w:r>
      <w:proofErr w:type="spellEnd"/>
      <w:r w:rsidRPr="005C759C">
        <w:t> JJ</w:t>
      </w:r>
      <w:r w:rsidR="00A41124" w:rsidRPr="005C759C">
        <w:t>),</w:t>
      </w:r>
      <w:r w:rsidRPr="005C759C">
        <w:t xml:space="preserve"> 351–2 </w:t>
      </w:r>
      <w:r w:rsidR="00A41124" w:rsidRPr="005C759C">
        <w:t>(</w:t>
      </w:r>
      <w:r w:rsidRPr="005C759C">
        <w:t>Dawson</w:t>
      </w:r>
      <w:r w:rsidR="00A41124" w:rsidRPr="005C759C">
        <w:t> </w:t>
      </w:r>
      <w:r w:rsidRPr="005C759C">
        <w:t>J</w:t>
      </w:r>
      <w:r w:rsidR="00A41124" w:rsidRPr="005C759C">
        <w:t>),</w:t>
      </w:r>
      <w:r w:rsidRPr="005C759C">
        <w:t xml:space="preserve"> 360 </w:t>
      </w:r>
      <w:r w:rsidR="00A41124" w:rsidRPr="005C759C">
        <w:t>(</w:t>
      </w:r>
      <w:r w:rsidRPr="005C759C">
        <w:t>McHugh J</w:t>
      </w:r>
      <w:r w:rsidR="00A41124" w:rsidRPr="005C759C">
        <w:t>)</w:t>
      </w:r>
      <w:r w:rsidRPr="005C759C">
        <w:t>.</w:t>
      </w:r>
    </w:p>
    <w:p w14:paraId="17915081" w14:textId="6587D10F" w:rsidR="00F507D7" w:rsidRDefault="002422B6" w:rsidP="005C759C">
      <w:pPr>
        <w:pStyle w:val="ParaNumbering"/>
      </w:pPr>
      <w:r w:rsidRPr="00D97515">
        <w:t xml:space="preserve">The </w:t>
      </w:r>
      <w:r w:rsidR="00C108ED" w:rsidRPr="00D97515">
        <w:t xml:space="preserve">fact that the outcome of a particular activity may be dependent, in part, on chance does not negate a business activity being carried on: </w:t>
      </w:r>
      <w:r w:rsidR="00C108ED" w:rsidRPr="00F63E11">
        <w:rPr>
          <w:i/>
        </w:rPr>
        <w:t>Visy USA</w:t>
      </w:r>
      <w:r w:rsidR="00C108ED" w:rsidRPr="00F63E11">
        <w:t xml:space="preserve"> </w:t>
      </w:r>
      <w:r w:rsidR="00C108ED" w:rsidRPr="00D97515">
        <w:t xml:space="preserve">at </w:t>
      </w:r>
      <w:r w:rsidR="00F63E11">
        <w:t xml:space="preserve">333 </w:t>
      </w:r>
      <w:r w:rsidR="00C108ED" w:rsidRPr="00D97515">
        <w:t>[58]</w:t>
      </w:r>
      <w:r w:rsidR="00F507D7">
        <w:t xml:space="preserve"> (</w:t>
      </w:r>
      <w:r w:rsidR="00F63E11" w:rsidRPr="00F63E11">
        <w:t>Edmonds, Greenwood and Robertson JJ</w:t>
      </w:r>
      <w:r w:rsidR="00F507D7">
        <w:t>)</w:t>
      </w:r>
      <w:r w:rsidR="00C108ED" w:rsidRPr="00D97515">
        <w:t xml:space="preserve">.  A transaction may have the character of an isolated venture in the nature of trade notwithstanding that a party to the contract does not know at the time of entering into the contract that the terms of the contract will ultimately be to that party’s benefit.  As the Full Court said in </w:t>
      </w:r>
      <w:r w:rsidR="00C108ED" w:rsidRPr="00D97515">
        <w:rPr>
          <w:i/>
        </w:rPr>
        <w:t xml:space="preserve">Visy USA </w:t>
      </w:r>
      <w:r w:rsidR="00C108ED" w:rsidRPr="00D97515">
        <w:t xml:space="preserve">at </w:t>
      </w:r>
      <w:r w:rsidR="00365244">
        <w:t xml:space="preserve">332 </w:t>
      </w:r>
      <w:r w:rsidR="00C108ED" w:rsidRPr="00D97515">
        <w:t>[51]</w:t>
      </w:r>
      <w:r w:rsidR="005C759C">
        <w:t xml:space="preserve"> </w:t>
      </w:r>
      <w:r w:rsidR="005C759C" w:rsidRPr="005C759C">
        <w:t>(Edmonds, Greenwood and Robertson JJ)</w:t>
      </w:r>
      <w:r w:rsidR="00C108ED" w:rsidRPr="00D97515">
        <w:t>:</w:t>
      </w:r>
    </w:p>
    <w:p w14:paraId="5371EED2" w14:textId="479C5E9A" w:rsidR="00C108ED" w:rsidRPr="00D97515" w:rsidRDefault="002422B6" w:rsidP="003A3B4C">
      <w:pPr>
        <w:pStyle w:val="Quote1"/>
      </w:pPr>
      <w:r w:rsidRPr="00D97515">
        <w:t>[</w:t>
      </w:r>
      <w:r w:rsidR="00266F66">
        <w:t>T]here will be many cases where a party to a contract does not know, at the time of entering into the contract, whether the terms of the contract will ultimately be to its commercial advantage. That will not impede a conclusion that the contract, from that party’s point of view, was a commercial transaction to enter into or, if it be the case, that the party entered into the contract with a not insignificant purpose of profit‑making, provided the terms of the contract accommodate the potentiality for realisation of profit if circumstances contemplated by the contract eventuate; then, while the contract might be described, from that party’s point of view, as many other things, it cannot be described as not commercial.</w:t>
      </w:r>
    </w:p>
    <w:p w14:paraId="44390C5D" w14:textId="77FA58BE" w:rsidR="00C108ED" w:rsidRPr="00D97515" w:rsidRDefault="002422B6" w:rsidP="00C108ED">
      <w:pPr>
        <w:pStyle w:val="ParaNumbering"/>
      </w:pPr>
      <w:r w:rsidRPr="00D97515">
        <w:t xml:space="preserve">However, </w:t>
      </w:r>
      <w:r w:rsidR="00C108ED" w:rsidRPr="00D97515">
        <w:t>it is difficult to see how an isolated activity that does not form part of a wider business can constitute an adventure or concern in the nature of trade if the potential for profit is so remote as to be fanciful.  Although s 9</w:t>
      </w:r>
      <w:r w:rsidR="00E136C5">
        <w:t>‑</w:t>
      </w:r>
      <w:proofErr w:type="gramStart"/>
      <w:r w:rsidR="00C108ED" w:rsidRPr="00D97515">
        <w:t>20(</w:t>
      </w:r>
      <w:proofErr w:type="gramEnd"/>
      <w:r w:rsidR="00C108ED" w:rsidRPr="00D97515">
        <w:t>2) excludes activities carried on by individuals or partnerships without a reasonable expectation of profit or gain from constituting an enterprise, it is difficult to see how the concept of an adventure or concern in the nature of trade extends to an isolated transaction that has no prospect of profit, irrespective of whether the activity is carried on by an individual or corporate trustee.</w:t>
      </w:r>
    </w:p>
    <w:p w14:paraId="5B9C2553" w14:textId="0515DD2E" w:rsidR="00C108ED" w:rsidRPr="00D97515" w:rsidRDefault="00C108ED" w:rsidP="00C108ED">
      <w:pPr>
        <w:pStyle w:val="ParaNumbering"/>
        <w:rPr>
          <w:szCs w:val="24"/>
        </w:rPr>
      </w:pPr>
      <w:r w:rsidRPr="00D97515">
        <w:rPr>
          <w:szCs w:val="24"/>
        </w:rPr>
        <w:t xml:space="preserve">As Edmonds J recognised in </w:t>
      </w:r>
      <w:r w:rsidRPr="00D97515">
        <w:rPr>
          <w:i/>
          <w:szCs w:val="24"/>
        </w:rPr>
        <w:t xml:space="preserve">Professional Admin Service Centres </w:t>
      </w:r>
      <w:r w:rsidRPr="00D97515">
        <w:rPr>
          <w:szCs w:val="24"/>
        </w:rPr>
        <w:t xml:space="preserve">at </w:t>
      </w:r>
      <w:r w:rsidR="00CB6A0D">
        <w:rPr>
          <w:szCs w:val="24"/>
        </w:rPr>
        <w:t xml:space="preserve">453–4 </w:t>
      </w:r>
      <w:r w:rsidRPr="00D97515">
        <w:rPr>
          <w:szCs w:val="24"/>
        </w:rPr>
        <w:t xml:space="preserve">[40], the practical consequence of the statutory framework is that the </w:t>
      </w:r>
      <w:r w:rsidR="00C948FC">
        <w:rPr>
          <w:szCs w:val="24"/>
        </w:rPr>
        <w:t>Applicant</w:t>
      </w:r>
      <w:r w:rsidRPr="00D97515">
        <w:rPr>
          <w:szCs w:val="24"/>
        </w:rPr>
        <w:t xml:space="preserve"> will only be entitled to an input tax credit in respect of its payment of invoices for the provision of legal services if those services were acquired by the </w:t>
      </w:r>
      <w:r w:rsidR="00C948FC">
        <w:rPr>
          <w:szCs w:val="24"/>
        </w:rPr>
        <w:t>Applicant</w:t>
      </w:r>
      <w:r w:rsidRPr="00D97515">
        <w:rPr>
          <w:szCs w:val="24"/>
        </w:rPr>
        <w:t xml:space="preserve"> by way of taxable supplies and were acquired by the </w:t>
      </w:r>
      <w:r w:rsidR="00C948FC">
        <w:rPr>
          <w:szCs w:val="24"/>
        </w:rPr>
        <w:t>Applicant</w:t>
      </w:r>
      <w:r w:rsidRPr="00D97515">
        <w:rPr>
          <w:szCs w:val="24"/>
        </w:rPr>
        <w:t xml:space="preserve"> in carrying on an enterprise.  The Commissioner contends that the </w:t>
      </w:r>
      <w:r w:rsidR="00C948FC">
        <w:rPr>
          <w:szCs w:val="24"/>
        </w:rPr>
        <w:t>Applicant</w:t>
      </w:r>
      <w:r w:rsidRPr="00D97515">
        <w:rPr>
          <w:szCs w:val="24"/>
        </w:rPr>
        <w:t xml:space="preserve"> has not established either requirement and is therefore not entitled to the input tax credits claimed; but</w:t>
      </w:r>
      <w:r w:rsidR="00A226B6">
        <w:rPr>
          <w:szCs w:val="24"/>
        </w:rPr>
        <w:t>,</w:t>
      </w:r>
      <w:r w:rsidRPr="00D97515">
        <w:rPr>
          <w:szCs w:val="24"/>
        </w:rPr>
        <w:t xml:space="preserve"> if it has established both, the acquisition relates to making supplies that would be input taxed, namely, financial supplies: s 40</w:t>
      </w:r>
      <w:r w:rsidR="00E136C5">
        <w:rPr>
          <w:szCs w:val="24"/>
        </w:rPr>
        <w:t>‑</w:t>
      </w:r>
      <w:r w:rsidRPr="00D97515">
        <w:rPr>
          <w:szCs w:val="24"/>
        </w:rPr>
        <w:t xml:space="preserve">5(1) of the </w:t>
      </w:r>
      <w:r w:rsidRPr="009A01C9">
        <w:rPr>
          <w:i/>
          <w:szCs w:val="24"/>
        </w:rPr>
        <w:t>GST Act</w:t>
      </w:r>
      <w:r w:rsidRPr="00D97515">
        <w:rPr>
          <w:szCs w:val="24"/>
        </w:rPr>
        <w:t>.</w:t>
      </w:r>
    </w:p>
    <w:p w14:paraId="1050BD51" w14:textId="77777777" w:rsidR="00C108ED" w:rsidRPr="00D97515" w:rsidRDefault="00C108ED" w:rsidP="00C108ED">
      <w:pPr>
        <w:pStyle w:val="Heading1"/>
        <w:rPr>
          <w:caps w:val="0"/>
        </w:rPr>
      </w:pPr>
      <w:r w:rsidRPr="00D97515">
        <w:rPr>
          <w:caps w:val="0"/>
        </w:rPr>
        <w:lastRenderedPageBreak/>
        <w:t>ANALYSIS OF ISSUES</w:t>
      </w:r>
    </w:p>
    <w:p w14:paraId="047B8FF1" w14:textId="769C9AD5" w:rsidR="00C108ED" w:rsidRDefault="003F5176" w:rsidP="003A3B4C">
      <w:pPr>
        <w:pStyle w:val="ParaNumbering"/>
      </w:pPr>
      <w:r>
        <w:t>The central issue in this proceeding is w</w:t>
      </w:r>
      <w:r w:rsidR="00C108ED" w:rsidRPr="00D97515">
        <w:t xml:space="preserve">hether the </w:t>
      </w:r>
      <w:r w:rsidR="00C948FC">
        <w:t>Applicant</w:t>
      </w:r>
      <w:r w:rsidR="00C108ED" w:rsidRPr="00D97515">
        <w:t xml:space="preserve"> is entitled to input tax credits in respect of its payment of invoices for the provision of legal and other professional services</w:t>
      </w:r>
      <w:r>
        <w:t xml:space="preserve">.  The resolution of this issue involves </w:t>
      </w:r>
      <w:r w:rsidR="00EF689D">
        <w:t>the determination of</w:t>
      </w:r>
      <w:r>
        <w:t xml:space="preserve"> two sub‑</w:t>
      </w:r>
      <w:r w:rsidR="00EF689D">
        <w:t>issues:</w:t>
      </w:r>
    </w:p>
    <w:p w14:paraId="59F9A71C" w14:textId="77777777" w:rsidR="000D1F9A" w:rsidRDefault="003F5176" w:rsidP="000D1F9A">
      <w:pPr>
        <w:pStyle w:val="ListNo1alt"/>
        <w:keepNext/>
        <w:keepLines/>
        <w:numPr>
          <w:ilvl w:val="0"/>
          <w:numId w:val="35"/>
        </w:numPr>
      </w:pPr>
      <w:r>
        <w:t xml:space="preserve">whether the </w:t>
      </w:r>
      <w:r w:rsidR="00C948FC">
        <w:t>Applicant</w:t>
      </w:r>
      <w:r>
        <w:t xml:space="preserve"> acq</w:t>
      </w:r>
      <w:r w:rsidRPr="003F5176">
        <w:t>uired anything by way of taxable supplies</w:t>
      </w:r>
      <w:r w:rsidR="000D1F9A">
        <w:t>; and</w:t>
      </w:r>
    </w:p>
    <w:p w14:paraId="57690F15" w14:textId="50760063" w:rsidR="003F5176" w:rsidRPr="00D97515" w:rsidRDefault="003F5176" w:rsidP="000D1F9A">
      <w:pPr>
        <w:pStyle w:val="ListNo1alt"/>
        <w:keepNext/>
        <w:keepLines/>
        <w:numPr>
          <w:ilvl w:val="0"/>
          <w:numId w:val="35"/>
        </w:numPr>
      </w:pPr>
      <w:proofErr w:type="gramStart"/>
      <w:r>
        <w:t>w</w:t>
      </w:r>
      <w:r w:rsidRPr="003F5176">
        <w:t>hether</w:t>
      </w:r>
      <w:proofErr w:type="gramEnd"/>
      <w:r w:rsidRPr="003F5176">
        <w:t xml:space="preserve"> the </w:t>
      </w:r>
      <w:r w:rsidR="00C948FC">
        <w:t>Applicant</w:t>
      </w:r>
      <w:r w:rsidRPr="003F5176">
        <w:t>’s acquisitions were made in carrying on an enterprise</w:t>
      </w:r>
      <w:r>
        <w:t>.</w:t>
      </w:r>
    </w:p>
    <w:p w14:paraId="134DB6EB" w14:textId="4B5F0C93" w:rsidR="00C108ED" w:rsidRPr="00D97515" w:rsidRDefault="00C108ED" w:rsidP="003A3B4C">
      <w:pPr>
        <w:pStyle w:val="Heading2"/>
      </w:pPr>
      <w:r w:rsidRPr="00D97515">
        <w:t xml:space="preserve">Whether the </w:t>
      </w:r>
      <w:r w:rsidR="00C948FC">
        <w:t>Applicant</w:t>
      </w:r>
      <w:r w:rsidRPr="00D97515">
        <w:t xml:space="preserve"> acquired anything by way of taxable supplies?</w:t>
      </w:r>
    </w:p>
    <w:p w14:paraId="276F08D9" w14:textId="3FD4B640" w:rsidR="00C108ED" w:rsidRPr="00D97515" w:rsidRDefault="00C108ED" w:rsidP="00C108ED">
      <w:pPr>
        <w:pStyle w:val="ParaNumbering"/>
      </w:pPr>
      <w:r w:rsidRPr="00D97515">
        <w:t xml:space="preserve">The </w:t>
      </w:r>
      <w:r w:rsidR="00C948FC">
        <w:t>Applicant</w:t>
      </w:r>
      <w:r w:rsidRPr="00D97515">
        <w:t xml:space="preserve"> is not entitled to an input tax credit notwithstanding its payment of the relevant invoices unless it made a creditable acquisition.  This requires the </w:t>
      </w:r>
      <w:r w:rsidR="00C948FC">
        <w:t>Applicant</w:t>
      </w:r>
      <w:r w:rsidRPr="00D97515">
        <w:t xml:space="preserve"> to have acquired services under a taxable supply from the advisors concerned.</w:t>
      </w:r>
    </w:p>
    <w:p w14:paraId="69B33E80" w14:textId="3E7189DD" w:rsidR="00C108ED" w:rsidRPr="00D97515" w:rsidRDefault="00C108ED" w:rsidP="00890E20">
      <w:pPr>
        <w:pStyle w:val="ParaNumbering"/>
      </w:pPr>
      <w:r w:rsidRPr="00D97515">
        <w:t xml:space="preserve">Under the </w:t>
      </w:r>
      <w:r w:rsidRPr="009A01C9">
        <w:rPr>
          <w:i/>
        </w:rPr>
        <w:t>GST Act</w:t>
      </w:r>
      <w:r w:rsidRPr="00D97515">
        <w:t xml:space="preserve">, one set of acts may constitute two or more different supplies of services and may give rise to two or more different acquisitions: </w:t>
      </w:r>
      <w:r w:rsidRPr="00D97515">
        <w:rPr>
          <w:i/>
        </w:rPr>
        <w:t xml:space="preserve">Secretary, </w:t>
      </w:r>
      <w:r w:rsidRPr="000B6BBC">
        <w:rPr>
          <w:b/>
          <w:i/>
        </w:rPr>
        <w:t xml:space="preserve">Department of Transport </w:t>
      </w:r>
      <w:r w:rsidRPr="00D97515">
        <w:rPr>
          <w:i/>
        </w:rPr>
        <w:t>(Vic) v Commissioner of Taxation</w:t>
      </w:r>
      <w:r w:rsidR="00890E20">
        <w:t xml:space="preserve"> </w:t>
      </w:r>
      <w:r w:rsidR="00890E20" w:rsidRPr="00890E20">
        <w:t>[2009] FCA 1209</w:t>
      </w:r>
      <w:r w:rsidR="00890E20">
        <w:t>;</w:t>
      </w:r>
      <w:r w:rsidRPr="00D97515">
        <w:rPr>
          <w:i/>
        </w:rPr>
        <w:t xml:space="preserve"> </w:t>
      </w:r>
      <w:r w:rsidRPr="00D97515">
        <w:t>(2009) 261 ALR 39</w:t>
      </w:r>
      <w:r w:rsidR="000B2863">
        <w:t xml:space="preserve"> at</w:t>
      </w:r>
      <w:r w:rsidR="00890E20">
        <w:t xml:space="preserve"> 48–9 [42(6)]</w:t>
      </w:r>
      <w:r w:rsidR="006A06AF">
        <w:t xml:space="preserve"> (Gordon J)</w:t>
      </w:r>
      <w:r w:rsidRPr="00D97515">
        <w:t xml:space="preserve">; on appeal, </w:t>
      </w:r>
      <w:r w:rsidR="00890E20" w:rsidRPr="00890E20">
        <w:t>[2010] FCAFC 84</w:t>
      </w:r>
      <w:r w:rsidR="00890E20">
        <w:t>;</w:t>
      </w:r>
      <w:r w:rsidR="00890E20" w:rsidRPr="00890E20">
        <w:t xml:space="preserve"> </w:t>
      </w:r>
      <w:r w:rsidRPr="00D97515">
        <w:t>(2010) 188 FCR 167</w:t>
      </w:r>
      <w:r w:rsidR="00EB1525">
        <w:t xml:space="preserve"> (</w:t>
      </w:r>
      <w:r w:rsidR="00EB1525" w:rsidRPr="003A3B4C">
        <w:rPr>
          <w:b/>
          <w:i/>
        </w:rPr>
        <w:t>Department of Transport FC</w:t>
      </w:r>
      <w:r w:rsidR="00EB1525">
        <w:t>)</w:t>
      </w:r>
      <w:r w:rsidRPr="00D97515">
        <w:t xml:space="preserve">. </w:t>
      </w:r>
      <w:r w:rsidR="00772015">
        <w:t xml:space="preserve"> </w:t>
      </w:r>
      <w:r w:rsidR="0098557F">
        <w:t>Those proceedings</w:t>
      </w:r>
      <w:r w:rsidRPr="00D97515">
        <w:t xml:space="preserve"> concerned the supply of transport services by taxi </w:t>
      </w:r>
      <w:r w:rsidR="0098557F">
        <w:t xml:space="preserve">cab </w:t>
      </w:r>
      <w:r w:rsidRPr="00D97515">
        <w:t xml:space="preserve">operators to passengers </w:t>
      </w:r>
      <w:r w:rsidR="00573241">
        <w:t xml:space="preserve">with </w:t>
      </w:r>
      <w:r w:rsidR="00772015">
        <w:t xml:space="preserve">disability </w:t>
      </w:r>
      <w:r w:rsidRPr="00D97515">
        <w:t>under</w:t>
      </w:r>
      <w:r w:rsidR="002422B6" w:rsidRPr="003A3B4C">
        <w:rPr>
          <w:shd w:val="clear" w:color="auto" w:fill="FFFFFF"/>
        </w:rPr>
        <w:t xml:space="preserve"> </w:t>
      </w:r>
      <w:r w:rsidRPr="003A3B4C">
        <w:rPr>
          <w:shd w:val="clear" w:color="auto" w:fill="FFFFFF"/>
        </w:rPr>
        <w:t xml:space="preserve">Victoria’s </w:t>
      </w:r>
      <w:proofErr w:type="spellStart"/>
      <w:r w:rsidRPr="003A3B4C">
        <w:rPr>
          <w:shd w:val="clear" w:color="auto" w:fill="FFFFFF"/>
        </w:rPr>
        <w:t>Multi Purpose</w:t>
      </w:r>
      <w:proofErr w:type="spellEnd"/>
      <w:r w:rsidRPr="003A3B4C">
        <w:rPr>
          <w:shd w:val="clear" w:color="auto" w:fill="FFFFFF"/>
        </w:rPr>
        <w:t xml:space="preserve"> Taxi Program (</w:t>
      </w:r>
      <w:r w:rsidRPr="003A3B4C">
        <w:rPr>
          <w:b/>
          <w:shd w:val="clear" w:color="auto" w:fill="FFFFFF"/>
        </w:rPr>
        <w:t>MPTP</w:t>
      </w:r>
      <w:r w:rsidRPr="003A3B4C">
        <w:rPr>
          <w:shd w:val="clear" w:color="auto" w:fill="FFFFFF"/>
        </w:rPr>
        <w:t>).</w:t>
      </w:r>
    </w:p>
    <w:p w14:paraId="1C71B441" w14:textId="688B8B7F" w:rsidR="00C108ED" w:rsidRPr="00D97515" w:rsidRDefault="00C108ED" w:rsidP="006A06AF">
      <w:pPr>
        <w:pStyle w:val="ParaNumbering"/>
      </w:pPr>
      <w:r w:rsidRPr="00D97515">
        <w:t>On appeal</w:t>
      </w:r>
      <w:r w:rsidR="001D5EB8">
        <w:t xml:space="preserve"> in </w:t>
      </w:r>
      <w:r w:rsidR="001D5EB8" w:rsidRPr="003A3B4C">
        <w:rPr>
          <w:i/>
        </w:rPr>
        <w:t>Department of Transport FC</w:t>
      </w:r>
      <w:r w:rsidRPr="00D97515">
        <w:t>, in reaching the conclusion that s 11</w:t>
      </w:r>
      <w:r w:rsidR="00E136C5">
        <w:t>‑</w:t>
      </w:r>
      <w:r w:rsidRPr="00D97515">
        <w:t xml:space="preserve">5(a) was satisfied and that the </w:t>
      </w:r>
      <w:r w:rsidR="00A3056B" w:rsidRPr="000B6BBC">
        <w:rPr>
          <w:b/>
        </w:rPr>
        <w:t>Department</w:t>
      </w:r>
      <w:r w:rsidR="002422B6" w:rsidRPr="00D97515">
        <w:t xml:space="preserve"> of Transport </w:t>
      </w:r>
      <w:r w:rsidRPr="00D97515">
        <w:t xml:space="preserve">had made an acquisition, the majority </w:t>
      </w:r>
      <w:r w:rsidR="006A06AF">
        <w:t>(</w:t>
      </w:r>
      <w:r w:rsidR="006A06AF" w:rsidRPr="006A06AF">
        <w:t xml:space="preserve">Kenny and </w:t>
      </w:r>
      <w:proofErr w:type="spellStart"/>
      <w:r w:rsidR="006A06AF" w:rsidRPr="006A06AF">
        <w:t>Dodds-Streeton</w:t>
      </w:r>
      <w:proofErr w:type="spellEnd"/>
      <w:r w:rsidR="006A06AF" w:rsidRPr="006A06AF">
        <w:t xml:space="preserve"> JJ</w:t>
      </w:r>
      <w:r w:rsidR="006A06AF">
        <w:t xml:space="preserve">) </w:t>
      </w:r>
      <w:r w:rsidRPr="00D97515">
        <w:t xml:space="preserve">said at </w:t>
      </w:r>
      <w:r w:rsidR="0098557F">
        <w:t xml:space="preserve">180 </w:t>
      </w:r>
      <w:r w:rsidRPr="00D97515">
        <w:t>[46]</w:t>
      </w:r>
      <w:r w:rsidR="00772015">
        <w:t>–</w:t>
      </w:r>
      <w:r w:rsidRPr="00D97515">
        <w:t>[47]</w:t>
      </w:r>
      <w:r w:rsidR="00772015">
        <w:t>:</w:t>
      </w:r>
    </w:p>
    <w:p w14:paraId="062481E7" w14:textId="338A8E45" w:rsidR="00C108ED" w:rsidRPr="00D97515" w:rsidRDefault="006A06AF" w:rsidP="0098557F">
      <w:pPr>
        <w:pStyle w:val="Quote1"/>
        <w:ind w:left="1440" w:hanging="703"/>
        <w:rPr>
          <w:lang w:eastAsia="en-AU"/>
        </w:rPr>
      </w:pPr>
      <w:r>
        <w:rPr>
          <w:lang w:eastAsia="en-AU"/>
        </w:rPr>
        <w:t>[46]</w:t>
      </w:r>
      <w:r>
        <w:rPr>
          <w:lang w:eastAsia="en-AU"/>
        </w:rPr>
        <w:tab/>
      </w:r>
      <w:r w:rsidR="00C108ED" w:rsidRPr="00D97515">
        <w:rPr>
          <w:lang w:eastAsia="en-AU"/>
        </w:rPr>
        <w:t xml:space="preserve">Once the trip became an MPTP trip, the MPTP Member was carried effectively at the request of the </w:t>
      </w:r>
      <w:r>
        <w:rPr>
          <w:lang w:eastAsia="en-AU"/>
        </w:rPr>
        <w:t>[</w:t>
      </w:r>
      <w:r w:rsidR="00C108ED" w:rsidRPr="00D97515">
        <w:rPr>
          <w:lang w:eastAsia="en-AU"/>
        </w:rPr>
        <w:t>D</w:t>
      </w:r>
      <w:r>
        <w:rPr>
          <w:lang w:eastAsia="en-AU"/>
        </w:rPr>
        <w:t>epartment]</w:t>
      </w:r>
      <w:r w:rsidR="00772015">
        <w:rPr>
          <w:lang w:eastAsia="en-AU"/>
        </w:rPr>
        <w:t>…</w:t>
      </w:r>
    </w:p>
    <w:p w14:paraId="0746DE36" w14:textId="22087406" w:rsidR="00C108ED" w:rsidRPr="00D97515" w:rsidRDefault="006A06AF" w:rsidP="0098557F">
      <w:pPr>
        <w:pStyle w:val="Quote1"/>
        <w:ind w:left="1440" w:hanging="703"/>
        <w:rPr>
          <w:lang w:eastAsia="en-AU"/>
        </w:rPr>
      </w:pPr>
      <w:r>
        <w:rPr>
          <w:lang w:eastAsia="en-AU"/>
        </w:rPr>
        <w:t>[47]</w:t>
      </w:r>
      <w:r>
        <w:rPr>
          <w:lang w:eastAsia="en-AU"/>
        </w:rPr>
        <w:tab/>
      </w:r>
      <w:r w:rsidR="00C108ED" w:rsidRPr="00D97515">
        <w:rPr>
          <w:lang w:eastAsia="en-AU"/>
        </w:rPr>
        <w:t xml:space="preserve">Once the trip became an MPTP trip, the </w:t>
      </w:r>
      <w:r>
        <w:rPr>
          <w:lang w:eastAsia="en-AU"/>
        </w:rPr>
        <w:t>[</w:t>
      </w:r>
      <w:r w:rsidR="00C108ED" w:rsidRPr="00D97515">
        <w:rPr>
          <w:lang w:eastAsia="en-AU"/>
        </w:rPr>
        <w:t>D</w:t>
      </w:r>
      <w:r>
        <w:rPr>
          <w:lang w:eastAsia="en-AU"/>
        </w:rPr>
        <w:t>epartment]</w:t>
      </w:r>
      <w:r w:rsidR="00C108ED" w:rsidRPr="00D97515">
        <w:rPr>
          <w:lang w:eastAsia="en-AU"/>
        </w:rPr>
        <w:t xml:space="preserve"> assumed liability to make a MPTP Payment. As Senior Counsel </w:t>
      </w:r>
      <w:r w:rsidR="002422B6" w:rsidRPr="00D97515">
        <w:rPr>
          <w:lang w:eastAsia="en-AU"/>
        </w:rPr>
        <w:t xml:space="preserve">for the </w:t>
      </w:r>
      <w:r>
        <w:rPr>
          <w:lang w:eastAsia="en-AU"/>
        </w:rPr>
        <w:t>[</w:t>
      </w:r>
      <w:r w:rsidR="00C108ED" w:rsidRPr="00D97515">
        <w:rPr>
          <w:lang w:eastAsia="en-AU"/>
        </w:rPr>
        <w:t>D</w:t>
      </w:r>
      <w:r>
        <w:rPr>
          <w:lang w:eastAsia="en-AU"/>
        </w:rPr>
        <w:t>epartment]</w:t>
      </w:r>
      <w:r w:rsidR="00C108ED" w:rsidRPr="00D97515">
        <w:rPr>
          <w:lang w:eastAsia="en-AU"/>
        </w:rPr>
        <w:t xml:space="preserve"> put it, every time a Member MPTP Card was inserted into the EFTPOS terminal and the trip authorised, it was as if the </w:t>
      </w:r>
      <w:r>
        <w:rPr>
          <w:lang w:eastAsia="en-AU"/>
        </w:rPr>
        <w:t>[</w:t>
      </w:r>
      <w:r w:rsidR="00C108ED" w:rsidRPr="00D97515">
        <w:rPr>
          <w:lang w:eastAsia="en-AU"/>
        </w:rPr>
        <w:t>D</w:t>
      </w:r>
      <w:r>
        <w:rPr>
          <w:lang w:eastAsia="en-AU"/>
        </w:rPr>
        <w:t>epartment]</w:t>
      </w:r>
      <w:r w:rsidR="00C108ED" w:rsidRPr="00D97515">
        <w:rPr>
          <w:lang w:eastAsia="en-AU"/>
        </w:rPr>
        <w:t xml:space="preserve"> was sitting in the taxi cab too, because the authorisation told the driver and the passenger that the </w:t>
      </w:r>
      <w:r>
        <w:rPr>
          <w:lang w:eastAsia="en-AU"/>
        </w:rPr>
        <w:t>[</w:t>
      </w:r>
      <w:r w:rsidR="00C108ED" w:rsidRPr="00D97515">
        <w:rPr>
          <w:lang w:eastAsia="en-AU"/>
        </w:rPr>
        <w:t>D</w:t>
      </w:r>
      <w:r>
        <w:rPr>
          <w:lang w:eastAsia="en-AU"/>
        </w:rPr>
        <w:t>epartment]</w:t>
      </w:r>
      <w:r w:rsidR="00C108ED" w:rsidRPr="00D97515">
        <w:rPr>
          <w:lang w:eastAsia="en-AU"/>
        </w:rPr>
        <w:t xml:space="preserve"> would pay the MPTP component of the fare</w:t>
      </w:r>
      <w:r w:rsidR="00772015">
        <w:rPr>
          <w:lang w:eastAsia="en-AU"/>
        </w:rPr>
        <w:t xml:space="preserve"> </w:t>
      </w:r>
      <w:r w:rsidR="00C108ED" w:rsidRPr="00D97515">
        <w:rPr>
          <w:lang w:eastAsia="en-AU"/>
        </w:rPr>
        <w:t xml:space="preserve">… In this circumstance, the </w:t>
      </w:r>
      <w:r>
        <w:rPr>
          <w:lang w:eastAsia="en-AU"/>
        </w:rPr>
        <w:t>[</w:t>
      </w:r>
      <w:r w:rsidR="00C108ED" w:rsidRPr="00D97515">
        <w:rPr>
          <w:lang w:eastAsia="en-AU"/>
        </w:rPr>
        <w:t>D</w:t>
      </w:r>
      <w:r>
        <w:rPr>
          <w:lang w:eastAsia="en-AU"/>
        </w:rPr>
        <w:t>epartment]</w:t>
      </w:r>
      <w:r w:rsidR="00C108ED" w:rsidRPr="00D97515">
        <w:rPr>
          <w:lang w:eastAsia="en-AU"/>
        </w:rPr>
        <w:t xml:space="preserve"> acquired from the taxi cab operator a service, being the transport of the MPTP Member, which the </w:t>
      </w:r>
      <w:r>
        <w:rPr>
          <w:lang w:eastAsia="en-AU"/>
        </w:rPr>
        <w:t>[</w:t>
      </w:r>
      <w:r w:rsidR="00C108ED" w:rsidRPr="00D97515">
        <w:rPr>
          <w:lang w:eastAsia="en-AU"/>
        </w:rPr>
        <w:t>D</w:t>
      </w:r>
      <w:r>
        <w:rPr>
          <w:lang w:eastAsia="en-AU"/>
        </w:rPr>
        <w:t>epartment]</w:t>
      </w:r>
      <w:r w:rsidR="00C108ED" w:rsidRPr="00D97515">
        <w:rPr>
          <w:lang w:eastAsia="en-AU"/>
        </w:rPr>
        <w:t xml:space="preserve"> sought when the Member MPTP Card authorised the trip as a MPTP trip.</w:t>
      </w:r>
    </w:p>
    <w:p w14:paraId="4E6BE6D7" w14:textId="6AA8DBC8" w:rsidR="00C108ED" w:rsidRPr="00D97515" w:rsidRDefault="00C108ED" w:rsidP="00C108ED">
      <w:pPr>
        <w:pStyle w:val="ParaNumbering"/>
      </w:pPr>
      <w:r w:rsidRPr="006E1966">
        <w:t>In considering whether there had been a supply made to the D</w:t>
      </w:r>
      <w:r w:rsidR="00963070">
        <w:t>epartment</w:t>
      </w:r>
      <w:r w:rsidRPr="006E1966">
        <w:t xml:space="preserve"> for the purposes</w:t>
      </w:r>
      <w:r w:rsidR="000B6BBC">
        <w:t xml:space="preserve"> of s </w:t>
      </w:r>
      <w:r w:rsidRPr="006E1966">
        <w:t>11</w:t>
      </w:r>
      <w:r w:rsidR="00E136C5" w:rsidRPr="006E1966">
        <w:t>‑</w:t>
      </w:r>
      <w:r w:rsidRPr="006E1966">
        <w:t xml:space="preserve">5(b), their Honours explained </w:t>
      </w:r>
      <w:r w:rsidR="002422B6" w:rsidRPr="006E1966">
        <w:t>(</w:t>
      </w:r>
      <w:r w:rsidRPr="006E1966">
        <w:t xml:space="preserve">at </w:t>
      </w:r>
      <w:r w:rsidR="00DF4647">
        <w:t xml:space="preserve">181–2 </w:t>
      </w:r>
      <w:r w:rsidRPr="006E1966">
        <w:t>[56]</w:t>
      </w:r>
      <w:r w:rsidR="002422B6" w:rsidRPr="006E1966">
        <w:t>)</w:t>
      </w:r>
      <w:r w:rsidRPr="006E1966">
        <w:t xml:space="preserve"> that the taxi </w:t>
      </w:r>
      <w:r w:rsidR="00425761">
        <w:t xml:space="preserve">cab </w:t>
      </w:r>
      <w:r w:rsidRPr="006E1966">
        <w:t xml:space="preserve">operator had made a taxable supply of transport of the MPTP </w:t>
      </w:r>
      <w:r w:rsidR="00425761">
        <w:t>Member</w:t>
      </w:r>
      <w:r w:rsidRPr="006E1966">
        <w:t xml:space="preserve"> to the </w:t>
      </w:r>
      <w:r w:rsidR="002422B6" w:rsidRPr="006E1966">
        <w:t>D</w:t>
      </w:r>
      <w:r w:rsidR="00963070">
        <w:t>epartment</w:t>
      </w:r>
      <w:r w:rsidRPr="006E1966">
        <w:t xml:space="preserve"> in addition to the supply of transport to the MPTP </w:t>
      </w:r>
      <w:r w:rsidR="00425761">
        <w:t>M</w:t>
      </w:r>
      <w:r w:rsidRPr="006E1966">
        <w:t xml:space="preserve">ember; firstly because the taxi </w:t>
      </w:r>
      <w:r w:rsidR="00425761">
        <w:t xml:space="preserve">cab </w:t>
      </w:r>
      <w:r w:rsidRPr="006E1966">
        <w:t xml:space="preserve">operator was effectively doing what </w:t>
      </w:r>
      <w:r w:rsidRPr="006E1966">
        <w:lastRenderedPageBreak/>
        <w:t xml:space="preserve">the </w:t>
      </w:r>
      <w:r w:rsidR="002422B6" w:rsidRPr="006E1966">
        <w:t>D</w:t>
      </w:r>
      <w:r w:rsidR="00963070">
        <w:t>epartment</w:t>
      </w:r>
      <w:r w:rsidRPr="006E1966">
        <w:t xml:space="preserve"> had asked him to do when the Member MPTP </w:t>
      </w:r>
      <w:r w:rsidR="00425761">
        <w:t>C</w:t>
      </w:r>
      <w:r w:rsidRPr="006E1966">
        <w:t xml:space="preserve">ard was validated and the MPTP trip was authorised, and secondly because the supply of the service of transporting the MPTP </w:t>
      </w:r>
      <w:r w:rsidR="00425761">
        <w:t>M</w:t>
      </w:r>
      <w:r w:rsidRPr="006E1966">
        <w:t xml:space="preserve">ember to the Department enabled the Department to fulfil its objects under the </w:t>
      </w:r>
      <w:r w:rsidRPr="006E1966">
        <w:rPr>
          <w:i/>
        </w:rPr>
        <w:t>Transport Act 1983</w:t>
      </w:r>
      <w:r w:rsidRPr="006E1966">
        <w:t xml:space="preserve"> (Vic) and to perform its functions.</w:t>
      </w:r>
    </w:p>
    <w:p w14:paraId="1C83A5B7" w14:textId="77E2C33C" w:rsidR="00C108ED" w:rsidRPr="00D97515" w:rsidRDefault="00C108ED" w:rsidP="00C108ED">
      <w:pPr>
        <w:pStyle w:val="ParaNumbering"/>
      </w:pPr>
      <w:r w:rsidRPr="008A45C1">
        <w:t xml:space="preserve">In </w:t>
      </w:r>
      <w:r w:rsidRPr="00D97515">
        <w:rPr>
          <w:i/>
        </w:rPr>
        <w:t xml:space="preserve">Professional Admin Service Centres, </w:t>
      </w:r>
      <w:r w:rsidRPr="00D97515">
        <w:t>the issue before Edmonds J was whether th</w:t>
      </w:r>
      <w:r w:rsidRPr="008A45C1">
        <w:rPr>
          <w:shd w:val="clear" w:color="auto" w:fill="FFFFFF"/>
        </w:rPr>
        <w:t xml:space="preserve">e applicant was entitled to input tax credits in respect of its payment of invoices for the provision of legal services in the defence of Mr </w:t>
      </w:r>
      <w:proofErr w:type="spellStart"/>
      <w:r w:rsidRPr="008A45C1">
        <w:rPr>
          <w:shd w:val="clear" w:color="auto" w:fill="FFFFFF"/>
        </w:rPr>
        <w:t>Felson’s</w:t>
      </w:r>
      <w:proofErr w:type="spellEnd"/>
      <w:r w:rsidRPr="008A45C1">
        <w:rPr>
          <w:shd w:val="clear" w:color="auto" w:fill="FFFFFF"/>
        </w:rPr>
        <w:t xml:space="preserve"> criminal proceedings.  Although it could not be doubted that the lawyers supplied legal services to Mr </w:t>
      </w:r>
      <w:proofErr w:type="spellStart"/>
      <w:r w:rsidRPr="008A45C1">
        <w:rPr>
          <w:shd w:val="clear" w:color="auto" w:fill="FFFFFF"/>
        </w:rPr>
        <w:t>Felson</w:t>
      </w:r>
      <w:proofErr w:type="spellEnd"/>
      <w:r w:rsidRPr="008A45C1">
        <w:rPr>
          <w:shd w:val="clear" w:color="auto" w:fill="FFFFFF"/>
        </w:rPr>
        <w:t xml:space="preserve"> and that he acquired those service</w:t>
      </w:r>
      <w:r w:rsidR="002422B6" w:rsidRPr="008A45C1">
        <w:rPr>
          <w:shd w:val="clear" w:color="auto" w:fill="FFFFFF"/>
        </w:rPr>
        <w:t xml:space="preserve">s under a taxable supply, </w:t>
      </w:r>
      <w:r w:rsidRPr="008A45C1">
        <w:rPr>
          <w:shd w:val="clear" w:color="auto" w:fill="FFFFFF"/>
        </w:rPr>
        <w:t>unless the applicant also acquired those services under a taxable supply from the lawyers concerned, the applicant was not entitled to an input tax credit</w:t>
      </w:r>
      <w:r w:rsidR="006E0035">
        <w:rPr>
          <w:shd w:val="clear" w:color="auto" w:fill="FFFFFF"/>
        </w:rPr>
        <w:t>,</w:t>
      </w:r>
      <w:r w:rsidRPr="008A45C1">
        <w:rPr>
          <w:shd w:val="clear" w:color="auto" w:fill="FFFFFF"/>
        </w:rPr>
        <w:t xml:space="preserve"> notwithstanding its payment of the relevant invoices.  The applicant’s entitlement to input tax credits thus required a conclusion that the lawyers in supplying legal services to Mr </w:t>
      </w:r>
      <w:proofErr w:type="spellStart"/>
      <w:r w:rsidRPr="008A45C1">
        <w:rPr>
          <w:shd w:val="clear" w:color="auto" w:fill="FFFFFF"/>
        </w:rPr>
        <w:t>Felson</w:t>
      </w:r>
      <w:proofErr w:type="spellEnd"/>
      <w:r w:rsidRPr="008A45C1">
        <w:rPr>
          <w:shd w:val="clear" w:color="auto" w:fill="FFFFFF"/>
        </w:rPr>
        <w:t xml:space="preserve"> also </w:t>
      </w:r>
      <w:r w:rsidR="00DF4647">
        <w:rPr>
          <w:shd w:val="clear" w:color="auto" w:fill="FFFFFF"/>
        </w:rPr>
        <w:t>made a supply to the applicant.</w:t>
      </w:r>
    </w:p>
    <w:p w14:paraId="01792EA2" w14:textId="4A032B91" w:rsidR="00C108ED" w:rsidRPr="00D97515" w:rsidRDefault="00C108ED" w:rsidP="00C108ED">
      <w:pPr>
        <w:pStyle w:val="ParaNumbering"/>
      </w:pPr>
      <w:r w:rsidRPr="00D97515">
        <w:t xml:space="preserve">In considering when a single set of acts might constitute two </w:t>
      </w:r>
      <w:r w:rsidR="004047A7">
        <w:t xml:space="preserve">or more </w:t>
      </w:r>
      <w:r w:rsidRPr="00D97515">
        <w:t xml:space="preserve">supplies, Edmonds J said </w:t>
      </w:r>
      <w:r w:rsidR="006E0035">
        <w:t>(</w:t>
      </w:r>
      <w:r w:rsidRPr="00D97515">
        <w:t xml:space="preserve">at </w:t>
      </w:r>
      <w:r w:rsidR="00DF4647">
        <w:t xml:space="preserve">454 </w:t>
      </w:r>
      <w:r w:rsidRPr="00D97515">
        <w:t>[43]</w:t>
      </w:r>
      <w:r w:rsidR="006E0035">
        <w:t>)</w:t>
      </w:r>
      <w:r w:rsidRPr="00D97515">
        <w:t>:</w:t>
      </w:r>
    </w:p>
    <w:p w14:paraId="20FEA577" w14:textId="40448C3E" w:rsidR="00C108ED" w:rsidRPr="00D97515" w:rsidRDefault="00C108ED" w:rsidP="002422B6">
      <w:pPr>
        <w:pStyle w:val="Quote1"/>
      </w:pPr>
      <w:r w:rsidRPr="00D97515">
        <w:t xml:space="preserve">It is not possible, indeed it would be dangerous, to generalise the circumstances when this might occur, but in the present context, it would at least require an arrangement between the applicant and the lawyers whereby the lawyers were engaged by the applicant to provide legal services to </w:t>
      </w:r>
      <w:r w:rsidR="004047A7">
        <w:t xml:space="preserve">Mr </w:t>
      </w:r>
      <w:proofErr w:type="spellStart"/>
      <w:r w:rsidR="004047A7">
        <w:t>Felson</w:t>
      </w:r>
      <w:proofErr w:type="spellEnd"/>
      <w:r w:rsidRPr="00D97515">
        <w:t xml:space="preserve"> and, by doing so, provided legal services to the applicant as well.  I have great difficulty in comprehending how this might occur although I hasten to add that my difficulty in this regard is not to be taken as concluding that it could not occur.</w:t>
      </w:r>
    </w:p>
    <w:p w14:paraId="641E8AF0" w14:textId="346D0F02" w:rsidR="00C108ED" w:rsidRPr="00D97515" w:rsidRDefault="00C108ED" w:rsidP="00C108ED">
      <w:pPr>
        <w:pStyle w:val="ParaNumbering"/>
      </w:pPr>
      <w:r w:rsidRPr="00D97515">
        <w:t xml:space="preserve">The terms of the </w:t>
      </w:r>
      <w:r w:rsidR="006E0035">
        <w:t>L</w:t>
      </w:r>
      <w:r w:rsidRPr="00D97515">
        <w:t xml:space="preserve">itigation </w:t>
      </w:r>
      <w:r w:rsidR="006E0035">
        <w:t>F</w:t>
      </w:r>
      <w:r w:rsidRPr="00D97515">
        <w:t xml:space="preserve">unding </w:t>
      </w:r>
      <w:r w:rsidR="006E0035">
        <w:t>A</w:t>
      </w:r>
      <w:r w:rsidRPr="00D97515">
        <w:t xml:space="preserve">greements here provide for the </w:t>
      </w:r>
      <w:r w:rsidR="00C948FC">
        <w:t>Applicant</w:t>
      </w:r>
      <w:r w:rsidRPr="00D97515">
        <w:t xml:space="preserve"> to pay </w:t>
      </w:r>
      <w:r w:rsidR="000B6BBC">
        <w:t>each</w:t>
      </w:r>
      <w:r w:rsidR="000B6BBC" w:rsidRPr="00D97515">
        <w:t xml:space="preserve"> </w:t>
      </w:r>
      <w:r w:rsidRPr="00D97515">
        <w:t xml:space="preserve">Beneficiary’s </w:t>
      </w:r>
      <w:r w:rsidR="000B6BBC">
        <w:t>L</w:t>
      </w:r>
      <w:r w:rsidRPr="00D97515">
        <w:t xml:space="preserve">itigation </w:t>
      </w:r>
      <w:r w:rsidR="000B6BBC">
        <w:t>C</w:t>
      </w:r>
      <w:r w:rsidRPr="00D97515">
        <w:t xml:space="preserve">osts but do not impose any obligation or otherwise provide for the </w:t>
      </w:r>
      <w:r w:rsidR="00C948FC">
        <w:t>Applicant</w:t>
      </w:r>
      <w:r w:rsidRPr="00D97515">
        <w:t xml:space="preserve"> to retain the advisors.  The contemporaneous evidence of any arrangement between the </w:t>
      </w:r>
      <w:r w:rsidR="00C948FC">
        <w:t>Applicant</w:t>
      </w:r>
      <w:r w:rsidRPr="00D97515">
        <w:t xml:space="preserve"> and the lawyers pursuant to which legal services would be provided </w:t>
      </w:r>
      <w:r w:rsidR="004047A7">
        <w:t xml:space="preserve">to the </w:t>
      </w:r>
      <w:r w:rsidR="00253AC4">
        <w:t>Applicant</w:t>
      </w:r>
      <w:r w:rsidR="004047A7">
        <w:t xml:space="preserve"> </w:t>
      </w:r>
      <w:r w:rsidRPr="00D97515">
        <w:t xml:space="preserve">was limited to the fee agreements and engagement letters.  The Court </w:t>
      </w:r>
      <w:r w:rsidR="00A0434A">
        <w:t>accepts</w:t>
      </w:r>
      <w:r w:rsidRPr="00D97515">
        <w:t xml:space="preserve"> the oral </w:t>
      </w:r>
      <w:r w:rsidR="006006BF" w:rsidRPr="00D97515">
        <w:t>evidence</w:t>
      </w:r>
      <w:r w:rsidRPr="00D97515">
        <w:t xml:space="preserve"> of the advisors that they issued invoices </w:t>
      </w:r>
      <w:r w:rsidR="006006BF" w:rsidRPr="00D97515">
        <w:t>to</w:t>
      </w:r>
      <w:r w:rsidRPr="00D97515">
        <w:t xml:space="preserve"> the </w:t>
      </w:r>
      <w:r w:rsidR="006006BF" w:rsidRPr="00D97515">
        <w:t>Applicant</w:t>
      </w:r>
      <w:r w:rsidRPr="00D97515">
        <w:t xml:space="preserve"> and </w:t>
      </w:r>
      <w:r w:rsidR="00DF4647">
        <w:t xml:space="preserve">that they </w:t>
      </w:r>
      <w:r w:rsidRPr="00D97515">
        <w:t xml:space="preserve">considered the Applicant </w:t>
      </w:r>
      <w:r w:rsidR="006006BF" w:rsidRPr="00D97515">
        <w:t>to</w:t>
      </w:r>
      <w:r w:rsidRPr="00D97515">
        <w:t xml:space="preserve"> be liable for the payment of those fees.</w:t>
      </w:r>
    </w:p>
    <w:p w14:paraId="02C51430" w14:textId="60AD4507" w:rsidR="00C108ED" w:rsidRPr="00D97515" w:rsidRDefault="00C108ED" w:rsidP="00C108ED">
      <w:pPr>
        <w:pStyle w:val="ParaNumbering"/>
      </w:pPr>
      <w:r w:rsidRPr="00D97515">
        <w:t>T</w:t>
      </w:r>
      <w:r w:rsidR="002422B6" w:rsidRPr="00D97515">
        <w:t xml:space="preserve">he Commissioner contended that </w:t>
      </w:r>
      <w:r w:rsidRPr="00D97515">
        <w:t>the payments made by the Applicant to the Beneficiar</w:t>
      </w:r>
      <w:r w:rsidR="00A00AA3">
        <w:t>ies</w:t>
      </w:r>
      <w:r w:rsidRPr="00D97515">
        <w:t xml:space="preserve">’ legal representatives were consideration for the legal services that were supplied to the Beneficiaries.  </w:t>
      </w:r>
      <w:r w:rsidR="00A0434A">
        <w:t>It was contended that t</w:t>
      </w:r>
      <w:r w:rsidRPr="00D97515">
        <w:t>he Applicant had an administrative arrangement with the Beneficiaries to pay the invoices that were rendered by the lawyers.  A person who enters into a reimbursement obligation does not make an acquisition of the supply, the co</w:t>
      </w:r>
      <w:r w:rsidR="002422B6" w:rsidRPr="00D97515">
        <w:t xml:space="preserve">st of which is to </w:t>
      </w:r>
      <w:r w:rsidR="002422B6" w:rsidRPr="00D97515">
        <w:lastRenderedPageBreak/>
        <w:t>be reimbursed.</w:t>
      </w:r>
      <w:r w:rsidR="00A4210F">
        <w:t xml:space="preserve"> </w:t>
      </w:r>
      <w:r w:rsidR="002422B6" w:rsidRPr="00D97515">
        <w:t xml:space="preserve"> </w:t>
      </w:r>
      <w:r w:rsidRPr="00D97515">
        <w:t xml:space="preserve">The Commissioner contended that the analysis of Edmonds J in </w:t>
      </w:r>
      <w:r w:rsidRPr="00D97515">
        <w:rPr>
          <w:i/>
        </w:rPr>
        <w:t>Professional Admin Service Centres</w:t>
      </w:r>
      <w:r w:rsidRPr="00D97515">
        <w:t xml:space="preserve"> was applicable here and the </w:t>
      </w:r>
      <w:r w:rsidRPr="00D97515">
        <w:rPr>
          <w:i/>
        </w:rPr>
        <w:t xml:space="preserve">Department of Transport </w:t>
      </w:r>
      <w:r w:rsidRPr="00D97515">
        <w:t>case was readily distinguishable.</w:t>
      </w:r>
    </w:p>
    <w:p w14:paraId="5DA41BF3" w14:textId="2EF3C5C6" w:rsidR="00C108ED" w:rsidRPr="00D97515" w:rsidRDefault="00C108ED" w:rsidP="00D97515">
      <w:pPr>
        <w:pStyle w:val="ParaNumbering"/>
      </w:pPr>
      <w:r w:rsidRPr="00D97515">
        <w:t>In oral submissions</w:t>
      </w:r>
      <w:r w:rsidR="00F10168">
        <w:t>,</w:t>
      </w:r>
      <w:r w:rsidRPr="00D97515">
        <w:t xml:space="preserve"> the </w:t>
      </w:r>
      <w:r w:rsidR="00253AC4">
        <w:t>Applicant</w:t>
      </w:r>
      <w:r w:rsidRPr="00D97515">
        <w:t xml:space="preserve"> contended that the supply of the Litigation Services was a supply to two parties at the same time </w:t>
      </w:r>
      <w:r w:rsidR="00F10168">
        <w:t>—</w:t>
      </w:r>
      <w:r w:rsidRPr="00D97515">
        <w:t xml:space="preserve"> to the Beneficiary the party to the proceedings and to the Applicant</w:t>
      </w:r>
      <w:r w:rsidR="00F10168">
        <w:t>,</w:t>
      </w:r>
      <w:r w:rsidRPr="00D97515">
        <w:t xml:space="preserve"> “because it </w:t>
      </w:r>
      <w:r w:rsidR="00611092">
        <w:t>[was]</w:t>
      </w:r>
      <w:r w:rsidRPr="00D97515">
        <w:t xml:space="preserve"> through Mr </w:t>
      </w:r>
      <w:r w:rsidR="00F10168">
        <w:t xml:space="preserve">[William] </w:t>
      </w:r>
      <w:proofErr w:type="spellStart"/>
      <w:r w:rsidRPr="00D97515">
        <w:t>Lewski</w:t>
      </w:r>
      <w:proofErr w:type="spellEnd"/>
      <w:r w:rsidRPr="00D97515">
        <w:t xml:space="preserve"> that that work </w:t>
      </w:r>
      <w:r w:rsidR="00F10168">
        <w:t>[was]</w:t>
      </w:r>
      <w:r w:rsidRPr="00D97515">
        <w:t xml:space="preserve"> done, apart from the </w:t>
      </w:r>
      <w:r w:rsidR="00611092">
        <w:t xml:space="preserve">fact that [there was] a </w:t>
      </w:r>
      <w:r w:rsidRPr="00D97515">
        <w:t xml:space="preserve">contractual arrangement with the [Applicant]”.  The Applicant appeared to contend that the position in respect of the Other Services was somewhat different.  In respect of the Other Services, it was suggested, based on the statements made by Mr William </w:t>
      </w:r>
      <w:proofErr w:type="spellStart"/>
      <w:proofErr w:type="gramStart"/>
      <w:r w:rsidRPr="00D97515">
        <w:t>Lewski</w:t>
      </w:r>
      <w:proofErr w:type="spellEnd"/>
      <w:r w:rsidRPr="00D97515">
        <w:t>, that</w:t>
      </w:r>
      <w:proofErr w:type="gramEnd"/>
      <w:r w:rsidRPr="00D97515">
        <w:t xml:space="preserve"> the service was provided exclusively to the Applicant and the Applicant in turn formulated advice to the relevant </w:t>
      </w:r>
      <w:proofErr w:type="spellStart"/>
      <w:r w:rsidRPr="00D97515">
        <w:t>Lewski</w:t>
      </w:r>
      <w:proofErr w:type="spellEnd"/>
      <w:r w:rsidRPr="00D97515">
        <w:t xml:space="preserve"> Family Group </w:t>
      </w:r>
      <w:r w:rsidR="00F10168" w:rsidRPr="00611092">
        <w:t>m</w:t>
      </w:r>
      <w:r w:rsidRPr="00611092">
        <w:t>ember</w:t>
      </w:r>
      <w:r w:rsidRPr="00D97515">
        <w:t>.</w:t>
      </w:r>
    </w:p>
    <w:p w14:paraId="7BD1210D" w14:textId="6ECC8BB6" w:rsidR="00C108ED" w:rsidRPr="00D97515" w:rsidRDefault="00C108ED" w:rsidP="00C108ED">
      <w:pPr>
        <w:pStyle w:val="ParaNumbering"/>
      </w:pPr>
      <w:r w:rsidRPr="00D97515">
        <w:t xml:space="preserve">The facts of this case are distinguishable from those considered by Edmonds J in </w:t>
      </w:r>
      <w:r w:rsidRPr="00D97515">
        <w:rPr>
          <w:i/>
        </w:rPr>
        <w:t>Professional Admin Service Centres</w:t>
      </w:r>
      <w:r w:rsidRPr="00D97515">
        <w:t>.  There is evidence in this case of a pre</w:t>
      </w:r>
      <w:r w:rsidR="00E136C5">
        <w:t>‑</w:t>
      </w:r>
      <w:r w:rsidRPr="00D97515">
        <w:t xml:space="preserve">existing framework between the </w:t>
      </w:r>
      <w:r w:rsidR="00253AC4">
        <w:t>Applicant</w:t>
      </w:r>
      <w:r w:rsidRPr="00D97515">
        <w:t xml:space="preserve"> and the legal service providers under which the </w:t>
      </w:r>
      <w:r w:rsidR="00253AC4">
        <w:t>Applicant</w:t>
      </w:r>
      <w:r w:rsidRPr="00D97515">
        <w:t xml:space="preserve"> was liable to make payments to the legal service providers as consideration for services provided to the Beneficiaries.  The engagement arrangement with the legal service providers (whether reduced to writing or not) was an arrangement to which the </w:t>
      </w:r>
      <w:r w:rsidR="00253AC4">
        <w:t>Applicant</w:t>
      </w:r>
      <w:r w:rsidRPr="00D97515">
        <w:t xml:space="preserve"> was a party.  Unlike the facts in </w:t>
      </w:r>
      <w:r w:rsidRPr="00D97515">
        <w:rPr>
          <w:i/>
        </w:rPr>
        <w:t>Professional Admin Service Centres</w:t>
      </w:r>
      <w:r w:rsidRPr="00D97515">
        <w:t>, there was more here than the fact that</w:t>
      </w:r>
      <w:r w:rsidR="00F10168">
        <w:t>,</w:t>
      </w:r>
      <w:r w:rsidRPr="00D97515">
        <w:t xml:space="preserve"> as a practical matter</w:t>
      </w:r>
      <w:r w:rsidR="00F10168">
        <w:t>,</w:t>
      </w:r>
      <w:r w:rsidRPr="00D97515">
        <w:t xml:space="preserve"> the legal service providers looked to the </w:t>
      </w:r>
      <w:r w:rsidR="00253AC4">
        <w:t>Applicant</w:t>
      </w:r>
      <w:r w:rsidRPr="00D97515">
        <w:t xml:space="preserve"> for payment of their fees.</w:t>
      </w:r>
    </w:p>
    <w:p w14:paraId="20EDF685" w14:textId="7A76EABF" w:rsidR="00C108ED" w:rsidRPr="00D97515" w:rsidRDefault="00C108ED" w:rsidP="00C108ED">
      <w:pPr>
        <w:pStyle w:val="ParaNumbering"/>
      </w:pPr>
      <w:r w:rsidRPr="00D97515">
        <w:t xml:space="preserve">The Court does not </w:t>
      </w:r>
      <w:r w:rsidR="00F10168">
        <w:t>ac</w:t>
      </w:r>
      <w:r w:rsidRPr="00D97515">
        <w:t xml:space="preserve">cept the description </w:t>
      </w:r>
      <w:r w:rsidR="005C6626">
        <w:t>provided</w:t>
      </w:r>
      <w:r w:rsidR="005C6626" w:rsidRPr="00D97515">
        <w:t xml:space="preserve"> </w:t>
      </w:r>
      <w:r w:rsidRPr="00D97515">
        <w:t xml:space="preserve">by Mr </w:t>
      </w:r>
      <w:r w:rsidR="00F10168">
        <w:t xml:space="preserve">William </w:t>
      </w:r>
      <w:proofErr w:type="spellStart"/>
      <w:r w:rsidRPr="00D97515">
        <w:t>Lewski</w:t>
      </w:r>
      <w:proofErr w:type="spellEnd"/>
      <w:r w:rsidRPr="00D97515">
        <w:t xml:space="preserve"> of the nature of the Applicant</w:t>
      </w:r>
      <w:r w:rsidR="00D125E8" w:rsidRPr="00D97515">
        <w:t xml:space="preserve">’s operations.  The Court does </w:t>
      </w:r>
      <w:r w:rsidRPr="00D97515">
        <w:t xml:space="preserve">not accept the Applicant’s contention that the position with respect to the Other Services was different or that those services were provided exclusively to the Applicant.  Although the Court does not accept that the Applicant instructed, substantively engaged with or received advice from the legal service providers for its own account (through Mr </w:t>
      </w:r>
      <w:r w:rsidR="005C6626">
        <w:t xml:space="preserve">William </w:t>
      </w:r>
      <w:proofErr w:type="spellStart"/>
      <w:r w:rsidRPr="00D97515">
        <w:t>Lewski</w:t>
      </w:r>
      <w:proofErr w:type="spellEnd"/>
      <w:r w:rsidRPr="00D97515">
        <w:t xml:space="preserve"> or otherwise), the </w:t>
      </w:r>
      <w:r w:rsidR="00253AC4">
        <w:t>Applicant</w:t>
      </w:r>
      <w:r w:rsidRPr="00D97515">
        <w:t xml:space="preserve"> had a contractual right to request </w:t>
      </w:r>
      <w:r w:rsidR="005C6626">
        <w:t xml:space="preserve">that </w:t>
      </w:r>
      <w:r w:rsidRPr="00D97515">
        <w:t xml:space="preserve">the lawyers provide legal services to the </w:t>
      </w:r>
      <w:proofErr w:type="spellStart"/>
      <w:r w:rsidRPr="00D97515">
        <w:t>Lewski</w:t>
      </w:r>
      <w:proofErr w:type="spellEnd"/>
      <w:r w:rsidRPr="00D97515">
        <w:t xml:space="preserve"> </w:t>
      </w:r>
      <w:r w:rsidR="005C6626">
        <w:t>F</w:t>
      </w:r>
      <w:r w:rsidRPr="00D97515">
        <w:t xml:space="preserve">amily </w:t>
      </w:r>
      <w:r w:rsidR="005C6626">
        <w:t xml:space="preserve">Group </w:t>
      </w:r>
      <w:r w:rsidRPr="00D97515">
        <w:t xml:space="preserve">member who was the party to the relevant </w:t>
      </w:r>
      <w:r w:rsidR="00A0434A">
        <w:t xml:space="preserve">transaction or </w:t>
      </w:r>
      <w:r w:rsidRPr="00D97515">
        <w:t>court proceeding.  The provision of legal services (whether they be Litigation Services or Other Services) to the</w:t>
      </w:r>
      <w:r w:rsidR="005C6626">
        <w:t xml:space="preserve"> relevant</w:t>
      </w:r>
      <w:r w:rsidRPr="00D97515">
        <w:t xml:space="preserve"> Beneficiary also discharged the obligation of the service provider to the Applicant.</w:t>
      </w:r>
    </w:p>
    <w:p w14:paraId="64171D76" w14:textId="5C73DF33" w:rsidR="00C108ED" w:rsidRPr="00D97515" w:rsidRDefault="00C108ED" w:rsidP="005C6626">
      <w:pPr>
        <w:pStyle w:val="ParaNumbering"/>
      </w:pPr>
      <w:r w:rsidRPr="00D97515">
        <w:t xml:space="preserve">As the High Court said in </w:t>
      </w:r>
      <w:r w:rsidR="005C6626">
        <w:rPr>
          <w:i/>
        </w:rPr>
        <w:t xml:space="preserve">Federal Commissioner of Taxation v </w:t>
      </w:r>
      <w:r w:rsidRPr="005C6626">
        <w:rPr>
          <w:i/>
        </w:rPr>
        <w:t>MBI Properties</w:t>
      </w:r>
      <w:r w:rsidRPr="00D97515">
        <w:rPr>
          <w:i/>
        </w:rPr>
        <w:t xml:space="preserve"> </w:t>
      </w:r>
      <w:r w:rsidR="005C6626">
        <w:rPr>
          <w:i/>
        </w:rPr>
        <w:t>Pty Ltd</w:t>
      </w:r>
      <w:r w:rsidR="005C6626">
        <w:t xml:space="preserve"> </w:t>
      </w:r>
      <w:r w:rsidR="005C6626" w:rsidRPr="005C6626">
        <w:t>[2014] HCA 49</w:t>
      </w:r>
      <w:r w:rsidR="005C6626">
        <w:t>;</w:t>
      </w:r>
      <w:r w:rsidR="005C6626" w:rsidRPr="005C6626">
        <w:t xml:space="preserve"> </w:t>
      </w:r>
      <w:r w:rsidRPr="00D97515">
        <w:t>(2014)</w:t>
      </w:r>
      <w:r w:rsidR="005C6626">
        <w:t xml:space="preserve"> </w:t>
      </w:r>
      <w:r w:rsidR="005C6626" w:rsidRPr="005C6626">
        <w:t>254 CLR 376</w:t>
      </w:r>
      <w:r w:rsidRPr="005C6626">
        <w:t xml:space="preserve"> </w:t>
      </w:r>
      <w:r w:rsidRPr="00D97515">
        <w:t xml:space="preserve">at </w:t>
      </w:r>
      <w:r w:rsidR="005C6626">
        <w:t xml:space="preserve">390 </w:t>
      </w:r>
      <w:r w:rsidRPr="00D97515">
        <w:t>[34]</w:t>
      </w:r>
      <w:r w:rsidR="00F10168">
        <w:t xml:space="preserve"> (</w:t>
      </w:r>
      <w:r w:rsidR="005C6626" w:rsidRPr="005C6626">
        <w:t xml:space="preserve">French CJ, Hayne, </w:t>
      </w:r>
      <w:proofErr w:type="spellStart"/>
      <w:r w:rsidR="005C6626" w:rsidRPr="005C6626">
        <w:t>Kiefel</w:t>
      </w:r>
      <w:proofErr w:type="spellEnd"/>
      <w:r w:rsidR="005C6626">
        <w:t>,</w:t>
      </w:r>
      <w:r w:rsidR="005C6626" w:rsidRPr="005C6626">
        <w:t xml:space="preserve"> </w:t>
      </w:r>
      <w:proofErr w:type="spellStart"/>
      <w:r w:rsidR="005C6626" w:rsidRPr="005C6626">
        <w:t>Gageler</w:t>
      </w:r>
      <w:proofErr w:type="spellEnd"/>
      <w:r w:rsidR="005C6626" w:rsidRPr="005C6626">
        <w:t xml:space="preserve"> and Keane JJ</w:t>
      </w:r>
      <w:r w:rsidR="00F10168">
        <w:t>)</w:t>
      </w:r>
      <w:r w:rsidRPr="00D97515">
        <w:t>:</w:t>
      </w:r>
    </w:p>
    <w:p w14:paraId="65D22D34" w14:textId="60BC20E9" w:rsidR="00C108ED" w:rsidRPr="00D97515" w:rsidRDefault="00C108ED" w:rsidP="00C108ED">
      <w:pPr>
        <w:pStyle w:val="Quote1"/>
        <w:rPr>
          <w:lang w:eastAsia="en-AU"/>
        </w:rPr>
      </w:pPr>
      <w:r w:rsidRPr="00D97515">
        <w:rPr>
          <w:lang w:eastAsia="en-AU"/>
        </w:rPr>
        <w:lastRenderedPageBreak/>
        <w:t>The concept of supply as employed in the GST Act is of wide import. Absent modification of the general operation of the GST Act through application of a special rule, there is a supply whenever one entity (the supplier) provides something of value to another entity (the recipient). Section 9</w:t>
      </w:r>
      <w:r w:rsidR="00E136C5">
        <w:rPr>
          <w:lang w:eastAsia="en-AU"/>
        </w:rPr>
        <w:t>‑</w:t>
      </w:r>
      <w:r w:rsidRPr="00D97515">
        <w:rPr>
          <w:lang w:eastAsia="en-AU"/>
        </w:rPr>
        <w:t xml:space="preserve">10(1), the amplitude of which is highlighted by </w:t>
      </w:r>
      <w:proofErr w:type="spellStart"/>
      <w:r w:rsidRPr="00D97515">
        <w:rPr>
          <w:lang w:eastAsia="en-AU"/>
        </w:rPr>
        <w:t>ss</w:t>
      </w:r>
      <w:proofErr w:type="spellEnd"/>
      <w:r w:rsidRPr="00D97515">
        <w:rPr>
          <w:lang w:eastAsia="en-AU"/>
        </w:rPr>
        <w:t xml:space="preserve"> 9</w:t>
      </w:r>
      <w:r w:rsidR="00E136C5">
        <w:rPr>
          <w:lang w:eastAsia="en-AU"/>
        </w:rPr>
        <w:t>‑</w:t>
      </w:r>
      <w:r w:rsidRPr="00D97515">
        <w:rPr>
          <w:lang w:eastAsia="en-AU"/>
        </w:rPr>
        <w:t>10(2) and 9</w:t>
      </w:r>
      <w:r w:rsidR="00E136C5">
        <w:rPr>
          <w:lang w:eastAsia="en-AU"/>
        </w:rPr>
        <w:t>‑</w:t>
      </w:r>
      <w:r w:rsidRPr="00D97515">
        <w:rPr>
          <w:lang w:eastAsia="en-AU"/>
        </w:rPr>
        <w:t xml:space="preserve">10(3), serves to emphasise that the something can be anything and can be provided by any means. The expansive language of </w:t>
      </w:r>
      <w:proofErr w:type="spellStart"/>
      <w:r w:rsidRPr="00D97515">
        <w:rPr>
          <w:lang w:eastAsia="en-AU"/>
        </w:rPr>
        <w:t>ss</w:t>
      </w:r>
      <w:proofErr w:type="spellEnd"/>
      <w:r w:rsidRPr="00D97515">
        <w:rPr>
          <w:lang w:eastAsia="en-AU"/>
        </w:rPr>
        <w:t xml:space="preserve"> 9</w:t>
      </w:r>
      <w:r w:rsidR="00E136C5">
        <w:rPr>
          <w:lang w:eastAsia="en-AU"/>
        </w:rPr>
        <w:t>‑</w:t>
      </w:r>
      <w:r w:rsidRPr="00D97515">
        <w:rPr>
          <w:lang w:eastAsia="en-AU"/>
        </w:rPr>
        <w:t>10(2)(g) and 9</w:t>
      </w:r>
      <w:r w:rsidR="00E136C5">
        <w:rPr>
          <w:lang w:eastAsia="en-AU"/>
        </w:rPr>
        <w:t>‑</w:t>
      </w:r>
      <w:r w:rsidRPr="00D97515">
        <w:rPr>
          <w:lang w:eastAsia="en-AU"/>
        </w:rPr>
        <w:t>10(3) serves in addition to emphasise that the thing provided can be provided by means of the supplier refraining from acting, or by means of the supplier tolerating some act or situation, just as it can be provided by means of the supplier doing some act.</w:t>
      </w:r>
    </w:p>
    <w:p w14:paraId="4B1D0EF6" w14:textId="4BBE0D0F" w:rsidR="00C108ED" w:rsidRPr="00D97515" w:rsidRDefault="00C108ED" w:rsidP="00C108ED">
      <w:pPr>
        <w:pStyle w:val="ParaNumbering"/>
      </w:pPr>
      <w:r w:rsidRPr="00D97515">
        <w:t>Gordon J</w:t>
      </w:r>
      <w:r w:rsidR="00B87867">
        <w:t>,</w:t>
      </w:r>
      <w:r w:rsidRPr="00D97515">
        <w:t xml:space="preserve"> at first instance in </w:t>
      </w:r>
      <w:r w:rsidRPr="00D97515">
        <w:rPr>
          <w:i/>
        </w:rPr>
        <w:t>Department of Transport</w:t>
      </w:r>
      <w:r w:rsidR="00B87867">
        <w:t>,</w:t>
      </w:r>
      <w:r w:rsidRPr="00D97515">
        <w:rPr>
          <w:i/>
        </w:rPr>
        <w:t xml:space="preserve"> </w:t>
      </w:r>
      <w:r w:rsidRPr="00D97515">
        <w:t xml:space="preserve">said (at </w:t>
      </w:r>
      <w:r w:rsidR="0051763F">
        <w:t>47</w:t>
      </w:r>
      <w:r w:rsidR="001608BB">
        <w:t xml:space="preserve"> </w:t>
      </w:r>
      <w:r w:rsidRPr="00D97515">
        <w:t>[38]):</w:t>
      </w:r>
    </w:p>
    <w:p w14:paraId="34D3E2DD" w14:textId="68E25E4C" w:rsidR="00C108ED" w:rsidRPr="00D97515" w:rsidRDefault="00C108ED" w:rsidP="00C108ED">
      <w:pPr>
        <w:pStyle w:val="Quote1"/>
        <w:rPr>
          <w:lang w:eastAsia="en-AU"/>
        </w:rPr>
      </w:pPr>
      <w:r w:rsidRPr="00D97515">
        <w:rPr>
          <w:lang w:eastAsia="en-AU"/>
        </w:rPr>
        <w:t>As has been said on numerous occasions, acquisition by an entity in carrying on its enterprise will normally consist of the supply of goods or services to that entity. However, “it may equally well consist of the right to have goods delivered or services rendered to a third party” where “</w:t>
      </w:r>
      <w:r w:rsidR="0051763F">
        <w:rPr>
          <w:lang w:eastAsia="en-AU"/>
        </w:rPr>
        <w:t>[</w:t>
      </w:r>
      <w:r w:rsidRPr="00D97515">
        <w:rPr>
          <w:lang w:eastAsia="en-AU"/>
        </w:rPr>
        <w:t>t</w:t>
      </w:r>
      <w:r w:rsidR="0051763F">
        <w:rPr>
          <w:lang w:eastAsia="en-AU"/>
        </w:rPr>
        <w:t>]</w:t>
      </w:r>
      <w:r w:rsidRPr="00D97515">
        <w:rPr>
          <w:lang w:eastAsia="en-AU"/>
        </w:rPr>
        <w:t xml:space="preserve">he grant of such a right is itself a supply of services”: </w:t>
      </w:r>
      <w:r w:rsidRPr="00D97515">
        <w:rPr>
          <w:i/>
          <w:lang w:eastAsia="en-AU"/>
        </w:rPr>
        <w:t xml:space="preserve">Customs and Excise Commissioners v </w:t>
      </w:r>
      <w:proofErr w:type="spellStart"/>
      <w:r w:rsidRPr="00D97515">
        <w:rPr>
          <w:i/>
          <w:lang w:eastAsia="en-AU"/>
        </w:rPr>
        <w:t>Redrow</w:t>
      </w:r>
      <w:proofErr w:type="spellEnd"/>
      <w:r w:rsidRPr="00D97515">
        <w:rPr>
          <w:i/>
          <w:lang w:eastAsia="en-AU"/>
        </w:rPr>
        <w:t xml:space="preserve"> Group Plc</w:t>
      </w:r>
      <w:r w:rsidR="0051763F" w:rsidRPr="0051763F">
        <w:rPr>
          <w:lang w:eastAsia="en-AU"/>
        </w:rPr>
        <w:t xml:space="preserve"> [1999] 2 All ER 1 at 12; [</w:t>
      </w:r>
      <w:r w:rsidR="0051763F">
        <w:rPr>
          <w:lang w:eastAsia="en-AU"/>
        </w:rPr>
        <w:t>1999] 1 WLR 408 at 418 (</w:t>
      </w:r>
      <w:proofErr w:type="spellStart"/>
      <w:r w:rsidR="0051763F" w:rsidRPr="0051763F">
        <w:rPr>
          <w:i/>
          <w:lang w:eastAsia="en-AU"/>
        </w:rPr>
        <w:t>Redrow</w:t>
      </w:r>
      <w:proofErr w:type="spellEnd"/>
      <w:r w:rsidR="0051763F">
        <w:rPr>
          <w:lang w:eastAsia="en-AU"/>
        </w:rPr>
        <w:t>)</w:t>
      </w:r>
      <w:r w:rsidRPr="001608BB">
        <w:rPr>
          <w:lang w:eastAsia="en-AU"/>
        </w:rPr>
        <w:t>.</w:t>
      </w:r>
    </w:p>
    <w:p w14:paraId="3FB2F68D" w14:textId="6CD0A12F" w:rsidR="00C108ED" w:rsidRPr="00D97515" w:rsidRDefault="00C108ED" w:rsidP="00C108ED">
      <w:pPr>
        <w:pStyle w:val="ParaNumbering"/>
      </w:pPr>
      <w:r w:rsidRPr="00D97515">
        <w:t xml:space="preserve">Her Honour went on to say </w:t>
      </w:r>
      <w:r w:rsidR="001608BB">
        <w:t>(</w:t>
      </w:r>
      <w:r w:rsidRPr="00D97515">
        <w:t xml:space="preserve">at </w:t>
      </w:r>
      <w:r w:rsidR="00015972">
        <w:t>48</w:t>
      </w:r>
      <w:r w:rsidR="001608BB">
        <w:t xml:space="preserve"> </w:t>
      </w:r>
      <w:r w:rsidRPr="00D97515">
        <w:t>[41]</w:t>
      </w:r>
      <w:r w:rsidR="001608BB">
        <w:t>)</w:t>
      </w:r>
      <w:r w:rsidR="00B242B4">
        <w:t>:</w:t>
      </w:r>
    </w:p>
    <w:p w14:paraId="4FA956E3" w14:textId="6179C9F6" w:rsidR="00C108ED" w:rsidRPr="00D97515" w:rsidRDefault="00C108ED" w:rsidP="000B2863">
      <w:pPr>
        <w:pStyle w:val="Quote1"/>
        <w:rPr>
          <w:lang w:eastAsia="en-AU"/>
        </w:rPr>
      </w:pPr>
      <w:r w:rsidRPr="00D97515">
        <w:rPr>
          <w:lang w:eastAsia="en-AU"/>
        </w:rPr>
        <w:t>Ultimately, we are driven back to the words of the GST Act and the fact that even in the case of multiple supplies, we are concerned with a limited set of relevant concepts: a taxable supply to the taxpayer for consideration (see, for example, the discussion of the proper characterisa</w:t>
      </w:r>
      <w:r w:rsidR="00015972">
        <w:rPr>
          <w:lang w:eastAsia="en-AU"/>
        </w:rPr>
        <w:t>tion of what was alleged to be two</w:t>
      </w:r>
      <w:r w:rsidRPr="00D97515">
        <w:rPr>
          <w:lang w:eastAsia="en-AU"/>
        </w:rPr>
        <w:t xml:space="preserve"> taxable supplies in </w:t>
      </w:r>
      <w:r w:rsidR="000B2863" w:rsidRPr="000B2863">
        <w:rPr>
          <w:i/>
          <w:lang w:eastAsia="en-AU"/>
        </w:rPr>
        <w:t xml:space="preserve">Federal </w:t>
      </w:r>
      <w:proofErr w:type="spellStart"/>
      <w:r w:rsidR="000B2863" w:rsidRPr="000B2863">
        <w:rPr>
          <w:i/>
          <w:lang w:eastAsia="en-AU"/>
        </w:rPr>
        <w:t>Cmr</w:t>
      </w:r>
      <w:proofErr w:type="spellEnd"/>
      <w:r w:rsidR="000B2863" w:rsidRPr="000B2863">
        <w:rPr>
          <w:i/>
          <w:lang w:eastAsia="en-AU"/>
        </w:rPr>
        <w:t xml:space="preserve"> of Taxation v Reliance Carpet Co Pty Ltd</w:t>
      </w:r>
      <w:r w:rsidR="000B2863">
        <w:rPr>
          <w:lang w:eastAsia="en-AU"/>
        </w:rPr>
        <w:t xml:space="preserve"> (2008) 236 CLR 342; 246 ALR 448; [2008] HCA 22 at [42] </w:t>
      </w:r>
      <w:r w:rsidRPr="00D97515">
        <w:rPr>
          <w:lang w:eastAsia="en-AU"/>
        </w:rPr>
        <w:t>and an acquisition for a creditable purpose.</w:t>
      </w:r>
    </w:p>
    <w:p w14:paraId="2E77303C" w14:textId="5BFA41F6" w:rsidR="00C108ED" w:rsidRPr="00D97515" w:rsidRDefault="00C108ED" w:rsidP="00C108ED">
      <w:pPr>
        <w:pStyle w:val="ParaNumbering"/>
      </w:pPr>
      <w:r w:rsidRPr="00D97515">
        <w:t xml:space="preserve">Justice Gordon then set out a summary of </w:t>
      </w:r>
      <w:r w:rsidR="00EB1525">
        <w:t>seven</w:t>
      </w:r>
      <w:r w:rsidRPr="00D97515">
        <w:t xml:space="preserve"> applicable principles</w:t>
      </w:r>
      <w:r w:rsidR="00B242B4">
        <w:t xml:space="preserve"> (at </w:t>
      </w:r>
      <w:r w:rsidR="000B2863">
        <w:t>48–9</w:t>
      </w:r>
      <w:r w:rsidR="001608BB">
        <w:t xml:space="preserve"> </w:t>
      </w:r>
      <w:r w:rsidR="00B242B4">
        <w:t>[</w:t>
      </w:r>
      <w:r w:rsidR="000B2863">
        <w:t>42</w:t>
      </w:r>
      <w:r w:rsidR="00B242B4">
        <w:t>])</w:t>
      </w:r>
      <w:r w:rsidR="00EB1525">
        <w:t>,</w:t>
      </w:r>
      <w:r w:rsidRPr="00D97515">
        <w:t xml:space="preserve"> </w:t>
      </w:r>
      <w:r w:rsidR="00EB1525">
        <w:t>t</w:t>
      </w:r>
      <w:r w:rsidRPr="00D97515">
        <w:t>hree of which were:</w:t>
      </w:r>
    </w:p>
    <w:p w14:paraId="2D824B9C" w14:textId="230985B4" w:rsidR="00C108ED" w:rsidRPr="00D97515" w:rsidRDefault="009D4BB4" w:rsidP="00C108ED">
      <w:pPr>
        <w:pStyle w:val="Quote1"/>
        <w:ind w:left="1440" w:hanging="703"/>
        <w:rPr>
          <w:lang w:eastAsia="en-AU"/>
        </w:rPr>
      </w:pPr>
      <w:r>
        <w:rPr>
          <w:lang w:eastAsia="en-AU"/>
        </w:rPr>
        <w:t>(</w:t>
      </w:r>
      <w:r w:rsidR="00C108ED" w:rsidRPr="00D97515">
        <w:rPr>
          <w:lang w:eastAsia="en-AU"/>
        </w:rPr>
        <w:t>4</w:t>
      </w:r>
      <w:r>
        <w:rPr>
          <w:lang w:eastAsia="en-AU"/>
        </w:rPr>
        <w:t>)</w:t>
      </w:r>
      <w:r w:rsidR="00C108ED" w:rsidRPr="00D97515">
        <w:rPr>
          <w:lang w:eastAsia="en-AU"/>
        </w:rPr>
        <w:tab/>
        <w:t>An acquisition can include the acquisition of services or the acquisition of a right to require another person to do anything, refrain from an act or tolerate an act o</w:t>
      </w:r>
      <w:r>
        <w:rPr>
          <w:lang w:eastAsia="en-AU"/>
        </w:rPr>
        <w:t xml:space="preserve">r situation: </w:t>
      </w:r>
      <w:r w:rsidR="00C108ED" w:rsidRPr="00D97515">
        <w:rPr>
          <w:lang w:eastAsia="en-AU"/>
        </w:rPr>
        <w:t>s 11</w:t>
      </w:r>
      <w:r w:rsidR="00E136C5">
        <w:rPr>
          <w:lang w:eastAsia="en-AU"/>
        </w:rPr>
        <w:t>‑</w:t>
      </w:r>
      <w:r w:rsidR="00C108ED" w:rsidRPr="00D97515">
        <w:rPr>
          <w:lang w:eastAsia="en-AU"/>
        </w:rPr>
        <w:t>10.</w:t>
      </w:r>
    </w:p>
    <w:p w14:paraId="7A9B6307" w14:textId="5B974913" w:rsidR="00C108ED" w:rsidRPr="00D97515" w:rsidRDefault="009D4BB4" w:rsidP="009D4BB4">
      <w:pPr>
        <w:pStyle w:val="Quote1"/>
        <w:ind w:left="1440" w:hanging="703"/>
        <w:rPr>
          <w:i/>
          <w:iCs/>
          <w:lang w:eastAsia="en-AU"/>
        </w:rPr>
      </w:pPr>
      <w:r>
        <w:rPr>
          <w:lang w:eastAsia="en-AU"/>
        </w:rPr>
        <w:t>(</w:t>
      </w:r>
      <w:r w:rsidR="00C108ED" w:rsidRPr="00D97515">
        <w:rPr>
          <w:lang w:eastAsia="en-AU"/>
        </w:rPr>
        <w:t>5</w:t>
      </w:r>
      <w:r>
        <w:rPr>
          <w:lang w:eastAsia="en-AU"/>
        </w:rPr>
        <w:t>)</w:t>
      </w:r>
      <w:r w:rsidR="00C108ED" w:rsidRPr="00D97515">
        <w:rPr>
          <w:lang w:eastAsia="en-AU"/>
        </w:rPr>
        <w:tab/>
        <w:t xml:space="preserve">The concepts of taxable supply and acquisition are related. In other words, </w:t>
      </w:r>
      <w:r w:rsidR="00C108ED" w:rsidRPr="009D4BB4">
        <w:rPr>
          <w:iCs/>
          <w:lang w:eastAsia="en-AU"/>
        </w:rPr>
        <w:t xml:space="preserve">a taxpayer </w:t>
      </w:r>
      <w:r w:rsidR="00C108ED" w:rsidRPr="009D4BB4">
        <w:rPr>
          <w:lang w:eastAsia="en-AU"/>
        </w:rPr>
        <w:t xml:space="preserve">makes an acquisition if </w:t>
      </w:r>
      <w:r w:rsidR="00C108ED" w:rsidRPr="009D4BB4">
        <w:rPr>
          <w:iCs/>
          <w:lang w:eastAsia="en-AU"/>
        </w:rPr>
        <w:t xml:space="preserve">the taxpayer </w:t>
      </w:r>
      <w:r w:rsidR="00C108ED" w:rsidRPr="009D4BB4">
        <w:rPr>
          <w:lang w:eastAsia="en-AU"/>
        </w:rPr>
        <w:t>i</w:t>
      </w:r>
      <w:r w:rsidR="00C108ED" w:rsidRPr="00D97515">
        <w:rPr>
          <w:lang w:eastAsia="en-AU"/>
        </w:rPr>
        <w:t>s t</w:t>
      </w:r>
      <w:r>
        <w:rPr>
          <w:lang w:eastAsia="en-AU"/>
        </w:rPr>
        <w:t>he recipient of the supply: see</w:t>
      </w:r>
      <w:r w:rsidR="00C108ED" w:rsidRPr="00D97515">
        <w:rPr>
          <w:i/>
          <w:iCs/>
          <w:lang w:eastAsia="en-AU"/>
        </w:rPr>
        <w:t xml:space="preserve"> </w:t>
      </w:r>
      <w:r w:rsidR="00C108ED" w:rsidRPr="00D97515">
        <w:rPr>
          <w:lang w:eastAsia="en-AU"/>
        </w:rPr>
        <w:t>for exampl</w:t>
      </w:r>
      <w:r>
        <w:rPr>
          <w:lang w:eastAsia="en-AU"/>
        </w:rPr>
        <w:t>e</w:t>
      </w:r>
      <w:r w:rsidR="00C108ED" w:rsidRPr="00D97515">
        <w:rPr>
          <w:lang w:eastAsia="en-AU"/>
        </w:rPr>
        <w:t xml:space="preserve"> </w:t>
      </w:r>
      <w:r w:rsidRPr="009D4BB4">
        <w:rPr>
          <w:i/>
          <w:lang w:eastAsia="en-AU"/>
        </w:rPr>
        <w:t xml:space="preserve">Sterling Guardian Pty Ltd v </w:t>
      </w:r>
      <w:proofErr w:type="spellStart"/>
      <w:r w:rsidRPr="009D4BB4">
        <w:rPr>
          <w:i/>
          <w:lang w:eastAsia="en-AU"/>
        </w:rPr>
        <w:t>Cmr</w:t>
      </w:r>
      <w:proofErr w:type="spellEnd"/>
      <w:r w:rsidRPr="009D4BB4">
        <w:rPr>
          <w:i/>
          <w:lang w:eastAsia="en-AU"/>
        </w:rPr>
        <w:t xml:space="preserve"> of Taxation </w:t>
      </w:r>
      <w:r>
        <w:rPr>
          <w:lang w:eastAsia="en-AU"/>
        </w:rPr>
        <w:t>(2006) 149 FCR 255; 228 ALR 712; [2006] FCAFC 12 at [15]</w:t>
      </w:r>
      <w:r w:rsidR="00C108ED" w:rsidRPr="009D4BB4">
        <w:rPr>
          <w:lang w:eastAsia="en-AU"/>
        </w:rPr>
        <w:t>.</w:t>
      </w:r>
      <w:r w:rsidR="00C108ED" w:rsidRPr="009D4BB4">
        <w:rPr>
          <w:iCs/>
          <w:lang w:eastAsia="en-AU"/>
        </w:rPr>
        <w:t xml:space="preserve"> </w:t>
      </w:r>
      <w:r w:rsidR="00C108ED" w:rsidRPr="00D97515">
        <w:rPr>
          <w:lang w:eastAsia="en-AU"/>
        </w:rPr>
        <w:t>As a result, to determine the eligibility of entitlement to input tax credits, the</w:t>
      </w:r>
      <w:r w:rsidR="00C108ED" w:rsidRPr="00D97515">
        <w:rPr>
          <w:i/>
          <w:iCs/>
          <w:lang w:eastAsia="en-AU"/>
        </w:rPr>
        <w:t xml:space="preserve"> </w:t>
      </w:r>
      <w:r w:rsidR="00C108ED" w:rsidRPr="00D97515">
        <w:rPr>
          <w:lang w:eastAsia="en-AU"/>
        </w:rPr>
        <w:t>relevant perspective is the standpoint of the entity:</w:t>
      </w:r>
      <w:r>
        <w:rPr>
          <w:lang w:eastAsia="en-AU"/>
        </w:rPr>
        <w:t xml:space="preserve"> compare </w:t>
      </w:r>
      <w:proofErr w:type="spellStart"/>
      <w:r w:rsidRPr="009D4BB4">
        <w:rPr>
          <w:i/>
          <w:lang w:eastAsia="en-AU"/>
        </w:rPr>
        <w:t>Redrow</w:t>
      </w:r>
      <w:proofErr w:type="spellEnd"/>
      <w:r>
        <w:rPr>
          <w:lang w:eastAsia="en-AU"/>
        </w:rPr>
        <w:t xml:space="preserve"> at All ER 6; WLR 412</w:t>
      </w:r>
      <w:r w:rsidR="00C108ED" w:rsidRPr="00D97515">
        <w:rPr>
          <w:lang w:eastAsia="en-AU"/>
        </w:rPr>
        <w:t>.</w:t>
      </w:r>
    </w:p>
    <w:p w14:paraId="36330F0F" w14:textId="607E8845" w:rsidR="00C108ED" w:rsidRPr="00D97515" w:rsidRDefault="009D4BB4" w:rsidP="009D4BB4">
      <w:pPr>
        <w:pStyle w:val="Quote1"/>
        <w:ind w:left="1440" w:hanging="703"/>
        <w:rPr>
          <w:lang w:eastAsia="en-AU"/>
        </w:rPr>
      </w:pPr>
      <w:r>
        <w:rPr>
          <w:lang w:eastAsia="en-AU"/>
        </w:rPr>
        <w:t>(</w:t>
      </w:r>
      <w:r w:rsidR="00C108ED" w:rsidRPr="00D97515">
        <w:rPr>
          <w:lang w:eastAsia="en-AU"/>
        </w:rPr>
        <w:t>6</w:t>
      </w:r>
      <w:r>
        <w:rPr>
          <w:lang w:eastAsia="en-AU"/>
        </w:rPr>
        <w:t>)</w:t>
      </w:r>
      <w:r w:rsidR="00C108ED" w:rsidRPr="00D97515">
        <w:rPr>
          <w:lang w:eastAsia="en-AU"/>
        </w:rPr>
        <w:tab/>
        <w:t>There is nothing in the GST Act or its explanatory material to prohibit one se</w:t>
      </w:r>
      <w:r w:rsidR="00061300">
        <w:rPr>
          <w:lang w:eastAsia="en-AU"/>
        </w:rPr>
        <w:t>t of acts constituting two</w:t>
      </w:r>
      <w:r w:rsidR="00C108ED" w:rsidRPr="00D97515">
        <w:rPr>
          <w:lang w:eastAsia="en-AU"/>
        </w:rPr>
        <w:t xml:space="preserve"> or more supplies. Relevantly, this may include “the right to have goods delivered or services rendered to a third party … [where] the grant of such a right is itself a supply of services”:</w:t>
      </w:r>
      <w:r w:rsidRPr="009D4BB4">
        <w:t xml:space="preserve"> </w:t>
      </w:r>
      <w:proofErr w:type="spellStart"/>
      <w:r w:rsidRPr="009D4BB4">
        <w:rPr>
          <w:i/>
          <w:lang w:eastAsia="en-AU"/>
        </w:rPr>
        <w:t>Redrow</w:t>
      </w:r>
      <w:proofErr w:type="spellEnd"/>
      <w:r>
        <w:rPr>
          <w:lang w:eastAsia="en-AU"/>
        </w:rPr>
        <w:t xml:space="preserve"> at All ER 11; WLR 418; </w:t>
      </w:r>
      <w:proofErr w:type="spellStart"/>
      <w:r w:rsidRPr="009D4BB4">
        <w:rPr>
          <w:i/>
          <w:lang w:eastAsia="en-AU"/>
        </w:rPr>
        <w:t>Plantiflor</w:t>
      </w:r>
      <w:proofErr w:type="spellEnd"/>
      <w:r>
        <w:rPr>
          <w:lang w:eastAsia="en-AU"/>
        </w:rPr>
        <w:t xml:space="preserve"> at [32], [50]and [55]; </w:t>
      </w:r>
      <w:r w:rsidRPr="009D4BB4">
        <w:rPr>
          <w:i/>
          <w:lang w:eastAsia="en-AU"/>
        </w:rPr>
        <w:t>Ashfield District Council v Customs and Excise Commissioners</w:t>
      </w:r>
      <w:r>
        <w:rPr>
          <w:lang w:eastAsia="en-AU"/>
        </w:rPr>
        <w:t xml:space="preserve"> [2001] STC 1706</w:t>
      </w:r>
      <w:r w:rsidR="00C108ED" w:rsidRPr="00D97515">
        <w:rPr>
          <w:lang w:eastAsia="en-AU"/>
        </w:rPr>
        <w:t>.</w:t>
      </w:r>
    </w:p>
    <w:p w14:paraId="1916A8BB" w14:textId="36686F8F" w:rsidR="00C108ED" w:rsidRPr="00D97515" w:rsidRDefault="00C108ED" w:rsidP="008E6C89">
      <w:pPr>
        <w:pStyle w:val="ParaNumbering"/>
      </w:pPr>
      <w:r w:rsidRPr="00D97515">
        <w:t xml:space="preserve">Nothing in the decision of the majority on appeal </w:t>
      </w:r>
      <w:r w:rsidR="008E6C89">
        <w:t xml:space="preserve">in </w:t>
      </w:r>
      <w:r w:rsidR="008E6C89" w:rsidRPr="00C27689">
        <w:rPr>
          <w:i/>
        </w:rPr>
        <w:t>Department of Transport FC</w:t>
      </w:r>
      <w:r w:rsidR="008E6C89">
        <w:t xml:space="preserve"> </w:t>
      </w:r>
      <w:r w:rsidRPr="00D97515">
        <w:t>cast doubt on these statements of principle.  They generally flow from the breadth of the term “acquisition” by virtue of its definition in s 11</w:t>
      </w:r>
      <w:r w:rsidR="00E136C5">
        <w:t>‑</w:t>
      </w:r>
      <w:r w:rsidRPr="00D97515">
        <w:t>15.</w:t>
      </w:r>
    </w:p>
    <w:p w14:paraId="73907D9F" w14:textId="730588F9" w:rsidR="00D125E8" w:rsidRPr="00D97515" w:rsidRDefault="00C108ED" w:rsidP="008E6C89">
      <w:pPr>
        <w:pStyle w:val="ParaNumbering"/>
      </w:pPr>
      <w:r w:rsidRPr="00D97515">
        <w:lastRenderedPageBreak/>
        <w:t>In the present case, by the arrangement agreed between the Applicant and the legal advisors, services were provided to the Beneficiar</w:t>
      </w:r>
      <w:r w:rsidR="008E6C89">
        <w:t>ies</w:t>
      </w:r>
      <w:r w:rsidRPr="00D97515">
        <w:t xml:space="preserve"> at the effective request of the Applicant.  By the terms of the arrangements with the advisors, the Applicant acquired a right to require the legal advisor to provide legal services to the Beneficiar</w:t>
      </w:r>
      <w:r w:rsidR="008E6C89" w:rsidRPr="008E6C89">
        <w:t>ies</w:t>
      </w:r>
      <w:r w:rsidRPr="00D97515">
        <w:t xml:space="preserve">. </w:t>
      </w:r>
      <w:r w:rsidR="00D125E8" w:rsidRPr="00D97515">
        <w:t xml:space="preserve"> The Applicant acquired from the legal advisor who provided legal services to the Beneficiar</w:t>
      </w:r>
      <w:r w:rsidR="008E6C89">
        <w:t>ies</w:t>
      </w:r>
      <w:r w:rsidR="00D125E8" w:rsidRPr="00D97515">
        <w:t xml:space="preserve"> a service — the provision of legal advice or services to the Beneficiar</w:t>
      </w:r>
      <w:r w:rsidR="008E6C89">
        <w:t>ies</w:t>
      </w:r>
      <w:r w:rsidR="00D125E8" w:rsidRPr="00D97515">
        <w:t>.  That service was acquired by the Applicant in implementation of the arrangement it had agreed with the legal service providers.  When legal services were provided to the Beneficiaries and invoiced to the Applicant, the Applicant became liable for the payment.  There was an acquisition by the Applicant each time legal services were provided to the Beneficiar</w:t>
      </w:r>
      <w:r w:rsidR="00073507">
        <w:t>ies</w:t>
      </w:r>
      <w:r w:rsidR="00D125E8" w:rsidRPr="00D97515">
        <w:t>.  The occasion for the payment was the provision of legal services to the Beneficiar</w:t>
      </w:r>
      <w:r w:rsidR="00542114">
        <w:t>ies</w:t>
      </w:r>
      <w:r w:rsidR="00D125E8" w:rsidRPr="00D97515">
        <w:t xml:space="preserve">.  It was at that point that the Applicant may be said to have assumed a liability to pay for the legal services.  Although it was the </w:t>
      </w:r>
      <w:r w:rsidR="00542114">
        <w:t xml:space="preserve">relevant </w:t>
      </w:r>
      <w:r w:rsidR="00D125E8" w:rsidRPr="00D97515">
        <w:t>Beneficiary or their authorised representative (generally</w:t>
      </w:r>
      <w:r w:rsidR="00B242B4">
        <w:t>,</w:t>
      </w:r>
      <w:r w:rsidR="00D125E8" w:rsidRPr="00D97515">
        <w:t xml:space="preserve"> Mr </w:t>
      </w:r>
      <w:r w:rsidR="00B242B4">
        <w:t xml:space="preserve">William </w:t>
      </w:r>
      <w:proofErr w:type="spellStart"/>
      <w:r w:rsidR="00D125E8" w:rsidRPr="00D97515">
        <w:t>Lewski</w:t>
      </w:r>
      <w:proofErr w:type="spellEnd"/>
      <w:r w:rsidR="00D125E8" w:rsidRPr="00D97515">
        <w:t>) who instructed the legal service providers, the advice and service was provided by the legal service provider effectively at the request of the Applicant.  In these circumstances, the Applicant acquired from the legal service provider</w:t>
      </w:r>
      <w:r w:rsidR="00542114">
        <w:t>s</w:t>
      </w:r>
      <w:r w:rsidR="00D125E8" w:rsidRPr="00D97515">
        <w:t xml:space="preserve"> a service, being the provision of legal advice or legal services to the Beneficiar</w:t>
      </w:r>
      <w:r w:rsidR="00073507">
        <w:t>ies</w:t>
      </w:r>
      <w:r w:rsidR="00D125E8" w:rsidRPr="00D97515">
        <w:t>.</w:t>
      </w:r>
    </w:p>
    <w:p w14:paraId="1553DFC2" w14:textId="7818CB05" w:rsidR="00C108ED" w:rsidRPr="00D97515" w:rsidRDefault="00C108ED" w:rsidP="00C108ED">
      <w:pPr>
        <w:pStyle w:val="ParaNumbering"/>
      </w:pPr>
      <w:r w:rsidRPr="00D97515">
        <w:t>There was an acquisition by the Applicant for the purposes of s 11</w:t>
      </w:r>
      <w:r w:rsidR="00E136C5">
        <w:t>‑</w:t>
      </w:r>
      <w:proofErr w:type="gramStart"/>
      <w:r w:rsidRPr="00D97515">
        <w:t>5(</w:t>
      </w:r>
      <w:proofErr w:type="gramEnd"/>
      <w:r w:rsidRPr="00D97515">
        <w:t xml:space="preserve">a) of the </w:t>
      </w:r>
      <w:r w:rsidRPr="009A01C9">
        <w:rPr>
          <w:i/>
        </w:rPr>
        <w:t>GST Act</w:t>
      </w:r>
      <w:r w:rsidRPr="00D97515">
        <w:t xml:space="preserve"> and the supply to the </w:t>
      </w:r>
      <w:r w:rsidR="00253AC4">
        <w:t>Applicant</w:t>
      </w:r>
      <w:r w:rsidRPr="00D97515">
        <w:t xml:space="preserve"> was a taxable supply within the meaning of s 11</w:t>
      </w:r>
      <w:r w:rsidR="00E136C5">
        <w:t>‑</w:t>
      </w:r>
      <w:r w:rsidRPr="00D97515">
        <w:t>5(b).</w:t>
      </w:r>
    </w:p>
    <w:p w14:paraId="4DBBD670" w14:textId="72917F9F" w:rsidR="00C108ED" w:rsidRPr="00D97515" w:rsidRDefault="00C108ED" w:rsidP="00C108ED">
      <w:pPr>
        <w:pStyle w:val="ParaNumbering"/>
      </w:pPr>
      <w:r w:rsidRPr="00D97515">
        <w:t xml:space="preserve">However, as explained below, the fact that the </w:t>
      </w:r>
      <w:r w:rsidR="00253AC4">
        <w:t>Applicant</w:t>
      </w:r>
      <w:r w:rsidRPr="00D97515">
        <w:t xml:space="preserve"> may have </w:t>
      </w:r>
      <w:r w:rsidR="00B209F5" w:rsidRPr="00D97515">
        <w:t>made an acquisition</w:t>
      </w:r>
      <w:r w:rsidRPr="00D97515">
        <w:t xml:space="preserve"> from the lawyers does not mean that the </w:t>
      </w:r>
      <w:r w:rsidR="00253AC4">
        <w:t>Applicant</w:t>
      </w:r>
      <w:r w:rsidRPr="00D97515">
        <w:t>’s acquisition was for a creditable purpose.  Pursuant to s 11</w:t>
      </w:r>
      <w:r w:rsidR="00E136C5">
        <w:t>‑</w:t>
      </w:r>
      <w:proofErr w:type="gramStart"/>
      <w:r w:rsidRPr="00D97515">
        <w:t>15(</w:t>
      </w:r>
      <w:proofErr w:type="gramEnd"/>
      <w:r w:rsidRPr="00D97515">
        <w:t>1)</w:t>
      </w:r>
      <w:r w:rsidR="00B242B4">
        <w:t>,</w:t>
      </w:r>
      <w:r w:rsidRPr="00D97515">
        <w:t xml:space="preserve"> a thing is acquired for a creditable purpose to the extent that it is acquired in carrying on an enterprise.  It is therefore necessary to examine the nexus between the acquisition and the </w:t>
      </w:r>
      <w:r w:rsidR="00253AC4">
        <w:t>Applicant</w:t>
      </w:r>
      <w:r w:rsidRPr="00D97515">
        <w:t>’s enterprise.</w:t>
      </w:r>
    </w:p>
    <w:p w14:paraId="3A1E7309" w14:textId="12274EB6" w:rsidR="00C108ED" w:rsidRPr="00A55CD3" w:rsidRDefault="00C108ED" w:rsidP="00C27689">
      <w:pPr>
        <w:pStyle w:val="Heading2"/>
      </w:pPr>
      <w:r w:rsidRPr="00D97515">
        <w:t xml:space="preserve">Whether the </w:t>
      </w:r>
      <w:r w:rsidR="00253AC4">
        <w:t>Applicant</w:t>
      </w:r>
      <w:r w:rsidRPr="00D97515">
        <w:t>’s acquisitions were made in carrying on an enterprise?</w:t>
      </w:r>
    </w:p>
    <w:p w14:paraId="729B2CDC" w14:textId="7FBE33F6" w:rsidR="00C108ED" w:rsidRPr="00D97515" w:rsidRDefault="00C108ED" w:rsidP="00C108ED">
      <w:pPr>
        <w:pStyle w:val="ParaNumbering"/>
      </w:pPr>
      <w:r w:rsidRPr="00A55CD3">
        <w:t xml:space="preserve">The </w:t>
      </w:r>
      <w:r w:rsidR="00253AC4">
        <w:t>Applicant</w:t>
      </w:r>
      <w:r w:rsidRPr="00A55CD3">
        <w:t>’s description of its relevant enterprise was somewhat fluid</w:t>
      </w:r>
      <w:r w:rsidR="00B242B4">
        <w:t xml:space="preserve"> and amorphous</w:t>
      </w:r>
      <w:r w:rsidRPr="00A55CD3">
        <w:t>.</w:t>
      </w:r>
      <w:r w:rsidR="00B242B4">
        <w:t xml:space="preserve"> </w:t>
      </w:r>
      <w:r w:rsidRPr="00A55CD3">
        <w:t xml:space="preserve"> By its written submissions, it was contended that the Applicant carried on an enterprise which involved it managing litigation, tax, legal, regulatory compliance and commercial matters for the </w:t>
      </w:r>
      <w:proofErr w:type="spellStart"/>
      <w:r w:rsidRPr="00A55CD3">
        <w:t>Lewski</w:t>
      </w:r>
      <w:proofErr w:type="spellEnd"/>
      <w:r w:rsidRPr="00A55CD3">
        <w:t xml:space="preserve"> Family Group and/or involved the procurement of legal services for members of the </w:t>
      </w:r>
      <w:proofErr w:type="spellStart"/>
      <w:r w:rsidRPr="00A55CD3">
        <w:t>Lewski</w:t>
      </w:r>
      <w:proofErr w:type="spellEnd"/>
      <w:r w:rsidRPr="00A55CD3">
        <w:t xml:space="preserve"> Family Group.  The </w:t>
      </w:r>
      <w:r w:rsidR="00253AC4">
        <w:t>Applicant</w:t>
      </w:r>
      <w:r w:rsidRPr="00A55CD3">
        <w:t xml:space="preserve"> received distributions, fees and dividends.  </w:t>
      </w:r>
      <w:r w:rsidR="000C509D">
        <w:t>It was submitted that t</w:t>
      </w:r>
      <w:r w:rsidRPr="00A55CD3">
        <w:t xml:space="preserve">he Applicant acquired the Litigation Services and Other Services while carrying on its enterprise of providing services and information to the members of the </w:t>
      </w:r>
      <w:proofErr w:type="spellStart"/>
      <w:r w:rsidRPr="00A55CD3">
        <w:t>Lewski</w:t>
      </w:r>
      <w:proofErr w:type="spellEnd"/>
      <w:r w:rsidRPr="00A55CD3">
        <w:t xml:space="preserve"> Family Group.</w:t>
      </w:r>
    </w:p>
    <w:p w14:paraId="4614F852" w14:textId="4F67CD79" w:rsidR="00C108ED" w:rsidRPr="00D97515" w:rsidRDefault="00C108ED" w:rsidP="00B27177">
      <w:pPr>
        <w:pStyle w:val="ParaNumbering"/>
      </w:pPr>
      <w:r w:rsidRPr="00B27177">
        <w:lastRenderedPageBreak/>
        <w:t xml:space="preserve">Although the Commissioner did not dispute that the </w:t>
      </w:r>
      <w:r w:rsidR="00253AC4">
        <w:t>Applicant</w:t>
      </w:r>
      <w:r w:rsidRPr="00B27177">
        <w:t xml:space="preserve"> was engaged in carrying on some form of enterprise which involved the provision of management</w:t>
      </w:r>
      <w:r w:rsidR="00B27177">
        <w:t>‑</w:t>
      </w:r>
      <w:r w:rsidRPr="00B27177">
        <w:t xml:space="preserve">related services to the Reynolds Road Property Trust (involving property syndication) and in respect of Glendale </w:t>
      </w:r>
      <w:r w:rsidR="00B27177">
        <w:t xml:space="preserve">RV </w:t>
      </w:r>
      <w:r w:rsidR="00B27177" w:rsidRPr="00B27177">
        <w:rPr>
          <w:szCs w:val="24"/>
        </w:rPr>
        <w:t>Syndication Pty Ltd</w:t>
      </w:r>
      <w:r w:rsidRPr="00B27177">
        <w:t>, he contended th</w:t>
      </w:r>
      <w:r w:rsidR="00253AC4">
        <w:t>at the nature and extent of the</w:t>
      </w:r>
      <w:r w:rsidRPr="00B27177">
        <w:t xml:space="preserve"> Applicant’s enterprise did not extend to include its litigation funding activities or the provision of consulting or advisory services to which the Litigation Services and Other Services related.</w:t>
      </w:r>
    </w:p>
    <w:p w14:paraId="2D873A22" w14:textId="118A11E5" w:rsidR="00C108ED" w:rsidRPr="00D97515" w:rsidRDefault="00C108ED" w:rsidP="00573241">
      <w:pPr>
        <w:pStyle w:val="ParaNumbering"/>
      </w:pPr>
      <w:r w:rsidRPr="00D97515">
        <w:t xml:space="preserve">In the </w:t>
      </w:r>
      <w:r w:rsidRPr="00D97515">
        <w:rPr>
          <w:i/>
        </w:rPr>
        <w:t xml:space="preserve">Department of Transport </w:t>
      </w:r>
      <w:r w:rsidRPr="00D97515">
        <w:t>case, given that the taxpayer was a State government department</w:t>
      </w:r>
      <w:r w:rsidR="00E26CD4">
        <w:t>,</w:t>
      </w:r>
      <w:r w:rsidRPr="00D97515">
        <w:t xml:space="preserve"> it was not necessary or relevant to consider whether the Department was carrying on a form of business or adventure in the nature of trade.  </w:t>
      </w:r>
      <w:r w:rsidRPr="00D97515">
        <w:rPr>
          <w:shd w:val="clear" w:color="auto" w:fill="FFFFFF"/>
        </w:rPr>
        <w:t>There had been no dispute that the MPTP was an activity or series of activities done by the State through one of its executive arms, the D</w:t>
      </w:r>
      <w:r w:rsidR="00E26CD4">
        <w:rPr>
          <w:shd w:val="clear" w:color="auto" w:fill="FFFFFF"/>
        </w:rPr>
        <w:t>epartment</w:t>
      </w:r>
      <w:r w:rsidR="009170DE">
        <w:rPr>
          <w:shd w:val="clear" w:color="auto" w:fill="FFFFFF"/>
        </w:rPr>
        <w:t xml:space="preserve"> </w:t>
      </w:r>
      <w:r w:rsidRPr="00D97515">
        <w:rPr>
          <w:shd w:val="clear" w:color="auto" w:fill="FFFFFF"/>
        </w:rPr>
        <w:t xml:space="preserve">and </w:t>
      </w:r>
      <w:r w:rsidR="009170DE">
        <w:rPr>
          <w:shd w:val="clear" w:color="auto" w:fill="FFFFFF"/>
        </w:rPr>
        <w:t xml:space="preserve">was, </w:t>
      </w:r>
      <w:r w:rsidRPr="00D97515">
        <w:rPr>
          <w:shd w:val="clear" w:color="auto" w:fill="FFFFFF"/>
        </w:rPr>
        <w:t>therefore</w:t>
      </w:r>
      <w:r w:rsidR="009170DE">
        <w:rPr>
          <w:shd w:val="clear" w:color="auto" w:fill="FFFFFF"/>
        </w:rPr>
        <w:t>,</w:t>
      </w:r>
      <w:r w:rsidRPr="00D97515">
        <w:rPr>
          <w:shd w:val="clear" w:color="auto" w:fill="FFFFFF"/>
        </w:rPr>
        <w:t xml:space="preserve"> an enterprise within s 9</w:t>
      </w:r>
      <w:r w:rsidR="00E136C5">
        <w:rPr>
          <w:shd w:val="clear" w:color="auto" w:fill="FFFFFF"/>
        </w:rPr>
        <w:t>‑</w:t>
      </w:r>
      <w:proofErr w:type="gramStart"/>
      <w:r w:rsidRPr="00D97515">
        <w:rPr>
          <w:shd w:val="clear" w:color="auto" w:fill="FFFFFF"/>
        </w:rPr>
        <w:t>20(</w:t>
      </w:r>
      <w:proofErr w:type="gramEnd"/>
      <w:r w:rsidRPr="00D97515">
        <w:rPr>
          <w:shd w:val="clear" w:color="auto" w:fill="FFFFFF"/>
        </w:rPr>
        <w:t xml:space="preserve">1)(g) of the </w:t>
      </w:r>
      <w:r w:rsidRPr="009A01C9">
        <w:rPr>
          <w:i/>
          <w:shd w:val="clear" w:color="auto" w:fill="FFFFFF"/>
        </w:rPr>
        <w:t>GST Act</w:t>
      </w:r>
      <w:r w:rsidR="009170DE">
        <w:rPr>
          <w:shd w:val="clear" w:color="auto" w:fill="FFFFFF"/>
        </w:rPr>
        <w:t>:</w:t>
      </w:r>
      <w:r w:rsidRPr="00D97515">
        <w:rPr>
          <w:shd w:val="clear" w:color="auto" w:fill="FFFFFF"/>
        </w:rPr>
        <w:t xml:space="preserve"> </w:t>
      </w:r>
      <w:r w:rsidRPr="00D97515">
        <w:rPr>
          <w:i/>
          <w:shd w:val="clear" w:color="auto" w:fill="FFFFFF"/>
        </w:rPr>
        <w:t xml:space="preserve">Department of Transport </w:t>
      </w:r>
      <w:r w:rsidRPr="00D97515">
        <w:rPr>
          <w:shd w:val="clear" w:color="auto" w:fill="FFFFFF"/>
        </w:rPr>
        <w:t>at</w:t>
      </w:r>
      <w:r w:rsidRPr="00D97515">
        <w:t xml:space="preserve"> </w:t>
      </w:r>
      <w:r w:rsidR="00E26CD4">
        <w:t xml:space="preserve">700 </w:t>
      </w:r>
      <w:r w:rsidRPr="00D97515">
        <w:t>[37]</w:t>
      </w:r>
      <w:r w:rsidR="009170DE">
        <w:t xml:space="preserve"> (</w:t>
      </w:r>
      <w:r w:rsidR="009170DE" w:rsidRPr="009170DE">
        <w:t>Gordon J</w:t>
      </w:r>
      <w:r w:rsidRPr="00D97515">
        <w:t xml:space="preserve">).  The connection between the taxi transport services acquired and the statutory objects and functions of the Department explained the acquisition by the Department.  The taxi </w:t>
      </w:r>
      <w:r w:rsidR="00573241">
        <w:t xml:space="preserve">cab </w:t>
      </w:r>
      <w:r w:rsidRPr="00D97515">
        <w:t>operator provided the Department with a benefit in line with its statutory objects; namely, the transportation of passengers</w:t>
      </w:r>
      <w:r w:rsidR="00573241">
        <w:t xml:space="preserve"> with </w:t>
      </w:r>
      <w:r w:rsidR="009170DE">
        <w:t>disability</w:t>
      </w:r>
      <w:r w:rsidRPr="00D97515">
        <w:t>.</w:t>
      </w:r>
    </w:p>
    <w:p w14:paraId="37CDE3BF" w14:textId="60D7A724" w:rsidR="00C108ED" w:rsidRPr="00D97515" w:rsidRDefault="00C108ED" w:rsidP="001A7AD6">
      <w:pPr>
        <w:pStyle w:val="ParaNumbering"/>
      </w:pPr>
      <w:r w:rsidRPr="00D97515">
        <w:t xml:space="preserve">In the present case, it is necessary to consider the extent to which the </w:t>
      </w:r>
      <w:r w:rsidR="00253AC4">
        <w:t>Applicant</w:t>
      </w:r>
      <w:r w:rsidRPr="00D97515">
        <w:t xml:space="preserve"> made its acquisitions in carrying on its enterprise.  Contrary to the </w:t>
      </w:r>
      <w:r w:rsidR="00253AC4">
        <w:t>Applicant</w:t>
      </w:r>
      <w:r w:rsidRPr="00D97515">
        <w:t xml:space="preserve">’s contention, it is not sufficient that an acquisition be made “while carrying on an enterprise”.  The phrase “in carrying on” requires more than a temporal nexus.  </w:t>
      </w:r>
      <w:r w:rsidRPr="00F446F8">
        <w:t xml:space="preserve">To use the words of Gordon J in </w:t>
      </w:r>
      <w:r w:rsidRPr="00F446F8">
        <w:rPr>
          <w:i/>
        </w:rPr>
        <w:t>Department of Transport</w:t>
      </w:r>
      <w:r w:rsidR="001A7AD6">
        <w:t xml:space="preserve"> at 705 [58] (adopting the language of </w:t>
      </w:r>
      <w:r w:rsidR="001A7AD6" w:rsidRPr="001A7AD6">
        <w:t xml:space="preserve">Lord Millett in </w:t>
      </w:r>
      <w:r w:rsidR="001A7AD6" w:rsidRPr="001A7AD6">
        <w:rPr>
          <w:i/>
        </w:rPr>
        <w:t xml:space="preserve">Customs and Excise Commissioners v </w:t>
      </w:r>
      <w:proofErr w:type="spellStart"/>
      <w:r w:rsidR="001A7AD6" w:rsidRPr="001A7AD6">
        <w:rPr>
          <w:i/>
        </w:rPr>
        <w:t>Redrow</w:t>
      </w:r>
      <w:proofErr w:type="spellEnd"/>
      <w:r w:rsidR="001A7AD6" w:rsidRPr="001A7AD6">
        <w:rPr>
          <w:i/>
        </w:rPr>
        <w:t xml:space="preserve"> Group Plc </w:t>
      </w:r>
      <w:r w:rsidR="001A7AD6" w:rsidRPr="001A7AD6">
        <w:t>[1999] 1 WLR 1999</w:t>
      </w:r>
      <w:r w:rsidR="001A7AD6">
        <w:t>)</w:t>
      </w:r>
      <w:r w:rsidRPr="001A7AD6">
        <w:t>,</w:t>
      </w:r>
      <w:r w:rsidRPr="00F446F8">
        <w:rPr>
          <w:i/>
        </w:rPr>
        <w:t xml:space="preserve"> </w:t>
      </w:r>
      <w:r w:rsidRPr="00F446F8">
        <w:t>the goods or services acquired must be used or to be used for the purposes of the enterprise.</w:t>
      </w:r>
    </w:p>
    <w:p w14:paraId="5023E9B0" w14:textId="16C5B1B8" w:rsidR="00C108ED" w:rsidRPr="00B87867" w:rsidRDefault="00C108ED" w:rsidP="00CF3884">
      <w:pPr>
        <w:pStyle w:val="ParaNumbering"/>
        <w:rPr>
          <w:shd w:val="clear" w:color="auto" w:fill="FFFFFF"/>
        </w:rPr>
      </w:pPr>
      <w:r w:rsidRPr="00B87867">
        <w:t xml:space="preserve">The nature and extent of the enterprise must be identified with some precision. </w:t>
      </w:r>
      <w:r w:rsidR="004512F0" w:rsidRPr="00B87867">
        <w:t xml:space="preserve"> Whether a taxpayer </w:t>
      </w:r>
      <w:r w:rsidRPr="00B87867">
        <w:t>is engaged in an enterprise (more specifically, a business)</w:t>
      </w:r>
      <w:r w:rsidR="001A6E9E" w:rsidRPr="00B87867">
        <w:t xml:space="preserve"> is a matter of fact and degree and </w:t>
      </w:r>
      <w:r w:rsidRPr="00B87867">
        <w:t>requires a “wide survey and exact scrutiny” of the taxpayer’s activities</w:t>
      </w:r>
      <w:r w:rsidR="00F81FDF" w:rsidRPr="00B87867">
        <w:t xml:space="preserve">: </w:t>
      </w:r>
      <w:r w:rsidR="003B0D46" w:rsidRPr="00B87867">
        <w:rPr>
          <w:i/>
        </w:rPr>
        <w:t xml:space="preserve">Federal </w:t>
      </w:r>
      <w:r w:rsidR="00F81FDF" w:rsidRPr="00B87867">
        <w:rPr>
          <w:i/>
          <w:iCs/>
          <w:shd w:val="clear" w:color="auto" w:fill="FFFFFF"/>
        </w:rPr>
        <w:t>Commissioner of Taxation v Montgomery</w:t>
      </w:r>
      <w:r w:rsidR="00F81FDF" w:rsidRPr="00B87867">
        <w:rPr>
          <w:shd w:val="clear" w:color="auto" w:fill="FFFFFF"/>
        </w:rPr>
        <w:t xml:space="preserve"> [1999] HCA 34; 198 CLR 639 at </w:t>
      </w:r>
      <w:r w:rsidR="003B0D46" w:rsidRPr="00B87867">
        <w:rPr>
          <w:shd w:val="clear" w:color="auto" w:fill="FFFFFF"/>
        </w:rPr>
        <w:t xml:space="preserve">663 </w:t>
      </w:r>
      <w:r w:rsidR="00F81FDF" w:rsidRPr="00B87867">
        <w:rPr>
          <w:shd w:val="clear" w:color="auto" w:fill="FFFFFF"/>
        </w:rPr>
        <w:t>[69] (</w:t>
      </w:r>
      <w:proofErr w:type="spellStart"/>
      <w:r w:rsidR="003B0D46" w:rsidRPr="00B87867">
        <w:rPr>
          <w:shd w:val="clear" w:color="auto" w:fill="FFFFFF"/>
        </w:rPr>
        <w:t>Gaudron</w:t>
      </w:r>
      <w:proofErr w:type="spellEnd"/>
      <w:r w:rsidR="003B0D46" w:rsidRPr="00B87867">
        <w:rPr>
          <w:shd w:val="clear" w:color="auto" w:fill="FFFFFF"/>
        </w:rPr>
        <w:t xml:space="preserve">, </w:t>
      </w:r>
      <w:proofErr w:type="spellStart"/>
      <w:r w:rsidR="003B0D46" w:rsidRPr="00B87867">
        <w:rPr>
          <w:shd w:val="clear" w:color="auto" w:fill="FFFFFF"/>
        </w:rPr>
        <w:t>Gummow</w:t>
      </w:r>
      <w:proofErr w:type="spellEnd"/>
      <w:r w:rsidR="003B0D46" w:rsidRPr="00B87867">
        <w:rPr>
          <w:shd w:val="clear" w:color="auto" w:fill="FFFFFF"/>
        </w:rPr>
        <w:t>, Kirby and Hayne JJ</w:t>
      </w:r>
      <w:r w:rsidR="00F81FDF" w:rsidRPr="00B87867">
        <w:rPr>
          <w:shd w:val="clear" w:color="auto" w:fill="FFFFFF"/>
        </w:rPr>
        <w:t>)</w:t>
      </w:r>
      <w:r w:rsidR="003B0D46" w:rsidRPr="00B87867">
        <w:rPr>
          <w:shd w:val="clear" w:color="auto" w:fill="FFFFFF"/>
        </w:rPr>
        <w:t xml:space="preserve">, quoting </w:t>
      </w:r>
      <w:r w:rsidR="003B0D46" w:rsidRPr="00B87867">
        <w:rPr>
          <w:i/>
          <w:iCs/>
          <w:shd w:val="clear" w:color="auto" w:fill="FFFFFF"/>
        </w:rPr>
        <w:t xml:space="preserve">Western Gold Mines NL v Commissioner of Taxation (WA) </w:t>
      </w:r>
      <w:r w:rsidR="003B0D46" w:rsidRPr="00B87867">
        <w:rPr>
          <w:shd w:val="clear" w:color="auto" w:fill="FFFFFF"/>
        </w:rPr>
        <w:t>(1938) 59 CLR 729 at 740 (Dixon and Evatt JJ)</w:t>
      </w:r>
      <w:r w:rsidR="00B87867" w:rsidRPr="00B87867">
        <w:t xml:space="preserve">; </w:t>
      </w:r>
      <w:r w:rsidR="00B87867" w:rsidRPr="00B87867">
        <w:rPr>
          <w:b/>
          <w:i/>
        </w:rPr>
        <w:t>Watson</w:t>
      </w:r>
      <w:r w:rsidR="00B87867" w:rsidRPr="00B87867">
        <w:rPr>
          <w:i/>
        </w:rPr>
        <w:t xml:space="preserve"> v Federal Commissioner of Taxation</w:t>
      </w:r>
      <w:r w:rsidR="00B87867" w:rsidRPr="00B87867">
        <w:t xml:space="preserve"> [2020] FCAFC 92; (2020) 277 FCR 253 at 263 [36] (Kenny, Davies and </w:t>
      </w:r>
      <w:proofErr w:type="spellStart"/>
      <w:r w:rsidR="00B87867" w:rsidRPr="00B87867">
        <w:t>Thawley</w:t>
      </w:r>
      <w:proofErr w:type="spellEnd"/>
      <w:r w:rsidR="00B87867" w:rsidRPr="00B87867">
        <w:t> JJ)</w:t>
      </w:r>
      <w:r w:rsidRPr="00B87867">
        <w:t>.</w:t>
      </w:r>
    </w:p>
    <w:p w14:paraId="13C92AEE" w14:textId="1483CCE1" w:rsidR="00C108ED" w:rsidRPr="00D97515" w:rsidRDefault="00C108ED" w:rsidP="00673756">
      <w:pPr>
        <w:pStyle w:val="ParaNumbering"/>
      </w:pPr>
      <w:r w:rsidRPr="00D97515">
        <w:t xml:space="preserve">Edmonds J considered in </w:t>
      </w:r>
      <w:r w:rsidRPr="00D97515">
        <w:rPr>
          <w:i/>
        </w:rPr>
        <w:t>Professional Admin Service Centres</w:t>
      </w:r>
      <w:r w:rsidRPr="00D97515">
        <w:t xml:space="preserve"> that </w:t>
      </w:r>
      <w:r w:rsidR="001E6DE0">
        <w:t>“</w:t>
      </w:r>
      <w:r w:rsidRPr="00D97515">
        <w:t>Australian income tax law jurisprudence has emphasised the existence of a profit</w:t>
      </w:r>
      <w:r w:rsidR="00E136C5">
        <w:t>‑</w:t>
      </w:r>
      <w:r w:rsidRPr="00D97515">
        <w:t>making purpose as a necessary indicia to a finding that activities amount to a business</w:t>
      </w:r>
      <w:r w:rsidR="001E6DE0">
        <w:t>”</w:t>
      </w:r>
      <w:r w:rsidR="00673756">
        <w:t xml:space="preserve">: </w:t>
      </w:r>
      <w:r w:rsidR="00F81FDF">
        <w:t xml:space="preserve">at </w:t>
      </w:r>
      <w:r w:rsidR="001E6DE0">
        <w:t xml:space="preserve">457 </w:t>
      </w:r>
      <w:r w:rsidR="00F81FDF">
        <w:t>[</w:t>
      </w:r>
      <w:r w:rsidR="00537CDA">
        <w:t>60</w:t>
      </w:r>
      <w:r w:rsidR="00F81FDF">
        <w:t>]</w:t>
      </w:r>
      <w:r w:rsidRPr="00D97515">
        <w:t xml:space="preserve">.  The Full Court in </w:t>
      </w:r>
      <w:r w:rsidRPr="00D97515">
        <w:rPr>
          <w:i/>
        </w:rPr>
        <w:t>Watson</w:t>
      </w:r>
      <w:r w:rsidR="007E712B">
        <w:rPr>
          <w:i/>
        </w:rPr>
        <w:t xml:space="preserve"> </w:t>
      </w:r>
      <w:r w:rsidR="001A6E9E">
        <w:lastRenderedPageBreak/>
        <w:t>observed</w:t>
      </w:r>
      <w:r w:rsidR="001A6E9E" w:rsidRPr="00D97515">
        <w:t xml:space="preserve"> </w:t>
      </w:r>
      <w:r w:rsidRPr="00D97515">
        <w:t>that it is not “necessarily determinative that the activities are not conducted by a taxpayer with a view to making a profit</w:t>
      </w:r>
      <w:r w:rsidR="00F81FDF">
        <w:t>” and that</w:t>
      </w:r>
      <w:r w:rsidRPr="00D97515">
        <w:t xml:space="preserve"> </w:t>
      </w:r>
      <w:r w:rsidR="00F81FDF">
        <w:t>“[a]</w:t>
      </w:r>
      <w:r w:rsidRPr="00D97515">
        <w:t xml:space="preserve"> profit motive is not necessary for the activities to be characterised as a business”</w:t>
      </w:r>
      <w:r w:rsidR="00F81FDF">
        <w:t xml:space="preserve">: at </w:t>
      </w:r>
      <w:r w:rsidR="007E712B">
        <w:t xml:space="preserve">263 </w:t>
      </w:r>
      <w:r w:rsidR="00F81FDF">
        <w:t>[</w:t>
      </w:r>
      <w:r w:rsidR="007E712B">
        <w:t>36</w:t>
      </w:r>
      <w:r w:rsidR="00F81FDF">
        <w:t>] (</w:t>
      </w:r>
      <w:r w:rsidR="001225DE" w:rsidRPr="001225DE">
        <w:t xml:space="preserve">Kenny, Davies and </w:t>
      </w:r>
      <w:proofErr w:type="spellStart"/>
      <w:r w:rsidR="001225DE" w:rsidRPr="001225DE">
        <w:t>Thawley</w:t>
      </w:r>
      <w:proofErr w:type="spellEnd"/>
      <w:r w:rsidR="001225DE" w:rsidRPr="001225DE">
        <w:t xml:space="preserve"> JJ</w:t>
      </w:r>
      <w:r w:rsidR="00F81FDF">
        <w:t>)</w:t>
      </w:r>
      <w:r w:rsidR="007E712B">
        <w:t xml:space="preserve">, citing </w:t>
      </w:r>
      <w:r w:rsidR="004512F0" w:rsidRPr="00D97515">
        <w:t>the</w:t>
      </w:r>
      <w:r w:rsidRPr="00D97515">
        <w:t xml:space="preserve"> plurality in </w:t>
      </w:r>
      <w:r w:rsidR="007E712B">
        <w:rPr>
          <w:i/>
        </w:rPr>
        <w:t xml:space="preserve">Federal </w:t>
      </w:r>
      <w:r w:rsidRPr="00D97515">
        <w:rPr>
          <w:i/>
        </w:rPr>
        <w:t xml:space="preserve">Commissioner of Taxation v </w:t>
      </w:r>
      <w:r w:rsidRPr="00B356BD">
        <w:rPr>
          <w:b/>
          <w:i/>
        </w:rPr>
        <w:t>Stone</w:t>
      </w:r>
      <w:r w:rsidRPr="00D97515">
        <w:rPr>
          <w:i/>
        </w:rPr>
        <w:t xml:space="preserve"> </w:t>
      </w:r>
      <w:r w:rsidR="001225DE">
        <w:t xml:space="preserve">[2005] </w:t>
      </w:r>
      <w:r w:rsidR="001225DE" w:rsidRPr="001225DE">
        <w:t>HCA 21</w:t>
      </w:r>
      <w:r w:rsidR="001225DE">
        <w:t>;</w:t>
      </w:r>
      <w:r w:rsidR="001225DE" w:rsidRPr="001225DE">
        <w:t xml:space="preserve"> </w:t>
      </w:r>
      <w:r w:rsidRPr="00D97515">
        <w:t xml:space="preserve">(2005) 222 CLR 289 at </w:t>
      </w:r>
      <w:r w:rsidR="007E712B">
        <w:t xml:space="preserve">305 </w:t>
      </w:r>
      <w:r w:rsidRPr="00D97515">
        <w:t>[55]</w:t>
      </w:r>
      <w:r w:rsidR="001225DE">
        <w:t xml:space="preserve"> (</w:t>
      </w:r>
      <w:r w:rsidR="001225DE" w:rsidRPr="001225DE">
        <w:t xml:space="preserve">Gleeson CJ, </w:t>
      </w:r>
      <w:proofErr w:type="spellStart"/>
      <w:r w:rsidR="001225DE" w:rsidRPr="001225DE">
        <w:t>Gummow</w:t>
      </w:r>
      <w:proofErr w:type="spellEnd"/>
      <w:r w:rsidR="001225DE" w:rsidRPr="001225DE">
        <w:t xml:space="preserve">, Hayne and </w:t>
      </w:r>
      <w:proofErr w:type="spellStart"/>
      <w:r w:rsidR="001225DE" w:rsidRPr="001225DE">
        <w:t>Heydon</w:t>
      </w:r>
      <w:proofErr w:type="spellEnd"/>
      <w:r w:rsidR="001225DE" w:rsidRPr="001225DE">
        <w:t xml:space="preserve"> JJ</w:t>
      </w:r>
      <w:r w:rsidR="001225DE">
        <w:t>)</w:t>
      </w:r>
      <w:r w:rsidRPr="00D97515">
        <w:t xml:space="preserve">.  The High Court </w:t>
      </w:r>
      <w:r w:rsidR="00F81FDF">
        <w:t xml:space="preserve">in </w:t>
      </w:r>
      <w:r w:rsidR="00F81FDF" w:rsidRPr="00673756">
        <w:rPr>
          <w:i/>
        </w:rPr>
        <w:t>Stone</w:t>
      </w:r>
      <w:r w:rsidR="00F81FDF" w:rsidRPr="00D97515">
        <w:t xml:space="preserve"> </w:t>
      </w:r>
      <w:r w:rsidRPr="00D97515">
        <w:t>stated</w:t>
      </w:r>
      <w:r w:rsidR="00F81FDF">
        <w:t>: “[</w:t>
      </w:r>
      <w:proofErr w:type="spellStart"/>
      <w:r w:rsidR="00F81FDF">
        <w:t>i</w:t>
      </w:r>
      <w:proofErr w:type="spellEnd"/>
      <w:r w:rsidR="00F81FDF">
        <w:t>]</w:t>
      </w:r>
      <w:r w:rsidRPr="00D97515">
        <w:t>f a taxpayer’s motives are idealistic rather than mercenary, the conclusion that the taxpayer is engaged in a business may still be reached</w:t>
      </w:r>
      <w:r w:rsidR="00D97515">
        <w:t xml:space="preserve">”: </w:t>
      </w:r>
      <w:r w:rsidR="00D97515" w:rsidRPr="00D97515">
        <w:t xml:space="preserve">at </w:t>
      </w:r>
      <w:r w:rsidR="001225DE">
        <w:t xml:space="preserve">305 </w:t>
      </w:r>
      <w:r w:rsidR="00D97515" w:rsidRPr="00D97515">
        <w:t>[</w:t>
      </w:r>
      <w:r w:rsidR="001225DE">
        <w:t>55</w:t>
      </w:r>
      <w:r w:rsidR="00D97515" w:rsidRPr="00D97515">
        <w:t>] (</w:t>
      </w:r>
      <w:r w:rsidR="001225DE" w:rsidRPr="001225DE">
        <w:t>Glees</w:t>
      </w:r>
      <w:r w:rsidR="001225DE">
        <w:t xml:space="preserve">on CJ, </w:t>
      </w:r>
      <w:proofErr w:type="spellStart"/>
      <w:r w:rsidR="001225DE">
        <w:t>Gummow</w:t>
      </w:r>
      <w:proofErr w:type="spellEnd"/>
      <w:r w:rsidR="001225DE">
        <w:t xml:space="preserve">, Hayne and </w:t>
      </w:r>
      <w:proofErr w:type="spellStart"/>
      <w:r w:rsidR="001225DE">
        <w:t>Heydon</w:t>
      </w:r>
      <w:proofErr w:type="spellEnd"/>
      <w:r w:rsidR="001225DE">
        <w:t> </w:t>
      </w:r>
      <w:r w:rsidR="001225DE" w:rsidRPr="001225DE">
        <w:t>JJ</w:t>
      </w:r>
      <w:r w:rsidR="00D97515" w:rsidRPr="00D97515">
        <w:t>)</w:t>
      </w:r>
      <w:r w:rsidR="00D97515">
        <w:t>.</w:t>
      </w:r>
    </w:p>
    <w:p w14:paraId="2780A7E2" w14:textId="228F9637" w:rsidR="00C108ED" w:rsidRPr="00D97515" w:rsidRDefault="00C108ED" w:rsidP="001225DE">
      <w:pPr>
        <w:pStyle w:val="ParaNumbering"/>
      </w:pPr>
      <w:r w:rsidRPr="00D97515">
        <w:t xml:space="preserve">That statement </w:t>
      </w:r>
      <w:r w:rsidR="000C509D">
        <w:t xml:space="preserve">about motive </w:t>
      </w:r>
      <w:r w:rsidRPr="00D97515">
        <w:t xml:space="preserve">was made in circumstances where the taxpayer had in fact derived income from the activities </w:t>
      </w:r>
      <w:r w:rsidR="00D97515">
        <w:t>—</w:t>
      </w:r>
      <w:r w:rsidRPr="00D97515">
        <w:t xml:space="preserve"> she had turned her sporting prowess to account. </w:t>
      </w:r>
      <w:r w:rsidR="00D97515">
        <w:t xml:space="preserve"> </w:t>
      </w:r>
      <w:r w:rsidRPr="00D97515">
        <w:t>As the High Court said at</w:t>
      </w:r>
      <w:r w:rsidR="00D97515">
        <w:t> </w:t>
      </w:r>
      <w:r w:rsidR="001225DE">
        <w:t>305 </w:t>
      </w:r>
      <w:r w:rsidRPr="00D97515">
        <w:t>[54]</w:t>
      </w:r>
      <w:r w:rsidR="001225DE">
        <w:t xml:space="preserve"> </w:t>
      </w:r>
      <w:r w:rsidR="001225DE" w:rsidRPr="001225DE">
        <w:t xml:space="preserve">(Gleeson CJ, </w:t>
      </w:r>
      <w:proofErr w:type="spellStart"/>
      <w:r w:rsidR="001225DE" w:rsidRPr="001225DE">
        <w:t>Gummow</w:t>
      </w:r>
      <w:proofErr w:type="spellEnd"/>
      <w:r w:rsidR="001225DE" w:rsidRPr="001225DE">
        <w:t xml:space="preserve">, Hayne and </w:t>
      </w:r>
      <w:proofErr w:type="spellStart"/>
      <w:r w:rsidR="001225DE" w:rsidRPr="001225DE">
        <w:t>Heydon</w:t>
      </w:r>
      <w:proofErr w:type="spellEnd"/>
      <w:r w:rsidR="001225DE" w:rsidRPr="001225DE">
        <w:t xml:space="preserve"> JJ)</w:t>
      </w:r>
      <w:r w:rsidRPr="00D97515">
        <w:t>:</w:t>
      </w:r>
    </w:p>
    <w:p w14:paraId="0DB53E27" w14:textId="77777777" w:rsidR="00C108ED" w:rsidRPr="00D97515" w:rsidRDefault="00C108ED" w:rsidP="00C108ED">
      <w:pPr>
        <w:pStyle w:val="Quote1"/>
      </w:pPr>
      <w:r w:rsidRPr="00D97515">
        <w:rPr>
          <w:shd w:val="clear" w:color="auto" w:fill="FFFFFF"/>
        </w:rPr>
        <w:t>Although [the taxpayer] did not seek to maximise her receipts from prize money, preferring to seek out the best rather than the most lucrative competitions, her pursuit of excellence, if successful, necessarily entailed the receipt of prizes, increased grants, and the opportunity to obtain more generous sponsorship arrangements.</w:t>
      </w:r>
    </w:p>
    <w:p w14:paraId="7D1E28B8" w14:textId="4C9732CE" w:rsidR="00C108ED" w:rsidRPr="00D97515" w:rsidRDefault="00C108ED" w:rsidP="00A25955">
      <w:pPr>
        <w:pStyle w:val="ParaNumbering"/>
      </w:pPr>
      <w:r w:rsidRPr="00D97515">
        <w:t xml:space="preserve">It does not follow that the conduct of activities which are not inherently capable of generating income </w:t>
      </w:r>
      <w:r w:rsidR="00B70E70">
        <w:t>constitute</w:t>
      </w:r>
      <w:r w:rsidRPr="00D97515">
        <w:t xml:space="preserve"> </w:t>
      </w:r>
      <w:r w:rsidR="00D97515">
        <w:t xml:space="preserve">the </w:t>
      </w:r>
      <w:r w:rsidRPr="00D97515">
        <w:t xml:space="preserve">carrying on </w:t>
      </w:r>
      <w:r w:rsidR="00D97515">
        <w:t xml:space="preserve">of </w:t>
      </w:r>
      <w:r w:rsidRPr="00D97515">
        <w:t>a business.</w:t>
      </w:r>
    </w:p>
    <w:p w14:paraId="090D10C9" w14:textId="74EF69A2" w:rsidR="00C108ED" w:rsidRPr="00D97515" w:rsidRDefault="00C108ED" w:rsidP="00C108ED">
      <w:pPr>
        <w:pStyle w:val="ParaNumbering"/>
      </w:pPr>
      <w:r w:rsidRPr="00D97515">
        <w:t xml:space="preserve">For the reasons discussed below, there is an insufficient connection between the </w:t>
      </w:r>
      <w:r w:rsidR="00253AC4">
        <w:t>Applicant</w:t>
      </w:r>
      <w:r w:rsidRPr="00D97515">
        <w:t xml:space="preserve">’s acquisition and the achievement of some commercial purpose of the </w:t>
      </w:r>
      <w:r w:rsidR="00253AC4">
        <w:t>Applicant</w:t>
      </w:r>
      <w:r w:rsidRPr="00D97515">
        <w:t xml:space="preserve"> to stamp the acquisition by the </w:t>
      </w:r>
      <w:r w:rsidR="00253AC4">
        <w:t>Applicant</w:t>
      </w:r>
      <w:r w:rsidRPr="00D97515">
        <w:t xml:space="preserve"> as being made in carrying on an enterprise.</w:t>
      </w:r>
    </w:p>
    <w:p w14:paraId="55499EE6" w14:textId="046D07B3" w:rsidR="00C108ED" w:rsidRPr="00D97515" w:rsidRDefault="00C108ED" w:rsidP="00C108ED">
      <w:pPr>
        <w:pStyle w:val="ParaNumbering"/>
      </w:pPr>
      <w:r w:rsidRPr="00D97515">
        <w:t xml:space="preserve">The Applicant has claimed an entitlement to input tax credits in respect of its payment of invoices for legal and professional services that did not relate to proceedings or transactions to which it was a party.  The Applicant contended that the nexus between the acquisition of the services </w:t>
      </w:r>
      <w:r w:rsidR="002F1E47">
        <w:t xml:space="preserve">that it </w:t>
      </w:r>
      <w:r w:rsidRPr="00D97515">
        <w:t xml:space="preserve">acquired and its enterprise existed because </w:t>
      </w:r>
      <w:r w:rsidR="002F1E47">
        <w:t xml:space="preserve">it </w:t>
      </w:r>
      <w:r w:rsidRPr="00D97515">
        <w:t xml:space="preserve">acquired those services in order to enable </w:t>
      </w:r>
      <w:r w:rsidR="002F1E47">
        <w:t xml:space="preserve">it, </w:t>
      </w:r>
      <w:r w:rsidRPr="00D97515">
        <w:t>in turn</w:t>
      </w:r>
      <w:r w:rsidR="002F1E47">
        <w:t>, to</w:t>
      </w:r>
      <w:r w:rsidRPr="00D97515">
        <w:t xml:space="preserve"> provide advisory services to the members of the </w:t>
      </w:r>
      <w:proofErr w:type="spellStart"/>
      <w:r w:rsidRPr="00D97515">
        <w:t>Lew</w:t>
      </w:r>
      <w:r w:rsidRPr="00A25955">
        <w:t>ski</w:t>
      </w:r>
      <w:proofErr w:type="spellEnd"/>
      <w:r w:rsidRPr="00A25955">
        <w:t xml:space="preserve"> </w:t>
      </w:r>
      <w:r w:rsidR="001225DE" w:rsidRPr="00A25955">
        <w:t>F</w:t>
      </w:r>
      <w:r w:rsidRPr="00A25955">
        <w:t xml:space="preserve">amily </w:t>
      </w:r>
      <w:r w:rsidR="001225DE" w:rsidRPr="00A25955">
        <w:t>G</w:t>
      </w:r>
      <w:r w:rsidRPr="001225DE">
        <w:t>roup</w:t>
      </w:r>
      <w:r w:rsidRPr="00D97515">
        <w:t xml:space="preserve"> as part of an enterprise.</w:t>
      </w:r>
    </w:p>
    <w:p w14:paraId="0461BA05" w14:textId="469CAE01" w:rsidR="00C108ED" w:rsidRPr="00D97515" w:rsidRDefault="00C108ED" w:rsidP="00C108ED">
      <w:pPr>
        <w:pStyle w:val="ParaNumbering"/>
      </w:pPr>
      <w:r w:rsidRPr="00D97515">
        <w:t>The Court find</w:t>
      </w:r>
      <w:r w:rsidR="00253AC4">
        <w:t>s</w:t>
      </w:r>
      <w:r w:rsidRPr="00D97515">
        <w:t xml:space="preserve"> that the Applicant </w:t>
      </w:r>
      <w:r w:rsidR="00253AC4">
        <w:t>did not carry</w:t>
      </w:r>
      <w:r w:rsidRPr="00D97515">
        <w:t xml:space="preserve"> on a business of providing litigation consulting services or a business of receiving and disseminating advice or formulating and making recommendations based on advice it received to members the </w:t>
      </w:r>
      <w:proofErr w:type="spellStart"/>
      <w:r w:rsidRPr="00D97515">
        <w:t>Lewski</w:t>
      </w:r>
      <w:proofErr w:type="spellEnd"/>
      <w:r w:rsidRPr="00D97515">
        <w:t xml:space="preserve"> Family Group in respect of litigation proceedings.  The evidence does not support a finding that the </w:t>
      </w:r>
      <w:r w:rsidR="00767736" w:rsidRPr="00D97515">
        <w:t>Applicant</w:t>
      </w:r>
      <w:r w:rsidRPr="00D97515">
        <w:t xml:space="preserve"> carried on a business of providing or disseminating legal advice or of managing professional services for members of the </w:t>
      </w:r>
      <w:proofErr w:type="spellStart"/>
      <w:r w:rsidRPr="00D97515">
        <w:t>Lewski</w:t>
      </w:r>
      <w:proofErr w:type="spellEnd"/>
      <w:r w:rsidRPr="00D97515">
        <w:t xml:space="preserve"> Family Group.  The Court does not have before it contemporaneous records that satisfy it that the Applicant’s activities extended to it providing such service</w:t>
      </w:r>
      <w:r w:rsidR="00694CA0">
        <w:t>s</w:t>
      </w:r>
      <w:r w:rsidRPr="00D97515">
        <w:t xml:space="preserve">.  </w:t>
      </w:r>
      <w:r w:rsidRPr="00D97515">
        <w:lastRenderedPageBreak/>
        <w:t xml:space="preserve">There was no acquisition of services by the Applicant in carrying on an enterprise of providing services and information to the members of the </w:t>
      </w:r>
      <w:proofErr w:type="spellStart"/>
      <w:r w:rsidRPr="00D97515">
        <w:t>Lewski</w:t>
      </w:r>
      <w:proofErr w:type="spellEnd"/>
      <w:r w:rsidRPr="00D97515">
        <w:t xml:space="preserve"> </w:t>
      </w:r>
      <w:r w:rsidR="006006BF" w:rsidRPr="00D97515">
        <w:t>Family</w:t>
      </w:r>
      <w:r w:rsidRPr="00D97515">
        <w:t xml:space="preserve"> Group</w:t>
      </w:r>
      <w:r w:rsidR="00694CA0">
        <w:t>.</w:t>
      </w:r>
    </w:p>
    <w:p w14:paraId="342A0AD6" w14:textId="5594108A" w:rsidR="00C108ED" w:rsidRPr="00D97515" w:rsidRDefault="00C108ED" w:rsidP="00C108ED">
      <w:pPr>
        <w:pStyle w:val="ParaNumbering"/>
      </w:pPr>
      <w:r w:rsidRPr="00D97515">
        <w:t xml:space="preserve">Nor is there evidence to support a conclusion that the engagement of service providers or the funding of the </w:t>
      </w:r>
      <w:r w:rsidR="006006BF" w:rsidRPr="00D97515">
        <w:t>provision of the Litigation Ser</w:t>
      </w:r>
      <w:r w:rsidRPr="00D97515">
        <w:t>v</w:t>
      </w:r>
      <w:r w:rsidR="006006BF" w:rsidRPr="00D97515">
        <w:t>ic</w:t>
      </w:r>
      <w:r w:rsidRPr="00D97515">
        <w:t xml:space="preserve">es or Other </w:t>
      </w:r>
      <w:r w:rsidR="006006BF" w:rsidRPr="00D97515">
        <w:t>Services</w:t>
      </w:r>
      <w:r w:rsidRPr="00D97515">
        <w:t xml:space="preserve"> was made in the course of an enterprise involving the Applicant providing procurement services for the members of the </w:t>
      </w:r>
      <w:proofErr w:type="spellStart"/>
      <w:r w:rsidRPr="00D97515">
        <w:t>Lewski</w:t>
      </w:r>
      <w:proofErr w:type="spellEnd"/>
      <w:r w:rsidRPr="00D97515">
        <w:t xml:space="preserve"> </w:t>
      </w:r>
      <w:r w:rsidR="00694CA0">
        <w:t>F</w:t>
      </w:r>
      <w:r w:rsidRPr="00694CA0">
        <w:t>amily</w:t>
      </w:r>
      <w:r w:rsidRPr="00D97515">
        <w:t xml:space="preserve"> </w:t>
      </w:r>
      <w:r w:rsidR="00694CA0">
        <w:t>G</w:t>
      </w:r>
      <w:r w:rsidRPr="00D97515">
        <w:t>roup.  There is no evidence that the Applicant was paid for any such procurement or funding service</w:t>
      </w:r>
      <w:r w:rsidR="00171F37">
        <w:t>,</w:t>
      </w:r>
      <w:r w:rsidRPr="00D97515">
        <w:t xml:space="preserve"> or that it otherwise provided such a procurement service or funding service in a way from which it anticipated to earn a return.</w:t>
      </w:r>
    </w:p>
    <w:p w14:paraId="4BEE9659" w14:textId="33E8729D" w:rsidR="00C108ED" w:rsidRPr="00694CA0" w:rsidRDefault="00C108ED" w:rsidP="00C108ED">
      <w:pPr>
        <w:pStyle w:val="ParaNumbering"/>
        <w:rPr>
          <w:szCs w:val="24"/>
        </w:rPr>
      </w:pPr>
      <w:r w:rsidRPr="00694CA0">
        <w:t>The Litigation Funding Agreements do not support a finding that the Applicant carried on an enterprise involving the provision or procurement of litigation</w:t>
      </w:r>
      <w:r w:rsidR="00894290">
        <w:t>‑</w:t>
      </w:r>
      <w:r w:rsidRPr="00694CA0">
        <w:t xml:space="preserve">related consultancy or advisory services.  The obligation of the Applicant under those </w:t>
      </w:r>
      <w:r w:rsidR="00171F37">
        <w:t>a</w:t>
      </w:r>
      <w:r w:rsidRPr="00694CA0">
        <w:t>greements was to pay invoices.  The Litigation Funding Agreements did not provide for the Applicant to provide consulting or advisory services</w:t>
      </w:r>
      <w:r w:rsidR="00E93200">
        <w:t>,</w:t>
      </w:r>
      <w:r w:rsidRPr="00694CA0">
        <w:t xml:space="preserve"> or require it to arrange for the provision of such services.</w:t>
      </w:r>
    </w:p>
    <w:p w14:paraId="1B0AAFAC" w14:textId="1387407E" w:rsidR="00C108ED" w:rsidRPr="00694CA0" w:rsidRDefault="00C108ED" w:rsidP="00BE33FA">
      <w:pPr>
        <w:pStyle w:val="ParaNumbering"/>
        <w:rPr>
          <w:szCs w:val="24"/>
        </w:rPr>
      </w:pPr>
      <w:r w:rsidRPr="00694CA0">
        <w:t xml:space="preserve">Nor do the Litigation Funding Agreements themselves evidence a concern in the nature of trade.  The Litigation Funding </w:t>
      </w:r>
      <w:r w:rsidR="00E93200">
        <w:t>A</w:t>
      </w:r>
      <w:r w:rsidRPr="00694CA0">
        <w:t xml:space="preserve">greements required the </w:t>
      </w:r>
      <w:r w:rsidR="00253AC4">
        <w:t>Applicant</w:t>
      </w:r>
      <w:r w:rsidRPr="00694CA0">
        <w:t xml:space="preserve"> to incur significant costs which it needed to fund without an entitlement to fees for a service.</w:t>
      </w:r>
      <w:r w:rsidRPr="00E93200">
        <w:t xml:space="preserve">  The </w:t>
      </w:r>
      <w:r w:rsidR="00253AC4">
        <w:t>Applicant</w:t>
      </w:r>
      <w:r w:rsidRPr="00E93200">
        <w:t xml:space="preserve"> had to borrow in order to fund its obligations under the </w:t>
      </w:r>
      <w:r w:rsidR="00171F37">
        <w:t>L</w:t>
      </w:r>
      <w:r w:rsidRPr="00E93200">
        <w:t xml:space="preserve">itigation </w:t>
      </w:r>
      <w:r w:rsidR="00171F37">
        <w:t>F</w:t>
      </w:r>
      <w:r w:rsidRPr="00E93200">
        <w:t xml:space="preserve">unding </w:t>
      </w:r>
      <w:r w:rsidR="00171F37">
        <w:t>A</w:t>
      </w:r>
      <w:r w:rsidRPr="00E93200">
        <w:t xml:space="preserve">greements.  </w:t>
      </w:r>
      <w:r w:rsidRPr="00694CA0">
        <w:rPr>
          <w:szCs w:val="24"/>
        </w:rPr>
        <w:t xml:space="preserve">The only return to the Applicant under the terms of the Litigation Funding </w:t>
      </w:r>
      <w:r w:rsidR="00E93200">
        <w:rPr>
          <w:szCs w:val="24"/>
        </w:rPr>
        <w:t>A</w:t>
      </w:r>
      <w:r w:rsidRPr="00694CA0">
        <w:rPr>
          <w:szCs w:val="24"/>
        </w:rPr>
        <w:t>greements depended on the Beneficiary b</w:t>
      </w:r>
      <w:r w:rsidR="004512F0" w:rsidRPr="00694CA0">
        <w:rPr>
          <w:szCs w:val="24"/>
        </w:rPr>
        <w:t>eing paid Litigation Proceeds</w:t>
      </w:r>
      <w:r w:rsidRPr="00694CA0">
        <w:rPr>
          <w:szCs w:val="24"/>
        </w:rPr>
        <w:t xml:space="preserve">.  Just how the Applicant could be expected to earn a return from proceedings </w:t>
      </w:r>
      <w:r w:rsidR="00171F37">
        <w:rPr>
          <w:szCs w:val="24"/>
        </w:rPr>
        <w:t>in</w:t>
      </w:r>
      <w:r w:rsidR="00171F37" w:rsidRPr="00694CA0">
        <w:rPr>
          <w:szCs w:val="24"/>
        </w:rPr>
        <w:t xml:space="preserve"> </w:t>
      </w:r>
      <w:r w:rsidRPr="00694CA0">
        <w:rPr>
          <w:szCs w:val="24"/>
        </w:rPr>
        <w:t xml:space="preserve">which the family member or </w:t>
      </w:r>
      <w:r w:rsidR="000C509D">
        <w:rPr>
          <w:szCs w:val="24"/>
        </w:rPr>
        <w:t>affiliated</w:t>
      </w:r>
      <w:r w:rsidRPr="00694CA0">
        <w:rPr>
          <w:szCs w:val="24"/>
        </w:rPr>
        <w:t xml:space="preserve"> entity was </w:t>
      </w:r>
      <w:r w:rsidR="00E93200">
        <w:rPr>
          <w:szCs w:val="24"/>
        </w:rPr>
        <w:t xml:space="preserve">either </w:t>
      </w:r>
      <w:r w:rsidRPr="00694CA0">
        <w:rPr>
          <w:szCs w:val="24"/>
        </w:rPr>
        <w:t>a defendant or respondent making no cross</w:t>
      </w:r>
      <w:r w:rsidR="00E136C5" w:rsidRPr="00694CA0">
        <w:rPr>
          <w:szCs w:val="24"/>
        </w:rPr>
        <w:t>‑</w:t>
      </w:r>
      <w:r w:rsidRPr="00694CA0">
        <w:rPr>
          <w:szCs w:val="24"/>
        </w:rPr>
        <w:t>claim as to damages</w:t>
      </w:r>
      <w:r w:rsidR="00E93200">
        <w:rPr>
          <w:szCs w:val="24"/>
        </w:rPr>
        <w:t>,</w:t>
      </w:r>
      <w:r w:rsidRPr="00694CA0">
        <w:rPr>
          <w:szCs w:val="24"/>
        </w:rPr>
        <w:t xml:space="preserve"> and/or a party to a taxation dispute in the A</w:t>
      </w:r>
      <w:r w:rsidR="00E93200">
        <w:rPr>
          <w:szCs w:val="24"/>
        </w:rPr>
        <w:t xml:space="preserve">dministrative </w:t>
      </w:r>
      <w:r w:rsidRPr="00694CA0">
        <w:rPr>
          <w:szCs w:val="24"/>
        </w:rPr>
        <w:t>A</w:t>
      </w:r>
      <w:r w:rsidR="00E93200">
        <w:rPr>
          <w:szCs w:val="24"/>
        </w:rPr>
        <w:t xml:space="preserve">ppeals </w:t>
      </w:r>
      <w:r w:rsidRPr="00694CA0">
        <w:rPr>
          <w:szCs w:val="24"/>
        </w:rPr>
        <w:t>T</w:t>
      </w:r>
      <w:r w:rsidR="00E93200">
        <w:rPr>
          <w:szCs w:val="24"/>
        </w:rPr>
        <w:t>ribunal</w:t>
      </w:r>
      <w:r w:rsidRPr="00694CA0">
        <w:rPr>
          <w:szCs w:val="24"/>
        </w:rPr>
        <w:t xml:space="preserve"> in respect of which no costs order could be made, is not apparent.  Even if a costs order were to be made in favour of </w:t>
      </w:r>
      <w:r w:rsidR="00171F37">
        <w:rPr>
          <w:szCs w:val="24"/>
        </w:rPr>
        <w:t>a</w:t>
      </w:r>
      <w:r w:rsidR="00171F37" w:rsidRPr="00694CA0">
        <w:rPr>
          <w:szCs w:val="24"/>
        </w:rPr>
        <w:t xml:space="preserve"> </w:t>
      </w:r>
      <w:r w:rsidRPr="00694CA0">
        <w:rPr>
          <w:szCs w:val="24"/>
        </w:rPr>
        <w:t xml:space="preserve">Beneficiary, such </w:t>
      </w:r>
      <w:proofErr w:type="spellStart"/>
      <w:r w:rsidRPr="00694CA0">
        <w:rPr>
          <w:szCs w:val="24"/>
        </w:rPr>
        <w:t>a</w:t>
      </w:r>
      <w:proofErr w:type="spellEnd"/>
      <w:r w:rsidRPr="00694CA0">
        <w:rPr>
          <w:szCs w:val="24"/>
        </w:rPr>
        <w:t xml:space="preserve"> costs order would be unlikely to cover the </w:t>
      </w:r>
      <w:r w:rsidR="00C86B9E">
        <w:rPr>
          <w:szCs w:val="24"/>
        </w:rPr>
        <w:t>Beneficiary</w:t>
      </w:r>
      <w:r w:rsidR="00C86B9E" w:rsidRPr="00694CA0">
        <w:rPr>
          <w:szCs w:val="24"/>
        </w:rPr>
        <w:t xml:space="preserve">’s </w:t>
      </w:r>
      <w:r w:rsidRPr="00694CA0">
        <w:rPr>
          <w:szCs w:val="24"/>
        </w:rPr>
        <w:t xml:space="preserve">actual (as opposed to taxed) costs. </w:t>
      </w:r>
      <w:r w:rsidRPr="00E93200">
        <w:rPr>
          <w:szCs w:val="24"/>
        </w:rPr>
        <w:t xml:space="preserve"> Even in the case of the </w:t>
      </w:r>
      <w:proofErr w:type="spellStart"/>
      <w:r w:rsidRPr="00E93200">
        <w:rPr>
          <w:szCs w:val="24"/>
        </w:rPr>
        <w:t>Daytree</w:t>
      </w:r>
      <w:proofErr w:type="spellEnd"/>
      <w:r w:rsidRPr="00E93200">
        <w:rPr>
          <w:szCs w:val="24"/>
        </w:rPr>
        <w:t xml:space="preserve"> creditor claim proceedings, the prospect of any return to the Applicant requires the liquidators to pay an amount in excess of $5m.  As was the case in </w:t>
      </w:r>
      <w:r w:rsidRPr="00E93200">
        <w:rPr>
          <w:i/>
        </w:rPr>
        <w:t>Professional Admin Service Centres</w:t>
      </w:r>
      <w:r w:rsidR="004755ED">
        <w:t xml:space="preserve"> at 455–6 [51] (Edmonds J)</w:t>
      </w:r>
      <w:r w:rsidRPr="00E93200">
        <w:rPr>
          <w:szCs w:val="24"/>
        </w:rPr>
        <w:t>, here</w:t>
      </w:r>
      <w:r w:rsidR="00C86B9E">
        <w:rPr>
          <w:szCs w:val="24"/>
        </w:rPr>
        <w:t>,</w:t>
      </w:r>
      <w:r w:rsidRPr="00E93200">
        <w:rPr>
          <w:szCs w:val="24"/>
        </w:rPr>
        <w:t xml:space="preserve"> </w:t>
      </w:r>
      <w:r w:rsidRPr="00E93200">
        <w:t xml:space="preserve">the prospect of the </w:t>
      </w:r>
      <w:r w:rsidR="00253AC4">
        <w:t>Applicant</w:t>
      </w:r>
      <w:r w:rsidRPr="00E93200">
        <w:t xml:space="preserve"> ultimately making a return </w:t>
      </w:r>
      <w:r w:rsidRPr="00694CA0">
        <w:t>o</w:t>
      </w:r>
      <w:r w:rsidRPr="00E93200">
        <w:t>n any of the Litigation Funding Agreements was so remote that it had no meaningful nexus to the services that were supplied.</w:t>
      </w:r>
    </w:p>
    <w:p w14:paraId="04021D13" w14:textId="25A5BB7D" w:rsidR="00C108ED" w:rsidRPr="00C86B9E" w:rsidRDefault="00C108ED" w:rsidP="00C108ED">
      <w:pPr>
        <w:pStyle w:val="ParaNumbering"/>
      </w:pPr>
      <w:bookmarkStart w:id="25" w:name="_Ref129680355"/>
      <w:r w:rsidRPr="00694CA0">
        <w:rPr>
          <w:szCs w:val="24"/>
        </w:rPr>
        <w:t>As set out above, I do not accept that</w:t>
      </w:r>
      <w:r w:rsidR="00C86B9E">
        <w:rPr>
          <w:szCs w:val="24"/>
        </w:rPr>
        <w:t>,</w:t>
      </w:r>
      <w:r w:rsidRPr="00694CA0">
        <w:rPr>
          <w:szCs w:val="24"/>
        </w:rPr>
        <w:t xml:space="preserve"> prior to the execution of the </w:t>
      </w:r>
      <w:r w:rsidR="00BE33FA">
        <w:rPr>
          <w:szCs w:val="24"/>
        </w:rPr>
        <w:t>L</w:t>
      </w:r>
      <w:r w:rsidRPr="00694CA0">
        <w:rPr>
          <w:szCs w:val="24"/>
        </w:rPr>
        <w:t xml:space="preserve">itigation </w:t>
      </w:r>
      <w:r w:rsidR="00BE33FA">
        <w:rPr>
          <w:szCs w:val="24"/>
        </w:rPr>
        <w:t>F</w:t>
      </w:r>
      <w:r w:rsidRPr="00694CA0">
        <w:rPr>
          <w:szCs w:val="24"/>
        </w:rPr>
        <w:t xml:space="preserve">unding </w:t>
      </w:r>
      <w:r w:rsidR="00BE33FA">
        <w:rPr>
          <w:szCs w:val="24"/>
        </w:rPr>
        <w:t>A</w:t>
      </w:r>
      <w:r w:rsidRPr="00694CA0">
        <w:rPr>
          <w:szCs w:val="24"/>
        </w:rPr>
        <w:t>greements in 2017, the payment of lawyer</w:t>
      </w:r>
      <w:r w:rsidR="00C86B9E">
        <w:rPr>
          <w:szCs w:val="24"/>
        </w:rPr>
        <w:t>s’</w:t>
      </w:r>
      <w:r w:rsidRPr="00694CA0">
        <w:rPr>
          <w:szCs w:val="24"/>
        </w:rPr>
        <w:t xml:space="preserve"> invoices had been done in a systematic manner on a commercial basis.</w:t>
      </w:r>
      <w:r w:rsidRPr="00C86B9E">
        <w:t xml:space="preserve">  Apart from the fact that the Litigation Funding Agreements were </w:t>
      </w:r>
      <w:r w:rsidRPr="00C86B9E">
        <w:lastRenderedPageBreak/>
        <w:t>entered into repeatedly, I do not accept that the agreements were entered into in a system</w:t>
      </w:r>
      <w:r w:rsidR="00C86B9E">
        <w:t>at</w:t>
      </w:r>
      <w:r w:rsidRPr="00C86B9E">
        <w:t xml:space="preserve">ic and organised manner which stamped them as bearing a commercial character.  </w:t>
      </w:r>
      <w:r w:rsidRPr="00694CA0">
        <w:t xml:space="preserve">There is no contemporaneous evidence as to the manner in which the </w:t>
      </w:r>
      <w:r w:rsidR="00253AC4">
        <w:t>Applicant</w:t>
      </w:r>
      <w:r w:rsidRPr="00694CA0">
        <w:t xml:space="preserve"> (or any director) came to decide to enter into any of the </w:t>
      </w:r>
      <w:r w:rsidR="00C86B9E">
        <w:t>L</w:t>
      </w:r>
      <w:r w:rsidRPr="00694CA0">
        <w:t xml:space="preserve">itigation </w:t>
      </w:r>
      <w:r w:rsidR="00C86B9E">
        <w:t>F</w:t>
      </w:r>
      <w:r w:rsidRPr="00694CA0">
        <w:t xml:space="preserve">unding </w:t>
      </w:r>
      <w:r w:rsidR="00C86B9E">
        <w:t>A</w:t>
      </w:r>
      <w:r w:rsidRPr="00694CA0">
        <w:t>greements</w:t>
      </w:r>
      <w:r w:rsidR="000C509D">
        <w:t xml:space="preserve"> or came to agree to pay the invoices</w:t>
      </w:r>
      <w:r w:rsidRPr="00694CA0">
        <w:t xml:space="preserve">.  </w:t>
      </w:r>
      <w:r w:rsidRPr="00694CA0">
        <w:rPr>
          <w:szCs w:val="24"/>
        </w:rPr>
        <w:t xml:space="preserve">No trustee resolutions, no accounts, no financial statements or board papers relating to or explaining the basis on which those agreements were entered into </w:t>
      </w:r>
      <w:r w:rsidR="000C509D">
        <w:rPr>
          <w:szCs w:val="24"/>
        </w:rPr>
        <w:t xml:space="preserve">or payments made </w:t>
      </w:r>
      <w:r w:rsidRPr="00694CA0">
        <w:rPr>
          <w:szCs w:val="24"/>
        </w:rPr>
        <w:t xml:space="preserve">were in evidence.  </w:t>
      </w:r>
      <w:r w:rsidRPr="00C86B9E">
        <w:t>As documented,</w:t>
      </w:r>
      <w:r w:rsidRPr="00694CA0">
        <w:rPr>
          <w:szCs w:val="24"/>
        </w:rPr>
        <w:t xml:space="preserve"> the </w:t>
      </w:r>
      <w:r w:rsidR="00C86B9E">
        <w:rPr>
          <w:szCs w:val="24"/>
        </w:rPr>
        <w:t>L</w:t>
      </w:r>
      <w:r w:rsidRPr="00694CA0">
        <w:rPr>
          <w:szCs w:val="24"/>
        </w:rPr>
        <w:t xml:space="preserve">itigation </w:t>
      </w:r>
      <w:r w:rsidR="00C86B9E">
        <w:rPr>
          <w:szCs w:val="24"/>
        </w:rPr>
        <w:t>F</w:t>
      </w:r>
      <w:r w:rsidRPr="00694CA0">
        <w:rPr>
          <w:szCs w:val="24"/>
        </w:rPr>
        <w:t xml:space="preserve">unding </w:t>
      </w:r>
      <w:r w:rsidR="00C86B9E">
        <w:rPr>
          <w:szCs w:val="24"/>
        </w:rPr>
        <w:t>A</w:t>
      </w:r>
      <w:r w:rsidRPr="00694CA0">
        <w:rPr>
          <w:szCs w:val="24"/>
        </w:rPr>
        <w:t xml:space="preserve">greements are not like the foreign exchange transaction in </w:t>
      </w:r>
      <w:r w:rsidRPr="003C55F8">
        <w:rPr>
          <w:i/>
          <w:szCs w:val="24"/>
        </w:rPr>
        <w:t>Visy USA</w:t>
      </w:r>
      <w:r w:rsidR="00A25955">
        <w:rPr>
          <w:szCs w:val="24"/>
        </w:rPr>
        <w:t>,</w:t>
      </w:r>
      <w:r w:rsidRPr="00694CA0">
        <w:rPr>
          <w:i/>
          <w:szCs w:val="24"/>
        </w:rPr>
        <w:t xml:space="preserve"> </w:t>
      </w:r>
      <w:r w:rsidRPr="00694CA0">
        <w:rPr>
          <w:szCs w:val="24"/>
        </w:rPr>
        <w:t xml:space="preserve">where the prospect of profit was evident from the terms of the agreement and the surrounding circumstances.  There is no evidence </w:t>
      </w:r>
      <w:r w:rsidR="003C55F8">
        <w:rPr>
          <w:szCs w:val="24"/>
        </w:rPr>
        <w:t xml:space="preserve">here </w:t>
      </w:r>
      <w:r w:rsidRPr="00694CA0">
        <w:rPr>
          <w:szCs w:val="24"/>
        </w:rPr>
        <w:t xml:space="preserve">of a contemporaneous consideration by the </w:t>
      </w:r>
      <w:r w:rsidR="00253AC4">
        <w:rPr>
          <w:szCs w:val="24"/>
        </w:rPr>
        <w:t>Applicant</w:t>
      </w:r>
      <w:r w:rsidRPr="00694CA0">
        <w:rPr>
          <w:szCs w:val="24"/>
        </w:rPr>
        <w:t xml:space="preserve"> of the basis </w:t>
      </w:r>
      <w:r w:rsidR="00C86B9E">
        <w:rPr>
          <w:szCs w:val="24"/>
        </w:rPr>
        <w:t>up</w:t>
      </w:r>
      <w:r w:rsidRPr="00694CA0">
        <w:rPr>
          <w:szCs w:val="24"/>
        </w:rPr>
        <w:t xml:space="preserve">on which </w:t>
      </w:r>
      <w:r w:rsidR="00C86B9E">
        <w:rPr>
          <w:szCs w:val="24"/>
        </w:rPr>
        <w:t xml:space="preserve">it could, </w:t>
      </w:r>
      <w:r w:rsidRPr="00694CA0">
        <w:rPr>
          <w:szCs w:val="24"/>
        </w:rPr>
        <w:t xml:space="preserve">or the probability </w:t>
      </w:r>
      <w:r w:rsidR="00C86B9E">
        <w:rPr>
          <w:szCs w:val="24"/>
        </w:rPr>
        <w:t>that</w:t>
      </w:r>
      <w:r w:rsidR="00C86B9E" w:rsidRPr="00694CA0">
        <w:rPr>
          <w:szCs w:val="24"/>
        </w:rPr>
        <w:t xml:space="preserve"> </w:t>
      </w:r>
      <w:r w:rsidRPr="00694CA0">
        <w:rPr>
          <w:szCs w:val="24"/>
        </w:rPr>
        <w:t>it</w:t>
      </w:r>
      <w:r w:rsidR="00C86B9E">
        <w:rPr>
          <w:szCs w:val="24"/>
        </w:rPr>
        <w:t xml:space="preserve"> might,</w:t>
      </w:r>
      <w:r w:rsidRPr="00694CA0">
        <w:rPr>
          <w:szCs w:val="24"/>
        </w:rPr>
        <w:t xml:space="preserve"> earn a return from any of the Litigation Funding Agreements or from any informal arrangement which preceded the execution of those agreements.  As explained above, the Court does not accept that Mr </w:t>
      </w:r>
      <w:r w:rsidR="003C55F8">
        <w:rPr>
          <w:szCs w:val="24"/>
        </w:rPr>
        <w:t xml:space="preserve">William </w:t>
      </w:r>
      <w:proofErr w:type="spellStart"/>
      <w:r w:rsidRPr="00694CA0">
        <w:rPr>
          <w:szCs w:val="24"/>
        </w:rPr>
        <w:t>Lewski</w:t>
      </w:r>
      <w:proofErr w:type="spellEnd"/>
      <w:r w:rsidRPr="00694CA0">
        <w:rPr>
          <w:szCs w:val="24"/>
        </w:rPr>
        <w:t xml:space="preserve"> </w:t>
      </w:r>
      <w:r w:rsidRPr="00C86B9E">
        <w:t>formed a view, at the time the invoices were paid by the Applicant, about the prospect of the Applicant receiving a return.</w:t>
      </w:r>
      <w:bookmarkEnd w:id="25"/>
    </w:p>
    <w:p w14:paraId="60220F3B" w14:textId="25E54D88" w:rsidR="00C108ED" w:rsidRPr="00694CA0" w:rsidRDefault="00C108ED" w:rsidP="003C55F8">
      <w:pPr>
        <w:pStyle w:val="ParaNumbering"/>
        <w:rPr>
          <w:szCs w:val="24"/>
        </w:rPr>
      </w:pPr>
      <w:r w:rsidRPr="00695EDD">
        <w:t xml:space="preserve">Although the fact that the </w:t>
      </w:r>
      <w:r w:rsidR="00253AC4">
        <w:t>Applicant</w:t>
      </w:r>
      <w:r w:rsidRPr="00695EDD">
        <w:t xml:space="preserve"> is the trustee of a family trust cannot </w:t>
      </w:r>
      <w:r w:rsidRPr="00695EDD">
        <w:rPr>
          <w:shd w:val="clear" w:color="auto" w:fill="FFFFFF"/>
        </w:rPr>
        <w:t xml:space="preserve">be conclusive of the question whether a business is carried on by the Applicant (see Hill J in </w:t>
      </w:r>
      <w:r w:rsidR="003C55F8">
        <w:rPr>
          <w:i/>
          <w:shd w:val="clear" w:color="auto" w:fill="FFFFFF"/>
        </w:rPr>
        <w:t xml:space="preserve">Federal Commissioner of Taxation v </w:t>
      </w:r>
      <w:r w:rsidRPr="00695EDD">
        <w:rPr>
          <w:i/>
          <w:shd w:val="clear" w:color="auto" w:fill="FFFFFF"/>
        </w:rPr>
        <w:t xml:space="preserve">Radnor </w:t>
      </w:r>
      <w:r w:rsidR="003C55F8">
        <w:rPr>
          <w:i/>
          <w:shd w:val="clear" w:color="auto" w:fill="FFFFFF"/>
        </w:rPr>
        <w:t>Pty Ltd</w:t>
      </w:r>
      <w:r w:rsidR="003C55F8">
        <w:rPr>
          <w:shd w:val="clear" w:color="auto" w:fill="FFFFFF"/>
        </w:rPr>
        <w:t xml:space="preserve"> </w:t>
      </w:r>
      <w:r w:rsidRPr="00695EDD">
        <w:rPr>
          <w:shd w:val="clear" w:color="auto" w:fill="FFFFFF"/>
        </w:rPr>
        <w:t>(1991) 102 ALR 187 at 200</w:t>
      </w:r>
      <w:r w:rsidR="00695EDD">
        <w:rPr>
          <w:shd w:val="clear" w:color="auto" w:fill="FFFFFF"/>
        </w:rPr>
        <w:t>,</w:t>
      </w:r>
      <w:r w:rsidRPr="00695EDD">
        <w:rPr>
          <w:shd w:val="clear" w:color="auto" w:fill="FFFFFF"/>
        </w:rPr>
        <w:t xml:space="preserve"> cited with approval by the Full Court in </w:t>
      </w:r>
      <w:r w:rsidRPr="00695EDD">
        <w:rPr>
          <w:i/>
          <w:shd w:val="clear" w:color="auto" w:fill="FFFFFF"/>
        </w:rPr>
        <w:t xml:space="preserve">Watson </w:t>
      </w:r>
      <w:r w:rsidRPr="00695EDD">
        <w:rPr>
          <w:shd w:val="clear" w:color="auto" w:fill="FFFFFF"/>
        </w:rPr>
        <w:t xml:space="preserve">at </w:t>
      </w:r>
      <w:r w:rsidR="003C55F8">
        <w:rPr>
          <w:shd w:val="clear" w:color="auto" w:fill="FFFFFF"/>
        </w:rPr>
        <w:t xml:space="preserve">263 </w:t>
      </w:r>
      <w:r w:rsidRPr="00695EDD">
        <w:rPr>
          <w:shd w:val="clear" w:color="auto" w:fill="FFFFFF"/>
        </w:rPr>
        <w:t>[37]</w:t>
      </w:r>
      <w:r w:rsidR="00B356BD">
        <w:rPr>
          <w:shd w:val="clear" w:color="auto" w:fill="FFFFFF"/>
        </w:rPr>
        <w:t xml:space="preserve"> per </w:t>
      </w:r>
      <w:r w:rsidR="003C55F8" w:rsidRPr="003C55F8">
        <w:rPr>
          <w:shd w:val="clear" w:color="auto" w:fill="FFFFFF"/>
        </w:rPr>
        <w:t xml:space="preserve">Kenny, Davies and </w:t>
      </w:r>
      <w:proofErr w:type="spellStart"/>
      <w:r w:rsidR="003C55F8" w:rsidRPr="003C55F8">
        <w:rPr>
          <w:shd w:val="clear" w:color="auto" w:fill="FFFFFF"/>
        </w:rPr>
        <w:t>Thawley</w:t>
      </w:r>
      <w:proofErr w:type="spellEnd"/>
      <w:r w:rsidR="003C55F8" w:rsidRPr="003C55F8">
        <w:rPr>
          <w:shd w:val="clear" w:color="auto" w:fill="FFFFFF"/>
        </w:rPr>
        <w:t xml:space="preserve"> JJ</w:t>
      </w:r>
      <w:r w:rsidRPr="00D20680">
        <w:rPr>
          <w:shd w:val="clear" w:color="auto" w:fill="FFFFFF"/>
        </w:rPr>
        <w:t>)</w:t>
      </w:r>
      <w:r w:rsidRPr="00BA5652">
        <w:rPr>
          <w:shd w:val="clear" w:color="auto" w:fill="FFFFFF"/>
        </w:rPr>
        <w:t>,</w:t>
      </w:r>
      <w:r w:rsidRPr="00695EDD">
        <w:rPr>
          <w:i/>
          <w:shd w:val="clear" w:color="auto" w:fill="FFFFFF"/>
        </w:rPr>
        <w:t xml:space="preserve"> </w:t>
      </w:r>
      <w:r w:rsidRPr="00695EDD">
        <w:rPr>
          <w:shd w:val="clear" w:color="auto" w:fill="FFFFFF"/>
        </w:rPr>
        <w:t xml:space="preserve">its capacity as </w:t>
      </w:r>
      <w:r w:rsidR="003C55F8">
        <w:rPr>
          <w:shd w:val="clear" w:color="auto" w:fill="FFFFFF"/>
        </w:rPr>
        <w:t xml:space="preserve">a </w:t>
      </w:r>
      <w:r w:rsidRPr="00695EDD">
        <w:rPr>
          <w:shd w:val="clear" w:color="auto" w:fill="FFFFFF"/>
        </w:rPr>
        <w:t xml:space="preserve">trustee is not irrelevant to the characterisation of its activities.  As trustee, the </w:t>
      </w:r>
      <w:r w:rsidR="00253AC4">
        <w:rPr>
          <w:shd w:val="clear" w:color="auto" w:fill="FFFFFF"/>
        </w:rPr>
        <w:t>Applicant</w:t>
      </w:r>
      <w:r w:rsidRPr="00695EDD">
        <w:rPr>
          <w:shd w:val="clear" w:color="auto" w:fill="FFFFFF"/>
        </w:rPr>
        <w:t xml:space="preserve"> had the power to apply trust funds for the benefit of the beneficiaries of the trust and was not obliged</w:t>
      </w:r>
      <w:r w:rsidR="00BA5652">
        <w:rPr>
          <w:shd w:val="clear" w:color="auto" w:fill="FFFFFF"/>
        </w:rPr>
        <w:t>,</w:t>
      </w:r>
      <w:r w:rsidRPr="00695EDD">
        <w:rPr>
          <w:shd w:val="clear" w:color="auto" w:fill="FFFFFF"/>
        </w:rPr>
        <w:t xml:space="preserve"> when doing so</w:t>
      </w:r>
      <w:r w:rsidR="00BA5652">
        <w:rPr>
          <w:shd w:val="clear" w:color="auto" w:fill="FFFFFF"/>
        </w:rPr>
        <w:t>,</w:t>
      </w:r>
      <w:r w:rsidRPr="00695EDD">
        <w:rPr>
          <w:shd w:val="clear" w:color="auto" w:fill="FFFFFF"/>
        </w:rPr>
        <w:t xml:space="preserve"> to apply funds only with a view to making a profit from activities carried out for the benefit of the beneficiaries.  As the </w:t>
      </w:r>
      <w:r w:rsidR="003C55F8">
        <w:rPr>
          <w:shd w:val="clear" w:color="auto" w:fill="FFFFFF"/>
        </w:rPr>
        <w:t xml:space="preserve">Full </w:t>
      </w:r>
      <w:r w:rsidRPr="00695EDD">
        <w:rPr>
          <w:shd w:val="clear" w:color="auto" w:fill="FFFFFF"/>
        </w:rPr>
        <w:t xml:space="preserve">Court said in </w:t>
      </w:r>
      <w:r w:rsidRPr="00695EDD">
        <w:rPr>
          <w:i/>
          <w:shd w:val="clear" w:color="auto" w:fill="FFFFFF"/>
        </w:rPr>
        <w:t xml:space="preserve">Watson </w:t>
      </w:r>
      <w:r w:rsidRPr="00695EDD">
        <w:rPr>
          <w:shd w:val="clear" w:color="auto" w:fill="FFFFFF"/>
        </w:rPr>
        <w:t xml:space="preserve">at </w:t>
      </w:r>
      <w:r w:rsidR="003C55F8">
        <w:rPr>
          <w:shd w:val="clear" w:color="auto" w:fill="FFFFFF"/>
        </w:rPr>
        <w:t xml:space="preserve">264 </w:t>
      </w:r>
      <w:r w:rsidRPr="00695EDD">
        <w:rPr>
          <w:shd w:val="clear" w:color="auto" w:fill="FFFFFF"/>
        </w:rPr>
        <w:t>[39]</w:t>
      </w:r>
      <w:r w:rsidR="003C55F8">
        <w:rPr>
          <w:shd w:val="clear" w:color="auto" w:fill="FFFFFF"/>
        </w:rPr>
        <w:t xml:space="preserve"> (Kenny, Davies and </w:t>
      </w:r>
      <w:proofErr w:type="spellStart"/>
      <w:r w:rsidR="003C55F8">
        <w:rPr>
          <w:shd w:val="clear" w:color="auto" w:fill="FFFFFF"/>
        </w:rPr>
        <w:t>Thawley</w:t>
      </w:r>
      <w:proofErr w:type="spellEnd"/>
      <w:r w:rsidR="003C55F8">
        <w:rPr>
          <w:shd w:val="clear" w:color="auto" w:fill="FFFFFF"/>
        </w:rPr>
        <w:t> </w:t>
      </w:r>
      <w:r w:rsidR="003C55F8" w:rsidRPr="003C55F8">
        <w:rPr>
          <w:shd w:val="clear" w:color="auto" w:fill="FFFFFF"/>
        </w:rPr>
        <w:t>JJ</w:t>
      </w:r>
      <w:r w:rsidR="003C55F8">
        <w:rPr>
          <w:shd w:val="clear" w:color="auto" w:fill="FFFFFF"/>
        </w:rPr>
        <w:t>)</w:t>
      </w:r>
      <w:r w:rsidRPr="00695EDD">
        <w:rPr>
          <w:shd w:val="clear" w:color="auto" w:fill="FFFFFF"/>
        </w:rPr>
        <w:t xml:space="preserve">, the context does not imbue the activities of the </w:t>
      </w:r>
      <w:r w:rsidR="00253AC4">
        <w:rPr>
          <w:shd w:val="clear" w:color="auto" w:fill="FFFFFF"/>
        </w:rPr>
        <w:t>Applicant</w:t>
      </w:r>
      <w:r w:rsidRPr="00695EDD">
        <w:rPr>
          <w:shd w:val="clear" w:color="auto" w:fill="FFFFFF"/>
        </w:rPr>
        <w:t xml:space="preserve"> with a business or commercial character.</w:t>
      </w:r>
    </w:p>
    <w:p w14:paraId="15AF4685" w14:textId="2E463366" w:rsidR="00C108ED" w:rsidRPr="00D97515" w:rsidRDefault="00C108ED" w:rsidP="00C108ED">
      <w:pPr>
        <w:pStyle w:val="ParaNumbering"/>
      </w:pPr>
      <w:r w:rsidRPr="00D97515">
        <w:t>The Applicant contended that it was not unusual for intra</w:t>
      </w:r>
      <w:r w:rsidR="00E136C5">
        <w:t>‑</w:t>
      </w:r>
      <w:r w:rsidRPr="00D97515">
        <w:t xml:space="preserve">family group dealings to be conducted informally and it was not for the Commissioner to dictate how the Applicant might choose to conduct its affairs.  So much may be accepted.  However, if a taxpayer chooses to conduct its affairs informally, there may be practical consequences </w:t>
      </w:r>
      <w:r w:rsidR="00BA5652">
        <w:t>for</w:t>
      </w:r>
      <w:r w:rsidRPr="00D97515">
        <w:t xml:space="preserve"> its ability to prove its case: </w:t>
      </w:r>
      <w:r w:rsidRPr="00D97515">
        <w:rPr>
          <w:i/>
        </w:rPr>
        <w:t>Stone v F</w:t>
      </w:r>
      <w:r w:rsidR="008B6F8C">
        <w:rPr>
          <w:i/>
        </w:rPr>
        <w:t xml:space="preserve">ederal </w:t>
      </w:r>
      <w:r w:rsidRPr="00D97515">
        <w:rPr>
          <w:i/>
        </w:rPr>
        <w:t>C</w:t>
      </w:r>
      <w:r w:rsidR="008B6F8C">
        <w:rPr>
          <w:i/>
        </w:rPr>
        <w:t xml:space="preserve">ommissioner of </w:t>
      </w:r>
      <w:r w:rsidRPr="00D97515">
        <w:rPr>
          <w:i/>
        </w:rPr>
        <w:t>T</w:t>
      </w:r>
      <w:r w:rsidR="008B6F8C">
        <w:rPr>
          <w:i/>
        </w:rPr>
        <w:t>axation</w:t>
      </w:r>
      <w:r w:rsidRPr="00D97515">
        <w:rPr>
          <w:i/>
        </w:rPr>
        <w:t xml:space="preserve"> </w:t>
      </w:r>
      <w:r w:rsidRPr="00D97515">
        <w:t>(1918) 25 CLR 389 at 393</w:t>
      </w:r>
      <w:r w:rsidR="00695EDD">
        <w:t xml:space="preserve"> (</w:t>
      </w:r>
      <w:r w:rsidR="008B6F8C">
        <w:t>Isaacs J</w:t>
      </w:r>
      <w:r w:rsidR="00695EDD">
        <w:t>)</w:t>
      </w:r>
      <w:r w:rsidRPr="00D97515">
        <w:t xml:space="preserve">.  Such may </w:t>
      </w:r>
      <w:r w:rsidR="00BA5652">
        <w:t xml:space="preserve">be </w:t>
      </w:r>
      <w:r w:rsidRPr="00D97515">
        <w:t>said to be the case here.</w:t>
      </w:r>
    </w:p>
    <w:p w14:paraId="00310801" w14:textId="77777777" w:rsidR="00C108ED" w:rsidRPr="00D97515" w:rsidRDefault="00C108ED" w:rsidP="00A3056B">
      <w:pPr>
        <w:pStyle w:val="Heading1"/>
      </w:pPr>
      <w:r w:rsidRPr="00D97515">
        <w:lastRenderedPageBreak/>
        <w:t>Conclusion</w:t>
      </w:r>
    </w:p>
    <w:p w14:paraId="740CBDDD" w14:textId="11887AB0" w:rsidR="00C108ED" w:rsidRPr="00D97515" w:rsidRDefault="00C108ED" w:rsidP="00C108ED">
      <w:pPr>
        <w:pStyle w:val="ParaNumbering"/>
      </w:pPr>
      <w:r w:rsidRPr="00D97515">
        <w:t xml:space="preserve">For these reasons, the </w:t>
      </w:r>
      <w:r w:rsidR="00253AC4">
        <w:t>Applicant</w:t>
      </w:r>
      <w:r w:rsidRPr="00D97515">
        <w:t xml:space="preserve"> is not entitled to input tax credits in respect of its payment of invoices for the provision of the Litigation Services and Other Services.  Any acquisition by the Applicant was not made in carrying on an enterprise as de</w:t>
      </w:r>
      <w:r w:rsidR="004B4E98" w:rsidRPr="00D97515">
        <w:t>fined in s 9</w:t>
      </w:r>
      <w:r w:rsidR="00E136C5">
        <w:t>‑</w:t>
      </w:r>
      <w:r w:rsidR="004B4E98" w:rsidRPr="00D97515">
        <w:t xml:space="preserve">20 of the </w:t>
      </w:r>
      <w:r w:rsidR="004B4E98" w:rsidRPr="009A01C9">
        <w:rPr>
          <w:i/>
        </w:rPr>
        <w:t>GST Act</w:t>
      </w:r>
      <w:r w:rsidR="004B4E98" w:rsidRPr="00D97515">
        <w:t>.</w:t>
      </w:r>
    </w:p>
    <w:p w14:paraId="27DCCDA3" w14:textId="0C884D58" w:rsidR="00C108ED" w:rsidRPr="00D97515" w:rsidRDefault="00C108ED" w:rsidP="00C108ED">
      <w:pPr>
        <w:pStyle w:val="ParaNumbering"/>
      </w:pPr>
      <w:r w:rsidRPr="00D97515">
        <w:t xml:space="preserve">This conclusion makes it unnecessary to consider whether, if the </w:t>
      </w:r>
      <w:r w:rsidR="00253AC4">
        <w:t>Applicant</w:t>
      </w:r>
      <w:r w:rsidRPr="00D97515">
        <w:t xml:space="preserve"> acquired legal services by way of taxable supplies in carrying on an enterprise, the acquisitions relate to making supplies that would be input taxed by reaso</w:t>
      </w:r>
      <w:r w:rsidR="004B4E98" w:rsidRPr="00D97515">
        <w:t>n of being financial supplies.</w:t>
      </w:r>
    </w:p>
    <w:p w14:paraId="5CC99BF0" w14:textId="3647DC7B" w:rsidR="00C108ED" w:rsidRPr="00D97515" w:rsidRDefault="00C108ED" w:rsidP="00C108ED">
      <w:pPr>
        <w:pStyle w:val="ParaNumbering"/>
      </w:pPr>
      <w:r w:rsidRPr="00D97515">
        <w:t xml:space="preserve">As noted above, this conclusion also makes it unnecessary to resolve the disagreement between the parties as to whether the </w:t>
      </w:r>
      <w:r w:rsidR="00253AC4">
        <w:t>Applicant</w:t>
      </w:r>
      <w:r w:rsidRPr="00D97515">
        <w:t xml:space="preserve"> is entitled to now claim input tax credits in an amount in excess of the adjustment made by the Commissioner in the quarter ended 30 June 2015.  The parties made submissions concerning the application of s 14ZV of the </w:t>
      </w:r>
      <w:r w:rsidR="00A40058" w:rsidRPr="00A40058">
        <w:rPr>
          <w:i/>
        </w:rPr>
        <w:t>TAA</w:t>
      </w:r>
      <w:r w:rsidR="00793515" w:rsidRPr="00906641">
        <w:t xml:space="preserve"> </w:t>
      </w:r>
      <w:r w:rsidRPr="00D97515">
        <w:t>to amended assessments issued in a single notice of decision (and therefore deemed by s</w:t>
      </w:r>
      <w:r w:rsidR="00906641">
        <w:t> </w:t>
      </w:r>
      <w:r w:rsidRPr="00D97515">
        <w:t xml:space="preserve">14ZR of the </w:t>
      </w:r>
      <w:r w:rsidR="00A40058" w:rsidRPr="00A40058">
        <w:rPr>
          <w:i/>
        </w:rPr>
        <w:t>TAA</w:t>
      </w:r>
      <w:r w:rsidR="00A40058">
        <w:t xml:space="preserve"> </w:t>
      </w:r>
      <w:r w:rsidRPr="00D97515">
        <w:t>to be a single taxation decision).  The Court notes that it was not addressed on the application of s 29</w:t>
      </w:r>
      <w:r w:rsidR="00E136C5">
        <w:t>‑</w:t>
      </w:r>
      <w:proofErr w:type="gramStart"/>
      <w:r w:rsidRPr="00D97515">
        <w:t>10(</w:t>
      </w:r>
      <w:proofErr w:type="gramEnd"/>
      <w:r w:rsidRPr="00D97515">
        <w:t xml:space="preserve">4) of the </w:t>
      </w:r>
      <w:r w:rsidRPr="009A01C9">
        <w:rPr>
          <w:i/>
        </w:rPr>
        <w:t>GST Act</w:t>
      </w:r>
      <w:r w:rsidRPr="00C24866">
        <w:t xml:space="preserve"> </w:t>
      </w:r>
      <w:r w:rsidRPr="00D97515">
        <w:t xml:space="preserve">which, as Edmonds J observed in </w:t>
      </w:r>
      <w:r w:rsidRPr="00D97515">
        <w:rPr>
          <w:i/>
        </w:rPr>
        <w:t>Professional Admin Service</w:t>
      </w:r>
      <w:r w:rsidR="00C24866">
        <w:rPr>
          <w:i/>
        </w:rPr>
        <w:t xml:space="preserve"> Centre</w:t>
      </w:r>
      <w:r w:rsidRPr="00D97515">
        <w:rPr>
          <w:i/>
        </w:rPr>
        <w:t>s</w:t>
      </w:r>
      <w:r w:rsidR="004B4E98" w:rsidRPr="00D97515">
        <w:t xml:space="preserve"> at </w:t>
      </w:r>
      <w:r w:rsidR="000122E5">
        <w:t xml:space="preserve">449 </w:t>
      </w:r>
      <w:r w:rsidR="004B4E98" w:rsidRPr="00D97515">
        <w:t>[</w:t>
      </w:r>
      <w:r w:rsidR="000122E5">
        <w:t>7</w:t>
      </w:r>
      <w:r w:rsidR="004B4E98" w:rsidRPr="00D97515">
        <w:t>],</w:t>
      </w:r>
      <w:r w:rsidRPr="00D97515">
        <w:t xml:space="preserve"> operates to deem an input tax credit not to be attributable to a tax period if the GST return for that tax period does not take that input tax credit into</w:t>
      </w:r>
      <w:r w:rsidR="004B4E98" w:rsidRPr="00D97515">
        <w:t xml:space="preserve"> account.</w:t>
      </w:r>
    </w:p>
    <w:p w14:paraId="3D702918" w14:textId="77777777" w:rsidR="00C108ED" w:rsidRPr="00D97515" w:rsidRDefault="00C108ED" w:rsidP="00C108ED">
      <w:pPr>
        <w:pStyle w:val="ParaNumbering"/>
      </w:pPr>
      <w:r w:rsidRPr="00D97515">
        <w:t>The application is to be dismissed with costs.</w:t>
      </w:r>
    </w:p>
    <w:p w14:paraId="2B37F019" w14:textId="77777777" w:rsidR="00A5553B" w:rsidRDefault="00A5553B" w:rsidP="00A40058">
      <w:pPr>
        <w:pStyle w:val="BodyText"/>
      </w:pPr>
      <w:bookmarkStart w:id="26" w:name="Certification"/>
    </w:p>
    <w:tbl>
      <w:tblPr>
        <w:tblW w:w="0" w:type="auto"/>
        <w:tblLook w:val="04A0" w:firstRow="1" w:lastRow="0" w:firstColumn="1" w:lastColumn="0" w:noHBand="0" w:noVBand="1"/>
      </w:tblPr>
      <w:tblGrid>
        <w:gridCol w:w="3794"/>
      </w:tblGrid>
      <w:tr w:rsidR="00A5553B" w:rsidRPr="00A5553B" w14:paraId="2DB86763" w14:textId="77777777">
        <w:tc>
          <w:tcPr>
            <w:tcW w:w="3794" w:type="dxa"/>
            <w:shd w:val="clear" w:color="auto" w:fill="auto"/>
          </w:tcPr>
          <w:p w14:paraId="1C02AD20" w14:textId="6EB5599A" w:rsidR="00A5553B" w:rsidRPr="00A5553B" w:rsidRDefault="00A5553B" w:rsidP="00A5553B">
            <w:pPr>
              <w:pStyle w:val="Normal1linespace"/>
            </w:pPr>
            <w:r w:rsidRPr="00A5553B">
              <w:t xml:space="preserve">I certify that the preceding </w:t>
            </w:r>
            <w:bookmarkStart w:id="27" w:name="NumberWord"/>
            <w:r>
              <w:t>one hundred and thirty-five</w:t>
            </w:r>
            <w:bookmarkEnd w:id="27"/>
            <w:r w:rsidRPr="00A5553B">
              <w:t xml:space="preserve"> (</w:t>
            </w:r>
            <w:bookmarkStart w:id="28" w:name="NumberNumeral"/>
            <w:r>
              <w:t>135</w:t>
            </w:r>
            <w:bookmarkEnd w:id="28"/>
            <w:r w:rsidRPr="00A5553B">
              <w:t xml:space="preserve">) numbered </w:t>
            </w:r>
            <w:bookmarkStart w:id="29" w:name="CertPara"/>
            <w:r>
              <w:t>paragraphs are</w:t>
            </w:r>
            <w:bookmarkEnd w:id="29"/>
            <w:r w:rsidRPr="00A5553B">
              <w:t xml:space="preserve"> a true copy of the Reasons for Judgment of </w:t>
            </w:r>
            <w:bookmarkStart w:id="30" w:name="bkHonourable"/>
            <w:r w:rsidRPr="00A5553B">
              <w:t xml:space="preserve">the Honourable </w:t>
            </w:r>
            <w:bookmarkStart w:id="31" w:name="Justice"/>
            <w:bookmarkEnd w:id="30"/>
            <w:r>
              <w:t xml:space="preserve">Justice </w:t>
            </w:r>
            <w:proofErr w:type="spellStart"/>
            <w:r>
              <w:t>Hespe</w:t>
            </w:r>
            <w:bookmarkEnd w:id="31"/>
            <w:proofErr w:type="spellEnd"/>
            <w:r w:rsidRPr="00A5553B">
              <w:t>.</w:t>
            </w:r>
          </w:p>
        </w:tc>
      </w:tr>
    </w:tbl>
    <w:p w14:paraId="166314BD" w14:textId="77777777" w:rsidR="00A5553B" w:rsidRDefault="00A5553B" w:rsidP="00A40058">
      <w:pPr>
        <w:pStyle w:val="BodyText"/>
      </w:pPr>
    </w:p>
    <w:p w14:paraId="721F4CFB" w14:textId="77777777" w:rsidR="00A5553B" w:rsidRDefault="00A5553B" w:rsidP="00A40058">
      <w:pPr>
        <w:pStyle w:val="BodyText"/>
      </w:pPr>
    </w:p>
    <w:p w14:paraId="35D92D79" w14:textId="77777777" w:rsidR="00A5553B" w:rsidRDefault="00A5553B" w:rsidP="00A40058">
      <w:pPr>
        <w:pStyle w:val="BodyText"/>
      </w:pPr>
    </w:p>
    <w:p w14:paraId="67B25133" w14:textId="3A8E8733" w:rsidR="00A5553B" w:rsidRDefault="00A5553B" w:rsidP="00A40058">
      <w:pPr>
        <w:pStyle w:val="BodyText"/>
      </w:pPr>
      <w:r>
        <w:t>Associate:</w:t>
      </w:r>
      <w:r w:rsidR="003866CF">
        <w:tab/>
      </w:r>
      <w:bookmarkStart w:id="32" w:name="_GoBack"/>
      <w:bookmarkEnd w:id="32"/>
    </w:p>
    <w:p w14:paraId="3EE1EDFD" w14:textId="77777777" w:rsidR="00A5553B" w:rsidRDefault="00A5553B" w:rsidP="00A40058">
      <w:pPr>
        <w:pStyle w:val="BodyText"/>
      </w:pPr>
    </w:p>
    <w:p w14:paraId="7C73E24A" w14:textId="4E6BFD1E" w:rsidR="00A5553B" w:rsidRDefault="00A5553B" w:rsidP="00A40058">
      <w:pPr>
        <w:pStyle w:val="BodyText"/>
        <w:tabs>
          <w:tab w:val="left" w:pos="1134"/>
        </w:tabs>
      </w:pPr>
      <w:r w:rsidRPr="004C788C">
        <w:t>Dated:</w:t>
      </w:r>
      <w:r w:rsidRPr="004C788C">
        <w:tab/>
      </w:r>
      <w:r w:rsidR="003866CF">
        <w:tab/>
      </w:r>
      <w:r w:rsidR="004C788C" w:rsidRPr="004C788C">
        <w:t>24 March 2023</w:t>
      </w:r>
    </w:p>
    <w:p w14:paraId="04BD39DB" w14:textId="77777777" w:rsidR="00A5553B" w:rsidRDefault="00A5553B" w:rsidP="00A40058">
      <w:pPr>
        <w:pStyle w:val="BodyText"/>
      </w:pPr>
    </w:p>
    <w:bookmarkEnd w:id="26"/>
    <w:p w14:paraId="5E8603D1" w14:textId="41151065" w:rsidR="005F592C" w:rsidRPr="00D97515" w:rsidRDefault="005F592C" w:rsidP="00A5553B">
      <w:pPr>
        <w:pStyle w:val="BodyText"/>
      </w:pPr>
    </w:p>
    <w:sectPr w:rsidR="005F592C" w:rsidRPr="00D97515" w:rsidSect="00A84FD0">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29E02" w14:textId="77777777" w:rsidR="00C240DE" w:rsidRDefault="00C240DE">
      <w:pPr>
        <w:spacing w:line="20" w:lineRule="exact"/>
      </w:pPr>
    </w:p>
    <w:p w14:paraId="2E849B54" w14:textId="77777777" w:rsidR="00C240DE" w:rsidRDefault="00C240DE"/>
    <w:p w14:paraId="3047AEDF" w14:textId="77777777" w:rsidR="00C240DE" w:rsidRDefault="00C240DE"/>
  </w:endnote>
  <w:endnote w:type="continuationSeparator" w:id="0">
    <w:p w14:paraId="7DD1FA60" w14:textId="77777777" w:rsidR="00C240DE" w:rsidRDefault="00C240DE">
      <w:r>
        <w:t xml:space="preserve"> </w:t>
      </w:r>
    </w:p>
    <w:p w14:paraId="7B7F23C4" w14:textId="77777777" w:rsidR="00C240DE" w:rsidRDefault="00C240DE"/>
    <w:p w14:paraId="578C0FD0" w14:textId="77777777" w:rsidR="00C240DE" w:rsidRDefault="00C240DE"/>
  </w:endnote>
  <w:endnote w:type="continuationNotice" w:id="1">
    <w:p w14:paraId="56C36605" w14:textId="77777777" w:rsidR="00C240DE" w:rsidRDefault="00C240DE">
      <w:r>
        <w:t xml:space="preserve"> </w:t>
      </w:r>
    </w:p>
    <w:p w14:paraId="212DC3AE" w14:textId="77777777" w:rsidR="00C240DE" w:rsidRDefault="00C240DE"/>
    <w:p w14:paraId="73B8B955" w14:textId="77777777" w:rsidR="00C240DE" w:rsidRDefault="00C24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8EDE" w14:textId="26BFAD0F" w:rsidR="00C240DE" w:rsidRPr="00C47B9D" w:rsidRDefault="00C240D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EFB549E" wp14:editId="5AE9DB6F">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B8FF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Pr>
            <w:bCs/>
            <w:sz w:val="18"/>
            <w:szCs w:val="18"/>
          </w:rPr>
          <w:t>Konebada</w:t>
        </w:r>
        <w:proofErr w:type="spellEnd"/>
        <w:r>
          <w:rPr>
            <w:bCs/>
            <w:sz w:val="18"/>
            <w:szCs w:val="18"/>
          </w:rPr>
          <w:t xml:space="preserve"> Pty Ltd ATF the William </w:t>
        </w:r>
        <w:proofErr w:type="spellStart"/>
        <w:r>
          <w:rPr>
            <w:bCs/>
            <w:sz w:val="18"/>
            <w:szCs w:val="18"/>
          </w:rPr>
          <w:t>Lewski</w:t>
        </w:r>
        <w:proofErr w:type="spellEnd"/>
        <w:r>
          <w:rPr>
            <w:bCs/>
            <w:sz w:val="18"/>
            <w:szCs w:val="18"/>
          </w:rPr>
          <w:t xml:space="preserve"> Family Trust v Commissioner of Taxation [2023] FCA 257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F802" w14:textId="2A7A0C7F" w:rsidR="00C240DE" w:rsidRPr="00C47B9D" w:rsidRDefault="00C240DE"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8940757" wp14:editId="41EA8287">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0E6C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F7E7CFBC99EB4E72853032CED620F375"/>
        </w:placeholder>
        <w:dataBinding w:prefixMappings="xmlns:ns0='http://schemas.globalmacros.com/FCA'" w:xpath="/ns0:root[1]/ns0:Name[1]" w:storeItemID="{687E7CCB-4AA5-44E7-B148-17BA2B6F57C0}"/>
        <w:text w:multiLine="1"/>
      </w:sdtPr>
      <w:sdtEndPr/>
      <w:sdtContent>
        <w:proofErr w:type="spellStart"/>
        <w:r>
          <w:rPr>
            <w:bCs/>
            <w:sz w:val="18"/>
            <w:szCs w:val="18"/>
          </w:rPr>
          <w:t>Konebada</w:t>
        </w:r>
        <w:proofErr w:type="spellEnd"/>
        <w:r>
          <w:rPr>
            <w:bCs/>
            <w:sz w:val="18"/>
            <w:szCs w:val="18"/>
          </w:rPr>
          <w:t xml:space="preserve"> Pty Ltd ATF the William </w:t>
        </w:r>
        <w:proofErr w:type="spellStart"/>
        <w:r>
          <w:rPr>
            <w:bCs/>
            <w:sz w:val="18"/>
            <w:szCs w:val="18"/>
          </w:rPr>
          <w:t>Lewski</w:t>
        </w:r>
        <w:proofErr w:type="spellEnd"/>
        <w:r>
          <w:rPr>
            <w:bCs/>
            <w:sz w:val="18"/>
            <w:szCs w:val="18"/>
          </w:rPr>
          <w:t xml:space="preserve"> Family Trust v Commissioner of Taxation [2023] FCA 257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1</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BBD8" w14:textId="557F10DC" w:rsidR="00C240DE" w:rsidRPr="00C47B9D" w:rsidRDefault="00C240D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5C9E3A6D" wp14:editId="3D344914">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DE4F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A8419A0EFB8D41CA970E3087554C42DB"/>
        </w:placeholder>
        <w:dataBinding w:prefixMappings="xmlns:ns0='http://schemas.globalmacros.com/FCA'" w:xpath="/ns0:root[1]/ns0:Name[1]" w:storeItemID="{687E7CCB-4AA5-44E7-B148-17BA2B6F57C0}"/>
        <w:text w:multiLine="1"/>
      </w:sdtPr>
      <w:sdtEndPr/>
      <w:sdtContent>
        <w:proofErr w:type="spellStart"/>
        <w:r>
          <w:rPr>
            <w:bCs/>
            <w:sz w:val="18"/>
            <w:szCs w:val="18"/>
          </w:rPr>
          <w:t>Konebada</w:t>
        </w:r>
        <w:proofErr w:type="spellEnd"/>
        <w:r>
          <w:rPr>
            <w:bCs/>
            <w:sz w:val="18"/>
            <w:szCs w:val="18"/>
          </w:rPr>
          <w:t xml:space="preserve"> Pty Ltd ATF the William </w:t>
        </w:r>
        <w:proofErr w:type="spellStart"/>
        <w:r>
          <w:rPr>
            <w:bCs/>
            <w:sz w:val="18"/>
            <w:szCs w:val="18"/>
          </w:rPr>
          <w:t>Lewski</w:t>
        </w:r>
        <w:proofErr w:type="spellEnd"/>
        <w:r>
          <w:rPr>
            <w:bCs/>
            <w:sz w:val="18"/>
            <w:szCs w:val="18"/>
          </w:rPr>
          <w:t xml:space="preserve"> Family Trust v Commissioner of Taxation [2023] FCA 257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E0CF5">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ED64" w14:textId="119D6EF1" w:rsidR="00C240DE" w:rsidRPr="00C47B9D" w:rsidRDefault="00C240D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4B25432" wp14:editId="6854B5F0">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82357"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FF514547AAD74261A9C012630902BF72"/>
        </w:placeholder>
        <w:dataBinding w:prefixMappings="xmlns:ns0='http://schemas.globalmacros.com/FCA'" w:xpath="/ns0:root[1]/ns0:Name[1]" w:storeItemID="{687E7CCB-4AA5-44E7-B148-17BA2B6F57C0}"/>
        <w:text w:multiLine="1"/>
      </w:sdtPr>
      <w:sdtEndPr/>
      <w:sdtContent>
        <w:proofErr w:type="spellStart"/>
        <w:r>
          <w:rPr>
            <w:bCs/>
            <w:sz w:val="18"/>
            <w:szCs w:val="18"/>
          </w:rPr>
          <w:t>Konebada</w:t>
        </w:r>
        <w:proofErr w:type="spellEnd"/>
        <w:r>
          <w:rPr>
            <w:bCs/>
            <w:sz w:val="18"/>
            <w:szCs w:val="18"/>
          </w:rPr>
          <w:t xml:space="preserve"> Pty Ltd ATF the William </w:t>
        </w:r>
        <w:proofErr w:type="spellStart"/>
        <w:r>
          <w:rPr>
            <w:bCs/>
            <w:sz w:val="18"/>
            <w:szCs w:val="18"/>
          </w:rPr>
          <w:t>Lewski</w:t>
        </w:r>
        <w:proofErr w:type="spellEnd"/>
        <w:r>
          <w:rPr>
            <w:bCs/>
            <w:sz w:val="18"/>
            <w:szCs w:val="18"/>
          </w:rPr>
          <w:t xml:space="preserve"> Family Trust v Commissioner of Taxation [2023] FCA 257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E0CF5">
      <w:rPr>
        <w:bCs/>
        <w:noProof/>
        <w:sz w:val="20"/>
      </w:rPr>
      <w:t>39</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4245" w14:textId="2A8A836E" w:rsidR="00C240DE" w:rsidRPr="00C47B9D" w:rsidRDefault="00C240D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4D4A5BC" wp14:editId="3CE6E634">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762E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0A3803192DC46F1A5B780DB75B577D4"/>
        </w:placeholder>
        <w:dataBinding w:prefixMappings="xmlns:ns0='http://schemas.globalmacros.com/FCA'" w:xpath="/ns0:root[1]/ns0:Name[1]" w:storeItemID="{687E7CCB-4AA5-44E7-B148-17BA2B6F57C0}"/>
        <w:text w:multiLine="1"/>
      </w:sdtPr>
      <w:sdtEndPr/>
      <w:sdtContent>
        <w:proofErr w:type="spellStart"/>
        <w:r>
          <w:rPr>
            <w:bCs/>
            <w:sz w:val="18"/>
            <w:szCs w:val="18"/>
          </w:rPr>
          <w:t>Konebada</w:t>
        </w:r>
        <w:proofErr w:type="spellEnd"/>
        <w:r>
          <w:rPr>
            <w:bCs/>
            <w:sz w:val="18"/>
            <w:szCs w:val="18"/>
          </w:rPr>
          <w:t xml:space="preserve"> Pty Ltd ATF the William </w:t>
        </w:r>
        <w:proofErr w:type="spellStart"/>
        <w:r>
          <w:rPr>
            <w:bCs/>
            <w:sz w:val="18"/>
            <w:szCs w:val="18"/>
          </w:rPr>
          <w:t>Lewski</w:t>
        </w:r>
        <w:proofErr w:type="spellEnd"/>
        <w:r>
          <w:rPr>
            <w:bCs/>
            <w:sz w:val="18"/>
            <w:szCs w:val="18"/>
          </w:rPr>
          <w:t xml:space="preserve"> Family Trust v Commissioner of Taxation [2023] FCA 257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E0CF5">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04198" w14:textId="77777777" w:rsidR="00C240DE" w:rsidRDefault="00C240DE"/>
  </w:footnote>
  <w:footnote w:type="continuationSeparator" w:id="0">
    <w:p w14:paraId="3573A6B3" w14:textId="77777777" w:rsidR="00C240DE" w:rsidRDefault="00C240DE">
      <w:r>
        <w:continuationSeparator/>
      </w:r>
    </w:p>
    <w:p w14:paraId="30CEE1C4" w14:textId="77777777" w:rsidR="00C240DE" w:rsidRDefault="00C240DE"/>
    <w:p w14:paraId="0BB7F3A6" w14:textId="77777777" w:rsidR="00C240DE" w:rsidRDefault="00C240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438D" w14:textId="77777777" w:rsidR="00C240DE" w:rsidRDefault="00C240DE">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55CC" w14:textId="77777777" w:rsidR="00C240DE" w:rsidRDefault="00C240DE">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395E" w14:textId="77777777" w:rsidR="00C240DE" w:rsidRDefault="00C240D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EAE2" w14:textId="77777777" w:rsidR="00C240DE" w:rsidRDefault="00C240DE">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C7E9" w14:textId="77777777" w:rsidR="00C240DE" w:rsidRDefault="00C240DE"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DE7CFDDC"/>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C9AC72BE"/>
    <w:lvl w:ilvl="0">
      <w:start w:val="1"/>
      <w:numFmt w:val="decimal"/>
      <w:lvlRestart w:val="0"/>
      <w:pStyle w:val="ParaNumbering"/>
      <w:lvlText w:val="%1"/>
      <w:lvlJc w:val="left"/>
      <w:pPr>
        <w:tabs>
          <w:tab w:val="num" w:pos="720"/>
        </w:tabs>
        <w:ind w:left="0" w:hanging="720"/>
      </w:pPr>
      <w:rPr>
        <w:rFonts w:ascii="Times New Roman" w:hAnsi="Times New Roman" w:cs="Times New Roman" w:hint="default"/>
        <w:i w:val="0"/>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3">
    <w:abstractNumId w:val="10"/>
  </w:num>
  <w:num w:numId="24">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2"/>
  </w:num>
  <w:num w:numId="26">
    <w:abstractNumId w:val="17"/>
  </w:num>
  <w:num w:numId="27">
    <w:abstractNumId w:val="17"/>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5">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KONEBADA PTY LTD ATF THE WILLIAM LEWSKI FAMILY TRUST"/>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VID 492 of 2021"/>
    <w:docVar w:name="Initiators" w:val="(and another named in the Schedule)"/>
    <w:docVar w:name="Judgdate" w:val="##"/>
    <w:docVar w:name="Judge" w:val="Hespe"/>
    <w:docVar w:name="JudgeType" w:val="Justice"/>
    <w:docVar w:name="lstEntryList" w:val="-1"/>
    <w:docVar w:name="myEntryList" w:val="Counsel for the Applicant=Mr A T Broadfoot KC with Mr G J Redenbach|Solicitor for the Applicant=Madgwicks|Counsel for the Respondent=Ms M L Baker SC|Solicitor for the Respondent=ATO Litigation &amp; Legal Service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axation"/>
    <w:docVar w:name="RESAndAnother" w:val="True"/>
    <w:docVar w:name="RESAndOthers" w:val="False"/>
    <w:docVar w:name="Respondent" w:val="COMMISSIONER OF TAXATION OF THE COMMONWEALTH OF AUSTRALIA"/>
    <w:docVar w:name="ResState" w:val="Victoria"/>
    <w:docVar w:name="SubArea" w:val="(none)"/>
  </w:docVars>
  <w:rsids>
    <w:rsidRoot w:val="00D676EF"/>
    <w:rsid w:val="00000747"/>
    <w:rsid w:val="00001142"/>
    <w:rsid w:val="00002BE6"/>
    <w:rsid w:val="00010797"/>
    <w:rsid w:val="000115C5"/>
    <w:rsid w:val="000122E5"/>
    <w:rsid w:val="0001469E"/>
    <w:rsid w:val="00015972"/>
    <w:rsid w:val="00015993"/>
    <w:rsid w:val="00020F85"/>
    <w:rsid w:val="00021CCB"/>
    <w:rsid w:val="00022289"/>
    <w:rsid w:val="000237E9"/>
    <w:rsid w:val="00026E9A"/>
    <w:rsid w:val="00027064"/>
    <w:rsid w:val="00027398"/>
    <w:rsid w:val="0003201A"/>
    <w:rsid w:val="0003207A"/>
    <w:rsid w:val="00032F9F"/>
    <w:rsid w:val="00041C07"/>
    <w:rsid w:val="0004209A"/>
    <w:rsid w:val="00045BB7"/>
    <w:rsid w:val="00046333"/>
    <w:rsid w:val="000508DF"/>
    <w:rsid w:val="00052FAD"/>
    <w:rsid w:val="00053FA0"/>
    <w:rsid w:val="00055719"/>
    <w:rsid w:val="0005641B"/>
    <w:rsid w:val="00057ED4"/>
    <w:rsid w:val="00060E78"/>
    <w:rsid w:val="00061300"/>
    <w:rsid w:val="0006196A"/>
    <w:rsid w:val="000650F0"/>
    <w:rsid w:val="000714CF"/>
    <w:rsid w:val="00071FB3"/>
    <w:rsid w:val="00073507"/>
    <w:rsid w:val="00077768"/>
    <w:rsid w:val="00080684"/>
    <w:rsid w:val="00081497"/>
    <w:rsid w:val="000831EC"/>
    <w:rsid w:val="00084126"/>
    <w:rsid w:val="00085255"/>
    <w:rsid w:val="000A0655"/>
    <w:rsid w:val="000A2E76"/>
    <w:rsid w:val="000A4807"/>
    <w:rsid w:val="000A4BE4"/>
    <w:rsid w:val="000B167A"/>
    <w:rsid w:val="000B2382"/>
    <w:rsid w:val="000B2863"/>
    <w:rsid w:val="000B6BBC"/>
    <w:rsid w:val="000C023E"/>
    <w:rsid w:val="000C405D"/>
    <w:rsid w:val="000C509D"/>
    <w:rsid w:val="000C5195"/>
    <w:rsid w:val="000C51EE"/>
    <w:rsid w:val="000C62EF"/>
    <w:rsid w:val="000D1F9A"/>
    <w:rsid w:val="000D2137"/>
    <w:rsid w:val="000D3FD2"/>
    <w:rsid w:val="000D4B2E"/>
    <w:rsid w:val="000E227A"/>
    <w:rsid w:val="000E3FC8"/>
    <w:rsid w:val="000E49CB"/>
    <w:rsid w:val="000E4D2B"/>
    <w:rsid w:val="000E5760"/>
    <w:rsid w:val="000E7BAE"/>
    <w:rsid w:val="000F133D"/>
    <w:rsid w:val="000F674D"/>
    <w:rsid w:val="000F700A"/>
    <w:rsid w:val="001006D8"/>
    <w:rsid w:val="0010536B"/>
    <w:rsid w:val="00106869"/>
    <w:rsid w:val="0011145C"/>
    <w:rsid w:val="0011191F"/>
    <w:rsid w:val="001121EC"/>
    <w:rsid w:val="001128BD"/>
    <w:rsid w:val="0011419D"/>
    <w:rsid w:val="00114B02"/>
    <w:rsid w:val="00115FBC"/>
    <w:rsid w:val="001225DE"/>
    <w:rsid w:val="001226C0"/>
    <w:rsid w:val="00126EC8"/>
    <w:rsid w:val="0012731C"/>
    <w:rsid w:val="00127C0C"/>
    <w:rsid w:val="00132054"/>
    <w:rsid w:val="00132DB2"/>
    <w:rsid w:val="00134741"/>
    <w:rsid w:val="00134964"/>
    <w:rsid w:val="001351B9"/>
    <w:rsid w:val="00152A33"/>
    <w:rsid w:val="00155CD2"/>
    <w:rsid w:val="001608BB"/>
    <w:rsid w:val="00165A96"/>
    <w:rsid w:val="00171F37"/>
    <w:rsid w:val="00172020"/>
    <w:rsid w:val="001727A4"/>
    <w:rsid w:val="0017376C"/>
    <w:rsid w:val="001738AB"/>
    <w:rsid w:val="001765E0"/>
    <w:rsid w:val="00177759"/>
    <w:rsid w:val="001804CF"/>
    <w:rsid w:val="00180BB3"/>
    <w:rsid w:val="00185DD6"/>
    <w:rsid w:val="00185E6B"/>
    <w:rsid w:val="00187BBC"/>
    <w:rsid w:val="001932F3"/>
    <w:rsid w:val="001941D4"/>
    <w:rsid w:val="001A19DC"/>
    <w:rsid w:val="001A2B40"/>
    <w:rsid w:val="001A4309"/>
    <w:rsid w:val="001A46AE"/>
    <w:rsid w:val="001A5826"/>
    <w:rsid w:val="001A6C52"/>
    <w:rsid w:val="001A6E9E"/>
    <w:rsid w:val="001A7AD6"/>
    <w:rsid w:val="001B0E04"/>
    <w:rsid w:val="001B1053"/>
    <w:rsid w:val="001B13DD"/>
    <w:rsid w:val="001B14AC"/>
    <w:rsid w:val="001B4CD2"/>
    <w:rsid w:val="001B7940"/>
    <w:rsid w:val="001C171A"/>
    <w:rsid w:val="001C2FE0"/>
    <w:rsid w:val="001C37CA"/>
    <w:rsid w:val="001C4085"/>
    <w:rsid w:val="001C6845"/>
    <w:rsid w:val="001D4303"/>
    <w:rsid w:val="001D5EB8"/>
    <w:rsid w:val="001D6746"/>
    <w:rsid w:val="001E0C61"/>
    <w:rsid w:val="001E0CF5"/>
    <w:rsid w:val="001E23E4"/>
    <w:rsid w:val="001E2A75"/>
    <w:rsid w:val="001E3B49"/>
    <w:rsid w:val="001E4A05"/>
    <w:rsid w:val="001E6A19"/>
    <w:rsid w:val="001E6DE0"/>
    <w:rsid w:val="001E7388"/>
    <w:rsid w:val="001F083E"/>
    <w:rsid w:val="001F13DD"/>
    <w:rsid w:val="001F226A"/>
    <w:rsid w:val="001F2473"/>
    <w:rsid w:val="001F2DBC"/>
    <w:rsid w:val="001F7168"/>
    <w:rsid w:val="001F73E8"/>
    <w:rsid w:val="0020262C"/>
    <w:rsid w:val="002026DD"/>
    <w:rsid w:val="00202723"/>
    <w:rsid w:val="002051E6"/>
    <w:rsid w:val="00206643"/>
    <w:rsid w:val="002066A5"/>
    <w:rsid w:val="00211A3E"/>
    <w:rsid w:val="00213F20"/>
    <w:rsid w:val="00214055"/>
    <w:rsid w:val="00215BCA"/>
    <w:rsid w:val="002160F5"/>
    <w:rsid w:val="00217AC4"/>
    <w:rsid w:val="00221461"/>
    <w:rsid w:val="00224537"/>
    <w:rsid w:val="00231567"/>
    <w:rsid w:val="00235956"/>
    <w:rsid w:val="002359A1"/>
    <w:rsid w:val="00240296"/>
    <w:rsid w:val="002422B6"/>
    <w:rsid w:val="00243E5E"/>
    <w:rsid w:val="0024549E"/>
    <w:rsid w:val="002467A6"/>
    <w:rsid w:val="00247C9A"/>
    <w:rsid w:val="0025160C"/>
    <w:rsid w:val="002535D0"/>
    <w:rsid w:val="00253839"/>
    <w:rsid w:val="002539B3"/>
    <w:rsid w:val="00253AC4"/>
    <w:rsid w:val="0025443F"/>
    <w:rsid w:val="00256336"/>
    <w:rsid w:val="00257C3E"/>
    <w:rsid w:val="002602C2"/>
    <w:rsid w:val="002666C9"/>
    <w:rsid w:val="00266F66"/>
    <w:rsid w:val="0026791B"/>
    <w:rsid w:val="00270136"/>
    <w:rsid w:val="00270FD7"/>
    <w:rsid w:val="00274BD9"/>
    <w:rsid w:val="00274F5B"/>
    <w:rsid w:val="00276B64"/>
    <w:rsid w:val="00280836"/>
    <w:rsid w:val="00282E1A"/>
    <w:rsid w:val="00283B03"/>
    <w:rsid w:val="0028407F"/>
    <w:rsid w:val="002840F1"/>
    <w:rsid w:val="002847E7"/>
    <w:rsid w:val="00284EC6"/>
    <w:rsid w:val="00284F1D"/>
    <w:rsid w:val="00285922"/>
    <w:rsid w:val="002900FD"/>
    <w:rsid w:val="0029018F"/>
    <w:rsid w:val="002903FB"/>
    <w:rsid w:val="00290764"/>
    <w:rsid w:val="0029113B"/>
    <w:rsid w:val="002934C0"/>
    <w:rsid w:val="00293E1F"/>
    <w:rsid w:val="0029764C"/>
    <w:rsid w:val="002A1B50"/>
    <w:rsid w:val="002B0E91"/>
    <w:rsid w:val="002B132C"/>
    <w:rsid w:val="002B3F23"/>
    <w:rsid w:val="002B4EB5"/>
    <w:rsid w:val="002B5087"/>
    <w:rsid w:val="002B5201"/>
    <w:rsid w:val="002B5AF5"/>
    <w:rsid w:val="002B6779"/>
    <w:rsid w:val="002B71C0"/>
    <w:rsid w:val="002B7A34"/>
    <w:rsid w:val="002C09F7"/>
    <w:rsid w:val="002C31AD"/>
    <w:rsid w:val="002C7385"/>
    <w:rsid w:val="002D2DBB"/>
    <w:rsid w:val="002D37D8"/>
    <w:rsid w:val="002D54A6"/>
    <w:rsid w:val="002D7695"/>
    <w:rsid w:val="002E3779"/>
    <w:rsid w:val="002E5BF9"/>
    <w:rsid w:val="002E6A7A"/>
    <w:rsid w:val="002F1E47"/>
    <w:rsid w:val="002F1E49"/>
    <w:rsid w:val="002F4E9C"/>
    <w:rsid w:val="002F5E1C"/>
    <w:rsid w:val="002F6E15"/>
    <w:rsid w:val="00302F4E"/>
    <w:rsid w:val="00307335"/>
    <w:rsid w:val="0031256C"/>
    <w:rsid w:val="00314D6C"/>
    <w:rsid w:val="00316D2A"/>
    <w:rsid w:val="00322A7C"/>
    <w:rsid w:val="00322EEC"/>
    <w:rsid w:val="00323061"/>
    <w:rsid w:val="00333EFA"/>
    <w:rsid w:val="003402D3"/>
    <w:rsid w:val="0034068E"/>
    <w:rsid w:val="00343ABC"/>
    <w:rsid w:val="003463FE"/>
    <w:rsid w:val="00346D2E"/>
    <w:rsid w:val="003472FC"/>
    <w:rsid w:val="00347D41"/>
    <w:rsid w:val="003549F4"/>
    <w:rsid w:val="003554B3"/>
    <w:rsid w:val="00356632"/>
    <w:rsid w:val="00357C7E"/>
    <w:rsid w:val="00364FA6"/>
    <w:rsid w:val="00365244"/>
    <w:rsid w:val="003653B6"/>
    <w:rsid w:val="00366218"/>
    <w:rsid w:val="003674A6"/>
    <w:rsid w:val="00370327"/>
    <w:rsid w:val="00374CC4"/>
    <w:rsid w:val="003774B2"/>
    <w:rsid w:val="00377AB7"/>
    <w:rsid w:val="00380F2D"/>
    <w:rsid w:val="003814AE"/>
    <w:rsid w:val="00382680"/>
    <w:rsid w:val="003845A9"/>
    <w:rsid w:val="0038504D"/>
    <w:rsid w:val="003850C9"/>
    <w:rsid w:val="003866CF"/>
    <w:rsid w:val="00386B48"/>
    <w:rsid w:val="00390883"/>
    <w:rsid w:val="003922F8"/>
    <w:rsid w:val="00395B24"/>
    <w:rsid w:val="003A1D15"/>
    <w:rsid w:val="003A2D38"/>
    <w:rsid w:val="003A3B4C"/>
    <w:rsid w:val="003A4B69"/>
    <w:rsid w:val="003A7ECC"/>
    <w:rsid w:val="003B0D46"/>
    <w:rsid w:val="003B2C72"/>
    <w:rsid w:val="003B58B4"/>
    <w:rsid w:val="003C1333"/>
    <w:rsid w:val="003C20FF"/>
    <w:rsid w:val="003C550A"/>
    <w:rsid w:val="003C55F8"/>
    <w:rsid w:val="003C6055"/>
    <w:rsid w:val="003D2650"/>
    <w:rsid w:val="003D51F5"/>
    <w:rsid w:val="003D560C"/>
    <w:rsid w:val="003D5C00"/>
    <w:rsid w:val="003E0395"/>
    <w:rsid w:val="003E3154"/>
    <w:rsid w:val="003E3FE5"/>
    <w:rsid w:val="003E5874"/>
    <w:rsid w:val="003E72D3"/>
    <w:rsid w:val="003F193E"/>
    <w:rsid w:val="003F242C"/>
    <w:rsid w:val="003F2DEC"/>
    <w:rsid w:val="003F34F1"/>
    <w:rsid w:val="003F5176"/>
    <w:rsid w:val="004031D8"/>
    <w:rsid w:val="004047A7"/>
    <w:rsid w:val="00405426"/>
    <w:rsid w:val="004104B6"/>
    <w:rsid w:val="00411AE8"/>
    <w:rsid w:val="00413B74"/>
    <w:rsid w:val="00425761"/>
    <w:rsid w:val="00425A4D"/>
    <w:rsid w:val="00425E37"/>
    <w:rsid w:val="00426203"/>
    <w:rsid w:val="004277FE"/>
    <w:rsid w:val="00427CBE"/>
    <w:rsid w:val="004342F3"/>
    <w:rsid w:val="00435C5F"/>
    <w:rsid w:val="00436155"/>
    <w:rsid w:val="00436460"/>
    <w:rsid w:val="00436F28"/>
    <w:rsid w:val="004370A2"/>
    <w:rsid w:val="00437FA3"/>
    <w:rsid w:val="00441E98"/>
    <w:rsid w:val="004459A8"/>
    <w:rsid w:val="00450F3A"/>
    <w:rsid w:val="004512F0"/>
    <w:rsid w:val="00452994"/>
    <w:rsid w:val="004532F7"/>
    <w:rsid w:val="00460D49"/>
    <w:rsid w:val="00464D51"/>
    <w:rsid w:val="00472027"/>
    <w:rsid w:val="00474F5C"/>
    <w:rsid w:val="004755ED"/>
    <w:rsid w:val="0048015E"/>
    <w:rsid w:val="004804CF"/>
    <w:rsid w:val="00483314"/>
    <w:rsid w:val="004833CE"/>
    <w:rsid w:val="00483436"/>
    <w:rsid w:val="00484962"/>
    <w:rsid w:val="00484DD3"/>
    <w:rsid w:val="00484F6D"/>
    <w:rsid w:val="00484FB7"/>
    <w:rsid w:val="0048502E"/>
    <w:rsid w:val="0048554D"/>
    <w:rsid w:val="004905E2"/>
    <w:rsid w:val="0049338A"/>
    <w:rsid w:val="0049417F"/>
    <w:rsid w:val="00496D41"/>
    <w:rsid w:val="004A26F7"/>
    <w:rsid w:val="004A36BE"/>
    <w:rsid w:val="004A4B6E"/>
    <w:rsid w:val="004A5E50"/>
    <w:rsid w:val="004A6602"/>
    <w:rsid w:val="004A71DC"/>
    <w:rsid w:val="004A7D63"/>
    <w:rsid w:val="004B3EFA"/>
    <w:rsid w:val="004B4A54"/>
    <w:rsid w:val="004B4E98"/>
    <w:rsid w:val="004C2A87"/>
    <w:rsid w:val="004C4D7B"/>
    <w:rsid w:val="004C4ED3"/>
    <w:rsid w:val="004C667B"/>
    <w:rsid w:val="004C788C"/>
    <w:rsid w:val="004C7ECD"/>
    <w:rsid w:val="004D2EA5"/>
    <w:rsid w:val="004D32A6"/>
    <w:rsid w:val="004D53E5"/>
    <w:rsid w:val="004D77D4"/>
    <w:rsid w:val="004D7950"/>
    <w:rsid w:val="004E32A1"/>
    <w:rsid w:val="004E67F1"/>
    <w:rsid w:val="004E6DC4"/>
    <w:rsid w:val="004F12A6"/>
    <w:rsid w:val="004F21C1"/>
    <w:rsid w:val="004F2798"/>
    <w:rsid w:val="00501554"/>
    <w:rsid w:val="00501A12"/>
    <w:rsid w:val="0050309C"/>
    <w:rsid w:val="0051313F"/>
    <w:rsid w:val="00513236"/>
    <w:rsid w:val="0051327C"/>
    <w:rsid w:val="0051346D"/>
    <w:rsid w:val="00513EAE"/>
    <w:rsid w:val="00513FD1"/>
    <w:rsid w:val="0051434F"/>
    <w:rsid w:val="005146BD"/>
    <w:rsid w:val="00516806"/>
    <w:rsid w:val="0051763F"/>
    <w:rsid w:val="00520187"/>
    <w:rsid w:val="0052098C"/>
    <w:rsid w:val="00525A49"/>
    <w:rsid w:val="00525FAD"/>
    <w:rsid w:val="005262D1"/>
    <w:rsid w:val="00530876"/>
    <w:rsid w:val="00535613"/>
    <w:rsid w:val="005359EB"/>
    <w:rsid w:val="00537CDA"/>
    <w:rsid w:val="00541E8B"/>
    <w:rsid w:val="00542114"/>
    <w:rsid w:val="0054254A"/>
    <w:rsid w:val="005427D0"/>
    <w:rsid w:val="0054500B"/>
    <w:rsid w:val="005466B5"/>
    <w:rsid w:val="00547E15"/>
    <w:rsid w:val="00551240"/>
    <w:rsid w:val="00554314"/>
    <w:rsid w:val="00562829"/>
    <w:rsid w:val="005629B3"/>
    <w:rsid w:val="00564E84"/>
    <w:rsid w:val="005668A2"/>
    <w:rsid w:val="0057128A"/>
    <w:rsid w:val="005712DB"/>
    <w:rsid w:val="005724F6"/>
    <w:rsid w:val="005729E7"/>
    <w:rsid w:val="00573241"/>
    <w:rsid w:val="005736EB"/>
    <w:rsid w:val="00573AC4"/>
    <w:rsid w:val="005801FC"/>
    <w:rsid w:val="00585BA9"/>
    <w:rsid w:val="00587359"/>
    <w:rsid w:val="00593F48"/>
    <w:rsid w:val="00595016"/>
    <w:rsid w:val="00597AAE"/>
    <w:rsid w:val="005A222C"/>
    <w:rsid w:val="005A4DF8"/>
    <w:rsid w:val="005A78C8"/>
    <w:rsid w:val="005B1426"/>
    <w:rsid w:val="005C0A8E"/>
    <w:rsid w:val="005C0C9F"/>
    <w:rsid w:val="005C1767"/>
    <w:rsid w:val="005C185C"/>
    <w:rsid w:val="005C42EF"/>
    <w:rsid w:val="005C6626"/>
    <w:rsid w:val="005C759C"/>
    <w:rsid w:val="005C7700"/>
    <w:rsid w:val="005D0AEF"/>
    <w:rsid w:val="005D19AA"/>
    <w:rsid w:val="005D463B"/>
    <w:rsid w:val="005E02F5"/>
    <w:rsid w:val="005E0510"/>
    <w:rsid w:val="005E176E"/>
    <w:rsid w:val="005E218E"/>
    <w:rsid w:val="005E35A0"/>
    <w:rsid w:val="005F0D1B"/>
    <w:rsid w:val="005F1865"/>
    <w:rsid w:val="005F51C5"/>
    <w:rsid w:val="005F592C"/>
    <w:rsid w:val="005F6315"/>
    <w:rsid w:val="006006BF"/>
    <w:rsid w:val="006007BD"/>
    <w:rsid w:val="006013C8"/>
    <w:rsid w:val="0060270D"/>
    <w:rsid w:val="00604342"/>
    <w:rsid w:val="00604611"/>
    <w:rsid w:val="00611092"/>
    <w:rsid w:val="00611586"/>
    <w:rsid w:val="00612D26"/>
    <w:rsid w:val="00615855"/>
    <w:rsid w:val="00620DA8"/>
    <w:rsid w:val="00621887"/>
    <w:rsid w:val="00624520"/>
    <w:rsid w:val="006271F5"/>
    <w:rsid w:val="00632300"/>
    <w:rsid w:val="00632BB7"/>
    <w:rsid w:val="0063568B"/>
    <w:rsid w:val="00635B36"/>
    <w:rsid w:val="00636871"/>
    <w:rsid w:val="00640EE1"/>
    <w:rsid w:val="00640F4E"/>
    <w:rsid w:val="006437F8"/>
    <w:rsid w:val="00643DE0"/>
    <w:rsid w:val="0064437D"/>
    <w:rsid w:val="00644E85"/>
    <w:rsid w:val="006474BD"/>
    <w:rsid w:val="006516D8"/>
    <w:rsid w:val="006520F7"/>
    <w:rsid w:val="00652C52"/>
    <w:rsid w:val="0066063F"/>
    <w:rsid w:val="00662BB0"/>
    <w:rsid w:val="00663118"/>
    <w:rsid w:val="00663878"/>
    <w:rsid w:val="00667773"/>
    <w:rsid w:val="00670743"/>
    <w:rsid w:val="00673756"/>
    <w:rsid w:val="00674923"/>
    <w:rsid w:val="006757AE"/>
    <w:rsid w:val="00680A85"/>
    <w:rsid w:val="00681ADF"/>
    <w:rsid w:val="006825CF"/>
    <w:rsid w:val="00683FC2"/>
    <w:rsid w:val="00690EE2"/>
    <w:rsid w:val="00693369"/>
    <w:rsid w:val="00693854"/>
    <w:rsid w:val="00693DB4"/>
    <w:rsid w:val="00693F5C"/>
    <w:rsid w:val="00694BEB"/>
    <w:rsid w:val="00694CA0"/>
    <w:rsid w:val="00695EDD"/>
    <w:rsid w:val="00696D11"/>
    <w:rsid w:val="00697063"/>
    <w:rsid w:val="00697878"/>
    <w:rsid w:val="006A06AF"/>
    <w:rsid w:val="006A0E20"/>
    <w:rsid w:val="006A24E3"/>
    <w:rsid w:val="006A5695"/>
    <w:rsid w:val="006B0439"/>
    <w:rsid w:val="006B2F5D"/>
    <w:rsid w:val="006B3904"/>
    <w:rsid w:val="006B43AE"/>
    <w:rsid w:val="006B5B7D"/>
    <w:rsid w:val="006B65E5"/>
    <w:rsid w:val="006C2965"/>
    <w:rsid w:val="006C5B46"/>
    <w:rsid w:val="006C6E39"/>
    <w:rsid w:val="006D0857"/>
    <w:rsid w:val="006D0B20"/>
    <w:rsid w:val="006D0ECF"/>
    <w:rsid w:val="006D1907"/>
    <w:rsid w:val="006D236A"/>
    <w:rsid w:val="006D3D5B"/>
    <w:rsid w:val="006D4C92"/>
    <w:rsid w:val="006D4EB6"/>
    <w:rsid w:val="006D7FB4"/>
    <w:rsid w:val="006D7FBC"/>
    <w:rsid w:val="006E0035"/>
    <w:rsid w:val="006E0312"/>
    <w:rsid w:val="006E1966"/>
    <w:rsid w:val="006E32D1"/>
    <w:rsid w:val="006E35BF"/>
    <w:rsid w:val="006E3AF9"/>
    <w:rsid w:val="006E7850"/>
    <w:rsid w:val="006F19D8"/>
    <w:rsid w:val="006F319A"/>
    <w:rsid w:val="006F46D6"/>
    <w:rsid w:val="006F4BBB"/>
    <w:rsid w:val="00700F9F"/>
    <w:rsid w:val="007017C1"/>
    <w:rsid w:val="00701ECA"/>
    <w:rsid w:val="007028D9"/>
    <w:rsid w:val="00704990"/>
    <w:rsid w:val="00707218"/>
    <w:rsid w:val="00710D04"/>
    <w:rsid w:val="00712B1D"/>
    <w:rsid w:val="00715751"/>
    <w:rsid w:val="007171BA"/>
    <w:rsid w:val="00717616"/>
    <w:rsid w:val="00723844"/>
    <w:rsid w:val="007325D9"/>
    <w:rsid w:val="0073413F"/>
    <w:rsid w:val="00734398"/>
    <w:rsid w:val="0073583B"/>
    <w:rsid w:val="007360CA"/>
    <w:rsid w:val="00737B58"/>
    <w:rsid w:val="00742A72"/>
    <w:rsid w:val="0074667B"/>
    <w:rsid w:val="007470BD"/>
    <w:rsid w:val="007568A6"/>
    <w:rsid w:val="00760EC0"/>
    <w:rsid w:val="007624DB"/>
    <w:rsid w:val="00767736"/>
    <w:rsid w:val="007711BD"/>
    <w:rsid w:val="00772015"/>
    <w:rsid w:val="007736E1"/>
    <w:rsid w:val="0078003A"/>
    <w:rsid w:val="00780771"/>
    <w:rsid w:val="00780E12"/>
    <w:rsid w:val="007831F2"/>
    <w:rsid w:val="00785C99"/>
    <w:rsid w:val="00786097"/>
    <w:rsid w:val="007929CF"/>
    <w:rsid w:val="00793515"/>
    <w:rsid w:val="00796A8E"/>
    <w:rsid w:val="00797AE9"/>
    <w:rsid w:val="00797BA8"/>
    <w:rsid w:val="007A081D"/>
    <w:rsid w:val="007A49E7"/>
    <w:rsid w:val="007A4CFC"/>
    <w:rsid w:val="007A6F28"/>
    <w:rsid w:val="007B03C6"/>
    <w:rsid w:val="007B0DB1"/>
    <w:rsid w:val="007B10A6"/>
    <w:rsid w:val="007B5673"/>
    <w:rsid w:val="007B6979"/>
    <w:rsid w:val="007B7238"/>
    <w:rsid w:val="007B76FF"/>
    <w:rsid w:val="007B7EC2"/>
    <w:rsid w:val="007C0AC9"/>
    <w:rsid w:val="007C34A6"/>
    <w:rsid w:val="007C3BF6"/>
    <w:rsid w:val="007C67B3"/>
    <w:rsid w:val="007D0FD2"/>
    <w:rsid w:val="007D2EF8"/>
    <w:rsid w:val="007D561F"/>
    <w:rsid w:val="007D7FD2"/>
    <w:rsid w:val="007E0A88"/>
    <w:rsid w:val="007E13D9"/>
    <w:rsid w:val="007E2AEC"/>
    <w:rsid w:val="007E41BE"/>
    <w:rsid w:val="007E4DB6"/>
    <w:rsid w:val="007E6156"/>
    <w:rsid w:val="007E6733"/>
    <w:rsid w:val="007E712B"/>
    <w:rsid w:val="007E7CD4"/>
    <w:rsid w:val="007F12AC"/>
    <w:rsid w:val="007F4501"/>
    <w:rsid w:val="007F60DF"/>
    <w:rsid w:val="007F79BC"/>
    <w:rsid w:val="00801800"/>
    <w:rsid w:val="00801861"/>
    <w:rsid w:val="00801B5B"/>
    <w:rsid w:val="00805A30"/>
    <w:rsid w:val="008216E7"/>
    <w:rsid w:val="00825BE6"/>
    <w:rsid w:val="008276B4"/>
    <w:rsid w:val="00831927"/>
    <w:rsid w:val="00834CAE"/>
    <w:rsid w:val="00834E05"/>
    <w:rsid w:val="00837288"/>
    <w:rsid w:val="00840116"/>
    <w:rsid w:val="00841BD3"/>
    <w:rsid w:val="0084273D"/>
    <w:rsid w:val="008433D6"/>
    <w:rsid w:val="00844E3F"/>
    <w:rsid w:val="00845A83"/>
    <w:rsid w:val="00846BB9"/>
    <w:rsid w:val="00856CE5"/>
    <w:rsid w:val="0086369B"/>
    <w:rsid w:val="008649D5"/>
    <w:rsid w:val="008712BB"/>
    <w:rsid w:val="0087341E"/>
    <w:rsid w:val="008752FB"/>
    <w:rsid w:val="008830E7"/>
    <w:rsid w:val="00890E20"/>
    <w:rsid w:val="00890EDE"/>
    <w:rsid w:val="00892B38"/>
    <w:rsid w:val="00894290"/>
    <w:rsid w:val="00895736"/>
    <w:rsid w:val="008A1741"/>
    <w:rsid w:val="008A2484"/>
    <w:rsid w:val="008A3444"/>
    <w:rsid w:val="008A38FD"/>
    <w:rsid w:val="008A45C1"/>
    <w:rsid w:val="008A4C65"/>
    <w:rsid w:val="008A52F3"/>
    <w:rsid w:val="008B12FE"/>
    <w:rsid w:val="008B2C06"/>
    <w:rsid w:val="008B653D"/>
    <w:rsid w:val="008B6F8C"/>
    <w:rsid w:val="008C26D9"/>
    <w:rsid w:val="008C2BF4"/>
    <w:rsid w:val="008C4A3C"/>
    <w:rsid w:val="008C6D50"/>
    <w:rsid w:val="008C7167"/>
    <w:rsid w:val="008C7503"/>
    <w:rsid w:val="008D1617"/>
    <w:rsid w:val="008D330F"/>
    <w:rsid w:val="008D33D2"/>
    <w:rsid w:val="008D3630"/>
    <w:rsid w:val="008D48C1"/>
    <w:rsid w:val="008E11B2"/>
    <w:rsid w:val="008E1D1C"/>
    <w:rsid w:val="008E6315"/>
    <w:rsid w:val="008E6C89"/>
    <w:rsid w:val="008F0480"/>
    <w:rsid w:val="008F07FC"/>
    <w:rsid w:val="008F0F18"/>
    <w:rsid w:val="008F11E0"/>
    <w:rsid w:val="008F3EA7"/>
    <w:rsid w:val="008F78BC"/>
    <w:rsid w:val="008F7B63"/>
    <w:rsid w:val="008F7D6A"/>
    <w:rsid w:val="00901C86"/>
    <w:rsid w:val="00903603"/>
    <w:rsid w:val="009054CB"/>
    <w:rsid w:val="00906641"/>
    <w:rsid w:val="00911F8D"/>
    <w:rsid w:val="00912F94"/>
    <w:rsid w:val="0091361D"/>
    <w:rsid w:val="00914FDD"/>
    <w:rsid w:val="009170DE"/>
    <w:rsid w:val="009171BC"/>
    <w:rsid w:val="0092170D"/>
    <w:rsid w:val="00923A7D"/>
    <w:rsid w:val="0092497E"/>
    <w:rsid w:val="0092590B"/>
    <w:rsid w:val="00925BF3"/>
    <w:rsid w:val="00925E60"/>
    <w:rsid w:val="009264B3"/>
    <w:rsid w:val="00931E4C"/>
    <w:rsid w:val="009365E0"/>
    <w:rsid w:val="00942BA2"/>
    <w:rsid w:val="009432B7"/>
    <w:rsid w:val="00944C86"/>
    <w:rsid w:val="0094698E"/>
    <w:rsid w:val="00947C02"/>
    <w:rsid w:val="00950BE6"/>
    <w:rsid w:val="00957DE8"/>
    <w:rsid w:val="00960ECB"/>
    <w:rsid w:val="009615D6"/>
    <w:rsid w:val="00962A19"/>
    <w:rsid w:val="00963070"/>
    <w:rsid w:val="00967855"/>
    <w:rsid w:val="00971CD1"/>
    <w:rsid w:val="00973651"/>
    <w:rsid w:val="00974709"/>
    <w:rsid w:val="00977D94"/>
    <w:rsid w:val="009801AE"/>
    <w:rsid w:val="00980736"/>
    <w:rsid w:val="00981A39"/>
    <w:rsid w:val="00982286"/>
    <w:rsid w:val="00982D56"/>
    <w:rsid w:val="00983DBF"/>
    <w:rsid w:val="009845FF"/>
    <w:rsid w:val="0098557F"/>
    <w:rsid w:val="0098656F"/>
    <w:rsid w:val="00987097"/>
    <w:rsid w:val="00991123"/>
    <w:rsid w:val="00991CAB"/>
    <w:rsid w:val="00992A0F"/>
    <w:rsid w:val="009A01C9"/>
    <w:rsid w:val="009A3A9C"/>
    <w:rsid w:val="009A56A2"/>
    <w:rsid w:val="009B046C"/>
    <w:rsid w:val="009B13FA"/>
    <w:rsid w:val="009B1518"/>
    <w:rsid w:val="009B1E2D"/>
    <w:rsid w:val="009B37C7"/>
    <w:rsid w:val="009C0943"/>
    <w:rsid w:val="009C0EC2"/>
    <w:rsid w:val="009C59FB"/>
    <w:rsid w:val="009C6F3B"/>
    <w:rsid w:val="009D1467"/>
    <w:rsid w:val="009D328D"/>
    <w:rsid w:val="009D4BB4"/>
    <w:rsid w:val="009E4FA6"/>
    <w:rsid w:val="009E7D93"/>
    <w:rsid w:val="009F2385"/>
    <w:rsid w:val="009F3C34"/>
    <w:rsid w:val="009F462C"/>
    <w:rsid w:val="009F517B"/>
    <w:rsid w:val="009F5C33"/>
    <w:rsid w:val="00A00AA3"/>
    <w:rsid w:val="00A0161D"/>
    <w:rsid w:val="00A026F0"/>
    <w:rsid w:val="00A02802"/>
    <w:rsid w:val="00A03EAC"/>
    <w:rsid w:val="00A0434A"/>
    <w:rsid w:val="00A04DBB"/>
    <w:rsid w:val="00A07EA0"/>
    <w:rsid w:val="00A11CA6"/>
    <w:rsid w:val="00A17FAC"/>
    <w:rsid w:val="00A20C49"/>
    <w:rsid w:val="00A226B6"/>
    <w:rsid w:val="00A22932"/>
    <w:rsid w:val="00A25955"/>
    <w:rsid w:val="00A269CA"/>
    <w:rsid w:val="00A3056B"/>
    <w:rsid w:val="00A336EE"/>
    <w:rsid w:val="00A33F46"/>
    <w:rsid w:val="00A3427E"/>
    <w:rsid w:val="00A359AC"/>
    <w:rsid w:val="00A40058"/>
    <w:rsid w:val="00A40F83"/>
    <w:rsid w:val="00A410FB"/>
    <w:rsid w:val="00A41124"/>
    <w:rsid w:val="00A41413"/>
    <w:rsid w:val="00A41A50"/>
    <w:rsid w:val="00A4210F"/>
    <w:rsid w:val="00A431E6"/>
    <w:rsid w:val="00A436E8"/>
    <w:rsid w:val="00A45FB1"/>
    <w:rsid w:val="00A46A0F"/>
    <w:rsid w:val="00A46CCC"/>
    <w:rsid w:val="00A47996"/>
    <w:rsid w:val="00A5148C"/>
    <w:rsid w:val="00A51CFE"/>
    <w:rsid w:val="00A5204D"/>
    <w:rsid w:val="00A5553B"/>
    <w:rsid w:val="00A55CD3"/>
    <w:rsid w:val="00A561AE"/>
    <w:rsid w:val="00A56AA2"/>
    <w:rsid w:val="00A56E77"/>
    <w:rsid w:val="00A61605"/>
    <w:rsid w:val="00A65F97"/>
    <w:rsid w:val="00A660BD"/>
    <w:rsid w:val="00A73B04"/>
    <w:rsid w:val="00A76C13"/>
    <w:rsid w:val="00A84FD0"/>
    <w:rsid w:val="00A908BD"/>
    <w:rsid w:val="00A92E79"/>
    <w:rsid w:val="00A950B6"/>
    <w:rsid w:val="00A95D45"/>
    <w:rsid w:val="00AA1CF5"/>
    <w:rsid w:val="00AA20EE"/>
    <w:rsid w:val="00AA3AED"/>
    <w:rsid w:val="00AA3EA8"/>
    <w:rsid w:val="00AB41C1"/>
    <w:rsid w:val="00AB46F3"/>
    <w:rsid w:val="00AB4CF2"/>
    <w:rsid w:val="00AB6CCA"/>
    <w:rsid w:val="00AB6EBE"/>
    <w:rsid w:val="00AC223F"/>
    <w:rsid w:val="00AC288D"/>
    <w:rsid w:val="00AC33B1"/>
    <w:rsid w:val="00AC3836"/>
    <w:rsid w:val="00AC49EF"/>
    <w:rsid w:val="00AC6F26"/>
    <w:rsid w:val="00AD12A8"/>
    <w:rsid w:val="00AE023F"/>
    <w:rsid w:val="00AE073F"/>
    <w:rsid w:val="00AE27F3"/>
    <w:rsid w:val="00AE5973"/>
    <w:rsid w:val="00AF3577"/>
    <w:rsid w:val="00AF35F9"/>
    <w:rsid w:val="00B0424C"/>
    <w:rsid w:val="00B05432"/>
    <w:rsid w:val="00B05C7D"/>
    <w:rsid w:val="00B15D57"/>
    <w:rsid w:val="00B16347"/>
    <w:rsid w:val="00B17D6E"/>
    <w:rsid w:val="00B209F5"/>
    <w:rsid w:val="00B20E46"/>
    <w:rsid w:val="00B242B4"/>
    <w:rsid w:val="00B2435E"/>
    <w:rsid w:val="00B26F47"/>
    <w:rsid w:val="00B27177"/>
    <w:rsid w:val="00B346C3"/>
    <w:rsid w:val="00B35476"/>
    <w:rsid w:val="00B356BD"/>
    <w:rsid w:val="00B4005C"/>
    <w:rsid w:val="00B4227E"/>
    <w:rsid w:val="00B4471C"/>
    <w:rsid w:val="00B451A6"/>
    <w:rsid w:val="00B45226"/>
    <w:rsid w:val="00B457D3"/>
    <w:rsid w:val="00B47C60"/>
    <w:rsid w:val="00B55838"/>
    <w:rsid w:val="00B56D6E"/>
    <w:rsid w:val="00B61469"/>
    <w:rsid w:val="00B61561"/>
    <w:rsid w:val="00B64347"/>
    <w:rsid w:val="00B65DC6"/>
    <w:rsid w:val="00B67AC2"/>
    <w:rsid w:val="00B70E70"/>
    <w:rsid w:val="00B722DE"/>
    <w:rsid w:val="00B73383"/>
    <w:rsid w:val="00B751E3"/>
    <w:rsid w:val="00B75BA6"/>
    <w:rsid w:val="00B763C4"/>
    <w:rsid w:val="00B76C44"/>
    <w:rsid w:val="00B800B2"/>
    <w:rsid w:val="00B8184A"/>
    <w:rsid w:val="00B82283"/>
    <w:rsid w:val="00B828D8"/>
    <w:rsid w:val="00B83F87"/>
    <w:rsid w:val="00B85471"/>
    <w:rsid w:val="00B871CE"/>
    <w:rsid w:val="00B87867"/>
    <w:rsid w:val="00B87CDC"/>
    <w:rsid w:val="00B87EE2"/>
    <w:rsid w:val="00B910C1"/>
    <w:rsid w:val="00BA23D2"/>
    <w:rsid w:val="00BA2CA4"/>
    <w:rsid w:val="00BA2EFA"/>
    <w:rsid w:val="00BA3DBC"/>
    <w:rsid w:val="00BA5652"/>
    <w:rsid w:val="00BA707A"/>
    <w:rsid w:val="00BB1AFB"/>
    <w:rsid w:val="00BB27AE"/>
    <w:rsid w:val="00BB2DA2"/>
    <w:rsid w:val="00BB32F8"/>
    <w:rsid w:val="00BB42CD"/>
    <w:rsid w:val="00BB56DC"/>
    <w:rsid w:val="00BC04CE"/>
    <w:rsid w:val="00BC0CD1"/>
    <w:rsid w:val="00BC23B4"/>
    <w:rsid w:val="00BC336C"/>
    <w:rsid w:val="00BC52AD"/>
    <w:rsid w:val="00BE183D"/>
    <w:rsid w:val="00BE33FA"/>
    <w:rsid w:val="00BE6C73"/>
    <w:rsid w:val="00BF11BF"/>
    <w:rsid w:val="00BF24C2"/>
    <w:rsid w:val="00BF2922"/>
    <w:rsid w:val="00BF5D7A"/>
    <w:rsid w:val="00C01C2E"/>
    <w:rsid w:val="00C02D33"/>
    <w:rsid w:val="00C04B53"/>
    <w:rsid w:val="00C0752C"/>
    <w:rsid w:val="00C07AC2"/>
    <w:rsid w:val="00C108ED"/>
    <w:rsid w:val="00C1232C"/>
    <w:rsid w:val="00C169FB"/>
    <w:rsid w:val="00C240DE"/>
    <w:rsid w:val="00C24866"/>
    <w:rsid w:val="00C27689"/>
    <w:rsid w:val="00C27C6B"/>
    <w:rsid w:val="00C3594D"/>
    <w:rsid w:val="00C36442"/>
    <w:rsid w:val="00C400CE"/>
    <w:rsid w:val="00C410FD"/>
    <w:rsid w:val="00C457DE"/>
    <w:rsid w:val="00C458E0"/>
    <w:rsid w:val="00C47DD3"/>
    <w:rsid w:val="00C47FDC"/>
    <w:rsid w:val="00C5316F"/>
    <w:rsid w:val="00C533D0"/>
    <w:rsid w:val="00C53562"/>
    <w:rsid w:val="00C539FB"/>
    <w:rsid w:val="00C5779D"/>
    <w:rsid w:val="00C609E6"/>
    <w:rsid w:val="00C62FAE"/>
    <w:rsid w:val="00C66AA3"/>
    <w:rsid w:val="00C66E57"/>
    <w:rsid w:val="00C724D7"/>
    <w:rsid w:val="00C74150"/>
    <w:rsid w:val="00C75594"/>
    <w:rsid w:val="00C75AE5"/>
    <w:rsid w:val="00C76516"/>
    <w:rsid w:val="00C801F5"/>
    <w:rsid w:val="00C85982"/>
    <w:rsid w:val="00C86B9E"/>
    <w:rsid w:val="00C93CF0"/>
    <w:rsid w:val="00C94575"/>
    <w:rsid w:val="00C948FC"/>
    <w:rsid w:val="00CA0466"/>
    <w:rsid w:val="00CA1216"/>
    <w:rsid w:val="00CA246D"/>
    <w:rsid w:val="00CA50D9"/>
    <w:rsid w:val="00CA6028"/>
    <w:rsid w:val="00CB2A43"/>
    <w:rsid w:val="00CB3054"/>
    <w:rsid w:val="00CB3C9C"/>
    <w:rsid w:val="00CB5636"/>
    <w:rsid w:val="00CB5CEB"/>
    <w:rsid w:val="00CB5F30"/>
    <w:rsid w:val="00CB6A0D"/>
    <w:rsid w:val="00CC3EE5"/>
    <w:rsid w:val="00CC6E47"/>
    <w:rsid w:val="00CD1346"/>
    <w:rsid w:val="00CD370E"/>
    <w:rsid w:val="00CD4371"/>
    <w:rsid w:val="00CD6538"/>
    <w:rsid w:val="00CE11E0"/>
    <w:rsid w:val="00CE2256"/>
    <w:rsid w:val="00CE425C"/>
    <w:rsid w:val="00CE58AC"/>
    <w:rsid w:val="00CF23D5"/>
    <w:rsid w:val="00CF3884"/>
    <w:rsid w:val="00CF5A80"/>
    <w:rsid w:val="00D045EE"/>
    <w:rsid w:val="00D05091"/>
    <w:rsid w:val="00D10CA6"/>
    <w:rsid w:val="00D10F21"/>
    <w:rsid w:val="00D125E8"/>
    <w:rsid w:val="00D134CF"/>
    <w:rsid w:val="00D1573B"/>
    <w:rsid w:val="00D20680"/>
    <w:rsid w:val="00D24806"/>
    <w:rsid w:val="00D2794B"/>
    <w:rsid w:val="00D34040"/>
    <w:rsid w:val="00D34E69"/>
    <w:rsid w:val="00D358F2"/>
    <w:rsid w:val="00D36C78"/>
    <w:rsid w:val="00D375EE"/>
    <w:rsid w:val="00D45C94"/>
    <w:rsid w:val="00D46D88"/>
    <w:rsid w:val="00D54CAF"/>
    <w:rsid w:val="00D55AE8"/>
    <w:rsid w:val="00D56056"/>
    <w:rsid w:val="00D56DB3"/>
    <w:rsid w:val="00D603C2"/>
    <w:rsid w:val="00D6085F"/>
    <w:rsid w:val="00D62699"/>
    <w:rsid w:val="00D63669"/>
    <w:rsid w:val="00D63D48"/>
    <w:rsid w:val="00D676EF"/>
    <w:rsid w:val="00D719E7"/>
    <w:rsid w:val="00D76ECE"/>
    <w:rsid w:val="00D772AB"/>
    <w:rsid w:val="00D774BE"/>
    <w:rsid w:val="00D778E9"/>
    <w:rsid w:val="00D812BF"/>
    <w:rsid w:val="00D82620"/>
    <w:rsid w:val="00D85707"/>
    <w:rsid w:val="00D867F6"/>
    <w:rsid w:val="00D871BE"/>
    <w:rsid w:val="00D930C1"/>
    <w:rsid w:val="00D9725F"/>
    <w:rsid w:val="00D97515"/>
    <w:rsid w:val="00DA01B1"/>
    <w:rsid w:val="00DA0357"/>
    <w:rsid w:val="00DA11A2"/>
    <w:rsid w:val="00DA14ED"/>
    <w:rsid w:val="00DA26D6"/>
    <w:rsid w:val="00DA5FFB"/>
    <w:rsid w:val="00DA7A53"/>
    <w:rsid w:val="00DB2EF1"/>
    <w:rsid w:val="00DB3DE1"/>
    <w:rsid w:val="00DB5DA0"/>
    <w:rsid w:val="00DB5F55"/>
    <w:rsid w:val="00DB716C"/>
    <w:rsid w:val="00DC4295"/>
    <w:rsid w:val="00DC5C85"/>
    <w:rsid w:val="00DC7C5D"/>
    <w:rsid w:val="00DD07F9"/>
    <w:rsid w:val="00DD242F"/>
    <w:rsid w:val="00DD4236"/>
    <w:rsid w:val="00DD44F1"/>
    <w:rsid w:val="00DD5447"/>
    <w:rsid w:val="00DD6957"/>
    <w:rsid w:val="00DD6E7A"/>
    <w:rsid w:val="00DE3067"/>
    <w:rsid w:val="00DE7E11"/>
    <w:rsid w:val="00DF3EEE"/>
    <w:rsid w:val="00DF4647"/>
    <w:rsid w:val="00DF75E1"/>
    <w:rsid w:val="00E027BC"/>
    <w:rsid w:val="00E045BE"/>
    <w:rsid w:val="00E052D2"/>
    <w:rsid w:val="00E10F0D"/>
    <w:rsid w:val="00E136C5"/>
    <w:rsid w:val="00E14EA5"/>
    <w:rsid w:val="00E2070E"/>
    <w:rsid w:val="00E20E12"/>
    <w:rsid w:val="00E21133"/>
    <w:rsid w:val="00E2327E"/>
    <w:rsid w:val="00E23577"/>
    <w:rsid w:val="00E266EF"/>
    <w:rsid w:val="00E26CD4"/>
    <w:rsid w:val="00E326A8"/>
    <w:rsid w:val="00E359FE"/>
    <w:rsid w:val="00E41BA6"/>
    <w:rsid w:val="00E464A2"/>
    <w:rsid w:val="00E47428"/>
    <w:rsid w:val="00E56C8E"/>
    <w:rsid w:val="00E5716B"/>
    <w:rsid w:val="00E57F1F"/>
    <w:rsid w:val="00E62064"/>
    <w:rsid w:val="00E635B3"/>
    <w:rsid w:val="00E66B9F"/>
    <w:rsid w:val="00E70A6A"/>
    <w:rsid w:val="00E70C8F"/>
    <w:rsid w:val="00E710D6"/>
    <w:rsid w:val="00E73DA4"/>
    <w:rsid w:val="00E76E45"/>
    <w:rsid w:val="00E777C9"/>
    <w:rsid w:val="00E81DA6"/>
    <w:rsid w:val="00E84212"/>
    <w:rsid w:val="00E84E5A"/>
    <w:rsid w:val="00E87D20"/>
    <w:rsid w:val="00E9086C"/>
    <w:rsid w:val="00E90AAA"/>
    <w:rsid w:val="00E91A0F"/>
    <w:rsid w:val="00E93200"/>
    <w:rsid w:val="00E945B3"/>
    <w:rsid w:val="00E94A71"/>
    <w:rsid w:val="00E94CBF"/>
    <w:rsid w:val="00EA03CE"/>
    <w:rsid w:val="00EA23E5"/>
    <w:rsid w:val="00EA2ADC"/>
    <w:rsid w:val="00EA2BE4"/>
    <w:rsid w:val="00EA4A94"/>
    <w:rsid w:val="00EA4E2E"/>
    <w:rsid w:val="00EB0C01"/>
    <w:rsid w:val="00EB1525"/>
    <w:rsid w:val="00EB2417"/>
    <w:rsid w:val="00EB2CCB"/>
    <w:rsid w:val="00EB7A25"/>
    <w:rsid w:val="00EB7FC9"/>
    <w:rsid w:val="00EC0F3E"/>
    <w:rsid w:val="00EC57A7"/>
    <w:rsid w:val="00ED066F"/>
    <w:rsid w:val="00ED0817"/>
    <w:rsid w:val="00ED1E98"/>
    <w:rsid w:val="00ED5A3A"/>
    <w:rsid w:val="00ED7DD9"/>
    <w:rsid w:val="00EE16ED"/>
    <w:rsid w:val="00EE445B"/>
    <w:rsid w:val="00EE7741"/>
    <w:rsid w:val="00EF3113"/>
    <w:rsid w:val="00EF3F84"/>
    <w:rsid w:val="00EF689D"/>
    <w:rsid w:val="00F04389"/>
    <w:rsid w:val="00F10168"/>
    <w:rsid w:val="00F10848"/>
    <w:rsid w:val="00F176AC"/>
    <w:rsid w:val="00F219A5"/>
    <w:rsid w:val="00F26F28"/>
    <w:rsid w:val="00F27714"/>
    <w:rsid w:val="00F3276E"/>
    <w:rsid w:val="00F33D3C"/>
    <w:rsid w:val="00F359C8"/>
    <w:rsid w:val="00F37A91"/>
    <w:rsid w:val="00F408A0"/>
    <w:rsid w:val="00F446F8"/>
    <w:rsid w:val="00F44FDB"/>
    <w:rsid w:val="00F45CF5"/>
    <w:rsid w:val="00F46F0D"/>
    <w:rsid w:val="00F47DB0"/>
    <w:rsid w:val="00F507D7"/>
    <w:rsid w:val="00F50C3F"/>
    <w:rsid w:val="00F50E34"/>
    <w:rsid w:val="00F51AFB"/>
    <w:rsid w:val="00F53EF7"/>
    <w:rsid w:val="00F54BF2"/>
    <w:rsid w:val="00F63E11"/>
    <w:rsid w:val="00F73528"/>
    <w:rsid w:val="00F775AC"/>
    <w:rsid w:val="00F81FDF"/>
    <w:rsid w:val="00F82D1C"/>
    <w:rsid w:val="00F8792F"/>
    <w:rsid w:val="00F9214D"/>
    <w:rsid w:val="00F92355"/>
    <w:rsid w:val="00F93963"/>
    <w:rsid w:val="00F94291"/>
    <w:rsid w:val="00FA290B"/>
    <w:rsid w:val="00FA298A"/>
    <w:rsid w:val="00FA488E"/>
    <w:rsid w:val="00FA5B66"/>
    <w:rsid w:val="00FB0133"/>
    <w:rsid w:val="00FB0B9C"/>
    <w:rsid w:val="00FB30EB"/>
    <w:rsid w:val="00FB477A"/>
    <w:rsid w:val="00FB7982"/>
    <w:rsid w:val="00FC0734"/>
    <w:rsid w:val="00FC0FC5"/>
    <w:rsid w:val="00FC588F"/>
    <w:rsid w:val="00FC6879"/>
    <w:rsid w:val="00FD43C2"/>
    <w:rsid w:val="00FD571B"/>
    <w:rsid w:val="00FD57CC"/>
    <w:rsid w:val="00FE1B30"/>
    <w:rsid w:val="00FE7B44"/>
    <w:rsid w:val="00FE7BFA"/>
    <w:rsid w:val="00FF4C9F"/>
    <w:rsid w:val="00FF7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E46A2C"/>
  <w15:docId w15:val="{E814E221-A907-4329-BA28-65E6349A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9"/>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9"/>
    <w:qFormat/>
    <w:pPr>
      <w:keepNext/>
      <w:spacing w:before="240" w:after="60" w:line="240" w:lineRule="auto"/>
      <w:outlineLvl w:val="1"/>
    </w:pPr>
    <w:rPr>
      <w:b/>
      <w:szCs w:val="24"/>
    </w:rPr>
  </w:style>
  <w:style w:type="paragraph" w:styleId="Heading3">
    <w:name w:val="heading 3"/>
    <w:basedOn w:val="Normal"/>
    <w:next w:val="ParaNumbering"/>
    <w:link w:val="Heading3Char"/>
    <w:uiPriority w:val="9"/>
    <w:qFormat/>
    <w:pPr>
      <w:keepNext/>
      <w:spacing w:before="240" w:after="60" w:line="240" w:lineRule="auto"/>
      <w:outlineLvl w:val="2"/>
    </w:pPr>
    <w:rPr>
      <w:b/>
      <w:i/>
    </w:rPr>
  </w:style>
  <w:style w:type="paragraph" w:styleId="Heading4">
    <w:name w:val="heading 4"/>
    <w:basedOn w:val="Normal"/>
    <w:next w:val="ParaNumbering"/>
    <w:uiPriority w:val="9"/>
    <w:qFormat/>
    <w:rsid w:val="009F5C33"/>
    <w:pPr>
      <w:keepNext/>
      <w:spacing w:before="240" w:after="60" w:line="240" w:lineRule="auto"/>
      <w:jc w:val="left"/>
      <w:outlineLvl w:val="3"/>
    </w:pPr>
    <w:rPr>
      <w:i/>
      <w:szCs w:val="24"/>
    </w:rPr>
  </w:style>
  <w:style w:type="paragraph" w:styleId="Heading5">
    <w:name w:val="heading 5"/>
    <w:basedOn w:val="fcHeading1"/>
    <w:next w:val="ParaNumbering"/>
    <w:uiPriority w:val="9"/>
    <w:qFormat/>
    <w:rsid w:val="000E7BAE"/>
    <w:pPr>
      <w:outlineLvl w:val="4"/>
    </w:pPr>
    <w:rPr>
      <w:caps w:val="0"/>
    </w:rPr>
  </w:style>
  <w:style w:type="paragraph" w:styleId="Heading6">
    <w:name w:val="heading 6"/>
    <w:basedOn w:val="fcHeading2"/>
    <w:next w:val="ParaNumbering"/>
    <w:uiPriority w:val="9"/>
    <w:qFormat/>
    <w:pPr>
      <w:outlineLvl w:val="5"/>
    </w:pPr>
  </w:style>
  <w:style w:type="paragraph" w:styleId="Heading7">
    <w:name w:val="heading 7"/>
    <w:basedOn w:val="fcHeading3"/>
    <w:next w:val="ParaNumbering"/>
    <w:uiPriority w:val="9"/>
    <w:qFormat/>
    <w:rsid w:val="00635B36"/>
    <w:pPr>
      <w:outlineLvl w:val="6"/>
    </w:pPr>
    <w:rPr>
      <w:i w:val="0"/>
    </w:rPr>
  </w:style>
  <w:style w:type="paragraph" w:styleId="Heading8">
    <w:name w:val="heading 8"/>
    <w:basedOn w:val="fcHeading4"/>
    <w:next w:val="ParaNumbering"/>
    <w:uiPriority w:val="9"/>
    <w:qFormat/>
    <w:rsid w:val="00635B36"/>
    <w:pPr>
      <w:outlineLvl w:val="7"/>
    </w:pPr>
    <w:rPr>
      <w:smallCaps w:val="0"/>
    </w:rPr>
  </w:style>
  <w:style w:type="paragraph" w:styleId="Heading9">
    <w:name w:val="heading 9"/>
    <w:basedOn w:val="fcHeading5"/>
    <w:next w:val="ParaNumbering"/>
    <w:uiPriority w:val="9"/>
    <w:qFormat/>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tabs>
        <w:tab w:val="clear" w:pos="720"/>
      </w:tabs>
      <w:spacing w:before="180" w:after="180"/>
    </w:pPr>
  </w:style>
  <w:style w:type="paragraph" w:customStyle="1" w:styleId="Quote1">
    <w:name w:val="Quote1"/>
    <w:uiPriority w:val="99"/>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uiPriority w:val="99"/>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uiPriority w:val="99"/>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3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ing1Char">
    <w:name w:val="Heading 1 Char"/>
    <w:basedOn w:val="DefaultParagraphFont"/>
    <w:link w:val="Heading1"/>
    <w:uiPriority w:val="9"/>
    <w:rsid w:val="00C108ED"/>
    <w:rPr>
      <w:b/>
      <w:caps/>
      <w:kern w:val="28"/>
      <w:sz w:val="24"/>
      <w:lang w:eastAsia="en-US"/>
    </w:rPr>
  </w:style>
  <w:style w:type="character" w:customStyle="1" w:styleId="Heading2Char">
    <w:name w:val="Heading 2 Char"/>
    <w:basedOn w:val="DefaultParagraphFont"/>
    <w:link w:val="Heading2"/>
    <w:uiPriority w:val="9"/>
    <w:rsid w:val="00C108ED"/>
    <w:rPr>
      <w:b/>
      <w:sz w:val="24"/>
      <w:szCs w:val="24"/>
      <w:lang w:eastAsia="en-US"/>
    </w:rPr>
  </w:style>
  <w:style w:type="character" w:customStyle="1" w:styleId="Heading3Char">
    <w:name w:val="Heading 3 Char"/>
    <w:basedOn w:val="DefaultParagraphFont"/>
    <w:link w:val="Heading3"/>
    <w:uiPriority w:val="9"/>
    <w:rsid w:val="00C108ED"/>
    <w:rPr>
      <w:b/>
      <w:i/>
      <w:sz w:val="24"/>
      <w:lang w:eastAsia="en-US"/>
    </w:rPr>
  </w:style>
  <w:style w:type="paragraph" w:customStyle="1" w:styleId="ListNo">
    <w:name w:val="List No"/>
    <w:basedOn w:val="Normal"/>
    <w:uiPriority w:val="99"/>
    <w:semiHidden/>
    <w:rsid w:val="00C108ED"/>
    <w:pPr>
      <w:spacing w:before="60" w:after="60"/>
    </w:pPr>
  </w:style>
  <w:style w:type="paragraph" w:styleId="ListParagraph">
    <w:name w:val="List Paragraph"/>
    <w:basedOn w:val="Normal"/>
    <w:uiPriority w:val="34"/>
    <w:qFormat/>
    <w:rsid w:val="00C108ED"/>
    <w:pPr>
      <w:spacing w:after="160" w:line="259" w:lineRule="auto"/>
      <w:ind w:left="720"/>
      <w:contextualSpacing/>
      <w:jc w:val="left"/>
    </w:pPr>
    <w:rPr>
      <w:rFonts w:asciiTheme="minorHAnsi" w:eastAsiaTheme="minorHAnsi" w:hAnsiTheme="minorHAnsi" w:cstheme="minorBidi"/>
      <w:sz w:val="22"/>
      <w:szCs w:val="22"/>
    </w:rPr>
  </w:style>
  <w:style w:type="character" w:customStyle="1" w:styleId="citation">
    <w:name w:val="citation"/>
    <w:basedOn w:val="DefaultParagraphFont"/>
    <w:rsid w:val="00C108ED"/>
  </w:style>
  <w:style w:type="character" w:customStyle="1" w:styleId="ssit">
    <w:name w:val="ss_it"/>
    <w:basedOn w:val="DefaultParagraphFont"/>
    <w:rsid w:val="00C108ED"/>
  </w:style>
  <w:style w:type="paragraph" w:customStyle="1" w:styleId="Default">
    <w:name w:val="Default"/>
    <w:rsid w:val="00C108ED"/>
    <w:pPr>
      <w:autoSpaceDE w:val="0"/>
      <w:autoSpaceDN w:val="0"/>
      <w:adjustRightInd w:val="0"/>
    </w:pPr>
    <w:rPr>
      <w:color w:val="000000"/>
      <w:sz w:val="24"/>
      <w:szCs w:val="24"/>
    </w:rPr>
  </w:style>
  <w:style w:type="character" w:customStyle="1" w:styleId="paragraphChar">
    <w:name w:val="paragraph Char"/>
    <w:aliases w:val="a Char"/>
    <w:basedOn w:val="DefaultParagraphFont"/>
    <w:link w:val="paragraph"/>
    <w:locked/>
    <w:rsid w:val="00C108ED"/>
    <w:rPr>
      <w:sz w:val="22"/>
    </w:rPr>
  </w:style>
  <w:style w:type="paragraph" w:customStyle="1" w:styleId="paragraph">
    <w:name w:val="paragraph"/>
    <w:aliases w:val="a"/>
    <w:basedOn w:val="Normal"/>
    <w:link w:val="paragraphChar"/>
    <w:rsid w:val="00C108ED"/>
    <w:pPr>
      <w:tabs>
        <w:tab w:val="right" w:pos="1531"/>
      </w:tabs>
      <w:spacing w:before="40" w:line="240" w:lineRule="auto"/>
      <w:ind w:left="1644" w:hanging="1644"/>
      <w:jc w:val="left"/>
    </w:pPr>
    <w:rPr>
      <w:sz w:val="22"/>
      <w:lang w:eastAsia="en-AU"/>
    </w:rPr>
  </w:style>
  <w:style w:type="character" w:customStyle="1" w:styleId="subsectionChar">
    <w:name w:val="subsection Char"/>
    <w:aliases w:val="ss Char"/>
    <w:basedOn w:val="DefaultParagraphFont"/>
    <w:link w:val="subsection"/>
    <w:locked/>
    <w:rsid w:val="00C108ED"/>
    <w:rPr>
      <w:sz w:val="22"/>
    </w:rPr>
  </w:style>
  <w:style w:type="paragraph" w:customStyle="1" w:styleId="subsection">
    <w:name w:val="subsection"/>
    <w:aliases w:val="ss"/>
    <w:basedOn w:val="Normal"/>
    <w:link w:val="subsectionChar"/>
    <w:rsid w:val="00C108ED"/>
    <w:pPr>
      <w:tabs>
        <w:tab w:val="right" w:pos="1021"/>
      </w:tabs>
      <w:spacing w:before="180" w:line="240" w:lineRule="auto"/>
      <w:ind w:left="1134" w:hanging="1134"/>
      <w:jc w:val="left"/>
    </w:pPr>
    <w:rPr>
      <w:sz w:val="22"/>
      <w:lang w:eastAsia="en-AU"/>
    </w:rPr>
  </w:style>
  <w:style w:type="paragraph" w:customStyle="1" w:styleId="noteToPara">
    <w:name w:val="noteToPara"/>
    <w:aliases w:val="ntp"/>
    <w:basedOn w:val="Normal"/>
    <w:rsid w:val="00C108ED"/>
    <w:pPr>
      <w:spacing w:before="122" w:line="198" w:lineRule="exact"/>
      <w:ind w:left="2353" w:hanging="709"/>
      <w:jc w:val="left"/>
    </w:pPr>
    <w:rPr>
      <w:rFonts w:eastAsia="Times New Roman"/>
      <w:sz w:val="18"/>
      <w:lang w:eastAsia="en-AU"/>
    </w:rPr>
  </w:style>
  <w:style w:type="paragraph" w:customStyle="1" w:styleId="paragraphsub">
    <w:name w:val="paragraph(sub)"/>
    <w:aliases w:val="aa"/>
    <w:basedOn w:val="Normal"/>
    <w:rsid w:val="00C108ED"/>
    <w:pPr>
      <w:tabs>
        <w:tab w:val="right" w:pos="1985"/>
      </w:tabs>
      <w:spacing w:before="40" w:line="240" w:lineRule="auto"/>
      <w:ind w:left="2098" w:hanging="2098"/>
      <w:jc w:val="left"/>
    </w:pPr>
    <w:rPr>
      <w:rFonts w:eastAsia="Times New Roman"/>
      <w:sz w:val="22"/>
      <w:lang w:eastAsia="en-AU"/>
    </w:rPr>
  </w:style>
  <w:style w:type="paragraph" w:styleId="Revision">
    <w:name w:val="Revision"/>
    <w:hidden/>
    <w:uiPriority w:val="99"/>
    <w:semiHidden/>
    <w:rsid w:val="001B4CD2"/>
    <w:rPr>
      <w:sz w:val="24"/>
      <w:lang w:eastAsia="en-US"/>
    </w:rPr>
  </w:style>
  <w:style w:type="paragraph" w:customStyle="1" w:styleId="008679f6">
    <w:name w:val="008679f6"/>
    <w:basedOn w:val="Normal"/>
    <w:rsid w:val="00284EC6"/>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16045">
      <w:bodyDiv w:val="1"/>
      <w:marLeft w:val="0"/>
      <w:marRight w:val="0"/>
      <w:marTop w:val="0"/>
      <w:marBottom w:val="0"/>
      <w:divBdr>
        <w:top w:val="none" w:sz="0" w:space="0" w:color="auto"/>
        <w:left w:val="none" w:sz="0" w:space="0" w:color="auto"/>
        <w:bottom w:val="none" w:sz="0" w:space="0" w:color="auto"/>
        <w:right w:val="none" w:sz="0" w:space="0" w:color="auto"/>
      </w:divBdr>
    </w:div>
    <w:div w:id="15194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sey\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50BD7EB96D4CD4A2691D18D19F8A62"/>
        <w:category>
          <w:name w:val="General"/>
          <w:gallery w:val="placeholder"/>
        </w:category>
        <w:types>
          <w:type w:val="bbPlcHdr"/>
        </w:types>
        <w:behaviors>
          <w:behavior w:val="content"/>
        </w:behaviors>
        <w:guid w:val="{579F37F2-0632-4046-A28E-BBC7E2B302EE}"/>
      </w:docPartPr>
      <w:docPartBody>
        <w:p w:rsidR="008B15BC" w:rsidRDefault="008B15BC">
          <w:pPr>
            <w:pStyle w:val="9550BD7EB96D4CD4A2691D18D19F8A62"/>
          </w:pPr>
          <w:r>
            <w:rPr>
              <w:rStyle w:val="PlaceholderText"/>
            </w:rPr>
            <w:t>MNC Text</w:t>
          </w:r>
        </w:p>
      </w:docPartBody>
    </w:docPart>
    <w:docPart>
      <w:docPartPr>
        <w:name w:val="F7E7CFBC99EB4E72853032CED620F375"/>
        <w:category>
          <w:name w:val="General"/>
          <w:gallery w:val="placeholder"/>
        </w:category>
        <w:types>
          <w:type w:val="bbPlcHdr"/>
        </w:types>
        <w:behaviors>
          <w:behavior w:val="content"/>
        </w:behaviors>
        <w:guid w:val="{5B456669-FDEB-4D2C-891C-9630D8338757}"/>
      </w:docPartPr>
      <w:docPartBody>
        <w:p w:rsidR="008B15BC" w:rsidRDefault="008B15BC">
          <w:pPr>
            <w:pStyle w:val="F7E7CFBC99EB4E72853032CED620F375"/>
          </w:pPr>
          <w:r w:rsidRPr="005C44BE">
            <w:rPr>
              <w:rStyle w:val="PlaceholderText"/>
            </w:rPr>
            <w:t>Click or tap here to enter text.</w:t>
          </w:r>
        </w:p>
      </w:docPartBody>
    </w:docPart>
    <w:docPart>
      <w:docPartPr>
        <w:name w:val="A8419A0EFB8D41CA970E3087554C42DB"/>
        <w:category>
          <w:name w:val="General"/>
          <w:gallery w:val="placeholder"/>
        </w:category>
        <w:types>
          <w:type w:val="bbPlcHdr"/>
        </w:types>
        <w:behaviors>
          <w:behavior w:val="content"/>
        </w:behaviors>
        <w:guid w:val="{9A001358-79CD-4B05-93F0-94B10231523B}"/>
      </w:docPartPr>
      <w:docPartBody>
        <w:p w:rsidR="008B15BC" w:rsidRDefault="008B15BC">
          <w:pPr>
            <w:pStyle w:val="A8419A0EFB8D41CA970E3087554C42DB"/>
          </w:pPr>
          <w:r w:rsidRPr="005C44BE">
            <w:rPr>
              <w:rStyle w:val="PlaceholderText"/>
            </w:rPr>
            <w:t>Click or tap here to enter text.</w:t>
          </w:r>
        </w:p>
      </w:docPartBody>
    </w:docPart>
    <w:docPart>
      <w:docPartPr>
        <w:name w:val="FF514547AAD74261A9C012630902BF72"/>
        <w:category>
          <w:name w:val="General"/>
          <w:gallery w:val="placeholder"/>
        </w:category>
        <w:types>
          <w:type w:val="bbPlcHdr"/>
        </w:types>
        <w:behaviors>
          <w:behavior w:val="content"/>
        </w:behaviors>
        <w:guid w:val="{9C3C7DA1-2762-439B-A35A-7D77D09C2D1A}"/>
      </w:docPartPr>
      <w:docPartBody>
        <w:p w:rsidR="008B15BC" w:rsidRDefault="008B15BC">
          <w:pPr>
            <w:pStyle w:val="FF514547AAD74261A9C012630902BF72"/>
          </w:pPr>
          <w:r w:rsidRPr="005C44BE">
            <w:rPr>
              <w:rStyle w:val="PlaceholderText"/>
            </w:rPr>
            <w:t>Click or tap here to enter text.</w:t>
          </w:r>
        </w:p>
      </w:docPartBody>
    </w:docPart>
    <w:docPart>
      <w:docPartPr>
        <w:name w:val="E0A3803192DC46F1A5B780DB75B577D4"/>
        <w:category>
          <w:name w:val="General"/>
          <w:gallery w:val="placeholder"/>
        </w:category>
        <w:types>
          <w:type w:val="bbPlcHdr"/>
        </w:types>
        <w:behaviors>
          <w:behavior w:val="content"/>
        </w:behaviors>
        <w:guid w:val="{FF74670C-A133-4028-A3F2-2E58C432ABD3}"/>
      </w:docPartPr>
      <w:docPartBody>
        <w:p w:rsidR="008B15BC" w:rsidRDefault="008B15BC">
          <w:pPr>
            <w:pStyle w:val="E0A3803192DC46F1A5B780DB75B577D4"/>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BC"/>
    <w:rsid w:val="00036C19"/>
    <w:rsid w:val="00096498"/>
    <w:rsid w:val="000E37D6"/>
    <w:rsid w:val="001912FB"/>
    <w:rsid w:val="001B44FE"/>
    <w:rsid w:val="00254B52"/>
    <w:rsid w:val="00344878"/>
    <w:rsid w:val="00426EE6"/>
    <w:rsid w:val="006B60D6"/>
    <w:rsid w:val="006C20BD"/>
    <w:rsid w:val="006E6BB2"/>
    <w:rsid w:val="00744BC7"/>
    <w:rsid w:val="007E33DC"/>
    <w:rsid w:val="00822A8A"/>
    <w:rsid w:val="008B15BC"/>
    <w:rsid w:val="008F0E82"/>
    <w:rsid w:val="00990E70"/>
    <w:rsid w:val="00A11E3D"/>
    <w:rsid w:val="00AB1AB3"/>
    <w:rsid w:val="00B501BA"/>
    <w:rsid w:val="00C60095"/>
    <w:rsid w:val="00C9662E"/>
    <w:rsid w:val="00CB218B"/>
    <w:rsid w:val="00CC1BE4"/>
    <w:rsid w:val="00DE0C26"/>
    <w:rsid w:val="00E0169B"/>
    <w:rsid w:val="00F20A84"/>
    <w:rsid w:val="00F3048C"/>
    <w:rsid w:val="00F4038F"/>
    <w:rsid w:val="00FC5E0C"/>
    <w:rsid w:val="00FF01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50BD7EB96D4CD4A2691D18D19F8A62">
    <w:name w:val="9550BD7EB96D4CD4A2691D18D19F8A62"/>
  </w:style>
  <w:style w:type="paragraph" w:customStyle="1" w:styleId="F7E7CFBC99EB4E72853032CED620F375">
    <w:name w:val="F7E7CFBC99EB4E72853032CED620F375"/>
  </w:style>
  <w:style w:type="paragraph" w:customStyle="1" w:styleId="A8419A0EFB8D41CA970E3087554C42DB">
    <w:name w:val="A8419A0EFB8D41CA970E3087554C42DB"/>
  </w:style>
  <w:style w:type="paragraph" w:customStyle="1" w:styleId="FF514547AAD74261A9C012630902BF72">
    <w:name w:val="FF514547AAD74261A9C012630902BF72"/>
  </w:style>
  <w:style w:type="paragraph" w:customStyle="1" w:styleId="E0A3803192DC46F1A5B780DB75B577D4">
    <w:name w:val="E0A3803192DC46F1A5B780DB75B57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68F631024FA4E9FB32E2E53A24514" ma:contentTypeVersion="10" ma:contentTypeDescription="Create a new document." ma:contentTypeScope="" ma:versionID="e0dbc4c6c08e250b591c6e05ad752e53">
  <xsd:schema xmlns:xsd="http://www.w3.org/2001/XMLSchema" xmlns:xs="http://www.w3.org/2001/XMLSchema" xmlns:p="http://schemas.microsoft.com/office/2006/metadata/properties" xmlns:ns3="93764087-86ad-4107-ac51-009eae6e3cde" targetNamespace="http://schemas.microsoft.com/office/2006/metadata/properties" ma:root="true" ma:fieldsID="a102b489ecc0bfc9595b802317ea92bc" ns3:_="">
    <xsd:import namespace="93764087-86ad-4107-ac51-009eae6e3c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64087-86ad-4107-ac51-009eae6e3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xmlns="http://schemas.globalmacros.com/FCA">
  <Name>Konebada Pty Ltd ATF the William Lewski Family Trust v Commissioner of Taxation [2023] FCA 257</Name>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0A3B7-D7E5-4F01-BC40-FFBB211A2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64087-86ad-4107-ac51-009eae6e3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AAEDF-EB72-49ED-B61F-5EB3430520B3}">
  <ds:schemaRefs>
    <ds:schemaRef ds:uri="http://schemas.microsoft.com/sharepoint/v3/contenttype/forms"/>
  </ds:schemaRefs>
</ds:datastoreItem>
</file>

<file path=customXml/itemProps3.xml><?xml version="1.0" encoding="utf-8"?>
<ds:datastoreItem xmlns:ds="http://schemas.openxmlformats.org/officeDocument/2006/customXml" ds:itemID="{E6985156-26DE-4482-B420-F0FB02C932C1}">
  <ds:schemaRefs>
    <ds:schemaRef ds:uri="http://schemas.microsoft.com/office/infopath/2007/PartnerControls"/>
    <ds:schemaRef ds:uri="93764087-86ad-4107-ac51-009eae6e3cd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87E7CCB-4AA5-44E7-B148-17BA2B6F57C0}">
  <ds:schemaRefs>
    <ds:schemaRef ds:uri="http://schemas.globalmacros.com/FCA"/>
  </ds:schemaRefs>
</ds:datastoreItem>
</file>

<file path=customXml/itemProps5.xml><?xml version="1.0" encoding="utf-8"?>
<ds:datastoreItem xmlns:ds="http://schemas.openxmlformats.org/officeDocument/2006/customXml" ds:itemID="{31085414-E481-4F47-80B3-D15A054C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43</Pages>
  <Words>17848</Words>
  <Characters>89270</Characters>
  <Application>Microsoft Office Word</Application>
  <DocSecurity>0</DocSecurity>
  <Lines>1539</Lines>
  <Paragraphs>566</Paragraphs>
  <ScaleCrop>false</ScaleCrop>
  <HeadingPairs>
    <vt:vector size="2" baseType="variant">
      <vt:variant>
        <vt:lpstr>Title</vt:lpstr>
      </vt:variant>
      <vt:variant>
        <vt:i4>1</vt:i4>
      </vt:variant>
    </vt:vector>
  </HeadingPairs>
  <TitlesOfParts>
    <vt:vector size="1" baseType="lpstr">
      <vt:lpstr>Konebada Pty Ltd ATF the William Lewski Family Trust v Commissioner of Taxation [2023] FCA 257</vt:lpstr>
    </vt:vector>
  </TitlesOfParts>
  <Company>Federal Court of Australia</Company>
  <LinksUpToDate>false</LinksUpToDate>
  <CharactersWithSpaces>106552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Konebada Pty Ltd ATF the William Lewski Family Trust v Commissioner of Taxation [2023] FCA 257</dc:title>
  <dc:creator>Sandra Casey</dc:creator>
  <dc:description>v1.3</dc:description>
  <cp:lastModifiedBy>Sandra Casey</cp:lastModifiedBy>
  <cp:revision>3</cp:revision>
  <cp:lastPrinted>2023-02-06T04:30:00Z</cp:lastPrinted>
  <dcterms:created xsi:type="dcterms:W3CDTF">2023-03-23T22:47:00Z</dcterms:created>
  <dcterms:modified xsi:type="dcterms:W3CDTF">2023-03-23T22:48:00Z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Taxation</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0x010100E9C68F631024FA4E9FB32E2E53A24514</vt:lpwstr>
  </property>
</Properties>
</file>