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FA11D1" w:rsidP="00A22932">
      <w:pPr>
        <w:pStyle w:val="CourtTitle"/>
      </w:pPr>
      <w:r>
        <w:fldChar w:fldCharType="begin"/>
      </w:r>
      <w:r>
        <w:instrText xml:space="preserve"> DOCPROPERTY  Court  \* MERGEFORMAT </w:instrText>
      </w:r>
      <w:r>
        <w:fldChar w:fldCharType="separate"/>
      </w:r>
      <w:r w:rsidR="00173D63">
        <w:t>Federal Court of Australia</w:t>
      </w:r>
      <w:r>
        <w:fldChar w:fldCharType="end"/>
      </w:r>
    </w:p>
    <w:p w:rsidR="004D7950" w:rsidRDefault="004D7950">
      <w:pPr>
        <w:pStyle w:val="NormalHeadings"/>
        <w:jc w:val="center"/>
        <w:rPr>
          <w:sz w:val="32"/>
        </w:rPr>
      </w:pPr>
    </w:p>
    <w:bookmarkStart w:id="0" w:name="MNC"/>
    <w:p w:rsidR="00374CC4" w:rsidRDefault="00BB4301" w:rsidP="001A2B40">
      <w:pPr>
        <w:pStyle w:val="MNC"/>
      </w:pPr>
      <w:sdt>
        <w:sdtPr>
          <w:alias w:val="MNC"/>
          <w:tag w:val="MNC"/>
          <w:id w:val="343289786"/>
          <w:lock w:val="sdtLocked"/>
          <w:placeholder>
            <w:docPart w:val="FF0BA58793854433B51B3DDAF9BAA6D9"/>
          </w:placeholder>
          <w:dataBinding w:prefixMappings="xmlns:ns0='http://schemas.globalmacros.com/FCA'" w:xpath="/ns0:root[1]/ns0:Name[1]" w:storeItemID="{687E7CCB-4AA5-44E7-B148-17BA2B6F57C0}"/>
          <w:text w:multiLine="1"/>
        </w:sdtPr>
        <w:sdtEndPr/>
        <w:sdtContent>
          <w:proofErr w:type="spellStart"/>
          <w:r w:rsidR="006A4100">
            <w:t>Seau</w:t>
          </w:r>
          <w:proofErr w:type="spellEnd"/>
          <w:r w:rsidR="006A4100">
            <w:t xml:space="preserve"> v Minister for Immigration, Citizenship and Mul</w:t>
          </w:r>
          <w:r w:rsidR="0025723E">
            <w:t>ticultural Affairs [2023] FCA 176</w:t>
          </w:r>
        </w:sdtContent>
      </w:sdt>
      <w:bookmarkEnd w:id="0"/>
    </w:p>
    <w:tbl>
      <w:tblPr>
        <w:tblW w:w="9073" w:type="dxa"/>
        <w:tblLayout w:type="fixed"/>
        <w:tblLook w:val="01E0" w:firstRow="1" w:lastRow="1" w:firstColumn="1" w:lastColumn="1" w:noHBand="0" w:noVBand="0"/>
        <w:tblCaption w:val="Cover Table"/>
        <w:tblDescription w:val="Cover Table"/>
      </w:tblPr>
      <w:tblGrid>
        <w:gridCol w:w="3084"/>
        <w:gridCol w:w="5989"/>
      </w:tblGrid>
      <w:tr w:rsidR="001D0689" w:rsidTr="00E36FE1">
        <w:tc>
          <w:tcPr>
            <w:tcW w:w="3084" w:type="dxa"/>
            <w:shd w:val="clear" w:color="auto" w:fill="auto"/>
          </w:tcPr>
          <w:p w:rsidR="001D0689" w:rsidRDefault="001D0689" w:rsidP="00663878">
            <w:pPr>
              <w:pStyle w:val="Normal1linespace"/>
              <w:widowControl w:val="0"/>
              <w:jc w:val="left"/>
            </w:pPr>
            <w:r>
              <w:t xml:space="preserve">Review of: </w:t>
            </w:r>
          </w:p>
        </w:tc>
        <w:tc>
          <w:tcPr>
            <w:tcW w:w="5989" w:type="dxa"/>
            <w:shd w:val="clear" w:color="auto" w:fill="auto"/>
          </w:tcPr>
          <w:p w:rsidR="001D0689" w:rsidRPr="001A1F3F" w:rsidRDefault="001A1F3F" w:rsidP="00785FE8">
            <w:pPr>
              <w:pStyle w:val="Normal1linespace"/>
              <w:jc w:val="left"/>
            </w:pPr>
            <w:r>
              <w:rPr>
                <w:i/>
              </w:rPr>
              <w:t xml:space="preserve">Pritchard Junior </w:t>
            </w:r>
            <w:proofErr w:type="spellStart"/>
            <w:r>
              <w:rPr>
                <w:i/>
              </w:rPr>
              <w:t>Seau</w:t>
            </w:r>
            <w:proofErr w:type="spellEnd"/>
            <w:r>
              <w:rPr>
                <w:i/>
              </w:rPr>
              <w:t xml:space="preserve"> v </w:t>
            </w:r>
            <w:r w:rsidRPr="001A1F3F">
              <w:rPr>
                <w:i/>
              </w:rPr>
              <w:t>Minister for Immigration, Citizenship and Multicultural Affairs</w:t>
            </w:r>
            <w:r w:rsidR="00785FE8">
              <w:t xml:space="preserve"> [2022] AATA 3430</w:t>
            </w:r>
          </w:p>
        </w:tc>
      </w:tr>
      <w:tr w:rsidR="001D0689" w:rsidTr="00E36FE1">
        <w:tc>
          <w:tcPr>
            <w:tcW w:w="3084" w:type="dxa"/>
            <w:shd w:val="clear" w:color="auto" w:fill="auto"/>
          </w:tcPr>
          <w:p w:rsidR="001D0689" w:rsidRDefault="001D0689" w:rsidP="00663878">
            <w:pPr>
              <w:pStyle w:val="Normal1linespace"/>
              <w:widowControl w:val="0"/>
              <w:jc w:val="left"/>
            </w:pPr>
          </w:p>
        </w:tc>
        <w:tc>
          <w:tcPr>
            <w:tcW w:w="5989" w:type="dxa"/>
            <w:shd w:val="clear" w:color="auto" w:fill="auto"/>
          </w:tcPr>
          <w:p w:rsidR="001D0689" w:rsidRDefault="001D0689" w:rsidP="00173D63">
            <w:pPr>
              <w:pStyle w:val="Normal1linespace"/>
              <w:jc w:val="left"/>
            </w:pPr>
          </w:p>
        </w:tc>
      </w:tr>
      <w:tr w:rsidR="00395B24" w:rsidTr="00E36FE1">
        <w:tc>
          <w:tcPr>
            <w:tcW w:w="3084" w:type="dxa"/>
            <w:shd w:val="clear" w:color="auto" w:fill="auto"/>
          </w:tcPr>
          <w:p w:rsidR="00395B24" w:rsidRDefault="002C7385" w:rsidP="00663878">
            <w:pPr>
              <w:pStyle w:val="Normal1linespace"/>
              <w:widowControl w:val="0"/>
              <w:jc w:val="left"/>
            </w:pPr>
            <w:r>
              <w:t>File number(s):</w:t>
            </w:r>
          </w:p>
        </w:tc>
        <w:tc>
          <w:tcPr>
            <w:tcW w:w="5989" w:type="dxa"/>
            <w:shd w:val="clear" w:color="auto" w:fill="auto"/>
          </w:tcPr>
          <w:p w:rsidR="00395B24" w:rsidRPr="00173D63" w:rsidRDefault="00BB4301" w:rsidP="00173D63">
            <w:pPr>
              <w:pStyle w:val="Normal1linespace"/>
              <w:jc w:val="left"/>
            </w:pPr>
            <w:r>
              <w:fldChar w:fldCharType="begin" w:fldLock="1"/>
            </w:r>
            <w:r>
              <w:instrText xml:space="preserve"> REF  FileNo  \* MERGEFORMAT </w:instrText>
            </w:r>
            <w:r>
              <w:fldChar w:fldCharType="separate"/>
            </w:r>
            <w:r w:rsidR="00173D63" w:rsidRPr="00173D63">
              <w:t>NSD 935 of 2022</w:t>
            </w:r>
            <w:r>
              <w:fldChar w:fldCharType="end"/>
            </w:r>
          </w:p>
        </w:tc>
      </w:tr>
      <w:tr w:rsidR="00395B24" w:rsidTr="00E36FE1">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36FE1">
        <w:tc>
          <w:tcPr>
            <w:tcW w:w="3084" w:type="dxa"/>
            <w:shd w:val="clear" w:color="auto" w:fill="auto"/>
          </w:tcPr>
          <w:p w:rsidR="00395B24" w:rsidRDefault="002C7385" w:rsidP="00663878">
            <w:pPr>
              <w:pStyle w:val="Normal1linespace"/>
              <w:widowControl w:val="0"/>
              <w:jc w:val="left"/>
            </w:pPr>
            <w:r>
              <w:t>Judg</w:t>
            </w:r>
            <w:r w:rsidR="005724F6">
              <w:t>ment of</w:t>
            </w:r>
            <w:r>
              <w:t>:</w:t>
            </w:r>
          </w:p>
        </w:tc>
        <w:tc>
          <w:tcPr>
            <w:tcW w:w="5989" w:type="dxa"/>
            <w:shd w:val="clear" w:color="auto" w:fill="auto"/>
          </w:tcPr>
          <w:p w:rsidR="00395B24" w:rsidRDefault="002C7385" w:rsidP="00663878">
            <w:pPr>
              <w:pStyle w:val="Normal1linespace"/>
              <w:widowControl w:val="0"/>
              <w:jc w:val="left"/>
              <w:rPr>
                <w:b/>
              </w:rPr>
            </w:pPr>
            <w:r w:rsidRPr="00173D63">
              <w:rPr>
                <w:b/>
              </w:rPr>
              <w:fldChar w:fldCharType="begin" w:fldLock="1"/>
            </w:r>
            <w:r w:rsidRPr="00173D63">
              <w:rPr>
                <w:b/>
              </w:rPr>
              <w:instrText xml:space="preserve"> REF  Judge  \* MERGEFORMAT </w:instrText>
            </w:r>
            <w:r w:rsidRPr="00173D63">
              <w:rPr>
                <w:b/>
              </w:rPr>
              <w:fldChar w:fldCharType="separate"/>
            </w:r>
            <w:r w:rsidR="00173D63" w:rsidRPr="00173D63">
              <w:rPr>
                <w:b/>
                <w:caps/>
                <w:szCs w:val="24"/>
              </w:rPr>
              <w:t>RARES J</w:t>
            </w:r>
            <w:r w:rsidRPr="00173D63">
              <w:rPr>
                <w:b/>
              </w:rPr>
              <w:fldChar w:fldCharType="end"/>
            </w:r>
          </w:p>
        </w:tc>
      </w:tr>
      <w:tr w:rsidR="00395B24" w:rsidTr="00E36FE1">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36FE1">
        <w:tc>
          <w:tcPr>
            <w:tcW w:w="3084"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173D63" w:rsidP="00663878">
            <w:pPr>
              <w:pStyle w:val="Normal1linespace"/>
              <w:widowControl w:val="0"/>
              <w:jc w:val="left"/>
            </w:pPr>
            <w:bookmarkStart w:id="1" w:name="JudgmentDate"/>
            <w:r>
              <w:t>13 February 2023</w:t>
            </w:r>
            <w:bookmarkEnd w:id="1"/>
          </w:p>
        </w:tc>
      </w:tr>
      <w:tr w:rsidR="00395B24" w:rsidTr="00E36FE1">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36FE1">
        <w:tc>
          <w:tcPr>
            <w:tcW w:w="3084"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99072B" w:rsidP="00AA1B50">
            <w:pPr>
              <w:pStyle w:val="Normal1linespace"/>
              <w:widowControl w:val="0"/>
              <w:jc w:val="left"/>
            </w:pPr>
            <w:bookmarkStart w:id="2" w:name="Catchwords"/>
            <w:r>
              <w:rPr>
                <w:b/>
              </w:rPr>
              <w:t>MIGRATION</w:t>
            </w:r>
            <w:r w:rsidR="002E77DA">
              <w:rPr>
                <w:b/>
              </w:rPr>
              <w:t xml:space="preserve"> </w:t>
            </w:r>
            <w:r w:rsidR="002E77DA" w:rsidRPr="002E77DA">
              <w:t>–</w:t>
            </w:r>
            <w:r w:rsidR="00AA1B50">
              <w:t xml:space="preserve"> </w:t>
            </w:r>
            <w:r w:rsidR="002E77DA" w:rsidRPr="002E77DA">
              <w:t>application for constitutional writ relief in respect of decision of the Administrative Appeals Tribunal</w:t>
            </w:r>
            <w:r w:rsidR="00AD4F7C">
              <w:t xml:space="preserve"> under s 501CA(4) of the </w:t>
            </w:r>
            <w:r w:rsidR="00AD4F7C">
              <w:rPr>
                <w:i/>
              </w:rPr>
              <w:t xml:space="preserve">Migration Act </w:t>
            </w:r>
            <w:r w:rsidR="00AA1B50">
              <w:rPr>
                <w:i/>
              </w:rPr>
              <w:t xml:space="preserve">1958 </w:t>
            </w:r>
            <w:r w:rsidR="00AA1B50">
              <w:t>(Cth)</w:t>
            </w:r>
            <w:r w:rsidR="002E77DA" w:rsidRPr="002E77DA">
              <w:t xml:space="preserve"> to affirm decision of delegate </w:t>
            </w:r>
            <w:r w:rsidR="00AD4F7C">
              <w:t>not to revoke cancellation of visa under s 501(3A)</w:t>
            </w:r>
            <w:r w:rsidR="00CC0463">
              <w:t xml:space="preserve"> –</w:t>
            </w:r>
            <w:r w:rsidR="00AA1B50">
              <w:t xml:space="preserve"> </w:t>
            </w:r>
            <w:r w:rsidR="00CC0463">
              <w:t>whether Tribunal took into account</w:t>
            </w:r>
            <w:r w:rsidR="00AA1B50">
              <w:t xml:space="preserve"> in considering best interests of a minor child in Australia</w:t>
            </w:r>
            <w:r w:rsidR="00AD4F7C">
              <w:t>, without expressly mentioning them in its reasons, either psychologist’s report on effect on minor child that separation from applicant might have, or child’s</w:t>
            </w:r>
            <w:r w:rsidR="00CC0463">
              <w:t xml:space="preserve"> </w:t>
            </w:r>
            <w:r w:rsidR="00AD4F7C">
              <w:t xml:space="preserve">known </w:t>
            </w:r>
            <w:r w:rsidR="00CC0463">
              <w:t xml:space="preserve">views, as required by pars 8.3(4)(d) and (f) </w:t>
            </w:r>
            <w:r w:rsidR="007A75F7">
              <w:t xml:space="preserve">of Direction 90 made under s 499 of the </w:t>
            </w:r>
            <w:r w:rsidR="007A75F7">
              <w:rPr>
                <w:i/>
              </w:rPr>
              <w:t xml:space="preserve">Migration Act </w:t>
            </w:r>
            <w:r w:rsidR="007A75F7">
              <w:t xml:space="preserve">– whether Tribunal’s failure to take those </w:t>
            </w:r>
            <w:r w:rsidR="00AD4F7C">
              <w:t xml:space="preserve">factors into account material jurisdictional error </w:t>
            </w:r>
            <w:r w:rsidR="007A75F7">
              <w:t>– held: Tribunal decision set aside</w:t>
            </w:r>
            <w:r w:rsidR="00AD4F7C">
              <w:t>.</w:t>
            </w:r>
            <w:r w:rsidR="002E77DA" w:rsidRPr="002E77DA">
              <w:rPr>
                <w:b/>
              </w:rPr>
              <w:t xml:space="preserve"> </w:t>
            </w:r>
            <w:bookmarkEnd w:id="2"/>
          </w:p>
        </w:tc>
      </w:tr>
      <w:tr w:rsidR="00395B24" w:rsidTr="00E36FE1">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36FE1">
        <w:tc>
          <w:tcPr>
            <w:tcW w:w="3084"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99072B" w:rsidRPr="0099072B" w:rsidRDefault="0099072B" w:rsidP="0099072B">
            <w:pPr>
              <w:pStyle w:val="CasesLegislationAppealFrom"/>
              <w:spacing w:after="60"/>
            </w:pPr>
            <w:bookmarkStart w:id="3" w:name="Legislation"/>
            <w:r w:rsidRPr="0099072B">
              <w:rPr>
                <w:i/>
              </w:rPr>
              <w:t xml:space="preserve">Administrative Appeals Tribunal 1975 </w:t>
            </w:r>
            <w:r w:rsidRPr="0099072B">
              <w:t>(Cth)</w:t>
            </w:r>
            <w:r>
              <w:t xml:space="preserve"> s 43</w:t>
            </w:r>
          </w:p>
          <w:p w:rsidR="0099072B" w:rsidRPr="0099072B" w:rsidRDefault="0099072B" w:rsidP="0099072B">
            <w:pPr>
              <w:pStyle w:val="CasesLegislationAppealFrom"/>
              <w:spacing w:after="60"/>
            </w:pPr>
            <w:r w:rsidRPr="0099072B">
              <w:rPr>
                <w:i/>
              </w:rPr>
              <w:t xml:space="preserve">Migration Act 1958 </w:t>
            </w:r>
            <w:r w:rsidRPr="0099072B">
              <w:t>(</w:t>
            </w:r>
            <w:proofErr w:type="spellStart"/>
            <w:r w:rsidRPr="0099072B">
              <w:t>Cth</w:t>
            </w:r>
            <w:proofErr w:type="spellEnd"/>
            <w:r w:rsidRPr="0099072B">
              <w:t>)</w:t>
            </w:r>
            <w:bookmarkEnd w:id="3"/>
            <w:r>
              <w:t xml:space="preserve"> </w:t>
            </w:r>
            <w:proofErr w:type="spellStart"/>
            <w:r>
              <w:t>ss</w:t>
            </w:r>
            <w:proofErr w:type="spellEnd"/>
            <w:r>
              <w:t xml:space="preserve"> 430, 499, 500, 501, 501CA</w:t>
            </w:r>
          </w:p>
        </w:tc>
      </w:tr>
      <w:tr w:rsidR="00395B24" w:rsidTr="00E36FE1">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36FE1">
        <w:tc>
          <w:tcPr>
            <w:tcW w:w="3084"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99072B" w:rsidRPr="0099072B" w:rsidRDefault="0099072B" w:rsidP="0099072B">
            <w:pPr>
              <w:pStyle w:val="CasesLegislationAppealFrom"/>
              <w:spacing w:after="60"/>
            </w:pPr>
            <w:bookmarkStart w:id="4" w:name="Cases_Cited"/>
            <w:r w:rsidRPr="0099072B">
              <w:rPr>
                <w:i/>
              </w:rPr>
              <w:t>Cowgill v Minister for Immigration, Citizenship, Migrant Services and Multicultural Affairs</w:t>
            </w:r>
            <w:r w:rsidRPr="0099072B">
              <w:t xml:space="preserve"> [2022] FCA 1337</w:t>
            </w:r>
          </w:p>
          <w:p w:rsidR="0099072B" w:rsidRPr="0099072B" w:rsidRDefault="0099072B" w:rsidP="0099072B">
            <w:pPr>
              <w:pStyle w:val="CasesLegislationAppealFrom"/>
              <w:spacing w:after="60"/>
            </w:pPr>
            <w:r w:rsidRPr="0099072B">
              <w:rPr>
                <w:i/>
              </w:rPr>
              <w:t>East Australian Pipeline Pty Ltd v Australian Competition and Consumer Commission</w:t>
            </w:r>
            <w:r w:rsidRPr="0099072B">
              <w:t xml:space="preserve"> (2007) 233 CLR 229</w:t>
            </w:r>
          </w:p>
          <w:p w:rsidR="0099072B" w:rsidRPr="0099072B" w:rsidRDefault="0099072B" w:rsidP="0099072B">
            <w:pPr>
              <w:pStyle w:val="CasesLegislationAppealFrom"/>
              <w:spacing w:after="60"/>
            </w:pPr>
            <w:r w:rsidRPr="0099072B">
              <w:rPr>
                <w:i/>
              </w:rPr>
              <w:t xml:space="preserve">Minister for Aboriginal Affairs v Peko-Wallsend Ltd </w:t>
            </w:r>
            <w:r w:rsidRPr="0099072B">
              <w:t>(1986)</w:t>
            </w:r>
            <w:r w:rsidRPr="0099072B">
              <w:rPr>
                <w:i/>
              </w:rPr>
              <w:t xml:space="preserve"> </w:t>
            </w:r>
            <w:r w:rsidRPr="0099072B">
              <w:t>162 CLR 24</w:t>
            </w:r>
          </w:p>
          <w:p w:rsidR="0099072B" w:rsidRPr="0099072B" w:rsidRDefault="0099072B" w:rsidP="0099072B">
            <w:pPr>
              <w:pStyle w:val="CasesLegislationAppealFrom"/>
              <w:spacing w:after="60"/>
            </w:pPr>
            <w:r w:rsidRPr="0099072B">
              <w:rPr>
                <w:i/>
              </w:rPr>
              <w:t>Minister for Immigration and Ethnic Affairs v Wu Shan Liang</w:t>
            </w:r>
            <w:r w:rsidRPr="0099072B">
              <w:t xml:space="preserve"> (1996) 185 CLR 259</w:t>
            </w:r>
          </w:p>
          <w:p w:rsidR="0099072B" w:rsidRPr="0099072B" w:rsidRDefault="0099072B" w:rsidP="0099072B">
            <w:pPr>
              <w:pStyle w:val="CasesLegislationAppealFrom"/>
              <w:spacing w:after="60"/>
            </w:pPr>
            <w:r w:rsidRPr="0099072B">
              <w:rPr>
                <w:i/>
              </w:rPr>
              <w:t xml:space="preserve">Minister for Immigration and Multicultural Affairs v Yusuf </w:t>
            </w:r>
            <w:r w:rsidRPr="0099072B">
              <w:t>(2001) 206 CLR 323</w:t>
            </w:r>
          </w:p>
          <w:p w:rsidR="0099072B" w:rsidRPr="0099072B" w:rsidRDefault="0099072B" w:rsidP="0099072B">
            <w:pPr>
              <w:pStyle w:val="CasesLegislationAppealFrom"/>
              <w:spacing w:after="60"/>
            </w:pPr>
            <w:proofErr w:type="spellStart"/>
            <w:r w:rsidRPr="0099072B">
              <w:rPr>
                <w:i/>
              </w:rPr>
              <w:t>Nathanson</w:t>
            </w:r>
            <w:proofErr w:type="spellEnd"/>
            <w:r w:rsidRPr="0099072B">
              <w:rPr>
                <w:i/>
              </w:rPr>
              <w:t xml:space="preserve"> v Minister for Home Affairs</w:t>
            </w:r>
            <w:r w:rsidRPr="0099072B">
              <w:t xml:space="preserve"> (2022) 403 ALR 398</w:t>
            </w:r>
          </w:p>
          <w:p w:rsidR="0099072B" w:rsidRPr="0099072B" w:rsidRDefault="0099072B" w:rsidP="0099072B">
            <w:pPr>
              <w:pStyle w:val="CasesLegislationAppealFrom"/>
              <w:spacing w:after="60"/>
            </w:pPr>
            <w:r w:rsidRPr="0099072B">
              <w:rPr>
                <w:i/>
              </w:rPr>
              <w:t xml:space="preserve">Plaintiff M1/2021 v Minister for Home Affairs </w:t>
            </w:r>
            <w:r w:rsidRPr="0099072B">
              <w:t>(2022) 400 ALR 417</w:t>
            </w:r>
          </w:p>
          <w:p w:rsidR="0099072B" w:rsidRPr="0099072B" w:rsidRDefault="0099072B" w:rsidP="0099072B">
            <w:pPr>
              <w:pStyle w:val="CasesLegislationAppealFrom"/>
              <w:spacing w:after="60"/>
            </w:pPr>
            <w:r w:rsidRPr="0099072B">
              <w:rPr>
                <w:i/>
              </w:rPr>
              <w:t>R v Hunt; Ex Parte Sean Investment Pty Ltd</w:t>
            </w:r>
            <w:r w:rsidRPr="0099072B">
              <w:t xml:space="preserve"> (1979) 180 </w:t>
            </w:r>
            <w:r w:rsidRPr="0099072B">
              <w:lastRenderedPageBreak/>
              <w:t>CLR 322</w:t>
            </w:r>
          </w:p>
          <w:p w:rsidR="0099072B" w:rsidRPr="0099072B" w:rsidRDefault="0099072B" w:rsidP="0099072B">
            <w:pPr>
              <w:pStyle w:val="CasesLegislationAppealFrom"/>
              <w:spacing w:after="60"/>
            </w:pPr>
            <w:r w:rsidRPr="0099072B">
              <w:rPr>
                <w:i/>
              </w:rPr>
              <w:t>Telstra Corporation Ltd v Australian Competition and Consumer Commission</w:t>
            </w:r>
            <w:r w:rsidRPr="0099072B">
              <w:t xml:space="preserve"> (2008) 176 FCR 153</w:t>
            </w:r>
          </w:p>
          <w:p w:rsidR="0099072B" w:rsidRPr="0099072B" w:rsidRDefault="0099072B" w:rsidP="0099072B">
            <w:pPr>
              <w:pStyle w:val="CasesLegislationAppealFrom"/>
              <w:spacing w:after="60"/>
            </w:pPr>
            <w:r w:rsidRPr="0099072B">
              <w:rPr>
                <w:i/>
              </w:rPr>
              <w:t xml:space="preserve">Telstra Corporation Ltd v Australian Competition Tribunal </w:t>
            </w:r>
            <w:r w:rsidRPr="0099072B">
              <w:t>(2009) 175 FCR 201</w:t>
            </w:r>
            <w:bookmarkEnd w:id="4"/>
          </w:p>
        </w:tc>
      </w:tr>
      <w:tr w:rsidR="00173D63" w:rsidTr="00E36FE1">
        <w:tc>
          <w:tcPr>
            <w:tcW w:w="3084" w:type="dxa"/>
            <w:shd w:val="clear" w:color="auto" w:fill="auto"/>
          </w:tcPr>
          <w:p w:rsidR="00173D63" w:rsidRDefault="00173D63" w:rsidP="00FC0ED9">
            <w:pPr>
              <w:pStyle w:val="Normal1linespace"/>
              <w:widowControl w:val="0"/>
            </w:pPr>
          </w:p>
        </w:tc>
        <w:tc>
          <w:tcPr>
            <w:tcW w:w="5989" w:type="dxa"/>
            <w:shd w:val="clear" w:color="auto" w:fill="auto"/>
          </w:tcPr>
          <w:p w:rsidR="00173D63" w:rsidRDefault="00173D63" w:rsidP="00FC0ED9">
            <w:pPr>
              <w:pStyle w:val="Normal1linespace"/>
              <w:widowControl w:val="0"/>
              <w:jc w:val="left"/>
            </w:pPr>
          </w:p>
        </w:tc>
      </w:tr>
      <w:tr w:rsidR="00173D63" w:rsidTr="00E36FE1">
        <w:tc>
          <w:tcPr>
            <w:tcW w:w="3084" w:type="dxa"/>
            <w:shd w:val="clear" w:color="auto" w:fill="auto"/>
          </w:tcPr>
          <w:p w:rsidR="00173D63" w:rsidRDefault="00173D63" w:rsidP="00501A12">
            <w:pPr>
              <w:pStyle w:val="Normal1linespace"/>
              <w:widowControl w:val="0"/>
            </w:pPr>
            <w:r>
              <w:t>Division:</w:t>
            </w:r>
          </w:p>
        </w:tc>
        <w:tc>
          <w:tcPr>
            <w:tcW w:w="5989" w:type="dxa"/>
            <w:shd w:val="clear" w:color="auto" w:fill="auto"/>
          </w:tcPr>
          <w:p w:rsidR="00173D63" w:rsidRPr="00F17599" w:rsidRDefault="00C065C1" w:rsidP="00501A12">
            <w:pPr>
              <w:pStyle w:val="Normal1linespace"/>
              <w:widowControl w:val="0"/>
              <w:jc w:val="left"/>
            </w:pPr>
            <w:fldSimple w:instr=" DOCPROPERTY  Division ">
              <w:r w:rsidR="00173D63">
                <w:t>General Division</w:t>
              </w:r>
            </w:fldSimple>
          </w:p>
        </w:tc>
      </w:tr>
      <w:tr w:rsidR="00173D63" w:rsidTr="00E36FE1">
        <w:tc>
          <w:tcPr>
            <w:tcW w:w="3084" w:type="dxa"/>
            <w:shd w:val="clear" w:color="auto" w:fill="auto"/>
          </w:tcPr>
          <w:p w:rsidR="00173D63" w:rsidRDefault="00173D63" w:rsidP="00501A12">
            <w:pPr>
              <w:pStyle w:val="Normal1linespace"/>
              <w:widowControl w:val="0"/>
            </w:pPr>
            <w:bookmarkStart w:id="5" w:name="Registry_rows" w:colFirst="0" w:colLast="1"/>
          </w:p>
        </w:tc>
        <w:tc>
          <w:tcPr>
            <w:tcW w:w="5989" w:type="dxa"/>
            <w:shd w:val="clear" w:color="auto" w:fill="auto"/>
          </w:tcPr>
          <w:p w:rsidR="00173D63" w:rsidRDefault="00173D63" w:rsidP="00501A12">
            <w:pPr>
              <w:pStyle w:val="Normal1linespace"/>
              <w:widowControl w:val="0"/>
              <w:jc w:val="left"/>
            </w:pPr>
          </w:p>
        </w:tc>
      </w:tr>
      <w:tr w:rsidR="00173D63" w:rsidTr="00E36FE1">
        <w:tc>
          <w:tcPr>
            <w:tcW w:w="3084" w:type="dxa"/>
            <w:shd w:val="clear" w:color="auto" w:fill="auto"/>
          </w:tcPr>
          <w:p w:rsidR="00173D63" w:rsidRDefault="00173D63" w:rsidP="00501A12">
            <w:pPr>
              <w:pStyle w:val="Normal1linespace"/>
              <w:widowControl w:val="0"/>
            </w:pPr>
            <w:r>
              <w:t>Registry:</w:t>
            </w:r>
          </w:p>
        </w:tc>
        <w:tc>
          <w:tcPr>
            <w:tcW w:w="5989" w:type="dxa"/>
            <w:shd w:val="clear" w:color="auto" w:fill="auto"/>
          </w:tcPr>
          <w:p w:rsidR="00173D63" w:rsidRPr="00F17599" w:rsidRDefault="00C065C1" w:rsidP="00501A12">
            <w:pPr>
              <w:pStyle w:val="Normal1linespace"/>
              <w:widowControl w:val="0"/>
              <w:jc w:val="left"/>
            </w:pPr>
            <w:fldSimple w:instr=" DOCPROPERTY  Registry ">
              <w:r w:rsidR="00173D63">
                <w:t>New South Wales</w:t>
              </w:r>
            </w:fldSimple>
          </w:p>
        </w:tc>
      </w:tr>
      <w:tr w:rsidR="00173D63" w:rsidTr="00E36FE1">
        <w:tc>
          <w:tcPr>
            <w:tcW w:w="3084" w:type="dxa"/>
            <w:shd w:val="clear" w:color="auto" w:fill="auto"/>
          </w:tcPr>
          <w:p w:rsidR="00173D63" w:rsidRDefault="00173D63" w:rsidP="00501A12">
            <w:pPr>
              <w:pStyle w:val="Normal1linespace"/>
              <w:widowControl w:val="0"/>
            </w:pPr>
            <w:bookmarkStart w:id="6" w:name="NPARow" w:colFirst="0" w:colLast="1"/>
            <w:bookmarkEnd w:id="5"/>
          </w:p>
        </w:tc>
        <w:tc>
          <w:tcPr>
            <w:tcW w:w="5989" w:type="dxa"/>
            <w:shd w:val="clear" w:color="auto" w:fill="auto"/>
          </w:tcPr>
          <w:p w:rsidR="00173D63" w:rsidRPr="00F17599" w:rsidRDefault="00173D63" w:rsidP="00501A12">
            <w:pPr>
              <w:pStyle w:val="Normal1linespace"/>
              <w:widowControl w:val="0"/>
              <w:jc w:val="left"/>
              <w:rPr>
                <w:b/>
              </w:rPr>
            </w:pPr>
          </w:p>
        </w:tc>
      </w:tr>
      <w:tr w:rsidR="00173D63" w:rsidTr="00E36FE1">
        <w:tc>
          <w:tcPr>
            <w:tcW w:w="3084" w:type="dxa"/>
            <w:shd w:val="clear" w:color="auto" w:fill="auto"/>
          </w:tcPr>
          <w:p w:rsidR="00173D63" w:rsidRDefault="00173D63" w:rsidP="00501A12">
            <w:pPr>
              <w:pStyle w:val="Normal1linespace"/>
              <w:widowControl w:val="0"/>
            </w:pPr>
            <w:r>
              <w:t>National Practice Area:</w:t>
            </w:r>
          </w:p>
        </w:tc>
        <w:tc>
          <w:tcPr>
            <w:tcW w:w="5989" w:type="dxa"/>
            <w:shd w:val="clear" w:color="auto" w:fill="auto"/>
          </w:tcPr>
          <w:p w:rsidR="00173D63" w:rsidRPr="00F17599" w:rsidRDefault="00C065C1" w:rsidP="00FC0ED9">
            <w:pPr>
              <w:pStyle w:val="Normal1linespace"/>
              <w:widowControl w:val="0"/>
              <w:jc w:val="left"/>
              <w:rPr>
                <w:b/>
              </w:rPr>
            </w:pPr>
            <w:fldSimple w:instr=" DOCPROPERTY  &quot;Practice Area&quot;  \* MERGEFORMAT ">
              <w:r w:rsidR="00173D63">
                <w:t>Administrative and Constitutional Law and Human Rights</w:t>
              </w:r>
            </w:fldSimple>
          </w:p>
        </w:tc>
      </w:tr>
      <w:bookmarkEnd w:id="6"/>
      <w:tr w:rsidR="00173D63" w:rsidTr="00E36FE1">
        <w:tc>
          <w:tcPr>
            <w:tcW w:w="3084" w:type="dxa"/>
            <w:shd w:val="clear" w:color="auto" w:fill="auto"/>
          </w:tcPr>
          <w:p w:rsidR="00173D63" w:rsidRDefault="00173D63" w:rsidP="00501A12">
            <w:pPr>
              <w:pStyle w:val="Normal1linespace"/>
              <w:widowControl w:val="0"/>
            </w:pPr>
          </w:p>
        </w:tc>
        <w:tc>
          <w:tcPr>
            <w:tcW w:w="5989" w:type="dxa"/>
            <w:shd w:val="clear" w:color="auto" w:fill="auto"/>
          </w:tcPr>
          <w:p w:rsidR="00173D63" w:rsidRDefault="00173D63" w:rsidP="00501A12">
            <w:pPr>
              <w:pStyle w:val="Normal1linespace"/>
              <w:widowControl w:val="0"/>
              <w:jc w:val="left"/>
            </w:pPr>
          </w:p>
        </w:tc>
      </w:tr>
      <w:tr w:rsidR="00173D63" w:rsidTr="00E36FE1">
        <w:tc>
          <w:tcPr>
            <w:tcW w:w="3084" w:type="dxa"/>
            <w:shd w:val="clear" w:color="auto" w:fill="auto"/>
          </w:tcPr>
          <w:p w:rsidR="00173D63" w:rsidRDefault="00173D63" w:rsidP="00501A12">
            <w:pPr>
              <w:pStyle w:val="Normal1linespace"/>
              <w:widowControl w:val="0"/>
            </w:pPr>
            <w:r>
              <w:t>Number of paragraphs:</w:t>
            </w:r>
          </w:p>
        </w:tc>
        <w:tc>
          <w:tcPr>
            <w:tcW w:w="5989" w:type="dxa"/>
            <w:shd w:val="clear" w:color="auto" w:fill="auto"/>
          </w:tcPr>
          <w:p w:rsidR="00173D63" w:rsidRDefault="00E36FE1" w:rsidP="00501A12">
            <w:pPr>
              <w:pStyle w:val="Normal1linespace"/>
              <w:widowControl w:val="0"/>
              <w:jc w:val="left"/>
            </w:pPr>
            <w:bookmarkStart w:id="7" w:name="PlaceCategoryParagraphs"/>
            <w:r>
              <w:t>63</w:t>
            </w:r>
            <w:bookmarkEnd w:id="7"/>
          </w:p>
        </w:tc>
      </w:tr>
      <w:tr w:rsidR="00173D63" w:rsidTr="00E36FE1">
        <w:tc>
          <w:tcPr>
            <w:tcW w:w="3084" w:type="dxa"/>
            <w:shd w:val="clear" w:color="auto" w:fill="auto"/>
          </w:tcPr>
          <w:p w:rsidR="00173D63" w:rsidRDefault="00173D63" w:rsidP="00173D63">
            <w:pPr>
              <w:pStyle w:val="Normal1linespace"/>
              <w:widowControl w:val="0"/>
              <w:jc w:val="left"/>
            </w:pPr>
          </w:p>
        </w:tc>
        <w:tc>
          <w:tcPr>
            <w:tcW w:w="5989" w:type="dxa"/>
            <w:shd w:val="clear" w:color="auto" w:fill="auto"/>
          </w:tcPr>
          <w:p w:rsidR="00173D63" w:rsidRDefault="00173D63" w:rsidP="00173D63">
            <w:pPr>
              <w:pStyle w:val="Normal1linespace"/>
              <w:widowControl w:val="0"/>
              <w:jc w:val="left"/>
            </w:pPr>
          </w:p>
        </w:tc>
      </w:tr>
      <w:tr w:rsidR="00173D63" w:rsidTr="00E36FE1">
        <w:tc>
          <w:tcPr>
            <w:tcW w:w="3084" w:type="dxa"/>
            <w:shd w:val="clear" w:color="auto" w:fill="auto"/>
          </w:tcPr>
          <w:p w:rsidR="00173D63" w:rsidRDefault="00173D63" w:rsidP="00173D63">
            <w:pPr>
              <w:pStyle w:val="Normal1linespace"/>
              <w:widowControl w:val="0"/>
              <w:jc w:val="left"/>
            </w:pPr>
            <w:bookmarkStart w:id="8" w:name="CounselDate" w:colFirst="0" w:colLast="2"/>
            <w:r w:rsidRPr="006A24E3">
              <w:t>Date of hearing:</w:t>
            </w:r>
          </w:p>
        </w:tc>
        <w:tc>
          <w:tcPr>
            <w:tcW w:w="5989" w:type="dxa"/>
            <w:shd w:val="clear" w:color="auto" w:fill="auto"/>
          </w:tcPr>
          <w:p w:rsidR="00173D63" w:rsidRDefault="00173D63" w:rsidP="00173D63">
            <w:pPr>
              <w:pStyle w:val="Normal1linespace"/>
              <w:widowControl w:val="0"/>
              <w:jc w:val="left"/>
            </w:pPr>
            <w:r>
              <w:t>13 February 2023</w:t>
            </w:r>
          </w:p>
        </w:tc>
      </w:tr>
      <w:tr w:rsidR="00173D63" w:rsidTr="00E36FE1">
        <w:tc>
          <w:tcPr>
            <w:tcW w:w="3084" w:type="dxa"/>
            <w:shd w:val="clear" w:color="auto" w:fill="auto"/>
          </w:tcPr>
          <w:p w:rsidR="00173D63" w:rsidRDefault="00173D63" w:rsidP="00173D63">
            <w:pPr>
              <w:pStyle w:val="Normal1linespace"/>
              <w:widowControl w:val="0"/>
              <w:jc w:val="left"/>
            </w:pPr>
          </w:p>
        </w:tc>
        <w:tc>
          <w:tcPr>
            <w:tcW w:w="5989" w:type="dxa"/>
            <w:shd w:val="clear" w:color="auto" w:fill="auto"/>
          </w:tcPr>
          <w:p w:rsidR="00173D63" w:rsidRDefault="00173D63" w:rsidP="00173D63">
            <w:pPr>
              <w:pStyle w:val="Normal1linespace"/>
              <w:widowControl w:val="0"/>
              <w:jc w:val="left"/>
            </w:pPr>
          </w:p>
        </w:tc>
      </w:tr>
      <w:tr w:rsidR="001D0689" w:rsidTr="00E36FE1">
        <w:tc>
          <w:tcPr>
            <w:tcW w:w="3084" w:type="dxa"/>
            <w:shd w:val="clear" w:color="auto" w:fill="auto"/>
          </w:tcPr>
          <w:p w:rsidR="001D0689" w:rsidRDefault="001D0689" w:rsidP="00173D63">
            <w:pPr>
              <w:pStyle w:val="Normal1linespace"/>
              <w:widowControl w:val="0"/>
              <w:jc w:val="left"/>
            </w:pPr>
            <w:r>
              <w:t>Counsel for the applicant:</w:t>
            </w:r>
          </w:p>
        </w:tc>
        <w:tc>
          <w:tcPr>
            <w:tcW w:w="5989" w:type="dxa"/>
            <w:shd w:val="clear" w:color="auto" w:fill="auto"/>
          </w:tcPr>
          <w:p w:rsidR="001D0689" w:rsidRDefault="001D0689" w:rsidP="00173D63">
            <w:pPr>
              <w:pStyle w:val="Normal1linespace"/>
              <w:widowControl w:val="0"/>
              <w:jc w:val="left"/>
            </w:pPr>
            <w:r w:rsidRPr="001D0689">
              <w:t xml:space="preserve">Mr S </w:t>
            </w:r>
            <w:proofErr w:type="spellStart"/>
            <w:r w:rsidRPr="001D0689">
              <w:t>Stagliorio</w:t>
            </w:r>
            <w:proofErr w:type="spellEnd"/>
          </w:p>
        </w:tc>
      </w:tr>
      <w:tr w:rsidR="001D0689" w:rsidTr="00E36FE1">
        <w:tc>
          <w:tcPr>
            <w:tcW w:w="3084" w:type="dxa"/>
            <w:shd w:val="clear" w:color="auto" w:fill="auto"/>
          </w:tcPr>
          <w:p w:rsidR="001D0689" w:rsidRDefault="001D0689" w:rsidP="00173D63">
            <w:pPr>
              <w:pStyle w:val="Normal1linespace"/>
              <w:widowControl w:val="0"/>
              <w:jc w:val="left"/>
            </w:pPr>
          </w:p>
        </w:tc>
        <w:tc>
          <w:tcPr>
            <w:tcW w:w="5989" w:type="dxa"/>
            <w:shd w:val="clear" w:color="auto" w:fill="auto"/>
          </w:tcPr>
          <w:p w:rsidR="001D0689" w:rsidRDefault="001D0689" w:rsidP="00173D63">
            <w:pPr>
              <w:pStyle w:val="Normal1linespace"/>
              <w:widowControl w:val="0"/>
              <w:jc w:val="left"/>
            </w:pPr>
          </w:p>
        </w:tc>
      </w:tr>
      <w:tr w:rsidR="001D0689" w:rsidTr="00E36FE1">
        <w:tc>
          <w:tcPr>
            <w:tcW w:w="3084" w:type="dxa"/>
            <w:shd w:val="clear" w:color="auto" w:fill="auto"/>
          </w:tcPr>
          <w:p w:rsidR="001D0689" w:rsidRDefault="001D0689" w:rsidP="001D0689">
            <w:pPr>
              <w:pStyle w:val="Normal1linespace"/>
              <w:widowControl w:val="0"/>
              <w:jc w:val="left"/>
            </w:pPr>
            <w:r>
              <w:t>Solicitor for the applicant:</w:t>
            </w:r>
          </w:p>
        </w:tc>
        <w:tc>
          <w:tcPr>
            <w:tcW w:w="5989" w:type="dxa"/>
            <w:shd w:val="clear" w:color="auto" w:fill="auto"/>
          </w:tcPr>
          <w:p w:rsidR="001D0689" w:rsidRDefault="001A1F3F" w:rsidP="00173D63">
            <w:pPr>
              <w:pStyle w:val="Normal1linespace"/>
              <w:widowControl w:val="0"/>
              <w:jc w:val="left"/>
            </w:pPr>
            <w:r w:rsidRPr="001A1F3F">
              <w:t>Northam Lawyers</w:t>
            </w:r>
          </w:p>
        </w:tc>
      </w:tr>
      <w:tr w:rsidR="001D0689" w:rsidTr="00E36FE1">
        <w:tc>
          <w:tcPr>
            <w:tcW w:w="3084" w:type="dxa"/>
            <w:shd w:val="clear" w:color="auto" w:fill="auto"/>
          </w:tcPr>
          <w:p w:rsidR="001D0689" w:rsidRDefault="001D0689" w:rsidP="00173D63">
            <w:pPr>
              <w:pStyle w:val="Normal1linespace"/>
              <w:widowControl w:val="0"/>
              <w:jc w:val="left"/>
            </w:pPr>
          </w:p>
        </w:tc>
        <w:tc>
          <w:tcPr>
            <w:tcW w:w="5989" w:type="dxa"/>
            <w:shd w:val="clear" w:color="auto" w:fill="auto"/>
          </w:tcPr>
          <w:p w:rsidR="001D0689" w:rsidRDefault="001D0689" w:rsidP="00173D63">
            <w:pPr>
              <w:pStyle w:val="Normal1linespace"/>
              <w:widowControl w:val="0"/>
              <w:jc w:val="left"/>
            </w:pPr>
          </w:p>
        </w:tc>
      </w:tr>
      <w:tr w:rsidR="001D0689" w:rsidTr="00E36FE1">
        <w:tc>
          <w:tcPr>
            <w:tcW w:w="3084" w:type="dxa"/>
            <w:shd w:val="clear" w:color="auto" w:fill="auto"/>
          </w:tcPr>
          <w:p w:rsidR="001D0689" w:rsidRDefault="001D0689" w:rsidP="00173D63">
            <w:pPr>
              <w:pStyle w:val="Normal1linespace"/>
              <w:widowControl w:val="0"/>
              <w:jc w:val="left"/>
            </w:pPr>
            <w:r>
              <w:t>Counsel for the</w:t>
            </w:r>
            <w:r w:rsidR="00397EA1">
              <w:t xml:space="preserve"> first</w:t>
            </w:r>
            <w:r>
              <w:t xml:space="preserve"> respondent:</w:t>
            </w:r>
          </w:p>
        </w:tc>
        <w:tc>
          <w:tcPr>
            <w:tcW w:w="5989" w:type="dxa"/>
            <w:shd w:val="clear" w:color="auto" w:fill="auto"/>
          </w:tcPr>
          <w:p w:rsidR="001D0689" w:rsidRDefault="001D0689" w:rsidP="00173D63">
            <w:pPr>
              <w:pStyle w:val="Normal1linespace"/>
              <w:widowControl w:val="0"/>
              <w:jc w:val="left"/>
            </w:pPr>
            <w:r w:rsidRPr="001D0689">
              <w:t>Mr T Reilly</w:t>
            </w:r>
          </w:p>
        </w:tc>
      </w:tr>
      <w:tr w:rsidR="001D0689" w:rsidTr="00E36FE1">
        <w:tc>
          <w:tcPr>
            <w:tcW w:w="3084" w:type="dxa"/>
            <w:shd w:val="clear" w:color="auto" w:fill="auto"/>
          </w:tcPr>
          <w:p w:rsidR="001D0689" w:rsidRDefault="001D0689" w:rsidP="00173D63">
            <w:pPr>
              <w:pStyle w:val="Normal1linespace"/>
              <w:widowControl w:val="0"/>
              <w:jc w:val="left"/>
            </w:pPr>
          </w:p>
        </w:tc>
        <w:tc>
          <w:tcPr>
            <w:tcW w:w="5989" w:type="dxa"/>
            <w:shd w:val="clear" w:color="auto" w:fill="auto"/>
          </w:tcPr>
          <w:p w:rsidR="001D0689" w:rsidRDefault="001D0689" w:rsidP="00173D63">
            <w:pPr>
              <w:pStyle w:val="Normal1linespace"/>
              <w:widowControl w:val="0"/>
              <w:jc w:val="left"/>
            </w:pPr>
          </w:p>
        </w:tc>
      </w:tr>
      <w:tr w:rsidR="001D0689" w:rsidTr="00E36FE1">
        <w:tc>
          <w:tcPr>
            <w:tcW w:w="3084" w:type="dxa"/>
            <w:shd w:val="clear" w:color="auto" w:fill="auto"/>
          </w:tcPr>
          <w:p w:rsidR="001D0689" w:rsidRDefault="001D0689" w:rsidP="00173D63">
            <w:pPr>
              <w:pStyle w:val="Normal1linespace"/>
              <w:widowControl w:val="0"/>
              <w:jc w:val="left"/>
            </w:pPr>
            <w:r>
              <w:t xml:space="preserve">Solicitor for the </w:t>
            </w:r>
            <w:r w:rsidR="00397EA1">
              <w:t xml:space="preserve">first </w:t>
            </w:r>
            <w:r>
              <w:t>respondent:</w:t>
            </w:r>
          </w:p>
        </w:tc>
        <w:tc>
          <w:tcPr>
            <w:tcW w:w="5989" w:type="dxa"/>
            <w:shd w:val="clear" w:color="auto" w:fill="auto"/>
          </w:tcPr>
          <w:p w:rsidR="001D0689" w:rsidRDefault="001A1F3F" w:rsidP="00173D63">
            <w:pPr>
              <w:pStyle w:val="Normal1linespace"/>
              <w:widowControl w:val="0"/>
              <w:jc w:val="left"/>
            </w:pPr>
            <w:proofErr w:type="spellStart"/>
            <w:r>
              <w:t>MinterEllison</w:t>
            </w:r>
            <w:proofErr w:type="spellEnd"/>
          </w:p>
        </w:tc>
      </w:tr>
    </w:tbl>
    <w:p w:rsidR="00B17D6E" w:rsidRDefault="00B17D6E">
      <w:pPr>
        <w:pStyle w:val="Normal1linespace"/>
      </w:pPr>
      <w:bookmarkStart w:id="9" w:name="CompletionTable"/>
      <w:bookmarkEnd w:id="8"/>
    </w:p>
    <w:bookmarkEnd w:id="9"/>
    <w:p w:rsidR="007470BD" w:rsidRDefault="007470BD">
      <w:pPr>
        <w:pStyle w:val="Normal1linespace"/>
      </w:pPr>
    </w:p>
    <w:p w:rsidR="00E94CBF" w:rsidRDefault="00E94CBF">
      <w:pPr>
        <w:pStyle w:val="Normal1linespace"/>
      </w:pPr>
    </w:p>
    <w:p w:rsidR="00395B24" w:rsidRDefault="00395B24">
      <w:pPr>
        <w:pStyle w:val="Normal1linespace"/>
        <w:sectPr w:rsidR="00395B24" w:rsidSect="001F247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173D63" w:rsidP="00F92355">
            <w:pPr>
              <w:pStyle w:val="NormalHeadings"/>
              <w:jc w:val="right"/>
            </w:pPr>
            <w:bookmarkStart w:id="10" w:name="FileNo"/>
            <w:r>
              <w:t>NSD 935 of 2022</w:t>
            </w:r>
            <w:bookmarkEnd w:id="10"/>
          </w:p>
        </w:tc>
      </w:tr>
      <w:tr w:rsidR="00A76C13" w:rsidTr="00FC0ED9">
        <w:tc>
          <w:tcPr>
            <w:tcW w:w="9242" w:type="dxa"/>
            <w:gridSpan w:val="3"/>
          </w:tcPr>
          <w:p w:rsidR="00A76C13" w:rsidRPr="00A76C13" w:rsidRDefault="00173D63" w:rsidP="00173D63">
            <w:pPr>
              <w:pStyle w:val="NormalHeadings"/>
              <w:jc w:val="left"/>
            </w:pPr>
            <w:bookmarkStart w:id="11" w:name="InTheMatterOf"/>
            <w:r>
              <w:t xml:space="preserve"> </w:t>
            </w:r>
            <w:bookmarkEnd w:id="11"/>
          </w:p>
        </w:tc>
      </w:tr>
      <w:tr w:rsidR="00A46CCC" w:rsidTr="00FC0ED9">
        <w:trPr>
          <w:trHeight w:val="386"/>
        </w:trPr>
        <w:tc>
          <w:tcPr>
            <w:tcW w:w="2376" w:type="dxa"/>
          </w:tcPr>
          <w:p w:rsidR="00A46CCC" w:rsidRDefault="00A46CCC" w:rsidP="00FC0ED9">
            <w:pPr>
              <w:pStyle w:val="NormalHeadings"/>
              <w:jc w:val="left"/>
              <w:rPr>
                <w:caps/>
                <w:szCs w:val="24"/>
              </w:rPr>
            </w:pPr>
            <w:bookmarkStart w:id="12" w:name="Parties"/>
            <w:r>
              <w:rPr>
                <w:caps/>
                <w:szCs w:val="24"/>
              </w:rPr>
              <w:t>BETWEEN:</w:t>
            </w:r>
          </w:p>
        </w:tc>
        <w:tc>
          <w:tcPr>
            <w:tcW w:w="6866" w:type="dxa"/>
            <w:gridSpan w:val="2"/>
          </w:tcPr>
          <w:p w:rsidR="00173D63" w:rsidRDefault="00173D63" w:rsidP="00173D63">
            <w:pPr>
              <w:pStyle w:val="NormalHeadings"/>
              <w:jc w:val="left"/>
            </w:pPr>
            <w:bookmarkStart w:id="13" w:name="Applicant"/>
            <w:r>
              <w:t>PRITCHARD JUNIOR SEAU</w:t>
            </w:r>
          </w:p>
          <w:p w:rsidR="00173D63" w:rsidRDefault="00173D63" w:rsidP="00173D63">
            <w:pPr>
              <w:pStyle w:val="PartyType"/>
            </w:pPr>
            <w:r>
              <w:t>Applicant</w:t>
            </w:r>
          </w:p>
          <w:bookmarkEnd w:id="13"/>
          <w:p w:rsidR="00A46CCC" w:rsidRPr="006555B4" w:rsidRDefault="00A46CCC" w:rsidP="00FC0ED9">
            <w:pPr>
              <w:pStyle w:val="NormalHeadings"/>
              <w:jc w:val="left"/>
            </w:pPr>
          </w:p>
        </w:tc>
      </w:tr>
      <w:tr w:rsidR="00A46CCC" w:rsidTr="00FC0ED9">
        <w:trPr>
          <w:trHeight w:val="386"/>
        </w:trPr>
        <w:tc>
          <w:tcPr>
            <w:tcW w:w="2376" w:type="dxa"/>
          </w:tcPr>
          <w:p w:rsidR="00A46CCC" w:rsidRDefault="00A46CCC" w:rsidP="00FC0ED9">
            <w:pPr>
              <w:pStyle w:val="NormalHeadings"/>
              <w:jc w:val="left"/>
              <w:rPr>
                <w:caps/>
                <w:szCs w:val="24"/>
              </w:rPr>
            </w:pPr>
            <w:r>
              <w:rPr>
                <w:caps/>
                <w:szCs w:val="24"/>
              </w:rPr>
              <w:t>AND:</w:t>
            </w:r>
          </w:p>
        </w:tc>
        <w:tc>
          <w:tcPr>
            <w:tcW w:w="6866" w:type="dxa"/>
            <w:gridSpan w:val="2"/>
          </w:tcPr>
          <w:p w:rsidR="00173D63" w:rsidRDefault="00173D63" w:rsidP="00173D63">
            <w:pPr>
              <w:pStyle w:val="NormalHeadings"/>
              <w:jc w:val="left"/>
            </w:pPr>
            <w:bookmarkStart w:id="14" w:name="Respondent"/>
            <w:r>
              <w:t>MINISTER FOR IMMIGRATION, CITIZENSHIP AND MULTICULTURAL AFFAIRS</w:t>
            </w:r>
          </w:p>
          <w:p w:rsidR="00173D63" w:rsidRDefault="00173D63" w:rsidP="00173D63">
            <w:pPr>
              <w:pStyle w:val="PartyType"/>
            </w:pPr>
            <w:r>
              <w:t>First Respondent</w:t>
            </w:r>
          </w:p>
          <w:p w:rsidR="00173D63" w:rsidRDefault="00173D63" w:rsidP="00FC0ED9">
            <w:pPr>
              <w:pStyle w:val="NormalHeadings"/>
              <w:jc w:val="left"/>
              <w:rPr>
                <w:szCs w:val="24"/>
              </w:rPr>
            </w:pPr>
          </w:p>
          <w:p w:rsidR="00173D63" w:rsidRDefault="00173D63" w:rsidP="00173D63">
            <w:pPr>
              <w:pStyle w:val="NormalHeadings"/>
              <w:jc w:val="left"/>
            </w:pPr>
            <w:r>
              <w:t>ADMINISTRATIVE APPEALS TRIBUNAL</w:t>
            </w:r>
          </w:p>
          <w:p w:rsidR="00173D63" w:rsidRDefault="00173D63" w:rsidP="00173D63">
            <w:pPr>
              <w:pStyle w:val="PartyType"/>
            </w:pPr>
            <w:r>
              <w:t>Second Respondent</w:t>
            </w:r>
          </w:p>
          <w:bookmarkEnd w:id="14"/>
          <w:p w:rsidR="00A46CCC" w:rsidRPr="006555B4" w:rsidRDefault="00A46CCC" w:rsidP="00FC0ED9">
            <w:pPr>
              <w:pStyle w:val="NormalHeadings"/>
              <w:jc w:val="left"/>
            </w:pPr>
          </w:p>
        </w:tc>
      </w:tr>
    </w:tbl>
    <w:p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16" w:name="JudgeText"/>
            <w:r>
              <w:rPr>
                <w:caps/>
                <w:szCs w:val="24"/>
              </w:rPr>
              <w:t>order made by</w:t>
            </w:r>
            <w:bookmarkEnd w:id="16"/>
            <w:r w:rsidR="002C7385">
              <w:rPr>
                <w:caps/>
                <w:szCs w:val="24"/>
              </w:rPr>
              <w:t>:</w:t>
            </w:r>
          </w:p>
        </w:tc>
        <w:tc>
          <w:tcPr>
            <w:tcW w:w="6866" w:type="dxa"/>
          </w:tcPr>
          <w:p w:rsidR="00395B24" w:rsidRDefault="00173D63">
            <w:pPr>
              <w:pStyle w:val="NormalHeadings"/>
              <w:jc w:val="left"/>
              <w:rPr>
                <w:caps/>
                <w:szCs w:val="24"/>
              </w:rPr>
            </w:pPr>
            <w:bookmarkStart w:id="17" w:name="Judge"/>
            <w:r>
              <w:rPr>
                <w:caps/>
                <w:szCs w:val="24"/>
              </w:rPr>
              <w:t>RARES J</w:t>
            </w:r>
            <w:bookmarkEnd w:id="17"/>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173D63">
            <w:pPr>
              <w:pStyle w:val="NormalHeadings"/>
              <w:jc w:val="left"/>
              <w:rPr>
                <w:caps/>
                <w:szCs w:val="24"/>
              </w:rPr>
            </w:pPr>
            <w:bookmarkStart w:id="18" w:name="Judgment_Dated"/>
            <w:r>
              <w:rPr>
                <w:caps/>
                <w:szCs w:val="24"/>
              </w:rPr>
              <w:t>13 FEBRUARY 2023</w:t>
            </w:r>
            <w:bookmarkEnd w:id="18"/>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7F60DF" w:rsidRDefault="007F60DF" w:rsidP="00243E5E">
      <w:pPr>
        <w:pStyle w:val="NormalHeadings"/>
      </w:pPr>
    </w:p>
    <w:p w:rsidR="001A6C52" w:rsidRDefault="00885F65" w:rsidP="00885F65">
      <w:pPr>
        <w:pStyle w:val="Order1"/>
      </w:pPr>
      <w:r>
        <w:t>T</w:t>
      </w:r>
      <w:r w:rsidRPr="00885F65">
        <w:t>he decision of the second respondent made on 18 October 2022 be set aside</w:t>
      </w:r>
      <w:r>
        <w:t>.</w:t>
      </w:r>
    </w:p>
    <w:p w:rsidR="00885F65" w:rsidRDefault="00885F65" w:rsidP="00885F65">
      <w:pPr>
        <w:pStyle w:val="Order1"/>
      </w:pPr>
      <w:r>
        <w:t xml:space="preserve">The </w:t>
      </w:r>
      <w:r w:rsidR="006B20A7">
        <w:t>applicant’s</w:t>
      </w:r>
      <w:r w:rsidR="00FD3F95">
        <w:t xml:space="preserve"> application for review of the decision made</w:t>
      </w:r>
      <w:r w:rsidR="006B20A7">
        <w:t xml:space="preserve"> by the first respondent by his delegate</w:t>
      </w:r>
      <w:r w:rsidR="00FD3F95">
        <w:t xml:space="preserve"> on </w:t>
      </w:r>
      <w:r w:rsidR="00DA46DB">
        <w:t>2</w:t>
      </w:r>
      <w:r w:rsidR="006B20A7">
        <w:t>2</w:t>
      </w:r>
      <w:r w:rsidR="00DA46DB">
        <w:t xml:space="preserve"> July 2022</w:t>
      </w:r>
      <w:r>
        <w:t xml:space="preserve"> be remitted to the second respondent for determination in accordance with law.</w:t>
      </w:r>
    </w:p>
    <w:p w:rsidR="00885F65" w:rsidRDefault="00885F65" w:rsidP="00885F65">
      <w:pPr>
        <w:pStyle w:val="Order1"/>
      </w:pPr>
      <w:r>
        <w:t>The first respondent pay the applicant’s costs.</w:t>
      </w:r>
    </w:p>
    <w:p w:rsidR="001A6C52" w:rsidRDefault="001A6C52" w:rsidP="001A6C52">
      <w:pPr>
        <w:pStyle w:val="BodyText"/>
      </w:pPr>
    </w:p>
    <w:p w:rsidR="00A431E6" w:rsidRDefault="00A431E6" w:rsidP="001A6C52">
      <w:pPr>
        <w:pStyle w:val="BodyText"/>
      </w:pPr>
    </w:p>
    <w:p w:rsidR="0050309C" w:rsidRDefault="00173D63" w:rsidP="004D53E5">
      <w:pPr>
        <w:pStyle w:val="SingleSpace"/>
      </w:pPr>
      <w:bookmarkStart w:id="19" w:name="OrdersStatement"/>
      <w:r>
        <w:t>Note:</w:t>
      </w:r>
      <w:r>
        <w:tab/>
        <w:t xml:space="preserve">Entry of orders is dealt with in Rule 39.32 of the </w:t>
      </w:r>
      <w:r>
        <w:rPr>
          <w:i/>
        </w:rPr>
        <w:t>Federal Court Rules 2011</w:t>
      </w:r>
      <w:r>
        <w:t>.</w:t>
      </w:r>
      <w:bookmarkEnd w:id="19"/>
    </w:p>
    <w:p w:rsidR="00E23577" w:rsidRDefault="00E23577" w:rsidP="002B0E91">
      <w:pPr>
        <w:pStyle w:val="BodyText"/>
      </w:pPr>
    </w:p>
    <w:p w:rsidR="00395B24" w:rsidRDefault="00395B24">
      <w:pPr>
        <w:pStyle w:val="NormalHeadings"/>
        <w:spacing w:before="240" w:after="120"/>
        <w:rPr>
          <w:b w:val="0"/>
        </w:rPr>
        <w:sectPr w:rsidR="00395B24" w:rsidSect="0092590B">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fmt="lowerRoman" w:start="1"/>
          <w:cols w:space="720"/>
          <w:noEndnote/>
          <w:titlePg/>
        </w:sectPr>
      </w:pPr>
    </w:p>
    <w:p w:rsidR="00484F6D"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rsidR="00173D63" w:rsidRPr="00045BB7" w:rsidRDefault="00173D63" w:rsidP="00045BB7">
      <w:pPr>
        <w:pStyle w:val="NormalHeadings"/>
        <w:spacing w:line="480" w:lineRule="auto"/>
        <w:jc w:val="center"/>
        <w:rPr>
          <w:sz w:val="28"/>
          <w:szCs w:val="28"/>
        </w:rPr>
      </w:pPr>
      <w:r>
        <w:rPr>
          <w:sz w:val="28"/>
          <w:szCs w:val="28"/>
        </w:rPr>
        <w:t>(Revised from transcript)</w:t>
      </w:r>
    </w:p>
    <w:p w:rsidR="00694BEB" w:rsidRDefault="00173D63" w:rsidP="005E0510">
      <w:pPr>
        <w:pStyle w:val="NormalHeadings"/>
        <w:spacing w:line="360" w:lineRule="auto"/>
        <w:jc w:val="left"/>
        <w:rPr>
          <w:sz w:val="26"/>
          <w:szCs w:val="26"/>
        </w:rPr>
      </w:pPr>
      <w:r>
        <w:rPr>
          <w:sz w:val="26"/>
          <w:szCs w:val="26"/>
        </w:rPr>
        <w:t>RARES J:</w:t>
      </w:r>
    </w:p>
    <w:p w:rsidR="000D0F04" w:rsidRDefault="00173D63" w:rsidP="000D0F04">
      <w:pPr>
        <w:pStyle w:val="ParaNumbering"/>
      </w:pPr>
      <w:r w:rsidRPr="00173D63">
        <w:t xml:space="preserve">This is an application for constitutional </w:t>
      </w:r>
      <w:r w:rsidR="00FD3F95">
        <w:t xml:space="preserve">writ </w:t>
      </w:r>
      <w:r w:rsidRPr="00173D63">
        <w:t xml:space="preserve">relief in respect of the decision of the Administrative Appeals </w:t>
      </w:r>
      <w:r w:rsidRPr="00FD3F95">
        <w:rPr>
          <w:b/>
        </w:rPr>
        <w:t>Tribunal</w:t>
      </w:r>
      <w:r w:rsidRPr="00173D63">
        <w:t xml:space="preserve"> given on 18 October 2022 to affirm the decision of a delegate of the Minister </w:t>
      </w:r>
      <w:r w:rsidR="00FD3F95">
        <w:t xml:space="preserve">made on </w:t>
      </w:r>
      <w:r w:rsidR="00DA46DB">
        <w:t>2</w:t>
      </w:r>
      <w:r w:rsidR="006B20A7">
        <w:t>2</w:t>
      </w:r>
      <w:r w:rsidR="00DA46DB">
        <w:t xml:space="preserve"> July 2022</w:t>
      </w:r>
      <w:r w:rsidR="00FD3F95">
        <w:t xml:space="preserve"> </w:t>
      </w:r>
      <w:r w:rsidRPr="00173D63">
        <w:t xml:space="preserve">not to revoke the cancellation of a </w:t>
      </w:r>
      <w:r w:rsidR="00963A8D">
        <w:t>c</w:t>
      </w:r>
      <w:r w:rsidRPr="00173D63">
        <w:t xml:space="preserve">lass TY </w:t>
      </w:r>
      <w:r w:rsidR="00963A8D">
        <w:t>s</w:t>
      </w:r>
      <w:r w:rsidRPr="00173D63">
        <w:t xml:space="preserve">pecial </w:t>
      </w:r>
      <w:r w:rsidR="00963A8D">
        <w:t>c</w:t>
      </w:r>
      <w:r w:rsidRPr="00173D63">
        <w:t>ategory (</w:t>
      </w:r>
      <w:r w:rsidR="00963A8D">
        <w:t>t</w:t>
      </w:r>
      <w:r w:rsidRPr="00173D63">
        <w:t xml:space="preserve">emporary) </w:t>
      </w:r>
      <w:r w:rsidRPr="00384440">
        <w:rPr>
          <w:b/>
        </w:rPr>
        <w:t>visa</w:t>
      </w:r>
      <w:r w:rsidRPr="00173D63">
        <w:t xml:space="preserve"> held by the applicant, Pritchard Junior </w:t>
      </w:r>
      <w:proofErr w:type="spellStart"/>
      <w:r w:rsidRPr="00FD3F95">
        <w:rPr>
          <w:b/>
        </w:rPr>
        <w:t>Seau</w:t>
      </w:r>
      <w:proofErr w:type="spellEnd"/>
      <w:r w:rsidRPr="00173D63">
        <w:t xml:space="preserve">.  </w:t>
      </w:r>
      <w:r w:rsidR="000D0F04" w:rsidRPr="005B2814">
        <w:t xml:space="preserve">Mr </w:t>
      </w:r>
      <w:proofErr w:type="spellStart"/>
      <w:r w:rsidR="000D0F04" w:rsidRPr="005B2814">
        <w:t>Seau’s</w:t>
      </w:r>
      <w:proofErr w:type="spellEnd"/>
      <w:r w:rsidR="000D0F04" w:rsidRPr="005B2814">
        <w:t xml:space="preserve"> visa </w:t>
      </w:r>
      <w:r w:rsidR="00963A8D">
        <w:t>had been</w:t>
      </w:r>
      <w:r w:rsidR="000D0F04" w:rsidRPr="005B2814">
        <w:t xml:space="preserve"> cancelled</w:t>
      </w:r>
      <w:r w:rsidR="000D0F04">
        <w:t xml:space="preserve"> </w:t>
      </w:r>
      <w:r w:rsidR="000D0F04" w:rsidRPr="005B2814">
        <w:t xml:space="preserve">mandatorily under </w:t>
      </w:r>
      <w:r w:rsidR="000D0F04">
        <w:t>s</w:t>
      </w:r>
      <w:r w:rsidR="000D0F04" w:rsidRPr="005B2814">
        <w:t xml:space="preserve"> 501(3A</w:t>
      </w:r>
      <w:r w:rsidR="000D0F04">
        <w:t xml:space="preserve">) </w:t>
      </w:r>
      <w:r w:rsidR="006B20A7">
        <w:t xml:space="preserve">of the </w:t>
      </w:r>
      <w:r w:rsidR="006B20A7" w:rsidRPr="0099072B">
        <w:rPr>
          <w:i/>
        </w:rPr>
        <w:t xml:space="preserve">Migration Act 1958 </w:t>
      </w:r>
      <w:r w:rsidR="006B20A7" w:rsidRPr="0099072B">
        <w:t>(Cth)</w:t>
      </w:r>
      <w:r w:rsidR="006B20A7">
        <w:t xml:space="preserve"> </w:t>
      </w:r>
      <w:r w:rsidR="000D0F04">
        <w:t>because he was then in prison.  H</w:t>
      </w:r>
      <w:r w:rsidR="000D0F04" w:rsidRPr="005B2814">
        <w:t xml:space="preserve">e applied under </w:t>
      </w:r>
      <w:r w:rsidR="000D0F04">
        <w:t>s</w:t>
      </w:r>
      <w:r w:rsidR="000D0F04" w:rsidRPr="005B2814">
        <w:t xml:space="preserve"> </w:t>
      </w:r>
      <w:proofErr w:type="gramStart"/>
      <w:r w:rsidR="000D0F04" w:rsidRPr="005B2814">
        <w:t>501CA(</w:t>
      </w:r>
      <w:proofErr w:type="gramEnd"/>
      <w:r w:rsidR="000D0F04" w:rsidRPr="005B2814">
        <w:t>4) for the canc</w:t>
      </w:r>
      <w:r w:rsidR="000D0F04">
        <w:t xml:space="preserve">ellation decision to be revoked.  He </w:t>
      </w:r>
      <w:r w:rsidR="000D0F04" w:rsidRPr="005B2814">
        <w:t>accept</w:t>
      </w:r>
      <w:r w:rsidR="000D0F04">
        <w:t>ed</w:t>
      </w:r>
      <w:r w:rsidR="000D0F04" w:rsidRPr="005B2814">
        <w:t xml:space="preserve"> that he failed the character test, </w:t>
      </w:r>
      <w:r w:rsidR="000D0F04">
        <w:t>but made s</w:t>
      </w:r>
      <w:r w:rsidR="00963A8D">
        <w:t>ubmissions in accordance with s </w:t>
      </w:r>
      <w:proofErr w:type="gramStart"/>
      <w:r w:rsidR="000D0F04">
        <w:t>501CA(</w:t>
      </w:r>
      <w:proofErr w:type="gramEnd"/>
      <w:r w:rsidR="000D0F04">
        <w:t xml:space="preserve">4)(b) that </w:t>
      </w:r>
      <w:r w:rsidR="000D0F04" w:rsidRPr="005B2814">
        <w:t xml:space="preserve">there was another reason why the revocation should occur.  </w:t>
      </w:r>
    </w:p>
    <w:p w:rsidR="00B976DC" w:rsidRDefault="00B976DC" w:rsidP="00173D63">
      <w:pPr>
        <w:pStyle w:val="ParaNumbering"/>
      </w:pPr>
      <w:r>
        <w:t xml:space="preserve">Mr </w:t>
      </w:r>
      <w:proofErr w:type="spellStart"/>
      <w:r>
        <w:t>Seau’s</w:t>
      </w:r>
      <w:proofErr w:type="spellEnd"/>
      <w:r w:rsidR="00173D63" w:rsidRPr="00173D63">
        <w:t xml:space="preserve"> amended originating application for review of a migration decision sets out extensive particulars of the two grounds on which he relies, namely</w:t>
      </w:r>
      <w:r w:rsidR="00FD3F95">
        <w:t xml:space="preserve"> </w:t>
      </w:r>
      <w:r w:rsidR="00173D63" w:rsidRPr="00173D63">
        <w:t xml:space="preserve">that the Tribunal failed to comply with its obligation under </w:t>
      </w:r>
      <w:r w:rsidR="00FD3F95">
        <w:t>s</w:t>
      </w:r>
      <w:r w:rsidR="00173D63" w:rsidRPr="00173D63">
        <w:t xml:space="preserve"> 499(2A) of the </w:t>
      </w:r>
      <w:r w:rsidR="00173D63" w:rsidRPr="005B2814">
        <w:rPr>
          <w:i/>
        </w:rPr>
        <w:t xml:space="preserve">Migration Act </w:t>
      </w:r>
      <w:r w:rsidR="00FD3F95">
        <w:t xml:space="preserve">to take </w:t>
      </w:r>
      <w:r w:rsidR="00963A8D">
        <w:t xml:space="preserve">into account, as required by </w:t>
      </w:r>
      <w:r w:rsidR="00963A8D" w:rsidRPr="000D0F04">
        <w:rPr>
          <w:b/>
        </w:rPr>
        <w:t>Direction 90</w:t>
      </w:r>
      <w:r w:rsidR="00963A8D" w:rsidRPr="00173D63">
        <w:t xml:space="preserve"> made by the Minister under </w:t>
      </w:r>
      <w:r w:rsidR="00963A8D">
        <w:t xml:space="preserve">s 499, </w:t>
      </w:r>
      <w:r w:rsidR="00173D63" w:rsidRPr="00173D63">
        <w:t>t</w:t>
      </w:r>
      <w:r w:rsidR="00FD3F95">
        <w:t xml:space="preserve">he considerations </w:t>
      </w:r>
      <w:r w:rsidR="00963A8D">
        <w:t>specified</w:t>
      </w:r>
      <w:r w:rsidR="00FD3F95">
        <w:t xml:space="preserve"> in, </w:t>
      </w:r>
      <w:r w:rsidR="00FD3F95">
        <w:rPr>
          <w:i/>
        </w:rPr>
        <w:t>first</w:t>
      </w:r>
      <w:r w:rsidR="00FD3F95">
        <w:t>, par</w:t>
      </w:r>
      <w:r w:rsidR="000D0F04">
        <w:t xml:space="preserve">s </w:t>
      </w:r>
      <w:r w:rsidR="00FD3F95">
        <w:t xml:space="preserve">8.3(4)(d) and (f) </w:t>
      </w:r>
      <w:r w:rsidR="000D0F04">
        <w:t>(relating to the best interests</w:t>
      </w:r>
      <w:r w:rsidR="006B20A7">
        <w:t xml:space="preserve"> and views</w:t>
      </w:r>
      <w:r w:rsidR="000D0F04">
        <w:t xml:space="preserve"> of his </w:t>
      </w:r>
      <w:r w:rsidR="006B20A7">
        <w:t xml:space="preserve">adopted </w:t>
      </w:r>
      <w:r w:rsidR="000D0F04">
        <w:t xml:space="preserve">niece, </w:t>
      </w:r>
      <w:r w:rsidR="000D0F04" w:rsidRPr="00AD4F7C">
        <w:rPr>
          <w:b/>
        </w:rPr>
        <w:t>T</w:t>
      </w:r>
      <w:r w:rsidR="000D0F04">
        <w:t xml:space="preserve">, then aged 11), and, </w:t>
      </w:r>
      <w:r w:rsidR="000D0F04" w:rsidRPr="000D0F04">
        <w:rPr>
          <w:i/>
        </w:rPr>
        <w:t>secondly</w:t>
      </w:r>
      <w:r w:rsidR="000D0F04">
        <w:t>, par 9.2(1)(a) (relating to his age and health</w:t>
      </w:r>
      <w:r>
        <w:t>,</w:t>
      </w:r>
      <w:r w:rsidR="000D0F04">
        <w:t xml:space="preserve"> were he</w:t>
      </w:r>
      <w:r w:rsidR="00963A8D">
        <w:t xml:space="preserve"> to be returned to New Zealand)</w:t>
      </w:r>
      <w:r>
        <w:t>.</w:t>
      </w:r>
    </w:p>
    <w:p w:rsidR="00CD1346" w:rsidRDefault="00B976DC" w:rsidP="00B976DC">
      <w:pPr>
        <w:pStyle w:val="Heading1"/>
      </w:pPr>
      <w:r>
        <w:t>The provisions of Direction 90</w:t>
      </w:r>
      <w:r w:rsidR="00173D63" w:rsidRPr="00173D63">
        <w:t xml:space="preserve">  </w:t>
      </w:r>
    </w:p>
    <w:p w:rsidR="005B2814" w:rsidRDefault="005B2814" w:rsidP="005B2814">
      <w:pPr>
        <w:pStyle w:val="ParaNumbering"/>
      </w:pPr>
      <w:r w:rsidRPr="005B2814">
        <w:t>Relevantly, Direction 90 provides</w:t>
      </w:r>
      <w:r>
        <w:t>:</w:t>
      </w:r>
    </w:p>
    <w:p w:rsidR="005B2814" w:rsidRPr="005B2814" w:rsidRDefault="005B2814" w:rsidP="005B2814">
      <w:pPr>
        <w:pStyle w:val="Quote1"/>
        <w:rPr>
          <w:b/>
        </w:rPr>
      </w:pPr>
      <w:r w:rsidRPr="005B2814">
        <w:rPr>
          <w:b/>
        </w:rPr>
        <w:t>7. Taking the relevant considerations into account</w:t>
      </w:r>
    </w:p>
    <w:p w:rsidR="005B2814" w:rsidRDefault="005B2814" w:rsidP="00BB4301">
      <w:pPr>
        <w:pStyle w:val="Quote2"/>
        <w:ind w:left="2160" w:hanging="720"/>
      </w:pPr>
      <w:r>
        <w:t xml:space="preserve">(1) </w:t>
      </w:r>
      <w:r>
        <w:tab/>
        <w:t>In applying the considerations (both primary and other), information and evidence from independent and authoritative sources should be given appropriate weight.</w:t>
      </w:r>
    </w:p>
    <w:p w:rsidR="005B2814" w:rsidRDefault="005B2814" w:rsidP="00BB4301">
      <w:pPr>
        <w:pStyle w:val="Quote2"/>
        <w:ind w:left="2160" w:hanging="720"/>
      </w:pPr>
      <w:r>
        <w:t xml:space="preserve">(2) </w:t>
      </w:r>
      <w:r>
        <w:tab/>
      </w:r>
      <w:r w:rsidRPr="000D0F04">
        <w:rPr>
          <w:b/>
        </w:rPr>
        <w:t>Primary considerations should generally be given greater weight than the other considerations.</w:t>
      </w:r>
    </w:p>
    <w:p w:rsidR="000D0F04" w:rsidRDefault="005B2814" w:rsidP="00BB4301">
      <w:pPr>
        <w:pStyle w:val="Quote2"/>
        <w:ind w:left="2160" w:hanging="720"/>
      </w:pPr>
      <w:r>
        <w:t xml:space="preserve">(3) </w:t>
      </w:r>
      <w:r>
        <w:tab/>
      </w:r>
      <w:r w:rsidRPr="000D0F04">
        <w:rPr>
          <w:b/>
        </w:rPr>
        <w:t>One</w:t>
      </w:r>
      <w:r>
        <w:t xml:space="preserve"> or more primary considerations </w:t>
      </w:r>
      <w:r w:rsidRPr="000D0F04">
        <w:rPr>
          <w:b/>
        </w:rPr>
        <w:t>may outweigh other primary consideration</w:t>
      </w:r>
      <w:r>
        <w:t>s.</w:t>
      </w:r>
    </w:p>
    <w:p w:rsidR="005B2814" w:rsidRPr="005B2814" w:rsidRDefault="005B2814" w:rsidP="005B2814">
      <w:pPr>
        <w:pStyle w:val="Quote1"/>
        <w:rPr>
          <w:b/>
        </w:rPr>
      </w:pPr>
      <w:r w:rsidRPr="005B2814">
        <w:rPr>
          <w:b/>
        </w:rPr>
        <w:t>8. Primary considerations</w:t>
      </w:r>
    </w:p>
    <w:p w:rsidR="005B2814" w:rsidRDefault="005B2814" w:rsidP="005B2814">
      <w:pPr>
        <w:pStyle w:val="Quote1"/>
      </w:pPr>
      <w:r>
        <w:t xml:space="preserve">In making a decision under section 501(1), 501(2) or </w:t>
      </w:r>
      <w:proofErr w:type="gramStart"/>
      <w:r>
        <w:t>501CA(</w:t>
      </w:r>
      <w:proofErr w:type="gramEnd"/>
      <w:r>
        <w:t>4), the following are primary considerations:</w:t>
      </w:r>
    </w:p>
    <w:p w:rsidR="005B2814" w:rsidRDefault="005B2814" w:rsidP="00BB4301">
      <w:pPr>
        <w:pStyle w:val="Quote2"/>
        <w:ind w:left="2160" w:hanging="720"/>
      </w:pPr>
      <w:r>
        <w:t xml:space="preserve">(1) </w:t>
      </w:r>
      <w:r>
        <w:tab/>
      </w:r>
      <w:proofErr w:type="gramStart"/>
      <w:r>
        <w:t>protection</w:t>
      </w:r>
      <w:proofErr w:type="gramEnd"/>
      <w:r>
        <w:t xml:space="preserve"> of the Australian community from criminal or other serious </w:t>
      </w:r>
      <w:r>
        <w:lastRenderedPageBreak/>
        <w:t>conduct;</w:t>
      </w:r>
    </w:p>
    <w:p w:rsidR="005B2814" w:rsidRDefault="005B2814" w:rsidP="00BB4301">
      <w:pPr>
        <w:pStyle w:val="Quote2"/>
        <w:ind w:left="2160" w:hanging="720"/>
      </w:pPr>
      <w:r>
        <w:t xml:space="preserve">(2) </w:t>
      </w:r>
      <w:r>
        <w:tab/>
      </w:r>
      <w:proofErr w:type="gramStart"/>
      <w:r>
        <w:t>whether</w:t>
      </w:r>
      <w:proofErr w:type="gramEnd"/>
      <w:r>
        <w:t xml:space="preserve"> the conduct engaged in constituted family violence;</w:t>
      </w:r>
    </w:p>
    <w:p w:rsidR="005B2814" w:rsidRPr="000D0F04" w:rsidRDefault="005B2814" w:rsidP="00BB4301">
      <w:pPr>
        <w:pStyle w:val="Quote2"/>
        <w:ind w:left="2160" w:hanging="720"/>
        <w:rPr>
          <w:b/>
        </w:rPr>
      </w:pPr>
      <w:r w:rsidRPr="000D0F04">
        <w:rPr>
          <w:b/>
        </w:rPr>
        <w:t xml:space="preserve">(3) </w:t>
      </w:r>
      <w:r w:rsidRPr="000D0F04">
        <w:rPr>
          <w:b/>
        </w:rPr>
        <w:tab/>
      </w:r>
      <w:proofErr w:type="gramStart"/>
      <w:r w:rsidRPr="000D0F04">
        <w:rPr>
          <w:b/>
        </w:rPr>
        <w:t>the</w:t>
      </w:r>
      <w:proofErr w:type="gramEnd"/>
      <w:r w:rsidRPr="000D0F04">
        <w:rPr>
          <w:b/>
        </w:rPr>
        <w:t xml:space="preserve"> best interests of minor children in Australia;</w:t>
      </w:r>
    </w:p>
    <w:p w:rsidR="005B2814" w:rsidRDefault="005B2814" w:rsidP="00BB4301">
      <w:pPr>
        <w:pStyle w:val="Quote2"/>
        <w:ind w:left="2160" w:hanging="720"/>
      </w:pPr>
      <w:r>
        <w:t xml:space="preserve">(4) </w:t>
      </w:r>
      <w:r>
        <w:tab/>
      </w:r>
      <w:proofErr w:type="gramStart"/>
      <w:r>
        <w:t>expectations</w:t>
      </w:r>
      <w:proofErr w:type="gramEnd"/>
      <w:r>
        <w:t xml:space="preserve"> of the Australian community</w:t>
      </w:r>
      <w:r w:rsidRPr="005B2814">
        <w:t xml:space="preserve">  </w:t>
      </w:r>
    </w:p>
    <w:p w:rsidR="000D0F04" w:rsidRDefault="000D0F04" w:rsidP="000D0F04">
      <w:pPr>
        <w:pStyle w:val="Quote1"/>
      </w:pPr>
      <w:r>
        <w:t>(</w:t>
      </w:r>
      <w:proofErr w:type="gramStart"/>
      <w:r>
        <w:t>emphasis</w:t>
      </w:r>
      <w:proofErr w:type="gramEnd"/>
      <w:r>
        <w:t xml:space="preserve"> added) </w:t>
      </w:r>
    </w:p>
    <w:p w:rsidR="005B2814" w:rsidRDefault="000D0F04" w:rsidP="00963A8D">
      <w:pPr>
        <w:pStyle w:val="ParaNumbering"/>
      </w:pPr>
      <w:r>
        <w:t>Paragraph 8.3 requires</w:t>
      </w:r>
      <w:r w:rsidR="005B2814" w:rsidRPr="005B2814">
        <w:t xml:space="preserve"> a decision-maker to make a determination about whether, relevantly, non-revocation</w:t>
      </w:r>
      <w:r>
        <w:t xml:space="preserve"> of the visa cancellation </w:t>
      </w:r>
      <w:r w:rsidR="005B2814" w:rsidRPr="005B2814">
        <w:t xml:space="preserve">under </w:t>
      </w:r>
      <w:r w:rsidR="005B2814">
        <w:t>s</w:t>
      </w:r>
      <w:r w:rsidR="005B2814" w:rsidRPr="005B2814">
        <w:t xml:space="preserve"> </w:t>
      </w:r>
      <w:proofErr w:type="gramStart"/>
      <w:r w:rsidR="005B2814" w:rsidRPr="005B2814">
        <w:t>501CA(</w:t>
      </w:r>
      <w:proofErr w:type="gramEnd"/>
      <w:r w:rsidR="005B2814" w:rsidRPr="005B2814">
        <w:t xml:space="preserve">4) is or is not in the best interests of a </w:t>
      </w:r>
      <w:r w:rsidR="00B976DC">
        <w:t xml:space="preserve">minor </w:t>
      </w:r>
      <w:r w:rsidR="005B2814" w:rsidRPr="005B2814">
        <w:t xml:space="preserve">child affected by the decision.  Importantly, </w:t>
      </w:r>
      <w:r>
        <w:t>pars</w:t>
      </w:r>
      <w:r w:rsidR="005B2814" w:rsidRPr="005B2814">
        <w:t xml:space="preserve"> 8.3(4)(d) and (f) provide</w:t>
      </w:r>
      <w:r w:rsidR="005B2814">
        <w:t>:</w:t>
      </w:r>
    </w:p>
    <w:p w:rsidR="005B2814" w:rsidRPr="00524173" w:rsidRDefault="005B2814" w:rsidP="005B2814">
      <w:pPr>
        <w:pStyle w:val="Quote1"/>
        <w:rPr>
          <w:b/>
        </w:rPr>
      </w:pPr>
      <w:r w:rsidRPr="00524173">
        <w:rPr>
          <w:b/>
        </w:rPr>
        <w:t>8.3 Best interests of minor children in Australia affected by the decision</w:t>
      </w:r>
    </w:p>
    <w:p w:rsidR="005B2814" w:rsidRDefault="005B2814" w:rsidP="005B2814">
      <w:pPr>
        <w:pStyle w:val="Quote1"/>
      </w:pPr>
      <w:r>
        <w:t>…</w:t>
      </w:r>
    </w:p>
    <w:p w:rsidR="005B2814" w:rsidRDefault="005B2814" w:rsidP="00BB4301">
      <w:pPr>
        <w:pStyle w:val="Quote2"/>
        <w:ind w:left="2160" w:hanging="720"/>
      </w:pPr>
      <w:r>
        <w:t xml:space="preserve">(4) </w:t>
      </w:r>
      <w:r>
        <w:tab/>
        <w:t>In considering the best interests of the child,</w:t>
      </w:r>
      <w:r w:rsidRPr="000D0F04">
        <w:t xml:space="preserve"> </w:t>
      </w:r>
      <w:r w:rsidRPr="00BB4301">
        <w:rPr>
          <w:b/>
        </w:rPr>
        <w:t>the following factors must be considered where relevant:</w:t>
      </w:r>
    </w:p>
    <w:p w:rsidR="005B2814" w:rsidRDefault="005B2814" w:rsidP="00BB4301">
      <w:pPr>
        <w:pStyle w:val="Quote2"/>
        <w:ind w:left="2160" w:hanging="720"/>
      </w:pPr>
      <w:r>
        <w:t>…</w:t>
      </w:r>
    </w:p>
    <w:p w:rsidR="00524173" w:rsidRDefault="00524173" w:rsidP="00BB4301">
      <w:pPr>
        <w:pStyle w:val="Quote3"/>
        <w:ind w:left="2880" w:hanging="720"/>
      </w:pPr>
      <w:r>
        <w:t xml:space="preserve">d) </w:t>
      </w:r>
      <w:r>
        <w:tab/>
      </w:r>
      <w:proofErr w:type="gramStart"/>
      <w:r>
        <w:t>the</w:t>
      </w:r>
      <w:proofErr w:type="gramEnd"/>
      <w:r>
        <w:t xml:space="preserve"> likely effect that any separation from the non-citizen would have on the child, taking into account the child's or non-citizen's ability to maintain contact in other ways;</w:t>
      </w:r>
    </w:p>
    <w:p w:rsidR="00EC12C4" w:rsidRDefault="00EC12C4" w:rsidP="00BB4301">
      <w:pPr>
        <w:pStyle w:val="Quote3"/>
        <w:ind w:left="2880" w:hanging="720"/>
      </w:pPr>
      <w:r>
        <w:t>…</w:t>
      </w:r>
    </w:p>
    <w:p w:rsidR="00524173" w:rsidRDefault="00EC12C4" w:rsidP="00BB4301">
      <w:pPr>
        <w:pStyle w:val="Quote3"/>
        <w:ind w:left="2880" w:hanging="720"/>
      </w:pPr>
      <w:r>
        <w:t>f</w:t>
      </w:r>
      <w:r w:rsidR="00524173">
        <w:t xml:space="preserve">) </w:t>
      </w:r>
      <w:r w:rsidR="00524173">
        <w:tab/>
      </w:r>
      <w:proofErr w:type="gramStart"/>
      <w:r w:rsidRPr="00B976DC">
        <w:rPr>
          <w:b/>
        </w:rPr>
        <w:t>any</w:t>
      </w:r>
      <w:proofErr w:type="gramEnd"/>
      <w:r w:rsidRPr="00B976DC">
        <w:rPr>
          <w:b/>
        </w:rPr>
        <w:t xml:space="preserve"> known views of the child</w:t>
      </w:r>
      <w:r>
        <w:t xml:space="preserve"> (with those views being given due weight in accordance with the age and maturity of the child);</w:t>
      </w:r>
    </w:p>
    <w:p w:rsidR="00B976DC" w:rsidRDefault="00B976DC" w:rsidP="00B976DC">
      <w:pPr>
        <w:pStyle w:val="Quote1"/>
      </w:pPr>
      <w:r>
        <w:t>(</w:t>
      </w:r>
      <w:proofErr w:type="gramStart"/>
      <w:r>
        <w:t>emphasis</w:t>
      </w:r>
      <w:proofErr w:type="gramEnd"/>
      <w:r>
        <w:t xml:space="preserve"> added)</w:t>
      </w:r>
    </w:p>
    <w:p w:rsidR="00E97C44" w:rsidRDefault="00EC12C4" w:rsidP="00E97C44">
      <w:pPr>
        <w:pStyle w:val="ParaNumbering"/>
      </w:pPr>
      <w:r>
        <w:t xml:space="preserve">Next, par 9 relevantly </w:t>
      </w:r>
      <w:r w:rsidR="00E97C44">
        <w:t xml:space="preserve">provides: </w:t>
      </w:r>
    </w:p>
    <w:p w:rsidR="00E97C44" w:rsidRPr="00E97C44" w:rsidRDefault="00E97C44" w:rsidP="00E97C44">
      <w:pPr>
        <w:pStyle w:val="Quote1"/>
        <w:rPr>
          <w:b/>
        </w:rPr>
      </w:pPr>
      <w:r w:rsidRPr="00E97C44">
        <w:rPr>
          <w:b/>
        </w:rPr>
        <w:t>9. Other considerations</w:t>
      </w:r>
    </w:p>
    <w:p w:rsidR="00E97C44" w:rsidRDefault="00E97C44" w:rsidP="00BB4301">
      <w:pPr>
        <w:pStyle w:val="Quote2"/>
        <w:ind w:left="2160" w:hanging="720"/>
      </w:pPr>
      <w:r>
        <w:t xml:space="preserve">(1) </w:t>
      </w:r>
      <w:r>
        <w:tab/>
        <w:t xml:space="preserve">In making a decision under section 501(1), 501(2) or </w:t>
      </w:r>
      <w:proofErr w:type="gramStart"/>
      <w:r>
        <w:t>501CA(</w:t>
      </w:r>
      <w:proofErr w:type="gramEnd"/>
      <w:r>
        <w:t xml:space="preserve">4), other </w:t>
      </w:r>
      <w:r w:rsidRPr="00B976DC">
        <w:rPr>
          <w:b/>
        </w:rPr>
        <w:t>considerations must also be taken into account,</w:t>
      </w:r>
      <w:r>
        <w:t xml:space="preserve"> </w:t>
      </w:r>
      <w:r w:rsidRPr="00E97C44">
        <w:rPr>
          <w:b/>
        </w:rPr>
        <w:t>where relevant</w:t>
      </w:r>
      <w:r>
        <w:t>, in accordance with the following provisions. These considerations include (but are not limited to):</w:t>
      </w:r>
    </w:p>
    <w:p w:rsidR="00E97C44" w:rsidRDefault="00EC12C4" w:rsidP="00BB4301">
      <w:pPr>
        <w:pStyle w:val="Quote3"/>
      </w:pPr>
      <w:r>
        <w:t>…</w:t>
      </w:r>
    </w:p>
    <w:p w:rsidR="00E97C44" w:rsidRDefault="00E97C44" w:rsidP="00BB4301">
      <w:pPr>
        <w:pStyle w:val="Quote3"/>
      </w:pPr>
      <w:r>
        <w:t xml:space="preserve">b) </w:t>
      </w:r>
      <w:proofErr w:type="gramStart"/>
      <w:r>
        <w:t>extent</w:t>
      </w:r>
      <w:proofErr w:type="gramEnd"/>
      <w:r>
        <w:t xml:space="preserve"> of impediments if removed;</w:t>
      </w:r>
    </w:p>
    <w:p w:rsidR="00E97C44" w:rsidRPr="00425A03" w:rsidRDefault="00E97C44" w:rsidP="00E97C44">
      <w:pPr>
        <w:pStyle w:val="Quote1"/>
        <w:rPr>
          <w:b/>
        </w:rPr>
      </w:pPr>
      <w:r w:rsidRPr="00425A03">
        <w:rPr>
          <w:b/>
        </w:rPr>
        <w:t>9.2 Extent of impediments if removed</w:t>
      </w:r>
    </w:p>
    <w:p w:rsidR="00E97C44" w:rsidRPr="00425A03" w:rsidRDefault="00E97C44" w:rsidP="00BB4301">
      <w:pPr>
        <w:pStyle w:val="Quote2"/>
        <w:ind w:left="2160" w:hanging="720"/>
      </w:pPr>
      <w:r>
        <w:t>(</w:t>
      </w:r>
      <w:r w:rsidRPr="00425A03">
        <w:t xml:space="preserve">1) </w:t>
      </w:r>
      <w:r>
        <w:tab/>
      </w:r>
      <w:r w:rsidRPr="00425A03">
        <w:t>Decision-makers must consider the extent of any impediments that the noncitizen</w:t>
      </w:r>
      <w:r>
        <w:t xml:space="preserve"> </w:t>
      </w:r>
      <w:r w:rsidRPr="00425A03">
        <w:t>may face if</w:t>
      </w:r>
      <w:r>
        <w:t xml:space="preserve"> </w:t>
      </w:r>
      <w:r w:rsidRPr="00425A03">
        <w:t>removed from Aust</w:t>
      </w:r>
      <w:r>
        <w:t xml:space="preserve">ralia to their home country, in </w:t>
      </w:r>
      <w:r w:rsidRPr="00425A03">
        <w:t>establishing themselves and maintaining basic l</w:t>
      </w:r>
      <w:r>
        <w:t xml:space="preserve">iving standards (in the context </w:t>
      </w:r>
      <w:r w:rsidRPr="00425A03">
        <w:t>of what is generally available to other citizen</w:t>
      </w:r>
      <w:r>
        <w:t xml:space="preserve">s of that country), </w:t>
      </w:r>
      <w:r w:rsidRPr="00B976DC">
        <w:rPr>
          <w:b/>
        </w:rPr>
        <w:t>taking into account</w:t>
      </w:r>
      <w:r w:rsidRPr="00425A03">
        <w:t>:</w:t>
      </w:r>
    </w:p>
    <w:p w:rsidR="00E97C44" w:rsidRDefault="00E97C44" w:rsidP="00BB4301">
      <w:pPr>
        <w:pStyle w:val="Quote3"/>
      </w:pPr>
      <w:r w:rsidRPr="00425A03">
        <w:t xml:space="preserve">a) </w:t>
      </w:r>
      <w:r>
        <w:tab/>
      </w:r>
      <w:proofErr w:type="gramStart"/>
      <w:r w:rsidRPr="00BB4301">
        <w:rPr>
          <w:b/>
        </w:rPr>
        <w:t>the</w:t>
      </w:r>
      <w:proofErr w:type="gramEnd"/>
      <w:r w:rsidRPr="00BB4301">
        <w:rPr>
          <w:b/>
        </w:rPr>
        <w:t xml:space="preserve"> non-citizen's age and health;</w:t>
      </w:r>
    </w:p>
    <w:p w:rsidR="00E97C44" w:rsidRDefault="00EC12C4" w:rsidP="00E97C44">
      <w:pPr>
        <w:pStyle w:val="Quote1"/>
        <w:ind w:left="3600" w:hanging="720"/>
      </w:pPr>
      <w:r>
        <w:lastRenderedPageBreak/>
        <w:t>…</w:t>
      </w:r>
    </w:p>
    <w:p w:rsidR="00EC12C4" w:rsidRDefault="00EC12C4" w:rsidP="00EC12C4">
      <w:pPr>
        <w:pStyle w:val="Quote1"/>
        <w:ind w:left="0" w:firstLine="703"/>
      </w:pPr>
      <w:r>
        <w:t>(</w:t>
      </w:r>
      <w:proofErr w:type="gramStart"/>
      <w:r>
        <w:t>emphasis</w:t>
      </w:r>
      <w:proofErr w:type="gramEnd"/>
      <w:r>
        <w:t xml:space="preserve"> added)</w:t>
      </w:r>
    </w:p>
    <w:p w:rsidR="00EC12C4" w:rsidRDefault="00EC12C4" w:rsidP="00EC12C4">
      <w:pPr>
        <w:pStyle w:val="Heading1"/>
      </w:pPr>
      <w:r>
        <w:t>Background</w:t>
      </w:r>
    </w:p>
    <w:p w:rsidR="00963A8D" w:rsidRDefault="005B2814" w:rsidP="00E35478">
      <w:pPr>
        <w:pStyle w:val="ParaNumbering"/>
      </w:pPr>
      <w:r w:rsidRPr="005B2814">
        <w:t xml:space="preserve">Mr </w:t>
      </w:r>
      <w:proofErr w:type="spellStart"/>
      <w:r w:rsidRPr="005B2814">
        <w:t>Seau</w:t>
      </w:r>
      <w:proofErr w:type="spellEnd"/>
      <w:r w:rsidRPr="005B2814">
        <w:t xml:space="preserve"> is a national of New Zealand, having been born</w:t>
      </w:r>
      <w:r w:rsidR="00EC12C4">
        <w:t xml:space="preserve"> there</w:t>
      </w:r>
      <w:r w:rsidR="00963A8D">
        <w:t xml:space="preserve"> in 1990.  He first arrived</w:t>
      </w:r>
      <w:r w:rsidRPr="005B2814">
        <w:t xml:space="preserve"> in Australia as a minor</w:t>
      </w:r>
      <w:r w:rsidR="00EC12C4">
        <w:t xml:space="preserve"> </w:t>
      </w:r>
      <w:r w:rsidR="00EC12C4" w:rsidRPr="005B2814">
        <w:t>in 2005</w:t>
      </w:r>
      <w:r w:rsidRPr="005B2814">
        <w:t>, at which time he was granted the visa.</w:t>
      </w:r>
      <w:r w:rsidR="00EC12C4">
        <w:t xml:space="preserve">  </w:t>
      </w:r>
      <w:r w:rsidR="00963A8D">
        <w:t xml:space="preserve">Mr </w:t>
      </w:r>
      <w:proofErr w:type="spellStart"/>
      <w:r w:rsidR="00963A8D">
        <w:t>Seau’s</w:t>
      </w:r>
      <w:proofErr w:type="spellEnd"/>
      <w:r w:rsidR="00963A8D">
        <w:t xml:space="preserve"> family unit included his adoptive sister, </w:t>
      </w:r>
      <w:r w:rsidR="00963A8D">
        <w:rPr>
          <w:b/>
        </w:rPr>
        <w:t>Ms CH</w:t>
      </w:r>
      <w:r w:rsidR="00963A8D">
        <w:t xml:space="preserve">, her 11 year old daughter, </w:t>
      </w:r>
      <w:r w:rsidR="00963A8D" w:rsidRPr="00AD4F7C">
        <w:t>T</w:t>
      </w:r>
      <w:r w:rsidR="00963A8D">
        <w:t xml:space="preserve">, and Ms CH’s mother, </w:t>
      </w:r>
      <w:r w:rsidR="00963A8D">
        <w:rPr>
          <w:b/>
        </w:rPr>
        <w:t>Ms B</w:t>
      </w:r>
      <w:r w:rsidR="00963A8D">
        <w:t xml:space="preserve">. </w:t>
      </w:r>
    </w:p>
    <w:p w:rsidR="00CE59A4" w:rsidRDefault="00425A03" w:rsidP="00E35478">
      <w:pPr>
        <w:pStyle w:val="ParaNumbering"/>
      </w:pPr>
      <w:r w:rsidRPr="00425A03">
        <w:t>He was convicted of multiple offence</w:t>
      </w:r>
      <w:r w:rsidR="00EC12C4">
        <w:t xml:space="preserve">s </w:t>
      </w:r>
      <w:r w:rsidR="00E35478">
        <w:t xml:space="preserve">in Australia </w:t>
      </w:r>
      <w:r w:rsidR="00EC12C4">
        <w:t>between 2011 and 2021.</w:t>
      </w:r>
      <w:r w:rsidR="00E35478">
        <w:t xml:space="preserve">  </w:t>
      </w:r>
      <w:r w:rsidR="00E35478" w:rsidRPr="00425A03">
        <w:t xml:space="preserve">He also had a driving </w:t>
      </w:r>
      <w:r w:rsidR="006B20A7">
        <w:t xml:space="preserve">conviction </w:t>
      </w:r>
      <w:r w:rsidR="00E35478" w:rsidRPr="00425A03">
        <w:t xml:space="preserve">and </w:t>
      </w:r>
      <w:r w:rsidR="006B20A7">
        <w:t>another</w:t>
      </w:r>
      <w:r w:rsidR="002D47B3">
        <w:t xml:space="preserve"> relatively minor conviction</w:t>
      </w:r>
      <w:r w:rsidR="00E35478" w:rsidRPr="00425A03">
        <w:t xml:space="preserve"> in New Zealand.  </w:t>
      </w:r>
      <w:r w:rsidR="00B976DC">
        <w:t>His</w:t>
      </w:r>
      <w:r w:rsidR="00EC12C4">
        <w:t xml:space="preserve"> </w:t>
      </w:r>
      <w:r w:rsidRPr="00425A03">
        <w:t>offending</w:t>
      </w:r>
      <w:r w:rsidR="00EC12C4">
        <w:t xml:space="preserve"> </w:t>
      </w:r>
      <w:r w:rsidR="00384440">
        <w:t xml:space="preserve">here </w:t>
      </w:r>
      <w:r w:rsidR="00C92388">
        <w:t xml:space="preserve">became </w:t>
      </w:r>
      <w:r w:rsidR="00EC12C4">
        <w:t>more serious in 2018, as reflected in the sentences</w:t>
      </w:r>
      <w:r w:rsidR="00B976DC">
        <w:t xml:space="preserve"> he received</w:t>
      </w:r>
      <w:r w:rsidR="00EC12C4">
        <w:t xml:space="preserve">. </w:t>
      </w:r>
      <w:r w:rsidRPr="00425A03">
        <w:t>In 2021, he was sentenced on four counts of, relevantly, possessing a prohibited drug</w:t>
      </w:r>
      <w:r w:rsidR="00EC12C4">
        <w:t xml:space="preserve"> </w:t>
      </w:r>
      <w:r w:rsidRPr="00425A03">
        <w:t xml:space="preserve">on </w:t>
      </w:r>
      <w:r w:rsidR="002D47B3">
        <w:t>three</w:t>
      </w:r>
      <w:r w:rsidRPr="00425A03">
        <w:t xml:space="preserve"> occasions, supplying a prohibited drug</w:t>
      </w:r>
      <w:r w:rsidR="00EC12C4">
        <w:t xml:space="preserve"> of an indictable, but less than commercial, quantity</w:t>
      </w:r>
      <w:r w:rsidRPr="00425A03">
        <w:t xml:space="preserve"> on a </w:t>
      </w:r>
      <w:r w:rsidR="002D47B3">
        <w:t>fourth</w:t>
      </w:r>
      <w:r w:rsidR="00EC12C4">
        <w:t xml:space="preserve"> occasion</w:t>
      </w:r>
      <w:r w:rsidRPr="00425A03">
        <w:t xml:space="preserve">, and dealing with property that was the proceeds of crime </w:t>
      </w:r>
      <w:r w:rsidR="00EC12C4">
        <w:t xml:space="preserve">worth </w:t>
      </w:r>
      <w:r w:rsidR="00DA46DB">
        <w:t xml:space="preserve">less than $100,000.  He was </w:t>
      </w:r>
      <w:r w:rsidRPr="00425A03">
        <w:t xml:space="preserve">sentenced to an aggregate term of 20 months imprisonment, with a non-parole period of 12 months, reduced to 10 months on appeal.  </w:t>
      </w:r>
    </w:p>
    <w:p w:rsidR="00425A03" w:rsidRDefault="00425A03" w:rsidP="00EC12C4">
      <w:pPr>
        <w:pStyle w:val="ParaNumbering"/>
      </w:pPr>
      <w:r w:rsidRPr="00425A03">
        <w:t xml:space="preserve">Mr </w:t>
      </w:r>
      <w:proofErr w:type="spellStart"/>
      <w:r w:rsidRPr="00425A03">
        <w:t>Se</w:t>
      </w:r>
      <w:r w:rsidR="00CE59A4">
        <w:t>au</w:t>
      </w:r>
      <w:proofErr w:type="spellEnd"/>
      <w:r w:rsidR="00CE59A4">
        <w:t xml:space="preserve"> conceded before the Tribunal</w:t>
      </w:r>
      <w:r w:rsidRPr="00425A03">
        <w:t xml:space="preserve"> that </w:t>
      </w:r>
      <w:r w:rsidR="00E35478" w:rsidRPr="00425A03">
        <w:t xml:space="preserve">he was unable to satisfy </w:t>
      </w:r>
      <w:r w:rsidR="00E35478">
        <w:t xml:space="preserve">the Tribunal </w:t>
      </w:r>
      <w:r w:rsidR="00E35478" w:rsidRPr="00425A03">
        <w:t xml:space="preserve">that he passed the character test for the purposes of </w:t>
      </w:r>
      <w:r w:rsidR="00384440">
        <w:t>s 501CA(4)(b)(</w:t>
      </w:r>
      <w:proofErr w:type="spellStart"/>
      <w:r w:rsidR="00384440">
        <w:t>i</w:t>
      </w:r>
      <w:proofErr w:type="spellEnd"/>
      <w:r w:rsidR="00384440">
        <w:t>),</w:t>
      </w:r>
      <w:r w:rsidR="00E35478">
        <w:t xml:space="preserve"> because he </w:t>
      </w:r>
      <w:r w:rsidRPr="00425A03">
        <w:t xml:space="preserve">had a substantial criminal record as defined in </w:t>
      </w:r>
      <w:r>
        <w:t>s</w:t>
      </w:r>
      <w:r w:rsidR="00B976DC">
        <w:t xml:space="preserve"> 501(7)(c</w:t>
      </w:r>
      <w:r w:rsidR="00CE59A4">
        <w:t xml:space="preserve">) of the Act.  </w:t>
      </w:r>
    </w:p>
    <w:p w:rsidR="00BB0B5E" w:rsidRDefault="00BB0B5E" w:rsidP="00BB0B5E">
      <w:pPr>
        <w:pStyle w:val="Heading1"/>
      </w:pPr>
      <w:r>
        <w:t>The material before the Tribunal</w:t>
      </w:r>
    </w:p>
    <w:p w:rsidR="00BB0B5E" w:rsidRDefault="00BB0B5E" w:rsidP="00BB0B5E">
      <w:pPr>
        <w:pStyle w:val="ParaNumbering"/>
      </w:pPr>
      <w:r>
        <w:t xml:space="preserve">Relevantly, </w:t>
      </w:r>
      <w:r w:rsidR="00B976DC">
        <w:t xml:space="preserve">Mr </w:t>
      </w:r>
      <w:proofErr w:type="spellStart"/>
      <w:r w:rsidR="00B976DC">
        <w:t>Seau’s</w:t>
      </w:r>
      <w:proofErr w:type="spellEnd"/>
      <w:r>
        <w:t xml:space="preserve"> statement of facts, issues, and contentions before the Tribunal referred to his background and circumstances, and under the heading, “</w:t>
      </w:r>
      <w:r w:rsidR="002D47B3">
        <w:t>Ms [CH] and her daughter [T]</w:t>
      </w:r>
      <w:r>
        <w:t>”, stated:</w:t>
      </w:r>
    </w:p>
    <w:p w:rsidR="002D47B3" w:rsidRDefault="00BB0B5E" w:rsidP="00BB0B5E">
      <w:pPr>
        <w:pStyle w:val="Quote1"/>
      </w:pPr>
      <w:r>
        <w:t xml:space="preserve">In light of the evidences </w:t>
      </w:r>
      <w:r w:rsidRPr="00E35478">
        <w:rPr>
          <w:b/>
        </w:rPr>
        <w:t>we present with this submission</w:t>
      </w:r>
      <w:r>
        <w:t xml:space="preserve">, we submit that the removal of the applicant from Australia would inflict irreversible harm to the child.  </w:t>
      </w:r>
    </w:p>
    <w:p w:rsidR="00BB0B5E" w:rsidRDefault="00BB0B5E" w:rsidP="00BB0B5E">
      <w:pPr>
        <w:pStyle w:val="Quote1"/>
      </w:pPr>
      <w:r>
        <w:t xml:space="preserve">The documents </w:t>
      </w:r>
      <w:r w:rsidR="002D47B3">
        <w:t>attached are self-explanatory.  G</w:t>
      </w:r>
      <w:r>
        <w:t xml:space="preserve">iven the very limited time available, </w:t>
      </w:r>
      <w:r w:rsidRPr="00E35478">
        <w:rPr>
          <w:b/>
        </w:rPr>
        <w:t>we prefer the evidences to speak for themselves</w:t>
      </w:r>
      <w:r>
        <w:t>.</w:t>
      </w:r>
    </w:p>
    <w:p w:rsidR="00E35478" w:rsidRDefault="00E35478" w:rsidP="00BB0B5E">
      <w:pPr>
        <w:pStyle w:val="Quote1"/>
      </w:pPr>
      <w:r>
        <w:t>(</w:t>
      </w:r>
      <w:proofErr w:type="gramStart"/>
      <w:r>
        <w:t>emphasis</w:t>
      </w:r>
      <w:proofErr w:type="gramEnd"/>
      <w:r>
        <w:t xml:space="preserve"> added)</w:t>
      </w:r>
    </w:p>
    <w:p w:rsidR="00BB0B5E" w:rsidRDefault="00B976DC" w:rsidP="00BB0B5E">
      <w:pPr>
        <w:pStyle w:val="ParaNumbering"/>
      </w:pPr>
      <w:r>
        <w:t>The statement</w:t>
      </w:r>
      <w:r w:rsidR="00BB0B5E">
        <w:t xml:space="preserve"> annexed an index and 92 pages of material. This included </w:t>
      </w:r>
      <w:r w:rsidR="002D47B3">
        <w:t>three sets of</w:t>
      </w:r>
      <w:r w:rsidR="00BB0B5E">
        <w:t xml:space="preserve"> documents lis</w:t>
      </w:r>
      <w:r>
        <w:t>ted in the index under T’s name</w:t>
      </w:r>
      <w:r w:rsidR="00E35478">
        <w:t>, being</w:t>
      </w:r>
      <w:r>
        <w:t>:</w:t>
      </w:r>
      <w:r w:rsidR="00BB0B5E">
        <w:t xml:space="preserve"> her birth certificate, a psychological assessment </w:t>
      </w:r>
      <w:r w:rsidR="00E35478">
        <w:t xml:space="preserve">by Joanna </w:t>
      </w:r>
      <w:proofErr w:type="spellStart"/>
      <w:r w:rsidR="00E35478" w:rsidRPr="00FC0ED9">
        <w:rPr>
          <w:b/>
        </w:rPr>
        <w:t>Kirlagitsi</w:t>
      </w:r>
      <w:proofErr w:type="spellEnd"/>
      <w:r w:rsidR="00E35478">
        <w:t xml:space="preserve"> on 20 September 2022 </w:t>
      </w:r>
      <w:r w:rsidR="00BB0B5E">
        <w:t xml:space="preserve">made </w:t>
      </w:r>
      <w:r>
        <w:t>shortly before the Tribunal hearing</w:t>
      </w:r>
      <w:r w:rsidR="00723D74">
        <w:t xml:space="preserve">, </w:t>
      </w:r>
      <w:r w:rsidR="002D47B3">
        <w:t xml:space="preserve">and </w:t>
      </w:r>
      <w:r w:rsidR="00E35478">
        <w:t xml:space="preserve">a group </w:t>
      </w:r>
      <w:r w:rsidR="00384440">
        <w:t xml:space="preserve">of documents </w:t>
      </w:r>
      <w:r w:rsidR="00E35478">
        <w:t xml:space="preserve">comprising </w:t>
      </w:r>
      <w:r w:rsidR="00BB0B5E">
        <w:t xml:space="preserve">a birthday </w:t>
      </w:r>
      <w:r w:rsidR="00AD4F7C">
        <w:t>card</w:t>
      </w:r>
      <w:r w:rsidR="00BB0B5E">
        <w:t xml:space="preserve"> to M</w:t>
      </w:r>
      <w:r>
        <w:t>r</w:t>
      </w:r>
      <w:r w:rsidR="00E35478">
        <w:t xml:space="preserve"> </w:t>
      </w:r>
      <w:proofErr w:type="spellStart"/>
      <w:r w:rsidR="00E35478">
        <w:t>Seau</w:t>
      </w:r>
      <w:proofErr w:type="spellEnd"/>
      <w:r w:rsidR="00E35478">
        <w:t xml:space="preserve"> from T</w:t>
      </w:r>
      <w:r w:rsidR="002D47B3">
        <w:t>,</w:t>
      </w:r>
      <w:r w:rsidR="00E35478">
        <w:t xml:space="preserve"> </w:t>
      </w:r>
      <w:r w:rsidR="00BB0B5E">
        <w:t xml:space="preserve">two drawings </w:t>
      </w:r>
      <w:r w:rsidR="00AD4F7C">
        <w:t xml:space="preserve">on a card </w:t>
      </w:r>
      <w:r w:rsidR="00BB0B5E">
        <w:t>she had done for him, and</w:t>
      </w:r>
      <w:r w:rsidR="002D47B3">
        <w:t xml:space="preserve"> </w:t>
      </w:r>
      <w:r w:rsidR="00BB0B5E">
        <w:t>another letter</w:t>
      </w:r>
      <w:r w:rsidR="00723D74">
        <w:t xml:space="preserve"> from her</w:t>
      </w:r>
      <w:r w:rsidR="00AD4F7C">
        <w:t>, apparently to the Tribunal</w:t>
      </w:r>
      <w:r w:rsidR="00BB0B5E">
        <w:t xml:space="preserve">.  </w:t>
      </w:r>
    </w:p>
    <w:p w:rsidR="00BB0B5E" w:rsidRDefault="00BB0B5E" w:rsidP="00BB0B5E">
      <w:pPr>
        <w:pStyle w:val="ParaNumbering"/>
      </w:pPr>
      <w:r>
        <w:lastRenderedPageBreak/>
        <w:t xml:space="preserve">Ms </w:t>
      </w:r>
      <w:proofErr w:type="spellStart"/>
      <w:r>
        <w:t>Kirlagitsi</w:t>
      </w:r>
      <w:proofErr w:type="spellEnd"/>
      <w:r>
        <w:t xml:space="preserve"> </w:t>
      </w:r>
      <w:r w:rsidR="00E35478">
        <w:t>stated</w:t>
      </w:r>
      <w:r>
        <w:t xml:space="preserve"> that, shortly before the report, T had attended two appointments for a mental health assessment and psychological therapy. She noted that T’s main supports in her life were her mother, grandmother</w:t>
      </w:r>
      <w:r w:rsidR="00723D74">
        <w:t xml:space="preserve"> (Ms B)</w:t>
      </w:r>
      <w:r>
        <w:t xml:space="preserve">, and her uncle, Mr </w:t>
      </w:r>
      <w:proofErr w:type="spellStart"/>
      <w:r>
        <w:t>Seau</w:t>
      </w:r>
      <w:proofErr w:type="spellEnd"/>
      <w:r>
        <w:t>.  The report referred to a hi</w:t>
      </w:r>
      <w:r w:rsidR="00723D74">
        <w:t>story given by Ms CH</w:t>
      </w:r>
      <w:r>
        <w:t xml:space="preserve"> and stated that, following the death of her maternal grandfather, T had developed a very close bond with Mr </w:t>
      </w:r>
      <w:proofErr w:type="spellStart"/>
      <w:r>
        <w:t>Seau</w:t>
      </w:r>
      <w:proofErr w:type="spellEnd"/>
      <w:r>
        <w:t xml:space="preserve">.  It listed some of the ways in which Ms </w:t>
      </w:r>
      <w:proofErr w:type="spellStart"/>
      <w:r>
        <w:t>Kirlagitsi</w:t>
      </w:r>
      <w:proofErr w:type="spellEnd"/>
      <w:r>
        <w:t xml:space="preserve"> opined that he had made a positive contribution to T’s life, namely, looking after her daily, taking her to and picking her up from school, driving her to extracurricular activities, being a source of emotional support, demonstrating stability, as he was always there for her, </w:t>
      </w:r>
      <w:r w:rsidR="00E35478">
        <w:t xml:space="preserve">both </w:t>
      </w:r>
      <w:r>
        <w:t>physically and emotionally, and being a significant figure in her life.</w:t>
      </w:r>
    </w:p>
    <w:p w:rsidR="00BB0B5E" w:rsidRDefault="00BB0B5E" w:rsidP="00BB0B5E">
      <w:pPr>
        <w:pStyle w:val="ParaNumbering"/>
      </w:pPr>
      <w:r>
        <w:t xml:space="preserve">Ms </w:t>
      </w:r>
      <w:proofErr w:type="spellStart"/>
      <w:r>
        <w:t>Kirlagitsi</w:t>
      </w:r>
      <w:proofErr w:type="spellEnd"/>
      <w:r>
        <w:t xml:space="preserve"> recorded that she understood Mr </w:t>
      </w:r>
      <w:proofErr w:type="spellStart"/>
      <w:r>
        <w:t>Seau</w:t>
      </w:r>
      <w:proofErr w:type="spellEnd"/>
      <w:r>
        <w:t xml:space="preserve"> had been incarcerated for approximately the previous two years, and that T reportedly spoke with him every three weeks, but avoided visiting him in prison.  She said:</w:t>
      </w:r>
    </w:p>
    <w:p w:rsidR="00BB0B5E" w:rsidRDefault="00BB0B5E" w:rsidP="00BB0B5E">
      <w:pPr>
        <w:pStyle w:val="Quote1"/>
        <w:rPr>
          <w:b/>
        </w:rPr>
      </w:pPr>
      <w:r w:rsidRPr="00E97C44">
        <w:t xml:space="preserve">It is </w:t>
      </w:r>
      <w:r w:rsidR="002D47B3">
        <w:t xml:space="preserve">of </w:t>
      </w:r>
      <w:r w:rsidRPr="00E97C44">
        <w:t xml:space="preserve">my opinion that </w:t>
      </w:r>
      <w:r w:rsidR="002D47B3">
        <w:t>[</w:t>
      </w:r>
      <w:r w:rsidRPr="00E97C44">
        <w:t>T</w:t>
      </w:r>
      <w:r w:rsidR="002D47B3">
        <w:t>]</w:t>
      </w:r>
      <w:r w:rsidRPr="00E97C44">
        <w:t xml:space="preserve"> faces </w:t>
      </w:r>
      <w:r w:rsidR="002D47B3">
        <w:t>socio-emotional</w:t>
      </w:r>
      <w:r w:rsidRPr="00E97C44">
        <w:t xml:space="preserve"> challenges, as well as symptoms consist</w:t>
      </w:r>
      <w:r w:rsidR="002D47B3">
        <w:t>ent with</w:t>
      </w:r>
      <w:r w:rsidRPr="00E97C44">
        <w:t xml:space="preserve"> low self-confidence and self-esteem, as well as perfectionism.  </w:t>
      </w:r>
      <w:r w:rsidRPr="003C7926">
        <w:rPr>
          <w:b/>
        </w:rPr>
        <w:t xml:space="preserve">Mr </w:t>
      </w:r>
      <w:proofErr w:type="spellStart"/>
      <w:r w:rsidRPr="003C7926">
        <w:rPr>
          <w:b/>
        </w:rPr>
        <w:t>Seau</w:t>
      </w:r>
      <w:proofErr w:type="spellEnd"/>
      <w:r w:rsidRPr="003C7926">
        <w:rPr>
          <w:b/>
        </w:rPr>
        <w:t xml:space="preserve"> seem</w:t>
      </w:r>
      <w:r w:rsidR="002D47B3">
        <w:rPr>
          <w:b/>
        </w:rPr>
        <w:t>s</w:t>
      </w:r>
      <w:r w:rsidRPr="003C7926">
        <w:rPr>
          <w:b/>
        </w:rPr>
        <w:t xml:space="preserve"> to be a significant source of social and emotional support for T, and his presence may aid in building her socio-emotional skills.</w:t>
      </w:r>
    </w:p>
    <w:p w:rsidR="00BB0B5E" w:rsidRPr="003C7926" w:rsidRDefault="00BB0B5E" w:rsidP="00BB0B5E">
      <w:pPr>
        <w:pStyle w:val="Quote1"/>
      </w:pPr>
      <w:r>
        <w:t>(</w:t>
      </w:r>
      <w:proofErr w:type="gramStart"/>
      <w:r>
        <w:t>emphasis</w:t>
      </w:r>
      <w:proofErr w:type="gramEnd"/>
      <w:r>
        <w:t xml:space="preserve"> added)</w:t>
      </w:r>
    </w:p>
    <w:p w:rsidR="00BB0B5E" w:rsidRDefault="00BB0B5E" w:rsidP="00BB0B5E">
      <w:pPr>
        <w:pStyle w:val="ParaNumbering"/>
      </w:pPr>
      <w:r>
        <w:t xml:space="preserve">The handwritten material from T included </w:t>
      </w:r>
      <w:r w:rsidR="00AD4F7C">
        <w:t>a birthday card</w:t>
      </w:r>
      <w:r w:rsidR="002D47B3">
        <w:t xml:space="preserve"> which </w:t>
      </w:r>
      <w:r>
        <w:t>T had drawn and written on</w:t>
      </w:r>
      <w:r w:rsidR="00E35478">
        <w:t xml:space="preserve"> </w:t>
      </w:r>
      <w:r w:rsidR="002D47B3">
        <w:t xml:space="preserve">herself.  On another card </w:t>
      </w:r>
      <w:r>
        <w:t xml:space="preserve">she depicted, in stick figures, herself, Mr </w:t>
      </w:r>
      <w:proofErr w:type="spellStart"/>
      <w:r>
        <w:t>Seau</w:t>
      </w:r>
      <w:proofErr w:type="spellEnd"/>
      <w:r>
        <w:t xml:space="preserve"> and a castle in which they</w:t>
      </w:r>
      <w:r w:rsidR="00723D74">
        <w:t xml:space="preserve"> apparently were to be located </w:t>
      </w:r>
      <w:r>
        <w:t xml:space="preserve">under what appears to be a sunny outlook and a rainbow.  In a third drawing, the child depicted herself, her uncle, and a cat. </w:t>
      </w:r>
      <w:r w:rsidR="002D47B3">
        <w:t xml:space="preserve"> In the birthday card she wrote</w:t>
      </w:r>
      <w:r>
        <w:t>, among other things:</w:t>
      </w:r>
    </w:p>
    <w:p w:rsidR="00BB0B5E" w:rsidRDefault="00BB0B5E" w:rsidP="00BB0B5E">
      <w:pPr>
        <w:pStyle w:val="Quote1"/>
      </w:pPr>
      <w:r>
        <w:t xml:space="preserve">I love you so much, and </w:t>
      </w:r>
      <w:r w:rsidRPr="00BB0B5E">
        <w:rPr>
          <w:b/>
        </w:rPr>
        <w:t>wish that you were here to celebrate</w:t>
      </w:r>
      <w:r>
        <w:t xml:space="preserve">, and so I </w:t>
      </w:r>
      <w:r w:rsidRPr="00BB0B5E">
        <w:rPr>
          <w:b/>
        </w:rPr>
        <w:t>could give you presents</w:t>
      </w:r>
      <w:r>
        <w:t xml:space="preserve">.  </w:t>
      </w:r>
      <w:r w:rsidRPr="00BB0B5E">
        <w:rPr>
          <w:b/>
        </w:rPr>
        <w:t>I will love you, no matter what happens</w:t>
      </w:r>
      <w:r>
        <w:t>.</w:t>
      </w:r>
    </w:p>
    <w:p w:rsidR="00BB0B5E" w:rsidRDefault="00BB0B5E" w:rsidP="00BB0B5E">
      <w:pPr>
        <w:pStyle w:val="Quote1"/>
      </w:pPr>
      <w:r>
        <w:t>(</w:t>
      </w:r>
      <w:proofErr w:type="gramStart"/>
      <w:r>
        <w:t>emphasis</w:t>
      </w:r>
      <w:proofErr w:type="gramEnd"/>
      <w:r>
        <w:t xml:space="preserve"> added)</w:t>
      </w:r>
    </w:p>
    <w:p w:rsidR="00BB0B5E" w:rsidRDefault="00BB0B5E" w:rsidP="00BB0B5E">
      <w:pPr>
        <w:pStyle w:val="ParaNumbering"/>
      </w:pPr>
      <w:r>
        <w:t>Last, the material included the following</w:t>
      </w:r>
      <w:r w:rsidR="00E35478">
        <w:t xml:space="preserve"> handwritten</w:t>
      </w:r>
      <w:r>
        <w:t xml:space="preserve"> letter from T</w:t>
      </w:r>
      <w:r w:rsidR="00723D74">
        <w:t>, apparently to the Tribunal</w:t>
      </w:r>
      <w:r>
        <w:t>:</w:t>
      </w:r>
    </w:p>
    <w:p w:rsidR="002D47B3" w:rsidRDefault="00BB0B5E" w:rsidP="002D47B3">
      <w:pPr>
        <w:pStyle w:val="Quote1"/>
      </w:pPr>
      <w:r>
        <w:t xml:space="preserve">Hi, </w:t>
      </w:r>
      <w:proofErr w:type="gramStart"/>
      <w:r w:rsidR="002D47B3">
        <w:t>My</w:t>
      </w:r>
      <w:proofErr w:type="gramEnd"/>
      <w:r w:rsidR="002D47B3">
        <w:t xml:space="preserve"> name is [T].</w:t>
      </w:r>
    </w:p>
    <w:p w:rsidR="00BB0B5E" w:rsidRDefault="00BB0B5E" w:rsidP="002D47B3">
      <w:pPr>
        <w:pStyle w:val="Quote1"/>
      </w:pPr>
      <w:r w:rsidRPr="00BB0B5E">
        <w:rPr>
          <w:b/>
        </w:rPr>
        <w:t xml:space="preserve">Uncle Jay [Mr </w:t>
      </w:r>
      <w:proofErr w:type="spellStart"/>
      <w:r w:rsidRPr="00BB0B5E">
        <w:rPr>
          <w:b/>
        </w:rPr>
        <w:t>Seau</w:t>
      </w:r>
      <w:proofErr w:type="spellEnd"/>
      <w:r w:rsidRPr="00BB0B5E">
        <w:rPr>
          <w:b/>
        </w:rPr>
        <w:t>] means the world to me</w:t>
      </w:r>
      <w:r>
        <w:t>.  Somet</w:t>
      </w:r>
      <w:r w:rsidR="002D47B3">
        <w:t>imes I enjoy McDonalds with him</w:t>
      </w:r>
      <w:r>
        <w:t xml:space="preserve"> or we go shopping together.  </w:t>
      </w:r>
      <w:r w:rsidRPr="00BB0B5E">
        <w:rPr>
          <w:b/>
        </w:rPr>
        <w:t>A</w:t>
      </w:r>
      <w:r w:rsidR="002D47B3">
        <w:rPr>
          <w:b/>
        </w:rPr>
        <w:t>nything that I need or want, he i</w:t>
      </w:r>
      <w:r w:rsidRPr="00BB0B5E">
        <w:rPr>
          <w:b/>
        </w:rPr>
        <w:t>s willing to get it for me, even if my mother is against it.</w:t>
      </w:r>
      <w:r>
        <w:t xml:space="preserve">  Every morning he takes time out of his day to drop me off at school.  He originally moved in with us when I was </w:t>
      </w:r>
      <w:r w:rsidR="002D47B3">
        <w:t>3</w:t>
      </w:r>
      <w:r>
        <w:t xml:space="preserve"> or </w:t>
      </w:r>
      <w:r w:rsidR="002D47B3">
        <w:t>4</w:t>
      </w:r>
      <w:r>
        <w:t xml:space="preserve">.  </w:t>
      </w:r>
      <w:r w:rsidRPr="00BB0B5E">
        <w:rPr>
          <w:b/>
        </w:rPr>
        <w:t>He is like a dad to me, and means the world to me</w:t>
      </w:r>
      <w:r w:rsidR="002D47B3">
        <w:t xml:space="preserve">.  Every birthday </w:t>
      </w:r>
      <w:r>
        <w:t>he is there</w:t>
      </w:r>
      <w:r w:rsidR="002D47B3">
        <w:t>,</w:t>
      </w:r>
      <w:r>
        <w:t xml:space="preserve"> with presents that he has taken the time to buy.  </w:t>
      </w:r>
      <w:r w:rsidRPr="00BB0B5E">
        <w:rPr>
          <w:b/>
        </w:rPr>
        <w:t>Every yea</w:t>
      </w:r>
      <w:r w:rsidR="002D47B3">
        <w:rPr>
          <w:b/>
        </w:rPr>
        <w:t xml:space="preserve">r, he watches closely to what I’m </w:t>
      </w:r>
      <w:r w:rsidRPr="00BB0B5E">
        <w:rPr>
          <w:b/>
        </w:rPr>
        <w:t>into.</w:t>
      </w:r>
      <w:r>
        <w:t xml:space="preserve">  On my </w:t>
      </w:r>
      <w:r w:rsidR="002D47B3">
        <w:t xml:space="preserve">6th birthday, he organised a frozen </w:t>
      </w:r>
      <w:r>
        <w:t>themed cake.</w:t>
      </w:r>
    </w:p>
    <w:p w:rsidR="00BB0B5E" w:rsidRDefault="00BB0B5E" w:rsidP="00BB0B5E">
      <w:pPr>
        <w:pStyle w:val="Quote1"/>
      </w:pPr>
      <w:r>
        <w:t>(</w:t>
      </w:r>
      <w:proofErr w:type="gramStart"/>
      <w:r>
        <w:t>emphasis</w:t>
      </w:r>
      <w:proofErr w:type="gramEnd"/>
      <w:r>
        <w:t xml:space="preserve"> added)</w:t>
      </w:r>
    </w:p>
    <w:p w:rsidR="00723D74" w:rsidRDefault="00723D74" w:rsidP="00723D74">
      <w:pPr>
        <w:pStyle w:val="ParaNumbering"/>
      </w:pPr>
      <w:r>
        <w:lastRenderedPageBreak/>
        <w:t xml:space="preserve">Mr </w:t>
      </w:r>
      <w:proofErr w:type="spellStart"/>
      <w:r>
        <w:t>Seau</w:t>
      </w:r>
      <w:proofErr w:type="spellEnd"/>
      <w:r w:rsidRPr="00425A03">
        <w:t xml:space="preserve"> raised a substantial number of matters in a reasonably well-articula</w:t>
      </w:r>
      <w:r>
        <w:t xml:space="preserve">ted submission to the Tribunal.  This included </w:t>
      </w:r>
      <w:r w:rsidRPr="00425A03">
        <w:t xml:space="preserve">his claim that, </w:t>
      </w:r>
      <w:r>
        <w:t>were he</w:t>
      </w:r>
      <w:r w:rsidRPr="00425A03">
        <w:t xml:space="preserve"> removed to New Zealand, </w:t>
      </w:r>
      <w:r>
        <w:t>there would be an adverse effect on</w:t>
      </w:r>
      <w:r w:rsidRPr="00425A03">
        <w:t xml:space="preserve"> his relationship with his </w:t>
      </w:r>
      <w:r w:rsidR="002D47B3">
        <w:t xml:space="preserve">adoptive </w:t>
      </w:r>
      <w:r w:rsidRPr="00425A03">
        <w:t>sister</w:t>
      </w:r>
      <w:r>
        <w:t>, Ms CH,</w:t>
      </w:r>
      <w:r w:rsidRPr="00425A03">
        <w:t xml:space="preserve"> and her child, T, </w:t>
      </w:r>
      <w:r>
        <w:t>would suffer harm</w:t>
      </w:r>
      <w:r w:rsidRPr="00425A03">
        <w:t xml:space="preserve">.  </w:t>
      </w:r>
    </w:p>
    <w:p w:rsidR="00E97C44" w:rsidRDefault="00E97C44" w:rsidP="00E97C44">
      <w:pPr>
        <w:pStyle w:val="Heading1"/>
      </w:pPr>
      <w:r>
        <w:t xml:space="preserve">The Tribunal’s </w:t>
      </w:r>
      <w:r w:rsidR="002079A4">
        <w:t>d</w:t>
      </w:r>
      <w:r>
        <w:t xml:space="preserve">ecision </w:t>
      </w:r>
    </w:p>
    <w:p w:rsidR="00425A03" w:rsidRDefault="00425A03" w:rsidP="00425A03">
      <w:pPr>
        <w:pStyle w:val="ParaNumbering"/>
      </w:pPr>
      <w:r w:rsidRPr="00425A03">
        <w:t xml:space="preserve">The Tribunal </w:t>
      </w:r>
      <w:r w:rsidR="00E35478">
        <w:t>reviewed</w:t>
      </w:r>
      <w:r w:rsidRPr="00425A03">
        <w:t xml:space="preserve"> </w:t>
      </w:r>
      <w:r w:rsidR="00CE59A4">
        <w:t xml:space="preserve">Mr </w:t>
      </w:r>
      <w:proofErr w:type="spellStart"/>
      <w:r w:rsidR="00CE59A4">
        <w:t>Seau’s</w:t>
      </w:r>
      <w:proofErr w:type="spellEnd"/>
      <w:r w:rsidRPr="00425A03">
        <w:t xml:space="preserve"> criminal history, including the way in which he put his case before various sentencing courts </w:t>
      </w:r>
      <w:r w:rsidR="00CE59A4">
        <w:t>concerning</w:t>
      </w:r>
      <w:r w:rsidRPr="00425A03">
        <w:t xml:space="preserve"> his own circumstances</w:t>
      </w:r>
      <w:r w:rsidR="00723D74">
        <w:t xml:space="preserve">.  Those included </w:t>
      </w:r>
      <w:r w:rsidRPr="00425A03">
        <w:t>that, in 2006, his father</w:t>
      </w:r>
      <w:r w:rsidR="00CE59A4">
        <w:t xml:space="preserve"> had</w:t>
      </w:r>
      <w:r w:rsidRPr="00425A03">
        <w:t xml:space="preserve"> murdered his mother </w:t>
      </w:r>
      <w:r w:rsidR="002D47B3">
        <w:t>at the family home</w:t>
      </w:r>
      <w:r w:rsidRPr="00425A03">
        <w:t xml:space="preserve">, while he was a minor.  </w:t>
      </w:r>
      <w:r w:rsidR="00CE59A4">
        <w:t>He claimed that</w:t>
      </w:r>
      <w:r w:rsidRPr="00425A03">
        <w:t xml:space="preserve">, for obvious reasons, </w:t>
      </w:r>
      <w:r w:rsidR="00CE59A4">
        <w:t xml:space="preserve">the murder had affected his mental health, </w:t>
      </w:r>
      <w:r w:rsidRPr="00425A03">
        <w:t xml:space="preserve">traumatised him and caused him to leave New Zealand to reside here.  </w:t>
      </w:r>
    </w:p>
    <w:p w:rsidR="00DF5A86" w:rsidRDefault="00E97C44" w:rsidP="00723D74">
      <w:pPr>
        <w:pStyle w:val="ParaNumbering"/>
      </w:pPr>
      <w:r w:rsidRPr="00E97C44">
        <w:t xml:space="preserve">The Tribunal assessed, among other things, various reports as to Mr </w:t>
      </w:r>
      <w:proofErr w:type="spellStart"/>
      <w:r w:rsidRPr="00E97C44">
        <w:t>Seau’s</w:t>
      </w:r>
      <w:proofErr w:type="spellEnd"/>
      <w:r w:rsidRPr="00E97C44">
        <w:t xml:space="preserve"> past and relatively recent mental health, his attempts at rehabilitating himself away from </w:t>
      </w:r>
      <w:r w:rsidR="00787C6F">
        <w:t>his drug and alcohol dependence</w:t>
      </w:r>
      <w:r w:rsidRPr="00E97C44">
        <w:t xml:space="preserve"> and his psychological state.  Among other</w:t>
      </w:r>
      <w:r w:rsidR="002D47B3">
        <w:t xml:space="preserve"> thing</w:t>
      </w:r>
      <w:r w:rsidRPr="00E97C44">
        <w:t xml:space="preserve">s, the Tribunal considered evidence </w:t>
      </w:r>
      <w:r w:rsidR="00723D74" w:rsidRPr="00E97C44">
        <w:t xml:space="preserve">of a psychologist, Ms </w:t>
      </w:r>
      <w:r w:rsidR="00723D74" w:rsidRPr="00787C6F">
        <w:rPr>
          <w:b/>
        </w:rPr>
        <w:t>Hayek</w:t>
      </w:r>
      <w:r w:rsidR="00723D74">
        <w:t xml:space="preserve"> and her</w:t>
      </w:r>
      <w:r w:rsidRPr="00E97C44">
        <w:t xml:space="preserve"> recent report. </w:t>
      </w:r>
      <w:r w:rsidR="00787C6F">
        <w:t xml:space="preserve"> </w:t>
      </w:r>
      <w:r w:rsidR="00787C6F" w:rsidRPr="00E97C44">
        <w:t xml:space="preserve">Ms Hayek </w:t>
      </w:r>
      <w:r w:rsidR="00787C6F">
        <w:t xml:space="preserve">had </w:t>
      </w:r>
      <w:r w:rsidR="00787C6F" w:rsidRPr="00E97C44">
        <w:t xml:space="preserve">opined that Mr </w:t>
      </w:r>
      <w:proofErr w:type="spellStart"/>
      <w:r w:rsidR="00787C6F" w:rsidRPr="00E97C44">
        <w:t>Seau</w:t>
      </w:r>
      <w:proofErr w:type="spellEnd"/>
      <w:r w:rsidR="00787C6F" w:rsidRPr="00E97C44">
        <w:t xml:space="preserve"> suffered from post-traumatic stress disorder and comorbid presentation of sedative hypnotic or anxiolytic use disorder, being mo</w:t>
      </w:r>
      <w:r w:rsidR="00787C6F">
        <w:t>derate in sustained remission.</w:t>
      </w:r>
      <w:r w:rsidR="00E35478">
        <w:t xml:space="preserve"> </w:t>
      </w:r>
      <w:r w:rsidR="00787C6F">
        <w:t xml:space="preserve"> </w:t>
      </w:r>
      <w:r w:rsidR="00E35478" w:rsidRPr="00E97C44">
        <w:t xml:space="preserve">She gave oral evidence to the Tribunal that there was a low risk of </w:t>
      </w:r>
      <w:r w:rsidR="00E35478">
        <w:t xml:space="preserve">Mr </w:t>
      </w:r>
      <w:proofErr w:type="spellStart"/>
      <w:r w:rsidR="00E35478">
        <w:t>Seau</w:t>
      </w:r>
      <w:proofErr w:type="spellEnd"/>
      <w:r w:rsidR="00E35478" w:rsidRPr="00E97C44">
        <w:t xml:space="preserve"> reoffending</w:t>
      </w:r>
      <w:r w:rsidR="00E35478">
        <w:t xml:space="preserve">.  </w:t>
      </w:r>
      <w:r w:rsidR="00723D74">
        <w:t>The Tribunal</w:t>
      </w:r>
      <w:r w:rsidRPr="00E97C44">
        <w:t xml:space="preserve"> found that certain inaccuracies</w:t>
      </w:r>
      <w:r w:rsidR="00787C6F">
        <w:t xml:space="preserve"> in </w:t>
      </w:r>
      <w:r w:rsidR="00E35478">
        <w:t>her</w:t>
      </w:r>
      <w:r w:rsidR="00787C6F">
        <w:t xml:space="preserve"> report</w:t>
      </w:r>
      <w:r w:rsidRPr="00E97C44">
        <w:t xml:space="preserve"> diminished </w:t>
      </w:r>
      <w:r w:rsidR="00787C6F">
        <w:t>its</w:t>
      </w:r>
      <w:r w:rsidRPr="00E97C44">
        <w:t xml:space="preserve"> probative value</w:t>
      </w:r>
      <w:r w:rsidR="002079A4">
        <w:t xml:space="preserve"> and it</w:t>
      </w:r>
      <w:r w:rsidRPr="00E97C44">
        <w:t xml:space="preserve"> gave limited weight </w:t>
      </w:r>
      <w:r w:rsidR="00DF5A86">
        <w:t xml:space="preserve">to </w:t>
      </w:r>
      <w:r w:rsidR="00E35478">
        <w:t>her</w:t>
      </w:r>
      <w:r w:rsidR="00DF5A86">
        <w:t xml:space="preserve"> opinions </w:t>
      </w:r>
      <w:r w:rsidRPr="00E97C44">
        <w:t xml:space="preserve">in light of its concerns </w:t>
      </w:r>
      <w:r w:rsidR="002D47B3">
        <w:t>about</w:t>
      </w:r>
      <w:r w:rsidRPr="00E97C44">
        <w:t xml:space="preserve"> the accuracy of information given to her. </w:t>
      </w:r>
    </w:p>
    <w:p w:rsidR="00E97C44" w:rsidRDefault="00E97C44" w:rsidP="00DF5A86">
      <w:pPr>
        <w:pStyle w:val="ParaNumbering"/>
      </w:pPr>
      <w:r w:rsidRPr="00E97C44">
        <w:t>The Tribunal placed considerable weight on the fact</w:t>
      </w:r>
      <w:r w:rsidR="002D47B3">
        <w:t>s</w:t>
      </w:r>
      <w:r w:rsidRPr="00E97C44">
        <w:t xml:space="preserve"> that Mr </w:t>
      </w:r>
      <w:proofErr w:type="spellStart"/>
      <w:r w:rsidRPr="00E97C44">
        <w:t>Seau</w:t>
      </w:r>
      <w:proofErr w:type="spellEnd"/>
      <w:r w:rsidRPr="00E97C44">
        <w:t xml:space="preserve"> had completed several rehabilita</w:t>
      </w:r>
      <w:r w:rsidR="00723D74">
        <w:t xml:space="preserve">tion programs in the past, and that, </w:t>
      </w:r>
      <w:r w:rsidRPr="00E97C44">
        <w:t xml:space="preserve">on </w:t>
      </w:r>
      <w:r w:rsidR="00E35478">
        <w:t>his and Ms Hayek’s</w:t>
      </w:r>
      <w:r w:rsidRPr="00E97C44">
        <w:t xml:space="preserve"> evidence, </w:t>
      </w:r>
      <w:r w:rsidR="00723D74">
        <w:t xml:space="preserve">he </w:t>
      </w:r>
      <w:r w:rsidRPr="00E97C44">
        <w:t xml:space="preserve">had gained insight into the effects of drug </w:t>
      </w:r>
      <w:r w:rsidR="00DF5A86">
        <w:t xml:space="preserve">and alcohol use on his conduct.  </w:t>
      </w:r>
      <w:r w:rsidR="002D47B3">
        <w:t>However, i</w:t>
      </w:r>
      <w:r w:rsidR="00723D74">
        <w:t xml:space="preserve">t found that, despite completing those intervention programs, </w:t>
      </w:r>
      <w:r w:rsidR="00723D74" w:rsidRPr="00E97C44">
        <w:t xml:space="preserve">they had not appeared to be successful in preventing his </w:t>
      </w:r>
      <w:r w:rsidR="00723D74">
        <w:t xml:space="preserve">subsequent </w:t>
      </w:r>
      <w:r w:rsidR="00723D74" w:rsidRPr="00E97C44">
        <w:t xml:space="preserve">further offending.  </w:t>
      </w:r>
      <w:r w:rsidR="00723D74">
        <w:t>And, it</w:t>
      </w:r>
      <w:r w:rsidR="00DF5A86">
        <w:t xml:space="preserve"> found</w:t>
      </w:r>
      <w:r w:rsidR="00E35478">
        <w:t>,</w:t>
      </w:r>
      <w:r w:rsidR="00DF5A86">
        <w:t xml:space="preserve"> </w:t>
      </w:r>
      <w:r w:rsidRPr="00E97C44">
        <w:t xml:space="preserve">he had been warned several </w:t>
      </w:r>
      <w:r w:rsidR="00E35478">
        <w:t xml:space="preserve">times </w:t>
      </w:r>
      <w:r w:rsidRPr="00E97C44">
        <w:t xml:space="preserve">about </w:t>
      </w:r>
      <w:r w:rsidR="00DF5A86">
        <w:t>the consequences of his conduct when being sentenced for his various offences,</w:t>
      </w:r>
      <w:r w:rsidRPr="00E97C44">
        <w:t xml:space="preserve"> yet </w:t>
      </w:r>
      <w:r w:rsidR="00DF5A86">
        <w:t xml:space="preserve">he </w:t>
      </w:r>
      <w:r w:rsidRPr="00E97C44">
        <w:t xml:space="preserve">continued to offend.  </w:t>
      </w:r>
      <w:r w:rsidR="00DF5A86">
        <w:t xml:space="preserve">The Tribunal </w:t>
      </w:r>
      <w:r w:rsidRPr="00E97C44">
        <w:t xml:space="preserve">considered that his promise </w:t>
      </w:r>
      <w:r w:rsidR="00723D74">
        <w:t xml:space="preserve">to it </w:t>
      </w:r>
      <w:r w:rsidR="00387214">
        <w:t xml:space="preserve">that he had rehabilitated and would not reoffend further </w:t>
      </w:r>
      <w:r w:rsidR="00E35478">
        <w:t>was</w:t>
      </w:r>
      <w:r w:rsidRPr="00E97C44">
        <w:t xml:space="preserve"> unreliable and unpersuasive</w:t>
      </w:r>
      <w:r w:rsidR="00387214">
        <w:t>.  It found that his</w:t>
      </w:r>
      <w:r w:rsidRPr="00E97C44">
        <w:t xml:space="preserve"> recent participation in a program designed to reduce</w:t>
      </w:r>
      <w:r w:rsidR="00387214">
        <w:t xml:space="preserve"> his</w:t>
      </w:r>
      <w:r w:rsidRPr="00E97C44">
        <w:t xml:space="preserve"> risk of reoffending</w:t>
      </w:r>
      <w:r w:rsidR="00387214">
        <w:t xml:space="preserve"> might not necessarily prevent that occurring</w:t>
      </w:r>
      <w:r w:rsidR="00723D74">
        <w:t>,</w:t>
      </w:r>
      <w:r w:rsidR="00387214">
        <w:t xml:space="preserve"> because he had abstained from drugs and alcohol as a result of conditions during detention.</w:t>
      </w:r>
      <w:r w:rsidRPr="00E97C44">
        <w:t xml:space="preserve"> It found that a considerable motivation </w:t>
      </w:r>
      <w:r w:rsidR="00387214">
        <w:t>for</w:t>
      </w:r>
      <w:r w:rsidR="00723D74">
        <w:t xml:space="preserve"> his</w:t>
      </w:r>
      <w:r w:rsidRPr="00E97C44">
        <w:t xml:space="preserve"> committing his more recent d</w:t>
      </w:r>
      <w:r w:rsidR="00387214">
        <w:t xml:space="preserve">rug offences was to make money.  It found </w:t>
      </w:r>
      <w:r w:rsidR="002D47B3">
        <w:t>that</w:t>
      </w:r>
      <w:r w:rsidRPr="00E97C44">
        <w:t xml:space="preserve"> at least some of his offending did not appear to be caused by, or stem from, his past trauma, but, rather, </w:t>
      </w:r>
      <w:r w:rsidR="00723D74">
        <w:t xml:space="preserve">was motivated by personal gain.  It </w:t>
      </w:r>
      <w:r w:rsidRPr="00E97C44">
        <w:lastRenderedPageBreak/>
        <w:t xml:space="preserve">considered that, despite his participation in rehabilitation programs, he may still, in the future, be motivated to reoffend if he decided that he needed money.  </w:t>
      </w:r>
    </w:p>
    <w:p w:rsidR="00E97C44" w:rsidRDefault="00387214" w:rsidP="00723D74">
      <w:pPr>
        <w:pStyle w:val="ParaNumbering"/>
      </w:pPr>
      <w:r>
        <w:t>The Tribunal found</w:t>
      </w:r>
      <w:r w:rsidR="00E97C44" w:rsidRPr="00E97C44">
        <w:t xml:space="preserve"> that Mr </w:t>
      </w:r>
      <w:proofErr w:type="spellStart"/>
      <w:r w:rsidR="00E97C44" w:rsidRPr="00E97C44">
        <w:t>Seau</w:t>
      </w:r>
      <w:proofErr w:type="spellEnd"/>
      <w:r w:rsidR="00E97C44" w:rsidRPr="00E97C44">
        <w:t xml:space="preserve"> had multipl</w:t>
      </w:r>
      <w:r>
        <w:t xml:space="preserve">e driving offences </w:t>
      </w:r>
      <w:r w:rsidR="00E97C44" w:rsidRPr="00E97C44">
        <w:t>and that his undertaking</w:t>
      </w:r>
      <w:r w:rsidR="00DC7E7F">
        <w:t>s</w:t>
      </w:r>
      <w:r w:rsidR="00E97C44" w:rsidRPr="00E97C44">
        <w:t xml:space="preserve"> in the futur</w:t>
      </w:r>
      <w:r w:rsidR="00DC7E7F">
        <w:t xml:space="preserve">e not to use drugs and alcohol and </w:t>
      </w:r>
      <w:r w:rsidR="002D47B3">
        <w:t>to abide by road rules</w:t>
      </w:r>
      <w:r w:rsidR="00E97C44" w:rsidRPr="00E97C44">
        <w:t xml:space="preserve"> had not been adequately tested</w:t>
      </w:r>
      <w:r w:rsidR="00DC7E7F">
        <w:t>,</w:t>
      </w:r>
      <w:r w:rsidR="00E97C44" w:rsidRPr="00E97C44">
        <w:t xml:space="preserve"> given his incarceration and su</w:t>
      </w:r>
      <w:r w:rsidR="00DC7E7F">
        <w:t xml:space="preserve">bsequent immigration detention.  It </w:t>
      </w:r>
      <w:r w:rsidR="00E97C44" w:rsidRPr="00E97C44">
        <w:t xml:space="preserve">found that the risk of </w:t>
      </w:r>
      <w:r w:rsidR="00723D74">
        <w:t xml:space="preserve">him </w:t>
      </w:r>
      <w:r w:rsidR="00E97C44" w:rsidRPr="00E97C44">
        <w:t xml:space="preserve">reoffending remained and </w:t>
      </w:r>
      <w:r w:rsidR="00DC7E7F">
        <w:t xml:space="preserve">its occurrence </w:t>
      </w:r>
      <w:r w:rsidR="00E97C44" w:rsidRPr="00E97C44">
        <w:t xml:space="preserve">may be dependent on his use of drugs and alcohol, which it </w:t>
      </w:r>
      <w:r w:rsidR="00506258">
        <w:t>reiterated</w:t>
      </w:r>
      <w:r w:rsidR="00E97C44" w:rsidRPr="00E97C44">
        <w:t xml:space="preserve"> had not been adequately tested at the time of its decision.  </w:t>
      </w:r>
      <w:r w:rsidR="00DC7E7F">
        <w:t xml:space="preserve">The Tribunal </w:t>
      </w:r>
      <w:r w:rsidR="00E97C44" w:rsidRPr="00E97C44">
        <w:t xml:space="preserve">found that, if </w:t>
      </w:r>
      <w:r w:rsidR="00DC7E7F">
        <w:t xml:space="preserve">Mr </w:t>
      </w:r>
      <w:proofErr w:type="spellStart"/>
      <w:r w:rsidR="00DC7E7F">
        <w:t>Seau</w:t>
      </w:r>
      <w:proofErr w:type="spellEnd"/>
      <w:r w:rsidR="00E97C44" w:rsidRPr="00E97C44">
        <w:t xml:space="preserve"> were to reoffend, the risk to the Australian community would be significant, and, given the potential seriousness of offences involving drink driving, unlicensed driving and the use and supply of drugs, </w:t>
      </w:r>
      <w:r w:rsidR="00DC7E7F">
        <w:t>it conclude</w:t>
      </w:r>
      <w:r w:rsidR="00506258">
        <w:t>d</w:t>
      </w:r>
      <w:r w:rsidR="00E97C44" w:rsidRPr="00E97C44">
        <w:t xml:space="preserve"> that the protection of the Australian community “weighs heavily against</w:t>
      </w:r>
      <w:r w:rsidR="002D47B3">
        <w:t xml:space="preserve"> the</w:t>
      </w:r>
      <w:r w:rsidR="00E97C44" w:rsidRPr="00E97C44">
        <w:t xml:space="preserve"> revocation”.  </w:t>
      </w:r>
    </w:p>
    <w:p w:rsidR="00E97C44" w:rsidRDefault="00DC7E7F" w:rsidP="00E97C44">
      <w:pPr>
        <w:pStyle w:val="ParaNumbering"/>
      </w:pPr>
      <w:r>
        <w:t>Importantly, u</w:t>
      </w:r>
      <w:r w:rsidR="00E97C44" w:rsidRPr="00E97C44">
        <w:t>nder the heading “</w:t>
      </w:r>
      <w:r w:rsidR="002D47B3">
        <w:t>The best interests of minor c</w:t>
      </w:r>
      <w:r w:rsidR="00E97C44" w:rsidRPr="00E97C44">
        <w:t>hildren in Australia”, the Tribunal stated</w:t>
      </w:r>
      <w:r>
        <w:t xml:space="preserve"> (at [61]-[65])</w:t>
      </w:r>
      <w:r w:rsidR="00E97C44" w:rsidRPr="00E97C44">
        <w:t xml:space="preserve">:  </w:t>
      </w:r>
    </w:p>
    <w:p w:rsidR="00E97C44" w:rsidRPr="00DC7E7F" w:rsidRDefault="00723D74" w:rsidP="00723D74">
      <w:pPr>
        <w:pStyle w:val="Quote1"/>
        <w:ind w:left="1440" w:hanging="703"/>
        <w:rPr>
          <w:b/>
        </w:rPr>
      </w:pPr>
      <w:r>
        <w:t xml:space="preserve">61. </w:t>
      </w:r>
      <w:r>
        <w:tab/>
      </w:r>
      <w:r w:rsidR="00E97C44">
        <w:t xml:space="preserve">The applicant states in his submission to the delegate that he is the only father figure to his niece, T, who is an Australian citizen and whose father died before she was born. The applicant submits that his removal would mean that this Australian family would be seriously disadvantaged and it will ‘leave a dent’ in the upbringing of T. In oral evidence to the Tribunal the applicant had also described his relationship with T and the parental role he had in relation to the child. </w:t>
      </w:r>
      <w:r w:rsidR="00E97C44" w:rsidRPr="00DC7E7F">
        <w:rPr>
          <w:b/>
        </w:rPr>
        <w:t>The Tribunal is prepared to accept that evidence.</w:t>
      </w:r>
    </w:p>
    <w:p w:rsidR="00E97C44" w:rsidRPr="00DC7E7F" w:rsidRDefault="00723D74" w:rsidP="00723D74">
      <w:pPr>
        <w:pStyle w:val="Quote1"/>
        <w:ind w:left="1440" w:hanging="703"/>
        <w:rPr>
          <w:b/>
        </w:rPr>
      </w:pPr>
      <w:r>
        <w:t xml:space="preserve">62. </w:t>
      </w:r>
      <w:r>
        <w:tab/>
      </w:r>
      <w:r w:rsidR="00E97C44">
        <w:t xml:space="preserve">There is before the Tribunal medical evidence relating to T’s mother, Ms CH, confirming that she has a number of health issues. The evidence is that the applicant has helped care for the child, looks after her during the school holidays, helps pick her up from school, etc. It is stated that the applicant is </w:t>
      </w:r>
      <w:r w:rsidR="00DC7E7F">
        <w:t xml:space="preserve">a father figure for the child. </w:t>
      </w:r>
      <w:r w:rsidR="00DC7E7F" w:rsidRPr="00DC7E7F">
        <w:rPr>
          <w:b/>
        </w:rPr>
        <w:t>T</w:t>
      </w:r>
      <w:r w:rsidR="00E97C44" w:rsidRPr="00DC7E7F">
        <w:rPr>
          <w:b/>
        </w:rPr>
        <w:t>he Tribunal accepts that evidence.</w:t>
      </w:r>
    </w:p>
    <w:p w:rsidR="00DC7E7F" w:rsidRPr="00723D74" w:rsidRDefault="00723D74" w:rsidP="00723D74">
      <w:pPr>
        <w:pStyle w:val="Quote1"/>
        <w:ind w:left="1440" w:hanging="703"/>
        <w:rPr>
          <w:b/>
        </w:rPr>
      </w:pPr>
      <w:r>
        <w:t xml:space="preserve">63. </w:t>
      </w:r>
      <w:r>
        <w:tab/>
      </w:r>
      <w:r w:rsidR="00E97C44">
        <w:t>As noted below, the Tribunal acknowledges the evidence provided to the Tribunal by T’s mother Ms CH and accepts the special circumstances surrounding the birth of T and her upbringing and the strong bond she has developed with the applicant. The</w:t>
      </w:r>
      <w:r w:rsidR="00DC7E7F">
        <w:t xml:space="preserve"> </w:t>
      </w:r>
      <w:r w:rsidR="00E97C44">
        <w:t xml:space="preserve">Tribunal accepts that the applicant has a close relationship with the child. </w:t>
      </w:r>
      <w:r w:rsidR="00E97C44" w:rsidRPr="00DC7E7F">
        <w:rPr>
          <w:b/>
        </w:rPr>
        <w:t>The Tribunal accepts that prior to his incarceration, the applicant had cared for the child and had maintained a parental role. The Tribunal accepts the evidence of Ms CH about the relationship between the applicant and T.</w:t>
      </w:r>
      <w:r w:rsidR="00E97C44">
        <w:t xml:space="preserve"> Ms CH’s evidence to the Tribunal is that the applicant has also provided financial support to the child in the past and the Tribunal is prepared to accept that evidence. The Tribunal also acknowledges the evidence that the child’s mother and grandmother rely on the applicant and the Tribunal acknowledges that such reliance may be greater in circumstances where the child’s mother has been diagnosed with several mental health conditions. </w:t>
      </w:r>
      <w:r w:rsidR="00E97C44" w:rsidRPr="00723D74">
        <w:rPr>
          <w:b/>
        </w:rPr>
        <w:t xml:space="preserve">The Tribunal is prepared to accept that if the applicant’s removal from Australia would adversely affect T’s mother and grandmother, their well-being would also be relevant to T’s own well-being. </w:t>
      </w:r>
    </w:p>
    <w:p w:rsidR="00E97C44" w:rsidRDefault="00723D74" w:rsidP="00723D74">
      <w:pPr>
        <w:pStyle w:val="Quote1"/>
        <w:ind w:left="1440" w:hanging="703"/>
      </w:pPr>
      <w:r>
        <w:lastRenderedPageBreak/>
        <w:t xml:space="preserve">64. </w:t>
      </w:r>
      <w:r>
        <w:tab/>
      </w:r>
      <w:r w:rsidR="00E97C44" w:rsidRPr="00957141">
        <w:rPr>
          <w:b/>
        </w:rPr>
        <w:t>In all these circumstances, the Tribunal has formed the view that it is in the best interests of T that the cancellation of the applicant’s visa be revoked. This weighs heavily in favour of the revocation</w:t>
      </w:r>
      <w:r w:rsidR="00E97C44">
        <w:t>.</w:t>
      </w:r>
    </w:p>
    <w:p w:rsidR="00E97C44" w:rsidRDefault="00723D74" w:rsidP="00723D74">
      <w:pPr>
        <w:pStyle w:val="Quote1"/>
        <w:ind w:left="1440" w:hanging="703"/>
      </w:pPr>
      <w:r>
        <w:t xml:space="preserve">65. </w:t>
      </w:r>
      <w:r>
        <w:tab/>
      </w:r>
      <w:r w:rsidR="00E97C44">
        <w:t>The applicant refers to another Tribunal decision where it was found that the best interests of a child outweighed other considerations. The Tribunal acknowledges that evidence but must determine each case on its own facts and the weight to be given to different considerations would be different in each case because the facts of each case are different.</w:t>
      </w:r>
    </w:p>
    <w:p w:rsidR="00957141" w:rsidRDefault="00957141" w:rsidP="00E97C44">
      <w:pPr>
        <w:pStyle w:val="Quote1"/>
      </w:pPr>
      <w:r>
        <w:t>(</w:t>
      </w:r>
      <w:proofErr w:type="gramStart"/>
      <w:r>
        <w:t>emphasis</w:t>
      </w:r>
      <w:proofErr w:type="gramEnd"/>
      <w:r>
        <w:t xml:space="preserve"> added)</w:t>
      </w:r>
    </w:p>
    <w:p w:rsidR="00E97C44" w:rsidRPr="00E97C44" w:rsidRDefault="00E97C44" w:rsidP="00E97C44">
      <w:pPr>
        <w:pStyle w:val="ParaNumbering"/>
      </w:pPr>
      <w:r w:rsidRPr="00E97C44">
        <w:t>The Tribunal considered that the primary consideration of the expectations of the Australian community also “weigh agains</w:t>
      </w:r>
      <w:r>
        <w:t xml:space="preserve">t revocation”.  It found that, </w:t>
      </w:r>
      <w:r w:rsidRPr="00E97C44">
        <w:t>while the community would feel a great deal of compassion and empathy in relation to a pe</w:t>
      </w:r>
      <w:r>
        <w:t xml:space="preserve">rson with Mr </w:t>
      </w:r>
      <w:proofErr w:type="spellStart"/>
      <w:r>
        <w:t>Seau’s</w:t>
      </w:r>
      <w:proofErr w:type="spellEnd"/>
      <w:r>
        <w:t xml:space="preserve"> experience</w:t>
      </w:r>
      <w:r w:rsidR="00506258">
        <w:t>s</w:t>
      </w:r>
      <w:r>
        <w:t xml:space="preserve">, </w:t>
      </w:r>
      <w:r w:rsidRPr="00E97C44">
        <w:t xml:space="preserve">it had to have regard to his conduct.  </w:t>
      </w:r>
      <w:r w:rsidR="00506258">
        <w:t>It found</w:t>
      </w:r>
      <w:r w:rsidR="00506258" w:rsidRPr="00E97C44">
        <w:t xml:space="preserve"> that the community would expect that </w:t>
      </w:r>
      <w:r w:rsidR="00506258">
        <w:t xml:space="preserve">Mr </w:t>
      </w:r>
      <w:proofErr w:type="spellStart"/>
      <w:r w:rsidR="00506258">
        <w:t>Seau</w:t>
      </w:r>
      <w:proofErr w:type="spellEnd"/>
      <w:r w:rsidR="00506258">
        <w:t xml:space="preserve"> should not hold a visa, b</w:t>
      </w:r>
      <w:r w:rsidR="00957141">
        <w:t>ecause of</w:t>
      </w:r>
      <w:r w:rsidRPr="00E97C44">
        <w:t xml:space="preserve"> his repeated offending behaviour over a number of years, violent conduct in relation to another person in an offence committed in New Zealand in 2008, and </w:t>
      </w:r>
      <w:r w:rsidR="00957141">
        <w:t>reoffending after receiving</w:t>
      </w:r>
      <w:r w:rsidRPr="00E97C44">
        <w:t xml:space="preserve"> multiple warnings from various </w:t>
      </w:r>
      <w:r w:rsidR="00957141">
        <w:t xml:space="preserve">sentencing </w:t>
      </w:r>
      <w:r w:rsidR="00506258">
        <w:t xml:space="preserve">courts, </w:t>
      </w:r>
      <w:r w:rsidRPr="00E97C44">
        <w:t xml:space="preserve">combined with </w:t>
      </w:r>
      <w:r w:rsidR="00506258">
        <w:t xml:space="preserve">the </w:t>
      </w:r>
      <w:r w:rsidRPr="00E97C44">
        <w:t>potential harm to the community from drug offences</w:t>
      </w:r>
      <w:r w:rsidR="00506258">
        <w:t xml:space="preserve">.  </w:t>
      </w:r>
    </w:p>
    <w:p w:rsidR="00E97C44" w:rsidRDefault="00E97C44" w:rsidP="00E97C44">
      <w:pPr>
        <w:pStyle w:val="ParaNumbering"/>
      </w:pPr>
      <w:r>
        <w:t xml:space="preserve">Under the heading, “Extent of impediments if removed”, the Tribunal accepted that Mr </w:t>
      </w:r>
      <w:proofErr w:type="spellStart"/>
      <w:r>
        <w:t>Seau</w:t>
      </w:r>
      <w:proofErr w:type="spellEnd"/>
      <w:r>
        <w:t xml:space="preserve"> would not receive social, medical and/or economic support in New Zealand, but</w:t>
      </w:r>
      <w:r w:rsidR="00957141">
        <w:t xml:space="preserve"> found</w:t>
      </w:r>
      <w:r>
        <w:t xml:space="preserve"> that there would be no language or cultural barriers to his return.  It </w:t>
      </w:r>
      <w:r w:rsidR="00957141">
        <w:t xml:space="preserve">found </w:t>
      </w:r>
      <w:r>
        <w:t xml:space="preserve">that Mr </w:t>
      </w:r>
      <w:proofErr w:type="spellStart"/>
      <w:r>
        <w:t>Seau</w:t>
      </w:r>
      <w:proofErr w:type="spellEnd"/>
      <w:r w:rsidR="00957141">
        <w:t>, with some breaks,</w:t>
      </w:r>
      <w:r>
        <w:t xml:space="preserve"> had been employed t</w:t>
      </w:r>
      <w:r w:rsidR="00957141">
        <w:t xml:space="preserve">hroughout his stay in Australia.  It </w:t>
      </w:r>
      <w:r>
        <w:t xml:space="preserve">accepted his oral evidence that he would have no difficulties obtaining employment in New Zealand.  It found that he would have no difficulties in establishing himself and maintaining basic living standards in that country.  </w:t>
      </w:r>
    </w:p>
    <w:p w:rsidR="00E97C44" w:rsidRDefault="00E97C44" w:rsidP="00E97C44">
      <w:pPr>
        <w:pStyle w:val="ParaNumbering"/>
      </w:pPr>
      <w:r>
        <w:t xml:space="preserve">It noted that the listing in </w:t>
      </w:r>
      <w:r w:rsidR="00957141">
        <w:t>D</w:t>
      </w:r>
      <w:r>
        <w:t xml:space="preserve">irection 90 of the factors that it had to consider was not exhaustive.  It also considered other impediments, were Mr </w:t>
      </w:r>
      <w:proofErr w:type="spellStart"/>
      <w:r>
        <w:t>Seau</w:t>
      </w:r>
      <w:proofErr w:type="spellEnd"/>
      <w:r>
        <w:t xml:space="preserve"> removed, including the impact on his partner and the fact that both of them wanted to have children together, but that she would not accompany him to New Zealand were he removed.  It found that considerable hardship would be caused to Mr </w:t>
      </w:r>
      <w:proofErr w:type="spellStart"/>
      <w:r>
        <w:t>Seau’s</w:t>
      </w:r>
      <w:proofErr w:type="spellEnd"/>
      <w:r>
        <w:t xml:space="preserve"> partner if he were removed.  </w:t>
      </w:r>
    </w:p>
    <w:p w:rsidR="00506258" w:rsidRDefault="00554554" w:rsidP="00E97C44">
      <w:pPr>
        <w:pStyle w:val="ParaNumbering"/>
      </w:pPr>
      <w:r>
        <w:t>The Tribunal</w:t>
      </w:r>
      <w:r w:rsidR="00E97C44">
        <w:t xml:space="preserve"> considered a psychological re</w:t>
      </w:r>
      <w:r>
        <w:t xml:space="preserve">port in relation to the partner.  It </w:t>
      </w:r>
      <w:r w:rsidR="00E97C44">
        <w:t xml:space="preserve">accepted that she had some significant or severe psychological conditions, including PTSD symptoms.  It accepted that </w:t>
      </w:r>
      <w:r>
        <w:t xml:space="preserve">Mr </w:t>
      </w:r>
      <w:proofErr w:type="spellStart"/>
      <w:r>
        <w:t>Seau</w:t>
      </w:r>
      <w:proofErr w:type="spellEnd"/>
      <w:r w:rsidR="00E97C44">
        <w:t xml:space="preserve"> was in a close relationship with both his Australian family and his partner.  </w:t>
      </w:r>
    </w:p>
    <w:p w:rsidR="00E97C44" w:rsidRDefault="00E97C44" w:rsidP="00506258">
      <w:pPr>
        <w:pStyle w:val="ParaNumbering"/>
      </w:pPr>
      <w:r>
        <w:lastRenderedPageBreak/>
        <w:t xml:space="preserve">It </w:t>
      </w:r>
      <w:r w:rsidR="00506258">
        <w:t xml:space="preserve">also </w:t>
      </w:r>
      <w:r w:rsidR="00554554">
        <w:t xml:space="preserve">accepted evidence of Mr </w:t>
      </w:r>
      <w:proofErr w:type="spellStart"/>
      <w:r w:rsidR="00554554">
        <w:t>Seau’s</w:t>
      </w:r>
      <w:proofErr w:type="spellEnd"/>
      <w:r>
        <w:t xml:space="preserve"> adoptive sister, Ms CH, </w:t>
      </w:r>
      <w:r w:rsidR="00506258">
        <w:t>about</w:t>
      </w:r>
      <w:r w:rsidR="00554554">
        <w:t xml:space="preserve"> </w:t>
      </w:r>
      <w:r>
        <w:t xml:space="preserve">the close relationship that </w:t>
      </w:r>
      <w:r w:rsidR="00554554">
        <w:t>he</w:t>
      </w:r>
      <w:r>
        <w:t xml:space="preserve"> had developed with T, and </w:t>
      </w:r>
      <w:r w:rsidR="00506258">
        <w:t>found</w:t>
      </w:r>
      <w:r>
        <w:t xml:space="preserve"> that his departure from Australia </w:t>
      </w:r>
      <w:r w:rsidR="00554554">
        <w:t>might</w:t>
      </w:r>
      <w:r>
        <w:t xml:space="preserve"> have a detrimental effect on his adoptive family.  It summarised the evidence of Ms CH, </w:t>
      </w:r>
      <w:r w:rsidR="00506258">
        <w:t>including</w:t>
      </w:r>
      <w:r>
        <w:t xml:space="preserve"> that, after her grandfather passed away, Mr </w:t>
      </w:r>
      <w:proofErr w:type="spellStart"/>
      <w:r>
        <w:t>Seau</w:t>
      </w:r>
      <w:proofErr w:type="spellEnd"/>
      <w:r>
        <w:t xml:space="preserve"> came into </w:t>
      </w:r>
      <w:r w:rsidR="00506258">
        <w:t>her and T’s</w:t>
      </w:r>
      <w:r>
        <w:t xml:space="preserve"> lives and quickly developed a close relationship with both, takin</w:t>
      </w:r>
      <w:r w:rsidR="002D47B3">
        <w:t>g T to and from school, playing and</w:t>
      </w:r>
      <w:r w:rsidR="00506258">
        <w:t xml:space="preserve"> </w:t>
      </w:r>
      <w:r>
        <w:t xml:space="preserve">reading with her and </w:t>
      </w:r>
      <w:r w:rsidR="00506258">
        <w:t>having</w:t>
      </w:r>
      <w:r w:rsidR="00FC0ED9">
        <w:t xml:space="preserve"> a parental role in her life.  It </w:t>
      </w:r>
      <w:r w:rsidR="00506258">
        <w:t>found</w:t>
      </w:r>
      <w:r w:rsidR="00FC0ED9">
        <w:t xml:space="preserve"> that M</w:t>
      </w:r>
      <w:r w:rsidR="00506258">
        <w:t>r</w:t>
      </w:r>
      <w:r w:rsidR="00FC0ED9">
        <w:t xml:space="preserve"> </w:t>
      </w:r>
      <w:proofErr w:type="spellStart"/>
      <w:r w:rsidR="00FC0ED9">
        <w:t>Seau</w:t>
      </w:r>
      <w:proofErr w:type="spellEnd"/>
      <w:r w:rsidR="00FC0ED9">
        <w:t xml:space="preserve"> and Ms CH </w:t>
      </w:r>
      <w:r w:rsidR="00723D74">
        <w:t>had</w:t>
      </w:r>
      <w:r>
        <w:t xml:space="preserve"> discussed and made decisions about </w:t>
      </w:r>
      <w:r w:rsidR="00FC0ED9">
        <w:t>T’s</w:t>
      </w:r>
      <w:r>
        <w:t xml:space="preserve"> wellbeing together.  It </w:t>
      </w:r>
      <w:r w:rsidR="00FC0ED9">
        <w:t>found</w:t>
      </w:r>
      <w:r>
        <w:t xml:space="preserve"> that Ms </w:t>
      </w:r>
      <w:r w:rsidR="00FC0ED9">
        <w:t>CH</w:t>
      </w:r>
      <w:r>
        <w:t xml:space="preserve"> had expressed the view that if Mr </w:t>
      </w:r>
      <w:proofErr w:type="spellStart"/>
      <w:r>
        <w:t>Seau</w:t>
      </w:r>
      <w:proofErr w:type="spellEnd"/>
      <w:r>
        <w:t xml:space="preserve"> were to lea</w:t>
      </w:r>
      <w:r w:rsidR="002D47B3">
        <w:t>ve Australia, it would “‘</w:t>
      </w:r>
      <w:r w:rsidR="00723D74">
        <w:t>destroy</w:t>
      </w:r>
      <w:r w:rsidR="002D47B3">
        <w:t>’</w:t>
      </w:r>
      <w:r>
        <w:t xml:space="preserve"> her daughter”.  </w:t>
      </w:r>
    </w:p>
    <w:p w:rsidR="00E97C44" w:rsidRDefault="00E97C44" w:rsidP="00E97C44">
      <w:pPr>
        <w:pStyle w:val="ParaNumbering"/>
      </w:pPr>
      <w:r>
        <w:t xml:space="preserve">The Tribunal then referred to a psychological report prepared in relation to </w:t>
      </w:r>
      <w:r w:rsidR="00723D74">
        <w:t>Ms CH</w:t>
      </w:r>
      <w:r>
        <w:t xml:space="preserve"> and the range of complex mental health difficulties that she had experienced, including generalised anxiety disorder, major depressive disorder in the context of PTSD, and meeting the diagnostic criteria for borderline personality disorder that impacted on her functioning and wellbeing.  </w:t>
      </w:r>
    </w:p>
    <w:p w:rsidR="00E97C44" w:rsidRDefault="00FC0ED9" w:rsidP="00FC0ED9">
      <w:pPr>
        <w:pStyle w:val="ParaNumbering"/>
      </w:pPr>
      <w:r>
        <w:t>The Tribunal</w:t>
      </w:r>
      <w:r w:rsidR="00E97C44">
        <w:t xml:space="preserve"> also considered a statement prepared by Mr </w:t>
      </w:r>
      <w:proofErr w:type="spellStart"/>
      <w:r w:rsidR="00E97C44">
        <w:t>Seau’s</w:t>
      </w:r>
      <w:proofErr w:type="spellEnd"/>
      <w:r w:rsidR="00E97C44">
        <w:t xml:space="preserve"> adoptive mother</w:t>
      </w:r>
      <w:r>
        <w:t xml:space="preserve">, Ms </w:t>
      </w:r>
      <w:proofErr w:type="gramStart"/>
      <w:r>
        <w:t>B,</w:t>
      </w:r>
      <w:r w:rsidR="00E97C44">
        <w:t xml:space="preserve"> that</w:t>
      </w:r>
      <w:proofErr w:type="gramEnd"/>
      <w:r w:rsidR="00E97C44">
        <w:t xml:space="preserve"> </w:t>
      </w:r>
      <w:r>
        <w:t>she had</w:t>
      </w:r>
      <w:r w:rsidR="00E97C44">
        <w:t xml:space="preserve"> </w:t>
      </w:r>
      <w:r w:rsidR="002D47B3">
        <w:t xml:space="preserve">addressed to a sentencing judge.  She described </w:t>
      </w:r>
      <w:r w:rsidR="00E97C44">
        <w:t xml:space="preserve">how </w:t>
      </w:r>
      <w:r>
        <w:t>she too</w:t>
      </w:r>
      <w:r w:rsidR="00E97C44">
        <w:t xml:space="preserve"> relied on Mr </w:t>
      </w:r>
      <w:proofErr w:type="spellStart"/>
      <w:r w:rsidR="00E97C44">
        <w:t>Seau</w:t>
      </w:r>
      <w:proofErr w:type="spellEnd"/>
      <w:r w:rsidR="00E97C44">
        <w:t xml:space="preserve"> to pick </w:t>
      </w:r>
      <w:proofErr w:type="spellStart"/>
      <w:r w:rsidR="00E97C44">
        <w:t>T</w:t>
      </w:r>
      <w:proofErr w:type="spellEnd"/>
      <w:r w:rsidR="00E97C44">
        <w:t xml:space="preserve"> </w:t>
      </w:r>
      <w:r>
        <w:t xml:space="preserve">up </w:t>
      </w:r>
      <w:r w:rsidR="00E97C44">
        <w:t xml:space="preserve">from school at short notice, </w:t>
      </w:r>
      <w:r>
        <w:t>to look</w:t>
      </w:r>
      <w:r w:rsidR="00E97C44">
        <w:t xml:space="preserve"> after her during school holidays, and how both she and Mr </w:t>
      </w:r>
      <w:proofErr w:type="spellStart"/>
      <w:r w:rsidR="00E97C44">
        <w:t>Seau</w:t>
      </w:r>
      <w:proofErr w:type="spellEnd"/>
      <w:r w:rsidR="00E97C44">
        <w:t xml:space="preserve"> relied on each other during tough times.  It noted Ms B’s evidence that Mr </w:t>
      </w:r>
      <w:proofErr w:type="spellStart"/>
      <w:r w:rsidR="00E97C44">
        <w:t>Seau</w:t>
      </w:r>
      <w:proofErr w:type="spellEnd"/>
      <w:r w:rsidR="00E97C44">
        <w:t xml:space="preserve"> was a father figure for her granddaughter, T, who had not known her father </w:t>
      </w:r>
      <w:r>
        <w:t>(</w:t>
      </w:r>
      <w:r w:rsidR="00723D74">
        <w:t>because he</w:t>
      </w:r>
      <w:r w:rsidR="00E97C44">
        <w:t xml:space="preserve"> had die</w:t>
      </w:r>
      <w:r>
        <w:t xml:space="preserve">d while her mother was pregnant) </w:t>
      </w:r>
      <w:r w:rsidR="00E97C44">
        <w:t>and</w:t>
      </w:r>
      <w:r>
        <w:t>,</w:t>
      </w:r>
      <w:r w:rsidR="00E97C44">
        <w:t xml:space="preserve"> since the passing of T’s grandfather, Mr </w:t>
      </w:r>
      <w:proofErr w:type="spellStart"/>
      <w:r w:rsidR="00E97C44">
        <w:t>Seau</w:t>
      </w:r>
      <w:proofErr w:type="spellEnd"/>
      <w:r w:rsidR="00E97C44">
        <w:t xml:space="preserve"> had always been there for T.  Ms B referred </w:t>
      </w:r>
      <w:r w:rsidR="002D47B3">
        <w:t xml:space="preserve">to </w:t>
      </w:r>
      <w:r w:rsidR="00E97C44">
        <w:t xml:space="preserve">her own health and age, </w:t>
      </w:r>
      <w:r>
        <w:t>and her feeling</w:t>
      </w:r>
      <w:r w:rsidR="00E97C44">
        <w:t xml:space="preserve"> that her continuing support for her daughter, T’s mother, was getting </w:t>
      </w:r>
      <w:r w:rsidR="002D47B3">
        <w:t>“</w:t>
      </w:r>
      <w:r w:rsidR="00E97C44">
        <w:t>too much</w:t>
      </w:r>
      <w:r w:rsidR="002D47B3">
        <w:t>”</w:t>
      </w:r>
      <w:r w:rsidR="00E97C44">
        <w:t xml:space="preserve"> as she aged.</w:t>
      </w:r>
      <w:r>
        <w:t xml:space="preserve">  </w:t>
      </w:r>
      <w:r w:rsidR="00E97C44">
        <w:t>It noted Ms B’s evidence that</w:t>
      </w:r>
      <w:r>
        <w:t xml:space="preserve">, were Mr </w:t>
      </w:r>
      <w:proofErr w:type="spellStart"/>
      <w:r>
        <w:t>Seau</w:t>
      </w:r>
      <w:proofErr w:type="spellEnd"/>
      <w:r>
        <w:t xml:space="preserve"> removed, there would be a significant impact on T and </w:t>
      </w:r>
      <w:r w:rsidR="00506258">
        <w:t xml:space="preserve">that </w:t>
      </w:r>
      <w:r>
        <w:t xml:space="preserve">both Ms CH’s and her (Ms B’s) mental health would be set back.  </w:t>
      </w:r>
      <w:r w:rsidR="00E97C44">
        <w:t xml:space="preserve">Tribunal said at [100]: </w:t>
      </w:r>
    </w:p>
    <w:p w:rsidR="00E97C44" w:rsidRDefault="00723D74" w:rsidP="00723D74">
      <w:pPr>
        <w:pStyle w:val="Quote1"/>
        <w:ind w:left="1440" w:hanging="703"/>
      </w:pPr>
      <w:r>
        <w:t xml:space="preserve">100. </w:t>
      </w:r>
      <w:r>
        <w:tab/>
      </w:r>
      <w:r w:rsidR="00E97C44">
        <w:t xml:space="preserve">Having regard to the above evidence, </w:t>
      </w:r>
      <w:r w:rsidR="00E97C44" w:rsidRPr="00FC0ED9">
        <w:rPr>
          <w:b/>
        </w:rPr>
        <w:t>the Tribunal accepts that if the applicant is removed from Australia, it would result in</w:t>
      </w:r>
      <w:r w:rsidR="00E97C44">
        <w:t xml:space="preserve"> separation of the applicant from his family in Australia and </w:t>
      </w:r>
      <w:r w:rsidR="00E97C44" w:rsidRPr="00FC0ED9">
        <w:rPr>
          <w:b/>
        </w:rPr>
        <w:t>cause significant hardship to his family in Australia</w:t>
      </w:r>
      <w:r w:rsidR="00E97C44">
        <w:t xml:space="preserve">. While the Tribunal acknowledges that the applicant will be able to maintain electronic contact with his family in Australia, the nature of relationships will necessarily be different to what could exist when the applicant is near his family in Australia. </w:t>
      </w:r>
      <w:r w:rsidR="00E97C44" w:rsidRPr="00506258">
        <w:rPr>
          <w:b/>
        </w:rPr>
        <w:t>The Tribunal accepts that there would be a significant impediment to the applicant and others if he is removed</w:t>
      </w:r>
      <w:r w:rsidR="00E97C44">
        <w:t xml:space="preserve"> from Australia. </w:t>
      </w:r>
      <w:r w:rsidR="00E97C44" w:rsidRPr="00FC0ED9">
        <w:rPr>
          <w:b/>
        </w:rPr>
        <w:t>This weighs heavily in favour of the revocation</w:t>
      </w:r>
      <w:r w:rsidR="00E97C44">
        <w:t>.</w:t>
      </w:r>
    </w:p>
    <w:p w:rsidR="00FC0ED9" w:rsidRDefault="00FC0ED9" w:rsidP="00E97C44">
      <w:pPr>
        <w:pStyle w:val="Quote1"/>
      </w:pPr>
      <w:r>
        <w:t>(</w:t>
      </w:r>
      <w:proofErr w:type="gramStart"/>
      <w:r>
        <w:t>emphasis</w:t>
      </w:r>
      <w:proofErr w:type="gramEnd"/>
      <w:r>
        <w:t xml:space="preserve"> added)</w:t>
      </w:r>
    </w:p>
    <w:p w:rsidR="00E97C44" w:rsidRDefault="00E97C44" w:rsidP="00E97C44">
      <w:pPr>
        <w:pStyle w:val="ParaNumbering"/>
      </w:pPr>
      <w:r>
        <w:t xml:space="preserve">The Tribunal </w:t>
      </w:r>
      <w:r w:rsidR="00FC0ED9">
        <w:t>found</w:t>
      </w:r>
      <w:r>
        <w:t xml:space="preserve"> that Mr </w:t>
      </w:r>
      <w:proofErr w:type="spellStart"/>
      <w:r>
        <w:t>Seau</w:t>
      </w:r>
      <w:proofErr w:type="spellEnd"/>
      <w:r>
        <w:t xml:space="preserve"> had resid</w:t>
      </w:r>
      <w:r w:rsidR="00FC0ED9">
        <w:t>ed</w:t>
      </w:r>
      <w:r>
        <w:t xml:space="preserve"> in Australia since he was 17 years old, had come here because of t</w:t>
      </w:r>
      <w:r w:rsidR="00506258">
        <w:t xml:space="preserve">he murder of his mother in 2006, </w:t>
      </w:r>
      <w:r>
        <w:t xml:space="preserve">his father’s subsequent imprisonment in New </w:t>
      </w:r>
      <w:r>
        <w:lastRenderedPageBreak/>
        <w:t xml:space="preserve">Zealand, and that he had been in continuous employment with his current employer since 2013 </w:t>
      </w:r>
      <w:r w:rsidR="00FC0ED9">
        <w:t>up</w:t>
      </w:r>
      <w:r>
        <w:t xml:space="preserve"> to his imprisonment.  </w:t>
      </w:r>
    </w:p>
    <w:p w:rsidR="00E97C44" w:rsidRDefault="00E97C44" w:rsidP="00E97C44">
      <w:pPr>
        <w:pStyle w:val="ParaNumbering"/>
      </w:pPr>
      <w:r>
        <w:t xml:space="preserve">The Tribunal accepted that Mr </w:t>
      </w:r>
      <w:proofErr w:type="spellStart"/>
      <w:r>
        <w:t>Seau</w:t>
      </w:r>
      <w:proofErr w:type="spellEnd"/>
      <w:r>
        <w:t xml:space="preserve"> had a genuine and ongoing relationship with his partner, that he had formed strong ties to Australia, including</w:t>
      </w:r>
      <w:r w:rsidR="00506258">
        <w:t>, among others,</w:t>
      </w:r>
      <w:r>
        <w:t xml:space="preserve"> family, social, and employment, and that this factor weighed i</w:t>
      </w:r>
      <w:r w:rsidR="00506258">
        <w:t>n favour of revocation.  It noted</w:t>
      </w:r>
      <w:r w:rsidR="00384440">
        <w:t>:</w:t>
      </w:r>
    </w:p>
    <w:p w:rsidR="00E97C44" w:rsidRDefault="00723D74" w:rsidP="00723D74">
      <w:pPr>
        <w:pStyle w:val="Quote1"/>
        <w:ind w:left="1440" w:hanging="703"/>
      </w:pPr>
      <w:r>
        <w:t>111.</w:t>
      </w:r>
      <w:r>
        <w:tab/>
      </w:r>
      <w:r w:rsidR="00E97C44">
        <w:t>The applicant’s representative submits that the applicant is a person with disability and that the Convention on the Rights of Persons with Disabilities applies to the applicant. As noted above, the Tribunal accepts the evidence in the various professional reports and accepts that the applicant has mental health issues. That evidence is not in dispute. The Tribunal has regard to that evidence when reaching its decision. Even if the Convention on the Rights of Persons with Disabilities applies to the applicant, it cannot prevent the lawful operation of the Australian law.</w:t>
      </w:r>
    </w:p>
    <w:p w:rsidR="00E97C44" w:rsidRDefault="00E97C44" w:rsidP="00E97C44">
      <w:pPr>
        <w:pStyle w:val="ParaNumbering"/>
      </w:pPr>
      <w:r>
        <w:t xml:space="preserve">In </w:t>
      </w:r>
      <w:r w:rsidR="00506258">
        <w:t>explaining</w:t>
      </w:r>
      <w:r>
        <w:t xml:space="preserve"> its conclusions, the Tribunal said:</w:t>
      </w:r>
    </w:p>
    <w:p w:rsidR="00E97C44" w:rsidRDefault="00723D74" w:rsidP="00723D74">
      <w:pPr>
        <w:pStyle w:val="Quote1"/>
        <w:ind w:left="1440" w:hanging="703"/>
      </w:pPr>
      <w:r>
        <w:t>114.</w:t>
      </w:r>
      <w:r>
        <w:tab/>
      </w:r>
      <w:r w:rsidR="00E97C44">
        <w:t xml:space="preserve">The Tribunal has formed the view that the applicant had committed serious offences, in particular, the drug offending, and that there remains a risk of reoffending. The nature of the offending and the applicant’s general disregard for the law evident from persistent offending, including while on bond not to reoffend, are such that his conduct is against the expectations of the Australian community. </w:t>
      </w:r>
      <w:r w:rsidR="00E97C44" w:rsidRPr="00FC0ED9">
        <w:rPr>
          <w:b/>
        </w:rPr>
        <w:t>The Tribunal has formed the view that the protection of the Australian community and the expectations of the Australian community weigh heavily against the revocation. These are primary considerations and the Tribunal gives these significant weight.</w:t>
      </w:r>
    </w:p>
    <w:p w:rsidR="00E97C44" w:rsidRDefault="00723D74" w:rsidP="00723D74">
      <w:pPr>
        <w:pStyle w:val="Quote1"/>
        <w:ind w:left="1440" w:hanging="703"/>
      </w:pPr>
      <w:r>
        <w:t>115.</w:t>
      </w:r>
      <w:r>
        <w:tab/>
      </w:r>
      <w:r w:rsidR="00E97C44" w:rsidRPr="00FC0ED9">
        <w:rPr>
          <w:b/>
        </w:rPr>
        <w:t>The other primary consideration</w:t>
      </w:r>
      <w:r w:rsidR="00E97C44">
        <w:t xml:space="preserve">, the best interests of a minor child in Australia, </w:t>
      </w:r>
      <w:r w:rsidR="00E97C44" w:rsidRPr="00723D74">
        <w:rPr>
          <w:b/>
        </w:rPr>
        <w:t>weighs strongly in favour of the revocation</w:t>
      </w:r>
      <w:r w:rsidR="00E97C44">
        <w:t xml:space="preserve">. In this case, </w:t>
      </w:r>
      <w:r w:rsidR="00E97C44" w:rsidRPr="00FC0ED9">
        <w:rPr>
          <w:b/>
        </w:rPr>
        <w:t>the Tribunal accepts that the applicant’s niece would be adversely affected</w:t>
      </w:r>
      <w:r w:rsidR="00E97C44">
        <w:t xml:space="preserve"> if the applicant was to leave Australia and </w:t>
      </w:r>
      <w:r w:rsidR="00E97C44" w:rsidRPr="00723D74">
        <w:rPr>
          <w:b/>
        </w:rPr>
        <w:t>she may also be affected if her mother and grandmother are affected by the non-revocation of the applicant’s visa</w:t>
      </w:r>
      <w:r w:rsidR="00E97C44">
        <w:t>.</w:t>
      </w:r>
    </w:p>
    <w:p w:rsidR="00E97C44" w:rsidRDefault="00723D74" w:rsidP="00723D74">
      <w:pPr>
        <w:pStyle w:val="Quote1"/>
        <w:ind w:left="1440" w:hanging="703"/>
      </w:pPr>
      <w:r>
        <w:t>116.</w:t>
      </w:r>
      <w:r>
        <w:tab/>
      </w:r>
      <w:r w:rsidR="00E97C44">
        <w:t xml:space="preserve">With respect to other considerations, the Tribunal accepts that the applicant has significant ties in Australia, in particular the presence of his adoptive sister and niece, mother and partner. He has been employed in Australia and has formed social and employment ties in this country. The applicant has been living in Australia since he was a minor and came to Australia to avoid what would have been a very difficult situation in New Zealand. The Tribunal has formed the view that there would be significant impediment to the applicant and others if the applicant is removed from Australia and </w:t>
      </w:r>
      <w:r w:rsidR="00E97C44" w:rsidRPr="00FC0ED9">
        <w:rPr>
          <w:b/>
        </w:rPr>
        <w:t>that weights strongly in favour of revocation</w:t>
      </w:r>
      <w:r w:rsidR="00E97C44">
        <w:t>.</w:t>
      </w:r>
    </w:p>
    <w:p w:rsidR="00723D74" w:rsidRDefault="00723D74" w:rsidP="00723D74">
      <w:pPr>
        <w:pStyle w:val="Quote1"/>
        <w:ind w:left="1440" w:hanging="703"/>
      </w:pPr>
      <w:r>
        <w:t>…</w:t>
      </w:r>
    </w:p>
    <w:p w:rsidR="00E97C44" w:rsidRDefault="00723D74" w:rsidP="00723D74">
      <w:pPr>
        <w:pStyle w:val="Quote1"/>
        <w:ind w:left="1442" w:hanging="705"/>
      </w:pPr>
      <w:r>
        <w:t xml:space="preserve">118. </w:t>
      </w:r>
      <w:r>
        <w:tab/>
      </w:r>
      <w:r w:rsidR="00E97C44" w:rsidRPr="00FC0ED9">
        <w:rPr>
          <w:b/>
        </w:rPr>
        <w:t>Overall</w:t>
      </w:r>
      <w:r w:rsidR="00E97C44">
        <w:t xml:space="preserve">, the Tribunal acknowledges the significant impediment to the applicant and others if he is removed from Australia, his strong ties to Australia </w:t>
      </w:r>
      <w:r w:rsidR="00E97C44" w:rsidRPr="00FC0ED9">
        <w:rPr>
          <w:b/>
        </w:rPr>
        <w:t>and, most significantly, the best interests of a child</w:t>
      </w:r>
      <w:r w:rsidR="00E97C44">
        <w:t xml:space="preserve"> and these </w:t>
      </w:r>
      <w:r w:rsidR="00E97C44" w:rsidRPr="00FC0ED9">
        <w:rPr>
          <w:b/>
        </w:rPr>
        <w:t>are all factors that weigh in favour of the revocation. However, in the particular circumstances of this case</w:t>
      </w:r>
      <w:r w:rsidR="00E97C44">
        <w:t xml:space="preserve">, the Tribunal has decided to </w:t>
      </w:r>
      <w:r w:rsidR="00E97C44" w:rsidRPr="00FC0ED9">
        <w:rPr>
          <w:b/>
        </w:rPr>
        <w:t xml:space="preserve">give greater weight to the protection of the Australian community and the expectations of the </w:t>
      </w:r>
      <w:r w:rsidR="00E97C44" w:rsidRPr="00FC0ED9">
        <w:rPr>
          <w:b/>
        </w:rPr>
        <w:lastRenderedPageBreak/>
        <w:t>Australian community</w:t>
      </w:r>
      <w:r w:rsidR="00E97C44">
        <w:t>. The Tribunal has formed the view that the applicant has engaged in serious and repeated conduct and that there remains a risk of reoffending (</w:t>
      </w:r>
      <w:r w:rsidR="00E97C44" w:rsidRPr="00FC0ED9">
        <w:rPr>
          <w:b/>
        </w:rPr>
        <w:t>even if the risk is not significant</w:t>
      </w:r>
      <w:r w:rsidR="00E97C44">
        <w:t xml:space="preserve">). The Tribunal has decided that, in all the circumstances of this case, </w:t>
      </w:r>
      <w:r w:rsidR="00E97C44" w:rsidRPr="00FC0ED9">
        <w:rPr>
          <w:b/>
        </w:rPr>
        <w:t>these two primary considerations should be given greater weight</w:t>
      </w:r>
      <w:r w:rsidR="00E97C44">
        <w:t>. The Tribunal has decided that the decision under review should be affirmed.</w:t>
      </w:r>
    </w:p>
    <w:p w:rsidR="00BB0B5E" w:rsidRDefault="00BB0B5E" w:rsidP="00BB0B5E">
      <w:pPr>
        <w:pStyle w:val="Heading1"/>
      </w:pPr>
      <w:r>
        <w:t>The parties’ submissions</w:t>
      </w:r>
    </w:p>
    <w:p w:rsidR="00C30E9C" w:rsidRDefault="00BB0B5E" w:rsidP="00E97C44">
      <w:pPr>
        <w:pStyle w:val="ParaNumbering"/>
      </w:pPr>
      <w:r>
        <w:t xml:space="preserve">Mr </w:t>
      </w:r>
      <w:proofErr w:type="spellStart"/>
      <w:r>
        <w:t>Seau</w:t>
      </w:r>
      <w:proofErr w:type="spellEnd"/>
      <w:r>
        <w:t xml:space="preserve"> argued in support of ground 1 that a</w:t>
      </w:r>
      <w:r w:rsidR="00E97C44">
        <w:t xml:space="preserve">t no point in the Tribunal’s reasons did it refer to any material </w:t>
      </w:r>
      <w:r>
        <w:t xml:space="preserve">in the evidence before it </w:t>
      </w:r>
      <w:r w:rsidR="00E97C44">
        <w:t>from either the psychologist</w:t>
      </w:r>
      <w:r>
        <w:t xml:space="preserve">, Ms </w:t>
      </w:r>
      <w:proofErr w:type="spellStart"/>
      <w:r>
        <w:t>Kirlagitsi</w:t>
      </w:r>
      <w:proofErr w:type="spellEnd"/>
      <w:r>
        <w:t xml:space="preserve"> </w:t>
      </w:r>
      <w:r w:rsidR="0096566C">
        <w:t xml:space="preserve">or T, despite his reliance on </w:t>
      </w:r>
      <w:r w:rsidR="00CC12A5">
        <w:t>that material</w:t>
      </w:r>
      <w:r w:rsidR="0096566C">
        <w:t xml:space="preserve"> and their </w:t>
      </w:r>
      <w:r w:rsidR="00CC12A5">
        <w:t>relevance</w:t>
      </w:r>
      <w:r w:rsidR="0096566C">
        <w:t xml:space="preserve"> to the consideration of the factors in par</w:t>
      </w:r>
      <w:r w:rsidR="00CC12A5">
        <w:t>s</w:t>
      </w:r>
      <w:r w:rsidR="002D47B3">
        <w:t> </w:t>
      </w:r>
      <w:r w:rsidR="0096566C">
        <w:t xml:space="preserve">8.3(4)(d) and (f) of Direction 90. </w:t>
      </w:r>
    </w:p>
    <w:p w:rsidR="009D3AAE" w:rsidRDefault="009D3AAE" w:rsidP="009D3AAE">
      <w:pPr>
        <w:pStyle w:val="ParaNumbering"/>
      </w:pPr>
      <w:r>
        <w:t xml:space="preserve">The Minister argued that ground 1 should fail because of the Tribunal’s findings </w:t>
      </w:r>
      <w:r w:rsidR="00506258">
        <w:t>(in</w:t>
      </w:r>
      <w:r>
        <w:t xml:space="preserve"> par 64</w:t>
      </w:r>
      <w:r w:rsidR="00506258">
        <w:t>)</w:t>
      </w:r>
      <w:r>
        <w:t xml:space="preserve"> in favour of Mr </w:t>
      </w:r>
      <w:proofErr w:type="spellStart"/>
      <w:r>
        <w:t>Seau</w:t>
      </w:r>
      <w:proofErr w:type="spellEnd"/>
      <w:r>
        <w:t xml:space="preserve"> that the best interests of T “weigh</w:t>
      </w:r>
      <w:r w:rsidR="002D47B3">
        <w:t>[</w:t>
      </w:r>
      <w:proofErr w:type="spellStart"/>
      <w:r>
        <w:t>ed</w:t>
      </w:r>
      <w:proofErr w:type="spellEnd"/>
      <w:r w:rsidR="002D47B3">
        <w:t>]</w:t>
      </w:r>
      <w:r>
        <w:t xml:space="preserve"> heavily in favour of </w:t>
      </w:r>
      <w:r w:rsidR="002D47B3">
        <w:t xml:space="preserve">the </w:t>
      </w:r>
      <w:r>
        <w:t xml:space="preserve">revocation”.  </w:t>
      </w:r>
      <w:r w:rsidR="00506258">
        <w:t xml:space="preserve">He submitted that it could not be inferred that the Tribunal had overlooked the views of T in its consideration of her best interests or the likely effect any separation from </w:t>
      </w:r>
      <w:r w:rsidR="002D47B3">
        <w:t xml:space="preserve">Mr </w:t>
      </w:r>
      <w:proofErr w:type="spellStart"/>
      <w:r w:rsidR="002D47B3">
        <w:t>Seau</w:t>
      </w:r>
      <w:proofErr w:type="spellEnd"/>
      <w:r w:rsidR="00506258">
        <w:t xml:space="preserve"> would have on her.  The Minister argued that the Tribunal should be taken as having accepted T’s views “sub </w:t>
      </w:r>
      <w:proofErr w:type="spellStart"/>
      <w:r w:rsidR="00506258">
        <w:t>silentio</w:t>
      </w:r>
      <w:proofErr w:type="spellEnd"/>
      <w:r w:rsidR="00506258">
        <w:t xml:space="preserve">”.  However, he accepted that Mr </w:t>
      </w:r>
      <w:proofErr w:type="spellStart"/>
      <w:r w:rsidR="00506258">
        <w:t>Seau</w:t>
      </w:r>
      <w:proofErr w:type="spellEnd"/>
      <w:r w:rsidR="00506258">
        <w:t xml:space="preserve"> had made plain that he relied on T’s views in the hearing before the Tribunal.  </w:t>
      </w:r>
      <w:r>
        <w:t>He contended that it could be inferred that, despite it not mentioning the evidence of the psychologist or T, the Tribunal had had regard to those matters as mandated by pars 8.3(4</w:t>
      </w:r>
      <w:proofErr w:type="gramStart"/>
      <w:r>
        <w:t>)(</w:t>
      </w:r>
      <w:proofErr w:type="gramEnd"/>
      <w:r>
        <w:t>d) and (f) in its favourable findings in par</w:t>
      </w:r>
      <w:r w:rsidR="00AD4F7C">
        <w:t>s</w:t>
      </w:r>
      <w:r>
        <w:t xml:space="preserve"> 61-64, relying on </w:t>
      </w:r>
      <w:r w:rsidRPr="0099072B">
        <w:rPr>
          <w:i/>
        </w:rPr>
        <w:t xml:space="preserve">Plaintiff M1/2021 v Minister for Home Affairs </w:t>
      </w:r>
      <w:r w:rsidRPr="0099072B">
        <w:t>(2022) 4</w:t>
      </w:r>
      <w:r w:rsidR="00CC12A5" w:rsidRPr="0099072B">
        <w:t>00 ALR 417</w:t>
      </w:r>
      <w:r w:rsidR="00CC12A5">
        <w:t xml:space="preserve"> at 425-426 [24]-[27].</w:t>
      </w:r>
    </w:p>
    <w:p w:rsidR="009D3AAE" w:rsidRDefault="009D3AAE" w:rsidP="009D3AAE">
      <w:pPr>
        <w:pStyle w:val="ParaNumbering"/>
      </w:pPr>
      <w:r>
        <w:t xml:space="preserve">The Minister sought to distinguish </w:t>
      </w:r>
      <w:r w:rsidRPr="0099072B">
        <w:rPr>
          <w:i/>
        </w:rPr>
        <w:t>Cowgill v Minister for Immigration, Citizenship, Migrant Services and Multicultural Affairs</w:t>
      </w:r>
      <w:r w:rsidRPr="0099072B">
        <w:t xml:space="preserve"> [2022] FCA 1337</w:t>
      </w:r>
      <w:r>
        <w:t xml:space="preserve"> on the basis that, there, although the Tribunal did not refer </w:t>
      </w:r>
      <w:r w:rsidR="00506258">
        <w:t xml:space="preserve">in its reasons </w:t>
      </w:r>
      <w:r>
        <w:t xml:space="preserve">to the written evidence of the applicant’s 13-year-old </w:t>
      </w:r>
      <w:r w:rsidR="00CC12A5">
        <w:t>daughter, A,</w:t>
      </w:r>
      <w:r w:rsidR="00506258">
        <w:t xml:space="preserve"> </w:t>
      </w:r>
      <w:r>
        <w:t xml:space="preserve">it </w:t>
      </w:r>
      <w:r w:rsidR="00506258">
        <w:t>h</w:t>
      </w:r>
      <w:r w:rsidR="003C6F0B">
        <w:t>ad only given</w:t>
      </w:r>
      <w:r>
        <w:t xml:space="preserve"> moderate weight in favour of revocation to her best interests </w:t>
      </w:r>
      <w:r w:rsidR="003C6F0B">
        <w:t>as a result</w:t>
      </w:r>
      <w:r w:rsidR="002D47B3">
        <w:t xml:space="preserve"> of</w:t>
      </w:r>
      <w:r>
        <w:t xml:space="preserve"> a number of factors adverse to that applicant on that issue.  The Minister pointed out </w:t>
      </w:r>
      <w:r w:rsidR="00CC12A5">
        <w:t xml:space="preserve">that, </w:t>
      </w:r>
      <w:r>
        <w:t>in that case</w:t>
      </w:r>
      <w:r w:rsidR="00CC12A5">
        <w:t>,</w:t>
      </w:r>
      <w:r>
        <w:t xml:space="preserve"> </w:t>
      </w:r>
      <w:r w:rsidR="00CC12A5">
        <w:t xml:space="preserve">A </w:t>
      </w:r>
      <w:r>
        <w:t>had written a letter</w:t>
      </w:r>
      <w:r w:rsidR="003C6F0B">
        <w:t>, in somewhat more detail than T,</w:t>
      </w:r>
      <w:r>
        <w:t xml:space="preserve"> in which she referred twice to the effect deportation of Mr Cowgill </w:t>
      </w:r>
      <w:r w:rsidR="00CC12A5">
        <w:t xml:space="preserve">would have </w:t>
      </w:r>
      <w:r>
        <w:t xml:space="preserve">on her.  He argued that in those circumstances, it was open to Rangiah J to reason that the Tribunal’s failure to take into consideration or advert expressly to the daughter’s evidence was a jurisdictional error that was material.  </w:t>
      </w:r>
    </w:p>
    <w:p w:rsidR="009D3AAE" w:rsidRDefault="009D3AAE" w:rsidP="00CC12A5">
      <w:pPr>
        <w:pStyle w:val="ParaNumbering"/>
      </w:pPr>
      <w:r>
        <w:t xml:space="preserve">The Minister contended that, here, in contrast to </w:t>
      </w:r>
      <w:r>
        <w:rPr>
          <w:i/>
        </w:rPr>
        <w:t xml:space="preserve">Cowgill </w:t>
      </w:r>
      <w:r>
        <w:t xml:space="preserve">[2022] FCA 1337, the Tribunal found </w:t>
      </w:r>
      <w:r w:rsidR="00CC12A5">
        <w:t>(</w:t>
      </w:r>
      <w:r>
        <w:t>at par 64</w:t>
      </w:r>
      <w:r w:rsidR="00CC12A5">
        <w:t>)</w:t>
      </w:r>
      <w:r>
        <w:t xml:space="preserve"> that T’s bests interests weigh</w:t>
      </w:r>
      <w:r w:rsidR="00CC12A5">
        <w:t>ed</w:t>
      </w:r>
      <w:r>
        <w:t xml:space="preserve"> heavily in favour o</w:t>
      </w:r>
      <w:r w:rsidR="00DA4DCC">
        <w:t xml:space="preserve">f revocation and </w:t>
      </w:r>
      <w:r w:rsidR="002D47B3">
        <w:t xml:space="preserve">(at par 115) </w:t>
      </w:r>
      <w:r>
        <w:t>those interests “[weigh] strong</w:t>
      </w:r>
      <w:r w:rsidR="00DA4DCC">
        <w:t xml:space="preserve">ly in favour of the revocation”, </w:t>
      </w:r>
      <w:r>
        <w:t xml:space="preserve">she would be adversely affected </w:t>
      </w:r>
      <w:r>
        <w:lastRenderedPageBreak/>
        <w:t xml:space="preserve">if Mr </w:t>
      </w:r>
      <w:proofErr w:type="spellStart"/>
      <w:r>
        <w:t>Seau</w:t>
      </w:r>
      <w:proofErr w:type="spellEnd"/>
      <w:r>
        <w:t xml:space="preserve"> were to leave Australia and </w:t>
      </w:r>
      <w:r w:rsidR="00CC12A5">
        <w:t>his departure</w:t>
      </w:r>
      <w:r>
        <w:t xml:space="preserve"> may also affect T because of the impact of that on bo</w:t>
      </w:r>
      <w:r w:rsidR="002D47B3">
        <w:t xml:space="preserve">th her mother and grandmother.  </w:t>
      </w:r>
      <w:r>
        <w:t xml:space="preserve">He submitted that in par 118, the Tribunal had acknowledged the significant impediments to Mr </w:t>
      </w:r>
      <w:proofErr w:type="spellStart"/>
      <w:r>
        <w:t>Seau</w:t>
      </w:r>
      <w:proofErr w:type="spellEnd"/>
      <w:r>
        <w:t xml:space="preserve"> and others were he to be removed, his strong ties to Australia and “most significantly, the best interests of a child” being all factors that weighed in favour of revocation.  He argued that </w:t>
      </w:r>
      <w:r w:rsidR="00DA4DCC">
        <w:t xml:space="preserve">any failure to refer expressly to either the known views of T or Ms </w:t>
      </w:r>
      <w:proofErr w:type="spellStart"/>
      <w:r w:rsidR="00DA4DCC">
        <w:t>Kirlagitsi</w:t>
      </w:r>
      <w:r w:rsidR="002D47B3">
        <w:t>’s</w:t>
      </w:r>
      <w:proofErr w:type="spellEnd"/>
      <w:r w:rsidR="002D47B3">
        <w:t xml:space="preserve"> evidence</w:t>
      </w:r>
      <w:r w:rsidR="00DA4DCC">
        <w:t xml:space="preserve"> </w:t>
      </w:r>
      <w:r>
        <w:t xml:space="preserve">could not </w:t>
      </w:r>
      <w:r w:rsidR="00CC12A5">
        <w:t xml:space="preserve">be found </w:t>
      </w:r>
      <w:r w:rsidR="00DA4DCC">
        <w:t>to</w:t>
      </w:r>
      <w:r w:rsidR="00CC12A5">
        <w:t xml:space="preserve"> </w:t>
      </w:r>
      <w:r>
        <w:t xml:space="preserve">have been material to the Tribunal’s overall decision-making in arriving at its ultimate finding to give greater weight to the protection of the Australian community and its expectations.  </w:t>
      </w:r>
    </w:p>
    <w:p w:rsidR="00E97C44" w:rsidRDefault="00E97C44" w:rsidP="00E97C44">
      <w:pPr>
        <w:pStyle w:val="ParaNumbering"/>
      </w:pPr>
      <w:r>
        <w:t xml:space="preserve">Mr </w:t>
      </w:r>
      <w:proofErr w:type="spellStart"/>
      <w:r>
        <w:t>Seau</w:t>
      </w:r>
      <w:proofErr w:type="spellEnd"/>
      <w:r>
        <w:t xml:space="preserve"> argued in support of ground </w:t>
      </w:r>
      <w:r w:rsidR="0096566C">
        <w:t xml:space="preserve">2 </w:t>
      </w:r>
      <w:r>
        <w:t>that the Tribunal had failed to deal with the effect o</w:t>
      </w:r>
      <w:r w:rsidR="0096566C">
        <w:t>n</w:t>
      </w:r>
      <w:r>
        <w:t xml:space="preserve"> his mental or physical health or age as an impediment in accordance with its obligation under par 9.2(1)(a) of Direction 90.  However, he accepted that he had</w:t>
      </w:r>
      <w:r w:rsidR="0096566C">
        <w:t xml:space="preserve"> not put to the Tribunal any</w:t>
      </w:r>
      <w:r>
        <w:t xml:space="preserve"> submissions </w:t>
      </w:r>
      <w:r w:rsidR="0096566C">
        <w:t xml:space="preserve">concerning, </w:t>
      </w:r>
      <w:r>
        <w:t>and made no reference to</w:t>
      </w:r>
      <w:r w:rsidR="0096566C">
        <w:t>,</w:t>
      </w:r>
      <w:r>
        <w:t xml:space="preserve"> the impact caused by his mental health were he to return to New Zealand and had not otherwise advanced any claim as to how his age or physical health bore on its decision-making.</w:t>
      </w:r>
    </w:p>
    <w:p w:rsidR="00E97C44" w:rsidRDefault="00E97C44" w:rsidP="00E97C44">
      <w:pPr>
        <w:pStyle w:val="Heading1"/>
      </w:pPr>
      <w:r>
        <w:t>Consideration</w:t>
      </w:r>
    </w:p>
    <w:p w:rsidR="003D16C3" w:rsidRDefault="003D16C3" w:rsidP="003D16C3">
      <w:pPr>
        <w:pStyle w:val="Heading2"/>
      </w:pPr>
      <w:r>
        <w:t xml:space="preserve">Ground 2 </w:t>
      </w:r>
    </w:p>
    <w:p w:rsidR="00E97C44" w:rsidRDefault="003D16C3" w:rsidP="00DA4DCC">
      <w:pPr>
        <w:pStyle w:val="ParaNumbering"/>
      </w:pPr>
      <w:r>
        <w:t xml:space="preserve">It is convenient to deal with ground 2 immediately. </w:t>
      </w:r>
      <w:r w:rsidR="00DA4DCC">
        <w:t xml:space="preserve"> </w:t>
      </w:r>
      <w:r w:rsidR="00E97C44">
        <w:t xml:space="preserve">As I noted in the course of argument, </w:t>
      </w:r>
      <w:r>
        <w:t>par</w:t>
      </w:r>
      <w:r w:rsidR="00E97C44">
        <w:t xml:space="preserve"> 9(1)</w:t>
      </w:r>
      <w:r>
        <w:t xml:space="preserve"> of Direction 90</w:t>
      </w:r>
      <w:r w:rsidR="00E97C44">
        <w:t xml:space="preserve"> requires the matters in </w:t>
      </w:r>
      <w:r>
        <w:t>par</w:t>
      </w:r>
      <w:r w:rsidR="00E97C44">
        <w:t xml:space="preserve"> 9.2(1</w:t>
      </w:r>
      <w:proofErr w:type="gramStart"/>
      <w:r w:rsidR="00E97C44">
        <w:t>)(</w:t>
      </w:r>
      <w:proofErr w:type="gramEnd"/>
      <w:r w:rsidR="00E97C44">
        <w:t>a) to be taken into account “where relevant”.  As Kiefe</w:t>
      </w:r>
      <w:r>
        <w:t>l CJ, Keane, Gordon and Steward JJ</w:t>
      </w:r>
      <w:r w:rsidR="00E97C44">
        <w:t xml:space="preserve"> said in </w:t>
      </w:r>
      <w:r w:rsidR="005A0F88" w:rsidRPr="00DA4DCC">
        <w:rPr>
          <w:i/>
        </w:rPr>
        <w:t>Plaintiff M1/</w:t>
      </w:r>
      <w:r w:rsidR="00E97C44" w:rsidRPr="00DA4DCC">
        <w:rPr>
          <w:i/>
        </w:rPr>
        <w:t xml:space="preserve">2021 </w:t>
      </w:r>
      <w:r w:rsidR="00E97C44">
        <w:t>400 ALR at 425-42</w:t>
      </w:r>
      <w:r w:rsidR="002D47B3">
        <w:t>6</w:t>
      </w:r>
      <w:r w:rsidR="00E97C44">
        <w:t xml:space="preserve"> [22]</w:t>
      </w:r>
      <w:r w:rsidR="00CC12A5">
        <w:t>, [24]-[2</w:t>
      </w:r>
      <w:r w:rsidR="002D47B3">
        <w:t>5</w:t>
      </w:r>
      <w:r w:rsidR="00CC12A5">
        <w:t>] and [27]</w:t>
      </w:r>
      <w:r w:rsidR="00E97C44">
        <w:t>:</w:t>
      </w:r>
    </w:p>
    <w:p w:rsidR="00E97C44" w:rsidRDefault="00CC12A5" w:rsidP="00CC12A5">
      <w:pPr>
        <w:pStyle w:val="Quote1"/>
        <w:ind w:left="1440" w:hanging="703"/>
      </w:pPr>
      <w:r>
        <w:t xml:space="preserve">22. </w:t>
      </w:r>
      <w:r>
        <w:tab/>
      </w:r>
      <w:r w:rsidR="00E97C44" w:rsidRPr="00E97C44">
        <w:t xml:space="preserve">In determining </w:t>
      </w:r>
      <w:r w:rsidR="002D47B3">
        <w:t xml:space="preserve">whether </w:t>
      </w:r>
      <w:r w:rsidR="00E97C44" w:rsidRPr="00E97C44">
        <w:t>they are satisfied that there is “another reason” for revoking a cancellation decision, the decision-maker undertakes the assessment by reference to the case made by the former visa holder by their representations.</w:t>
      </w:r>
    </w:p>
    <w:p w:rsidR="00CC12A5" w:rsidRDefault="00CC12A5" w:rsidP="00CC12A5">
      <w:pPr>
        <w:pStyle w:val="Quote1"/>
        <w:ind w:left="1440" w:hanging="703"/>
      </w:pPr>
      <w:r>
        <w:t>…</w:t>
      </w:r>
    </w:p>
    <w:p w:rsidR="00CC12A5" w:rsidRDefault="00CC12A5" w:rsidP="00CC12A5">
      <w:pPr>
        <w:pStyle w:val="Quote1"/>
        <w:ind w:left="1440" w:hanging="703"/>
      </w:pPr>
      <w:r>
        <w:t xml:space="preserve">24. </w:t>
      </w:r>
      <w:r>
        <w:tab/>
      </w:r>
      <w:r w:rsidRPr="00B90F61">
        <w:t xml:space="preserve">Consistently with well-established authority in different statutory contexts, there can be no doubt that </w:t>
      </w:r>
      <w:r w:rsidRPr="00CC12A5">
        <w:rPr>
          <w:b/>
        </w:rPr>
        <w:t>a decision-maker must read, identify, understand and evaluate the representations</w:t>
      </w:r>
      <w:r w:rsidRPr="00B90F61">
        <w:t xml:space="preserve">. Adopting and adapting what Kiefel J (as her Honour then </w:t>
      </w:r>
      <w:r>
        <w:t xml:space="preserve">was) said in </w:t>
      </w:r>
      <w:proofErr w:type="spellStart"/>
      <w:r w:rsidRPr="00B90F61">
        <w:rPr>
          <w:i/>
        </w:rPr>
        <w:t>Tickner</w:t>
      </w:r>
      <w:proofErr w:type="spellEnd"/>
      <w:r w:rsidRPr="00B90F61">
        <w:rPr>
          <w:i/>
        </w:rPr>
        <w:t xml:space="preserve"> v Chapman</w:t>
      </w:r>
      <w:r w:rsidR="00384440">
        <w:rPr>
          <w:i/>
        </w:rPr>
        <w:t xml:space="preserve"> </w:t>
      </w:r>
      <w:r w:rsidR="00384440">
        <w:t>[(1995) 57 FCR 451 at 495]</w:t>
      </w:r>
      <w:r w:rsidRPr="00B90F61">
        <w:t xml:space="preserve">, </w:t>
      </w:r>
      <w:r w:rsidRPr="00CC12A5">
        <w:rPr>
          <w:b/>
        </w:rPr>
        <w:t>the decision-maker must have regard to what is said in the representations</w:t>
      </w:r>
      <w:r w:rsidRPr="00B90F61">
        <w:t xml:space="preserve">, bring their mind to bear upon the facts stated in them and the arguments or opinions put forward, and </w:t>
      </w:r>
      <w:r w:rsidRPr="00CC12A5">
        <w:rPr>
          <w:b/>
        </w:rPr>
        <w:t>appreciate who is making them</w:t>
      </w:r>
      <w:r w:rsidRPr="00B90F61">
        <w:t>. From that point, the decision-maker might sift them, attributing whatever weight or persuasive quality is thought appropriate. The weight to be afforded to</w:t>
      </w:r>
      <w:r>
        <w:t xml:space="preserve"> </w:t>
      </w:r>
      <w:r w:rsidRPr="00B90F61">
        <w:t>the representations is a</w:t>
      </w:r>
      <w:r>
        <w:t xml:space="preserve"> matter for the decision-maker</w:t>
      </w:r>
      <w:r w:rsidRPr="00B90F61">
        <w:t>. And the decision-maker is not obliged "to make actual findings of fact as an adjudication of all material claims" made by a former visa holder</w:t>
      </w:r>
      <w:r>
        <w:t>.</w:t>
      </w:r>
    </w:p>
    <w:p w:rsidR="00CC12A5" w:rsidRDefault="00CC12A5" w:rsidP="00CC12A5">
      <w:pPr>
        <w:pStyle w:val="Quote1"/>
        <w:ind w:left="1440" w:hanging="703"/>
      </w:pPr>
      <w:r>
        <w:lastRenderedPageBreak/>
        <w:t xml:space="preserve">25. </w:t>
      </w:r>
      <w:r>
        <w:tab/>
      </w:r>
      <w:r w:rsidRPr="00B90F61">
        <w:t xml:space="preserve">It is also well-established that </w:t>
      </w:r>
      <w:r w:rsidRPr="004405DD">
        <w:rPr>
          <w:b/>
        </w:rPr>
        <w:t>the requisite level of engagement by the decision-maker with the representations must occur within the bounds of rationality and reasonableness</w:t>
      </w:r>
      <w:r w:rsidRPr="00B90F61">
        <w:t xml:space="preserve">. </w:t>
      </w:r>
    </w:p>
    <w:p w:rsidR="00CC12A5" w:rsidRDefault="00CC12A5" w:rsidP="00CC12A5">
      <w:pPr>
        <w:pStyle w:val="Quote1"/>
        <w:ind w:left="1440" w:hanging="703"/>
      </w:pPr>
      <w:r>
        <w:t>…</w:t>
      </w:r>
    </w:p>
    <w:p w:rsidR="00CC12A5" w:rsidRDefault="00CC12A5" w:rsidP="00CC12A5">
      <w:pPr>
        <w:pStyle w:val="Quote1"/>
        <w:ind w:left="1440" w:hanging="703"/>
      </w:pPr>
      <w:r>
        <w:t>27.</w:t>
      </w:r>
      <w:r>
        <w:tab/>
        <w:t xml:space="preserve">None of the preceding analysis detracts from, or is inconsistent with, established principle that, for example, </w:t>
      </w:r>
      <w:r w:rsidRPr="00CC12A5">
        <w:rPr>
          <w:b/>
        </w:rPr>
        <w:t>if review of a decision-maker's reasons discloses that the decision-maker ignored, overlooked</w:t>
      </w:r>
      <w:r>
        <w:t xml:space="preserve"> or misunderstood </w:t>
      </w:r>
      <w:r w:rsidRPr="00CC12A5">
        <w:rPr>
          <w:b/>
        </w:rPr>
        <w:t>relevant facts or materials</w:t>
      </w:r>
      <w:r>
        <w:t xml:space="preserve"> </w:t>
      </w:r>
      <w:r w:rsidRPr="004405DD">
        <w:rPr>
          <w:b/>
        </w:rPr>
        <w:t>or a substantial and clearly articulated argument</w:t>
      </w:r>
      <w:r>
        <w:t xml:space="preserve">; misunderstood the applicable law; or misunderstood the case being made by the former visa holder, </w:t>
      </w:r>
      <w:r w:rsidRPr="00CC12A5">
        <w:rPr>
          <w:b/>
        </w:rPr>
        <w:t>that may give rise to jurisdictional error</w:t>
      </w:r>
      <w:r>
        <w:t>.</w:t>
      </w:r>
    </w:p>
    <w:p w:rsidR="00CC12A5" w:rsidRDefault="00CC12A5" w:rsidP="004405DD">
      <w:pPr>
        <w:pStyle w:val="Quote1"/>
      </w:pPr>
      <w:r>
        <w:t>(</w:t>
      </w:r>
      <w:proofErr w:type="gramStart"/>
      <w:r>
        <w:t>emphasis</w:t>
      </w:r>
      <w:proofErr w:type="gramEnd"/>
      <w:r>
        <w:t xml:space="preserve"> added)</w:t>
      </w:r>
    </w:p>
    <w:p w:rsidR="00CC12A5" w:rsidRDefault="005A0F88" w:rsidP="005A0F88">
      <w:pPr>
        <w:pStyle w:val="ParaNumbering"/>
      </w:pPr>
      <w:r>
        <w:t>In my opi</w:t>
      </w:r>
      <w:r w:rsidR="003D16C3">
        <w:t xml:space="preserve">nion, ground 2 has no substance.  Mr </w:t>
      </w:r>
      <w:proofErr w:type="spellStart"/>
      <w:r w:rsidR="003D16C3">
        <w:t>Seau</w:t>
      </w:r>
      <w:proofErr w:type="spellEnd"/>
      <w:r w:rsidR="003D16C3">
        <w:t xml:space="preserve"> made no</w:t>
      </w:r>
      <w:r>
        <w:t xml:space="preserve"> clearly articulated claim before the Tribunal that any of his age, mental or physical health </w:t>
      </w:r>
      <w:r w:rsidR="004405DD">
        <w:t>either would affect</w:t>
      </w:r>
      <w:r>
        <w:t xml:space="preserve"> </w:t>
      </w:r>
      <w:r w:rsidR="003D16C3">
        <w:t xml:space="preserve">him </w:t>
      </w:r>
      <w:r>
        <w:t>or create an impediment were he to be returned to New Zealand</w:t>
      </w:r>
      <w:r w:rsidR="003D16C3">
        <w:t>.  In any event,</w:t>
      </w:r>
      <w:r>
        <w:t xml:space="preserve"> the Tribunal had regard to his age</w:t>
      </w:r>
      <w:r w:rsidR="004405DD">
        <w:t xml:space="preserve"> in the course of its reasoning.  It </w:t>
      </w:r>
      <w:r>
        <w:t>found that there would be significant impediment</w:t>
      </w:r>
      <w:r w:rsidR="00CC12A5">
        <w:t>s</w:t>
      </w:r>
      <w:r>
        <w:t xml:space="preserve"> to him and others if he were removed </w:t>
      </w:r>
      <w:r w:rsidR="00CC12A5">
        <w:t>from</w:t>
      </w:r>
      <w:r>
        <w:t xml:space="preserve"> Australia that weighed h</w:t>
      </w:r>
      <w:r w:rsidR="003D16C3">
        <w:t>eavily in favour of revocation</w:t>
      </w:r>
      <w:r w:rsidR="004405DD">
        <w:t xml:space="preserve">.  It also found that he would be able to find employment </w:t>
      </w:r>
      <w:r w:rsidR="00384440">
        <w:t>were</w:t>
      </w:r>
      <w:r w:rsidR="004405DD">
        <w:t xml:space="preserve"> he returned to New Zealand</w:t>
      </w:r>
      <w:r w:rsidR="003D16C3">
        <w:t xml:space="preserve">.  However, it </w:t>
      </w:r>
      <w:r>
        <w:t xml:space="preserve">did not avert to those matters beyond its discussion of the impact of </w:t>
      </w:r>
      <w:r w:rsidR="003D16C3">
        <w:t>his</w:t>
      </w:r>
      <w:r>
        <w:t xml:space="preserve"> past addictions </w:t>
      </w:r>
      <w:r w:rsidR="003D16C3">
        <w:t xml:space="preserve">to alcohol and drugs </w:t>
      </w:r>
      <w:r>
        <w:t xml:space="preserve">and the potential that they may or may not resurface in the context of future offending.  </w:t>
      </w:r>
    </w:p>
    <w:p w:rsidR="005A0F88" w:rsidRDefault="005A0F88" w:rsidP="005A0F88">
      <w:pPr>
        <w:pStyle w:val="ParaNumbering"/>
      </w:pPr>
      <w:r>
        <w:t xml:space="preserve">In my opinion, the case made by Mr </w:t>
      </w:r>
      <w:proofErr w:type="spellStart"/>
      <w:r>
        <w:t>Seau</w:t>
      </w:r>
      <w:proofErr w:type="spellEnd"/>
      <w:r>
        <w:t xml:space="preserve"> for revocation of the cancellation decision </w:t>
      </w:r>
      <w:r w:rsidR="003D16C3">
        <w:t>raised nothing</w:t>
      </w:r>
      <w:r>
        <w:t xml:space="preserve"> to do with his age, mental or physical health were he to be returned to New Zealand.</w:t>
      </w:r>
      <w:r w:rsidR="00CC12A5">
        <w:t xml:space="preserve">  </w:t>
      </w:r>
      <w:r w:rsidR="00CC12A5">
        <w:br/>
        <w:t>Accordingly, par 9.2(1</w:t>
      </w:r>
      <w:proofErr w:type="gramStart"/>
      <w:r w:rsidR="00CC12A5">
        <w:t>)(</w:t>
      </w:r>
      <w:proofErr w:type="gramEnd"/>
      <w:r w:rsidR="00CC12A5">
        <w:t xml:space="preserve">a) of Direction 90 did not require the Tribunal to take those matters into account because Mr </w:t>
      </w:r>
      <w:proofErr w:type="spellStart"/>
      <w:r w:rsidR="00CC12A5">
        <w:t>Seau’s</w:t>
      </w:r>
      <w:proofErr w:type="spellEnd"/>
      <w:r w:rsidR="00CC12A5">
        <w:t xml:space="preserve"> representation did not raise them as relevant: see </w:t>
      </w:r>
      <w:r w:rsidR="00CC12A5">
        <w:rPr>
          <w:i/>
        </w:rPr>
        <w:t>Plaintiff M</w:t>
      </w:r>
      <w:r w:rsidR="002D47B3">
        <w:rPr>
          <w:i/>
        </w:rPr>
        <w:t>1</w:t>
      </w:r>
      <w:r w:rsidR="00CC12A5">
        <w:rPr>
          <w:i/>
        </w:rPr>
        <w:t xml:space="preserve">/2021 </w:t>
      </w:r>
      <w:r w:rsidR="00CC12A5">
        <w:t>400 ALR at 425-42</w:t>
      </w:r>
      <w:r w:rsidR="002D47B3">
        <w:t>7</w:t>
      </w:r>
      <w:r w:rsidR="00CC12A5">
        <w:t xml:space="preserve"> [22], [25]-[27].  Ground 2 fails. </w:t>
      </w:r>
    </w:p>
    <w:p w:rsidR="00F82DF6" w:rsidRDefault="00F82DF6" w:rsidP="00F82DF6">
      <w:pPr>
        <w:pStyle w:val="Heading2"/>
      </w:pPr>
      <w:r>
        <w:t>Ground 1</w:t>
      </w:r>
    </w:p>
    <w:p w:rsidR="005A0F88" w:rsidRDefault="005A0F88" w:rsidP="005A0F88">
      <w:pPr>
        <w:pStyle w:val="ParaNumbering"/>
      </w:pPr>
      <w:r>
        <w:t xml:space="preserve">Where a </w:t>
      </w:r>
      <w:r w:rsidR="00F82DF6">
        <w:t>statute</w:t>
      </w:r>
      <w:r w:rsidR="00BE5716">
        <w:t xml:space="preserve">, such as s 499(2A) of the </w:t>
      </w:r>
      <w:r w:rsidR="002D47B3">
        <w:rPr>
          <w:i/>
        </w:rPr>
        <w:t>Migration Act</w:t>
      </w:r>
      <w:r w:rsidR="00BE5716">
        <w:t>,</w:t>
      </w:r>
      <w:r w:rsidR="00F82DF6">
        <w:t xml:space="preserve"> requires a decision-maker to consider </w:t>
      </w:r>
      <w:r w:rsidR="004405DD">
        <w:t xml:space="preserve">one or more </w:t>
      </w:r>
      <w:r w:rsidR="00F82DF6">
        <w:t>factors</w:t>
      </w:r>
      <w:r w:rsidR="00BE5716">
        <w:t xml:space="preserve"> as a primary consideration in arriving at a </w:t>
      </w:r>
      <w:r>
        <w:t>decision</w:t>
      </w:r>
      <w:r w:rsidR="00BE5716">
        <w:t xml:space="preserve"> to exercise a power</w:t>
      </w:r>
      <w:r>
        <w:t xml:space="preserve">, the decision-maker must take </w:t>
      </w:r>
      <w:r w:rsidR="00CC12A5">
        <w:t xml:space="preserve">each </w:t>
      </w:r>
      <w:r w:rsidR="004405DD">
        <w:t>such</w:t>
      </w:r>
      <w:r w:rsidR="00384440">
        <w:t xml:space="preserve"> factor</w:t>
      </w:r>
      <w:r>
        <w:t xml:space="preserve"> into account and give </w:t>
      </w:r>
      <w:r w:rsidR="004405DD">
        <w:t>it</w:t>
      </w:r>
      <w:r>
        <w:t xml:space="preserve"> weight “as a fundamental element in making his determination”:  </w:t>
      </w:r>
      <w:r w:rsidR="004B2D5B" w:rsidRPr="0099072B">
        <w:rPr>
          <w:i/>
        </w:rPr>
        <w:t xml:space="preserve">R v Hunt; </w:t>
      </w:r>
      <w:r w:rsidRPr="0099072B">
        <w:rPr>
          <w:i/>
        </w:rPr>
        <w:t>Ex Parte Sean Investment Pty Ltd</w:t>
      </w:r>
      <w:r w:rsidRPr="0099072B">
        <w:t xml:space="preserve"> (1979) 180 CLR 322</w:t>
      </w:r>
      <w:r>
        <w:t xml:space="preserve"> at 329, per Mason J.  </w:t>
      </w:r>
    </w:p>
    <w:p w:rsidR="00CC12A5" w:rsidRDefault="005A0F88" w:rsidP="005A0F88">
      <w:pPr>
        <w:pStyle w:val="ParaNumbering"/>
      </w:pPr>
      <w:r>
        <w:t xml:space="preserve">In </w:t>
      </w:r>
      <w:r w:rsidRPr="0099072B">
        <w:rPr>
          <w:i/>
        </w:rPr>
        <w:t>Telstra Corporation Ltd v Australian Competition and Consumer Commission</w:t>
      </w:r>
      <w:r w:rsidRPr="0099072B">
        <w:t xml:space="preserve"> (2008) 176 FCR 153</w:t>
      </w:r>
      <w:r>
        <w:t xml:space="preserve"> at 181-183</w:t>
      </w:r>
      <w:r w:rsidR="004B2D5B">
        <w:t xml:space="preserve"> [10</w:t>
      </w:r>
      <w:r w:rsidR="002D47B3">
        <w:t>3</w:t>
      </w:r>
      <w:r w:rsidR="004B2D5B">
        <w:t>]-[112]</w:t>
      </w:r>
      <w:r w:rsidR="00CC12A5">
        <w:t xml:space="preserve"> (applied in </w:t>
      </w:r>
      <w:r w:rsidR="00CC12A5" w:rsidRPr="0099072B">
        <w:rPr>
          <w:i/>
        </w:rPr>
        <w:t xml:space="preserve">Telstra Corporation Ltd v Australian Competition Tribunal </w:t>
      </w:r>
      <w:r w:rsidR="00CC12A5" w:rsidRPr="0099072B">
        <w:t>(2009) 175 FCR 201</w:t>
      </w:r>
      <w:r w:rsidR="00CC12A5">
        <w:t xml:space="preserve"> at 242 [267] per Jacobson, Lander and Foster JJ)</w:t>
      </w:r>
      <w:r>
        <w:t xml:space="preserve">, I </w:t>
      </w:r>
      <w:r w:rsidR="004B2D5B">
        <w:t>explained</w:t>
      </w:r>
      <w:r>
        <w:t xml:space="preserve"> </w:t>
      </w:r>
      <w:r>
        <w:lastRenderedPageBreak/>
        <w:t xml:space="preserve">how a </w:t>
      </w:r>
      <w:r w:rsidR="004405DD">
        <w:t xml:space="preserve">legislative </w:t>
      </w:r>
      <w:r>
        <w:t>requirement to have regard to</w:t>
      </w:r>
      <w:r w:rsidR="004B2D5B">
        <w:t>,</w:t>
      </w:r>
      <w:r>
        <w:t xml:space="preserve"> or take into consideration</w:t>
      </w:r>
      <w:r w:rsidR="004B2D5B">
        <w:t>,</w:t>
      </w:r>
      <w:r>
        <w:t xml:space="preserve"> a matter as a primary consideration must be approached by a decision-maker.  </w:t>
      </w:r>
      <w:r w:rsidR="00CC12A5">
        <w:t xml:space="preserve">In such a case, the decision maker must </w:t>
      </w:r>
      <w:r w:rsidR="004405DD">
        <w:t>take</w:t>
      </w:r>
      <w:r w:rsidR="00CC12A5">
        <w:t xml:space="preserve"> each matter that the statutory provision identifies into account as a fundamental or central element in making </w:t>
      </w:r>
      <w:r w:rsidR="004405DD">
        <w:t>the</w:t>
      </w:r>
      <w:r w:rsidR="00CC12A5">
        <w:t xml:space="preserve"> decision.  I held (at 181 [105]) that where the provision required more than one consideration to be taken into account, Mason J had explained:</w:t>
      </w:r>
    </w:p>
    <w:p w:rsidR="00CC12A5" w:rsidRDefault="00CC12A5" w:rsidP="00CC12A5">
      <w:pPr>
        <w:pStyle w:val="Quote1"/>
      </w:pPr>
      <w:r>
        <w:t xml:space="preserve">…in his classic judgment in </w:t>
      </w:r>
      <w:r>
        <w:rPr>
          <w:i/>
          <w:iCs/>
        </w:rPr>
        <w:t>Minister for Aboriginal Affairs v Peko-Wallsend Ltd</w:t>
      </w:r>
      <w:r>
        <w:t xml:space="preserve"> (1986) 162 CLR 24 at 41, in the absence of any statutory indication of the weight to be given to various considerations, </w:t>
      </w:r>
      <w:r w:rsidRPr="004405DD">
        <w:rPr>
          <w:b/>
        </w:rPr>
        <w:t>it is generally for the decision-maker and not the Court to determine the appropriate weight to be given to the matters which are required to be taken into account in exercising a statutory power</w:t>
      </w:r>
      <w:r>
        <w:t xml:space="preserve">. Mason J said that </w:t>
      </w:r>
      <w:r>
        <w:rPr>
          <w:b/>
          <w:bCs/>
        </w:rPr>
        <w:t>the Court could set aside an administrative decision which had failed to give adequate weight to a relevant factor of great importance</w:t>
      </w:r>
      <w:r>
        <w:t xml:space="preserve">, or had given excessive weight to a relevant factor of no great importance, but the preferred ground on which that power was to be exercised was that the decision was “manifestly unreasonable”. </w:t>
      </w:r>
      <w:r>
        <w:rPr>
          <w:b/>
          <w:bCs/>
        </w:rPr>
        <w:t>A person entrusted with a discretion must call his own attention to the matters which he is bound to consider</w:t>
      </w:r>
      <w:r>
        <w:rPr>
          <w:i/>
          <w:iCs/>
        </w:rPr>
        <w:t>: Peko-Wallsend</w:t>
      </w:r>
      <w:r>
        <w:t xml:space="preserve"> 162 CLR at 39 per Mason J applying </w:t>
      </w:r>
      <w:r>
        <w:rPr>
          <w:i/>
          <w:iCs/>
        </w:rPr>
        <w:t xml:space="preserve">Associated Provincial Picture Houses Ltd v </w:t>
      </w:r>
      <w:proofErr w:type="spellStart"/>
      <w:r>
        <w:rPr>
          <w:i/>
          <w:iCs/>
        </w:rPr>
        <w:t>Wednesbury</w:t>
      </w:r>
      <w:proofErr w:type="spellEnd"/>
      <w:r>
        <w:rPr>
          <w:i/>
          <w:iCs/>
        </w:rPr>
        <w:t xml:space="preserve"> Corporation</w:t>
      </w:r>
      <w:r>
        <w:t xml:space="preserve"> [1948] 1 KB 223 at 228 per Lord Greene MR.</w:t>
      </w:r>
    </w:p>
    <w:p w:rsidR="00CC12A5" w:rsidRPr="00CC12A5" w:rsidRDefault="00CC12A5" w:rsidP="00CC12A5">
      <w:pPr>
        <w:pStyle w:val="Quote1"/>
      </w:pPr>
      <w:r>
        <w:t>(</w:t>
      </w:r>
      <w:proofErr w:type="gramStart"/>
      <w:r>
        <w:t>emphasis</w:t>
      </w:r>
      <w:proofErr w:type="gramEnd"/>
      <w:r>
        <w:t xml:space="preserve"> added)</w:t>
      </w:r>
    </w:p>
    <w:p w:rsidR="005A0F88" w:rsidRDefault="00CC12A5" w:rsidP="002D47B3">
      <w:pPr>
        <w:pStyle w:val="ParaNumbering"/>
      </w:pPr>
      <w:r>
        <w:t>I</w:t>
      </w:r>
      <w:r w:rsidR="005A0F88">
        <w:t xml:space="preserve">n </w:t>
      </w:r>
      <w:r w:rsidR="005A0F88" w:rsidRPr="0099072B">
        <w:rPr>
          <w:i/>
        </w:rPr>
        <w:t>East Australian Pipeline Pty Ltd v Australian Competition and Consumer Commission</w:t>
      </w:r>
      <w:r w:rsidRPr="0099072B">
        <w:t xml:space="preserve"> (2007)</w:t>
      </w:r>
      <w:r w:rsidR="005A0F88" w:rsidRPr="0099072B">
        <w:t xml:space="preserve"> 233 CLR 229</w:t>
      </w:r>
      <w:r w:rsidR="005A0F88">
        <w:t xml:space="preserve"> at </w:t>
      </w:r>
      <w:r>
        <w:t>244 [5</w:t>
      </w:r>
      <w:r w:rsidR="002D47B3">
        <w:t>2</w:t>
      </w:r>
      <w:r w:rsidR="005A0F88">
        <w:t xml:space="preserve">], Gleeson CJ, </w:t>
      </w:r>
      <w:proofErr w:type="spellStart"/>
      <w:r w:rsidR="002D47B3">
        <w:t>Heydon</w:t>
      </w:r>
      <w:proofErr w:type="spellEnd"/>
      <w:r w:rsidR="002D47B3">
        <w:t xml:space="preserve"> and </w:t>
      </w:r>
      <w:proofErr w:type="spellStart"/>
      <w:r w:rsidR="002D47B3">
        <w:t>Crennan</w:t>
      </w:r>
      <w:proofErr w:type="spellEnd"/>
      <w:r w:rsidR="002D47B3">
        <w:t xml:space="preserve"> JJ said that w</w:t>
      </w:r>
      <w:r w:rsidR="0099072B">
        <w:t>h</w:t>
      </w:r>
      <w:r w:rsidR="005A0F88">
        <w:t xml:space="preserve">ere a decision-maker must consider matters prescribed by law, generally, </w:t>
      </w:r>
      <w:r w:rsidR="005A0F88" w:rsidRPr="002D47B3">
        <w:t>he or she cannot</w:t>
      </w:r>
      <w:r w:rsidR="005A0F88" w:rsidRPr="002D47B3">
        <w:rPr>
          <w:b/>
        </w:rPr>
        <w:t xml:space="preserve"> </w:t>
      </w:r>
      <w:r w:rsidR="002D47B3" w:rsidRPr="002D47B3">
        <w:t>“</w:t>
      </w:r>
      <w:r w:rsidR="005A0F88" w:rsidRPr="002D47B3">
        <w:rPr>
          <w:b/>
        </w:rPr>
        <w:t xml:space="preserve">jettison or ignore </w:t>
      </w:r>
      <w:r w:rsidR="002D47B3">
        <w:rPr>
          <w:b/>
        </w:rPr>
        <w:t xml:space="preserve">[some of] </w:t>
      </w:r>
      <w:r w:rsidR="005A0F88" w:rsidRPr="002D47B3">
        <w:rPr>
          <w:b/>
        </w:rPr>
        <w:t>th</w:t>
      </w:r>
      <w:r w:rsidR="0099072B">
        <w:rPr>
          <w:b/>
        </w:rPr>
        <w:t>e</w:t>
      </w:r>
      <w:r w:rsidR="005A0F88" w:rsidRPr="002D47B3">
        <w:rPr>
          <w:b/>
        </w:rPr>
        <w:t xml:space="preserve"> factors</w:t>
      </w:r>
      <w:r w:rsidR="005A0F88">
        <w:t xml:space="preserve"> </w:t>
      </w:r>
      <w:r w:rsidR="002D47B3">
        <w:t>… or</w:t>
      </w:r>
      <w:r w:rsidR="005A0F88">
        <w:t xml:space="preserve"> </w:t>
      </w:r>
      <w:r w:rsidR="0099072B">
        <w:t xml:space="preserve">… </w:t>
      </w:r>
      <w:r w:rsidR="005A0F88">
        <w:t>give them cursory consideration only in order to put them to one side</w:t>
      </w:r>
      <w:r w:rsidR="002D47B3">
        <w:t>” (emphasis added)</w:t>
      </w:r>
      <w:r w:rsidR="0099072B">
        <w:t>.</w:t>
      </w:r>
    </w:p>
    <w:p w:rsidR="009A4F3A" w:rsidRDefault="009A4F3A" w:rsidP="009A4F3A">
      <w:pPr>
        <w:pStyle w:val="ParaNumbering"/>
      </w:pPr>
      <w:r>
        <w:t>Gummow and Hayne JJ concurred, observing at</w:t>
      </w:r>
      <w:r w:rsidR="00CC12A5">
        <w:t xml:space="preserve"> 256</w:t>
      </w:r>
      <w:r>
        <w:t xml:space="preserve"> [102]:</w:t>
      </w:r>
    </w:p>
    <w:p w:rsidR="009A4F3A" w:rsidRDefault="009A4F3A" w:rsidP="009A4F3A">
      <w:pPr>
        <w:pStyle w:val="Quote1"/>
      </w:pPr>
      <w:r>
        <w:t>It was not enough for the ACCC to say in its final determination that it had considered those matters in the sense of having looked at but discarded them.</w:t>
      </w:r>
    </w:p>
    <w:p w:rsidR="009A4F3A" w:rsidRDefault="004B2D5B" w:rsidP="009A4F3A">
      <w:pPr>
        <w:pStyle w:val="ParaNumbering"/>
      </w:pPr>
      <w:r>
        <w:t>When evaluating</w:t>
      </w:r>
      <w:r w:rsidR="009A4F3A">
        <w:t xml:space="preserve"> the Tribunal’s reasons </w:t>
      </w:r>
      <w:r>
        <w:t xml:space="preserve">here, it is </w:t>
      </w:r>
      <w:r w:rsidR="004405DD">
        <w:t xml:space="preserve">also </w:t>
      </w:r>
      <w:r>
        <w:t>important to be conscious of the constraints in undertaking</w:t>
      </w:r>
      <w:r w:rsidR="009A4F3A">
        <w:t xml:space="preserve"> judic</w:t>
      </w:r>
      <w:r w:rsidR="00CC12A5">
        <w:t xml:space="preserve">ial review, to which Brennan CJ, </w:t>
      </w:r>
      <w:proofErr w:type="spellStart"/>
      <w:r w:rsidR="009A4F3A" w:rsidRPr="009A4F3A">
        <w:t>Toohey</w:t>
      </w:r>
      <w:proofErr w:type="spellEnd"/>
      <w:r w:rsidR="009A4F3A" w:rsidRPr="009A4F3A">
        <w:t xml:space="preserve">, McHugh and </w:t>
      </w:r>
      <w:proofErr w:type="spellStart"/>
      <w:r w:rsidR="009A4F3A" w:rsidRPr="009A4F3A">
        <w:t>Gummow</w:t>
      </w:r>
      <w:proofErr w:type="spellEnd"/>
      <w:r w:rsidR="009A4F3A" w:rsidRPr="009A4F3A">
        <w:t xml:space="preserve"> JJ adverted in</w:t>
      </w:r>
      <w:r w:rsidR="009A4F3A" w:rsidRPr="009A4F3A">
        <w:rPr>
          <w:i/>
        </w:rPr>
        <w:t xml:space="preserve"> </w:t>
      </w:r>
      <w:r w:rsidR="009A4F3A" w:rsidRPr="0099072B">
        <w:rPr>
          <w:i/>
        </w:rPr>
        <w:t>Minister for Immigration and Ethnic Affairs v Wu Shan Liang</w:t>
      </w:r>
      <w:r w:rsidR="009A4F3A" w:rsidRPr="0099072B">
        <w:t xml:space="preserve"> (1996) 185 CLR 259</w:t>
      </w:r>
      <w:r w:rsidR="009A4F3A">
        <w:t xml:space="preserve"> at 272, namely:</w:t>
      </w:r>
    </w:p>
    <w:p w:rsidR="00D75641" w:rsidRDefault="004B2D5B" w:rsidP="00D75641">
      <w:pPr>
        <w:pStyle w:val="Quote1"/>
      </w:pPr>
      <w:r>
        <w:t>… [A]</w:t>
      </w:r>
      <w:r w:rsidR="009A4F3A">
        <w:t xml:space="preserve"> </w:t>
      </w:r>
      <w:proofErr w:type="gramStart"/>
      <w:r w:rsidR="009A4F3A">
        <w:t>court</w:t>
      </w:r>
      <w:proofErr w:type="gramEnd"/>
      <w:r w:rsidR="009A4F3A">
        <w:t xml:space="preserve"> should not be "concerned with looseness in the language ... nor with unhappy</w:t>
      </w:r>
      <w:r w:rsidR="00D75641">
        <w:t xml:space="preserve"> </w:t>
      </w:r>
      <w:r w:rsidR="009A4F3A">
        <w:t>phrasing" of the reasons of an a</w:t>
      </w:r>
      <w:r w:rsidR="00D75641">
        <w:t>dministrative decision-maker (</w:t>
      </w:r>
      <w:proofErr w:type="spellStart"/>
      <w:r w:rsidR="00D75641" w:rsidRPr="00D75641">
        <w:rPr>
          <w:i/>
        </w:rPr>
        <w:t>Pozzolanic</w:t>
      </w:r>
      <w:proofErr w:type="spellEnd"/>
      <w:r w:rsidR="00D75641" w:rsidRPr="00D75641">
        <w:t xml:space="preserve"> (1993) 43 FCR 280 at 287</w:t>
      </w:r>
      <w:r w:rsidR="009A4F3A">
        <w:t>). The</w:t>
      </w:r>
      <w:r w:rsidR="00D75641">
        <w:t xml:space="preserve"> </w:t>
      </w:r>
      <w:r w:rsidR="009A4F3A">
        <w:t>Court continued (</w:t>
      </w:r>
      <w:proofErr w:type="spellStart"/>
      <w:r w:rsidR="00D75641" w:rsidRPr="00D75641">
        <w:rPr>
          <w:i/>
        </w:rPr>
        <w:t>Pozzolanic</w:t>
      </w:r>
      <w:proofErr w:type="spellEnd"/>
      <w:r w:rsidR="00D75641" w:rsidRPr="00D75641">
        <w:t xml:space="preserve"> (1993) 43 FCR 280 at 287</w:t>
      </w:r>
      <w:r w:rsidR="009A4F3A">
        <w:t>): "The reasons for the decision under review are</w:t>
      </w:r>
      <w:r w:rsidR="00D75641">
        <w:t xml:space="preserve"> </w:t>
      </w:r>
      <w:r w:rsidR="009A4F3A">
        <w:t>not to be construed minutely and finely with an eye keenly attuned to</w:t>
      </w:r>
      <w:r w:rsidR="00D75641">
        <w:t xml:space="preserve"> the perception of error.</w:t>
      </w:r>
    </w:p>
    <w:p w:rsidR="009A4F3A" w:rsidRDefault="009A4F3A" w:rsidP="00D75641">
      <w:pPr>
        <w:pStyle w:val="Quote1"/>
      </w:pPr>
      <w:r>
        <w:t>These propositions are well settled. They recognise the reality that</w:t>
      </w:r>
      <w:r w:rsidR="00D75641">
        <w:t xml:space="preserve"> </w:t>
      </w:r>
      <w:r>
        <w:t>the reasons of an administrative decision-maker are meant to inform</w:t>
      </w:r>
      <w:r w:rsidR="00D75641">
        <w:t xml:space="preserve"> </w:t>
      </w:r>
      <w:r>
        <w:t>and not to be scrutinised upon over-zealous judicial review by seeking</w:t>
      </w:r>
      <w:r w:rsidR="00D75641">
        <w:t xml:space="preserve"> </w:t>
      </w:r>
      <w:r>
        <w:t xml:space="preserve">to discern whether some inadequacy may be </w:t>
      </w:r>
      <w:r>
        <w:lastRenderedPageBreak/>
        <w:t>gleaned from the way in</w:t>
      </w:r>
      <w:r w:rsidR="00D75641">
        <w:t xml:space="preserve"> </w:t>
      </w:r>
      <w:r>
        <w:t>whi</w:t>
      </w:r>
      <w:r w:rsidR="00D75641">
        <w:t>ch the reasons are expressed (s</w:t>
      </w:r>
      <w:r w:rsidR="00D75641" w:rsidRPr="00D75641">
        <w:t xml:space="preserve">ee </w:t>
      </w:r>
      <w:r w:rsidR="00D75641" w:rsidRPr="004B2D5B">
        <w:rPr>
          <w:i/>
        </w:rPr>
        <w:t>McAuliffe v Secretary. Department of Social Security</w:t>
      </w:r>
      <w:r w:rsidR="00D75641" w:rsidRPr="00D75641">
        <w:t xml:space="preserve"> (1992) 28 ALD 609</w:t>
      </w:r>
      <w:r w:rsidR="0099072B">
        <w:t xml:space="preserve"> at 616</w:t>
      </w:r>
      <w:r>
        <w:t>).</w:t>
      </w:r>
    </w:p>
    <w:p w:rsidR="00D2279C" w:rsidRDefault="00D2279C" w:rsidP="00D75641">
      <w:pPr>
        <w:pStyle w:val="ParaNumbering"/>
      </w:pPr>
      <w:r>
        <w:t xml:space="preserve">In </w:t>
      </w:r>
      <w:r w:rsidRPr="0099072B">
        <w:rPr>
          <w:i/>
        </w:rPr>
        <w:t xml:space="preserve">Minister for Immigration and Multicultural Affairs v Yusuf </w:t>
      </w:r>
      <w:r w:rsidRPr="0099072B">
        <w:t>(2001) 206 CLR 323</w:t>
      </w:r>
      <w:r>
        <w:t xml:space="preserve"> at </w:t>
      </w:r>
      <w:r w:rsidR="0099072B">
        <w:t>346</w:t>
      </w:r>
      <w:r>
        <w:t xml:space="preserve"> [69] McHugh, Gummow and Hayne JJ explained the requirement</w:t>
      </w:r>
      <w:r w:rsidR="0099072B">
        <w:t>s</w:t>
      </w:r>
      <w:r w:rsidR="0099072B" w:rsidRPr="0099072B">
        <w:t xml:space="preserve"> </w:t>
      </w:r>
      <w:r w:rsidR="0099072B">
        <w:t xml:space="preserve">of s 430 of the </w:t>
      </w:r>
      <w:r w:rsidR="0099072B" w:rsidRPr="003436C4">
        <w:rPr>
          <w:i/>
        </w:rPr>
        <w:t>Migration Act</w:t>
      </w:r>
      <w:r>
        <w:t xml:space="preserve"> </w:t>
      </w:r>
      <w:r w:rsidR="0099072B">
        <w:t xml:space="preserve">(which is an analogue of s 43(2B) of the </w:t>
      </w:r>
      <w:r w:rsidR="0099072B" w:rsidRPr="0099072B">
        <w:rPr>
          <w:i/>
        </w:rPr>
        <w:t xml:space="preserve">Administrative Appeals Tribunal 1975 </w:t>
      </w:r>
      <w:r w:rsidR="0099072B" w:rsidRPr="0099072B">
        <w:t>(Cth)</w:t>
      </w:r>
      <w:r w:rsidR="0099072B">
        <w:t xml:space="preserve">) </w:t>
      </w:r>
      <w:r w:rsidR="003436C4">
        <w:t>that the Tribunal give reasons for its decision</w:t>
      </w:r>
      <w:r w:rsidR="00FA11D1">
        <w:t xml:space="preserve">.  Relevantly, </w:t>
      </w:r>
      <w:r>
        <w:t xml:space="preserve">s 500(6G) of the </w:t>
      </w:r>
      <w:r w:rsidRPr="003436C4">
        <w:rPr>
          <w:i/>
        </w:rPr>
        <w:t>Migration Act</w:t>
      </w:r>
      <w:r>
        <w:t xml:space="preserve"> applies</w:t>
      </w:r>
      <w:r w:rsidR="00B36320">
        <w:t xml:space="preserve"> s </w:t>
      </w:r>
      <w:r w:rsidR="002079A4">
        <w:t>43(2B)</w:t>
      </w:r>
      <w:r>
        <w:t xml:space="preserve"> </w:t>
      </w:r>
      <w:r w:rsidR="003436C4">
        <w:t>t</w:t>
      </w:r>
      <w:r>
        <w:t xml:space="preserve">o applications to the Tribunal, such as Mr </w:t>
      </w:r>
      <w:proofErr w:type="spellStart"/>
      <w:r>
        <w:t>Seau’s</w:t>
      </w:r>
      <w:proofErr w:type="spellEnd"/>
      <w:r>
        <w:t>, to review the decision of a delegate under s 501CA(4) not to revoke a cancellat</w:t>
      </w:r>
      <w:r w:rsidR="00FA11D1">
        <w:t xml:space="preserve">ion of a visa under s 501(3A)), and </w:t>
      </w:r>
      <w:r>
        <w:t xml:space="preserve">43(2B) requires the Tribunal in giving its reasons to “include its findings on material questions of fact and </w:t>
      </w:r>
      <w:r>
        <w:rPr>
          <w:b/>
        </w:rPr>
        <w:t xml:space="preserve">a reference to the evidence or other material on which those findings </w:t>
      </w:r>
      <w:r w:rsidR="0099072B">
        <w:rPr>
          <w:b/>
        </w:rPr>
        <w:t>were</w:t>
      </w:r>
      <w:r>
        <w:rPr>
          <w:b/>
        </w:rPr>
        <w:t xml:space="preserve"> based</w:t>
      </w:r>
      <w:r>
        <w:t xml:space="preserve">” (emphasis added).  Their Honours held that </w:t>
      </w:r>
      <w:r w:rsidR="003436C4">
        <w:t xml:space="preserve">the legislative purpose of such a provision was to enable </w:t>
      </w:r>
      <w:r>
        <w:t>a person dissatisfied with a decision to know with certainty what the Tribunal’s reasons were for it “and what fac</w:t>
      </w:r>
      <w:r w:rsidR="0099072B">
        <w:t>ts it considered material to that</w:t>
      </w:r>
      <w:r>
        <w:t xml:space="preserve"> conclusion”.  They said that </w:t>
      </w:r>
      <w:r w:rsidR="0099072B">
        <w:t xml:space="preserve">(at 346 [69]) </w:t>
      </w:r>
      <w:r>
        <w:t xml:space="preserve">(referring to s 430 of the </w:t>
      </w:r>
      <w:r w:rsidRPr="003436C4">
        <w:rPr>
          <w:i/>
        </w:rPr>
        <w:t>Migration Act</w:t>
      </w:r>
      <w:r>
        <w:t xml:space="preserve">): </w:t>
      </w:r>
    </w:p>
    <w:p w:rsidR="00D2279C" w:rsidRDefault="00D2279C" w:rsidP="00D2279C">
      <w:pPr>
        <w:pStyle w:val="Quote1"/>
        <w:rPr>
          <w:shd w:val="clear" w:color="auto" w:fill="FFFFFF"/>
        </w:rPr>
      </w:pPr>
      <w:r>
        <w:rPr>
          <w:shd w:val="clear" w:color="auto" w:fill="FFFFFF"/>
        </w:rPr>
        <w:t xml:space="preserve">Similarly, a court which is asked to review the decision is able to identify the Tribunal's reasons and the findings it made in reaching that conclusion. </w:t>
      </w:r>
      <w:r>
        <w:rPr>
          <w:b/>
          <w:bCs/>
          <w:shd w:val="clear" w:color="auto" w:fill="FFFFFF"/>
        </w:rPr>
        <w:t>The provision entitles a court to infer that any matter not mentioned in the </w:t>
      </w:r>
      <w:hyperlink r:id="rId19" w:history="1">
        <w:r w:rsidRPr="00D2279C">
          <w:rPr>
            <w:b/>
          </w:rPr>
          <w:t>s 430</w:t>
        </w:r>
      </w:hyperlink>
      <w:r>
        <w:rPr>
          <w:b/>
          <w:bCs/>
          <w:shd w:val="clear" w:color="auto" w:fill="FFFFFF"/>
        </w:rPr>
        <w:t> statement was not considered by the Tribunal to be material</w:t>
      </w:r>
      <w:r>
        <w:rPr>
          <w:shd w:val="clear" w:color="auto" w:fill="FFFFFF"/>
        </w:rPr>
        <w:t> (</w:t>
      </w:r>
      <w:r>
        <w:rPr>
          <w:i/>
          <w:iCs/>
          <w:shd w:val="clear" w:color="auto" w:fill="FFFFFF"/>
        </w:rPr>
        <w:t>Repatriation Commission v O'Brien</w:t>
      </w:r>
      <w:r>
        <w:rPr>
          <w:shd w:val="clear" w:color="auto" w:fill="FFFFFF"/>
        </w:rPr>
        <w:t xml:space="preserve"> (1985) 155 CLR 422 at 446, per Brennan J; </w:t>
      </w:r>
      <w:r>
        <w:rPr>
          <w:i/>
          <w:iCs/>
          <w:shd w:val="clear" w:color="auto" w:fill="FFFFFF"/>
        </w:rPr>
        <w:t>Sullivan v Department of Transport</w:t>
      </w:r>
      <w:r>
        <w:rPr>
          <w:shd w:val="clear" w:color="auto" w:fill="FFFFFF"/>
        </w:rPr>
        <w:t xml:space="preserve"> (1978) 20 ALR 323 at 348-349, per Deane J; at 353, per Fisher J; </w:t>
      </w:r>
      <w:proofErr w:type="spellStart"/>
      <w:r>
        <w:rPr>
          <w:shd w:val="clear" w:color="auto" w:fill="FFFFFF"/>
        </w:rPr>
        <w:t>cf</w:t>
      </w:r>
      <w:proofErr w:type="spellEnd"/>
      <w:r>
        <w:rPr>
          <w:shd w:val="clear" w:color="auto" w:fill="FFFFFF"/>
        </w:rPr>
        <w:t xml:space="preserve"> </w:t>
      </w:r>
      <w:r>
        <w:rPr>
          <w:i/>
          <w:iCs/>
          <w:shd w:val="clear" w:color="auto" w:fill="FFFFFF"/>
        </w:rPr>
        <w:t>Fleming v The Queen</w:t>
      </w:r>
      <w:r>
        <w:rPr>
          <w:shd w:val="clear" w:color="auto" w:fill="FFFFFF"/>
        </w:rPr>
        <w:t xml:space="preserve"> (1998) 197 CLR 250 at 262-263 [28]-[29])….The Tribunal's identification of what </w:t>
      </w:r>
      <w:r w:rsidRPr="003436C4">
        <w:rPr>
          <w:i/>
          <w:iCs/>
        </w:rPr>
        <w:t>it</w:t>
      </w:r>
      <w:r>
        <w:rPr>
          <w:shd w:val="clear" w:color="auto" w:fill="FFFFFF"/>
        </w:rPr>
        <w:t xml:space="preserve"> considered to be the material questions of fact </w:t>
      </w:r>
      <w:r w:rsidRPr="003436C4">
        <w:rPr>
          <w:b/>
          <w:shd w:val="clear" w:color="auto" w:fill="FFFFFF"/>
        </w:rPr>
        <w:t>may demonstrate that it took into</w:t>
      </w:r>
      <w:r>
        <w:rPr>
          <w:shd w:val="clear" w:color="auto" w:fill="FFFFFF"/>
        </w:rPr>
        <w:t xml:space="preserve"> </w:t>
      </w:r>
      <w:r w:rsidRPr="003436C4">
        <w:rPr>
          <w:b/>
          <w:shd w:val="clear" w:color="auto" w:fill="FFFFFF"/>
        </w:rPr>
        <w:t>account</w:t>
      </w:r>
      <w:r>
        <w:rPr>
          <w:shd w:val="clear" w:color="auto" w:fill="FFFFFF"/>
        </w:rPr>
        <w:t xml:space="preserve"> some irrelevant consideration or </w:t>
      </w:r>
      <w:r w:rsidRPr="003436C4">
        <w:rPr>
          <w:b/>
          <w:shd w:val="clear" w:color="auto" w:fill="FFFFFF"/>
        </w:rPr>
        <w:t>did not take into account some relevant consideration</w:t>
      </w:r>
      <w:r>
        <w:rPr>
          <w:shd w:val="clear" w:color="auto" w:fill="FFFFFF"/>
        </w:rPr>
        <w:t xml:space="preserve"> (</w:t>
      </w:r>
      <w:r>
        <w:rPr>
          <w:i/>
          <w:iCs/>
          <w:shd w:val="clear" w:color="auto" w:fill="FFFFFF"/>
        </w:rPr>
        <w:t>Minister for Aboriginal Affairs v Peko-Wallsend Ltd</w:t>
      </w:r>
      <w:r>
        <w:rPr>
          <w:shd w:val="clear" w:color="auto" w:fill="FFFFFF"/>
        </w:rPr>
        <w:t xml:space="preserve"> (1986) 162 CLR 24).</w:t>
      </w:r>
    </w:p>
    <w:p w:rsidR="00D2279C" w:rsidRDefault="00D2279C" w:rsidP="00D2279C">
      <w:pPr>
        <w:pStyle w:val="Quote1"/>
      </w:pPr>
      <w:r>
        <w:rPr>
          <w:shd w:val="clear" w:color="auto" w:fill="FFFFFF"/>
        </w:rPr>
        <w:t>(</w:t>
      </w:r>
      <w:proofErr w:type="gramStart"/>
      <w:r>
        <w:rPr>
          <w:shd w:val="clear" w:color="auto" w:fill="FFFFFF"/>
        </w:rPr>
        <w:t>bold</w:t>
      </w:r>
      <w:proofErr w:type="gramEnd"/>
      <w:r>
        <w:rPr>
          <w:shd w:val="clear" w:color="auto" w:fill="FFFFFF"/>
        </w:rPr>
        <w:t xml:space="preserve"> emphasis added; italic emphasis in original)</w:t>
      </w:r>
    </w:p>
    <w:p w:rsidR="004B2D5B" w:rsidRDefault="00B36320" w:rsidP="00D75641">
      <w:pPr>
        <w:pStyle w:val="ParaNumbering"/>
      </w:pPr>
      <w:r>
        <w:t>I reject</w:t>
      </w:r>
      <w:r w:rsidR="009A4F3A">
        <w:t xml:space="preserve"> the Minister's argument</w:t>
      </w:r>
      <w:r w:rsidR="0099072B" w:rsidRPr="0099072B">
        <w:t xml:space="preserve"> </w:t>
      </w:r>
      <w:r w:rsidR="004B2D5B">
        <w:t>that the Tribunal considered</w:t>
      </w:r>
      <w:r w:rsidR="003436C4">
        <w:t xml:space="preserve">, </w:t>
      </w:r>
      <w:r w:rsidR="004B2D5B">
        <w:t>even if it did not mention</w:t>
      </w:r>
      <w:r>
        <w:t xml:space="preserve"> either in its reasons, each of </w:t>
      </w:r>
      <w:r w:rsidR="003436C4">
        <w:t>the material expressing T’s views</w:t>
      </w:r>
      <w:r w:rsidR="004B2D5B">
        <w:t xml:space="preserve"> </w:t>
      </w:r>
      <w:r>
        <w:t>and</w:t>
      </w:r>
      <w:r w:rsidR="00FA11D1">
        <w:t xml:space="preserve"> Ms </w:t>
      </w:r>
      <w:proofErr w:type="spellStart"/>
      <w:r w:rsidR="00FA11D1">
        <w:t>Kirlagitsi’s</w:t>
      </w:r>
      <w:proofErr w:type="spellEnd"/>
      <w:r w:rsidR="00FA11D1">
        <w:t xml:space="preserve"> opinion</w:t>
      </w:r>
      <w:r w:rsidR="0099072B">
        <w:t>, as required by pars 8.3(4</w:t>
      </w:r>
      <w:proofErr w:type="gramStart"/>
      <w:r w:rsidR="0099072B">
        <w:t>)(</w:t>
      </w:r>
      <w:proofErr w:type="gramEnd"/>
      <w:r w:rsidR="0099072B">
        <w:t>f) and (d), respectively</w:t>
      </w:r>
      <w:r w:rsidR="009A4F3A">
        <w:t xml:space="preserve">.  </w:t>
      </w:r>
    </w:p>
    <w:p w:rsidR="004B2D5B" w:rsidRDefault="004B2D5B" w:rsidP="004B2D5B">
      <w:pPr>
        <w:pStyle w:val="ParaNumbering"/>
      </w:pPr>
      <w:r>
        <w:t>By force of par 8.3</w:t>
      </w:r>
      <w:r w:rsidR="0099072B">
        <w:t>(4)</w:t>
      </w:r>
      <w:r>
        <w:t>(f), the Tribunal must consider:</w:t>
      </w:r>
    </w:p>
    <w:p w:rsidR="004B2D5B" w:rsidRDefault="00E94968" w:rsidP="004B2D5B">
      <w:pPr>
        <w:pStyle w:val="Quote1"/>
      </w:pPr>
      <w:proofErr w:type="gramStart"/>
      <w:r>
        <w:t>a</w:t>
      </w:r>
      <w:r w:rsidR="004B2D5B">
        <w:t>ny</w:t>
      </w:r>
      <w:proofErr w:type="gramEnd"/>
      <w:r w:rsidR="004B2D5B">
        <w:t xml:space="preserve"> </w:t>
      </w:r>
      <w:r w:rsidR="004B2D5B" w:rsidRPr="00E94968">
        <w:rPr>
          <w:b/>
        </w:rPr>
        <w:t>known views of the child</w:t>
      </w:r>
      <w:r w:rsidR="004B2D5B">
        <w:t xml:space="preserve"> (with </w:t>
      </w:r>
      <w:r w:rsidR="004B2D5B" w:rsidRPr="003436C4">
        <w:rPr>
          <w:b/>
        </w:rPr>
        <w:t>those views being given due weight</w:t>
      </w:r>
      <w:r w:rsidR="004B2D5B">
        <w:t xml:space="preserve"> in accordance with the a</w:t>
      </w:r>
      <w:r>
        <w:t>ge and maturity of the child)</w:t>
      </w:r>
    </w:p>
    <w:p w:rsidR="00E94968" w:rsidRDefault="00E94968" w:rsidP="004B2D5B">
      <w:pPr>
        <w:pStyle w:val="Quote1"/>
      </w:pPr>
      <w:r>
        <w:t>(</w:t>
      </w:r>
      <w:proofErr w:type="gramStart"/>
      <w:r>
        <w:t>emphasis</w:t>
      </w:r>
      <w:proofErr w:type="gramEnd"/>
      <w:r>
        <w:t xml:space="preserve"> added)</w:t>
      </w:r>
    </w:p>
    <w:p w:rsidR="00D75641" w:rsidRDefault="00E94968" w:rsidP="004B2D5B">
      <w:pPr>
        <w:pStyle w:val="ParaNumbering"/>
      </w:pPr>
      <w:r>
        <w:t xml:space="preserve">Mr </w:t>
      </w:r>
      <w:proofErr w:type="spellStart"/>
      <w:r>
        <w:t>Seau</w:t>
      </w:r>
      <w:proofErr w:type="spellEnd"/>
      <w:r>
        <w:t xml:space="preserve"> had put </w:t>
      </w:r>
      <w:r w:rsidR="003436C4">
        <w:t>to the Tribunal, in the annexure to his statement of facts, issues and contention</w:t>
      </w:r>
      <w:r w:rsidR="00FA11D1">
        <w:t>s</w:t>
      </w:r>
      <w:r w:rsidR="003436C4">
        <w:t xml:space="preserve">, </w:t>
      </w:r>
      <w:r w:rsidR="009A4F3A">
        <w:t>T’s views</w:t>
      </w:r>
      <w:r>
        <w:t xml:space="preserve">, </w:t>
      </w:r>
      <w:r w:rsidR="003436C4">
        <w:t>which she made known</w:t>
      </w:r>
      <w:r w:rsidR="009A4F3A">
        <w:t>.  She</w:t>
      </w:r>
      <w:r w:rsidR="004B2D5B">
        <w:t xml:space="preserve"> twice</w:t>
      </w:r>
      <w:r w:rsidR="009A4F3A">
        <w:t xml:space="preserve"> said in her letter t</w:t>
      </w:r>
      <w:r w:rsidR="003436C4">
        <w:t xml:space="preserve">o </w:t>
      </w:r>
      <w:r w:rsidR="0099072B">
        <w:t>the Tribunal</w:t>
      </w:r>
      <w:r w:rsidR="003436C4">
        <w:t xml:space="preserve"> t</w:t>
      </w:r>
      <w:r w:rsidR="009A4F3A">
        <w:t xml:space="preserve">hat </w:t>
      </w:r>
      <w:r w:rsidR="00D75641">
        <w:t xml:space="preserve">her uncle, Mr </w:t>
      </w:r>
      <w:proofErr w:type="spellStart"/>
      <w:r w:rsidR="00D75641">
        <w:t>Seau</w:t>
      </w:r>
      <w:proofErr w:type="spellEnd"/>
      <w:r w:rsidR="00D75641">
        <w:t>, meant “</w:t>
      </w:r>
      <w:r w:rsidR="009A4F3A">
        <w:t>the world to me</w:t>
      </w:r>
      <w:r>
        <w:t>”</w:t>
      </w:r>
      <w:r w:rsidR="00D75641">
        <w:t>. She said that “</w:t>
      </w:r>
      <w:r w:rsidR="009A4F3A">
        <w:t>He is like a dad to me</w:t>
      </w:r>
      <w:r w:rsidR="00D75641">
        <w:t xml:space="preserve">”. </w:t>
      </w:r>
      <w:r w:rsidR="009A4F3A">
        <w:t xml:space="preserve">She identified how he impacted on her life and what a significant figure he was in it.  In addition, </w:t>
      </w:r>
      <w:r w:rsidR="009A4F3A">
        <w:lastRenderedPageBreak/>
        <w:t xml:space="preserve">her birthday card or letter to Mr </w:t>
      </w:r>
      <w:proofErr w:type="spellStart"/>
      <w:r w:rsidR="009A4F3A">
        <w:t>Seau</w:t>
      </w:r>
      <w:proofErr w:type="spellEnd"/>
      <w:r w:rsidR="009A4F3A">
        <w:t>,</w:t>
      </w:r>
      <w:r w:rsidR="00D75641">
        <w:t xml:space="preserve"> expressed her love for him and </w:t>
      </w:r>
      <w:r w:rsidR="004B2D5B">
        <w:t>implored that</w:t>
      </w:r>
      <w:r w:rsidR="00D75641">
        <w:t xml:space="preserve"> “</w:t>
      </w:r>
      <w:r w:rsidR="004B2D5B">
        <w:t xml:space="preserve">I </w:t>
      </w:r>
      <w:r w:rsidR="009A4F3A">
        <w:t xml:space="preserve">wish that you were here to </w:t>
      </w:r>
      <w:r w:rsidR="009A4F3A" w:rsidRPr="007C3083">
        <w:t>celebrate</w:t>
      </w:r>
      <w:r w:rsidR="00D75641" w:rsidRPr="007C3083">
        <w:t>” and that “</w:t>
      </w:r>
      <w:r w:rsidR="004B2D5B" w:rsidRPr="007C3083">
        <w:t xml:space="preserve">I </w:t>
      </w:r>
      <w:r w:rsidR="009A4F3A" w:rsidRPr="007C3083">
        <w:t>will love you no matter wh</w:t>
      </w:r>
      <w:r w:rsidR="00D75641" w:rsidRPr="007C3083">
        <w:t>at happens”.</w:t>
      </w:r>
      <w:r w:rsidR="003436C4">
        <w:t xml:space="preserve">  The Tribunal did not state in its reasons whether or how it gave “those views … due weight” in accordance with par</w:t>
      </w:r>
      <w:r w:rsidR="00FA11D1">
        <w:t xml:space="preserve">s </w:t>
      </w:r>
      <w:r w:rsidR="003436C4">
        <w:t>8.3(4</w:t>
      </w:r>
      <w:proofErr w:type="gramStart"/>
      <w:r w:rsidR="003436C4">
        <w:t>)(</w:t>
      </w:r>
      <w:proofErr w:type="gramEnd"/>
      <w:r w:rsidR="003436C4">
        <w:t>f).</w:t>
      </w:r>
    </w:p>
    <w:p w:rsidR="00E94968" w:rsidRPr="007C3083" w:rsidRDefault="00E94968" w:rsidP="00E94968">
      <w:pPr>
        <w:pStyle w:val="ParaNumbering"/>
      </w:pPr>
      <w:r>
        <w:t xml:space="preserve">I agree with Rangiah J’s analysis in </w:t>
      </w:r>
      <w:r>
        <w:rPr>
          <w:i/>
        </w:rPr>
        <w:t xml:space="preserve">Cowgill </w:t>
      </w:r>
      <w:r>
        <w:t>[2022] FCA 1337 of the particular importance to a decision-maker’s approach</w:t>
      </w:r>
      <w:r w:rsidR="00760A23">
        <w:t>, and performance of the evaluation task,</w:t>
      </w:r>
      <w:r>
        <w:t xml:space="preserve"> in </w:t>
      </w:r>
      <w:r w:rsidR="00760A23">
        <w:t>considering the child’s best interests</w:t>
      </w:r>
      <w:r>
        <w:t xml:space="preserve"> in </w:t>
      </w:r>
      <w:r w:rsidR="00760A23">
        <w:t>a</w:t>
      </w:r>
      <w:r w:rsidR="00FA11D1">
        <w:t xml:space="preserve">ccordance with the </w:t>
      </w:r>
      <w:r w:rsidR="002079A4">
        <w:t>mandatory primary consideration</w:t>
      </w:r>
      <w:r w:rsidR="00FA11D1">
        <w:t xml:space="preserve"> in pars 8.3(4</w:t>
      </w:r>
      <w:proofErr w:type="gramStart"/>
      <w:r w:rsidR="00FA11D1">
        <w:t>)(</w:t>
      </w:r>
      <w:proofErr w:type="gramEnd"/>
      <w:r w:rsidR="00FA11D1">
        <w:t>f),</w:t>
      </w:r>
      <w:r w:rsidR="00760A23">
        <w:t xml:space="preserve"> namely</w:t>
      </w:r>
      <w:r>
        <w:t xml:space="preserve"> that it have regard to </w:t>
      </w:r>
      <w:r w:rsidR="00FA11D1">
        <w:t>the child’s</w:t>
      </w:r>
      <w:r>
        <w:t xml:space="preserve"> own expression of the importance </w:t>
      </w:r>
      <w:r w:rsidR="00760A23">
        <w:t xml:space="preserve">to </w:t>
      </w:r>
      <w:r w:rsidR="00FA11D1">
        <w:t>him or her</w:t>
      </w:r>
      <w:r w:rsidR="00760A23">
        <w:t xml:space="preserve"> </w:t>
      </w:r>
      <w:r>
        <w:t>of the person seeking review of a deci</w:t>
      </w:r>
      <w:r w:rsidR="00760A23">
        <w:t xml:space="preserve">sion affecting his or her visa.  The decision-maker must do so </w:t>
      </w:r>
      <w:r>
        <w:t xml:space="preserve">in the manner that I explained in </w:t>
      </w:r>
      <w:r>
        <w:rPr>
          <w:i/>
        </w:rPr>
        <w:t xml:space="preserve">Telstra </w:t>
      </w:r>
      <w:r>
        <w:t>176 FCR at 181-183 [10</w:t>
      </w:r>
      <w:r w:rsidR="0099072B">
        <w:t>3</w:t>
      </w:r>
      <w:r>
        <w:t xml:space="preserve">]-[112]. </w:t>
      </w:r>
    </w:p>
    <w:p w:rsidR="007C3083" w:rsidRPr="007C3083" w:rsidRDefault="004B2D5B" w:rsidP="007C3083">
      <w:pPr>
        <w:pStyle w:val="ParaNumbering"/>
      </w:pPr>
      <w:r w:rsidRPr="007C3083">
        <w:t>As</w:t>
      </w:r>
      <w:r w:rsidR="00D75641" w:rsidRPr="007C3083">
        <w:t xml:space="preserve"> Rangiah J identified in </w:t>
      </w:r>
      <w:r w:rsidR="00D75641" w:rsidRPr="007C3083">
        <w:rPr>
          <w:i/>
        </w:rPr>
        <w:t>Cowgill</w:t>
      </w:r>
      <w:r w:rsidRPr="007C3083">
        <w:rPr>
          <w:i/>
        </w:rPr>
        <w:t xml:space="preserve"> </w:t>
      </w:r>
      <w:r w:rsidRPr="007C3083">
        <w:t>[2022] FCA 1337 at [44]</w:t>
      </w:r>
      <w:r w:rsidR="00D75641" w:rsidRPr="007C3083">
        <w:t xml:space="preserve">, </w:t>
      </w:r>
      <w:r w:rsidRPr="007C3083">
        <w:t xml:space="preserve">it is </w:t>
      </w:r>
      <w:r w:rsidR="00D75641" w:rsidRPr="007C3083">
        <w:t xml:space="preserve">one thing to accept the evidence of parents or others close to a child as to how </w:t>
      </w:r>
      <w:r w:rsidR="00D75641" w:rsidRPr="007C3083">
        <w:rPr>
          <w:b/>
        </w:rPr>
        <w:t>they</w:t>
      </w:r>
      <w:r w:rsidR="00D75641" w:rsidRPr="007C3083">
        <w:t xml:space="preserve"> perceive the removal of a person from Australia may affect </w:t>
      </w:r>
      <w:r w:rsidR="00E94968">
        <w:t>the child</w:t>
      </w:r>
      <w:r w:rsidR="00D75641" w:rsidRPr="007C3083">
        <w:t>, and another to have regard to the way in which the child</w:t>
      </w:r>
      <w:r w:rsidR="00760A23">
        <w:t xml:space="preserve">, himself or herself, </w:t>
      </w:r>
      <w:r w:rsidR="007C3083" w:rsidRPr="007C3083">
        <w:t>expresses that impact</w:t>
      </w:r>
      <w:r w:rsidR="00D75641" w:rsidRPr="007C3083">
        <w:t>, having regard to the manner of expressi</w:t>
      </w:r>
      <w:r w:rsidR="007C3083" w:rsidRPr="007C3083">
        <w:t>on and his or her age</w:t>
      </w:r>
      <w:r w:rsidR="00E94968">
        <w:t>, as par 8.3(4</w:t>
      </w:r>
      <w:proofErr w:type="gramStart"/>
      <w:r w:rsidR="00E94968">
        <w:t>)(</w:t>
      </w:r>
      <w:proofErr w:type="gramEnd"/>
      <w:r w:rsidR="00E94968">
        <w:t>f) requires</w:t>
      </w:r>
      <w:r w:rsidR="00D75641" w:rsidRPr="007C3083">
        <w:t xml:space="preserve">.  </w:t>
      </w:r>
      <w:r w:rsidR="007C3083" w:rsidRPr="007C3083">
        <w:t xml:space="preserve">In </w:t>
      </w:r>
      <w:r w:rsidR="007C3083" w:rsidRPr="007C3083">
        <w:rPr>
          <w:i/>
        </w:rPr>
        <w:t xml:space="preserve">Cowgill </w:t>
      </w:r>
      <w:r w:rsidR="007C3083" w:rsidRPr="007C3083">
        <w:t>[2022] FCA 1337 at [44], his Honour found that, if the Tribunal had considered A’s letter:</w:t>
      </w:r>
    </w:p>
    <w:p w:rsidR="007C3083" w:rsidRPr="007C3083" w:rsidRDefault="0099072B" w:rsidP="007C3083">
      <w:pPr>
        <w:pStyle w:val="Quote1"/>
      </w:pPr>
      <w:r>
        <w:t>…i</w:t>
      </w:r>
      <w:r w:rsidR="007C3083" w:rsidRPr="007C3083">
        <w:t xml:space="preserve">t would have been open to the Tribunal </w:t>
      </w:r>
      <w:r w:rsidR="007C3083" w:rsidRPr="007C3083">
        <w:rPr>
          <w:b/>
        </w:rPr>
        <w:t>to accord greater weight</w:t>
      </w:r>
      <w:r w:rsidR="007C3083" w:rsidRPr="007C3083">
        <w:t xml:space="preserve"> to the daughter’s expression of her views about the effects of the removal upon her </w:t>
      </w:r>
      <w:r w:rsidR="007C3083" w:rsidRPr="007C3083">
        <w:rPr>
          <w:b/>
        </w:rPr>
        <w:t>than it did to her parents’ evidence</w:t>
      </w:r>
      <w:r w:rsidR="007C3083" w:rsidRPr="007C3083">
        <w:t>.</w:t>
      </w:r>
    </w:p>
    <w:p w:rsidR="007C3083" w:rsidRPr="007C3083" w:rsidRDefault="007C3083" w:rsidP="007C3083">
      <w:pPr>
        <w:pStyle w:val="Quote1"/>
      </w:pPr>
      <w:r w:rsidRPr="007C3083">
        <w:t>(</w:t>
      </w:r>
      <w:proofErr w:type="gramStart"/>
      <w:r w:rsidRPr="007C3083">
        <w:t>emphasis</w:t>
      </w:r>
      <w:proofErr w:type="gramEnd"/>
      <w:r w:rsidRPr="007C3083">
        <w:t xml:space="preserve"> added)</w:t>
      </w:r>
    </w:p>
    <w:p w:rsidR="00760A23" w:rsidRDefault="007C3083" w:rsidP="00E94968">
      <w:pPr>
        <w:pStyle w:val="ParaNumbering"/>
      </w:pPr>
      <w:r w:rsidRPr="007C3083">
        <w:t xml:space="preserve">There, like here, the Tribunal accepted the evidence of adults as to the adverse impact on </w:t>
      </w:r>
      <w:r w:rsidR="00E94968">
        <w:t>Mr Cowgill’s daughter, A,</w:t>
      </w:r>
      <w:r w:rsidRPr="007C3083">
        <w:t xml:space="preserve"> but</w:t>
      </w:r>
      <w:r w:rsidR="00E94968">
        <w:t xml:space="preserve"> it</w:t>
      </w:r>
      <w:r w:rsidRPr="007C3083">
        <w:t xml:space="preserve"> did </w:t>
      </w:r>
      <w:r w:rsidR="00760A23">
        <w:t>not</w:t>
      </w:r>
      <w:r w:rsidRPr="007C3083">
        <w:t xml:space="preserve"> demonstrate</w:t>
      </w:r>
      <w:r w:rsidR="00760A23">
        <w:t xml:space="preserve"> in its reasons</w:t>
      </w:r>
      <w:r w:rsidRPr="007C3083">
        <w:t xml:space="preserve"> </w:t>
      </w:r>
      <w:r w:rsidR="00E94968">
        <w:t xml:space="preserve">that </w:t>
      </w:r>
      <w:r w:rsidRPr="007C3083">
        <w:t xml:space="preserve">it had taken into account </w:t>
      </w:r>
      <w:r w:rsidR="00E94968">
        <w:t xml:space="preserve">her </w:t>
      </w:r>
      <w:r w:rsidRPr="007C3083">
        <w:t xml:space="preserve">actual views, of which it knew, </w:t>
      </w:r>
      <w:r w:rsidR="00760A23">
        <w:t xml:space="preserve">in accordance with </w:t>
      </w:r>
      <w:r w:rsidR="00760A23" w:rsidRPr="007C3083">
        <w:t>par 8.3(4)(f)</w:t>
      </w:r>
      <w:r w:rsidR="00760A23">
        <w:t xml:space="preserve"> of Direction 90</w:t>
      </w:r>
      <w:r w:rsidRPr="007C3083">
        <w:t xml:space="preserve">.  </w:t>
      </w:r>
    </w:p>
    <w:p w:rsidR="00D75641" w:rsidRDefault="00E94968" w:rsidP="00E94968">
      <w:pPr>
        <w:pStyle w:val="ParaNumbering"/>
      </w:pPr>
      <w:r>
        <w:t xml:space="preserve">Moreover, </w:t>
      </w:r>
      <w:r w:rsidR="007C3083">
        <w:t>the Tribunal made</w:t>
      </w:r>
      <w:r w:rsidR="00D75641" w:rsidRPr="007C3083">
        <w:t xml:space="preserve"> no mention </w:t>
      </w:r>
      <w:r w:rsidR="007C3083">
        <w:t>in its reasons</w:t>
      </w:r>
      <w:r w:rsidR="00D75641" w:rsidRPr="007C3083">
        <w:t xml:space="preserve"> of </w:t>
      </w:r>
      <w:r w:rsidR="007C3083">
        <w:t>T’s clearly expressed</w:t>
      </w:r>
      <w:r w:rsidR="00D75641" w:rsidRPr="007C3083">
        <w:t xml:space="preserve"> views, </w:t>
      </w:r>
      <w:r w:rsidR="00D75641">
        <w:t xml:space="preserve">or of the evidence of the psychologist, Ms </w:t>
      </w:r>
      <w:proofErr w:type="spellStart"/>
      <w:r w:rsidR="00D75641">
        <w:t>Kirlagitsi</w:t>
      </w:r>
      <w:proofErr w:type="spellEnd"/>
      <w:r>
        <w:t>,</w:t>
      </w:r>
      <w:r w:rsidR="00D75641">
        <w:t xml:space="preserve"> in considering</w:t>
      </w:r>
      <w:r>
        <w:t>,</w:t>
      </w:r>
      <w:r w:rsidR="00D75641">
        <w:t xml:space="preserve"> as the Tribunal was required</w:t>
      </w:r>
      <w:r>
        <w:t>,</w:t>
      </w:r>
      <w:r w:rsidR="00D75641">
        <w:t xml:space="preserve"> the best interest</w:t>
      </w:r>
      <w:r w:rsidR="007C3083">
        <w:t>s</w:t>
      </w:r>
      <w:r w:rsidR="00D75641">
        <w:t xml:space="preserve"> of T, in relation to</w:t>
      </w:r>
      <w:r w:rsidR="007C3083">
        <w:t xml:space="preserve"> the consideration mandated in par</w:t>
      </w:r>
      <w:r w:rsidR="002079A4">
        <w:t xml:space="preserve"> </w:t>
      </w:r>
      <w:r w:rsidR="007C3083">
        <w:t>8.3(4</w:t>
      </w:r>
      <w:proofErr w:type="gramStart"/>
      <w:r w:rsidR="007C3083">
        <w:t>)(</w:t>
      </w:r>
      <w:proofErr w:type="gramEnd"/>
      <w:r w:rsidR="007C3083">
        <w:t>d), namely,</w:t>
      </w:r>
      <w:r w:rsidR="00D75641">
        <w:t xml:space="preserve"> “[t]he likely effect that any separation from a noncitizen would have on </w:t>
      </w:r>
      <w:r w:rsidR="0099072B">
        <w:t>the</w:t>
      </w:r>
      <w:r w:rsidR="00D75641">
        <w:t xml:space="preserve"> child”.</w:t>
      </w:r>
    </w:p>
    <w:p w:rsidR="00760A23" w:rsidRDefault="00760A23" w:rsidP="00760A23">
      <w:pPr>
        <w:pStyle w:val="ParaNumbering"/>
      </w:pPr>
      <w:r>
        <w:t>The psychologist’s report related directly to the particular effect</w:t>
      </w:r>
      <w:r w:rsidR="002079A4">
        <w:t xml:space="preserve"> on</w:t>
      </w:r>
      <w:r>
        <w:t xml:space="preserve"> </w:t>
      </w:r>
      <w:r w:rsidR="00FA11D1">
        <w:t xml:space="preserve">T </w:t>
      </w:r>
      <w:r>
        <w:t xml:space="preserve">of Mr </w:t>
      </w:r>
      <w:proofErr w:type="spellStart"/>
      <w:r>
        <w:t>Seau’s</w:t>
      </w:r>
      <w:proofErr w:type="spellEnd"/>
      <w:r>
        <w:t xml:space="preserve"> provision of social and emotional support for her as a growing child</w:t>
      </w:r>
      <w:r w:rsidR="002079A4">
        <w:t xml:space="preserve"> and her need for that support</w:t>
      </w:r>
      <w:r>
        <w:t xml:space="preserve">.  That was an expert opinion as to the positive contribution Mr </w:t>
      </w:r>
      <w:proofErr w:type="spellStart"/>
      <w:r>
        <w:t>Seau</w:t>
      </w:r>
      <w:proofErr w:type="spellEnd"/>
      <w:r>
        <w:t xml:space="preserve"> had made to T</w:t>
      </w:r>
      <w:r w:rsidR="0099072B">
        <w:t>’s life and that his presence “m</w:t>
      </w:r>
      <w:r>
        <w:t xml:space="preserve">ay aid in building </w:t>
      </w:r>
      <w:r w:rsidR="0099072B">
        <w:t>her</w:t>
      </w:r>
      <w:r>
        <w:t xml:space="preserve"> socio-emotional skills’.</w:t>
      </w:r>
    </w:p>
    <w:p w:rsidR="00B42F85" w:rsidRDefault="00B42F85" w:rsidP="00D75641">
      <w:pPr>
        <w:pStyle w:val="ParaNumbering"/>
      </w:pPr>
      <w:r>
        <w:lastRenderedPageBreak/>
        <w:t xml:space="preserve">The Tribunal </w:t>
      </w:r>
      <w:r w:rsidR="00E94968">
        <w:t>had</w:t>
      </w:r>
      <w:r>
        <w:t xml:space="preserve"> to</w:t>
      </w:r>
      <w:r w:rsidR="00D75641">
        <w:t xml:space="preserve"> consider, as required </w:t>
      </w:r>
      <w:r>
        <w:t>by par</w:t>
      </w:r>
      <w:r w:rsidR="00D75641">
        <w:t xml:space="preserve"> 8.3(4)(d), the likely effect of any separation taking into account the child</w:t>
      </w:r>
      <w:r w:rsidR="00E94968">
        <w:t>’s</w:t>
      </w:r>
      <w:r w:rsidR="00D75641">
        <w:t xml:space="preserve"> and non</w:t>
      </w:r>
      <w:r w:rsidR="00E94968">
        <w:t>-</w:t>
      </w:r>
      <w:r w:rsidR="00D75641">
        <w:t xml:space="preserve">citizen’s ability to </w:t>
      </w:r>
      <w:r>
        <w:t>maintain contact in other ways.  T</w:t>
      </w:r>
      <w:r w:rsidR="00D75641">
        <w:t>he psychologist made a case for</w:t>
      </w:r>
      <w:r>
        <w:t xml:space="preserve"> Mr </w:t>
      </w:r>
      <w:proofErr w:type="spellStart"/>
      <w:r>
        <w:t>Seau’s</w:t>
      </w:r>
      <w:proofErr w:type="spellEnd"/>
      <w:r w:rsidR="00D75641">
        <w:t xml:space="preserve"> physical presence as </w:t>
      </w:r>
      <w:r>
        <w:t>an</w:t>
      </w:r>
      <w:r w:rsidR="00D75641">
        <w:t xml:space="preserve"> important </w:t>
      </w:r>
      <w:r>
        <w:t xml:space="preserve">matter in the child’s life. Yet, in its reasons, the Tribunal </w:t>
      </w:r>
      <w:r w:rsidR="00E94968">
        <w:t>made no reference at any point to those or T’s views</w:t>
      </w:r>
      <w:r>
        <w:t>.</w:t>
      </w:r>
      <w:r w:rsidR="00E94968">
        <w:t xml:space="preserve">  I infer that this was because, contrary to its obligation to take each of those matters into account, it did not consider them: </w:t>
      </w:r>
      <w:r w:rsidR="00E94968">
        <w:rPr>
          <w:i/>
        </w:rPr>
        <w:t xml:space="preserve">Yusuf </w:t>
      </w:r>
      <w:r w:rsidR="00E94968">
        <w:t xml:space="preserve">206 CLR at 346 [69]; </w:t>
      </w:r>
      <w:r w:rsidR="00E94968">
        <w:rPr>
          <w:i/>
        </w:rPr>
        <w:t xml:space="preserve">Telstra </w:t>
      </w:r>
      <w:r w:rsidR="00E94968">
        <w:t xml:space="preserve">176 FCR at 181 [105]; </w:t>
      </w:r>
      <w:r w:rsidR="00E94968">
        <w:rPr>
          <w:i/>
        </w:rPr>
        <w:t xml:space="preserve">East Australian Pipeline </w:t>
      </w:r>
      <w:r w:rsidR="00E94968">
        <w:t xml:space="preserve">233 CLR at 344 [53]; </w:t>
      </w:r>
      <w:r w:rsidR="00E94968">
        <w:rPr>
          <w:i/>
        </w:rPr>
        <w:t xml:space="preserve">Cowgill </w:t>
      </w:r>
      <w:r w:rsidR="00E94968">
        <w:t xml:space="preserve">[2022] FCA 1337 at [44]. </w:t>
      </w:r>
    </w:p>
    <w:p w:rsidR="00D75641" w:rsidRDefault="00E94968" w:rsidP="00D75641">
      <w:pPr>
        <w:pStyle w:val="ParaNumbering"/>
      </w:pPr>
      <w:r>
        <w:t>For these reasons, I am of opinion that</w:t>
      </w:r>
      <w:r w:rsidR="00D75641">
        <w:t xml:space="preserve"> the Tribunal made </w:t>
      </w:r>
      <w:r w:rsidR="00760A23">
        <w:t>two</w:t>
      </w:r>
      <w:r w:rsidR="00D75641">
        <w:t xml:space="preserve"> jurisdictional error</w:t>
      </w:r>
      <w:r w:rsidR="00760A23">
        <w:t>s</w:t>
      </w:r>
      <w:r w:rsidR="00D75641">
        <w:t xml:space="preserve"> in failing to take into account</w:t>
      </w:r>
      <w:r>
        <w:t>, as required by</w:t>
      </w:r>
      <w:r w:rsidR="00C65E48">
        <w:t xml:space="preserve"> each of</w:t>
      </w:r>
      <w:r>
        <w:t xml:space="preserve"> pars 8.3(4</w:t>
      </w:r>
      <w:proofErr w:type="gramStart"/>
      <w:r>
        <w:t>)(</w:t>
      </w:r>
      <w:proofErr w:type="gramEnd"/>
      <w:r>
        <w:t>f) and (d) of Direction 90</w:t>
      </w:r>
      <w:r w:rsidR="00C65E48">
        <w:t>,</w:t>
      </w:r>
      <w:r w:rsidR="00D75641">
        <w:t xml:space="preserve"> </w:t>
      </w:r>
      <w:r w:rsidR="00B42F85">
        <w:t xml:space="preserve">as a fundamental element in making its </w:t>
      </w:r>
      <w:r w:rsidR="00C65E48">
        <w:t>decision,</w:t>
      </w:r>
      <w:r w:rsidR="00D75641">
        <w:t xml:space="preserve"> the </w:t>
      </w:r>
      <w:r w:rsidR="00B42F85">
        <w:t xml:space="preserve">expressed </w:t>
      </w:r>
      <w:r w:rsidR="00D75641">
        <w:t xml:space="preserve">views of </w:t>
      </w:r>
      <w:r w:rsidR="00C65E48">
        <w:t>either T or the</w:t>
      </w:r>
      <w:r w:rsidR="00D75641">
        <w:t xml:space="preserve"> psychologist as to the impact on her, of </w:t>
      </w:r>
      <w:r w:rsidR="00B42F85">
        <w:t xml:space="preserve">Mr </w:t>
      </w:r>
      <w:proofErr w:type="spellStart"/>
      <w:r w:rsidR="00B42F85">
        <w:t>Seau’s</w:t>
      </w:r>
      <w:proofErr w:type="spellEnd"/>
      <w:r w:rsidR="00B42F85">
        <w:t xml:space="preserve"> </w:t>
      </w:r>
      <w:r w:rsidR="00D75641">
        <w:t>removal</w:t>
      </w:r>
      <w:r w:rsidR="00B42F85">
        <w:t>,</w:t>
      </w:r>
      <w:r w:rsidR="00D75641">
        <w:t xml:space="preserve"> over and above the evidence </w:t>
      </w:r>
      <w:r w:rsidR="00B42F85">
        <w:t xml:space="preserve">of Mr </w:t>
      </w:r>
      <w:proofErr w:type="spellStart"/>
      <w:r w:rsidR="00B42F85">
        <w:t>Seau</w:t>
      </w:r>
      <w:proofErr w:type="spellEnd"/>
      <w:r w:rsidR="00B42F85">
        <w:t xml:space="preserve"> and other witnesses</w:t>
      </w:r>
      <w:r w:rsidR="00760A23">
        <w:t>,</w:t>
      </w:r>
      <w:r w:rsidR="00B42F85">
        <w:t xml:space="preserve"> </w:t>
      </w:r>
      <w:r w:rsidR="0099072B">
        <w:t>which it accepted</w:t>
      </w:r>
      <w:r w:rsidR="00D75641">
        <w:t xml:space="preserve"> weigh</w:t>
      </w:r>
      <w:r w:rsidR="00B42F85">
        <w:t>ed</w:t>
      </w:r>
      <w:r w:rsidR="00D75641">
        <w:t xml:space="preserve"> heavily in favour of revocation.  </w:t>
      </w:r>
    </w:p>
    <w:p w:rsidR="00D75641" w:rsidRDefault="00D75641" w:rsidP="00D75641">
      <w:pPr>
        <w:pStyle w:val="ParaNumbering"/>
      </w:pPr>
      <w:r>
        <w:t>I reject the Minister's argument that</w:t>
      </w:r>
      <w:r w:rsidR="00B42F85">
        <w:t>,</w:t>
      </w:r>
      <w:r>
        <w:t xml:space="preserve"> notwithstanding this</w:t>
      </w:r>
      <w:r w:rsidR="00B42F85">
        <w:t xml:space="preserve"> failure to refer expressly to either of those matters</w:t>
      </w:r>
      <w:r>
        <w:t xml:space="preserve">, that </w:t>
      </w:r>
      <w:r w:rsidR="00B42F85">
        <w:t>any error was</w:t>
      </w:r>
      <w:r>
        <w:t xml:space="preserve"> not material.  In </w:t>
      </w:r>
      <w:proofErr w:type="spellStart"/>
      <w:r w:rsidRPr="0099072B">
        <w:rPr>
          <w:i/>
        </w:rPr>
        <w:t>Nathanson</w:t>
      </w:r>
      <w:proofErr w:type="spellEnd"/>
      <w:r w:rsidRPr="0099072B">
        <w:rPr>
          <w:i/>
        </w:rPr>
        <w:t xml:space="preserve"> v Minister for Home Affairs</w:t>
      </w:r>
      <w:r w:rsidR="00B42F85" w:rsidRPr="0099072B">
        <w:t xml:space="preserve"> (2022)</w:t>
      </w:r>
      <w:r w:rsidRPr="0099072B">
        <w:t xml:space="preserve"> 403 ALR 398</w:t>
      </w:r>
      <w:r>
        <w:t xml:space="preserve"> at 410</w:t>
      </w:r>
      <w:r w:rsidR="00C65E48">
        <w:t xml:space="preserve"> [33]</w:t>
      </w:r>
      <w:r>
        <w:t>, Kiefel CJ, Keane and Gleeson J</w:t>
      </w:r>
      <w:r w:rsidR="00C65E48">
        <w:t>J</w:t>
      </w:r>
      <w:r>
        <w:t xml:space="preserve"> explained that: </w:t>
      </w:r>
    </w:p>
    <w:p w:rsidR="0099072B" w:rsidRDefault="00D75641" w:rsidP="0099072B">
      <w:pPr>
        <w:pStyle w:val="Quote1"/>
      </w:pPr>
      <w:r w:rsidRPr="00D75641">
        <w:t>There will generally be a realistic possibility that a decision-making process could have resulted in a different outcome if a party was denied an opportunity to present evidence or make submissions on an issue</w:t>
      </w:r>
      <w:r>
        <w:t xml:space="preserve"> that required consideration</w:t>
      </w:r>
      <w:r w:rsidRPr="00D75641">
        <w:t xml:space="preserve">. </w:t>
      </w:r>
      <w:r w:rsidRPr="00B42F85">
        <w:rPr>
          <w:b/>
        </w:rPr>
        <w:t>The standard of "reasonable conjecture" is undemanding.</w:t>
      </w:r>
      <w:r w:rsidRPr="00D75641">
        <w:t xml:space="preserve"> It recognises that a fundamental purpose of affording procedural fairness is to afford an opportunity to raise relevant matters which are not already obvious, or not liable to be advanced by the apparently persuasive "</w:t>
      </w:r>
      <w:r>
        <w:t>story" of the opposing party</w:t>
      </w:r>
      <w:r w:rsidRPr="00D75641">
        <w:t>. Where a Tribunal errs by denying a party a reasonable opportunity to present their case, "reasonable conjecture" does not require demonstration of how that party might have taken advant</w:t>
      </w:r>
      <w:r>
        <w:t>age of that lost opportunity</w:t>
      </w:r>
      <w:r w:rsidRPr="00D75641">
        <w:t xml:space="preserve">. Nothing said in </w:t>
      </w:r>
      <w:r w:rsidRPr="0099072B">
        <w:rPr>
          <w:i/>
        </w:rPr>
        <w:t>MZAPC</w:t>
      </w:r>
      <w:r w:rsidRPr="00D75641">
        <w:t xml:space="preserve"> denies this. To the contrary, </w:t>
      </w:r>
      <w:r w:rsidRPr="00B42F85">
        <w:rPr>
          <w:b/>
        </w:rPr>
        <w:t>the standard of "reasonable conjecture", correctly applied, proceeds on assumptions that are derived from the rationale for procedural fairness</w:t>
      </w:r>
      <w:r w:rsidRPr="00D75641">
        <w:t xml:space="preserve">, namely that, if given a fair opportunity to present their case, a party will take advantage of that opportunity and that, by doing so, the party could achieve a favourable outcome.   </w:t>
      </w:r>
    </w:p>
    <w:p w:rsidR="0099072B" w:rsidRDefault="0099072B" w:rsidP="0099072B">
      <w:pPr>
        <w:pStyle w:val="Quote1"/>
      </w:pPr>
      <w:r>
        <w:rPr>
          <w:shd w:val="clear" w:color="auto" w:fill="FFFFFF"/>
        </w:rPr>
        <w:t>(</w:t>
      </w:r>
      <w:proofErr w:type="gramStart"/>
      <w:r>
        <w:rPr>
          <w:shd w:val="clear" w:color="auto" w:fill="FFFFFF"/>
        </w:rPr>
        <w:t>bold</w:t>
      </w:r>
      <w:proofErr w:type="gramEnd"/>
      <w:r>
        <w:rPr>
          <w:shd w:val="clear" w:color="auto" w:fill="FFFFFF"/>
        </w:rPr>
        <w:t xml:space="preserve"> emphasis added; italic emphasis in original)</w:t>
      </w:r>
    </w:p>
    <w:p w:rsidR="00FA11D1" w:rsidRDefault="00D75641" w:rsidP="00885F65">
      <w:pPr>
        <w:pStyle w:val="ParaNumbering"/>
      </w:pPr>
      <w:r>
        <w:t xml:space="preserve">In </w:t>
      </w:r>
      <w:r w:rsidR="00C65E48">
        <w:t xml:space="preserve">explaining how </w:t>
      </w:r>
      <w:r w:rsidR="00760A23">
        <w:t>it undertook</w:t>
      </w:r>
      <w:r>
        <w:t xml:space="preserve"> at its overall weighing process in </w:t>
      </w:r>
      <w:r w:rsidR="00B42F85">
        <w:t>par 118</w:t>
      </w:r>
      <w:r>
        <w:t xml:space="preserve"> of its reasons, the Tribunal found that relevantly, a number of factors weighed in favour of revocation, but </w:t>
      </w:r>
      <w:r w:rsidR="00C65E48">
        <w:t xml:space="preserve">it </w:t>
      </w:r>
      <w:r>
        <w:t xml:space="preserve">gave greater weight to </w:t>
      </w:r>
      <w:r w:rsidR="0099072B">
        <w:t>factors</w:t>
      </w:r>
      <w:r>
        <w:t xml:space="preserve"> against it.  The best interests of T were a primary relevant consideration</w:t>
      </w:r>
      <w:r w:rsidR="00B70673">
        <w:t xml:space="preserve"> because </w:t>
      </w:r>
      <w:r w:rsidR="0035063F">
        <w:t>par 8(3) and</w:t>
      </w:r>
      <w:r w:rsidR="00760A23">
        <w:t xml:space="preserve"> each of pars 8.3(4</w:t>
      </w:r>
      <w:proofErr w:type="gramStart"/>
      <w:r w:rsidR="00760A23">
        <w:t>)(</w:t>
      </w:r>
      <w:proofErr w:type="gramEnd"/>
      <w:r w:rsidR="00760A23">
        <w:t xml:space="preserve">d) and (f) specified factors that a decision-maker had </w:t>
      </w:r>
      <w:r w:rsidR="00760A23" w:rsidRPr="004F152E">
        <w:t>to take into account as</w:t>
      </w:r>
      <w:r w:rsidR="0035063F" w:rsidRPr="004F152E">
        <w:t xml:space="preserve"> a fundamental element in </w:t>
      </w:r>
      <w:r w:rsidR="00760A23" w:rsidRPr="004F152E">
        <w:t>its</w:t>
      </w:r>
      <w:r w:rsidR="0035063F" w:rsidRPr="004F152E">
        <w:t xml:space="preserve"> decision-making</w:t>
      </w:r>
      <w:r w:rsidRPr="004F152E">
        <w:t xml:space="preserve">.  </w:t>
      </w:r>
      <w:r w:rsidR="00FA11D1" w:rsidRPr="004F152E">
        <w:t xml:space="preserve">In </w:t>
      </w:r>
      <w:r w:rsidR="00FA11D1" w:rsidRPr="004F152E">
        <w:rPr>
          <w:i/>
        </w:rPr>
        <w:t xml:space="preserve">Telstra </w:t>
      </w:r>
      <w:r w:rsidR="00FA11D1" w:rsidRPr="0099072B">
        <w:t>176</w:t>
      </w:r>
      <w:r w:rsidR="00FA11D1" w:rsidRPr="004F152E">
        <w:rPr>
          <w:i/>
        </w:rPr>
        <w:t xml:space="preserve"> </w:t>
      </w:r>
      <w:r w:rsidR="00FA11D1" w:rsidRPr="004F152E">
        <w:t>FCR at 182-183 [108]-[110], I explained:</w:t>
      </w:r>
      <w:r w:rsidR="00FA11D1">
        <w:t xml:space="preserve"> </w:t>
      </w:r>
    </w:p>
    <w:p w:rsidR="004F152E" w:rsidRDefault="004F152E" w:rsidP="004F152E">
      <w:pPr>
        <w:pStyle w:val="Quote1"/>
        <w:ind w:left="1440" w:hanging="703"/>
        <w:rPr>
          <w:lang w:eastAsia="en-AU"/>
        </w:rPr>
      </w:pPr>
      <w:r>
        <w:t xml:space="preserve">108. </w:t>
      </w:r>
      <w:r>
        <w:tab/>
        <w:t xml:space="preserve">Because s </w:t>
      </w:r>
      <w:proofErr w:type="gramStart"/>
      <w:r>
        <w:t>152CR(</w:t>
      </w:r>
      <w:proofErr w:type="gramEnd"/>
      <w:r>
        <w:t xml:space="preserve">1) required it to take into account each of the seven specified </w:t>
      </w:r>
      <w:r>
        <w:lastRenderedPageBreak/>
        <w:t xml:space="preserve">factors, the Commission had to give each of them appropriate consideration in arriving at its final determination.  </w:t>
      </w:r>
      <w:r>
        <w:rPr>
          <w:b/>
          <w:bCs/>
        </w:rPr>
        <w:t>The number and variety of factors which a statute requires a decision-maker to take into account or to have regard to in arriving at a decision necessarily affects the weight any one of those factors must be given in the deliberative process</w:t>
      </w:r>
      <w:r>
        <w:t>.  In </w:t>
      </w:r>
      <w:r>
        <w:rPr>
          <w:i/>
          <w:iCs/>
        </w:rPr>
        <w:t>Sean Investments</w:t>
      </w:r>
      <w:r>
        <w:t> 180 CLR 322, the costs were fundamental - or foundational - because they were the only matter which the statute prescribed.  The subject matter, scope and purpose of the statutory power provide a context in which to assess the duties it imposes on the decision-maker i</w:t>
      </w:r>
      <w:r w:rsidR="0099072B">
        <w:t xml:space="preserve">n any particular situation:  </w:t>
      </w:r>
      <w:proofErr w:type="spellStart"/>
      <w:r w:rsidR="0099072B">
        <w:t>cf</w:t>
      </w:r>
      <w:proofErr w:type="spellEnd"/>
      <w:r>
        <w:t>  </w:t>
      </w:r>
      <w:r>
        <w:rPr>
          <w:i/>
          <w:iCs/>
        </w:rPr>
        <w:t>Foster v Minister for Customs</w:t>
      </w:r>
      <w:r>
        <w:t> (2000) 200 CLR 442 at [22]-[23] per Gleeson CJ and McHugh J, Gaudron and Hayne JJ agreeing with their Honours at [32].</w:t>
      </w:r>
    </w:p>
    <w:p w:rsidR="004F152E" w:rsidRDefault="004F152E" w:rsidP="004F152E">
      <w:pPr>
        <w:pStyle w:val="Quote1"/>
        <w:ind w:left="1440" w:hanging="703"/>
      </w:pPr>
      <w:r>
        <w:rPr>
          <w:sz w:val="20"/>
        </w:rPr>
        <w:t xml:space="preserve">109. </w:t>
      </w:r>
      <w:r>
        <w:rPr>
          <w:sz w:val="20"/>
        </w:rPr>
        <w:tab/>
      </w:r>
      <w:r>
        <w:t xml:space="preserve">Here, s </w:t>
      </w:r>
      <w:proofErr w:type="gramStart"/>
      <w:r>
        <w:t>152CR(</w:t>
      </w:r>
      <w:proofErr w:type="gramEnd"/>
      <w:r>
        <w:t xml:space="preserve">1) prescribes a number of matters for consideration.  This is a sure legislative indication that these matters must be central matters for the Commission.  But, </w:t>
      </w:r>
      <w:r>
        <w:rPr>
          <w:b/>
          <w:bCs/>
        </w:rPr>
        <w:t xml:space="preserve">because s </w:t>
      </w:r>
      <w:proofErr w:type="gramStart"/>
      <w:r>
        <w:rPr>
          <w:b/>
          <w:bCs/>
        </w:rPr>
        <w:t>152CR(</w:t>
      </w:r>
      <w:proofErr w:type="gramEnd"/>
      <w:r>
        <w:rPr>
          <w:b/>
          <w:bCs/>
        </w:rPr>
        <w:t xml:space="preserve">2) expressly widens the range of matters which the Commission may consider, it is authorised to arrive at a final determination, after due consideration, which accords more weight to some other factor or factors than those in s 152CR(1).  Indeed, the factors in s </w:t>
      </w:r>
      <w:proofErr w:type="gramStart"/>
      <w:r>
        <w:rPr>
          <w:b/>
          <w:bCs/>
        </w:rPr>
        <w:t>152CR(</w:t>
      </w:r>
      <w:proofErr w:type="gramEnd"/>
      <w:r>
        <w:rPr>
          <w:b/>
          <w:bCs/>
        </w:rPr>
        <w:t>1) itself tend in different directions</w:t>
      </w:r>
      <w:r>
        <w:t>.  The interests of a carrier (s </w:t>
      </w:r>
      <w:proofErr w:type="gramStart"/>
      <w:r>
        <w:t>152CR(</w:t>
      </w:r>
      <w:proofErr w:type="gramEnd"/>
      <w:r>
        <w:t xml:space="preserve">1)(b)) and those of all persons who have a right to use a declared service (s 152CR(1)(c)) more often than not will be opposed.  If the Commission were to give fundamental weight to each in the sense which Telstra argued, how could it arrive at a decision favouring one at the expense of the other?  </w:t>
      </w:r>
      <w:proofErr w:type="spellStart"/>
      <w:r>
        <w:t>cf</w:t>
      </w:r>
      <w:proofErr w:type="spellEnd"/>
      <w:r>
        <w:t> </w:t>
      </w:r>
      <w:r>
        <w:rPr>
          <w:i/>
          <w:iCs/>
        </w:rPr>
        <w:t>Telstra Corporation Limited v Australian Competition and Consumer Commission </w:t>
      </w:r>
      <w:r>
        <w:t>[2008] FCA 1436 at [311]-[312] per Lindgren J.</w:t>
      </w:r>
    </w:p>
    <w:p w:rsidR="0099072B" w:rsidRDefault="004F152E" w:rsidP="0099072B">
      <w:pPr>
        <w:pStyle w:val="Quote1"/>
        <w:ind w:left="1440" w:hanging="703"/>
      </w:pPr>
      <w:r>
        <w:rPr>
          <w:sz w:val="20"/>
        </w:rPr>
        <w:t>110.</w:t>
      </w:r>
      <w:r>
        <w:rPr>
          <w:sz w:val="20"/>
        </w:rPr>
        <w:tab/>
        <w:t> </w:t>
      </w:r>
      <w:r>
        <w:t xml:space="preserve">I am of opinion that </w:t>
      </w:r>
      <w:r w:rsidRPr="004F152E">
        <w:rPr>
          <w:b/>
        </w:rPr>
        <w:t>the sense in which the High Court used the expression “fundamental weight” in this context is to require the decision-maker to treat the </w:t>
      </w:r>
      <w:r w:rsidRPr="004F152E">
        <w:rPr>
          <w:b/>
          <w:i/>
          <w:iCs/>
        </w:rPr>
        <w:t>consideration</w:t>
      </w:r>
      <w:r w:rsidRPr="004F152E">
        <w:rPr>
          <w:b/>
        </w:rPr>
        <w:t> of the factors, as opposed to the factors themselves, as a central element in the deliberative process:  </w:t>
      </w:r>
      <w:proofErr w:type="spellStart"/>
      <w:r w:rsidRPr="004F152E">
        <w:rPr>
          <w:b/>
          <w:i/>
          <w:iCs/>
        </w:rPr>
        <w:t>Meneling</w:t>
      </w:r>
      <w:proofErr w:type="spellEnd"/>
      <w:r w:rsidRPr="004F152E">
        <w:rPr>
          <w:b/>
          <w:i/>
          <w:iCs/>
        </w:rPr>
        <w:t xml:space="preserve"> Station </w:t>
      </w:r>
      <w:r w:rsidRPr="004F152E">
        <w:rPr>
          <w:b/>
        </w:rPr>
        <w:t xml:space="preserve">158 CLR at 338 per Mason J.  In this way the decision-maker will give appropriate weight to those factors.  </w:t>
      </w:r>
      <w:r>
        <w:t xml:space="preserve">The Parliament sought to ensure that the Commission would give proper, genuine and realistic consideration to each of the factors it specified in s </w:t>
      </w:r>
      <w:proofErr w:type="gramStart"/>
      <w:r>
        <w:t>152CR(</w:t>
      </w:r>
      <w:proofErr w:type="gramEnd"/>
      <w:r>
        <w:t>1) but without confining it to those matters, as s 152CR(2) showed.  Such consideration must be reflected in the Commission’s reasons for its decision.</w:t>
      </w:r>
    </w:p>
    <w:p w:rsidR="0099072B" w:rsidRDefault="0099072B" w:rsidP="0099072B">
      <w:pPr>
        <w:pStyle w:val="Quote1"/>
        <w:ind w:left="1440" w:hanging="703"/>
      </w:pPr>
      <w:r>
        <w:rPr>
          <w:shd w:val="clear" w:color="auto" w:fill="FFFFFF"/>
        </w:rPr>
        <w:t>(</w:t>
      </w:r>
      <w:proofErr w:type="gramStart"/>
      <w:r>
        <w:rPr>
          <w:shd w:val="clear" w:color="auto" w:fill="FFFFFF"/>
        </w:rPr>
        <w:t>bold</w:t>
      </w:r>
      <w:proofErr w:type="gramEnd"/>
      <w:r>
        <w:rPr>
          <w:shd w:val="clear" w:color="auto" w:fill="FFFFFF"/>
        </w:rPr>
        <w:t xml:space="preserve"> emphasis added; italic emphasis in original)</w:t>
      </w:r>
    </w:p>
    <w:p w:rsidR="00C65E48" w:rsidRDefault="0035063F" w:rsidP="00885F65">
      <w:pPr>
        <w:pStyle w:val="ParaNumbering"/>
      </w:pPr>
      <w:r>
        <w:t>It can be accepted that the Tribunal found</w:t>
      </w:r>
      <w:r w:rsidR="00C65E48">
        <w:t>, without taking into account either</w:t>
      </w:r>
      <w:r>
        <w:t xml:space="preserve"> T’s known views </w:t>
      </w:r>
      <w:r w:rsidR="00C65E48">
        <w:t>or</w:t>
      </w:r>
      <w:r>
        <w:t xml:space="preserve"> Ms </w:t>
      </w:r>
      <w:proofErr w:type="spellStart"/>
      <w:r>
        <w:t>Kirlagitsi’s</w:t>
      </w:r>
      <w:proofErr w:type="spellEnd"/>
      <w:r>
        <w:t xml:space="preserve"> opinions</w:t>
      </w:r>
      <w:r w:rsidR="00D75641">
        <w:t xml:space="preserve">, </w:t>
      </w:r>
      <w:r w:rsidR="00C65E48">
        <w:t xml:space="preserve">that </w:t>
      </w:r>
      <w:r w:rsidR="00D75641">
        <w:t xml:space="preserve">the evidence of Mr </w:t>
      </w:r>
      <w:proofErr w:type="spellStart"/>
      <w:r w:rsidR="00D75641">
        <w:t>Seau</w:t>
      </w:r>
      <w:proofErr w:type="spellEnd"/>
      <w:r w:rsidR="00D75641">
        <w:t xml:space="preserve"> and Ms CH established</w:t>
      </w:r>
      <w:r w:rsidR="00760A23">
        <w:t>, based on their (but not T’s) expressed views,</w:t>
      </w:r>
      <w:r w:rsidR="00D75641">
        <w:t xml:space="preserve"> the closeness of his relationship with T and that her best interests weighed </w:t>
      </w:r>
      <w:r>
        <w:t>heavily in favour of revocation.  However, th</w:t>
      </w:r>
      <w:r w:rsidR="00D75641">
        <w:t xml:space="preserve">e Tribunal did not </w:t>
      </w:r>
      <w:r>
        <w:t>take</w:t>
      </w:r>
      <w:r w:rsidR="00D75641">
        <w:t xml:space="preserve"> into account </w:t>
      </w:r>
      <w:r>
        <w:t xml:space="preserve">the relevant mandatory considerations </w:t>
      </w:r>
      <w:r w:rsidR="004F152E">
        <w:t>in pars 8.3(4</w:t>
      </w:r>
      <w:proofErr w:type="gramStart"/>
      <w:r w:rsidR="004F152E">
        <w:t>)(</w:t>
      </w:r>
      <w:proofErr w:type="gramEnd"/>
      <w:r w:rsidR="004F152E">
        <w:t xml:space="preserve">d) and, </w:t>
      </w:r>
      <w:r w:rsidR="00C65E48">
        <w:t xml:space="preserve">in particular, </w:t>
      </w:r>
      <w:r>
        <w:t>(f) in dealing with that other evidence</w:t>
      </w:r>
      <w:r w:rsidR="00D75641">
        <w:t>.  Thus</w:t>
      </w:r>
      <w:r>
        <w:t>,</w:t>
      </w:r>
      <w:r w:rsidR="00D75641">
        <w:t xml:space="preserve"> in </w:t>
      </w:r>
      <w:r>
        <w:t xml:space="preserve">undertaking </w:t>
      </w:r>
      <w:r w:rsidR="00D75641">
        <w:t xml:space="preserve">its overall weighing process, as </w:t>
      </w:r>
      <w:r>
        <w:t>it explained in par 118</w:t>
      </w:r>
      <w:r w:rsidR="00D75641">
        <w:t xml:space="preserve">, </w:t>
      </w:r>
      <w:r>
        <w:t>it weighed</w:t>
      </w:r>
      <w:r w:rsidR="00C65E48">
        <w:t xml:space="preserve"> only</w:t>
      </w:r>
      <w:r>
        <w:t xml:space="preserve"> </w:t>
      </w:r>
      <w:r w:rsidR="00D75641">
        <w:t>the particular factors</w:t>
      </w:r>
      <w:r>
        <w:t xml:space="preserve"> that it specified</w:t>
      </w:r>
      <w:r w:rsidR="00D75641">
        <w:t xml:space="preserve"> which</w:t>
      </w:r>
      <w:r>
        <w:t xml:space="preserve"> led</w:t>
      </w:r>
      <w:r w:rsidR="00D75641">
        <w:t xml:space="preserve"> ultimately to its decision</w:t>
      </w:r>
      <w:r>
        <w:t xml:space="preserve">.  </w:t>
      </w:r>
    </w:p>
    <w:p w:rsidR="00D75641" w:rsidRDefault="00760A23" w:rsidP="00885F65">
      <w:pPr>
        <w:pStyle w:val="ParaNumbering"/>
      </w:pPr>
      <w:r>
        <w:t>I am of opinion that,</w:t>
      </w:r>
      <w:r w:rsidR="0035063F">
        <w:t xml:space="preserve"> </w:t>
      </w:r>
      <w:r>
        <w:t xml:space="preserve">notwithstanding that the Tribunal already regarded the best interests of T as weighing heavily in favour of revocation, </w:t>
      </w:r>
      <w:r w:rsidR="0035063F">
        <w:t>its ultimate allocation of</w:t>
      </w:r>
      <w:r w:rsidR="0099072B">
        <w:t xml:space="preserve"> weight may have been </w:t>
      </w:r>
      <w:r w:rsidR="0099072B">
        <w:lastRenderedPageBreak/>
        <w:t xml:space="preserve">affected </w:t>
      </w:r>
      <w:r w:rsidR="0035063F">
        <w:t xml:space="preserve">had it taken T’s </w:t>
      </w:r>
      <w:r w:rsidR="007E615F">
        <w:t xml:space="preserve">expressed views </w:t>
      </w:r>
      <w:r w:rsidR="0035063F">
        <w:t>and</w:t>
      </w:r>
      <w:r w:rsidR="00C65E48">
        <w:t>, possibly,</w:t>
      </w:r>
      <w:r w:rsidR="0035063F">
        <w:t xml:space="preserve"> Ms </w:t>
      </w:r>
      <w:proofErr w:type="spellStart"/>
      <w:r w:rsidR="0035063F">
        <w:t>Kirlagitsi’s</w:t>
      </w:r>
      <w:proofErr w:type="spellEnd"/>
      <w:r w:rsidR="0035063F">
        <w:t xml:space="preserve"> evidence</w:t>
      </w:r>
      <w:r w:rsidR="004F152E">
        <w:t>,</w:t>
      </w:r>
      <w:r w:rsidR="0035063F">
        <w:t xml:space="preserve"> into account as s 499(2A) and D</w:t>
      </w:r>
      <w:r w:rsidR="00C65E48">
        <w:t xml:space="preserve">irection 90 required, and, that, had it done so, one or both </w:t>
      </w:r>
      <w:r w:rsidR="0035063F">
        <w:t>may have proved</w:t>
      </w:r>
      <w:r w:rsidR="00D75641">
        <w:t xml:space="preserve"> determinative</w:t>
      </w:r>
      <w:r w:rsidR="004F152E">
        <w:t xml:space="preserve">: </w:t>
      </w:r>
      <w:r w:rsidR="004F152E">
        <w:rPr>
          <w:i/>
        </w:rPr>
        <w:t xml:space="preserve">Telstra </w:t>
      </w:r>
      <w:r w:rsidR="004F152E">
        <w:t>176 FCR at 182-183 [110]</w:t>
      </w:r>
      <w:r w:rsidR="00D75641">
        <w:t xml:space="preserve">.  That is what Mr </w:t>
      </w:r>
      <w:proofErr w:type="spellStart"/>
      <w:r w:rsidR="00D75641">
        <w:t>Seau</w:t>
      </w:r>
      <w:proofErr w:type="spellEnd"/>
      <w:r w:rsidR="00D75641">
        <w:t xml:space="preserve"> </w:t>
      </w:r>
      <w:r w:rsidR="00C65E48">
        <w:t>asked it to do</w:t>
      </w:r>
      <w:r w:rsidR="00D75641">
        <w:t xml:space="preserve">, as the Tribunal recorded in </w:t>
      </w:r>
      <w:r w:rsidR="0035063F">
        <w:t>par 65.</w:t>
      </w:r>
    </w:p>
    <w:p w:rsidR="0035063F" w:rsidRDefault="00C65E48" w:rsidP="00885F65">
      <w:pPr>
        <w:pStyle w:val="ParaNumbering"/>
      </w:pPr>
      <w:r>
        <w:t>In</w:t>
      </w:r>
      <w:r w:rsidR="00D75641">
        <w:t xml:space="preserve"> </w:t>
      </w:r>
      <w:proofErr w:type="spellStart"/>
      <w:r w:rsidR="00D75641" w:rsidRPr="00885F65">
        <w:rPr>
          <w:i/>
        </w:rPr>
        <w:t>Nathanson</w:t>
      </w:r>
      <w:proofErr w:type="spellEnd"/>
      <w:r w:rsidR="00D75641">
        <w:t xml:space="preserve"> at 403 ALR</w:t>
      </w:r>
      <w:r w:rsidR="0035063F">
        <w:t xml:space="preserve"> at </w:t>
      </w:r>
      <w:r>
        <w:t>410</w:t>
      </w:r>
      <w:r w:rsidR="0035063F">
        <w:t xml:space="preserve"> </w:t>
      </w:r>
      <w:r w:rsidR="00D75641">
        <w:t xml:space="preserve">[33], </w:t>
      </w:r>
      <w:r>
        <w:t xml:space="preserve">Kiefel CJ, Keane and Gleeson JJ said that </w:t>
      </w:r>
      <w:r w:rsidR="00D75641">
        <w:t>the court must undertake a process of reasonable conjectu</w:t>
      </w:r>
      <w:r w:rsidR="0035063F">
        <w:t>re in determining</w:t>
      </w:r>
      <w:r w:rsidR="007E615F">
        <w:t xml:space="preserve"> the</w:t>
      </w:r>
      <w:r w:rsidR="0035063F">
        <w:t xml:space="preserve"> materiality of a jurisdictional error.  </w:t>
      </w:r>
      <w:r w:rsidR="007E615F">
        <w:t>T</w:t>
      </w:r>
      <w:r w:rsidR="00D75641">
        <w:t>hat</w:t>
      </w:r>
      <w:r w:rsidR="0035063F">
        <w:t xml:space="preserve"> process</w:t>
      </w:r>
      <w:r w:rsidR="00D75641">
        <w:t xml:space="preserve"> is undemanding in relation to, for example, a failure to take</w:t>
      </w:r>
      <w:r w:rsidR="0035063F">
        <w:t xml:space="preserve"> a relevant consideration</w:t>
      </w:r>
      <w:r w:rsidR="00B36320">
        <w:t xml:space="preserve"> into account</w:t>
      </w:r>
      <w:r w:rsidR="00D75641">
        <w:t xml:space="preserve"> </w:t>
      </w:r>
      <w:r w:rsidR="0099072B">
        <w:t xml:space="preserve">or </w:t>
      </w:r>
      <w:r w:rsidR="00D75641">
        <w:t>to deny a party an opportunity to present evidence or make submissions on an issue that required consideration.  So, too, a failure to have regard to</w:t>
      </w:r>
      <w:r w:rsidR="0035063F">
        <w:t>,</w:t>
      </w:r>
      <w:r w:rsidR="00D75641">
        <w:t xml:space="preserve"> or consider</w:t>
      </w:r>
      <w:r w:rsidR="0035063F">
        <w:t>,</w:t>
      </w:r>
      <w:r w:rsidR="00D75641">
        <w:t xml:space="preserve"> evidence</w:t>
      </w:r>
      <w:r>
        <w:t xml:space="preserve"> or material</w:t>
      </w:r>
      <w:r w:rsidR="00D75641">
        <w:t xml:space="preserve"> that the decision-maker had to take into account as a </w:t>
      </w:r>
      <w:r>
        <w:t>fundamental</w:t>
      </w:r>
      <w:r w:rsidR="00D75641">
        <w:t xml:space="preserve"> element in his or her decision-making process is a denial of procedural fairness</w:t>
      </w:r>
      <w:r w:rsidR="0035063F">
        <w:t xml:space="preserve">: that is, </w:t>
      </w:r>
      <w:r w:rsidR="007E615F">
        <w:t xml:space="preserve">it constitutes </w:t>
      </w:r>
      <w:r>
        <w:t xml:space="preserve">a failure </w:t>
      </w:r>
      <w:r w:rsidR="0035063F">
        <w:t xml:space="preserve">to adhere to the process that </w:t>
      </w:r>
      <w:r>
        <w:t xml:space="preserve">the </w:t>
      </w:r>
      <w:r w:rsidR="0035063F">
        <w:t xml:space="preserve">Parliament </w:t>
      </w:r>
      <w:r>
        <w:t>ha</w:t>
      </w:r>
      <w:r w:rsidR="007E615F">
        <w:t>s</w:t>
      </w:r>
      <w:r>
        <w:t xml:space="preserve"> </w:t>
      </w:r>
      <w:r w:rsidR="0035063F">
        <w:t>mandated that a decision-maker must follow in arriving at an exercise of the power which the enactment confers</w:t>
      </w:r>
      <w:r w:rsidR="00D75641">
        <w:t xml:space="preserve">.  </w:t>
      </w:r>
    </w:p>
    <w:p w:rsidR="009E34AD" w:rsidRDefault="0035063F" w:rsidP="009E34AD">
      <w:pPr>
        <w:pStyle w:val="ParaNumbering"/>
      </w:pPr>
      <w:r>
        <w:t xml:space="preserve">Mr </w:t>
      </w:r>
      <w:proofErr w:type="spellStart"/>
      <w:r>
        <w:t>Seau’s</w:t>
      </w:r>
      <w:proofErr w:type="spellEnd"/>
      <w:r>
        <w:t xml:space="preserve"> </w:t>
      </w:r>
      <w:r w:rsidR="00D75641">
        <w:t xml:space="preserve">relationship with T was a central element in </w:t>
      </w:r>
      <w:r w:rsidR="00C65E48">
        <w:t>his</w:t>
      </w:r>
      <w:r w:rsidR="00D75641">
        <w:t xml:space="preserve"> submission</w:t>
      </w:r>
      <w:r w:rsidR="00C65E48">
        <w:t xml:space="preserve"> under s </w:t>
      </w:r>
      <w:proofErr w:type="gramStart"/>
      <w:r w:rsidR="00C65E48">
        <w:t>501CA(</w:t>
      </w:r>
      <w:proofErr w:type="gramEnd"/>
      <w:r w:rsidR="00C65E48">
        <w:t xml:space="preserve">4)(b) of the </w:t>
      </w:r>
      <w:r w:rsidR="00C65E48" w:rsidRPr="007E615F">
        <w:rPr>
          <w:i/>
        </w:rPr>
        <w:t>Migration Act</w:t>
      </w:r>
      <w:r w:rsidR="00D75641">
        <w:t xml:space="preserve"> that there was another reason why th</w:t>
      </w:r>
      <w:r w:rsidR="00885F65">
        <w:t>e</w:t>
      </w:r>
      <w:r>
        <w:t xml:space="preserve"> cancellation</w:t>
      </w:r>
      <w:r w:rsidR="00885F65">
        <w:t xml:space="preserve"> decision should be revoked.  </w:t>
      </w:r>
      <w:r w:rsidR="00C65E48">
        <w:t>Each of t</w:t>
      </w:r>
      <w:r w:rsidR="00D75641">
        <w:t xml:space="preserve">he two </w:t>
      </w:r>
      <w:r w:rsidR="007E615F">
        <w:t>types</w:t>
      </w:r>
      <w:r w:rsidR="00D75641">
        <w:t xml:space="preserve"> of evidence, namely, T</w:t>
      </w:r>
      <w:r w:rsidR="009E34AD">
        <w:t>’</w:t>
      </w:r>
      <w:r w:rsidR="00D75641">
        <w:t xml:space="preserve">s statements as to her perception of her relationship </w:t>
      </w:r>
      <w:r w:rsidR="009E34AD">
        <w:t xml:space="preserve">with Mr </w:t>
      </w:r>
      <w:proofErr w:type="spellStart"/>
      <w:r w:rsidR="009E34AD">
        <w:t>Seau</w:t>
      </w:r>
      <w:proofErr w:type="spellEnd"/>
      <w:r w:rsidR="009E34AD">
        <w:t xml:space="preserve"> and the impact that Mr </w:t>
      </w:r>
      <w:proofErr w:type="spellStart"/>
      <w:r w:rsidR="009E34AD">
        <w:t>Seau’s</w:t>
      </w:r>
      <w:proofErr w:type="spellEnd"/>
      <w:r w:rsidR="009E34AD">
        <w:t xml:space="preserve"> absen</w:t>
      </w:r>
      <w:r w:rsidR="00D75641">
        <w:t xml:space="preserve">ce </w:t>
      </w:r>
      <w:r w:rsidR="009E34AD">
        <w:t>would have on her</w:t>
      </w:r>
      <w:r w:rsidR="00C65E48">
        <w:t>,</w:t>
      </w:r>
      <w:r w:rsidR="009E34AD">
        <w:t xml:space="preserve"> </w:t>
      </w:r>
      <w:r w:rsidR="00D75641">
        <w:t xml:space="preserve">and </w:t>
      </w:r>
      <w:r w:rsidR="009E34AD">
        <w:t xml:space="preserve">Ms </w:t>
      </w:r>
      <w:proofErr w:type="spellStart"/>
      <w:r w:rsidR="009E34AD">
        <w:t>Kirlagitsi’s</w:t>
      </w:r>
      <w:proofErr w:type="spellEnd"/>
      <w:r w:rsidR="009E34AD">
        <w:t xml:space="preserve"> opinion</w:t>
      </w:r>
      <w:r w:rsidR="00C65E48">
        <w:t>,</w:t>
      </w:r>
      <w:r w:rsidR="009E34AD">
        <w:t xml:space="preserve"> </w:t>
      </w:r>
      <w:r w:rsidR="00D75641">
        <w:t xml:space="preserve">may have affected the ultimate </w:t>
      </w:r>
      <w:r w:rsidR="009E34AD">
        <w:t>allocation</w:t>
      </w:r>
      <w:r w:rsidR="00D75641">
        <w:t xml:space="preserve"> of the weight given to the best interests of T</w:t>
      </w:r>
      <w:r w:rsidR="007E615F">
        <w:t>,</w:t>
      </w:r>
      <w:r w:rsidR="00C65E48">
        <w:t xml:space="preserve"> had the Tribunal taken either or both into account</w:t>
      </w:r>
      <w:r w:rsidR="00D75641">
        <w:t xml:space="preserve">.  </w:t>
      </w:r>
    </w:p>
    <w:p w:rsidR="002079A4" w:rsidRDefault="00D75641" w:rsidP="004F152E">
      <w:pPr>
        <w:pStyle w:val="ParaNumbering"/>
      </w:pPr>
      <w:r>
        <w:t xml:space="preserve">In my opinion, it cannot be said that </w:t>
      </w:r>
      <w:r w:rsidR="009E34AD">
        <w:t>consideration of those matters</w:t>
      </w:r>
      <w:r>
        <w:t xml:space="preserve"> could have made no difference to the ultimate decision, simply because the Tribunal had said it weighed </w:t>
      </w:r>
      <w:r w:rsidR="009E34AD">
        <w:t xml:space="preserve">Mr </w:t>
      </w:r>
      <w:proofErr w:type="spellStart"/>
      <w:r w:rsidR="009E34AD">
        <w:t>Seau’s</w:t>
      </w:r>
      <w:proofErr w:type="spellEnd"/>
      <w:r w:rsidR="009E34AD">
        <w:t xml:space="preserve"> and Ms CH’s evidence of T’s</w:t>
      </w:r>
      <w:r>
        <w:t xml:space="preserve"> best interests heavily in favour of revocation.  In </w:t>
      </w:r>
      <w:r w:rsidR="009E34AD">
        <w:t>the</w:t>
      </w:r>
      <w:r>
        <w:t xml:space="preserve"> evaluative exercise </w:t>
      </w:r>
      <w:r w:rsidR="00C65E48">
        <w:t>of</w:t>
      </w:r>
      <w:r>
        <w:t xml:space="preserve"> weighing the strength of evidence or arguments in any particular context, the failure to take into account relevant </w:t>
      </w:r>
      <w:r w:rsidR="00C65E48">
        <w:t xml:space="preserve">evidence or </w:t>
      </w:r>
      <w:r>
        <w:t xml:space="preserve">material may affect </w:t>
      </w:r>
      <w:r w:rsidR="00885F65">
        <w:t xml:space="preserve">the </w:t>
      </w:r>
      <w:r w:rsidR="009E34AD">
        <w:t xml:space="preserve">outcome of the </w:t>
      </w:r>
      <w:r w:rsidR="00885F65">
        <w:t xml:space="preserve">overall </w:t>
      </w:r>
      <w:r w:rsidR="00C65E48">
        <w:t>outcome</w:t>
      </w:r>
      <w:r w:rsidR="00885F65">
        <w:t xml:space="preserve">.  </w:t>
      </w:r>
      <w:r w:rsidR="007E615F">
        <w:t xml:space="preserve">As Mason J explained in </w:t>
      </w:r>
      <w:r w:rsidR="0099072B" w:rsidRPr="0099072B">
        <w:rPr>
          <w:i/>
        </w:rPr>
        <w:t xml:space="preserve">Minister for Aboriginal Affairs v </w:t>
      </w:r>
      <w:r w:rsidR="004F152E" w:rsidRPr="0099072B">
        <w:rPr>
          <w:i/>
        </w:rPr>
        <w:t>Peko-</w:t>
      </w:r>
      <w:r w:rsidR="007E615F" w:rsidRPr="0099072B">
        <w:rPr>
          <w:i/>
        </w:rPr>
        <w:t>Wallsend</w:t>
      </w:r>
      <w:r w:rsidR="0099072B" w:rsidRPr="0099072B">
        <w:rPr>
          <w:i/>
        </w:rPr>
        <w:t xml:space="preserve"> Ltd </w:t>
      </w:r>
      <w:r w:rsidR="0099072B" w:rsidRPr="0099072B">
        <w:t>(1986)</w:t>
      </w:r>
      <w:r w:rsidR="007E615F" w:rsidRPr="0099072B">
        <w:rPr>
          <w:i/>
        </w:rPr>
        <w:t xml:space="preserve"> </w:t>
      </w:r>
      <w:r w:rsidR="007E615F" w:rsidRPr="0099072B">
        <w:t xml:space="preserve">162 CLR </w:t>
      </w:r>
      <w:r w:rsidR="0099072B" w:rsidRPr="0099072B">
        <w:t>24</w:t>
      </w:r>
      <w:r w:rsidR="0099072B">
        <w:t xml:space="preserve"> </w:t>
      </w:r>
      <w:r w:rsidR="007E615F">
        <w:t>at 41, ordinarily, the weight that a factor that the legislation prescribes as a mandatory relevant consideration is a matter for the decision-maker, not the Court</w:t>
      </w:r>
      <w:r w:rsidR="004F152E">
        <w:t xml:space="preserve">: see too </w:t>
      </w:r>
      <w:r w:rsidR="004F152E">
        <w:rPr>
          <w:i/>
        </w:rPr>
        <w:t xml:space="preserve">Telstra </w:t>
      </w:r>
      <w:r w:rsidR="004F152E">
        <w:t>176 FCR at 182-183 [108]-[110]</w:t>
      </w:r>
      <w:r w:rsidR="007E615F">
        <w:t xml:space="preserve">.  </w:t>
      </w:r>
    </w:p>
    <w:p w:rsidR="009E34AD" w:rsidRDefault="007E615F" w:rsidP="004F152E">
      <w:pPr>
        <w:pStyle w:val="ParaNumbering"/>
      </w:pPr>
      <w:r>
        <w:t>It is not possible</w:t>
      </w:r>
      <w:r w:rsidR="009E34AD">
        <w:t xml:space="preserve"> to find that the Tribunal had regard to </w:t>
      </w:r>
      <w:r w:rsidR="00C65E48">
        <w:t xml:space="preserve">either T’s or Ms </w:t>
      </w:r>
      <w:proofErr w:type="spellStart"/>
      <w:r w:rsidR="00C65E48">
        <w:t>Kirlagitsi’s</w:t>
      </w:r>
      <w:proofErr w:type="spellEnd"/>
      <w:r w:rsidR="00C65E48">
        <w:t xml:space="preserve"> evidence, because</w:t>
      </w:r>
      <w:r w:rsidR="009E34AD">
        <w:t xml:space="preserve"> </w:t>
      </w:r>
      <w:r w:rsidR="00C65E48">
        <w:t>it</w:t>
      </w:r>
      <w:r>
        <w:t xml:space="preserve"> failed to refer to that evidence at all</w:t>
      </w:r>
      <w:r w:rsidR="009E34AD">
        <w:t>. The</w:t>
      </w:r>
      <w:r>
        <w:t>se</w:t>
      </w:r>
      <w:r w:rsidR="009E34AD">
        <w:t xml:space="preserve"> </w:t>
      </w:r>
      <w:r w:rsidR="00D75641">
        <w:t xml:space="preserve">were two </w:t>
      </w:r>
      <w:r w:rsidR="00C65E48">
        <w:t xml:space="preserve">separate </w:t>
      </w:r>
      <w:r w:rsidR="00D75641">
        <w:t xml:space="preserve">instances of </w:t>
      </w:r>
      <w:r w:rsidR="00C65E48">
        <w:t>the Tribunal failing</w:t>
      </w:r>
      <w:r w:rsidR="00D75641">
        <w:t xml:space="preserve"> to comply with </w:t>
      </w:r>
      <w:r w:rsidR="00C65E48">
        <w:t xml:space="preserve">its obligation to have regard to each </w:t>
      </w:r>
      <w:r w:rsidR="009E34AD">
        <w:t xml:space="preserve">mandatory relevant </w:t>
      </w:r>
      <w:r w:rsidR="009E34AD">
        <w:lastRenderedPageBreak/>
        <w:t xml:space="preserve">consideration prescribed in pars 8.3(4)(d) and (f) of </w:t>
      </w:r>
      <w:r w:rsidR="00D75641">
        <w:t xml:space="preserve">Direction 90 </w:t>
      </w:r>
      <w:r w:rsidR="009E34AD">
        <w:t>that bore directly</w:t>
      </w:r>
      <w:r w:rsidR="00D75641">
        <w:t xml:space="preserve"> on T</w:t>
      </w:r>
      <w:r w:rsidR="009E34AD">
        <w:t xml:space="preserve">’s position.  </w:t>
      </w:r>
      <w:r w:rsidR="00D75641">
        <w:t>I am satisfied that there is a realistic possibility that</w:t>
      </w:r>
      <w:r w:rsidR="009E34AD">
        <w:t>,</w:t>
      </w:r>
      <w:r w:rsidR="00D75641">
        <w:t xml:space="preserve"> in arriving at its overall weighing of the whole of the circumstances of Mr </w:t>
      </w:r>
      <w:proofErr w:type="spellStart"/>
      <w:r w:rsidR="00D75641">
        <w:t>Seau’s</w:t>
      </w:r>
      <w:proofErr w:type="spellEnd"/>
      <w:r w:rsidR="00D75641">
        <w:t xml:space="preserve"> case, the Tribunal </w:t>
      </w:r>
      <w:r w:rsidR="00C65E48">
        <w:t>could</w:t>
      </w:r>
      <w:r w:rsidR="00D75641">
        <w:t xml:space="preserve"> have found more persuasive the cas</w:t>
      </w:r>
      <w:r w:rsidR="009E34AD">
        <w:t>e for revocation than it did</w:t>
      </w:r>
      <w:r w:rsidR="00C65E48">
        <w:t>,</w:t>
      </w:r>
      <w:r w:rsidR="009E34AD">
        <w:t xml:space="preserve"> had it taken each </w:t>
      </w:r>
      <w:r w:rsidR="00C65E48">
        <w:t xml:space="preserve">or either </w:t>
      </w:r>
      <w:r w:rsidR="009E34AD">
        <w:t>of those matters into account as a fundamental element in it</w:t>
      </w:r>
      <w:r w:rsidR="00C65E48">
        <w:t xml:space="preserve">s decision-making: </w:t>
      </w:r>
      <w:proofErr w:type="spellStart"/>
      <w:r w:rsidR="00C65E48" w:rsidRPr="004F152E">
        <w:rPr>
          <w:i/>
        </w:rPr>
        <w:t>Nathanson</w:t>
      </w:r>
      <w:proofErr w:type="spellEnd"/>
      <w:r w:rsidR="00C65E48" w:rsidRPr="004F152E">
        <w:rPr>
          <w:i/>
        </w:rPr>
        <w:t xml:space="preserve"> </w:t>
      </w:r>
      <w:r w:rsidR="00C65E48">
        <w:t xml:space="preserve">405 ALR at 410 [33]. </w:t>
      </w:r>
    </w:p>
    <w:p w:rsidR="009E34AD" w:rsidRDefault="009E34AD" w:rsidP="009E34AD">
      <w:pPr>
        <w:pStyle w:val="Heading1"/>
      </w:pPr>
      <w:r>
        <w:t>Conclusion</w:t>
      </w:r>
    </w:p>
    <w:p w:rsidR="00D75641" w:rsidRDefault="00D75641" w:rsidP="00885F65">
      <w:pPr>
        <w:pStyle w:val="ParaNumbering"/>
      </w:pPr>
      <w:r>
        <w:t xml:space="preserve">For these reasons, I am of opinion that ground 1 succeeds.  The application should be granted. </w:t>
      </w:r>
      <w:r w:rsidR="009E34AD">
        <w:t xml:space="preserve">  The Tribunal’s decision should be set aside and the matter remitted to it for determination according to law.  The Minister must pay Mr </w:t>
      </w:r>
      <w:proofErr w:type="spellStart"/>
      <w:r w:rsidR="009E34AD">
        <w:t>Seau’s</w:t>
      </w:r>
      <w:proofErr w:type="spellEnd"/>
      <w:r w:rsidR="009E34AD">
        <w:t xml:space="preserve"> costs.  </w:t>
      </w:r>
    </w:p>
    <w:p w:rsidR="00E36FE1" w:rsidRDefault="00E36FE1" w:rsidP="00815065">
      <w:pPr>
        <w:pStyle w:val="BodyText"/>
      </w:pPr>
      <w:bookmarkStart w:id="21" w:name="Certification"/>
    </w:p>
    <w:tbl>
      <w:tblPr>
        <w:tblW w:w="0" w:type="auto"/>
        <w:tblLook w:val="04A0" w:firstRow="1" w:lastRow="0" w:firstColumn="1" w:lastColumn="0" w:noHBand="0" w:noVBand="1"/>
      </w:tblPr>
      <w:tblGrid>
        <w:gridCol w:w="3794"/>
      </w:tblGrid>
      <w:tr w:rsidR="00E36FE1" w:rsidRPr="00E36FE1">
        <w:tc>
          <w:tcPr>
            <w:tcW w:w="3794" w:type="dxa"/>
            <w:shd w:val="clear" w:color="auto" w:fill="auto"/>
          </w:tcPr>
          <w:p w:rsidR="00E36FE1" w:rsidRPr="00E36FE1" w:rsidRDefault="00E36FE1" w:rsidP="00E36FE1">
            <w:pPr>
              <w:pStyle w:val="Normal1linespace"/>
            </w:pPr>
            <w:r w:rsidRPr="00E36FE1">
              <w:t xml:space="preserve">I certify that the preceding </w:t>
            </w:r>
            <w:bookmarkStart w:id="22" w:name="NumberWord"/>
            <w:r>
              <w:t>sixty-three</w:t>
            </w:r>
            <w:bookmarkEnd w:id="22"/>
            <w:r w:rsidRPr="00E36FE1">
              <w:t xml:space="preserve"> (</w:t>
            </w:r>
            <w:bookmarkStart w:id="23" w:name="NumberNumeral"/>
            <w:r>
              <w:t>63</w:t>
            </w:r>
            <w:bookmarkEnd w:id="23"/>
            <w:r w:rsidRPr="00E36FE1">
              <w:t xml:space="preserve">) numbered </w:t>
            </w:r>
            <w:bookmarkStart w:id="24" w:name="CertPara"/>
            <w:r>
              <w:t>paragraphs are</w:t>
            </w:r>
            <w:bookmarkEnd w:id="24"/>
            <w:r w:rsidRPr="00E36FE1">
              <w:t xml:space="preserve"> a true copy of the Reasons for Judgment of </w:t>
            </w:r>
            <w:bookmarkStart w:id="25" w:name="bkHonourable"/>
            <w:r w:rsidRPr="00E36FE1">
              <w:t xml:space="preserve">the Honourable </w:t>
            </w:r>
            <w:bookmarkStart w:id="26" w:name="Justice"/>
            <w:bookmarkEnd w:id="25"/>
            <w:r>
              <w:t>Justice Rares</w:t>
            </w:r>
            <w:bookmarkEnd w:id="26"/>
            <w:r w:rsidRPr="00E36FE1">
              <w:t>.</w:t>
            </w:r>
          </w:p>
        </w:tc>
      </w:tr>
    </w:tbl>
    <w:p w:rsidR="00E36FE1" w:rsidRDefault="00E36FE1" w:rsidP="00815065">
      <w:pPr>
        <w:pStyle w:val="BodyText"/>
      </w:pPr>
    </w:p>
    <w:p w:rsidR="00E36FE1" w:rsidRDefault="00E36FE1" w:rsidP="00815065">
      <w:pPr>
        <w:pStyle w:val="BodyText"/>
      </w:pPr>
    </w:p>
    <w:p w:rsidR="00E36FE1" w:rsidRDefault="00E36FE1" w:rsidP="00815065">
      <w:pPr>
        <w:pStyle w:val="BodyText"/>
      </w:pPr>
      <w:bookmarkStart w:id="27" w:name="_GoBack"/>
      <w:bookmarkEnd w:id="27"/>
    </w:p>
    <w:p w:rsidR="00E36FE1" w:rsidRDefault="00E36FE1" w:rsidP="00815065">
      <w:pPr>
        <w:pStyle w:val="BodyText"/>
      </w:pPr>
      <w:r>
        <w:t xml:space="preserve">Associate: </w:t>
      </w:r>
    </w:p>
    <w:p w:rsidR="00E36FE1" w:rsidRDefault="00E36FE1" w:rsidP="00815065">
      <w:pPr>
        <w:pStyle w:val="BodyText"/>
      </w:pPr>
    </w:p>
    <w:p w:rsidR="00E36FE1" w:rsidRDefault="00E36FE1" w:rsidP="00815065">
      <w:pPr>
        <w:pStyle w:val="BodyText"/>
        <w:tabs>
          <w:tab w:val="left" w:pos="1134"/>
        </w:tabs>
      </w:pPr>
      <w:r>
        <w:t>Dated:</w:t>
      </w:r>
      <w:r>
        <w:tab/>
      </w:r>
      <w:bookmarkStart w:id="28" w:name="CertifyDated"/>
      <w:r>
        <w:t>6 March 2023</w:t>
      </w:r>
      <w:bookmarkEnd w:id="28"/>
    </w:p>
    <w:p w:rsidR="00E36FE1" w:rsidRDefault="00E36FE1" w:rsidP="00815065">
      <w:pPr>
        <w:pStyle w:val="BodyText"/>
      </w:pPr>
    </w:p>
    <w:bookmarkEnd w:id="21"/>
    <w:p w:rsidR="00E36FE1" w:rsidRDefault="00E36FE1" w:rsidP="00E36FE1">
      <w:pPr>
        <w:pStyle w:val="BodyText"/>
      </w:pPr>
    </w:p>
    <w:sectPr w:rsidR="00E36FE1" w:rsidSect="00A84FD0">
      <w:headerReference w:type="even" r:id="rId20"/>
      <w:headerReference w:type="default" r:id="rId21"/>
      <w:footerReference w:type="default" r:id="rId22"/>
      <w:headerReference w:type="first" r:id="rId23"/>
      <w:footerReference w:type="first" r:id="rId2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72B" w:rsidRDefault="0099072B">
      <w:pPr>
        <w:spacing w:line="20" w:lineRule="exact"/>
      </w:pPr>
    </w:p>
    <w:p w:rsidR="0099072B" w:rsidRDefault="0099072B"/>
    <w:p w:rsidR="0099072B" w:rsidRDefault="0099072B"/>
  </w:endnote>
  <w:endnote w:type="continuationSeparator" w:id="0">
    <w:p w:rsidR="0099072B" w:rsidRDefault="0099072B">
      <w:r>
        <w:t xml:space="preserve"> </w:t>
      </w:r>
    </w:p>
    <w:p w:rsidR="0099072B" w:rsidRDefault="0099072B"/>
    <w:p w:rsidR="0099072B" w:rsidRDefault="0099072B"/>
  </w:endnote>
  <w:endnote w:type="continuationNotice" w:id="1">
    <w:p w:rsidR="0099072B" w:rsidRDefault="0099072B">
      <w:r>
        <w:t xml:space="preserve"> </w:t>
      </w:r>
    </w:p>
    <w:p w:rsidR="0099072B" w:rsidRDefault="0099072B"/>
    <w:p w:rsidR="0099072B" w:rsidRDefault="009907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FE8" w:rsidRDefault="00785F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72B" w:rsidRPr="00C47B9D" w:rsidRDefault="0099072B"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FA1B7D"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proofErr w:type="spellStart"/>
        <w:r>
          <w:rPr>
            <w:bCs/>
            <w:sz w:val="18"/>
            <w:szCs w:val="18"/>
          </w:rPr>
          <w:t>Seau</w:t>
        </w:r>
        <w:proofErr w:type="spellEnd"/>
        <w:r>
          <w:rPr>
            <w:bCs/>
            <w:sz w:val="18"/>
            <w:szCs w:val="18"/>
          </w:rPr>
          <w:t xml:space="preserve"> v Minister for Immigration, Citizenship and Multicultural Affairs [2023] FCA 176</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72B" w:rsidRPr="00785FE8" w:rsidRDefault="0099072B" w:rsidP="00785FE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72B" w:rsidRPr="00C47B9D" w:rsidRDefault="0099072B"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922E0E"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7F1C9BB76BEF49EAA6DEBC69D87C3E8B"/>
        </w:placeholder>
        <w:dataBinding w:prefixMappings="xmlns:ns0='http://schemas.globalmacros.com/FCA'" w:xpath="/ns0:root[1]/ns0:Name[1]" w:storeItemID="{687E7CCB-4AA5-44E7-B148-17BA2B6F57C0}"/>
        <w:text w:multiLine="1"/>
      </w:sdtPr>
      <w:sdtEndPr/>
      <w:sdtContent>
        <w:proofErr w:type="spellStart"/>
        <w:r>
          <w:rPr>
            <w:bCs/>
            <w:sz w:val="18"/>
            <w:szCs w:val="18"/>
          </w:rPr>
          <w:t>Seau</w:t>
        </w:r>
        <w:proofErr w:type="spellEnd"/>
        <w:r>
          <w:rPr>
            <w:bCs/>
            <w:sz w:val="18"/>
            <w:szCs w:val="18"/>
          </w:rPr>
          <w:t xml:space="preserve"> v Minister for Immigration, Citizenship and Multicultural Affairs [2023] FCA 176</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72B" w:rsidRPr="00C47B9D" w:rsidRDefault="0099072B"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79E163"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93BFC995F20B4D1A8DAE1BC241D5F218"/>
        </w:placeholder>
        <w:dataBinding w:prefixMappings="xmlns:ns0='http://schemas.globalmacros.com/FCA'" w:xpath="/ns0:root[1]/ns0:Name[1]" w:storeItemID="{687E7CCB-4AA5-44E7-B148-17BA2B6F57C0}"/>
        <w:text w:multiLine="1"/>
      </w:sdtPr>
      <w:sdtEndPr/>
      <w:sdtContent>
        <w:proofErr w:type="spellStart"/>
        <w:r>
          <w:rPr>
            <w:bCs/>
            <w:sz w:val="18"/>
            <w:szCs w:val="18"/>
          </w:rPr>
          <w:t>Seau</w:t>
        </w:r>
        <w:proofErr w:type="spellEnd"/>
        <w:r>
          <w:rPr>
            <w:bCs/>
            <w:sz w:val="18"/>
            <w:szCs w:val="18"/>
          </w:rPr>
          <w:t xml:space="preserve"> v Minister for Immigration, Citizenship and Multicultural Affairs [2023] FCA 176</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BB4301">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72B" w:rsidRPr="00C47B9D" w:rsidRDefault="0099072B"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3BEFCD"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33EAF21B6D6D46C2BC3F8F9C2C235259"/>
        </w:placeholder>
        <w:dataBinding w:prefixMappings="xmlns:ns0='http://schemas.globalmacros.com/FCA'" w:xpath="/ns0:root[1]/ns0:Name[1]" w:storeItemID="{687E7CCB-4AA5-44E7-B148-17BA2B6F57C0}"/>
        <w:text w:multiLine="1"/>
      </w:sdtPr>
      <w:sdtEndPr/>
      <w:sdtContent>
        <w:proofErr w:type="spellStart"/>
        <w:r>
          <w:rPr>
            <w:bCs/>
            <w:sz w:val="18"/>
            <w:szCs w:val="18"/>
          </w:rPr>
          <w:t>Seau</w:t>
        </w:r>
        <w:proofErr w:type="spellEnd"/>
        <w:r>
          <w:rPr>
            <w:bCs/>
            <w:sz w:val="18"/>
            <w:szCs w:val="18"/>
          </w:rPr>
          <w:t xml:space="preserve"> v Minister for Immigration, Citizenship and Multicultural Affairs [2023] FCA 176</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BB4301">
      <w:rPr>
        <w:bCs/>
        <w:noProof/>
        <w:sz w:val="20"/>
      </w:rPr>
      <w:t>17</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72B" w:rsidRPr="00C47B9D" w:rsidRDefault="0099072B"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716775"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56012EFFCEF045928D553C1D002ECB1F"/>
        </w:placeholder>
        <w:dataBinding w:prefixMappings="xmlns:ns0='http://schemas.globalmacros.com/FCA'" w:xpath="/ns0:root[1]/ns0:Name[1]" w:storeItemID="{687E7CCB-4AA5-44E7-B148-17BA2B6F57C0}"/>
        <w:text w:multiLine="1"/>
      </w:sdtPr>
      <w:sdtEndPr/>
      <w:sdtContent>
        <w:proofErr w:type="spellStart"/>
        <w:r>
          <w:rPr>
            <w:bCs/>
            <w:sz w:val="18"/>
            <w:szCs w:val="18"/>
          </w:rPr>
          <w:t>Seau</w:t>
        </w:r>
        <w:proofErr w:type="spellEnd"/>
        <w:r>
          <w:rPr>
            <w:bCs/>
            <w:sz w:val="18"/>
            <w:szCs w:val="18"/>
          </w:rPr>
          <w:t xml:space="preserve"> v Minister for Immigration, Citizenship and Multicultural Affairs [2023] FCA 176</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BB4301">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72B" w:rsidRDefault="0099072B"/>
  </w:footnote>
  <w:footnote w:type="continuationSeparator" w:id="0">
    <w:p w:rsidR="0099072B" w:rsidRDefault="0099072B">
      <w:r>
        <w:continuationSeparator/>
      </w:r>
    </w:p>
    <w:p w:rsidR="0099072B" w:rsidRDefault="0099072B"/>
    <w:p w:rsidR="0099072B" w:rsidRDefault="0099072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FE8" w:rsidRDefault="00785F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FE8" w:rsidRDefault="00785F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FE8" w:rsidRDefault="00785F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72B" w:rsidRDefault="0099072B">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72B" w:rsidRDefault="0099072B">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72B" w:rsidRDefault="0099072B"/>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72B" w:rsidRDefault="0099072B">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72B" w:rsidRDefault="0099072B"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0"/>
  </w:num>
  <w:num w:numId="14">
    <w:abstractNumId w:val="21"/>
  </w:num>
  <w:num w:numId="15">
    <w:abstractNumId w:val="24"/>
  </w:num>
  <w:num w:numId="16">
    <w:abstractNumId w:val="13"/>
  </w:num>
  <w:num w:numId="17">
    <w:abstractNumId w:val="23"/>
  </w:num>
  <w:num w:numId="18">
    <w:abstractNumId w:val="11"/>
  </w:num>
  <w:num w:numId="19">
    <w:abstractNumId w:val="18"/>
  </w:num>
  <w:num w:numId="20">
    <w:abstractNumId w:val="15"/>
  </w:num>
  <w:num w:numId="21">
    <w:abstractNumId w:val="16"/>
  </w:num>
  <w:num w:numId="22">
    <w:abstractNumId w:val="19"/>
  </w:num>
  <w:num w:numId="23">
    <w:abstractNumId w:val="10"/>
  </w:num>
  <w:num w:numId="24">
    <w:abstractNumId w:val="10"/>
  </w:num>
  <w:num w:numId="25">
    <w:abstractNumId w:val="12"/>
  </w:num>
  <w:num w:numId="26">
    <w:abstractNumId w:val="17"/>
  </w:num>
  <w:num w:numId="27">
    <w:abstractNumId w:val="17"/>
  </w:num>
  <w:num w:numId="28">
    <w:abstractNumId w:val="17"/>
  </w:num>
  <w:num w:numId="29">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Pritchard Junior Seau"/>
    <w:docVar w:name="CounselParties" w:val="Applicant"/>
    <w:docVar w:name="CounselType" w:val="Counsel for the "/>
    <w:docVar w:name="Court" w:val="Federal Court of Australia (FCA)"/>
    <w:docVar w:name="Cross1AndAnother" w:val="True"/>
    <w:docVar w:name="Cross1AndOthers" w:val="False"/>
    <w:docVar w:name="Cross2AndAnother" w:val="True"/>
    <w:docVar w:name="Cross2AndOthers" w:val="False"/>
    <w:docVar w:name="Defenders" w:val="(and another named in the Schedule)"/>
    <w:docVar w:name="Division" w:val="FCA General Division"/>
    <w:docVar w:name="DocCreated" w:val="True"/>
    <w:docVar w:name="FileNumbers" w:val="NSD 935 of 2022"/>
    <w:docVar w:name="Initiators" w:val="(and another named in the Schedule)"/>
    <w:docVar w:name="Judgdate" w:val="6 March 2023"/>
    <w:docVar w:name="Judge" w:val="Rares"/>
    <w:docVar w:name="JudgeType" w:val="Justice"/>
    <w:docVar w:name="lstEntryList" w:val="-1"/>
    <w:docVar w:name="NSD" w:val="NSD "/>
    <w:docVar w:name="NumApps" w:val="1"/>
    <w:docVar w:name="NumApps_" w:val="1"/>
    <w:docVar w:name="NumCrossResps" w:val="0"/>
    <w:docVar w:name="NumDefs" w:val="2"/>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Administrative and Constitutional Law and Human Rights"/>
    <w:docVar w:name="RESAndAnother" w:val="True"/>
    <w:docVar w:name="RESAndOthers" w:val="False"/>
    <w:docVar w:name="Respondent" w:val="Minister for Immigration, Citizenship and Multicultural Affairs|Administrative Appeals Tribunal"/>
    <w:docVar w:name="ResState" w:val="New South Wales"/>
    <w:docVar w:name="SubArea" w:val="(none)"/>
  </w:docVars>
  <w:rsids>
    <w:rsidRoot w:val="00173D63"/>
    <w:rsid w:val="00000747"/>
    <w:rsid w:val="000115C5"/>
    <w:rsid w:val="0001469E"/>
    <w:rsid w:val="00015993"/>
    <w:rsid w:val="00021CCB"/>
    <w:rsid w:val="00022289"/>
    <w:rsid w:val="000237E9"/>
    <w:rsid w:val="00027398"/>
    <w:rsid w:val="0003201A"/>
    <w:rsid w:val="0003207A"/>
    <w:rsid w:val="00032F9F"/>
    <w:rsid w:val="00041C07"/>
    <w:rsid w:val="00045BB7"/>
    <w:rsid w:val="00055719"/>
    <w:rsid w:val="0005641B"/>
    <w:rsid w:val="0006196A"/>
    <w:rsid w:val="000650F0"/>
    <w:rsid w:val="00071FB3"/>
    <w:rsid w:val="00077768"/>
    <w:rsid w:val="00081497"/>
    <w:rsid w:val="000831EC"/>
    <w:rsid w:val="00084126"/>
    <w:rsid w:val="00085255"/>
    <w:rsid w:val="000A2E76"/>
    <w:rsid w:val="000A4807"/>
    <w:rsid w:val="000A4BE4"/>
    <w:rsid w:val="000C023E"/>
    <w:rsid w:val="000C405D"/>
    <w:rsid w:val="000C5195"/>
    <w:rsid w:val="000C62EF"/>
    <w:rsid w:val="000D0F04"/>
    <w:rsid w:val="000D2137"/>
    <w:rsid w:val="000D3FD2"/>
    <w:rsid w:val="000D4B2E"/>
    <w:rsid w:val="000E3FC8"/>
    <w:rsid w:val="000E7BAE"/>
    <w:rsid w:val="000F133D"/>
    <w:rsid w:val="0010536B"/>
    <w:rsid w:val="0011145C"/>
    <w:rsid w:val="001128BD"/>
    <w:rsid w:val="0011419D"/>
    <w:rsid w:val="00114B02"/>
    <w:rsid w:val="001226C0"/>
    <w:rsid w:val="00126EC8"/>
    <w:rsid w:val="0012731C"/>
    <w:rsid w:val="00132054"/>
    <w:rsid w:val="00134964"/>
    <w:rsid w:val="001351B9"/>
    <w:rsid w:val="00155CD2"/>
    <w:rsid w:val="001727A4"/>
    <w:rsid w:val="0017376C"/>
    <w:rsid w:val="001738AB"/>
    <w:rsid w:val="00173D63"/>
    <w:rsid w:val="001765E0"/>
    <w:rsid w:val="00177759"/>
    <w:rsid w:val="00180BB3"/>
    <w:rsid w:val="00185DD6"/>
    <w:rsid w:val="00185E6B"/>
    <w:rsid w:val="00187BBC"/>
    <w:rsid w:val="001932F3"/>
    <w:rsid w:val="001A1F3F"/>
    <w:rsid w:val="001A2B40"/>
    <w:rsid w:val="001A4309"/>
    <w:rsid w:val="001A46AE"/>
    <w:rsid w:val="001A6C52"/>
    <w:rsid w:val="001B1053"/>
    <w:rsid w:val="001B14AC"/>
    <w:rsid w:val="001B77CC"/>
    <w:rsid w:val="001B7940"/>
    <w:rsid w:val="001C171A"/>
    <w:rsid w:val="001C2FE0"/>
    <w:rsid w:val="001C37CA"/>
    <w:rsid w:val="001C4085"/>
    <w:rsid w:val="001D0689"/>
    <w:rsid w:val="001D4303"/>
    <w:rsid w:val="001D6746"/>
    <w:rsid w:val="001E0C61"/>
    <w:rsid w:val="001E3B49"/>
    <w:rsid w:val="001E4A05"/>
    <w:rsid w:val="001E6A19"/>
    <w:rsid w:val="001E7388"/>
    <w:rsid w:val="001F13DD"/>
    <w:rsid w:val="001F2473"/>
    <w:rsid w:val="001F2DBC"/>
    <w:rsid w:val="001F73E8"/>
    <w:rsid w:val="0020262C"/>
    <w:rsid w:val="00202723"/>
    <w:rsid w:val="002079A4"/>
    <w:rsid w:val="00211A3E"/>
    <w:rsid w:val="00213F20"/>
    <w:rsid w:val="00214055"/>
    <w:rsid w:val="00215BCA"/>
    <w:rsid w:val="002160F5"/>
    <w:rsid w:val="00217AC4"/>
    <w:rsid w:val="00221461"/>
    <w:rsid w:val="00224537"/>
    <w:rsid w:val="00235956"/>
    <w:rsid w:val="00243E5E"/>
    <w:rsid w:val="002467A6"/>
    <w:rsid w:val="00247C9A"/>
    <w:rsid w:val="0025160C"/>
    <w:rsid w:val="002535D0"/>
    <w:rsid w:val="002539B3"/>
    <w:rsid w:val="00256336"/>
    <w:rsid w:val="0025723E"/>
    <w:rsid w:val="00257C3E"/>
    <w:rsid w:val="002602C2"/>
    <w:rsid w:val="002666C9"/>
    <w:rsid w:val="00270136"/>
    <w:rsid w:val="00270FD7"/>
    <w:rsid w:val="00274F5B"/>
    <w:rsid w:val="00280836"/>
    <w:rsid w:val="00282E1A"/>
    <w:rsid w:val="002840F1"/>
    <w:rsid w:val="00285922"/>
    <w:rsid w:val="0029113B"/>
    <w:rsid w:val="002934C0"/>
    <w:rsid w:val="00293E1F"/>
    <w:rsid w:val="002944C5"/>
    <w:rsid w:val="0029764C"/>
    <w:rsid w:val="002A1B50"/>
    <w:rsid w:val="002B0E91"/>
    <w:rsid w:val="002B132C"/>
    <w:rsid w:val="002B3F23"/>
    <w:rsid w:val="002B4EB5"/>
    <w:rsid w:val="002B5AF5"/>
    <w:rsid w:val="002B6779"/>
    <w:rsid w:val="002B71C0"/>
    <w:rsid w:val="002B7A34"/>
    <w:rsid w:val="002C31AD"/>
    <w:rsid w:val="002C7385"/>
    <w:rsid w:val="002D2DBB"/>
    <w:rsid w:val="002D37D8"/>
    <w:rsid w:val="002D47B3"/>
    <w:rsid w:val="002D54A6"/>
    <w:rsid w:val="002E3779"/>
    <w:rsid w:val="002E5BF9"/>
    <w:rsid w:val="002E6A7A"/>
    <w:rsid w:val="002E77DA"/>
    <w:rsid w:val="002F1E49"/>
    <w:rsid w:val="002F4E9C"/>
    <w:rsid w:val="002F6E15"/>
    <w:rsid w:val="00302F4E"/>
    <w:rsid w:val="0031256C"/>
    <w:rsid w:val="00314D6C"/>
    <w:rsid w:val="00316D2A"/>
    <w:rsid w:val="00322A7C"/>
    <w:rsid w:val="00322EEC"/>
    <w:rsid w:val="00323061"/>
    <w:rsid w:val="00337688"/>
    <w:rsid w:val="003402D3"/>
    <w:rsid w:val="0034068E"/>
    <w:rsid w:val="003436C4"/>
    <w:rsid w:val="00343ABC"/>
    <w:rsid w:val="003463FE"/>
    <w:rsid w:val="003472FC"/>
    <w:rsid w:val="00347D41"/>
    <w:rsid w:val="0035063F"/>
    <w:rsid w:val="003554B3"/>
    <w:rsid w:val="00356632"/>
    <w:rsid w:val="00357C7E"/>
    <w:rsid w:val="003653B6"/>
    <w:rsid w:val="00370327"/>
    <w:rsid w:val="00374CC4"/>
    <w:rsid w:val="003774B2"/>
    <w:rsid w:val="00380F2D"/>
    <w:rsid w:val="00384440"/>
    <w:rsid w:val="003845A9"/>
    <w:rsid w:val="003850C9"/>
    <w:rsid w:val="00387214"/>
    <w:rsid w:val="00390883"/>
    <w:rsid w:val="003922F8"/>
    <w:rsid w:val="00395B24"/>
    <w:rsid w:val="00397EA1"/>
    <w:rsid w:val="003A2D38"/>
    <w:rsid w:val="003A7ECC"/>
    <w:rsid w:val="003B2C72"/>
    <w:rsid w:val="003B58B4"/>
    <w:rsid w:val="003C1333"/>
    <w:rsid w:val="003C20FF"/>
    <w:rsid w:val="003C550A"/>
    <w:rsid w:val="003C6055"/>
    <w:rsid w:val="003C6F0B"/>
    <w:rsid w:val="003C7926"/>
    <w:rsid w:val="003D16C3"/>
    <w:rsid w:val="003D2650"/>
    <w:rsid w:val="003D560C"/>
    <w:rsid w:val="003D5C00"/>
    <w:rsid w:val="003E3154"/>
    <w:rsid w:val="003E5874"/>
    <w:rsid w:val="003E72D3"/>
    <w:rsid w:val="003F193E"/>
    <w:rsid w:val="003F242C"/>
    <w:rsid w:val="003F34F1"/>
    <w:rsid w:val="004031D8"/>
    <w:rsid w:val="004104B6"/>
    <w:rsid w:val="00411AE8"/>
    <w:rsid w:val="00413B74"/>
    <w:rsid w:val="00425A03"/>
    <w:rsid w:val="004342F3"/>
    <w:rsid w:val="00435C5F"/>
    <w:rsid w:val="00436155"/>
    <w:rsid w:val="00436460"/>
    <w:rsid w:val="004405DD"/>
    <w:rsid w:val="00441E98"/>
    <w:rsid w:val="00450F3A"/>
    <w:rsid w:val="004532F7"/>
    <w:rsid w:val="00464D51"/>
    <w:rsid w:val="00472027"/>
    <w:rsid w:val="004804CF"/>
    <w:rsid w:val="00483314"/>
    <w:rsid w:val="00484962"/>
    <w:rsid w:val="00484F6D"/>
    <w:rsid w:val="00484FB7"/>
    <w:rsid w:val="0048554D"/>
    <w:rsid w:val="0049338A"/>
    <w:rsid w:val="0049417F"/>
    <w:rsid w:val="00496D41"/>
    <w:rsid w:val="004A6602"/>
    <w:rsid w:val="004B2D5B"/>
    <w:rsid w:val="004B3EFA"/>
    <w:rsid w:val="004C2A87"/>
    <w:rsid w:val="004C4D7B"/>
    <w:rsid w:val="004C4ED3"/>
    <w:rsid w:val="004C667B"/>
    <w:rsid w:val="004C7ECD"/>
    <w:rsid w:val="004D2EA5"/>
    <w:rsid w:val="004D32A6"/>
    <w:rsid w:val="004D53E5"/>
    <w:rsid w:val="004D7950"/>
    <w:rsid w:val="004E6DC4"/>
    <w:rsid w:val="004F152E"/>
    <w:rsid w:val="004F21C1"/>
    <w:rsid w:val="00501A12"/>
    <w:rsid w:val="0050309C"/>
    <w:rsid w:val="00506258"/>
    <w:rsid w:val="0051327C"/>
    <w:rsid w:val="0051346D"/>
    <w:rsid w:val="00513EAE"/>
    <w:rsid w:val="0051434F"/>
    <w:rsid w:val="00516806"/>
    <w:rsid w:val="0052098C"/>
    <w:rsid w:val="00524173"/>
    <w:rsid w:val="00525A49"/>
    <w:rsid w:val="005262D1"/>
    <w:rsid w:val="00530876"/>
    <w:rsid w:val="00535613"/>
    <w:rsid w:val="005359EB"/>
    <w:rsid w:val="0054254A"/>
    <w:rsid w:val="0054500B"/>
    <w:rsid w:val="005466B5"/>
    <w:rsid w:val="00554314"/>
    <w:rsid w:val="00554554"/>
    <w:rsid w:val="00562829"/>
    <w:rsid w:val="005629B3"/>
    <w:rsid w:val="0057128A"/>
    <w:rsid w:val="005724F6"/>
    <w:rsid w:val="00573AC4"/>
    <w:rsid w:val="005801FC"/>
    <w:rsid w:val="00585BA9"/>
    <w:rsid w:val="00587359"/>
    <w:rsid w:val="00595016"/>
    <w:rsid w:val="00597AAE"/>
    <w:rsid w:val="005A0F88"/>
    <w:rsid w:val="005A222C"/>
    <w:rsid w:val="005A4DF8"/>
    <w:rsid w:val="005A78C8"/>
    <w:rsid w:val="005B1426"/>
    <w:rsid w:val="005B2814"/>
    <w:rsid w:val="005C0A8E"/>
    <w:rsid w:val="005C1767"/>
    <w:rsid w:val="005C185C"/>
    <w:rsid w:val="005C42EF"/>
    <w:rsid w:val="005E02F5"/>
    <w:rsid w:val="005E0510"/>
    <w:rsid w:val="005E176E"/>
    <w:rsid w:val="005E218E"/>
    <w:rsid w:val="005E35A0"/>
    <w:rsid w:val="005F0D1B"/>
    <w:rsid w:val="005F1865"/>
    <w:rsid w:val="006007BD"/>
    <w:rsid w:val="006013C8"/>
    <w:rsid w:val="0060270D"/>
    <w:rsid w:val="00604342"/>
    <w:rsid w:val="00604611"/>
    <w:rsid w:val="00611586"/>
    <w:rsid w:val="00612D26"/>
    <w:rsid w:val="00615855"/>
    <w:rsid w:val="00620DA8"/>
    <w:rsid w:val="00621887"/>
    <w:rsid w:val="00624520"/>
    <w:rsid w:val="006271F5"/>
    <w:rsid w:val="00632300"/>
    <w:rsid w:val="00632BB7"/>
    <w:rsid w:val="00635B36"/>
    <w:rsid w:val="00636871"/>
    <w:rsid w:val="00640EE1"/>
    <w:rsid w:val="00640F4E"/>
    <w:rsid w:val="00643DE0"/>
    <w:rsid w:val="0064437D"/>
    <w:rsid w:val="00644E85"/>
    <w:rsid w:val="006516D8"/>
    <w:rsid w:val="00652C52"/>
    <w:rsid w:val="0066063F"/>
    <w:rsid w:val="00662BB0"/>
    <w:rsid w:val="00663878"/>
    <w:rsid w:val="00667773"/>
    <w:rsid w:val="00670743"/>
    <w:rsid w:val="00677838"/>
    <w:rsid w:val="00680A85"/>
    <w:rsid w:val="00681ADF"/>
    <w:rsid w:val="00690EE2"/>
    <w:rsid w:val="00693854"/>
    <w:rsid w:val="00694BEB"/>
    <w:rsid w:val="006A0E20"/>
    <w:rsid w:val="006A24E3"/>
    <w:rsid w:val="006A4100"/>
    <w:rsid w:val="006A5695"/>
    <w:rsid w:val="006B0439"/>
    <w:rsid w:val="006B20A7"/>
    <w:rsid w:val="006B3904"/>
    <w:rsid w:val="006B5B7D"/>
    <w:rsid w:val="006C5B46"/>
    <w:rsid w:val="006C6E39"/>
    <w:rsid w:val="006D0ECF"/>
    <w:rsid w:val="006D3D5B"/>
    <w:rsid w:val="006D4C92"/>
    <w:rsid w:val="006D4EB6"/>
    <w:rsid w:val="006D7FBC"/>
    <w:rsid w:val="006E35BF"/>
    <w:rsid w:val="006E7850"/>
    <w:rsid w:val="006F19D8"/>
    <w:rsid w:val="006F46D6"/>
    <w:rsid w:val="006F4BBB"/>
    <w:rsid w:val="007028D9"/>
    <w:rsid w:val="00707218"/>
    <w:rsid w:val="00710D04"/>
    <w:rsid w:val="00712B1D"/>
    <w:rsid w:val="00715751"/>
    <w:rsid w:val="007171BA"/>
    <w:rsid w:val="00717616"/>
    <w:rsid w:val="00723D74"/>
    <w:rsid w:val="007325D9"/>
    <w:rsid w:val="0073413F"/>
    <w:rsid w:val="0073583B"/>
    <w:rsid w:val="007360CA"/>
    <w:rsid w:val="0074667B"/>
    <w:rsid w:val="007470BD"/>
    <w:rsid w:val="00760A23"/>
    <w:rsid w:val="00760EC0"/>
    <w:rsid w:val="007711BD"/>
    <w:rsid w:val="0078003A"/>
    <w:rsid w:val="00780771"/>
    <w:rsid w:val="00785FE8"/>
    <w:rsid w:val="00787C6F"/>
    <w:rsid w:val="00791810"/>
    <w:rsid w:val="007929CF"/>
    <w:rsid w:val="00797BA8"/>
    <w:rsid w:val="007A081D"/>
    <w:rsid w:val="007A49E7"/>
    <w:rsid w:val="007A6F28"/>
    <w:rsid w:val="007A75F7"/>
    <w:rsid w:val="007B03C6"/>
    <w:rsid w:val="007B0DB1"/>
    <w:rsid w:val="007B5673"/>
    <w:rsid w:val="007B7238"/>
    <w:rsid w:val="007B76FF"/>
    <w:rsid w:val="007C3083"/>
    <w:rsid w:val="007C3BF6"/>
    <w:rsid w:val="007C567B"/>
    <w:rsid w:val="007C67B3"/>
    <w:rsid w:val="007D0FD2"/>
    <w:rsid w:val="007D2EF8"/>
    <w:rsid w:val="007D561F"/>
    <w:rsid w:val="007D7FD2"/>
    <w:rsid w:val="007E13D9"/>
    <w:rsid w:val="007E2AEC"/>
    <w:rsid w:val="007E41BE"/>
    <w:rsid w:val="007E4DB6"/>
    <w:rsid w:val="007E615F"/>
    <w:rsid w:val="007E6733"/>
    <w:rsid w:val="007E7CD4"/>
    <w:rsid w:val="007F12AC"/>
    <w:rsid w:val="007F4501"/>
    <w:rsid w:val="007F60DF"/>
    <w:rsid w:val="00801800"/>
    <w:rsid w:val="00801861"/>
    <w:rsid w:val="00801B5B"/>
    <w:rsid w:val="00805A30"/>
    <w:rsid w:val="008216E7"/>
    <w:rsid w:val="00825BE6"/>
    <w:rsid w:val="008276B4"/>
    <w:rsid w:val="00831927"/>
    <w:rsid w:val="00837288"/>
    <w:rsid w:val="00841BD3"/>
    <w:rsid w:val="0084273D"/>
    <w:rsid w:val="00844E3F"/>
    <w:rsid w:val="00845A83"/>
    <w:rsid w:val="00846BB9"/>
    <w:rsid w:val="008649D5"/>
    <w:rsid w:val="008712BB"/>
    <w:rsid w:val="008830E7"/>
    <w:rsid w:val="00885F65"/>
    <w:rsid w:val="00890EDE"/>
    <w:rsid w:val="00892B38"/>
    <w:rsid w:val="008A1741"/>
    <w:rsid w:val="008A2484"/>
    <w:rsid w:val="008A52F3"/>
    <w:rsid w:val="008C26D9"/>
    <w:rsid w:val="008C6D50"/>
    <w:rsid w:val="008C7167"/>
    <w:rsid w:val="008C7503"/>
    <w:rsid w:val="008D1617"/>
    <w:rsid w:val="008D330F"/>
    <w:rsid w:val="008D48C1"/>
    <w:rsid w:val="008E6315"/>
    <w:rsid w:val="008F0480"/>
    <w:rsid w:val="008F07FC"/>
    <w:rsid w:val="008F11E0"/>
    <w:rsid w:val="008F3EA7"/>
    <w:rsid w:val="008F78BC"/>
    <w:rsid w:val="008F7B63"/>
    <w:rsid w:val="008F7D6A"/>
    <w:rsid w:val="00901C86"/>
    <w:rsid w:val="00903603"/>
    <w:rsid w:val="009054CB"/>
    <w:rsid w:val="00911F8D"/>
    <w:rsid w:val="00912F94"/>
    <w:rsid w:val="009171BC"/>
    <w:rsid w:val="0092497E"/>
    <w:rsid w:val="0092590B"/>
    <w:rsid w:val="00925BF3"/>
    <w:rsid w:val="00925E60"/>
    <w:rsid w:val="009264B3"/>
    <w:rsid w:val="00931E4C"/>
    <w:rsid w:val="009365E0"/>
    <w:rsid w:val="00942BA2"/>
    <w:rsid w:val="009432B7"/>
    <w:rsid w:val="00944C86"/>
    <w:rsid w:val="00947C02"/>
    <w:rsid w:val="00950BE6"/>
    <w:rsid w:val="00957141"/>
    <w:rsid w:val="00957DE8"/>
    <w:rsid w:val="00960ECB"/>
    <w:rsid w:val="009615D6"/>
    <w:rsid w:val="00963A8D"/>
    <w:rsid w:val="0096566C"/>
    <w:rsid w:val="00967855"/>
    <w:rsid w:val="00971CD1"/>
    <w:rsid w:val="00974709"/>
    <w:rsid w:val="009801AE"/>
    <w:rsid w:val="00980736"/>
    <w:rsid w:val="00981A39"/>
    <w:rsid w:val="00982D56"/>
    <w:rsid w:val="00983DBF"/>
    <w:rsid w:val="00987097"/>
    <w:rsid w:val="0099072B"/>
    <w:rsid w:val="00991123"/>
    <w:rsid w:val="00991CAB"/>
    <w:rsid w:val="009A3A9C"/>
    <w:rsid w:val="009A4F3A"/>
    <w:rsid w:val="009B046C"/>
    <w:rsid w:val="009B13FA"/>
    <w:rsid w:val="009B1E2D"/>
    <w:rsid w:val="009C59FB"/>
    <w:rsid w:val="009C6F3B"/>
    <w:rsid w:val="009D1467"/>
    <w:rsid w:val="009D328D"/>
    <w:rsid w:val="009D3AAE"/>
    <w:rsid w:val="009E34AD"/>
    <w:rsid w:val="009E4FA6"/>
    <w:rsid w:val="009E7D93"/>
    <w:rsid w:val="009F3C34"/>
    <w:rsid w:val="009F462C"/>
    <w:rsid w:val="009F5C33"/>
    <w:rsid w:val="00A026F0"/>
    <w:rsid w:val="00A03EAC"/>
    <w:rsid w:val="00A04DBB"/>
    <w:rsid w:val="00A07EA0"/>
    <w:rsid w:val="00A11CA6"/>
    <w:rsid w:val="00A20C49"/>
    <w:rsid w:val="00A22932"/>
    <w:rsid w:val="00A269CA"/>
    <w:rsid w:val="00A336EE"/>
    <w:rsid w:val="00A33F46"/>
    <w:rsid w:val="00A3427E"/>
    <w:rsid w:val="00A359AC"/>
    <w:rsid w:val="00A40F83"/>
    <w:rsid w:val="00A410FB"/>
    <w:rsid w:val="00A41413"/>
    <w:rsid w:val="00A431E6"/>
    <w:rsid w:val="00A436E8"/>
    <w:rsid w:val="00A45FB1"/>
    <w:rsid w:val="00A46A0F"/>
    <w:rsid w:val="00A46CCC"/>
    <w:rsid w:val="00A47996"/>
    <w:rsid w:val="00A51CFE"/>
    <w:rsid w:val="00A5204D"/>
    <w:rsid w:val="00A56E77"/>
    <w:rsid w:val="00A61605"/>
    <w:rsid w:val="00A65F97"/>
    <w:rsid w:val="00A73B04"/>
    <w:rsid w:val="00A76C13"/>
    <w:rsid w:val="00A84FD0"/>
    <w:rsid w:val="00A92E79"/>
    <w:rsid w:val="00A950B6"/>
    <w:rsid w:val="00A95D45"/>
    <w:rsid w:val="00AA1B50"/>
    <w:rsid w:val="00AA2363"/>
    <w:rsid w:val="00AA3EA8"/>
    <w:rsid w:val="00AB41C1"/>
    <w:rsid w:val="00AB4CF2"/>
    <w:rsid w:val="00AB6CCA"/>
    <w:rsid w:val="00AC223F"/>
    <w:rsid w:val="00AC33B1"/>
    <w:rsid w:val="00AD12A8"/>
    <w:rsid w:val="00AD4F7C"/>
    <w:rsid w:val="00AE023F"/>
    <w:rsid w:val="00AF3577"/>
    <w:rsid w:val="00AF35F9"/>
    <w:rsid w:val="00B0424C"/>
    <w:rsid w:val="00B05C7D"/>
    <w:rsid w:val="00B15D57"/>
    <w:rsid w:val="00B16347"/>
    <w:rsid w:val="00B17D6E"/>
    <w:rsid w:val="00B2435E"/>
    <w:rsid w:val="00B346C3"/>
    <w:rsid w:val="00B36320"/>
    <w:rsid w:val="00B4005C"/>
    <w:rsid w:val="00B4227E"/>
    <w:rsid w:val="00B42F85"/>
    <w:rsid w:val="00B4471C"/>
    <w:rsid w:val="00B451A6"/>
    <w:rsid w:val="00B56D6E"/>
    <w:rsid w:val="00B64347"/>
    <w:rsid w:val="00B65DC6"/>
    <w:rsid w:val="00B67AC2"/>
    <w:rsid w:val="00B70673"/>
    <w:rsid w:val="00B722DE"/>
    <w:rsid w:val="00B751E3"/>
    <w:rsid w:val="00B75BA6"/>
    <w:rsid w:val="00B76C44"/>
    <w:rsid w:val="00B8184A"/>
    <w:rsid w:val="00B82283"/>
    <w:rsid w:val="00B828D8"/>
    <w:rsid w:val="00B83F87"/>
    <w:rsid w:val="00B87CDC"/>
    <w:rsid w:val="00B90F61"/>
    <w:rsid w:val="00B910C1"/>
    <w:rsid w:val="00B976DC"/>
    <w:rsid w:val="00BA2CA4"/>
    <w:rsid w:val="00BA2EFA"/>
    <w:rsid w:val="00BA3DBC"/>
    <w:rsid w:val="00BA707A"/>
    <w:rsid w:val="00BB0B5E"/>
    <w:rsid w:val="00BB1AFB"/>
    <w:rsid w:val="00BB27AE"/>
    <w:rsid w:val="00BB2DA2"/>
    <w:rsid w:val="00BB4301"/>
    <w:rsid w:val="00BB56DC"/>
    <w:rsid w:val="00BE183D"/>
    <w:rsid w:val="00BE5716"/>
    <w:rsid w:val="00BF24C2"/>
    <w:rsid w:val="00BF2922"/>
    <w:rsid w:val="00BF5D7A"/>
    <w:rsid w:val="00C01C2E"/>
    <w:rsid w:val="00C02D33"/>
    <w:rsid w:val="00C04B53"/>
    <w:rsid w:val="00C065C1"/>
    <w:rsid w:val="00C1232C"/>
    <w:rsid w:val="00C27C6B"/>
    <w:rsid w:val="00C30E9C"/>
    <w:rsid w:val="00C3594D"/>
    <w:rsid w:val="00C36442"/>
    <w:rsid w:val="00C400CE"/>
    <w:rsid w:val="00C410FD"/>
    <w:rsid w:val="00C457DE"/>
    <w:rsid w:val="00C47DD3"/>
    <w:rsid w:val="00C5316F"/>
    <w:rsid w:val="00C53562"/>
    <w:rsid w:val="00C539FB"/>
    <w:rsid w:val="00C65E48"/>
    <w:rsid w:val="00C66AA3"/>
    <w:rsid w:val="00C66E57"/>
    <w:rsid w:val="00C724D7"/>
    <w:rsid w:val="00C74150"/>
    <w:rsid w:val="00C75594"/>
    <w:rsid w:val="00C85982"/>
    <w:rsid w:val="00C92388"/>
    <w:rsid w:val="00CA0466"/>
    <w:rsid w:val="00CA246D"/>
    <w:rsid w:val="00CA50D9"/>
    <w:rsid w:val="00CB3054"/>
    <w:rsid w:val="00CB5636"/>
    <w:rsid w:val="00CB5F30"/>
    <w:rsid w:val="00CC0463"/>
    <w:rsid w:val="00CC12A5"/>
    <w:rsid w:val="00CC3EE5"/>
    <w:rsid w:val="00CC6E47"/>
    <w:rsid w:val="00CD1346"/>
    <w:rsid w:val="00CE425C"/>
    <w:rsid w:val="00CE58AC"/>
    <w:rsid w:val="00CE59A4"/>
    <w:rsid w:val="00CF5A80"/>
    <w:rsid w:val="00D045EE"/>
    <w:rsid w:val="00D05091"/>
    <w:rsid w:val="00D10CA6"/>
    <w:rsid w:val="00D10F21"/>
    <w:rsid w:val="00D134CF"/>
    <w:rsid w:val="00D1573B"/>
    <w:rsid w:val="00D171F6"/>
    <w:rsid w:val="00D2279C"/>
    <w:rsid w:val="00D24806"/>
    <w:rsid w:val="00D266EE"/>
    <w:rsid w:val="00D34040"/>
    <w:rsid w:val="00D34E69"/>
    <w:rsid w:val="00D36C78"/>
    <w:rsid w:val="00D375EE"/>
    <w:rsid w:val="00D55AE8"/>
    <w:rsid w:val="00D56056"/>
    <w:rsid w:val="00D6085F"/>
    <w:rsid w:val="00D62699"/>
    <w:rsid w:val="00D75641"/>
    <w:rsid w:val="00D778E9"/>
    <w:rsid w:val="00D812BF"/>
    <w:rsid w:val="00D82620"/>
    <w:rsid w:val="00D85707"/>
    <w:rsid w:val="00D9725F"/>
    <w:rsid w:val="00DA01B1"/>
    <w:rsid w:val="00DA109E"/>
    <w:rsid w:val="00DA11A2"/>
    <w:rsid w:val="00DA14ED"/>
    <w:rsid w:val="00DA26D6"/>
    <w:rsid w:val="00DA46DB"/>
    <w:rsid w:val="00DA4DCC"/>
    <w:rsid w:val="00DB2EF1"/>
    <w:rsid w:val="00DB3DE1"/>
    <w:rsid w:val="00DB5DA0"/>
    <w:rsid w:val="00DB716C"/>
    <w:rsid w:val="00DC5C85"/>
    <w:rsid w:val="00DC7C5D"/>
    <w:rsid w:val="00DC7E7F"/>
    <w:rsid w:val="00DD4236"/>
    <w:rsid w:val="00DD44F1"/>
    <w:rsid w:val="00DD6957"/>
    <w:rsid w:val="00DD6E7A"/>
    <w:rsid w:val="00DE3067"/>
    <w:rsid w:val="00DF3EEE"/>
    <w:rsid w:val="00DF5A86"/>
    <w:rsid w:val="00DF75E1"/>
    <w:rsid w:val="00E027BC"/>
    <w:rsid w:val="00E045BE"/>
    <w:rsid w:val="00E10F0D"/>
    <w:rsid w:val="00E14EA5"/>
    <w:rsid w:val="00E2070E"/>
    <w:rsid w:val="00E21133"/>
    <w:rsid w:val="00E2327E"/>
    <w:rsid w:val="00E23577"/>
    <w:rsid w:val="00E266EF"/>
    <w:rsid w:val="00E326A8"/>
    <w:rsid w:val="00E35478"/>
    <w:rsid w:val="00E36FE1"/>
    <w:rsid w:val="00E47428"/>
    <w:rsid w:val="00E56C8E"/>
    <w:rsid w:val="00E5716B"/>
    <w:rsid w:val="00E57F1F"/>
    <w:rsid w:val="00E66B9F"/>
    <w:rsid w:val="00E70A6A"/>
    <w:rsid w:val="00E710D6"/>
    <w:rsid w:val="00E73DA4"/>
    <w:rsid w:val="00E76E45"/>
    <w:rsid w:val="00E777C9"/>
    <w:rsid w:val="00E81DA6"/>
    <w:rsid w:val="00E84212"/>
    <w:rsid w:val="00E9086C"/>
    <w:rsid w:val="00E90AAA"/>
    <w:rsid w:val="00E91A0F"/>
    <w:rsid w:val="00E94968"/>
    <w:rsid w:val="00E94A71"/>
    <w:rsid w:val="00E94CBF"/>
    <w:rsid w:val="00E97C44"/>
    <w:rsid w:val="00EA03CE"/>
    <w:rsid w:val="00EA23E5"/>
    <w:rsid w:val="00EA4E2E"/>
    <w:rsid w:val="00EB2417"/>
    <w:rsid w:val="00EB2CCB"/>
    <w:rsid w:val="00EB7A25"/>
    <w:rsid w:val="00EC0F3E"/>
    <w:rsid w:val="00EC12C4"/>
    <w:rsid w:val="00EC57A7"/>
    <w:rsid w:val="00ED0817"/>
    <w:rsid w:val="00ED7DD9"/>
    <w:rsid w:val="00EE445B"/>
    <w:rsid w:val="00EF3113"/>
    <w:rsid w:val="00EF3F84"/>
    <w:rsid w:val="00F176AC"/>
    <w:rsid w:val="00F26F28"/>
    <w:rsid w:val="00F27714"/>
    <w:rsid w:val="00F3276E"/>
    <w:rsid w:val="00F33D3C"/>
    <w:rsid w:val="00F37A91"/>
    <w:rsid w:val="00F408A0"/>
    <w:rsid w:val="00F45CF5"/>
    <w:rsid w:val="00F47DB0"/>
    <w:rsid w:val="00F50C3F"/>
    <w:rsid w:val="00F50E34"/>
    <w:rsid w:val="00F51AFB"/>
    <w:rsid w:val="00F53EF7"/>
    <w:rsid w:val="00F54BF2"/>
    <w:rsid w:val="00F775AC"/>
    <w:rsid w:val="00F82DF6"/>
    <w:rsid w:val="00F8792F"/>
    <w:rsid w:val="00F9214D"/>
    <w:rsid w:val="00F92355"/>
    <w:rsid w:val="00F93963"/>
    <w:rsid w:val="00F94291"/>
    <w:rsid w:val="00FA11D1"/>
    <w:rsid w:val="00FA298A"/>
    <w:rsid w:val="00FA5B66"/>
    <w:rsid w:val="00FB0B9C"/>
    <w:rsid w:val="00FB30EB"/>
    <w:rsid w:val="00FB7982"/>
    <w:rsid w:val="00FC0734"/>
    <w:rsid w:val="00FC0ED9"/>
    <w:rsid w:val="00FC0FC5"/>
    <w:rsid w:val="00FC588F"/>
    <w:rsid w:val="00FC6879"/>
    <w:rsid w:val="00FD3F95"/>
    <w:rsid w:val="00FD43C2"/>
    <w:rsid w:val="00FD57CC"/>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AA4CE605-713B-4690-B59C-3D6F2C99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uiPriority w:val="20"/>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 w:type="paragraph" w:customStyle="1" w:styleId="paranumbering0">
    <w:name w:val="paranumbering"/>
    <w:basedOn w:val="Normal"/>
    <w:rsid w:val="004F152E"/>
    <w:pPr>
      <w:spacing w:before="100" w:beforeAutospacing="1" w:after="100" w:afterAutospacing="1" w:line="240" w:lineRule="auto"/>
      <w:jc w:val="left"/>
    </w:pPr>
    <w:rPr>
      <w:rFonts w:eastAsiaTheme="minorHAnsi"/>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40062">
      <w:bodyDiv w:val="1"/>
      <w:marLeft w:val="0"/>
      <w:marRight w:val="0"/>
      <w:marTop w:val="0"/>
      <w:marBottom w:val="0"/>
      <w:divBdr>
        <w:top w:val="none" w:sz="0" w:space="0" w:color="auto"/>
        <w:left w:val="none" w:sz="0" w:space="0" w:color="auto"/>
        <w:bottom w:val="none" w:sz="0" w:space="0" w:color="auto"/>
        <w:right w:val="none" w:sz="0" w:space="0" w:color="auto"/>
      </w:divBdr>
    </w:div>
    <w:div w:id="1295482329">
      <w:bodyDiv w:val="1"/>
      <w:marLeft w:val="0"/>
      <w:marRight w:val="0"/>
      <w:marTop w:val="0"/>
      <w:marBottom w:val="0"/>
      <w:divBdr>
        <w:top w:val="none" w:sz="0" w:space="0" w:color="auto"/>
        <w:left w:val="none" w:sz="0" w:space="0" w:color="auto"/>
        <w:bottom w:val="none" w:sz="0" w:space="0" w:color="auto"/>
        <w:right w:val="none" w:sz="0" w:space="0" w:color="auto"/>
      </w:divBdr>
    </w:div>
    <w:div w:id="134061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yperlink" Target="https://anzlaw.thomsonreuters.com/Link/Document/FullText?refType=U7&amp;docFamilyGuid=I8a98ac10ee9111e8af46ddc380776190&amp;pubNum=1100190&amp;originationContext=document&amp;transitionType=DocumentItem&amp;docVersion=Law+in+Force&amp;ppcid=67762ddd78754a6687e6c680e6e36e97&amp;contextData=(sc.UserEnteredCitation)"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murad\appdata\roaming\microsoft\template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0BA58793854433B51B3DDAF9BAA6D9"/>
        <w:category>
          <w:name w:val="General"/>
          <w:gallery w:val="placeholder"/>
        </w:category>
        <w:types>
          <w:type w:val="bbPlcHdr"/>
        </w:types>
        <w:behaviors>
          <w:behavior w:val="content"/>
        </w:behaviors>
        <w:guid w:val="{2243020C-684C-44E2-BF67-AD759BC2BCC1}"/>
      </w:docPartPr>
      <w:docPartBody>
        <w:p w:rsidR="008567AE" w:rsidRDefault="008567AE">
          <w:pPr>
            <w:pStyle w:val="FF0BA58793854433B51B3DDAF9BAA6D9"/>
          </w:pPr>
          <w:r>
            <w:rPr>
              <w:rStyle w:val="PlaceholderText"/>
            </w:rPr>
            <w:t>MNC Text</w:t>
          </w:r>
        </w:p>
      </w:docPartBody>
    </w:docPart>
    <w:docPart>
      <w:docPartPr>
        <w:name w:val="7F1C9BB76BEF49EAA6DEBC69D87C3E8B"/>
        <w:category>
          <w:name w:val="General"/>
          <w:gallery w:val="placeholder"/>
        </w:category>
        <w:types>
          <w:type w:val="bbPlcHdr"/>
        </w:types>
        <w:behaviors>
          <w:behavior w:val="content"/>
        </w:behaviors>
        <w:guid w:val="{8AF16669-D6E1-483C-8501-AA63483CD7C9}"/>
      </w:docPartPr>
      <w:docPartBody>
        <w:p w:rsidR="008567AE" w:rsidRDefault="008567AE">
          <w:pPr>
            <w:pStyle w:val="7F1C9BB76BEF49EAA6DEBC69D87C3E8B"/>
          </w:pPr>
          <w:r w:rsidRPr="005C44BE">
            <w:rPr>
              <w:rStyle w:val="PlaceholderText"/>
            </w:rPr>
            <w:t>Click or tap here to enter text.</w:t>
          </w:r>
        </w:p>
      </w:docPartBody>
    </w:docPart>
    <w:docPart>
      <w:docPartPr>
        <w:name w:val="93BFC995F20B4D1A8DAE1BC241D5F218"/>
        <w:category>
          <w:name w:val="General"/>
          <w:gallery w:val="placeholder"/>
        </w:category>
        <w:types>
          <w:type w:val="bbPlcHdr"/>
        </w:types>
        <w:behaviors>
          <w:behavior w:val="content"/>
        </w:behaviors>
        <w:guid w:val="{550AF839-F430-437C-A815-AAFAE4A9B7CF}"/>
      </w:docPartPr>
      <w:docPartBody>
        <w:p w:rsidR="008567AE" w:rsidRDefault="008567AE">
          <w:pPr>
            <w:pStyle w:val="93BFC995F20B4D1A8DAE1BC241D5F218"/>
          </w:pPr>
          <w:r w:rsidRPr="005C44BE">
            <w:rPr>
              <w:rStyle w:val="PlaceholderText"/>
            </w:rPr>
            <w:t>Click or tap here to enter text.</w:t>
          </w:r>
        </w:p>
      </w:docPartBody>
    </w:docPart>
    <w:docPart>
      <w:docPartPr>
        <w:name w:val="33EAF21B6D6D46C2BC3F8F9C2C235259"/>
        <w:category>
          <w:name w:val="General"/>
          <w:gallery w:val="placeholder"/>
        </w:category>
        <w:types>
          <w:type w:val="bbPlcHdr"/>
        </w:types>
        <w:behaviors>
          <w:behavior w:val="content"/>
        </w:behaviors>
        <w:guid w:val="{0E7EB813-02CD-4A57-A2F2-092539F1E232}"/>
      </w:docPartPr>
      <w:docPartBody>
        <w:p w:rsidR="008567AE" w:rsidRDefault="008567AE">
          <w:pPr>
            <w:pStyle w:val="33EAF21B6D6D46C2BC3F8F9C2C235259"/>
          </w:pPr>
          <w:r w:rsidRPr="005C44BE">
            <w:rPr>
              <w:rStyle w:val="PlaceholderText"/>
            </w:rPr>
            <w:t>Click or tap here to enter text.</w:t>
          </w:r>
        </w:p>
      </w:docPartBody>
    </w:docPart>
    <w:docPart>
      <w:docPartPr>
        <w:name w:val="56012EFFCEF045928D553C1D002ECB1F"/>
        <w:category>
          <w:name w:val="General"/>
          <w:gallery w:val="placeholder"/>
        </w:category>
        <w:types>
          <w:type w:val="bbPlcHdr"/>
        </w:types>
        <w:behaviors>
          <w:behavior w:val="content"/>
        </w:behaviors>
        <w:guid w:val="{BE084D66-2721-47B6-B706-33920A5C29B8}"/>
      </w:docPartPr>
      <w:docPartBody>
        <w:p w:rsidR="008567AE" w:rsidRDefault="008567AE">
          <w:pPr>
            <w:pStyle w:val="56012EFFCEF045928D553C1D002ECB1F"/>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7AE"/>
    <w:rsid w:val="008567AE"/>
    <w:rsid w:val="00884AB4"/>
    <w:rsid w:val="0091002F"/>
    <w:rsid w:val="0092310A"/>
    <w:rsid w:val="00A454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F0BA58793854433B51B3DDAF9BAA6D9">
    <w:name w:val="FF0BA58793854433B51B3DDAF9BAA6D9"/>
  </w:style>
  <w:style w:type="paragraph" w:customStyle="1" w:styleId="7F1C9BB76BEF49EAA6DEBC69D87C3E8B">
    <w:name w:val="7F1C9BB76BEF49EAA6DEBC69D87C3E8B"/>
  </w:style>
  <w:style w:type="paragraph" w:customStyle="1" w:styleId="93BFC995F20B4D1A8DAE1BC241D5F218">
    <w:name w:val="93BFC995F20B4D1A8DAE1BC241D5F218"/>
  </w:style>
  <w:style w:type="paragraph" w:customStyle="1" w:styleId="33EAF21B6D6D46C2BC3F8F9C2C235259">
    <w:name w:val="33EAF21B6D6D46C2BC3F8F9C2C235259"/>
  </w:style>
  <w:style w:type="paragraph" w:customStyle="1" w:styleId="56012EFFCEF045928D553C1D002ECB1F">
    <w:name w:val="56012EFFCEF045928D553C1D002ECB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Seau v Minister for Immigration, Citizenship and Multicultural Affairs [2023] FCA 176</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FFE51336-EBE0-4F38-97B2-030588FD0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5</TotalTime>
  <Pages>22</Pages>
  <Words>8826</Words>
  <Characters>44788</Characters>
  <Application>Microsoft Office Word</Application>
  <DocSecurity>0</DocSecurity>
  <Lines>829</Lines>
  <Paragraphs>262</Paragraphs>
  <ScaleCrop>false</ScaleCrop>
  <HeadingPairs>
    <vt:vector size="2" baseType="variant">
      <vt:variant>
        <vt:lpstr>Title</vt:lpstr>
      </vt:variant>
      <vt:variant>
        <vt:i4>1</vt:i4>
      </vt:variant>
    </vt:vector>
  </HeadingPairs>
  <TitlesOfParts>
    <vt:vector size="1" baseType="lpstr">
      <vt:lpstr>Seau v Minister for Immigration, Citizenship and Multicultural Affairs </vt:lpstr>
    </vt:vector>
  </TitlesOfParts>
  <Company>Federal Court of Australia</Company>
  <LinksUpToDate>false</LinksUpToDate>
  <CharactersWithSpaces>53352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Seau v Minister for Immigration, Citizenship and Multicultural Affairs</dc:title>
  <dc:creator>Federal Court of Australia</dc:creator>
  <dc:description>v1.3</dc:description>
  <cp:lastModifiedBy>Federal Court of Australia</cp:lastModifiedBy>
  <cp:revision>3</cp:revision>
  <cp:lastPrinted>2023-03-06T05:11:00Z</cp:lastPrinted>
  <dcterms:created xsi:type="dcterms:W3CDTF">2023-03-06T05:19:00Z</dcterms:created>
  <dcterms:modified xsi:type="dcterms:W3CDTF">2023-03-06T05:23:00Z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Administrative and Constitutional Law and Human Rights</vt:lpwstr>
  </property>
  <property fmtid="{D5CDD505-2E9C-101B-9397-08002B2CF9AE}" pid="16" name="Court">
    <vt:lpwstr>Federal Court of Australia</vt:lpwstr>
  </property>
  <property fmtid="{D5CDD505-2E9C-101B-9397-08002B2CF9AE}" pid="17" name="Sub Area">
    <vt:lpwstr>(none)</vt:lpwstr>
  </property>
  <property fmtid="{D5CDD505-2E9C-101B-9397-08002B2CF9AE}" pid="18" name="AppealFrom">
    <vt:lpwstr>&lt;AppealFrom&gt;</vt:lpwstr>
  </property>
  <property fmtid="{D5CDD505-2E9C-101B-9397-08002B2CF9AE}" pid="19" name="DivisionTitle">
    <vt:lpwstr>none</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ies>
</file>