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57E5" w14:textId="038C57A2" w:rsidR="00395B24" w:rsidRDefault="009D63CB" w:rsidP="00A22932">
      <w:pPr>
        <w:pStyle w:val="CourtTitle"/>
      </w:pPr>
      <w:fldSimple w:instr=" DOCPROPERTY  Court  \* MERGEFORMAT ">
        <w:r w:rsidR="00F428AC">
          <w:t>Federal Court of Australia</w:t>
        </w:r>
      </w:fldSimple>
    </w:p>
    <w:p w14:paraId="538CE49A" w14:textId="77777777" w:rsidR="00395B24" w:rsidRDefault="00395B24">
      <w:pPr>
        <w:pStyle w:val="NormalHeadings"/>
        <w:jc w:val="center"/>
        <w:rPr>
          <w:sz w:val="32"/>
        </w:rPr>
      </w:pPr>
    </w:p>
    <w:bookmarkStart w:id="0" w:name="MNC"/>
    <w:p w14:paraId="5F2ABDE3" w14:textId="4A8E85CD" w:rsidR="00374CC4" w:rsidRDefault="00A412A6" w:rsidP="001A2B40">
      <w:pPr>
        <w:pStyle w:val="MNC"/>
      </w:pPr>
      <w:sdt>
        <w:sdtPr>
          <w:alias w:val="MNC"/>
          <w:tag w:val="MNC"/>
          <w:id w:val="343289786"/>
          <w:lock w:val="sdtLocked"/>
          <w:placeholder>
            <w:docPart w:val="F55268DE68E946948ABC1465EB2577E2"/>
          </w:placeholder>
          <w:dataBinding w:prefixMappings="xmlns:ns0='http://schemas.globalmacros.com/FCA'" w:xpath="/ns0:root[1]/ns0:Name[1]" w:storeItemID="{687E7CCB-4AA5-44E7-B148-17BA2B6F57C0}"/>
          <w:text w:multiLine="1"/>
        </w:sdtPr>
        <w:sdtEndPr/>
        <w:sdtContent>
          <w:r w:rsidR="0081432B">
            <w:t xml:space="preserve">Roberts-Smith v Fairfax Media Publications Pty Limited (No </w:t>
          </w:r>
          <w:r w:rsidR="00E80A2E">
            <w:t>25</w:t>
          </w:r>
          <w:r w:rsidR="0081432B">
            <w:t xml:space="preserve">) [2021] FCA </w:t>
          </w:r>
          <w:r w:rsidR="00E80A2E">
            <w:t>1558</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691960F3" w14:textId="77777777" w:rsidTr="009C0BCD">
        <w:tc>
          <w:tcPr>
            <w:tcW w:w="3084" w:type="dxa"/>
            <w:shd w:val="clear" w:color="auto" w:fill="auto"/>
          </w:tcPr>
          <w:p w14:paraId="05C3946C" w14:textId="77777777" w:rsidR="00395B24" w:rsidRDefault="002C7385" w:rsidP="009071C5">
            <w:pPr>
              <w:pStyle w:val="Normal1linespace"/>
              <w:widowControl w:val="0"/>
              <w:jc w:val="left"/>
            </w:pPr>
            <w:r>
              <w:t>File numbers:</w:t>
            </w:r>
          </w:p>
        </w:tc>
        <w:tc>
          <w:tcPr>
            <w:tcW w:w="5989" w:type="dxa"/>
            <w:shd w:val="clear" w:color="auto" w:fill="auto"/>
          </w:tcPr>
          <w:p w14:paraId="3B219660" w14:textId="77777777" w:rsidR="00567338" w:rsidRPr="00567338" w:rsidRDefault="00E326A8" w:rsidP="00567338">
            <w:pPr>
              <w:pStyle w:val="Normal1linespace"/>
              <w:jc w:val="left"/>
            </w:pPr>
            <w:r w:rsidRPr="00567338">
              <w:fldChar w:fldCharType="begin" w:fldLock="1"/>
            </w:r>
            <w:r w:rsidRPr="00567338">
              <w:instrText xml:space="preserve"> REF  FileNo  \* MERGEFORMAT </w:instrText>
            </w:r>
            <w:r w:rsidRPr="00567338">
              <w:fldChar w:fldCharType="separate"/>
            </w:r>
            <w:r w:rsidR="00567338" w:rsidRPr="00567338">
              <w:t>NSD 1485 of 2018</w:t>
            </w:r>
          </w:p>
          <w:p w14:paraId="1292C1FC" w14:textId="77777777" w:rsidR="00567338" w:rsidRPr="00567338" w:rsidRDefault="00567338" w:rsidP="00567338">
            <w:pPr>
              <w:pStyle w:val="Normal1linespace"/>
              <w:jc w:val="left"/>
            </w:pPr>
            <w:r w:rsidRPr="00567338">
              <w:t>NSD 1486 of 2018</w:t>
            </w:r>
          </w:p>
          <w:p w14:paraId="2328A39C" w14:textId="77777777" w:rsidR="00395B24" w:rsidRPr="001B1053" w:rsidRDefault="00567338" w:rsidP="00567338">
            <w:pPr>
              <w:pStyle w:val="Normal1linespace"/>
              <w:jc w:val="left"/>
            </w:pPr>
            <w:r w:rsidRPr="00567338">
              <w:t>NSD 1487 of 2018</w:t>
            </w:r>
            <w:r w:rsidR="00E326A8" w:rsidRPr="00567338">
              <w:fldChar w:fldCharType="end"/>
            </w:r>
          </w:p>
        </w:tc>
      </w:tr>
      <w:tr w:rsidR="00395B24" w14:paraId="1E728E5A" w14:textId="77777777" w:rsidTr="009C0BCD">
        <w:tc>
          <w:tcPr>
            <w:tcW w:w="3084" w:type="dxa"/>
            <w:shd w:val="clear" w:color="auto" w:fill="auto"/>
          </w:tcPr>
          <w:p w14:paraId="0DA93CD9" w14:textId="77777777" w:rsidR="00395B24" w:rsidRDefault="00395B24" w:rsidP="00663878">
            <w:pPr>
              <w:pStyle w:val="Normal1linespace"/>
              <w:widowControl w:val="0"/>
              <w:jc w:val="left"/>
            </w:pPr>
          </w:p>
        </w:tc>
        <w:tc>
          <w:tcPr>
            <w:tcW w:w="5989" w:type="dxa"/>
            <w:shd w:val="clear" w:color="auto" w:fill="auto"/>
          </w:tcPr>
          <w:p w14:paraId="308FF9E5" w14:textId="77777777" w:rsidR="00395B24" w:rsidRDefault="00395B24" w:rsidP="00663878">
            <w:pPr>
              <w:pStyle w:val="Normal1linespace"/>
              <w:widowControl w:val="0"/>
              <w:jc w:val="left"/>
            </w:pPr>
          </w:p>
        </w:tc>
      </w:tr>
      <w:tr w:rsidR="00395B24" w14:paraId="37AEABE8" w14:textId="77777777" w:rsidTr="009C0BCD">
        <w:tc>
          <w:tcPr>
            <w:tcW w:w="3084" w:type="dxa"/>
            <w:shd w:val="clear" w:color="auto" w:fill="auto"/>
          </w:tcPr>
          <w:p w14:paraId="2BCBC31A"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3087CF5" w14:textId="77777777" w:rsidR="00395B24" w:rsidRDefault="002C7385" w:rsidP="00663878">
            <w:pPr>
              <w:pStyle w:val="Normal1linespace"/>
              <w:widowControl w:val="0"/>
              <w:jc w:val="left"/>
              <w:rPr>
                <w:b/>
              </w:rPr>
            </w:pPr>
            <w:r w:rsidRPr="00567338">
              <w:rPr>
                <w:b/>
              </w:rPr>
              <w:fldChar w:fldCharType="begin" w:fldLock="1"/>
            </w:r>
            <w:r w:rsidRPr="00567338">
              <w:rPr>
                <w:b/>
              </w:rPr>
              <w:instrText xml:space="preserve"> REF  Judge  \* MERGEFORMAT </w:instrText>
            </w:r>
            <w:r w:rsidRPr="00567338">
              <w:rPr>
                <w:b/>
              </w:rPr>
              <w:fldChar w:fldCharType="separate"/>
            </w:r>
            <w:r w:rsidR="00567338" w:rsidRPr="00567338">
              <w:rPr>
                <w:b/>
                <w:caps/>
                <w:szCs w:val="24"/>
              </w:rPr>
              <w:t>ABRAHAM J</w:t>
            </w:r>
            <w:r w:rsidRPr="00567338">
              <w:rPr>
                <w:b/>
              </w:rPr>
              <w:fldChar w:fldCharType="end"/>
            </w:r>
          </w:p>
        </w:tc>
      </w:tr>
      <w:tr w:rsidR="00395B24" w14:paraId="54120493" w14:textId="77777777" w:rsidTr="009C0BCD">
        <w:tc>
          <w:tcPr>
            <w:tcW w:w="3084" w:type="dxa"/>
            <w:shd w:val="clear" w:color="auto" w:fill="auto"/>
          </w:tcPr>
          <w:p w14:paraId="4305A225" w14:textId="77777777" w:rsidR="00395B24" w:rsidRDefault="00395B24" w:rsidP="00663878">
            <w:pPr>
              <w:pStyle w:val="Normal1linespace"/>
              <w:widowControl w:val="0"/>
              <w:jc w:val="left"/>
            </w:pPr>
          </w:p>
        </w:tc>
        <w:tc>
          <w:tcPr>
            <w:tcW w:w="5989" w:type="dxa"/>
            <w:shd w:val="clear" w:color="auto" w:fill="auto"/>
          </w:tcPr>
          <w:p w14:paraId="4A2A4E7E" w14:textId="77777777" w:rsidR="00395B24" w:rsidRDefault="00395B24" w:rsidP="00663878">
            <w:pPr>
              <w:pStyle w:val="Normal1linespace"/>
              <w:widowControl w:val="0"/>
              <w:jc w:val="left"/>
            </w:pPr>
          </w:p>
        </w:tc>
      </w:tr>
      <w:tr w:rsidR="00395B24" w14:paraId="3AD2B863" w14:textId="77777777" w:rsidTr="009C0BCD">
        <w:tc>
          <w:tcPr>
            <w:tcW w:w="3084" w:type="dxa"/>
            <w:shd w:val="clear" w:color="auto" w:fill="auto"/>
          </w:tcPr>
          <w:p w14:paraId="52465C35" w14:textId="77777777" w:rsidR="00395B24" w:rsidRPr="00300D22" w:rsidRDefault="002C7385" w:rsidP="00663878">
            <w:pPr>
              <w:pStyle w:val="Normal1linespace"/>
              <w:widowControl w:val="0"/>
              <w:jc w:val="left"/>
            </w:pPr>
            <w:r w:rsidRPr="00300D22">
              <w:t>Date of judgment:</w:t>
            </w:r>
          </w:p>
        </w:tc>
        <w:tc>
          <w:tcPr>
            <w:tcW w:w="5989" w:type="dxa"/>
            <w:shd w:val="clear" w:color="auto" w:fill="auto"/>
          </w:tcPr>
          <w:p w14:paraId="704C512A" w14:textId="16C88A3E" w:rsidR="00395B24" w:rsidRPr="00FD2283" w:rsidRDefault="00173F33" w:rsidP="00A83B97">
            <w:pPr>
              <w:pStyle w:val="Normal1linespace"/>
              <w:widowControl w:val="0"/>
              <w:jc w:val="left"/>
            </w:pPr>
            <w:r>
              <w:t>14</w:t>
            </w:r>
            <w:r w:rsidRPr="00F07EB3">
              <w:t xml:space="preserve"> </w:t>
            </w:r>
            <w:r w:rsidR="00A83B97">
              <w:t>December</w:t>
            </w:r>
            <w:r w:rsidR="00A719B7" w:rsidRPr="00F07EB3">
              <w:t xml:space="preserve"> 2021</w:t>
            </w:r>
          </w:p>
        </w:tc>
      </w:tr>
      <w:tr w:rsidR="00395B24" w14:paraId="06E9897D" w14:textId="77777777" w:rsidTr="009C0BCD">
        <w:tc>
          <w:tcPr>
            <w:tcW w:w="3084" w:type="dxa"/>
            <w:shd w:val="clear" w:color="auto" w:fill="auto"/>
          </w:tcPr>
          <w:p w14:paraId="40F878D2" w14:textId="77777777" w:rsidR="00395B24" w:rsidRDefault="00395B24" w:rsidP="00663878">
            <w:pPr>
              <w:pStyle w:val="Normal1linespace"/>
              <w:widowControl w:val="0"/>
              <w:jc w:val="left"/>
            </w:pPr>
          </w:p>
        </w:tc>
        <w:tc>
          <w:tcPr>
            <w:tcW w:w="5989" w:type="dxa"/>
            <w:shd w:val="clear" w:color="auto" w:fill="auto"/>
          </w:tcPr>
          <w:p w14:paraId="173FD560" w14:textId="77777777" w:rsidR="00395B24" w:rsidRDefault="00395B24" w:rsidP="00663878">
            <w:pPr>
              <w:pStyle w:val="Normal1linespace"/>
              <w:widowControl w:val="0"/>
              <w:jc w:val="left"/>
            </w:pPr>
          </w:p>
        </w:tc>
      </w:tr>
      <w:tr w:rsidR="00395B24" w14:paraId="134CB16E" w14:textId="77777777" w:rsidTr="009C0BCD">
        <w:tc>
          <w:tcPr>
            <w:tcW w:w="3084" w:type="dxa"/>
            <w:shd w:val="clear" w:color="auto" w:fill="auto"/>
          </w:tcPr>
          <w:p w14:paraId="484C2A12" w14:textId="77777777" w:rsidR="00395B24" w:rsidRPr="007B1BF5" w:rsidRDefault="002C7385" w:rsidP="00663878">
            <w:pPr>
              <w:pStyle w:val="Normal1linespace"/>
              <w:widowControl w:val="0"/>
              <w:jc w:val="left"/>
            </w:pPr>
            <w:r w:rsidRPr="007B1BF5">
              <w:t>Catchwords:</w:t>
            </w:r>
          </w:p>
        </w:tc>
        <w:tc>
          <w:tcPr>
            <w:tcW w:w="5989" w:type="dxa"/>
            <w:shd w:val="clear" w:color="auto" w:fill="auto"/>
          </w:tcPr>
          <w:p w14:paraId="2CF6CE14" w14:textId="0B96B628" w:rsidR="00395B24" w:rsidRPr="007B1BF5" w:rsidRDefault="00E544C6" w:rsidP="0053296F">
            <w:pPr>
              <w:pStyle w:val="Normal1linespace"/>
              <w:widowControl w:val="0"/>
              <w:jc w:val="left"/>
            </w:pPr>
            <w:bookmarkStart w:id="1" w:name="Catchwords"/>
            <w:r>
              <w:rPr>
                <w:b/>
              </w:rPr>
              <w:t>PRACTICE AND PROCEDURE</w:t>
            </w:r>
            <w:r>
              <w:t xml:space="preserve"> – application </w:t>
            </w:r>
            <w:r w:rsidR="00E1580E">
              <w:t xml:space="preserve">for leave </w:t>
            </w:r>
            <w:r w:rsidR="00565492">
              <w:t>to inspect</w:t>
            </w:r>
            <w:r w:rsidR="00182B5F">
              <w:t>, uplift</w:t>
            </w:r>
            <w:r>
              <w:t xml:space="preserve"> </w:t>
            </w:r>
            <w:r w:rsidR="00A82317">
              <w:t xml:space="preserve">and copy </w:t>
            </w:r>
            <w:r w:rsidR="00565492">
              <w:t>documents – legal prof</w:t>
            </w:r>
            <w:r>
              <w:t xml:space="preserve">essional privilege – whether privilege has been waived – </w:t>
            </w:r>
            <w:r w:rsidR="00460B55">
              <w:t xml:space="preserve">whether conduct of respondents </w:t>
            </w:r>
            <w:r w:rsidR="0053296F">
              <w:t xml:space="preserve">is consistent </w:t>
            </w:r>
            <w:r w:rsidR="00460B55">
              <w:t xml:space="preserve">with the maintenance of the privilege – where </w:t>
            </w:r>
            <w:r w:rsidR="008A2F70">
              <w:t xml:space="preserve">documents sought are relevant to </w:t>
            </w:r>
            <w:r w:rsidR="00252870">
              <w:t xml:space="preserve">the respondents’ </w:t>
            </w:r>
            <w:r w:rsidR="008A2F70">
              <w:t xml:space="preserve">application for leave to issue </w:t>
            </w:r>
            <w:r w:rsidR="004B54CB">
              <w:t xml:space="preserve">a </w:t>
            </w:r>
            <w:r w:rsidR="008A2F70">
              <w:t xml:space="preserve">subpoena to </w:t>
            </w:r>
            <w:r w:rsidR="004B54CB">
              <w:t xml:space="preserve">a witness to </w:t>
            </w:r>
            <w:r w:rsidR="005F5C94">
              <w:t>give evidence</w:t>
            </w:r>
            <w:r w:rsidR="003F7C6A">
              <w:t xml:space="preserve"> – </w:t>
            </w:r>
            <w:r w:rsidR="00305C8E">
              <w:t>privilege waived</w:t>
            </w:r>
            <w:r>
              <w:t xml:space="preserve"> – </w:t>
            </w:r>
            <w:r w:rsidR="00E1580E">
              <w:t>leave</w:t>
            </w:r>
            <w:r>
              <w:t xml:space="preserve"> granted</w:t>
            </w:r>
            <w:bookmarkEnd w:id="1"/>
          </w:p>
        </w:tc>
      </w:tr>
      <w:tr w:rsidR="00395B24" w14:paraId="362EA4CA" w14:textId="77777777" w:rsidTr="009C0BCD">
        <w:tc>
          <w:tcPr>
            <w:tcW w:w="3084" w:type="dxa"/>
            <w:shd w:val="clear" w:color="auto" w:fill="auto"/>
          </w:tcPr>
          <w:p w14:paraId="59BA7F6E" w14:textId="77777777" w:rsidR="00395B24" w:rsidRDefault="00395B24" w:rsidP="00663878">
            <w:pPr>
              <w:pStyle w:val="Normal1linespace"/>
              <w:widowControl w:val="0"/>
              <w:jc w:val="left"/>
            </w:pPr>
          </w:p>
        </w:tc>
        <w:tc>
          <w:tcPr>
            <w:tcW w:w="5989" w:type="dxa"/>
            <w:shd w:val="clear" w:color="auto" w:fill="auto"/>
          </w:tcPr>
          <w:p w14:paraId="62B789CF" w14:textId="77777777" w:rsidR="00395B24" w:rsidRDefault="00395B24" w:rsidP="00663878">
            <w:pPr>
              <w:pStyle w:val="Normal1linespace"/>
              <w:widowControl w:val="0"/>
              <w:jc w:val="left"/>
            </w:pPr>
          </w:p>
        </w:tc>
      </w:tr>
      <w:tr w:rsidR="00395B24" w14:paraId="4C80CDBB" w14:textId="77777777" w:rsidTr="009C0BCD">
        <w:tc>
          <w:tcPr>
            <w:tcW w:w="3084" w:type="dxa"/>
            <w:shd w:val="clear" w:color="auto" w:fill="auto"/>
          </w:tcPr>
          <w:p w14:paraId="3674A403" w14:textId="77777777" w:rsidR="00395B24" w:rsidRDefault="002C7385" w:rsidP="00663878">
            <w:pPr>
              <w:pStyle w:val="Normal1linespace"/>
              <w:widowControl w:val="0"/>
              <w:jc w:val="left"/>
            </w:pPr>
            <w:r>
              <w:t>Cases cited:</w:t>
            </w:r>
          </w:p>
        </w:tc>
        <w:tc>
          <w:tcPr>
            <w:tcW w:w="5989" w:type="dxa"/>
            <w:shd w:val="clear" w:color="auto" w:fill="auto"/>
          </w:tcPr>
          <w:p w14:paraId="05E9846E" w14:textId="77777777" w:rsidR="00114BBF" w:rsidRPr="00114BBF" w:rsidRDefault="00114BBF" w:rsidP="00114BBF">
            <w:pPr>
              <w:pStyle w:val="CasesLegislationAppealFrom"/>
              <w:spacing w:after="60"/>
            </w:pPr>
            <w:bookmarkStart w:id="2" w:name="Cases_Cited"/>
            <w:r w:rsidRPr="00114BBF">
              <w:rPr>
                <w:i/>
              </w:rPr>
              <w:t xml:space="preserve">Attorney-General (NT) v </w:t>
            </w:r>
            <w:r w:rsidRPr="00114BBF">
              <w:rPr>
                <w:i/>
                <w:iCs/>
              </w:rPr>
              <w:t>Maurice</w:t>
            </w:r>
            <w:r w:rsidRPr="00114BBF">
              <w:t xml:space="preserve"> [1986] HCA 80; (1986) 161 CLR 475</w:t>
            </w:r>
          </w:p>
          <w:p w14:paraId="6A8A2B87" w14:textId="77777777" w:rsidR="00114BBF" w:rsidRPr="00114BBF" w:rsidRDefault="00114BBF" w:rsidP="00114BBF">
            <w:pPr>
              <w:pStyle w:val="CasesLegislationAppealFrom"/>
              <w:spacing w:after="60"/>
            </w:pPr>
            <w:r w:rsidRPr="00114BBF">
              <w:rPr>
                <w:i/>
              </w:rPr>
              <w:t>Australian Securities and Investments Commission v Australian Lending Centre Pty Ltd (No 2)</w:t>
            </w:r>
            <w:r w:rsidRPr="00114BBF">
              <w:t xml:space="preserve"> [2011] FCA 1057; (2011) 283 ALR 299</w:t>
            </w:r>
          </w:p>
          <w:p w14:paraId="51B4C364" w14:textId="77777777" w:rsidR="00114BBF" w:rsidRPr="00114BBF" w:rsidRDefault="00114BBF" w:rsidP="00114BBF">
            <w:pPr>
              <w:pStyle w:val="CasesLegislationAppealFrom"/>
              <w:spacing w:after="60"/>
              <w:rPr>
                <w:szCs w:val="24"/>
              </w:rPr>
            </w:pPr>
            <w:r w:rsidRPr="00114BBF">
              <w:rPr>
                <w:i/>
                <w:szCs w:val="24"/>
              </w:rPr>
              <w:t>AWB Ltd v Cole (No 5)</w:t>
            </w:r>
            <w:r w:rsidRPr="00114BBF">
              <w:rPr>
                <w:szCs w:val="24"/>
              </w:rPr>
              <w:t xml:space="preserve"> [2006] FCA 1234; (2006) 155 FCR 30</w:t>
            </w:r>
          </w:p>
          <w:p w14:paraId="1EB8BC01" w14:textId="77777777" w:rsidR="00114BBF" w:rsidRPr="00114BBF" w:rsidRDefault="00114BBF" w:rsidP="00114BBF">
            <w:pPr>
              <w:pStyle w:val="CasesLegislationAppealFrom"/>
              <w:spacing w:after="60"/>
              <w:rPr>
                <w:szCs w:val="24"/>
              </w:rPr>
            </w:pPr>
            <w:r w:rsidRPr="00114BBF">
              <w:rPr>
                <w:i/>
                <w:szCs w:val="24"/>
              </w:rPr>
              <w:t xml:space="preserve">Commissioner of Taxation v Rio Tinto Ltd </w:t>
            </w:r>
            <w:r w:rsidRPr="00114BBF">
              <w:rPr>
                <w:szCs w:val="24"/>
              </w:rPr>
              <w:t>[2006] FCAFC 86; (2006) 151 FCR 341</w:t>
            </w:r>
          </w:p>
          <w:p w14:paraId="301142B0" w14:textId="77777777" w:rsidR="00114BBF" w:rsidRPr="00114BBF" w:rsidRDefault="00114BBF" w:rsidP="00114BBF">
            <w:pPr>
              <w:pStyle w:val="CasesLegislationAppealFrom"/>
              <w:spacing w:after="60"/>
            </w:pPr>
            <w:r w:rsidRPr="00114BBF">
              <w:rPr>
                <w:i/>
              </w:rPr>
              <w:t>Council of the New South Wales Bar Association v Archer</w:t>
            </w:r>
            <w:r w:rsidRPr="00114BBF">
              <w:t xml:space="preserve"> [2008] NSWCA 164; (2008) 72 NSWLR 236</w:t>
            </w:r>
          </w:p>
          <w:p w14:paraId="213828FD" w14:textId="4AA69832" w:rsidR="00114BBF" w:rsidRDefault="00114BBF" w:rsidP="00114BBF">
            <w:pPr>
              <w:pStyle w:val="CasesLegislationAppealFrom"/>
              <w:spacing w:after="60"/>
            </w:pPr>
            <w:r w:rsidRPr="00114BBF">
              <w:rPr>
                <w:i/>
              </w:rPr>
              <w:t xml:space="preserve">DSE (Holdings) Pty Ltd v Intertan Inc </w:t>
            </w:r>
            <w:r w:rsidRPr="00114BBF">
              <w:t>[2003] FCA 384; (2003) 127 FCR 499</w:t>
            </w:r>
          </w:p>
          <w:p w14:paraId="7429994B" w14:textId="57E8A19C" w:rsidR="00A97F05" w:rsidRPr="00114BBF" w:rsidRDefault="00A97F05" w:rsidP="00114BBF">
            <w:pPr>
              <w:pStyle w:val="CasesLegislationAppealFrom"/>
              <w:spacing w:after="60"/>
            </w:pPr>
            <w:r>
              <w:rPr>
                <w:i/>
              </w:rPr>
              <w:t>Goldberg v N</w:t>
            </w:r>
            <w:r w:rsidR="009D63CB">
              <w:rPr>
                <w:i/>
              </w:rPr>
              <w:t>g</w:t>
            </w:r>
            <w:r>
              <w:rPr>
                <w:i/>
              </w:rPr>
              <w:t xml:space="preserve"> </w:t>
            </w:r>
            <w:r>
              <w:t>[1995] HCA 39; (1995) 185 CLR 83</w:t>
            </w:r>
          </w:p>
          <w:p w14:paraId="02893D98" w14:textId="77777777" w:rsidR="00114BBF" w:rsidRPr="00114BBF" w:rsidRDefault="00114BBF" w:rsidP="00114BBF">
            <w:pPr>
              <w:pStyle w:val="CasesLegislationAppealFrom"/>
              <w:spacing w:after="60"/>
            </w:pPr>
            <w:r w:rsidRPr="00114BBF">
              <w:rPr>
                <w:i/>
              </w:rPr>
              <w:t xml:space="preserve">Mann v Carnell </w:t>
            </w:r>
            <w:r w:rsidRPr="00114BBF">
              <w:t>[1999] HCA 66; (1999) 201 CLR 1</w:t>
            </w:r>
          </w:p>
          <w:p w14:paraId="660C8EDD" w14:textId="5BA3F5AC" w:rsidR="00114BBF" w:rsidRPr="00114BBF" w:rsidRDefault="00114BBF" w:rsidP="00114BBF">
            <w:pPr>
              <w:pStyle w:val="CasesLegislationAppealFrom"/>
              <w:spacing w:after="60"/>
              <w:rPr>
                <w:szCs w:val="24"/>
                <w:shd w:val="clear" w:color="auto" w:fill="FFFFFF"/>
              </w:rPr>
            </w:pPr>
            <w:r w:rsidRPr="00114BBF">
              <w:rPr>
                <w:i/>
                <w:iCs/>
                <w:szCs w:val="24"/>
                <w:shd w:val="clear" w:color="auto" w:fill="FFFFFF"/>
              </w:rPr>
              <w:t>New South Wales v Betfair Pty Ltd </w:t>
            </w:r>
            <w:r w:rsidRPr="00114BBF">
              <w:rPr>
                <w:szCs w:val="24"/>
                <w:shd w:val="clear" w:color="auto" w:fill="FFFFFF"/>
              </w:rPr>
              <w:t>[2009] FCAFC 160;</w:t>
            </w:r>
            <w:r w:rsidRPr="00114BBF">
              <w:rPr>
                <w:i/>
                <w:iCs/>
                <w:szCs w:val="24"/>
                <w:shd w:val="clear" w:color="auto" w:fill="FFFFFF"/>
              </w:rPr>
              <w:t> </w:t>
            </w:r>
            <w:r w:rsidRPr="00114BBF">
              <w:rPr>
                <w:szCs w:val="24"/>
                <w:shd w:val="clear" w:color="auto" w:fill="FFFFFF"/>
              </w:rPr>
              <w:t>(2009) 180 FCR 543</w:t>
            </w:r>
          </w:p>
          <w:p w14:paraId="0AD1994B" w14:textId="77777777" w:rsidR="00114BBF" w:rsidRPr="00114BBF" w:rsidRDefault="00114BBF" w:rsidP="00114BBF">
            <w:pPr>
              <w:pStyle w:val="CasesLegislationAppealFrom"/>
              <w:spacing w:after="60"/>
              <w:rPr>
                <w:szCs w:val="24"/>
              </w:rPr>
            </w:pPr>
            <w:r w:rsidRPr="00114BBF">
              <w:rPr>
                <w:i/>
                <w:szCs w:val="24"/>
              </w:rPr>
              <w:t>Osland v Secretary, Department of Justice</w:t>
            </w:r>
            <w:r w:rsidRPr="00114BBF">
              <w:rPr>
                <w:szCs w:val="24"/>
              </w:rPr>
              <w:t xml:space="preserve"> [2008] HCA 37; (2008) 234 CLR 275</w:t>
            </w:r>
          </w:p>
          <w:p w14:paraId="25F29708" w14:textId="77777777" w:rsidR="00114BBF" w:rsidRPr="00114BBF" w:rsidRDefault="00114BBF" w:rsidP="00114BBF">
            <w:pPr>
              <w:pStyle w:val="CasesLegislationAppealFrom"/>
              <w:spacing w:after="60"/>
            </w:pPr>
            <w:r w:rsidRPr="00114BBF">
              <w:rPr>
                <w:i/>
              </w:rPr>
              <w:t xml:space="preserve">Roberts-Smith v Fairfax Media Publications Pty Limited (No 12) </w:t>
            </w:r>
            <w:r w:rsidRPr="00114BBF">
              <w:t>[2021] FCA 465</w:t>
            </w:r>
          </w:p>
          <w:p w14:paraId="14459564" w14:textId="6CE999E3" w:rsidR="00114BBF" w:rsidRPr="00114BBF" w:rsidRDefault="00114BBF" w:rsidP="00114BBF">
            <w:pPr>
              <w:pStyle w:val="CasesLegislationAppealFrom"/>
              <w:spacing w:after="60"/>
              <w:rPr>
                <w:szCs w:val="24"/>
              </w:rPr>
            </w:pPr>
            <w:r w:rsidRPr="00114BBF">
              <w:rPr>
                <w:i/>
                <w:szCs w:val="24"/>
              </w:rPr>
              <w:t>Roberts-Smith v Fairfax Media Publications Pty Limited (No 23)</w:t>
            </w:r>
            <w:r w:rsidRPr="00114BBF">
              <w:rPr>
                <w:szCs w:val="24"/>
              </w:rPr>
              <w:t xml:space="preserve"> [2021] FCA 1460</w:t>
            </w:r>
            <w:r w:rsidRPr="00114BBF">
              <w:t xml:space="preserve"> </w:t>
            </w:r>
            <w:bookmarkEnd w:id="2"/>
          </w:p>
        </w:tc>
      </w:tr>
      <w:tr w:rsidR="00567338" w14:paraId="32636750" w14:textId="77777777" w:rsidTr="009C0BCD">
        <w:tc>
          <w:tcPr>
            <w:tcW w:w="3084" w:type="dxa"/>
            <w:shd w:val="clear" w:color="auto" w:fill="auto"/>
          </w:tcPr>
          <w:p w14:paraId="046165D0" w14:textId="77777777" w:rsidR="00567338" w:rsidRDefault="00567338" w:rsidP="0048119E">
            <w:pPr>
              <w:pStyle w:val="Normal1linespace"/>
              <w:widowControl w:val="0"/>
            </w:pPr>
          </w:p>
        </w:tc>
        <w:tc>
          <w:tcPr>
            <w:tcW w:w="5989" w:type="dxa"/>
            <w:shd w:val="clear" w:color="auto" w:fill="auto"/>
          </w:tcPr>
          <w:p w14:paraId="278B9F1A" w14:textId="77777777" w:rsidR="00567338" w:rsidRDefault="00567338" w:rsidP="0048119E">
            <w:pPr>
              <w:pStyle w:val="Normal1linespace"/>
              <w:widowControl w:val="0"/>
              <w:jc w:val="left"/>
            </w:pPr>
          </w:p>
        </w:tc>
      </w:tr>
      <w:tr w:rsidR="00567338" w14:paraId="3AC20608" w14:textId="77777777" w:rsidTr="009C0BCD">
        <w:tc>
          <w:tcPr>
            <w:tcW w:w="3084" w:type="dxa"/>
            <w:shd w:val="clear" w:color="auto" w:fill="auto"/>
          </w:tcPr>
          <w:p w14:paraId="2A7F2AC0" w14:textId="77777777" w:rsidR="00567338" w:rsidRDefault="00567338" w:rsidP="00501A12">
            <w:pPr>
              <w:pStyle w:val="Normal1linespace"/>
              <w:widowControl w:val="0"/>
            </w:pPr>
            <w:r>
              <w:t>Division:</w:t>
            </w:r>
          </w:p>
        </w:tc>
        <w:tc>
          <w:tcPr>
            <w:tcW w:w="5989" w:type="dxa"/>
            <w:shd w:val="clear" w:color="auto" w:fill="auto"/>
          </w:tcPr>
          <w:p w14:paraId="6B97D48D" w14:textId="2A307634" w:rsidR="00567338" w:rsidRPr="00F17599" w:rsidRDefault="00A412A6" w:rsidP="00501A12">
            <w:pPr>
              <w:pStyle w:val="Normal1linespace"/>
              <w:widowControl w:val="0"/>
              <w:jc w:val="left"/>
            </w:pPr>
            <w:r>
              <w:fldChar w:fldCharType="begin"/>
            </w:r>
            <w:r>
              <w:instrText xml:space="preserve"> DOCPROPERTY  Division </w:instrText>
            </w:r>
            <w:r>
              <w:fldChar w:fldCharType="separate"/>
            </w:r>
            <w:r w:rsidR="00F428AC">
              <w:t>General Division</w:t>
            </w:r>
            <w:r>
              <w:fldChar w:fldCharType="end"/>
            </w:r>
          </w:p>
        </w:tc>
      </w:tr>
      <w:tr w:rsidR="00567338" w14:paraId="3824D9C5" w14:textId="77777777" w:rsidTr="009C0BCD">
        <w:tc>
          <w:tcPr>
            <w:tcW w:w="3084" w:type="dxa"/>
            <w:shd w:val="clear" w:color="auto" w:fill="auto"/>
          </w:tcPr>
          <w:p w14:paraId="406E2E75" w14:textId="77777777" w:rsidR="00567338" w:rsidRDefault="00567338" w:rsidP="00501A12">
            <w:pPr>
              <w:pStyle w:val="Normal1linespace"/>
              <w:widowControl w:val="0"/>
            </w:pPr>
            <w:bookmarkStart w:id="3" w:name="Registry_rows" w:colFirst="0" w:colLast="1"/>
          </w:p>
        </w:tc>
        <w:tc>
          <w:tcPr>
            <w:tcW w:w="5989" w:type="dxa"/>
            <w:shd w:val="clear" w:color="auto" w:fill="auto"/>
          </w:tcPr>
          <w:p w14:paraId="5DF91844" w14:textId="77777777" w:rsidR="00567338" w:rsidRDefault="00567338" w:rsidP="00501A12">
            <w:pPr>
              <w:pStyle w:val="Normal1linespace"/>
              <w:widowControl w:val="0"/>
              <w:jc w:val="left"/>
            </w:pPr>
          </w:p>
        </w:tc>
      </w:tr>
      <w:tr w:rsidR="00567338" w14:paraId="01DBBF40" w14:textId="77777777" w:rsidTr="009C0BCD">
        <w:tc>
          <w:tcPr>
            <w:tcW w:w="3084" w:type="dxa"/>
            <w:shd w:val="clear" w:color="auto" w:fill="auto"/>
          </w:tcPr>
          <w:p w14:paraId="78C33813" w14:textId="77777777" w:rsidR="00567338" w:rsidRDefault="00567338" w:rsidP="00501A12">
            <w:pPr>
              <w:pStyle w:val="Normal1linespace"/>
              <w:widowControl w:val="0"/>
            </w:pPr>
            <w:r>
              <w:t>Registry:</w:t>
            </w:r>
          </w:p>
        </w:tc>
        <w:tc>
          <w:tcPr>
            <w:tcW w:w="5989" w:type="dxa"/>
            <w:shd w:val="clear" w:color="auto" w:fill="auto"/>
          </w:tcPr>
          <w:p w14:paraId="744B251D" w14:textId="71482754" w:rsidR="00567338" w:rsidRPr="00F17599" w:rsidRDefault="00A412A6" w:rsidP="00501A12">
            <w:pPr>
              <w:pStyle w:val="Normal1linespace"/>
              <w:widowControl w:val="0"/>
              <w:jc w:val="left"/>
            </w:pPr>
            <w:r>
              <w:fldChar w:fldCharType="begin"/>
            </w:r>
            <w:r>
              <w:instrText xml:space="preserve"> DOCPROPERTY  Registry </w:instrText>
            </w:r>
            <w:r>
              <w:fldChar w:fldCharType="separate"/>
            </w:r>
            <w:r w:rsidR="00F428AC">
              <w:t>New South Wales</w:t>
            </w:r>
            <w:r>
              <w:fldChar w:fldCharType="end"/>
            </w:r>
          </w:p>
        </w:tc>
      </w:tr>
      <w:tr w:rsidR="00567338" w14:paraId="586578CC" w14:textId="77777777" w:rsidTr="009C0BCD">
        <w:tc>
          <w:tcPr>
            <w:tcW w:w="3084" w:type="dxa"/>
            <w:shd w:val="clear" w:color="auto" w:fill="auto"/>
          </w:tcPr>
          <w:p w14:paraId="6644BB83" w14:textId="77777777" w:rsidR="00567338" w:rsidRDefault="00567338" w:rsidP="00501A12">
            <w:pPr>
              <w:pStyle w:val="Normal1linespace"/>
              <w:widowControl w:val="0"/>
            </w:pPr>
            <w:bookmarkStart w:id="4" w:name="NPARow" w:colFirst="0" w:colLast="1"/>
            <w:bookmarkEnd w:id="3"/>
          </w:p>
        </w:tc>
        <w:tc>
          <w:tcPr>
            <w:tcW w:w="5989" w:type="dxa"/>
            <w:shd w:val="clear" w:color="auto" w:fill="auto"/>
          </w:tcPr>
          <w:p w14:paraId="75DA7272" w14:textId="77777777" w:rsidR="00567338" w:rsidRPr="00F17599" w:rsidRDefault="00567338" w:rsidP="00501A12">
            <w:pPr>
              <w:pStyle w:val="Normal1linespace"/>
              <w:widowControl w:val="0"/>
              <w:jc w:val="left"/>
              <w:rPr>
                <w:b/>
              </w:rPr>
            </w:pPr>
          </w:p>
        </w:tc>
      </w:tr>
      <w:tr w:rsidR="00567338" w14:paraId="46F5A73C" w14:textId="77777777" w:rsidTr="009C0BCD">
        <w:tc>
          <w:tcPr>
            <w:tcW w:w="3084" w:type="dxa"/>
            <w:shd w:val="clear" w:color="auto" w:fill="auto"/>
          </w:tcPr>
          <w:p w14:paraId="47D80DD7" w14:textId="77777777" w:rsidR="00567338" w:rsidRDefault="00567338" w:rsidP="00501A12">
            <w:pPr>
              <w:pStyle w:val="Normal1linespace"/>
              <w:widowControl w:val="0"/>
            </w:pPr>
            <w:r>
              <w:t>National Practice Area:</w:t>
            </w:r>
          </w:p>
        </w:tc>
        <w:tc>
          <w:tcPr>
            <w:tcW w:w="5989" w:type="dxa"/>
            <w:shd w:val="clear" w:color="auto" w:fill="auto"/>
          </w:tcPr>
          <w:p w14:paraId="4697C1E1" w14:textId="0F5D3F44" w:rsidR="00567338" w:rsidRPr="00F17599" w:rsidRDefault="00A412A6" w:rsidP="0048119E">
            <w:pPr>
              <w:pStyle w:val="Normal1linespace"/>
              <w:widowControl w:val="0"/>
              <w:jc w:val="left"/>
              <w:rPr>
                <w:b/>
              </w:rPr>
            </w:pPr>
            <w:r>
              <w:fldChar w:fldCharType="begin"/>
            </w:r>
            <w:r>
              <w:instrText xml:space="preserve"> DOCPROPERTY  "Practice Area"  \* MERGEFORMAT </w:instrText>
            </w:r>
            <w:r>
              <w:fldChar w:fldCharType="separate"/>
            </w:r>
            <w:r w:rsidR="00F428AC">
              <w:t>Other Federal Jurisdiction</w:t>
            </w:r>
            <w:r>
              <w:fldChar w:fldCharType="end"/>
            </w:r>
          </w:p>
        </w:tc>
      </w:tr>
      <w:bookmarkEnd w:id="4"/>
      <w:tr w:rsidR="00567338" w14:paraId="3A22909F" w14:textId="77777777" w:rsidTr="009C0BCD">
        <w:tc>
          <w:tcPr>
            <w:tcW w:w="3084" w:type="dxa"/>
            <w:shd w:val="clear" w:color="auto" w:fill="auto"/>
          </w:tcPr>
          <w:p w14:paraId="591D821C" w14:textId="77777777" w:rsidR="00567338" w:rsidRDefault="00567338" w:rsidP="00501A12">
            <w:pPr>
              <w:pStyle w:val="Normal1linespace"/>
              <w:widowControl w:val="0"/>
            </w:pPr>
          </w:p>
        </w:tc>
        <w:tc>
          <w:tcPr>
            <w:tcW w:w="5989" w:type="dxa"/>
            <w:shd w:val="clear" w:color="auto" w:fill="auto"/>
          </w:tcPr>
          <w:p w14:paraId="5C1559CA" w14:textId="77777777" w:rsidR="00567338" w:rsidRDefault="00567338" w:rsidP="00501A12">
            <w:pPr>
              <w:pStyle w:val="Normal1linespace"/>
              <w:widowControl w:val="0"/>
              <w:jc w:val="left"/>
            </w:pPr>
          </w:p>
        </w:tc>
      </w:tr>
      <w:tr w:rsidR="00567338" w14:paraId="3C9BC590" w14:textId="77777777" w:rsidTr="009C0BCD">
        <w:tc>
          <w:tcPr>
            <w:tcW w:w="3084" w:type="dxa"/>
            <w:shd w:val="clear" w:color="auto" w:fill="auto"/>
          </w:tcPr>
          <w:p w14:paraId="5B12EF5D" w14:textId="77777777" w:rsidR="00567338" w:rsidRDefault="00567338" w:rsidP="00501A12">
            <w:pPr>
              <w:pStyle w:val="Normal1linespace"/>
              <w:widowControl w:val="0"/>
            </w:pPr>
            <w:r>
              <w:t>Number of paragraphs:</w:t>
            </w:r>
          </w:p>
        </w:tc>
        <w:tc>
          <w:tcPr>
            <w:tcW w:w="5989" w:type="dxa"/>
            <w:shd w:val="clear" w:color="auto" w:fill="auto"/>
          </w:tcPr>
          <w:p w14:paraId="0075A731" w14:textId="7368C1A5" w:rsidR="00567338" w:rsidRDefault="008D1E10" w:rsidP="00501A12">
            <w:pPr>
              <w:pStyle w:val="Normal1linespace"/>
              <w:widowControl w:val="0"/>
              <w:jc w:val="left"/>
            </w:pPr>
            <w:r>
              <w:t>75</w:t>
            </w:r>
          </w:p>
        </w:tc>
      </w:tr>
      <w:tr w:rsidR="00567338" w14:paraId="5EABF890" w14:textId="77777777" w:rsidTr="009C0BCD">
        <w:tc>
          <w:tcPr>
            <w:tcW w:w="3084" w:type="dxa"/>
            <w:shd w:val="clear" w:color="auto" w:fill="auto"/>
          </w:tcPr>
          <w:p w14:paraId="3EF6F915" w14:textId="77777777" w:rsidR="00567338" w:rsidRDefault="00567338" w:rsidP="00567338">
            <w:pPr>
              <w:pStyle w:val="Normal1linespace"/>
              <w:widowControl w:val="0"/>
              <w:jc w:val="left"/>
            </w:pPr>
          </w:p>
        </w:tc>
        <w:tc>
          <w:tcPr>
            <w:tcW w:w="5989" w:type="dxa"/>
            <w:shd w:val="clear" w:color="auto" w:fill="auto"/>
          </w:tcPr>
          <w:p w14:paraId="23BE82C8" w14:textId="77777777" w:rsidR="00567338" w:rsidRDefault="00567338" w:rsidP="00567338">
            <w:pPr>
              <w:pStyle w:val="Normal1linespace"/>
              <w:widowControl w:val="0"/>
              <w:jc w:val="left"/>
            </w:pPr>
          </w:p>
        </w:tc>
      </w:tr>
      <w:tr w:rsidR="00567338" w14:paraId="6CAE5C24" w14:textId="77777777" w:rsidTr="009C0BCD">
        <w:tc>
          <w:tcPr>
            <w:tcW w:w="3084" w:type="dxa"/>
            <w:shd w:val="clear" w:color="auto" w:fill="auto"/>
          </w:tcPr>
          <w:p w14:paraId="066B9837" w14:textId="77777777" w:rsidR="00567338" w:rsidRDefault="00567338" w:rsidP="00567338">
            <w:pPr>
              <w:pStyle w:val="Normal1linespace"/>
              <w:widowControl w:val="0"/>
              <w:jc w:val="left"/>
            </w:pPr>
            <w:bookmarkStart w:id="5" w:name="CounselDate" w:colFirst="0" w:colLast="2"/>
            <w:r w:rsidRPr="006A24E3">
              <w:t>Date of hearing:</w:t>
            </w:r>
          </w:p>
        </w:tc>
        <w:tc>
          <w:tcPr>
            <w:tcW w:w="5989" w:type="dxa"/>
            <w:shd w:val="clear" w:color="auto" w:fill="auto"/>
          </w:tcPr>
          <w:p w14:paraId="68BB18AC" w14:textId="7FF5C937" w:rsidR="00567338" w:rsidRDefault="00A83B97" w:rsidP="00A83B97">
            <w:pPr>
              <w:pStyle w:val="Normal1linespace"/>
              <w:widowControl w:val="0"/>
              <w:jc w:val="left"/>
            </w:pPr>
            <w:bookmarkStart w:id="6" w:name="HearingDate"/>
            <w:r>
              <w:t>29</w:t>
            </w:r>
            <w:r w:rsidR="00A57505">
              <w:t xml:space="preserve"> </w:t>
            </w:r>
            <w:r>
              <w:t>November</w:t>
            </w:r>
            <w:r w:rsidR="00A57505">
              <w:t xml:space="preserve"> </w:t>
            </w:r>
            <w:r w:rsidR="00690DCD">
              <w:t>2021</w:t>
            </w:r>
            <w:r w:rsidR="00567338">
              <w:t xml:space="preserve"> </w:t>
            </w:r>
            <w:bookmarkEnd w:id="6"/>
          </w:p>
        </w:tc>
      </w:tr>
      <w:tr w:rsidR="00567338" w14:paraId="0335A783" w14:textId="77777777" w:rsidTr="009C0BCD">
        <w:tc>
          <w:tcPr>
            <w:tcW w:w="3084" w:type="dxa"/>
            <w:shd w:val="clear" w:color="auto" w:fill="auto"/>
          </w:tcPr>
          <w:p w14:paraId="7811D33A" w14:textId="77777777" w:rsidR="00567338" w:rsidRDefault="00567338" w:rsidP="00567338">
            <w:pPr>
              <w:pStyle w:val="Normal1linespace"/>
              <w:widowControl w:val="0"/>
              <w:jc w:val="left"/>
            </w:pPr>
          </w:p>
        </w:tc>
        <w:tc>
          <w:tcPr>
            <w:tcW w:w="5989" w:type="dxa"/>
            <w:shd w:val="clear" w:color="auto" w:fill="auto"/>
          </w:tcPr>
          <w:p w14:paraId="5EE1458A" w14:textId="77777777" w:rsidR="00567338" w:rsidRDefault="00567338" w:rsidP="00567338">
            <w:pPr>
              <w:pStyle w:val="Normal1linespace"/>
              <w:widowControl w:val="0"/>
              <w:jc w:val="left"/>
            </w:pPr>
          </w:p>
        </w:tc>
      </w:tr>
      <w:tr w:rsidR="00382D75" w14:paraId="06CB9ECF" w14:textId="77777777" w:rsidTr="00382D75">
        <w:tc>
          <w:tcPr>
            <w:tcW w:w="3084" w:type="dxa"/>
            <w:shd w:val="clear" w:color="auto" w:fill="auto"/>
          </w:tcPr>
          <w:p w14:paraId="3C68010A" w14:textId="77777777" w:rsidR="00382D75" w:rsidRDefault="00382D75" w:rsidP="00382D75">
            <w:pPr>
              <w:pStyle w:val="Normal1linespace"/>
              <w:widowControl w:val="0"/>
              <w:jc w:val="left"/>
            </w:pPr>
            <w:bookmarkStart w:id="7" w:name="Counsel" w:colFirst="0" w:colLast="2"/>
            <w:bookmarkEnd w:id="5"/>
            <w:r w:rsidRPr="004B19B4">
              <w:t>Counsel for the Applicant:</w:t>
            </w:r>
          </w:p>
        </w:tc>
        <w:tc>
          <w:tcPr>
            <w:tcW w:w="5989" w:type="dxa"/>
            <w:shd w:val="clear" w:color="auto" w:fill="auto"/>
          </w:tcPr>
          <w:p w14:paraId="7CFCBC2A" w14:textId="77777777" w:rsidR="00382D75" w:rsidRDefault="00382D75" w:rsidP="00541A65">
            <w:pPr>
              <w:pStyle w:val="Normal1linespace"/>
              <w:widowControl w:val="0"/>
              <w:jc w:val="left"/>
            </w:pPr>
            <w:bookmarkStart w:id="8" w:name="AppCounsel"/>
            <w:bookmarkEnd w:id="8"/>
            <w:r w:rsidRPr="004B19B4">
              <w:t>Mr A Moses SC with Mr P Sharp</w:t>
            </w:r>
          </w:p>
        </w:tc>
      </w:tr>
      <w:tr w:rsidR="00382D75" w14:paraId="163A7EAB" w14:textId="77777777" w:rsidTr="00382D75">
        <w:tc>
          <w:tcPr>
            <w:tcW w:w="3084" w:type="dxa"/>
            <w:shd w:val="clear" w:color="auto" w:fill="auto"/>
          </w:tcPr>
          <w:p w14:paraId="4C980EF1" w14:textId="77777777" w:rsidR="00382D75" w:rsidRDefault="00382D75" w:rsidP="00382D75">
            <w:pPr>
              <w:pStyle w:val="Normal1linespace"/>
              <w:widowControl w:val="0"/>
              <w:jc w:val="left"/>
            </w:pPr>
          </w:p>
        </w:tc>
        <w:tc>
          <w:tcPr>
            <w:tcW w:w="5989" w:type="dxa"/>
            <w:shd w:val="clear" w:color="auto" w:fill="auto"/>
          </w:tcPr>
          <w:p w14:paraId="0081FFAF" w14:textId="77777777" w:rsidR="00382D75" w:rsidRDefault="00382D75" w:rsidP="00382D75">
            <w:pPr>
              <w:pStyle w:val="Normal1linespace"/>
              <w:widowControl w:val="0"/>
              <w:jc w:val="left"/>
            </w:pPr>
          </w:p>
        </w:tc>
      </w:tr>
      <w:tr w:rsidR="00382D75" w14:paraId="6123C0FF" w14:textId="77777777" w:rsidTr="00382D75">
        <w:tc>
          <w:tcPr>
            <w:tcW w:w="3084" w:type="dxa"/>
            <w:shd w:val="clear" w:color="auto" w:fill="auto"/>
          </w:tcPr>
          <w:p w14:paraId="5D1A3266" w14:textId="77777777" w:rsidR="00382D75" w:rsidRPr="00AC746D" w:rsidRDefault="00382D75" w:rsidP="00382D75">
            <w:pPr>
              <w:pStyle w:val="Normal1linespace"/>
              <w:widowControl w:val="0"/>
              <w:jc w:val="left"/>
            </w:pPr>
            <w:r w:rsidRPr="004B19B4">
              <w:t>Solicitor for the Applicant:</w:t>
            </w:r>
          </w:p>
        </w:tc>
        <w:tc>
          <w:tcPr>
            <w:tcW w:w="5989" w:type="dxa"/>
            <w:shd w:val="clear" w:color="auto" w:fill="auto"/>
          </w:tcPr>
          <w:p w14:paraId="510C54F3" w14:textId="77777777" w:rsidR="00382D75" w:rsidRPr="00AC746D" w:rsidRDefault="00382D75" w:rsidP="00382D75">
            <w:pPr>
              <w:pStyle w:val="Normal1linespace"/>
              <w:widowControl w:val="0"/>
              <w:jc w:val="left"/>
            </w:pPr>
            <w:r w:rsidRPr="004B19B4">
              <w:t>Mark O’Brien Legal</w:t>
            </w:r>
          </w:p>
        </w:tc>
      </w:tr>
      <w:tr w:rsidR="00382D75" w14:paraId="4F9FD0EC" w14:textId="77777777" w:rsidTr="00382D75">
        <w:tc>
          <w:tcPr>
            <w:tcW w:w="3084" w:type="dxa"/>
            <w:shd w:val="clear" w:color="auto" w:fill="auto"/>
          </w:tcPr>
          <w:p w14:paraId="33AFE4DB" w14:textId="77777777" w:rsidR="00382D75" w:rsidRPr="00AC746D" w:rsidRDefault="00382D75" w:rsidP="00382D75">
            <w:pPr>
              <w:pStyle w:val="Normal1linespace"/>
              <w:widowControl w:val="0"/>
              <w:jc w:val="left"/>
            </w:pPr>
          </w:p>
        </w:tc>
        <w:tc>
          <w:tcPr>
            <w:tcW w:w="5989" w:type="dxa"/>
            <w:shd w:val="clear" w:color="auto" w:fill="auto"/>
          </w:tcPr>
          <w:p w14:paraId="7DEB86D0" w14:textId="77777777" w:rsidR="00382D75" w:rsidRPr="00AC746D" w:rsidRDefault="00382D75" w:rsidP="00382D75">
            <w:pPr>
              <w:pStyle w:val="Normal1linespace"/>
              <w:widowControl w:val="0"/>
              <w:jc w:val="left"/>
            </w:pPr>
          </w:p>
        </w:tc>
      </w:tr>
      <w:tr w:rsidR="00382D75" w14:paraId="5C130E64" w14:textId="77777777" w:rsidTr="00382D75">
        <w:tc>
          <w:tcPr>
            <w:tcW w:w="3084" w:type="dxa"/>
            <w:shd w:val="clear" w:color="auto" w:fill="auto"/>
          </w:tcPr>
          <w:p w14:paraId="411ED536" w14:textId="77777777" w:rsidR="00382D75" w:rsidRPr="00AC746D" w:rsidRDefault="00382D75" w:rsidP="00382D75">
            <w:pPr>
              <w:pStyle w:val="Normal1linespace"/>
              <w:widowControl w:val="0"/>
              <w:jc w:val="left"/>
            </w:pPr>
            <w:r w:rsidRPr="004B19B4">
              <w:t>Counsel for the Respondents:</w:t>
            </w:r>
          </w:p>
        </w:tc>
        <w:tc>
          <w:tcPr>
            <w:tcW w:w="5989" w:type="dxa"/>
            <w:shd w:val="clear" w:color="auto" w:fill="auto"/>
          </w:tcPr>
          <w:p w14:paraId="56E64C89" w14:textId="77777777" w:rsidR="00382D75" w:rsidRPr="00AC746D" w:rsidRDefault="00541A65" w:rsidP="00541A65">
            <w:pPr>
              <w:pStyle w:val="Normal1linespace"/>
              <w:widowControl w:val="0"/>
              <w:jc w:val="left"/>
            </w:pPr>
            <w:r>
              <w:t>Mr N Owens SC with Ms L Barnett and Mr C Mitchell</w:t>
            </w:r>
          </w:p>
        </w:tc>
      </w:tr>
      <w:tr w:rsidR="00382D75" w14:paraId="33083D11" w14:textId="77777777" w:rsidTr="00382D75">
        <w:tc>
          <w:tcPr>
            <w:tcW w:w="3084" w:type="dxa"/>
            <w:shd w:val="clear" w:color="auto" w:fill="auto"/>
          </w:tcPr>
          <w:p w14:paraId="621BFE5F" w14:textId="77777777" w:rsidR="00382D75" w:rsidRPr="00AC746D" w:rsidRDefault="00382D75" w:rsidP="00382D75">
            <w:pPr>
              <w:pStyle w:val="Normal1linespace"/>
              <w:widowControl w:val="0"/>
              <w:jc w:val="left"/>
            </w:pPr>
          </w:p>
        </w:tc>
        <w:tc>
          <w:tcPr>
            <w:tcW w:w="5989" w:type="dxa"/>
            <w:shd w:val="clear" w:color="auto" w:fill="auto"/>
          </w:tcPr>
          <w:p w14:paraId="66FA7FDD" w14:textId="77777777" w:rsidR="00382D75" w:rsidRPr="00AC746D" w:rsidRDefault="00382D75" w:rsidP="00382D75">
            <w:pPr>
              <w:pStyle w:val="Normal1linespace"/>
              <w:widowControl w:val="0"/>
              <w:jc w:val="left"/>
            </w:pPr>
          </w:p>
        </w:tc>
      </w:tr>
      <w:tr w:rsidR="00382D75" w14:paraId="5BF0AF14" w14:textId="77777777" w:rsidTr="00382D75">
        <w:tc>
          <w:tcPr>
            <w:tcW w:w="3084" w:type="dxa"/>
            <w:shd w:val="clear" w:color="auto" w:fill="auto"/>
          </w:tcPr>
          <w:p w14:paraId="5E1B91B6" w14:textId="77777777" w:rsidR="00382D75" w:rsidRPr="00AC746D" w:rsidRDefault="00382D75" w:rsidP="00382D75">
            <w:pPr>
              <w:pStyle w:val="Normal1linespace"/>
              <w:widowControl w:val="0"/>
              <w:jc w:val="left"/>
            </w:pPr>
            <w:r w:rsidRPr="004B19B4">
              <w:t>Solicitor for the Respondents:</w:t>
            </w:r>
          </w:p>
        </w:tc>
        <w:tc>
          <w:tcPr>
            <w:tcW w:w="5989" w:type="dxa"/>
            <w:shd w:val="clear" w:color="auto" w:fill="auto"/>
          </w:tcPr>
          <w:p w14:paraId="62B1D978" w14:textId="77777777" w:rsidR="00382D75" w:rsidRPr="00AC746D" w:rsidRDefault="00382D75" w:rsidP="00382D75">
            <w:pPr>
              <w:pStyle w:val="Normal1linespace"/>
              <w:widowControl w:val="0"/>
              <w:jc w:val="left"/>
            </w:pPr>
            <w:r w:rsidRPr="004B19B4">
              <w:t>MinterEllison</w:t>
            </w:r>
          </w:p>
        </w:tc>
      </w:tr>
      <w:tr w:rsidR="00382D75" w14:paraId="20FFB458" w14:textId="77777777" w:rsidTr="00382D75">
        <w:tc>
          <w:tcPr>
            <w:tcW w:w="3084" w:type="dxa"/>
            <w:shd w:val="clear" w:color="auto" w:fill="auto"/>
          </w:tcPr>
          <w:p w14:paraId="3B796DFA" w14:textId="77777777" w:rsidR="00382D75" w:rsidRPr="004B19B4" w:rsidRDefault="00382D75" w:rsidP="00382D75">
            <w:pPr>
              <w:pStyle w:val="Normal1linespace"/>
              <w:widowControl w:val="0"/>
              <w:jc w:val="left"/>
            </w:pPr>
          </w:p>
        </w:tc>
        <w:tc>
          <w:tcPr>
            <w:tcW w:w="5989" w:type="dxa"/>
            <w:shd w:val="clear" w:color="auto" w:fill="auto"/>
          </w:tcPr>
          <w:p w14:paraId="3C7CF63F" w14:textId="77777777" w:rsidR="00382D75" w:rsidRPr="00AC746D" w:rsidRDefault="00382D75" w:rsidP="00382D75">
            <w:pPr>
              <w:pStyle w:val="Normal1linespace"/>
              <w:widowControl w:val="0"/>
              <w:jc w:val="left"/>
            </w:pPr>
          </w:p>
        </w:tc>
      </w:tr>
      <w:tr w:rsidR="00C30B7F" w14:paraId="1C2ABB0B" w14:textId="77777777" w:rsidTr="00382D75">
        <w:tc>
          <w:tcPr>
            <w:tcW w:w="3084" w:type="dxa"/>
            <w:shd w:val="clear" w:color="auto" w:fill="auto"/>
          </w:tcPr>
          <w:p w14:paraId="0EC70170" w14:textId="79C5FE3B" w:rsidR="00C30B7F" w:rsidRPr="004B19B4" w:rsidRDefault="00C30B7F" w:rsidP="00382D75">
            <w:pPr>
              <w:pStyle w:val="Normal1linespace"/>
              <w:widowControl w:val="0"/>
              <w:jc w:val="left"/>
            </w:pPr>
            <w:r>
              <w:t>Counsel for the Commonwealth:</w:t>
            </w:r>
          </w:p>
        </w:tc>
        <w:tc>
          <w:tcPr>
            <w:tcW w:w="5989" w:type="dxa"/>
            <w:shd w:val="clear" w:color="auto" w:fill="auto"/>
          </w:tcPr>
          <w:p w14:paraId="038EE66E" w14:textId="347B5A91" w:rsidR="00C30B7F" w:rsidRPr="00AC746D" w:rsidRDefault="00C30B7F" w:rsidP="00382D75">
            <w:pPr>
              <w:pStyle w:val="Normal1linespace"/>
              <w:widowControl w:val="0"/>
              <w:jc w:val="left"/>
            </w:pPr>
            <w:r>
              <w:t>Ms C Ernst</w:t>
            </w:r>
          </w:p>
        </w:tc>
      </w:tr>
      <w:tr w:rsidR="00C30B7F" w14:paraId="40C8684D" w14:textId="77777777" w:rsidTr="00382D75">
        <w:tc>
          <w:tcPr>
            <w:tcW w:w="3084" w:type="dxa"/>
            <w:shd w:val="clear" w:color="auto" w:fill="auto"/>
          </w:tcPr>
          <w:p w14:paraId="2E564780" w14:textId="77777777" w:rsidR="00C30B7F" w:rsidRPr="004B19B4" w:rsidRDefault="00C30B7F" w:rsidP="00382D75">
            <w:pPr>
              <w:pStyle w:val="Normal1linespace"/>
              <w:widowControl w:val="0"/>
              <w:jc w:val="left"/>
            </w:pPr>
          </w:p>
        </w:tc>
        <w:tc>
          <w:tcPr>
            <w:tcW w:w="5989" w:type="dxa"/>
            <w:shd w:val="clear" w:color="auto" w:fill="auto"/>
          </w:tcPr>
          <w:p w14:paraId="3F01BD4F" w14:textId="77777777" w:rsidR="00C30B7F" w:rsidRPr="00AC746D" w:rsidRDefault="00C30B7F" w:rsidP="00382D75">
            <w:pPr>
              <w:pStyle w:val="Normal1linespace"/>
              <w:widowControl w:val="0"/>
              <w:jc w:val="left"/>
            </w:pPr>
          </w:p>
        </w:tc>
      </w:tr>
      <w:tr w:rsidR="00C30B7F" w14:paraId="6E82833D" w14:textId="77777777" w:rsidTr="00382D75">
        <w:tc>
          <w:tcPr>
            <w:tcW w:w="3084" w:type="dxa"/>
            <w:shd w:val="clear" w:color="auto" w:fill="auto"/>
          </w:tcPr>
          <w:p w14:paraId="63561B53" w14:textId="3031B1A5" w:rsidR="00C30B7F" w:rsidRPr="004B19B4" w:rsidRDefault="00C30B7F" w:rsidP="00382D75">
            <w:pPr>
              <w:pStyle w:val="Normal1linespace"/>
              <w:widowControl w:val="0"/>
              <w:jc w:val="left"/>
            </w:pPr>
            <w:r>
              <w:t>Solicitor for the Commonwealth:</w:t>
            </w:r>
          </w:p>
        </w:tc>
        <w:tc>
          <w:tcPr>
            <w:tcW w:w="5989" w:type="dxa"/>
            <w:shd w:val="clear" w:color="auto" w:fill="auto"/>
          </w:tcPr>
          <w:p w14:paraId="796338AF" w14:textId="6F65B6DC" w:rsidR="00C30B7F" w:rsidRPr="00AC746D" w:rsidRDefault="00C30B7F" w:rsidP="00382D75">
            <w:pPr>
              <w:pStyle w:val="Normal1linespace"/>
              <w:widowControl w:val="0"/>
              <w:jc w:val="left"/>
            </w:pPr>
            <w:r>
              <w:t>Australian Government Solicitor</w:t>
            </w:r>
          </w:p>
        </w:tc>
      </w:tr>
      <w:bookmarkEnd w:id="7"/>
    </w:tbl>
    <w:p w14:paraId="4DB902FA" w14:textId="77777777" w:rsidR="007470BD" w:rsidRDefault="007470BD">
      <w:pPr>
        <w:pStyle w:val="Normal1linespace"/>
      </w:pPr>
    </w:p>
    <w:p w14:paraId="4DB41BAB" w14:textId="77777777" w:rsidR="00E94CBF" w:rsidRDefault="00E94CBF">
      <w:pPr>
        <w:pStyle w:val="Normal1linespace"/>
      </w:pPr>
    </w:p>
    <w:p w14:paraId="119649B6"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4D9695BF" w14:textId="77777777" w:rsidR="00D55E5E" w:rsidRDefault="00D55E5E" w:rsidP="00D55E5E">
      <w:pPr>
        <w:pStyle w:val="NormalHeadings"/>
        <w:spacing w:line="480" w:lineRule="auto"/>
        <w:jc w:val="center"/>
        <w:rPr>
          <w:sz w:val="28"/>
          <w:szCs w:val="28"/>
        </w:rPr>
      </w:pPr>
      <w:r>
        <w:rPr>
          <w:sz w:val="28"/>
          <w:szCs w:val="28"/>
        </w:rPr>
        <w:lastRenderedPageBreak/>
        <w:t>ORDERS</w:t>
      </w:r>
    </w:p>
    <w:tbl>
      <w:tblPr>
        <w:tblW w:w="0" w:type="auto"/>
        <w:tblLayout w:type="fixed"/>
        <w:tblLook w:val="04A0" w:firstRow="1" w:lastRow="0" w:firstColumn="1" w:lastColumn="0" w:noHBand="0" w:noVBand="1"/>
      </w:tblPr>
      <w:tblGrid>
        <w:gridCol w:w="2376"/>
        <w:gridCol w:w="4536"/>
        <w:gridCol w:w="2330"/>
      </w:tblGrid>
      <w:tr w:rsidR="00D55E5E" w14:paraId="5F694339" w14:textId="77777777" w:rsidTr="00D55E5E">
        <w:tc>
          <w:tcPr>
            <w:tcW w:w="6912" w:type="dxa"/>
            <w:gridSpan w:val="2"/>
          </w:tcPr>
          <w:p w14:paraId="24FB96EE" w14:textId="77777777" w:rsidR="00D55E5E" w:rsidRDefault="00D55E5E">
            <w:pPr>
              <w:pStyle w:val="NormalHeadings"/>
            </w:pPr>
          </w:p>
        </w:tc>
        <w:tc>
          <w:tcPr>
            <w:tcW w:w="2330" w:type="dxa"/>
            <w:hideMark/>
          </w:tcPr>
          <w:p w14:paraId="62D9FA6E" w14:textId="77777777" w:rsidR="00D55E5E" w:rsidRDefault="00D55E5E">
            <w:pPr>
              <w:pStyle w:val="NormalHeadings"/>
              <w:jc w:val="right"/>
            </w:pPr>
            <w:bookmarkStart w:id="9" w:name="FileNo"/>
            <w:r>
              <w:t>NSD 1485 of 2018</w:t>
            </w:r>
            <w:bookmarkEnd w:id="9"/>
          </w:p>
        </w:tc>
      </w:tr>
      <w:tr w:rsidR="00D55E5E" w14:paraId="3D6589D0" w14:textId="77777777" w:rsidTr="00D55E5E">
        <w:tc>
          <w:tcPr>
            <w:tcW w:w="9242" w:type="dxa"/>
            <w:gridSpan w:val="3"/>
            <w:hideMark/>
          </w:tcPr>
          <w:p w14:paraId="6444C5CF" w14:textId="77777777" w:rsidR="00D55E5E" w:rsidRDefault="00D55E5E">
            <w:pPr>
              <w:pStyle w:val="NormalHeadings"/>
              <w:jc w:val="left"/>
            </w:pPr>
            <w:bookmarkStart w:id="10" w:name="InTheMatterOf"/>
            <w:r>
              <w:t xml:space="preserve"> </w:t>
            </w:r>
            <w:bookmarkEnd w:id="10"/>
          </w:p>
        </w:tc>
      </w:tr>
      <w:tr w:rsidR="00D55E5E" w14:paraId="1B0857F9" w14:textId="77777777" w:rsidTr="00D55E5E">
        <w:trPr>
          <w:trHeight w:val="386"/>
        </w:trPr>
        <w:tc>
          <w:tcPr>
            <w:tcW w:w="2376" w:type="dxa"/>
            <w:hideMark/>
          </w:tcPr>
          <w:p w14:paraId="7B64D4D0" w14:textId="77777777" w:rsidR="00D55E5E" w:rsidRDefault="00D55E5E">
            <w:pPr>
              <w:pStyle w:val="NormalHeadings"/>
              <w:jc w:val="left"/>
              <w:rPr>
                <w:caps/>
                <w:szCs w:val="24"/>
              </w:rPr>
            </w:pPr>
            <w:bookmarkStart w:id="11" w:name="Parties"/>
            <w:r>
              <w:rPr>
                <w:caps/>
                <w:szCs w:val="24"/>
              </w:rPr>
              <w:t>BETWEEN:</w:t>
            </w:r>
          </w:p>
        </w:tc>
        <w:tc>
          <w:tcPr>
            <w:tcW w:w="6866" w:type="dxa"/>
            <w:gridSpan w:val="2"/>
          </w:tcPr>
          <w:p w14:paraId="6645311D" w14:textId="77777777" w:rsidR="00D55E5E" w:rsidRDefault="00D55E5E">
            <w:pPr>
              <w:pStyle w:val="NormalHeadings"/>
              <w:jc w:val="left"/>
            </w:pPr>
            <w:bookmarkStart w:id="12" w:name="Applicant"/>
            <w:r>
              <w:t>BEN ROBERTS-SMITH</w:t>
            </w:r>
          </w:p>
          <w:p w14:paraId="077A01A0" w14:textId="77777777" w:rsidR="00D55E5E" w:rsidRDefault="00D55E5E">
            <w:pPr>
              <w:pStyle w:val="PartyType"/>
            </w:pPr>
            <w:r>
              <w:t>Applicant</w:t>
            </w:r>
            <w:bookmarkEnd w:id="12"/>
          </w:p>
          <w:p w14:paraId="6E9D13AA" w14:textId="77777777" w:rsidR="00D55E5E" w:rsidRDefault="00D55E5E">
            <w:pPr>
              <w:pStyle w:val="NormalHeadings"/>
              <w:jc w:val="left"/>
            </w:pPr>
          </w:p>
        </w:tc>
      </w:tr>
      <w:tr w:rsidR="00D55E5E" w14:paraId="7F37DB57" w14:textId="77777777" w:rsidTr="00D55E5E">
        <w:trPr>
          <w:trHeight w:val="386"/>
        </w:trPr>
        <w:tc>
          <w:tcPr>
            <w:tcW w:w="2376" w:type="dxa"/>
            <w:hideMark/>
          </w:tcPr>
          <w:p w14:paraId="2A239EA2" w14:textId="77777777" w:rsidR="00D55E5E" w:rsidRDefault="00D55E5E">
            <w:pPr>
              <w:pStyle w:val="NormalHeadings"/>
              <w:jc w:val="left"/>
              <w:rPr>
                <w:caps/>
                <w:szCs w:val="24"/>
              </w:rPr>
            </w:pPr>
            <w:r>
              <w:rPr>
                <w:caps/>
                <w:szCs w:val="24"/>
              </w:rPr>
              <w:t>AND:</w:t>
            </w:r>
          </w:p>
        </w:tc>
        <w:tc>
          <w:tcPr>
            <w:tcW w:w="6866" w:type="dxa"/>
            <w:gridSpan w:val="2"/>
          </w:tcPr>
          <w:p w14:paraId="33898904" w14:textId="77777777" w:rsidR="00D55E5E" w:rsidRDefault="00D55E5E">
            <w:pPr>
              <w:pStyle w:val="NormalHeadings"/>
              <w:jc w:val="left"/>
            </w:pPr>
            <w:bookmarkStart w:id="13" w:name="Respondent"/>
            <w:r>
              <w:t xml:space="preserve">FAIRFAX MEDIA PUBLICATIONS PTY LIMITED (ACN 003 357 720) </w:t>
            </w:r>
            <w:r>
              <w:rPr>
                <w:b w:val="0"/>
              </w:rPr>
              <w:t>(and others named in the Schedule)</w:t>
            </w:r>
          </w:p>
          <w:p w14:paraId="3E5A21F7" w14:textId="77777777" w:rsidR="00D55E5E" w:rsidRDefault="00D55E5E">
            <w:pPr>
              <w:pStyle w:val="PartyType"/>
            </w:pPr>
            <w:r>
              <w:t>First Respondent</w:t>
            </w:r>
            <w:bookmarkEnd w:id="13"/>
          </w:p>
          <w:p w14:paraId="22D5CD76" w14:textId="77777777" w:rsidR="00D55E5E" w:rsidRDefault="00D55E5E">
            <w:pPr>
              <w:pStyle w:val="PartyType"/>
            </w:pPr>
          </w:p>
        </w:tc>
      </w:tr>
    </w:tbl>
    <w:p w14:paraId="1CE690A5" w14:textId="77777777" w:rsidR="00D55E5E" w:rsidRDefault="00D55E5E" w:rsidP="00D55E5E">
      <w:pPr>
        <w:pStyle w:val="NormalHeadings"/>
      </w:pPr>
      <w:bookmarkStart w:id="14" w:name="CrossClaimPosition"/>
      <w:bookmarkEnd w:id="11"/>
      <w:bookmarkEnd w:id="14"/>
    </w:p>
    <w:tbl>
      <w:tblPr>
        <w:tblW w:w="0" w:type="auto"/>
        <w:tblLayout w:type="fixed"/>
        <w:tblLook w:val="04A0" w:firstRow="1" w:lastRow="0" w:firstColumn="1" w:lastColumn="0" w:noHBand="0" w:noVBand="1"/>
      </w:tblPr>
      <w:tblGrid>
        <w:gridCol w:w="2376"/>
        <w:gridCol w:w="4536"/>
        <w:gridCol w:w="2330"/>
      </w:tblGrid>
      <w:tr w:rsidR="00D55E5E" w14:paraId="29BB9D53" w14:textId="77777777" w:rsidTr="00D55E5E">
        <w:tc>
          <w:tcPr>
            <w:tcW w:w="6912" w:type="dxa"/>
            <w:gridSpan w:val="2"/>
          </w:tcPr>
          <w:p w14:paraId="5447BD1E" w14:textId="77777777" w:rsidR="00D55E5E" w:rsidRDefault="00D55E5E">
            <w:pPr>
              <w:pStyle w:val="NormalHeadings"/>
            </w:pPr>
          </w:p>
        </w:tc>
        <w:tc>
          <w:tcPr>
            <w:tcW w:w="2330" w:type="dxa"/>
            <w:hideMark/>
          </w:tcPr>
          <w:p w14:paraId="5F2F040F" w14:textId="77777777" w:rsidR="00D55E5E" w:rsidRDefault="00D55E5E">
            <w:pPr>
              <w:pStyle w:val="NormalHeadings"/>
              <w:jc w:val="right"/>
            </w:pPr>
            <w:r>
              <w:t>NSD 1486 of 2018</w:t>
            </w:r>
          </w:p>
        </w:tc>
      </w:tr>
      <w:tr w:rsidR="00D55E5E" w14:paraId="1C78A294" w14:textId="77777777" w:rsidTr="00D55E5E">
        <w:tc>
          <w:tcPr>
            <w:tcW w:w="9242" w:type="dxa"/>
            <w:gridSpan w:val="3"/>
            <w:hideMark/>
          </w:tcPr>
          <w:p w14:paraId="1D8F45E2" w14:textId="77777777" w:rsidR="00D55E5E" w:rsidRDefault="00D55E5E">
            <w:pPr>
              <w:pStyle w:val="NormalHeadings"/>
              <w:jc w:val="left"/>
            </w:pPr>
            <w:r>
              <w:t xml:space="preserve"> </w:t>
            </w:r>
          </w:p>
        </w:tc>
      </w:tr>
      <w:tr w:rsidR="00D55E5E" w14:paraId="65072805" w14:textId="77777777" w:rsidTr="00D55E5E">
        <w:trPr>
          <w:trHeight w:val="386"/>
        </w:trPr>
        <w:tc>
          <w:tcPr>
            <w:tcW w:w="2376" w:type="dxa"/>
            <w:hideMark/>
          </w:tcPr>
          <w:p w14:paraId="5B01D970" w14:textId="77777777" w:rsidR="00D55E5E" w:rsidRDefault="00D55E5E">
            <w:pPr>
              <w:pStyle w:val="NormalHeadings"/>
              <w:jc w:val="left"/>
              <w:rPr>
                <w:caps/>
                <w:szCs w:val="24"/>
              </w:rPr>
            </w:pPr>
            <w:r>
              <w:rPr>
                <w:caps/>
                <w:szCs w:val="24"/>
              </w:rPr>
              <w:t>BETWEEN:</w:t>
            </w:r>
          </w:p>
        </w:tc>
        <w:tc>
          <w:tcPr>
            <w:tcW w:w="6866" w:type="dxa"/>
            <w:gridSpan w:val="2"/>
          </w:tcPr>
          <w:p w14:paraId="70FF7713" w14:textId="77777777" w:rsidR="00D55E5E" w:rsidRDefault="00D55E5E">
            <w:pPr>
              <w:pStyle w:val="NormalHeadings"/>
              <w:jc w:val="left"/>
            </w:pPr>
            <w:r>
              <w:t>BEN ROBERTS-SMITH</w:t>
            </w:r>
          </w:p>
          <w:p w14:paraId="1388087E" w14:textId="77777777" w:rsidR="00D55E5E" w:rsidRDefault="00D55E5E">
            <w:pPr>
              <w:pStyle w:val="PartyType"/>
            </w:pPr>
            <w:r>
              <w:t>Applicant</w:t>
            </w:r>
          </w:p>
          <w:p w14:paraId="64BA9586" w14:textId="77777777" w:rsidR="00D55E5E" w:rsidRDefault="00D55E5E">
            <w:pPr>
              <w:pStyle w:val="NormalHeadings"/>
              <w:jc w:val="left"/>
            </w:pPr>
          </w:p>
        </w:tc>
      </w:tr>
      <w:tr w:rsidR="00D55E5E" w14:paraId="6050758A" w14:textId="77777777" w:rsidTr="00D55E5E">
        <w:trPr>
          <w:trHeight w:val="386"/>
        </w:trPr>
        <w:tc>
          <w:tcPr>
            <w:tcW w:w="2376" w:type="dxa"/>
            <w:hideMark/>
          </w:tcPr>
          <w:p w14:paraId="5E9728B2" w14:textId="77777777" w:rsidR="00D55E5E" w:rsidRDefault="00D55E5E">
            <w:pPr>
              <w:pStyle w:val="NormalHeadings"/>
              <w:jc w:val="left"/>
              <w:rPr>
                <w:caps/>
                <w:szCs w:val="24"/>
              </w:rPr>
            </w:pPr>
            <w:r>
              <w:rPr>
                <w:caps/>
                <w:szCs w:val="24"/>
              </w:rPr>
              <w:t>AND:</w:t>
            </w:r>
          </w:p>
        </w:tc>
        <w:tc>
          <w:tcPr>
            <w:tcW w:w="6866" w:type="dxa"/>
            <w:gridSpan w:val="2"/>
          </w:tcPr>
          <w:p w14:paraId="68012F8B" w14:textId="77777777" w:rsidR="00D55E5E" w:rsidRDefault="00D55E5E">
            <w:pPr>
              <w:pStyle w:val="NormalHeadings"/>
              <w:jc w:val="left"/>
            </w:pPr>
            <w:r>
              <w:t xml:space="preserve">THE AGE COMPANY PTY LIMITED (ACN 004 262 702) </w:t>
            </w:r>
            <w:r>
              <w:rPr>
                <w:b w:val="0"/>
              </w:rPr>
              <w:t>(and others named in the Schedule)</w:t>
            </w:r>
          </w:p>
          <w:p w14:paraId="1089E381" w14:textId="77777777" w:rsidR="00D55E5E" w:rsidRDefault="00D55E5E">
            <w:pPr>
              <w:pStyle w:val="PartyType"/>
            </w:pPr>
            <w:r>
              <w:t>First Respondent</w:t>
            </w:r>
          </w:p>
          <w:p w14:paraId="14E996F2" w14:textId="77777777" w:rsidR="00D55E5E" w:rsidRDefault="00D55E5E">
            <w:pPr>
              <w:pStyle w:val="PartyType"/>
            </w:pPr>
          </w:p>
        </w:tc>
      </w:tr>
    </w:tbl>
    <w:p w14:paraId="09BA0EBF" w14:textId="77777777" w:rsidR="00D55E5E" w:rsidRDefault="00D55E5E" w:rsidP="00D55E5E">
      <w:pPr>
        <w:pStyle w:val="NormalHeadings"/>
      </w:pPr>
    </w:p>
    <w:tbl>
      <w:tblPr>
        <w:tblW w:w="0" w:type="auto"/>
        <w:tblLayout w:type="fixed"/>
        <w:tblLook w:val="04A0" w:firstRow="1" w:lastRow="0" w:firstColumn="1" w:lastColumn="0" w:noHBand="0" w:noVBand="1"/>
      </w:tblPr>
      <w:tblGrid>
        <w:gridCol w:w="2376"/>
        <w:gridCol w:w="4536"/>
        <w:gridCol w:w="2330"/>
      </w:tblGrid>
      <w:tr w:rsidR="00D55E5E" w14:paraId="6D011013" w14:textId="77777777" w:rsidTr="00D55E5E">
        <w:tc>
          <w:tcPr>
            <w:tcW w:w="6912" w:type="dxa"/>
            <w:gridSpan w:val="2"/>
          </w:tcPr>
          <w:p w14:paraId="41D4602C" w14:textId="77777777" w:rsidR="00D55E5E" w:rsidRDefault="00D55E5E">
            <w:pPr>
              <w:pStyle w:val="NormalHeadings"/>
            </w:pPr>
          </w:p>
        </w:tc>
        <w:tc>
          <w:tcPr>
            <w:tcW w:w="2330" w:type="dxa"/>
            <w:hideMark/>
          </w:tcPr>
          <w:p w14:paraId="0B7A46F6" w14:textId="77777777" w:rsidR="00D55E5E" w:rsidRDefault="00D55E5E">
            <w:pPr>
              <w:pStyle w:val="NormalHeadings"/>
              <w:jc w:val="right"/>
            </w:pPr>
            <w:r>
              <w:t>NSD 1487 of 2018</w:t>
            </w:r>
          </w:p>
        </w:tc>
      </w:tr>
      <w:tr w:rsidR="00D55E5E" w14:paraId="162D3F53" w14:textId="77777777" w:rsidTr="00D55E5E">
        <w:tc>
          <w:tcPr>
            <w:tcW w:w="9242" w:type="dxa"/>
            <w:gridSpan w:val="3"/>
            <w:hideMark/>
          </w:tcPr>
          <w:p w14:paraId="5CD29865" w14:textId="77777777" w:rsidR="00D55E5E" w:rsidRDefault="00D55E5E">
            <w:pPr>
              <w:pStyle w:val="NormalHeadings"/>
              <w:jc w:val="left"/>
            </w:pPr>
            <w:r>
              <w:t xml:space="preserve"> </w:t>
            </w:r>
          </w:p>
        </w:tc>
      </w:tr>
      <w:tr w:rsidR="00D55E5E" w14:paraId="0DBF27D4" w14:textId="77777777" w:rsidTr="00D55E5E">
        <w:trPr>
          <w:trHeight w:val="386"/>
        </w:trPr>
        <w:tc>
          <w:tcPr>
            <w:tcW w:w="2376" w:type="dxa"/>
            <w:hideMark/>
          </w:tcPr>
          <w:p w14:paraId="60E30474" w14:textId="77777777" w:rsidR="00D55E5E" w:rsidRDefault="00D55E5E">
            <w:pPr>
              <w:pStyle w:val="NormalHeadings"/>
              <w:jc w:val="left"/>
              <w:rPr>
                <w:caps/>
                <w:szCs w:val="24"/>
              </w:rPr>
            </w:pPr>
            <w:r>
              <w:rPr>
                <w:caps/>
                <w:szCs w:val="24"/>
              </w:rPr>
              <w:t>BETWEEN:</w:t>
            </w:r>
          </w:p>
        </w:tc>
        <w:tc>
          <w:tcPr>
            <w:tcW w:w="6866" w:type="dxa"/>
            <w:gridSpan w:val="2"/>
          </w:tcPr>
          <w:p w14:paraId="002EC3EA" w14:textId="77777777" w:rsidR="00D55E5E" w:rsidRDefault="00D55E5E">
            <w:pPr>
              <w:pStyle w:val="NormalHeadings"/>
              <w:jc w:val="left"/>
            </w:pPr>
            <w:r>
              <w:t>BEN ROBERTS-SMITH</w:t>
            </w:r>
          </w:p>
          <w:p w14:paraId="1D1E9F75" w14:textId="77777777" w:rsidR="00D55E5E" w:rsidRDefault="00D55E5E">
            <w:pPr>
              <w:pStyle w:val="PartyType"/>
            </w:pPr>
            <w:r>
              <w:t>Applicant</w:t>
            </w:r>
          </w:p>
          <w:p w14:paraId="3AD80EDE" w14:textId="77777777" w:rsidR="00D55E5E" w:rsidRDefault="00D55E5E">
            <w:pPr>
              <w:pStyle w:val="NormalHeadings"/>
              <w:jc w:val="left"/>
            </w:pPr>
          </w:p>
        </w:tc>
      </w:tr>
      <w:tr w:rsidR="00D55E5E" w14:paraId="205F2DB1" w14:textId="77777777" w:rsidTr="00D55E5E">
        <w:trPr>
          <w:trHeight w:val="386"/>
        </w:trPr>
        <w:tc>
          <w:tcPr>
            <w:tcW w:w="2376" w:type="dxa"/>
            <w:hideMark/>
          </w:tcPr>
          <w:p w14:paraId="7967A6EF" w14:textId="77777777" w:rsidR="00D55E5E" w:rsidRDefault="00D55E5E">
            <w:pPr>
              <w:pStyle w:val="NormalHeadings"/>
              <w:jc w:val="left"/>
              <w:rPr>
                <w:caps/>
                <w:szCs w:val="24"/>
              </w:rPr>
            </w:pPr>
            <w:r>
              <w:rPr>
                <w:caps/>
                <w:szCs w:val="24"/>
              </w:rPr>
              <w:t>AND:</w:t>
            </w:r>
          </w:p>
        </w:tc>
        <w:tc>
          <w:tcPr>
            <w:tcW w:w="6866" w:type="dxa"/>
            <w:gridSpan w:val="2"/>
          </w:tcPr>
          <w:p w14:paraId="187C2480" w14:textId="77777777" w:rsidR="00D55E5E" w:rsidRDefault="00D55E5E">
            <w:pPr>
              <w:pStyle w:val="NormalHeadings"/>
              <w:jc w:val="left"/>
            </w:pPr>
            <w:r>
              <w:t xml:space="preserve">THE FEDERAL CAPITAL PRESS OF AUSTRALIA PTY LIMITED (ACN 008 394 063) </w:t>
            </w:r>
            <w:r>
              <w:rPr>
                <w:b w:val="0"/>
              </w:rPr>
              <w:t>(and others named in the Schedule)</w:t>
            </w:r>
          </w:p>
          <w:p w14:paraId="6D90F7C6" w14:textId="77777777" w:rsidR="00D55E5E" w:rsidRDefault="00D55E5E">
            <w:pPr>
              <w:pStyle w:val="PartyType"/>
            </w:pPr>
            <w:r>
              <w:t>First Respondent</w:t>
            </w:r>
          </w:p>
          <w:p w14:paraId="6D7E4663" w14:textId="77777777" w:rsidR="00D55E5E" w:rsidRDefault="00D55E5E">
            <w:pPr>
              <w:pStyle w:val="PartyType"/>
            </w:pPr>
          </w:p>
        </w:tc>
      </w:tr>
    </w:tbl>
    <w:p w14:paraId="7E689E2A" w14:textId="77777777" w:rsidR="00D55E5E" w:rsidRDefault="00D55E5E" w:rsidP="00D55E5E">
      <w:pPr>
        <w:pStyle w:val="NormalHeadings"/>
      </w:pPr>
    </w:p>
    <w:tbl>
      <w:tblPr>
        <w:tblW w:w="0" w:type="auto"/>
        <w:tblLayout w:type="fixed"/>
        <w:tblLook w:val="04A0" w:firstRow="1" w:lastRow="0" w:firstColumn="1" w:lastColumn="0" w:noHBand="0" w:noVBand="1"/>
      </w:tblPr>
      <w:tblGrid>
        <w:gridCol w:w="2376"/>
        <w:gridCol w:w="6866"/>
      </w:tblGrid>
      <w:tr w:rsidR="00D55E5E" w14:paraId="443DF00C" w14:textId="77777777" w:rsidTr="00D55E5E">
        <w:tc>
          <w:tcPr>
            <w:tcW w:w="2376" w:type="dxa"/>
            <w:hideMark/>
          </w:tcPr>
          <w:p w14:paraId="0E889A50" w14:textId="77777777" w:rsidR="00D55E5E" w:rsidRDefault="00D55E5E">
            <w:pPr>
              <w:pStyle w:val="NormalHeadings"/>
              <w:spacing w:after="120"/>
              <w:jc w:val="left"/>
              <w:rPr>
                <w:caps/>
                <w:szCs w:val="24"/>
              </w:rPr>
            </w:pPr>
            <w:bookmarkStart w:id="15" w:name="JudgeText"/>
            <w:r>
              <w:rPr>
                <w:caps/>
                <w:szCs w:val="24"/>
              </w:rPr>
              <w:t>order made by</w:t>
            </w:r>
            <w:bookmarkEnd w:id="15"/>
            <w:r>
              <w:rPr>
                <w:caps/>
                <w:szCs w:val="24"/>
              </w:rPr>
              <w:t>:</w:t>
            </w:r>
          </w:p>
        </w:tc>
        <w:tc>
          <w:tcPr>
            <w:tcW w:w="6866" w:type="dxa"/>
            <w:hideMark/>
          </w:tcPr>
          <w:p w14:paraId="299495A7" w14:textId="77777777" w:rsidR="00D55E5E" w:rsidRDefault="00D55E5E">
            <w:pPr>
              <w:pStyle w:val="NormalHeadings"/>
              <w:jc w:val="left"/>
              <w:rPr>
                <w:caps/>
                <w:szCs w:val="24"/>
              </w:rPr>
            </w:pPr>
            <w:bookmarkStart w:id="16" w:name="Judge"/>
            <w:r>
              <w:rPr>
                <w:caps/>
                <w:szCs w:val="24"/>
              </w:rPr>
              <w:t>Abraham J</w:t>
            </w:r>
            <w:bookmarkEnd w:id="16"/>
          </w:p>
        </w:tc>
      </w:tr>
      <w:tr w:rsidR="00D55E5E" w14:paraId="7241D3E4" w14:textId="77777777" w:rsidTr="00D55E5E">
        <w:tc>
          <w:tcPr>
            <w:tcW w:w="2376" w:type="dxa"/>
            <w:hideMark/>
          </w:tcPr>
          <w:p w14:paraId="172EE809" w14:textId="77777777" w:rsidR="00D55E5E" w:rsidRDefault="00D55E5E">
            <w:pPr>
              <w:pStyle w:val="NormalHeadings"/>
              <w:spacing w:after="120"/>
              <w:jc w:val="left"/>
              <w:rPr>
                <w:caps/>
                <w:szCs w:val="24"/>
              </w:rPr>
            </w:pPr>
            <w:r>
              <w:rPr>
                <w:caps/>
                <w:szCs w:val="24"/>
              </w:rPr>
              <w:t>DATE OF ORDER:</w:t>
            </w:r>
          </w:p>
        </w:tc>
        <w:tc>
          <w:tcPr>
            <w:tcW w:w="6866" w:type="dxa"/>
            <w:hideMark/>
          </w:tcPr>
          <w:p w14:paraId="7D88556B" w14:textId="48C3636D" w:rsidR="00D55E5E" w:rsidRDefault="00173F33" w:rsidP="00DD6E62">
            <w:pPr>
              <w:pStyle w:val="NormalHeadings"/>
              <w:jc w:val="left"/>
              <w:rPr>
                <w:caps/>
                <w:szCs w:val="24"/>
              </w:rPr>
            </w:pPr>
            <w:bookmarkStart w:id="17" w:name="Judgment_Dated"/>
            <w:r>
              <w:rPr>
                <w:caps/>
                <w:szCs w:val="24"/>
              </w:rPr>
              <w:t xml:space="preserve">14 </w:t>
            </w:r>
            <w:r w:rsidR="00DD6E62">
              <w:rPr>
                <w:caps/>
                <w:szCs w:val="24"/>
              </w:rPr>
              <w:t>December</w:t>
            </w:r>
            <w:r w:rsidR="00D55E5E">
              <w:rPr>
                <w:caps/>
                <w:szCs w:val="24"/>
              </w:rPr>
              <w:t xml:space="preserve"> 202</w:t>
            </w:r>
            <w:bookmarkEnd w:id="17"/>
            <w:r w:rsidR="00D55E5E">
              <w:rPr>
                <w:caps/>
                <w:szCs w:val="24"/>
              </w:rPr>
              <w:t>1</w:t>
            </w:r>
          </w:p>
        </w:tc>
      </w:tr>
    </w:tbl>
    <w:p w14:paraId="626AD2EE" w14:textId="77777777" w:rsidR="00395B24" w:rsidRDefault="00395B24">
      <w:pPr>
        <w:pStyle w:val="NormalHeadings"/>
        <w:rPr>
          <w:b w:val="0"/>
        </w:rPr>
      </w:pPr>
    </w:p>
    <w:p w14:paraId="372ACD1A" w14:textId="77777777" w:rsidR="00395B24" w:rsidRDefault="002C7385">
      <w:pPr>
        <w:pStyle w:val="NormalHeadings"/>
      </w:pPr>
      <w:r>
        <w:t>THE COURT ORDERS THAT:</w:t>
      </w:r>
    </w:p>
    <w:p w14:paraId="000B33B8" w14:textId="77777777" w:rsidR="007F60DF" w:rsidRDefault="007F60DF" w:rsidP="00243E5E">
      <w:pPr>
        <w:pStyle w:val="NormalHeadings"/>
      </w:pPr>
    </w:p>
    <w:p w14:paraId="4D2F131D" w14:textId="2F1047ED" w:rsidR="00915010" w:rsidRPr="001727FF" w:rsidRDefault="00915010" w:rsidP="00C1298D">
      <w:pPr>
        <w:pStyle w:val="Order1"/>
      </w:pPr>
      <w:bookmarkStart w:id="18" w:name="OrdersStatement"/>
      <w:r w:rsidRPr="00C1298D">
        <w:t>The respondent</w:t>
      </w:r>
      <w:r w:rsidR="0031481A">
        <w:t xml:space="preserve">s are </w:t>
      </w:r>
      <w:r w:rsidRPr="00C1298D">
        <w:t>to produce to the Court</w:t>
      </w:r>
      <w:r w:rsidR="00FB3051">
        <w:t>,</w:t>
      </w:r>
      <w:r w:rsidRPr="00C1298D">
        <w:t xml:space="preserve"> Documents 1, 2, 3 and 17 in the respondents’ </w:t>
      </w:r>
      <w:r w:rsidRPr="001727FF">
        <w:t xml:space="preserve">First Objection Schedule, responsive to the Notice to Produce issued </w:t>
      </w:r>
      <w:r w:rsidR="009E412B" w:rsidRPr="001727FF">
        <w:t xml:space="preserve">by the applicant </w:t>
      </w:r>
      <w:r w:rsidRPr="001727FF">
        <w:t>on 5 No</w:t>
      </w:r>
      <w:r w:rsidR="00B50E3E">
        <w:t>vember 2021.</w:t>
      </w:r>
    </w:p>
    <w:p w14:paraId="273D8808" w14:textId="358C6E0B" w:rsidR="000D382C" w:rsidRPr="001727FF" w:rsidRDefault="00EE1EAB" w:rsidP="00FC2D17">
      <w:pPr>
        <w:pStyle w:val="Order1"/>
      </w:pPr>
      <w:r w:rsidRPr="001727FF">
        <w:t xml:space="preserve">The applicant is granted </w:t>
      </w:r>
      <w:r w:rsidR="00462CE4" w:rsidRPr="001727FF">
        <w:t>leave to inspect, uplift and copy the following documents</w:t>
      </w:r>
      <w:r w:rsidR="000D382C" w:rsidRPr="001727FF">
        <w:t>:</w:t>
      </w:r>
    </w:p>
    <w:p w14:paraId="6488F96A" w14:textId="2A85E466" w:rsidR="00EE1EAB" w:rsidRPr="001727FF" w:rsidRDefault="00EE1EAB" w:rsidP="0010778E">
      <w:pPr>
        <w:pStyle w:val="Order2"/>
      </w:pPr>
      <w:r w:rsidRPr="001727FF">
        <w:t>Documents 1, 2</w:t>
      </w:r>
      <w:r w:rsidR="00BC2E62" w:rsidRPr="001727FF">
        <w:t>, 3</w:t>
      </w:r>
      <w:r w:rsidR="00085B77" w:rsidRPr="001727FF">
        <w:t xml:space="preserve"> and 17 </w:t>
      </w:r>
      <w:r w:rsidR="00923D98">
        <w:t>(</w:t>
      </w:r>
      <w:r w:rsidR="00085B77" w:rsidRPr="001727FF">
        <w:t>in unredacted form</w:t>
      </w:r>
      <w:r w:rsidR="00923D98">
        <w:t>)</w:t>
      </w:r>
      <w:r w:rsidR="00085B77" w:rsidRPr="001727FF">
        <w:t xml:space="preserve"> </w:t>
      </w:r>
      <w:r w:rsidRPr="001727FF">
        <w:t>in the respondents’ First Objection Schedule</w:t>
      </w:r>
      <w:r w:rsidR="00BC2E62" w:rsidRPr="001727FF">
        <w:t>; and</w:t>
      </w:r>
    </w:p>
    <w:p w14:paraId="49E85C73" w14:textId="75F3AE62" w:rsidR="00EE1EAB" w:rsidRPr="001727FF" w:rsidRDefault="00EE1EAB" w:rsidP="00C1298D">
      <w:pPr>
        <w:pStyle w:val="Order2"/>
      </w:pPr>
      <w:r w:rsidRPr="001727FF">
        <w:t xml:space="preserve">Document 12 </w:t>
      </w:r>
      <w:r w:rsidR="00923D98">
        <w:t>(</w:t>
      </w:r>
      <w:r w:rsidRPr="001727FF">
        <w:t xml:space="preserve">in </w:t>
      </w:r>
      <w:r w:rsidR="00085B77" w:rsidRPr="001727FF">
        <w:t>unredacted form</w:t>
      </w:r>
      <w:r w:rsidR="00923D98">
        <w:t>)</w:t>
      </w:r>
      <w:r w:rsidR="00085B77" w:rsidRPr="001727FF">
        <w:t xml:space="preserve"> in </w:t>
      </w:r>
      <w:r w:rsidRPr="001727FF">
        <w:t xml:space="preserve">the respondents’ </w:t>
      </w:r>
      <w:r w:rsidR="00BC2E62" w:rsidRPr="001727FF">
        <w:t>Third Objection Schedule</w:t>
      </w:r>
      <w:r w:rsidR="00C1298D" w:rsidRPr="001727FF">
        <w:t xml:space="preserve"> (being in response to the subpoena issued to Person 56)</w:t>
      </w:r>
      <w:r w:rsidR="00BC2E62" w:rsidRPr="001727FF">
        <w:t>.</w:t>
      </w:r>
      <w:r w:rsidR="009E412B" w:rsidRPr="001727FF">
        <w:t xml:space="preserve"> </w:t>
      </w:r>
    </w:p>
    <w:p w14:paraId="726B90D9" w14:textId="784C7E9D" w:rsidR="00EE1EAB" w:rsidRDefault="00EE1EAB">
      <w:pPr>
        <w:pStyle w:val="Order1"/>
      </w:pPr>
      <w:r w:rsidRPr="001727FF">
        <w:lastRenderedPageBreak/>
        <w:t>The respondents are to pay the applicant’s costs of this application, to be agreed or assessed.</w:t>
      </w:r>
      <w:r w:rsidR="009E412B">
        <w:t xml:space="preserve"> </w:t>
      </w:r>
    </w:p>
    <w:p w14:paraId="215A4E4C" w14:textId="77777777" w:rsidR="004D27ED" w:rsidRDefault="004D27ED" w:rsidP="000A376F">
      <w:pPr>
        <w:pStyle w:val="Order1"/>
        <w:numPr>
          <w:ilvl w:val="0"/>
          <w:numId w:val="0"/>
        </w:numPr>
        <w:ind w:left="720"/>
      </w:pPr>
    </w:p>
    <w:p w14:paraId="207A7840" w14:textId="77777777" w:rsidR="00A57505" w:rsidRDefault="00567338" w:rsidP="004D53E5">
      <w:pPr>
        <w:pStyle w:val="SingleSpace"/>
      </w:pPr>
      <w:r>
        <w:t>Note:</w:t>
      </w:r>
      <w:r>
        <w:tab/>
        <w:t xml:space="preserve">Entry of orders is dealt with in Rule 39.32 of the </w:t>
      </w:r>
      <w:r>
        <w:rPr>
          <w:i/>
        </w:rPr>
        <w:t>Federal Court Rules 2011</w:t>
      </w:r>
      <w:r>
        <w:t>.</w:t>
      </w:r>
      <w:bookmarkEnd w:id="18"/>
    </w:p>
    <w:p w14:paraId="620EE456" w14:textId="77777777" w:rsidR="00D5359A" w:rsidRDefault="00D5359A">
      <w:pPr>
        <w:spacing w:line="240" w:lineRule="auto"/>
        <w:jc w:val="left"/>
        <w:rPr>
          <w:szCs w:val="22"/>
        </w:rPr>
        <w:sectPr w:rsidR="00D5359A" w:rsidSect="00A84FD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14:paraId="38E312DB"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7EEBAEA7" w14:textId="237096ED" w:rsidR="009E0744" w:rsidRPr="00DA00B0" w:rsidRDefault="00567338" w:rsidP="00DA00B0">
      <w:pPr>
        <w:pStyle w:val="NormalHeadings"/>
        <w:spacing w:line="360" w:lineRule="auto"/>
        <w:jc w:val="left"/>
        <w:rPr>
          <w:sz w:val="26"/>
          <w:szCs w:val="26"/>
        </w:rPr>
      </w:pPr>
      <w:r>
        <w:rPr>
          <w:sz w:val="26"/>
          <w:szCs w:val="26"/>
        </w:rPr>
        <w:t>ABRAHAM J:</w:t>
      </w:r>
    </w:p>
    <w:p w14:paraId="250E1F7C" w14:textId="72197B57" w:rsidR="001A7C6A" w:rsidRDefault="001A7C6A" w:rsidP="001A7C6A">
      <w:pPr>
        <w:pStyle w:val="ParaNumbering"/>
      </w:pPr>
      <w:r w:rsidRPr="00241BC7">
        <w:t>Mr Ben Roberts</w:t>
      </w:r>
      <w:r w:rsidRPr="00241BC7">
        <w:noBreakHyphen/>
        <w:t>Smith VC MG is a former soldier who was deployed on multiple occasions to Afghanistan. In August 2018, Mr Roberts</w:t>
      </w:r>
      <w:r w:rsidRPr="00241BC7">
        <w:noBreakHyphen/>
        <w:t xml:space="preserve">Smith commenced proceedings in this Court seeking damages for alleged defamatory publications by Fairfax Media Publications Pty </w:t>
      </w:r>
      <w:r>
        <w:t>Ltd</w:t>
      </w:r>
      <w:r w:rsidRPr="00241BC7">
        <w:t xml:space="preserve">, The Age Company Pty </w:t>
      </w:r>
      <w:r>
        <w:t>Ltd</w:t>
      </w:r>
      <w:r w:rsidRPr="00241BC7">
        <w:t xml:space="preserve">, The Federal Capital Press of Australia Pty </w:t>
      </w:r>
      <w:r>
        <w:t>Ltd</w:t>
      </w:r>
      <w:r w:rsidRPr="00241BC7">
        <w:t xml:space="preserve"> and certain journalists. The publications are alleged to have carried a number of imputations concerning the conduct of Mr Roberts</w:t>
      </w:r>
      <w:r w:rsidRPr="00241BC7">
        <w:noBreakHyphen/>
        <w:t xml:space="preserve">Smith whilst serving in Afghanistan. </w:t>
      </w:r>
      <w:r w:rsidRPr="00E66BA9">
        <w:t>The alleged imputations include that Mr Roberts</w:t>
      </w:r>
      <w:r w:rsidRPr="00E66BA9">
        <w:noBreakHyphen/>
        <w:t>Smith broke the moral and legal rules of military engagement and that he is therefore a criminal.</w:t>
      </w:r>
      <w:r w:rsidRPr="00241BC7">
        <w:t xml:space="preserve"> By their defence, the respondents claim to be able to justify the imputations, a matter on which they bear the onus of proof.</w:t>
      </w:r>
      <w:r>
        <w:t xml:space="preserve"> The substantive hearing commenced on 7 June 2021, and the applicant’s case in chief has closed. The hearing has been adjourned as a result of difficulties which have arisen as a consequence of Covid-19 restrictions. </w:t>
      </w:r>
    </w:p>
    <w:p w14:paraId="00F77A2F" w14:textId="36075E1C" w:rsidR="002E70E8" w:rsidRPr="00572177" w:rsidRDefault="001A7C6A" w:rsidP="001A7C6A">
      <w:pPr>
        <w:pStyle w:val="ParaNumbering"/>
      </w:pPr>
      <w:r>
        <w:t xml:space="preserve">The applicant served </w:t>
      </w:r>
      <w:r w:rsidR="002E70E8">
        <w:t xml:space="preserve">a </w:t>
      </w:r>
      <w:r>
        <w:t>notice to produce on the respondents on 5 November 2021 and 11</w:t>
      </w:r>
      <w:r w:rsidR="00F00AB6">
        <w:t> </w:t>
      </w:r>
      <w:r>
        <w:t>November</w:t>
      </w:r>
      <w:r w:rsidR="00F00AB6">
        <w:t> </w:t>
      </w:r>
      <w:r>
        <w:t>2021 respectively, following the filing by the respondents on 28</w:t>
      </w:r>
      <w:r w:rsidR="00434287">
        <w:t> </w:t>
      </w:r>
      <w:r w:rsidR="00931434">
        <w:t xml:space="preserve">October </w:t>
      </w:r>
      <w:r>
        <w:t>2021 of an application for leave to issue a subpoena to Person 56</w:t>
      </w:r>
      <w:r w:rsidR="000733CE">
        <w:t>, a potential witness,</w:t>
      </w:r>
      <w:r>
        <w:t xml:space="preserve"> t</w:t>
      </w:r>
      <w:r w:rsidR="00C3476C">
        <w:t>o give evidence at the hearing</w:t>
      </w:r>
      <w:r w:rsidR="00C3476C" w:rsidRPr="00572177">
        <w:t>.</w:t>
      </w:r>
      <w:r w:rsidR="00003758" w:rsidRPr="00572177">
        <w:t xml:space="preserve"> That application is yet to be heard.</w:t>
      </w:r>
    </w:p>
    <w:p w14:paraId="37B30B19" w14:textId="76F72FCA" w:rsidR="00683824" w:rsidRPr="00C3476C" w:rsidRDefault="00683824" w:rsidP="001A7C6A">
      <w:pPr>
        <w:pStyle w:val="ParaNumbering"/>
      </w:pPr>
      <w:r w:rsidRPr="00C3476C">
        <w:t xml:space="preserve">On 10 November 2021, </w:t>
      </w:r>
      <w:r w:rsidR="00753813" w:rsidRPr="00C3476C">
        <w:t xml:space="preserve">in response to the 5 November notice, </w:t>
      </w:r>
      <w:r w:rsidRPr="00C3476C">
        <w:t>the respondents served on the applicant an objection schedu</w:t>
      </w:r>
      <w:r w:rsidRPr="00572177">
        <w:t xml:space="preserve">le </w:t>
      </w:r>
      <w:r w:rsidR="00003758" w:rsidRPr="00572177">
        <w:t>claiming legal professional privilege</w:t>
      </w:r>
      <w:r w:rsidR="00003758">
        <w:t xml:space="preserve"> </w:t>
      </w:r>
      <w:r w:rsidRPr="00C3476C">
        <w:t xml:space="preserve">and </w:t>
      </w:r>
      <w:r w:rsidR="00601E21" w:rsidRPr="00C3476C">
        <w:t>relevant</w:t>
      </w:r>
      <w:r w:rsidR="00C3476C" w:rsidRPr="00C3476C">
        <w:t xml:space="preserve"> documents </w:t>
      </w:r>
      <w:r w:rsidR="00C3476C" w:rsidRPr="00270478">
        <w:t>comprising</w:t>
      </w:r>
      <w:r w:rsidR="00003758">
        <w:t>,</w:t>
      </w:r>
      <w:r w:rsidR="00C3476C" w:rsidRPr="00270478">
        <w:t xml:space="preserve"> </w:t>
      </w:r>
      <w:r w:rsidR="00601E21" w:rsidRPr="00270478">
        <w:t>two emails and an email</w:t>
      </w:r>
      <w:r w:rsidR="00601E21" w:rsidRPr="00C3476C">
        <w:t xml:space="preserve"> chain</w:t>
      </w:r>
      <w:r w:rsidRPr="00C3476C">
        <w:t xml:space="preserve"> between their solicitors and counsel acting for Person 56. On 12 November 2021, the respondents served an updated objection schedule</w:t>
      </w:r>
      <w:r w:rsidR="009229BB" w:rsidRPr="00C3476C">
        <w:t xml:space="preserve"> (First Objection Schedule)</w:t>
      </w:r>
      <w:r w:rsidRPr="00C3476C">
        <w:t xml:space="preserve">. </w:t>
      </w:r>
    </w:p>
    <w:p w14:paraId="624ECBCB" w14:textId="06F2CAE2" w:rsidR="00C9032B" w:rsidRDefault="00C9032B" w:rsidP="001A7C6A">
      <w:pPr>
        <w:pStyle w:val="ParaNumbering"/>
      </w:pPr>
      <w:r>
        <w:t xml:space="preserve">On 15 November 2021, the respondents served an objection schedule on the applicant in response to the 11 November notice (Second Objection Schedule). </w:t>
      </w:r>
    </w:p>
    <w:p w14:paraId="59DC5952" w14:textId="3E0F6F43" w:rsidR="00740BEE" w:rsidRDefault="00740BEE" w:rsidP="00740BEE">
      <w:pPr>
        <w:pStyle w:val="ParaNumbering"/>
      </w:pPr>
      <w:r>
        <w:t xml:space="preserve">The applicant also issued a subpoena to Person 56 dated 11 November 2021, to which documents have been produced. One of those documents included </w:t>
      </w:r>
      <w:r w:rsidR="003E4561">
        <w:t xml:space="preserve">is </w:t>
      </w:r>
      <w:r>
        <w:t xml:space="preserve">an email from </w:t>
      </w:r>
      <w:r w:rsidR="004160A9">
        <w:t>Sean</w:t>
      </w:r>
      <w:r w:rsidR="003E4561">
        <w:t> </w:t>
      </w:r>
      <w:r>
        <w:t xml:space="preserve">Richter </w:t>
      </w:r>
      <w:r w:rsidR="004160A9">
        <w:t xml:space="preserve">(the legal representative for Person 56) </w:t>
      </w:r>
      <w:r>
        <w:t xml:space="preserve">to </w:t>
      </w:r>
      <w:r w:rsidR="004160A9">
        <w:t>Anthony</w:t>
      </w:r>
      <w:r>
        <w:t xml:space="preserve"> Reilly, of the Department of Defence, dated 5 August 2021</w:t>
      </w:r>
      <w:r w:rsidRPr="00572177">
        <w:t xml:space="preserve">. </w:t>
      </w:r>
      <w:r w:rsidR="00003758" w:rsidRPr="00572177">
        <w:t>The respondents were given first access to the documents. As a result, t</w:t>
      </w:r>
      <w:r w:rsidRPr="00572177">
        <w:t>he respondents make a</w:t>
      </w:r>
      <w:r>
        <w:t xml:space="preserve"> claim for legal professional privilege over part of that email, as reflected in their objection schedule served on 24 November 2021 (Third Objection </w:t>
      </w:r>
      <w:r>
        <w:lastRenderedPageBreak/>
        <w:t>Schedule). To date, the 5 August email has only been produced to the applicant in a redacted form. The applicant seeks an u</w:t>
      </w:r>
      <w:r w:rsidR="00C3476C">
        <w:t>nredacted copy of that document.</w:t>
      </w:r>
    </w:p>
    <w:p w14:paraId="77B8B06B" w14:textId="5173855B" w:rsidR="00371170" w:rsidRDefault="00371170" w:rsidP="001A7C6A">
      <w:pPr>
        <w:pStyle w:val="ParaNumbering"/>
      </w:pPr>
      <w:r>
        <w:t>On 15 November 2021, the applicant filed an interlocutory application seeking access to certain documents over which the res</w:t>
      </w:r>
      <w:r w:rsidR="00C3476C">
        <w:t xml:space="preserve">pondents claim are privileged. </w:t>
      </w:r>
    </w:p>
    <w:p w14:paraId="05BF1F53" w14:textId="58B375BD" w:rsidR="001247C1" w:rsidRDefault="001A7C6A" w:rsidP="001A7C6A">
      <w:pPr>
        <w:pStyle w:val="ParaNumbering"/>
      </w:pPr>
      <w:bookmarkStart w:id="20" w:name="_Ref89782496"/>
      <w:r>
        <w:t xml:space="preserve">The applicant seeks access orders to </w:t>
      </w:r>
      <w:r w:rsidR="001247C1">
        <w:t xml:space="preserve">the following </w:t>
      </w:r>
      <w:r>
        <w:t>documents</w:t>
      </w:r>
      <w:r w:rsidR="001247C1">
        <w:t>:</w:t>
      </w:r>
      <w:bookmarkEnd w:id="20"/>
    </w:p>
    <w:p w14:paraId="727126C8" w14:textId="4173C1E3" w:rsidR="001247C1" w:rsidRDefault="001247C1" w:rsidP="00820EA7">
      <w:pPr>
        <w:pStyle w:val="ListNo1"/>
      </w:pPr>
      <w:r>
        <w:t>documents</w:t>
      </w:r>
      <w:r w:rsidR="001A7C6A">
        <w:t xml:space="preserve"> </w:t>
      </w:r>
      <w:r>
        <w:t>which are responsive to</w:t>
      </w:r>
      <w:r w:rsidR="001A7C6A">
        <w:t xml:space="preserve"> </w:t>
      </w:r>
      <w:r>
        <w:t xml:space="preserve">categories 1, 2 and 3 of the 5 November </w:t>
      </w:r>
      <w:r w:rsidR="00DD4CA3">
        <w:t>notice</w:t>
      </w:r>
      <w:r>
        <w:t xml:space="preserve">, as identified in the </w:t>
      </w:r>
      <w:r w:rsidR="00953457">
        <w:t>First Objection Schedule</w:t>
      </w:r>
      <w:r w:rsidR="001A7C6A">
        <w:t xml:space="preserve">, </w:t>
      </w:r>
      <w:r>
        <w:t xml:space="preserve">and over which </w:t>
      </w:r>
      <w:r w:rsidR="001A7C6A">
        <w:t>leg</w:t>
      </w:r>
      <w:r w:rsidR="00623D2F">
        <w:t>al professional privilege</w:t>
      </w:r>
      <w:r>
        <w:t xml:space="preserve"> is claimed</w:t>
      </w:r>
      <w:r w:rsidR="00442215">
        <w:t xml:space="preserve"> (identified as Documents 1 and 2 in the First Objection Schedule)</w:t>
      </w:r>
      <w:r>
        <w:t>;</w:t>
      </w:r>
    </w:p>
    <w:p w14:paraId="35AA6F41" w14:textId="14F47589" w:rsidR="001247C1" w:rsidRDefault="001247C1" w:rsidP="00820EA7">
      <w:pPr>
        <w:pStyle w:val="ListNo1"/>
      </w:pPr>
      <w:r>
        <w:t xml:space="preserve">an unredacted copy of an email between Dean Levitan, a solicitor for the respondents, and </w:t>
      </w:r>
      <w:r w:rsidR="005D5342">
        <w:t xml:space="preserve">Mr Richter </w:t>
      </w:r>
      <w:r>
        <w:t>dated 1 September 2021</w:t>
      </w:r>
      <w:r w:rsidR="00442215">
        <w:t xml:space="preserve"> (identified as Document 17 in the First Objection Schedule)</w:t>
      </w:r>
      <w:r>
        <w:t xml:space="preserve">; </w:t>
      </w:r>
    </w:p>
    <w:p w14:paraId="09E5E9EF" w14:textId="2F13A1E4" w:rsidR="005E4603" w:rsidRDefault="004337E6" w:rsidP="004337E6">
      <w:pPr>
        <w:pStyle w:val="ListNo1"/>
      </w:pPr>
      <w:r>
        <w:t>an unredacted copy of an email between Mr Richter and Mr Reilly dated 5 August 2021 (identified as Document 12 in the Third Objection Schedule)</w:t>
      </w:r>
      <w:r w:rsidR="005E4603">
        <w:t xml:space="preserve">; and </w:t>
      </w:r>
    </w:p>
    <w:p w14:paraId="5052DE00" w14:textId="73F7A7F5" w:rsidR="001247C1" w:rsidRDefault="005E4603" w:rsidP="005E4603">
      <w:pPr>
        <w:pStyle w:val="ListNo1"/>
      </w:pPr>
      <w:r>
        <w:t>any other documents described by the respondents in their objection schedules to the extent that those documents record such communications between the respondents and Person 56 in relation to the arrangement or understanding relating to Person 56’s attendance at the hearing to give evidence or otherwise concern or touch upon the arrangement or understanding</w:t>
      </w:r>
      <w:r w:rsidR="00BC55C3">
        <w:t>.</w:t>
      </w:r>
    </w:p>
    <w:p w14:paraId="18280230" w14:textId="21784C16" w:rsidR="00BF7D40" w:rsidRDefault="00623D2F" w:rsidP="00BF7D40">
      <w:pPr>
        <w:pStyle w:val="ParaNumbering"/>
      </w:pPr>
      <w:r>
        <w:t>The a</w:t>
      </w:r>
      <w:r w:rsidR="001A7C6A">
        <w:t>pplicant accepts that t</w:t>
      </w:r>
      <w:r>
        <w:t>he documents enumerated in the r</w:t>
      </w:r>
      <w:r w:rsidR="001A7C6A">
        <w:t>espondents’ objection schedule</w:t>
      </w:r>
      <w:r w:rsidR="001247C1">
        <w:t>s</w:t>
      </w:r>
      <w:r w:rsidR="001A7C6A">
        <w:t xml:space="preserve"> are</w:t>
      </w:r>
      <w:r w:rsidR="007028E8">
        <w:t xml:space="preserve"> </w:t>
      </w:r>
      <w:r w:rsidR="001A7C6A">
        <w:t xml:space="preserve">privileged. The issue for determination is whether </w:t>
      </w:r>
      <w:r>
        <w:t xml:space="preserve">that </w:t>
      </w:r>
      <w:r w:rsidR="001A7C6A">
        <w:t>privilege has been waived over the documents in</w:t>
      </w:r>
      <w:r w:rsidR="001A7C6A" w:rsidRPr="00463376">
        <w:rPr>
          <w:spacing w:val="-1"/>
        </w:rPr>
        <w:t xml:space="preserve"> </w:t>
      </w:r>
      <w:r w:rsidR="001A7C6A">
        <w:t>question.</w:t>
      </w:r>
      <w:r w:rsidR="004F7F68">
        <w:t xml:space="preserve"> </w:t>
      </w:r>
      <w:r w:rsidR="008162F7">
        <w:t>I note that t</w:t>
      </w:r>
      <w:r w:rsidR="00C9032B">
        <w:t xml:space="preserve">he applicant is no longer seeking access to documents over which privilege is claimed in connection with the notice to </w:t>
      </w:r>
      <w:r w:rsidR="004E51A2">
        <w:t>produce dated 11 November 2021.</w:t>
      </w:r>
    </w:p>
    <w:p w14:paraId="0125E2DE" w14:textId="66907C63" w:rsidR="006E4B7E" w:rsidRDefault="006E4B7E" w:rsidP="006E4B7E">
      <w:pPr>
        <w:pStyle w:val="ParaNumbering"/>
      </w:pPr>
      <w:r>
        <w:t>Fo</w:t>
      </w:r>
      <w:r w:rsidRPr="00553712">
        <w:t>r the reasons belo</w:t>
      </w:r>
      <w:r w:rsidR="00003758" w:rsidRPr="00553712">
        <w:t xml:space="preserve">w, </w:t>
      </w:r>
      <w:r w:rsidR="00B73797" w:rsidRPr="00553712">
        <w:t>privilege has been waived in respect to Documents 1, 2</w:t>
      </w:r>
      <w:r w:rsidR="00003758" w:rsidRPr="00553712">
        <w:t>, 3</w:t>
      </w:r>
      <w:r w:rsidR="00B73797" w:rsidRPr="00553712">
        <w:t xml:space="preserve"> and 1</w:t>
      </w:r>
      <w:r w:rsidR="00B73797">
        <w:t xml:space="preserve">7 in the First Objection Schedule and Document 12 in the Third Objection Schedule. I also consider that privilege has been waived in respect of Document 3 in </w:t>
      </w:r>
      <w:r w:rsidR="00B73797" w:rsidRPr="00553712">
        <w:t>the First Objection Schedul</w:t>
      </w:r>
      <w:r w:rsidR="00003758" w:rsidRPr="00553712">
        <w:t>e.</w:t>
      </w:r>
      <w:r w:rsidR="00003758">
        <w:t xml:space="preserve">  </w:t>
      </w:r>
    </w:p>
    <w:p w14:paraId="7B39AF00" w14:textId="5A9F0AE5" w:rsidR="006E4B7E" w:rsidRPr="004236A4" w:rsidRDefault="006E4B7E" w:rsidP="00820EA7">
      <w:pPr>
        <w:pStyle w:val="Heading2"/>
      </w:pPr>
      <w:r w:rsidRPr="004236A4">
        <w:t>Material relied on</w:t>
      </w:r>
    </w:p>
    <w:p w14:paraId="3783D29B" w14:textId="0923A944" w:rsidR="00F22132" w:rsidRDefault="00DA00B0" w:rsidP="006E4B7E">
      <w:pPr>
        <w:pStyle w:val="ParaNumbering"/>
      </w:pPr>
      <w:r>
        <w:t>The applicant read an affidavit of Paul Victor Svilans, his solicitor, dated 15 November 2021</w:t>
      </w:r>
      <w:r w:rsidR="009D6CB8">
        <w:t>, which generally annexed the notices to produce and the schedule of objections, the subject of this application</w:t>
      </w:r>
      <w:r w:rsidR="00455EFC">
        <w:t xml:space="preserve"> (Svilans Affidavit)</w:t>
      </w:r>
      <w:r w:rsidR="009D6CB8">
        <w:t xml:space="preserve">. </w:t>
      </w:r>
      <w:r w:rsidR="00F22132">
        <w:t xml:space="preserve">It details the interactions between the parties in respect to </w:t>
      </w:r>
      <w:r w:rsidR="00F22132">
        <w:lastRenderedPageBreak/>
        <w:t xml:space="preserve">the notices to produce. </w:t>
      </w:r>
      <w:r w:rsidR="009D6CB8">
        <w:t>The affidavit was admitted subject to paragraph [6]</w:t>
      </w:r>
      <w:r w:rsidR="00B02063">
        <w:t xml:space="preserve"> and the annexure referred to therein</w:t>
      </w:r>
      <w:r w:rsidR="009D6CB8">
        <w:t xml:space="preserve">. </w:t>
      </w:r>
    </w:p>
    <w:p w14:paraId="70180F67" w14:textId="582CADD0" w:rsidR="00455EFC" w:rsidRDefault="00455EFC" w:rsidP="006E4B7E">
      <w:pPr>
        <w:pStyle w:val="ParaNumbering"/>
      </w:pPr>
      <w:r>
        <w:t>The Svilans Affidavit included correspondence from the respondents dated 10 November 2021 which enclosed an objection schedule and two emails over which the respondents accept</w:t>
      </w:r>
      <w:r w:rsidR="00343EB6">
        <w:t>ed</w:t>
      </w:r>
      <w:r>
        <w:t xml:space="preserve"> privilege has been waived by virtue of </w:t>
      </w:r>
      <w:r w:rsidR="00964BE3">
        <w:t>Peter</w:t>
      </w:r>
      <w:r w:rsidR="00343EB6">
        <w:t xml:space="preserve"> Bartlett’s</w:t>
      </w:r>
      <w:r w:rsidR="007A3293">
        <w:t xml:space="preserve"> affidavit of 28 October 2021</w:t>
      </w:r>
      <w:r w:rsidR="00BC0455">
        <w:t xml:space="preserve"> (October Bartlett Affidavit)</w:t>
      </w:r>
      <w:r w:rsidR="007A3293">
        <w:t>. That correspondence also enclosed an</w:t>
      </w:r>
      <w:r>
        <w:t xml:space="preserve"> email chain which was partly redacted </w:t>
      </w:r>
      <w:r w:rsidR="007A3293">
        <w:t xml:space="preserve">and over which the respondents elected to partially waive privilege </w:t>
      </w:r>
      <w:r>
        <w:t>(</w:t>
      </w:r>
      <w:r w:rsidR="00672973">
        <w:t xml:space="preserve">included in the email chain is a redacted copy of </w:t>
      </w:r>
      <w:r w:rsidR="00A008B5">
        <w:t>the</w:t>
      </w:r>
      <w:r w:rsidR="007A345C">
        <w:t xml:space="preserve"> email of 1 September </w:t>
      </w:r>
      <w:r>
        <w:t>2021).</w:t>
      </w:r>
      <w:r w:rsidR="00376B01">
        <w:t xml:space="preserve"> </w:t>
      </w:r>
    </w:p>
    <w:p w14:paraId="7F3046F5" w14:textId="35DDE500" w:rsidR="00F22132" w:rsidRDefault="009D6CB8" w:rsidP="006E4B7E">
      <w:pPr>
        <w:pStyle w:val="ParaNumbering"/>
      </w:pPr>
      <w:r>
        <w:t>The applicant also tendered a bundle of documents</w:t>
      </w:r>
      <w:r w:rsidR="00227940">
        <w:t xml:space="preserve">, which was admitted (subject to one sentence which appears </w:t>
      </w:r>
      <w:r w:rsidR="00E963FA">
        <w:t>in the</w:t>
      </w:r>
      <w:r w:rsidR="00AD0A2A">
        <w:t xml:space="preserve"> copy of the</w:t>
      </w:r>
      <w:r w:rsidR="00E963FA">
        <w:t xml:space="preserve"> transcript of the hearing on 18 November 2021</w:t>
      </w:r>
      <w:r w:rsidR="00227940">
        <w:t xml:space="preserve">). </w:t>
      </w:r>
      <w:r>
        <w:t>The tender bundle contained</w:t>
      </w:r>
      <w:r w:rsidR="00227940">
        <w:t>, inter alia</w:t>
      </w:r>
      <w:r w:rsidR="00E963FA">
        <w:t>,</w:t>
      </w:r>
      <w:r w:rsidR="00227940">
        <w:t xml:space="preserve"> two </w:t>
      </w:r>
      <w:r>
        <w:t>affidavit</w:t>
      </w:r>
      <w:r w:rsidR="00227940">
        <w:t>s</w:t>
      </w:r>
      <w:r>
        <w:t xml:space="preserve"> of </w:t>
      </w:r>
      <w:r w:rsidR="001371C5">
        <w:t xml:space="preserve">Mr </w:t>
      </w:r>
      <w:r>
        <w:t>Bartlett</w:t>
      </w:r>
      <w:r w:rsidR="00227940">
        <w:t>, solicitor for the respondents,</w:t>
      </w:r>
      <w:r>
        <w:t xml:space="preserve"> </w:t>
      </w:r>
      <w:r w:rsidR="00BC0455">
        <w:t>including the October Bartlett Affidavit,</w:t>
      </w:r>
      <w:r w:rsidR="009A292A">
        <w:t xml:space="preserve"> </w:t>
      </w:r>
      <w:r w:rsidR="00227940">
        <w:t xml:space="preserve">which was filed </w:t>
      </w:r>
      <w:r w:rsidR="00F22132">
        <w:t xml:space="preserve">by the respondents </w:t>
      </w:r>
      <w:r w:rsidR="00227940">
        <w:t xml:space="preserve">in support of </w:t>
      </w:r>
      <w:r w:rsidR="00E963FA">
        <w:t xml:space="preserve">their </w:t>
      </w:r>
      <w:r w:rsidR="00227940">
        <w:t>application for leave</w:t>
      </w:r>
      <w:r w:rsidR="00BC0455">
        <w:t xml:space="preserve"> to issue a subpoena to Person 56</w:t>
      </w:r>
      <w:r w:rsidR="00227940">
        <w:t>, and another dated 15 March 2021</w:t>
      </w:r>
      <w:r w:rsidR="00507C4C">
        <w:t>,</w:t>
      </w:r>
      <w:r w:rsidR="00227940">
        <w:t xml:space="preserve"> which had been relied on by the </w:t>
      </w:r>
      <w:r w:rsidR="00FD21B2">
        <w:t xml:space="preserve">respondents </w:t>
      </w:r>
      <w:r w:rsidR="00227940">
        <w:t xml:space="preserve">in </w:t>
      </w:r>
      <w:r w:rsidR="00F669B5">
        <w:t xml:space="preserve">connection with an </w:t>
      </w:r>
      <w:r w:rsidR="00D94EE7">
        <w:t xml:space="preserve">earlier </w:t>
      </w:r>
      <w:r w:rsidR="00F669B5">
        <w:t xml:space="preserve">application for leave to issue subpoenas to certain witnesses </w:t>
      </w:r>
      <w:r w:rsidR="007830D3">
        <w:t xml:space="preserve">(including Person 56) </w:t>
      </w:r>
      <w:r w:rsidR="00F669B5">
        <w:t xml:space="preserve">and amend </w:t>
      </w:r>
      <w:r w:rsidR="00A1095E">
        <w:t xml:space="preserve">their </w:t>
      </w:r>
      <w:r w:rsidR="00F669B5">
        <w:t>defence</w:t>
      </w:r>
      <w:r w:rsidR="009A292A">
        <w:t xml:space="preserve"> (</w:t>
      </w:r>
      <w:r w:rsidR="00C1613A">
        <w:t>March</w:t>
      </w:r>
      <w:r w:rsidR="009A292A">
        <w:t xml:space="preserve"> Bartlett Affidavit)</w:t>
      </w:r>
      <w:r w:rsidR="00227940">
        <w:t xml:space="preserve">. </w:t>
      </w:r>
    </w:p>
    <w:p w14:paraId="6C5C1EA8" w14:textId="2E7C41C7" w:rsidR="00F22132" w:rsidRDefault="00F22132" w:rsidP="00F22132">
      <w:pPr>
        <w:pStyle w:val="ParaNumbering"/>
      </w:pPr>
      <w:r w:rsidRPr="00455EFC">
        <w:t xml:space="preserve">Given the significance of </w:t>
      </w:r>
      <w:r w:rsidR="00C47CC8" w:rsidRPr="00532ACD">
        <w:t xml:space="preserve">the </w:t>
      </w:r>
      <w:r w:rsidR="00FF6EE4">
        <w:t>October</w:t>
      </w:r>
      <w:r w:rsidR="00C47CC8" w:rsidRPr="00532ACD">
        <w:t xml:space="preserve"> Bartlett Affidavit</w:t>
      </w:r>
      <w:r w:rsidRPr="00532ACD">
        <w:t xml:space="preserve"> to the submissions, it is appropriate to </w:t>
      </w:r>
      <w:r w:rsidRPr="00820EA7">
        <w:t>recite it in full:</w:t>
      </w:r>
      <w:r>
        <w:t xml:space="preserve"> </w:t>
      </w:r>
    </w:p>
    <w:p w14:paraId="40D69B19" w14:textId="77777777" w:rsidR="00526F22" w:rsidRDefault="00526F22" w:rsidP="00526F22">
      <w:pPr>
        <w:pStyle w:val="Quote1"/>
        <w:ind w:left="1440" w:hanging="703"/>
      </w:pPr>
      <w:r>
        <w:t>1.</w:t>
      </w:r>
      <w:r>
        <w:tab/>
        <w:t>I am a partner of MinterEllison and am the lawyer for the Respondents in these proceedings. I am authorised to swear this affidavit on behalf of the Respondents.</w:t>
      </w:r>
    </w:p>
    <w:p w14:paraId="65CCEDDC" w14:textId="57CFB8EC" w:rsidR="00526F22" w:rsidRDefault="00526F22" w:rsidP="00526F22">
      <w:pPr>
        <w:pStyle w:val="Quote1"/>
        <w:ind w:left="1440" w:hanging="703"/>
      </w:pPr>
      <w:r>
        <w:t>2.</w:t>
      </w:r>
      <w:r>
        <w:tab/>
        <w:t>Nothing in this affidavit or its annexure is intended to waive any client legal or legal professional privilege. To the extent that any part of this affidavit may be construed as a waiver of privilege, I withdraw and do not rely on that part of the affidavit.</w:t>
      </w:r>
    </w:p>
    <w:p w14:paraId="0B3E861F" w14:textId="334E4C76" w:rsidR="00776C4E" w:rsidRDefault="00526F22" w:rsidP="00820EA7">
      <w:pPr>
        <w:pStyle w:val="Quote1"/>
        <w:ind w:left="1440" w:hanging="703"/>
      </w:pPr>
      <w:r>
        <w:t>3.</w:t>
      </w:r>
      <w:r>
        <w:tab/>
        <w:t>I make this affidavit in support of an application dated 28 October 2021 for leave to issue a subpoena to Person 56 to attend and give evidence in these proceedings.</w:t>
      </w:r>
    </w:p>
    <w:p w14:paraId="39A7E3DB" w14:textId="77777777" w:rsidR="00FD288C" w:rsidRPr="00820EA7" w:rsidRDefault="00FD288C" w:rsidP="00FD288C">
      <w:pPr>
        <w:pStyle w:val="Quote1"/>
        <w:ind w:left="1440" w:hanging="703"/>
        <w:rPr>
          <w:b/>
        </w:rPr>
      </w:pPr>
      <w:r w:rsidRPr="00820EA7">
        <w:rPr>
          <w:b/>
        </w:rPr>
        <w:t>Background</w:t>
      </w:r>
    </w:p>
    <w:p w14:paraId="55AB9E2B" w14:textId="77777777" w:rsidR="00FD288C" w:rsidRDefault="00FD288C" w:rsidP="00FD288C">
      <w:pPr>
        <w:pStyle w:val="Quote1"/>
        <w:ind w:left="1440" w:hanging="703"/>
      </w:pPr>
      <w:r>
        <w:t>4.</w:t>
      </w:r>
      <w:r>
        <w:tab/>
        <w:t>On 13 February 2019, the Court made orders in relation to the service of outlines of evidence. The orders included that the Respondents serve their outlines of evidence by 8 May 2019.</w:t>
      </w:r>
    </w:p>
    <w:p w14:paraId="33DFAB04" w14:textId="77777777" w:rsidR="00FD288C" w:rsidRDefault="00FD288C" w:rsidP="00FD288C">
      <w:pPr>
        <w:pStyle w:val="Quote1"/>
        <w:ind w:left="1440" w:hanging="703"/>
      </w:pPr>
      <w:r>
        <w:t>5.</w:t>
      </w:r>
      <w:r>
        <w:tab/>
        <w:t>On 22 May 2019, the parties agreed to vary the timetable, with the effect that the Respondents' outlines were due to be served on 31 May 2019.</w:t>
      </w:r>
    </w:p>
    <w:p w14:paraId="26B098AA" w14:textId="77777777" w:rsidR="00FD288C" w:rsidRDefault="00FD288C" w:rsidP="00FD288C">
      <w:pPr>
        <w:pStyle w:val="Quote1"/>
        <w:ind w:left="1440" w:hanging="703"/>
      </w:pPr>
      <w:r>
        <w:t>6.</w:t>
      </w:r>
      <w:r>
        <w:tab/>
        <w:t xml:space="preserve">On 15 March 2021, the Respondents filed and served an application for leave to issue subpoenas to attend to give evidence to additional witnesses, including </w:t>
      </w:r>
      <w:r>
        <w:lastRenderedPageBreak/>
        <w:t>Person 56 (March Application). The March Application was supported by an affidavit sworn by me on 15 March 2021 (March Affidavit).</w:t>
      </w:r>
    </w:p>
    <w:p w14:paraId="5FDD6DEC" w14:textId="77777777" w:rsidR="00FD288C" w:rsidRDefault="00FD288C" w:rsidP="00FD288C">
      <w:pPr>
        <w:pStyle w:val="Quote1"/>
        <w:ind w:left="1440" w:hanging="703"/>
      </w:pPr>
      <w:r>
        <w:t>7.</w:t>
      </w:r>
      <w:r>
        <w:tab/>
        <w:t>On 23 April 2021, Justice Besanko refused the Respondents leave to issue a subpoena to Person 56 to attend and give evidence in these proceedings.</w:t>
      </w:r>
    </w:p>
    <w:p w14:paraId="4CCEF177" w14:textId="77777777" w:rsidR="00FD288C" w:rsidRPr="00820EA7" w:rsidRDefault="00FD288C" w:rsidP="00FD288C">
      <w:pPr>
        <w:pStyle w:val="Quote1"/>
        <w:ind w:left="1440" w:hanging="703"/>
        <w:rPr>
          <w:b/>
        </w:rPr>
      </w:pPr>
      <w:r w:rsidRPr="00820EA7">
        <w:rPr>
          <w:b/>
        </w:rPr>
        <w:t>Communication with Person 56</w:t>
      </w:r>
    </w:p>
    <w:p w14:paraId="6B9F6D4A" w14:textId="77777777" w:rsidR="00FD288C" w:rsidRDefault="00FD288C" w:rsidP="00FD288C">
      <w:pPr>
        <w:pStyle w:val="Quote1"/>
        <w:ind w:left="1440" w:hanging="703"/>
      </w:pPr>
      <w:r>
        <w:t>8.</w:t>
      </w:r>
      <w:r>
        <w:tab/>
        <w:t>In the March Affidavit, I gave evidence that:</w:t>
      </w:r>
    </w:p>
    <w:p w14:paraId="0CC90EC7" w14:textId="77777777" w:rsidR="00FD288C" w:rsidRDefault="00FD288C" w:rsidP="00820EA7">
      <w:pPr>
        <w:pStyle w:val="Quote2"/>
        <w:ind w:left="2160" w:hanging="720"/>
      </w:pPr>
      <w:r>
        <w:t>(a)</w:t>
      </w:r>
      <w:r>
        <w:tab/>
        <w:t>As at the date of the March Affidavit, the Respondents (or their legal representatives) had not spoken to Person 56;</w:t>
      </w:r>
    </w:p>
    <w:p w14:paraId="18489CE5" w14:textId="77777777" w:rsidR="00FD288C" w:rsidRDefault="00FD288C" w:rsidP="00820EA7">
      <w:pPr>
        <w:pStyle w:val="Quote2"/>
        <w:ind w:left="2160" w:hanging="720"/>
      </w:pPr>
      <w:r>
        <w:t>(b)</w:t>
      </w:r>
      <w:r>
        <w:tab/>
        <w:t>that Dean Levitan, the solicitor with the day-to-day conduct of the matter on behalf of the Respondents, had made multiple attempts to speak with Person 56, including by contacting Person 56's legal representative, Sean Richter, in excess of eight times between February 2020 and the date of the March Affidavit, but that Person 56 had not agreed to speak to the Respondents or their legal representatives (see paragraph 29 of the March Affidavit); and</w:t>
      </w:r>
    </w:p>
    <w:p w14:paraId="34B7C44D" w14:textId="77777777" w:rsidR="00FD288C" w:rsidRDefault="00FD288C" w:rsidP="00820EA7">
      <w:pPr>
        <w:pStyle w:val="Quote2"/>
        <w:ind w:left="2160" w:hanging="720"/>
      </w:pPr>
      <w:r>
        <w:t>(c)</w:t>
      </w:r>
      <w:r>
        <w:tab/>
        <w:t>the Respondents did not possess sufficient information at that time to enable them to serve an outline of the evidence they anticipate Person 56 would give.</w:t>
      </w:r>
    </w:p>
    <w:p w14:paraId="08F27FEA" w14:textId="77777777" w:rsidR="00FD288C" w:rsidRDefault="00FD288C" w:rsidP="00FD288C">
      <w:pPr>
        <w:pStyle w:val="Quote1"/>
        <w:ind w:left="1440" w:hanging="703"/>
      </w:pPr>
      <w:r>
        <w:t>9.</w:t>
      </w:r>
      <w:r>
        <w:tab/>
        <w:t>The Applicant’s oral evidence, and the evidence of the three Afghan Witnesses, emphasised to me the extent to which Person 56 would be able to give evidence about key matters in dispute in relation to the mission in Darwan on 11 September 2012 including:</w:t>
      </w:r>
    </w:p>
    <w:p w14:paraId="5A21E17D" w14:textId="77777777" w:rsidR="00FD288C" w:rsidRDefault="00FD288C" w:rsidP="00820EA7">
      <w:pPr>
        <w:pStyle w:val="Quote2"/>
      </w:pPr>
      <w:r>
        <w:t>(a)</w:t>
      </w:r>
      <w:r>
        <w:tab/>
        <w:t>whether there were fighting aged males in the last compound set;</w:t>
      </w:r>
    </w:p>
    <w:p w14:paraId="4DDCC1FB" w14:textId="77777777" w:rsidR="00FD288C" w:rsidRDefault="00FD288C" w:rsidP="00820EA7">
      <w:pPr>
        <w:pStyle w:val="Quote2"/>
        <w:ind w:left="2160" w:hanging="720"/>
      </w:pPr>
      <w:r>
        <w:t>(b)</w:t>
      </w:r>
      <w:r>
        <w:tab/>
        <w:t>whether there was an interpreter with the Applicant’s patrol when they reached the last compound set;</w:t>
      </w:r>
    </w:p>
    <w:p w14:paraId="290A90CD" w14:textId="77777777" w:rsidR="00FD288C" w:rsidRDefault="00FD288C" w:rsidP="00820EA7">
      <w:pPr>
        <w:pStyle w:val="Quote2"/>
        <w:ind w:left="2160" w:hanging="720"/>
      </w:pPr>
      <w:r>
        <w:t>(c)</w:t>
      </w:r>
      <w:r>
        <w:tab/>
        <w:t>at about what time/point in the mission Person 56 and the interpreter left the patrol; and</w:t>
      </w:r>
    </w:p>
    <w:p w14:paraId="5DD81E7C" w14:textId="0597B5DD" w:rsidR="00FD288C" w:rsidRDefault="00FD288C" w:rsidP="00820EA7">
      <w:pPr>
        <w:pStyle w:val="Quote2"/>
        <w:ind w:left="2160" w:hanging="720"/>
      </w:pPr>
      <w:r>
        <w:t>(d)</w:t>
      </w:r>
      <w:r>
        <w:tab/>
        <w:t>whether there was a steep embankment on the edge of the dry river bed closest to the helicopter landing zone.</w:t>
      </w:r>
    </w:p>
    <w:p w14:paraId="3BA7F09D" w14:textId="77777777" w:rsidR="00FD288C" w:rsidRDefault="00FD288C" w:rsidP="00FD288C">
      <w:pPr>
        <w:pStyle w:val="Quote1"/>
        <w:ind w:left="1440" w:hanging="703"/>
      </w:pPr>
      <w:r>
        <w:t>10.</w:t>
      </w:r>
      <w:r>
        <w:tab/>
        <w:t>As a result, following the evidence of the Applicant and the three Afghan Witnesses, I, together with other members of the Respondents’ legal team, decided that a further attempt should be made to see if Person 56 would speak to the Respondents’ legal representatives about the Darwan mission in particular. That is to say, it was determined that the Respondents would only seek to ascertain if Person 56 would speak to us about the Darwan mission, and no other mission or issue in dispute between the parties.</w:t>
      </w:r>
    </w:p>
    <w:p w14:paraId="34C68CC1" w14:textId="77777777" w:rsidR="00FD288C" w:rsidRDefault="00FD288C" w:rsidP="00FD288C">
      <w:pPr>
        <w:pStyle w:val="Quote1"/>
        <w:ind w:left="1440" w:hanging="703"/>
      </w:pPr>
      <w:r>
        <w:t>11.</w:t>
      </w:r>
      <w:r>
        <w:tab/>
        <w:t>I am informed by Mr Levitan, and believe, that:</w:t>
      </w:r>
    </w:p>
    <w:p w14:paraId="24B0ECC4" w14:textId="77777777" w:rsidR="00FD288C" w:rsidRDefault="00FD288C" w:rsidP="00820EA7">
      <w:pPr>
        <w:pStyle w:val="Quote2"/>
        <w:ind w:left="2160" w:hanging="720"/>
      </w:pPr>
      <w:r>
        <w:t>(a)</w:t>
      </w:r>
      <w:r>
        <w:tab/>
        <w:t>From 3 August 2021, Mr Levitan made further attempts to arrange for the Respondents' legal representatives to speak with Person 56 directly about the mission in Darwan, including during telephone conversations with Mr Richter on 3 August 2021, 6 August 2021 and 26 August 2021.</w:t>
      </w:r>
    </w:p>
    <w:p w14:paraId="3277D4D3" w14:textId="77777777" w:rsidR="00FD288C" w:rsidRDefault="00FD288C" w:rsidP="00820EA7">
      <w:pPr>
        <w:pStyle w:val="Quote2"/>
        <w:ind w:left="2160" w:hanging="720"/>
      </w:pPr>
      <w:r>
        <w:t>(b)</w:t>
      </w:r>
      <w:r>
        <w:tab/>
        <w:t xml:space="preserve">On 6 September 2021, Mr Richter informed Mr Levitan that Person 56 would be prepared to speak directly with the Respondents' legal </w:t>
      </w:r>
      <w:r>
        <w:lastRenderedPageBreak/>
        <w:t>representatives about the mission in Darwan.</w:t>
      </w:r>
    </w:p>
    <w:p w14:paraId="3A2C7047" w14:textId="77777777" w:rsidR="00FD288C" w:rsidRDefault="00FD288C" w:rsidP="00820EA7">
      <w:pPr>
        <w:pStyle w:val="Quote2"/>
        <w:ind w:left="2160" w:hanging="720"/>
      </w:pPr>
      <w:r>
        <w:t>(c)</w:t>
      </w:r>
      <w:r>
        <w:tab/>
        <w:t>On 15 September 2021, the Respondents' legal representatives had a video conference with Person 56 and his legal representatives.</w:t>
      </w:r>
    </w:p>
    <w:p w14:paraId="55DC3486" w14:textId="77777777" w:rsidR="00FD288C" w:rsidRDefault="00FD288C" w:rsidP="00820EA7">
      <w:pPr>
        <w:pStyle w:val="Quote2"/>
        <w:ind w:left="2160" w:hanging="720"/>
      </w:pPr>
      <w:r>
        <w:t>(d)</w:t>
      </w:r>
      <w:r>
        <w:tab/>
        <w:t>On 5 October 2021, the Respondents' legal representatives had a second video conference with Person 56 and his legal representatives.</w:t>
      </w:r>
    </w:p>
    <w:p w14:paraId="282892FD" w14:textId="7BD7E59F" w:rsidR="00FD288C" w:rsidRDefault="00FD288C" w:rsidP="00820EA7">
      <w:pPr>
        <w:pStyle w:val="Quote2"/>
        <w:ind w:left="2160" w:hanging="720"/>
      </w:pPr>
      <w:r>
        <w:t>(e)</w:t>
      </w:r>
      <w:r>
        <w:tab/>
        <w:t>On 26 October 2021, Mr Levitan received a signed statement of Person 56 setting out his evidence about the mission in Darwan. Person 56's signed statement is annexed hereto and marked PLB-1.</w:t>
      </w:r>
    </w:p>
    <w:p w14:paraId="70AE3518" w14:textId="5787A666" w:rsidR="009D6CB8" w:rsidRDefault="00F22132" w:rsidP="00F22132">
      <w:pPr>
        <w:pStyle w:val="ParaNumbering"/>
      </w:pPr>
      <w:r>
        <w:t xml:space="preserve">I note that the </w:t>
      </w:r>
      <w:r w:rsidR="00FF6EE4">
        <w:rPr>
          <w:spacing w:val="-3"/>
        </w:rPr>
        <w:t>October Bartlett Affidavit</w:t>
      </w:r>
      <w:r w:rsidR="00FF6EE4" w:rsidRPr="00F22132">
        <w:rPr>
          <w:spacing w:val="-3"/>
        </w:rPr>
        <w:t xml:space="preserve"> </w:t>
      </w:r>
      <w:r w:rsidR="007F0D8D">
        <w:t xml:space="preserve">was </w:t>
      </w:r>
      <w:r>
        <w:t xml:space="preserve">admitted on this application on a limited basis only, </w:t>
      </w:r>
      <w:r w:rsidR="007F0D8D">
        <w:t xml:space="preserve">as </w:t>
      </w:r>
      <w:r>
        <w:t>evidence of what Mr Bartlett asserts are</w:t>
      </w:r>
      <w:r w:rsidRPr="00F22132">
        <w:rPr>
          <w:spacing w:val="-15"/>
        </w:rPr>
        <w:t xml:space="preserve"> </w:t>
      </w:r>
      <w:r>
        <w:t xml:space="preserve">the reasons for seeking leave to issue a subpoena </w:t>
      </w:r>
      <w:r w:rsidR="007237AF">
        <w:t xml:space="preserve">to Person 56 </w:t>
      </w:r>
      <w:r>
        <w:t xml:space="preserve">at this stage. </w:t>
      </w:r>
    </w:p>
    <w:p w14:paraId="65188DF8" w14:textId="0A076EA6" w:rsidR="006E4B7E" w:rsidRPr="00F22132" w:rsidRDefault="00F22132" w:rsidP="00F22132">
      <w:pPr>
        <w:pStyle w:val="ParaNumbering"/>
      </w:pPr>
      <w:r>
        <w:t xml:space="preserve">The tender bundle also included the subpoena issued by the applicant to Person 56, the documents produced by Person 56 over which no claim or only a partial claim </w:t>
      </w:r>
      <w:r w:rsidR="00931434">
        <w:t xml:space="preserve">of privilege </w:t>
      </w:r>
      <w:r>
        <w:t xml:space="preserve">has been made by the respondents and correspondence between the parties. </w:t>
      </w:r>
    </w:p>
    <w:p w14:paraId="18614960" w14:textId="60EA5965" w:rsidR="006E4B7E" w:rsidRDefault="00F22132" w:rsidP="006E4B7E">
      <w:pPr>
        <w:pStyle w:val="ParaNumbering"/>
      </w:pPr>
      <w:r>
        <w:t>The respondent</w:t>
      </w:r>
      <w:r w:rsidR="00F00AB6">
        <w:t>s</w:t>
      </w:r>
      <w:r>
        <w:t xml:space="preserve"> read two affidavit</w:t>
      </w:r>
      <w:r w:rsidR="00F00AB6">
        <w:t>s</w:t>
      </w:r>
      <w:r>
        <w:t xml:space="preserve"> of Mr Bartlett </w:t>
      </w:r>
      <w:r w:rsidR="00F04644">
        <w:t xml:space="preserve">dated 19 November 2021 </w:t>
      </w:r>
      <w:r w:rsidR="00C1613A">
        <w:t xml:space="preserve">(First November Bartlett Affidavit) </w:t>
      </w:r>
      <w:r w:rsidR="00F04644">
        <w:t>and 25</w:t>
      </w:r>
      <w:r w:rsidR="00F00AB6">
        <w:t> </w:t>
      </w:r>
      <w:r w:rsidR="00F04644">
        <w:t>November</w:t>
      </w:r>
      <w:r w:rsidR="00F00AB6">
        <w:t> </w:t>
      </w:r>
      <w:r w:rsidR="00F04644">
        <w:t>2021</w:t>
      </w:r>
      <w:r w:rsidR="00C1613A">
        <w:t xml:space="preserve"> (Second November Bartlett Affidavit)</w:t>
      </w:r>
      <w:r w:rsidR="00F00AB6">
        <w:t>,</w:t>
      </w:r>
      <w:r w:rsidR="00F04644">
        <w:t xml:space="preserve"> deposing to the making and basis of the claims for legal professional privilege in respect to documents </w:t>
      </w:r>
      <w:r w:rsidR="007833B2">
        <w:t xml:space="preserve">relevant to </w:t>
      </w:r>
      <w:r w:rsidR="00F04644">
        <w:t xml:space="preserve">the notices to produce and the subpoena to Person 56. </w:t>
      </w:r>
    </w:p>
    <w:p w14:paraId="241DD3F3" w14:textId="46067585" w:rsidR="006E4B7E" w:rsidRPr="006E4B7E" w:rsidRDefault="006E4B7E" w:rsidP="00820EA7">
      <w:pPr>
        <w:pStyle w:val="Heading2"/>
      </w:pPr>
      <w:r w:rsidRPr="006E4B7E">
        <w:t>Legal principles</w:t>
      </w:r>
    </w:p>
    <w:p w14:paraId="1ACF453B" w14:textId="361AD82E" w:rsidR="006E4B7E" w:rsidRPr="00852383" w:rsidRDefault="006E4B7E" w:rsidP="006E4B7E">
      <w:pPr>
        <w:pStyle w:val="ParaNumbering"/>
        <w:tabs>
          <w:tab w:val="num" w:pos="720"/>
        </w:tabs>
      </w:pPr>
      <w:r w:rsidRPr="00241BC7">
        <w:t xml:space="preserve">There was no dispute between the parties </w:t>
      </w:r>
      <w:r>
        <w:t xml:space="preserve">that the documents sought are privileged, the issue is </w:t>
      </w:r>
      <w:r w:rsidRPr="00852383">
        <w:t>one of waiver.</w:t>
      </w:r>
    </w:p>
    <w:p w14:paraId="4617F17A" w14:textId="1D3472ED" w:rsidR="00B53EE7" w:rsidRPr="002E32AB" w:rsidRDefault="004236A4" w:rsidP="00B53EE7">
      <w:pPr>
        <w:pStyle w:val="ParaNumbering"/>
        <w:tabs>
          <w:tab w:val="num" w:pos="720"/>
        </w:tabs>
      </w:pPr>
      <w:r w:rsidRPr="00D436C6">
        <w:t>T</w:t>
      </w:r>
      <w:r w:rsidR="00B53EE7" w:rsidRPr="00D436C6">
        <w:t xml:space="preserve">he </w:t>
      </w:r>
      <w:r w:rsidR="006E4B7E" w:rsidRPr="00D436C6">
        <w:t xml:space="preserve">principles relevant to a claim for legal professional privilege </w:t>
      </w:r>
      <w:r w:rsidRPr="00D436C6">
        <w:t xml:space="preserve">were summarised </w:t>
      </w:r>
      <w:r w:rsidR="006E4B7E" w:rsidRPr="000A7AE6">
        <w:t xml:space="preserve">in </w:t>
      </w:r>
      <w:r w:rsidR="006E4B7E" w:rsidRPr="00F428AC">
        <w:rPr>
          <w:i/>
          <w:szCs w:val="24"/>
        </w:rPr>
        <w:t>Roberts-Smith v Fairfax Media Publications Pty Limited (No 2</w:t>
      </w:r>
      <w:r w:rsidR="009B3457" w:rsidRPr="00F428AC">
        <w:rPr>
          <w:i/>
          <w:szCs w:val="24"/>
        </w:rPr>
        <w:t>3</w:t>
      </w:r>
      <w:r w:rsidR="006E4B7E" w:rsidRPr="00F428AC">
        <w:rPr>
          <w:i/>
          <w:szCs w:val="24"/>
        </w:rPr>
        <w:t>)</w:t>
      </w:r>
      <w:r w:rsidR="006E4B7E" w:rsidRPr="00F428AC">
        <w:rPr>
          <w:szCs w:val="24"/>
        </w:rPr>
        <w:t xml:space="preserve"> [2021] FCA </w:t>
      </w:r>
      <w:r w:rsidR="009B3457" w:rsidRPr="00F428AC">
        <w:rPr>
          <w:szCs w:val="24"/>
        </w:rPr>
        <w:t>1460</w:t>
      </w:r>
      <w:r w:rsidR="009B3457" w:rsidRPr="009841B3">
        <w:rPr>
          <w:szCs w:val="24"/>
        </w:rPr>
        <w:t xml:space="preserve"> </w:t>
      </w:r>
      <w:r w:rsidR="006E4B7E" w:rsidRPr="009841B3">
        <w:rPr>
          <w:szCs w:val="24"/>
        </w:rPr>
        <w:t>at [</w:t>
      </w:r>
      <w:r w:rsidR="009B3457" w:rsidRPr="00F017B6">
        <w:rPr>
          <w:szCs w:val="24"/>
        </w:rPr>
        <w:t>37</w:t>
      </w:r>
      <w:r w:rsidR="006E4B7E" w:rsidRPr="001747C5">
        <w:rPr>
          <w:szCs w:val="24"/>
        </w:rPr>
        <w:t>]-[</w:t>
      </w:r>
      <w:r w:rsidR="009B3457" w:rsidRPr="001747C5">
        <w:rPr>
          <w:szCs w:val="24"/>
        </w:rPr>
        <w:t>46</w:t>
      </w:r>
      <w:r w:rsidR="006E4B7E" w:rsidRPr="001747C5">
        <w:rPr>
          <w:szCs w:val="24"/>
        </w:rPr>
        <w:t xml:space="preserve">] and it is unnecessary to repeat them here. </w:t>
      </w:r>
      <w:r w:rsidR="00B53EE7" w:rsidRPr="001747C5">
        <w:rPr>
          <w:szCs w:val="24"/>
        </w:rPr>
        <w:t xml:space="preserve">As with the application there considered, this application is governed by the common law: see for example </w:t>
      </w:r>
      <w:r w:rsidR="00B53EE7" w:rsidRPr="001747C5">
        <w:rPr>
          <w:i/>
        </w:rPr>
        <w:t>Australian Securities and Investments Commission v Australian Lending Centre Pty Ltd (No 2)</w:t>
      </w:r>
      <w:r w:rsidR="00B53EE7" w:rsidRPr="001747C5">
        <w:t xml:space="preserve"> [2011] FCA 1057; (2011) 283 ALR 299</w:t>
      </w:r>
      <w:r w:rsidR="00B53EE7" w:rsidRPr="002E32AB">
        <w:t xml:space="preserve"> at [6]–[9].</w:t>
      </w:r>
    </w:p>
    <w:p w14:paraId="6654B03B" w14:textId="1665A8BB" w:rsidR="00B53EE7" w:rsidRPr="00C1298D" w:rsidRDefault="0010778E" w:rsidP="006E4B7E">
      <w:pPr>
        <w:pStyle w:val="ParaNumbering"/>
        <w:rPr>
          <w:szCs w:val="24"/>
        </w:rPr>
      </w:pPr>
      <w:r w:rsidRPr="00C1298D">
        <w:rPr>
          <w:szCs w:val="24"/>
          <w:shd w:val="clear" w:color="auto" w:fill="FFFFFF"/>
        </w:rPr>
        <w:t xml:space="preserve">Given the focus of this application, </w:t>
      </w:r>
      <w:r w:rsidR="00B53EE7" w:rsidRPr="00C1298D">
        <w:rPr>
          <w:szCs w:val="24"/>
          <w:shd w:val="clear" w:color="auto" w:fill="FFFFFF"/>
        </w:rPr>
        <w:t xml:space="preserve">it is appropriate to </w:t>
      </w:r>
      <w:r w:rsidRPr="00C1298D">
        <w:rPr>
          <w:szCs w:val="24"/>
          <w:shd w:val="clear" w:color="auto" w:fill="FFFFFF"/>
        </w:rPr>
        <w:t xml:space="preserve">expand upon the </w:t>
      </w:r>
      <w:r w:rsidR="002E32AB" w:rsidRPr="00C1298D">
        <w:rPr>
          <w:szCs w:val="24"/>
          <w:shd w:val="clear" w:color="auto" w:fill="FFFFFF"/>
        </w:rPr>
        <w:t>principles that are relevant to waiver of privilege</w:t>
      </w:r>
      <w:r w:rsidR="00B53EE7" w:rsidRPr="00C1298D">
        <w:rPr>
          <w:szCs w:val="24"/>
          <w:shd w:val="clear" w:color="auto" w:fill="FFFFFF"/>
        </w:rPr>
        <w:t xml:space="preserve">. </w:t>
      </w:r>
    </w:p>
    <w:p w14:paraId="346C778A" w14:textId="171B22D4" w:rsidR="00985073" w:rsidRDefault="00985073" w:rsidP="00AB4D54">
      <w:pPr>
        <w:pStyle w:val="ParaNumbering"/>
      </w:pPr>
      <w:r w:rsidRPr="00852383">
        <w:t xml:space="preserve">In </w:t>
      </w:r>
      <w:r w:rsidRPr="00852383">
        <w:rPr>
          <w:i/>
        </w:rPr>
        <w:t xml:space="preserve">Mann v Carnell </w:t>
      </w:r>
      <w:r w:rsidRPr="009A6F03">
        <w:t>[1999] HCA 66; (1999) 201 CLR 1</w:t>
      </w:r>
      <w:r w:rsidR="009A6F03">
        <w:t xml:space="preserve"> (</w:t>
      </w:r>
      <w:r w:rsidR="009A6F03">
        <w:rPr>
          <w:i/>
        </w:rPr>
        <w:t>Mann</w:t>
      </w:r>
      <w:r w:rsidR="009A6F03">
        <w:t>)</w:t>
      </w:r>
      <w:r w:rsidRPr="009A6F03">
        <w:t>, the plurality explained the rationale and approach at [28]-[29] as follows (citations omitted):</w:t>
      </w:r>
    </w:p>
    <w:p w14:paraId="1D388BD5" w14:textId="750FA622" w:rsidR="00985073" w:rsidRPr="00985073" w:rsidRDefault="00985073" w:rsidP="00820EA7">
      <w:pPr>
        <w:pStyle w:val="Quote1"/>
        <w:rPr>
          <w:lang w:eastAsia="en-AU"/>
        </w:rPr>
      </w:pPr>
      <w:r w:rsidRPr="00985073">
        <w:t xml:space="preserve">At common law, a person who would otherwise be entitled to the benefit of legal </w:t>
      </w:r>
      <w:r w:rsidRPr="00985073">
        <w:lastRenderedPageBreak/>
        <w:t>professional privilege may waive the privilege.  It has been observed that "waiver" is a vague term, used in many senses, and that it often requires further defini</w:t>
      </w:r>
      <w:r w:rsidR="00BB3DC1">
        <w:t xml:space="preserve">tion according to the context. </w:t>
      </w:r>
      <w:r w:rsidRPr="00985073">
        <w:t>Legal professional privilege exists to protect the confidentiality of communications between lawyer and client.  It is the client who is entitled to the benefit of such confidentiality, and who may relinquish that entitlement. It is inconsistency between the conduct of the client and maintenance of the confidentiality which effects a waiver of the privilege…</w:t>
      </w:r>
    </w:p>
    <w:p w14:paraId="5BE773B5" w14:textId="148385C0" w:rsidR="00985073" w:rsidRPr="00AB7837" w:rsidRDefault="00985073" w:rsidP="00820EA7">
      <w:pPr>
        <w:pStyle w:val="Quote1"/>
      </w:pPr>
      <w:r w:rsidRPr="00985073">
        <w:t>Waiver may be express or implied.  Disputes as to implied waiver usually arise from the need to decide whether particular conduct is inconsistent with the maintenance of the confidentiality which the privilege is intended to protect.  When an affirmative answer is given to such a question, it is sometimes said that waiver is "imputed by operation of law".  This means that the law recognises the inconsistency and determines its consequences, even though such consequences may not reflect the subjective intention of the party who has lost the privilege… What brings about the waiver is the inconsistency, which the courts, where necessary informed by considerations of fairness, perceive, between the conduct of the client and maintenance of the confidentiality; not some overriding principle of fairness operating at large.</w:t>
      </w:r>
    </w:p>
    <w:p w14:paraId="47572D8F" w14:textId="6EC75406" w:rsidR="00AB7837" w:rsidRDefault="00AB7837" w:rsidP="00AB7837">
      <w:pPr>
        <w:pStyle w:val="ParaNumbering"/>
        <w:rPr>
          <w:szCs w:val="24"/>
        </w:rPr>
      </w:pPr>
      <w:r w:rsidRPr="00AB7837">
        <w:rPr>
          <w:szCs w:val="24"/>
        </w:rPr>
        <w:t>When considering whether a waiver of privilege has occurred, each case must be assessed on its own facts</w:t>
      </w:r>
      <w:r>
        <w:rPr>
          <w:szCs w:val="24"/>
        </w:rPr>
        <w:t xml:space="preserve">: </w:t>
      </w:r>
      <w:r w:rsidRPr="00114BBF">
        <w:rPr>
          <w:i/>
          <w:szCs w:val="24"/>
        </w:rPr>
        <w:t xml:space="preserve">Commissioner of Taxation v Rio Tinto Ltd </w:t>
      </w:r>
      <w:r w:rsidRPr="00114BBF">
        <w:rPr>
          <w:szCs w:val="24"/>
        </w:rPr>
        <w:t>[2006] FCAFC 86; (2006) 151 FCR 341</w:t>
      </w:r>
      <w:r w:rsidR="007557D0">
        <w:rPr>
          <w:szCs w:val="24"/>
        </w:rPr>
        <w:t xml:space="preserve"> </w:t>
      </w:r>
      <w:r w:rsidR="009B3457">
        <w:rPr>
          <w:szCs w:val="24"/>
        </w:rPr>
        <w:t>(</w:t>
      </w:r>
      <w:r w:rsidR="009B3457">
        <w:rPr>
          <w:i/>
          <w:szCs w:val="24"/>
        </w:rPr>
        <w:t>Rio Tinto</w:t>
      </w:r>
      <w:r w:rsidR="009B3457">
        <w:rPr>
          <w:szCs w:val="24"/>
        </w:rPr>
        <w:t xml:space="preserve">) </w:t>
      </w:r>
      <w:r w:rsidR="007557D0">
        <w:rPr>
          <w:szCs w:val="24"/>
        </w:rPr>
        <w:t>at [45], [61].</w:t>
      </w:r>
      <w:r w:rsidR="00173EB7">
        <w:rPr>
          <w:szCs w:val="24"/>
        </w:rPr>
        <w:t xml:space="preserve"> </w:t>
      </w:r>
      <w:r w:rsidR="007E4BC7">
        <w:rPr>
          <w:szCs w:val="24"/>
        </w:rPr>
        <w:t xml:space="preserve">As explained </w:t>
      </w:r>
      <w:r w:rsidR="009B3457">
        <w:rPr>
          <w:szCs w:val="24"/>
        </w:rPr>
        <w:t xml:space="preserve">at </w:t>
      </w:r>
      <w:r w:rsidR="007E4BC7">
        <w:rPr>
          <w:szCs w:val="24"/>
        </w:rPr>
        <w:t>[45]</w:t>
      </w:r>
      <w:r w:rsidR="009B3457">
        <w:rPr>
          <w:szCs w:val="24"/>
        </w:rPr>
        <w:t>:</w:t>
      </w:r>
    </w:p>
    <w:p w14:paraId="33272414" w14:textId="37876FAE" w:rsidR="009B3457" w:rsidRPr="00AB7837" w:rsidRDefault="009B3457" w:rsidP="00820EA7">
      <w:pPr>
        <w:pStyle w:val="Quote1"/>
        <w:rPr>
          <w:szCs w:val="24"/>
        </w:rPr>
      </w:pPr>
      <w:r>
        <w:t xml:space="preserve">Where, as here, one party alleges that another has impliedly waived legal professional privilege, a court is bound to analyse the acts or omissions of the privilege holder that are said to be inconsistent with the maintenance of the privilege. In concluding that the Commissioner had waived the privilege in the eight contested documents, the docket judge in fact applied the “inconsistency” principle of </w:t>
      </w:r>
      <w:r w:rsidRPr="00820EA7">
        <w:rPr>
          <w:i/>
        </w:rPr>
        <w:t>Mann</w:t>
      </w:r>
      <w:r>
        <w:t xml:space="preserve">, as he was obliged to do: see </w:t>
      </w:r>
      <w:r w:rsidRPr="00820EA7">
        <w:rPr>
          <w:i/>
        </w:rPr>
        <w:t>Rio Tinto (2)</w:t>
      </w:r>
      <w:r>
        <w:t xml:space="preserve"> at [20]. Plainly enough, the inquiry that it mandates focuses on the facts of the particular case.  It follows that other cases in which implied waiver has been considered provide limited guidance unless they arise out of similar facts. </w:t>
      </w:r>
    </w:p>
    <w:p w14:paraId="00D3639E" w14:textId="6FEF5B05" w:rsidR="007557D0" w:rsidRDefault="007557D0" w:rsidP="007557D0">
      <w:pPr>
        <w:pStyle w:val="ParaNumbering"/>
      </w:pPr>
      <w:r>
        <w:t xml:space="preserve">In </w:t>
      </w:r>
      <w:r w:rsidRPr="00114BBF">
        <w:rPr>
          <w:i/>
        </w:rPr>
        <w:t xml:space="preserve">DSE (Holdings) Pty Ltd v Intertan Inc </w:t>
      </w:r>
      <w:r w:rsidRPr="00114BBF">
        <w:t>[2003] FCA 384; (2003) 127 FCR 499</w:t>
      </w:r>
      <w:r w:rsidR="00BC7CCC">
        <w:t xml:space="preserve"> (</w:t>
      </w:r>
      <w:r w:rsidR="00BC7CCC">
        <w:rPr>
          <w:i/>
        </w:rPr>
        <w:t>DSE</w:t>
      </w:r>
      <w:r w:rsidR="00BC7CCC">
        <w:t>)</w:t>
      </w:r>
      <w:r>
        <w:t>, Allsop</w:t>
      </w:r>
      <w:r w:rsidR="001644A0">
        <w:t> </w:t>
      </w:r>
      <w:r>
        <w:t xml:space="preserve">J </w:t>
      </w:r>
      <w:r w:rsidR="001644A0">
        <w:t xml:space="preserve">(as his Honour then was) </w:t>
      </w:r>
      <w:r>
        <w:t>observed at [58] (emphasis in the original):</w:t>
      </w:r>
    </w:p>
    <w:p w14:paraId="71D2FB12" w14:textId="3D9AD7BC" w:rsidR="007557D0" w:rsidRPr="008D1E10" w:rsidRDefault="007557D0" w:rsidP="007557D0">
      <w:pPr>
        <w:pStyle w:val="ParaNumbering"/>
        <w:numPr>
          <w:ilvl w:val="0"/>
          <w:numId w:val="0"/>
        </w:numPr>
        <w:spacing w:line="240" w:lineRule="auto"/>
        <w:ind w:left="851" w:right="805"/>
        <w:rPr>
          <w:sz w:val="22"/>
          <w:szCs w:val="22"/>
          <w:highlight w:val="yellow"/>
        </w:rPr>
      </w:pPr>
      <w:r w:rsidRPr="00114820">
        <w:rPr>
          <w:sz w:val="22"/>
          <w:szCs w:val="22"/>
        </w:rPr>
        <w:t xml:space="preserve">…the party entitled to the privilege makes an assertion (express or implied), or brings a case, which is either about the contents of the confidential communication or which necessarily lays open the </w:t>
      </w:r>
      <w:r w:rsidRPr="00114820">
        <w:rPr>
          <w:i/>
          <w:iCs/>
          <w:sz w:val="22"/>
          <w:szCs w:val="22"/>
        </w:rPr>
        <w:t>confidential communication</w:t>
      </w:r>
      <w:r w:rsidRPr="00114820">
        <w:rPr>
          <w:sz w:val="22"/>
          <w:szCs w:val="22"/>
        </w:rPr>
        <w:t xml:space="preserve"> to scrutiny and, by such conduct, an inconsistency arises between the act and the maintenance of the confidence, informed partly by the forensic unfairness of allowing the claim to proceed without disclosure of the communication.  </w:t>
      </w:r>
    </w:p>
    <w:p w14:paraId="63B93F64" w14:textId="2AC4D6ED" w:rsidR="0075652D" w:rsidRPr="0075652D" w:rsidRDefault="007557D0" w:rsidP="007557D0">
      <w:pPr>
        <w:pStyle w:val="ParaNumbering"/>
      </w:pPr>
      <w:r>
        <w:t xml:space="preserve">And see </w:t>
      </w:r>
      <w:r w:rsidRPr="00AB7837">
        <w:rPr>
          <w:i/>
          <w:szCs w:val="24"/>
        </w:rPr>
        <w:t xml:space="preserve">Rio Tinto </w:t>
      </w:r>
      <w:r>
        <w:rPr>
          <w:szCs w:val="24"/>
        </w:rPr>
        <w:t>at [61]</w:t>
      </w:r>
      <w:r w:rsidR="0075652D">
        <w:rPr>
          <w:szCs w:val="24"/>
        </w:rPr>
        <w:t>:</w:t>
      </w:r>
    </w:p>
    <w:p w14:paraId="503C1C76" w14:textId="5762F21C" w:rsidR="007557D0" w:rsidRPr="0075652D" w:rsidRDefault="0075652D" w:rsidP="00C1298D">
      <w:pPr>
        <w:pStyle w:val="Quote1"/>
      </w:pPr>
      <w:r w:rsidRPr="00C1298D">
        <w:t xml:space="preserve">Both before and after </w:t>
      </w:r>
      <w:r w:rsidRPr="00C1298D">
        <w:rPr>
          <w:i/>
          <w:iCs/>
        </w:rPr>
        <w:t>Mann</w:t>
      </w:r>
      <w:r w:rsidRPr="00C1298D">
        <w:t>, the governing principle required a fact-based inquiry as to whether, in effect, the privilege holder had directly or indirectly put the contents of an otherwise privileged communication in issue in litigation, either in making a claim or by way of defence</w:t>
      </w:r>
      <w:r w:rsidR="005D03BF">
        <w:t>…</w:t>
      </w:r>
    </w:p>
    <w:p w14:paraId="7300D2C5" w14:textId="43F8C5D4" w:rsidR="000A6991" w:rsidRPr="00EF7BCD" w:rsidRDefault="000A6991" w:rsidP="00EF7BCD">
      <w:pPr>
        <w:pStyle w:val="ParaNumbering"/>
        <w:rPr>
          <w:szCs w:val="24"/>
        </w:rPr>
      </w:pPr>
      <w:r w:rsidRPr="000A6991">
        <w:rPr>
          <w:szCs w:val="24"/>
        </w:rPr>
        <w:t>Inconsistency</w:t>
      </w:r>
      <w:r w:rsidRPr="000A6991">
        <w:rPr>
          <w:spacing w:val="-14"/>
          <w:szCs w:val="24"/>
        </w:rPr>
        <w:t xml:space="preserve"> </w:t>
      </w:r>
      <w:r w:rsidRPr="000A6991">
        <w:rPr>
          <w:szCs w:val="24"/>
        </w:rPr>
        <w:t>may</w:t>
      </w:r>
      <w:r w:rsidRPr="000A6991">
        <w:rPr>
          <w:spacing w:val="-12"/>
          <w:szCs w:val="24"/>
        </w:rPr>
        <w:t xml:space="preserve"> </w:t>
      </w:r>
      <w:r w:rsidRPr="000A6991">
        <w:rPr>
          <w:szCs w:val="24"/>
        </w:rPr>
        <w:t>arise</w:t>
      </w:r>
      <w:r w:rsidRPr="000A6991">
        <w:rPr>
          <w:spacing w:val="-12"/>
          <w:szCs w:val="24"/>
        </w:rPr>
        <w:t xml:space="preserve"> </w:t>
      </w:r>
      <w:r w:rsidRPr="000A6991">
        <w:rPr>
          <w:szCs w:val="24"/>
        </w:rPr>
        <w:t>if</w:t>
      </w:r>
      <w:r w:rsidRPr="000A6991">
        <w:rPr>
          <w:spacing w:val="-13"/>
          <w:szCs w:val="24"/>
        </w:rPr>
        <w:t xml:space="preserve"> </w:t>
      </w:r>
      <w:r w:rsidRPr="000A6991">
        <w:rPr>
          <w:szCs w:val="24"/>
        </w:rPr>
        <w:t>the</w:t>
      </w:r>
      <w:r w:rsidRPr="000A6991">
        <w:rPr>
          <w:spacing w:val="-12"/>
          <w:szCs w:val="24"/>
        </w:rPr>
        <w:t xml:space="preserve"> </w:t>
      </w:r>
      <w:r w:rsidRPr="000A6991">
        <w:rPr>
          <w:szCs w:val="24"/>
        </w:rPr>
        <w:t>privilege</w:t>
      </w:r>
      <w:r w:rsidRPr="000A6991">
        <w:rPr>
          <w:spacing w:val="-11"/>
          <w:szCs w:val="24"/>
        </w:rPr>
        <w:t xml:space="preserve"> </w:t>
      </w:r>
      <w:r w:rsidRPr="000A6991">
        <w:rPr>
          <w:szCs w:val="24"/>
        </w:rPr>
        <w:t>holder</w:t>
      </w:r>
      <w:r w:rsidRPr="000A6991">
        <w:rPr>
          <w:spacing w:val="-13"/>
          <w:szCs w:val="24"/>
        </w:rPr>
        <w:t xml:space="preserve"> </w:t>
      </w:r>
      <w:r w:rsidRPr="000A6991">
        <w:rPr>
          <w:szCs w:val="24"/>
        </w:rPr>
        <w:t>makes</w:t>
      </w:r>
      <w:r w:rsidRPr="000A6991">
        <w:rPr>
          <w:spacing w:val="-12"/>
          <w:szCs w:val="24"/>
        </w:rPr>
        <w:t xml:space="preserve"> </w:t>
      </w:r>
      <w:r w:rsidRPr="000A6991">
        <w:rPr>
          <w:szCs w:val="24"/>
        </w:rPr>
        <w:t>assertions</w:t>
      </w:r>
      <w:r w:rsidRPr="000A6991">
        <w:rPr>
          <w:spacing w:val="-12"/>
          <w:szCs w:val="24"/>
        </w:rPr>
        <w:t xml:space="preserve"> </w:t>
      </w:r>
      <w:r w:rsidRPr="000A6991">
        <w:rPr>
          <w:szCs w:val="24"/>
        </w:rPr>
        <w:t>about</w:t>
      </w:r>
      <w:r w:rsidRPr="000A6991">
        <w:rPr>
          <w:spacing w:val="-13"/>
          <w:szCs w:val="24"/>
        </w:rPr>
        <w:t xml:space="preserve"> </w:t>
      </w:r>
      <w:r w:rsidRPr="000A6991">
        <w:rPr>
          <w:szCs w:val="24"/>
        </w:rPr>
        <w:t>its</w:t>
      </w:r>
      <w:r w:rsidRPr="000A6991">
        <w:rPr>
          <w:spacing w:val="-13"/>
          <w:szCs w:val="24"/>
        </w:rPr>
        <w:t xml:space="preserve"> </w:t>
      </w:r>
      <w:r w:rsidRPr="000A6991">
        <w:rPr>
          <w:szCs w:val="24"/>
        </w:rPr>
        <w:t>state</w:t>
      </w:r>
      <w:r w:rsidRPr="000A6991">
        <w:rPr>
          <w:spacing w:val="-12"/>
          <w:szCs w:val="24"/>
        </w:rPr>
        <w:t xml:space="preserve"> </w:t>
      </w:r>
      <w:r w:rsidRPr="000A6991">
        <w:rPr>
          <w:szCs w:val="24"/>
        </w:rPr>
        <w:t>of</w:t>
      </w:r>
      <w:r w:rsidRPr="000A6991">
        <w:rPr>
          <w:spacing w:val="-13"/>
          <w:szCs w:val="24"/>
        </w:rPr>
        <w:t xml:space="preserve"> </w:t>
      </w:r>
      <w:r w:rsidRPr="000A6991">
        <w:rPr>
          <w:szCs w:val="24"/>
        </w:rPr>
        <w:t>mind and</w:t>
      </w:r>
      <w:r w:rsidRPr="000A6991">
        <w:rPr>
          <w:spacing w:val="-15"/>
          <w:szCs w:val="24"/>
        </w:rPr>
        <w:t xml:space="preserve"> </w:t>
      </w:r>
      <w:r w:rsidRPr="000A6991">
        <w:rPr>
          <w:szCs w:val="24"/>
        </w:rPr>
        <w:t>there</w:t>
      </w:r>
      <w:r w:rsidRPr="000A6991">
        <w:rPr>
          <w:spacing w:val="-17"/>
          <w:szCs w:val="24"/>
        </w:rPr>
        <w:t xml:space="preserve"> </w:t>
      </w:r>
      <w:r w:rsidRPr="000A6991">
        <w:rPr>
          <w:szCs w:val="24"/>
        </w:rPr>
        <w:t>are</w:t>
      </w:r>
      <w:r w:rsidRPr="000A6991">
        <w:rPr>
          <w:spacing w:val="-16"/>
          <w:szCs w:val="24"/>
        </w:rPr>
        <w:t xml:space="preserve"> </w:t>
      </w:r>
      <w:r w:rsidRPr="000A6991">
        <w:rPr>
          <w:szCs w:val="24"/>
        </w:rPr>
        <w:t>likely</w:t>
      </w:r>
      <w:r w:rsidRPr="000A6991">
        <w:rPr>
          <w:spacing w:val="-14"/>
          <w:szCs w:val="24"/>
        </w:rPr>
        <w:t xml:space="preserve"> </w:t>
      </w:r>
      <w:r w:rsidRPr="000A6991">
        <w:rPr>
          <w:szCs w:val="24"/>
        </w:rPr>
        <w:t>to</w:t>
      </w:r>
      <w:r w:rsidRPr="000A6991">
        <w:rPr>
          <w:spacing w:val="-17"/>
          <w:szCs w:val="24"/>
        </w:rPr>
        <w:t xml:space="preserve"> </w:t>
      </w:r>
      <w:r w:rsidRPr="000A6991">
        <w:rPr>
          <w:szCs w:val="24"/>
        </w:rPr>
        <w:t>have</w:t>
      </w:r>
      <w:r w:rsidRPr="000A6991">
        <w:rPr>
          <w:spacing w:val="-14"/>
          <w:szCs w:val="24"/>
        </w:rPr>
        <w:t xml:space="preserve"> </w:t>
      </w:r>
      <w:r w:rsidRPr="000A6991">
        <w:rPr>
          <w:szCs w:val="24"/>
        </w:rPr>
        <w:t>been</w:t>
      </w:r>
      <w:r w:rsidRPr="000A6991">
        <w:rPr>
          <w:spacing w:val="-17"/>
          <w:szCs w:val="24"/>
        </w:rPr>
        <w:t xml:space="preserve"> </w:t>
      </w:r>
      <w:r w:rsidRPr="000A6991">
        <w:rPr>
          <w:szCs w:val="24"/>
        </w:rPr>
        <w:t>confidential</w:t>
      </w:r>
      <w:r w:rsidRPr="000A6991">
        <w:rPr>
          <w:spacing w:val="-14"/>
          <w:szCs w:val="24"/>
        </w:rPr>
        <w:t xml:space="preserve"> </w:t>
      </w:r>
      <w:r w:rsidRPr="000A6991">
        <w:rPr>
          <w:szCs w:val="24"/>
        </w:rPr>
        <w:t>communications</w:t>
      </w:r>
      <w:r w:rsidRPr="000A6991">
        <w:rPr>
          <w:spacing w:val="-17"/>
          <w:szCs w:val="24"/>
        </w:rPr>
        <w:t xml:space="preserve"> </w:t>
      </w:r>
      <w:r w:rsidRPr="000A6991">
        <w:rPr>
          <w:szCs w:val="24"/>
        </w:rPr>
        <w:t>which</w:t>
      </w:r>
      <w:r w:rsidRPr="000A6991">
        <w:rPr>
          <w:spacing w:val="-15"/>
          <w:szCs w:val="24"/>
        </w:rPr>
        <w:t xml:space="preserve"> </w:t>
      </w:r>
      <w:r w:rsidRPr="000A6991">
        <w:rPr>
          <w:szCs w:val="24"/>
        </w:rPr>
        <w:t>affected</w:t>
      </w:r>
      <w:r w:rsidRPr="000A6991">
        <w:rPr>
          <w:spacing w:val="-14"/>
          <w:szCs w:val="24"/>
        </w:rPr>
        <w:t xml:space="preserve"> </w:t>
      </w:r>
      <w:r w:rsidRPr="000A6991">
        <w:rPr>
          <w:szCs w:val="24"/>
        </w:rPr>
        <w:t>that</w:t>
      </w:r>
      <w:r w:rsidRPr="000A6991">
        <w:rPr>
          <w:spacing w:val="-15"/>
          <w:szCs w:val="24"/>
        </w:rPr>
        <w:t xml:space="preserve"> </w:t>
      </w:r>
      <w:r>
        <w:rPr>
          <w:szCs w:val="24"/>
        </w:rPr>
        <w:t xml:space="preserve">state of mind: </w:t>
      </w:r>
      <w:r w:rsidRPr="00114BBF">
        <w:rPr>
          <w:i/>
        </w:rPr>
        <w:t>Council of the New South Wales Bar Association v Archer</w:t>
      </w:r>
      <w:r w:rsidRPr="00114BBF">
        <w:t xml:space="preserve"> [2008] NSWCA 164; (2008) 72 NSWLR </w:t>
      </w:r>
      <w:r w:rsidRPr="00114BBF">
        <w:lastRenderedPageBreak/>
        <w:t>236</w:t>
      </w:r>
      <w:r>
        <w:t xml:space="preserve"> at [48</w:t>
      </w:r>
      <w:r w:rsidRPr="00270478">
        <w:t>].</w:t>
      </w:r>
      <w:r w:rsidR="00425EC4" w:rsidRPr="00270478">
        <w:t xml:space="preserve"> </w:t>
      </w:r>
      <w:r w:rsidR="00CE5B84" w:rsidRPr="00270478">
        <w:t xml:space="preserve">The </w:t>
      </w:r>
      <w:r w:rsidR="002533DF" w:rsidRPr="00270478">
        <w:t>question,</w:t>
      </w:r>
      <w:r w:rsidR="00CE5B84" w:rsidRPr="00270478">
        <w:t xml:space="preserve"> however, is not whether a party has put their state of mind in issue but whether or not the privilege holder made an assertion as part of their case that lays open the privileged documents to scrutiny, with the consequence that an inconsistency arises between the making of the assertion and the maintenance of privilege: </w:t>
      </w:r>
      <w:r w:rsidR="00CE5B84" w:rsidRPr="00270478">
        <w:rPr>
          <w:i/>
        </w:rPr>
        <w:t xml:space="preserve">Rio Tinto </w:t>
      </w:r>
      <w:r w:rsidR="00CE5B84" w:rsidRPr="00270478">
        <w:t>at [65]</w:t>
      </w:r>
      <w:r w:rsidR="004E51A2" w:rsidRPr="00270478">
        <w:t>.</w:t>
      </w:r>
      <w:r w:rsidR="004E51A2">
        <w:t xml:space="preserve"> </w:t>
      </w:r>
    </w:p>
    <w:p w14:paraId="65352386" w14:textId="16AA9440" w:rsidR="000A6991" w:rsidRPr="001D2872" w:rsidRDefault="00EF7BCD" w:rsidP="007557D0">
      <w:pPr>
        <w:pStyle w:val="ParaNumbering"/>
      </w:pPr>
      <w:r>
        <w:rPr>
          <w:szCs w:val="24"/>
        </w:rPr>
        <w:t>Finally, i</w:t>
      </w:r>
      <w:r w:rsidR="007557D0">
        <w:rPr>
          <w:szCs w:val="24"/>
        </w:rPr>
        <w:t>n the circumstance where a party has claimed privilege over part of a document only</w:t>
      </w:r>
      <w:r>
        <w:rPr>
          <w:szCs w:val="24"/>
        </w:rPr>
        <w:t>, where there has been partial disclosure</w:t>
      </w:r>
      <w:r w:rsidR="007557D0">
        <w:rPr>
          <w:szCs w:val="24"/>
        </w:rPr>
        <w:t xml:space="preserve">, the observations in </w:t>
      </w:r>
      <w:r w:rsidR="007557D0" w:rsidRPr="00114BBF">
        <w:rPr>
          <w:i/>
          <w:szCs w:val="24"/>
        </w:rPr>
        <w:t xml:space="preserve">AWB </w:t>
      </w:r>
      <w:r w:rsidR="0063115A" w:rsidRPr="00114BBF">
        <w:rPr>
          <w:i/>
          <w:szCs w:val="24"/>
        </w:rPr>
        <w:t xml:space="preserve">Ltd </w:t>
      </w:r>
      <w:r w:rsidR="000615A8" w:rsidRPr="00114BBF">
        <w:rPr>
          <w:i/>
          <w:szCs w:val="24"/>
        </w:rPr>
        <w:t>v Cole (No 5)</w:t>
      </w:r>
      <w:r w:rsidR="000615A8" w:rsidRPr="00114BBF">
        <w:rPr>
          <w:szCs w:val="24"/>
        </w:rPr>
        <w:t xml:space="preserve"> </w:t>
      </w:r>
      <w:r w:rsidR="00C271EB" w:rsidRPr="00114BBF">
        <w:rPr>
          <w:szCs w:val="24"/>
        </w:rPr>
        <w:t xml:space="preserve">[2006] FCA 1234; </w:t>
      </w:r>
      <w:r w:rsidR="000615A8" w:rsidRPr="00114BBF">
        <w:rPr>
          <w:szCs w:val="24"/>
        </w:rPr>
        <w:t>(2006) 155 FCR 30</w:t>
      </w:r>
      <w:r w:rsidR="007557D0">
        <w:rPr>
          <w:szCs w:val="24"/>
        </w:rPr>
        <w:t xml:space="preserve"> </w:t>
      </w:r>
      <w:r w:rsidR="0063115A">
        <w:rPr>
          <w:szCs w:val="24"/>
        </w:rPr>
        <w:t>(</w:t>
      </w:r>
      <w:r w:rsidR="0063115A">
        <w:rPr>
          <w:i/>
          <w:szCs w:val="24"/>
        </w:rPr>
        <w:t>AWB (No 5)</w:t>
      </w:r>
      <w:r w:rsidR="0063115A">
        <w:rPr>
          <w:szCs w:val="24"/>
        </w:rPr>
        <w:t>)</w:t>
      </w:r>
      <w:r w:rsidR="009A3DC0">
        <w:rPr>
          <w:szCs w:val="24"/>
        </w:rPr>
        <w:t xml:space="preserve"> </w:t>
      </w:r>
      <w:r w:rsidR="000A6991">
        <w:rPr>
          <w:szCs w:val="24"/>
        </w:rPr>
        <w:t xml:space="preserve">at [164]-[165] are relevant: </w:t>
      </w:r>
    </w:p>
    <w:p w14:paraId="638320AB" w14:textId="11A33338" w:rsidR="001D2872" w:rsidRDefault="00A2560C" w:rsidP="00820EA7">
      <w:pPr>
        <w:pStyle w:val="Quote1"/>
        <w:ind w:left="1440" w:hanging="703"/>
      </w:pPr>
      <w:r>
        <w:t>[164]</w:t>
      </w:r>
      <w:r>
        <w:tab/>
      </w:r>
      <w:r w:rsidR="001D2872">
        <w:t xml:space="preserve">Turning to the scope of any imputed waiver, it is well established that a voluntary disclosure of privileged documents can result in a waiver of privilege over those documents and associated material. The test applied to determine the scope of any waiver of associated material is whether the material that the party has chosen to release from privilege represents the whole of the material relevant to the same issue or subject matter: </w:t>
      </w:r>
      <w:r w:rsidR="001D2872" w:rsidRPr="00820EA7">
        <w:rPr>
          <w:i/>
        </w:rPr>
        <w:t>Maurice</w:t>
      </w:r>
      <w:r w:rsidR="001D2872">
        <w:t xml:space="preserve"> at 482 and 484 per Gibbs CJ, 488 per Mason and Brennan JJ, and 498-499 per Dawson J. </w:t>
      </w:r>
    </w:p>
    <w:p w14:paraId="4147519C" w14:textId="2F5EEBC3" w:rsidR="001D2872" w:rsidRDefault="00A2560C" w:rsidP="001D2872">
      <w:pPr>
        <w:pStyle w:val="Quote1"/>
      </w:pPr>
      <w:r>
        <w:t>[165]</w:t>
      </w:r>
      <w:r>
        <w:tab/>
      </w:r>
      <w:r w:rsidR="001D2872">
        <w:t xml:space="preserve">In </w:t>
      </w:r>
      <w:r w:rsidR="001D2872" w:rsidRPr="00820EA7">
        <w:rPr>
          <w:i/>
        </w:rPr>
        <w:t>Maurice</w:t>
      </w:r>
      <w:r w:rsidR="001D2872">
        <w:t>, Gibbs CJ said (at 482):</w:t>
      </w:r>
    </w:p>
    <w:p w14:paraId="66EFB174" w14:textId="00C53422" w:rsidR="001D2872" w:rsidRDefault="001D2872" w:rsidP="00820EA7">
      <w:pPr>
        <w:pStyle w:val="Quote2"/>
      </w:pPr>
      <w:r>
        <w:t xml:space="preserve">… Similarly, where a party disclosed a document which contained part only of a memorandum which dealt with a single subject-matter, and then read the document to the judge in the course of opening the case, it was held that privilege was waived as to the whole memorandum: </w:t>
      </w:r>
      <w:r w:rsidRPr="00820EA7">
        <w:rPr>
          <w:i/>
        </w:rPr>
        <w:t>Great Atlantic Insurance Co v Home Insurance Co</w:t>
      </w:r>
      <w:r>
        <w:t xml:space="preserve"> [[1981] 1 WLR 529]. In that case Templeman LJ said:</w:t>
      </w:r>
    </w:p>
    <w:p w14:paraId="28E20D94" w14:textId="14B04C8E" w:rsidR="001D2872" w:rsidRDefault="001D2872" w:rsidP="00820EA7">
      <w:pPr>
        <w:pStyle w:val="Quote3"/>
      </w:pPr>
      <w:r>
        <w:t>… the rule that privilege relating to a document which deals with one subject matter cannot be waived as to part and asserted as to the remainder is based on the possibility that any use of part of a document may be unfair or misleading, that the party who possesses the document is clearly not the person who can decide whether a partial disclosure is misleading or not, nor can the judge decide without hearing argument, nor can he hear argument unless the document is disclosed as a whole to the other side. Once disclosure has taken place by introducing part of the document into evidence or using it in court it cannot be erased.</w:t>
      </w:r>
    </w:p>
    <w:p w14:paraId="4C200ED9" w14:textId="728FA8CE" w:rsidR="001D2872" w:rsidRDefault="001D2872" w:rsidP="00820EA7">
      <w:pPr>
        <w:pStyle w:val="Quote2"/>
      </w:pPr>
      <w:r>
        <w:t xml:space="preserve">The same test must be applied in deciding whether the use in legal proceedings of one document impliedly waives privilege in associated material. In </w:t>
      </w:r>
      <w:r w:rsidRPr="00820EA7">
        <w:rPr>
          <w:i/>
        </w:rPr>
        <w:t>Nea Karteria Maritime Co Ltd v Atlantic &amp; Great Lakes Steamship Corporation [No 2]</w:t>
      </w:r>
      <w:r>
        <w:t xml:space="preserve"> Mustill J dealt with this question and suggested the following test:</w:t>
      </w:r>
    </w:p>
    <w:p w14:paraId="47D21419" w14:textId="68D59475" w:rsidR="001D2872" w:rsidRPr="00140B8A" w:rsidRDefault="001D2872" w:rsidP="00820EA7">
      <w:pPr>
        <w:pStyle w:val="Quote3"/>
      </w:pPr>
      <w:r>
        <w:t xml:space="preserve">… where a party is deploying in court material which would otherwise be privileged, the opposite party and the court must have an opportunity of satisfying themselves that what the party has chosen to release from privilege represents the whole of the material relevant to the issue in question. To allow an individual item to be plucked out of context would be to risk injustice through its real weight or meaning being misunderstood. </w:t>
      </w:r>
    </w:p>
    <w:p w14:paraId="103C56DF" w14:textId="714E5A9F" w:rsidR="00140B8A" w:rsidRPr="0075652D" w:rsidRDefault="00140B8A" w:rsidP="0075652D">
      <w:pPr>
        <w:pStyle w:val="ParaNumbering"/>
        <w:rPr>
          <w:szCs w:val="24"/>
        </w:rPr>
      </w:pPr>
      <w:r>
        <w:rPr>
          <w:szCs w:val="24"/>
        </w:rPr>
        <w:t xml:space="preserve">All that said, questions of waiver are matters of fact and degree: </w:t>
      </w:r>
      <w:r w:rsidRPr="00114BBF">
        <w:rPr>
          <w:i/>
          <w:szCs w:val="24"/>
        </w:rPr>
        <w:t xml:space="preserve">Osland </w:t>
      </w:r>
      <w:r w:rsidR="00B75597" w:rsidRPr="00114BBF">
        <w:rPr>
          <w:i/>
          <w:szCs w:val="24"/>
        </w:rPr>
        <w:t>v Secretary, Department of Justice</w:t>
      </w:r>
      <w:r w:rsidR="00B75597" w:rsidRPr="00114BBF">
        <w:rPr>
          <w:szCs w:val="24"/>
        </w:rPr>
        <w:t xml:space="preserve"> [2008] HCA 37; (2008) 234 CLR 275</w:t>
      </w:r>
      <w:r w:rsidR="00B75597">
        <w:rPr>
          <w:szCs w:val="24"/>
        </w:rPr>
        <w:t xml:space="preserve"> at [49]. </w:t>
      </w:r>
      <w:r w:rsidR="006A463F">
        <w:rPr>
          <w:szCs w:val="24"/>
          <w:shd w:val="clear" w:color="auto" w:fill="FFFFFF"/>
        </w:rPr>
        <w:t>The a</w:t>
      </w:r>
      <w:r w:rsidR="006A463F" w:rsidRPr="00EF7BCD">
        <w:rPr>
          <w:szCs w:val="24"/>
          <w:shd w:val="clear" w:color="auto" w:fill="FFFFFF"/>
        </w:rPr>
        <w:t xml:space="preserve">pplicant </w:t>
      </w:r>
      <w:r w:rsidR="006A463F">
        <w:rPr>
          <w:szCs w:val="24"/>
          <w:shd w:val="clear" w:color="auto" w:fill="FFFFFF"/>
        </w:rPr>
        <w:t>bears</w:t>
      </w:r>
      <w:r w:rsidR="006A463F" w:rsidRPr="00EF7BCD">
        <w:rPr>
          <w:szCs w:val="24"/>
          <w:shd w:val="clear" w:color="auto" w:fill="FFFFFF"/>
        </w:rPr>
        <w:t xml:space="preserve"> the </w:t>
      </w:r>
      <w:r w:rsidR="006A463F" w:rsidRPr="00EF7BCD">
        <w:rPr>
          <w:szCs w:val="24"/>
          <w:shd w:val="clear" w:color="auto" w:fill="FFFFFF"/>
        </w:rPr>
        <w:lastRenderedPageBreak/>
        <w:t>onus in establishing waiver:</w:t>
      </w:r>
      <w:r w:rsidR="006A463F" w:rsidRPr="00114BBF">
        <w:rPr>
          <w:szCs w:val="24"/>
          <w:shd w:val="clear" w:color="auto" w:fill="FFFFFF"/>
        </w:rPr>
        <w:t> </w:t>
      </w:r>
      <w:r w:rsidR="006A463F" w:rsidRPr="00114BBF">
        <w:rPr>
          <w:i/>
          <w:iCs/>
          <w:szCs w:val="24"/>
          <w:shd w:val="clear" w:color="auto" w:fill="FFFFFF"/>
        </w:rPr>
        <w:t>New South Wales v Betfair Pty Ltd </w:t>
      </w:r>
      <w:r w:rsidR="006A463F" w:rsidRPr="00114BBF">
        <w:rPr>
          <w:szCs w:val="24"/>
          <w:shd w:val="clear" w:color="auto" w:fill="FFFFFF"/>
        </w:rPr>
        <w:t>[2009] FCAFC 160;</w:t>
      </w:r>
      <w:r w:rsidR="006A463F" w:rsidRPr="00114BBF">
        <w:rPr>
          <w:i/>
          <w:iCs/>
          <w:szCs w:val="24"/>
          <w:shd w:val="clear" w:color="auto" w:fill="FFFFFF"/>
        </w:rPr>
        <w:t> </w:t>
      </w:r>
      <w:r w:rsidR="006A463F" w:rsidRPr="00114BBF">
        <w:rPr>
          <w:szCs w:val="24"/>
          <w:shd w:val="clear" w:color="auto" w:fill="FFFFFF"/>
        </w:rPr>
        <w:t>(2009) 180 FCR 543</w:t>
      </w:r>
      <w:r w:rsidR="006A463F">
        <w:rPr>
          <w:szCs w:val="24"/>
          <w:shd w:val="clear" w:color="auto" w:fill="FFFFFF"/>
        </w:rPr>
        <w:t xml:space="preserve"> at </w:t>
      </w:r>
      <w:r w:rsidR="006A463F" w:rsidRPr="00EF7BCD">
        <w:rPr>
          <w:szCs w:val="24"/>
          <w:shd w:val="clear" w:color="auto" w:fill="FFFFFF"/>
        </w:rPr>
        <w:t>[54]</w:t>
      </w:r>
      <w:r w:rsidR="006A463F">
        <w:rPr>
          <w:szCs w:val="24"/>
        </w:rPr>
        <w:t>.</w:t>
      </w:r>
    </w:p>
    <w:p w14:paraId="076C9686" w14:textId="34483A8D" w:rsidR="00425EC4" w:rsidRPr="00425EC4" w:rsidRDefault="00425EC4" w:rsidP="00820EA7">
      <w:pPr>
        <w:pStyle w:val="Heading2"/>
      </w:pPr>
      <w:r w:rsidRPr="00425EC4">
        <w:t>Submissio</w:t>
      </w:r>
      <w:r>
        <w:t>ns</w:t>
      </w:r>
    </w:p>
    <w:p w14:paraId="25362A31" w14:textId="77777777" w:rsidR="00425EC4" w:rsidRPr="00425EC4" w:rsidRDefault="00425EC4" w:rsidP="00820EA7">
      <w:pPr>
        <w:pStyle w:val="Heading3"/>
      </w:pPr>
      <w:r w:rsidRPr="00425EC4">
        <w:t>Applicant’s submission</w:t>
      </w:r>
    </w:p>
    <w:p w14:paraId="1FF9BA8E" w14:textId="318296A3" w:rsidR="00E671D4" w:rsidRDefault="00425EC4" w:rsidP="00E671D4">
      <w:pPr>
        <w:pStyle w:val="ParaNumbering"/>
      </w:pPr>
      <w:r>
        <w:t xml:space="preserve">The applicant summarised the context in which this application arises, </w:t>
      </w:r>
      <w:r w:rsidR="00E626B1">
        <w:t>which relevantly includes that the respondent</w:t>
      </w:r>
      <w:r w:rsidR="00FC1D47">
        <w:t>s</w:t>
      </w:r>
      <w:r w:rsidR="00F942A7">
        <w:t>, on 28 October 2021,</w:t>
      </w:r>
      <w:r w:rsidR="00FC1D47">
        <w:t xml:space="preserve"> made</w:t>
      </w:r>
      <w:r w:rsidR="00E626B1">
        <w:t xml:space="preserve"> a second application for leave to issue a subpoena to Person 56</w:t>
      </w:r>
      <w:r w:rsidR="00FC1D47">
        <w:t>.</w:t>
      </w:r>
      <w:r w:rsidR="00E626B1">
        <w:t xml:space="preserve"> </w:t>
      </w:r>
      <w:r w:rsidR="00FC1D47">
        <w:t>T</w:t>
      </w:r>
      <w:r w:rsidR="00E626B1">
        <w:t xml:space="preserve">he first application </w:t>
      </w:r>
      <w:r w:rsidR="00FC1D47">
        <w:t>occurred</w:t>
      </w:r>
      <w:r w:rsidR="00E626B1">
        <w:t xml:space="preserve"> before the hearing commence</w:t>
      </w:r>
      <w:r w:rsidR="00FC1D47">
        <w:t>d and was</w:t>
      </w:r>
      <w:r w:rsidR="00E626B1">
        <w:t xml:space="preserve"> refused in </w:t>
      </w:r>
      <w:r w:rsidR="00E626B1" w:rsidRPr="00114BBF">
        <w:rPr>
          <w:i/>
        </w:rPr>
        <w:t>Robert</w:t>
      </w:r>
      <w:r w:rsidR="00FC1D47" w:rsidRPr="00114BBF">
        <w:rPr>
          <w:i/>
        </w:rPr>
        <w:t>s-</w:t>
      </w:r>
      <w:r w:rsidR="00E626B1" w:rsidRPr="00114BBF">
        <w:rPr>
          <w:i/>
        </w:rPr>
        <w:t xml:space="preserve">Smith v Fairfax Media Publications </w:t>
      </w:r>
      <w:r w:rsidR="00FC1D47" w:rsidRPr="00114BBF">
        <w:rPr>
          <w:i/>
        </w:rPr>
        <w:t xml:space="preserve">Pty Limited </w:t>
      </w:r>
      <w:r w:rsidR="00E626B1" w:rsidRPr="00114BBF">
        <w:rPr>
          <w:i/>
        </w:rPr>
        <w:t xml:space="preserve">(No 12) </w:t>
      </w:r>
      <w:r w:rsidR="00E626B1" w:rsidRPr="00114BBF">
        <w:t>[2021] FCA 465</w:t>
      </w:r>
      <w:r w:rsidR="00F942A7">
        <w:t xml:space="preserve"> (</w:t>
      </w:r>
      <w:r w:rsidR="00F942A7">
        <w:rPr>
          <w:i/>
        </w:rPr>
        <w:t>Roberts-S</w:t>
      </w:r>
      <w:r w:rsidR="00F942A7" w:rsidRPr="00E626B1">
        <w:rPr>
          <w:i/>
        </w:rPr>
        <w:t>mith (No 12)</w:t>
      </w:r>
      <w:r w:rsidR="00F942A7">
        <w:t>)</w:t>
      </w:r>
      <w:r w:rsidR="00E626B1">
        <w:t>. The princip</w:t>
      </w:r>
      <w:r w:rsidR="00FC1D47">
        <w:t>al</w:t>
      </w:r>
      <w:r w:rsidR="00E626B1">
        <w:t xml:space="preserve"> reason for the refusal was that the respondents were unable to provide any indication of the evidence that Person 56 would</w:t>
      </w:r>
      <w:r w:rsidR="00E626B1">
        <w:rPr>
          <w:spacing w:val="-3"/>
        </w:rPr>
        <w:t xml:space="preserve"> </w:t>
      </w:r>
      <w:r w:rsidR="00E626B1">
        <w:t xml:space="preserve">give: </w:t>
      </w:r>
      <w:r w:rsidR="00E626B1">
        <w:rPr>
          <w:i/>
        </w:rPr>
        <w:t>Roberts-S</w:t>
      </w:r>
      <w:r w:rsidR="00E626B1" w:rsidRPr="00E626B1">
        <w:rPr>
          <w:i/>
        </w:rPr>
        <w:t>mith (No 12)</w:t>
      </w:r>
      <w:r w:rsidR="00E626B1">
        <w:t xml:space="preserve"> at [53]-[54]. </w:t>
      </w:r>
      <w:r w:rsidR="00E671D4">
        <w:t>The applicant submitted that at that time the evidence from the respondent</w:t>
      </w:r>
      <w:r w:rsidR="00F942A7">
        <w:t>s</w:t>
      </w:r>
      <w:r w:rsidR="00E671D4">
        <w:t xml:space="preserve"> was that there had been repeated attempts to contact Person 56 but he had refused to speak to them. </w:t>
      </w:r>
      <w:r w:rsidR="00E626B1">
        <w:t>The applicant submitted that the evidence is that Person 56 was a member of the applicant’s patrol in 2012, and in the second further amended defence, the respondents allege he was involved in the cover-up of the unlawful killing of Ali Jan by falsely alleging that Ali Jan</w:t>
      </w:r>
      <w:r w:rsidR="00E626B1" w:rsidRPr="00E626B1">
        <w:rPr>
          <w:spacing w:val="-16"/>
        </w:rPr>
        <w:t xml:space="preserve"> </w:t>
      </w:r>
      <w:r w:rsidR="00E626B1">
        <w:t xml:space="preserve">was a spotter. He is also potentially caught by the allegation in the second further amended defence, that the applicant or a member of his patrol unlawfully killed an Afghan adolescent and covered up the killing by using a throwdown at </w:t>
      </w:r>
      <w:r w:rsidR="00186B4F">
        <w:t xml:space="preserve">Fasil </w:t>
      </w:r>
      <w:r w:rsidR="00E626B1">
        <w:t>on 5 November</w:t>
      </w:r>
      <w:r w:rsidR="00E626B1" w:rsidRPr="00E626B1">
        <w:rPr>
          <w:spacing w:val="-4"/>
        </w:rPr>
        <w:t xml:space="preserve"> </w:t>
      </w:r>
      <w:r w:rsidR="00E626B1">
        <w:t>2012.</w:t>
      </w:r>
      <w:r w:rsidR="00E671D4">
        <w:t xml:space="preserve"> In t</w:t>
      </w:r>
      <w:r w:rsidR="00E671D4" w:rsidRPr="00E61754">
        <w:t>hat context</w:t>
      </w:r>
      <w:r w:rsidR="00003758" w:rsidRPr="00E61754">
        <w:t>,</w:t>
      </w:r>
      <w:r w:rsidR="00E671D4">
        <w:t xml:space="preserve"> it was submitted that </w:t>
      </w:r>
      <w:r w:rsidR="008C4E3F">
        <w:t xml:space="preserve">the respondents </w:t>
      </w:r>
      <w:r w:rsidR="00E671D4">
        <w:t xml:space="preserve">appear to have </w:t>
      </w:r>
      <w:r w:rsidR="00F33711">
        <w:t xml:space="preserve">reached </w:t>
      </w:r>
      <w:r w:rsidR="008C4E3F">
        <w:t>a deal with Person 56</w:t>
      </w:r>
      <w:r w:rsidR="00E671D4">
        <w:t xml:space="preserve"> </w:t>
      </w:r>
      <w:r w:rsidR="00F33711">
        <w:t>to the effect that if Person 56 gives evidence in relation to Darwan, he will not be asked any questions that might incriminate him in other matters</w:t>
      </w:r>
      <w:r w:rsidR="00E671D4">
        <w:t>.</w:t>
      </w:r>
      <w:r w:rsidR="00531AED">
        <w:t xml:space="preserve"> It is submitted that the deal is the real reason this witness is sought to be called now and not because something new had been learnt from the evidence.</w:t>
      </w:r>
      <w:r w:rsidR="00BD58F3">
        <w:t xml:space="preserve"> </w:t>
      </w:r>
      <w:r w:rsidR="00BD58F3" w:rsidRPr="00820EA7">
        <w:t xml:space="preserve">That is, it was determined that the respondents would seek to ascertain if </w:t>
      </w:r>
      <w:r w:rsidR="00F33711" w:rsidRPr="00820EA7">
        <w:t>P</w:t>
      </w:r>
      <w:r w:rsidR="00BD58F3" w:rsidRPr="00820EA7">
        <w:t xml:space="preserve">erson 56 would </w:t>
      </w:r>
      <w:r w:rsidR="00F33711" w:rsidRPr="00820EA7">
        <w:t>give evidence</w:t>
      </w:r>
      <w:r w:rsidR="00BD58F3" w:rsidRPr="00820EA7">
        <w:t xml:space="preserve"> about the Darwan mission </w:t>
      </w:r>
      <w:r w:rsidR="00F33711" w:rsidRPr="00820EA7">
        <w:t xml:space="preserve">only </w:t>
      </w:r>
      <w:r w:rsidR="00BD58F3" w:rsidRPr="00820EA7">
        <w:t>and no</w:t>
      </w:r>
      <w:r w:rsidR="0005785C">
        <w:t>t any</w:t>
      </w:r>
      <w:r w:rsidR="00BD58F3" w:rsidRPr="00820EA7">
        <w:t xml:space="preserve"> other </w:t>
      </w:r>
      <w:r w:rsidR="00F33711" w:rsidRPr="00820EA7">
        <w:t xml:space="preserve">issue </w:t>
      </w:r>
      <w:r w:rsidR="00BD58F3" w:rsidRPr="00820EA7">
        <w:t>in dispute between the parties.</w:t>
      </w:r>
      <w:r w:rsidR="00BD58F3" w:rsidRPr="00271FB0">
        <w:t xml:space="preserve"> This is in a cont</w:t>
      </w:r>
      <w:r w:rsidR="00BD58F3">
        <w:t>ext where the applicant’s evidence</w:t>
      </w:r>
      <w:r w:rsidR="0023120C">
        <w:t xml:space="preserve"> in relation to Darwan</w:t>
      </w:r>
      <w:r w:rsidR="00BD58F3">
        <w:t xml:space="preserve"> was known to the respondents before the hearing began and has not changed. </w:t>
      </w:r>
    </w:p>
    <w:p w14:paraId="3EA5A0D9" w14:textId="25EAEAAF" w:rsidR="00E671D4" w:rsidRDefault="00E626B1" w:rsidP="00E671D4">
      <w:pPr>
        <w:pStyle w:val="ParaNumbering"/>
      </w:pPr>
      <w:r>
        <w:t>The</w:t>
      </w:r>
      <w:r w:rsidR="00E671D4" w:rsidRPr="00E671D4">
        <w:t xml:space="preserve"> </w:t>
      </w:r>
      <w:r w:rsidR="00E671D4">
        <w:t xml:space="preserve">applicant also highlighted the timing of this application, which </w:t>
      </w:r>
      <w:r w:rsidR="00487442">
        <w:t xml:space="preserve">was made </w:t>
      </w:r>
      <w:r w:rsidR="00E671D4">
        <w:t xml:space="preserve">after the applicant completed evidence in June 2021, and after the Afghan witnesses gave evidence in </w:t>
      </w:r>
      <w:r w:rsidR="00472F04">
        <w:t>in July 2021</w:t>
      </w:r>
      <w:r w:rsidR="00E671D4">
        <w:t xml:space="preserve">.  </w:t>
      </w:r>
    </w:p>
    <w:p w14:paraId="580934BF" w14:textId="1D00B624" w:rsidR="001720EA" w:rsidRPr="002C555E" w:rsidRDefault="00E671D4" w:rsidP="001720EA">
      <w:pPr>
        <w:pStyle w:val="ParaNumbering"/>
      </w:pPr>
      <w:r>
        <w:t>It was submitted that the respondents on the application for leave to issue the subpoena will be req</w:t>
      </w:r>
      <w:r w:rsidRPr="002C555E">
        <w:t>uired to explain the timing of the application and the circumstances in which it is mad</w:t>
      </w:r>
      <w:r w:rsidR="004E51A2" w:rsidRPr="002C555E">
        <w:t xml:space="preserve">e. To </w:t>
      </w:r>
      <w:r w:rsidR="004E51A2" w:rsidRPr="0010778E">
        <w:t xml:space="preserve">that end, </w:t>
      </w:r>
      <w:r w:rsidRPr="0010778E">
        <w:t xml:space="preserve">the </w:t>
      </w:r>
      <w:r w:rsidR="005A5EC8" w:rsidRPr="0010778E">
        <w:t>October</w:t>
      </w:r>
      <w:r w:rsidR="005A5EC8" w:rsidRPr="002C555E">
        <w:t xml:space="preserve"> B</w:t>
      </w:r>
      <w:r w:rsidR="005A5EC8">
        <w:t>artlett Affidavit</w:t>
      </w:r>
      <w:r>
        <w:t xml:space="preserve">, is said to be relevant. The applicant places particular </w:t>
      </w:r>
      <w:r>
        <w:lastRenderedPageBreak/>
        <w:t>reliance on [8]-[10] recited above</w:t>
      </w:r>
      <w:r w:rsidR="000E2A35">
        <w:t xml:space="preserve"> which, the applicant submits, involves an assertion about the respondents’ state of mind to approach Person 56 and to secure his agreement to give evidence on a limited basis in respect to Darwan</w:t>
      </w:r>
      <w:r>
        <w:t xml:space="preserve">. </w:t>
      </w:r>
      <w:r w:rsidR="000B6074">
        <w:t xml:space="preserve">It was submitted that the </w:t>
      </w:r>
      <w:r w:rsidR="000B6074" w:rsidRPr="00820EA7">
        <w:t>relevant inconsistency giving rise to waiver has occurred by the respondents’ disclosure of, and reliance upon, their reasoning process in Mr Bartlett’s affidavit as an explanation as to why their application is being made at this stage of the proceedings.</w:t>
      </w:r>
      <w:r w:rsidR="000B6074" w:rsidRPr="00100CCB">
        <w:t xml:space="preserve"> </w:t>
      </w:r>
      <w:r w:rsidR="004E51A2">
        <w:t>T</w:t>
      </w:r>
      <w:r w:rsidRPr="00100CCB">
        <w:t>he respondents have</w:t>
      </w:r>
      <w:r w:rsidR="000B6074" w:rsidRPr="00177B5D">
        <w:t>, therefore,</w:t>
      </w:r>
      <w:r w:rsidRPr="00177B5D">
        <w:t xml:space="preserve"> waived privilege over </w:t>
      </w:r>
      <w:r w:rsidR="000B6074" w:rsidRPr="00FE77A7">
        <w:t xml:space="preserve">any confidential </w:t>
      </w:r>
      <w:r w:rsidRPr="00CC46A6">
        <w:t>communications with their lawyer</w:t>
      </w:r>
      <w:r w:rsidR="000B6074" w:rsidRPr="003A67B3">
        <w:t xml:space="preserve">s which are </w:t>
      </w:r>
      <w:r w:rsidR="001720EA" w:rsidRPr="00820EA7">
        <w:t xml:space="preserve">likely to have affected the respondents’ state of mind or which are material to the formation of that state of mind, including communications </w:t>
      </w:r>
      <w:r w:rsidR="001720EA">
        <w:t xml:space="preserve">that informed the respondents’ disclosed reasoning process </w:t>
      </w:r>
      <w:r w:rsidR="001720EA" w:rsidRPr="002C555E">
        <w:t xml:space="preserve">concerning the decision to approach Person </w:t>
      </w:r>
      <w:r w:rsidR="001720EA" w:rsidRPr="00915010">
        <w:t xml:space="preserve">56 </w:t>
      </w:r>
      <w:r w:rsidR="0017649F" w:rsidRPr="00915010">
        <w:t>at this time</w:t>
      </w:r>
      <w:r w:rsidR="001720EA" w:rsidRPr="00915010">
        <w:t>.</w:t>
      </w:r>
      <w:r w:rsidR="00A373B6" w:rsidRPr="002C555E">
        <w:t xml:space="preserve"> This submission is directed to </w:t>
      </w:r>
      <w:r w:rsidR="004E51A2" w:rsidRPr="00F53AC2">
        <w:t xml:space="preserve">Documents 1 and 2 of the </w:t>
      </w:r>
      <w:r w:rsidR="002C555E" w:rsidRPr="00E3689C">
        <w:t>First Objection S</w:t>
      </w:r>
      <w:r w:rsidR="004E51A2" w:rsidRPr="002C555E">
        <w:t xml:space="preserve">chedule. </w:t>
      </w:r>
    </w:p>
    <w:p w14:paraId="65A3DE03" w14:textId="3FE662A4" w:rsidR="001720EA" w:rsidRPr="0010778E" w:rsidRDefault="00531AED" w:rsidP="00815674">
      <w:pPr>
        <w:pStyle w:val="ParaNumbering"/>
      </w:pPr>
      <w:r w:rsidRPr="0010778E">
        <w:t xml:space="preserve">The applicant </w:t>
      </w:r>
      <w:r w:rsidR="004E51A2" w:rsidRPr="0010778E">
        <w:t>submitted that privilege also has been waive</w:t>
      </w:r>
      <w:r w:rsidR="004E51A2" w:rsidRPr="00E61754">
        <w:t xml:space="preserve">d by the respondents, producing two emails as a result of the October Bartlett Affidavit, and the </w:t>
      </w:r>
      <w:r w:rsidR="00003758" w:rsidRPr="00E61754">
        <w:t xml:space="preserve">voluntary production of the </w:t>
      </w:r>
      <w:r w:rsidR="004E51A2" w:rsidRPr="00E61754">
        <w:t>e</w:t>
      </w:r>
      <w:r w:rsidR="004E51A2" w:rsidRPr="0010778E">
        <w:t xml:space="preserve">mail chain which contains the partially redacted email of 1 September 2021. </w:t>
      </w:r>
    </w:p>
    <w:p w14:paraId="7857A20C" w14:textId="77777777" w:rsidR="00700836" w:rsidRPr="002C555E" w:rsidRDefault="00700836" w:rsidP="00700836">
      <w:pPr>
        <w:pStyle w:val="ParaNumbering"/>
      </w:pPr>
      <w:r w:rsidRPr="002C555E">
        <w:t>In respect to the redacted email of 1 September 2021, the applicant submitted that Mr Bartlett deposes that the redacted portion is not necessary to properly understand the balance of the email that ha</w:t>
      </w:r>
      <w:r w:rsidRPr="00D52229">
        <w:t>s been disclosed, but he has not suggested it relates to a different subject matter, which might provide a justifiable basis for severance.</w:t>
      </w:r>
      <w:r w:rsidRPr="00F53AC2">
        <w:rPr>
          <w:position w:val="9"/>
          <w:sz w:val="16"/>
        </w:rPr>
        <w:t xml:space="preserve"> </w:t>
      </w:r>
      <w:r w:rsidRPr="00F53AC2">
        <w:t>To deny the applicant access t</w:t>
      </w:r>
      <w:r w:rsidRPr="00E3689C">
        <w:t>o this material would deprive him (and the Court) of the opportunity to be satisfied that the whole of the material relating to the scope of the arrangement or understanding has been disclosed, not just a portion of</w:t>
      </w:r>
      <w:r w:rsidRPr="002C555E">
        <w:rPr>
          <w:spacing w:val="-2"/>
        </w:rPr>
        <w:t xml:space="preserve"> </w:t>
      </w:r>
      <w:r w:rsidRPr="002C555E">
        <w:t>it.</w:t>
      </w:r>
    </w:p>
    <w:p w14:paraId="6F502666" w14:textId="07F2A27A" w:rsidR="001720EA" w:rsidRDefault="001720EA" w:rsidP="001720EA">
      <w:pPr>
        <w:pStyle w:val="ParaNumbering"/>
      </w:pPr>
      <w:r>
        <w:t xml:space="preserve">The applicant submitted that the waiver by the respondents entitles them </w:t>
      </w:r>
      <w:r w:rsidR="00FE77A7">
        <w:t xml:space="preserve">to </w:t>
      </w:r>
      <w:r>
        <w:t>any other documents described by the respondents in their objection schedules to the extent that those documents record such communications between the respondents and Person 56 in relation to the arrangement or understanding relating to Person 56’s attendance at the hearing to give evidence or otherwise concern or touch upon the arrangement or</w:t>
      </w:r>
      <w:r w:rsidRPr="00815674">
        <w:rPr>
          <w:spacing w:val="-1"/>
        </w:rPr>
        <w:t xml:space="preserve"> </w:t>
      </w:r>
      <w:r>
        <w:t>understanding (with the latter phrase being emphasised). It was submitted that the respondents’ election to waive privilege in respect of the existence of an arrangement or understanding means that it would be inconsistent and unfair to the applicant for the respondents to assert privilege in relation to other documents referring to or touchi</w:t>
      </w:r>
      <w:r w:rsidR="00700836">
        <w:t>ng upon the same subject matter</w:t>
      </w:r>
      <w:r w:rsidR="00FE77A7">
        <w:t xml:space="preserve">, citing </w:t>
      </w:r>
      <w:r w:rsidR="00FE77A7">
        <w:rPr>
          <w:i/>
        </w:rPr>
        <w:t>Goldberg v N</w:t>
      </w:r>
      <w:r w:rsidR="009D63CB">
        <w:rPr>
          <w:i/>
        </w:rPr>
        <w:t>g</w:t>
      </w:r>
      <w:r w:rsidR="00FE77A7">
        <w:rPr>
          <w:i/>
        </w:rPr>
        <w:t xml:space="preserve"> </w:t>
      </w:r>
      <w:r w:rsidR="00FE77A7">
        <w:t>[1995] HCA 39; (1995) 185 CLR 83 at 96</w:t>
      </w:r>
      <w:r w:rsidR="00A4295D">
        <w:t>.</w:t>
      </w:r>
    </w:p>
    <w:p w14:paraId="36340C85" w14:textId="68D30296" w:rsidR="00A373B6" w:rsidRDefault="001720EA" w:rsidP="00A373B6">
      <w:pPr>
        <w:pStyle w:val="ParaNumbering"/>
      </w:pPr>
      <w:r>
        <w:lastRenderedPageBreak/>
        <w:t xml:space="preserve">As to the redacted email of 5 August 2021, which was produced by Person 56 in answer to a subpoena, </w:t>
      </w:r>
      <w:r w:rsidR="003A67B3">
        <w:t xml:space="preserve">the applicant’s submission </w:t>
      </w:r>
      <w:r w:rsidR="00A373B6">
        <w:t>is that waiver occurred when Mr Richter sent the email to Mr R</w:t>
      </w:r>
      <w:r w:rsidR="003A67B3">
        <w:t>e</w:t>
      </w:r>
      <w:r w:rsidR="00A373B6">
        <w:t>il</w:t>
      </w:r>
      <w:r w:rsidR="003A67B3">
        <w:t>l</w:t>
      </w:r>
      <w:r w:rsidR="00A373B6">
        <w:t xml:space="preserve">y, and there was </w:t>
      </w:r>
      <w:r w:rsidR="003A67B3">
        <w:t xml:space="preserve">an </w:t>
      </w:r>
      <w:r w:rsidR="00A373B6">
        <w:t xml:space="preserve">express waiver in providing all but the redacted portion to the applicant. </w:t>
      </w:r>
    </w:p>
    <w:p w14:paraId="0F4B8997" w14:textId="021730A7" w:rsidR="008B70DF" w:rsidRDefault="00A373B6" w:rsidP="00820EA7">
      <w:pPr>
        <w:pStyle w:val="Heading3"/>
      </w:pPr>
      <w:r w:rsidRPr="00A373B6">
        <w:t>Respondents</w:t>
      </w:r>
      <w:r w:rsidR="008F41BA">
        <w:t>’</w:t>
      </w:r>
      <w:r w:rsidRPr="00A373B6">
        <w:t xml:space="preserve"> submission</w:t>
      </w:r>
    </w:p>
    <w:p w14:paraId="4D7388C9" w14:textId="0E1064D6" w:rsidR="00A373B6" w:rsidRPr="00700836" w:rsidRDefault="00A373B6" w:rsidP="008B70DF">
      <w:pPr>
        <w:pStyle w:val="ParaNumbering"/>
        <w:rPr>
          <w:b/>
          <w:i/>
        </w:rPr>
      </w:pPr>
      <w:r>
        <w:t xml:space="preserve">The respondents do not accept that there has been </w:t>
      </w:r>
      <w:r w:rsidR="00745573">
        <w:t xml:space="preserve">a </w:t>
      </w:r>
      <w:r>
        <w:t xml:space="preserve">waiver to the extent claimed by the applicant. </w:t>
      </w:r>
      <w:r w:rsidR="009B1A24">
        <w:t xml:space="preserve">They </w:t>
      </w:r>
      <w:r>
        <w:t>submitted that in a</w:t>
      </w:r>
      <w:r w:rsidRPr="00E61754">
        <w:t>ny event</w:t>
      </w:r>
      <w:r w:rsidR="00003758" w:rsidRPr="00E61754">
        <w:t>,</w:t>
      </w:r>
      <w:r w:rsidRPr="00E61754">
        <w:t xml:space="preserve"> the</w:t>
      </w:r>
      <w:r>
        <w:t xml:space="preserve"> only document described in the objection schedules which </w:t>
      </w:r>
      <w:r w:rsidR="00793FF1">
        <w:t>concerns, or otherwise touches upon, the arrangement or understanding in relation to Person 56’s attendance at the hearing to give evidence,</w:t>
      </w:r>
      <w:r w:rsidRPr="008B70DF">
        <w:rPr>
          <w:spacing w:val="-3"/>
        </w:rPr>
        <w:t xml:space="preserve"> is the email of 1 September 2021 </w:t>
      </w:r>
      <w:r>
        <w:t>in</w:t>
      </w:r>
      <w:r w:rsidRPr="008B70DF">
        <w:rPr>
          <w:spacing w:val="-6"/>
        </w:rPr>
        <w:t xml:space="preserve"> </w:t>
      </w:r>
      <w:r>
        <w:t>the</w:t>
      </w:r>
      <w:r w:rsidRPr="008B70DF">
        <w:rPr>
          <w:spacing w:val="-4"/>
        </w:rPr>
        <w:t xml:space="preserve"> </w:t>
      </w:r>
      <w:r>
        <w:t>First</w:t>
      </w:r>
      <w:r w:rsidRPr="008B70DF">
        <w:rPr>
          <w:spacing w:val="-5"/>
        </w:rPr>
        <w:t xml:space="preserve"> </w:t>
      </w:r>
      <w:r>
        <w:t>Objection</w:t>
      </w:r>
      <w:r w:rsidRPr="008B70DF">
        <w:rPr>
          <w:spacing w:val="-4"/>
        </w:rPr>
        <w:t xml:space="preserve"> </w:t>
      </w:r>
      <w:r>
        <w:t>Schedul</w:t>
      </w:r>
      <w:r w:rsidRPr="00463376">
        <w:t>e</w:t>
      </w:r>
      <w:r w:rsidRPr="00463376">
        <w:rPr>
          <w:spacing w:val="-3"/>
        </w:rPr>
        <w:t xml:space="preserve"> </w:t>
      </w:r>
      <w:r w:rsidRPr="00463376">
        <w:t>(and</w:t>
      </w:r>
      <w:r w:rsidRPr="00463376">
        <w:rPr>
          <w:spacing w:val="-4"/>
        </w:rPr>
        <w:t xml:space="preserve"> </w:t>
      </w:r>
      <w:r w:rsidRPr="00463376">
        <w:t>documents</w:t>
      </w:r>
      <w:r w:rsidRPr="00463376">
        <w:rPr>
          <w:spacing w:val="-4"/>
        </w:rPr>
        <w:t xml:space="preserve"> </w:t>
      </w:r>
      <w:r w:rsidRPr="00463376">
        <w:t>5</w:t>
      </w:r>
      <w:r w:rsidRPr="00463376">
        <w:rPr>
          <w:spacing w:val="-4"/>
        </w:rPr>
        <w:t xml:space="preserve"> </w:t>
      </w:r>
      <w:r w:rsidRPr="00463376">
        <w:t>and</w:t>
      </w:r>
      <w:r w:rsidRPr="00463376">
        <w:rPr>
          <w:spacing w:val="-6"/>
        </w:rPr>
        <w:t xml:space="preserve"> </w:t>
      </w:r>
      <w:r w:rsidRPr="00463376">
        <w:t xml:space="preserve">9 in the Third Objection Schedule which record the same communication), which has already been produced to the extent it falls within the </w:t>
      </w:r>
      <w:r w:rsidRPr="00700836">
        <w:t xml:space="preserve">description. It was </w:t>
      </w:r>
      <w:r w:rsidR="00463376" w:rsidRPr="00700836">
        <w:t xml:space="preserve">initially </w:t>
      </w:r>
      <w:r w:rsidRPr="00700836">
        <w:t>submitted that the balance of the documents described in each of the objection schedules do not record communications between the respondents and Person 56 concerning the arrangement or understanding, nor do they “otherwise concern or touch upon the arrangement or</w:t>
      </w:r>
      <w:r w:rsidRPr="00700836">
        <w:rPr>
          <w:spacing w:val="-3"/>
        </w:rPr>
        <w:t xml:space="preserve"> </w:t>
      </w:r>
      <w:r w:rsidRPr="00700836">
        <w:t>understanding”.</w:t>
      </w:r>
      <w:r w:rsidR="008B70DF" w:rsidRPr="00700836">
        <w:t xml:space="preserve"> However</w:t>
      </w:r>
      <w:r w:rsidR="00AC5D0D" w:rsidRPr="00700836">
        <w:t>,</w:t>
      </w:r>
      <w:r w:rsidR="008B70DF" w:rsidRPr="00700836">
        <w:t xml:space="preserve"> in oral submissions the respondents accepted that if </w:t>
      </w:r>
      <w:r w:rsidR="00463376" w:rsidRPr="00700836">
        <w:t xml:space="preserve">a broader view is taken, such that documents which simply </w:t>
      </w:r>
      <w:r w:rsidR="008B70DF" w:rsidRPr="00700836">
        <w:t>mention or describe</w:t>
      </w:r>
      <w:r w:rsidR="00463376" w:rsidRPr="00700836">
        <w:t xml:space="preserve"> these matters </w:t>
      </w:r>
      <w:r w:rsidR="008F21FB">
        <w:t xml:space="preserve">may </w:t>
      </w:r>
      <w:r w:rsidR="00463376" w:rsidRPr="00700836">
        <w:t>fall within scope</w:t>
      </w:r>
      <w:r w:rsidR="008B70DF" w:rsidRPr="00700836">
        <w:t xml:space="preserve">, </w:t>
      </w:r>
      <w:r w:rsidR="00463376" w:rsidRPr="00700836">
        <w:t>then</w:t>
      </w:r>
      <w:r w:rsidR="008B70DF" w:rsidRPr="00700836">
        <w:t xml:space="preserve"> Documents 1 and 2 </w:t>
      </w:r>
      <w:r w:rsidR="00463376" w:rsidRPr="00700836">
        <w:t xml:space="preserve">would </w:t>
      </w:r>
      <w:r w:rsidR="008F21FB">
        <w:t xml:space="preserve">also </w:t>
      </w:r>
      <w:r w:rsidR="00463376" w:rsidRPr="00700836">
        <w:t>be relevant</w:t>
      </w:r>
      <w:r w:rsidR="0075652D">
        <w:t>.</w:t>
      </w:r>
      <w:r w:rsidR="008F21FB">
        <w:t xml:space="preserve"> </w:t>
      </w:r>
      <w:r w:rsidR="008B70DF" w:rsidRPr="00700836">
        <w:t>It was submitted that it depends on the meaning of “touch</w:t>
      </w:r>
      <w:r w:rsidR="008B70DF" w:rsidRPr="00700836">
        <w:rPr>
          <w:spacing w:val="-6"/>
        </w:rPr>
        <w:t xml:space="preserve"> </w:t>
      </w:r>
      <w:r w:rsidR="008B70DF" w:rsidRPr="00700836">
        <w:t>and concern”.</w:t>
      </w:r>
    </w:p>
    <w:p w14:paraId="265CBA0C" w14:textId="6D9EADF7" w:rsidR="00A373B6" w:rsidRDefault="00A373B6" w:rsidP="00A373B6">
      <w:pPr>
        <w:pStyle w:val="ParaNumbering"/>
      </w:pPr>
      <w:r>
        <w:t xml:space="preserve">As </w:t>
      </w:r>
      <w:r w:rsidR="00010F50">
        <w:t>to Documents 1</w:t>
      </w:r>
      <w:r w:rsidR="00DB0272">
        <w:t xml:space="preserve"> and </w:t>
      </w:r>
      <w:r w:rsidR="00D81EEA">
        <w:t>2</w:t>
      </w:r>
      <w:r>
        <w:t xml:space="preserve">, </w:t>
      </w:r>
      <w:r w:rsidR="008C4E3F">
        <w:t xml:space="preserve">it was submitted that no inconsistency arises between </w:t>
      </w:r>
      <w:r w:rsidR="00D52229">
        <w:t>the October Bartlett Affidavit which notes</w:t>
      </w:r>
      <w:r w:rsidR="00490E13">
        <w:t xml:space="preserve"> </w:t>
      </w:r>
      <w:r>
        <w:t>that</w:t>
      </w:r>
      <w:r w:rsidRPr="00A373B6">
        <w:rPr>
          <w:spacing w:val="16"/>
        </w:rPr>
        <w:t xml:space="preserve"> </w:t>
      </w:r>
      <w:r>
        <w:t>a decision was made to make a further attempt to speak to Person 56, and the maintenance of confidentiality in communications between the respondents an</w:t>
      </w:r>
      <w:r w:rsidRPr="004F6767">
        <w:t xml:space="preserve">d their lawyers. </w:t>
      </w:r>
      <w:r w:rsidR="008C4E3F" w:rsidRPr="004F6767">
        <w:t xml:space="preserve">Paragraphs </w:t>
      </w:r>
      <w:r w:rsidRPr="006934E7">
        <w:t>[9] and [10] of the October Bartlett Affidavit do not refer to</w:t>
      </w:r>
      <w:r w:rsidR="00CA6B82">
        <w:t>,</w:t>
      </w:r>
      <w:r w:rsidRPr="006934E7">
        <w:t xml:space="preserve"> </w:t>
      </w:r>
      <w:r w:rsidRPr="00820EA7">
        <w:t>disclose or make any assertion about the contents of any confidential communication between</w:t>
      </w:r>
      <w:r w:rsidRPr="004F6767">
        <w:t xml:space="preserve"> the respondents and their lawyers, and the contents of those communications have not been put in issue. </w:t>
      </w:r>
      <w:r w:rsidR="00010F50" w:rsidRPr="00463376">
        <w:t xml:space="preserve">It does not disclose the reasons for the decision. </w:t>
      </w:r>
      <w:r w:rsidRPr="00463376">
        <w:t xml:space="preserve">It was also submitted that the argument proceeds on an </w:t>
      </w:r>
      <w:r w:rsidRPr="00820EA7">
        <w:t>incorrect construction of [9] and [10] of the October Bartlett A</w:t>
      </w:r>
      <w:r w:rsidR="00010F50" w:rsidRPr="00820EA7">
        <w:t>ffidavit</w:t>
      </w:r>
      <w:r w:rsidR="00010F50" w:rsidRPr="004F6767">
        <w:t xml:space="preserve"> as </w:t>
      </w:r>
      <w:r w:rsidRPr="004F6767">
        <w:t xml:space="preserve">[9] simply identifies the key topics in relation to Darwan that Person 56 </w:t>
      </w:r>
      <w:r w:rsidRPr="00820EA7">
        <w:t>could have</w:t>
      </w:r>
      <w:r w:rsidRPr="004F6767">
        <w:t xml:space="preserve"> been ex</w:t>
      </w:r>
      <w:r w:rsidR="00010F50" w:rsidRPr="004F6767">
        <w:t xml:space="preserve">pected </w:t>
      </w:r>
      <w:r w:rsidR="00010F50" w:rsidRPr="00820EA7">
        <w:t>to give evidence upon and in</w:t>
      </w:r>
      <w:r w:rsidRPr="00820EA7">
        <w:t xml:space="preserve"> [10], the reference to the</w:t>
      </w:r>
      <w:r w:rsidRPr="00820EA7">
        <w:rPr>
          <w:spacing w:val="-6"/>
        </w:rPr>
        <w:t xml:space="preserve"> </w:t>
      </w:r>
      <w:r w:rsidRPr="00820EA7">
        <w:t>evidence</w:t>
      </w:r>
      <w:r w:rsidRPr="00820EA7">
        <w:rPr>
          <w:spacing w:val="-9"/>
        </w:rPr>
        <w:t xml:space="preserve"> </w:t>
      </w:r>
      <w:r w:rsidRPr="00820EA7">
        <w:t>of</w:t>
      </w:r>
      <w:r w:rsidRPr="00820EA7">
        <w:rPr>
          <w:spacing w:val="-7"/>
        </w:rPr>
        <w:t xml:space="preserve"> </w:t>
      </w:r>
      <w:r w:rsidRPr="00820EA7">
        <w:t>the</w:t>
      </w:r>
      <w:r w:rsidRPr="00820EA7">
        <w:rPr>
          <w:spacing w:val="-9"/>
        </w:rPr>
        <w:t xml:space="preserve"> </w:t>
      </w:r>
      <w:r w:rsidR="00010F50" w:rsidRPr="00820EA7">
        <w:t>a</w:t>
      </w:r>
      <w:r w:rsidRPr="00820EA7">
        <w:t>pplicant</w:t>
      </w:r>
      <w:r w:rsidRPr="00820EA7">
        <w:rPr>
          <w:spacing w:val="-5"/>
        </w:rPr>
        <w:t xml:space="preserve"> </w:t>
      </w:r>
      <w:r w:rsidRPr="00820EA7">
        <w:t>and</w:t>
      </w:r>
      <w:r w:rsidRPr="00820EA7">
        <w:rPr>
          <w:spacing w:val="-9"/>
        </w:rPr>
        <w:t xml:space="preserve"> </w:t>
      </w:r>
      <w:r w:rsidRPr="00820EA7">
        <w:t>the</w:t>
      </w:r>
      <w:r w:rsidRPr="00820EA7">
        <w:rPr>
          <w:spacing w:val="-9"/>
        </w:rPr>
        <w:t xml:space="preserve"> </w:t>
      </w:r>
      <w:r w:rsidRPr="00820EA7">
        <w:t>three</w:t>
      </w:r>
      <w:r w:rsidRPr="00820EA7">
        <w:rPr>
          <w:spacing w:val="-6"/>
        </w:rPr>
        <w:t xml:space="preserve"> </w:t>
      </w:r>
      <w:r w:rsidRPr="00820EA7">
        <w:t>Afghan</w:t>
      </w:r>
      <w:r w:rsidRPr="00820EA7">
        <w:rPr>
          <w:spacing w:val="-6"/>
        </w:rPr>
        <w:t xml:space="preserve"> </w:t>
      </w:r>
      <w:r w:rsidR="008C4E3F" w:rsidRPr="00820EA7">
        <w:t>w</w:t>
      </w:r>
      <w:r w:rsidRPr="00820EA7">
        <w:t>itnesses</w:t>
      </w:r>
      <w:r w:rsidRPr="00820EA7">
        <w:rPr>
          <w:spacing w:val="-6"/>
        </w:rPr>
        <w:t xml:space="preserve"> </w:t>
      </w:r>
      <w:r w:rsidRPr="00820EA7">
        <w:t>is</w:t>
      </w:r>
      <w:r w:rsidRPr="00820EA7">
        <w:rPr>
          <w:spacing w:val="-7"/>
        </w:rPr>
        <w:t xml:space="preserve"> </w:t>
      </w:r>
      <w:r w:rsidRPr="00820EA7">
        <w:t>to</w:t>
      </w:r>
      <w:r w:rsidRPr="00820EA7">
        <w:rPr>
          <w:spacing w:val="-5"/>
        </w:rPr>
        <w:t xml:space="preserve"> </w:t>
      </w:r>
      <w:r w:rsidRPr="00820EA7">
        <w:t>provide</w:t>
      </w:r>
      <w:r w:rsidRPr="00820EA7">
        <w:rPr>
          <w:spacing w:val="-9"/>
        </w:rPr>
        <w:t xml:space="preserve"> </w:t>
      </w:r>
      <w:r w:rsidRPr="00820EA7">
        <w:t>a</w:t>
      </w:r>
      <w:r w:rsidRPr="00820EA7">
        <w:rPr>
          <w:spacing w:val="-6"/>
        </w:rPr>
        <w:t xml:space="preserve"> </w:t>
      </w:r>
      <w:r w:rsidRPr="00820EA7">
        <w:t>temporal reference to the decision, not a causal one.</w:t>
      </w:r>
      <w:r w:rsidRPr="004F6767">
        <w:t xml:space="preserve"> Understood in this way, the only “state of mind”</w:t>
      </w:r>
      <w:r w:rsidRPr="004F6767">
        <w:rPr>
          <w:spacing w:val="-11"/>
        </w:rPr>
        <w:t xml:space="preserve"> </w:t>
      </w:r>
      <w:r w:rsidRPr="006934E7">
        <w:t>disclosed</w:t>
      </w:r>
      <w:r w:rsidRPr="006934E7">
        <w:rPr>
          <w:spacing w:val="-10"/>
        </w:rPr>
        <w:t xml:space="preserve"> </w:t>
      </w:r>
      <w:r w:rsidRPr="00793FF1">
        <w:t>is</w:t>
      </w:r>
      <w:r w:rsidRPr="00793FF1">
        <w:rPr>
          <w:spacing w:val="-14"/>
        </w:rPr>
        <w:t xml:space="preserve"> </w:t>
      </w:r>
      <w:r w:rsidRPr="00793FF1">
        <w:t>the</w:t>
      </w:r>
      <w:r w:rsidRPr="00793FF1">
        <w:rPr>
          <w:spacing w:val="-11"/>
        </w:rPr>
        <w:t xml:space="preserve"> </w:t>
      </w:r>
      <w:r w:rsidRPr="00793FF1">
        <w:t>decision.</w:t>
      </w:r>
      <w:r w:rsidRPr="00793FF1">
        <w:rPr>
          <w:spacing w:val="42"/>
        </w:rPr>
        <w:t xml:space="preserve"> </w:t>
      </w:r>
      <w:r w:rsidRPr="00793FF1">
        <w:t>The</w:t>
      </w:r>
      <w:r w:rsidRPr="00A373B6">
        <w:rPr>
          <w:spacing w:val="-12"/>
        </w:rPr>
        <w:t xml:space="preserve"> </w:t>
      </w:r>
      <w:r>
        <w:t>affidavit</w:t>
      </w:r>
      <w:r w:rsidRPr="00A373B6">
        <w:rPr>
          <w:spacing w:val="-8"/>
        </w:rPr>
        <w:t xml:space="preserve"> </w:t>
      </w:r>
      <w:r>
        <w:t>does</w:t>
      </w:r>
      <w:r w:rsidRPr="00A373B6">
        <w:rPr>
          <w:spacing w:val="-12"/>
        </w:rPr>
        <w:t xml:space="preserve"> </w:t>
      </w:r>
      <w:r>
        <w:t>not</w:t>
      </w:r>
      <w:r w:rsidRPr="00A373B6">
        <w:rPr>
          <w:spacing w:val="-10"/>
        </w:rPr>
        <w:t xml:space="preserve"> </w:t>
      </w:r>
      <w:r>
        <w:t>disclose</w:t>
      </w:r>
      <w:r w:rsidRPr="00A373B6">
        <w:rPr>
          <w:spacing w:val="-12"/>
        </w:rPr>
        <w:t xml:space="preserve"> </w:t>
      </w:r>
      <w:r>
        <w:t>the</w:t>
      </w:r>
      <w:r w:rsidRPr="00A373B6">
        <w:rPr>
          <w:spacing w:val="-10"/>
        </w:rPr>
        <w:t xml:space="preserve"> </w:t>
      </w:r>
      <w:r>
        <w:t xml:space="preserve">reasons for the decision, the advice given in relation to the decision, </w:t>
      </w:r>
      <w:r w:rsidR="00010F50">
        <w:t>or the instructions given. The r</w:t>
      </w:r>
      <w:r>
        <w:t xml:space="preserve">espondents’ conduct in including only the fact of the decision in the </w:t>
      </w:r>
      <w:r>
        <w:lastRenderedPageBreak/>
        <w:t xml:space="preserve">affidavit is consistent with the maintenance of confidentiality in these matters and their communications with their lawyers. </w:t>
      </w:r>
      <w:r w:rsidR="00010F50">
        <w:t>It was submitted that t</w:t>
      </w:r>
      <w:r>
        <w:t>his is reinforced by</w:t>
      </w:r>
      <w:r w:rsidR="00010F50">
        <w:t xml:space="preserve"> [2] </w:t>
      </w:r>
      <w:r>
        <w:t>which</w:t>
      </w:r>
      <w:r w:rsidRPr="00A373B6">
        <w:rPr>
          <w:spacing w:val="-14"/>
        </w:rPr>
        <w:t xml:space="preserve"> </w:t>
      </w:r>
      <w:r>
        <w:t>makes</w:t>
      </w:r>
      <w:r w:rsidRPr="00A373B6">
        <w:rPr>
          <w:spacing w:val="-13"/>
        </w:rPr>
        <w:t xml:space="preserve"> </w:t>
      </w:r>
      <w:r>
        <w:t>it</w:t>
      </w:r>
      <w:r w:rsidRPr="00A373B6">
        <w:rPr>
          <w:spacing w:val="-12"/>
        </w:rPr>
        <w:t xml:space="preserve"> </w:t>
      </w:r>
      <w:r>
        <w:t>clear</w:t>
      </w:r>
      <w:r w:rsidRPr="00A373B6">
        <w:rPr>
          <w:spacing w:val="-14"/>
        </w:rPr>
        <w:t xml:space="preserve"> </w:t>
      </w:r>
      <w:r>
        <w:t>that</w:t>
      </w:r>
      <w:r w:rsidRPr="00A373B6">
        <w:rPr>
          <w:spacing w:val="-17"/>
        </w:rPr>
        <w:t xml:space="preserve"> </w:t>
      </w:r>
      <w:r>
        <w:t>it</w:t>
      </w:r>
      <w:r w:rsidRPr="00A373B6">
        <w:rPr>
          <w:spacing w:val="-11"/>
        </w:rPr>
        <w:t xml:space="preserve"> </w:t>
      </w:r>
      <w:r>
        <w:t>was</w:t>
      </w:r>
      <w:r w:rsidRPr="00A373B6">
        <w:rPr>
          <w:spacing w:val="-13"/>
        </w:rPr>
        <w:t xml:space="preserve"> </w:t>
      </w:r>
      <w:r>
        <w:t>not</w:t>
      </w:r>
      <w:r w:rsidRPr="00A373B6">
        <w:rPr>
          <w:spacing w:val="-12"/>
        </w:rPr>
        <w:t xml:space="preserve"> </w:t>
      </w:r>
      <w:r w:rsidR="008E6E11">
        <w:t>Mr Bartlett’s</w:t>
      </w:r>
      <w:r w:rsidR="008E6E11" w:rsidRPr="00A373B6">
        <w:rPr>
          <w:spacing w:val="-13"/>
        </w:rPr>
        <w:t xml:space="preserve"> </w:t>
      </w:r>
      <w:r>
        <w:t>or</w:t>
      </w:r>
      <w:r w:rsidRPr="00A373B6">
        <w:rPr>
          <w:spacing w:val="-14"/>
        </w:rPr>
        <w:t xml:space="preserve"> </w:t>
      </w:r>
      <w:r>
        <w:t>the</w:t>
      </w:r>
      <w:r w:rsidRPr="00A373B6">
        <w:rPr>
          <w:spacing w:val="-14"/>
        </w:rPr>
        <w:t xml:space="preserve"> </w:t>
      </w:r>
      <w:r w:rsidR="008E6E11">
        <w:t>r</w:t>
      </w:r>
      <w:r>
        <w:t>espondents’</w:t>
      </w:r>
      <w:r w:rsidRPr="00A373B6">
        <w:rPr>
          <w:spacing w:val="-13"/>
        </w:rPr>
        <w:t xml:space="preserve"> </w:t>
      </w:r>
      <w:r>
        <w:t>intention</w:t>
      </w:r>
      <w:r w:rsidRPr="00A373B6">
        <w:rPr>
          <w:spacing w:val="-14"/>
        </w:rPr>
        <w:t xml:space="preserve"> </w:t>
      </w:r>
      <w:r>
        <w:t>to</w:t>
      </w:r>
      <w:r w:rsidRPr="00A373B6">
        <w:rPr>
          <w:spacing w:val="-14"/>
        </w:rPr>
        <w:t xml:space="preserve"> </w:t>
      </w:r>
      <w:r>
        <w:t>waive</w:t>
      </w:r>
      <w:r w:rsidRPr="00A373B6">
        <w:rPr>
          <w:spacing w:val="-13"/>
        </w:rPr>
        <w:t xml:space="preserve"> </w:t>
      </w:r>
      <w:r>
        <w:t>any</w:t>
      </w:r>
      <w:r w:rsidRPr="00A373B6">
        <w:rPr>
          <w:spacing w:val="-13"/>
        </w:rPr>
        <w:t xml:space="preserve"> </w:t>
      </w:r>
      <w:r>
        <w:t>legal professional</w:t>
      </w:r>
      <w:r w:rsidRPr="00A373B6">
        <w:rPr>
          <w:spacing w:val="-8"/>
        </w:rPr>
        <w:t xml:space="preserve"> </w:t>
      </w:r>
      <w:r>
        <w:t>privilege</w:t>
      </w:r>
      <w:r w:rsidRPr="00A373B6">
        <w:rPr>
          <w:spacing w:val="-4"/>
        </w:rPr>
        <w:t xml:space="preserve"> </w:t>
      </w:r>
      <w:r>
        <w:t>(and</w:t>
      </w:r>
      <w:r w:rsidRPr="00A373B6">
        <w:rPr>
          <w:spacing w:val="-5"/>
        </w:rPr>
        <w:t xml:space="preserve"> </w:t>
      </w:r>
      <w:r>
        <w:t>that</w:t>
      </w:r>
      <w:r w:rsidRPr="00A373B6">
        <w:rPr>
          <w:spacing w:val="-5"/>
        </w:rPr>
        <w:t xml:space="preserve"> </w:t>
      </w:r>
      <w:r>
        <w:t>to</w:t>
      </w:r>
      <w:r w:rsidRPr="00A373B6">
        <w:rPr>
          <w:spacing w:val="-9"/>
        </w:rPr>
        <w:t xml:space="preserve"> </w:t>
      </w:r>
      <w:r>
        <w:t>the</w:t>
      </w:r>
      <w:r w:rsidRPr="00A373B6">
        <w:rPr>
          <w:spacing w:val="-7"/>
        </w:rPr>
        <w:t xml:space="preserve"> </w:t>
      </w:r>
      <w:r>
        <w:t>extent</w:t>
      </w:r>
      <w:r w:rsidRPr="00A373B6">
        <w:rPr>
          <w:spacing w:val="-5"/>
        </w:rPr>
        <w:t xml:space="preserve"> </w:t>
      </w:r>
      <w:r>
        <w:t>there</w:t>
      </w:r>
      <w:r w:rsidRPr="00A373B6">
        <w:rPr>
          <w:spacing w:val="-7"/>
        </w:rPr>
        <w:t xml:space="preserve"> </w:t>
      </w:r>
      <w:r>
        <w:t>is</w:t>
      </w:r>
      <w:r w:rsidRPr="00A373B6">
        <w:rPr>
          <w:spacing w:val="-4"/>
        </w:rPr>
        <w:t xml:space="preserve"> </w:t>
      </w:r>
      <w:r>
        <w:t>any</w:t>
      </w:r>
      <w:r w:rsidRPr="00A373B6">
        <w:rPr>
          <w:spacing w:val="-6"/>
        </w:rPr>
        <w:t xml:space="preserve"> </w:t>
      </w:r>
      <w:r>
        <w:t>inadvertent</w:t>
      </w:r>
      <w:r w:rsidRPr="00A373B6">
        <w:rPr>
          <w:spacing w:val="-6"/>
        </w:rPr>
        <w:t xml:space="preserve"> </w:t>
      </w:r>
      <w:r>
        <w:t>waiver</w:t>
      </w:r>
      <w:r w:rsidRPr="00A373B6">
        <w:rPr>
          <w:spacing w:val="-5"/>
        </w:rPr>
        <w:t xml:space="preserve"> </w:t>
      </w:r>
      <w:r>
        <w:t>by</w:t>
      </w:r>
      <w:r w:rsidRPr="00A373B6">
        <w:rPr>
          <w:spacing w:val="-7"/>
        </w:rPr>
        <w:t xml:space="preserve"> </w:t>
      </w:r>
      <w:r>
        <w:t>reason of some part of the affidavit, the relevant portion is</w:t>
      </w:r>
      <w:r w:rsidRPr="00A373B6">
        <w:rPr>
          <w:spacing w:val="-12"/>
        </w:rPr>
        <w:t xml:space="preserve"> </w:t>
      </w:r>
      <w:r>
        <w:t>withdrawn).</w:t>
      </w:r>
    </w:p>
    <w:p w14:paraId="4A02D45A" w14:textId="502EFE90" w:rsidR="008B70DF" w:rsidRPr="000C6644" w:rsidRDefault="00010F50" w:rsidP="008B70DF">
      <w:pPr>
        <w:pStyle w:val="ParaNumbering"/>
      </w:pPr>
      <w:r>
        <w:t xml:space="preserve">As to Document 17, the email of 1 September 2021, it was submitted that the redacted part of the email refers to other confidential communications between the respondent’s solicitor and </w:t>
      </w:r>
      <w:r w:rsidRPr="000C6644">
        <w:t xml:space="preserve">Mr Richter, in respect of which a claim for legal professional privilege is maintained, and does not concern or touch upon the arrangement of understanding. The part of the email that is </w:t>
      </w:r>
      <w:r w:rsidRPr="00F53AC2">
        <w:t xml:space="preserve">redacted is not required to enable a proper understanding of the part of the 1 September </w:t>
      </w:r>
      <w:r w:rsidR="0039498F" w:rsidRPr="00F53AC2">
        <w:t>e</w:t>
      </w:r>
      <w:r w:rsidRPr="00F53AC2">
        <w:t>mail that has been disclosed.</w:t>
      </w:r>
    </w:p>
    <w:p w14:paraId="6C54542A" w14:textId="66DDD8DB" w:rsidR="008B70DF" w:rsidRPr="0010778E" w:rsidRDefault="008B70DF" w:rsidP="008B70DF">
      <w:pPr>
        <w:pStyle w:val="ParaNumbering"/>
      </w:pPr>
      <w:r w:rsidRPr="000C6644">
        <w:t>The respondent</w:t>
      </w:r>
      <w:r w:rsidR="00F53D6B">
        <w:t>s</w:t>
      </w:r>
      <w:r w:rsidRPr="000C6644">
        <w:t xml:space="preserve"> submitted that </w:t>
      </w:r>
      <w:r w:rsidR="00700836" w:rsidRPr="0010778E">
        <w:t xml:space="preserve">the only </w:t>
      </w:r>
      <w:r w:rsidRPr="0010778E">
        <w:t>matter</w:t>
      </w:r>
      <w:r w:rsidR="00430E92">
        <w:t>s</w:t>
      </w:r>
      <w:r w:rsidRPr="000C6644">
        <w:t xml:space="preserve"> </w:t>
      </w:r>
      <w:r w:rsidR="00700836" w:rsidRPr="000C6644">
        <w:t xml:space="preserve">over which </w:t>
      </w:r>
      <w:r w:rsidR="00700836" w:rsidRPr="0010778E">
        <w:t xml:space="preserve">privilege has been waived </w:t>
      </w:r>
      <w:r w:rsidRPr="0010778E">
        <w:t xml:space="preserve">are </w:t>
      </w:r>
      <w:r w:rsidR="00700836" w:rsidRPr="0010778E">
        <w:t>the</w:t>
      </w:r>
      <w:r w:rsidR="00700836" w:rsidRPr="000C6644">
        <w:t xml:space="preserve"> communications </w:t>
      </w:r>
      <w:r w:rsidRPr="000C6644">
        <w:t>relevant to understanding the limitations or relevant circumstances upon which Person 56 agreed to speak to the respondents</w:t>
      </w:r>
      <w:r w:rsidR="005E3E91" w:rsidRPr="00C76DAF">
        <w:t xml:space="preserve">, </w:t>
      </w:r>
      <w:r w:rsidR="00430E92">
        <w:t>which</w:t>
      </w:r>
      <w:r w:rsidR="00430E92" w:rsidRPr="0010778E">
        <w:t xml:space="preserve"> </w:t>
      </w:r>
      <w:r w:rsidRPr="0010778E">
        <w:t>are communications</w:t>
      </w:r>
      <w:r w:rsidRPr="000C6644">
        <w:t xml:space="preserve"> that pass between the respondents </w:t>
      </w:r>
      <w:r w:rsidRPr="000C6644">
        <w:rPr>
          <w:spacing w:val="-5"/>
        </w:rPr>
        <w:t xml:space="preserve">and </w:t>
      </w:r>
      <w:r w:rsidRPr="000C6644">
        <w:t>Person 56 or his</w:t>
      </w:r>
      <w:r w:rsidRPr="00C76DAF">
        <w:rPr>
          <w:spacing w:val="-3"/>
        </w:rPr>
        <w:t xml:space="preserve"> </w:t>
      </w:r>
      <w:r w:rsidRPr="00C76DAF">
        <w:t xml:space="preserve">representatives. </w:t>
      </w:r>
      <w:r w:rsidRPr="0010778E">
        <w:t>The respondents</w:t>
      </w:r>
      <w:r w:rsidR="001412C1" w:rsidRPr="0010778E">
        <w:t>’</w:t>
      </w:r>
      <w:r w:rsidRPr="0010778E">
        <w:t xml:space="preserve"> internal consideration of how to </w:t>
      </w:r>
      <w:r w:rsidR="005E3E91" w:rsidRPr="0010778E">
        <w:t>get Person 56 to agree to give evidence</w:t>
      </w:r>
      <w:r w:rsidRPr="0010778E">
        <w:t xml:space="preserve">, </w:t>
      </w:r>
      <w:r w:rsidR="005E3E91" w:rsidRPr="0010778E">
        <w:t xml:space="preserve">any proposals for so doing, </w:t>
      </w:r>
      <w:r w:rsidRPr="0010778E">
        <w:t xml:space="preserve">legal advice to the respondents about </w:t>
      </w:r>
      <w:r w:rsidR="005E3E91" w:rsidRPr="0010778E">
        <w:t xml:space="preserve">any such options and </w:t>
      </w:r>
      <w:r w:rsidRPr="0010778E">
        <w:t>the relative m</w:t>
      </w:r>
      <w:r w:rsidR="005E3E91" w:rsidRPr="0010778E">
        <w:t xml:space="preserve">erits of different options, </w:t>
      </w:r>
      <w:r w:rsidRPr="0010778E">
        <w:t xml:space="preserve">have not been waived. </w:t>
      </w:r>
    </w:p>
    <w:p w14:paraId="29D2739A" w14:textId="6C4CA3D5" w:rsidR="00BD58F3" w:rsidRPr="00531AED" w:rsidRDefault="008B70DF" w:rsidP="008B70DF">
      <w:pPr>
        <w:pStyle w:val="ParaNumbering"/>
      </w:pPr>
      <w:r>
        <w:t>As to the email of 5 August 2021, it contains confidential communication</w:t>
      </w:r>
      <w:r w:rsidR="00E7604E">
        <w:t>s</w:t>
      </w:r>
      <w:r>
        <w:t xml:space="preserve"> between the respondents and Person 56’s lawyer, which he was not authorised to disclose.</w:t>
      </w:r>
    </w:p>
    <w:p w14:paraId="5B481BBE" w14:textId="77777777" w:rsidR="00E4326F" w:rsidRDefault="00BD58F3" w:rsidP="00820EA7">
      <w:pPr>
        <w:pStyle w:val="Heading2"/>
      </w:pPr>
      <w:r w:rsidRPr="00BD58F3">
        <w:t xml:space="preserve">Consideration </w:t>
      </w:r>
    </w:p>
    <w:p w14:paraId="2CB4F45B" w14:textId="759A7A5D" w:rsidR="00E4326F" w:rsidRDefault="00E4326F" w:rsidP="00E4326F">
      <w:pPr>
        <w:pStyle w:val="ParaNumbering"/>
      </w:pPr>
      <w:r>
        <w:t>T</w:t>
      </w:r>
      <w:r w:rsidRPr="00180840">
        <w:t xml:space="preserve">here are </w:t>
      </w:r>
      <w:r w:rsidRPr="009F05A0">
        <w:t xml:space="preserve">four issues to be determined: </w:t>
      </w:r>
      <w:r w:rsidRPr="009F05A0">
        <w:rPr>
          <w:i/>
        </w:rPr>
        <w:t>first,</w:t>
      </w:r>
      <w:r w:rsidRPr="009F05A0">
        <w:t xml:space="preserve"> the submission directed to Documents </w:t>
      </w:r>
      <w:r w:rsidR="00F428AC">
        <w:t>1 and 2</w:t>
      </w:r>
      <w:r w:rsidRPr="009F05A0">
        <w:t xml:space="preserve"> which </w:t>
      </w:r>
      <w:r w:rsidR="00E7586C" w:rsidRPr="009F05A0">
        <w:t xml:space="preserve">is </w:t>
      </w:r>
      <w:r w:rsidR="00E7586C" w:rsidRPr="0010778E">
        <w:t>dependent</w:t>
      </w:r>
      <w:r w:rsidR="005E3E91" w:rsidRPr="0010778E">
        <w:t xml:space="preserve"> on a consideration</w:t>
      </w:r>
      <w:r w:rsidRPr="00180840">
        <w:t xml:space="preserve"> of </w:t>
      </w:r>
      <w:r w:rsidR="00E7586C" w:rsidRPr="00180840">
        <w:t>the Octo</w:t>
      </w:r>
      <w:r w:rsidR="00E7586C">
        <w:t>ber Bartlett Affidavit</w:t>
      </w:r>
      <w:r w:rsidRPr="00E4326F">
        <w:t xml:space="preserve">; </w:t>
      </w:r>
      <w:r w:rsidRPr="00E4326F">
        <w:rPr>
          <w:i/>
        </w:rPr>
        <w:t>second</w:t>
      </w:r>
      <w:r w:rsidRPr="00E4326F">
        <w:t xml:space="preserve">, the balance of the redacted email of 1 September 2021; </w:t>
      </w:r>
      <w:r w:rsidRPr="00210E1A">
        <w:rPr>
          <w:i/>
        </w:rPr>
        <w:t>third,</w:t>
      </w:r>
      <w:r w:rsidRPr="00E4326F">
        <w:t xml:space="preserve"> </w:t>
      </w:r>
      <w:r>
        <w:t xml:space="preserve">the balance of the </w:t>
      </w:r>
      <w:r w:rsidR="00210E1A">
        <w:t xml:space="preserve">redacted </w:t>
      </w:r>
      <w:r>
        <w:t>email of 5 August 2021</w:t>
      </w:r>
      <w:r w:rsidR="009F05A0">
        <w:t xml:space="preserve">; and </w:t>
      </w:r>
      <w:r w:rsidR="009F05A0" w:rsidRPr="00210E1A">
        <w:rPr>
          <w:i/>
        </w:rPr>
        <w:t>fourth</w:t>
      </w:r>
      <w:r w:rsidR="009F05A0" w:rsidRPr="00910D8A">
        <w:rPr>
          <w:i/>
        </w:rPr>
        <w:t>,</w:t>
      </w:r>
      <w:r w:rsidR="009F05A0" w:rsidRPr="00910D8A">
        <w:t xml:space="preserve"> </w:t>
      </w:r>
      <w:r w:rsidR="00AD1A89" w:rsidRPr="00910D8A">
        <w:t xml:space="preserve">if privilege has been waived over </w:t>
      </w:r>
      <w:r w:rsidR="00900222" w:rsidRPr="00910D8A">
        <w:t>any</w:t>
      </w:r>
      <w:r w:rsidR="009F05A0">
        <w:t xml:space="preserve"> other documents in the objection schedule</w:t>
      </w:r>
      <w:r w:rsidR="00AD1A89">
        <w:t>s which</w:t>
      </w:r>
      <w:r w:rsidR="009F05A0">
        <w:t xml:space="preserve"> “concern or touch upon the arrangement or understanding” as to the basis on which Person 56 is to give evidence</w:t>
      </w:r>
      <w:r>
        <w:t xml:space="preserve">. </w:t>
      </w:r>
      <w:r w:rsidR="00BC55EE">
        <w:t>As noted above at [</w:t>
      </w:r>
      <w:r w:rsidR="00BA0808">
        <w:fldChar w:fldCharType="begin"/>
      </w:r>
      <w:r w:rsidR="00BA0808">
        <w:instrText xml:space="preserve"> REF _Ref89782496 \r \h </w:instrText>
      </w:r>
      <w:r w:rsidR="00BA0808">
        <w:fldChar w:fldCharType="separate"/>
      </w:r>
      <w:r w:rsidR="00A412A6">
        <w:t>7</w:t>
      </w:r>
      <w:r w:rsidR="00BA0808">
        <w:fldChar w:fldCharType="end"/>
      </w:r>
      <w:r w:rsidR="00BC55EE">
        <w:t>], t</w:t>
      </w:r>
      <w:r w:rsidR="00571329">
        <w:t>he first three</w:t>
      </w:r>
      <w:r w:rsidR="00BC55EE">
        <w:t xml:space="preserve"> documents</w:t>
      </w:r>
      <w:r w:rsidR="00571329">
        <w:t xml:space="preserve"> </w:t>
      </w:r>
      <w:r w:rsidR="003B6122">
        <w:t xml:space="preserve">(Documents 1, 2 and 17) </w:t>
      </w:r>
      <w:r w:rsidR="00571329">
        <w:t xml:space="preserve">relate to the notice to produce </w:t>
      </w:r>
      <w:r w:rsidR="00BC55EE">
        <w:t>dated 5 November 2021.</w:t>
      </w:r>
      <w:r w:rsidR="00571329">
        <w:t xml:space="preserve"> </w:t>
      </w:r>
      <w:r w:rsidR="00BC55EE">
        <w:t>T</w:t>
      </w:r>
      <w:r w:rsidR="00571329">
        <w:t>he fourth</w:t>
      </w:r>
      <w:r w:rsidR="00BC55EE">
        <w:t xml:space="preserve"> document </w:t>
      </w:r>
      <w:r w:rsidR="003B6122">
        <w:t xml:space="preserve">(Document 12) </w:t>
      </w:r>
      <w:r w:rsidR="00BC55EE">
        <w:t>relates</w:t>
      </w:r>
      <w:r w:rsidR="00571329">
        <w:t xml:space="preserve"> to the subpoena issued to Person 56.</w:t>
      </w:r>
      <w:r w:rsidR="000D6573">
        <w:t xml:space="preserve"> </w:t>
      </w:r>
    </w:p>
    <w:p w14:paraId="5E0F0A02" w14:textId="6F453102" w:rsidR="00571329" w:rsidRPr="00E4326F" w:rsidRDefault="00571329" w:rsidP="00E4326F">
      <w:pPr>
        <w:pStyle w:val="ParaNumbering"/>
      </w:pPr>
      <w:r>
        <w:t xml:space="preserve">I observe at the outset that the respondents have accepted that, as a result of the </w:t>
      </w:r>
      <w:r w:rsidR="004359C6">
        <w:t>October Bartlett Affidavit</w:t>
      </w:r>
      <w:r>
        <w:t>, they have waived privilege in respect to t</w:t>
      </w:r>
      <w:r w:rsidR="007F7C51">
        <w:t>wo em</w:t>
      </w:r>
      <w:r w:rsidR="007F7C51" w:rsidRPr="00852383">
        <w:t>ails</w:t>
      </w:r>
      <w:r w:rsidR="00910D8A" w:rsidRPr="0028221E">
        <w:t xml:space="preserve"> </w:t>
      </w:r>
      <w:r w:rsidR="00910D8A" w:rsidRPr="00C1298D">
        <w:t>between Mr Richter and Mr</w:t>
      </w:r>
      <w:r w:rsidR="00910D8A" w:rsidRPr="00852383">
        <w:t xml:space="preserve"> </w:t>
      </w:r>
      <w:r w:rsidR="00910D8A" w:rsidRPr="00C1298D">
        <w:lastRenderedPageBreak/>
        <w:t>Levitan</w:t>
      </w:r>
      <w:r w:rsidRPr="00C1298D">
        <w:t>.</w:t>
      </w:r>
      <w:r w:rsidRPr="00852383">
        <w:t xml:space="preserve"> </w:t>
      </w:r>
      <w:r w:rsidR="007F7C51" w:rsidRPr="0028221E">
        <w:t>As a consequence</w:t>
      </w:r>
      <w:r w:rsidR="00BF357F" w:rsidRPr="009A6F03">
        <w:t>,</w:t>
      </w:r>
      <w:r w:rsidR="007F7C51" w:rsidRPr="009A6F03">
        <w:t xml:space="preserve"> those emails w</w:t>
      </w:r>
      <w:r w:rsidR="007F7C51" w:rsidRPr="002B6459">
        <w:t>ere produced to the applicant.</w:t>
      </w:r>
      <w:r w:rsidR="007F7C51">
        <w:t xml:space="preserve"> </w:t>
      </w:r>
      <w:r>
        <w:t xml:space="preserve">It is </w:t>
      </w:r>
      <w:r w:rsidRPr="00852383">
        <w:t xml:space="preserve">also </w:t>
      </w:r>
      <w:r w:rsidRPr="00C1298D">
        <w:t xml:space="preserve">accepted </w:t>
      </w:r>
      <w:r w:rsidR="00910D8A" w:rsidRPr="00C1298D">
        <w:t>by the respondent</w:t>
      </w:r>
      <w:r w:rsidR="007C31A2">
        <w:t>s</w:t>
      </w:r>
      <w:r w:rsidR="00910D8A" w:rsidRPr="00C1298D">
        <w:t xml:space="preserve"> tha</w:t>
      </w:r>
      <w:r w:rsidR="00910D8A" w:rsidRPr="00852383">
        <w:t xml:space="preserve">t </w:t>
      </w:r>
      <w:r w:rsidRPr="0028221E">
        <w:t xml:space="preserve">the production of </w:t>
      </w:r>
      <w:r w:rsidR="00302A31" w:rsidRPr="009A6F03">
        <w:t xml:space="preserve">Document 17 constitutes a </w:t>
      </w:r>
      <w:r w:rsidR="007F7C51" w:rsidRPr="009A6F03">
        <w:t>voluntary</w:t>
      </w:r>
      <w:r w:rsidR="002B6459" w:rsidRPr="00DE0D58">
        <w:t xml:space="preserve"> </w:t>
      </w:r>
      <w:r w:rsidRPr="00D436C6">
        <w:t>waiver of</w:t>
      </w:r>
      <w:r w:rsidRPr="00191D16">
        <w:t xml:space="preserve"> priv</w:t>
      </w:r>
      <w:r>
        <w:t xml:space="preserve">ilege, in so much of that email as </w:t>
      </w:r>
      <w:r w:rsidR="009702E4">
        <w:t xml:space="preserve">has been </w:t>
      </w:r>
      <w:r>
        <w:t>produced.</w:t>
      </w:r>
    </w:p>
    <w:p w14:paraId="698A53C8" w14:textId="56C79413" w:rsidR="00210E1A" w:rsidRPr="00210E1A" w:rsidRDefault="00210E1A" w:rsidP="00820EA7">
      <w:pPr>
        <w:pStyle w:val="Heading3"/>
      </w:pPr>
      <w:r w:rsidRPr="00210E1A">
        <w:t xml:space="preserve">Documents </w:t>
      </w:r>
      <w:r w:rsidR="00F428AC">
        <w:t>1 and 2</w:t>
      </w:r>
    </w:p>
    <w:p w14:paraId="49F33BFE" w14:textId="3A300A59" w:rsidR="00A56E18" w:rsidRDefault="00A56E18" w:rsidP="00C37646">
      <w:pPr>
        <w:pStyle w:val="ParaNumbering"/>
      </w:pPr>
      <w:r>
        <w:t xml:space="preserve">Documents 1 and 2 are identified in the First Objection Schedule as confidential email communications between the </w:t>
      </w:r>
      <w:r w:rsidR="003B39E2">
        <w:t>respondents and their</w:t>
      </w:r>
      <w:r>
        <w:t xml:space="preserve"> lawyers made for the do</w:t>
      </w:r>
      <w:r w:rsidR="00493BA7">
        <w:t xml:space="preserve">minant purpose of providing </w:t>
      </w:r>
      <w:r>
        <w:t>legal advice in co</w:t>
      </w:r>
      <w:r w:rsidR="00910D8A">
        <w:t>nnection with the proceedings.</w:t>
      </w:r>
    </w:p>
    <w:p w14:paraId="22949877" w14:textId="158BC518" w:rsidR="008C4E3F" w:rsidRDefault="00C37646" w:rsidP="00C37646">
      <w:pPr>
        <w:pStyle w:val="ParaNumbering"/>
      </w:pPr>
      <w:r w:rsidRPr="00DB0272">
        <w:t xml:space="preserve">As is apparent from the submissions recited above, </w:t>
      </w:r>
      <w:r w:rsidR="009B636A" w:rsidRPr="002E36B4">
        <w:t xml:space="preserve">this application </w:t>
      </w:r>
      <w:r w:rsidRPr="00F428AC">
        <w:t xml:space="preserve">arises in a context where </w:t>
      </w:r>
      <w:r w:rsidR="00BD58F3" w:rsidRPr="00F428AC">
        <w:t xml:space="preserve">the </w:t>
      </w:r>
      <w:r w:rsidR="00BD58F3" w:rsidRPr="00C1298D">
        <w:t>documen</w:t>
      </w:r>
      <w:r w:rsidR="00210E1A" w:rsidRPr="00C1298D">
        <w:t xml:space="preserve">ts </w:t>
      </w:r>
      <w:r w:rsidR="00910D8A" w:rsidRPr="00C1298D">
        <w:t xml:space="preserve">sought </w:t>
      </w:r>
      <w:r w:rsidR="00210E1A" w:rsidRPr="00C1298D">
        <w:t xml:space="preserve">are </w:t>
      </w:r>
      <w:r w:rsidR="00910D8A" w:rsidRPr="00C1298D">
        <w:t>said to be</w:t>
      </w:r>
      <w:r w:rsidR="00910D8A" w:rsidRPr="00DB0272">
        <w:t xml:space="preserve"> </w:t>
      </w:r>
      <w:r w:rsidR="00BD58F3" w:rsidRPr="00DB0272">
        <w:t xml:space="preserve">relevant </w:t>
      </w:r>
      <w:r w:rsidR="002319F1" w:rsidRPr="002E36B4">
        <w:t xml:space="preserve">to </w:t>
      </w:r>
      <w:r w:rsidR="00BD58F3" w:rsidRPr="00F428AC">
        <w:t>the r</w:t>
      </w:r>
      <w:r w:rsidR="00BD58F3">
        <w:t>espondents</w:t>
      </w:r>
      <w:r w:rsidR="00210E1A">
        <w:t>’</w:t>
      </w:r>
      <w:r w:rsidR="00BD58F3">
        <w:t xml:space="preserve"> application for leave to issue a subpoena to Person </w:t>
      </w:r>
      <w:r w:rsidR="000B0AEB">
        <w:t xml:space="preserve">56 </w:t>
      </w:r>
      <w:r w:rsidR="00BD58F3">
        <w:t xml:space="preserve">to give evidence, given the particular circumstances in which that application is made. </w:t>
      </w:r>
    </w:p>
    <w:p w14:paraId="3B06822D" w14:textId="2DC64B7A" w:rsidR="008C4E3F" w:rsidRDefault="009B636A" w:rsidP="00490E13">
      <w:pPr>
        <w:pStyle w:val="ParaNumbering"/>
      </w:pPr>
      <w:r>
        <w:t>Those circumstances are accurately described by the applicant in his submission, to which no challenge was made.</w:t>
      </w:r>
      <w:r w:rsidR="00C37646">
        <w:t xml:space="preserve"> </w:t>
      </w:r>
      <w:r>
        <w:t>Of particular</w:t>
      </w:r>
      <w:r w:rsidR="00C37646">
        <w:t xml:space="preserve"> note</w:t>
      </w:r>
      <w:r>
        <w:t xml:space="preserve"> is </w:t>
      </w:r>
      <w:r w:rsidR="008C4E3F">
        <w:t xml:space="preserve">the timing of </w:t>
      </w:r>
      <w:r w:rsidR="00BB2D2A">
        <w:t xml:space="preserve">the </w:t>
      </w:r>
      <w:r>
        <w:t>application (</w:t>
      </w:r>
      <w:r w:rsidR="008C4E3F">
        <w:t xml:space="preserve">being </w:t>
      </w:r>
      <w:r>
        <w:t xml:space="preserve">after the applicant </w:t>
      </w:r>
      <w:r w:rsidR="000D7B0A">
        <w:t xml:space="preserve">and </w:t>
      </w:r>
      <w:r>
        <w:t>the Afghan witnesses</w:t>
      </w:r>
      <w:r w:rsidR="000D7B0A">
        <w:t xml:space="preserve"> have completed their evidence</w:t>
      </w:r>
      <w:r>
        <w:t xml:space="preserve">), that this is a second </w:t>
      </w:r>
      <w:r w:rsidR="00C37646">
        <w:t xml:space="preserve">such </w:t>
      </w:r>
      <w:r w:rsidR="008C4E3F">
        <w:t xml:space="preserve">application where </w:t>
      </w:r>
      <w:r>
        <w:t>the first was refused</w:t>
      </w:r>
      <w:r w:rsidR="00C37646">
        <w:t xml:space="preserve"> </w:t>
      </w:r>
      <w:r w:rsidR="008C4E3F">
        <w:t xml:space="preserve">on 23 April 2021, </w:t>
      </w:r>
      <w:r w:rsidR="00C37646">
        <w:t xml:space="preserve">in </w:t>
      </w:r>
      <w:r w:rsidR="00C37646" w:rsidRPr="00C37646">
        <w:rPr>
          <w:i/>
        </w:rPr>
        <w:t>Roberts-Smith (No 12)</w:t>
      </w:r>
      <w:r w:rsidRPr="00C37646">
        <w:rPr>
          <w:i/>
        </w:rPr>
        <w:t>,</w:t>
      </w:r>
      <w:r>
        <w:t xml:space="preserve"> </w:t>
      </w:r>
      <w:r w:rsidR="008C4E3F">
        <w:t>and that it is apparent this new</w:t>
      </w:r>
      <w:r>
        <w:t xml:space="preserve"> application is made in</w:t>
      </w:r>
      <w:r w:rsidR="00C37646">
        <w:t xml:space="preserve"> a context where </w:t>
      </w:r>
      <w:r>
        <w:t xml:space="preserve">some arrangement </w:t>
      </w:r>
      <w:r w:rsidR="00C37646">
        <w:t xml:space="preserve">has been reached </w:t>
      </w:r>
      <w:r>
        <w:t xml:space="preserve">between the respondents and Person 56 as to the extent </w:t>
      </w:r>
      <w:r w:rsidR="00C37646">
        <w:t xml:space="preserve">of the content of his evidence to be led by them. </w:t>
      </w:r>
      <w:r w:rsidR="008C4E3F">
        <w:t>This is all in a c</w:t>
      </w:r>
      <w:r w:rsidR="00490E13">
        <w:t xml:space="preserve">ontext where the respondents were required to serve </w:t>
      </w:r>
      <w:r w:rsidR="008C4E3F">
        <w:t xml:space="preserve">outlines </w:t>
      </w:r>
      <w:r w:rsidR="00490E13">
        <w:t>of evidence for their witnesses by</w:t>
      </w:r>
      <w:r w:rsidR="008C4E3F">
        <w:t xml:space="preserve"> 31 May</w:t>
      </w:r>
      <w:r w:rsidR="008C4E3F" w:rsidRPr="008C4E3F">
        <w:rPr>
          <w:spacing w:val="-14"/>
        </w:rPr>
        <w:t xml:space="preserve"> </w:t>
      </w:r>
      <w:r w:rsidR="008C4E3F">
        <w:t>2019.</w:t>
      </w:r>
    </w:p>
    <w:p w14:paraId="7A48FCE4" w14:textId="63C8FEF4" w:rsidR="009B636A" w:rsidRPr="00D436C6" w:rsidRDefault="00C37646" w:rsidP="00C37646">
      <w:pPr>
        <w:pStyle w:val="ParaNumbering"/>
      </w:pPr>
      <w:r>
        <w:t>Against that background i</w:t>
      </w:r>
      <w:r w:rsidR="009B636A">
        <w:t xml:space="preserve">t may </w:t>
      </w:r>
      <w:r w:rsidR="00490E13">
        <w:t xml:space="preserve">readily be </w:t>
      </w:r>
      <w:r w:rsidR="009B636A">
        <w:t>a</w:t>
      </w:r>
      <w:r w:rsidR="009B636A" w:rsidRPr="00852383">
        <w:t>ccepted that</w:t>
      </w:r>
      <w:r w:rsidR="00490E13" w:rsidRPr="0028221E">
        <w:t>,</w:t>
      </w:r>
      <w:r w:rsidR="009B636A" w:rsidRPr="009A6F03">
        <w:t xml:space="preserve"> </w:t>
      </w:r>
      <w:r w:rsidRPr="009A6F03">
        <w:t>as the respondent</w:t>
      </w:r>
      <w:r w:rsidR="002C7C18" w:rsidRPr="009A6F03">
        <w:t>s</w:t>
      </w:r>
      <w:r w:rsidR="00490E13" w:rsidRPr="00DE0D58">
        <w:t xml:space="preserve"> require</w:t>
      </w:r>
      <w:r w:rsidRPr="00D436C6">
        <w:t xml:space="preserve"> leave to issue the subp</w:t>
      </w:r>
      <w:r w:rsidR="002C7C18" w:rsidRPr="00D436C6">
        <w:t>oena</w:t>
      </w:r>
      <w:r w:rsidR="00490E13" w:rsidRPr="00D436C6">
        <w:t>,</w:t>
      </w:r>
      <w:r w:rsidR="002C7C18" w:rsidRPr="00D436C6">
        <w:t xml:space="preserve"> it will be incumbent on them</w:t>
      </w:r>
      <w:r w:rsidR="00910D8A" w:rsidRPr="000A7AE6">
        <w:t xml:space="preserve">, </w:t>
      </w:r>
      <w:r w:rsidRPr="00DB0272">
        <w:t xml:space="preserve">inter </w:t>
      </w:r>
      <w:r w:rsidRPr="00C1298D">
        <w:t xml:space="preserve">alia, </w:t>
      </w:r>
      <w:r w:rsidR="00910D8A" w:rsidRPr="00C1298D">
        <w:t>to</w:t>
      </w:r>
      <w:r w:rsidR="00910D8A" w:rsidRPr="00852383">
        <w:t xml:space="preserve"> </w:t>
      </w:r>
      <w:r w:rsidRPr="0028221E">
        <w:t>provide an explanation as to how the application has come about at this stage of the trial.</w:t>
      </w:r>
      <w:r w:rsidR="00490E13" w:rsidRPr="00D436C6">
        <w:t xml:space="preserve"> </w:t>
      </w:r>
    </w:p>
    <w:p w14:paraId="0704E495" w14:textId="58B0A2E0" w:rsidR="00C37646" w:rsidRDefault="002C7C18" w:rsidP="00490E13">
      <w:pPr>
        <w:pStyle w:val="ParaNumbering"/>
      </w:pPr>
      <w:r>
        <w:t xml:space="preserve">It is to that end that </w:t>
      </w:r>
      <w:r w:rsidR="00520676">
        <w:t xml:space="preserve">the </w:t>
      </w:r>
      <w:r w:rsidR="00490E13">
        <w:t xml:space="preserve">October </w:t>
      </w:r>
      <w:r w:rsidR="00520676">
        <w:t>Bartlett Affidavit</w:t>
      </w:r>
      <w:r w:rsidR="00490E13">
        <w:t>, which was filed by the respondents in support of their application for leave, is plainly directed.</w:t>
      </w:r>
    </w:p>
    <w:p w14:paraId="5D86E6E9" w14:textId="6E23E757" w:rsidR="007B6872" w:rsidRPr="007B6872" w:rsidRDefault="00BD58F3" w:rsidP="000615A8">
      <w:pPr>
        <w:pStyle w:val="ParaNumbering"/>
        <w:rPr>
          <w:sz w:val="22"/>
          <w:szCs w:val="22"/>
        </w:rPr>
      </w:pPr>
      <w:r w:rsidRPr="000615A8">
        <w:t xml:space="preserve">There is a dispute </w:t>
      </w:r>
      <w:r w:rsidR="00910D8A" w:rsidRPr="00C1298D">
        <w:t>between the parties</w:t>
      </w:r>
      <w:r w:rsidR="00910D8A" w:rsidRPr="00852383">
        <w:t xml:space="preserve"> </w:t>
      </w:r>
      <w:r w:rsidRPr="0028221E">
        <w:t xml:space="preserve">as to </w:t>
      </w:r>
      <w:r w:rsidRPr="00C1298D">
        <w:t>the meaning</w:t>
      </w:r>
      <w:r w:rsidR="008B6125" w:rsidRPr="00C1298D">
        <w:t xml:space="preserve"> to be attributed to</w:t>
      </w:r>
      <w:r w:rsidR="004109E2" w:rsidRPr="00852383">
        <w:t xml:space="preserve"> </w:t>
      </w:r>
      <w:r w:rsidR="004109E2" w:rsidRPr="0028221E">
        <w:t xml:space="preserve">the October Bartlett </w:t>
      </w:r>
      <w:r w:rsidR="004109E2" w:rsidRPr="00D436C6">
        <w:t>Affidavit</w:t>
      </w:r>
      <w:r w:rsidRPr="00D436C6">
        <w:t>, in particular [9] and [</w:t>
      </w:r>
      <w:r w:rsidR="00490E13" w:rsidRPr="000A7AE6">
        <w:t>10]</w:t>
      </w:r>
      <w:r w:rsidR="00490E13" w:rsidRPr="00DB0272">
        <w:t xml:space="preserve">. </w:t>
      </w:r>
      <w:r w:rsidR="007B6872" w:rsidRPr="002E36B4">
        <w:t>Put succinctly, o</w:t>
      </w:r>
      <w:r w:rsidR="00490E13" w:rsidRPr="00F428AC">
        <w:t xml:space="preserve">n the one hand, the applicant submitted that </w:t>
      </w:r>
      <w:r w:rsidR="00C21CB8" w:rsidRPr="00F428AC">
        <w:t xml:space="preserve">the respondents’ </w:t>
      </w:r>
      <w:r w:rsidR="00490E13" w:rsidRPr="00F428AC">
        <w:t xml:space="preserve">reasoning process </w:t>
      </w:r>
      <w:r w:rsidR="00B2734B" w:rsidRPr="00F428AC">
        <w:t xml:space="preserve">is provided </w:t>
      </w:r>
      <w:r w:rsidR="00490E13" w:rsidRPr="00F428AC">
        <w:t xml:space="preserve">in Mr Bartlett’s affidavit as an explanation as to why their application is being made at this stage of the proceedings. </w:t>
      </w:r>
      <w:r w:rsidR="007B6872" w:rsidRPr="00F428AC">
        <w:t>On the other hand, t</w:t>
      </w:r>
      <w:r w:rsidR="008B6125" w:rsidRPr="00840EE5">
        <w:t xml:space="preserve">he respondents submitted that </w:t>
      </w:r>
      <w:r w:rsidR="008B6125" w:rsidRPr="00C1298D">
        <w:t>those paragraphs refer</w:t>
      </w:r>
      <w:r w:rsidR="007B6872" w:rsidRPr="00C1298D">
        <w:t xml:space="preserve"> </w:t>
      </w:r>
      <w:r w:rsidR="00684135" w:rsidRPr="00C1298D">
        <w:t>only</w:t>
      </w:r>
      <w:r w:rsidR="00684135" w:rsidRPr="00852383">
        <w:t xml:space="preserve"> </w:t>
      </w:r>
      <w:r w:rsidR="007B6872" w:rsidRPr="00852383">
        <w:t>to t</w:t>
      </w:r>
      <w:r w:rsidR="007B6872" w:rsidRPr="000615A8">
        <w:t xml:space="preserve">he fact of the decision </w:t>
      </w:r>
      <w:r w:rsidR="00167793">
        <w:t xml:space="preserve">having been </w:t>
      </w:r>
      <w:r w:rsidR="007B6872" w:rsidRPr="000615A8">
        <w:t xml:space="preserve">made and any reference to the applicant’s and the Afghan witnesses’ evidence is purely temporal. </w:t>
      </w:r>
    </w:p>
    <w:p w14:paraId="1791C284" w14:textId="77777777" w:rsidR="007B6872" w:rsidRPr="0075537E" w:rsidRDefault="007B6872" w:rsidP="007B6872">
      <w:pPr>
        <w:pStyle w:val="ParaNumbering"/>
      </w:pPr>
      <w:r>
        <w:lastRenderedPageBreak/>
        <w:t xml:space="preserve">I accept the applicant’s interpretation. It accords with the natural meaning of the words, in the </w:t>
      </w:r>
      <w:r w:rsidRPr="0075537E">
        <w:t xml:space="preserve">context in which they appear. </w:t>
      </w:r>
    </w:p>
    <w:p w14:paraId="2C5E6D45" w14:textId="00650868" w:rsidR="007B6872" w:rsidRDefault="005E3E91" w:rsidP="00496B31">
      <w:pPr>
        <w:pStyle w:val="ParaNumbering"/>
      </w:pPr>
      <w:r w:rsidRPr="0010778E">
        <w:t>Paragraphs [9] and [10] are not to be considered in isolation, but rather, t</w:t>
      </w:r>
      <w:r w:rsidR="007B6872" w:rsidRPr="0010778E">
        <w:t>he affidavit mus</w:t>
      </w:r>
      <w:r w:rsidRPr="0010778E">
        <w:t>t be read as a whole and in the context of the purpose for which this affidavit was filed</w:t>
      </w:r>
      <w:r w:rsidR="0004155B" w:rsidRPr="0075537E">
        <w:t>. Even more obviously so here</w:t>
      </w:r>
      <w:r w:rsidR="007B6872" w:rsidRPr="0075537E">
        <w:t xml:space="preserve"> where [10] begins with the phrase “[a]s a result”</w:t>
      </w:r>
      <w:r w:rsidR="0075537E">
        <w:t>, which</w:t>
      </w:r>
      <w:r w:rsidR="007B6872" w:rsidRPr="0075537E">
        <w:t xml:space="preserve"> </w:t>
      </w:r>
      <w:r w:rsidR="0075537E">
        <w:t>clearly refers</w:t>
      </w:r>
      <w:r w:rsidR="007B6872" w:rsidRPr="0075537E">
        <w:t xml:space="preserve"> to </w:t>
      </w:r>
      <w:r w:rsidR="0075537E">
        <w:t xml:space="preserve">what was stated </w:t>
      </w:r>
      <w:r w:rsidR="007B6872" w:rsidRPr="0075537E">
        <w:t>in the preceding parag</w:t>
      </w:r>
      <w:r w:rsidR="008B6125">
        <w:t>raph.</w:t>
      </w:r>
      <w:r w:rsidR="0075537E">
        <w:rPr>
          <w:i/>
        </w:rPr>
        <w:t xml:space="preserve"> </w:t>
      </w:r>
      <w:r w:rsidRPr="0075537E">
        <w:t xml:space="preserve">Based on a </w:t>
      </w:r>
      <w:r w:rsidRPr="0010778E">
        <w:t>natural meaning</w:t>
      </w:r>
      <w:r w:rsidR="007B6872" w:rsidRPr="0075537E">
        <w:t xml:space="preserve"> of the words in [9] and [10], the respondents</w:t>
      </w:r>
      <w:r w:rsidR="007463CE" w:rsidRPr="0075537E">
        <w:t>’</w:t>
      </w:r>
      <w:r w:rsidR="007B6872" w:rsidRPr="0075537E">
        <w:t xml:space="preserve"> submission that the references therein to the applicant and the Afghan witnesse</w:t>
      </w:r>
      <w:r w:rsidR="007B6872" w:rsidRPr="00852383">
        <w:t xml:space="preserve">s’ </w:t>
      </w:r>
      <w:r w:rsidR="007B6872" w:rsidRPr="00C1298D">
        <w:t xml:space="preserve">evidence </w:t>
      </w:r>
      <w:r w:rsidR="008B6125" w:rsidRPr="00C1298D">
        <w:t>are</w:t>
      </w:r>
      <w:r w:rsidR="007B6872" w:rsidRPr="00C1298D">
        <w:t xml:space="preserve"> merely</w:t>
      </w:r>
      <w:r w:rsidR="007B6872" w:rsidRPr="00852383">
        <w:t xml:space="preserve"> temp</w:t>
      </w:r>
      <w:r w:rsidR="007B6872" w:rsidRPr="0075537E">
        <w:t>oral, cannot be accepted</w:t>
      </w:r>
      <w:r w:rsidR="00496B31" w:rsidRPr="0075537E">
        <w:t>.</w:t>
      </w:r>
    </w:p>
    <w:p w14:paraId="55FC70C5" w14:textId="07B2D6A6" w:rsidR="00C47194" w:rsidRDefault="00496B31" w:rsidP="00BB3DC1">
      <w:pPr>
        <w:pStyle w:val="ParaNumbering"/>
        <w:rPr>
          <w:szCs w:val="24"/>
        </w:rPr>
      </w:pPr>
      <w:r>
        <w:t xml:space="preserve">Mr Bartlett has exposed his state of mind and reasoning process in [9], which led to the decision </w:t>
      </w:r>
      <w:r w:rsidR="00C47194">
        <w:t xml:space="preserve">referred to </w:t>
      </w:r>
      <w:r w:rsidRPr="00141DC2">
        <w:t>in [10]</w:t>
      </w:r>
      <w:r w:rsidR="00003758" w:rsidRPr="00141DC2">
        <w:t>,</w:t>
      </w:r>
      <w:r w:rsidRPr="00141DC2">
        <w:t xml:space="preserve"> </w:t>
      </w:r>
      <w:r w:rsidRPr="00141DC2">
        <w:rPr>
          <w:szCs w:val="24"/>
        </w:rPr>
        <w:t xml:space="preserve">that the </w:t>
      </w:r>
      <w:r w:rsidR="007463CE" w:rsidRPr="00141DC2">
        <w:rPr>
          <w:szCs w:val="24"/>
        </w:rPr>
        <w:t>r</w:t>
      </w:r>
      <w:r w:rsidRPr="00141DC2">
        <w:rPr>
          <w:szCs w:val="24"/>
        </w:rPr>
        <w:t xml:space="preserve">espondents </w:t>
      </w:r>
      <w:r w:rsidR="00003758" w:rsidRPr="00141DC2">
        <w:rPr>
          <w:szCs w:val="24"/>
        </w:rPr>
        <w:t>sh</w:t>
      </w:r>
      <w:r w:rsidR="00003758" w:rsidRPr="00E61754">
        <w:rPr>
          <w:szCs w:val="24"/>
        </w:rPr>
        <w:t xml:space="preserve">ould make another attempt to speak to Person 56, but </w:t>
      </w:r>
      <w:r w:rsidRPr="00E61754">
        <w:rPr>
          <w:szCs w:val="24"/>
        </w:rPr>
        <w:t>would o</w:t>
      </w:r>
      <w:r w:rsidRPr="00496B31">
        <w:rPr>
          <w:szCs w:val="24"/>
        </w:rPr>
        <w:t xml:space="preserve">nly seek to ascertain if Person 56 would </w:t>
      </w:r>
      <w:r w:rsidR="007463CE">
        <w:rPr>
          <w:szCs w:val="24"/>
        </w:rPr>
        <w:t>give evidence</w:t>
      </w:r>
      <w:r w:rsidRPr="00496B31">
        <w:rPr>
          <w:szCs w:val="24"/>
        </w:rPr>
        <w:t xml:space="preserve"> about the Darwan mission and no other issue in dispute,</w:t>
      </w:r>
      <w:r>
        <w:t xml:space="preserve"> as an explanation for the timing of </w:t>
      </w:r>
      <w:r w:rsidR="0088285A">
        <w:t xml:space="preserve">the </w:t>
      </w:r>
      <w:r>
        <w:t xml:space="preserve">application for leave. </w:t>
      </w:r>
      <w:r w:rsidR="001F0DC2">
        <w:t xml:space="preserve">Mr Bartlett refers to his state of mind about the evidence, </w:t>
      </w:r>
      <w:r w:rsidR="00424987">
        <w:t xml:space="preserve">that the evidence “emphasised” to him </w:t>
      </w:r>
      <w:r w:rsidR="001F0DC2">
        <w:t xml:space="preserve">what Person 56 </w:t>
      </w:r>
      <w:r w:rsidR="001F0DC2" w:rsidRPr="001F0DC2">
        <w:rPr>
          <w:i/>
        </w:rPr>
        <w:t>would</w:t>
      </w:r>
      <w:r w:rsidR="001F0DC2">
        <w:t xml:space="preserve"> be able to give evidence about, and what was done as a result.</w:t>
      </w:r>
      <w:r w:rsidR="00424987">
        <w:t xml:space="preserve"> I note that no explanation is provided as to what </w:t>
      </w:r>
      <w:r w:rsidR="00AE55BE">
        <w:t xml:space="preserve">aspects </w:t>
      </w:r>
      <w:r w:rsidR="00424987">
        <w:t xml:space="preserve">about the evidence led to such awareness occurring at this stage of </w:t>
      </w:r>
      <w:r w:rsidR="00AE55BE">
        <w:t xml:space="preserve">the </w:t>
      </w:r>
      <w:r w:rsidR="00424987">
        <w:t xml:space="preserve">proceeding. </w:t>
      </w:r>
      <w:r w:rsidR="00C47194">
        <w:t xml:space="preserve">From [10], it is apparent </w:t>
      </w:r>
      <w:r w:rsidR="00A86AC8">
        <w:t xml:space="preserve">that the respondents’ legal </w:t>
      </w:r>
      <w:r w:rsidR="00C47194">
        <w:t xml:space="preserve">team provided advice </w:t>
      </w:r>
      <w:r w:rsidR="00C47194" w:rsidRPr="00C47194">
        <w:rPr>
          <w:szCs w:val="24"/>
        </w:rPr>
        <w:t>to the respondents</w:t>
      </w:r>
      <w:r w:rsidR="00A86AC8" w:rsidRPr="00C47194">
        <w:rPr>
          <w:szCs w:val="24"/>
        </w:rPr>
        <w:t xml:space="preserve"> </w:t>
      </w:r>
      <w:r w:rsidR="00C47194" w:rsidRPr="00C47194">
        <w:rPr>
          <w:szCs w:val="24"/>
        </w:rPr>
        <w:t xml:space="preserve">that a further attempt should be made to see if Person 56 </w:t>
      </w:r>
      <w:r w:rsidR="00C47194" w:rsidRPr="0010778E">
        <w:rPr>
          <w:szCs w:val="24"/>
        </w:rPr>
        <w:t xml:space="preserve">would </w:t>
      </w:r>
      <w:r w:rsidR="0004155B" w:rsidRPr="0010778E">
        <w:rPr>
          <w:szCs w:val="24"/>
        </w:rPr>
        <w:t xml:space="preserve">talk </w:t>
      </w:r>
      <w:r w:rsidR="00C47194" w:rsidRPr="00191D16">
        <w:rPr>
          <w:szCs w:val="24"/>
        </w:rPr>
        <w:t>to them about the Darwan mission in particular</w:t>
      </w:r>
      <w:r w:rsidR="005C7E34" w:rsidRPr="00191D16">
        <w:rPr>
          <w:szCs w:val="24"/>
        </w:rPr>
        <w:t>.</w:t>
      </w:r>
      <w:r w:rsidR="00C47194" w:rsidRPr="0075537E">
        <w:rPr>
          <w:szCs w:val="24"/>
        </w:rPr>
        <w:t xml:space="preserve"> </w:t>
      </w:r>
      <w:r w:rsidR="005C7E34" w:rsidRPr="0075537E">
        <w:rPr>
          <w:szCs w:val="24"/>
        </w:rPr>
        <w:t>T</w:t>
      </w:r>
      <w:r w:rsidR="00C47194" w:rsidRPr="0075537E">
        <w:rPr>
          <w:szCs w:val="24"/>
        </w:rPr>
        <w:t xml:space="preserve">he respondents </w:t>
      </w:r>
      <w:r w:rsidR="005C7E34" w:rsidRPr="0075537E">
        <w:rPr>
          <w:szCs w:val="24"/>
        </w:rPr>
        <w:t xml:space="preserve">then </w:t>
      </w:r>
      <w:r w:rsidR="0065548D" w:rsidRPr="0075537E">
        <w:rPr>
          <w:szCs w:val="24"/>
        </w:rPr>
        <w:t xml:space="preserve">made a </w:t>
      </w:r>
      <w:r w:rsidR="00424987" w:rsidRPr="0075537E">
        <w:rPr>
          <w:szCs w:val="24"/>
        </w:rPr>
        <w:t xml:space="preserve">forensic decision to </w:t>
      </w:r>
      <w:r w:rsidR="00345213" w:rsidRPr="0075537E">
        <w:rPr>
          <w:szCs w:val="24"/>
        </w:rPr>
        <w:t>approach</w:t>
      </w:r>
      <w:r w:rsidR="00424987" w:rsidRPr="0075537E">
        <w:rPr>
          <w:szCs w:val="24"/>
        </w:rPr>
        <w:t xml:space="preserve"> Person 56 only on </w:t>
      </w:r>
      <w:r w:rsidR="0065548D" w:rsidRPr="00F53AC2">
        <w:rPr>
          <w:szCs w:val="24"/>
        </w:rPr>
        <w:t xml:space="preserve">that </w:t>
      </w:r>
      <w:r w:rsidR="00424987" w:rsidRPr="00F53AC2">
        <w:rPr>
          <w:szCs w:val="24"/>
        </w:rPr>
        <w:t>limited basis</w:t>
      </w:r>
      <w:r w:rsidR="005C7E34" w:rsidRPr="00E3689C">
        <w:rPr>
          <w:szCs w:val="24"/>
        </w:rPr>
        <w:t xml:space="preserve">, which </w:t>
      </w:r>
      <w:r w:rsidR="00005714" w:rsidRPr="00E3689C">
        <w:rPr>
          <w:szCs w:val="24"/>
        </w:rPr>
        <w:t>they</w:t>
      </w:r>
      <w:r w:rsidR="005C7E34" w:rsidRPr="00236059">
        <w:rPr>
          <w:szCs w:val="24"/>
        </w:rPr>
        <w:t xml:space="preserve"> acted on</w:t>
      </w:r>
      <w:r w:rsidR="0004155B" w:rsidRPr="00236059">
        <w:rPr>
          <w:szCs w:val="24"/>
        </w:rPr>
        <w:t>.</w:t>
      </w:r>
      <w:r w:rsidR="00345213" w:rsidRPr="00236059">
        <w:rPr>
          <w:szCs w:val="24"/>
        </w:rPr>
        <w:t xml:space="preserve"> </w:t>
      </w:r>
      <w:r w:rsidR="0004155B" w:rsidRPr="00236059">
        <w:rPr>
          <w:szCs w:val="24"/>
        </w:rPr>
        <w:t>The</w:t>
      </w:r>
      <w:r w:rsidR="00BB3DC1" w:rsidRPr="00236059">
        <w:rPr>
          <w:szCs w:val="24"/>
        </w:rPr>
        <w:t xml:space="preserve"> affidavit of Mr Bartlett, in particular [9] and [10], is then</w:t>
      </w:r>
      <w:r w:rsidR="00B615D3" w:rsidRPr="00236059">
        <w:rPr>
          <w:szCs w:val="24"/>
        </w:rPr>
        <w:t xml:space="preserve"> being deployed </w:t>
      </w:r>
      <w:r w:rsidR="00BB3DC1" w:rsidRPr="00236059">
        <w:rPr>
          <w:szCs w:val="24"/>
        </w:rPr>
        <w:t xml:space="preserve">by the respondents to advance </w:t>
      </w:r>
      <w:r w:rsidR="00DF1DBA" w:rsidRPr="00236059">
        <w:rPr>
          <w:szCs w:val="24"/>
        </w:rPr>
        <w:t xml:space="preserve">their </w:t>
      </w:r>
      <w:r w:rsidR="00BB3DC1" w:rsidRPr="00236059">
        <w:rPr>
          <w:szCs w:val="24"/>
        </w:rPr>
        <w:t xml:space="preserve">application as to why leave </w:t>
      </w:r>
      <w:r w:rsidR="0004155B" w:rsidRPr="0010778E">
        <w:rPr>
          <w:szCs w:val="24"/>
        </w:rPr>
        <w:t xml:space="preserve">to issue a subpoena to Person 56 </w:t>
      </w:r>
      <w:r w:rsidR="00BB3DC1" w:rsidRPr="0010778E">
        <w:rPr>
          <w:szCs w:val="24"/>
        </w:rPr>
        <w:t>sho</w:t>
      </w:r>
      <w:r w:rsidR="00BB3DC1" w:rsidRPr="00191D16">
        <w:rPr>
          <w:szCs w:val="24"/>
        </w:rPr>
        <w:t>uld be granted at this late stage of the p</w:t>
      </w:r>
      <w:r w:rsidR="00BB3DC1" w:rsidRPr="00BB3DC1">
        <w:rPr>
          <w:szCs w:val="24"/>
        </w:rPr>
        <w:t xml:space="preserve">roceedings. </w:t>
      </w:r>
      <w:r w:rsidR="00571329">
        <w:rPr>
          <w:szCs w:val="24"/>
        </w:rPr>
        <w:t xml:space="preserve">It is being relied on </w:t>
      </w:r>
      <w:r w:rsidR="00815BCF">
        <w:rPr>
          <w:szCs w:val="24"/>
        </w:rPr>
        <w:t>in circumstances which invite</w:t>
      </w:r>
      <w:r w:rsidR="00571329">
        <w:rPr>
          <w:szCs w:val="24"/>
        </w:rPr>
        <w:t xml:space="preserve"> scrutiny</w:t>
      </w:r>
      <w:r w:rsidR="007E4BC7">
        <w:rPr>
          <w:szCs w:val="24"/>
        </w:rPr>
        <w:t xml:space="preserve">: </w:t>
      </w:r>
      <w:r w:rsidR="007E4BC7" w:rsidRPr="007E4BC7">
        <w:rPr>
          <w:i/>
          <w:szCs w:val="24"/>
        </w:rPr>
        <w:t xml:space="preserve">DSE </w:t>
      </w:r>
      <w:r w:rsidR="007E4BC7">
        <w:rPr>
          <w:szCs w:val="24"/>
        </w:rPr>
        <w:t xml:space="preserve">at [58]; </w:t>
      </w:r>
      <w:r w:rsidR="007E4BC7" w:rsidRPr="00AB7837">
        <w:rPr>
          <w:i/>
          <w:szCs w:val="24"/>
        </w:rPr>
        <w:t xml:space="preserve">Rio Tinto </w:t>
      </w:r>
      <w:r w:rsidR="007E4BC7">
        <w:rPr>
          <w:szCs w:val="24"/>
        </w:rPr>
        <w:t>at [61].</w:t>
      </w:r>
      <w:r w:rsidR="00B75597">
        <w:rPr>
          <w:szCs w:val="24"/>
        </w:rPr>
        <w:t xml:space="preserve"> </w:t>
      </w:r>
      <w:r w:rsidR="00840EE5" w:rsidRPr="00236059">
        <w:rPr>
          <w:szCs w:val="24"/>
        </w:rPr>
        <w:t>Paragraph</w:t>
      </w:r>
      <w:r w:rsidR="00840EE5">
        <w:rPr>
          <w:szCs w:val="24"/>
        </w:rPr>
        <w:t>s</w:t>
      </w:r>
      <w:r w:rsidR="00840EE5" w:rsidRPr="00236059">
        <w:rPr>
          <w:szCs w:val="24"/>
        </w:rPr>
        <w:t xml:space="preserve"> [9] and [10] of Mr Bartlett’s affidavit constitutes </w:t>
      </w:r>
      <w:r w:rsidR="00840EE5" w:rsidRPr="00236059">
        <w:t>disclosure of the privileged communication between the respondents’ legal team and the respondents.</w:t>
      </w:r>
      <w:r w:rsidR="00C1298D">
        <w:t xml:space="preserve"> </w:t>
      </w:r>
    </w:p>
    <w:p w14:paraId="7071EFF1" w14:textId="34DECC09" w:rsidR="00496B31" w:rsidRPr="001F0DC2" w:rsidRDefault="00496B31" w:rsidP="00496B31">
      <w:pPr>
        <w:pStyle w:val="ParaNumbering"/>
      </w:pPr>
      <w:r w:rsidRPr="001F0DC2">
        <w:t>In oral submissions</w:t>
      </w:r>
      <w:r w:rsidR="002466A7">
        <w:t>,</w:t>
      </w:r>
      <w:r w:rsidRPr="001F0DC2">
        <w:t xml:space="preserve"> </w:t>
      </w:r>
      <w:r w:rsidR="001F0DC2" w:rsidRPr="001F0DC2">
        <w:t xml:space="preserve">the respondents </w:t>
      </w:r>
      <w:r w:rsidRPr="001F0DC2">
        <w:t xml:space="preserve">articulated </w:t>
      </w:r>
      <w:r w:rsidR="002466A7">
        <w:t>their</w:t>
      </w:r>
      <w:r w:rsidR="002466A7" w:rsidRPr="001F0DC2">
        <w:t xml:space="preserve"> </w:t>
      </w:r>
      <w:r w:rsidR="001F0DC2" w:rsidRPr="001F0DC2">
        <w:t>submission</w:t>
      </w:r>
      <w:r w:rsidR="00571329">
        <w:t xml:space="preserve"> (in part)</w:t>
      </w:r>
      <w:r w:rsidR="001F0DC2" w:rsidRPr="001F0DC2">
        <w:t xml:space="preserve"> </w:t>
      </w:r>
      <w:r w:rsidRPr="001F0DC2">
        <w:t xml:space="preserve">as follows: </w:t>
      </w:r>
    </w:p>
    <w:p w14:paraId="5E0EDCD2" w14:textId="77777777" w:rsidR="00496B31" w:rsidRPr="007B6872" w:rsidRDefault="00496B31" w:rsidP="00820EA7">
      <w:pPr>
        <w:pStyle w:val="Quote1"/>
      </w:pPr>
      <w:r w:rsidRPr="007B6872">
        <w:t>…it is no different to the very common situation in litigation where a party either does something, that everything that is done in court – I mean, for example, I stand up and say I’m going to call Witness X. It is obvious, with respect, that that is being done usually having – as</w:t>
      </w:r>
      <w:r w:rsidRPr="007B6872">
        <w:rPr>
          <w:spacing w:val="-7"/>
        </w:rPr>
        <w:t xml:space="preserve"> </w:t>
      </w:r>
      <w:r w:rsidRPr="007B6872">
        <w:t>a result of the product of some legal thinking and some legal advice having gone into it. When a party says, “I want to do something,” or “I’m going to do something,” or “I did something,” that doesn’t effect a waiver and it doesn’t mean that all of the advice and all of the thinking and all of the instructions which underlie whatever it is that has been done or whatever the decision is that has been communicated is –</w:t>
      </w:r>
      <w:r w:rsidRPr="007B6872">
        <w:rPr>
          <w:spacing w:val="-6"/>
        </w:rPr>
        <w:t xml:space="preserve"> </w:t>
      </w:r>
      <w:r w:rsidRPr="007B6872">
        <w:t>that there’s a general waiver in relation to those</w:t>
      </w:r>
      <w:r w:rsidRPr="007B6872">
        <w:rPr>
          <w:spacing w:val="-3"/>
        </w:rPr>
        <w:t xml:space="preserve"> </w:t>
      </w:r>
      <w:r w:rsidRPr="007B6872">
        <w:t>matters.</w:t>
      </w:r>
    </w:p>
    <w:p w14:paraId="282D65B1" w14:textId="724ECAC9" w:rsidR="00496B31" w:rsidRPr="001747C5" w:rsidRDefault="001F0DC2" w:rsidP="001F0DC2">
      <w:pPr>
        <w:pStyle w:val="ParaNumbering"/>
      </w:pPr>
      <w:r>
        <w:lastRenderedPageBreak/>
        <w:t xml:space="preserve">Although as a general proposition that is correct, the analogy is inapt. </w:t>
      </w:r>
      <w:r w:rsidR="00A0012E" w:rsidRPr="00C1298D">
        <w:t>Contrary to the respondents’ submission, it is not just the fact of legal advice havin</w:t>
      </w:r>
      <w:r w:rsidR="00A0012E" w:rsidRPr="00E31895">
        <w:t xml:space="preserve">g been </w:t>
      </w:r>
      <w:r w:rsidR="00A0012E" w:rsidRPr="00003758">
        <w:t>given, but content</w:t>
      </w:r>
      <w:r w:rsidR="00D52471" w:rsidRPr="00E31895">
        <w:t xml:space="preserve"> of that advice</w:t>
      </w:r>
      <w:r w:rsidR="007A6E7E" w:rsidRPr="00E31895">
        <w:t>,</w:t>
      </w:r>
      <w:r w:rsidR="00C1298D" w:rsidRPr="00E31895">
        <w:t xml:space="preserve"> </w:t>
      </w:r>
      <w:r w:rsidR="00D52471" w:rsidRPr="00E31895">
        <w:t>is disclosed</w:t>
      </w:r>
      <w:r w:rsidR="00A0012E" w:rsidRPr="00E31895">
        <w:t>.</w:t>
      </w:r>
      <w:r w:rsidR="00852383" w:rsidRPr="00E31895">
        <w:t xml:space="preserve"> </w:t>
      </w:r>
      <w:r w:rsidR="00A0012E" w:rsidRPr="00E31895">
        <w:t>The submission</w:t>
      </w:r>
      <w:r w:rsidRPr="00E31895">
        <w:t xml:space="preserve"> </w:t>
      </w:r>
      <w:r w:rsidR="00571329" w:rsidRPr="00E31895">
        <w:t>pays no regard to</w:t>
      </w:r>
      <w:r w:rsidRPr="00E31895">
        <w:t xml:space="preserve"> the terms of </w:t>
      </w:r>
      <w:r w:rsidR="00C47194" w:rsidRPr="00E31895">
        <w:t>[9] and [</w:t>
      </w:r>
      <w:r w:rsidR="00C47194" w:rsidRPr="00AC1689">
        <w:t xml:space="preserve">10], </w:t>
      </w:r>
      <w:r w:rsidR="00141D3E" w:rsidRPr="009841B3">
        <w:t xml:space="preserve">nor </w:t>
      </w:r>
      <w:r w:rsidR="00C47194" w:rsidRPr="009841B3">
        <w:t>the</w:t>
      </w:r>
      <w:r w:rsidRPr="009841B3">
        <w:t xml:space="preserve"> purpose for </w:t>
      </w:r>
      <w:r w:rsidR="00141D3E" w:rsidRPr="009841B3">
        <w:t xml:space="preserve">which </w:t>
      </w:r>
      <w:r w:rsidRPr="00F017B6">
        <w:t xml:space="preserve">the affidavit </w:t>
      </w:r>
      <w:r w:rsidR="00141D3E" w:rsidRPr="001747C5">
        <w:t xml:space="preserve">is relied on </w:t>
      </w:r>
      <w:r w:rsidRPr="001747C5">
        <w:t xml:space="preserve">and the nature of the application. It also ignores the circumstances in which this application </w:t>
      </w:r>
      <w:r w:rsidR="00430E92" w:rsidRPr="001747C5">
        <w:t xml:space="preserve">was </w:t>
      </w:r>
      <w:r w:rsidRPr="001747C5">
        <w:t xml:space="preserve">made. </w:t>
      </w:r>
    </w:p>
    <w:p w14:paraId="5CF5D11C" w14:textId="47607709" w:rsidR="00BB3DC1" w:rsidRPr="00C1298D" w:rsidRDefault="00BB3DC1" w:rsidP="00BB3DC1">
      <w:pPr>
        <w:pStyle w:val="ParaNumbering"/>
        <w:rPr>
          <w:szCs w:val="24"/>
        </w:rPr>
      </w:pPr>
      <w:r w:rsidRPr="001747C5">
        <w:rPr>
          <w:szCs w:val="24"/>
        </w:rPr>
        <w:t>I note that in the circumstances, the respondent</w:t>
      </w:r>
      <w:r w:rsidR="00E14707" w:rsidRPr="001747C5">
        <w:rPr>
          <w:szCs w:val="24"/>
        </w:rPr>
        <w:t>’</w:t>
      </w:r>
      <w:r w:rsidRPr="001747C5">
        <w:rPr>
          <w:szCs w:val="24"/>
        </w:rPr>
        <w:t xml:space="preserve">s reliance on [2] of </w:t>
      </w:r>
      <w:r w:rsidR="00126D74" w:rsidRPr="001747C5">
        <w:rPr>
          <w:szCs w:val="24"/>
        </w:rPr>
        <w:t>the October Bartlett Affidavit</w:t>
      </w:r>
      <w:r w:rsidRPr="001747C5">
        <w:rPr>
          <w:szCs w:val="24"/>
        </w:rPr>
        <w:t xml:space="preserve">, </w:t>
      </w:r>
      <w:r w:rsidR="0004155B" w:rsidRPr="001747C5">
        <w:rPr>
          <w:szCs w:val="24"/>
        </w:rPr>
        <w:t xml:space="preserve">where </w:t>
      </w:r>
      <w:r w:rsidR="000E3B81" w:rsidRPr="007A6E7E">
        <w:rPr>
          <w:szCs w:val="24"/>
        </w:rPr>
        <w:t xml:space="preserve">Mr Bartlett </w:t>
      </w:r>
      <w:r w:rsidR="0004155B" w:rsidRPr="007A6E7E">
        <w:rPr>
          <w:szCs w:val="24"/>
        </w:rPr>
        <w:t xml:space="preserve">states that </w:t>
      </w:r>
      <w:r w:rsidRPr="007A6E7E">
        <w:rPr>
          <w:szCs w:val="24"/>
        </w:rPr>
        <w:t>he does not intend</w:t>
      </w:r>
      <w:r w:rsidRPr="007A6E7E">
        <w:rPr>
          <w:spacing w:val="-14"/>
          <w:szCs w:val="24"/>
        </w:rPr>
        <w:t xml:space="preserve"> </w:t>
      </w:r>
      <w:r w:rsidRPr="007A6E7E">
        <w:rPr>
          <w:szCs w:val="24"/>
        </w:rPr>
        <w:t>to</w:t>
      </w:r>
      <w:r w:rsidRPr="007A6E7E">
        <w:rPr>
          <w:spacing w:val="-14"/>
          <w:szCs w:val="24"/>
        </w:rPr>
        <w:t xml:space="preserve"> </w:t>
      </w:r>
      <w:r w:rsidRPr="007A6E7E">
        <w:rPr>
          <w:szCs w:val="24"/>
        </w:rPr>
        <w:t>waive</w:t>
      </w:r>
      <w:r w:rsidRPr="007A6E7E">
        <w:rPr>
          <w:spacing w:val="-13"/>
          <w:szCs w:val="24"/>
        </w:rPr>
        <w:t xml:space="preserve"> </w:t>
      </w:r>
      <w:r w:rsidRPr="007A6E7E">
        <w:rPr>
          <w:szCs w:val="24"/>
        </w:rPr>
        <w:t>any</w:t>
      </w:r>
      <w:r w:rsidRPr="007A6E7E">
        <w:rPr>
          <w:spacing w:val="-13"/>
          <w:szCs w:val="24"/>
        </w:rPr>
        <w:t xml:space="preserve"> </w:t>
      </w:r>
      <w:r w:rsidRPr="007A6E7E">
        <w:rPr>
          <w:szCs w:val="24"/>
        </w:rPr>
        <w:t>legal professional</w:t>
      </w:r>
      <w:r w:rsidRPr="007A6E7E">
        <w:rPr>
          <w:spacing w:val="-8"/>
          <w:szCs w:val="24"/>
        </w:rPr>
        <w:t xml:space="preserve"> </w:t>
      </w:r>
      <w:r w:rsidRPr="007A6E7E">
        <w:rPr>
          <w:szCs w:val="24"/>
        </w:rPr>
        <w:t>privilege</w:t>
      </w:r>
      <w:r w:rsidRPr="007A6E7E">
        <w:rPr>
          <w:spacing w:val="-4"/>
          <w:szCs w:val="24"/>
        </w:rPr>
        <w:t xml:space="preserve">, does not assist. </w:t>
      </w:r>
      <w:r w:rsidRPr="007A6E7E">
        <w:t>What brings about waiver is inconsistency in conduct by the respondents, and where such inconsistency is established, privilege is waived, even though that consequence may not reflect the subjective intention of the party who has lost the privilege</w:t>
      </w:r>
      <w:r w:rsidR="00E2704E" w:rsidRPr="007A6E7E">
        <w:t xml:space="preserve">: </w:t>
      </w:r>
      <w:r w:rsidR="00E2704E" w:rsidRPr="00C1298D">
        <w:rPr>
          <w:i/>
        </w:rPr>
        <w:t xml:space="preserve">Mann </w:t>
      </w:r>
      <w:r w:rsidR="00E2704E" w:rsidRPr="00C1298D">
        <w:t xml:space="preserve">at [29]; </w:t>
      </w:r>
      <w:r w:rsidR="00E2704E" w:rsidRPr="00C1298D">
        <w:rPr>
          <w:i/>
        </w:rPr>
        <w:t>Rio Tinto</w:t>
      </w:r>
      <w:r w:rsidR="00E2704E" w:rsidRPr="00C1298D">
        <w:t xml:space="preserve"> at [74].</w:t>
      </w:r>
      <w:r w:rsidR="00D64DCD" w:rsidRPr="007A6E7E">
        <w:t xml:space="preserve"> </w:t>
      </w:r>
      <w:r w:rsidR="00D64DCD" w:rsidRPr="007A6E7E">
        <w:rPr>
          <w:szCs w:val="24"/>
        </w:rPr>
        <w:t>I note in this context that despite [2] of Mr</w:t>
      </w:r>
      <w:r w:rsidR="00E14707" w:rsidRPr="00AC1689">
        <w:rPr>
          <w:szCs w:val="24"/>
        </w:rPr>
        <w:t> </w:t>
      </w:r>
      <w:r w:rsidR="00D64DCD" w:rsidRPr="00AC1689">
        <w:rPr>
          <w:szCs w:val="24"/>
        </w:rPr>
        <w:t xml:space="preserve">Bartlett’s affidavit, in his affidavit of 19 November 2021, he accepts that his October affidavit waived privilege in respect to other documents (being </w:t>
      </w:r>
      <w:r w:rsidR="00D64DCD" w:rsidRPr="009841B3">
        <w:rPr>
          <w:szCs w:val="24"/>
        </w:rPr>
        <w:t>two emails)</w:t>
      </w:r>
      <w:r w:rsidR="00E2704E" w:rsidRPr="009841B3">
        <w:rPr>
          <w:szCs w:val="24"/>
        </w:rPr>
        <w:t xml:space="preserve">, </w:t>
      </w:r>
      <w:r w:rsidR="00E2704E" w:rsidRPr="00C1298D">
        <w:rPr>
          <w:szCs w:val="24"/>
        </w:rPr>
        <w:t>and the documents were accordingly produced</w:t>
      </w:r>
      <w:r w:rsidR="00D64DCD" w:rsidRPr="00C1298D">
        <w:rPr>
          <w:szCs w:val="24"/>
        </w:rPr>
        <w:t xml:space="preserve">.  </w:t>
      </w:r>
    </w:p>
    <w:p w14:paraId="0C0663DF" w14:textId="13ECB721" w:rsidR="00424987" w:rsidRPr="00E2704E" w:rsidRDefault="00424987" w:rsidP="00424987">
      <w:pPr>
        <w:pStyle w:val="ParaNumbering"/>
      </w:pPr>
      <w:r w:rsidRPr="00E2704E">
        <w:t>The respondents</w:t>
      </w:r>
      <w:r w:rsidR="003A63CC" w:rsidRPr="00E2704E">
        <w:t>’</w:t>
      </w:r>
      <w:r w:rsidRPr="00E2704E">
        <w:t xml:space="preserve"> </w:t>
      </w:r>
      <w:r w:rsidR="003F0D3C" w:rsidRPr="00E2704E">
        <w:t>First Objection Schedu</w:t>
      </w:r>
      <w:r w:rsidR="003F0D3C" w:rsidRPr="009F0F64">
        <w:t>le</w:t>
      </w:r>
      <w:r w:rsidR="00E2704E" w:rsidRPr="001704D2">
        <w:t xml:space="preserve">, </w:t>
      </w:r>
      <w:r w:rsidR="00E2704E" w:rsidRPr="00C1298D">
        <w:t>given the categories of documents sought by the notice to produce</w:t>
      </w:r>
      <w:r w:rsidR="00E2704E" w:rsidRPr="009F0F64">
        <w:t>,</w:t>
      </w:r>
      <w:r w:rsidRPr="001704D2">
        <w:t xml:space="preserve"> </w:t>
      </w:r>
      <w:r w:rsidR="00F04644" w:rsidRPr="00C04ED9">
        <w:t xml:space="preserve">reflects that Documents </w:t>
      </w:r>
      <w:r w:rsidR="00F428AC">
        <w:t>1 and 2</w:t>
      </w:r>
      <w:r w:rsidRPr="00D436C6">
        <w:t xml:space="preserve"> record the co</w:t>
      </w:r>
      <w:r w:rsidRPr="00E2704E">
        <w:t>mmunications between the respondents and their lawyers concerning the decision to approach Person 56 after the applicant and the</w:t>
      </w:r>
      <w:r w:rsidRPr="00E2704E">
        <w:rPr>
          <w:spacing w:val="-8"/>
        </w:rPr>
        <w:t xml:space="preserve"> </w:t>
      </w:r>
      <w:r w:rsidRPr="00E2704E">
        <w:t>Afghan witnesses had ceased giving their</w:t>
      </w:r>
      <w:r w:rsidRPr="00E2704E">
        <w:rPr>
          <w:spacing w:val="-1"/>
        </w:rPr>
        <w:t xml:space="preserve"> </w:t>
      </w:r>
      <w:r w:rsidRPr="00E2704E">
        <w:t>evidence.</w:t>
      </w:r>
      <w:r w:rsidR="00F04644" w:rsidRPr="00E2704E">
        <w:t xml:space="preserve"> I note </w:t>
      </w:r>
      <w:r w:rsidR="00B75597" w:rsidRPr="00E2704E">
        <w:t xml:space="preserve">also </w:t>
      </w:r>
      <w:r w:rsidR="00F04644" w:rsidRPr="00E2704E">
        <w:t>that although the respondent</w:t>
      </w:r>
      <w:r w:rsidR="003F0D3C" w:rsidRPr="00E2704E">
        <w:t>s</w:t>
      </w:r>
      <w:r w:rsidR="00F04644" w:rsidRPr="00E2704E">
        <w:t xml:space="preserve"> submitted that there was no waiver of privilege, they did not suggest Documents </w:t>
      </w:r>
      <w:r w:rsidR="00F428AC">
        <w:t>1 and 2</w:t>
      </w:r>
      <w:r w:rsidR="00F04644" w:rsidRPr="00E2704E">
        <w:t xml:space="preserve"> were not relevant to this submission, or that if privilege was waived, that Documents </w:t>
      </w:r>
      <w:r w:rsidR="00F428AC">
        <w:t>1 and 2</w:t>
      </w:r>
      <w:r w:rsidR="00F04644" w:rsidRPr="00E2704E">
        <w:t xml:space="preserve"> are not the relevant documents to which access would be given. </w:t>
      </w:r>
    </w:p>
    <w:p w14:paraId="6576E0DB" w14:textId="1F7D22CC" w:rsidR="00424987" w:rsidRDefault="00B615D3" w:rsidP="00424987">
      <w:pPr>
        <w:pStyle w:val="ParaNumbering"/>
      </w:pPr>
      <w:r>
        <w:t>I am satisfied t</w:t>
      </w:r>
      <w:r w:rsidR="000615A8">
        <w:t xml:space="preserve">here </w:t>
      </w:r>
      <w:r w:rsidR="00BB3DC1">
        <w:t xml:space="preserve">is an </w:t>
      </w:r>
      <w:r w:rsidR="000615A8">
        <w:t xml:space="preserve">inconsistency between the content of [9] and [10] of Mr Bartlett’s affidavit and the use to which it is to be put by the respondents, and the maintenance of </w:t>
      </w:r>
      <w:r w:rsidR="00BB3DC1">
        <w:t>their</w:t>
      </w:r>
      <w:r w:rsidR="000615A8">
        <w:t xml:space="preserve"> claim for privilege over Documents </w:t>
      </w:r>
      <w:r w:rsidR="00F428AC">
        <w:t>1 and 2</w:t>
      </w:r>
      <w:r w:rsidR="00BB3DC1">
        <w:t>, such as to constitute an implied waiver of legal professional privilege.</w:t>
      </w:r>
    </w:p>
    <w:p w14:paraId="3FC0BA7D" w14:textId="02B45658" w:rsidR="00571329" w:rsidRDefault="00571329" w:rsidP="00571329">
      <w:pPr>
        <w:pStyle w:val="ParaNumbering"/>
      </w:pPr>
      <w:r>
        <w:t>As a consequence, the applicant should have access to the documents in categories 1, 2 and 3 of the notice to produce issued by the applicant on 5 November</w:t>
      </w:r>
      <w:r>
        <w:rPr>
          <w:spacing w:val="-3"/>
        </w:rPr>
        <w:t xml:space="preserve"> </w:t>
      </w:r>
      <w:r>
        <w:t>2021</w:t>
      </w:r>
      <w:r w:rsidR="008A37DC">
        <w:t>, being Documents 1 and 2 identified in the First Objection Schedule</w:t>
      </w:r>
      <w:r>
        <w:t xml:space="preserve">. </w:t>
      </w:r>
    </w:p>
    <w:p w14:paraId="4F09A32A" w14:textId="3A580C07" w:rsidR="0094125A" w:rsidRPr="0094125A" w:rsidRDefault="00D97C6E" w:rsidP="00820EA7">
      <w:pPr>
        <w:pStyle w:val="Heading3"/>
      </w:pPr>
      <w:r>
        <w:t>Document 17 (</w:t>
      </w:r>
      <w:r w:rsidR="0094125A" w:rsidRPr="0094125A">
        <w:t>Email of 1 September 2021</w:t>
      </w:r>
      <w:r>
        <w:t>)</w:t>
      </w:r>
    </w:p>
    <w:p w14:paraId="2A2FFBE6" w14:textId="418F5C12" w:rsidR="0094125A" w:rsidRDefault="00571329" w:rsidP="00BD58F3">
      <w:pPr>
        <w:pStyle w:val="ParaNumbering"/>
      </w:pPr>
      <w:r>
        <w:t xml:space="preserve">This </w:t>
      </w:r>
      <w:r w:rsidR="0003573D">
        <w:t>document</w:t>
      </w:r>
      <w:r w:rsidR="00C30976">
        <w:t xml:space="preserve"> </w:t>
      </w:r>
      <w:r>
        <w:t xml:space="preserve">comprises </w:t>
      </w:r>
      <w:r w:rsidR="005A7C5A">
        <w:t>an email from the respondents</w:t>
      </w:r>
      <w:r w:rsidR="00300D8D">
        <w:t>’</w:t>
      </w:r>
      <w:r w:rsidR="005A7C5A">
        <w:t xml:space="preserve"> solicitor</w:t>
      </w:r>
      <w:r w:rsidR="00C30976">
        <w:t>,</w:t>
      </w:r>
      <w:r w:rsidR="005A7C5A">
        <w:t xml:space="preserve"> Mr Levitan</w:t>
      </w:r>
      <w:r w:rsidR="00C30976">
        <w:t>,</w:t>
      </w:r>
      <w:r w:rsidR="005A7C5A">
        <w:t xml:space="preserve"> to Mr Richter, lawyer for Person 56. The email contains redactions. In summary, as noted above, the applicant contended that there is an express waiver of privilege by the respondents and </w:t>
      </w:r>
      <w:r w:rsidR="007A07E7">
        <w:t xml:space="preserve">he is entitled to </w:t>
      </w:r>
      <w:r w:rsidR="007A07E7">
        <w:lastRenderedPageBreak/>
        <w:t xml:space="preserve">the remainder as it is associated material in which </w:t>
      </w:r>
      <w:r w:rsidR="00501AD3">
        <w:t xml:space="preserve">privilege </w:t>
      </w:r>
      <w:r w:rsidR="007A07E7">
        <w:t>has been impliedly waived.</w:t>
      </w:r>
      <w:r w:rsidR="005A7C5A">
        <w:t xml:space="preserve"> </w:t>
      </w:r>
      <w:r w:rsidR="00DE3565">
        <w:t>T</w:t>
      </w:r>
      <w:r w:rsidR="005A7C5A">
        <w:t>he respondent</w:t>
      </w:r>
      <w:r w:rsidR="00DE3565">
        <w:t>s</w:t>
      </w:r>
      <w:r w:rsidR="005A7C5A">
        <w:t xml:space="preserve"> accept they have voluntarily waived privilege </w:t>
      </w:r>
      <w:r w:rsidR="00DE3565">
        <w:t xml:space="preserve">in respect of the unredacted material in this email. In </w:t>
      </w:r>
      <w:r w:rsidR="005A7C5A">
        <w:t xml:space="preserve">the </w:t>
      </w:r>
      <w:r w:rsidR="00DE3565">
        <w:t xml:space="preserve">First November </w:t>
      </w:r>
      <w:r w:rsidR="00001369">
        <w:t xml:space="preserve">Bartlett </w:t>
      </w:r>
      <w:r w:rsidR="00DE3565">
        <w:t>Affidavit</w:t>
      </w:r>
      <w:r w:rsidR="00A24704">
        <w:t xml:space="preserve"> at [8]</w:t>
      </w:r>
      <w:r w:rsidR="00DE3565">
        <w:t>, Mr Bartlett</w:t>
      </w:r>
      <w:r w:rsidR="00A24704">
        <w:t xml:space="preserve"> deposes: </w:t>
      </w:r>
    </w:p>
    <w:p w14:paraId="65C3B960" w14:textId="15447EFF" w:rsidR="005A7C5A" w:rsidRPr="005A7C5A" w:rsidRDefault="005A7C5A" w:rsidP="00C3476C">
      <w:pPr>
        <w:pStyle w:val="Quote1"/>
      </w:pPr>
      <w:r>
        <w:t xml:space="preserve">The redacted part of the 1 September Email refers to other confidential communications between Mr Levitan and Mr Richter. </w:t>
      </w:r>
      <w:r w:rsidRPr="005A7C5A">
        <w:t>The Respondents maintain a claim for legal professional privilege in respect of those other communications, and privilege is maintained over the redacted part of the 1 September Email in order to prevent a waiver of other communications. The part of the email that is redacted is not required to enable a proper understanding of the part of the 1 September Email that has been disclosed (or the 6 September 2021</w:t>
      </w:r>
      <w:r w:rsidRPr="005A7C5A">
        <w:rPr>
          <w:spacing w:val="-6"/>
        </w:rPr>
        <w:t xml:space="preserve"> </w:t>
      </w:r>
      <w:r w:rsidRPr="005A7C5A">
        <w:t>response).</w:t>
      </w:r>
    </w:p>
    <w:p w14:paraId="0AB63FAE" w14:textId="2A96C91E" w:rsidR="00B615D3" w:rsidRPr="00E2704E" w:rsidRDefault="00B615D3" w:rsidP="00B615D3">
      <w:pPr>
        <w:pStyle w:val="ParaNumbering"/>
      </w:pPr>
      <w:r>
        <w:t xml:space="preserve">The test applied to determine the scope of any waiver of associated material is whether the material that the party has chosen to release from privilege represents the whole of the material relevant to the same issue or subject matter: </w:t>
      </w:r>
      <w:r w:rsidRPr="00C3476C">
        <w:rPr>
          <w:i/>
        </w:rPr>
        <w:t xml:space="preserve">AWB </w:t>
      </w:r>
      <w:r w:rsidR="0063115A" w:rsidRPr="00C3476C">
        <w:rPr>
          <w:i/>
        </w:rPr>
        <w:t>(No 5)</w:t>
      </w:r>
      <w:r>
        <w:t xml:space="preserve"> at [164] citing </w:t>
      </w:r>
      <w:r w:rsidR="00A245C5" w:rsidRPr="00114BBF">
        <w:rPr>
          <w:i/>
        </w:rPr>
        <w:t xml:space="preserve">Attorney-General (NT) v </w:t>
      </w:r>
      <w:r w:rsidRPr="00114BBF">
        <w:rPr>
          <w:i/>
          <w:iCs/>
        </w:rPr>
        <w:t>Maurice</w:t>
      </w:r>
      <w:r w:rsidRPr="00114BBF">
        <w:t xml:space="preserve"> </w:t>
      </w:r>
      <w:r w:rsidR="003D534C" w:rsidRPr="00114BBF">
        <w:t xml:space="preserve">[1986] HCA 80; </w:t>
      </w:r>
      <w:r w:rsidR="00A245C5" w:rsidRPr="00114BBF">
        <w:t xml:space="preserve">(1986) 161 CLR 475 </w:t>
      </w:r>
      <w:r>
        <w:t xml:space="preserve">at 482, 484, 488 and 498–499. </w:t>
      </w:r>
      <w:r w:rsidR="00BD7A4B">
        <w:t>That is, whether the production of the document impliedly waives privilege in associated material.</w:t>
      </w:r>
      <w:r w:rsidR="00013FE8">
        <w:t xml:space="preserve"> I observe that Mr Bartlett does not suggest that the redacted passages relate to some other subject matter</w:t>
      </w:r>
      <w:r w:rsidR="00E2704E">
        <w:t xml:space="preserve"> </w:t>
      </w:r>
      <w:r w:rsidR="00730D83" w:rsidRPr="00E2704E">
        <w:t>though it is said that the redacted passages do not concern or touch upon the arrangement with Person 56</w:t>
      </w:r>
      <w:r w:rsidR="00E2704E" w:rsidRPr="00E2704E">
        <w:t>.</w:t>
      </w:r>
    </w:p>
    <w:p w14:paraId="232228F0" w14:textId="3E8DD154" w:rsidR="007A07E7" w:rsidRDefault="007A07E7" w:rsidP="00BD7A4B">
      <w:pPr>
        <w:pStyle w:val="ParaNumbering"/>
      </w:pPr>
      <w:r>
        <w:t>Moreover, in so far as the respondent</w:t>
      </w:r>
      <w:r w:rsidR="00095287">
        <w:t>s</w:t>
      </w:r>
      <w:r>
        <w:t xml:space="preserve"> depose that the redacted part of the email is not necessary to enable a proper understanding of the disclosed aspect, I note that in </w:t>
      </w:r>
      <w:r w:rsidRPr="00C3476C">
        <w:rPr>
          <w:i/>
        </w:rPr>
        <w:t>AWB (No 5)</w:t>
      </w:r>
      <w:r w:rsidR="00995EF2">
        <w:t xml:space="preserve">, Young J </w:t>
      </w:r>
      <w:r>
        <w:t xml:space="preserve">observed at [167]: </w:t>
      </w:r>
    </w:p>
    <w:p w14:paraId="6449BADC" w14:textId="1A2021C0" w:rsidR="000A0E91" w:rsidRDefault="000A0E91" w:rsidP="000A0E91">
      <w:pPr>
        <w:pStyle w:val="Quote1"/>
      </w:pPr>
      <w:r>
        <w:t xml:space="preserve">AWB relied upon the way in which the principle was formulated by the Court of Appeal in </w:t>
      </w:r>
      <w:r w:rsidRPr="00C3476C">
        <w:rPr>
          <w:i/>
        </w:rPr>
        <w:t xml:space="preserve">British American Tobacco Australia Services Ltd v Cowell </w:t>
      </w:r>
      <w:r>
        <w:t>(2002) 7 VR 524 (at [121]):</w:t>
      </w:r>
    </w:p>
    <w:p w14:paraId="74D07E30" w14:textId="6C66D688" w:rsidR="000A0E91" w:rsidRDefault="000A0E91" w:rsidP="00C3476C">
      <w:pPr>
        <w:pStyle w:val="Quote2"/>
      </w:pPr>
      <w:r>
        <w:t xml:space="preserve">A reference in one letter of advice to an earlier letter of advice does not expose the latter to scrutiny by the other party to litigation merely because legal professional privilege is waived in relation to the former: implied waiver is not so generous a doctrine. As we apprehend it, where legal professional privilege is waived in relation to one piece (or part) of advice, the privilege is impliedly waived in relation to another if — and only if — that other is necessary to a proper understanding of the first. As established by the High Court (at least since </w:t>
      </w:r>
      <w:r w:rsidRPr="00C3476C">
        <w:rPr>
          <w:i/>
        </w:rPr>
        <w:t>Mann v Carnell</w:t>
      </w:r>
      <w:r>
        <w:t>) the test in such cases is whether it would be “inconsistent” for a party to rely upon, and so to waive legal professional privilege in respect of, the one without also being taken to have waived privilege in respect of the other.</w:t>
      </w:r>
    </w:p>
    <w:p w14:paraId="3C97B591" w14:textId="71442F40" w:rsidR="000A0E91" w:rsidRDefault="000A0E91" w:rsidP="00C3476C">
      <w:pPr>
        <w:pStyle w:val="Quote1"/>
      </w:pPr>
      <w:r>
        <w:t xml:space="preserve">It is no doubt correct that a mere reference to the existence of legal advice in a disclosed document will not be regarded as a waiver of its contents, albeit a different conclusion would follow if the gist, substance or conclusion of the legal advice is voluntarily disclosed. But, with great respect to their Honours, the proposition concerning waiver of associated material is expressed too narrowly and in a way that is not consistent with the test propounded by the High Court in </w:t>
      </w:r>
      <w:r w:rsidRPr="00C3476C">
        <w:rPr>
          <w:i/>
        </w:rPr>
        <w:t>Maurice</w:t>
      </w:r>
      <w:r>
        <w:t xml:space="preserve">. The principle propounded by the Court of Appeal may work adequately enough in some circumstances, particularly </w:t>
      </w:r>
      <w:r>
        <w:lastRenderedPageBreak/>
        <w:t xml:space="preserve">where privilege is sought to be maintained over one part of a single piece of legal advice, but in other circumstances it will not give effect to the principles explained in </w:t>
      </w:r>
      <w:r w:rsidRPr="00C3476C">
        <w:rPr>
          <w:i/>
        </w:rPr>
        <w:t>Maurice</w:t>
      </w:r>
      <w:r>
        <w:t xml:space="preserve">. </w:t>
      </w:r>
    </w:p>
    <w:p w14:paraId="007D9457" w14:textId="77777777" w:rsidR="00186B4F" w:rsidRDefault="00013FE8" w:rsidP="00F04644">
      <w:pPr>
        <w:pStyle w:val="ParaNumbering"/>
      </w:pPr>
      <w:r>
        <w:t>The email of 1 September 2021, in redacted form, is in the following terms</w:t>
      </w:r>
      <w:r w:rsidR="00F04644">
        <w:t xml:space="preserve">: </w:t>
      </w:r>
    </w:p>
    <w:p w14:paraId="62D46335" w14:textId="77777777" w:rsidR="004C0BF1" w:rsidRDefault="004C0BF1" w:rsidP="006D6D21">
      <w:pPr>
        <w:pStyle w:val="Quote1"/>
      </w:pPr>
      <w:r>
        <w:t>Dear Sean</w:t>
      </w:r>
    </w:p>
    <w:p w14:paraId="7F5788B7" w14:textId="323A0853" w:rsidR="004C0BF1" w:rsidRDefault="007A5A1D" w:rsidP="006D6D21">
      <w:pPr>
        <w:pStyle w:val="Quote1"/>
      </w:pPr>
      <w:r w:rsidRPr="00E31895">
        <w:rPr>
          <w:highlight w:val="black"/>
        </w:rPr>
        <w:t>XXXXXXX</w:t>
      </w:r>
      <w:r w:rsidR="00E31895" w:rsidRPr="00E31895">
        <w:rPr>
          <w:highlight w:val="black"/>
        </w:rPr>
        <w:t xml:space="preserve"> </w:t>
      </w:r>
      <w:r w:rsidRPr="00E31895">
        <w:rPr>
          <w:highlight w:val="black"/>
        </w:rPr>
        <w:t>XXXXXXXXXXXXXX</w:t>
      </w:r>
      <w:r w:rsidR="00E31895" w:rsidRPr="00E31895">
        <w:rPr>
          <w:highlight w:val="black"/>
        </w:rPr>
        <w:t xml:space="preserve"> </w:t>
      </w:r>
      <w:r w:rsidRPr="00E31895">
        <w:rPr>
          <w:highlight w:val="black"/>
        </w:rPr>
        <w:t>XXXXXXXX</w:t>
      </w:r>
      <w:r w:rsidR="00E31895" w:rsidRPr="00E31895">
        <w:rPr>
          <w:highlight w:val="black"/>
        </w:rPr>
        <w:t xml:space="preserve"> </w:t>
      </w:r>
      <w:r w:rsidRPr="00E31895">
        <w:rPr>
          <w:highlight w:val="black"/>
        </w:rPr>
        <w:t>XXXXXXXXXXXXXXXXXXXXXXXX</w:t>
      </w:r>
      <w:r w:rsidR="00E31895" w:rsidRPr="00E31895">
        <w:rPr>
          <w:highlight w:val="black"/>
        </w:rPr>
        <w:t xml:space="preserve"> </w:t>
      </w:r>
      <w:r w:rsidRPr="00E31895">
        <w:rPr>
          <w:highlight w:val="black"/>
        </w:rPr>
        <w:t>XXXXXXXXX</w:t>
      </w:r>
      <w:r w:rsidR="00E31895" w:rsidRPr="00E31895">
        <w:rPr>
          <w:highlight w:val="black"/>
        </w:rPr>
        <w:t xml:space="preserve"> </w:t>
      </w:r>
      <w:r w:rsidRPr="00E31895">
        <w:rPr>
          <w:highlight w:val="black"/>
        </w:rPr>
        <w:t>XXXXXXXXXXX</w:t>
      </w:r>
      <w:r w:rsidR="00E31895" w:rsidRPr="00E31895">
        <w:rPr>
          <w:highlight w:val="black"/>
        </w:rPr>
        <w:t xml:space="preserve"> </w:t>
      </w:r>
      <w:r w:rsidRPr="00E31895">
        <w:rPr>
          <w:highlight w:val="black"/>
        </w:rPr>
        <w:t>XXXXXXXXXXXXXXXXXXXXXXXXXXXXXXXXXXXXXXXXXXXXXXXXXXX</w:t>
      </w:r>
      <w:r w:rsidR="00E31895" w:rsidRPr="00E31895">
        <w:rPr>
          <w:highlight w:val="black"/>
        </w:rPr>
        <w:t xml:space="preserve"> </w:t>
      </w:r>
      <w:r w:rsidRPr="00E31895">
        <w:rPr>
          <w:highlight w:val="black"/>
        </w:rPr>
        <w:t>XXXXXXXXXXXXXXXXX</w:t>
      </w:r>
    </w:p>
    <w:p w14:paraId="7D9E30F9" w14:textId="281A4F20" w:rsidR="004C0BF1" w:rsidRDefault="007A5A1D" w:rsidP="004C0BF1">
      <w:pPr>
        <w:pStyle w:val="Quote1"/>
      </w:pPr>
      <w:r w:rsidRPr="006D6D21">
        <w:rPr>
          <w:highlight w:val="black"/>
        </w:rPr>
        <w:t>XXXXXXXXXXX</w:t>
      </w:r>
      <w:r>
        <w:t xml:space="preserve"> </w:t>
      </w:r>
      <w:r w:rsidR="004C0BF1">
        <w:t xml:space="preserve">we understand that your client can give relevant evidence in relation to two missions the </w:t>
      </w:r>
      <w:r w:rsidR="00BC655C">
        <w:t>subject of these proceedings</w:t>
      </w:r>
      <w:r w:rsidR="004C0BF1">
        <w:t>: (a) a mission to Darwan on 11 September 2012 (</w:t>
      </w:r>
      <w:r w:rsidR="004C0BF1" w:rsidRPr="006D6D21">
        <w:rPr>
          <w:b/>
        </w:rPr>
        <w:t>Darwan</w:t>
      </w:r>
      <w:r w:rsidR="004C0BF1">
        <w:t>); and (b) a mission to Fasil on 5 November 2012 (</w:t>
      </w:r>
      <w:r w:rsidR="004C0BF1" w:rsidRPr="006D6D21">
        <w:rPr>
          <w:b/>
        </w:rPr>
        <w:t>Fasil</w:t>
      </w:r>
      <w:r w:rsidR="004C0BF1">
        <w:t>). If your client agrees to speak with us about Darwan and agrees not oppose an application to call him as a witness, we undertake that we will adopt the following position if your client objects under s 128 of the Evidence Act 1995 (Cth) to giving particular evidence in relation to Fasil, or evidence on Fasil generally:</w:t>
      </w:r>
    </w:p>
    <w:p w14:paraId="2FC2BBA0" w14:textId="53A59D02" w:rsidR="004C0BF1" w:rsidRDefault="00867D7F" w:rsidP="006D6D21">
      <w:pPr>
        <w:pStyle w:val="Quote2"/>
        <w:ind w:left="2160" w:hanging="720"/>
      </w:pPr>
      <w:r>
        <w:t>1.</w:t>
      </w:r>
      <w:r>
        <w:tab/>
      </w:r>
      <w:r w:rsidR="004C0BF1">
        <w:t>we agree not to oppose a submission by your client under s 128(1)(a) that the evidence may tend to prove that he has committed an offence against or arising under Australian law;</w:t>
      </w:r>
    </w:p>
    <w:p w14:paraId="2090561F" w14:textId="0AC43DC5" w:rsidR="0097566E" w:rsidRDefault="00867D7F" w:rsidP="006D6D21">
      <w:pPr>
        <w:pStyle w:val="Quote2"/>
        <w:ind w:left="2160" w:hanging="720"/>
      </w:pPr>
      <w:r>
        <w:t>2.</w:t>
      </w:r>
      <w:r>
        <w:tab/>
      </w:r>
      <w:r w:rsidR="004C0BF1">
        <w:t xml:space="preserve">we agree not to oppose a submission by your client under s 128(2) that there are reasonable grounds for the objection; and </w:t>
      </w:r>
    </w:p>
    <w:p w14:paraId="00C7F407" w14:textId="58C55CB9" w:rsidR="004C0BF1" w:rsidRDefault="004C0BF1" w:rsidP="006D6D21">
      <w:pPr>
        <w:pStyle w:val="Quote2"/>
        <w:ind w:left="2160" w:hanging="720"/>
      </w:pPr>
      <w:r>
        <w:t xml:space="preserve">3. </w:t>
      </w:r>
      <w:r w:rsidR="00867D7F">
        <w:tab/>
      </w:r>
      <w:r>
        <w:t>if the Court determines that there are reasonable grounds for such an objection</w:t>
      </w:r>
      <w:r w:rsidR="00F4110F">
        <w:t>,</w:t>
      </w:r>
      <w:r>
        <w:t xml:space="preserve"> and your client does not willingly give the evidence with the protection of a certificate issued under s 128(3)(b</w:t>
      </w:r>
      <w:r w:rsidR="00FC19DC">
        <w:t>)</w:t>
      </w:r>
      <w:r>
        <w:t>(i), we agree not to ask the Court to require your client to give the evidence under s 128(4) of the Evidence Act.</w:t>
      </w:r>
    </w:p>
    <w:p w14:paraId="6A8A596C" w14:textId="77777777" w:rsidR="004C0BF1" w:rsidRDefault="004C0BF1" w:rsidP="006D6D21">
      <w:pPr>
        <w:pStyle w:val="Quote1"/>
      </w:pPr>
      <w:r>
        <w:t xml:space="preserve">Please let me know if you would like to discuss any aspect of the above. </w:t>
      </w:r>
    </w:p>
    <w:p w14:paraId="160937A3" w14:textId="77777777" w:rsidR="004C0BF1" w:rsidRDefault="004C0BF1" w:rsidP="006D6D21">
      <w:pPr>
        <w:pStyle w:val="Quote1"/>
      </w:pPr>
      <w:r>
        <w:t xml:space="preserve">Kind regards </w:t>
      </w:r>
    </w:p>
    <w:p w14:paraId="1B513B81" w14:textId="35DE18CA" w:rsidR="003A63CC" w:rsidRDefault="004C0BF1" w:rsidP="00915010">
      <w:pPr>
        <w:pStyle w:val="Quote1"/>
      </w:pPr>
      <w:r>
        <w:t xml:space="preserve">Dean </w:t>
      </w:r>
    </w:p>
    <w:p w14:paraId="736DF982" w14:textId="05F15A18" w:rsidR="00013FE8" w:rsidRPr="00CF342B" w:rsidRDefault="00013FE8" w:rsidP="00013FE8">
      <w:pPr>
        <w:pStyle w:val="ParaNumbering"/>
      </w:pPr>
      <w:r w:rsidRPr="00BB2D2A">
        <w:t>It records</w:t>
      </w:r>
      <w:r w:rsidR="00D0705E">
        <w:t xml:space="preserve"> an </w:t>
      </w:r>
      <w:r w:rsidR="004950F7" w:rsidRPr="00C1298D">
        <w:t xml:space="preserve">agreement </w:t>
      </w:r>
      <w:r w:rsidRPr="00C1298D">
        <w:t>between</w:t>
      </w:r>
      <w:r w:rsidRPr="00106009">
        <w:t xml:space="preserve"> th</w:t>
      </w:r>
      <w:r w:rsidRPr="00BB2D2A">
        <w:t>e respondents and Person 56 as to the basis on which he would not oppose an application by the respondent</w:t>
      </w:r>
      <w:r w:rsidR="005C6CA1" w:rsidRPr="00BB2D2A">
        <w:t>s</w:t>
      </w:r>
      <w:r w:rsidRPr="00DF1DBA">
        <w:t xml:space="preserve"> to call him to give </w:t>
      </w:r>
      <w:r w:rsidRPr="00CF342B">
        <w:t xml:space="preserve">evidence. </w:t>
      </w:r>
    </w:p>
    <w:p w14:paraId="48CFD71C" w14:textId="62BE832C" w:rsidR="00DD1B36" w:rsidRPr="00C3476C" w:rsidRDefault="00F04644" w:rsidP="00013FE8">
      <w:pPr>
        <w:pStyle w:val="ParaNumbering"/>
      </w:pPr>
      <w:r w:rsidRPr="00C3476C">
        <w:t xml:space="preserve">The response from </w:t>
      </w:r>
      <w:r w:rsidR="002E3128" w:rsidRPr="00C3476C">
        <w:t xml:space="preserve">Mr Richter, lawyer for </w:t>
      </w:r>
      <w:r w:rsidRPr="00C3476C">
        <w:t xml:space="preserve">Person 56, emailed on 6 September 2021, was relevantly as follows: </w:t>
      </w:r>
    </w:p>
    <w:p w14:paraId="58613A36" w14:textId="0A2C0171" w:rsidR="0094079E" w:rsidRPr="00F53AC2" w:rsidRDefault="0094079E" w:rsidP="006D6D21">
      <w:pPr>
        <w:pStyle w:val="Quote1"/>
      </w:pPr>
      <w:r w:rsidRPr="00191D16">
        <w:t xml:space="preserve">I confirm that I have spoken with </w:t>
      </w:r>
      <w:r w:rsidRPr="006D6D21">
        <w:rPr>
          <w:highlight w:val="black"/>
        </w:rPr>
        <w:t>XXX</w:t>
      </w:r>
      <w:r w:rsidRPr="00191D16">
        <w:t xml:space="preserve"> and he is prepared to go forward on the basis as set out in your email of </w:t>
      </w:r>
      <w:r w:rsidRPr="0075537E">
        <w:t>1 September 2021, provided that your client does not object to a section 128 application in relati</w:t>
      </w:r>
      <w:r w:rsidRPr="00F53AC2">
        <w:t>on to all aspects of his Afghanistan service other than Darwan.</w:t>
      </w:r>
    </w:p>
    <w:p w14:paraId="02BEED9D" w14:textId="403153BA" w:rsidR="0094079E" w:rsidRPr="0094079E" w:rsidRDefault="0094079E" w:rsidP="006D6D21">
      <w:pPr>
        <w:pStyle w:val="Quote1"/>
      </w:pPr>
      <w:r w:rsidRPr="0094079E">
        <w:t>He is prepared to meet with you and/or your counsel, provided that it is outside of his working roster - he currently works 8 days on/8 days off and is currently working.</w:t>
      </w:r>
    </w:p>
    <w:p w14:paraId="7F8CB370" w14:textId="480CF5DC" w:rsidR="007A07E7" w:rsidRDefault="0094079E" w:rsidP="006D6D21">
      <w:pPr>
        <w:pStyle w:val="Quote1"/>
        <w:rPr>
          <w:highlight w:val="yellow"/>
        </w:rPr>
      </w:pPr>
      <w:r w:rsidRPr="0094079E">
        <w:t>I will be available to speak by telephone tomorrow morning.</w:t>
      </w:r>
      <w:r w:rsidRPr="0094079E" w:rsidDel="0094079E">
        <w:rPr>
          <w:noProof/>
          <w:lang w:eastAsia="en-AU"/>
        </w:rPr>
        <w:t xml:space="preserve"> </w:t>
      </w:r>
      <w:r>
        <w:rPr>
          <w:highlight w:val="yellow"/>
        </w:rPr>
        <w:t xml:space="preserve"> </w:t>
      </w:r>
    </w:p>
    <w:p w14:paraId="1D1B59B0" w14:textId="399E9DDB" w:rsidR="00320F5C" w:rsidRPr="005E4603" w:rsidRDefault="00B615D3" w:rsidP="00820EA7">
      <w:pPr>
        <w:pStyle w:val="ParaNumbering"/>
      </w:pPr>
      <w:r w:rsidRPr="00BB2D2A">
        <w:rPr>
          <w:color w:val="000000"/>
        </w:rPr>
        <w:lastRenderedPageBreak/>
        <w:t>Having regard to what was voluntarily waived</w:t>
      </w:r>
      <w:r w:rsidR="00720FEE" w:rsidRPr="00DF1DBA">
        <w:rPr>
          <w:color w:val="000000"/>
        </w:rPr>
        <w:t xml:space="preserve"> and</w:t>
      </w:r>
      <w:r w:rsidRPr="00CF342B">
        <w:rPr>
          <w:color w:val="000000"/>
        </w:rPr>
        <w:t xml:space="preserve"> given the context in which this issue arises, namely reliance by the respondent</w:t>
      </w:r>
      <w:r w:rsidR="00720FEE" w:rsidRPr="00CF342B">
        <w:rPr>
          <w:color w:val="000000"/>
        </w:rPr>
        <w:t>s</w:t>
      </w:r>
      <w:r w:rsidRPr="00CF342B">
        <w:rPr>
          <w:color w:val="000000"/>
        </w:rPr>
        <w:t xml:space="preserve"> on the agreement </w:t>
      </w:r>
      <w:r w:rsidR="00720FEE" w:rsidRPr="00191D16">
        <w:rPr>
          <w:color w:val="000000"/>
        </w:rPr>
        <w:t xml:space="preserve">with </w:t>
      </w:r>
      <w:r w:rsidR="00720FEE" w:rsidRPr="006D6D21">
        <w:rPr>
          <w:color w:val="000000"/>
        </w:rPr>
        <w:t xml:space="preserve">Person 56 </w:t>
      </w:r>
      <w:r w:rsidR="0004155B" w:rsidRPr="006D6D21">
        <w:rPr>
          <w:color w:val="000000"/>
        </w:rPr>
        <w:t>at this time</w:t>
      </w:r>
      <w:r w:rsidR="0004155B" w:rsidRPr="00191D16">
        <w:rPr>
          <w:color w:val="000000"/>
        </w:rPr>
        <w:t xml:space="preserve">, </w:t>
      </w:r>
      <w:r w:rsidRPr="00191D16">
        <w:rPr>
          <w:color w:val="000000"/>
        </w:rPr>
        <w:t>to e</w:t>
      </w:r>
      <w:r w:rsidRPr="00A321DD">
        <w:rPr>
          <w:color w:val="000000"/>
        </w:rPr>
        <w:t xml:space="preserve">xplain the circumstances of their application for leave to issue the subpoena, it would be inconsistent for privilege to be maintained over the remainder of the document. </w:t>
      </w:r>
    </w:p>
    <w:p w14:paraId="1AA74C7E" w14:textId="77777777" w:rsidR="005E4603" w:rsidRPr="0094125A" w:rsidRDefault="005E4603" w:rsidP="005E4603">
      <w:pPr>
        <w:pStyle w:val="Heading3"/>
      </w:pPr>
      <w:r w:rsidRPr="00114BBF">
        <w:t>Document 12 (Email</w:t>
      </w:r>
      <w:r w:rsidRPr="0094125A">
        <w:t xml:space="preserve"> of 5 August 2021</w:t>
      </w:r>
      <w:r>
        <w:t>)</w:t>
      </w:r>
    </w:p>
    <w:p w14:paraId="1F2E3D77" w14:textId="77777777" w:rsidR="005E4603" w:rsidRDefault="005E4603" w:rsidP="005E4603">
      <w:pPr>
        <w:pStyle w:val="ParaNumbering"/>
      </w:pPr>
      <w:r>
        <w:t>This email is between Mr Richter and Mr Reilly, of the Department of Defence, dated 5 August 2021.</w:t>
      </w:r>
    </w:p>
    <w:p w14:paraId="4BF8C0D7" w14:textId="77777777" w:rsidR="005E4603" w:rsidRDefault="005E4603" w:rsidP="005E4603">
      <w:pPr>
        <w:pStyle w:val="ParaNumbering"/>
      </w:pPr>
      <w:r>
        <w:t xml:space="preserve">The respondents have redacted one sentence of the email. The basis for doing so is articulated in the Second November Bartlett Affidavit at [9(d)], as follows: </w:t>
      </w:r>
    </w:p>
    <w:p w14:paraId="210AE44E" w14:textId="77777777" w:rsidR="005E4603" w:rsidRPr="007F7C51" w:rsidRDefault="005E4603" w:rsidP="005E4603">
      <w:pPr>
        <w:pStyle w:val="Quote1"/>
      </w:pPr>
      <w:r w:rsidRPr="007F7C51">
        <w:t>Part of document 12 discloses a confidential communication between the Respondents' solicitor, Mr Levitan, and Person 56's legal representative, Mr Richter, made for the dominant purpose of the Respondents being provided with professional legal services relating to these proceedings. The Respondents did not</w:t>
      </w:r>
      <w:r w:rsidRPr="007F7C51">
        <w:rPr>
          <w:spacing w:val="-24"/>
        </w:rPr>
        <w:t xml:space="preserve"> </w:t>
      </w:r>
      <w:r w:rsidRPr="007F7C51">
        <w:t>authorise Mr Richter to disclose the contents of that communication.</w:t>
      </w:r>
    </w:p>
    <w:p w14:paraId="39E542E7" w14:textId="77777777" w:rsidR="005E4603" w:rsidRPr="000D091B" w:rsidRDefault="005E4603" w:rsidP="005E4603">
      <w:pPr>
        <w:pStyle w:val="ParaNumbering"/>
      </w:pPr>
      <w:r w:rsidRPr="000D091B">
        <w:t xml:space="preserve">The email, inter alia, purports to be an explanation by Mr Richter to Mr </w:t>
      </w:r>
      <w:r>
        <w:t>Reilly</w:t>
      </w:r>
      <w:r w:rsidRPr="000D091B">
        <w:t xml:space="preserve"> as to what has been a recent contact by the </w:t>
      </w:r>
      <w:r>
        <w:t xml:space="preserve">respondents’ </w:t>
      </w:r>
      <w:r w:rsidRPr="000D091B">
        <w:t xml:space="preserve">solicitors, with the consequence they are now back </w:t>
      </w:r>
      <w:r>
        <w:t xml:space="preserve">to </w:t>
      </w:r>
      <w:r w:rsidRPr="000D091B">
        <w:t>“square 1”</w:t>
      </w:r>
      <w:r>
        <w:t xml:space="preserve"> because it is likely that</w:t>
      </w:r>
      <w:r w:rsidRPr="000D091B">
        <w:t xml:space="preserve"> Person 56 is to be subpoenaed.</w:t>
      </w:r>
    </w:p>
    <w:p w14:paraId="2B446518" w14:textId="77777777" w:rsidR="005E4603" w:rsidRPr="000D091B" w:rsidRDefault="005E4603" w:rsidP="005E4603">
      <w:pPr>
        <w:pStyle w:val="ParaNumbering"/>
      </w:pPr>
      <w:r>
        <w:t xml:space="preserve">Again, the legal issue is the same that is posed in respect to the email of 1 September 2021, </w:t>
      </w:r>
      <w:r w:rsidRPr="00C262B6">
        <w:t xml:space="preserve">discussed above, and is to be decided in the factual context already described. </w:t>
      </w:r>
      <w:r w:rsidRPr="00C1298D">
        <w:t>The redacted portion relates to a communication with the respondents, as is apparent from the passage recited above.</w:t>
      </w:r>
      <w:r w:rsidRPr="006C2AD4">
        <w:t xml:space="preserve"> I</w:t>
      </w:r>
      <w:r w:rsidRPr="00C262B6">
        <w:t xml:space="preserve"> note that Mr Bartlett does not suggest that Mr Richter was informed that the communication was confidential.</w:t>
      </w:r>
      <w:r>
        <w:t xml:space="preserve"> </w:t>
      </w:r>
    </w:p>
    <w:p w14:paraId="151AA9FC" w14:textId="1DE2F09D" w:rsidR="005E4603" w:rsidRDefault="005E4603" w:rsidP="005E4603">
      <w:pPr>
        <w:pStyle w:val="ParaNumbering"/>
      </w:pPr>
      <w:r>
        <w:rPr>
          <w:color w:val="000000"/>
        </w:rPr>
        <w:t>I have inspected this document. Th</w:t>
      </w:r>
      <w:r w:rsidRPr="00191D16">
        <w:rPr>
          <w:color w:val="000000"/>
        </w:rPr>
        <w:t xml:space="preserve">e </w:t>
      </w:r>
      <w:r w:rsidRPr="006D6D21">
        <w:rPr>
          <w:color w:val="000000"/>
        </w:rPr>
        <w:t>redacted material</w:t>
      </w:r>
      <w:r w:rsidRPr="00191D16">
        <w:rPr>
          <w:color w:val="000000"/>
        </w:rPr>
        <w:t xml:space="preserve"> wo</w:t>
      </w:r>
      <w:r>
        <w:rPr>
          <w:color w:val="000000"/>
        </w:rPr>
        <w:t>uld fall within the scope of the waiver by the respondent</w:t>
      </w:r>
      <w:r w:rsidRPr="008B30D7">
        <w:rPr>
          <w:color w:val="000000"/>
        </w:rPr>
        <w:t>s</w:t>
      </w:r>
      <w:r w:rsidRPr="00C1298D">
        <w:rPr>
          <w:color w:val="000000"/>
        </w:rPr>
        <w:t>, described in more detail below.</w:t>
      </w:r>
      <w:r>
        <w:rPr>
          <w:color w:val="000000"/>
        </w:rPr>
        <w:t xml:space="preserve"> </w:t>
      </w:r>
    </w:p>
    <w:p w14:paraId="092DC7BE" w14:textId="77777777" w:rsidR="00C4746E" w:rsidRPr="0094125A" w:rsidRDefault="00C4746E" w:rsidP="00C4746E">
      <w:pPr>
        <w:pStyle w:val="Heading3"/>
      </w:pPr>
      <w:r>
        <w:t>Remaining docu</w:t>
      </w:r>
      <w:r w:rsidRPr="0094125A">
        <w:t>ment</w:t>
      </w:r>
      <w:r>
        <w:t xml:space="preserve">s </w:t>
      </w:r>
    </w:p>
    <w:p w14:paraId="3C546B5D" w14:textId="04B8C5A3" w:rsidR="00C4746E" w:rsidRPr="00276BF6" w:rsidRDefault="00C4746E" w:rsidP="00C4746E">
      <w:pPr>
        <w:pStyle w:val="ParaNumbering"/>
      </w:pPr>
      <w:bookmarkStart w:id="21" w:name="_Ref89868499"/>
      <w:r w:rsidRPr="00A24704">
        <w:t xml:space="preserve">The applicant submitted that the voluntary waiver referred to at [7] and [8] </w:t>
      </w:r>
      <w:r>
        <w:t>of the First November Bartlett Affidavit</w:t>
      </w:r>
      <w:r w:rsidRPr="00A24704">
        <w:t xml:space="preserve">, constitutes an issue waiver, which extends to any other communication </w:t>
      </w:r>
      <w:r>
        <w:t xml:space="preserve">referred to in the objection schedules </w:t>
      </w:r>
      <w:r w:rsidRPr="00A24704">
        <w:t>between the respondents and Person 56 concerning this arrangement or understanding. As a consequence</w:t>
      </w:r>
      <w:r>
        <w:t>,</w:t>
      </w:r>
      <w:r w:rsidRPr="00A24704">
        <w:t xml:space="preserve"> the imputed waiver covers all of the other docume</w:t>
      </w:r>
      <w:r>
        <w:t xml:space="preserve">nts </w:t>
      </w:r>
      <w:r w:rsidR="00B57523">
        <w:t xml:space="preserve">in the objection schedules </w:t>
      </w:r>
      <w:r w:rsidRPr="00A24704">
        <w:t>to the extent that those documents record such communications or otherwise concern or touch upon the arrangement or understanding</w:t>
      </w:r>
      <w:r w:rsidRPr="0065548D">
        <w:t xml:space="preserve">. </w:t>
      </w:r>
      <w:r w:rsidRPr="0090735B">
        <w:t>While not accepting the breadth of the waiver, the respondent</w:t>
      </w:r>
      <w:r w:rsidR="00084F80">
        <w:t>s</w:t>
      </w:r>
      <w:r w:rsidRPr="0090735B">
        <w:t xml:space="preserve"> </w:t>
      </w:r>
      <w:r w:rsidR="007773AC">
        <w:t xml:space="preserve">initially </w:t>
      </w:r>
      <w:r w:rsidRPr="0090735B">
        <w:t xml:space="preserve">contended that only </w:t>
      </w:r>
      <w:r w:rsidRPr="0090735B">
        <w:lastRenderedPageBreak/>
        <w:t>Document 17</w:t>
      </w:r>
      <w:r w:rsidRPr="00276BF6">
        <w:t xml:space="preserve"> </w:t>
      </w:r>
      <w:r w:rsidR="00BA5DF6">
        <w:t>(</w:t>
      </w:r>
      <w:r w:rsidRPr="00276BF6">
        <w:t>the email of 1 September 2021)</w:t>
      </w:r>
      <w:r w:rsidR="007773AC">
        <w:t xml:space="preserve"> </w:t>
      </w:r>
      <w:r w:rsidR="007773AC" w:rsidRPr="00276BF6">
        <w:t>fall</w:t>
      </w:r>
      <w:r w:rsidR="007773AC">
        <w:t>s</w:t>
      </w:r>
      <w:r w:rsidR="007773AC" w:rsidRPr="00276BF6">
        <w:t xml:space="preserve"> within that description</w:t>
      </w:r>
      <w:r w:rsidRPr="00276BF6">
        <w:t xml:space="preserve">, </w:t>
      </w:r>
      <w:r w:rsidR="007773AC">
        <w:t>but it was</w:t>
      </w:r>
      <w:r w:rsidR="007773AC" w:rsidRPr="00276BF6">
        <w:t xml:space="preserve"> </w:t>
      </w:r>
      <w:r w:rsidR="007773AC">
        <w:t xml:space="preserve">accepted at the hearing that, </w:t>
      </w:r>
      <w:r w:rsidRPr="00276BF6">
        <w:t>depending on the meaning of “concern or touch upon”</w:t>
      </w:r>
      <w:r w:rsidR="00084F80">
        <w:t>,</w:t>
      </w:r>
      <w:r w:rsidRPr="00276BF6">
        <w:t xml:space="preserve"> Documents </w:t>
      </w:r>
      <w:r w:rsidR="00F428AC">
        <w:t>1 and 2</w:t>
      </w:r>
      <w:r w:rsidR="007773AC">
        <w:t xml:space="preserve"> might also </w:t>
      </w:r>
      <w:r w:rsidR="009624A0">
        <w:t>be</w:t>
      </w:r>
      <w:r w:rsidR="007773AC">
        <w:t xml:space="preserve"> within scope</w:t>
      </w:r>
      <w:r w:rsidRPr="00276BF6">
        <w:t>.</w:t>
      </w:r>
      <w:bookmarkEnd w:id="21"/>
    </w:p>
    <w:p w14:paraId="0DA79020" w14:textId="77777777" w:rsidR="00C4746E" w:rsidRDefault="00C4746E" w:rsidP="00C4746E">
      <w:pPr>
        <w:pStyle w:val="ParaNumbering"/>
      </w:pPr>
      <w:r>
        <w:t xml:space="preserve">As noted above, the email of 1 September 2021 provided information as to the existence of the arrangement or understanding. </w:t>
      </w:r>
    </w:p>
    <w:p w14:paraId="7050DE15" w14:textId="77777777" w:rsidR="00C4746E" w:rsidRDefault="00C4746E" w:rsidP="00C4746E">
      <w:pPr>
        <w:pStyle w:val="ParaNumbering"/>
      </w:pPr>
      <w:r>
        <w:t xml:space="preserve">The same issue arises in respect to these documents, as addressed in respect to the email of 1 September 2021. It relates to the scope of the waiver. </w:t>
      </w:r>
    </w:p>
    <w:p w14:paraId="6964D040" w14:textId="528550A5" w:rsidR="00C4746E" w:rsidRDefault="00C4746E" w:rsidP="00C4746E">
      <w:pPr>
        <w:pStyle w:val="ParaNumbering"/>
      </w:pPr>
      <w:r w:rsidRPr="00F8675D">
        <w:t xml:space="preserve">In the circumstances, such waiver necessarily includes those documents </w:t>
      </w:r>
      <w:r>
        <w:t xml:space="preserve">that </w:t>
      </w:r>
      <w:r w:rsidRPr="00F8675D">
        <w:t>record such communic</w:t>
      </w:r>
      <w:r w:rsidRPr="0075537E">
        <w:t xml:space="preserve">ations or otherwise concern or touch upon the arrangement or </w:t>
      </w:r>
      <w:r w:rsidRPr="00915010">
        <w:t>understanding. As</w:t>
      </w:r>
      <w:r w:rsidRPr="0075537E">
        <w:t xml:space="preserve"> noted above, the respondents </w:t>
      </w:r>
      <w:r w:rsidRPr="00A63F36">
        <w:t xml:space="preserve">originally contended that </w:t>
      </w:r>
      <w:r w:rsidRPr="00F53AC2">
        <w:t xml:space="preserve">only the email of 1 September 2021 fell within that description. That reflects an unduly narrow interpretation </w:t>
      </w:r>
      <w:r w:rsidRPr="00E3689C">
        <w:t xml:space="preserve">of </w:t>
      </w:r>
      <w:r w:rsidR="00744CD3" w:rsidRPr="00E3689C">
        <w:t>what documents might be said to “</w:t>
      </w:r>
      <w:r w:rsidRPr="00915010">
        <w:t xml:space="preserve">concern or touch </w:t>
      </w:r>
      <w:r w:rsidR="00744CD3" w:rsidRPr="00915010">
        <w:t>up</w:t>
      </w:r>
      <w:r w:rsidRPr="00915010">
        <w:t>on</w:t>
      </w:r>
      <w:r w:rsidR="00744CD3" w:rsidRPr="00915010">
        <w:t>”</w:t>
      </w:r>
      <w:r w:rsidRPr="00915010">
        <w:t xml:space="preserve"> t</w:t>
      </w:r>
      <w:r w:rsidR="00280FEE">
        <w:t>he term</w:t>
      </w:r>
      <w:r w:rsidR="00280FEE" w:rsidRPr="008E6399">
        <w:t xml:space="preserve">s of </w:t>
      </w:r>
      <w:r w:rsidR="00280FEE" w:rsidRPr="00C1298D">
        <w:t>the</w:t>
      </w:r>
      <w:r w:rsidRPr="00C1298D">
        <w:t xml:space="preserve"> agreement</w:t>
      </w:r>
      <w:r w:rsidRPr="008E6399">
        <w:t>. It, in</w:t>
      </w:r>
      <w:r w:rsidRPr="00915010">
        <w:t xml:space="preserve"> effect, confines it to the ter</w:t>
      </w:r>
      <w:r w:rsidRPr="008E6399">
        <w:t xml:space="preserve">ms </w:t>
      </w:r>
      <w:r w:rsidRPr="00C1298D">
        <w:t>of the agreement</w:t>
      </w:r>
      <w:r w:rsidRPr="008E6399">
        <w:t>.</w:t>
      </w:r>
      <w:r w:rsidRPr="0075537E">
        <w:t xml:space="preserve"> The co</w:t>
      </w:r>
      <w:r w:rsidRPr="00BB77F9">
        <w:t xml:space="preserve">ncept of </w:t>
      </w:r>
      <w:r w:rsidR="00280FEE" w:rsidRPr="00C1298D">
        <w:t xml:space="preserve">associated material, that is material </w:t>
      </w:r>
      <w:r w:rsidRPr="00C1298D">
        <w:t>concerning</w:t>
      </w:r>
      <w:r w:rsidRPr="00BB77F9">
        <w:t xml:space="preserve"> or</w:t>
      </w:r>
      <w:r w:rsidRPr="0075537E">
        <w:t xml:space="preserve"> touching </w:t>
      </w:r>
      <w:r w:rsidRPr="00C1298D">
        <w:t xml:space="preserve">on </w:t>
      </w:r>
      <w:r w:rsidR="008E6399" w:rsidRPr="00C1298D">
        <w:t xml:space="preserve">the agreement, </w:t>
      </w:r>
      <w:r w:rsidRPr="00C1298D">
        <w:t xml:space="preserve">is broader than </w:t>
      </w:r>
      <w:r w:rsidR="008E6399" w:rsidRPr="00C1298D">
        <w:t xml:space="preserve">merely </w:t>
      </w:r>
      <w:r w:rsidRPr="00C1298D">
        <w:t>the</w:t>
      </w:r>
      <w:r w:rsidRPr="0075537E">
        <w:t xml:space="preserve"> terms of the understanding or agreement.</w:t>
      </w:r>
      <w:r w:rsidRPr="00A63F36">
        <w:t xml:space="preserve"> To restrict the scope of the waiver</w:t>
      </w:r>
      <w:r w:rsidRPr="00F53AC2">
        <w:t xml:space="preserve"> in the manner sought would </w:t>
      </w:r>
      <w:r w:rsidRPr="00915010">
        <w:t>enable the respondents who seek to rely on the existence of the understanding or agreement</w:t>
      </w:r>
      <w:r w:rsidR="00B0647F">
        <w:t>,</w:t>
      </w:r>
      <w:r w:rsidR="00280FEE">
        <w:t xml:space="preserve"> and timing thereo</w:t>
      </w:r>
      <w:r w:rsidR="00280FEE" w:rsidRPr="00BB77F9">
        <w:t>f</w:t>
      </w:r>
      <w:r w:rsidR="00280FEE" w:rsidRPr="00C1298D">
        <w:t xml:space="preserve">, </w:t>
      </w:r>
      <w:r w:rsidR="00B0647F" w:rsidRPr="00C1298D">
        <w:t>to obtain an unfair advantage, giv</w:t>
      </w:r>
      <w:r w:rsidR="00280FEE" w:rsidRPr="00C1298D">
        <w:t xml:space="preserve">en that the applicant would be deprived of </w:t>
      </w:r>
      <w:r w:rsidR="00B0647F" w:rsidRPr="00C1298D">
        <w:t>any opportunity to scrutinise the assertions</w:t>
      </w:r>
      <w:r w:rsidR="00280FEE" w:rsidRPr="00C1298D">
        <w:t>.</w:t>
      </w:r>
      <w:r w:rsidR="00280FEE" w:rsidRPr="00BB77F9">
        <w:t xml:space="preserve"> </w:t>
      </w:r>
    </w:p>
    <w:p w14:paraId="5B961492" w14:textId="77777777" w:rsidR="00C4746E" w:rsidRPr="00E3689C" w:rsidRDefault="00C4746E" w:rsidP="00C4746E">
      <w:pPr>
        <w:pStyle w:val="ParaNumbering"/>
      </w:pPr>
      <w:r w:rsidRPr="00915010">
        <w:t>In that context, since the application for leave was filed, the</w:t>
      </w:r>
      <w:r w:rsidRPr="0075537E">
        <w:t xml:space="preserve"> respondents</w:t>
      </w:r>
      <w:r w:rsidRPr="00A63F36">
        <w:t xml:space="preserve"> </w:t>
      </w:r>
      <w:r w:rsidRPr="00915010">
        <w:t>have p</w:t>
      </w:r>
      <w:r w:rsidRPr="0075537E">
        <w:t xml:space="preserve">rovided to the </w:t>
      </w:r>
      <w:r w:rsidRPr="00915010">
        <w:t>applicant two emails between</w:t>
      </w:r>
      <w:r w:rsidRPr="0075537E">
        <w:t xml:space="preserve"> Mr Richter and Mr Levitan when it became apparent privilege had been waived</w:t>
      </w:r>
      <w:r w:rsidRPr="00F53AC2">
        <w:t xml:space="preserve"> as a consequence of the October Bartlett Affidavit. Those emails are dated 26 Februa</w:t>
      </w:r>
      <w:r w:rsidRPr="00E3689C">
        <w:t xml:space="preserve">ry 2020 and 26 October 2020, which reflect that Person 56 </w:t>
      </w:r>
      <w:r w:rsidRPr="00915010">
        <w:t>was not prepared to give evidence</w:t>
      </w:r>
      <w:r w:rsidRPr="00F53AC2">
        <w:t>. At the same time, the respondents provided to the applicant the email of 1 September 2021, voluntarily waiving privilege as to the terms of the understanding or ar</w:t>
      </w:r>
      <w:r w:rsidRPr="00E3689C">
        <w:t xml:space="preserve">rangement. </w:t>
      </w:r>
    </w:p>
    <w:p w14:paraId="279FFF68" w14:textId="50178598" w:rsidR="00C4746E" w:rsidRPr="00F53AC2" w:rsidRDefault="00C4746E" w:rsidP="00C4746E">
      <w:pPr>
        <w:pStyle w:val="ParaNumbering"/>
      </w:pPr>
      <w:r w:rsidRPr="00915010">
        <w:t xml:space="preserve">Given the nature </w:t>
      </w:r>
      <w:r w:rsidR="005654D5" w:rsidRPr="00F53AC2">
        <w:t xml:space="preserve">of </w:t>
      </w:r>
      <w:r w:rsidRPr="00915010">
        <w:t>the applicati</w:t>
      </w:r>
      <w:r w:rsidRPr="008024C1">
        <w:t xml:space="preserve">on, and the use to be made of the material already disclosed, the waiver goes beyond recording the </w:t>
      </w:r>
      <w:r w:rsidRPr="00C1298D">
        <w:t xml:space="preserve">terms </w:t>
      </w:r>
      <w:r w:rsidR="00280FEE" w:rsidRPr="00C1298D">
        <w:t>of the agreement</w:t>
      </w:r>
      <w:r w:rsidR="00280FEE" w:rsidRPr="008024C1">
        <w:t xml:space="preserve"> </w:t>
      </w:r>
      <w:r w:rsidRPr="00C1298D">
        <w:t xml:space="preserve">and </w:t>
      </w:r>
      <w:r w:rsidR="004950F7" w:rsidRPr="00C1298D">
        <w:t>include</w:t>
      </w:r>
      <w:r w:rsidR="008024C1" w:rsidRPr="00C1298D">
        <w:t>s</w:t>
      </w:r>
      <w:r w:rsidR="004950F7" w:rsidRPr="00C1298D">
        <w:t xml:space="preserve"> the circumstances associated with its making.</w:t>
      </w:r>
      <w:r w:rsidR="004950F7" w:rsidRPr="008024C1">
        <w:t xml:space="preserve"> This </w:t>
      </w:r>
      <w:r w:rsidR="004950F7" w:rsidRPr="00C1298D">
        <w:t xml:space="preserve">would </w:t>
      </w:r>
      <w:r w:rsidR="005E4603" w:rsidRPr="00C1298D">
        <w:t xml:space="preserve">necessarily </w:t>
      </w:r>
      <w:r w:rsidR="004950F7" w:rsidRPr="00C1298D">
        <w:t>include</w:t>
      </w:r>
      <w:r w:rsidRPr="00C1298D">
        <w:t xml:space="preserve"> documents</w:t>
      </w:r>
      <w:r w:rsidRPr="008024C1">
        <w:t xml:space="preserve"> reflecting on steps taken</w:t>
      </w:r>
      <w:r w:rsidR="004950F7" w:rsidRPr="008024C1">
        <w:t xml:space="preserve"> to broker the agreement</w:t>
      </w:r>
      <w:r w:rsidRPr="008024C1">
        <w:t xml:space="preserve"> </w:t>
      </w:r>
      <w:r w:rsidR="00BF7D40" w:rsidRPr="00141DC2">
        <w:t xml:space="preserve">and its timing </w:t>
      </w:r>
      <w:r w:rsidRPr="00141DC2">
        <w:t xml:space="preserve">(which includes </w:t>
      </w:r>
      <w:r w:rsidR="00BF7D40" w:rsidRPr="00141DC2">
        <w:t xml:space="preserve">earlier </w:t>
      </w:r>
      <w:r w:rsidRPr="00141DC2">
        <w:t xml:space="preserve">attempts </w:t>
      </w:r>
      <w:r w:rsidR="004950F7" w:rsidRPr="00141DC2">
        <w:t>to have Person 56 give evidence</w:t>
      </w:r>
      <w:r w:rsidR="00BF7D40" w:rsidRPr="00141DC2">
        <w:t xml:space="preserve">, even if </w:t>
      </w:r>
      <w:r w:rsidRPr="00141DC2">
        <w:t>unsuccessful)</w:t>
      </w:r>
      <w:r w:rsidRPr="00915010">
        <w:t xml:space="preserve">. Such documents concern or touch upon the arrangement or understanding. In the circumstances of this case, such documents are associated with the </w:t>
      </w:r>
      <w:r w:rsidRPr="00915010">
        <w:lastRenderedPageBreak/>
        <w:t>existence and terms of the understanding or arrangement which underpins the timing of the application for leave</w:t>
      </w:r>
      <w:r w:rsidRPr="00F53AC2">
        <w:t>.</w:t>
      </w:r>
    </w:p>
    <w:p w14:paraId="4015EE81" w14:textId="4FC32C70" w:rsidR="00C4746E" w:rsidRPr="004337E6" w:rsidRDefault="00C4746E" w:rsidP="00C4746E">
      <w:pPr>
        <w:pStyle w:val="ParaNumbering"/>
      </w:pPr>
      <w:bookmarkStart w:id="22" w:name="_Ref89868508"/>
      <w:r w:rsidRPr="005654D5">
        <w:rPr>
          <w:color w:val="000000"/>
        </w:rPr>
        <w:t>It was necessary to inspect the documents to determ</w:t>
      </w:r>
      <w:r w:rsidRPr="00F20962">
        <w:rPr>
          <w:color w:val="000000"/>
        </w:rPr>
        <w:t>ine which, if any,</w:t>
      </w:r>
      <w:r w:rsidRPr="005654D5">
        <w:rPr>
          <w:color w:val="000000"/>
        </w:rPr>
        <w:t xml:space="preserve"> fall within the scope of what has been waived. I am satisfied, as the respondents indicated, Documents 1</w:t>
      </w:r>
      <w:r w:rsidR="00CB02AA">
        <w:rPr>
          <w:color w:val="000000"/>
        </w:rPr>
        <w:t xml:space="preserve">, </w:t>
      </w:r>
      <w:r w:rsidRPr="005654D5">
        <w:rPr>
          <w:color w:val="000000"/>
        </w:rPr>
        <w:t>2 and 17 fall within the description, although those documents have been addressed separately above</w:t>
      </w:r>
      <w:r w:rsidRPr="008A4787">
        <w:rPr>
          <w:color w:val="000000"/>
        </w:rPr>
        <w:t xml:space="preserve">. </w:t>
      </w:r>
      <w:r w:rsidR="005E4603" w:rsidRPr="00C1298D">
        <w:rPr>
          <w:color w:val="000000"/>
        </w:rPr>
        <w:t>Inspecting the documents confirmed the conclusions referred to above.</w:t>
      </w:r>
      <w:r w:rsidR="005E4603" w:rsidRPr="008A4787">
        <w:rPr>
          <w:color w:val="000000"/>
        </w:rPr>
        <w:t xml:space="preserve"> </w:t>
      </w:r>
      <w:r w:rsidRPr="008A4787">
        <w:rPr>
          <w:color w:val="000000"/>
        </w:rPr>
        <w:t>Ho</w:t>
      </w:r>
      <w:r w:rsidRPr="005654D5">
        <w:rPr>
          <w:color w:val="000000"/>
        </w:rPr>
        <w:t>wever</w:t>
      </w:r>
      <w:r w:rsidRPr="00915010">
        <w:rPr>
          <w:color w:val="000000"/>
        </w:rPr>
        <w:t>, in addition,</w:t>
      </w:r>
      <w:r w:rsidRPr="00F53AC2">
        <w:rPr>
          <w:color w:val="000000"/>
        </w:rPr>
        <w:t xml:space="preserve"> the email of 3 March 2021, being Document 3 in the First Objection Schedule which relates to category 7, also falls within the scope. </w:t>
      </w:r>
      <w:r w:rsidRPr="00915010">
        <w:rPr>
          <w:color w:val="000000"/>
        </w:rPr>
        <w:t>It follows that privilege has also been waived in respect to that document.</w:t>
      </w:r>
      <w:bookmarkEnd w:id="22"/>
      <w:r w:rsidRPr="00915010">
        <w:rPr>
          <w:color w:val="000000"/>
        </w:rPr>
        <w:t xml:space="preserve"> </w:t>
      </w:r>
    </w:p>
    <w:p w14:paraId="1F6CAA64" w14:textId="61AC7BF9" w:rsidR="000663CF" w:rsidRPr="00F53AC2" w:rsidRDefault="000663CF" w:rsidP="00C3476C">
      <w:pPr>
        <w:pStyle w:val="Heading2"/>
      </w:pPr>
      <w:r w:rsidRPr="00F53AC2">
        <w:t xml:space="preserve">Conclusion </w:t>
      </w:r>
    </w:p>
    <w:p w14:paraId="1D687FF1" w14:textId="619FAD39" w:rsidR="007F7C51" w:rsidRPr="00E3689C" w:rsidRDefault="00DA1122" w:rsidP="007F7C51">
      <w:pPr>
        <w:pStyle w:val="ParaNumbering"/>
      </w:pPr>
      <w:r>
        <w:t>For the reasons above, privilege has been waived in respect to Documents 1, 2 and 17 in the First Objection Schedule, as well as Document 12 in the Third Objection Schedule. I also consider that privilege has been waived in the email of 3 March 2021, which is Document 3 in the First Objection Schedule. Accordingly, I grant the applicant access to these documents.</w:t>
      </w:r>
    </w:p>
    <w:p w14:paraId="17ECF5F6" w14:textId="77777777" w:rsidR="008D1E10" w:rsidRDefault="008D1E10" w:rsidP="00815065">
      <w:pPr>
        <w:pStyle w:val="BodyText"/>
      </w:pPr>
      <w:bookmarkStart w:id="23" w:name="Certification"/>
    </w:p>
    <w:tbl>
      <w:tblPr>
        <w:tblW w:w="0" w:type="auto"/>
        <w:tblLook w:val="04A0" w:firstRow="1" w:lastRow="0" w:firstColumn="1" w:lastColumn="0" w:noHBand="0" w:noVBand="1"/>
      </w:tblPr>
      <w:tblGrid>
        <w:gridCol w:w="3794"/>
      </w:tblGrid>
      <w:tr w:rsidR="008D1E10" w:rsidRPr="008D1E10" w14:paraId="5C25A105" w14:textId="77777777">
        <w:tc>
          <w:tcPr>
            <w:tcW w:w="3794" w:type="dxa"/>
            <w:shd w:val="clear" w:color="auto" w:fill="auto"/>
          </w:tcPr>
          <w:p w14:paraId="78A48F98" w14:textId="01FF7A31" w:rsidR="008D1E10" w:rsidRPr="008D1E10" w:rsidRDefault="008D1E10" w:rsidP="008D1E10">
            <w:pPr>
              <w:pStyle w:val="Normal1linespace"/>
            </w:pPr>
            <w:r w:rsidRPr="008D1E10">
              <w:t xml:space="preserve">I certify that the preceding </w:t>
            </w:r>
            <w:bookmarkStart w:id="24" w:name="NumberWord"/>
            <w:r>
              <w:t>seventy-five</w:t>
            </w:r>
            <w:bookmarkEnd w:id="24"/>
            <w:r w:rsidRPr="008D1E10">
              <w:t xml:space="preserve"> (</w:t>
            </w:r>
            <w:bookmarkStart w:id="25" w:name="NumberNumeral"/>
            <w:r>
              <w:t>75</w:t>
            </w:r>
            <w:bookmarkEnd w:id="25"/>
            <w:r w:rsidRPr="008D1E10">
              <w:t xml:space="preserve">) numbered </w:t>
            </w:r>
            <w:bookmarkStart w:id="26" w:name="CertPara"/>
            <w:r>
              <w:t>paragraphs are</w:t>
            </w:r>
            <w:bookmarkEnd w:id="26"/>
            <w:r w:rsidRPr="008D1E10">
              <w:t xml:space="preserve"> a true copy of the Reasons for Judgment of </w:t>
            </w:r>
            <w:bookmarkStart w:id="27" w:name="bkHonourable"/>
            <w:r w:rsidRPr="008D1E10">
              <w:t xml:space="preserve">the Honourable </w:t>
            </w:r>
            <w:bookmarkStart w:id="28" w:name="Justice"/>
            <w:bookmarkEnd w:id="27"/>
            <w:r>
              <w:t>Justice Abraham</w:t>
            </w:r>
            <w:bookmarkEnd w:id="28"/>
            <w:r w:rsidRPr="008D1E10">
              <w:t>.</w:t>
            </w:r>
          </w:p>
        </w:tc>
      </w:tr>
    </w:tbl>
    <w:p w14:paraId="2A9F1EC0" w14:textId="77777777" w:rsidR="008D1E10" w:rsidRDefault="008D1E10" w:rsidP="00815065">
      <w:pPr>
        <w:pStyle w:val="BodyText"/>
      </w:pPr>
    </w:p>
    <w:p w14:paraId="356B6EBD" w14:textId="77777777" w:rsidR="008D1E10" w:rsidRDefault="008D1E10" w:rsidP="00815065">
      <w:pPr>
        <w:pStyle w:val="BodyText"/>
      </w:pPr>
    </w:p>
    <w:p w14:paraId="75840AF8" w14:textId="77777777" w:rsidR="008D1E10" w:rsidRDefault="008D1E10" w:rsidP="00815065">
      <w:pPr>
        <w:pStyle w:val="BodyText"/>
      </w:pPr>
    </w:p>
    <w:p w14:paraId="65A5C2C7" w14:textId="4CD9E2BF" w:rsidR="008D1E10" w:rsidRDefault="008D1E10" w:rsidP="00815065">
      <w:pPr>
        <w:pStyle w:val="BodyText"/>
      </w:pPr>
      <w:r>
        <w:t>Associate:</w:t>
      </w:r>
      <w:bookmarkStart w:id="29" w:name="_GoBack"/>
      <w:bookmarkEnd w:id="29"/>
    </w:p>
    <w:p w14:paraId="232E41B5" w14:textId="77777777" w:rsidR="008D1E10" w:rsidRDefault="008D1E10" w:rsidP="00815065">
      <w:pPr>
        <w:pStyle w:val="BodyText"/>
      </w:pPr>
    </w:p>
    <w:p w14:paraId="409B886F" w14:textId="2811A410" w:rsidR="008D1E10" w:rsidRDefault="008D1E10" w:rsidP="00815065">
      <w:pPr>
        <w:pStyle w:val="BodyText"/>
        <w:tabs>
          <w:tab w:val="left" w:pos="1134"/>
        </w:tabs>
      </w:pPr>
      <w:r>
        <w:t>Dated:</w:t>
      </w:r>
      <w:r>
        <w:tab/>
      </w:r>
      <w:bookmarkStart w:id="30" w:name="CertifyDated"/>
      <w:r>
        <w:t>14 December 2021</w:t>
      </w:r>
      <w:bookmarkEnd w:id="30"/>
    </w:p>
    <w:p w14:paraId="29CDCF56" w14:textId="77777777" w:rsidR="008D1E10" w:rsidRDefault="008D1E10" w:rsidP="00815065">
      <w:pPr>
        <w:pStyle w:val="BodyText"/>
      </w:pPr>
    </w:p>
    <w:bookmarkEnd w:id="23"/>
    <w:p w14:paraId="2F191C53" w14:textId="6C66F82C" w:rsidR="00A46103" w:rsidRPr="00F647DF" w:rsidRDefault="000663CF" w:rsidP="00F647DF">
      <w:pPr>
        <w:pStyle w:val="BodyText"/>
        <w:jc w:val="center"/>
        <w:rPr>
          <w:b/>
        </w:rPr>
      </w:pPr>
      <w:r>
        <w:br w:type="page"/>
      </w:r>
      <w:r w:rsidR="00A46103" w:rsidRPr="00F647DF">
        <w:rPr>
          <w:b/>
        </w:rPr>
        <w:lastRenderedPageBreak/>
        <w:t>SCHEDULE OF PARTIES</w:t>
      </w:r>
    </w:p>
    <w:p w14:paraId="7160765D" w14:textId="77777777" w:rsidR="00A46103" w:rsidRPr="00663089" w:rsidRDefault="00A46103" w:rsidP="00A46103">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A46103" w14:paraId="483F57E3" w14:textId="77777777" w:rsidTr="000D5F24">
        <w:tc>
          <w:tcPr>
            <w:tcW w:w="3368" w:type="dxa"/>
          </w:tcPr>
          <w:p w14:paraId="1CA9C24D" w14:textId="77777777" w:rsidR="00A46103" w:rsidRDefault="00A46103" w:rsidP="000D5F24">
            <w:pPr>
              <w:pStyle w:val="NormalHeadings"/>
              <w:jc w:val="left"/>
              <w:rPr>
                <w:caps/>
                <w:szCs w:val="24"/>
              </w:rPr>
            </w:pPr>
          </w:p>
        </w:tc>
        <w:tc>
          <w:tcPr>
            <w:tcW w:w="5874" w:type="dxa"/>
          </w:tcPr>
          <w:p w14:paraId="378FC8D5" w14:textId="77777777" w:rsidR="00A46103" w:rsidRDefault="00A46103" w:rsidP="000D5F24">
            <w:pPr>
              <w:pStyle w:val="NormalHeadings"/>
              <w:jc w:val="right"/>
            </w:pPr>
            <w:r>
              <w:t>NSD 1485 of 2018</w:t>
            </w:r>
          </w:p>
          <w:p w14:paraId="22186A73" w14:textId="77777777" w:rsidR="00A46103" w:rsidRDefault="00A46103" w:rsidP="000D5F24">
            <w:pPr>
              <w:pStyle w:val="NormalHeadings"/>
              <w:jc w:val="right"/>
            </w:pPr>
            <w:r>
              <w:t>NSD 1486 of 2018</w:t>
            </w:r>
          </w:p>
          <w:p w14:paraId="1DB873CE" w14:textId="77777777" w:rsidR="00A46103" w:rsidRDefault="00A46103" w:rsidP="000D5F24">
            <w:pPr>
              <w:pStyle w:val="NormalHeadings"/>
              <w:jc w:val="right"/>
            </w:pPr>
            <w:r>
              <w:t>NSD 1487 of 2018</w:t>
            </w:r>
          </w:p>
        </w:tc>
      </w:tr>
      <w:tr w:rsidR="00A46103" w14:paraId="5B76864F" w14:textId="77777777" w:rsidTr="000D5F24">
        <w:trPr>
          <w:trHeight w:val="386"/>
        </w:trPr>
        <w:tc>
          <w:tcPr>
            <w:tcW w:w="3368" w:type="dxa"/>
          </w:tcPr>
          <w:p w14:paraId="411B8631" w14:textId="77777777" w:rsidR="00A46103" w:rsidRDefault="00A46103" w:rsidP="000D5F24">
            <w:pPr>
              <w:pStyle w:val="BodyTextBold"/>
              <w:spacing w:before="180"/>
              <w:jc w:val="left"/>
            </w:pPr>
            <w:bookmarkStart w:id="31" w:name="SOP_RespondentsRows" w:colFirst="0" w:colLast="1"/>
            <w:r>
              <w:t>Respondents</w:t>
            </w:r>
          </w:p>
        </w:tc>
        <w:tc>
          <w:tcPr>
            <w:tcW w:w="5874" w:type="dxa"/>
            <w:tcMar>
              <w:left w:w="28" w:type="dxa"/>
            </w:tcMar>
          </w:tcPr>
          <w:p w14:paraId="57F7E0C3" w14:textId="77777777" w:rsidR="00A46103" w:rsidRDefault="00A46103" w:rsidP="000D5F24">
            <w:pPr>
              <w:pStyle w:val="BodyText"/>
              <w:jc w:val="left"/>
            </w:pPr>
          </w:p>
        </w:tc>
      </w:tr>
      <w:tr w:rsidR="00A46103" w14:paraId="36997E33" w14:textId="77777777" w:rsidTr="000D5F24">
        <w:trPr>
          <w:trHeight w:val="386"/>
        </w:trPr>
        <w:tc>
          <w:tcPr>
            <w:tcW w:w="3368" w:type="dxa"/>
          </w:tcPr>
          <w:p w14:paraId="6D0B6CFF" w14:textId="77777777" w:rsidR="00A46103" w:rsidRDefault="00A46103" w:rsidP="000D5F24">
            <w:pPr>
              <w:pStyle w:val="BodyText"/>
              <w:spacing w:after="240" w:line="240" w:lineRule="auto"/>
              <w:jc w:val="left"/>
            </w:pPr>
            <w:bookmarkStart w:id="32" w:name="SOP_FirstRespondent"/>
            <w:bookmarkEnd w:id="32"/>
            <w:r>
              <w:t>Second Respondent:</w:t>
            </w:r>
          </w:p>
        </w:tc>
        <w:tc>
          <w:tcPr>
            <w:tcW w:w="5874" w:type="dxa"/>
            <w:tcMar>
              <w:left w:w="28" w:type="dxa"/>
            </w:tcMar>
          </w:tcPr>
          <w:p w14:paraId="6A616CD8" w14:textId="77777777" w:rsidR="00A46103" w:rsidRDefault="00A46103" w:rsidP="000D5F24">
            <w:pPr>
              <w:pStyle w:val="BodyText"/>
              <w:spacing w:after="240" w:line="240" w:lineRule="auto"/>
              <w:jc w:val="left"/>
            </w:pPr>
            <w:r>
              <w:t>NICK MCKENZIE</w:t>
            </w:r>
          </w:p>
        </w:tc>
      </w:tr>
      <w:tr w:rsidR="00A46103" w14:paraId="0E8093E9" w14:textId="77777777" w:rsidTr="000D5F24">
        <w:trPr>
          <w:trHeight w:val="386"/>
        </w:trPr>
        <w:tc>
          <w:tcPr>
            <w:tcW w:w="3368" w:type="dxa"/>
          </w:tcPr>
          <w:p w14:paraId="398B3B4D" w14:textId="77777777" w:rsidR="00A46103" w:rsidRDefault="00A46103" w:rsidP="000D5F24">
            <w:pPr>
              <w:pStyle w:val="BodyText"/>
              <w:spacing w:after="240" w:line="240" w:lineRule="auto"/>
              <w:jc w:val="left"/>
            </w:pPr>
            <w:r>
              <w:t>Third Respondent:</w:t>
            </w:r>
          </w:p>
        </w:tc>
        <w:tc>
          <w:tcPr>
            <w:tcW w:w="5874" w:type="dxa"/>
            <w:tcMar>
              <w:left w:w="28" w:type="dxa"/>
            </w:tcMar>
          </w:tcPr>
          <w:p w14:paraId="2D6ECB78" w14:textId="77777777" w:rsidR="00A46103" w:rsidRDefault="00A46103" w:rsidP="000D5F24">
            <w:pPr>
              <w:pStyle w:val="BodyText"/>
              <w:spacing w:after="240" w:line="240" w:lineRule="auto"/>
              <w:jc w:val="left"/>
            </w:pPr>
            <w:r>
              <w:t>CHRIS MASTERS</w:t>
            </w:r>
          </w:p>
        </w:tc>
      </w:tr>
      <w:tr w:rsidR="00A46103" w14:paraId="070DA881" w14:textId="77777777" w:rsidTr="000D5F24">
        <w:trPr>
          <w:trHeight w:val="386"/>
        </w:trPr>
        <w:tc>
          <w:tcPr>
            <w:tcW w:w="3368" w:type="dxa"/>
          </w:tcPr>
          <w:p w14:paraId="75B718E6" w14:textId="77777777" w:rsidR="00A46103" w:rsidRDefault="00A46103" w:rsidP="000D5F24">
            <w:pPr>
              <w:pStyle w:val="BodyText"/>
              <w:spacing w:after="240" w:line="240" w:lineRule="auto"/>
              <w:jc w:val="left"/>
            </w:pPr>
            <w:r>
              <w:t>Fourth Respondent:</w:t>
            </w:r>
          </w:p>
        </w:tc>
        <w:tc>
          <w:tcPr>
            <w:tcW w:w="5874" w:type="dxa"/>
            <w:tcMar>
              <w:left w:w="28" w:type="dxa"/>
            </w:tcMar>
          </w:tcPr>
          <w:p w14:paraId="0C4325CC" w14:textId="77777777" w:rsidR="00A46103" w:rsidRDefault="00A46103" w:rsidP="000D5F24">
            <w:pPr>
              <w:pStyle w:val="BodyText"/>
              <w:spacing w:after="240" w:line="240" w:lineRule="auto"/>
              <w:jc w:val="left"/>
            </w:pPr>
            <w:r>
              <w:t>DAVID WROE</w:t>
            </w:r>
          </w:p>
        </w:tc>
      </w:tr>
      <w:bookmarkEnd w:id="31"/>
    </w:tbl>
    <w:p w14:paraId="3206027A" w14:textId="77777777" w:rsidR="00A46103" w:rsidRDefault="00A46103" w:rsidP="00A46103">
      <w:pPr>
        <w:pStyle w:val="BodyText"/>
      </w:pPr>
    </w:p>
    <w:p w14:paraId="2B99E334" w14:textId="77777777" w:rsidR="00A46103" w:rsidRPr="00057EE7" w:rsidRDefault="00A46103" w:rsidP="00C751B6">
      <w:pPr>
        <w:pStyle w:val="BodyText"/>
      </w:pPr>
    </w:p>
    <w:sectPr w:rsidR="00A46103" w:rsidRPr="00057EE7" w:rsidSect="00107110">
      <w:footerReference w:type="default" r:id="rId15"/>
      <w:footerReference w:type="first" r:id="rId16"/>
      <w:endnotePr>
        <w:numFmt w:val="decimal"/>
      </w:endnotePr>
      <w:pgSz w:w="11907" w:h="16840" w:code="9"/>
      <w:pgMar w:top="1440" w:right="1440" w:bottom="1440" w:left="1440" w:header="85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16FC" w14:textId="77777777" w:rsidR="00E727D0" w:rsidRDefault="00E727D0">
      <w:pPr>
        <w:spacing w:line="20" w:lineRule="exact"/>
      </w:pPr>
    </w:p>
    <w:p w14:paraId="7DDB77A4" w14:textId="77777777" w:rsidR="00E727D0" w:rsidRDefault="00E727D0"/>
    <w:p w14:paraId="6789D453" w14:textId="77777777" w:rsidR="00E727D0" w:rsidRDefault="00E727D0"/>
  </w:endnote>
  <w:endnote w:type="continuationSeparator" w:id="0">
    <w:p w14:paraId="6E470BAF" w14:textId="77777777" w:rsidR="00E727D0" w:rsidRDefault="00E727D0">
      <w:r>
        <w:t xml:space="preserve"> </w:t>
      </w:r>
    </w:p>
    <w:p w14:paraId="36981E67" w14:textId="77777777" w:rsidR="00E727D0" w:rsidRDefault="00E727D0"/>
    <w:p w14:paraId="04D32991" w14:textId="77777777" w:rsidR="00E727D0" w:rsidRDefault="00E727D0"/>
  </w:endnote>
  <w:endnote w:type="continuationNotice" w:id="1">
    <w:p w14:paraId="58DEF201" w14:textId="77777777" w:rsidR="00E727D0" w:rsidRDefault="00E727D0">
      <w:r>
        <w:t xml:space="preserve"> </w:t>
      </w:r>
    </w:p>
    <w:p w14:paraId="7BF6E87A" w14:textId="77777777" w:rsidR="00E727D0" w:rsidRDefault="00E727D0"/>
    <w:p w14:paraId="4A418189" w14:textId="77777777" w:rsidR="00E727D0" w:rsidRDefault="00E72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D38F" w14:textId="08DCF392" w:rsidR="00A35143" w:rsidRPr="00C47B9D" w:rsidRDefault="00A3514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2B98411" wp14:editId="120C612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00BD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80A2E">
          <w:rPr>
            <w:bCs/>
            <w:sz w:val="18"/>
            <w:szCs w:val="18"/>
          </w:rPr>
          <w:t>Roberts-Smith v Fairfax Media Publications Pty Limited (No 25) [2021] FCA 1558</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8D73" w14:textId="52DAF666" w:rsidR="00A35143" w:rsidRPr="00C47B9D" w:rsidRDefault="00A3514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FF730D6" wp14:editId="491979A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4978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F4B70049C814DEAB60F03B190BBD8B4"/>
        </w:placeholder>
        <w:dataBinding w:prefixMappings="xmlns:ns0='http://schemas.globalmacros.com/FCA'" w:xpath="/ns0:root[1]/ns0:Name[1]" w:storeItemID="{687E7CCB-4AA5-44E7-B148-17BA2B6F57C0}"/>
        <w:text w:multiLine="1"/>
      </w:sdtPr>
      <w:sdtEndPr/>
      <w:sdtContent>
        <w:r w:rsidR="00E80A2E">
          <w:rPr>
            <w:bCs/>
            <w:sz w:val="18"/>
            <w:szCs w:val="18"/>
          </w:rPr>
          <w:t>Roberts-Smith v Fairfax Media Publications Pty Limited (No 25) [2021] FCA 1558</w:t>
        </w:r>
      </w:sdtContent>
    </w:sdt>
    <w:r>
      <w:rPr>
        <w:bCs/>
        <w:sz w:val="18"/>
        <w:szCs w:val="18"/>
      </w:rPr>
      <w:tab/>
    </w:r>
    <w:r w:rsidR="00AF1B0F">
      <w:rPr>
        <w:bCs/>
        <w:sz w:val="20"/>
      </w:rPr>
      <w:t>ii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7D92" w14:textId="6CC89D8C" w:rsidR="00A35143" w:rsidRPr="00C47B9D" w:rsidRDefault="00A3514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15BE0F0" wp14:editId="6CD1540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DA7E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06AD05681F94C669FD032C78B865DFA"/>
        </w:placeholder>
        <w:dataBinding w:prefixMappings="xmlns:ns0='http://schemas.globalmacros.com/FCA'" w:xpath="/ns0:root[1]/ns0:Name[1]" w:storeItemID="{687E7CCB-4AA5-44E7-B148-17BA2B6F57C0}"/>
        <w:text w:multiLine="1"/>
      </w:sdtPr>
      <w:sdtEndPr/>
      <w:sdtContent>
        <w:r w:rsidR="00E80A2E">
          <w:rPr>
            <w:bCs/>
            <w:sz w:val="18"/>
            <w:szCs w:val="18"/>
          </w:rPr>
          <w:t>Roberts-Smith v Fairfax Media Publications Pty Limited (No 25) [2021] FCA 1558</w:t>
        </w:r>
      </w:sdtContent>
    </w:sdt>
    <w:r>
      <w:rPr>
        <w:bCs/>
        <w:sz w:val="18"/>
        <w:szCs w:val="18"/>
      </w:rPr>
      <w:tab/>
    </w:r>
    <w:r>
      <w:rPr>
        <w:bCs/>
        <w:sz w:val="20"/>
      </w:rP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C95A" w14:textId="76FF5289" w:rsidR="00107110" w:rsidRPr="00C47B9D" w:rsidRDefault="0010711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1552" behindDoc="0" locked="0" layoutInCell="1" allowOverlap="1" wp14:anchorId="559369C5" wp14:editId="134D8FDF">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EA433"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452359107"/>
        <w:placeholder>
          <w:docPart w:val="A2F35EDC08B14C308B51A989B1F9E895"/>
        </w:placeholder>
        <w:dataBinding w:prefixMappings="xmlns:ns0='http://schemas.globalmacros.com/FCA'" w:xpath="/ns0:root[1]/ns0:Name[1]" w:storeItemID="{687E7CCB-4AA5-44E7-B148-17BA2B6F57C0}"/>
        <w:text w:multiLine="1"/>
      </w:sdtPr>
      <w:sdtEndPr/>
      <w:sdtContent>
        <w:r>
          <w:rPr>
            <w:bCs/>
            <w:sz w:val="18"/>
            <w:szCs w:val="18"/>
          </w:rPr>
          <w:t>Roberts-Smith v Fairfax Media Publications Pty Limited (No 25) [2021] FCA 1558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412A6">
      <w:rPr>
        <w:bCs/>
        <w:noProof/>
        <w:sz w:val="20"/>
      </w:rPr>
      <w:t>20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EED2" w14:textId="50F8F1C4" w:rsidR="00A35143" w:rsidRPr="00C47B9D" w:rsidRDefault="00A3514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9504" behindDoc="0" locked="0" layoutInCell="1" allowOverlap="1" wp14:anchorId="129AD265" wp14:editId="588639F1">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C70F6"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095471486"/>
        <w:placeholder>
          <w:docPart w:val="CABD4906990842A1920E0330AE4413FE"/>
        </w:placeholder>
        <w:dataBinding w:prefixMappings="xmlns:ns0='http://schemas.globalmacros.com/FCA'" w:xpath="/ns0:root[1]/ns0:Name[1]" w:storeItemID="{687E7CCB-4AA5-44E7-B148-17BA2B6F57C0}"/>
        <w:text w:multiLine="1"/>
      </w:sdtPr>
      <w:sdtEndPr/>
      <w:sdtContent>
        <w:r w:rsidR="00E80A2E">
          <w:rPr>
            <w:bCs/>
            <w:sz w:val="18"/>
            <w:szCs w:val="18"/>
          </w:rPr>
          <w:t>Roberts-Smith v Fairfax Media Publications Pty Limited (No 25) [2021] FCA 1558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07110">
      <w:rPr>
        <w:bCs/>
        <w:noProof/>
        <w:sz w:val="20"/>
      </w:rPr>
      <w:t>1</w:t>
    </w:r>
    <w:r w:rsidRPr="00EA7F6D">
      <w:rPr>
        <w:bCs/>
        <w:noProof/>
        <w:sz w:val="20"/>
      </w:rPr>
      <w:fldChar w:fldCharType="end"/>
    </w:r>
  </w:p>
  <w:p w14:paraId="74262F60" w14:textId="77777777" w:rsidR="00A35143" w:rsidRDefault="00A351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9EF7" w14:textId="77777777" w:rsidR="00E727D0" w:rsidRDefault="00E727D0"/>
    <w:p w14:paraId="36F0133E" w14:textId="77777777" w:rsidR="00E727D0" w:rsidRDefault="00E727D0"/>
    <w:p w14:paraId="331EFD21" w14:textId="77777777" w:rsidR="00E727D0" w:rsidRDefault="00E727D0"/>
  </w:footnote>
  <w:footnote w:type="continuationSeparator" w:id="0">
    <w:p w14:paraId="57B88AAB" w14:textId="77777777" w:rsidR="00E727D0" w:rsidRDefault="00E727D0">
      <w:r>
        <w:continuationSeparator/>
      </w:r>
    </w:p>
    <w:p w14:paraId="5DAC95E4" w14:textId="77777777" w:rsidR="00E727D0" w:rsidRDefault="00E727D0"/>
    <w:p w14:paraId="40FF2884" w14:textId="77777777" w:rsidR="00E727D0" w:rsidRDefault="00E727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B882" w14:textId="77777777" w:rsidR="00A35143" w:rsidRDefault="00A351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716A" w14:textId="77777777" w:rsidR="00A35143" w:rsidRDefault="00A35143">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3D0" w14:textId="77777777" w:rsidR="00A35143" w:rsidRDefault="00A3514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BEC0246"/>
    <w:multiLevelType w:val="hybridMultilevel"/>
    <w:tmpl w:val="AB36C6D6"/>
    <w:lvl w:ilvl="0" w:tplc="A2587264">
      <w:start w:val="1"/>
      <w:numFmt w:val="decimal"/>
      <w:lvlText w:val="%1."/>
      <w:lvlJc w:val="left"/>
      <w:pPr>
        <w:ind w:left="530" w:hanging="360"/>
        <w:jc w:val="left"/>
      </w:pPr>
      <w:rPr>
        <w:rFonts w:ascii="Times New Roman" w:eastAsia="Times New Roman" w:hAnsi="Times New Roman" w:cs="Times New Roman" w:hint="default"/>
        <w:spacing w:val="-2"/>
        <w:w w:val="99"/>
        <w:sz w:val="24"/>
        <w:szCs w:val="24"/>
        <w:lang w:val="en-AU" w:eastAsia="en-AU" w:bidi="en-AU"/>
      </w:rPr>
    </w:lvl>
    <w:lvl w:ilvl="1" w:tplc="DE3C564E">
      <w:start w:val="1"/>
      <w:numFmt w:val="lowerLetter"/>
      <w:lvlText w:val="%2)"/>
      <w:lvlJc w:val="left"/>
      <w:pPr>
        <w:ind w:left="890" w:hanging="360"/>
        <w:jc w:val="left"/>
      </w:pPr>
      <w:rPr>
        <w:rFonts w:ascii="Times New Roman" w:eastAsia="Times New Roman" w:hAnsi="Times New Roman" w:cs="Times New Roman" w:hint="default"/>
        <w:spacing w:val="-6"/>
        <w:w w:val="99"/>
        <w:sz w:val="24"/>
        <w:szCs w:val="24"/>
        <w:lang w:val="en-AU" w:eastAsia="en-AU" w:bidi="en-AU"/>
      </w:rPr>
    </w:lvl>
    <w:lvl w:ilvl="2" w:tplc="4B3C8EF2">
      <w:numFmt w:val="bullet"/>
      <w:lvlText w:val="•"/>
      <w:lvlJc w:val="left"/>
      <w:pPr>
        <w:ind w:left="1620" w:hanging="360"/>
      </w:pPr>
      <w:rPr>
        <w:rFonts w:hint="default"/>
        <w:lang w:val="en-AU" w:eastAsia="en-AU" w:bidi="en-AU"/>
      </w:rPr>
    </w:lvl>
    <w:lvl w:ilvl="3" w:tplc="6B3C7B6E">
      <w:numFmt w:val="bullet"/>
      <w:lvlText w:val="•"/>
      <w:lvlJc w:val="left"/>
      <w:pPr>
        <w:ind w:left="2710" w:hanging="360"/>
      </w:pPr>
      <w:rPr>
        <w:rFonts w:hint="default"/>
        <w:lang w:val="en-AU" w:eastAsia="en-AU" w:bidi="en-AU"/>
      </w:rPr>
    </w:lvl>
    <w:lvl w:ilvl="4" w:tplc="9DAA1D24">
      <w:numFmt w:val="bullet"/>
      <w:lvlText w:val="•"/>
      <w:lvlJc w:val="left"/>
      <w:pPr>
        <w:ind w:left="3801" w:hanging="360"/>
      </w:pPr>
      <w:rPr>
        <w:rFonts w:hint="default"/>
        <w:lang w:val="en-AU" w:eastAsia="en-AU" w:bidi="en-AU"/>
      </w:rPr>
    </w:lvl>
    <w:lvl w:ilvl="5" w:tplc="626AFC66">
      <w:numFmt w:val="bullet"/>
      <w:lvlText w:val="•"/>
      <w:lvlJc w:val="left"/>
      <w:pPr>
        <w:ind w:left="4892" w:hanging="360"/>
      </w:pPr>
      <w:rPr>
        <w:rFonts w:hint="default"/>
        <w:lang w:val="en-AU" w:eastAsia="en-AU" w:bidi="en-AU"/>
      </w:rPr>
    </w:lvl>
    <w:lvl w:ilvl="6" w:tplc="786AD74A">
      <w:numFmt w:val="bullet"/>
      <w:lvlText w:val="•"/>
      <w:lvlJc w:val="left"/>
      <w:pPr>
        <w:ind w:left="5983" w:hanging="360"/>
      </w:pPr>
      <w:rPr>
        <w:rFonts w:hint="default"/>
        <w:lang w:val="en-AU" w:eastAsia="en-AU" w:bidi="en-AU"/>
      </w:rPr>
    </w:lvl>
    <w:lvl w:ilvl="7" w:tplc="C3ECC26C">
      <w:numFmt w:val="bullet"/>
      <w:lvlText w:val="•"/>
      <w:lvlJc w:val="left"/>
      <w:pPr>
        <w:ind w:left="7074" w:hanging="360"/>
      </w:pPr>
      <w:rPr>
        <w:rFonts w:hint="default"/>
        <w:lang w:val="en-AU" w:eastAsia="en-AU" w:bidi="en-AU"/>
      </w:rPr>
    </w:lvl>
    <w:lvl w:ilvl="8" w:tplc="65FCF38C">
      <w:numFmt w:val="bullet"/>
      <w:lvlText w:val="•"/>
      <w:lvlJc w:val="left"/>
      <w:pPr>
        <w:ind w:left="8164" w:hanging="360"/>
      </w:pPr>
      <w:rPr>
        <w:rFonts w:hint="default"/>
        <w:lang w:val="en-AU" w:eastAsia="en-AU" w:bidi="en-AU"/>
      </w:rPr>
    </w:lvl>
  </w:abstractNum>
  <w:abstractNum w:abstractNumId="14" w15:restartNumberingAfterBreak="0">
    <w:nsid w:val="0DEA6E9F"/>
    <w:multiLevelType w:val="hybridMultilevel"/>
    <w:tmpl w:val="89D4EB62"/>
    <w:lvl w:ilvl="0" w:tplc="378A3052">
      <w:start w:val="1"/>
      <w:numFmt w:val="decimal"/>
      <w:pStyle w:val="WJAParagraph"/>
      <w:lvlText w:val="%1."/>
      <w:lvlJc w:val="left"/>
      <w:pPr>
        <w:tabs>
          <w:tab w:val="num" w:pos="567"/>
        </w:tabs>
        <w:ind w:left="567" w:hanging="567"/>
      </w:pPr>
      <w:rPr>
        <w:rFonts w:cs="Times New Roman" w:hint="default"/>
        <w:b w:val="0"/>
        <w:i w:val="0"/>
      </w:rPr>
    </w:lvl>
    <w:lvl w:ilvl="1" w:tplc="A3BCCC42">
      <w:start w:val="1"/>
      <w:numFmt w:val="decimal"/>
      <w:lvlText w:val="(%2)"/>
      <w:lvlJc w:val="left"/>
      <w:pPr>
        <w:tabs>
          <w:tab w:val="num" w:pos="1440"/>
        </w:tabs>
        <w:ind w:left="1440" w:hanging="360"/>
      </w:pPr>
      <w:rPr>
        <w:rFonts w:ascii="Times New Roman" w:eastAsia="PMingLiU" w:hAnsi="Times New Roman"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FC3535E"/>
    <w:multiLevelType w:val="hybridMultilevel"/>
    <w:tmpl w:val="2E168176"/>
    <w:lvl w:ilvl="0" w:tplc="FD66C482">
      <w:start w:val="1"/>
      <w:numFmt w:val="decimal"/>
      <w:lvlText w:val="%1."/>
      <w:lvlJc w:val="left"/>
      <w:pPr>
        <w:ind w:left="938" w:hanging="721"/>
        <w:jc w:val="left"/>
      </w:pPr>
      <w:rPr>
        <w:rFonts w:ascii="Arial" w:eastAsia="Arial" w:hAnsi="Arial" w:cs="Arial" w:hint="default"/>
        <w:spacing w:val="-1"/>
        <w:w w:val="100"/>
        <w:sz w:val="22"/>
        <w:szCs w:val="22"/>
      </w:rPr>
    </w:lvl>
    <w:lvl w:ilvl="1" w:tplc="464A0332">
      <w:start w:val="1"/>
      <w:numFmt w:val="lowerLetter"/>
      <w:lvlText w:val="(%2)"/>
      <w:lvlJc w:val="left"/>
      <w:pPr>
        <w:ind w:left="1298" w:hanging="360"/>
        <w:jc w:val="left"/>
      </w:pPr>
      <w:rPr>
        <w:rFonts w:ascii="Arial" w:eastAsia="Arial" w:hAnsi="Arial" w:cs="Arial" w:hint="default"/>
        <w:spacing w:val="-1"/>
        <w:w w:val="100"/>
        <w:sz w:val="22"/>
        <w:szCs w:val="22"/>
      </w:rPr>
    </w:lvl>
    <w:lvl w:ilvl="2" w:tplc="FDEE4DC6">
      <w:numFmt w:val="bullet"/>
      <w:lvlText w:val="•"/>
      <w:lvlJc w:val="left"/>
      <w:pPr>
        <w:ind w:left="1300" w:hanging="360"/>
      </w:pPr>
      <w:rPr>
        <w:rFonts w:hint="default"/>
      </w:rPr>
    </w:lvl>
    <w:lvl w:ilvl="3" w:tplc="F2BCBE00">
      <w:numFmt w:val="bullet"/>
      <w:lvlText w:val="•"/>
      <w:lvlJc w:val="left"/>
      <w:pPr>
        <w:ind w:left="1618" w:hanging="360"/>
      </w:pPr>
      <w:rPr>
        <w:rFonts w:hint="default"/>
      </w:rPr>
    </w:lvl>
    <w:lvl w:ilvl="4" w:tplc="B9B847E8">
      <w:numFmt w:val="bullet"/>
      <w:lvlText w:val="•"/>
      <w:lvlJc w:val="left"/>
      <w:pPr>
        <w:ind w:left="1936" w:hanging="360"/>
      </w:pPr>
      <w:rPr>
        <w:rFonts w:hint="default"/>
      </w:rPr>
    </w:lvl>
    <w:lvl w:ilvl="5" w:tplc="F8CE800C">
      <w:numFmt w:val="bullet"/>
      <w:lvlText w:val="•"/>
      <w:lvlJc w:val="left"/>
      <w:pPr>
        <w:ind w:left="2254" w:hanging="360"/>
      </w:pPr>
      <w:rPr>
        <w:rFonts w:hint="default"/>
      </w:rPr>
    </w:lvl>
    <w:lvl w:ilvl="6" w:tplc="CE90F7B0">
      <w:numFmt w:val="bullet"/>
      <w:lvlText w:val="•"/>
      <w:lvlJc w:val="left"/>
      <w:pPr>
        <w:ind w:left="2572" w:hanging="360"/>
      </w:pPr>
      <w:rPr>
        <w:rFonts w:hint="default"/>
      </w:rPr>
    </w:lvl>
    <w:lvl w:ilvl="7" w:tplc="AF54D474">
      <w:numFmt w:val="bullet"/>
      <w:lvlText w:val="•"/>
      <w:lvlJc w:val="left"/>
      <w:pPr>
        <w:ind w:left="2890" w:hanging="360"/>
      </w:pPr>
      <w:rPr>
        <w:rFonts w:hint="default"/>
      </w:rPr>
    </w:lvl>
    <w:lvl w:ilvl="8" w:tplc="F8183658">
      <w:numFmt w:val="bullet"/>
      <w:lvlText w:val="•"/>
      <w:lvlJc w:val="left"/>
      <w:pPr>
        <w:ind w:left="3208" w:hanging="360"/>
      </w:pPr>
      <w:rPr>
        <w:rFonts w:hint="default"/>
      </w:rPr>
    </w:lvl>
  </w:abstractNum>
  <w:abstractNum w:abstractNumId="16" w15:restartNumberingAfterBreak="0">
    <w:nsid w:val="11CF68F6"/>
    <w:multiLevelType w:val="multilevel"/>
    <w:tmpl w:val="F85C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9" w15:restartNumberingAfterBreak="0">
    <w:nsid w:val="20A46EB5"/>
    <w:multiLevelType w:val="hybridMultilevel"/>
    <w:tmpl w:val="AA20357E"/>
    <w:lvl w:ilvl="0" w:tplc="9B42C344">
      <w:start w:val="1"/>
      <w:numFmt w:val="decimal"/>
      <w:lvlText w:val="%1."/>
      <w:lvlJc w:val="left"/>
      <w:pPr>
        <w:ind w:left="840" w:hanging="720"/>
        <w:jc w:val="left"/>
      </w:pPr>
      <w:rPr>
        <w:rFonts w:ascii="Arial" w:eastAsia="Arial" w:hAnsi="Arial" w:cs="Arial" w:hint="default"/>
        <w:spacing w:val="-1"/>
        <w:w w:val="100"/>
        <w:sz w:val="22"/>
        <w:szCs w:val="22"/>
      </w:rPr>
    </w:lvl>
    <w:lvl w:ilvl="1" w:tplc="AB42869C">
      <w:start w:val="1"/>
      <w:numFmt w:val="lowerLetter"/>
      <w:lvlText w:val="(%2)"/>
      <w:lvlJc w:val="left"/>
      <w:pPr>
        <w:ind w:left="1560" w:hanging="732"/>
        <w:jc w:val="left"/>
      </w:pPr>
      <w:rPr>
        <w:rFonts w:ascii="Arial" w:eastAsia="Arial" w:hAnsi="Arial" w:cs="Arial" w:hint="default"/>
        <w:spacing w:val="-1"/>
        <w:w w:val="100"/>
        <w:sz w:val="22"/>
        <w:szCs w:val="22"/>
      </w:rPr>
    </w:lvl>
    <w:lvl w:ilvl="2" w:tplc="9544FCC2">
      <w:start w:val="1"/>
      <w:numFmt w:val="lowerRoman"/>
      <w:lvlText w:val="(%3)"/>
      <w:lvlJc w:val="left"/>
      <w:pPr>
        <w:ind w:left="2104" w:hanging="567"/>
        <w:jc w:val="left"/>
      </w:pPr>
      <w:rPr>
        <w:rFonts w:ascii="Arial" w:eastAsia="Arial" w:hAnsi="Arial" w:cs="Arial" w:hint="default"/>
        <w:spacing w:val="-2"/>
        <w:w w:val="100"/>
        <w:sz w:val="22"/>
        <w:szCs w:val="22"/>
      </w:rPr>
    </w:lvl>
    <w:lvl w:ilvl="3" w:tplc="2EE2FE7A">
      <w:numFmt w:val="bullet"/>
      <w:lvlText w:val="•"/>
      <w:lvlJc w:val="left"/>
      <w:pPr>
        <w:ind w:left="2100" w:hanging="567"/>
      </w:pPr>
      <w:rPr>
        <w:rFonts w:hint="default"/>
      </w:rPr>
    </w:lvl>
    <w:lvl w:ilvl="4" w:tplc="39F49562">
      <w:numFmt w:val="bullet"/>
      <w:lvlText w:val="•"/>
      <w:lvlJc w:val="left"/>
      <w:pPr>
        <w:ind w:left="3188" w:hanging="567"/>
      </w:pPr>
      <w:rPr>
        <w:rFonts w:hint="default"/>
      </w:rPr>
    </w:lvl>
    <w:lvl w:ilvl="5" w:tplc="4328DB20">
      <w:numFmt w:val="bullet"/>
      <w:lvlText w:val="•"/>
      <w:lvlJc w:val="left"/>
      <w:pPr>
        <w:ind w:left="4277" w:hanging="567"/>
      </w:pPr>
      <w:rPr>
        <w:rFonts w:hint="default"/>
      </w:rPr>
    </w:lvl>
    <w:lvl w:ilvl="6" w:tplc="EC9CDC5C">
      <w:numFmt w:val="bullet"/>
      <w:lvlText w:val="•"/>
      <w:lvlJc w:val="left"/>
      <w:pPr>
        <w:ind w:left="5365" w:hanging="567"/>
      </w:pPr>
      <w:rPr>
        <w:rFonts w:hint="default"/>
      </w:rPr>
    </w:lvl>
    <w:lvl w:ilvl="7" w:tplc="355096A8">
      <w:numFmt w:val="bullet"/>
      <w:lvlText w:val="•"/>
      <w:lvlJc w:val="left"/>
      <w:pPr>
        <w:ind w:left="6454" w:hanging="567"/>
      </w:pPr>
      <w:rPr>
        <w:rFonts w:hint="default"/>
      </w:rPr>
    </w:lvl>
    <w:lvl w:ilvl="8" w:tplc="45BCC646">
      <w:numFmt w:val="bullet"/>
      <w:lvlText w:val="•"/>
      <w:lvlJc w:val="left"/>
      <w:pPr>
        <w:ind w:left="7542" w:hanging="567"/>
      </w:pPr>
      <w:rPr>
        <w:rFonts w:hint="default"/>
      </w:rPr>
    </w:lvl>
  </w:abstractNum>
  <w:abstractNum w:abstractNumId="20" w15:restartNumberingAfterBreak="0">
    <w:nsid w:val="25CC4ACA"/>
    <w:multiLevelType w:val="hybridMultilevel"/>
    <w:tmpl w:val="F37EE554"/>
    <w:lvl w:ilvl="0" w:tplc="837236BE">
      <w:start w:val="1"/>
      <w:numFmt w:val="decimal"/>
      <w:lvlText w:val="%1."/>
      <w:lvlJc w:val="left"/>
      <w:pPr>
        <w:ind w:left="839" w:hanging="720"/>
        <w:jc w:val="right"/>
      </w:pPr>
      <w:rPr>
        <w:rFonts w:ascii="Arial" w:eastAsia="Arial" w:hAnsi="Arial" w:cs="Arial" w:hint="default"/>
        <w:spacing w:val="-1"/>
        <w:w w:val="100"/>
        <w:sz w:val="22"/>
        <w:szCs w:val="22"/>
      </w:rPr>
    </w:lvl>
    <w:lvl w:ilvl="1" w:tplc="6D3E3AFC">
      <w:start w:val="1"/>
      <w:numFmt w:val="lowerLetter"/>
      <w:lvlText w:val="(%2)"/>
      <w:lvlJc w:val="left"/>
      <w:pPr>
        <w:ind w:left="1199" w:hanging="360"/>
        <w:jc w:val="left"/>
      </w:pPr>
      <w:rPr>
        <w:rFonts w:ascii="Arial" w:eastAsia="Arial" w:hAnsi="Arial" w:cs="Arial" w:hint="default"/>
        <w:spacing w:val="-1"/>
        <w:w w:val="100"/>
        <w:sz w:val="22"/>
        <w:szCs w:val="22"/>
      </w:rPr>
    </w:lvl>
    <w:lvl w:ilvl="2" w:tplc="2BEA3D54">
      <w:numFmt w:val="bullet"/>
      <w:lvlText w:val="•"/>
      <w:lvlJc w:val="left"/>
      <w:pPr>
        <w:ind w:left="1200" w:hanging="360"/>
      </w:pPr>
      <w:rPr>
        <w:rFonts w:hint="default"/>
      </w:rPr>
    </w:lvl>
    <w:lvl w:ilvl="3" w:tplc="4F001666">
      <w:numFmt w:val="bullet"/>
      <w:lvlText w:val="•"/>
      <w:lvlJc w:val="left"/>
      <w:pPr>
        <w:ind w:left="1540" w:hanging="360"/>
      </w:pPr>
      <w:rPr>
        <w:rFonts w:hint="default"/>
      </w:rPr>
    </w:lvl>
    <w:lvl w:ilvl="4" w:tplc="855212BC">
      <w:numFmt w:val="bullet"/>
      <w:lvlText w:val="•"/>
      <w:lvlJc w:val="left"/>
      <w:pPr>
        <w:ind w:left="2418" w:hanging="360"/>
      </w:pPr>
      <w:rPr>
        <w:rFonts w:hint="default"/>
      </w:rPr>
    </w:lvl>
    <w:lvl w:ilvl="5" w:tplc="2CF40D52">
      <w:numFmt w:val="bullet"/>
      <w:lvlText w:val="•"/>
      <w:lvlJc w:val="left"/>
      <w:pPr>
        <w:ind w:left="3296" w:hanging="360"/>
      </w:pPr>
      <w:rPr>
        <w:rFonts w:hint="default"/>
      </w:rPr>
    </w:lvl>
    <w:lvl w:ilvl="6" w:tplc="453A56D6">
      <w:numFmt w:val="bullet"/>
      <w:lvlText w:val="•"/>
      <w:lvlJc w:val="left"/>
      <w:pPr>
        <w:ind w:left="4175" w:hanging="360"/>
      </w:pPr>
      <w:rPr>
        <w:rFonts w:hint="default"/>
      </w:rPr>
    </w:lvl>
    <w:lvl w:ilvl="7" w:tplc="D3748A8C">
      <w:numFmt w:val="bullet"/>
      <w:lvlText w:val="•"/>
      <w:lvlJc w:val="left"/>
      <w:pPr>
        <w:ind w:left="5053" w:hanging="360"/>
      </w:pPr>
      <w:rPr>
        <w:rFonts w:hint="default"/>
      </w:rPr>
    </w:lvl>
    <w:lvl w:ilvl="8" w:tplc="C68430AE">
      <w:numFmt w:val="bullet"/>
      <w:lvlText w:val="•"/>
      <w:lvlJc w:val="left"/>
      <w:pPr>
        <w:ind w:left="5931" w:hanging="360"/>
      </w:pPr>
      <w:rPr>
        <w:rFonts w:hint="default"/>
      </w:rPr>
    </w:lvl>
  </w:abstractNum>
  <w:abstractNum w:abstractNumId="21" w15:restartNumberingAfterBreak="0">
    <w:nsid w:val="29AE3DD1"/>
    <w:multiLevelType w:val="singleLevel"/>
    <w:tmpl w:val="1D00CCE4"/>
    <w:lvl w:ilvl="0">
      <w:start w:val="1"/>
      <w:numFmt w:val="decimal"/>
      <w:lvlRestart w:val="0"/>
      <w:pStyle w:val="ParaNumbering"/>
      <w:lvlText w:val="%1"/>
      <w:lvlJc w:val="left"/>
      <w:pPr>
        <w:tabs>
          <w:tab w:val="num" w:pos="720"/>
        </w:tabs>
        <w:ind w:left="0" w:hanging="720"/>
      </w:pPr>
      <w:rPr>
        <w:rFonts w:ascii="Times New Roman" w:hAnsi="Times New Roman" w:cs="Times New Roman" w:hint="default"/>
        <w:b w:val="0"/>
        <w:i w:val="0"/>
        <w:sz w:val="20"/>
      </w:rPr>
    </w:lvl>
  </w:abstractNum>
  <w:abstractNum w:abstractNumId="22"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6" w15:restartNumberingAfterBreak="0">
    <w:nsid w:val="36FB72B3"/>
    <w:multiLevelType w:val="hybridMultilevel"/>
    <w:tmpl w:val="3D68104E"/>
    <w:lvl w:ilvl="0" w:tplc="F99A4D9C">
      <w:start w:val="1"/>
      <w:numFmt w:val="decimal"/>
      <w:lvlText w:val="%1."/>
      <w:lvlJc w:val="left"/>
      <w:pPr>
        <w:ind w:left="840" w:hanging="720"/>
        <w:jc w:val="left"/>
      </w:pPr>
      <w:rPr>
        <w:rFonts w:ascii="Arial" w:eastAsia="Arial" w:hAnsi="Arial" w:cs="Arial" w:hint="default"/>
        <w:spacing w:val="-1"/>
        <w:w w:val="100"/>
        <w:sz w:val="22"/>
        <w:szCs w:val="22"/>
      </w:rPr>
    </w:lvl>
    <w:lvl w:ilvl="1" w:tplc="C19049A6">
      <w:start w:val="1"/>
      <w:numFmt w:val="lowerLetter"/>
      <w:lvlText w:val="(%2)"/>
      <w:lvlJc w:val="left"/>
      <w:pPr>
        <w:ind w:left="1560" w:hanging="732"/>
        <w:jc w:val="left"/>
      </w:pPr>
      <w:rPr>
        <w:rFonts w:ascii="Arial" w:eastAsia="Arial" w:hAnsi="Arial" w:cs="Arial" w:hint="default"/>
        <w:spacing w:val="-1"/>
        <w:w w:val="100"/>
        <w:sz w:val="22"/>
        <w:szCs w:val="22"/>
      </w:rPr>
    </w:lvl>
    <w:lvl w:ilvl="2" w:tplc="DF4866AA">
      <w:start w:val="1"/>
      <w:numFmt w:val="lowerRoman"/>
      <w:lvlText w:val="(%3)"/>
      <w:lvlJc w:val="left"/>
      <w:pPr>
        <w:ind w:left="2104" w:hanging="567"/>
        <w:jc w:val="left"/>
      </w:pPr>
      <w:rPr>
        <w:rFonts w:ascii="Arial" w:eastAsia="Arial" w:hAnsi="Arial" w:cs="Arial" w:hint="default"/>
        <w:spacing w:val="-2"/>
        <w:w w:val="100"/>
        <w:sz w:val="22"/>
        <w:szCs w:val="22"/>
      </w:rPr>
    </w:lvl>
    <w:lvl w:ilvl="3" w:tplc="05280B04">
      <w:numFmt w:val="bullet"/>
      <w:lvlText w:val="•"/>
      <w:lvlJc w:val="left"/>
      <w:pPr>
        <w:ind w:left="2100" w:hanging="567"/>
      </w:pPr>
      <w:rPr>
        <w:rFonts w:hint="default"/>
      </w:rPr>
    </w:lvl>
    <w:lvl w:ilvl="4" w:tplc="F9641F5E">
      <w:numFmt w:val="bullet"/>
      <w:lvlText w:val="•"/>
      <w:lvlJc w:val="left"/>
      <w:pPr>
        <w:ind w:left="3188" w:hanging="567"/>
      </w:pPr>
      <w:rPr>
        <w:rFonts w:hint="default"/>
      </w:rPr>
    </w:lvl>
    <w:lvl w:ilvl="5" w:tplc="BEFC5BAE">
      <w:numFmt w:val="bullet"/>
      <w:lvlText w:val="•"/>
      <w:lvlJc w:val="left"/>
      <w:pPr>
        <w:ind w:left="4277" w:hanging="567"/>
      </w:pPr>
      <w:rPr>
        <w:rFonts w:hint="default"/>
      </w:rPr>
    </w:lvl>
    <w:lvl w:ilvl="6" w:tplc="B538C89C">
      <w:numFmt w:val="bullet"/>
      <w:lvlText w:val="•"/>
      <w:lvlJc w:val="left"/>
      <w:pPr>
        <w:ind w:left="5365" w:hanging="567"/>
      </w:pPr>
      <w:rPr>
        <w:rFonts w:hint="default"/>
      </w:rPr>
    </w:lvl>
    <w:lvl w:ilvl="7" w:tplc="819472EC">
      <w:numFmt w:val="bullet"/>
      <w:lvlText w:val="•"/>
      <w:lvlJc w:val="left"/>
      <w:pPr>
        <w:ind w:left="6454" w:hanging="567"/>
      </w:pPr>
      <w:rPr>
        <w:rFonts w:hint="default"/>
      </w:rPr>
    </w:lvl>
    <w:lvl w:ilvl="8" w:tplc="244274C4">
      <w:numFmt w:val="bullet"/>
      <w:lvlText w:val="•"/>
      <w:lvlJc w:val="left"/>
      <w:pPr>
        <w:ind w:left="7542" w:hanging="567"/>
      </w:pPr>
      <w:rPr>
        <w:rFonts w:hint="default"/>
      </w:rPr>
    </w:lvl>
  </w:abstractNum>
  <w:abstractNum w:abstractNumId="27" w15:restartNumberingAfterBreak="0">
    <w:nsid w:val="3C7800BA"/>
    <w:multiLevelType w:val="hybridMultilevel"/>
    <w:tmpl w:val="3FD8D14C"/>
    <w:lvl w:ilvl="0" w:tplc="EB98B8EC">
      <w:start w:val="1"/>
      <w:numFmt w:val="decimal"/>
      <w:lvlText w:val="%1."/>
      <w:lvlJc w:val="left"/>
      <w:pPr>
        <w:ind w:left="530" w:hanging="360"/>
        <w:jc w:val="left"/>
      </w:pPr>
      <w:rPr>
        <w:rFonts w:ascii="Times New Roman" w:eastAsia="Times New Roman" w:hAnsi="Times New Roman" w:cs="Times New Roman" w:hint="default"/>
        <w:spacing w:val="-2"/>
        <w:w w:val="99"/>
        <w:sz w:val="24"/>
        <w:szCs w:val="24"/>
        <w:lang w:val="en-AU" w:eastAsia="en-AU" w:bidi="en-AU"/>
      </w:rPr>
    </w:lvl>
    <w:lvl w:ilvl="1" w:tplc="BD8427D2">
      <w:start w:val="1"/>
      <w:numFmt w:val="lowerLetter"/>
      <w:lvlText w:val="%2)"/>
      <w:lvlJc w:val="left"/>
      <w:pPr>
        <w:ind w:left="890" w:hanging="360"/>
        <w:jc w:val="left"/>
      </w:pPr>
      <w:rPr>
        <w:rFonts w:ascii="Times New Roman" w:eastAsia="Times New Roman" w:hAnsi="Times New Roman" w:cs="Times New Roman" w:hint="default"/>
        <w:spacing w:val="-6"/>
        <w:w w:val="99"/>
        <w:sz w:val="24"/>
        <w:szCs w:val="24"/>
        <w:lang w:val="en-AU" w:eastAsia="en-AU" w:bidi="en-AU"/>
      </w:rPr>
    </w:lvl>
    <w:lvl w:ilvl="2" w:tplc="FAC4E484">
      <w:numFmt w:val="bullet"/>
      <w:lvlText w:val="•"/>
      <w:lvlJc w:val="left"/>
      <w:pPr>
        <w:ind w:left="1620" w:hanging="360"/>
      </w:pPr>
      <w:rPr>
        <w:rFonts w:hint="default"/>
        <w:lang w:val="en-AU" w:eastAsia="en-AU" w:bidi="en-AU"/>
      </w:rPr>
    </w:lvl>
    <w:lvl w:ilvl="3" w:tplc="25FEE34E">
      <w:numFmt w:val="bullet"/>
      <w:lvlText w:val="•"/>
      <w:lvlJc w:val="left"/>
      <w:pPr>
        <w:ind w:left="2710" w:hanging="360"/>
      </w:pPr>
      <w:rPr>
        <w:rFonts w:hint="default"/>
        <w:lang w:val="en-AU" w:eastAsia="en-AU" w:bidi="en-AU"/>
      </w:rPr>
    </w:lvl>
    <w:lvl w:ilvl="4" w:tplc="AC8AD808">
      <w:numFmt w:val="bullet"/>
      <w:lvlText w:val="•"/>
      <w:lvlJc w:val="left"/>
      <w:pPr>
        <w:ind w:left="3801" w:hanging="360"/>
      </w:pPr>
      <w:rPr>
        <w:rFonts w:hint="default"/>
        <w:lang w:val="en-AU" w:eastAsia="en-AU" w:bidi="en-AU"/>
      </w:rPr>
    </w:lvl>
    <w:lvl w:ilvl="5" w:tplc="6E3C5212">
      <w:numFmt w:val="bullet"/>
      <w:lvlText w:val="•"/>
      <w:lvlJc w:val="left"/>
      <w:pPr>
        <w:ind w:left="4892" w:hanging="360"/>
      </w:pPr>
      <w:rPr>
        <w:rFonts w:hint="default"/>
        <w:lang w:val="en-AU" w:eastAsia="en-AU" w:bidi="en-AU"/>
      </w:rPr>
    </w:lvl>
    <w:lvl w:ilvl="6" w:tplc="00B0D294">
      <w:numFmt w:val="bullet"/>
      <w:lvlText w:val="•"/>
      <w:lvlJc w:val="left"/>
      <w:pPr>
        <w:ind w:left="5983" w:hanging="360"/>
      </w:pPr>
      <w:rPr>
        <w:rFonts w:hint="default"/>
        <w:lang w:val="en-AU" w:eastAsia="en-AU" w:bidi="en-AU"/>
      </w:rPr>
    </w:lvl>
    <w:lvl w:ilvl="7" w:tplc="089A5ED8">
      <w:numFmt w:val="bullet"/>
      <w:lvlText w:val="•"/>
      <w:lvlJc w:val="left"/>
      <w:pPr>
        <w:ind w:left="7074" w:hanging="360"/>
      </w:pPr>
      <w:rPr>
        <w:rFonts w:hint="default"/>
        <w:lang w:val="en-AU" w:eastAsia="en-AU" w:bidi="en-AU"/>
      </w:rPr>
    </w:lvl>
    <w:lvl w:ilvl="8" w:tplc="20585032">
      <w:numFmt w:val="bullet"/>
      <w:lvlText w:val="•"/>
      <w:lvlJc w:val="left"/>
      <w:pPr>
        <w:ind w:left="8164" w:hanging="360"/>
      </w:pPr>
      <w:rPr>
        <w:rFonts w:hint="default"/>
        <w:lang w:val="en-AU" w:eastAsia="en-AU" w:bidi="en-AU"/>
      </w:rPr>
    </w:lvl>
  </w:abstractNum>
  <w:abstractNum w:abstractNumId="28" w15:restartNumberingAfterBreak="0">
    <w:nsid w:val="3F154509"/>
    <w:multiLevelType w:val="multilevel"/>
    <w:tmpl w:val="7178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4817A7"/>
    <w:multiLevelType w:val="multilevel"/>
    <w:tmpl w:val="0F0EC90E"/>
    <w:numStyleLink w:val="FCListNo"/>
  </w:abstractNum>
  <w:abstractNum w:abstractNumId="3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F024643"/>
    <w:multiLevelType w:val="multilevel"/>
    <w:tmpl w:val="7B0C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E33D27"/>
    <w:multiLevelType w:val="hybridMultilevel"/>
    <w:tmpl w:val="96E67218"/>
    <w:lvl w:ilvl="0" w:tplc="7D660E3C">
      <w:start w:val="1"/>
      <w:numFmt w:val="decimal"/>
      <w:lvlText w:val="%1."/>
      <w:lvlJc w:val="left"/>
      <w:pPr>
        <w:ind w:left="838" w:hanging="720"/>
      </w:pPr>
      <w:rPr>
        <w:rFonts w:ascii="Arial" w:eastAsia="Arial" w:hAnsi="Arial" w:cs="Arial" w:hint="default"/>
        <w:spacing w:val="-2"/>
        <w:w w:val="99"/>
        <w:sz w:val="21"/>
        <w:szCs w:val="21"/>
        <w:lang w:val="en-AU" w:eastAsia="en-AU" w:bidi="en-AU"/>
      </w:rPr>
    </w:lvl>
    <w:lvl w:ilvl="1" w:tplc="777E9302">
      <w:numFmt w:val="bullet"/>
      <w:lvlText w:val="•"/>
      <w:lvlJc w:val="left"/>
      <w:pPr>
        <w:ind w:left="1760" w:hanging="720"/>
      </w:pPr>
      <w:rPr>
        <w:rFonts w:hint="default"/>
        <w:lang w:val="en-AU" w:eastAsia="en-AU" w:bidi="en-AU"/>
      </w:rPr>
    </w:lvl>
    <w:lvl w:ilvl="2" w:tplc="1AA8ED96">
      <w:numFmt w:val="bullet"/>
      <w:lvlText w:val="•"/>
      <w:lvlJc w:val="left"/>
      <w:pPr>
        <w:ind w:left="2681" w:hanging="720"/>
      </w:pPr>
      <w:rPr>
        <w:rFonts w:hint="default"/>
        <w:lang w:val="en-AU" w:eastAsia="en-AU" w:bidi="en-AU"/>
      </w:rPr>
    </w:lvl>
    <w:lvl w:ilvl="3" w:tplc="4D505528">
      <w:numFmt w:val="bullet"/>
      <w:lvlText w:val="•"/>
      <w:lvlJc w:val="left"/>
      <w:pPr>
        <w:ind w:left="3602" w:hanging="720"/>
      </w:pPr>
      <w:rPr>
        <w:rFonts w:hint="default"/>
        <w:lang w:val="en-AU" w:eastAsia="en-AU" w:bidi="en-AU"/>
      </w:rPr>
    </w:lvl>
    <w:lvl w:ilvl="4" w:tplc="782E0716">
      <w:numFmt w:val="bullet"/>
      <w:lvlText w:val="•"/>
      <w:lvlJc w:val="left"/>
      <w:pPr>
        <w:ind w:left="4523" w:hanging="720"/>
      </w:pPr>
      <w:rPr>
        <w:rFonts w:hint="default"/>
        <w:lang w:val="en-AU" w:eastAsia="en-AU" w:bidi="en-AU"/>
      </w:rPr>
    </w:lvl>
    <w:lvl w:ilvl="5" w:tplc="3DF8D236">
      <w:numFmt w:val="bullet"/>
      <w:lvlText w:val="•"/>
      <w:lvlJc w:val="left"/>
      <w:pPr>
        <w:ind w:left="5444" w:hanging="720"/>
      </w:pPr>
      <w:rPr>
        <w:rFonts w:hint="default"/>
        <w:lang w:val="en-AU" w:eastAsia="en-AU" w:bidi="en-AU"/>
      </w:rPr>
    </w:lvl>
    <w:lvl w:ilvl="6" w:tplc="0C381086">
      <w:numFmt w:val="bullet"/>
      <w:lvlText w:val="•"/>
      <w:lvlJc w:val="left"/>
      <w:pPr>
        <w:ind w:left="6365" w:hanging="720"/>
      </w:pPr>
      <w:rPr>
        <w:rFonts w:hint="default"/>
        <w:lang w:val="en-AU" w:eastAsia="en-AU" w:bidi="en-AU"/>
      </w:rPr>
    </w:lvl>
    <w:lvl w:ilvl="7" w:tplc="2326B616">
      <w:numFmt w:val="bullet"/>
      <w:lvlText w:val="•"/>
      <w:lvlJc w:val="left"/>
      <w:pPr>
        <w:ind w:left="7286" w:hanging="720"/>
      </w:pPr>
      <w:rPr>
        <w:rFonts w:hint="default"/>
        <w:lang w:val="en-AU" w:eastAsia="en-AU" w:bidi="en-AU"/>
      </w:rPr>
    </w:lvl>
    <w:lvl w:ilvl="8" w:tplc="0D720E18">
      <w:numFmt w:val="bullet"/>
      <w:lvlText w:val="•"/>
      <w:lvlJc w:val="left"/>
      <w:pPr>
        <w:ind w:left="8207" w:hanging="720"/>
      </w:pPr>
      <w:rPr>
        <w:rFonts w:hint="default"/>
        <w:lang w:val="en-AU" w:eastAsia="en-AU" w:bidi="en-AU"/>
      </w:rPr>
    </w:lvl>
  </w:abstractNum>
  <w:abstractNum w:abstractNumId="3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8BC456A"/>
    <w:multiLevelType w:val="hybridMultilevel"/>
    <w:tmpl w:val="83F26172"/>
    <w:lvl w:ilvl="0" w:tplc="DF0EC8A6">
      <w:start w:val="1"/>
      <w:numFmt w:val="decimal"/>
      <w:lvlText w:val="%1."/>
      <w:lvlJc w:val="left"/>
      <w:pPr>
        <w:ind w:left="530" w:hanging="360"/>
      </w:pPr>
      <w:rPr>
        <w:rFonts w:ascii="Times New Roman" w:eastAsia="Times New Roman" w:hAnsi="Times New Roman" w:cs="Times New Roman" w:hint="default"/>
        <w:spacing w:val="-2"/>
        <w:w w:val="99"/>
        <w:sz w:val="24"/>
        <w:szCs w:val="24"/>
        <w:lang w:val="en-AU" w:eastAsia="en-AU" w:bidi="en-AU"/>
      </w:rPr>
    </w:lvl>
    <w:lvl w:ilvl="1" w:tplc="4292674A">
      <w:start w:val="1"/>
      <w:numFmt w:val="lowerLetter"/>
      <w:lvlText w:val="%2)"/>
      <w:lvlJc w:val="left"/>
      <w:pPr>
        <w:ind w:left="890" w:hanging="360"/>
      </w:pPr>
      <w:rPr>
        <w:rFonts w:ascii="Times New Roman" w:eastAsia="Times New Roman" w:hAnsi="Times New Roman" w:cs="Times New Roman" w:hint="default"/>
        <w:spacing w:val="-6"/>
        <w:w w:val="99"/>
        <w:sz w:val="24"/>
        <w:szCs w:val="24"/>
        <w:lang w:val="en-AU" w:eastAsia="en-AU" w:bidi="en-AU"/>
      </w:rPr>
    </w:lvl>
    <w:lvl w:ilvl="2" w:tplc="18CE0734">
      <w:numFmt w:val="bullet"/>
      <w:lvlText w:val="•"/>
      <w:lvlJc w:val="left"/>
      <w:pPr>
        <w:ind w:left="1620" w:hanging="360"/>
      </w:pPr>
      <w:rPr>
        <w:rFonts w:hint="default"/>
        <w:lang w:val="en-AU" w:eastAsia="en-AU" w:bidi="en-AU"/>
      </w:rPr>
    </w:lvl>
    <w:lvl w:ilvl="3" w:tplc="8F3A0F42">
      <w:numFmt w:val="bullet"/>
      <w:lvlText w:val="•"/>
      <w:lvlJc w:val="left"/>
      <w:pPr>
        <w:ind w:left="2710" w:hanging="360"/>
      </w:pPr>
      <w:rPr>
        <w:rFonts w:hint="default"/>
        <w:lang w:val="en-AU" w:eastAsia="en-AU" w:bidi="en-AU"/>
      </w:rPr>
    </w:lvl>
    <w:lvl w:ilvl="4" w:tplc="BB9CC35C">
      <w:numFmt w:val="bullet"/>
      <w:lvlText w:val="•"/>
      <w:lvlJc w:val="left"/>
      <w:pPr>
        <w:ind w:left="3801" w:hanging="360"/>
      </w:pPr>
      <w:rPr>
        <w:rFonts w:hint="default"/>
        <w:lang w:val="en-AU" w:eastAsia="en-AU" w:bidi="en-AU"/>
      </w:rPr>
    </w:lvl>
    <w:lvl w:ilvl="5" w:tplc="58E2485E">
      <w:numFmt w:val="bullet"/>
      <w:lvlText w:val="•"/>
      <w:lvlJc w:val="left"/>
      <w:pPr>
        <w:ind w:left="4892" w:hanging="360"/>
      </w:pPr>
      <w:rPr>
        <w:rFonts w:hint="default"/>
        <w:lang w:val="en-AU" w:eastAsia="en-AU" w:bidi="en-AU"/>
      </w:rPr>
    </w:lvl>
    <w:lvl w:ilvl="6" w:tplc="9E9061FA">
      <w:numFmt w:val="bullet"/>
      <w:lvlText w:val="•"/>
      <w:lvlJc w:val="left"/>
      <w:pPr>
        <w:ind w:left="5983" w:hanging="360"/>
      </w:pPr>
      <w:rPr>
        <w:rFonts w:hint="default"/>
        <w:lang w:val="en-AU" w:eastAsia="en-AU" w:bidi="en-AU"/>
      </w:rPr>
    </w:lvl>
    <w:lvl w:ilvl="7" w:tplc="10D64990">
      <w:numFmt w:val="bullet"/>
      <w:lvlText w:val="•"/>
      <w:lvlJc w:val="left"/>
      <w:pPr>
        <w:ind w:left="7074" w:hanging="360"/>
      </w:pPr>
      <w:rPr>
        <w:rFonts w:hint="default"/>
        <w:lang w:val="en-AU" w:eastAsia="en-AU" w:bidi="en-AU"/>
      </w:rPr>
    </w:lvl>
    <w:lvl w:ilvl="8" w:tplc="A0DC94B6">
      <w:numFmt w:val="bullet"/>
      <w:lvlText w:val="•"/>
      <w:lvlJc w:val="left"/>
      <w:pPr>
        <w:ind w:left="8164" w:hanging="360"/>
      </w:pPr>
      <w:rPr>
        <w:rFonts w:hint="default"/>
        <w:lang w:val="en-AU" w:eastAsia="en-AU" w:bidi="en-AU"/>
      </w:rPr>
    </w:lvl>
  </w:abstractNum>
  <w:abstractNum w:abstractNumId="36" w15:restartNumberingAfterBreak="0">
    <w:nsid w:val="6A824FCF"/>
    <w:multiLevelType w:val="hybridMultilevel"/>
    <w:tmpl w:val="18C23D6C"/>
    <w:lvl w:ilvl="0" w:tplc="C3148902">
      <w:start w:val="1"/>
      <w:numFmt w:val="lowerLetter"/>
      <w:lvlText w:val="(%1)"/>
      <w:lvlJc w:val="left"/>
      <w:pPr>
        <w:ind w:left="1658" w:hanging="478"/>
        <w:jc w:val="left"/>
      </w:pPr>
      <w:rPr>
        <w:rFonts w:ascii="Times New Roman" w:eastAsia="Times New Roman" w:hAnsi="Times New Roman" w:cs="Times New Roman" w:hint="default"/>
        <w:spacing w:val="-2"/>
        <w:w w:val="99"/>
        <w:sz w:val="24"/>
        <w:szCs w:val="24"/>
        <w:lang w:val="en-AU" w:eastAsia="en-AU" w:bidi="en-AU"/>
      </w:rPr>
    </w:lvl>
    <w:lvl w:ilvl="1" w:tplc="BA18D4E4">
      <w:numFmt w:val="bullet"/>
      <w:lvlText w:val="•"/>
      <w:lvlJc w:val="left"/>
      <w:pPr>
        <w:ind w:left="2498" w:hanging="478"/>
      </w:pPr>
      <w:rPr>
        <w:rFonts w:hint="default"/>
        <w:lang w:val="en-AU" w:eastAsia="en-AU" w:bidi="en-AU"/>
      </w:rPr>
    </w:lvl>
    <w:lvl w:ilvl="2" w:tplc="C276B6E8">
      <w:numFmt w:val="bullet"/>
      <w:lvlText w:val="•"/>
      <w:lvlJc w:val="left"/>
      <w:pPr>
        <w:ind w:left="3337" w:hanging="478"/>
      </w:pPr>
      <w:rPr>
        <w:rFonts w:hint="default"/>
        <w:lang w:val="en-AU" w:eastAsia="en-AU" w:bidi="en-AU"/>
      </w:rPr>
    </w:lvl>
    <w:lvl w:ilvl="3" w:tplc="834C7618">
      <w:numFmt w:val="bullet"/>
      <w:lvlText w:val="•"/>
      <w:lvlJc w:val="left"/>
      <w:pPr>
        <w:ind w:left="4175" w:hanging="478"/>
      </w:pPr>
      <w:rPr>
        <w:rFonts w:hint="default"/>
        <w:lang w:val="en-AU" w:eastAsia="en-AU" w:bidi="en-AU"/>
      </w:rPr>
    </w:lvl>
    <w:lvl w:ilvl="4" w:tplc="F43EA666">
      <w:numFmt w:val="bullet"/>
      <w:lvlText w:val="•"/>
      <w:lvlJc w:val="left"/>
      <w:pPr>
        <w:ind w:left="5014" w:hanging="478"/>
      </w:pPr>
      <w:rPr>
        <w:rFonts w:hint="default"/>
        <w:lang w:val="en-AU" w:eastAsia="en-AU" w:bidi="en-AU"/>
      </w:rPr>
    </w:lvl>
    <w:lvl w:ilvl="5" w:tplc="41B63E44">
      <w:numFmt w:val="bullet"/>
      <w:lvlText w:val="•"/>
      <w:lvlJc w:val="left"/>
      <w:pPr>
        <w:ind w:left="5853" w:hanging="478"/>
      </w:pPr>
      <w:rPr>
        <w:rFonts w:hint="default"/>
        <w:lang w:val="en-AU" w:eastAsia="en-AU" w:bidi="en-AU"/>
      </w:rPr>
    </w:lvl>
    <w:lvl w:ilvl="6" w:tplc="456E157C">
      <w:numFmt w:val="bullet"/>
      <w:lvlText w:val="•"/>
      <w:lvlJc w:val="left"/>
      <w:pPr>
        <w:ind w:left="6691" w:hanging="478"/>
      </w:pPr>
      <w:rPr>
        <w:rFonts w:hint="default"/>
        <w:lang w:val="en-AU" w:eastAsia="en-AU" w:bidi="en-AU"/>
      </w:rPr>
    </w:lvl>
    <w:lvl w:ilvl="7" w:tplc="8488C056">
      <w:numFmt w:val="bullet"/>
      <w:lvlText w:val="•"/>
      <w:lvlJc w:val="left"/>
      <w:pPr>
        <w:ind w:left="7530" w:hanging="478"/>
      </w:pPr>
      <w:rPr>
        <w:rFonts w:hint="default"/>
        <w:lang w:val="en-AU" w:eastAsia="en-AU" w:bidi="en-AU"/>
      </w:rPr>
    </w:lvl>
    <w:lvl w:ilvl="8" w:tplc="538CBC56">
      <w:numFmt w:val="bullet"/>
      <w:lvlText w:val="•"/>
      <w:lvlJc w:val="left"/>
      <w:pPr>
        <w:ind w:left="8369" w:hanging="478"/>
      </w:pPr>
      <w:rPr>
        <w:rFonts w:hint="default"/>
        <w:lang w:val="en-AU" w:eastAsia="en-AU" w:bidi="en-AU"/>
      </w:rPr>
    </w:lvl>
  </w:abstractNum>
  <w:abstractNum w:abstractNumId="3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8" w15:restartNumberingAfterBreak="0">
    <w:nsid w:val="708B518E"/>
    <w:multiLevelType w:val="hybridMultilevel"/>
    <w:tmpl w:val="F69414E8"/>
    <w:lvl w:ilvl="0" w:tplc="5158095C">
      <w:start w:val="1"/>
      <w:numFmt w:val="decimal"/>
      <w:lvlText w:val="%1."/>
      <w:lvlJc w:val="left"/>
      <w:pPr>
        <w:ind w:left="938" w:hanging="721"/>
        <w:jc w:val="left"/>
      </w:pPr>
      <w:rPr>
        <w:rFonts w:ascii="Arial" w:eastAsia="Arial" w:hAnsi="Arial" w:cs="Arial" w:hint="default"/>
        <w:spacing w:val="-1"/>
        <w:w w:val="100"/>
        <w:sz w:val="22"/>
        <w:szCs w:val="22"/>
      </w:rPr>
    </w:lvl>
    <w:lvl w:ilvl="1" w:tplc="634825A0">
      <w:start w:val="1"/>
      <w:numFmt w:val="lowerLetter"/>
      <w:lvlText w:val="(%2)"/>
      <w:lvlJc w:val="left"/>
      <w:pPr>
        <w:ind w:left="1298" w:hanging="360"/>
        <w:jc w:val="left"/>
      </w:pPr>
      <w:rPr>
        <w:rFonts w:ascii="Arial" w:eastAsia="Arial" w:hAnsi="Arial" w:cs="Arial" w:hint="default"/>
        <w:spacing w:val="-1"/>
        <w:w w:val="100"/>
        <w:sz w:val="22"/>
        <w:szCs w:val="22"/>
      </w:rPr>
    </w:lvl>
    <w:lvl w:ilvl="2" w:tplc="F3C8DD34">
      <w:numFmt w:val="bullet"/>
      <w:lvlText w:val="•"/>
      <w:lvlJc w:val="left"/>
      <w:pPr>
        <w:ind w:left="1300" w:hanging="360"/>
      </w:pPr>
      <w:rPr>
        <w:rFonts w:hint="default"/>
      </w:rPr>
    </w:lvl>
    <w:lvl w:ilvl="3" w:tplc="A588C3FA">
      <w:numFmt w:val="bullet"/>
      <w:lvlText w:val="•"/>
      <w:lvlJc w:val="left"/>
      <w:pPr>
        <w:ind w:left="1618" w:hanging="360"/>
      </w:pPr>
      <w:rPr>
        <w:rFonts w:hint="default"/>
      </w:rPr>
    </w:lvl>
    <w:lvl w:ilvl="4" w:tplc="C06216F6">
      <w:numFmt w:val="bullet"/>
      <w:lvlText w:val="•"/>
      <w:lvlJc w:val="left"/>
      <w:pPr>
        <w:ind w:left="1936" w:hanging="360"/>
      </w:pPr>
      <w:rPr>
        <w:rFonts w:hint="default"/>
      </w:rPr>
    </w:lvl>
    <w:lvl w:ilvl="5" w:tplc="481CD3BE">
      <w:numFmt w:val="bullet"/>
      <w:lvlText w:val="•"/>
      <w:lvlJc w:val="left"/>
      <w:pPr>
        <w:ind w:left="2254" w:hanging="360"/>
      </w:pPr>
      <w:rPr>
        <w:rFonts w:hint="default"/>
      </w:rPr>
    </w:lvl>
    <w:lvl w:ilvl="6" w:tplc="BE5C7E26">
      <w:numFmt w:val="bullet"/>
      <w:lvlText w:val="•"/>
      <w:lvlJc w:val="left"/>
      <w:pPr>
        <w:ind w:left="2572" w:hanging="360"/>
      </w:pPr>
      <w:rPr>
        <w:rFonts w:hint="default"/>
      </w:rPr>
    </w:lvl>
    <w:lvl w:ilvl="7" w:tplc="113C9B40">
      <w:numFmt w:val="bullet"/>
      <w:lvlText w:val="•"/>
      <w:lvlJc w:val="left"/>
      <w:pPr>
        <w:ind w:left="2890" w:hanging="360"/>
      </w:pPr>
      <w:rPr>
        <w:rFonts w:hint="default"/>
      </w:rPr>
    </w:lvl>
    <w:lvl w:ilvl="8" w:tplc="85801872">
      <w:numFmt w:val="bullet"/>
      <w:lvlText w:val="•"/>
      <w:lvlJc w:val="left"/>
      <w:pPr>
        <w:ind w:left="3208" w:hanging="360"/>
      </w:pPr>
      <w:rPr>
        <w:rFonts w:hint="default"/>
      </w:rPr>
    </w:lvl>
  </w:abstractNum>
  <w:abstractNum w:abstractNumId="39" w15:restartNumberingAfterBreak="0">
    <w:nsid w:val="76655696"/>
    <w:multiLevelType w:val="singleLevel"/>
    <w:tmpl w:val="9BCEA34A"/>
    <w:lvl w:ilvl="0">
      <w:start w:val="1"/>
      <w:numFmt w:val="decimal"/>
      <w:lvlText w:val="%1"/>
      <w:lvlJc w:val="left"/>
      <w:pPr>
        <w:tabs>
          <w:tab w:val="num" w:pos="360"/>
        </w:tabs>
        <w:ind w:left="360" w:hanging="360"/>
      </w:pPr>
      <w:rPr>
        <w:sz w:val="20"/>
        <w:szCs w:val="20"/>
      </w:rPr>
    </w:lvl>
  </w:abstractNum>
  <w:abstractNum w:abstractNumId="40" w15:restartNumberingAfterBreak="0">
    <w:nsid w:val="7BA00D2C"/>
    <w:multiLevelType w:val="multilevel"/>
    <w:tmpl w:val="2984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30"/>
  </w:num>
  <w:num w:numId="15">
    <w:abstractNumId w:val="31"/>
  </w:num>
  <w:num w:numId="16">
    <w:abstractNumId w:val="41"/>
  </w:num>
  <w:num w:numId="17">
    <w:abstractNumId w:val="18"/>
  </w:num>
  <w:num w:numId="18">
    <w:abstractNumId w:val="37"/>
  </w:num>
  <w:num w:numId="19">
    <w:abstractNumId w:val="12"/>
  </w:num>
  <w:num w:numId="20">
    <w:abstractNumId w:val="25"/>
  </w:num>
  <w:num w:numId="21">
    <w:abstractNumId w:val="22"/>
  </w:num>
  <w:num w:numId="22">
    <w:abstractNumId w:val="23"/>
  </w:num>
  <w:num w:numId="23">
    <w:abstractNumId w:val="29"/>
  </w:num>
  <w:num w:numId="24">
    <w:abstractNumId w:val="11"/>
  </w:num>
  <w:num w:numId="25">
    <w:abstractNumId w:val="11"/>
  </w:num>
  <w:num w:numId="26">
    <w:abstractNumId w:val="14"/>
  </w:num>
  <w:num w:numId="27">
    <w:abstractNumId w:val="16"/>
    <w:lvlOverride w:ilvl="0">
      <w:startOverride w:val="77"/>
    </w:lvlOverride>
  </w:num>
  <w:num w:numId="28">
    <w:abstractNumId w:val="28"/>
    <w:lvlOverride w:ilvl="0">
      <w:startOverride w:val="78"/>
    </w:lvlOverride>
  </w:num>
  <w:num w:numId="29">
    <w:abstractNumId w:val="40"/>
    <w:lvlOverride w:ilvl="0">
      <w:startOverride w:val="79"/>
    </w:lvlOverride>
  </w:num>
  <w:num w:numId="30">
    <w:abstractNumId w:val="32"/>
    <w:lvlOverride w:ilvl="0">
      <w:startOverride w:val="80"/>
    </w:lvlOverride>
  </w:num>
  <w:num w:numId="31">
    <w:abstractNumId w:val="33"/>
  </w:num>
  <w:num w:numId="32">
    <w:abstractNumId w:val="21"/>
  </w:num>
  <w:num w:numId="33">
    <w:abstractNumId w:val="24"/>
  </w:num>
  <w:num w:numId="34">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9"/>
    <w:lvlOverride w:ilvl="0">
      <w:startOverride w:val="1"/>
    </w:lvlOverride>
  </w:num>
  <w:num w:numId="37">
    <w:abstractNumId w:val="36"/>
  </w:num>
  <w:num w:numId="38">
    <w:abstractNumId w:val="13"/>
  </w:num>
  <w:num w:numId="39">
    <w:abstractNumId w:val="26"/>
  </w:num>
  <w:num w:numId="40">
    <w:abstractNumId w:val="20"/>
  </w:num>
  <w:num w:numId="41">
    <w:abstractNumId w:val="19"/>
  </w:num>
  <w:num w:numId="42">
    <w:abstractNumId w:val="27"/>
  </w:num>
  <w:num w:numId="43">
    <w:abstractNumId w:val="38"/>
  </w:num>
  <w:num w:numId="44">
    <w:abstractNumId w:val="15"/>
  </w:num>
  <w:num w:numId="45">
    <w:abstractNumId w:val="2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85 of 2018_x000d_NSD 1486 of 2018_x000d_NSD 1487 of 2018"/>
    <w:docVar w:name="grpRadioJudges" w:val="Justice"/>
    <w:docVar w:name="Initiators" w:val="(and another named in the Schedule)"/>
    <w:docVar w:name="Judgdate" w:val="14 December 2021"/>
    <w:docVar w:name="Judge" w:val="Abraham"/>
    <w:docVar w:name="JudgeType" w:val="Justice"/>
    <w:docVar w:name="lstEntryList" w:val="-1"/>
    <w:docVar w:name="myEntryList" w:val="Counsel for the Applicant=Mr. T Saunders|Solicitor for the Applicant=Addisons|Counsel for the Respondents=Mr. C Mitchell |Solicitor for the Respondents=MinterEllison"/>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Fairfax Media Publications Pty Ltd (ACN 003 357 720)|Nick McKenzie|Chris Masters|David Wroe"/>
    <w:docVar w:name="ResState" w:val="New South Wales"/>
    <w:docVar w:name="SubArea" w:val="[none]"/>
  </w:docVars>
  <w:rsids>
    <w:rsidRoot w:val="00567338"/>
    <w:rsid w:val="00000483"/>
    <w:rsid w:val="00000747"/>
    <w:rsid w:val="00000BE3"/>
    <w:rsid w:val="00001369"/>
    <w:rsid w:val="00001F32"/>
    <w:rsid w:val="00002BFF"/>
    <w:rsid w:val="00003704"/>
    <w:rsid w:val="00003758"/>
    <w:rsid w:val="00003807"/>
    <w:rsid w:val="00003E20"/>
    <w:rsid w:val="00004D23"/>
    <w:rsid w:val="0000541D"/>
    <w:rsid w:val="00005714"/>
    <w:rsid w:val="00005A08"/>
    <w:rsid w:val="00006776"/>
    <w:rsid w:val="00006828"/>
    <w:rsid w:val="00010F50"/>
    <w:rsid w:val="00010FCB"/>
    <w:rsid w:val="000115C5"/>
    <w:rsid w:val="0001231D"/>
    <w:rsid w:val="00013CB5"/>
    <w:rsid w:val="00013FE8"/>
    <w:rsid w:val="000144FA"/>
    <w:rsid w:val="0001469E"/>
    <w:rsid w:val="00015993"/>
    <w:rsid w:val="0001733D"/>
    <w:rsid w:val="00017529"/>
    <w:rsid w:val="00017993"/>
    <w:rsid w:val="000200B4"/>
    <w:rsid w:val="0002042F"/>
    <w:rsid w:val="000204C6"/>
    <w:rsid w:val="0002142E"/>
    <w:rsid w:val="00021CCB"/>
    <w:rsid w:val="00022289"/>
    <w:rsid w:val="00022CC8"/>
    <w:rsid w:val="00022D07"/>
    <w:rsid w:val="0002307E"/>
    <w:rsid w:val="000237A0"/>
    <w:rsid w:val="00024FAA"/>
    <w:rsid w:val="0002514D"/>
    <w:rsid w:val="00026B8F"/>
    <w:rsid w:val="00026C0D"/>
    <w:rsid w:val="00027398"/>
    <w:rsid w:val="00027C55"/>
    <w:rsid w:val="0003201A"/>
    <w:rsid w:val="0003207A"/>
    <w:rsid w:val="00032189"/>
    <w:rsid w:val="00032F9F"/>
    <w:rsid w:val="00033A16"/>
    <w:rsid w:val="0003573D"/>
    <w:rsid w:val="00035868"/>
    <w:rsid w:val="00036BB3"/>
    <w:rsid w:val="00036F3D"/>
    <w:rsid w:val="0004155B"/>
    <w:rsid w:val="00041C07"/>
    <w:rsid w:val="000422D3"/>
    <w:rsid w:val="00043667"/>
    <w:rsid w:val="00045BB7"/>
    <w:rsid w:val="00045C3F"/>
    <w:rsid w:val="00051029"/>
    <w:rsid w:val="00051324"/>
    <w:rsid w:val="00051455"/>
    <w:rsid w:val="00051611"/>
    <w:rsid w:val="00051619"/>
    <w:rsid w:val="00053934"/>
    <w:rsid w:val="00054B06"/>
    <w:rsid w:val="00055719"/>
    <w:rsid w:val="0005641B"/>
    <w:rsid w:val="000567C2"/>
    <w:rsid w:val="00056BED"/>
    <w:rsid w:val="0005738C"/>
    <w:rsid w:val="0005785C"/>
    <w:rsid w:val="00057EE7"/>
    <w:rsid w:val="00060EC1"/>
    <w:rsid w:val="00061291"/>
    <w:rsid w:val="000615A8"/>
    <w:rsid w:val="0006196A"/>
    <w:rsid w:val="00061A35"/>
    <w:rsid w:val="00062673"/>
    <w:rsid w:val="00062F2B"/>
    <w:rsid w:val="000643D1"/>
    <w:rsid w:val="00064885"/>
    <w:rsid w:val="00065567"/>
    <w:rsid w:val="000663CF"/>
    <w:rsid w:val="00067037"/>
    <w:rsid w:val="0006704B"/>
    <w:rsid w:val="00070207"/>
    <w:rsid w:val="00070436"/>
    <w:rsid w:val="00071D76"/>
    <w:rsid w:val="000729E2"/>
    <w:rsid w:val="000733CE"/>
    <w:rsid w:val="00074736"/>
    <w:rsid w:val="000770C2"/>
    <w:rsid w:val="00077415"/>
    <w:rsid w:val="0008079E"/>
    <w:rsid w:val="00081497"/>
    <w:rsid w:val="00081B1B"/>
    <w:rsid w:val="000820AC"/>
    <w:rsid w:val="00082702"/>
    <w:rsid w:val="00082EBD"/>
    <w:rsid w:val="0008314D"/>
    <w:rsid w:val="00083CE7"/>
    <w:rsid w:val="00084F80"/>
    <w:rsid w:val="00085255"/>
    <w:rsid w:val="0008570B"/>
    <w:rsid w:val="00085B77"/>
    <w:rsid w:val="0009393B"/>
    <w:rsid w:val="000945E2"/>
    <w:rsid w:val="00095186"/>
    <w:rsid w:val="00095287"/>
    <w:rsid w:val="00095915"/>
    <w:rsid w:val="00095B12"/>
    <w:rsid w:val="0009640E"/>
    <w:rsid w:val="00097D8E"/>
    <w:rsid w:val="000A0411"/>
    <w:rsid w:val="000A0E91"/>
    <w:rsid w:val="000A0F57"/>
    <w:rsid w:val="000A2E76"/>
    <w:rsid w:val="000A376F"/>
    <w:rsid w:val="000A4807"/>
    <w:rsid w:val="000A4BBC"/>
    <w:rsid w:val="000A4BE4"/>
    <w:rsid w:val="000A4DB4"/>
    <w:rsid w:val="000A5564"/>
    <w:rsid w:val="000A675C"/>
    <w:rsid w:val="000A6991"/>
    <w:rsid w:val="000A73E0"/>
    <w:rsid w:val="000A78FD"/>
    <w:rsid w:val="000A7AE6"/>
    <w:rsid w:val="000B0AEB"/>
    <w:rsid w:val="000B0E01"/>
    <w:rsid w:val="000B0FBF"/>
    <w:rsid w:val="000B2990"/>
    <w:rsid w:val="000B2A32"/>
    <w:rsid w:val="000B3756"/>
    <w:rsid w:val="000B3CD4"/>
    <w:rsid w:val="000B4B1B"/>
    <w:rsid w:val="000B50F5"/>
    <w:rsid w:val="000B5C20"/>
    <w:rsid w:val="000B6074"/>
    <w:rsid w:val="000C023E"/>
    <w:rsid w:val="000C177B"/>
    <w:rsid w:val="000C18B4"/>
    <w:rsid w:val="000C1983"/>
    <w:rsid w:val="000C2CC6"/>
    <w:rsid w:val="000C3707"/>
    <w:rsid w:val="000C3F79"/>
    <w:rsid w:val="000C5195"/>
    <w:rsid w:val="000C5C3E"/>
    <w:rsid w:val="000C5C6C"/>
    <w:rsid w:val="000C6292"/>
    <w:rsid w:val="000C62EF"/>
    <w:rsid w:val="000C6644"/>
    <w:rsid w:val="000C6A05"/>
    <w:rsid w:val="000C7AE3"/>
    <w:rsid w:val="000D0222"/>
    <w:rsid w:val="000D091B"/>
    <w:rsid w:val="000D1F19"/>
    <w:rsid w:val="000D2137"/>
    <w:rsid w:val="000D2CDC"/>
    <w:rsid w:val="000D382C"/>
    <w:rsid w:val="000D3A03"/>
    <w:rsid w:val="000D3FD2"/>
    <w:rsid w:val="000D4714"/>
    <w:rsid w:val="000D4B2E"/>
    <w:rsid w:val="000D4C7A"/>
    <w:rsid w:val="000D5F24"/>
    <w:rsid w:val="000D6573"/>
    <w:rsid w:val="000D6C1B"/>
    <w:rsid w:val="000D7816"/>
    <w:rsid w:val="000D7B0A"/>
    <w:rsid w:val="000D7B4E"/>
    <w:rsid w:val="000E0F01"/>
    <w:rsid w:val="000E0F69"/>
    <w:rsid w:val="000E1431"/>
    <w:rsid w:val="000E1E0F"/>
    <w:rsid w:val="000E1FDB"/>
    <w:rsid w:val="000E2376"/>
    <w:rsid w:val="000E2A35"/>
    <w:rsid w:val="000E36DE"/>
    <w:rsid w:val="000E3B81"/>
    <w:rsid w:val="000E3FC8"/>
    <w:rsid w:val="000E5A71"/>
    <w:rsid w:val="000E7685"/>
    <w:rsid w:val="000E7BAE"/>
    <w:rsid w:val="000F0357"/>
    <w:rsid w:val="000F133D"/>
    <w:rsid w:val="000F1A8B"/>
    <w:rsid w:val="000F2681"/>
    <w:rsid w:val="000F4307"/>
    <w:rsid w:val="000F5C06"/>
    <w:rsid w:val="000F5D92"/>
    <w:rsid w:val="000F6524"/>
    <w:rsid w:val="001002CE"/>
    <w:rsid w:val="00100AC5"/>
    <w:rsid w:val="00100B56"/>
    <w:rsid w:val="00100CCB"/>
    <w:rsid w:val="0010167C"/>
    <w:rsid w:val="001018AE"/>
    <w:rsid w:val="0010272A"/>
    <w:rsid w:val="00103995"/>
    <w:rsid w:val="0010536B"/>
    <w:rsid w:val="00106009"/>
    <w:rsid w:val="00106834"/>
    <w:rsid w:val="00106977"/>
    <w:rsid w:val="00107110"/>
    <w:rsid w:val="001076AF"/>
    <w:rsid w:val="0010778E"/>
    <w:rsid w:val="00107FF2"/>
    <w:rsid w:val="0011145C"/>
    <w:rsid w:val="00111F62"/>
    <w:rsid w:val="001128BD"/>
    <w:rsid w:val="001131C3"/>
    <w:rsid w:val="00113A91"/>
    <w:rsid w:val="00113F2B"/>
    <w:rsid w:val="0011419D"/>
    <w:rsid w:val="00114820"/>
    <w:rsid w:val="00114B02"/>
    <w:rsid w:val="00114BBF"/>
    <w:rsid w:val="00116F5C"/>
    <w:rsid w:val="00117E40"/>
    <w:rsid w:val="001212F0"/>
    <w:rsid w:val="0012216A"/>
    <w:rsid w:val="001221F2"/>
    <w:rsid w:val="001225FA"/>
    <w:rsid w:val="001226C0"/>
    <w:rsid w:val="00122D9D"/>
    <w:rsid w:val="001230B6"/>
    <w:rsid w:val="00123935"/>
    <w:rsid w:val="001247C1"/>
    <w:rsid w:val="00126D74"/>
    <w:rsid w:val="00126E08"/>
    <w:rsid w:val="00126EC8"/>
    <w:rsid w:val="0012731C"/>
    <w:rsid w:val="00130B05"/>
    <w:rsid w:val="00130E50"/>
    <w:rsid w:val="001317AC"/>
    <w:rsid w:val="001319D7"/>
    <w:rsid w:val="00132054"/>
    <w:rsid w:val="00132C95"/>
    <w:rsid w:val="0013315E"/>
    <w:rsid w:val="001333C6"/>
    <w:rsid w:val="001337B6"/>
    <w:rsid w:val="00133983"/>
    <w:rsid w:val="00134353"/>
    <w:rsid w:val="00134964"/>
    <w:rsid w:val="00134E23"/>
    <w:rsid w:val="001351B9"/>
    <w:rsid w:val="00135CA8"/>
    <w:rsid w:val="00137080"/>
    <w:rsid w:val="001371C5"/>
    <w:rsid w:val="00140B8A"/>
    <w:rsid w:val="00141071"/>
    <w:rsid w:val="001412C1"/>
    <w:rsid w:val="00141D3E"/>
    <w:rsid w:val="00141DC2"/>
    <w:rsid w:val="0014381D"/>
    <w:rsid w:val="0014383D"/>
    <w:rsid w:val="001439F7"/>
    <w:rsid w:val="00143E79"/>
    <w:rsid w:val="0014496C"/>
    <w:rsid w:val="001463BC"/>
    <w:rsid w:val="001474AC"/>
    <w:rsid w:val="00147736"/>
    <w:rsid w:val="0014790C"/>
    <w:rsid w:val="00147BB2"/>
    <w:rsid w:val="00150E5A"/>
    <w:rsid w:val="001517F5"/>
    <w:rsid w:val="00155000"/>
    <w:rsid w:val="00155CD2"/>
    <w:rsid w:val="00155D01"/>
    <w:rsid w:val="00155F0F"/>
    <w:rsid w:val="001574D6"/>
    <w:rsid w:val="00157D2E"/>
    <w:rsid w:val="00160818"/>
    <w:rsid w:val="0016142D"/>
    <w:rsid w:val="00161CC1"/>
    <w:rsid w:val="001629D6"/>
    <w:rsid w:val="00163D59"/>
    <w:rsid w:val="001644A0"/>
    <w:rsid w:val="00164C04"/>
    <w:rsid w:val="00165184"/>
    <w:rsid w:val="001658ED"/>
    <w:rsid w:val="00167793"/>
    <w:rsid w:val="001704D2"/>
    <w:rsid w:val="001706F8"/>
    <w:rsid w:val="00170FCB"/>
    <w:rsid w:val="00171DC0"/>
    <w:rsid w:val="00171E52"/>
    <w:rsid w:val="001720EA"/>
    <w:rsid w:val="00172151"/>
    <w:rsid w:val="001727A4"/>
    <w:rsid w:val="001727FF"/>
    <w:rsid w:val="001729DC"/>
    <w:rsid w:val="001736F3"/>
    <w:rsid w:val="0017376C"/>
    <w:rsid w:val="001738AB"/>
    <w:rsid w:val="00173EB7"/>
    <w:rsid w:val="00173F33"/>
    <w:rsid w:val="00173FC2"/>
    <w:rsid w:val="001747C5"/>
    <w:rsid w:val="00174D3B"/>
    <w:rsid w:val="0017526A"/>
    <w:rsid w:val="0017649F"/>
    <w:rsid w:val="001765E0"/>
    <w:rsid w:val="00177759"/>
    <w:rsid w:val="00177B5D"/>
    <w:rsid w:val="001803B2"/>
    <w:rsid w:val="0018044A"/>
    <w:rsid w:val="00180840"/>
    <w:rsid w:val="00180BB3"/>
    <w:rsid w:val="00182B5F"/>
    <w:rsid w:val="001843E7"/>
    <w:rsid w:val="00184595"/>
    <w:rsid w:val="00185AE3"/>
    <w:rsid w:val="00185E6B"/>
    <w:rsid w:val="00186B4F"/>
    <w:rsid w:val="00187AC4"/>
    <w:rsid w:val="00187BBC"/>
    <w:rsid w:val="001907F0"/>
    <w:rsid w:val="00191D16"/>
    <w:rsid w:val="001932F3"/>
    <w:rsid w:val="00195695"/>
    <w:rsid w:val="00196175"/>
    <w:rsid w:val="00197A68"/>
    <w:rsid w:val="00197D9E"/>
    <w:rsid w:val="001A05F7"/>
    <w:rsid w:val="001A06C4"/>
    <w:rsid w:val="001A2B40"/>
    <w:rsid w:val="001A2BBF"/>
    <w:rsid w:val="001A30BC"/>
    <w:rsid w:val="001A3C37"/>
    <w:rsid w:val="001A3C5F"/>
    <w:rsid w:val="001A40B9"/>
    <w:rsid w:val="001A4309"/>
    <w:rsid w:val="001A4401"/>
    <w:rsid w:val="001A46AE"/>
    <w:rsid w:val="001A631D"/>
    <w:rsid w:val="001A6C52"/>
    <w:rsid w:val="001A78FE"/>
    <w:rsid w:val="001A7C6A"/>
    <w:rsid w:val="001B078A"/>
    <w:rsid w:val="001B0C1B"/>
    <w:rsid w:val="001B1053"/>
    <w:rsid w:val="001B14AC"/>
    <w:rsid w:val="001B1802"/>
    <w:rsid w:val="001B3E69"/>
    <w:rsid w:val="001B3EB5"/>
    <w:rsid w:val="001B4EE5"/>
    <w:rsid w:val="001B5C14"/>
    <w:rsid w:val="001B7273"/>
    <w:rsid w:val="001B7940"/>
    <w:rsid w:val="001B7F08"/>
    <w:rsid w:val="001C171A"/>
    <w:rsid w:val="001C1FA3"/>
    <w:rsid w:val="001C21C8"/>
    <w:rsid w:val="001C22AF"/>
    <w:rsid w:val="001C23F3"/>
    <w:rsid w:val="001C30B7"/>
    <w:rsid w:val="001C37CA"/>
    <w:rsid w:val="001C3C77"/>
    <w:rsid w:val="001C4085"/>
    <w:rsid w:val="001C4863"/>
    <w:rsid w:val="001C4A30"/>
    <w:rsid w:val="001C54A8"/>
    <w:rsid w:val="001C5AB5"/>
    <w:rsid w:val="001C76B0"/>
    <w:rsid w:val="001C7705"/>
    <w:rsid w:val="001D2089"/>
    <w:rsid w:val="001D233A"/>
    <w:rsid w:val="001D2872"/>
    <w:rsid w:val="001D3824"/>
    <w:rsid w:val="001D4303"/>
    <w:rsid w:val="001D6746"/>
    <w:rsid w:val="001D6E57"/>
    <w:rsid w:val="001D7834"/>
    <w:rsid w:val="001E1552"/>
    <w:rsid w:val="001E3B49"/>
    <w:rsid w:val="001E4A05"/>
    <w:rsid w:val="001E56E6"/>
    <w:rsid w:val="001E6860"/>
    <w:rsid w:val="001E7388"/>
    <w:rsid w:val="001F0600"/>
    <w:rsid w:val="001F08E0"/>
    <w:rsid w:val="001F0DC2"/>
    <w:rsid w:val="001F13DD"/>
    <w:rsid w:val="001F1B69"/>
    <w:rsid w:val="001F2473"/>
    <w:rsid w:val="001F2DBC"/>
    <w:rsid w:val="001F2F98"/>
    <w:rsid w:val="001F49A2"/>
    <w:rsid w:val="001F5309"/>
    <w:rsid w:val="001F6623"/>
    <w:rsid w:val="001F6B0E"/>
    <w:rsid w:val="001F7376"/>
    <w:rsid w:val="001F73E8"/>
    <w:rsid w:val="0020143A"/>
    <w:rsid w:val="00201778"/>
    <w:rsid w:val="0020262C"/>
    <w:rsid w:val="00202723"/>
    <w:rsid w:val="00202D2A"/>
    <w:rsid w:val="00203A05"/>
    <w:rsid w:val="00204AA6"/>
    <w:rsid w:val="00204FD2"/>
    <w:rsid w:val="00205538"/>
    <w:rsid w:val="00205837"/>
    <w:rsid w:val="00206240"/>
    <w:rsid w:val="00207C2A"/>
    <w:rsid w:val="0021006A"/>
    <w:rsid w:val="00210E1A"/>
    <w:rsid w:val="00211429"/>
    <w:rsid w:val="00211A3E"/>
    <w:rsid w:val="0021297D"/>
    <w:rsid w:val="00212BC3"/>
    <w:rsid w:val="00212F40"/>
    <w:rsid w:val="002149EF"/>
    <w:rsid w:val="0021509D"/>
    <w:rsid w:val="00215BCA"/>
    <w:rsid w:val="00215F08"/>
    <w:rsid w:val="00217AC4"/>
    <w:rsid w:val="00217DBC"/>
    <w:rsid w:val="002202D2"/>
    <w:rsid w:val="00220B8C"/>
    <w:rsid w:val="00221461"/>
    <w:rsid w:val="002218AF"/>
    <w:rsid w:val="00223B10"/>
    <w:rsid w:val="00223FF3"/>
    <w:rsid w:val="0022428B"/>
    <w:rsid w:val="00224537"/>
    <w:rsid w:val="0022457A"/>
    <w:rsid w:val="002247C8"/>
    <w:rsid w:val="00225B0E"/>
    <w:rsid w:val="00225EBB"/>
    <w:rsid w:val="00225FCD"/>
    <w:rsid w:val="002260C4"/>
    <w:rsid w:val="00227307"/>
    <w:rsid w:val="00227940"/>
    <w:rsid w:val="00227CCB"/>
    <w:rsid w:val="00227D23"/>
    <w:rsid w:val="00227F70"/>
    <w:rsid w:val="002301C9"/>
    <w:rsid w:val="00230DD2"/>
    <w:rsid w:val="0023120C"/>
    <w:rsid w:val="002319F1"/>
    <w:rsid w:val="0023391E"/>
    <w:rsid w:val="00233CF4"/>
    <w:rsid w:val="00234554"/>
    <w:rsid w:val="002352C7"/>
    <w:rsid w:val="00235956"/>
    <w:rsid w:val="00235D9A"/>
    <w:rsid w:val="00236059"/>
    <w:rsid w:val="0023749D"/>
    <w:rsid w:val="0023776B"/>
    <w:rsid w:val="0023786B"/>
    <w:rsid w:val="00237D71"/>
    <w:rsid w:val="0024077F"/>
    <w:rsid w:val="002411AC"/>
    <w:rsid w:val="0024189B"/>
    <w:rsid w:val="00241B94"/>
    <w:rsid w:val="00241E29"/>
    <w:rsid w:val="00242DA3"/>
    <w:rsid w:val="00243196"/>
    <w:rsid w:val="0024389A"/>
    <w:rsid w:val="00243E5E"/>
    <w:rsid w:val="00245233"/>
    <w:rsid w:val="0024584F"/>
    <w:rsid w:val="00245A7B"/>
    <w:rsid w:val="00245B9A"/>
    <w:rsid w:val="002466A7"/>
    <w:rsid w:val="00247A80"/>
    <w:rsid w:val="00247C9A"/>
    <w:rsid w:val="0025160C"/>
    <w:rsid w:val="00251C5C"/>
    <w:rsid w:val="00252303"/>
    <w:rsid w:val="00252870"/>
    <w:rsid w:val="002533DF"/>
    <w:rsid w:val="002535D0"/>
    <w:rsid w:val="00253904"/>
    <w:rsid w:val="002539B3"/>
    <w:rsid w:val="002541EC"/>
    <w:rsid w:val="00254E20"/>
    <w:rsid w:val="0025574D"/>
    <w:rsid w:val="00256336"/>
    <w:rsid w:val="00256F11"/>
    <w:rsid w:val="0025733B"/>
    <w:rsid w:val="002573FB"/>
    <w:rsid w:val="002577EF"/>
    <w:rsid w:val="00257C3E"/>
    <w:rsid w:val="002602C2"/>
    <w:rsid w:val="002605A9"/>
    <w:rsid w:val="00263356"/>
    <w:rsid w:val="00264C6D"/>
    <w:rsid w:val="00264D58"/>
    <w:rsid w:val="002654F2"/>
    <w:rsid w:val="002659ED"/>
    <w:rsid w:val="002661BA"/>
    <w:rsid w:val="002666C9"/>
    <w:rsid w:val="00266898"/>
    <w:rsid w:val="00266B91"/>
    <w:rsid w:val="00267A26"/>
    <w:rsid w:val="00270136"/>
    <w:rsid w:val="00270478"/>
    <w:rsid w:val="00270652"/>
    <w:rsid w:val="00270EC1"/>
    <w:rsid w:val="00270FD7"/>
    <w:rsid w:val="00271FB0"/>
    <w:rsid w:val="0027300D"/>
    <w:rsid w:val="0027306F"/>
    <w:rsid w:val="00274248"/>
    <w:rsid w:val="00274F5B"/>
    <w:rsid w:val="002754A9"/>
    <w:rsid w:val="00276856"/>
    <w:rsid w:val="00276BF6"/>
    <w:rsid w:val="00277209"/>
    <w:rsid w:val="00280836"/>
    <w:rsid w:val="00280FEE"/>
    <w:rsid w:val="00281ABA"/>
    <w:rsid w:val="0028221E"/>
    <w:rsid w:val="0028287C"/>
    <w:rsid w:val="00282E1A"/>
    <w:rsid w:val="002831FB"/>
    <w:rsid w:val="002840F1"/>
    <w:rsid w:val="0028518E"/>
    <w:rsid w:val="0028699B"/>
    <w:rsid w:val="00286A1F"/>
    <w:rsid w:val="002870F1"/>
    <w:rsid w:val="0029113B"/>
    <w:rsid w:val="0029207A"/>
    <w:rsid w:val="002934C0"/>
    <w:rsid w:val="002948BA"/>
    <w:rsid w:val="0029764C"/>
    <w:rsid w:val="00297860"/>
    <w:rsid w:val="002A1415"/>
    <w:rsid w:val="002A1B50"/>
    <w:rsid w:val="002A3525"/>
    <w:rsid w:val="002A428D"/>
    <w:rsid w:val="002A687A"/>
    <w:rsid w:val="002A6AA1"/>
    <w:rsid w:val="002A78A7"/>
    <w:rsid w:val="002A7A5C"/>
    <w:rsid w:val="002B0794"/>
    <w:rsid w:val="002B0E91"/>
    <w:rsid w:val="002B132C"/>
    <w:rsid w:val="002B3175"/>
    <w:rsid w:val="002B3350"/>
    <w:rsid w:val="002B3395"/>
    <w:rsid w:val="002B3F23"/>
    <w:rsid w:val="002B4EB5"/>
    <w:rsid w:val="002B5AF5"/>
    <w:rsid w:val="002B6459"/>
    <w:rsid w:val="002B6779"/>
    <w:rsid w:val="002B68A9"/>
    <w:rsid w:val="002B71C0"/>
    <w:rsid w:val="002B7A34"/>
    <w:rsid w:val="002C05B4"/>
    <w:rsid w:val="002C20EE"/>
    <w:rsid w:val="002C2D98"/>
    <w:rsid w:val="002C313D"/>
    <w:rsid w:val="002C31AD"/>
    <w:rsid w:val="002C3DC8"/>
    <w:rsid w:val="002C555E"/>
    <w:rsid w:val="002C6C85"/>
    <w:rsid w:val="002C6EB4"/>
    <w:rsid w:val="002C7385"/>
    <w:rsid w:val="002C7C18"/>
    <w:rsid w:val="002D06E2"/>
    <w:rsid w:val="002D10E3"/>
    <w:rsid w:val="002D1D2B"/>
    <w:rsid w:val="002D2DBB"/>
    <w:rsid w:val="002D301C"/>
    <w:rsid w:val="002D37D8"/>
    <w:rsid w:val="002D3831"/>
    <w:rsid w:val="002D4EC2"/>
    <w:rsid w:val="002D54A6"/>
    <w:rsid w:val="002D7064"/>
    <w:rsid w:val="002D712C"/>
    <w:rsid w:val="002D72AB"/>
    <w:rsid w:val="002D7A01"/>
    <w:rsid w:val="002D7DF2"/>
    <w:rsid w:val="002E2D45"/>
    <w:rsid w:val="002E3058"/>
    <w:rsid w:val="002E3128"/>
    <w:rsid w:val="002E32AB"/>
    <w:rsid w:val="002E36B4"/>
    <w:rsid w:val="002E449C"/>
    <w:rsid w:val="002E4504"/>
    <w:rsid w:val="002E4F82"/>
    <w:rsid w:val="002E4F8C"/>
    <w:rsid w:val="002E5720"/>
    <w:rsid w:val="002E5BF9"/>
    <w:rsid w:val="002E5EEC"/>
    <w:rsid w:val="002E6A7A"/>
    <w:rsid w:val="002E70C0"/>
    <w:rsid w:val="002E70E8"/>
    <w:rsid w:val="002E7C23"/>
    <w:rsid w:val="002E7C40"/>
    <w:rsid w:val="002F1533"/>
    <w:rsid w:val="002F1E49"/>
    <w:rsid w:val="002F3C4C"/>
    <w:rsid w:val="002F4E9C"/>
    <w:rsid w:val="002F50D8"/>
    <w:rsid w:val="002F5304"/>
    <w:rsid w:val="002F5BB1"/>
    <w:rsid w:val="002F6215"/>
    <w:rsid w:val="0030001F"/>
    <w:rsid w:val="003001C0"/>
    <w:rsid w:val="00300D22"/>
    <w:rsid w:val="00300D3A"/>
    <w:rsid w:val="00300D8D"/>
    <w:rsid w:val="00300EE3"/>
    <w:rsid w:val="0030239C"/>
    <w:rsid w:val="00302A31"/>
    <w:rsid w:val="00302B03"/>
    <w:rsid w:val="00302F4E"/>
    <w:rsid w:val="00303F44"/>
    <w:rsid w:val="00305C8E"/>
    <w:rsid w:val="0031230E"/>
    <w:rsid w:val="0031256C"/>
    <w:rsid w:val="00312CA0"/>
    <w:rsid w:val="003139CB"/>
    <w:rsid w:val="00313A05"/>
    <w:rsid w:val="0031481A"/>
    <w:rsid w:val="00314D3B"/>
    <w:rsid w:val="00314D6C"/>
    <w:rsid w:val="003153C5"/>
    <w:rsid w:val="00316D2A"/>
    <w:rsid w:val="00317AF2"/>
    <w:rsid w:val="00317E85"/>
    <w:rsid w:val="003202AA"/>
    <w:rsid w:val="00320313"/>
    <w:rsid w:val="00320B1D"/>
    <w:rsid w:val="00320F5C"/>
    <w:rsid w:val="00321C93"/>
    <w:rsid w:val="003227AF"/>
    <w:rsid w:val="00322A7C"/>
    <w:rsid w:val="00322C54"/>
    <w:rsid w:val="00322EEC"/>
    <w:rsid w:val="00323061"/>
    <w:rsid w:val="00325B53"/>
    <w:rsid w:val="00327003"/>
    <w:rsid w:val="003304AB"/>
    <w:rsid w:val="0033186D"/>
    <w:rsid w:val="0033353B"/>
    <w:rsid w:val="0033497C"/>
    <w:rsid w:val="003356EA"/>
    <w:rsid w:val="0033729C"/>
    <w:rsid w:val="00337559"/>
    <w:rsid w:val="003402D3"/>
    <w:rsid w:val="003409EF"/>
    <w:rsid w:val="00340B80"/>
    <w:rsid w:val="003421A7"/>
    <w:rsid w:val="00343452"/>
    <w:rsid w:val="00343ABC"/>
    <w:rsid w:val="00343EB6"/>
    <w:rsid w:val="00345213"/>
    <w:rsid w:val="00345806"/>
    <w:rsid w:val="00345B4A"/>
    <w:rsid w:val="003463FE"/>
    <w:rsid w:val="003470A1"/>
    <w:rsid w:val="00347231"/>
    <w:rsid w:val="00347267"/>
    <w:rsid w:val="00347D41"/>
    <w:rsid w:val="003507F5"/>
    <w:rsid w:val="0035082D"/>
    <w:rsid w:val="00351686"/>
    <w:rsid w:val="0035236B"/>
    <w:rsid w:val="00354162"/>
    <w:rsid w:val="00354F27"/>
    <w:rsid w:val="003554B3"/>
    <w:rsid w:val="00355FCF"/>
    <w:rsid w:val="00356632"/>
    <w:rsid w:val="0035748A"/>
    <w:rsid w:val="00357C6C"/>
    <w:rsid w:val="00357C7E"/>
    <w:rsid w:val="003609A5"/>
    <w:rsid w:val="00361B8C"/>
    <w:rsid w:val="003623A5"/>
    <w:rsid w:val="00362FD1"/>
    <w:rsid w:val="00363C7B"/>
    <w:rsid w:val="00363F28"/>
    <w:rsid w:val="003653B6"/>
    <w:rsid w:val="003665AA"/>
    <w:rsid w:val="003667C3"/>
    <w:rsid w:val="003676C9"/>
    <w:rsid w:val="00370EED"/>
    <w:rsid w:val="00371170"/>
    <w:rsid w:val="003712A3"/>
    <w:rsid w:val="00373049"/>
    <w:rsid w:val="0037320B"/>
    <w:rsid w:val="003739D5"/>
    <w:rsid w:val="00374884"/>
    <w:rsid w:val="00374CC4"/>
    <w:rsid w:val="00375D37"/>
    <w:rsid w:val="00376137"/>
    <w:rsid w:val="00376B01"/>
    <w:rsid w:val="00377126"/>
    <w:rsid w:val="003774B2"/>
    <w:rsid w:val="00377969"/>
    <w:rsid w:val="00380ABA"/>
    <w:rsid w:val="00380F2D"/>
    <w:rsid w:val="00382D75"/>
    <w:rsid w:val="003845A9"/>
    <w:rsid w:val="00384E2D"/>
    <w:rsid w:val="003850C9"/>
    <w:rsid w:val="00385F00"/>
    <w:rsid w:val="00386EC6"/>
    <w:rsid w:val="0038738D"/>
    <w:rsid w:val="00390618"/>
    <w:rsid w:val="00390687"/>
    <w:rsid w:val="00390883"/>
    <w:rsid w:val="00392026"/>
    <w:rsid w:val="003922F8"/>
    <w:rsid w:val="00392383"/>
    <w:rsid w:val="00392D0B"/>
    <w:rsid w:val="0039498F"/>
    <w:rsid w:val="00394E6D"/>
    <w:rsid w:val="00395907"/>
    <w:rsid w:val="00395B24"/>
    <w:rsid w:val="00395F0E"/>
    <w:rsid w:val="00396387"/>
    <w:rsid w:val="003A2D38"/>
    <w:rsid w:val="003A5343"/>
    <w:rsid w:val="003A568F"/>
    <w:rsid w:val="003A5C21"/>
    <w:rsid w:val="003A63CC"/>
    <w:rsid w:val="003A67B3"/>
    <w:rsid w:val="003A7ECC"/>
    <w:rsid w:val="003B01B3"/>
    <w:rsid w:val="003B0C75"/>
    <w:rsid w:val="003B117F"/>
    <w:rsid w:val="003B21B3"/>
    <w:rsid w:val="003B2C30"/>
    <w:rsid w:val="003B2C72"/>
    <w:rsid w:val="003B2D1B"/>
    <w:rsid w:val="003B34F9"/>
    <w:rsid w:val="003B38D4"/>
    <w:rsid w:val="003B39E2"/>
    <w:rsid w:val="003B3E43"/>
    <w:rsid w:val="003B487F"/>
    <w:rsid w:val="003B58B4"/>
    <w:rsid w:val="003B6112"/>
    <w:rsid w:val="003B6122"/>
    <w:rsid w:val="003B6D1F"/>
    <w:rsid w:val="003B7256"/>
    <w:rsid w:val="003C1333"/>
    <w:rsid w:val="003C170E"/>
    <w:rsid w:val="003C1DE6"/>
    <w:rsid w:val="003C20FF"/>
    <w:rsid w:val="003C550A"/>
    <w:rsid w:val="003C6055"/>
    <w:rsid w:val="003C758F"/>
    <w:rsid w:val="003D1BD9"/>
    <w:rsid w:val="003D2650"/>
    <w:rsid w:val="003D37DC"/>
    <w:rsid w:val="003D4B73"/>
    <w:rsid w:val="003D534C"/>
    <w:rsid w:val="003D560C"/>
    <w:rsid w:val="003D5C00"/>
    <w:rsid w:val="003D6E94"/>
    <w:rsid w:val="003D7133"/>
    <w:rsid w:val="003E12E5"/>
    <w:rsid w:val="003E1744"/>
    <w:rsid w:val="003E19A0"/>
    <w:rsid w:val="003E22B7"/>
    <w:rsid w:val="003E2C41"/>
    <w:rsid w:val="003E3154"/>
    <w:rsid w:val="003E4508"/>
    <w:rsid w:val="003E4561"/>
    <w:rsid w:val="003E4612"/>
    <w:rsid w:val="003E513B"/>
    <w:rsid w:val="003E5874"/>
    <w:rsid w:val="003E72D3"/>
    <w:rsid w:val="003F0D3C"/>
    <w:rsid w:val="003F12A9"/>
    <w:rsid w:val="003F193E"/>
    <w:rsid w:val="003F242C"/>
    <w:rsid w:val="003F2834"/>
    <w:rsid w:val="003F335B"/>
    <w:rsid w:val="003F34F1"/>
    <w:rsid w:val="003F3800"/>
    <w:rsid w:val="003F3EBF"/>
    <w:rsid w:val="003F457B"/>
    <w:rsid w:val="003F53A9"/>
    <w:rsid w:val="003F64B3"/>
    <w:rsid w:val="003F668E"/>
    <w:rsid w:val="003F7C6A"/>
    <w:rsid w:val="00403B05"/>
    <w:rsid w:val="00404A28"/>
    <w:rsid w:val="0040500B"/>
    <w:rsid w:val="00405D7E"/>
    <w:rsid w:val="0040605E"/>
    <w:rsid w:val="0041007C"/>
    <w:rsid w:val="004104B6"/>
    <w:rsid w:val="004107B9"/>
    <w:rsid w:val="004109E2"/>
    <w:rsid w:val="004114BA"/>
    <w:rsid w:val="00411831"/>
    <w:rsid w:val="0041195C"/>
    <w:rsid w:val="004119AA"/>
    <w:rsid w:val="004119F8"/>
    <w:rsid w:val="00411AE8"/>
    <w:rsid w:val="00413219"/>
    <w:rsid w:val="00413B74"/>
    <w:rsid w:val="00415C97"/>
    <w:rsid w:val="004160A9"/>
    <w:rsid w:val="0041622D"/>
    <w:rsid w:val="0042015F"/>
    <w:rsid w:val="004230C0"/>
    <w:rsid w:val="004236A4"/>
    <w:rsid w:val="00424987"/>
    <w:rsid w:val="00425932"/>
    <w:rsid w:val="00425EC4"/>
    <w:rsid w:val="00425F49"/>
    <w:rsid w:val="0042615E"/>
    <w:rsid w:val="00426CC0"/>
    <w:rsid w:val="00426D8D"/>
    <w:rsid w:val="00430BD7"/>
    <w:rsid w:val="00430E92"/>
    <w:rsid w:val="00430FCC"/>
    <w:rsid w:val="00431571"/>
    <w:rsid w:val="00432D72"/>
    <w:rsid w:val="004337E6"/>
    <w:rsid w:val="00434287"/>
    <w:rsid w:val="004342F3"/>
    <w:rsid w:val="004359C6"/>
    <w:rsid w:val="00435C5F"/>
    <w:rsid w:val="00435F2D"/>
    <w:rsid w:val="00436155"/>
    <w:rsid w:val="00437A58"/>
    <w:rsid w:val="0044006D"/>
    <w:rsid w:val="00440160"/>
    <w:rsid w:val="0044084D"/>
    <w:rsid w:val="00440A04"/>
    <w:rsid w:val="00441287"/>
    <w:rsid w:val="004412FF"/>
    <w:rsid w:val="00441B40"/>
    <w:rsid w:val="00441E98"/>
    <w:rsid w:val="00442097"/>
    <w:rsid w:val="00442215"/>
    <w:rsid w:val="0044454D"/>
    <w:rsid w:val="00445D1B"/>
    <w:rsid w:val="004466CD"/>
    <w:rsid w:val="004472E9"/>
    <w:rsid w:val="004474D8"/>
    <w:rsid w:val="0044760F"/>
    <w:rsid w:val="00447CAB"/>
    <w:rsid w:val="00447CE1"/>
    <w:rsid w:val="00447F01"/>
    <w:rsid w:val="00450B92"/>
    <w:rsid w:val="00450F3A"/>
    <w:rsid w:val="00451019"/>
    <w:rsid w:val="004532F7"/>
    <w:rsid w:val="0045339E"/>
    <w:rsid w:val="00453846"/>
    <w:rsid w:val="0045452E"/>
    <w:rsid w:val="00455EFC"/>
    <w:rsid w:val="00455F09"/>
    <w:rsid w:val="00457104"/>
    <w:rsid w:val="004578B6"/>
    <w:rsid w:val="00457E00"/>
    <w:rsid w:val="00460B55"/>
    <w:rsid w:val="00460E17"/>
    <w:rsid w:val="00460E7A"/>
    <w:rsid w:val="004615A0"/>
    <w:rsid w:val="004617C8"/>
    <w:rsid w:val="00461C1C"/>
    <w:rsid w:val="004621FE"/>
    <w:rsid w:val="004622DE"/>
    <w:rsid w:val="004624E6"/>
    <w:rsid w:val="004627EB"/>
    <w:rsid w:val="00462CE4"/>
    <w:rsid w:val="00463376"/>
    <w:rsid w:val="00463AAE"/>
    <w:rsid w:val="004641FA"/>
    <w:rsid w:val="00464938"/>
    <w:rsid w:val="00464D51"/>
    <w:rsid w:val="00467399"/>
    <w:rsid w:val="00471454"/>
    <w:rsid w:val="0047181B"/>
    <w:rsid w:val="00471888"/>
    <w:rsid w:val="00472027"/>
    <w:rsid w:val="004721E0"/>
    <w:rsid w:val="00472F04"/>
    <w:rsid w:val="00474C47"/>
    <w:rsid w:val="00475FFA"/>
    <w:rsid w:val="00476F3C"/>
    <w:rsid w:val="004774BB"/>
    <w:rsid w:val="004804A9"/>
    <w:rsid w:val="004804CF"/>
    <w:rsid w:val="00480CB4"/>
    <w:rsid w:val="0048119E"/>
    <w:rsid w:val="00481387"/>
    <w:rsid w:val="0048173A"/>
    <w:rsid w:val="00481C30"/>
    <w:rsid w:val="004826A9"/>
    <w:rsid w:val="00483B91"/>
    <w:rsid w:val="00483FF4"/>
    <w:rsid w:val="00484962"/>
    <w:rsid w:val="00484F6D"/>
    <w:rsid w:val="00484FB7"/>
    <w:rsid w:val="0048512B"/>
    <w:rsid w:val="0048554D"/>
    <w:rsid w:val="00485A76"/>
    <w:rsid w:val="00486C29"/>
    <w:rsid w:val="0048734B"/>
    <w:rsid w:val="00487442"/>
    <w:rsid w:val="00490E13"/>
    <w:rsid w:val="0049107B"/>
    <w:rsid w:val="004911F1"/>
    <w:rsid w:val="0049338A"/>
    <w:rsid w:val="00493BA7"/>
    <w:rsid w:val="0049417F"/>
    <w:rsid w:val="004941AC"/>
    <w:rsid w:val="004950F7"/>
    <w:rsid w:val="00495144"/>
    <w:rsid w:val="004954DB"/>
    <w:rsid w:val="00495632"/>
    <w:rsid w:val="00496B31"/>
    <w:rsid w:val="00496D41"/>
    <w:rsid w:val="004A1629"/>
    <w:rsid w:val="004A1721"/>
    <w:rsid w:val="004A2679"/>
    <w:rsid w:val="004A4888"/>
    <w:rsid w:val="004A4EF3"/>
    <w:rsid w:val="004A60F7"/>
    <w:rsid w:val="004A6602"/>
    <w:rsid w:val="004B0051"/>
    <w:rsid w:val="004B0C38"/>
    <w:rsid w:val="004B1840"/>
    <w:rsid w:val="004B1A91"/>
    <w:rsid w:val="004B343C"/>
    <w:rsid w:val="004B3E66"/>
    <w:rsid w:val="004B3EFA"/>
    <w:rsid w:val="004B54CB"/>
    <w:rsid w:val="004B75CD"/>
    <w:rsid w:val="004C050F"/>
    <w:rsid w:val="004C0BF1"/>
    <w:rsid w:val="004C1FBA"/>
    <w:rsid w:val="004C2A87"/>
    <w:rsid w:val="004C2FDE"/>
    <w:rsid w:val="004C3AAD"/>
    <w:rsid w:val="004C3C2C"/>
    <w:rsid w:val="004C3CE5"/>
    <w:rsid w:val="004C4D7B"/>
    <w:rsid w:val="004C4ED3"/>
    <w:rsid w:val="004C5B64"/>
    <w:rsid w:val="004C667B"/>
    <w:rsid w:val="004C7AB4"/>
    <w:rsid w:val="004C7ECD"/>
    <w:rsid w:val="004D1F8E"/>
    <w:rsid w:val="004D21E7"/>
    <w:rsid w:val="004D27B5"/>
    <w:rsid w:val="004D27ED"/>
    <w:rsid w:val="004D2EA5"/>
    <w:rsid w:val="004D32A6"/>
    <w:rsid w:val="004D3564"/>
    <w:rsid w:val="004D4F38"/>
    <w:rsid w:val="004D51FE"/>
    <w:rsid w:val="004D53E5"/>
    <w:rsid w:val="004D7AA0"/>
    <w:rsid w:val="004D7BB0"/>
    <w:rsid w:val="004D7F45"/>
    <w:rsid w:val="004E16B5"/>
    <w:rsid w:val="004E3D3A"/>
    <w:rsid w:val="004E3E0F"/>
    <w:rsid w:val="004E439E"/>
    <w:rsid w:val="004E51A2"/>
    <w:rsid w:val="004E5E80"/>
    <w:rsid w:val="004E6DC4"/>
    <w:rsid w:val="004F04B5"/>
    <w:rsid w:val="004F0A68"/>
    <w:rsid w:val="004F0EDE"/>
    <w:rsid w:val="004F0F19"/>
    <w:rsid w:val="004F20E9"/>
    <w:rsid w:val="004F21C1"/>
    <w:rsid w:val="004F237F"/>
    <w:rsid w:val="004F243D"/>
    <w:rsid w:val="004F2B82"/>
    <w:rsid w:val="004F31EE"/>
    <w:rsid w:val="004F4041"/>
    <w:rsid w:val="004F5634"/>
    <w:rsid w:val="004F6408"/>
    <w:rsid w:val="004F6767"/>
    <w:rsid w:val="004F704F"/>
    <w:rsid w:val="004F7897"/>
    <w:rsid w:val="004F7F68"/>
    <w:rsid w:val="0050111D"/>
    <w:rsid w:val="00501A12"/>
    <w:rsid w:val="00501AD3"/>
    <w:rsid w:val="00502E77"/>
    <w:rsid w:val="0050309C"/>
    <w:rsid w:val="0050396F"/>
    <w:rsid w:val="00503B17"/>
    <w:rsid w:val="00504A43"/>
    <w:rsid w:val="00506DB6"/>
    <w:rsid w:val="00507C4C"/>
    <w:rsid w:val="00510377"/>
    <w:rsid w:val="005108A2"/>
    <w:rsid w:val="00510CFD"/>
    <w:rsid w:val="0051327C"/>
    <w:rsid w:val="0051346D"/>
    <w:rsid w:val="00513EAE"/>
    <w:rsid w:val="0051434F"/>
    <w:rsid w:val="005149C3"/>
    <w:rsid w:val="00516806"/>
    <w:rsid w:val="00520676"/>
    <w:rsid w:val="0052078F"/>
    <w:rsid w:val="0052098C"/>
    <w:rsid w:val="00521492"/>
    <w:rsid w:val="00521BB7"/>
    <w:rsid w:val="00522937"/>
    <w:rsid w:val="00523FB3"/>
    <w:rsid w:val="005242CC"/>
    <w:rsid w:val="00525880"/>
    <w:rsid w:val="0052588C"/>
    <w:rsid w:val="00525A49"/>
    <w:rsid w:val="005262D1"/>
    <w:rsid w:val="0052636D"/>
    <w:rsid w:val="00526676"/>
    <w:rsid w:val="00526F22"/>
    <w:rsid w:val="005301D7"/>
    <w:rsid w:val="00530876"/>
    <w:rsid w:val="00530D90"/>
    <w:rsid w:val="005313D8"/>
    <w:rsid w:val="00531AED"/>
    <w:rsid w:val="00531B27"/>
    <w:rsid w:val="0053296F"/>
    <w:rsid w:val="00532ACD"/>
    <w:rsid w:val="005330DD"/>
    <w:rsid w:val="00534635"/>
    <w:rsid w:val="00535613"/>
    <w:rsid w:val="005359EB"/>
    <w:rsid w:val="00535EED"/>
    <w:rsid w:val="005362AF"/>
    <w:rsid w:val="00536683"/>
    <w:rsid w:val="005366BD"/>
    <w:rsid w:val="005377A5"/>
    <w:rsid w:val="00537A26"/>
    <w:rsid w:val="00537B5A"/>
    <w:rsid w:val="00537EBC"/>
    <w:rsid w:val="00540647"/>
    <w:rsid w:val="00541A65"/>
    <w:rsid w:val="00541B7A"/>
    <w:rsid w:val="00541B8C"/>
    <w:rsid w:val="0054246F"/>
    <w:rsid w:val="0054254A"/>
    <w:rsid w:val="005449F2"/>
    <w:rsid w:val="0054500B"/>
    <w:rsid w:val="0054508D"/>
    <w:rsid w:val="005450F4"/>
    <w:rsid w:val="0054523E"/>
    <w:rsid w:val="005466B5"/>
    <w:rsid w:val="0054673E"/>
    <w:rsid w:val="00546B8B"/>
    <w:rsid w:val="005517E1"/>
    <w:rsid w:val="00552DE1"/>
    <w:rsid w:val="00553712"/>
    <w:rsid w:val="00553805"/>
    <w:rsid w:val="00553A01"/>
    <w:rsid w:val="00554314"/>
    <w:rsid w:val="00554912"/>
    <w:rsid w:val="0055596E"/>
    <w:rsid w:val="00555ABC"/>
    <w:rsid w:val="00556F12"/>
    <w:rsid w:val="005573A3"/>
    <w:rsid w:val="0056168B"/>
    <w:rsid w:val="00561BDB"/>
    <w:rsid w:val="00562829"/>
    <w:rsid w:val="005628B8"/>
    <w:rsid w:val="005629B3"/>
    <w:rsid w:val="00562B0B"/>
    <w:rsid w:val="00562BE4"/>
    <w:rsid w:val="005646AE"/>
    <w:rsid w:val="00564A63"/>
    <w:rsid w:val="00565492"/>
    <w:rsid w:val="005654D5"/>
    <w:rsid w:val="00567338"/>
    <w:rsid w:val="00571329"/>
    <w:rsid w:val="00572177"/>
    <w:rsid w:val="005724F6"/>
    <w:rsid w:val="0057333C"/>
    <w:rsid w:val="00573AC4"/>
    <w:rsid w:val="00575798"/>
    <w:rsid w:val="0057697E"/>
    <w:rsid w:val="005772CC"/>
    <w:rsid w:val="005774DD"/>
    <w:rsid w:val="005775BE"/>
    <w:rsid w:val="00577EA7"/>
    <w:rsid w:val="005801FC"/>
    <w:rsid w:val="0058057E"/>
    <w:rsid w:val="00583151"/>
    <w:rsid w:val="0058378C"/>
    <w:rsid w:val="005855F8"/>
    <w:rsid w:val="00585BA9"/>
    <w:rsid w:val="00586122"/>
    <w:rsid w:val="00587359"/>
    <w:rsid w:val="005877DB"/>
    <w:rsid w:val="00591516"/>
    <w:rsid w:val="0059198B"/>
    <w:rsid w:val="00592493"/>
    <w:rsid w:val="0059467D"/>
    <w:rsid w:val="00595016"/>
    <w:rsid w:val="005975E7"/>
    <w:rsid w:val="00597AAE"/>
    <w:rsid w:val="005A222C"/>
    <w:rsid w:val="005A27B0"/>
    <w:rsid w:val="005A431E"/>
    <w:rsid w:val="005A4A27"/>
    <w:rsid w:val="005A4DF8"/>
    <w:rsid w:val="005A5BB0"/>
    <w:rsid w:val="005A5EC8"/>
    <w:rsid w:val="005A6678"/>
    <w:rsid w:val="005A78C8"/>
    <w:rsid w:val="005A7C5A"/>
    <w:rsid w:val="005B1426"/>
    <w:rsid w:val="005B1473"/>
    <w:rsid w:val="005B34D7"/>
    <w:rsid w:val="005B44DA"/>
    <w:rsid w:val="005B49D8"/>
    <w:rsid w:val="005C035F"/>
    <w:rsid w:val="005C0551"/>
    <w:rsid w:val="005C0A8E"/>
    <w:rsid w:val="005C16BE"/>
    <w:rsid w:val="005C1767"/>
    <w:rsid w:val="005C185C"/>
    <w:rsid w:val="005C2957"/>
    <w:rsid w:val="005C2DD6"/>
    <w:rsid w:val="005C2EEC"/>
    <w:rsid w:val="005C38EE"/>
    <w:rsid w:val="005C3A1D"/>
    <w:rsid w:val="005C3FD6"/>
    <w:rsid w:val="005C42EF"/>
    <w:rsid w:val="005C4363"/>
    <w:rsid w:val="005C5B0A"/>
    <w:rsid w:val="005C6CA1"/>
    <w:rsid w:val="005C6CE8"/>
    <w:rsid w:val="005C7A92"/>
    <w:rsid w:val="005C7D7A"/>
    <w:rsid w:val="005C7E34"/>
    <w:rsid w:val="005C7EA8"/>
    <w:rsid w:val="005C7F6D"/>
    <w:rsid w:val="005D0186"/>
    <w:rsid w:val="005D03BF"/>
    <w:rsid w:val="005D0966"/>
    <w:rsid w:val="005D1970"/>
    <w:rsid w:val="005D38C2"/>
    <w:rsid w:val="005D3FEB"/>
    <w:rsid w:val="005D46E6"/>
    <w:rsid w:val="005D5342"/>
    <w:rsid w:val="005D6BB2"/>
    <w:rsid w:val="005D6E1C"/>
    <w:rsid w:val="005D6F64"/>
    <w:rsid w:val="005E02F5"/>
    <w:rsid w:val="005E0510"/>
    <w:rsid w:val="005E0C60"/>
    <w:rsid w:val="005E176E"/>
    <w:rsid w:val="005E1D09"/>
    <w:rsid w:val="005E20BE"/>
    <w:rsid w:val="005E218E"/>
    <w:rsid w:val="005E2350"/>
    <w:rsid w:val="005E35A0"/>
    <w:rsid w:val="005E3DEE"/>
    <w:rsid w:val="005E3E91"/>
    <w:rsid w:val="005E41EF"/>
    <w:rsid w:val="005E44B4"/>
    <w:rsid w:val="005E4603"/>
    <w:rsid w:val="005E5DDC"/>
    <w:rsid w:val="005E5FF8"/>
    <w:rsid w:val="005E67F6"/>
    <w:rsid w:val="005E6F5F"/>
    <w:rsid w:val="005F00A0"/>
    <w:rsid w:val="005F0857"/>
    <w:rsid w:val="005F0D1B"/>
    <w:rsid w:val="005F185E"/>
    <w:rsid w:val="005F1865"/>
    <w:rsid w:val="005F478B"/>
    <w:rsid w:val="005F47C1"/>
    <w:rsid w:val="005F5C94"/>
    <w:rsid w:val="005F7038"/>
    <w:rsid w:val="006007BD"/>
    <w:rsid w:val="006013C8"/>
    <w:rsid w:val="00601E21"/>
    <w:rsid w:val="0060270D"/>
    <w:rsid w:val="00602B1D"/>
    <w:rsid w:val="00603398"/>
    <w:rsid w:val="0060349E"/>
    <w:rsid w:val="0060368B"/>
    <w:rsid w:val="006043EF"/>
    <w:rsid w:val="00604611"/>
    <w:rsid w:val="00604700"/>
    <w:rsid w:val="00604B4D"/>
    <w:rsid w:val="0060551D"/>
    <w:rsid w:val="00607FFC"/>
    <w:rsid w:val="0061104F"/>
    <w:rsid w:val="00611586"/>
    <w:rsid w:val="00611D6C"/>
    <w:rsid w:val="00612D26"/>
    <w:rsid w:val="006135A5"/>
    <w:rsid w:val="00613C9A"/>
    <w:rsid w:val="006145A4"/>
    <w:rsid w:val="00615855"/>
    <w:rsid w:val="00616807"/>
    <w:rsid w:val="00617901"/>
    <w:rsid w:val="00620DA8"/>
    <w:rsid w:val="00621642"/>
    <w:rsid w:val="00621887"/>
    <w:rsid w:val="006233F4"/>
    <w:rsid w:val="00623569"/>
    <w:rsid w:val="00623D2F"/>
    <w:rsid w:val="00623E33"/>
    <w:rsid w:val="00624520"/>
    <w:rsid w:val="006250E5"/>
    <w:rsid w:val="006255B1"/>
    <w:rsid w:val="00625DCC"/>
    <w:rsid w:val="00625E47"/>
    <w:rsid w:val="0062653E"/>
    <w:rsid w:val="00626B90"/>
    <w:rsid w:val="006271F5"/>
    <w:rsid w:val="00627D80"/>
    <w:rsid w:val="00630554"/>
    <w:rsid w:val="00630C77"/>
    <w:rsid w:val="00631125"/>
    <w:rsid w:val="0063115A"/>
    <w:rsid w:val="00631614"/>
    <w:rsid w:val="006320BD"/>
    <w:rsid w:val="00632300"/>
    <w:rsid w:val="00632BB7"/>
    <w:rsid w:val="00633188"/>
    <w:rsid w:val="00635B36"/>
    <w:rsid w:val="00635B81"/>
    <w:rsid w:val="00635D06"/>
    <w:rsid w:val="00636871"/>
    <w:rsid w:val="00640EE1"/>
    <w:rsid w:val="00640F4E"/>
    <w:rsid w:val="00641E94"/>
    <w:rsid w:val="00642927"/>
    <w:rsid w:val="00643DE0"/>
    <w:rsid w:val="00643F0F"/>
    <w:rsid w:val="00644222"/>
    <w:rsid w:val="0064437D"/>
    <w:rsid w:val="00644B0E"/>
    <w:rsid w:val="00644E85"/>
    <w:rsid w:val="0064553A"/>
    <w:rsid w:val="00645A0D"/>
    <w:rsid w:val="00645B92"/>
    <w:rsid w:val="006463DC"/>
    <w:rsid w:val="00646C5F"/>
    <w:rsid w:val="00651BB3"/>
    <w:rsid w:val="00652306"/>
    <w:rsid w:val="00652C52"/>
    <w:rsid w:val="00652E36"/>
    <w:rsid w:val="00652F61"/>
    <w:rsid w:val="00653BD0"/>
    <w:rsid w:val="006545D3"/>
    <w:rsid w:val="00655299"/>
    <w:rsid w:val="006553FD"/>
    <w:rsid w:val="0065548D"/>
    <w:rsid w:val="0065673E"/>
    <w:rsid w:val="006578C8"/>
    <w:rsid w:val="00657BE3"/>
    <w:rsid w:val="00660383"/>
    <w:rsid w:val="0066063F"/>
    <w:rsid w:val="00660894"/>
    <w:rsid w:val="0066095A"/>
    <w:rsid w:val="00662BB0"/>
    <w:rsid w:val="00662EAE"/>
    <w:rsid w:val="00663878"/>
    <w:rsid w:val="00664211"/>
    <w:rsid w:val="006644E9"/>
    <w:rsid w:val="00667033"/>
    <w:rsid w:val="0066735E"/>
    <w:rsid w:val="00667773"/>
    <w:rsid w:val="00667EBA"/>
    <w:rsid w:val="00670743"/>
    <w:rsid w:val="00670B56"/>
    <w:rsid w:val="00670DC5"/>
    <w:rsid w:val="00671A4F"/>
    <w:rsid w:val="00672973"/>
    <w:rsid w:val="00672BCF"/>
    <w:rsid w:val="00673254"/>
    <w:rsid w:val="0067376A"/>
    <w:rsid w:val="00673863"/>
    <w:rsid w:val="0067418E"/>
    <w:rsid w:val="0067492A"/>
    <w:rsid w:val="00674ABC"/>
    <w:rsid w:val="00675D4F"/>
    <w:rsid w:val="00677978"/>
    <w:rsid w:val="00680A85"/>
    <w:rsid w:val="00680FAB"/>
    <w:rsid w:val="00681398"/>
    <w:rsid w:val="00681ADF"/>
    <w:rsid w:val="00682450"/>
    <w:rsid w:val="00682BF8"/>
    <w:rsid w:val="00682E4A"/>
    <w:rsid w:val="00683824"/>
    <w:rsid w:val="00683FDE"/>
    <w:rsid w:val="00684135"/>
    <w:rsid w:val="00687CD2"/>
    <w:rsid w:val="00690A81"/>
    <w:rsid w:val="00690C09"/>
    <w:rsid w:val="00690DCD"/>
    <w:rsid w:val="00690EE2"/>
    <w:rsid w:val="0069179A"/>
    <w:rsid w:val="006928B2"/>
    <w:rsid w:val="00692FCC"/>
    <w:rsid w:val="006930FB"/>
    <w:rsid w:val="00693154"/>
    <w:rsid w:val="006932AE"/>
    <w:rsid w:val="006934E7"/>
    <w:rsid w:val="00693854"/>
    <w:rsid w:val="00693E33"/>
    <w:rsid w:val="00694993"/>
    <w:rsid w:val="00694BEB"/>
    <w:rsid w:val="00695A60"/>
    <w:rsid w:val="00695F87"/>
    <w:rsid w:val="0069649B"/>
    <w:rsid w:val="00696CA9"/>
    <w:rsid w:val="00696FCE"/>
    <w:rsid w:val="006A0131"/>
    <w:rsid w:val="006A0E20"/>
    <w:rsid w:val="006A10B7"/>
    <w:rsid w:val="006A23F4"/>
    <w:rsid w:val="006A24E3"/>
    <w:rsid w:val="006A328B"/>
    <w:rsid w:val="006A37FA"/>
    <w:rsid w:val="006A463F"/>
    <w:rsid w:val="006A5180"/>
    <w:rsid w:val="006A5649"/>
    <w:rsid w:val="006A5695"/>
    <w:rsid w:val="006A5BC2"/>
    <w:rsid w:val="006A6D58"/>
    <w:rsid w:val="006B0352"/>
    <w:rsid w:val="006B0439"/>
    <w:rsid w:val="006B0AFC"/>
    <w:rsid w:val="006B1725"/>
    <w:rsid w:val="006B1B59"/>
    <w:rsid w:val="006B2BCD"/>
    <w:rsid w:val="006B2EB4"/>
    <w:rsid w:val="006B3904"/>
    <w:rsid w:val="006B5B7D"/>
    <w:rsid w:val="006B6EFF"/>
    <w:rsid w:val="006B71EC"/>
    <w:rsid w:val="006B7A58"/>
    <w:rsid w:val="006B7BCC"/>
    <w:rsid w:val="006C006C"/>
    <w:rsid w:val="006C2AD4"/>
    <w:rsid w:val="006C3C0F"/>
    <w:rsid w:val="006C5521"/>
    <w:rsid w:val="006C5B46"/>
    <w:rsid w:val="006C69B5"/>
    <w:rsid w:val="006C6E39"/>
    <w:rsid w:val="006C6FA4"/>
    <w:rsid w:val="006D0ECF"/>
    <w:rsid w:val="006D30DD"/>
    <w:rsid w:val="006D3278"/>
    <w:rsid w:val="006D3A55"/>
    <w:rsid w:val="006D3C04"/>
    <w:rsid w:val="006D3D5B"/>
    <w:rsid w:val="006D4C92"/>
    <w:rsid w:val="006D4CB0"/>
    <w:rsid w:val="006D4EB6"/>
    <w:rsid w:val="006D5E9A"/>
    <w:rsid w:val="006D6556"/>
    <w:rsid w:val="006D6D21"/>
    <w:rsid w:val="006D712F"/>
    <w:rsid w:val="006D73EA"/>
    <w:rsid w:val="006E1601"/>
    <w:rsid w:val="006E17BE"/>
    <w:rsid w:val="006E35BF"/>
    <w:rsid w:val="006E4333"/>
    <w:rsid w:val="006E4A6A"/>
    <w:rsid w:val="006E4B7E"/>
    <w:rsid w:val="006E5780"/>
    <w:rsid w:val="006E7850"/>
    <w:rsid w:val="006E7D52"/>
    <w:rsid w:val="006F0F9F"/>
    <w:rsid w:val="006F1439"/>
    <w:rsid w:val="006F1B0A"/>
    <w:rsid w:val="006F1E4C"/>
    <w:rsid w:val="006F2B89"/>
    <w:rsid w:val="006F3189"/>
    <w:rsid w:val="006F34C1"/>
    <w:rsid w:val="006F4080"/>
    <w:rsid w:val="006F46D6"/>
    <w:rsid w:val="006F4E32"/>
    <w:rsid w:val="006F5420"/>
    <w:rsid w:val="006F5ADC"/>
    <w:rsid w:val="006F7088"/>
    <w:rsid w:val="006F7BC9"/>
    <w:rsid w:val="00700145"/>
    <w:rsid w:val="00700836"/>
    <w:rsid w:val="00700D74"/>
    <w:rsid w:val="00700E6E"/>
    <w:rsid w:val="00702004"/>
    <w:rsid w:val="007028D9"/>
    <w:rsid w:val="007028E8"/>
    <w:rsid w:val="00703344"/>
    <w:rsid w:val="00703406"/>
    <w:rsid w:val="007057FA"/>
    <w:rsid w:val="00706D19"/>
    <w:rsid w:val="00707218"/>
    <w:rsid w:val="007075A8"/>
    <w:rsid w:val="0071061C"/>
    <w:rsid w:val="00710D04"/>
    <w:rsid w:val="0071269D"/>
    <w:rsid w:val="00712B1D"/>
    <w:rsid w:val="00712F7C"/>
    <w:rsid w:val="00713D64"/>
    <w:rsid w:val="00715751"/>
    <w:rsid w:val="0071690F"/>
    <w:rsid w:val="007171BA"/>
    <w:rsid w:val="00717616"/>
    <w:rsid w:val="00720FEE"/>
    <w:rsid w:val="00721717"/>
    <w:rsid w:val="00721B74"/>
    <w:rsid w:val="00721DA5"/>
    <w:rsid w:val="00722DFD"/>
    <w:rsid w:val="00723490"/>
    <w:rsid w:val="007237AF"/>
    <w:rsid w:val="00724862"/>
    <w:rsid w:val="0073071E"/>
    <w:rsid w:val="00730CC8"/>
    <w:rsid w:val="00730D83"/>
    <w:rsid w:val="007317BD"/>
    <w:rsid w:val="00731B76"/>
    <w:rsid w:val="007325D9"/>
    <w:rsid w:val="00733B58"/>
    <w:rsid w:val="00733C8C"/>
    <w:rsid w:val="00734954"/>
    <w:rsid w:val="00734CCE"/>
    <w:rsid w:val="0073583B"/>
    <w:rsid w:val="00735ABB"/>
    <w:rsid w:val="007360CA"/>
    <w:rsid w:val="0073788E"/>
    <w:rsid w:val="00740A27"/>
    <w:rsid w:val="00740B55"/>
    <w:rsid w:val="00740BEE"/>
    <w:rsid w:val="00742D05"/>
    <w:rsid w:val="00744CD3"/>
    <w:rsid w:val="00745573"/>
    <w:rsid w:val="007463CE"/>
    <w:rsid w:val="0074667B"/>
    <w:rsid w:val="007470BD"/>
    <w:rsid w:val="0075016E"/>
    <w:rsid w:val="00750DB9"/>
    <w:rsid w:val="00752CE2"/>
    <w:rsid w:val="00753813"/>
    <w:rsid w:val="00753D74"/>
    <w:rsid w:val="0075537E"/>
    <w:rsid w:val="007557D0"/>
    <w:rsid w:val="0075652D"/>
    <w:rsid w:val="00756B42"/>
    <w:rsid w:val="00756F7D"/>
    <w:rsid w:val="00757D96"/>
    <w:rsid w:val="00760EC0"/>
    <w:rsid w:val="007629D2"/>
    <w:rsid w:val="00762C4E"/>
    <w:rsid w:val="00764708"/>
    <w:rsid w:val="00767DE2"/>
    <w:rsid w:val="0077063E"/>
    <w:rsid w:val="00771148"/>
    <w:rsid w:val="007711BD"/>
    <w:rsid w:val="00771457"/>
    <w:rsid w:val="00774535"/>
    <w:rsid w:val="00775DED"/>
    <w:rsid w:val="00775EC7"/>
    <w:rsid w:val="00775FA7"/>
    <w:rsid w:val="007769C9"/>
    <w:rsid w:val="00776B0A"/>
    <w:rsid w:val="00776C4E"/>
    <w:rsid w:val="00776CAA"/>
    <w:rsid w:val="007771F5"/>
    <w:rsid w:val="007773AC"/>
    <w:rsid w:val="0078003A"/>
    <w:rsid w:val="00780771"/>
    <w:rsid w:val="007830D3"/>
    <w:rsid w:val="007833B2"/>
    <w:rsid w:val="0078358A"/>
    <w:rsid w:val="00783B85"/>
    <w:rsid w:val="007844C6"/>
    <w:rsid w:val="00784DE1"/>
    <w:rsid w:val="00786481"/>
    <w:rsid w:val="007866F2"/>
    <w:rsid w:val="007868B5"/>
    <w:rsid w:val="00787559"/>
    <w:rsid w:val="00787857"/>
    <w:rsid w:val="00787D30"/>
    <w:rsid w:val="00790ACD"/>
    <w:rsid w:val="00790CD5"/>
    <w:rsid w:val="007929CF"/>
    <w:rsid w:val="00793D2A"/>
    <w:rsid w:val="00793FF1"/>
    <w:rsid w:val="0079718B"/>
    <w:rsid w:val="007976CC"/>
    <w:rsid w:val="007A07E7"/>
    <w:rsid w:val="007A0A97"/>
    <w:rsid w:val="007A117F"/>
    <w:rsid w:val="007A13EA"/>
    <w:rsid w:val="007A2B4F"/>
    <w:rsid w:val="007A3293"/>
    <w:rsid w:val="007A345C"/>
    <w:rsid w:val="007A459C"/>
    <w:rsid w:val="007A49E7"/>
    <w:rsid w:val="007A5A1D"/>
    <w:rsid w:val="007A64F0"/>
    <w:rsid w:val="007A6870"/>
    <w:rsid w:val="007A6A46"/>
    <w:rsid w:val="007A6E7E"/>
    <w:rsid w:val="007A6F28"/>
    <w:rsid w:val="007A73C8"/>
    <w:rsid w:val="007A7B29"/>
    <w:rsid w:val="007B03C6"/>
    <w:rsid w:val="007B0DB1"/>
    <w:rsid w:val="007B174A"/>
    <w:rsid w:val="007B1BF5"/>
    <w:rsid w:val="007B2139"/>
    <w:rsid w:val="007B4319"/>
    <w:rsid w:val="007B5673"/>
    <w:rsid w:val="007B63E9"/>
    <w:rsid w:val="007B6872"/>
    <w:rsid w:val="007B7238"/>
    <w:rsid w:val="007B76FF"/>
    <w:rsid w:val="007C155C"/>
    <w:rsid w:val="007C31A2"/>
    <w:rsid w:val="007C3BF6"/>
    <w:rsid w:val="007C442E"/>
    <w:rsid w:val="007C4DD6"/>
    <w:rsid w:val="007C5916"/>
    <w:rsid w:val="007C5F0F"/>
    <w:rsid w:val="007C67B3"/>
    <w:rsid w:val="007C6A45"/>
    <w:rsid w:val="007C7047"/>
    <w:rsid w:val="007C7923"/>
    <w:rsid w:val="007C7B08"/>
    <w:rsid w:val="007D01D4"/>
    <w:rsid w:val="007D01E6"/>
    <w:rsid w:val="007D0FD2"/>
    <w:rsid w:val="007D2EF8"/>
    <w:rsid w:val="007D42EE"/>
    <w:rsid w:val="007D516A"/>
    <w:rsid w:val="007D561F"/>
    <w:rsid w:val="007D56E0"/>
    <w:rsid w:val="007D5DE6"/>
    <w:rsid w:val="007D73EB"/>
    <w:rsid w:val="007D7FD2"/>
    <w:rsid w:val="007E13D9"/>
    <w:rsid w:val="007E1441"/>
    <w:rsid w:val="007E1ABC"/>
    <w:rsid w:val="007E2AEC"/>
    <w:rsid w:val="007E2D14"/>
    <w:rsid w:val="007E41BE"/>
    <w:rsid w:val="007E4BC7"/>
    <w:rsid w:val="007E4DB6"/>
    <w:rsid w:val="007E6733"/>
    <w:rsid w:val="007E7352"/>
    <w:rsid w:val="007E7CD4"/>
    <w:rsid w:val="007F0D8D"/>
    <w:rsid w:val="007F12AC"/>
    <w:rsid w:val="007F42A9"/>
    <w:rsid w:val="007F437D"/>
    <w:rsid w:val="007F4501"/>
    <w:rsid w:val="007F4774"/>
    <w:rsid w:val="007F4A01"/>
    <w:rsid w:val="007F5515"/>
    <w:rsid w:val="007F60DF"/>
    <w:rsid w:val="007F7C02"/>
    <w:rsid w:val="007F7C51"/>
    <w:rsid w:val="00801800"/>
    <w:rsid w:val="00801861"/>
    <w:rsid w:val="00801B5B"/>
    <w:rsid w:val="00801F1D"/>
    <w:rsid w:val="008024C1"/>
    <w:rsid w:val="0080343B"/>
    <w:rsid w:val="00803888"/>
    <w:rsid w:val="00805338"/>
    <w:rsid w:val="008054B8"/>
    <w:rsid w:val="00805586"/>
    <w:rsid w:val="008062B2"/>
    <w:rsid w:val="0080643C"/>
    <w:rsid w:val="00806BCB"/>
    <w:rsid w:val="0080720A"/>
    <w:rsid w:val="00807445"/>
    <w:rsid w:val="00810F26"/>
    <w:rsid w:val="00811CF3"/>
    <w:rsid w:val="00812104"/>
    <w:rsid w:val="008135E6"/>
    <w:rsid w:val="00813BA0"/>
    <w:rsid w:val="0081432B"/>
    <w:rsid w:val="00814E5F"/>
    <w:rsid w:val="0081537B"/>
    <w:rsid w:val="00815674"/>
    <w:rsid w:val="00815BCF"/>
    <w:rsid w:val="00815D0A"/>
    <w:rsid w:val="00815DEC"/>
    <w:rsid w:val="008162F7"/>
    <w:rsid w:val="00820BFA"/>
    <w:rsid w:val="00820EA7"/>
    <w:rsid w:val="008216E7"/>
    <w:rsid w:val="00822A8A"/>
    <w:rsid w:val="00822CB0"/>
    <w:rsid w:val="00822F82"/>
    <w:rsid w:val="0082342B"/>
    <w:rsid w:val="00823968"/>
    <w:rsid w:val="00823E65"/>
    <w:rsid w:val="008249C0"/>
    <w:rsid w:val="00825BE6"/>
    <w:rsid w:val="00825EA2"/>
    <w:rsid w:val="008272EA"/>
    <w:rsid w:val="008276B4"/>
    <w:rsid w:val="00831688"/>
    <w:rsid w:val="00831927"/>
    <w:rsid w:val="00832056"/>
    <w:rsid w:val="008321EF"/>
    <w:rsid w:val="0083244F"/>
    <w:rsid w:val="00833D67"/>
    <w:rsid w:val="00833FB3"/>
    <w:rsid w:val="008361F8"/>
    <w:rsid w:val="00836F7B"/>
    <w:rsid w:val="00837288"/>
    <w:rsid w:val="0083736A"/>
    <w:rsid w:val="00837BB5"/>
    <w:rsid w:val="0084068A"/>
    <w:rsid w:val="00840EE5"/>
    <w:rsid w:val="0084122E"/>
    <w:rsid w:val="00841BD3"/>
    <w:rsid w:val="0084273D"/>
    <w:rsid w:val="0084277E"/>
    <w:rsid w:val="00842F3A"/>
    <w:rsid w:val="00843F12"/>
    <w:rsid w:val="00844C1C"/>
    <w:rsid w:val="00844E3F"/>
    <w:rsid w:val="00845A83"/>
    <w:rsid w:val="00845FEE"/>
    <w:rsid w:val="0084606F"/>
    <w:rsid w:val="00846BB9"/>
    <w:rsid w:val="00850861"/>
    <w:rsid w:val="00851329"/>
    <w:rsid w:val="00852383"/>
    <w:rsid w:val="00853B58"/>
    <w:rsid w:val="00856D45"/>
    <w:rsid w:val="0085733B"/>
    <w:rsid w:val="008608D6"/>
    <w:rsid w:val="00861564"/>
    <w:rsid w:val="008630A3"/>
    <w:rsid w:val="0086350A"/>
    <w:rsid w:val="008649D5"/>
    <w:rsid w:val="00865885"/>
    <w:rsid w:val="00865AE7"/>
    <w:rsid w:val="0086727E"/>
    <w:rsid w:val="00867D7F"/>
    <w:rsid w:val="008703AF"/>
    <w:rsid w:val="008709BE"/>
    <w:rsid w:val="008712BB"/>
    <w:rsid w:val="0087167C"/>
    <w:rsid w:val="00871764"/>
    <w:rsid w:val="0087188A"/>
    <w:rsid w:val="00871A62"/>
    <w:rsid w:val="00872A71"/>
    <w:rsid w:val="0087346B"/>
    <w:rsid w:val="00874B55"/>
    <w:rsid w:val="00874F3A"/>
    <w:rsid w:val="00875064"/>
    <w:rsid w:val="00875B62"/>
    <w:rsid w:val="0088183B"/>
    <w:rsid w:val="00881C3F"/>
    <w:rsid w:val="00881C6D"/>
    <w:rsid w:val="0088285A"/>
    <w:rsid w:val="00882C84"/>
    <w:rsid w:val="008830E7"/>
    <w:rsid w:val="00883A61"/>
    <w:rsid w:val="00883FD6"/>
    <w:rsid w:val="00887AA8"/>
    <w:rsid w:val="00890EDE"/>
    <w:rsid w:val="008917BA"/>
    <w:rsid w:val="008925B4"/>
    <w:rsid w:val="00892B38"/>
    <w:rsid w:val="00892C23"/>
    <w:rsid w:val="00895484"/>
    <w:rsid w:val="00895BEF"/>
    <w:rsid w:val="008A1106"/>
    <w:rsid w:val="008A11F0"/>
    <w:rsid w:val="008A1741"/>
    <w:rsid w:val="008A2484"/>
    <w:rsid w:val="008A2E77"/>
    <w:rsid w:val="008A2F70"/>
    <w:rsid w:val="008A37DC"/>
    <w:rsid w:val="008A4787"/>
    <w:rsid w:val="008A4ACE"/>
    <w:rsid w:val="008A51D6"/>
    <w:rsid w:val="008A52F3"/>
    <w:rsid w:val="008A5398"/>
    <w:rsid w:val="008A556F"/>
    <w:rsid w:val="008A55A8"/>
    <w:rsid w:val="008A5768"/>
    <w:rsid w:val="008A6746"/>
    <w:rsid w:val="008A691C"/>
    <w:rsid w:val="008A6D70"/>
    <w:rsid w:val="008A757D"/>
    <w:rsid w:val="008B10EC"/>
    <w:rsid w:val="008B1460"/>
    <w:rsid w:val="008B293D"/>
    <w:rsid w:val="008B30D7"/>
    <w:rsid w:val="008B4A39"/>
    <w:rsid w:val="008B5588"/>
    <w:rsid w:val="008B6125"/>
    <w:rsid w:val="008B620B"/>
    <w:rsid w:val="008B6676"/>
    <w:rsid w:val="008B70DF"/>
    <w:rsid w:val="008B74B0"/>
    <w:rsid w:val="008C11E0"/>
    <w:rsid w:val="008C14E0"/>
    <w:rsid w:val="008C1D22"/>
    <w:rsid w:val="008C26D9"/>
    <w:rsid w:val="008C3082"/>
    <w:rsid w:val="008C47B5"/>
    <w:rsid w:val="008C4E3F"/>
    <w:rsid w:val="008C5C8C"/>
    <w:rsid w:val="008C5FD7"/>
    <w:rsid w:val="008C6691"/>
    <w:rsid w:val="008C6D50"/>
    <w:rsid w:val="008C7167"/>
    <w:rsid w:val="008C7503"/>
    <w:rsid w:val="008D0FE2"/>
    <w:rsid w:val="008D1617"/>
    <w:rsid w:val="008D1A56"/>
    <w:rsid w:val="008D1E10"/>
    <w:rsid w:val="008D2BBA"/>
    <w:rsid w:val="008D330F"/>
    <w:rsid w:val="008D34D0"/>
    <w:rsid w:val="008D3FDD"/>
    <w:rsid w:val="008D48C1"/>
    <w:rsid w:val="008D50D5"/>
    <w:rsid w:val="008D6B2A"/>
    <w:rsid w:val="008D7363"/>
    <w:rsid w:val="008D7597"/>
    <w:rsid w:val="008D7F92"/>
    <w:rsid w:val="008E109D"/>
    <w:rsid w:val="008E206D"/>
    <w:rsid w:val="008E2F20"/>
    <w:rsid w:val="008E6149"/>
    <w:rsid w:val="008E6315"/>
    <w:rsid w:val="008E6349"/>
    <w:rsid w:val="008E6399"/>
    <w:rsid w:val="008E6B0D"/>
    <w:rsid w:val="008E6D54"/>
    <w:rsid w:val="008E6E11"/>
    <w:rsid w:val="008E7D98"/>
    <w:rsid w:val="008F0304"/>
    <w:rsid w:val="008F07FC"/>
    <w:rsid w:val="008F11E0"/>
    <w:rsid w:val="008F15D3"/>
    <w:rsid w:val="008F1F96"/>
    <w:rsid w:val="008F20B9"/>
    <w:rsid w:val="008F21FB"/>
    <w:rsid w:val="008F2665"/>
    <w:rsid w:val="008F37CC"/>
    <w:rsid w:val="008F3EA7"/>
    <w:rsid w:val="008F41BA"/>
    <w:rsid w:val="008F4C64"/>
    <w:rsid w:val="008F5A4D"/>
    <w:rsid w:val="008F5DA0"/>
    <w:rsid w:val="008F63F3"/>
    <w:rsid w:val="008F7108"/>
    <w:rsid w:val="008F78BC"/>
    <w:rsid w:val="008F79C4"/>
    <w:rsid w:val="008F7B63"/>
    <w:rsid w:val="008F7D6A"/>
    <w:rsid w:val="00900036"/>
    <w:rsid w:val="00900222"/>
    <w:rsid w:val="00901C86"/>
    <w:rsid w:val="00902852"/>
    <w:rsid w:val="00902A10"/>
    <w:rsid w:val="00902BF0"/>
    <w:rsid w:val="00903603"/>
    <w:rsid w:val="009047FB"/>
    <w:rsid w:val="00904EA8"/>
    <w:rsid w:val="009050EC"/>
    <w:rsid w:val="009054CB"/>
    <w:rsid w:val="009056DF"/>
    <w:rsid w:val="00905C9A"/>
    <w:rsid w:val="00906974"/>
    <w:rsid w:val="00906A55"/>
    <w:rsid w:val="009071C5"/>
    <w:rsid w:val="0090735B"/>
    <w:rsid w:val="00907AFA"/>
    <w:rsid w:val="00910D8A"/>
    <w:rsid w:val="00911EF3"/>
    <w:rsid w:val="00911F8D"/>
    <w:rsid w:val="0091212E"/>
    <w:rsid w:val="00912F94"/>
    <w:rsid w:val="00913933"/>
    <w:rsid w:val="00915010"/>
    <w:rsid w:val="0091524B"/>
    <w:rsid w:val="0091541D"/>
    <w:rsid w:val="00915BC7"/>
    <w:rsid w:val="009171BC"/>
    <w:rsid w:val="0091740C"/>
    <w:rsid w:val="00920A0C"/>
    <w:rsid w:val="00921027"/>
    <w:rsid w:val="00921309"/>
    <w:rsid w:val="0092157C"/>
    <w:rsid w:val="009229BB"/>
    <w:rsid w:val="00923D98"/>
    <w:rsid w:val="00923E68"/>
    <w:rsid w:val="009244C2"/>
    <w:rsid w:val="0092497E"/>
    <w:rsid w:val="00924CD0"/>
    <w:rsid w:val="00925540"/>
    <w:rsid w:val="0092590B"/>
    <w:rsid w:val="00925BD1"/>
    <w:rsid w:val="00925BF3"/>
    <w:rsid w:val="00925E60"/>
    <w:rsid w:val="009264B3"/>
    <w:rsid w:val="009264D6"/>
    <w:rsid w:val="00927099"/>
    <w:rsid w:val="00930EE3"/>
    <w:rsid w:val="009312F9"/>
    <w:rsid w:val="00931434"/>
    <w:rsid w:val="009315BB"/>
    <w:rsid w:val="009318CE"/>
    <w:rsid w:val="00931C3D"/>
    <w:rsid w:val="00933581"/>
    <w:rsid w:val="009347F0"/>
    <w:rsid w:val="00934E07"/>
    <w:rsid w:val="0093565E"/>
    <w:rsid w:val="00935B51"/>
    <w:rsid w:val="00935F9F"/>
    <w:rsid w:val="009360A6"/>
    <w:rsid w:val="00936559"/>
    <w:rsid w:val="009365E0"/>
    <w:rsid w:val="0094079E"/>
    <w:rsid w:val="0094125A"/>
    <w:rsid w:val="00941401"/>
    <w:rsid w:val="00941D7E"/>
    <w:rsid w:val="009424D0"/>
    <w:rsid w:val="00942BA2"/>
    <w:rsid w:val="0094314E"/>
    <w:rsid w:val="009432B7"/>
    <w:rsid w:val="009443DD"/>
    <w:rsid w:val="00944C86"/>
    <w:rsid w:val="00945646"/>
    <w:rsid w:val="00945D37"/>
    <w:rsid w:val="00947C02"/>
    <w:rsid w:val="00950295"/>
    <w:rsid w:val="0095065B"/>
    <w:rsid w:val="009508B6"/>
    <w:rsid w:val="00950BE6"/>
    <w:rsid w:val="00951D18"/>
    <w:rsid w:val="00953416"/>
    <w:rsid w:val="00953457"/>
    <w:rsid w:val="00953D97"/>
    <w:rsid w:val="00954197"/>
    <w:rsid w:val="00957DE8"/>
    <w:rsid w:val="009603EC"/>
    <w:rsid w:val="00960A12"/>
    <w:rsid w:val="00960B08"/>
    <w:rsid w:val="00960D15"/>
    <w:rsid w:val="00960ECB"/>
    <w:rsid w:val="009615D6"/>
    <w:rsid w:val="0096170A"/>
    <w:rsid w:val="009624A0"/>
    <w:rsid w:val="00963D55"/>
    <w:rsid w:val="009644B2"/>
    <w:rsid w:val="00964BD8"/>
    <w:rsid w:val="00964BE3"/>
    <w:rsid w:val="00964D3A"/>
    <w:rsid w:val="00965535"/>
    <w:rsid w:val="009667FE"/>
    <w:rsid w:val="00966ED3"/>
    <w:rsid w:val="00967855"/>
    <w:rsid w:val="00967F1B"/>
    <w:rsid w:val="009702E4"/>
    <w:rsid w:val="00970D5C"/>
    <w:rsid w:val="00971132"/>
    <w:rsid w:val="00971F50"/>
    <w:rsid w:val="009743DC"/>
    <w:rsid w:val="00974709"/>
    <w:rsid w:val="00974AE2"/>
    <w:rsid w:val="0097566E"/>
    <w:rsid w:val="009757A2"/>
    <w:rsid w:val="0097594A"/>
    <w:rsid w:val="00975EBB"/>
    <w:rsid w:val="0098048D"/>
    <w:rsid w:val="00980736"/>
    <w:rsid w:val="00980B98"/>
    <w:rsid w:val="00981A39"/>
    <w:rsid w:val="00981BAD"/>
    <w:rsid w:val="00981F0E"/>
    <w:rsid w:val="00982B47"/>
    <w:rsid w:val="00982D56"/>
    <w:rsid w:val="00983DBF"/>
    <w:rsid w:val="009841B3"/>
    <w:rsid w:val="00984BC8"/>
    <w:rsid w:val="00985073"/>
    <w:rsid w:val="00985EB8"/>
    <w:rsid w:val="00986938"/>
    <w:rsid w:val="00987097"/>
    <w:rsid w:val="009908A3"/>
    <w:rsid w:val="00991123"/>
    <w:rsid w:val="009912A0"/>
    <w:rsid w:val="009915AC"/>
    <w:rsid w:val="00991818"/>
    <w:rsid w:val="00991CAB"/>
    <w:rsid w:val="00992D29"/>
    <w:rsid w:val="00992DD2"/>
    <w:rsid w:val="00995146"/>
    <w:rsid w:val="0099538C"/>
    <w:rsid w:val="00995EF2"/>
    <w:rsid w:val="00996431"/>
    <w:rsid w:val="00996447"/>
    <w:rsid w:val="00996BA8"/>
    <w:rsid w:val="009A038C"/>
    <w:rsid w:val="009A2339"/>
    <w:rsid w:val="009A292A"/>
    <w:rsid w:val="009A3A9C"/>
    <w:rsid w:val="009A3DC0"/>
    <w:rsid w:val="009A6DEF"/>
    <w:rsid w:val="009A6F03"/>
    <w:rsid w:val="009A7BB6"/>
    <w:rsid w:val="009B046C"/>
    <w:rsid w:val="009B13FA"/>
    <w:rsid w:val="009B14FC"/>
    <w:rsid w:val="009B1A24"/>
    <w:rsid w:val="009B1E2D"/>
    <w:rsid w:val="009B29BF"/>
    <w:rsid w:val="009B2B49"/>
    <w:rsid w:val="009B3457"/>
    <w:rsid w:val="009B3978"/>
    <w:rsid w:val="009B44F3"/>
    <w:rsid w:val="009B5C1A"/>
    <w:rsid w:val="009B636A"/>
    <w:rsid w:val="009B6860"/>
    <w:rsid w:val="009B6960"/>
    <w:rsid w:val="009B6E21"/>
    <w:rsid w:val="009B6F1A"/>
    <w:rsid w:val="009B7C81"/>
    <w:rsid w:val="009C0BCD"/>
    <w:rsid w:val="009C1236"/>
    <w:rsid w:val="009C23A2"/>
    <w:rsid w:val="009C28BD"/>
    <w:rsid w:val="009C29BE"/>
    <w:rsid w:val="009C59FB"/>
    <w:rsid w:val="009C5E18"/>
    <w:rsid w:val="009C6F3B"/>
    <w:rsid w:val="009D07DD"/>
    <w:rsid w:val="009D08E6"/>
    <w:rsid w:val="009D1439"/>
    <w:rsid w:val="009D1467"/>
    <w:rsid w:val="009D328D"/>
    <w:rsid w:val="009D37F5"/>
    <w:rsid w:val="009D37FA"/>
    <w:rsid w:val="009D447A"/>
    <w:rsid w:val="009D5516"/>
    <w:rsid w:val="009D63CB"/>
    <w:rsid w:val="009D6CB8"/>
    <w:rsid w:val="009E0744"/>
    <w:rsid w:val="009E0F23"/>
    <w:rsid w:val="009E14CC"/>
    <w:rsid w:val="009E1CA4"/>
    <w:rsid w:val="009E2172"/>
    <w:rsid w:val="009E24CA"/>
    <w:rsid w:val="009E2DFA"/>
    <w:rsid w:val="009E412B"/>
    <w:rsid w:val="009E4FA6"/>
    <w:rsid w:val="009E53DD"/>
    <w:rsid w:val="009E5BC2"/>
    <w:rsid w:val="009E64C5"/>
    <w:rsid w:val="009E7D93"/>
    <w:rsid w:val="009F0407"/>
    <w:rsid w:val="009F05A0"/>
    <w:rsid w:val="009F086C"/>
    <w:rsid w:val="009F0F64"/>
    <w:rsid w:val="009F1B7F"/>
    <w:rsid w:val="009F257B"/>
    <w:rsid w:val="009F35FE"/>
    <w:rsid w:val="009F3C34"/>
    <w:rsid w:val="009F462C"/>
    <w:rsid w:val="009F52DA"/>
    <w:rsid w:val="009F5A77"/>
    <w:rsid w:val="009F5C33"/>
    <w:rsid w:val="009F6A82"/>
    <w:rsid w:val="009F6DC3"/>
    <w:rsid w:val="00A0012E"/>
    <w:rsid w:val="00A004C8"/>
    <w:rsid w:val="00A005E0"/>
    <w:rsid w:val="00A008B5"/>
    <w:rsid w:val="00A00DD4"/>
    <w:rsid w:val="00A00E54"/>
    <w:rsid w:val="00A026F0"/>
    <w:rsid w:val="00A02E3B"/>
    <w:rsid w:val="00A03EAC"/>
    <w:rsid w:val="00A0400A"/>
    <w:rsid w:val="00A04DBB"/>
    <w:rsid w:val="00A04F2C"/>
    <w:rsid w:val="00A07EA0"/>
    <w:rsid w:val="00A1095E"/>
    <w:rsid w:val="00A1108E"/>
    <w:rsid w:val="00A11CA6"/>
    <w:rsid w:val="00A14460"/>
    <w:rsid w:val="00A14C12"/>
    <w:rsid w:val="00A15714"/>
    <w:rsid w:val="00A16729"/>
    <w:rsid w:val="00A17520"/>
    <w:rsid w:val="00A20C49"/>
    <w:rsid w:val="00A22932"/>
    <w:rsid w:val="00A23192"/>
    <w:rsid w:val="00A23359"/>
    <w:rsid w:val="00A23378"/>
    <w:rsid w:val="00A243F6"/>
    <w:rsid w:val="00A245C5"/>
    <w:rsid w:val="00A24704"/>
    <w:rsid w:val="00A2560C"/>
    <w:rsid w:val="00A269CA"/>
    <w:rsid w:val="00A27694"/>
    <w:rsid w:val="00A27863"/>
    <w:rsid w:val="00A31C07"/>
    <w:rsid w:val="00A3203A"/>
    <w:rsid w:val="00A321DD"/>
    <w:rsid w:val="00A3312B"/>
    <w:rsid w:val="00A336EE"/>
    <w:rsid w:val="00A3385C"/>
    <w:rsid w:val="00A33F46"/>
    <w:rsid w:val="00A3427E"/>
    <w:rsid w:val="00A34374"/>
    <w:rsid w:val="00A34EEC"/>
    <w:rsid w:val="00A35143"/>
    <w:rsid w:val="00A35148"/>
    <w:rsid w:val="00A35250"/>
    <w:rsid w:val="00A359AC"/>
    <w:rsid w:val="00A3603A"/>
    <w:rsid w:val="00A3635E"/>
    <w:rsid w:val="00A36A74"/>
    <w:rsid w:val="00A373B6"/>
    <w:rsid w:val="00A4009E"/>
    <w:rsid w:val="00A40F83"/>
    <w:rsid w:val="00A410FB"/>
    <w:rsid w:val="00A4116C"/>
    <w:rsid w:val="00A412A6"/>
    <w:rsid w:val="00A41413"/>
    <w:rsid w:val="00A4295D"/>
    <w:rsid w:val="00A42C7A"/>
    <w:rsid w:val="00A431E6"/>
    <w:rsid w:val="00A436E8"/>
    <w:rsid w:val="00A43A5E"/>
    <w:rsid w:val="00A45846"/>
    <w:rsid w:val="00A45FB1"/>
    <w:rsid w:val="00A46103"/>
    <w:rsid w:val="00A465B1"/>
    <w:rsid w:val="00A46CCC"/>
    <w:rsid w:val="00A47996"/>
    <w:rsid w:val="00A50003"/>
    <w:rsid w:val="00A505CC"/>
    <w:rsid w:val="00A515B3"/>
    <w:rsid w:val="00A51CFE"/>
    <w:rsid w:val="00A5204D"/>
    <w:rsid w:val="00A5262F"/>
    <w:rsid w:val="00A5593F"/>
    <w:rsid w:val="00A55EE3"/>
    <w:rsid w:val="00A56252"/>
    <w:rsid w:val="00A56E18"/>
    <w:rsid w:val="00A573FD"/>
    <w:rsid w:val="00A57505"/>
    <w:rsid w:val="00A57B95"/>
    <w:rsid w:val="00A60AA7"/>
    <w:rsid w:val="00A60CC7"/>
    <w:rsid w:val="00A610FD"/>
    <w:rsid w:val="00A61605"/>
    <w:rsid w:val="00A6179C"/>
    <w:rsid w:val="00A62549"/>
    <w:rsid w:val="00A635C4"/>
    <w:rsid w:val="00A63E23"/>
    <w:rsid w:val="00A63F36"/>
    <w:rsid w:val="00A64C20"/>
    <w:rsid w:val="00A65F97"/>
    <w:rsid w:val="00A67EC6"/>
    <w:rsid w:val="00A713B2"/>
    <w:rsid w:val="00A71931"/>
    <w:rsid w:val="00A719B7"/>
    <w:rsid w:val="00A71FB9"/>
    <w:rsid w:val="00A72663"/>
    <w:rsid w:val="00A746DF"/>
    <w:rsid w:val="00A74AED"/>
    <w:rsid w:val="00A76706"/>
    <w:rsid w:val="00A76C13"/>
    <w:rsid w:val="00A80D78"/>
    <w:rsid w:val="00A82317"/>
    <w:rsid w:val="00A83B97"/>
    <w:rsid w:val="00A846C8"/>
    <w:rsid w:val="00A84FD0"/>
    <w:rsid w:val="00A850E3"/>
    <w:rsid w:val="00A8535B"/>
    <w:rsid w:val="00A857CF"/>
    <w:rsid w:val="00A86AC8"/>
    <w:rsid w:val="00A86B0A"/>
    <w:rsid w:val="00A86EE4"/>
    <w:rsid w:val="00A87B9E"/>
    <w:rsid w:val="00A9012B"/>
    <w:rsid w:val="00A90E33"/>
    <w:rsid w:val="00A9193D"/>
    <w:rsid w:val="00A92E79"/>
    <w:rsid w:val="00A93814"/>
    <w:rsid w:val="00A94836"/>
    <w:rsid w:val="00A94B45"/>
    <w:rsid w:val="00A94BC5"/>
    <w:rsid w:val="00A94D18"/>
    <w:rsid w:val="00A950B6"/>
    <w:rsid w:val="00A9538D"/>
    <w:rsid w:val="00A95CC9"/>
    <w:rsid w:val="00A95D45"/>
    <w:rsid w:val="00A96EFB"/>
    <w:rsid w:val="00A97443"/>
    <w:rsid w:val="00A97F05"/>
    <w:rsid w:val="00AA0687"/>
    <w:rsid w:val="00AA3C16"/>
    <w:rsid w:val="00AA4072"/>
    <w:rsid w:val="00AA4820"/>
    <w:rsid w:val="00AA4D94"/>
    <w:rsid w:val="00AA5DE2"/>
    <w:rsid w:val="00AA6C44"/>
    <w:rsid w:val="00AA6F8A"/>
    <w:rsid w:val="00AA7018"/>
    <w:rsid w:val="00AA77FF"/>
    <w:rsid w:val="00AB0AAC"/>
    <w:rsid w:val="00AB18FF"/>
    <w:rsid w:val="00AB2ABA"/>
    <w:rsid w:val="00AB41C1"/>
    <w:rsid w:val="00AB4CF2"/>
    <w:rsid w:val="00AB4D54"/>
    <w:rsid w:val="00AB5E80"/>
    <w:rsid w:val="00AB6CCA"/>
    <w:rsid w:val="00AB7837"/>
    <w:rsid w:val="00AC05F4"/>
    <w:rsid w:val="00AC0648"/>
    <w:rsid w:val="00AC1689"/>
    <w:rsid w:val="00AC1761"/>
    <w:rsid w:val="00AC223F"/>
    <w:rsid w:val="00AC2555"/>
    <w:rsid w:val="00AC28FE"/>
    <w:rsid w:val="00AC33B1"/>
    <w:rsid w:val="00AC4021"/>
    <w:rsid w:val="00AC49F5"/>
    <w:rsid w:val="00AC571B"/>
    <w:rsid w:val="00AC57C7"/>
    <w:rsid w:val="00AC5804"/>
    <w:rsid w:val="00AC5D0D"/>
    <w:rsid w:val="00AC623D"/>
    <w:rsid w:val="00AC7074"/>
    <w:rsid w:val="00AC746D"/>
    <w:rsid w:val="00AD05B2"/>
    <w:rsid w:val="00AD0A2A"/>
    <w:rsid w:val="00AD12A8"/>
    <w:rsid w:val="00AD1A89"/>
    <w:rsid w:val="00AD231F"/>
    <w:rsid w:val="00AD388D"/>
    <w:rsid w:val="00AD438F"/>
    <w:rsid w:val="00AD5C28"/>
    <w:rsid w:val="00AD5D07"/>
    <w:rsid w:val="00AD5F4D"/>
    <w:rsid w:val="00AD6326"/>
    <w:rsid w:val="00AD6F10"/>
    <w:rsid w:val="00AD74EC"/>
    <w:rsid w:val="00AD7848"/>
    <w:rsid w:val="00AD7FA0"/>
    <w:rsid w:val="00AE0175"/>
    <w:rsid w:val="00AE023F"/>
    <w:rsid w:val="00AE041B"/>
    <w:rsid w:val="00AE11DA"/>
    <w:rsid w:val="00AE2404"/>
    <w:rsid w:val="00AE36F2"/>
    <w:rsid w:val="00AE498A"/>
    <w:rsid w:val="00AE516B"/>
    <w:rsid w:val="00AE55BE"/>
    <w:rsid w:val="00AE5703"/>
    <w:rsid w:val="00AE68E1"/>
    <w:rsid w:val="00AE6ABF"/>
    <w:rsid w:val="00AE73B5"/>
    <w:rsid w:val="00AE7E12"/>
    <w:rsid w:val="00AF0B0A"/>
    <w:rsid w:val="00AF1354"/>
    <w:rsid w:val="00AF1B0F"/>
    <w:rsid w:val="00AF2706"/>
    <w:rsid w:val="00AF3577"/>
    <w:rsid w:val="00AF35F9"/>
    <w:rsid w:val="00AF4D93"/>
    <w:rsid w:val="00AF4E92"/>
    <w:rsid w:val="00AF5CA2"/>
    <w:rsid w:val="00AF60A3"/>
    <w:rsid w:val="00AF60CB"/>
    <w:rsid w:val="00AF6732"/>
    <w:rsid w:val="00AF69AD"/>
    <w:rsid w:val="00AF7AB9"/>
    <w:rsid w:val="00AF7AFE"/>
    <w:rsid w:val="00B013A3"/>
    <w:rsid w:val="00B02063"/>
    <w:rsid w:val="00B027C2"/>
    <w:rsid w:val="00B02BDE"/>
    <w:rsid w:val="00B030AF"/>
    <w:rsid w:val="00B03A13"/>
    <w:rsid w:val="00B0424C"/>
    <w:rsid w:val="00B057C2"/>
    <w:rsid w:val="00B05C62"/>
    <w:rsid w:val="00B05C7D"/>
    <w:rsid w:val="00B05F09"/>
    <w:rsid w:val="00B0647F"/>
    <w:rsid w:val="00B06790"/>
    <w:rsid w:val="00B0755A"/>
    <w:rsid w:val="00B07C27"/>
    <w:rsid w:val="00B07CA5"/>
    <w:rsid w:val="00B110EA"/>
    <w:rsid w:val="00B12B73"/>
    <w:rsid w:val="00B12C8A"/>
    <w:rsid w:val="00B12EE8"/>
    <w:rsid w:val="00B15266"/>
    <w:rsid w:val="00B15A58"/>
    <w:rsid w:val="00B15A7B"/>
    <w:rsid w:val="00B15D57"/>
    <w:rsid w:val="00B16347"/>
    <w:rsid w:val="00B16C7E"/>
    <w:rsid w:val="00B17D6E"/>
    <w:rsid w:val="00B20061"/>
    <w:rsid w:val="00B220C0"/>
    <w:rsid w:val="00B23304"/>
    <w:rsid w:val="00B2346B"/>
    <w:rsid w:val="00B23775"/>
    <w:rsid w:val="00B23B9A"/>
    <w:rsid w:val="00B23B9D"/>
    <w:rsid w:val="00B2435E"/>
    <w:rsid w:val="00B252E6"/>
    <w:rsid w:val="00B25973"/>
    <w:rsid w:val="00B260F1"/>
    <w:rsid w:val="00B26BCB"/>
    <w:rsid w:val="00B26F1A"/>
    <w:rsid w:val="00B2734B"/>
    <w:rsid w:val="00B2762B"/>
    <w:rsid w:val="00B27AA8"/>
    <w:rsid w:val="00B302D2"/>
    <w:rsid w:val="00B30AFE"/>
    <w:rsid w:val="00B30CD6"/>
    <w:rsid w:val="00B31767"/>
    <w:rsid w:val="00B31C35"/>
    <w:rsid w:val="00B325FB"/>
    <w:rsid w:val="00B32A1F"/>
    <w:rsid w:val="00B33C7D"/>
    <w:rsid w:val="00B34166"/>
    <w:rsid w:val="00B346C3"/>
    <w:rsid w:val="00B364F4"/>
    <w:rsid w:val="00B37F50"/>
    <w:rsid w:val="00B4005C"/>
    <w:rsid w:val="00B40202"/>
    <w:rsid w:val="00B40A9F"/>
    <w:rsid w:val="00B414C2"/>
    <w:rsid w:val="00B41AEA"/>
    <w:rsid w:val="00B41E3E"/>
    <w:rsid w:val="00B4227E"/>
    <w:rsid w:val="00B43477"/>
    <w:rsid w:val="00B43673"/>
    <w:rsid w:val="00B43C11"/>
    <w:rsid w:val="00B4471C"/>
    <w:rsid w:val="00B451A6"/>
    <w:rsid w:val="00B4595F"/>
    <w:rsid w:val="00B46090"/>
    <w:rsid w:val="00B46365"/>
    <w:rsid w:val="00B4636D"/>
    <w:rsid w:val="00B47FC3"/>
    <w:rsid w:val="00B5025C"/>
    <w:rsid w:val="00B50E3E"/>
    <w:rsid w:val="00B51455"/>
    <w:rsid w:val="00B51501"/>
    <w:rsid w:val="00B51589"/>
    <w:rsid w:val="00B523E2"/>
    <w:rsid w:val="00B529FF"/>
    <w:rsid w:val="00B52F9D"/>
    <w:rsid w:val="00B53EE7"/>
    <w:rsid w:val="00B54087"/>
    <w:rsid w:val="00B543CB"/>
    <w:rsid w:val="00B5530D"/>
    <w:rsid w:val="00B564A4"/>
    <w:rsid w:val="00B56D6E"/>
    <w:rsid w:val="00B57523"/>
    <w:rsid w:val="00B577DD"/>
    <w:rsid w:val="00B604BC"/>
    <w:rsid w:val="00B60C23"/>
    <w:rsid w:val="00B615D3"/>
    <w:rsid w:val="00B621ED"/>
    <w:rsid w:val="00B634A4"/>
    <w:rsid w:val="00B64058"/>
    <w:rsid w:val="00B64347"/>
    <w:rsid w:val="00B648B5"/>
    <w:rsid w:val="00B6592D"/>
    <w:rsid w:val="00B65DC6"/>
    <w:rsid w:val="00B667E9"/>
    <w:rsid w:val="00B6715C"/>
    <w:rsid w:val="00B674FA"/>
    <w:rsid w:val="00B67AC2"/>
    <w:rsid w:val="00B70C06"/>
    <w:rsid w:val="00B7104A"/>
    <w:rsid w:val="00B71E0D"/>
    <w:rsid w:val="00B722DE"/>
    <w:rsid w:val="00B72728"/>
    <w:rsid w:val="00B73797"/>
    <w:rsid w:val="00B73F32"/>
    <w:rsid w:val="00B751E3"/>
    <w:rsid w:val="00B75597"/>
    <w:rsid w:val="00B75BA6"/>
    <w:rsid w:val="00B76C44"/>
    <w:rsid w:val="00B770C4"/>
    <w:rsid w:val="00B80377"/>
    <w:rsid w:val="00B80784"/>
    <w:rsid w:val="00B8184A"/>
    <w:rsid w:val="00B819A3"/>
    <w:rsid w:val="00B82283"/>
    <w:rsid w:val="00B828D8"/>
    <w:rsid w:val="00B82A50"/>
    <w:rsid w:val="00B831FC"/>
    <w:rsid w:val="00B8340C"/>
    <w:rsid w:val="00B8354F"/>
    <w:rsid w:val="00B83F87"/>
    <w:rsid w:val="00B84F8A"/>
    <w:rsid w:val="00B8597D"/>
    <w:rsid w:val="00B859C3"/>
    <w:rsid w:val="00B85C2B"/>
    <w:rsid w:val="00B87CDC"/>
    <w:rsid w:val="00B90FEB"/>
    <w:rsid w:val="00B910C1"/>
    <w:rsid w:val="00B94ABD"/>
    <w:rsid w:val="00B94D47"/>
    <w:rsid w:val="00B94DDA"/>
    <w:rsid w:val="00B95219"/>
    <w:rsid w:val="00B965D4"/>
    <w:rsid w:val="00BA0808"/>
    <w:rsid w:val="00BA1CBC"/>
    <w:rsid w:val="00BA2CA4"/>
    <w:rsid w:val="00BA2D92"/>
    <w:rsid w:val="00BA2EFA"/>
    <w:rsid w:val="00BA31EB"/>
    <w:rsid w:val="00BA3465"/>
    <w:rsid w:val="00BA3605"/>
    <w:rsid w:val="00BA3DBC"/>
    <w:rsid w:val="00BA43E7"/>
    <w:rsid w:val="00BA5DF6"/>
    <w:rsid w:val="00BA707A"/>
    <w:rsid w:val="00BA7CD6"/>
    <w:rsid w:val="00BB11EF"/>
    <w:rsid w:val="00BB13E7"/>
    <w:rsid w:val="00BB1AFB"/>
    <w:rsid w:val="00BB27AE"/>
    <w:rsid w:val="00BB2D2A"/>
    <w:rsid w:val="00BB2DA2"/>
    <w:rsid w:val="00BB343F"/>
    <w:rsid w:val="00BB3DC1"/>
    <w:rsid w:val="00BB41DB"/>
    <w:rsid w:val="00BB4535"/>
    <w:rsid w:val="00BB45BD"/>
    <w:rsid w:val="00BB5218"/>
    <w:rsid w:val="00BB524B"/>
    <w:rsid w:val="00BB53FB"/>
    <w:rsid w:val="00BB56DC"/>
    <w:rsid w:val="00BB5AEF"/>
    <w:rsid w:val="00BB5B8A"/>
    <w:rsid w:val="00BB5DCF"/>
    <w:rsid w:val="00BB67BC"/>
    <w:rsid w:val="00BB70BC"/>
    <w:rsid w:val="00BB7739"/>
    <w:rsid w:val="00BB77F9"/>
    <w:rsid w:val="00BB792B"/>
    <w:rsid w:val="00BC0455"/>
    <w:rsid w:val="00BC055E"/>
    <w:rsid w:val="00BC1C36"/>
    <w:rsid w:val="00BC2E62"/>
    <w:rsid w:val="00BC4535"/>
    <w:rsid w:val="00BC55C3"/>
    <w:rsid w:val="00BC55EE"/>
    <w:rsid w:val="00BC5870"/>
    <w:rsid w:val="00BC655C"/>
    <w:rsid w:val="00BC6E55"/>
    <w:rsid w:val="00BC70D0"/>
    <w:rsid w:val="00BC7CCC"/>
    <w:rsid w:val="00BD0216"/>
    <w:rsid w:val="00BD08E4"/>
    <w:rsid w:val="00BD1E71"/>
    <w:rsid w:val="00BD3274"/>
    <w:rsid w:val="00BD43A9"/>
    <w:rsid w:val="00BD58F3"/>
    <w:rsid w:val="00BD5FA9"/>
    <w:rsid w:val="00BD7229"/>
    <w:rsid w:val="00BD7A4B"/>
    <w:rsid w:val="00BE095F"/>
    <w:rsid w:val="00BE1337"/>
    <w:rsid w:val="00BE13FD"/>
    <w:rsid w:val="00BE183D"/>
    <w:rsid w:val="00BE2451"/>
    <w:rsid w:val="00BE3025"/>
    <w:rsid w:val="00BE3AF5"/>
    <w:rsid w:val="00BE5124"/>
    <w:rsid w:val="00BE6C42"/>
    <w:rsid w:val="00BE6E23"/>
    <w:rsid w:val="00BE6E2F"/>
    <w:rsid w:val="00BF0E01"/>
    <w:rsid w:val="00BF1A18"/>
    <w:rsid w:val="00BF1C2A"/>
    <w:rsid w:val="00BF1E00"/>
    <w:rsid w:val="00BF27BD"/>
    <w:rsid w:val="00BF31BB"/>
    <w:rsid w:val="00BF357F"/>
    <w:rsid w:val="00BF38CC"/>
    <w:rsid w:val="00BF3A6E"/>
    <w:rsid w:val="00BF46B5"/>
    <w:rsid w:val="00BF5171"/>
    <w:rsid w:val="00BF53E6"/>
    <w:rsid w:val="00BF5600"/>
    <w:rsid w:val="00BF5AB2"/>
    <w:rsid w:val="00BF5D7A"/>
    <w:rsid w:val="00BF6130"/>
    <w:rsid w:val="00BF7D40"/>
    <w:rsid w:val="00C01C2E"/>
    <w:rsid w:val="00C022E4"/>
    <w:rsid w:val="00C02CEB"/>
    <w:rsid w:val="00C02D33"/>
    <w:rsid w:val="00C03496"/>
    <w:rsid w:val="00C03585"/>
    <w:rsid w:val="00C03B68"/>
    <w:rsid w:val="00C04B53"/>
    <w:rsid w:val="00C04ED9"/>
    <w:rsid w:val="00C04F1F"/>
    <w:rsid w:val="00C05C65"/>
    <w:rsid w:val="00C077C9"/>
    <w:rsid w:val="00C10553"/>
    <w:rsid w:val="00C114DF"/>
    <w:rsid w:val="00C1232C"/>
    <w:rsid w:val="00C1298D"/>
    <w:rsid w:val="00C1537C"/>
    <w:rsid w:val="00C1557F"/>
    <w:rsid w:val="00C1613A"/>
    <w:rsid w:val="00C21075"/>
    <w:rsid w:val="00C21267"/>
    <w:rsid w:val="00C21CB8"/>
    <w:rsid w:val="00C2257B"/>
    <w:rsid w:val="00C22A0F"/>
    <w:rsid w:val="00C231C4"/>
    <w:rsid w:val="00C2477B"/>
    <w:rsid w:val="00C262B6"/>
    <w:rsid w:val="00C268EE"/>
    <w:rsid w:val="00C271EB"/>
    <w:rsid w:val="00C27736"/>
    <w:rsid w:val="00C278D3"/>
    <w:rsid w:val="00C27C6B"/>
    <w:rsid w:val="00C307A3"/>
    <w:rsid w:val="00C30976"/>
    <w:rsid w:val="00C30B7F"/>
    <w:rsid w:val="00C30E98"/>
    <w:rsid w:val="00C327AE"/>
    <w:rsid w:val="00C328DD"/>
    <w:rsid w:val="00C3358A"/>
    <w:rsid w:val="00C341D4"/>
    <w:rsid w:val="00C344CB"/>
    <w:rsid w:val="00C3476C"/>
    <w:rsid w:val="00C349EF"/>
    <w:rsid w:val="00C3594D"/>
    <w:rsid w:val="00C35F72"/>
    <w:rsid w:val="00C36442"/>
    <w:rsid w:val="00C37188"/>
    <w:rsid w:val="00C37514"/>
    <w:rsid w:val="00C37646"/>
    <w:rsid w:val="00C377A0"/>
    <w:rsid w:val="00C400A9"/>
    <w:rsid w:val="00C400CE"/>
    <w:rsid w:val="00C410FD"/>
    <w:rsid w:val="00C4272E"/>
    <w:rsid w:val="00C4330E"/>
    <w:rsid w:val="00C43D49"/>
    <w:rsid w:val="00C44282"/>
    <w:rsid w:val="00C44540"/>
    <w:rsid w:val="00C44A0B"/>
    <w:rsid w:val="00C457DE"/>
    <w:rsid w:val="00C47194"/>
    <w:rsid w:val="00C4746E"/>
    <w:rsid w:val="00C47CC8"/>
    <w:rsid w:val="00C47DD3"/>
    <w:rsid w:val="00C50A46"/>
    <w:rsid w:val="00C51211"/>
    <w:rsid w:val="00C53118"/>
    <w:rsid w:val="00C53562"/>
    <w:rsid w:val="00C539FB"/>
    <w:rsid w:val="00C54966"/>
    <w:rsid w:val="00C549DA"/>
    <w:rsid w:val="00C55030"/>
    <w:rsid w:val="00C55C70"/>
    <w:rsid w:val="00C57E26"/>
    <w:rsid w:val="00C61DEE"/>
    <w:rsid w:val="00C61F2B"/>
    <w:rsid w:val="00C62BAF"/>
    <w:rsid w:val="00C62C62"/>
    <w:rsid w:val="00C64AFF"/>
    <w:rsid w:val="00C64C40"/>
    <w:rsid w:val="00C65CA7"/>
    <w:rsid w:val="00C6697A"/>
    <w:rsid w:val="00C66E57"/>
    <w:rsid w:val="00C70B3C"/>
    <w:rsid w:val="00C71C4F"/>
    <w:rsid w:val="00C74150"/>
    <w:rsid w:val="00C751B6"/>
    <w:rsid w:val="00C75594"/>
    <w:rsid w:val="00C7662D"/>
    <w:rsid w:val="00C76DAF"/>
    <w:rsid w:val="00C773AA"/>
    <w:rsid w:val="00C77B89"/>
    <w:rsid w:val="00C77DC8"/>
    <w:rsid w:val="00C77E9C"/>
    <w:rsid w:val="00C802E9"/>
    <w:rsid w:val="00C80C28"/>
    <w:rsid w:val="00C80D58"/>
    <w:rsid w:val="00C82695"/>
    <w:rsid w:val="00C83476"/>
    <w:rsid w:val="00C83CC2"/>
    <w:rsid w:val="00C844C9"/>
    <w:rsid w:val="00C85982"/>
    <w:rsid w:val="00C8618D"/>
    <w:rsid w:val="00C87713"/>
    <w:rsid w:val="00C87AB7"/>
    <w:rsid w:val="00C9032B"/>
    <w:rsid w:val="00C90BFE"/>
    <w:rsid w:val="00C90DC8"/>
    <w:rsid w:val="00C90F3E"/>
    <w:rsid w:val="00C92415"/>
    <w:rsid w:val="00C9304B"/>
    <w:rsid w:val="00C93F1D"/>
    <w:rsid w:val="00C959D8"/>
    <w:rsid w:val="00C9662D"/>
    <w:rsid w:val="00C97D6C"/>
    <w:rsid w:val="00CA0466"/>
    <w:rsid w:val="00CA04FC"/>
    <w:rsid w:val="00CA095B"/>
    <w:rsid w:val="00CA117F"/>
    <w:rsid w:val="00CA19E6"/>
    <w:rsid w:val="00CA1AFE"/>
    <w:rsid w:val="00CA246D"/>
    <w:rsid w:val="00CA362B"/>
    <w:rsid w:val="00CA3A35"/>
    <w:rsid w:val="00CA464C"/>
    <w:rsid w:val="00CA5054"/>
    <w:rsid w:val="00CA50D9"/>
    <w:rsid w:val="00CA6B82"/>
    <w:rsid w:val="00CB00EE"/>
    <w:rsid w:val="00CB02AA"/>
    <w:rsid w:val="00CB07A2"/>
    <w:rsid w:val="00CB0E75"/>
    <w:rsid w:val="00CB1363"/>
    <w:rsid w:val="00CB1894"/>
    <w:rsid w:val="00CB2405"/>
    <w:rsid w:val="00CB245B"/>
    <w:rsid w:val="00CB26A6"/>
    <w:rsid w:val="00CB2BFE"/>
    <w:rsid w:val="00CB3054"/>
    <w:rsid w:val="00CB356D"/>
    <w:rsid w:val="00CB3A24"/>
    <w:rsid w:val="00CB4959"/>
    <w:rsid w:val="00CB5636"/>
    <w:rsid w:val="00CB5CB2"/>
    <w:rsid w:val="00CB7712"/>
    <w:rsid w:val="00CB7E9C"/>
    <w:rsid w:val="00CC0527"/>
    <w:rsid w:val="00CC08EF"/>
    <w:rsid w:val="00CC14EE"/>
    <w:rsid w:val="00CC21AC"/>
    <w:rsid w:val="00CC2A77"/>
    <w:rsid w:val="00CC343F"/>
    <w:rsid w:val="00CC3BB6"/>
    <w:rsid w:val="00CC3EE5"/>
    <w:rsid w:val="00CC46A6"/>
    <w:rsid w:val="00CD0665"/>
    <w:rsid w:val="00CD11B9"/>
    <w:rsid w:val="00CD185C"/>
    <w:rsid w:val="00CD20A5"/>
    <w:rsid w:val="00CD2FD7"/>
    <w:rsid w:val="00CD33C7"/>
    <w:rsid w:val="00CD3CBB"/>
    <w:rsid w:val="00CD553F"/>
    <w:rsid w:val="00CD6F1E"/>
    <w:rsid w:val="00CD7706"/>
    <w:rsid w:val="00CD7AB3"/>
    <w:rsid w:val="00CE111D"/>
    <w:rsid w:val="00CE2108"/>
    <w:rsid w:val="00CE24CB"/>
    <w:rsid w:val="00CE29C9"/>
    <w:rsid w:val="00CE425C"/>
    <w:rsid w:val="00CE48A1"/>
    <w:rsid w:val="00CE4998"/>
    <w:rsid w:val="00CE4CFF"/>
    <w:rsid w:val="00CE58AC"/>
    <w:rsid w:val="00CE5B84"/>
    <w:rsid w:val="00CE6CF5"/>
    <w:rsid w:val="00CF1053"/>
    <w:rsid w:val="00CF342B"/>
    <w:rsid w:val="00CF5A80"/>
    <w:rsid w:val="00CF684A"/>
    <w:rsid w:val="00CF6AE6"/>
    <w:rsid w:val="00CF76B7"/>
    <w:rsid w:val="00D00592"/>
    <w:rsid w:val="00D01A05"/>
    <w:rsid w:val="00D045EE"/>
    <w:rsid w:val="00D04C22"/>
    <w:rsid w:val="00D05091"/>
    <w:rsid w:val="00D053B0"/>
    <w:rsid w:val="00D05BFD"/>
    <w:rsid w:val="00D06092"/>
    <w:rsid w:val="00D0666F"/>
    <w:rsid w:val="00D0705E"/>
    <w:rsid w:val="00D108A4"/>
    <w:rsid w:val="00D10C17"/>
    <w:rsid w:val="00D10CA6"/>
    <w:rsid w:val="00D10F21"/>
    <w:rsid w:val="00D11790"/>
    <w:rsid w:val="00D11E90"/>
    <w:rsid w:val="00D134CF"/>
    <w:rsid w:val="00D13F81"/>
    <w:rsid w:val="00D142D6"/>
    <w:rsid w:val="00D14484"/>
    <w:rsid w:val="00D14D2B"/>
    <w:rsid w:val="00D151D6"/>
    <w:rsid w:val="00D1529B"/>
    <w:rsid w:val="00D153C8"/>
    <w:rsid w:val="00D1573B"/>
    <w:rsid w:val="00D175E0"/>
    <w:rsid w:val="00D200FD"/>
    <w:rsid w:val="00D20D81"/>
    <w:rsid w:val="00D2130A"/>
    <w:rsid w:val="00D23A08"/>
    <w:rsid w:val="00D23D8C"/>
    <w:rsid w:val="00D24806"/>
    <w:rsid w:val="00D24B03"/>
    <w:rsid w:val="00D275BF"/>
    <w:rsid w:val="00D30247"/>
    <w:rsid w:val="00D316A5"/>
    <w:rsid w:val="00D318F0"/>
    <w:rsid w:val="00D31922"/>
    <w:rsid w:val="00D33028"/>
    <w:rsid w:val="00D33FB0"/>
    <w:rsid w:val="00D34040"/>
    <w:rsid w:val="00D346FD"/>
    <w:rsid w:val="00D34E69"/>
    <w:rsid w:val="00D35372"/>
    <w:rsid w:val="00D36C78"/>
    <w:rsid w:val="00D375EE"/>
    <w:rsid w:val="00D376D0"/>
    <w:rsid w:val="00D409E9"/>
    <w:rsid w:val="00D43558"/>
    <w:rsid w:val="00D436C6"/>
    <w:rsid w:val="00D43707"/>
    <w:rsid w:val="00D52229"/>
    <w:rsid w:val="00D52471"/>
    <w:rsid w:val="00D5359A"/>
    <w:rsid w:val="00D53746"/>
    <w:rsid w:val="00D54D47"/>
    <w:rsid w:val="00D54D86"/>
    <w:rsid w:val="00D55AE8"/>
    <w:rsid w:val="00D55E5E"/>
    <w:rsid w:val="00D56056"/>
    <w:rsid w:val="00D562E8"/>
    <w:rsid w:val="00D6085F"/>
    <w:rsid w:val="00D60B46"/>
    <w:rsid w:val="00D61FA2"/>
    <w:rsid w:val="00D62699"/>
    <w:rsid w:val="00D62712"/>
    <w:rsid w:val="00D63212"/>
    <w:rsid w:val="00D63465"/>
    <w:rsid w:val="00D634A9"/>
    <w:rsid w:val="00D63EB4"/>
    <w:rsid w:val="00D641BD"/>
    <w:rsid w:val="00D6427E"/>
    <w:rsid w:val="00D643B7"/>
    <w:rsid w:val="00D646C7"/>
    <w:rsid w:val="00D64DCD"/>
    <w:rsid w:val="00D65C71"/>
    <w:rsid w:val="00D65F58"/>
    <w:rsid w:val="00D6611D"/>
    <w:rsid w:val="00D665A4"/>
    <w:rsid w:val="00D6691D"/>
    <w:rsid w:val="00D66E92"/>
    <w:rsid w:val="00D70AD8"/>
    <w:rsid w:val="00D71FA3"/>
    <w:rsid w:val="00D7210D"/>
    <w:rsid w:val="00D72856"/>
    <w:rsid w:val="00D7387C"/>
    <w:rsid w:val="00D74257"/>
    <w:rsid w:val="00D7481D"/>
    <w:rsid w:val="00D754FA"/>
    <w:rsid w:val="00D75819"/>
    <w:rsid w:val="00D75891"/>
    <w:rsid w:val="00D76D78"/>
    <w:rsid w:val="00D778E9"/>
    <w:rsid w:val="00D812BF"/>
    <w:rsid w:val="00D81494"/>
    <w:rsid w:val="00D8162A"/>
    <w:rsid w:val="00D81EEA"/>
    <w:rsid w:val="00D824FB"/>
    <w:rsid w:val="00D82620"/>
    <w:rsid w:val="00D84102"/>
    <w:rsid w:val="00D84694"/>
    <w:rsid w:val="00D8561F"/>
    <w:rsid w:val="00D85707"/>
    <w:rsid w:val="00D86FE5"/>
    <w:rsid w:val="00D90A4D"/>
    <w:rsid w:val="00D918D0"/>
    <w:rsid w:val="00D919F5"/>
    <w:rsid w:val="00D91D58"/>
    <w:rsid w:val="00D94BAC"/>
    <w:rsid w:val="00D94EE7"/>
    <w:rsid w:val="00D95831"/>
    <w:rsid w:val="00D9585D"/>
    <w:rsid w:val="00D95D8C"/>
    <w:rsid w:val="00D95FCB"/>
    <w:rsid w:val="00D9638C"/>
    <w:rsid w:val="00D9725F"/>
    <w:rsid w:val="00D974D6"/>
    <w:rsid w:val="00D97C6E"/>
    <w:rsid w:val="00DA00B0"/>
    <w:rsid w:val="00DA01B1"/>
    <w:rsid w:val="00DA0C2C"/>
    <w:rsid w:val="00DA10FB"/>
    <w:rsid w:val="00DA1122"/>
    <w:rsid w:val="00DA11A2"/>
    <w:rsid w:val="00DA14ED"/>
    <w:rsid w:val="00DA1D37"/>
    <w:rsid w:val="00DA209F"/>
    <w:rsid w:val="00DA26D6"/>
    <w:rsid w:val="00DA4069"/>
    <w:rsid w:val="00DA5BD5"/>
    <w:rsid w:val="00DA6F75"/>
    <w:rsid w:val="00DA725B"/>
    <w:rsid w:val="00DA7C1C"/>
    <w:rsid w:val="00DB0272"/>
    <w:rsid w:val="00DB03B7"/>
    <w:rsid w:val="00DB057B"/>
    <w:rsid w:val="00DB1AAD"/>
    <w:rsid w:val="00DB2266"/>
    <w:rsid w:val="00DB2EF1"/>
    <w:rsid w:val="00DB38DF"/>
    <w:rsid w:val="00DB38F9"/>
    <w:rsid w:val="00DB3C91"/>
    <w:rsid w:val="00DB3DE1"/>
    <w:rsid w:val="00DB44CC"/>
    <w:rsid w:val="00DB5724"/>
    <w:rsid w:val="00DB5851"/>
    <w:rsid w:val="00DB5900"/>
    <w:rsid w:val="00DB5DA0"/>
    <w:rsid w:val="00DB5EC0"/>
    <w:rsid w:val="00DB716C"/>
    <w:rsid w:val="00DC2F60"/>
    <w:rsid w:val="00DC461B"/>
    <w:rsid w:val="00DC5C39"/>
    <w:rsid w:val="00DC5C85"/>
    <w:rsid w:val="00DC5F57"/>
    <w:rsid w:val="00DC6735"/>
    <w:rsid w:val="00DC6BE6"/>
    <w:rsid w:val="00DC6BFF"/>
    <w:rsid w:val="00DC6DDA"/>
    <w:rsid w:val="00DC74FF"/>
    <w:rsid w:val="00DC7B3F"/>
    <w:rsid w:val="00DC7C5D"/>
    <w:rsid w:val="00DC7C90"/>
    <w:rsid w:val="00DD001C"/>
    <w:rsid w:val="00DD0298"/>
    <w:rsid w:val="00DD0B2A"/>
    <w:rsid w:val="00DD0E22"/>
    <w:rsid w:val="00DD1040"/>
    <w:rsid w:val="00DD19A0"/>
    <w:rsid w:val="00DD1B36"/>
    <w:rsid w:val="00DD225A"/>
    <w:rsid w:val="00DD37D0"/>
    <w:rsid w:val="00DD3F55"/>
    <w:rsid w:val="00DD4236"/>
    <w:rsid w:val="00DD44F1"/>
    <w:rsid w:val="00DD4CA3"/>
    <w:rsid w:val="00DD4FAD"/>
    <w:rsid w:val="00DD539E"/>
    <w:rsid w:val="00DD5424"/>
    <w:rsid w:val="00DD5E37"/>
    <w:rsid w:val="00DD6957"/>
    <w:rsid w:val="00DD6986"/>
    <w:rsid w:val="00DD6E62"/>
    <w:rsid w:val="00DD6E7A"/>
    <w:rsid w:val="00DD730C"/>
    <w:rsid w:val="00DE00A2"/>
    <w:rsid w:val="00DE0D58"/>
    <w:rsid w:val="00DE25F2"/>
    <w:rsid w:val="00DE3059"/>
    <w:rsid w:val="00DE3067"/>
    <w:rsid w:val="00DE324B"/>
    <w:rsid w:val="00DE3565"/>
    <w:rsid w:val="00DE3727"/>
    <w:rsid w:val="00DE373D"/>
    <w:rsid w:val="00DE4122"/>
    <w:rsid w:val="00DE4E61"/>
    <w:rsid w:val="00DE5192"/>
    <w:rsid w:val="00DE5898"/>
    <w:rsid w:val="00DE670F"/>
    <w:rsid w:val="00DE7BD9"/>
    <w:rsid w:val="00DF0DD6"/>
    <w:rsid w:val="00DF13F3"/>
    <w:rsid w:val="00DF162C"/>
    <w:rsid w:val="00DF1767"/>
    <w:rsid w:val="00DF1DBA"/>
    <w:rsid w:val="00DF30DD"/>
    <w:rsid w:val="00DF3EEE"/>
    <w:rsid w:val="00DF4C53"/>
    <w:rsid w:val="00DF5AB4"/>
    <w:rsid w:val="00DF613C"/>
    <w:rsid w:val="00DF6D03"/>
    <w:rsid w:val="00DF75E1"/>
    <w:rsid w:val="00DF7746"/>
    <w:rsid w:val="00DF7E72"/>
    <w:rsid w:val="00E00049"/>
    <w:rsid w:val="00E0098B"/>
    <w:rsid w:val="00E01522"/>
    <w:rsid w:val="00E022D3"/>
    <w:rsid w:val="00E027BC"/>
    <w:rsid w:val="00E02ABE"/>
    <w:rsid w:val="00E03755"/>
    <w:rsid w:val="00E04F11"/>
    <w:rsid w:val="00E065E3"/>
    <w:rsid w:val="00E07B49"/>
    <w:rsid w:val="00E07ED1"/>
    <w:rsid w:val="00E10205"/>
    <w:rsid w:val="00E10356"/>
    <w:rsid w:val="00E10F0D"/>
    <w:rsid w:val="00E11567"/>
    <w:rsid w:val="00E12B9C"/>
    <w:rsid w:val="00E13F42"/>
    <w:rsid w:val="00E14707"/>
    <w:rsid w:val="00E14BB2"/>
    <w:rsid w:val="00E14BD4"/>
    <w:rsid w:val="00E14E6E"/>
    <w:rsid w:val="00E14EA5"/>
    <w:rsid w:val="00E15018"/>
    <w:rsid w:val="00E1580E"/>
    <w:rsid w:val="00E16693"/>
    <w:rsid w:val="00E16891"/>
    <w:rsid w:val="00E17032"/>
    <w:rsid w:val="00E17677"/>
    <w:rsid w:val="00E17CED"/>
    <w:rsid w:val="00E2070E"/>
    <w:rsid w:val="00E21133"/>
    <w:rsid w:val="00E21EA4"/>
    <w:rsid w:val="00E22C02"/>
    <w:rsid w:val="00E22CCC"/>
    <w:rsid w:val="00E2300F"/>
    <w:rsid w:val="00E2327E"/>
    <w:rsid w:val="00E23F3F"/>
    <w:rsid w:val="00E266EF"/>
    <w:rsid w:val="00E2704E"/>
    <w:rsid w:val="00E27F37"/>
    <w:rsid w:val="00E31895"/>
    <w:rsid w:val="00E31B46"/>
    <w:rsid w:val="00E31ED6"/>
    <w:rsid w:val="00E326A8"/>
    <w:rsid w:val="00E32729"/>
    <w:rsid w:val="00E33D9A"/>
    <w:rsid w:val="00E341BC"/>
    <w:rsid w:val="00E35E2E"/>
    <w:rsid w:val="00E35ECB"/>
    <w:rsid w:val="00E3689C"/>
    <w:rsid w:val="00E41525"/>
    <w:rsid w:val="00E41B4F"/>
    <w:rsid w:val="00E42EB7"/>
    <w:rsid w:val="00E4326F"/>
    <w:rsid w:val="00E437FE"/>
    <w:rsid w:val="00E46476"/>
    <w:rsid w:val="00E468F8"/>
    <w:rsid w:val="00E4735D"/>
    <w:rsid w:val="00E47428"/>
    <w:rsid w:val="00E47861"/>
    <w:rsid w:val="00E47A7D"/>
    <w:rsid w:val="00E47D20"/>
    <w:rsid w:val="00E52080"/>
    <w:rsid w:val="00E53352"/>
    <w:rsid w:val="00E53533"/>
    <w:rsid w:val="00E53FBD"/>
    <w:rsid w:val="00E54108"/>
    <w:rsid w:val="00E541C0"/>
    <w:rsid w:val="00E544C6"/>
    <w:rsid w:val="00E54C48"/>
    <w:rsid w:val="00E54EB9"/>
    <w:rsid w:val="00E54FEE"/>
    <w:rsid w:val="00E553B1"/>
    <w:rsid w:val="00E568F6"/>
    <w:rsid w:val="00E56C8E"/>
    <w:rsid w:val="00E5716B"/>
    <w:rsid w:val="00E57F1F"/>
    <w:rsid w:val="00E61754"/>
    <w:rsid w:val="00E61828"/>
    <w:rsid w:val="00E626B1"/>
    <w:rsid w:val="00E643A7"/>
    <w:rsid w:val="00E65DBC"/>
    <w:rsid w:val="00E66B9F"/>
    <w:rsid w:val="00E66BA9"/>
    <w:rsid w:val="00E66BE8"/>
    <w:rsid w:val="00E671D4"/>
    <w:rsid w:val="00E70A6A"/>
    <w:rsid w:val="00E710D6"/>
    <w:rsid w:val="00E7141D"/>
    <w:rsid w:val="00E727D0"/>
    <w:rsid w:val="00E729BD"/>
    <w:rsid w:val="00E72A16"/>
    <w:rsid w:val="00E73DA4"/>
    <w:rsid w:val="00E73FF6"/>
    <w:rsid w:val="00E748EA"/>
    <w:rsid w:val="00E74A6E"/>
    <w:rsid w:val="00E7586C"/>
    <w:rsid w:val="00E7604E"/>
    <w:rsid w:val="00E76E45"/>
    <w:rsid w:val="00E777C9"/>
    <w:rsid w:val="00E77AED"/>
    <w:rsid w:val="00E80A2E"/>
    <w:rsid w:val="00E81DA6"/>
    <w:rsid w:val="00E81ECA"/>
    <w:rsid w:val="00E82220"/>
    <w:rsid w:val="00E827AB"/>
    <w:rsid w:val="00E828AF"/>
    <w:rsid w:val="00E83238"/>
    <w:rsid w:val="00E83244"/>
    <w:rsid w:val="00E84212"/>
    <w:rsid w:val="00E858AF"/>
    <w:rsid w:val="00E9086C"/>
    <w:rsid w:val="00E90AAA"/>
    <w:rsid w:val="00E91A0F"/>
    <w:rsid w:val="00E949CB"/>
    <w:rsid w:val="00E94A71"/>
    <w:rsid w:val="00E94B48"/>
    <w:rsid w:val="00E94CBF"/>
    <w:rsid w:val="00E951D2"/>
    <w:rsid w:val="00E96271"/>
    <w:rsid w:val="00E963FA"/>
    <w:rsid w:val="00EA03CE"/>
    <w:rsid w:val="00EA0536"/>
    <w:rsid w:val="00EA160A"/>
    <w:rsid w:val="00EA23E5"/>
    <w:rsid w:val="00EA29A0"/>
    <w:rsid w:val="00EA35F8"/>
    <w:rsid w:val="00EA38EF"/>
    <w:rsid w:val="00EA4E2E"/>
    <w:rsid w:val="00EA6B2F"/>
    <w:rsid w:val="00EA6CEF"/>
    <w:rsid w:val="00EB1695"/>
    <w:rsid w:val="00EB18E3"/>
    <w:rsid w:val="00EB1F07"/>
    <w:rsid w:val="00EB201E"/>
    <w:rsid w:val="00EB2417"/>
    <w:rsid w:val="00EB25BA"/>
    <w:rsid w:val="00EB2CCB"/>
    <w:rsid w:val="00EB3E84"/>
    <w:rsid w:val="00EB4330"/>
    <w:rsid w:val="00EB54C1"/>
    <w:rsid w:val="00EB54C3"/>
    <w:rsid w:val="00EB5C94"/>
    <w:rsid w:val="00EB5ED3"/>
    <w:rsid w:val="00EB656C"/>
    <w:rsid w:val="00EB7A25"/>
    <w:rsid w:val="00EC031C"/>
    <w:rsid w:val="00EC0F3E"/>
    <w:rsid w:val="00EC2A9A"/>
    <w:rsid w:val="00EC3BC5"/>
    <w:rsid w:val="00EC56E3"/>
    <w:rsid w:val="00EC57A7"/>
    <w:rsid w:val="00EC7A8D"/>
    <w:rsid w:val="00ED0817"/>
    <w:rsid w:val="00ED145E"/>
    <w:rsid w:val="00ED25FB"/>
    <w:rsid w:val="00ED2645"/>
    <w:rsid w:val="00ED33C8"/>
    <w:rsid w:val="00ED3596"/>
    <w:rsid w:val="00ED4BCB"/>
    <w:rsid w:val="00ED5579"/>
    <w:rsid w:val="00ED5BE3"/>
    <w:rsid w:val="00ED787E"/>
    <w:rsid w:val="00ED7896"/>
    <w:rsid w:val="00ED7DD9"/>
    <w:rsid w:val="00ED7F5F"/>
    <w:rsid w:val="00EE19F6"/>
    <w:rsid w:val="00EE1EAB"/>
    <w:rsid w:val="00EE3381"/>
    <w:rsid w:val="00EE37C0"/>
    <w:rsid w:val="00EE3C56"/>
    <w:rsid w:val="00EE43FB"/>
    <w:rsid w:val="00EE445B"/>
    <w:rsid w:val="00EE49DC"/>
    <w:rsid w:val="00EE5120"/>
    <w:rsid w:val="00EE54FD"/>
    <w:rsid w:val="00EE5F10"/>
    <w:rsid w:val="00EE6204"/>
    <w:rsid w:val="00EE6C76"/>
    <w:rsid w:val="00EF15F8"/>
    <w:rsid w:val="00EF1614"/>
    <w:rsid w:val="00EF21A7"/>
    <w:rsid w:val="00EF2897"/>
    <w:rsid w:val="00EF3113"/>
    <w:rsid w:val="00EF3583"/>
    <w:rsid w:val="00EF37E3"/>
    <w:rsid w:val="00EF39C7"/>
    <w:rsid w:val="00EF3F84"/>
    <w:rsid w:val="00EF5223"/>
    <w:rsid w:val="00EF6B7C"/>
    <w:rsid w:val="00EF7BCD"/>
    <w:rsid w:val="00F00AB6"/>
    <w:rsid w:val="00F017B6"/>
    <w:rsid w:val="00F0214A"/>
    <w:rsid w:val="00F04644"/>
    <w:rsid w:val="00F04CA7"/>
    <w:rsid w:val="00F05DFC"/>
    <w:rsid w:val="00F075C3"/>
    <w:rsid w:val="00F07EB3"/>
    <w:rsid w:val="00F07FC2"/>
    <w:rsid w:val="00F11621"/>
    <w:rsid w:val="00F15E4C"/>
    <w:rsid w:val="00F16585"/>
    <w:rsid w:val="00F166F2"/>
    <w:rsid w:val="00F17203"/>
    <w:rsid w:val="00F176AC"/>
    <w:rsid w:val="00F17879"/>
    <w:rsid w:val="00F17C08"/>
    <w:rsid w:val="00F20223"/>
    <w:rsid w:val="00F20962"/>
    <w:rsid w:val="00F21AD3"/>
    <w:rsid w:val="00F22132"/>
    <w:rsid w:val="00F221AB"/>
    <w:rsid w:val="00F2227A"/>
    <w:rsid w:val="00F2252C"/>
    <w:rsid w:val="00F240AF"/>
    <w:rsid w:val="00F24F65"/>
    <w:rsid w:val="00F26637"/>
    <w:rsid w:val="00F26952"/>
    <w:rsid w:val="00F26F28"/>
    <w:rsid w:val="00F27343"/>
    <w:rsid w:val="00F276E0"/>
    <w:rsid w:val="00F27714"/>
    <w:rsid w:val="00F27FB1"/>
    <w:rsid w:val="00F31096"/>
    <w:rsid w:val="00F319F2"/>
    <w:rsid w:val="00F3275B"/>
    <w:rsid w:val="00F3276E"/>
    <w:rsid w:val="00F32D38"/>
    <w:rsid w:val="00F33711"/>
    <w:rsid w:val="00F33D3C"/>
    <w:rsid w:val="00F34CDF"/>
    <w:rsid w:val="00F35C52"/>
    <w:rsid w:val="00F376BE"/>
    <w:rsid w:val="00F37A91"/>
    <w:rsid w:val="00F408A0"/>
    <w:rsid w:val="00F4110F"/>
    <w:rsid w:val="00F4160C"/>
    <w:rsid w:val="00F42788"/>
    <w:rsid w:val="00F428AC"/>
    <w:rsid w:val="00F42A0C"/>
    <w:rsid w:val="00F431E3"/>
    <w:rsid w:val="00F453DE"/>
    <w:rsid w:val="00F45ABD"/>
    <w:rsid w:val="00F45CF5"/>
    <w:rsid w:val="00F46D62"/>
    <w:rsid w:val="00F47851"/>
    <w:rsid w:val="00F47DB0"/>
    <w:rsid w:val="00F50C3F"/>
    <w:rsid w:val="00F50E34"/>
    <w:rsid w:val="00F5169D"/>
    <w:rsid w:val="00F51B36"/>
    <w:rsid w:val="00F51B9A"/>
    <w:rsid w:val="00F52897"/>
    <w:rsid w:val="00F52F2B"/>
    <w:rsid w:val="00F5339B"/>
    <w:rsid w:val="00F53AC2"/>
    <w:rsid w:val="00F53D6B"/>
    <w:rsid w:val="00F53EF7"/>
    <w:rsid w:val="00F54BF2"/>
    <w:rsid w:val="00F556E4"/>
    <w:rsid w:val="00F5588C"/>
    <w:rsid w:val="00F56E60"/>
    <w:rsid w:val="00F575DB"/>
    <w:rsid w:val="00F60745"/>
    <w:rsid w:val="00F616C8"/>
    <w:rsid w:val="00F61D4C"/>
    <w:rsid w:val="00F63AFC"/>
    <w:rsid w:val="00F647DF"/>
    <w:rsid w:val="00F6537A"/>
    <w:rsid w:val="00F661A7"/>
    <w:rsid w:val="00F6647A"/>
    <w:rsid w:val="00F669B5"/>
    <w:rsid w:val="00F67B30"/>
    <w:rsid w:val="00F70E87"/>
    <w:rsid w:val="00F715BB"/>
    <w:rsid w:val="00F7446D"/>
    <w:rsid w:val="00F74872"/>
    <w:rsid w:val="00F74FCC"/>
    <w:rsid w:val="00F7625E"/>
    <w:rsid w:val="00F76A17"/>
    <w:rsid w:val="00F775AC"/>
    <w:rsid w:val="00F80112"/>
    <w:rsid w:val="00F8087B"/>
    <w:rsid w:val="00F82540"/>
    <w:rsid w:val="00F83BDD"/>
    <w:rsid w:val="00F8675D"/>
    <w:rsid w:val="00F87857"/>
    <w:rsid w:val="00F87E40"/>
    <w:rsid w:val="00F915CA"/>
    <w:rsid w:val="00F91F84"/>
    <w:rsid w:val="00F92355"/>
    <w:rsid w:val="00F93963"/>
    <w:rsid w:val="00F94291"/>
    <w:rsid w:val="00F942A7"/>
    <w:rsid w:val="00F94B62"/>
    <w:rsid w:val="00F95229"/>
    <w:rsid w:val="00F95855"/>
    <w:rsid w:val="00F97420"/>
    <w:rsid w:val="00FA15EC"/>
    <w:rsid w:val="00FA298A"/>
    <w:rsid w:val="00FA2CE5"/>
    <w:rsid w:val="00FA478C"/>
    <w:rsid w:val="00FA5B66"/>
    <w:rsid w:val="00FA604B"/>
    <w:rsid w:val="00FA777A"/>
    <w:rsid w:val="00FB056B"/>
    <w:rsid w:val="00FB1BE7"/>
    <w:rsid w:val="00FB1C5C"/>
    <w:rsid w:val="00FB1FC4"/>
    <w:rsid w:val="00FB3051"/>
    <w:rsid w:val="00FB30EB"/>
    <w:rsid w:val="00FB3CD4"/>
    <w:rsid w:val="00FB4071"/>
    <w:rsid w:val="00FB6C9C"/>
    <w:rsid w:val="00FB7982"/>
    <w:rsid w:val="00FC0734"/>
    <w:rsid w:val="00FC0FC5"/>
    <w:rsid w:val="00FC19DC"/>
    <w:rsid w:val="00FC1D47"/>
    <w:rsid w:val="00FC2C66"/>
    <w:rsid w:val="00FC2D17"/>
    <w:rsid w:val="00FC30C8"/>
    <w:rsid w:val="00FC4DE2"/>
    <w:rsid w:val="00FC5533"/>
    <w:rsid w:val="00FC588F"/>
    <w:rsid w:val="00FC65BC"/>
    <w:rsid w:val="00FC6879"/>
    <w:rsid w:val="00FC697E"/>
    <w:rsid w:val="00FC75DF"/>
    <w:rsid w:val="00FC7AEA"/>
    <w:rsid w:val="00FD21B2"/>
    <w:rsid w:val="00FD2283"/>
    <w:rsid w:val="00FD288C"/>
    <w:rsid w:val="00FD77DC"/>
    <w:rsid w:val="00FD7955"/>
    <w:rsid w:val="00FD797E"/>
    <w:rsid w:val="00FE0427"/>
    <w:rsid w:val="00FE1B30"/>
    <w:rsid w:val="00FE1F83"/>
    <w:rsid w:val="00FE2767"/>
    <w:rsid w:val="00FE2A0E"/>
    <w:rsid w:val="00FE3AB3"/>
    <w:rsid w:val="00FE3E2A"/>
    <w:rsid w:val="00FE5103"/>
    <w:rsid w:val="00FE531F"/>
    <w:rsid w:val="00FE7001"/>
    <w:rsid w:val="00FE77A7"/>
    <w:rsid w:val="00FE784B"/>
    <w:rsid w:val="00FE7B44"/>
    <w:rsid w:val="00FF0C76"/>
    <w:rsid w:val="00FF146C"/>
    <w:rsid w:val="00FF1E5E"/>
    <w:rsid w:val="00FF2A66"/>
    <w:rsid w:val="00FF39D3"/>
    <w:rsid w:val="00FF45B7"/>
    <w:rsid w:val="00FF4720"/>
    <w:rsid w:val="00FF490B"/>
    <w:rsid w:val="00FF5711"/>
    <w:rsid w:val="00FF5FC5"/>
    <w:rsid w:val="00FF6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F82121"/>
  <w15:docId w15:val="{3EFBB5D9-1EA1-4570-975C-3256F079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3244"/>
    <w:pPr>
      <w:spacing w:line="360" w:lineRule="auto"/>
      <w:jc w:val="both"/>
    </w:pPr>
    <w:rPr>
      <w:sz w:val="24"/>
      <w:lang w:eastAsia="en-US"/>
    </w:rPr>
  </w:style>
  <w:style w:type="paragraph" w:styleId="Heading1">
    <w:name w:val="heading 1"/>
    <w:basedOn w:val="Normal"/>
    <w:next w:val="ParaNumbering"/>
    <w:qFormat/>
    <w:rsid w:val="00E83244"/>
    <w:pPr>
      <w:keepNext/>
      <w:spacing w:before="240" w:after="60" w:line="240" w:lineRule="auto"/>
      <w:outlineLvl w:val="0"/>
    </w:pPr>
    <w:rPr>
      <w:b/>
      <w:caps/>
      <w:kern w:val="28"/>
    </w:rPr>
  </w:style>
  <w:style w:type="paragraph" w:styleId="Heading2">
    <w:name w:val="heading 2"/>
    <w:basedOn w:val="Normal"/>
    <w:next w:val="ParaNumbering"/>
    <w:qFormat/>
    <w:rsid w:val="00E83244"/>
    <w:pPr>
      <w:keepNext/>
      <w:spacing w:before="240" w:after="60" w:line="240" w:lineRule="auto"/>
      <w:outlineLvl w:val="1"/>
    </w:pPr>
    <w:rPr>
      <w:b/>
      <w:szCs w:val="24"/>
    </w:rPr>
  </w:style>
  <w:style w:type="paragraph" w:styleId="Heading3">
    <w:name w:val="heading 3"/>
    <w:basedOn w:val="Normal"/>
    <w:next w:val="ParaNumbering"/>
    <w:qFormat/>
    <w:rsid w:val="00E83244"/>
    <w:pPr>
      <w:keepNext/>
      <w:spacing w:before="240" w:after="60" w:line="240" w:lineRule="auto"/>
      <w:outlineLvl w:val="2"/>
    </w:pPr>
    <w:rPr>
      <w:b/>
      <w:i/>
    </w:rPr>
  </w:style>
  <w:style w:type="paragraph" w:styleId="Heading4">
    <w:name w:val="heading 4"/>
    <w:basedOn w:val="Normal"/>
    <w:next w:val="ParaNumbering"/>
    <w:qFormat/>
    <w:rsid w:val="00E83244"/>
    <w:pPr>
      <w:keepNext/>
      <w:spacing w:before="240" w:after="60" w:line="240" w:lineRule="auto"/>
      <w:jc w:val="left"/>
      <w:outlineLvl w:val="3"/>
    </w:pPr>
    <w:rPr>
      <w:i/>
      <w:szCs w:val="24"/>
    </w:rPr>
  </w:style>
  <w:style w:type="paragraph" w:styleId="Heading5">
    <w:name w:val="heading 5"/>
    <w:basedOn w:val="fcHeading1"/>
    <w:next w:val="ParaNumbering"/>
    <w:qFormat/>
    <w:rsid w:val="00E83244"/>
    <w:pPr>
      <w:outlineLvl w:val="4"/>
    </w:pPr>
    <w:rPr>
      <w:caps w:val="0"/>
    </w:rPr>
  </w:style>
  <w:style w:type="paragraph" w:styleId="Heading6">
    <w:name w:val="heading 6"/>
    <w:basedOn w:val="fcHeading2"/>
    <w:next w:val="ParaNumbering"/>
    <w:qFormat/>
    <w:rsid w:val="00E83244"/>
    <w:pPr>
      <w:outlineLvl w:val="5"/>
    </w:pPr>
  </w:style>
  <w:style w:type="paragraph" w:styleId="Heading7">
    <w:name w:val="heading 7"/>
    <w:basedOn w:val="fcHeading3"/>
    <w:next w:val="ParaNumbering"/>
    <w:qFormat/>
    <w:rsid w:val="00E83244"/>
    <w:pPr>
      <w:outlineLvl w:val="6"/>
    </w:pPr>
    <w:rPr>
      <w:i w:val="0"/>
    </w:rPr>
  </w:style>
  <w:style w:type="paragraph" w:styleId="Heading8">
    <w:name w:val="heading 8"/>
    <w:basedOn w:val="fcHeading4"/>
    <w:next w:val="ParaNumbering"/>
    <w:rsid w:val="00E83244"/>
    <w:pPr>
      <w:outlineLvl w:val="7"/>
    </w:pPr>
    <w:rPr>
      <w:smallCaps w:val="0"/>
    </w:rPr>
  </w:style>
  <w:style w:type="paragraph" w:styleId="Heading9">
    <w:name w:val="heading 9"/>
    <w:basedOn w:val="fcHeading5"/>
    <w:next w:val="ParaNumbering"/>
    <w:rsid w:val="00E83244"/>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E83244"/>
    <w:pPr>
      <w:spacing w:line="240" w:lineRule="auto"/>
    </w:pPr>
  </w:style>
  <w:style w:type="paragraph" w:styleId="Header">
    <w:name w:val="header"/>
    <w:basedOn w:val="Normal"/>
    <w:semiHidden/>
    <w:rsid w:val="00E83244"/>
    <w:pPr>
      <w:tabs>
        <w:tab w:val="center" w:pos="4320"/>
        <w:tab w:val="right" w:pos="8640"/>
      </w:tabs>
    </w:pPr>
  </w:style>
  <w:style w:type="paragraph" w:styleId="Footer">
    <w:name w:val="footer"/>
    <w:basedOn w:val="Normal"/>
    <w:semiHidden/>
    <w:rsid w:val="00E83244"/>
    <w:pPr>
      <w:tabs>
        <w:tab w:val="center" w:pos="4320"/>
        <w:tab w:val="right" w:pos="8640"/>
      </w:tabs>
    </w:pPr>
  </w:style>
  <w:style w:type="paragraph" w:customStyle="1" w:styleId="ParaNumbering">
    <w:name w:val="ParaNumbering"/>
    <w:basedOn w:val="Normal"/>
    <w:uiPriority w:val="99"/>
    <w:rsid w:val="00E83244"/>
    <w:pPr>
      <w:numPr>
        <w:numId w:val="1"/>
      </w:numPr>
      <w:tabs>
        <w:tab w:val="clear" w:pos="720"/>
      </w:tabs>
      <w:spacing w:before="180" w:after="180"/>
    </w:pPr>
  </w:style>
  <w:style w:type="paragraph" w:customStyle="1" w:styleId="Quote1">
    <w:name w:val="Quote1"/>
    <w:rsid w:val="00E83244"/>
    <w:pPr>
      <w:widowControl w:val="0"/>
      <w:spacing w:after="180"/>
      <w:ind w:left="737" w:right="737"/>
      <w:jc w:val="both"/>
    </w:pPr>
    <w:rPr>
      <w:sz w:val="22"/>
      <w:lang w:eastAsia="en-US"/>
    </w:rPr>
  </w:style>
  <w:style w:type="paragraph" w:customStyle="1" w:styleId="NormalHeadings">
    <w:name w:val="Normal Headings"/>
    <w:link w:val="NormalHeadingsChar"/>
    <w:rsid w:val="00E83244"/>
    <w:pPr>
      <w:widowControl w:val="0"/>
      <w:jc w:val="both"/>
    </w:pPr>
    <w:rPr>
      <w:b/>
      <w:sz w:val="24"/>
      <w:lang w:eastAsia="en-US"/>
    </w:rPr>
  </w:style>
  <w:style w:type="table" w:styleId="TableGrid">
    <w:name w:val="Table Grid"/>
    <w:basedOn w:val="TableNormal"/>
    <w:semiHidden/>
    <w:rsid w:val="00E83244"/>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E83244"/>
    <w:pPr>
      <w:spacing w:before="20" w:after="20"/>
      <w:jc w:val="center"/>
    </w:pPr>
    <w:rPr>
      <w:b/>
      <w:sz w:val="26"/>
    </w:rPr>
  </w:style>
  <w:style w:type="paragraph" w:customStyle="1" w:styleId="Normal1linespace">
    <w:name w:val="Normal1linespace"/>
    <w:basedOn w:val="Normal"/>
    <w:rsid w:val="00E83244"/>
    <w:pPr>
      <w:spacing w:line="240" w:lineRule="auto"/>
    </w:pPr>
  </w:style>
  <w:style w:type="paragraph" w:styleId="BalloonText">
    <w:name w:val="Balloon Text"/>
    <w:basedOn w:val="Normal"/>
    <w:semiHidden/>
    <w:rsid w:val="00E83244"/>
    <w:rPr>
      <w:rFonts w:ascii="Tahoma" w:hAnsi="Tahoma" w:cs="Tahoma"/>
      <w:sz w:val="16"/>
      <w:szCs w:val="16"/>
    </w:rPr>
  </w:style>
  <w:style w:type="paragraph" w:customStyle="1" w:styleId="StyleBold">
    <w:name w:val="Style Bold"/>
    <w:basedOn w:val="Normal"/>
    <w:next w:val="BodyText"/>
    <w:semiHidden/>
    <w:rsid w:val="00E83244"/>
    <w:rPr>
      <w:szCs w:val="24"/>
    </w:rPr>
  </w:style>
  <w:style w:type="paragraph" w:customStyle="1" w:styleId="Bold">
    <w:name w:val="Bold"/>
    <w:basedOn w:val="Normal"/>
    <w:next w:val="Normal"/>
    <w:semiHidden/>
    <w:rsid w:val="00E83244"/>
    <w:pPr>
      <w:suppressAutoHyphens/>
      <w:jc w:val="left"/>
    </w:pPr>
    <w:rPr>
      <w:b/>
      <w:szCs w:val="24"/>
    </w:rPr>
  </w:style>
  <w:style w:type="paragraph" w:customStyle="1" w:styleId="Certify">
    <w:name w:val="Certify"/>
    <w:basedOn w:val="Normal"/>
    <w:link w:val="CertifyChar"/>
    <w:semiHidden/>
    <w:rsid w:val="00E83244"/>
    <w:pPr>
      <w:spacing w:line="240" w:lineRule="auto"/>
    </w:pPr>
    <w:rPr>
      <w:szCs w:val="24"/>
    </w:rPr>
  </w:style>
  <w:style w:type="character" w:styleId="CommentReference">
    <w:name w:val="annotation reference"/>
    <w:semiHidden/>
    <w:rsid w:val="00E83244"/>
    <w:rPr>
      <w:sz w:val="16"/>
      <w:szCs w:val="16"/>
    </w:rPr>
  </w:style>
  <w:style w:type="paragraph" w:styleId="CommentText">
    <w:name w:val="annotation text"/>
    <w:basedOn w:val="Normal"/>
    <w:semiHidden/>
    <w:rsid w:val="00E83244"/>
    <w:rPr>
      <w:sz w:val="20"/>
    </w:rPr>
  </w:style>
  <w:style w:type="paragraph" w:styleId="CommentSubject">
    <w:name w:val="annotation subject"/>
    <w:basedOn w:val="CommentText"/>
    <w:next w:val="CommentText"/>
    <w:semiHidden/>
    <w:rsid w:val="00E83244"/>
    <w:rPr>
      <w:b/>
      <w:bCs/>
    </w:rPr>
  </w:style>
  <w:style w:type="paragraph" w:customStyle="1" w:styleId="FCBullets">
    <w:name w:val="FCBullets"/>
    <w:basedOn w:val="Normal"/>
    <w:rsid w:val="00E83244"/>
    <w:pPr>
      <w:numPr>
        <w:numId w:val="2"/>
      </w:numPr>
      <w:spacing w:before="60" w:after="60"/>
    </w:pPr>
  </w:style>
  <w:style w:type="paragraph" w:customStyle="1" w:styleId="JudgeStyle">
    <w:name w:val="JudgeStyle"/>
    <w:basedOn w:val="Heading1"/>
    <w:next w:val="ParaNumbering"/>
    <w:semiHidden/>
    <w:rsid w:val="00E83244"/>
  </w:style>
  <w:style w:type="paragraph" w:styleId="TOC1">
    <w:name w:val="toc 1"/>
    <w:basedOn w:val="Normal"/>
    <w:next w:val="Normal"/>
    <w:autoRedefine/>
    <w:semiHidden/>
    <w:rsid w:val="00E83244"/>
    <w:pPr>
      <w:tabs>
        <w:tab w:val="right" w:leader="dot" w:pos="9071"/>
      </w:tabs>
    </w:pPr>
  </w:style>
  <w:style w:type="paragraph" w:styleId="TOC2">
    <w:name w:val="toc 2"/>
    <w:basedOn w:val="Normal"/>
    <w:next w:val="Normal"/>
    <w:autoRedefine/>
    <w:semiHidden/>
    <w:rsid w:val="00E83244"/>
    <w:pPr>
      <w:tabs>
        <w:tab w:val="right" w:leader="dot" w:pos="9071"/>
      </w:tabs>
      <w:ind w:left="240"/>
    </w:pPr>
  </w:style>
  <w:style w:type="paragraph" w:styleId="TOC3">
    <w:name w:val="toc 3"/>
    <w:basedOn w:val="Normal"/>
    <w:next w:val="Normal"/>
    <w:autoRedefine/>
    <w:semiHidden/>
    <w:rsid w:val="00E83244"/>
    <w:pPr>
      <w:tabs>
        <w:tab w:val="right" w:leader="dot" w:pos="9071"/>
      </w:tabs>
      <w:ind w:left="480"/>
    </w:pPr>
  </w:style>
  <w:style w:type="paragraph" w:styleId="TOC4">
    <w:name w:val="toc 4"/>
    <w:basedOn w:val="Normal"/>
    <w:next w:val="Normal"/>
    <w:autoRedefine/>
    <w:rsid w:val="00E83244"/>
    <w:pPr>
      <w:tabs>
        <w:tab w:val="right" w:leader="dot" w:pos="9071"/>
      </w:tabs>
      <w:ind w:left="720"/>
    </w:pPr>
  </w:style>
  <w:style w:type="paragraph" w:customStyle="1" w:styleId="NoNum">
    <w:name w:val="No Num"/>
    <w:basedOn w:val="Normal1linespace"/>
    <w:rsid w:val="00E83244"/>
    <w:pPr>
      <w:spacing w:before="120" w:after="180" w:line="360" w:lineRule="auto"/>
    </w:pPr>
  </w:style>
  <w:style w:type="paragraph" w:customStyle="1" w:styleId="AppealTable">
    <w:name w:val="AppealTable"/>
    <w:basedOn w:val="Normal"/>
    <w:unhideWhenUsed/>
    <w:rsid w:val="00E83244"/>
    <w:pPr>
      <w:spacing w:line="240" w:lineRule="auto"/>
      <w:jc w:val="left"/>
    </w:pPr>
    <w:rPr>
      <w:b/>
      <w:caps/>
      <w:sz w:val="22"/>
      <w:szCs w:val="22"/>
    </w:rPr>
  </w:style>
  <w:style w:type="paragraph" w:customStyle="1" w:styleId="Quote3">
    <w:name w:val="Quote3"/>
    <w:basedOn w:val="Quote1"/>
    <w:rsid w:val="00E83244"/>
    <w:pPr>
      <w:ind w:left="2160"/>
    </w:pPr>
  </w:style>
  <w:style w:type="paragraph" w:customStyle="1" w:styleId="Quote2">
    <w:name w:val="Quote2"/>
    <w:basedOn w:val="Quote1"/>
    <w:rsid w:val="00E83244"/>
    <w:pPr>
      <w:ind w:left="1440"/>
    </w:pPr>
  </w:style>
  <w:style w:type="paragraph" w:customStyle="1" w:styleId="FTOC1">
    <w:name w:val="FTOC 1"/>
    <w:basedOn w:val="Normal"/>
    <w:semiHidden/>
    <w:rsid w:val="00E83244"/>
    <w:pPr>
      <w:tabs>
        <w:tab w:val="right" w:leader="dot" w:pos="9072"/>
      </w:tabs>
      <w:spacing w:before="120" w:after="60" w:line="240" w:lineRule="auto"/>
      <w:jc w:val="left"/>
    </w:pPr>
    <w:rPr>
      <w:b/>
      <w:caps/>
      <w:kern w:val="28"/>
    </w:rPr>
  </w:style>
  <w:style w:type="paragraph" w:customStyle="1" w:styleId="ListNo1">
    <w:name w:val="List No 1"/>
    <w:basedOn w:val="Normal"/>
    <w:rsid w:val="00E83244"/>
    <w:pPr>
      <w:numPr>
        <w:numId w:val="23"/>
      </w:numPr>
      <w:spacing w:before="60" w:after="60"/>
    </w:pPr>
  </w:style>
  <w:style w:type="paragraph" w:customStyle="1" w:styleId="FTOC2">
    <w:name w:val="FTOC 2"/>
    <w:basedOn w:val="Normal"/>
    <w:semiHidden/>
    <w:rsid w:val="00E83244"/>
    <w:pPr>
      <w:tabs>
        <w:tab w:val="right" w:leader="dot" w:pos="9072"/>
      </w:tabs>
      <w:spacing w:before="120" w:after="60" w:line="240" w:lineRule="auto"/>
      <w:ind w:left="238"/>
      <w:jc w:val="left"/>
    </w:pPr>
    <w:rPr>
      <w:b/>
    </w:rPr>
  </w:style>
  <w:style w:type="paragraph" w:customStyle="1" w:styleId="FTOC3">
    <w:name w:val="FTOC 3"/>
    <w:basedOn w:val="Normal"/>
    <w:semiHidden/>
    <w:rsid w:val="00E83244"/>
    <w:pPr>
      <w:tabs>
        <w:tab w:val="right" w:leader="dot" w:pos="9072"/>
      </w:tabs>
      <w:spacing w:before="120" w:after="60" w:line="240" w:lineRule="auto"/>
      <w:ind w:left="482"/>
      <w:jc w:val="left"/>
    </w:pPr>
    <w:rPr>
      <w:b/>
      <w:i/>
    </w:rPr>
  </w:style>
  <w:style w:type="paragraph" w:customStyle="1" w:styleId="FTOC4">
    <w:name w:val="FTOC 4"/>
    <w:basedOn w:val="Normal"/>
    <w:semiHidden/>
    <w:rsid w:val="00E83244"/>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E83244"/>
    <w:pPr>
      <w:tabs>
        <w:tab w:val="right" w:leader="dot" w:pos="9072"/>
      </w:tabs>
      <w:ind w:left="960"/>
    </w:pPr>
  </w:style>
  <w:style w:type="numbering" w:styleId="111111">
    <w:name w:val="Outline List 2"/>
    <w:basedOn w:val="NoList"/>
    <w:semiHidden/>
    <w:rsid w:val="00E83244"/>
    <w:pPr>
      <w:numPr>
        <w:numId w:val="13"/>
      </w:numPr>
    </w:pPr>
  </w:style>
  <w:style w:type="numbering" w:styleId="1ai">
    <w:name w:val="Outline List 1"/>
    <w:basedOn w:val="NoList"/>
    <w:semiHidden/>
    <w:rsid w:val="00E83244"/>
    <w:pPr>
      <w:numPr>
        <w:numId w:val="14"/>
      </w:numPr>
    </w:pPr>
  </w:style>
  <w:style w:type="numbering" w:styleId="ArticleSection">
    <w:name w:val="Outline List 3"/>
    <w:basedOn w:val="NoList"/>
    <w:semiHidden/>
    <w:rsid w:val="00E83244"/>
    <w:pPr>
      <w:numPr>
        <w:numId w:val="15"/>
      </w:numPr>
    </w:pPr>
  </w:style>
  <w:style w:type="paragraph" w:styleId="BodyText">
    <w:name w:val="Body Text"/>
    <w:basedOn w:val="Normal"/>
    <w:link w:val="BodyTextChar"/>
    <w:qFormat/>
    <w:rsid w:val="00E83244"/>
  </w:style>
  <w:style w:type="paragraph" w:styleId="BodyText2">
    <w:name w:val="Body Text 2"/>
    <w:basedOn w:val="Normal"/>
    <w:semiHidden/>
    <w:rsid w:val="00E83244"/>
    <w:pPr>
      <w:spacing w:after="120" w:line="480" w:lineRule="auto"/>
    </w:pPr>
  </w:style>
  <w:style w:type="paragraph" w:styleId="BodyText3">
    <w:name w:val="Body Text 3"/>
    <w:basedOn w:val="Normal"/>
    <w:semiHidden/>
    <w:rsid w:val="00E83244"/>
    <w:pPr>
      <w:spacing w:after="120"/>
    </w:pPr>
    <w:rPr>
      <w:sz w:val="16"/>
      <w:szCs w:val="16"/>
    </w:rPr>
  </w:style>
  <w:style w:type="paragraph" w:styleId="BodyTextFirstIndent">
    <w:name w:val="Body Text First Indent"/>
    <w:basedOn w:val="BodyText"/>
    <w:semiHidden/>
    <w:rsid w:val="00E83244"/>
    <w:pPr>
      <w:ind w:firstLine="210"/>
    </w:pPr>
  </w:style>
  <w:style w:type="paragraph" w:styleId="BodyTextIndent">
    <w:name w:val="Body Text Indent"/>
    <w:basedOn w:val="Normal"/>
    <w:semiHidden/>
    <w:rsid w:val="00E83244"/>
    <w:pPr>
      <w:spacing w:after="120"/>
      <w:ind w:left="283"/>
    </w:pPr>
  </w:style>
  <w:style w:type="paragraph" w:styleId="BodyTextFirstIndent2">
    <w:name w:val="Body Text First Indent 2"/>
    <w:basedOn w:val="BodyTextIndent"/>
    <w:semiHidden/>
    <w:rsid w:val="00E83244"/>
    <w:pPr>
      <w:ind w:firstLine="210"/>
    </w:pPr>
  </w:style>
  <w:style w:type="paragraph" w:styleId="BodyTextIndent2">
    <w:name w:val="Body Text Indent 2"/>
    <w:basedOn w:val="Normal"/>
    <w:semiHidden/>
    <w:rsid w:val="00E83244"/>
    <w:pPr>
      <w:spacing w:after="120" w:line="480" w:lineRule="auto"/>
      <w:ind w:left="283"/>
    </w:pPr>
  </w:style>
  <w:style w:type="paragraph" w:styleId="BodyTextIndent3">
    <w:name w:val="Body Text Indent 3"/>
    <w:basedOn w:val="Normal"/>
    <w:semiHidden/>
    <w:rsid w:val="00E83244"/>
    <w:pPr>
      <w:spacing w:after="120"/>
      <w:ind w:left="283"/>
    </w:pPr>
    <w:rPr>
      <w:sz w:val="16"/>
      <w:szCs w:val="16"/>
    </w:rPr>
  </w:style>
  <w:style w:type="paragraph" w:styleId="Closing">
    <w:name w:val="Closing"/>
    <w:basedOn w:val="Normal"/>
    <w:semiHidden/>
    <w:rsid w:val="00E83244"/>
    <w:pPr>
      <w:ind w:left="4252"/>
    </w:pPr>
  </w:style>
  <w:style w:type="paragraph" w:styleId="Date">
    <w:name w:val="Date"/>
    <w:basedOn w:val="Normal"/>
    <w:next w:val="Normal"/>
    <w:semiHidden/>
    <w:rsid w:val="00E83244"/>
  </w:style>
  <w:style w:type="paragraph" w:styleId="E-mailSignature">
    <w:name w:val="E-mail Signature"/>
    <w:basedOn w:val="Normal"/>
    <w:semiHidden/>
    <w:rsid w:val="00E83244"/>
  </w:style>
  <w:style w:type="character" w:styleId="Emphasis">
    <w:name w:val="Emphasis"/>
    <w:semiHidden/>
    <w:rsid w:val="00E83244"/>
    <w:rPr>
      <w:i/>
      <w:iCs/>
    </w:rPr>
  </w:style>
  <w:style w:type="paragraph" w:styleId="EnvelopeAddress">
    <w:name w:val="envelope address"/>
    <w:basedOn w:val="Normal"/>
    <w:semiHidden/>
    <w:rsid w:val="00E8324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E83244"/>
    <w:rPr>
      <w:rFonts w:ascii="Arial" w:hAnsi="Arial" w:cs="Arial"/>
      <w:sz w:val="20"/>
    </w:rPr>
  </w:style>
  <w:style w:type="character" w:styleId="FollowedHyperlink">
    <w:name w:val="FollowedHyperlink"/>
    <w:semiHidden/>
    <w:rsid w:val="00E83244"/>
    <w:rPr>
      <w:color w:val="800080"/>
      <w:u w:val="single"/>
    </w:rPr>
  </w:style>
  <w:style w:type="character" w:styleId="HTMLAcronym">
    <w:name w:val="HTML Acronym"/>
    <w:basedOn w:val="DefaultParagraphFont"/>
    <w:semiHidden/>
    <w:rsid w:val="00E83244"/>
  </w:style>
  <w:style w:type="paragraph" w:styleId="HTMLAddress">
    <w:name w:val="HTML Address"/>
    <w:basedOn w:val="Normal"/>
    <w:semiHidden/>
    <w:rsid w:val="00E83244"/>
    <w:rPr>
      <w:i/>
      <w:iCs/>
    </w:rPr>
  </w:style>
  <w:style w:type="character" w:styleId="HTMLCite">
    <w:name w:val="HTML Cite"/>
    <w:semiHidden/>
    <w:rsid w:val="00E83244"/>
    <w:rPr>
      <w:i/>
      <w:iCs/>
    </w:rPr>
  </w:style>
  <w:style w:type="character" w:styleId="HTMLCode">
    <w:name w:val="HTML Code"/>
    <w:semiHidden/>
    <w:rsid w:val="00E83244"/>
    <w:rPr>
      <w:rFonts w:ascii="Courier New" w:hAnsi="Courier New" w:cs="Courier New"/>
      <w:sz w:val="20"/>
      <w:szCs w:val="20"/>
    </w:rPr>
  </w:style>
  <w:style w:type="character" w:styleId="HTMLDefinition">
    <w:name w:val="HTML Definition"/>
    <w:semiHidden/>
    <w:rsid w:val="00E83244"/>
    <w:rPr>
      <w:i/>
      <w:iCs/>
    </w:rPr>
  </w:style>
  <w:style w:type="character" w:styleId="HTMLKeyboard">
    <w:name w:val="HTML Keyboard"/>
    <w:semiHidden/>
    <w:rsid w:val="00E83244"/>
    <w:rPr>
      <w:rFonts w:ascii="Courier New" w:hAnsi="Courier New" w:cs="Courier New"/>
      <w:sz w:val="20"/>
      <w:szCs w:val="20"/>
    </w:rPr>
  </w:style>
  <w:style w:type="paragraph" w:styleId="HTMLPreformatted">
    <w:name w:val="HTML Preformatted"/>
    <w:basedOn w:val="Normal"/>
    <w:semiHidden/>
    <w:rsid w:val="00E83244"/>
    <w:rPr>
      <w:rFonts w:ascii="Courier New" w:hAnsi="Courier New" w:cs="Courier New"/>
      <w:sz w:val="20"/>
    </w:rPr>
  </w:style>
  <w:style w:type="character" w:styleId="HTMLSample">
    <w:name w:val="HTML Sample"/>
    <w:semiHidden/>
    <w:rsid w:val="00E83244"/>
    <w:rPr>
      <w:rFonts w:ascii="Courier New" w:hAnsi="Courier New" w:cs="Courier New"/>
    </w:rPr>
  </w:style>
  <w:style w:type="character" w:styleId="HTMLTypewriter">
    <w:name w:val="HTML Typewriter"/>
    <w:semiHidden/>
    <w:rsid w:val="00E83244"/>
    <w:rPr>
      <w:rFonts w:ascii="Courier New" w:hAnsi="Courier New" w:cs="Courier New"/>
      <w:sz w:val="20"/>
      <w:szCs w:val="20"/>
    </w:rPr>
  </w:style>
  <w:style w:type="character" w:styleId="HTMLVariable">
    <w:name w:val="HTML Variable"/>
    <w:semiHidden/>
    <w:rsid w:val="00E83244"/>
    <w:rPr>
      <w:i/>
      <w:iCs/>
    </w:rPr>
  </w:style>
  <w:style w:type="character" w:styleId="Hyperlink">
    <w:name w:val="Hyperlink"/>
    <w:uiPriority w:val="99"/>
    <w:semiHidden/>
    <w:rsid w:val="00E83244"/>
    <w:rPr>
      <w:color w:val="0000FF"/>
      <w:u w:val="single"/>
    </w:rPr>
  </w:style>
  <w:style w:type="character" w:styleId="LineNumber">
    <w:name w:val="line number"/>
    <w:basedOn w:val="DefaultParagraphFont"/>
    <w:semiHidden/>
    <w:rsid w:val="00E83244"/>
  </w:style>
  <w:style w:type="paragraph" w:styleId="List">
    <w:name w:val="List"/>
    <w:basedOn w:val="Normal"/>
    <w:semiHidden/>
    <w:rsid w:val="00E83244"/>
    <w:pPr>
      <w:ind w:left="283" w:hanging="283"/>
    </w:pPr>
  </w:style>
  <w:style w:type="paragraph" w:styleId="List2">
    <w:name w:val="List 2"/>
    <w:basedOn w:val="Normal"/>
    <w:semiHidden/>
    <w:rsid w:val="00E83244"/>
    <w:pPr>
      <w:ind w:left="566" w:hanging="283"/>
    </w:pPr>
  </w:style>
  <w:style w:type="paragraph" w:styleId="List3">
    <w:name w:val="List 3"/>
    <w:basedOn w:val="Normal"/>
    <w:semiHidden/>
    <w:rsid w:val="00E83244"/>
    <w:pPr>
      <w:ind w:left="849" w:hanging="283"/>
    </w:pPr>
  </w:style>
  <w:style w:type="paragraph" w:styleId="List4">
    <w:name w:val="List 4"/>
    <w:basedOn w:val="Normal"/>
    <w:semiHidden/>
    <w:rsid w:val="00E83244"/>
    <w:pPr>
      <w:ind w:left="1132" w:hanging="283"/>
    </w:pPr>
  </w:style>
  <w:style w:type="paragraph" w:styleId="List5">
    <w:name w:val="List 5"/>
    <w:basedOn w:val="Normal"/>
    <w:semiHidden/>
    <w:rsid w:val="00E83244"/>
    <w:pPr>
      <w:ind w:left="1415" w:hanging="283"/>
    </w:pPr>
  </w:style>
  <w:style w:type="paragraph" w:styleId="ListBullet">
    <w:name w:val="List Bullet"/>
    <w:basedOn w:val="Normal"/>
    <w:semiHidden/>
    <w:rsid w:val="00E83244"/>
    <w:pPr>
      <w:numPr>
        <w:numId w:val="3"/>
      </w:numPr>
    </w:pPr>
  </w:style>
  <w:style w:type="paragraph" w:styleId="ListBullet2">
    <w:name w:val="List Bullet 2"/>
    <w:basedOn w:val="Normal"/>
    <w:semiHidden/>
    <w:rsid w:val="00E83244"/>
    <w:pPr>
      <w:numPr>
        <w:numId w:val="4"/>
      </w:numPr>
    </w:pPr>
  </w:style>
  <w:style w:type="paragraph" w:styleId="ListBullet3">
    <w:name w:val="List Bullet 3"/>
    <w:basedOn w:val="Normal"/>
    <w:semiHidden/>
    <w:rsid w:val="00E83244"/>
    <w:pPr>
      <w:numPr>
        <w:numId w:val="5"/>
      </w:numPr>
    </w:pPr>
  </w:style>
  <w:style w:type="paragraph" w:styleId="ListBullet4">
    <w:name w:val="List Bullet 4"/>
    <w:basedOn w:val="Normal"/>
    <w:semiHidden/>
    <w:rsid w:val="00E83244"/>
    <w:pPr>
      <w:numPr>
        <w:numId w:val="6"/>
      </w:numPr>
    </w:pPr>
  </w:style>
  <w:style w:type="paragraph" w:styleId="ListBullet5">
    <w:name w:val="List Bullet 5"/>
    <w:basedOn w:val="Normal"/>
    <w:semiHidden/>
    <w:rsid w:val="00E83244"/>
    <w:pPr>
      <w:numPr>
        <w:numId w:val="7"/>
      </w:numPr>
    </w:pPr>
  </w:style>
  <w:style w:type="paragraph" w:styleId="ListContinue">
    <w:name w:val="List Continue"/>
    <w:basedOn w:val="Normal"/>
    <w:semiHidden/>
    <w:rsid w:val="00E83244"/>
    <w:pPr>
      <w:spacing w:after="120"/>
      <w:ind w:left="283"/>
    </w:pPr>
  </w:style>
  <w:style w:type="paragraph" w:styleId="ListContinue2">
    <w:name w:val="List Continue 2"/>
    <w:basedOn w:val="Normal"/>
    <w:semiHidden/>
    <w:rsid w:val="00E83244"/>
    <w:pPr>
      <w:spacing w:after="120"/>
      <w:ind w:left="566"/>
    </w:pPr>
  </w:style>
  <w:style w:type="paragraph" w:styleId="ListContinue3">
    <w:name w:val="List Continue 3"/>
    <w:basedOn w:val="Normal"/>
    <w:semiHidden/>
    <w:rsid w:val="00E83244"/>
    <w:pPr>
      <w:spacing w:after="120"/>
      <w:ind w:left="849"/>
    </w:pPr>
  </w:style>
  <w:style w:type="paragraph" w:styleId="ListContinue4">
    <w:name w:val="List Continue 4"/>
    <w:basedOn w:val="Normal"/>
    <w:semiHidden/>
    <w:rsid w:val="00E83244"/>
    <w:pPr>
      <w:spacing w:after="120"/>
      <w:ind w:left="1132"/>
    </w:pPr>
  </w:style>
  <w:style w:type="paragraph" w:styleId="ListContinue5">
    <w:name w:val="List Continue 5"/>
    <w:basedOn w:val="Normal"/>
    <w:semiHidden/>
    <w:rsid w:val="00E83244"/>
    <w:pPr>
      <w:spacing w:after="120"/>
      <w:ind w:left="1415"/>
    </w:pPr>
  </w:style>
  <w:style w:type="paragraph" w:styleId="ListNumber">
    <w:name w:val="List Number"/>
    <w:basedOn w:val="Normal"/>
    <w:uiPriority w:val="99"/>
    <w:semiHidden/>
    <w:rsid w:val="00E83244"/>
    <w:pPr>
      <w:numPr>
        <w:numId w:val="8"/>
      </w:numPr>
    </w:pPr>
  </w:style>
  <w:style w:type="paragraph" w:styleId="ListNumber2">
    <w:name w:val="List Number 2"/>
    <w:basedOn w:val="Normal"/>
    <w:semiHidden/>
    <w:rsid w:val="00E83244"/>
    <w:pPr>
      <w:numPr>
        <w:numId w:val="9"/>
      </w:numPr>
    </w:pPr>
  </w:style>
  <w:style w:type="paragraph" w:styleId="ListNumber3">
    <w:name w:val="List Number 3"/>
    <w:basedOn w:val="Normal"/>
    <w:semiHidden/>
    <w:rsid w:val="00E83244"/>
    <w:pPr>
      <w:numPr>
        <w:numId w:val="10"/>
      </w:numPr>
    </w:pPr>
  </w:style>
  <w:style w:type="paragraph" w:styleId="ListNumber4">
    <w:name w:val="List Number 4"/>
    <w:basedOn w:val="Normal"/>
    <w:semiHidden/>
    <w:rsid w:val="00E83244"/>
    <w:pPr>
      <w:numPr>
        <w:numId w:val="11"/>
      </w:numPr>
    </w:pPr>
  </w:style>
  <w:style w:type="paragraph" w:styleId="ListNumber5">
    <w:name w:val="List Number 5"/>
    <w:basedOn w:val="Normal"/>
    <w:semiHidden/>
    <w:rsid w:val="00E83244"/>
    <w:pPr>
      <w:numPr>
        <w:numId w:val="12"/>
      </w:numPr>
    </w:pPr>
  </w:style>
  <w:style w:type="paragraph" w:styleId="MessageHeader">
    <w:name w:val="Message Header"/>
    <w:basedOn w:val="Normal"/>
    <w:semiHidden/>
    <w:rsid w:val="00E832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E83244"/>
    <w:rPr>
      <w:szCs w:val="24"/>
    </w:rPr>
  </w:style>
  <w:style w:type="paragraph" w:styleId="NormalIndent">
    <w:name w:val="Normal Indent"/>
    <w:basedOn w:val="Normal"/>
    <w:semiHidden/>
    <w:rsid w:val="00E83244"/>
    <w:pPr>
      <w:ind w:left="720"/>
    </w:pPr>
  </w:style>
  <w:style w:type="paragraph" w:styleId="NoteHeading">
    <w:name w:val="Note Heading"/>
    <w:basedOn w:val="Normal"/>
    <w:next w:val="Normal"/>
    <w:semiHidden/>
    <w:rsid w:val="00E83244"/>
  </w:style>
  <w:style w:type="character" w:styleId="PageNumber">
    <w:name w:val="page number"/>
    <w:basedOn w:val="DefaultParagraphFont"/>
    <w:semiHidden/>
    <w:rsid w:val="00E83244"/>
  </w:style>
  <w:style w:type="paragraph" w:styleId="PlainText">
    <w:name w:val="Plain Text"/>
    <w:basedOn w:val="Normal"/>
    <w:semiHidden/>
    <w:rsid w:val="00E83244"/>
    <w:rPr>
      <w:rFonts w:ascii="Courier New" w:hAnsi="Courier New" w:cs="Courier New"/>
      <w:sz w:val="20"/>
    </w:rPr>
  </w:style>
  <w:style w:type="paragraph" w:styleId="Salutation">
    <w:name w:val="Salutation"/>
    <w:basedOn w:val="Normal"/>
    <w:next w:val="Normal"/>
    <w:semiHidden/>
    <w:rsid w:val="00E83244"/>
  </w:style>
  <w:style w:type="paragraph" w:styleId="Signature">
    <w:name w:val="Signature"/>
    <w:basedOn w:val="Normal"/>
    <w:semiHidden/>
    <w:rsid w:val="00E83244"/>
    <w:pPr>
      <w:ind w:left="4252"/>
    </w:pPr>
  </w:style>
  <w:style w:type="character" w:styleId="Strong">
    <w:name w:val="Strong"/>
    <w:semiHidden/>
    <w:rsid w:val="00E83244"/>
    <w:rPr>
      <w:b/>
      <w:bCs/>
    </w:rPr>
  </w:style>
  <w:style w:type="paragraph" w:styleId="Subtitle">
    <w:name w:val="Subtitle"/>
    <w:basedOn w:val="Normal"/>
    <w:semiHidden/>
    <w:rsid w:val="00E83244"/>
    <w:pPr>
      <w:spacing w:after="60"/>
      <w:jc w:val="center"/>
      <w:outlineLvl w:val="1"/>
    </w:pPr>
    <w:rPr>
      <w:rFonts w:ascii="Arial" w:hAnsi="Arial" w:cs="Arial"/>
      <w:szCs w:val="24"/>
    </w:rPr>
  </w:style>
  <w:style w:type="table" w:styleId="Table3Deffects1">
    <w:name w:val="Table 3D effects 1"/>
    <w:basedOn w:val="TableNormal"/>
    <w:semiHidden/>
    <w:rsid w:val="00E83244"/>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3244"/>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3244"/>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3244"/>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3244"/>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3244"/>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3244"/>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3244"/>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3244"/>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3244"/>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3244"/>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3244"/>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3244"/>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3244"/>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3244"/>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3244"/>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3244"/>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324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3244"/>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3244"/>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3244"/>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324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3244"/>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3244"/>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3244"/>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3244"/>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3244"/>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3244"/>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324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324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3244"/>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3244"/>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3244"/>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324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3244"/>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3244"/>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3244"/>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3244"/>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3244"/>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324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3244"/>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3244"/>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3244"/>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E83244"/>
    <w:pPr>
      <w:spacing w:before="120" w:after="60" w:line="240" w:lineRule="auto"/>
      <w:jc w:val="left"/>
    </w:pPr>
  </w:style>
  <w:style w:type="paragraph" w:customStyle="1" w:styleId="bTOC2">
    <w:name w:val="bTOC 2"/>
    <w:basedOn w:val="TOC2"/>
    <w:semiHidden/>
    <w:rsid w:val="00E83244"/>
    <w:pPr>
      <w:spacing w:before="120" w:after="60" w:line="240" w:lineRule="auto"/>
      <w:ind w:left="238"/>
      <w:jc w:val="left"/>
    </w:pPr>
  </w:style>
  <w:style w:type="paragraph" w:customStyle="1" w:styleId="bTOC3">
    <w:name w:val="bTOC 3"/>
    <w:basedOn w:val="TOC3"/>
    <w:semiHidden/>
    <w:rsid w:val="00E83244"/>
    <w:pPr>
      <w:spacing w:before="120" w:after="60" w:line="240" w:lineRule="auto"/>
      <w:ind w:left="482"/>
      <w:jc w:val="left"/>
    </w:pPr>
  </w:style>
  <w:style w:type="paragraph" w:customStyle="1" w:styleId="bTOC4">
    <w:name w:val="bTOC 4"/>
    <w:basedOn w:val="TOC4"/>
    <w:semiHidden/>
    <w:rsid w:val="00E83244"/>
    <w:pPr>
      <w:spacing w:before="120" w:after="60" w:line="240" w:lineRule="auto"/>
      <w:jc w:val="left"/>
    </w:pPr>
  </w:style>
  <w:style w:type="paragraph" w:customStyle="1" w:styleId="Counsel">
    <w:name w:val="Counsel"/>
    <w:basedOn w:val="Normal"/>
    <w:unhideWhenUsed/>
    <w:rsid w:val="00E83244"/>
    <w:pPr>
      <w:widowControl w:val="0"/>
      <w:suppressAutoHyphens/>
      <w:spacing w:line="240" w:lineRule="auto"/>
    </w:pPr>
  </w:style>
  <w:style w:type="character" w:customStyle="1" w:styleId="CertifyChar">
    <w:name w:val="Certify Char"/>
    <w:link w:val="Certify"/>
    <w:semiHidden/>
    <w:rsid w:val="00E83244"/>
    <w:rPr>
      <w:sz w:val="24"/>
      <w:szCs w:val="24"/>
      <w:lang w:eastAsia="en-US"/>
    </w:rPr>
  </w:style>
  <w:style w:type="paragraph" w:customStyle="1" w:styleId="fcHeading1">
    <w:name w:val="fcHeading 1"/>
    <w:basedOn w:val="Normal"/>
    <w:next w:val="ParaNumbering"/>
    <w:semiHidden/>
    <w:rsid w:val="00E83244"/>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E83244"/>
    <w:pPr>
      <w:keepNext/>
      <w:tabs>
        <w:tab w:val="num" w:pos="1134"/>
      </w:tabs>
      <w:spacing w:before="240" w:after="60" w:line="240" w:lineRule="auto"/>
      <w:ind w:left="1134" w:hanging="1134"/>
    </w:pPr>
    <w:rPr>
      <w:b/>
    </w:rPr>
  </w:style>
  <w:style w:type="paragraph" w:customStyle="1" w:styleId="fcHeading3">
    <w:name w:val="fcHeading 3"/>
    <w:basedOn w:val="Normal"/>
    <w:next w:val="ParaNumbering"/>
    <w:semiHidden/>
    <w:rsid w:val="00E83244"/>
    <w:pPr>
      <w:keepNext/>
      <w:tabs>
        <w:tab w:val="num" w:pos="1134"/>
      </w:tabs>
      <w:spacing w:before="240" w:after="60" w:line="240" w:lineRule="auto"/>
      <w:ind w:left="1134" w:hanging="1134"/>
    </w:pPr>
    <w:rPr>
      <w:b/>
      <w:i/>
    </w:rPr>
  </w:style>
  <w:style w:type="paragraph" w:customStyle="1" w:styleId="fcHeading4">
    <w:name w:val="fcHeading 4"/>
    <w:basedOn w:val="Normal"/>
    <w:next w:val="ParaNumbering"/>
    <w:semiHidden/>
    <w:rsid w:val="00E83244"/>
    <w:pPr>
      <w:keepNext/>
      <w:tabs>
        <w:tab w:val="num" w:pos="1134"/>
      </w:tabs>
      <w:spacing w:before="240" w:after="60" w:line="240" w:lineRule="auto"/>
      <w:ind w:left="1134" w:hanging="1134"/>
    </w:pPr>
    <w:rPr>
      <w:b/>
      <w:smallCaps/>
    </w:rPr>
  </w:style>
  <w:style w:type="paragraph" w:customStyle="1" w:styleId="fcHeading5">
    <w:name w:val="fcHeading 5"/>
    <w:basedOn w:val="Normal"/>
    <w:next w:val="ParaNumbering"/>
    <w:semiHidden/>
    <w:rsid w:val="00E83244"/>
    <w:pPr>
      <w:keepNext/>
      <w:tabs>
        <w:tab w:val="num" w:pos="1134"/>
      </w:tabs>
      <w:spacing w:before="240" w:after="60" w:line="240" w:lineRule="auto"/>
      <w:ind w:left="1134" w:hanging="1134"/>
    </w:pPr>
    <w:rPr>
      <w:b/>
      <w:caps/>
    </w:rPr>
  </w:style>
  <w:style w:type="paragraph" w:customStyle="1" w:styleId="FTOC5">
    <w:name w:val="FTOC 5"/>
    <w:basedOn w:val="Normal"/>
    <w:semiHidden/>
    <w:rsid w:val="00E83244"/>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E83244"/>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E83244"/>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E83244"/>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E83244"/>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E83244"/>
    <w:pPr>
      <w:tabs>
        <w:tab w:val="right" w:leader="dot" w:pos="9072"/>
      </w:tabs>
      <w:spacing w:before="120" w:after="60" w:line="240" w:lineRule="auto"/>
      <w:ind w:left="709" w:hanging="709"/>
      <w:jc w:val="left"/>
    </w:pPr>
  </w:style>
  <w:style w:type="paragraph" w:customStyle="1" w:styleId="bTOC6">
    <w:name w:val="bTOC 6"/>
    <w:basedOn w:val="Normal"/>
    <w:semiHidden/>
    <w:rsid w:val="00E83244"/>
    <w:pPr>
      <w:tabs>
        <w:tab w:val="right" w:leader="dot" w:pos="9072"/>
      </w:tabs>
      <w:spacing w:before="120" w:after="60" w:line="240" w:lineRule="auto"/>
      <w:ind w:left="1418" w:hanging="709"/>
      <w:jc w:val="left"/>
    </w:pPr>
  </w:style>
  <w:style w:type="paragraph" w:customStyle="1" w:styleId="bTOC7">
    <w:name w:val="bTOC 7"/>
    <w:basedOn w:val="Normal"/>
    <w:semiHidden/>
    <w:rsid w:val="00E83244"/>
    <w:pPr>
      <w:tabs>
        <w:tab w:val="right" w:leader="dot" w:pos="9072"/>
      </w:tabs>
      <w:spacing w:before="120" w:after="60" w:line="240" w:lineRule="auto"/>
      <w:ind w:left="2240" w:hanging="822"/>
      <w:jc w:val="left"/>
    </w:pPr>
  </w:style>
  <w:style w:type="paragraph" w:customStyle="1" w:styleId="bTOC8">
    <w:name w:val="bTOC 8"/>
    <w:basedOn w:val="Normal"/>
    <w:semiHidden/>
    <w:rsid w:val="00E83244"/>
    <w:pPr>
      <w:keepNext/>
      <w:tabs>
        <w:tab w:val="right" w:leader="dot" w:pos="9072"/>
      </w:tabs>
      <w:spacing w:before="120" w:after="60" w:line="240" w:lineRule="auto"/>
      <w:ind w:left="3373" w:hanging="1247"/>
      <w:jc w:val="left"/>
    </w:pPr>
  </w:style>
  <w:style w:type="paragraph" w:customStyle="1" w:styleId="bTOC9">
    <w:name w:val="bTOC 9"/>
    <w:basedOn w:val="Normal"/>
    <w:semiHidden/>
    <w:rsid w:val="00E83244"/>
    <w:pPr>
      <w:keepNext/>
      <w:tabs>
        <w:tab w:val="right" w:leader="dot" w:pos="9072"/>
      </w:tabs>
      <w:spacing w:before="120" w:after="60" w:line="240" w:lineRule="auto"/>
      <w:ind w:left="4082" w:hanging="1247"/>
      <w:jc w:val="left"/>
    </w:pPr>
  </w:style>
  <w:style w:type="paragraph" w:customStyle="1" w:styleId="ListNo2">
    <w:name w:val="List No 2"/>
    <w:basedOn w:val="ListNo1"/>
    <w:rsid w:val="00E83244"/>
    <w:pPr>
      <w:numPr>
        <w:ilvl w:val="1"/>
      </w:numPr>
    </w:pPr>
  </w:style>
  <w:style w:type="paragraph" w:customStyle="1" w:styleId="ListNo3">
    <w:name w:val="List No 3"/>
    <w:basedOn w:val="ListNo2"/>
    <w:rsid w:val="00E83244"/>
    <w:pPr>
      <w:numPr>
        <w:ilvl w:val="2"/>
      </w:numPr>
    </w:pPr>
  </w:style>
  <w:style w:type="numbering" w:customStyle="1" w:styleId="FCListNo">
    <w:name w:val="FCListNo"/>
    <w:uiPriority w:val="99"/>
    <w:rsid w:val="00E83244"/>
    <w:pPr>
      <w:numPr>
        <w:numId w:val="17"/>
      </w:numPr>
    </w:pPr>
  </w:style>
  <w:style w:type="paragraph" w:customStyle="1" w:styleId="SingleSpace">
    <w:name w:val="SingleSpace"/>
    <w:basedOn w:val="Normal"/>
    <w:rsid w:val="00E83244"/>
    <w:pPr>
      <w:spacing w:line="240" w:lineRule="auto"/>
    </w:pPr>
    <w:rPr>
      <w:szCs w:val="22"/>
    </w:rPr>
  </w:style>
  <w:style w:type="paragraph" w:customStyle="1" w:styleId="Quote1Bullet">
    <w:name w:val="Quote1 Bullet"/>
    <w:basedOn w:val="Quote1"/>
    <w:rsid w:val="00E83244"/>
    <w:pPr>
      <w:numPr>
        <w:numId w:val="18"/>
      </w:numPr>
      <w:ind w:left="1440" w:hanging="720"/>
    </w:pPr>
  </w:style>
  <w:style w:type="paragraph" w:customStyle="1" w:styleId="Quote2Bullet">
    <w:name w:val="Quote2 Bullet"/>
    <w:basedOn w:val="Quote2"/>
    <w:rsid w:val="00E83244"/>
    <w:pPr>
      <w:numPr>
        <w:numId w:val="19"/>
      </w:numPr>
      <w:ind w:hanging="720"/>
    </w:pPr>
  </w:style>
  <w:style w:type="paragraph" w:customStyle="1" w:styleId="Quote3Bullet">
    <w:name w:val="Quote3 Bullet"/>
    <w:basedOn w:val="Quote3"/>
    <w:rsid w:val="00E83244"/>
    <w:pPr>
      <w:numPr>
        <w:numId w:val="20"/>
      </w:numPr>
      <w:ind w:hanging="720"/>
    </w:pPr>
  </w:style>
  <w:style w:type="paragraph" w:customStyle="1" w:styleId="Order1">
    <w:name w:val="Order 1"/>
    <w:basedOn w:val="Normal"/>
    <w:rsid w:val="00E83244"/>
    <w:pPr>
      <w:numPr>
        <w:numId w:val="21"/>
      </w:numPr>
      <w:spacing w:before="60" w:after="60"/>
    </w:pPr>
  </w:style>
  <w:style w:type="numbering" w:customStyle="1" w:styleId="FCOrders">
    <w:name w:val="FCOrders"/>
    <w:uiPriority w:val="99"/>
    <w:rsid w:val="00E83244"/>
    <w:pPr>
      <w:numPr>
        <w:numId w:val="21"/>
      </w:numPr>
    </w:pPr>
  </w:style>
  <w:style w:type="paragraph" w:customStyle="1" w:styleId="BodyTextBold">
    <w:name w:val="Body Text Bold"/>
    <w:basedOn w:val="BodyText"/>
    <w:rsid w:val="00E83244"/>
    <w:rPr>
      <w:b/>
    </w:rPr>
  </w:style>
  <w:style w:type="paragraph" w:customStyle="1" w:styleId="GeneralHeading">
    <w:name w:val="General Heading"/>
    <w:basedOn w:val="BodyTextBold"/>
    <w:next w:val="BodyText"/>
    <w:rsid w:val="00E83244"/>
    <w:pPr>
      <w:spacing w:line="480" w:lineRule="auto"/>
      <w:jc w:val="center"/>
    </w:pPr>
    <w:rPr>
      <w:sz w:val="28"/>
    </w:rPr>
  </w:style>
  <w:style w:type="paragraph" w:customStyle="1" w:styleId="ReasonJudge">
    <w:name w:val="Reason Judge"/>
    <w:basedOn w:val="BodyText"/>
    <w:next w:val="BodyText"/>
    <w:rsid w:val="00E83244"/>
    <w:pPr>
      <w:jc w:val="left"/>
    </w:pPr>
    <w:rPr>
      <w:b/>
      <w:sz w:val="26"/>
    </w:rPr>
  </w:style>
  <w:style w:type="paragraph" w:customStyle="1" w:styleId="FileNo">
    <w:name w:val="FileNo"/>
    <w:basedOn w:val="NormalHeadings"/>
    <w:rsid w:val="00E83244"/>
    <w:pPr>
      <w:tabs>
        <w:tab w:val="right" w:pos="3609"/>
      </w:tabs>
      <w:spacing w:line="276" w:lineRule="auto"/>
      <w:jc w:val="right"/>
    </w:pPr>
    <w:rPr>
      <w:szCs w:val="24"/>
    </w:rPr>
  </w:style>
  <w:style w:type="paragraph" w:customStyle="1" w:styleId="CasesLegislationAppealFrom">
    <w:name w:val="Cases Legislation Appeal From"/>
    <w:basedOn w:val="Normal1linespace"/>
    <w:rsid w:val="00E83244"/>
    <w:pPr>
      <w:widowControl w:val="0"/>
      <w:spacing w:after="100"/>
      <w:jc w:val="left"/>
    </w:pPr>
  </w:style>
  <w:style w:type="paragraph" w:customStyle="1" w:styleId="PartyName">
    <w:name w:val="Party Name"/>
    <w:basedOn w:val="NormalHeadings"/>
    <w:rsid w:val="00E83244"/>
    <w:pPr>
      <w:jc w:val="left"/>
    </w:pPr>
    <w:rPr>
      <w:szCs w:val="24"/>
    </w:rPr>
  </w:style>
  <w:style w:type="paragraph" w:customStyle="1" w:styleId="PartyType">
    <w:name w:val="Party Type"/>
    <w:basedOn w:val="PartyName"/>
    <w:rsid w:val="00E83244"/>
    <w:rPr>
      <w:b w:val="0"/>
    </w:rPr>
  </w:style>
  <w:style w:type="paragraph" w:customStyle="1" w:styleId="Small-TableswithinQuotes">
    <w:name w:val="Small - Tables within Quotes"/>
    <w:basedOn w:val="BodyText"/>
    <w:rsid w:val="00E83244"/>
    <w:pPr>
      <w:spacing w:line="240" w:lineRule="auto"/>
      <w:jc w:val="left"/>
    </w:pPr>
    <w:rPr>
      <w:sz w:val="22"/>
    </w:rPr>
  </w:style>
  <w:style w:type="character" w:customStyle="1" w:styleId="BodyTextChar">
    <w:name w:val="Body Text Char"/>
    <w:basedOn w:val="DefaultParagraphFont"/>
    <w:link w:val="BodyText"/>
    <w:rsid w:val="00E83244"/>
    <w:rPr>
      <w:sz w:val="24"/>
      <w:lang w:eastAsia="en-US"/>
    </w:rPr>
  </w:style>
  <w:style w:type="character" w:customStyle="1" w:styleId="NormalHeadingsChar">
    <w:name w:val="Normal Headings Char"/>
    <w:basedOn w:val="DefaultParagraphFont"/>
    <w:link w:val="NormalHeadings"/>
    <w:rsid w:val="00E83244"/>
    <w:rPr>
      <w:b/>
      <w:sz w:val="24"/>
      <w:lang w:eastAsia="en-US"/>
    </w:rPr>
  </w:style>
  <w:style w:type="paragraph" w:customStyle="1" w:styleId="CourtTitle">
    <w:name w:val="CourtTitle"/>
    <w:basedOn w:val="NormalHeadings"/>
    <w:rsid w:val="00E83244"/>
    <w:pPr>
      <w:jc w:val="center"/>
    </w:pPr>
    <w:rPr>
      <w:caps/>
      <w:sz w:val="32"/>
    </w:rPr>
  </w:style>
  <w:style w:type="paragraph" w:customStyle="1" w:styleId="MNC">
    <w:name w:val="MNC"/>
    <w:basedOn w:val="MediaNeutralStyle"/>
    <w:rsid w:val="00E83244"/>
    <w:pPr>
      <w:spacing w:after="240"/>
    </w:pPr>
    <w:rPr>
      <w:sz w:val="28"/>
    </w:rPr>
  </w:style>
  <w:style w:type="paragraph" w:customStyle="1" w:styleId="Quote4">
    <w:name w:val="Quote4"/>
    <w:basedOn w:val="Quote1"/>
    <w:rsid w:val="00E83244"/>
    <w:pPr>
      <w:ind w:left="2880"/>
    </w:pPr>
  </w:style>
  <w:style w:type="paragraph" w:customStyle="1" w:styleId="Quote4Bullet">
    <w:name w:val="Quote4 Bullet"/>
    <w:basedOn w:val="Quote4"/>
    <w:rsid w:val="00E83244"/>
    <w:pPr>
      <w:numPr>
        <w:numId w:val="22"/>
      </w:numPr>
      <w:ind w:hanging="720"/>
    </w:pPr>
  </w:style>
  <w:style w:type="character" w:styleId="PlaceholderText">
    <w:name w:val="Placeholder Text"/>
    <w:basedOn w:val="DefaultParagraphFont"/>
    <w:uiPriority w:val="99"/>
    <w:semiHidden/>
    <w:rsid w:val="00E83244"/>
    <w:rPr>
      <w:color w:val="808080"/>
    </w:rPr>
  </w:style>
  <w:style w:type="paragraph" w:customStyle="1" w:styleId="Order2">
    <w:name w:val="Order 2"/>
    <w:basedOn w:val="Order1"/>
    <w:rsid w:val="00E83244"/>
    <w:pPr>
      <w:numPr>
        <w:ilvl w:val="1"/>
      </w:numPr>
    </w:pPr>
  </w:style>
  <w:style w:type="paragraph" w:customStyle="1" w:styleId="Order3">
    <w:name w:val="Order 3"/>
    <w:basedOn w:val="Order2"/>
    <w:rsid w:val="00E83244"/>
    <w:pPr>
      <w:numPr>
        <w:ilvl w:val="2"/>
      </w:numPr>
    </w:pPr>
  </w:style>
  <w:style w:type="paragraph" w:customStyle="1" w:styleId="ListNo1alt">
    <w:name w:val="List No 1 (alt)"/>
    <w:basedOn w:val="Normal"/>
    <w:rsid w:val="00E83244"/>
    <w:pPr>
      <w:numPr>
        <w:numId w:val="24"/>
      </w:numPr>
      <w:spacing w:before="60" w:after="60"/>
    </w:pPr>
  </w:style>
  <w:style w:type="paragraph" w:customStyle="1" w:styleId="ListNo2alt">
    <w:name w:val="List No 2 (alt)"/>
    <w:basedOn w:val="ListNo1alt"/>
    <w:rsid w:val="00E83244"/>
    <w:pPr>
      <w:numPr>
        <w:ilvl w:val="1"/>
      </w:numPr>
    </w:pPr>
  </w:style>
  <w:style w:type="paragraph" w:customStyle="1" w:styleId="ListNo3alt">
    <w:name w:val="List No 3 (alt)"/>
    <w:basedOn w:val="ListNo2alt"/>
    <w:rsid w:val="00E83244"/>
    <w:pPr>
      <w:numPr>
        <w:ilvl w:val="2"/>
      </w:numPr>
    </w:pPr>
  </w:style>
  <w:style w:type="numbering" w:customStyle="1" w:styleId="FCListNoalt">
    <w:name w:val="FC List No (alt)"/>
    <w:uiPriority w:val="99"/>
    <w:rsid w:val="00E83244"/>
    <w:pPr>
      <w:numPr>
        <w:numId w:val="24"/>
      </w:numPr>
    </w:pPr>
  </w:style>
  <w:style w:type="paragraph" w:customStyle="1" w:styleId="Order4">
    <w:name w:val="Order 4"/>
    <w:basedOn w:val="Order3"/>
    <w:rsid w:val="00E83244"/>
    <w:pPr>
      <w:numPr>
        <w:ilvl w:val="3"/>
      </w:numPr>
    </w:pPr>
  </w:style>
  <w:style w:type="paragraph" w:styleId="ListParagraph">
    <w:name w:val="List Paragraph"/>
    <w:basedOn w:val="Normal"/>
    <w:uiPriority w:val="1"/>
    <w:qFormat/>
    <w:rsid w:val="008C3082"/>
    <w:pPr>
      <w:widowControl w:val="0"/>
      <w:autoSpaceDE w:val="0"/>
      <w:autoSpaceDN w:val="0"/>
      <w:spacing w:line="240" w:lineRule="auto"/>
      <w:ind w:left="680" w:hanging="568"/>
      <w:jc w:val="left"/>
    </w:pPr>
    <w:rPr>
      <w:rFonts w:ascii="Arial" w:eastAsia="Arial" w:hAnsi="Arial" w:cs="Arial"/>
      <w:sz w:val="22"/>
      <w:szCs w:val="22"/>
      <w:lang w:eastAsia="en-AU" w:bidi="en-AU"/>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Char"/>
    <w:basedOn w:val="Normal"/>
    <w:link w:val="FootnoteTextChar"/>
    <w:uiPriority w:val="99"/>
    <w:unhideWhenUsed/>
    <w:rsid w:val="00E83244"/>
    <w:pPr>
      <w:spacing w:line="240" w:lineRule="auto"/>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E83244"/>
    <w:rPr>
      <w:lang w:eastAsia="en-US"/>
    </w:rPr>
  </w:style>
  <w:style w:type="character" w:styleId="FootnoteReference">
    <w:name w:val="footnote reference"/>
    <w:basedOn w:val="DefaultParagraphFont"/>
    <w:uiPriority w:val="99"/>
    <w:unhideWhenUsed/>
    <w:rsid w:val="00E83244"/>
    <w:rPr>
      <w:vertAlign w:val="superscript"/>
    </w:rPr>
  </w:style>
  <w:style w:type="paragraph" w:customStyle="1" w:styleId="WJAParagraph">
    <w:name w:val="WJA Paragraph"/>
    <w:basedOn w:val="Normal"/>
    <w:link w:val="WJAParagraphChar"/>
    <w:qFormat/>
    <w:rsid w:val="00675D4F"/>
    <w:pPr>
      <w:numPr>
        <w:numId w:val="26"/>
      </w:numPr>
      <w:tabs>
        <w:tab w:val="left" w:pos="1440"/>
        <w:tab w:val="left" w:pos="2160"/>
      </w:tabs>
      <w:spacing w:before="120" w:after="120"/>
    </w:pPr>
    <w:rPr>
      <w:rFonts w:eastAsia="Times New Roman"/>
      <w:szCs w:val="24"/>
    </w:rPr>
  </w:style>
  <w:style w:type="character" w:customStyle="1" w:styleId="WJAParagraphChar">
    <w:name w:val="WJA Paragraph Char"/>
    <w:basedOn w:val="DefaultParagraphFont"/>
    <w:link w:val="WJAParagraph"/>
    <w:rsid w:val="00675D4F"/>
    <w:rPr>
      <w:rFonts w:eastAsia="Times New Roman"/>
      <w:sz w:val="24"/>
      <w:szCs w:val="24"/>
      <w:lang w:eastAsia="en-US"/>
    </w:rPr>
  </w:style>
  <w:style w:type="character" w:customStyle="1" w:styleId="sup">
    <w:name w:val="sup"/>
    <w:basedOn w:val="DefaultParagraphFont"/>
    <w:rsid w:val="00F8087B"/>
  </w:style>
  <w:style w:type="paragraph" w:customStyle="1" w:styleId="OrdersNumberL1">
    <w:name w:val="OrdersNumberL1"/>
    <w:basedOn w:val="Normal"/>
    <w:rsid w:val="0099538C"/>
    <w:pPr>
      <w:spacing w:before="240" w:after="240" w:line="240" w:lineRule="auto"/>
      <w:ind w:left="476" w:hanging="476"/>
      <w:jc w:val="left"/>
    </w:pPr>
    <w:rPr>
      <w:rFonts w:eastAsia="Times New Roman"/>
      <w:szCs w:val="24"/>
      <w:lang w:eastAsia="en-AU"/>
    </w:rPr>
  </w:style>
  <w:style w:type="paragraph" w:customStyle="1" w:styleId="Quotation">
    <w:name w:val="Quotation"/>
    <w:basedOn w:val="Normal"/>
    <w:rsid w:val="0099538C"/>
    <w:pPr>
      <w:spacing w:line="240" w:lineRule="auto"/>
      <w:ind w:left="540"/>
      <w:jc w:val="left"/>
    </w:pPr>
    <w:rPr>
      <w:rFonts w:eastAsia="Times New Roman"/>
      <w:i/>
      <w:szCs w:val="24"/>
      <w:lang w:eastAsia="en-AU"/>
    </w:rPr>
  </w:style>
  <w:style w:type="character" w:customStyle="1" w:styleId="mover">
    <w:name w:val="mover"/>
    <w:basedOn w:val="DefaultParagraphFont"/>
    <w:rsid w:val="00635D06"/>
  </w:style>
  <w:style w:type="character" w:customStyle="1" w:styleId="emphasis2">
    <w:name w:val="emphasis2"/>
    <w:basedOn w:val="DefaultParagraphFont"/>
    <w:rsid w:val="00635D06"/>
    <w:rPr>
      <w:i/>
      <w:iCs/>
    </w:rPr>
  </w:style>
  <w:style w:type="paragraph" w:customStyle="1" w:styleId="FCBullets2">
    <w:name w:val="FCBullets2"/>
    <w:basedOn w:val="FCBullets"/>
    <w:rsid w:val="00E83244"/>
    <w:pPr>
      <w:numPr>
        <w:ilvl w:val="1"/>
      </w:numPr>
    </w:pPr>
  </w:style>
  <w:style w:type="numbering" w:customStyle="1" w:styleId="FCNotes">
    <w:name w:val="FCNotes"/>
    <w:uiPriority w:val="99"/>
    <w:rsid w:val="00E83244"/>
    <w:pPr>
      <w:numPr>
        <w:numId w:val="33"/>
      </w:numPr>
    </w:pPr>
  </w:style>
  <w:style w:type="paragraph" w:customStyle="1" w:styleId="Notes">
    <w:name w:val="Notes"/>
    <w:basedOn w:val="Normal"/>
    <w:rsid w:val="00E83244"/>
    <w:pPr>
      <w:numPr>
        <w:numId w:val="33"/>
      </w:numPr>
      <w:spacing w:before="60" w:after="60"/>
    </w:pPr>
  </w:style>
  <w:style w:type="paragraph" w:customStyle="1" w:styleId="OrdersHeading1">
    <w:name w:val="Orders Heading 1"/>
    <w:basedOn w:val="Normal"/>
    <w:next w:val="BodyText"/>
    <w:rsid w:val="00E83244"/>
    <w:pPr>
      <w:keepNext/>
      <w:spacing w:before="240" w:after="180" w:line="240" w:lineRule="auto"/>
    </w:pPr>
    <w:rPr>
      <w:b/>
      <w:caps/>
    </w:rPr>
  </w:style>
  <w:style w:type="paragraph" w:customStyle="1" w:styleId="OrdersHeading2">
    <w:name w:val="Orders Heading 2"/>
    <w:basedOn w:val="Normal"/>
    <w:next w:val="BodyText"/>
    <w:rsid w:val="00E83244"/>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1487">
      <w:bodyDiv w:val="1"/>
      <w:marLeft w:val="0"/>
      <w:marRight w:val="0"/>
      <w:marTop w:val="0"/>
      <w:marBottom w:val="0"/>
      <w:divBdr>
        <w:top w:val="none" w:sz="0" w:space="0" w:color="auto"/>
        <w:left w:val="none" w:sz="0" w:space="0" w:color="auto"/>
        <w:bottom w:val="none" w:sz="0" w:space="0" w:color="auto"/>
        <w:right w:val="none" w:sz="0" w:space="0" w:color="auto"/>
      </w:divBdr>
      <w:divsChild>
        <w:div w:id="193759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8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75151">
      <w:bodyDiv w:val="1"/>
      <w:marLeft w:val="0"/>
      <w:marRight w:val="0"/>
      <w:marTop w:val="0"/>
      <w:marBottom w:val="0"/>
      <w:divBdr>
        <w:top w:val="none" w:sz="0" w:space="0" w:color="auto"/>
        <w:left w:val="none" w:sz="0" w:space="0" w:color="auto"/>
        <w:bottom w:val="none" w:sz="0" w:space="0" w:color="auto"/>
        <w:right w:val="none" w:sz="0" w:space="0" w:color="auto"/>
      </w:divBdr>
      <w:divsChild>
        <w:div w:id="15514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5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243301">
      <w:bodyDiv w:val="1"/>
      <w:marLeft w:val="0"/>
      <w:marRight w:val="0"/>
      <w:marTop w:val="0"/>
      <w:marBottom w:val="0"/>
      <w:divBdr>
        <w:top w:val="none" w:sz="0" w:space="0" w:color="auto"/>
        <w:left w:val="none" w:sz="0" w:space="0" w:color="auto"/>
        <w:bottom w:val="none" w:sz="0" w:space="0" w:color="auto"/>
        <w:right w:val="none" w:sz="0" w:space="0" w:color="auto"/>
      </w:divBdr>
    </w:div>
    <w:div w:id="343870170">
      <w:bodyDiv w:val="1"/>
      <w:marLeft w:val="0"/>
      <w:marRight w:val="0"/>
      <w:marTop w:val="0"/>
      <w:marBottom w:val="0"/>
      <w:divBdr>
        <w:top w:val="none" w:sz="0" w:space="0" w:color="auto"/>
        <w:left w:val="none" w:sz="0" w:space="0" w:color="auto"/>
        <w:bottom w:val="none" w:sz="0" w:space="0" w:color="auto"/>
        <w:right w:val="none" w:sz="0" w:space="0" w:color="auto"/>
      </w:divBdr>
    </w:div>
    <w:div w:id="417217022">
      <w:bodyDiv w:val="1"/>
      <w:marLeft w:val="0"/>
      <w:marRight w:val="0"/>
      <w:marTop w:val="0"/>
      <w:marBottom w:val="0"/>
      <w:divBdr>
        <w:top w:val="none" w:sz="0" w:space="0" w:color="auto"/>
        <w:left w:val="none" w:sz="0" w:space="0" w:color="auto"/>
        <w:bottom w:val="none" w:sz="0" w:space="0" w:color="auto"/>
        <w:right w:val="none" w:sz="0" w:space="0" w:color="auto"/>
      </w:divBdr>
    </w:div>
    <w:div w:id="640765403">
      <w:bodyDiv w:val="1"/>
      <w:marLeft w:val="0"/>
      <w:marRight w:val="0"/>
      <w:marTop w:val="0"/>
      <w:marBottom w:val="0"/>
      <w:divBdr>
        <w:top w:val="none" w:sz="0" w:space="0" w:color="auto"/>
        <w:left w:val="none" w:sz="0" w:space="0" w:color="auto"/>
        <w:bottom w:val="none" w:sz="0" w:space="0" w:color="auto"/>
        <w:right w:val="none" w:sz="0" w:space="0" w:color="auto"/>
      </w:divBdr>
    </w:div>
    <w:div w:id="916405178">
      <w:bodyDiv w:val="1"/>
      <w:marLeft w:val="0"/>
      <w:marRight w:val="0"/>
      <w:marTop w:val="0"/>
      <w:marBottom w:val="0"/>
      <w:divBdr>
        <w:top w:val="none" w:sz="0" w:space="0" w:color="auto"/>
        <w:left w:val="none" w:sz="0" w:space="0" w:color="auto"/>
        <w:bottom w:val="none" w:sz="0" w:space="0" w:color="auto"/>
        <w:right w:val="none" w:sz="0" w:space="0" w:color="auto"/>
      </w:divBdr>
    </w:div>
    <w:div w:id="985813844">
      <w:bodyDiv w:val="1"/>
      <w:marLeft w:val="0"/>
      <w:marRight w:val="0"/>
      <w:marTop w:val="0"/>
      <w:marBottom w:val="0"/>
      <w:divBdr>
        <w:top w:val="none" w:sz="0" w:space="0" w:color="auto"/>
        <w:left w:val="none" w:sz="0" w:space="0" w:color="auto"/>
        <w:bottom w:val="none" w:sz="0" w:space="0" w:color="auto"/>
        <w:right w:val="none" w:sz="0" w:space="0" w:color="auto"/>
      </w:divBdr>
    </w:div>
    <w:div w:id="1016926706">
      <w:bodyDiv w:val="1"/>
      <w:marLeft w:val="0"/>
      <w:marRight w:val="0"/>
      <w:marTop w:val="0"/>
      <w:marBottom w:val="0"/>
      <w:divBdr>
        <w:top w:val="none" w:sz="0" w:space="0" w:color="auto"/>
        <w:left w:val="none" w:sz="0" w:space="0" w:color="auto"/>
        <w:bottom w:val="none" w:sz="0" w:space="0" w:color="auto"/>
        <w:right w:val="none" w:sz="0" w:space="0" w:color="auto"/>
      </w:divBdr>
    </w:div>
    <w:div w:id="1045104875">
      <w:bodyDiv w:val="1"/>
      <w:marLeft w:val="0"/>
      <w:marRight w:val="0"/>
      <w:marTop w:val="0"/>
      <w:marBottom w:val="0"/>
      <w:divBdr>
        <w:top w:val="none" w:sz="0" w:space="0" w:color="auto"/>
        <w:left w:val="none" w:sz="0" w:space="0" w:color="auto"/>
        <w:bottom w:val="none" w:sz="0" w:space="0" w:color="auto"/>
        <w:right w:val="none" w:sz="0" w:space="0" w:color="auto"/>
      </w:divBdr>
    </w:div>
    <w:div w:id="1052850876">
      <w:bodyDiv w:val="1"/>
      <w:marLeft w:val="0"/>
      <w:marRight w:val="0"/>
      <w:marTop w:val="0"/>
      <w:marBottom w:val="0"/>
      <w:divBdr>
        <w:top w:val="none" w:sz="0" w:space="0" w:color="auto"/>
        <w:left w:val="none" w:sz="0" w:space="0" w:color="auto"/>
        <w:bottom w:val="none" w:sz="0" w:space="0" w:color="auto"/>
        <w:right w:val="none" w:sz="0" w:space="0" w:color="auto"/>
      </w:divBdr>
    </w:div>
    <w:div w:id="1056931543">
      <w:bodyDiv w:val="1"/>
      <w:marLeft w:val="0"/>
      <w:marRight w:val="0"/>
      <w:marTop w:val="0"/>
      <w:marBottom w:val="0"/>
      <w:divBdr>
        <w:top w:val="none" w:sz="0" w:space="0" w:color="auto"/>
        <w:left w:val="none" w:sz="0" w:space="0" w:color="auto"/>
        <w:bottom w:val="none" w:sz="0" w:space="0" w:color="auto"/>
        <w:right w:val="none" w:sz="0" w:space="0" w:color="auto"/>
      </w:divBdr>
    </w:div>
    <w:div w:id="1109663273">
      <w:bodyDiv w:val="1"/>
      <w:marLeft w:val="0"/>
      <w:marRight w:val="0"/>
      <w:marTop w:val="0"/>
      <w:marBottom w:val="0"/>
      <w:divBdr>
        <w:top w:val="none" w:sz="0" w:space="0" w:color="auto"/>
        <w:left w:val="none" w:sz="0" w:space="0" w:color="auto"/>
        <w:bottom w:val="none" w:sz="0" w:space="0" w:color="auto"/>
        <w:right w:val="none" w:sz="0" w:space="0" w:color="auto"/>
      </w:divBdr>
    </w:div>
    <w:div w:id="1139110322">
      <w:bodyDiv w:val="1"/>
      <w:marLeft w:val="0"/>
      <w:marRight w:val="0"/>
      <w:marTop w:val="0"/>
      <w:marBottom w:val="0"/>
      <w:divBdr>
        <w:top w:val="none" w:sz="0" w:space="0" w:color="auto"/>
        <w:left w:val="none" w:sz="0" w:space="0" w:color="auto"/>
        <w:bottom w:val="none" w:sz="0" w:space="0" w:color="auto"/>
        <w:right w:val="none" w:sz="0" w:space="0" w:color="auto"/>
      </w:divBdr>
    </w:div>
    <w:div w:id="1175338670">
      <w:bodyDiv w:val="1"/>
      <w:marLeft w:val="0"/>
      <w:marRight w:val="0"/>
      <w:marTop w:val="0"/>
      <w:marBottom w:val="0"/>
      <w:divBdr>
        <w:top w:val="none" w:sz="0" w:space="0" w:color="auto"/>
        <w:left w:val="none" w:sz="0" w:space="0" w:color="auto"/>
        <w:bottom w:val="none" w:sz="0" w:space="0" w:color="auto"/>
        <w:right w:val="none" w:sz="0" w:space="0" w:color="auto"/>
      </w:divBdr>
      <w:divsChild>
        <w:div w:id="1396198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96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11837">
      <w:bodyDiv w:val="1"/>
      <w:marLeft w:val="0"/>
      <w:marRight w:val="0"/>
      <w:marTop w:val="0"/>
      <w:marBottom w:val="0"/>
      <w:divBdr>
        <w:top w:val="none" w:sz="0" w:space="0" w:color="auto"/>
        <w:left w:val="none" w:sz="0" w:space="0" w:color="auto"/>
        <w:bottom w:val="none" w:sz="0" w:space="0" w:color="auto"/>
        <w:right w:val="none" w:sz="0" w:space="0" w:color="auto"/>
      </w:divBdr>
    </w:div>
    <w:div w:id="1237864978">
      <w:bodyDiv w:val="1"/>
      <w:marLeft w:val="0"/>
      <w:marRight w:val="0"/>
      <w:marTop w:val="0"/>
      <w:marBottom w:val="0"/>
      <w:divBdr>
        <w:top w:val="none" w:sz="0" w:space="0" w:color="auto"/>
        <w:left w:val="none" w:sz="0" w:space="0" w:color="auto"/>
        <w:bottom w:val="none" w:sz="0" w:space="0" w:color="auto"/>
        <w:right w:val="none" w:sz="0" w:space="0" w:color="auto"/>
      </w:divBdr>
    </w:div>
    <w:div w:id="1637905498">
      <w:bodyDiv w:val="1"/>
      <w:marLeft w:val="0"/>
      <w:marRight w:val="0"/>
      <w:marTop w:val="0"/>
      <w:marBottom w:val="0"/>
      <w:divBdr>
        <w:top w:val="none" w:sz="0" w:space="0" w:color="auto"/>
        <w:left w:val="none" w:sz="0" w:space="0" w:color="auto"/>
        <w:bottom w:val="none" w:sz="0" w:space="0" w:color="auto"/>
        <w:right w:val="none" w:sz="0" w:space="0" w:color="auto"/>
      </w:divBdr>
      <w:divsChild>
        <w:div w:id="218711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905812">
      <w:bodyDiv w:val="1"/>
      <w:marLeft w:val="0"/>
      <w:marRight w:val="0"/>
      <w:marTop w:val="0"/>
      <w:marBottom w:val="0"/>
      <w:divBdr>
        <w:top w:val="none" w:sz="0" w:space="0" w:color="auto"/>
        <w:left w:val="none" w:sz="0" w:space="0" w:color="auto"/>
        <w:bottom w:val="none" w:sz="0" w:space="0" w:color="auto"/>
        <w:right w:val="none" w:sz="0" w:space="0" w:color="auto"/>
      </w:divBdr>
      <w:divsChild>
        <w:div w:id="1302735547">
          <w:marLeft w:val="0"/>
          <w:marRight w:val="0"/>
          <w:marTop w:val="0"/>
          <w:marBottom w:val="0"/>
          <w:divBdr>
            <w:top w:val="none" w:sz="0" w:space="0" w:color="auto"/>
            <w:left w:val="none" w:sz="0" w:space="0" w:color="auto"/>
            <w:bottom w:val="none" w:sz="0" w:space="0" w:color="auto"/>
            <w:right w:val="none" w:sz="0" w:space="0" w:color="auto"/>
          </w:divBdr>
          <w:divsChild>
            <w:div w:id="14516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4192">
      <w:bodyDiv w:val="1"/>
      <w:marLeft w:val="0"/>
      <w:marRight w:val="0"/>
      <w:marTop w:val="0"/>
      <w:marBottom w:val="0"/>
      <w:divBdr>
        <w:top w:val="none" w:sz="0" w:space="0" w:color="auto"/>
        <w:left w:val="none" w:sz="0" w:space="0" w:color="auto"/>
        <w:bottom w:val="none" w:sz="0" w:space="0" w:color="auto"/>
        <w:right w:val="none" w:sz="0" w:space="0" w:color="auto"/>
      </w:divBdr>
      <w:divsChild>
        <w:div w:id="147563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1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782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009003">
      <w:bodyDiv w:val="1"/>
      <w:marLeft w:val="0"/>
      <w:marRight w:val="0"/>
      <w:marTop w:val="0"/>
      <w:marBottom w:val="0"/>
      <w:divBdr>
        <w:top w:val="none" w:sz="0" w:space="0" w:color="auto"/>
        <w:left w:val="none" w:sz="0" w:space="0" w:color="auto"/>
        <w:bottom w:val="none" w:sz="0" w:space="0" w:color="auto"/>
        <w:right w:val="none" w:sz="0" w:space="0" w:color="auto"/>
      </w:divBdr>
    </w:div>
    <w:div w:id="1790467928">
      <w:bodyDiv w:val="1"/>
      <w:marLeft w:val="0"/>
      <w:marRight w:val="0"/>
      <w:marTop w:val="0"/>
      <w:marBottom w:val="0"/>
      <w:divBdr>
        <w:top w:val="none" w:sz="0" w:space="0" w:color="auto"/>
        <w:left w:val="none" w:sz="0" w:space="0" w:color="auto"/>
        <w:bottom w:val="none" w:sz="0" w:space="0" w:color="auto"/>
        <w:right w:val="none" w:sz="0" w:space="0" w:color="auto"/>
      </w:divBdr>
    </w:div>
    <w:div w:id="1843618553">
      <w:bodyDiv w:val="1"/>
      <w:marLeft w:val="0"/>
      <w:marRight w:val="0"/>
      <w:marTop w:val="0"/>
      <w:marBottom w:val="0"/>
      <w:divBdr>
        <w:top w:val="none" w:sz="0" w:space="0" w:color="auto"/>
        <w:left w:val="none" w:sz="0" w:space="0" w:color="auto"/>
        <w:bottom w:val="none" w:sz="0" w:space="0" w:color="auto"/>
        <w:right w:val="none" w:sz="0" w:space="0" w:color="auto"/>
      </w:divBdr>
      <w:divsChild>
        <w:div w:id="1966890373">
          <w:marLeft w:val="0"/>
          <w:marRight w:val="0"/>
          <w:marTop w:val="0"/>
          <w:marBottom w:val="0"/>
          <w:divBdr>
            <w:top w:val="none" w:sz="0" w:space="0" w:color="auto"/>
            <w:left w:val="none" w:sz="0" w:space="0" w:color="auto"/>
            <w:bottom w:val="none" w:sz="0" w:space="0" w:color="auto"/>
            <w:right w:val="none" w:sz="0" w:space="0" w:color="auto"/>
          </w:divBdr>
          <w:divsChild>
            <w:div w:id="1897932592">
              <w:marLeft w:val="0"/>
              <w:marRight w:val="0"/>
              <w:marTop w:val="0"/>
              <w:marBottom w:val="0"/>
              <w:divBdr>
                <w:top w:val="none" w:sz="0" w:space="0" w:color="auto"/>
                <w:left w:val="none" w:sz="0" w:space="0" w:color="auto"/>
                <w:bottom w:val="none" w:sz="0" w:space="0" w:color="auto"/>
                <w:right w:val="none" w:sz="0" w:space="0" w:color="auto"/>
              </w:divBdr>
              <w:divsChild>
                <w:div w:id="94584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0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3080363">
      <w:bodyDiv w:val="1"/>
      <w:marLeft w:val="0"/>
      <w:marRight w:val="0"/>
      <w:marTop w:val="0"/>
      <w:marBottom w:val="0"/>
      <w:divBdr>
        <w:top w:val="none" w:sz="0" w:space="0" w:color="auto"/>
        <w:left w:val="none" w:sz="0" w:space="0" w:color="auto"/>
        <w:bottom w:val="none" w:sz="0" w:space="0" w:color="auto"/>
        <w:right w:val="none" w:sz="0" w:space="0" w:color="auto"/>
      </w:divBdr>
    </w:div>
    <w:div w:id="1939630856">
      <w:bodyDiv w:val="1"/>
      <w:marLeft w:val="0"/>
      <w:marRight w:val="0"/>
      <w:marTop w:val="0"/>
      <w:marBottom w:val="0"/>
      <w:divBdr>
        <w:top w:val="none" w:sz="0" w:space="0" w:color="auto"/>
        <w:left w:val="none" w:sz="0" w:space="0" w:color="auto"/>
        <w:bottom w:val="none" w:sz="0" w:space="0" w:color="auto"/>
        <w:right w:val="none" w:sz="0" w:space="0" w:color="auto"/>
      </w:divBdr>
    </w:div>
    <w:div w:id="2092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268DE68E946948ABC1465EB2577E2"/>
        <w:category>
          <w:name w:val="General"/>
          <w:gallery w:val="placeholder"/>
        </w:category>
        <w:types>
          <w:type w:val="bbPlcHdr"/>
        </w:types>
        <w:behaviors>
          <w:behavior w:val="content"/>
        </w:behaviors>
        <w:guid w:val="{8B9BFB1C-431C-4232-9D49-30FAD901FD6B}"/>
      </w:docPartPr>
      <w:docPartBody>
        <w:p w:rsidR="00BD1C73" w:rsidRDefault="00BD1C73">
          <w:pPr>
            <w:pStyle w:val="F55268DE68E946948ABC1465EB2577E2"/>
          </w:pPr>
          <w:r>
            <w:rPr>
              <w:rStyle w:val="PlaceholderText"/>
            </w:rPr>
            <w:t>MNC Text</w:t>
          </w:r>
        </w:p>
      </w:docPartBody>
    </w:docPart>
    <w:docPart>
      <w:docPartPr>
        <w:name w:val="9F4B70049C814DEAB60F03B190BBD8B4"/>
        <w:category>
          <w:name w:val="General"/>
          <w:gallery w:val="placeholder"/>
        </w:category>
        <w:types>
          <w:type w:val="bbPlcHdr"/>
        </w:types>
        <w:behaviors>
          <w:behavior w:val="content"/>
        </w:behaviors>
        <w:guid w:val="{0D0F66CA-FAD5-4515-B831-787131E91198}"/>
      </w:docPartPr>
      <w:docPartBody>
        <w:p w:rsidR="00BD1C73" w:rsidRDefault="00BD1C73">
          <w:pPr>
            <w:pStyle w:val="9F4B70049C814DEAB60F03B190BBD8B4"/>
          </w:pPr>
          <w:r w:rsidRPr="005C44BE">
            <w:rPr>
              <w:rStyle w:val="PlaceholderText"/>
            </w:rPr>
            <w:t>Click or tap here to enter text.</w:t>
          </w:r>
        </w:p>
      </w:docPartBody>
    </w:docPart>
    <w:docPart>
      <w:docPartPr>
        <w:name w:val="706AD05681F94C669FD032C78B865DFA"/>
        <w:category>
          <w:name w:val="General"/>
          <w:gallery w:val="placeholder"/>
        </w:category>
        <w:types>
          <w:type w:val="bbPlcHdr"/>
        </w:types>
        <w:behaviors>
          <w:behavior w:val="content"/>
        </w:behaviors>
        <w:guid w:val="{D6CBFB8A-7215-4B0C-885E-E9DF3BD113E6}"/>
      </w:docPartPr>
      <w:docPartBody>
        <w:p w:rsidR="00BD1C73" w:rsidRDefault="00BD1C73">
          <w:pPr>
            <w:pStyle w:val="706AD05681F94C669FD032C78B865DFA"/>
          </w:pPr>
          <w:r w:rsidRPr="005C44BE">
            <w:rPr>
              <w:rStyle w:val="PlaceholderText"/>
            </w:rPr>
            <w:t>Click or tap here to enter text.</w:t>
          </w:r>
        </w:p>
      </w:docPartBody>
    </w:docPart>
    <w:docPart>
      <w:docPartPr>
        <w:name w:val="CABD4906990842A1920E0330AE4413FE"/>
        <w:category>
          <w:name w:val="General"/>
          <w:gallery w:val="placeholder"/>
        </w:category>
        <w:types>
          <w:type w:val="bbPlcHdr"/>
        </w:types>
        <w:behaviors>
          <w:behavior w:val="content"/>
        </w:behaviors>
        <w:guid w:val="{7A2B1A93-6F9B-48CF-9662-91E9A2F518DA}"/>
      </w:docPartPr>
      <w:docPartBody>
        <w:p w:rsidR="009D4337" w:rsidRDefault="0047566D" w:rsidP="0047566D">
          <w:pPr>
            <w:pStyle w:val="CABD4906990842A1920E0330AE4413FE"/>
          </w:pPr>
          <w:r w:rsidRPr="005C44BE">
            <w:rPr>
              <w:rStyle w:val="PlaceholderText"/>
            </w:rPr>
            <w:t>Click or tap here to enter text.</w:t>
          </w:r>
        </w:p>
      </w:docPartBody>
    </w:docPart>
    <w:docPart>
      <w:docPartPr>
        <w:name w:val="A2F35EDC08B14C308B51A989B1F9E895"/>
        <w:category>
          <w:name w:val="General"/>
          <w:gallery w:val="placeholder"/>
        </w:category>
        <w:types>
          <w:type w:val="bbPlcHdr"/>
        </w:types>
        <w:behaviors>
          <w:behavior w:val="content"/>
        </w:behaviors>
        <w:guid w:val="{7AC98EFD-B17B-449F-90DD-97FA2A368ABC}"/>
      </w:docPartPr>
      <w:docPartBody>
        <w:p w:rsidR="00EF1705" w:rsidRDefault="00EF2B65" w:rsidP="00EF2B65">
          <w:pPr>
            <w:pStyle w:val="A2F35EDC08B14C308B51A989B1F9E89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3"/>
    <w:rsid w:val="00100D65"/>
    <w:rsid w:val="001255FB"/>
    <w:rsid w:val="0022306C"/>
    <w:rsid w:val="00243B69"/>
    <w:rsid w:val="00272FBC"/>
    <w:rsid w:val="003B0637"/>
    <w:rsid w:val="004235F2"/>
    <w:rsid w:val="00445209"/>
    <w:rsid w:val="0047566D"/>
    <w:rsid w:val="004A3A7C"/>
    <w:rsid w:val="00527BEF"/>
    <w:rsid w:val="005521A0"/>
    <w:rsid w:val="006C1C7F"/>
    <w:rsid w:val="00723B1B"/>
    <w:rsid w:val="00724A3E"/>
    <w:rsid w:val="007531B1"/>
    <w:rsid w:val="00766D54"/>
    <w:rsid w:val="008233A9"/>
    <w:rsid w:val="00906330"/>
    <w:rsid w:val="00936DB6"/>
    <w:rsid w:val="009C0561"/>
    <w:rsid w:val="009D4337"/>
    <w:rsid w:val="00A53956"/>
    <w:rsid w:val="00A63EA0"/>
    <w:rsid w:val="00AC5F7D"/>
    <w:rsid w:val="00B465C9"/>
    <w:rsid w:val="00B60CD9"/>
    <w:rsid w:val="00B73E0E"/>
    <w:rsid w:val="00BD1C73"/>
    <w:rsid w:val="00C56DF4"/>
    <w:rsid w:val="00CB3822"/>
    <w:rsid w:val="00EF1705"/>
    <w:rsid w:val="00EF2B65"/>
    <w:rsid w:val="00F75624"/>
    <w:rsid w:val="00FB4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65"/>
    <w:rPr>
      <w:color w:val="808080"/>
    </w:rPr>
  </w:style>
  <w:style w:type="paragraph" w:customStyle="1" w:styleId="F55268DE68E946948ABC1465EB2577E2">
    <w:name w:val="F55268DE68E946948ABC1465EB2577E2"/>
  </w:style>
  <w:style w:type="paragraph" w:customStyle="1" w:styleId="5403A307805F4CE08BC0D3FB188C750B">
    <w:name w:val="5403A307805F4CE08BC0D3FB188C750B"/>
  </w:style>
  <w:style w:type="paragraph" w:customStyle="1" w:styleId="B4D171E9E0B74F278906EE41D97DCDC0">
    <w:name w:val="B4D171E9E0B74F278906EE41D97DCDC0"/>
  </w:style>
  <w:style w:type="paragraph" w:customStyle="1" w:styleId="9F4B70049C814DEAB60F03B190BBD8B4">
    <w:name w:val="9F4B70049C814DEAB60F03B190BBD8B4"/>
  </w:style>
  <w:style w:type="paragraph" w:customStyle="1" w:styleId="706AD05681F94C669FD032C78B865DFA">
    <w:name w:val="706AD05681F94C669FD032C78B865DFA"/>
  </w:style>
  <w:style w:type="paragraph" w:customStyle="1" w:styleId="CABD4906990842A1920E0330AE4413FE">
    <w:name w:val="CABD4906990842A1920E0330AE4413FE"/>
    <w:rsid w:val="0047566D"/>
  </w:style>
  <w:style w:type="paragraph" w:customStyle="1" w:styleId="05DD6934CC5E4796BF46B7F14797B908">
    <w:name w:val="05DD6934CC5E4796BF46B7F14797B908"/>
    <w:rsid w:val="00EF2B65"/>
  </w:style>
  <w:style w:type="paragraph" w:customStyle="1" w:styleId="A2F35EDC08B14C308B51A989B1F9E895">
    <w:name w:val="A2F35EDC08B14C308B51A989B1F9E895"/>
    <w:rsid w:val="00EF2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Roberts-Smith v Fairfax Media Publications Pty Limited (No 25) [2021] FCA 1558</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452D4CD3-077E-4D29-A9F8-A3F14124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24</Pages>
  <Words>8924</Words>
  <Characters>44791</Characters>
  <Application>Microsoft Office Word</Application>
  <DocSecurity>4</DocSecurity>
  <Lines>829</Lines>
  <Paragraphs>257</Paragraphs>
  <ScaleCrop>false</ScaleCrop>
  <HeadingPairs>
    <vt:vector size="2" baseType="variant">
      <vt:variant>
        <vt:lpstr>Title</vt:lpstr>
      </vt:variant>
      <vt:variant>
        <vt:i4>1</vt:i4>
      </vt:variant>
    </vt:vector>
  </HeadingPairs>
  <TitlesOfParts>
    <vt:vector size="1" baseType="lpstr">
      <vt:lpstr>Roberts-Smith v Fairfax Media Publications Pty Limited (No 25) [2021] FCA 1558</vt:lpstr>
    </vt:vector>
  </TitlesOfParts>
  <Company>Federal Court of Australia</Company>
  <LinksUpToDate>false</LinksUpToDate>
  <CharactersWithSpaces>53458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25) [2021] FCA 1558</dc:title>
  <dc:creator>Erasmus Lovell-Jones</dc:creator>
  <cp:lastModifiedBy>Amy Chan</cp:lastModifiedBy>
  <cp:revision>2</cp:revision>
  <cp:lastPrinted>2021-12-14T02:15:00Z</cp:lastPrinted>
  <dcterms:created xsi:type="dcterms:W3CDTF">2021-12-14T02:16:00Z</dcterms:created>
  <dcterms:modified xsi:type="dcterms:W3CDTF">2021-12-14T02:16:00Z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