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95F33" w14:textId="77777777" w:rsidR="00395B24" w:rsidRDefault="00ED335E" w:rsidP="00A22932">
      <w:pPr>
        <w:pStyle w:val="CourtTitle"/>
      </w:pPr>
      <w:r>
        <w:fldChar w:fldCharType="begin"/>
      </w:r>
      <w:r>
        <w:instrText xml:space="preserve"> DOCPROPERTY  Court  \* MERGEFORMAT </w:instrText>
      </w:r>
      <w:r>
        <w:fldChar w:fldCharType="separate"/>
      </w:r>
      <w:r w:rsidR="005640F6">
        <w:t>Federal Court of Australia</w:t>
      </w:r>
      <w:r>
        <w:fldChar w:fldCharType="end"/>
      </w:r>
    </w:p>
    <w:p w14:paraId="27D95F34" w14:textId="77777777" w:rsidR="00395B24" w:rsidRDefault="00395B24">
      <w:pPr>
        <w:pStyle w:val="NormalHeadings"/>
        <w:jc w:val="center"/>
        <w:rPr>
          <w:sz w:val="32"/>
        </w:rPr>
      </w:pPr>
    </w:p>
    <w:bookmarkStart w:id="0" w:name="MNC"/>
    <w:p w14:paraId="27D95F35" w14:textId="77777777" w:rsidR="00374CC4" w:rsidRDefault="00C3527C" w:rsidP="001A2B40">
      <w:pPr>
        <w:pStyle w:val="MNC"/>
      </w:pPr>
      <w:sdt>
        <w:sdtPr>
          <w:alias w:val="MNC"/>
          <w:tag w:val="MNC"/>
          <w:id w:val="343289786"/>
          <w:lock w:val="sdtLocked"/>
          <w:placeholder>
            <w:docPart w:val="9CC2A845EC424CCDA425851AD247861B"/>
          </w:placeholder>
          <w:dataBinding w:prefixMappings="xmlns:ns0='http://schemas.globalmacros.com/FCA'" w:xpath="/ns0:root[1]/ns0:Name[1]" w:storeItemID="{687E7CCB-4AA5-44E7-B148-17BA2B6F57C0}"/>
          <w:text w:multiLine="1"/>
        </w:sdtPr>
        <w:sdtEndPr/>
        <w:sdtContent>
          <w:r w:rsidR="004C6BDE" w:rsidRPr="00E77E81">
            <w:t xml:space="preserve">Donoghue v </w:t>
          </w:r>
          <w:proofErr w:type="spellStart"/>
          <w:r w:rsidR="004C6BDE" w:rsidRPr="00E77E81">
            <w:t>Russells</w:t>
          </w:r>
          <w:proofErr w:type="spellEnd"/>
          <w:r w:rsidR="004C6BDE" w:rsidRPr="00E77E81">
            <w:t xml:space="preserve"> (A Firm) [2021] FCA </w:t>
          </w:r>
          <w:r w:rsidR="00E77E81" w:rsidRPr="00E77E81">
            <w:t>798</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5316D1" w14:paraId="27D95F38" w14:textId="77777777" w:rsidTr="0024614E">
        <w:tc>
          <w:tcPr>
            <w:tcW w:w="3084" w:type="dxa"/>
            <w:shd w:val="clear" w:color="auto" w:fill="auto"/>
          </w:tcPr>
          <w:p w14:paraId="27D95F36" w14:textId="77777777" w:rsidR="005316D1" w:rsidRPr="00B014BA" w:rsidRDefault="005316D1" w:rsidP="00663878">
            <w:pPr>
              <w:pStyle w:val="Normal1linespace"/>
              <w:widowControl w:val="0"/>
              <w:jc w:val="left"/>
            </w:pPr>
            <w:r w:rsidRPr="00B014BA">
              <w:t>Appeal from:</w:t>
            </w:r>
          </w:p>
        </w:tc>
        <w:tc>
          <w:tcPr>
            <w:tcW w:w="5989" w:type="dxa"/>
            <w:shd w:val="clear" w:color="auto" w:fill="auto"/>
          </w:tcPr>
          <w:p w14:paraId="27D95F37" w14:textId="77777777" w:rsidR="005316D1" w:rsidRPr="004C6BDE" w:rsidRDefault="00B014BA" w:rsidP="004C6BDE">
            <w:pPr>
              <w:pStyle w:val="Normal1linespace"/>
              <w:jc w:val="left"/>
            </w:pPr>
            <w:proofErr w:type="spellStart"/>
            <w:r w:rsidRPr="00B014BA">
              <w:rPr>
                <w:i/>
              </w:rPr>
              <w:t>Russells</w:t>
            </w:r>
            <w:proofErr w:type="spellEnd"/>
            <w:r w:rsidRPr="00B014BA">
              <w:rPr>
                <w:i/>
              </w:rPr>
              <w:t xml:space="preserve"> (A Firm) v Donoghue</w:t>
            </w:r>
            <w:r w:rsidRPr="00B014BA">
              <w:t xml:space="preserve"> [2019] FCCA 1864</w:t>
            </w:r>
          </w:p>
        </w:tc>
      </w:tr>
      <w:tr w:rsidR="005316D1" w14:paraId="27D95F3B" w14:textId="77777777" w:rsidTr="0024614E">
        <w:tc>
          <w:tcPr>
            <w:tcW w:w="3084" w:type="dxa"/>
            <w:shd w:val="clear" w:color="auto" w:fill="auto"/>
          </w:tcPr>
          <w:p w14:paraId="27D95F39" w14:textId="77777777" w:rsidR="005316D1" w:rsidRDefault="005316D1" w:rsidP="00663878">
            <w:pPr>
              <w:pStyle w:val="Normal1linespace"/>
              <w:widowControl w:val="0"/>
              <w:jc w:val="left"/>
            </w:pPr>
          </w:p>
        </w:tc>
        <w:tc>
          <w:tcPr>
            <w:tcW w:w="5989" w:type="dxa"/>
            <w:shd w:val="clear" w:color="auto" w:fill="auto"/>
          </w:tcPr>
          <w:p w14:paraId="27D95F3A" w14:textId="77777777" w:rsidR="005316D1" w:rsidRPr="004C6BDE" w:rsidRDefault="005316D1" w:rsidP="004C6BDE">
            <w:pPr>
              <w:pStyle w:val="Normal1linespace"/>
              <w:jc w:val="left"/>
            </w:pPr>
          </w:p>
        </w:tc>
      </w:tr>
      <w:tr w:rsidR="00395B24" w14:paraId="27D95F3E" w14:textId="77777777" w:rsidTr="0024614E">
        <w:tc>
          <w:tcPr>
            <w:tcW w:w="3084" w:type="dxa"/>
            <w:shd w:val="clear" w:color="auto" w:fill="auto"/>
          </w:tcPr>
          <w:p w14:paraId="27D95F3C" w14:textId="77777777" w:rsidR="00395B24" w:rsidRDefault="004C6BDE" w:rsidP="00663878">
            <w:pPr>
              <w:pStyle w:val="Normal1linespace"/>
              <w:widowControl w:val="0"/>
              <w:jc w:val="left"/>
            </w:pPr>
            <w:r>
              <w:t>File number</w:t>
            </w:r>
            <w:r w:rsidR="002C7385">
              <w:t>:</w:t>
            </w:r>
          </w:p>
        </w:tc>
        <w:tc>
          <w:tcPr>
            <w:tcW w:w="5989" w:type="dxa"/>
            <w:shd w:val="clear" w:color="auto" w:fill="auto"/>
          </w:tcPr>
          <w:p w14:paraId="27D95F3D" w14:textId="77777777" w:rsidR="00395B24" w:rsidRPr="005640F6" w:rsidRDefault="00C3527C" w:rsidP="005640F6">
            <w:pPr>
              <w:pStyle w:val="Normal1linespace"/>
              <w:jc w:val="left"/>
            </w:pPr>
            <w:r>
              <w:fldChar w:fldCharType="begin" w:fldLock="1"/>
            </w:r>
            <w:r>
              <w:instrText xml:space="preserve"> REF  FileNo  \* MERGEFORMAT </w:instrText>
            </w:r>
            <w:r>
              <w:fldChar w:fldCharType="separate"/>
            </w:r>
            <w:r w:rsidR="005640F6" w:rsidRPr="005640F6">
              <w:t>QUD 446 of 2019</w:t>
            </w:r>
            <w:r>
              <w:fldChar w:fldCharType="end"/>
            </w:r>
          </w:p>
        </w:tc>
      </w:tr>
      <w:tr w:rsidR="00395B24" w14:paraId="27D95F41" w14:textId="77777777" w:rsidTr="0024614E">
        <w:tc>
          <w:tcPr>
            <w:tcW w:w="3084" w:type="dxa"/>
            <w:shd w:val="clear" w:color="auto" w:fill="auto"/>
          </w:tcPr>
          <w:p w14:paraId="27D95F3F" w14:textId="77777777" w:rsidR="00395B24" w:rsidRDefault="00395B24" w:rsidP="00663878">
            <w:pPr>
              <w:pStyle w:val="Normal1linespace"/>
              <w:widowControl w:val="0"/>
              <w:jc w:val="left"/>
            </w:pPr>
          </w:p>
        </w:tc>
        <w:tc>
          <w:tcPr>
            <w:tcW w:w="5989" w:type="dxa"/>
            <w:shd w:val="clear" w:color="auto" w:fill="auto"/>
          </w:tcPr>
          <w:p w14:paraId="27D95F40" w14:textId="77777777" w:rsidR="00395B24" w:rsidRDefault="00395B24" w:rsidP="00663878">
            <w:pPr>
              <w:pStyle w:val="Normal1linespace"/>
              <w:widowControl w:val="0"/>
              <w:jc w:val="left"/>
            </w:pPr>
          </w:p>
        </w:tc>
      </w:tr>
      <w:tr w:rsidR="00395B24" w14:paraId="27D95F44" w14:textId="77777777" w:rsidTr="0024614E">
        <w:tc>
          <w:tcPr>
            <w:tcW w:w="3084" w:type="dxa"/>
            <w:shd w:val="clear" w:color="auto" w:fill="auto"/>
          </w:tcPr>
          <w:p w14:paraId="27D95F42"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27D95F43" w14:textId="77777777" w:rsidR="00395B24" w:rsidRDefault="002C7385" w:rsidP="00663878">
            <w:pPr>
              <w:pStyle w:val="Normal1linespace"/>
              <w:widowControl w:val="0"/>
              <w:jc w:val="left"/>
              <w:rPr>
                <w:b/>
              </w:rPr>
            </w:pPr>
            <w:r w:rsidRPr="005640F6">
              <w:rPr>
                <w:b/>
              </w:rPr>
              <w:fldChar w:fldCharType="begin" w:fldLock="1"/>
            </w:r>
            <w:r w:rsidRPr="005640F6">
              <w:rPr>
                <w:b/>
              </w:rPr>
              <w:instrText xml:space="preserve"> REF  Judge  \* MERGEFORMAT </w:instrText>
            </w:r>
            <w:r w:rsidRPr="005640F6">
              <w:rPr>
                <w:b/>
              </w:rPr>
              <w:fldChar w:fldCharType="separate"/>
            </w:r>
            <w:r w:rsidR="005640F6" w:rsidRPr="005640F6">
              <w:rPr>
                <w:b/>
                <w:caps/>
                <w:szCs w:val="24"/>
              </w:rPr>
              <w:t>RANGIAH J</w:t>
            </w:r>
            <w:r w:rsidRPr="005640F6">
              <w:rPr>
                <w:b/>
              </w:rPr>
              <w:fldChar w:fldCharType="end"/>
            </w:r>
          </w:p>
        </w:tc>
      </w:tr>
      <w:tr w:rsidR="00395B24" w14:paraId="27D95F47" w14:textId="77777777" w:rsidTr="0024614E">
        <w:tc>
          <w:tcPr>
            <w:tcW w:w="3084" w:type="dxa"/>
            <w:shd w:val="clear" w:color="auto" w:fill="auto"/>
          </w:tcPr>
          <w:p w14:paraId="27D95F45" w14:textId="77777777" w:rsidR="00395B24" w:rsidRDefault="00395B24" w:rsidP="00663878">
            <w:pPr>
              <w:pStyle w:val="Normal1linespace"/>
              <w:widowControl w:val="0"/>
              <w:jc w:val="left"/>
            </w:pPr>
          </w:p>
        </w:tc>
        <w:tc>
          <w:tcPr>
            <w:tcW w:w="5989" w:type="dxa"/>
            <w:shd w:val="clear" w:color="auto" w:fill="auto"/>
          </w:tcPr>
          <w:p w14:paraId="27D95F46" w14:textId="77777777" w:rsidR="00395B24" w:rsidRDefault="00395B24" w:rsidP="00663878">
            <w:pPr>
              <w:pStyle w:val="Normal1linespace"/>
              <w:widowControl w:val="0"/>
              <w:jc w:val="left"/>
            </w:pPr>
          </w:p>
        </w:tc>
      </w:tr>
      <w:tr w:rsidR="00395B24" w14:paraId="27D95F4A" w14:textId="77777777" w:rsidTr="0024614E">
        <w:tc>
          <w:tcPr>
            <w:tcW w:w="3084" w:type="dxa"/>
            <w:shd w:val="clear" w:color="auto" w:fill="auto"/>
          </w:tcPr>
          <w:p w14:paraId="27D95F48" w14:textId="77777777" w:rsidR="00395B24" w:rsidRPr="005640F6" w:rsidRDefault="002C7385" w:rsidP="00663878">
            <w:pPr>
              <w:pStyle w:val="Normal1linespace"/>
              <w:widowControl w:val="0"/>
              <w:jc w:val="left"/>
            </w:pPr>
            <w:r w:rsidRPr="005640F6">
              <w:t>Date of judgment:</w:t>
            </w:r>
          </w:p>
        </w:tc>
        <w:tc>
          <w:tcPr>
            <w:tcW w:w="5989" w:type="dxa"/>
            <w:shd w:val="clear" w:color="auto" w:fill="auto"/>
          </w:tcPr>
          <w:p w14:paraId="27D95F49" w14:textId="77777777" w:rsidR="00395B24" w:rsidRDefault="005640F6" w:rsidP="00C06904">
            <w:pPr>
              <w:pStyle w:val="Normal1linespace"/>
              <w:widowControl w:val="0"/>
              <w:jc w:val="left"/>
            </w:pPr>
            <w:bookmarkStart w:id="1" w:name="JudgmentDate"/>
            <w:r w:rsidRPr="005640F6">
              <w:t>16 July 2021</w:t>
            </w:r>
            <w:bookmarkEnd w:id="1"/>
          </w:p>
        </w:tc>
      </w:tr>
      <w:tr w:rsidR="00395B24" w14:paraId="27D95F4D" w14:textId="77777777" w:rsidTr="0024614E">
        <w:tc>
          <w:tcPr>
            <w:tcW w:w="3084" w:type="dxa"/>
            <w:shd w:val="clear" w:color="auto" w:fill="auto"/>
          </w:tcPr>
          <w:p w14:paraId="27D95F4B" w14:textId="77777777" w:rsidR="00395B24" w:rsidRDefault="00395B24" w:rsidP="00663878">
            <w:pPr>
              <w:pStyle w:val="Normal1linespace"/>
              <w:widowControl w:val="0"/>
              <w:jc w:val="left"/>
            </w:pPr>
          </w:p>
        </w:tc>
        <w:tc>
          <w:tcPr>
            <w:tcW w:w="5989" w:type="dxa"/>
            <w:shd w:val="clear" w:color="auto" w:fill="auto"/>
          </w:tcPr>
          <w:p w14:paraId="27D95F4C" w14:textId="77777777" w:rsidR="00395B24" w:rsidRDefault="00395B24" w:rsidP="00663878">
            <w:pPr>
              <w:pStyle w:val="Normal1linespace"/>
              <w:widowControl w:val="0"/>
              <w:jc w:val="left"/>
            </w:pPr>
          </w:p>
        </w:tc>
      </w:tr>
      <w:tr w:rsidR="00395B24" w14:paraId="27D95F50" w14:textId="77777777" w:rsidTr="0024614E">
        <w:tc>
          <w:tcPr>
            <w:tcW w:w="3084" w:type="dxa"/>
            <w:shd w:val="clear" w:color="auto" w:fill="auto"/>
          </w:tcPr>
          <w:p w14:paraId="27D95F4E" w14:textId="77777777" w:rsidR="00395B24" w:rsidRDefault="002C7385" w:rsidP="00663878">
            <w:pPr>
              <w:pStyle w:val="Normal1linespace"/>
              <w:widowControl w:val="0"/>
              <w:jc w:val="left"/>
            </w:pPr>
            <w:r>
              <w:t>Catchwords:</w:t>
            </w:r>
          </w:p>
        </w:tc>
        <w:tc>
          <w:tcPr>
            <w:tcW w:w="5989" w:type="dxa"/>
            <w:shd w:val="clear" w:color="auto" w:fill="auto"/>
          </w:tcPr>
          <w:p w14:paraId="27D95F4F" w14:textId="77777777" w:rsidR="00395B24" w:rsidRDefault="00C06904" w:rsidP="000B4C98">
            <w:pPr>
              <w:pStyle w:val="Normal1linespace"/>
              <w:widowControl w:val="0"/>
              <w:jc w:val="left"/>
            </w:pPr>
            <w:bookmarkStart w:id="2" w:name="Catchwords"/>
            <w:r w:rsidRPr="00C06904">
              <w:rPr>
                <w:b/>
              </w:rPr>
              <w:t>BANKRUPTCY AND INSOLVENCY</w:t>
            </w:r>
            <w:r>
              <w:t xml:space="preserve"> –</w:t>
            </w:r>
            <w:r w:rsidR="00E07507">
              <w:t xml:space="preserve"> appeal against judgment of Federal Circuit Court of Australia – </w:t>
            </w:r>
            <w:r w:rsidR="00E07507">
              <w:rPr>
                <w:i/>
              </w:rPr>
              <w:t xml:space="preserve">Bankruptcy Act 1966 </w:t>
            </w:r>
            <w:r w:rsidR="00E07507">
              <w:t>(</w:t>
            </w:r>
            <w:proofErr w:type="spellStart"/>
            <w:r w:rsidR="00E07507">
              <w:t>Cth</w:t>
            </w:r>
            <w:proofErr w:type="spellEnd"/>
            <w:r w:rsidR="00E07507">
              <w:t>) – where primary judge made sequestration order against debtor – whether primary judge erred in finding that debtor “</w:t>
            </w:r>
            <w:r w:rsidR="006948B4">
              <w:t xml:space="preserve">was </w:t>
            </w:r>
            <w:r w:rsidR="00E07507">
              <w:t xml:space="preserve">carrying on business in Australia” under s 43(1)(b)(iii) – whether primary judge erred in finding that debtor “had a place of business in Australia” under s 43(1)(b)(ii) – whether servicing a debt in Australia constitutes “carrying on business in Australia” – whether </w:t>
            </w:r>
            <w:r w:rsidR="00E07507">
              <w:rPr>
                <w:i/>
              </w:rPr>
              <w:t xml:space="preserve">Jones v </w:t>
            </w:r>
            <w:proofErr w:type="spellStart"/>
            <w:r w:rsidR="00E07507">
              <w:rPr>
                <w:i/>
              </w:rPr>
              <w:t>Dunkel</w:t>
            </w:r>
            <w:proofErr w:type="spellEnd"/>
            <w:r w:rsidR="00E07507">
              <w:rPr>
                <w:i/>
              </w:rPr>
              <w:t xml:space="preserve"> </w:t>
            </w:r>
            <w:r w:rsidR="00E07507">
              <w:t xml:space="preserve">inference </w:t>
            </w:r>
            <w:r w:rsidR="00F90D70">
              <w:t>properly</w:t>
            </w:r>
            <w:r w:rsidR="00E07507">
              <w:t xml:space="preserve"> drawn where debtor failed to give evidence on source of funds used for loan repayments – whether </w:t>
            </w:r>
            <w:r w:rsidR="00F90D70">
              <w:t xml:space="preserve">debtor’s </w:t>
            </w:r>
            <w:r w:rsidR="00E07507">
              <w:t xml:space="preserve">address for </w:t>
            </w:r>
            <w:r w:rsidR="004407C6">
              <w:t xml:space="preserve">a </w:t>
            </w:r>
            <w:r w:rsidR="00E07507">
              <w:t xml:space="preserve">company directorship </w:t>
            </w:r>
            <w:r w:rsidR="006948B4">
              <w:t>ground</w:t>
            </w:r>
            <w:r w:rsidR="000A5422">
              <w:t>s</w:t>
            </w:r>
            <w:r w:rsidR="006948B4">
              <w:t xml:space="preserve"> an </w:t>
            </w:r>
            <w:r w:rsidR="00231834">
              <w:t xml:space="preserve">inference of the debtor having </w:t>
            </w:r>
            <w:r w:rsidR="006948B4">
              <w:t xml:space="preserve">a </w:t>
            </w:r>
            <w:r w:rsidR="00231834">
              <w:t>“</w:t>
            </w:r>
            <w:r w:rsidR="006948B4">
              <w:t>place of business in Australia” – a</w:t>
            </w:r>
            <w:r w:rsidR="00760647">
              <w:t>ppeal dismissed</w:t>
            </w:r>
            <w:r w:rsidR="004C6BDE">
              <w:t xml:space="preserve"> </w:t>
            </w:r>
            <w:bookmarkEnd w:id="2"/>
          </w:p>
        </w:tc>
      </w:tr>
      <w:tr w:rsidR="00395B24" w14:paraId="27D95F53" w14:textId="77777777" w:rsidTr="0024614E">
        <w:tc>
          <w:tcPr>
            <w:tcW w:w="3084" w:type="dxa"/>
            <w:shd w:val="clear" w:color="auto" w:fill="auto"/>
          </w:tcPr>
          <w:p w14:paraId="27D95F51" w14:textId="77777777" w:rsidR="00395B24" w:rsidRDefault="00395B24" w:rsidP="00663878">
            <w:pPr>
              <w:pStyle w:val="Normal1linespace"/>
              <w:widowControl w:val="0"/>
              <w:jc w:val="left"/>
            </w:pPr>
          </w:p>
        </w:tc>
        <w:tc>
          <w:tcPr>
            <w:tcW w:w="5989" w:type="dxa"/>
            <w:shd w:val="clear" w:color="auto" w:fill="auto"/>
          </w:tcPr>
          <w:p w14:paraId="27D95F52" w14:textId="77777777" w:rsidR="00395B24" w:rsidRDefault="00395B24" w:rsidP="00663878">
            <w:pPr>
              <w:pStyle w:val="Normal1linespace"/>
              <w:widowControl w:val="0"/>
              <w:jc w:val="left"/>
            </w:pPr>
          </w:p>
        </w:tc>
      </w:tr>
      <w:tr w:rsidR="00395B24" w14:paraId="27D95F5D" w14:textId="77777777" w:rsidTr="0024614E">
        <w:tc>
          <w:tcPr>
            <w:tcW w:w="3084" w:type="dxa"/>
            <w:shd w:val="clear" w:color="auto" w:fill="auto"/>
          </w:tcPr>
          <w:p w14:paraId="27D95F54" w14:textId="77777777" w:rsidR="00395B24" w:rsidRDefault="002C7385" w:rsidP="00663878">
            <w:pPr>
              <w:pStyle w:val="Normal1linespace"/>
              <w:widowControl w:val="0"/>
              <w:jc w:val="left"/>
            </w:pPr>
            <w:r>
              <w:t>Legislation:</w:t>
            </w:r>
          </w:p>
        </w:tc>
        <w:tc>
          <w:tcPr>
            <w:tcW w:w="5989" w:type="dxa"/>
            <w:shd w:val="clear" w:color="auto" w:fill="auto"/>
          </w:tcPr>
          <w:p w14:paraId="27D95F55" w14:textId="77777777" w:rsidR="00625ACF" w:rsidRPr="0000266B" w:rsidRDefault="00625ACF" w:rsidP="0000266B">
            <w:pPr>
              <w:pStyle w:val="CasesLegislationAppealFrom"/>
              <w:spacing w:after="60"/>
            </w:pPr>
            <w:bookmarkStart w:id="3" w:name="Legislation"/>
            <w:r w:rsidRPr="0000266B">
              <w:rPr>
                <w:i/>
              </w:rPr>
              <w:t xml:space="preserve">Bankruptcy Act 1966 </w:t>
            </w:r>
            <w:r w:rsidRPr="0000266B">
              <w:t>(</w:t>
            </w:r>
            <w:proofErr w:type="spellStart"/>
            <w:r w:rsidRPr="0000266B">
              <w:t>Cth</w:t>
            </w:r>
            <w:proofErr w:type="spellEnd"/>
            <w:r w:rsidRPr="0000266B">
              <w:t>)</w:t>
            </w:r>
            <w:r>
              <w:t xml:space="preserve"> </w:t>
            </w:r>
            <w:proofErr w:type="spellStart"/>
            <w:r>
              <w:t>ss</w:t>
            </w:r>
            <w:proofErr w:type="spellEnd"/>
            <w:r>
              <w:t> 43</w:t>
            </w:r>
            <w:r w:rsidR="004407C6">
              <w:t>(1)</w:t>
            </w:r>
            <w:r>
              <w:t xml:space="preserve"> and </w:t>
            </w:r>
            <w:r w:rsidRPr="0000266B">
              <w:t>52</w:t>
            </w:r>
            <w:r w:rsidR="00156ADE">
              <w:t>(1)</w:t>
            </w:r>
          </w:p>
          <w:p w14:paraId="27D95F56" w14:textId="77777777" w:rsidR="00625ACF" w:rsidRDefault="00625ACF" w:rsidP="00CD0AAD">
            <w:pPr>
              <w:pStyle w:val="CasesLegislationAppealFrom"/>
              <w:spacing w:after="60"/>
            </w:pPr>
            <w:r w:rsidRPr="0000266B">
              <w:rPr>
                <w:i/>
              </w:rPr>
              <w:t xml:space="preserve">Corporations Act 2001 </w:t>
            </w:r>
            <w:r w:rsidRPr="0000266B">
              <w:t>(</w:t>
            </w:r>
            <w:proofErr w:type="spellStart"/>
            <w:r w:rsidRPr="0000266B">
              <w:t>Cth</w:t>
            </w:r>
            <w:proofErr w:type="spellEnd"/>
            <w:r w:rsidRPr="0000266B">
              <w:t>)</w:t>
            </w:r>
            <w:r>
              <w:t xml:space="preserve"> </w:t>
            </w:r>
            <w:r w:rsidRPr="0000266B">
              <w:t>s 21(2)</w:t>
            </w:r>
          </w:p>
          <w:p w14:paraId="27D95F57" w14:textId="77777777" w:rsidR="00625ACF" w:rsidRDefault="00625ACF" w:rsidP="00CD0AAD">
            <w:pPr>
              <w:pStyle w:val="CasesLegislationAppealFrom"/>
              <w:spacing w:after="60"/>
            </w:pPr>
            <w:r w:rsidRPr="0000266B">
              <w:rPr>
                <w:i/>
              </w:rPr>
              <w:t>Evidence Act 1995</w:t>
            </w:r>
            <w:r w:rsidRPr="0000266B">
              <w:t xml:space="preserve"> (</w:t>
            </w:r>
            <w:proofErr w:type="spellStart"/>
            <w:r w:rsidRPr="0000266B">
              <w:t>Cth</w:t>
            </w:r>
            <w:proofErr w:type="spellEnd"/>
            <w:r w:rsidRPr="0000266B">
              <w:t>)</w:t>
            </w:r>
            <w:r>
              <w:t xml:space="preserve"> </w:t>
            </w:r>
            <w:r w:rsidRPr="0000266B">
              <w:t>s 140(2)</w:t>
            </w:r>
          </w:p>
          <w:p w14:paraId="27D95F58" w14:textId="77777777" w:rsidR="00625ACF" w:rsidRDefault="00625ACF" w:rsidP="0000266B">
            <w:pPr>
              <w:pStyle w:val="CasesLegislationAppealFrom"/>
              <w:spacing w:after="60"/>
            </w:pPr>
            <w:r w:rsidRPr="0000266B">
              <w:rPr>
                <w:i/>
              </w:rPr>
              <w:t>P</w:t>
            </w:r>
            <w:r w:rsidRPr="0000266B">
              <w:rPr>
                <w:i/>
                <w:iCs/>
              </w:rPr>
              <w:t xml:space="preserve">rivacy Act 1988 </w:t>
            </w:r>
            <w:r w:rsidRPr="0000266B">
              <w:rPr>
                <w:iCs/>
              </w:rPr>
              <w:t>(</w:t>
            </w:r>
            <w:proofErr w:type="spellStart"/>
            <w:r w:rsidRPr="0000266B">
              <w:rPr>
                <w:iCs/>
              </w:rPr>
              <w:t>Cth</w:t>
            </w:r>
            <w:proofErr w:type="spellEnd"/>
            <w:r w:rsidRPr="0000266B">
              <w:rPr>
                <w:iCs/>
              </w:rPr>
              <w:t>)</w:t>
            </w:r>
            <w:r>
              <w:rPr>
                <w:iCs/>
              </w:rPr>
              <w:t xml:space="preserve"> </w:t>
            </w:r>
            <w:r w:rsidRPr="0000266B">
              <w:t>s 5B(3)(b)</w:t>
            </w:r>
          </w:p>
          <w:p w14:paraId="27D95F59" w14:textId="77777777" w:rsidR="0000266B" w:rsidRDefault="0000266B" w:rsidP="0000266B">
            <w:pPr>
              <w:pStyle w:val="CasesLegislationAppealFrom"/>
              <w:spacing w:after="60"/>
            </w:pPr>
            <w:r w:rsidRPr="0000266B">
              <w:rPr>
                <w:i/>
                <w:iCs/>
              </w:rPr>
              <w:t xml:space="preserve">Federal Court Rules 2011 </w:t>
            </w:r>
            <w:r w:rsidRPr="0000266B">
              <w:t>(</w:t>
            </w:r>
            <w:proofErr w:type="spellStart"/>
            <w:r w:rsidRPr="0000266B">
              <w:t>Cth</w:t>
            </w:r>
            <w:proofErr w:type="spellEnd"/>
            <w:r w:rsidRPr="0000266B">
              <w:t>)</w:t>
            </w:r>
            <w:r w:rsidR="00CD0AAD">
              <w:t xml:space="preserve"> </w:t>
            </w:r>
            <w:proofErr w:type="spellStart"/>
            <w:r w:rsidR="00CD0AAD" w:rsidRPr="0000266B">
              <w:t>r</w:t>
            </w:r>
            <w:r w:rsidR="004407C6">
              <w:t>r</w:t>
            </w:r>
            <w:proofErr w:type="spellEnd"/>
            <w:r w:rsidR="004407C6">
              <w:t xml:space="preserve"> 10.42,</w:t>
            </w:r>
            <w:r w:rsidR="00980834">
              <w:t> 10.43</w:t>
            </w:r>
          </w:p>
          <w:p w14:paraId="27D95F5A" w14:textId="77777777" w:rsidR="00B202CA" w:rsidRDefault="00B202CA" w:rsidP="00625ACF">
            <w:pPr>
              <w:pStyle w:val="CasesLegislationAppealFrom"/>
              <w:spacing w:after="60"/>
            </w:pPr>
            <w:r>
              <w:rPr>
                <w:i/>
              </w:rPr>
              <w:t xml:space="preserve">Local Government Act 1919 </w:t>
            </w:r>
            <w:r>
              <w:t>(NSW) s 118</w:t>
            </w:r>
          </w:p>
          <w:p w14:paraId="27D95F5B" w14:textId="77777777" w:rsidR="00C34034" w:rsidRDefault="0000266B" w:rsidP="00625ACF">
            <w:pPr>
              <w:pStyle w:val="CasesLegislationAppealFrom"/>
              <w:spacing w:after="60"/>
              <w:rPr>
                <w:iCs/>
                <w:szCs w:val="24"/>
                <w:lang w:eastAsia="en-AU"/>
              </w:rPr>
            </w:pPr>
            <w:r w:rsidRPr="00625ACF">
              <w:rPr>
                <w:iCs/>
                <w:szCs w:val="24"/>
                <w:lang w:eastAsia="en-AU"/>
              </w:rPr>
              <w:t>Bankruptcy Act 1914</w:t>
            </w:r>
            <w:r w:rsidRPr="0000266B">
              <w:rPr>
                <w:i/>
                <w:iCs/>
                <w:szCs w:val="24"/>
                <w:lang w:eastAsia="en-AU"/>
              </w:rPr>
              <w:t xml:space="preserve"> </w:t>
            </w:r>
            <w:r w:rsidRPr="0000266B">
              <w:rPr>
                <w:iCs/>
                <w:szCs w:val="24"/>
                <w:lang w:eastAsia="en-AU"/>
              </w:rPr>
              <w:t>(UK)</w:t>
            </w:r>
            <w:r w:rsidR="00CD0AAD">
              <w:rPr>
                <w:iCs/>
                <w:szCs w:val="24"/>
                <w:lang w:eastAsia="en-AU"/>
              </w:rPr>
              <w:t xml:space="preserve"> </w:t>
            </w:r>
            <w:r w:rsidR="00CD0AAD" w:rsidRPr="0000266B">
              <w:rPr>
                <w:iCs/>
                <w:szCs w:val="24"/>
                <w:lang w:eastAsia="en-AU"/>
              </w:rPr>
              <w:t>s 1(2)</w:t>
            </w:r>
          </w:p>
          <w:p w14:paraId="27D95F5C" w14:textId="77777777" w:rsidR="0000266B" w:rsidRPr="0000266B" w:rsidRDefault="00C34034" w:rsidP="00625ACF">
            <w:pPr>
              <w:pStyle w:val="CasesLegislationAppealFrom"/>
              <w:spacing w:after="60"/>
            </w:pPr>
            <w:r w:rsidRPr="00B202CA">
              <w:t xml:space="preserve">Rules of the Supreme Court 1883 </w:t>
            </w:r>
            <w:r>
              <w:t>(UK) Ord IX, r 8</w:t>
            </w:r>
            <w:r w:rsidR="00625ACF">
              <w:rPr>
                <w:iCs/>
                <w:szCs w:val="24"/>
                <w:lang w:eastAsia="en-AU"/>
              </w:rPr>
              <w:t xml:space="preserve"> </w:t>
            </w:r>
            <w:bookmarkEnd w:id="3"/>
          </w:p>
        </w:tc>
      </w:tr>
      <w:tr w:rsidR="00395B24" w14:paraId="27D95F60" w14:textId="77777777" w:rsidTr="0024614E">
        <w:tc>
          <w:tcPr>
            <w:tcW w:w="3084" w:type="dxa"/>
            <w:shd w:val="clear" w:color="auto" w:fill="auto"/>
          </w:tcPr>
          <w:p w14:paraId="27D95F5E" w14:textId="77777777" w:rsidR="00395B24" w:rsidRDefault="00395B24" w:rsidP="00663878">
            <w:pPr>
              <w:pStyle w:val="Normal1linespace"/>
              <w:widowControl w:val="0"/>
              <w:jc w:val="left"/>
            </w:pPr>
          </w:p>
        </w:tc>
        <w:tc>
          <w:tcPr>
            <w:tcW w:w="5989" w:type="dxa"/>
            <w:shd w:val="clear" w:color="auto" w:fill="auto"/>
          </w:tcPr>
          <w:p w14:paraId="27D95F5F" w14:textId="77777777" w:rsidR="00395B24" w:rsidRDefault="00395B24" w:rsidP="00663878">
            <w:pPr>
              <w:pStyle w:val="Normal1linespace"/>
              <w:widowControl w:val="0"/>
              <w:jc w:val="left"/>
            </w:pPr>
          </w:p>
        </w:tc>
      </w:tr>
      <w:tr w:rsidR="00395B24" w14:paraId="27D95F85" w14:textId="77777777" w:rsidTr="0024614E">
        <w:tc>
          <w:tcPr>
            <w:tcW w:w="3084" w:type="dxa"/>
            <w:shd w:val="clear" w:color="auto" w:fill="auto"/>
          </w:tcPr>
          <w:p w14:paraId="27D95F61" w14:textId="77777777" w:rsidR="00395B24" w:rsidRDefault="002C7385" w:rsidP="00663878">
            <w:pPr>
              <w:pStyle w:val="Normal1linespace"/>
              <w:widowControl w:val="0"/>
              <w:jc w:val="left"/>
            </w:pPr>
            <w:r>
              <w:t>Cases cited:</w:t>
            </w:r>
          </w:p>
        </w:tc>
        <w:tc>
          <w:tcPr>
            <w:tcW w:w="5989" w:type="dxa"/>
            <w:shd w:val="clear" w:color="auto" w:fill="auto"/>
          </w:tcPr>
          <w:p w14:paraId="27D95F62" w14:textId="77777777" w:rsidR="0000266B" w:rsidRPr="0000266B" w:rsidRDefault="0000266B" w:rsidP="0000266B">
            <w:pPr>
              <w:pStyle w:val="CasesLegislationAppealFrom"/>
              <w:spacing w:after="60"/>
              <w:rPr>
                <w:szCs w:val="24"/>
                <w:lang w:eastAsia="en-AU"/>
              </w:rPr>
            </w:pPr>
            <w:bookmarkStart w:id="4" w:name="Cases_Cited"/>
            <w:proofErr w:type="spellStart"/>
            <w:r w:rsidRPr="0000266B">
              <w:rPr>
                <w:i/>
                <w:szCs w:val="24"/>
                <w:lang w:eastAsia="en-AU"/>
              </w:rPr>
              <w:t>Actiesselskabet</w:t>
            </w:r>
            <w:proofErr w:type="spellEnd"/>
            <w:r w:rsidRPr="0000266B">
              <w:rPr>
                <w:i/>
                <w:szCs w:val="24"/>
                <w:lang w:eastAsia="en-AU"/>
              </w:rPr>
              <w:t xml:space="preserve"> </w:t>
            </w:r>
            <w:proofErr w:type="spellStart"/>
            <w:r w:rsidRPr="0000266B">
              <w:rPr>
                <w:i/>
                <w:szCs w:val="24"/>
                <w:lang w:eastAsia="en-AU"/>
              </w:rPr>
              <w:t>Dampskib</w:t>
            </w:r>
            <w:proofErr w:type="spellEnd"/>
            <w:r w:rsidRPr="0000266B">
              <w:rPr>
                <w:i/>
                <w:szCs w:val="24"/>
                <w:lang w:eastAsia="en-AU"/>
              </w:rPr>
              <w:t xml:space="preserve"> “Hercules” v Grand Trunk Pacific Railway Co</w:t>
            </w:r>
            <w:r w:rsidR="00EC2CF1">
              <w:rPr>
                <w:i/>
                <w:szCs w:val="24"/>
                <w:lang w:eastAsia="en-AU"/>
              </w:rPr>
              <w:t>mpany</w:t>
            </w:r>
            <w:r w:rsidRPr="0000266B">
              <w:rPr>
                <w:szCs w:val="24"/>
                <w:lang w:eastAsia="en-AU"/>
              </w:rPr>
              <w:t xml:space="preserve"> [1912] 1 KB 222</w:t>
            </w:r>
          </w:p>
          <w:p w14:paraId="27D95F63" w14:textId="77777777" w:rsidR="0000266B" w:rsidRPr="0000266B" w:rsidRDefault="0000266B" w:rsidP="0000266B">
            <w:pPr>
              <w:pStyle w:val="CasesLegislationAppealFrom"/>
              <w:spacing w:after="60"/>
            </w:pPr>
            <w:r w:rsidRPr="0000266B">
              <w:rPr>
                <w:i/>
              </w:rPr>
              <w:t>Ahern v Deputy Commissioner of Taxation</w:t>
            </w:r>
            <w:r w:rsidRPr="0000266B">
              <w:t xml:space="preserve"> </w:t>
            </w:r>
            <w:r w:rsidRPr="00156ADE">
              <w:rPr>
                <w:i/>
              </w:rPr>
              <w:t xml:space="preserve">(Qld) </w:t>
            </w:r>
            <w:r w:rsidRPr="0000266B">
              <w:t>(1987) 76 ALR 137</w:t>
            </w:r>
          </w:p>
          <w:p w14:paraId="27D95F64" w14:textId="77777777" w:rsidR="0000266B" w:rsidRPr="0000266B" w:rsidRDefault="0000266B" w:rsidP="0000266B">
            <w:pPr>
              <w:pStyle w:val="CasesLegislationAppealFrom"/>
              <w:spacing w:after="60"/>
            </w:pPr>
            <w:r w:rsidRPr="0000266B">
              <w:rPr>
                <w:i/>
              </w:rPr>
              <w:t xml:space="preserve">ASIC v </w:t>
            </w:r>
            <w:proofErr w:type="spellStart"/>
            <w:r w:rsidRPr="0000266B">
              <w:rPr>
                <w:i/>
              </w:rPr>
              <w:t>Hellicar</w:t>
            </w:r>
            <w:proofErr w:type="spellEnd"/>
            <w:r w:rsidRPr="0000266B">
              <w:t xml:space="preserve"> (2012) 247 CLR 345</w:t>
            </w:r>
          </w:p>
          <w:p w14:paraId="27D95F65" w14:textId="77777777" w:rsidR="0000266B" w:rsidRDefault="0000266B" w:rsidP="0000266B">
            <w:pPr>
              <w:pStyle w:val="CasesLegislationAppealFrom"/>
              <w:spacing w:after="60"/>
            </w:pPr>
            <w:r w:rsidRPr="0000266B">
              <w:rPr>
                <w:i/>
                <w:iCs/>
              </w:rPr>
              <w:t xml:space="preserve">Australian Information </w:t>
            </w:r>
            <w:r>
              <w:rPr>
                <w:i/>
                <w:iCs/>
              </w:rPr>
              <w:t xml:space="preserve">Commissioner v Facebook </w:t>
            </w:r>
            <w:proofErr w:type="spellStart"/>
            <w:r>
              <w:rPr>
                <w:i/>
                <w:iCs/>
              </w:rPr>
              <w:t>Inc</w:t>
            </w:r>
            <w:proofErr w:type="spellEnd"/>
            <w:r>
              <w:rPr>
                <w:i/>
                <w:iCs/>
              </w:rPr>
              <w:t xml:space="preserve"> (No </w:t>
            </w:r>
            <w:r w:rsidRPr="0000266B">
              <w:rPr>
                <w:i/>
                <w:iCs/>
              </w:rPr>
              <w:t xml:space="preserve">2) </w:t>
            </w:r>
            <w:r w:rsidRPr="0000266B">
              <w:t>[2020] FCA 1307</w:t>
            </w:r>
          </w:p>
          <w:p w14:paraId="27D95F66" w14:textId="77777777" w:rsidR="00156ADE" w:rsidRDefault="00156ADE" w:rsidP="0000266B">
            <w:pPr>
              <w:pStyle w:val="CasesLegislationAppealFrom"/>
              <w:spacing w:after="60"/>
              <w:rPr>
                <w:i/>
              </w:rPr>
            </w:pPr>
            <w:proofErr w:type="spellStart"/>
            <w:r w:rsidRPr="00821841">
              <w:rPr>
                <w:i/>
              </w:rPr>
              <w:t>Badcock</w:t>
            </w:r>
            <w:proofErr w:type="spellEnd"/>
            <w:r w:rsidRPr="00821841">
              <w:rPr>
                <w:i/>
              </w:rPr>
              <w:t xml:space="preserve"> v Cumberland Gap Park Company</w:t>
            </w:r>
            <w:r w:rsidRPr="005044A0">
              <w:t xml:space="preserve"> [1893] 1 </w:t>
            </w:r>
            <w:proofErr w:type="spellStart"/>
            <w:r w:rsidRPr="005044A0">
              <w:t>Ch</w:t>
            </w:r>
            <w:proofErr w:type="spellEnd"/>
            <w:r w:rsidRPr="005044A0">
              <w:t xml:space="preserve"> 362</w:t>
            </w:r>
          </w:p>
          <w:p w14:paraId="27D95F67" w14:textId="77777777" w:rsidR="0000266B" w:rsidRDefault="0000266B" w:rsidP="0000266B">
            <w:pPr>
              <w:pStyle w:val="CasesLegislationAppealFrom"/>
              <w:spacing w:after="60"/>
            </w:pPr>
            <w:proofErr w:type="spellStart"/>
            <w:r w:rsidRPr="0000266B">
              <w:rPr>
                <w:i/>
                <w:iCs/>
              </w:rPr>
              <w:t>Blatch</w:t>
            </w:r>
            <w:proofErr w:type="spellEnd"/>
            <w:r w:rsidRPr="0000266B">
              <w:rPr>
                <w:i/>
                <w:iCs/>
              </w:rPr>
              <w:t xml:space="preserve"> v Archer</w:t>
            </w:r>
            <w:r w:rsidRPr="0000266B">
              <w:t xml:space="preserve"> (1774) 1 </w:t>
            </w:r>
            <w:proofErr w:type="spellStart"/>
            <w:r w:rsidRPr="0000266B">
              <w:t>Cowp</w:t>
            </w:r>
            <w:proofErr w:type="spellEnd"/>
            <w:r w:rsidRPr="0000266B">
              <w:t xml:space="preserve"> 64</w:t>
            </w:r>
          </w:p>
          <w:p w14:paraId="27D95F68" w14:textId="77777777" w:rsidR="00156ADE" w:rsidRPr="0000266B" w:rsidRDefault="00156ADE" w:rsidP="0000266B">
            <w:pPr>
              <w:pStyle w:val="CasesLegislationAppealFrom"/>
              <w:spacing w:after="60"/>
            </w:pPr>
            <w:r w:rsidRPr="00821841">
              <w:rPr>
                <w:i/>
              </w:rPr>
              <w:lastRenderedPageBreak/>
              <w:t xml:space="preserve">Bray v F Hoffman-La Roche Ltd </w:t>
            </w:r>
            <w:r>
              <w:t>(2002) 118 FCR 1</w:t>
            </w:r>
          </w:p>
          <w:p w14:paraId="27D95F69" w14:textId="77777777" w:rsidR="0000266B" w:rsidRPr="0000266B" w:rsidRDefault="0000266B" w:rsidP="0000266B">
            <w:pPr>
              <w:pStyle w:val="CasesLegislationAppealFrom"/>
              <w:spacing w:after="60"/>
            </w:pPr>
            <w:proofErr w:type="spellStart"/>
            <w:r w:rsidRPr="0000266B">
              <w:rPr>
                <w:i/>
              </w:rPr>
              <w:t>Briginshaw</w:t>
            </w:r>
            <w:proofErr w:type="spellEnd"/>
            <w:r w:rsidRPr="0000266B">
              <w:rPr>
                <w:i/>
              </w:rPr>
              <w:t xml:space="preserve"> v </w:t>
            </w:r>
            <w:proofErr w:type="spellStart"/>
            <w:r w:rsidRPr="0000266B">
              <w:rPr>
                <w:i/>
              </w:rPr>
              <w:t>Briginshaw</w:t>
            </w:r>
            <w:proofErr w:type="spellEnd"/>
            <w:r w:rsidRPr="0000266B">
              <w:t xml:space="preserve"> (1938) 60 CLR 336</w:t>
            </w:r>
          </w:p>
          <w:p w14:paraId="27D95F6A" w14:textId="77777777" w:rsidR="0000266B" w:rsidRPr="0000266B" w:rsidRDefault="0000266B" w:rsidP="0000266B">
            <w:pPr>
              <w:pStyle w:val="CasesLegislationAppealFrom"/>
              <w:spacing w:after="60"/>
            </w:pPr>
            <w:r w:rsidRPr="0000266B">
              <w:rPr>
                <w:i/>
              </w:rPr>
              <w:t>Communications, Electrical, Electronic, Energy, Information, Postal, Plumbing and Allied Services Union of Australia v Australian Competition and Consumer Commission</w:t>
            </w:r>
            <w:r w:rsidRPr="0000266B">
              <w:t xml:space="preserve"> (2007) 162 FCR 466</w:t>
            </w:r>
          </w:p>
          <w:p w14:paraId="27D95F6B" w14:textId="77777777" w:rsidR="0000266B" w:rsidRPr="0000266B" w:rsidRDefault="0000266B" w:rsidP="0000266B">
            <w:pPr>
              <w:pStyle w:val="CasesLegislationAppealFrom"/>
              <w:spacing w:after="60"/>
            </w:pPr>
            <w:r w:rsidRPr="0000266B">
              <w:rPr>
                <w:i/>
              </w:rPr>
              <w:t>Fuller</w:t>
            </w:r>
            <w:r w:rsidRPr="0000266B">
              <w:t xml:space="preserve"> </w:t>
            </w:r>
            <w:r w:rsidRPr="0000266B">
              <w:rPr>
                <w:i/>
              </w:rPr>
              <w:t>v Alford</w:t>
            </w:r>
            <w:r w:rsidRPr="0000266B">
              <w:t xml:space="preserve"> (2017) 252 FCR 168</w:t>
            </w:r>
          </w:p>
          <w:p w14:paraId="27D95F6C" w14:textId="77777777" w:rsidR="0000266B" w:rsidRPr="0000266B" w:rsidRDefault="0000266B" w:rsidP="0000266B">
            <w:pPr>
              <w:pStyle w:val="CasesLegislationAppealFrom"/>
              <w:spacing w:after="60"/>
            </w:pPr>
            <w:r w:rsidRPr="0000266B">
              <w:rPr>
                <w:i/>
                <w:iCs/>
              </w:rPr>
              <w:t xml:space="preserve">G v H </w:t>
            </w:r>
            <w:r w:rsidRPr="0000266B">
              <w:t>(1994) 181 CLR 387</w:t>
            </w:r>
          </w:p>
          <w:p w14:paraId="27D95F6D" w14:textId="77777777" w:rsidR="0000266B" w:rsidRDefault="0000266B" w:rsidP="0000266B">
            <w:pPr>
              <w:pStyle w:val="CasesLegislationAppealFrom"/>
              <w:spacing w:after="60"/>
            </w:pPr>
            <w:proofErr w:type="spellStart"/>
            <w:r w:rsidRPr="0000266B">
              <w:rPr>
                <w:i/>
                <w:iCs/>
              </w:rPr>
              <w:t>Girlock</w:t>
            </w:r>
            <w:proofErr w:type="spellEnd"/>
            <w:r w:rsidRPr="0000266B">
              <w:rPr>
                <w:i/>
                <w:iCs/>
              </w:rPr>
              <w:t xml:space="preserve"> (Sales) Pty Ltd v </w:t>
            </w:r>
            <w:proofErr w:type="spellStart"/>
            <w:r w:rsidRPr="0000266B">
              <w:rPr>
                <w:i/>
                <w:iCs/>
              </w:rPr>
              <w:t>Hurrell</w:t>
            </w:r>
            <w:proofErr w:type="spellEnd"/>
            <w:r w:rsidRPr="0000266B">
              <w:t xml:space="preserve"> (1982) 149 CLR 155</w:t>
            </w:r>
          </w:p>
          <w:p w14:paraId="27D95F6E" w14:textId="77777777" w:rsidR="00156ADE" w:rsidRPr="0000266B" w:rsidRDefault="00156ADE" w:rsidP="0000266B">
            <w:pPr>
              <w:pStyle w:val="CasesLegislationAppealFrom"/>
              <w:spacing w:after="60"/>
            </w:pPr>
            <w:proofErr w:type="spellStart"/>
            <w:r w:rsidRPr="00821841">
              <w:rPr>
                <w:i/>
              </w:rPr>
              <w:t>Haggin</w:t>
            </w:r>
            <w:proofErr w:type="spellEnd"/>
            <w:r w:rsidRPr="00821841">
              <w:rPr>
                <w:i/>
              </w:rPr>
              <w:t xml:space="preserve"> v </w:t>
            </w:r>
            <w:proofErr w:type="spellStart"/>
            <w:r w:rsidRPr="00821841">
              <w:rPr>
                <w:i/>
              </w:rPr>
              <w:t>Comptoir</w:t>
            </w:r>
            <w:proofErr w:type="spellEnd"/>
            <w:r w:rsidRPr="00821841">
              <w:rPr>
                <w:i/>
              </w:rPr>
              <w:t xml:space="preserve"> </w:t>
            </w:r>
            <w:proofErr w:type="spellStart"/>
            <w:r w:rsidRPr="00821841">
              <w:rPr>
                <w:i/>
              </w:rPr>
              <w:t>D’Escompte</w:t>
            </w:r>
            <w:proofErr w:type="spellEnd"/>
            <w:r w:rsidRPr="00821841">
              <w:rPr>
                <w:i/>
              </w:rPr>
              <w:t xml:space="preserve"> de Paris</w:t>
            </w:r>
            <w:r w:rsidRPr="005044A0">
              <w:t xml:space="preserve"> (1889) 23 QBD 519</w:t>
            </w:r>
          </w:p>
          <w:p w14:paraId="27D95F6F" w14:textId="77777777" w:rsidR="0000266B" w:rsidRPr="0000266B" w:rsidRDefault="0000266B" w:rsidP="0000266B">
            <w:pPr>
              <w:pStyle w:val="CasesLegislationAppealFrom"/>
              <w:spacing w:after="60"/>
            </w:pPr>
            <w:r w:rsidRPr="0000266B">
              <w:rPr>
                <w:i/>
              </w:rPr>
              <w:t xml:space="preserve">Hamilton v Warne </w:t>
            </w:r>
            <w:r w:rsidRPr="0000266B">
              <w:t>(1907) 4 CLR 1293</w:t>
            </w:r>
          </w:p>
          <w:p w14:paraId="27D95F70" w14:textId="77777777" w:rsidR="0000266B" w:rsidRPr="0000266B" w:rsidRDefault="0000266B" w:rsidP="0000266B">
            <w:pPr>
              <w:pStyle w:val="CasesLegislationAppealFrom"/>
              <w:spacing w:after="60"/>
            </w:pPr>
            <w:r w:rsidRPr="0000266B">
              <w:rPr>
                <w:i/>
                <w:iCs/>
              </w:rPr>
              <w:t xml:space="preserve">Henderson v </w:t>
            </w:r>
            <w:r w:rsidR="007C6878">
              <w:rPr>
                <w:i/>
                <w:iCs/>
              </w:rPr>
              <w:t xml:space="preserve">State of </w:t>
            </w:r>
            <w:r w:rsidRPr="0000266B">
              <w:rPr>
                <w:i/>
                <w:iCs/>
              </w:rPr>
              <w:t>Queensland</w:t>
            </w:r>
            <w:r w:rsidRPr="0000266B">
              <w:t xml:space="preserve"> (2014) 255 CLR 1</w:t>
            </w:r>
          </w:p>
          <w:p w14:paraId="27D95F71" w14:textId="77777777" w:rsidR="0000266B" w:rsidRPr="0000266B" w:rsidRDefault="0000266B" w:rsidP="0000266B">
            <w:pPr>
              <w:pStyle w:val="CasesLegislationAppealFrom"/>
              <w:spacing w:after="60"/>
            </w:pPr>
            <w:r w:rsidRPr="0000266B">
              <w:rPr>
                <w:i/>
              </w:rPr>
              <w:t>HML v The Queen</w:t>
            </w:r>
            <w:r w:rsidRPr="0000266B">
              <w:t xml:space="preserve"> (2008) 235 CLR 334</w:t>
            </w:r>
          </w:p>
          <w:p w14:paraId="27D95F72" w14:textId="77777777" w:rsidR="0000266B" w:rsidRPr="0000266B" w:rsidRDefault="0000266B" w:rsidP="0000266B">
            <w:pPr>
              <w:pStyle w:val="CasesLegislationAppealFrom"/>
              <w:spacing w:after="60"/>
            </w:pPr>
            <w:r w:rsidRPr="0000266B">
              <w:rPr>
                <w:i/>
              </w:rPr>
              <w:t>Hope v Bathurst City Council</w:t>
            </w:r>
            <w:r w:rsidRPr="0000266B">
              <w:t xml:space="preserve"> (1980) 144 CLR 1</w:t>
            </w:r>
          </w:p>
          <w:p w14:paraId="27D95F73" w14:textId="77777777" w:rsidR="0000266B" w:rsidRDefault="0000266B" w:rsidP="0000266B">
            <w:pPr>
              <w:pStyle w:val="CasesLegislationAppealFrom"/>
              <w:spacing w:after="60"/>
            </w:pPr>
            <w:r w:rsidRPr="0000266B">
              <w:rPr>
                <w:i/>
              </w:rPr>
              <w:t>In</w:t>
            </w:r>
            <w:r w:rsidRPr="0000266B">
              <w:t xml:space="preserve"> </w:t>
            </w:r>
            <w:r w:rsidRPr="0000266B">
              <w:rPr>
                <w:i/>
              </w:rPr>
              <w:t>re Bird v Inland Revenue Commissioners; Ex parte the Debtor</w:t>
            </w:r>
            <w:r w:rsidRPr="0000266B">
              <w:t xml:space="preserve"> [1962] 1 WLR 686</w:t>
            </w:r>
          </w:p>
          <w:p w14:paraId="27D95F74" w14:textId="77777777" w:rsidR="00AC0997" w:rsidRDefault="00156ADE" w:rsidP="0000266B">
            <w:pPr>
              <w:pStyle w:val="CasesLegislationAppealFrom"/>
              <w:spacing w:after="60"/>
            </w:pPr>
            <w:r>
              <w:rPr>
                <w:i/>
              </w:rPr>
              <w:t>In r</w:t>
            </w:r>
            <w:r w:rsidRPr="0000266B">
              <w:rPr>
                <w:i/>
              </w:rPr>
              <w:t xml:space="preserve">e </w:t>
            </w:r>
            <w:proofErr w:type="spellStart"/>
            <w:r w:rsidRPr="0000266B">
              <w:rPr>
                <w:i/>
              </w:rPr>
              <w:t>Brauch</w:t>
            </w:r>
            <w:proofErr w:type="spellEnd"/>
            <w:r>
              <w:rPr>
                <w:i/>
              </w:rPr>
              <w:t xml:space="preserve"> (A Debtor)</w:t>
            </w:r>
            <w:r w:rsidRPr="0000266B">
              <w:rPr>
                <w:i/>
              </w:rPr>
              <w:t>; Ex parte Britannic Securities and Investments Ltd</w:t>
            </w:r>
            <w:r w:rsidRPr="0000266B">
              <w:t xml:space="preserve"> </w:t>
            </w:r>
            <w:r>
              <w:t>[</w:t>
            </w:r>
            <w:r w:rsidRPr="0000266B">
              <w:t>1978</w:t>
            </w:r>
            <w:r>
              <w:t>]</w:t>
            </w:r>
            <w:r w:rsidRPr="0000266B">
              <w:t xml:space="preserve"> </w:t>
            </w:r>
            <w:proofErr w:type="spellStart"/>
            <w:r w:rsidRPr="0000266B">
              <w:t>Ch</w:t>
            </w:r>
            <w:proofErr w:type="spellEnd"/>
            <w:r w:rsidRPr="0000266B">
              <w:t xml:space="preserve"> 316</w:t>
            </w:r>
          </w:p>
          <w:p w14:paraId="27D95F75" w14:textId="77777777" w:rsidR="00BC2E18" w:rsidRPr="0000266B" w:rsidRDefault="00BC2E18" w:rsidP="0000266B">
            <w:pPr>
              <w:pStyle w:val="CasesLegislationAppealFrom"/>
              <w:spacing w:after="60"/>
            </w:pPr>
            <w:r w:rsidRPr="005238B7">
              <w:rPr>
                <w:i/>
              </w:rPr>
              <w:t xml:space="preserve">Jones v </w:t>
            </w:r>
            <w:proofErr w:type="spellStart"/>
            <w:r w:rsidRPr="005238B7">
              <w:rPr>
                <w:i/>
              </w:rPr>
              <w:t>Dunkel</w:t>
            </w:r>
            <w:proofErr w:type="spellEnd"/>
            <w:r>
              <w:rPr>
                <w:i/>
              </w:rPr>
              <w:t xml:space="preserve"> </w:t>
            </w:r>
            <w:r>
              <w:t>(1959) 101 CLR 298</w:t>
            </w:r>
          </w:p>
          <w:p w14:paraId="27D95F76" w14:textId="77777777" w:rsidR="0000266B" w:rsidRPr="0000266B" w:rsidRDefault="0000266B" w:rsidP="0000266B">
            <w:pPr>
              <w:pStyle w:val="CasesLegislationAppealFrom"/>
              <w:spacing w:after="60"/>
            </w:pPr>
            <w:proofErr w:type="spellStart"/>
            <w:r w:rsidRPr="0000266B">
              <w:rPr>
                <w:i/>
              </w:rPr>
              <w:t>Kuhl</w:t>
            </w:r>
            <w:proofErr w:type="spellEnd"/>
            <w:r w:rsidRPr="0000266B">
              <w:rPr>
                <w:i/>
              </w:rPr>
              <w:t xml:space="preserve"> v Zurich Financial Services</w:t>
            </w:r>
            <w:r w:rsidRPr="0000266B">
              <w:t xml:space="preserve"> </w:t>
            </w:r>
            <w:r w:rsidRPr="0000266B">
              <w:rPr>
                <w:i/>
              </w:rPr>
              <w:t xml:space="preserve">Australia Ltd </w:t>
            </w:r>
            <w:r w:rsidRPr="0000266B">
              <w:t>(2011) 243 CLR 361</w:t>
            </w:r>
          </w:p>
          <w:p w14:paraId="27D95F77" w14:textId="77777777" w:rsidR="0000266B" w:rsidRDefault="0000266B" w:rsidP="0000266B">
            <w:pPr>
              <w:pStyle w:val="CasesLegislationAppealFrom"/>
              <w:spacing w:after="60"/>
            </w:pPr>
            <w:proofErr w:type="spellStart"/>
            <w:r w:rsidRPr="0000266B">
              <w:rPr>
                <w:i/>
              </w:rPr>
              <w:t>Napiat</w:t>
            </w:r>
            <w:proofErr w:type="spellEnd"/>
            <w:r w:rsidRPr="0000266B">
              <w:rPr>
                <w:i/>
              </w:rPr>
              <w:t xml:space="preserve"> Pty Ltd v </w:t>
            </w:r>
            <w:proofErr w:type="spellStart"/>
            <w:r w:rsidRPr="0000266B">
              <w:rPr>
                <w:i/>
              </w:rPr>
              <w:t>Salfinger</w:t>
            </w:r>
            <w:proofErr w:type="spellEnd"/>
            <w:r w:rsidRPr="0000266B">
              <w:rPr>
                <w:i/>
              </w:rPr>
              <w:t xml:space="preserve"> (No 7) </w:t>
            </w:r>
            <w:r w:rsidRPr="0000266B">
              <w:t>(2011) 202 FCR 264</w:t>
            </w:r>
          </w:p>
          <w:p w14:paraId="27D95F78" w14:textId="77777777" w:rsidR="00156ADE" w:rsidRDefault="00156ADE" w:rsidP="0000266B">
            <w:pPr>
              <w:pStyle w:val="CasesLegislationAppealFrom"/>
              <w:spacing w:after="60"/>
              <w:rPr>
                <w:i/>
              </w:rPr>
            </w:pPr>
            <w:r w:rsidRPr="006A42FA">
              <w:rPr>
                <w:i/>
                <w:lang w:eastAsia="en-AU"/>
              </w:rPr>
              <w:t xml:space="preserve">Newby v Von </w:t>
            </w:r>
            <w:proofErr w:type="spellStart"/>
            <w:r w:rsidRPr="006A42FA">
              <w:rPr>
                <w:i/>
                <w:lang w:eastAsia="en-AU"/>
              </w:rPr>
              <w:t>Oppen</w:t>
            </w:r>
            <w:proofErr w:type="spellEnd"/>
            <w:r w:rsidRPr="006A42FA">
              <w:rPr>
                <w:i/>
                <w:lang w:eastAsia="en-AU"/>
              </w:rPr>
              <w:t xml:space="preserve"> and </w:t>
            </w:r>
            <w:r w:rsidR="007C6878">
              <w:rPr>
                <w:i/>
                <w:lang w:eastAsia="en-AU"/>
              </w:rPr>
              <w:t xml:space="preserve">The </w:t>
            </w:r>
            <w:r w:rsidRPr="006A42FA">
              <w:rPr>
                <w:i/>
                <w:lang w:eastAsia="en-AU"/>
              </w:rPr>
              <w:t xml:space="preserve">Colt’s Patent Firearms Manufacturing Company </w:t>
            </w:r>
            <w:r>
              <w:rPr>
                <w:lang w:eastAsia="en-AU"/>
              </w:rPr>
              <w:t>(1872) LR 7 QB 293</w:t>
            </w:r>
          </w:p>
          <w:p w14:paraId="27D95F79" w14:textId="77777777" w:rsidR="00C34034" w:rsidRPr="00C34034" w:rsidRDefault="00C34034" w:rsidP="0000266B">
            <w:pPr>
              <w:pStyle w:val="CasesLegislationAppealFrom"/>
              <w:spacing w:after="60"/>
            </w:pPr>
            <w:r>
              <w:rPr>
                <w:i/>
              </w:rPr>
              <w:t xml:space="preserve">Re Application of Campbell; </w:t>
            </w:r>
            <w:proofErr w:type="spellStart"/>
            <w:r w:rsidRPr="0000266B">
              <w:rPr>
                <w:i/>
                <w:iCs/>
              </w:rPr>
              <w:t>Gebo</w:t>
            </w:r>
            <w:proofErr w:type="spellEnd"/>
            <w:r w:rsidRPr="0000266B">
              <w:rPr>
                <w:i/>
                <w:iCs/>
              </w:rPr>
              <w:t xml:space="preserve"> </w:t>
            </w:r>
            <w:r>
              <w:rPr>
                <w:i/>
                <w:iCs/>
              </w:rPr>
              <w:t xml:space="preserve">Investments (Labuan) Ltd </w:t>
            </w:r>
            <w:r w:rsidRPr="0000266B">
              <w:rPr>
                <w:i/>
                <w:iCs/>
              </w:rPr>
              <w:t xml:space="preserve">v Signatory Investments </w:t>
            </w:r>
            <w:r>
              <w:rPr>
                <w:i/>
                <w:iCs/>
              </w:rPr>
              <w:t xml:space="preserve">Pty Ltd </w:t>
            </w:r>
            <w:r w:rsidRPr="0000266B">
              <w:t>(2005) 54 ACSR 111</w:t>
            </w:r>
          </w:p>
          <w:p w14:paraId="27D95F7A" w14:textId="77777777" w:rsidR="00A97080" w:rsidRDefault="0000266B" w:rsidP="0000266B">
            <w:pPr>
              <w:pStyle w:val="CasesLegislationAppealFrom"/>
              <w:spacing w:after="60"/>
            </w:pPr>
            <w:r w:rsidRPr="0000266B">
              <w:rPr>
                <w:i/>
              </w:rPr>
              <w:t xml:space="preserve">Re </w:t>
            </w:r>
            <w:proofErr w:type="spellStart"/>
            <w:r w:rsidRPr="0000266B">
              <w:rPr>
                <w:i/>
              </w:rPr>
              <w:t>Mendonca</w:t>
            </w:r>
            <w:proofErr w:type="spellEnd"/>
            <w:r w:rsidRPr="0000266B">
              <w:rPr>
                <w:i/>
              </w:rPr>
              <w:t>; Ex parte</w:t>
            </w:r>
            <w:r w:rsidR="00EC2CF1">
              <w:rPr>
                <w:i/>
              </w:rPr>
              <w:t xml:space="preserve"> Federal</w:t>
            </w:r>
            <w:r w:rsidRPr="0000266B">
              <w:rPr>
                <w:i/>
              </w:rPr>
              <w:t xml:space="preserve"> Commissioner of Taxation</w:t>
            </w:r>
            <w:r w:rsidR="00A97080">
              <w:t xml:space="preserve"> </w:t>
            </w:r>
            <w:r w:rsidRPr="0000266B">
              <w:t xml:space="preserve"> </w:t>
            </w:r>
            <w:r w:rsidR="00A97080">
              <w:t xml:space="preserve">(1969) </w:t>
            </w:r>
            <w:r w:rsidR="00A97080" w:rsidRPr="00A97080">
              <w:t>1 ATR 571</w:t>
            </w:r>
          </w:p>
          <w:p w14:paraId="27D95F7B" w14:textId="77777777" w:rsidR="00EC2CF1" w:rsidRPr="00EC2CF1" w:rsidRDefault="00EC2CF1" w:rsidP="0000266B">
            <w:pPr>
              <w:pStyle w:val="CasesLegislationAppealFrom"/>
              <w:spacing w:after="60"/>
              <w:rPr>
                <w:i/>
              </w:rPr>
            </w:pPr>
            <w:r>
              <w:rPr>
                <w:i/>
              </w:rPr>
              <w:t xml:space="preserve">Re </w:t>
            </w:r>
            <w:r w:rsidRPr="0000266B">
              <w:rPr>
                <w:i/>
              </w:rPr>
              <w:t xml:space="preserve">TCL </w:t>
            </w:r>
            <w:proofErr w:type="spellStart"/>
            <w:r w:rsidRPr="0000266B">
              <w:rPr>
                <w:i/>
              </w:rPr>
              <w:t>Airconditioner</w:t>
            </w:r>
            <w:proofErr w:type="spellEnd"/>
            <w:r w:rsidRPr="0000266B">
              <w:rPr>
                <w:i/>
              </w:rPr>
              <w:t xml:space="preserve"> (</w:t>
            </w:r>
            <w:proofErr w:type="spellStart"/>
            <w:r w:rsidRPr="0000266B">
              <w:rPr>
                <w:i/>
              </w:rPr>
              <w:t>Zhongshan</w:t>
            </w:r>
            <w:proofErr w:type="spellEnd"/>
            <w:r w:rsidRPr="0000266B">
              <w:rPr>
                <w:i/>
              </w:rPr>
              <w:t>) Co Ltd v Castel Electronics Pty Ltd (No 2)</w:t>
            </w:r>
            <w:r w:rsidRPr="0000266B">
              <w:t xml:space="preserve"> (2019) 369 ALR 192</w:t>
            </w:r>
          </w:p>
          <w:p w14:paraId="27D95F7C" w14:textId="77777777" w:rsidR="0000266B" w:rsidRDefault="00613C8B" w:rsidP="0000266B">
            <w:pPr>
              <w:pStyle w:val="CasesLegislationAppealFrom"/>
              <w:spacing w:after="60"/>
            </w:pPr>
            <w:r>
              <w:rPr>
                <w:i/>
              </w:rPr>
              <w:t xml:space="preserve">Re </w:t>
            </w:r>
            <w:proofErr w:type="spellStart"/>
            <w:r>
              <w:rPr>
                <w:i/>
              </w:rPr>
              <w:t>Vassis</w:t>
            </w:r>
            <w:proofErr w:type="spellEnd"/>
            <w:r>
              <w:rPr>
                <w:i/>
              </w:rPr>
              <w:t>;</w:t>
            </w:r>
            <w:r w:rsidR="0000266B" w:rsidRPr="0000266B">
              <w:rPr>
                <w:i/>
              </w:rPr>
              <w:t xml:space="preserve"> Ex Parte Leung</w:t>
            </w:r>
            <w:r w:rsidR="00D32A78">
              <w:rPr>
                <w:i/>
              </w:rPr>
              <w:t xml:space="preserve"> </w:t>
            </w:r>
            <w:r w:rsidR="00A97080" w:rsidRPr="00A97080">
              <w:t>(1986) 9 FCR 518</w:t>
            </w:r>
          </w:p>
          <w:p w14:paraId="27D95F7D" w14:textId="77777777" w:rsidR="0000266B" w:rsidRPr="0000266B" w:rsidRDefault="0000266B" w:rsidP="0000266B">
            <w:pPr>
              <w:pStyle w:val="CasesLegislationAppealFrom"/>
              <w:spacing w:after="60"/>
            </w:pPr>
            <w:proofErr w:type="spellStart"/>
            <w:r w:rsidRPr="0000266B">
              <w:rPr>
                <w:i/>
              </w:rPr>
              <w:t>Russells</w:t>
            </w:r>
            <w:proofErr w:type="spellEnd"/>
            <w:r w:rsidRPr="0000266B">
              <w:rPr>
                <w:i/>
              </w:rPr>
              <w:t xml:space="preserve"> (A Firm) v Donoghue </w:t>
            </w:r>
            <w:r w:rsidRPr="0000266B">
              <w:t>[2019] FCCA 1864</w:t>
            </w:r>
          </w:p>
          <w:p w14:paraId="27D95F7E" w14:textId="77777777" w:rsidR="0000266B" w:rsidRDefault="0000266B" w:rsidP="0000266B">
            <w:pPr>
              <w:pStyle w:val="CasesLegislationAppealFrom"/>
              <w:spacing w:after="60"/>
            </w:pPr>
            <w:r w:rsidRPr="0000266B">
              <w:rPr>
                <w:i/>
              </w:rPr>
              <w:t xml:space="preserve">Smith (on behalf of National Parks and Wildlife Service) v </w:t>
            </w:r>
            <w:proofErr w:type="spellStart"/>
            <w:r w:rsidRPr="0000266B">
              <w:rPr>
                <w:i/>
              </w:rPr>
              <w:t>Capewell</w:t>
            </w:r>
            <w:proofErr w:type="spellEnd"/>
            <w:r w:rsidRPr="0000266B">
              <w:t xml:space="preserve"> (1979) 142 CLR 509</w:t>
            </w:r>
          </w:p>
          <w:p w14:paraId="27D95F7F" w14:textId="77777777" w:rsidR="00156ADE" w:rsidRPr="00644A66" w:rsidRDefault="00156ADE" w:rsidP="0000266B">
            <w:pPr>
              <w:pStyle w:val="CasesLegislationAppealFrom"/>
              <w:spacing w:after="60"/>
            </w:pPr>
            <w:r w:rsidRPr="006A42FA">
              <w:rPr>
                <w:i/>
              </w:rPr>
              <w:t>South India Shipping Corporation Ltd v Export-Import Bank of Korea</w:t>
            </w:r>
            <w:r w:rsidRPr="005044A0">
              <w:t xml:space="preserve"> [</w:t>
            </w:r>
            <w:r>
              <w:t>1985] 1 WLR 585</w:t>
            </w:r>
          </w:p>
          <w:p w14:paraId="27D95F80" w14:textId="77777777" w:rsidR="0000266B" w:rsidRPr="0000266B" w:rsidRDefault="0000266B" w:rsidP="0000266B">
            <w:pPr>
              <w:pStyle w:val="CasesLegislationAppealFrom"/>
              <w:spacing w:after="60"/>
              <w:rPr>
                <w:iCs/>
                <w:szCs w:val="24"/>
                <w:lang w:eastAsia="en-AU"/>
              </w:rPr>
            </w:pPr>
            <w:proofErr w:type="spellStart"/>
            <w:r w:rsidRPr="0000266B">
              <w:rPr>
                <w:i/>
                <w:iCs/>
                <w:szCs w:val="24"/>
                <w:lang w:eastAsia="en-AU"/>
              </w:rPr>
              <w:t>Theophile</w:t>
            </w:r>
            <w:proofErr w:type="spellEnd"/>
            <w:r w:rsidRPr="0000266B">
              <w:rPr>
                <w:i/>
                <w:iCs/>
                <w:szCs w:val="24"/>
                <w:lang w:eastAsia="en-AU"/>
              </w:rPr>
              <w:t xml:space="preserve"> v The Solicitor‐General</w:t>
            </w:r>
            <w:r w:rsidR="00156ADE">
              <w:t xml:space="preserve"> [</w:t>
            </w:r>
            <w:r w:rsidR="00156ADE">
              <w:rPr>
                <w:iCs/>
                <w:szCs w:val="24"/>
                <w:lang w:eastAsia="en-AU"/>
              </w:rPr>
              <w:t>1950]</w:t>
            </w:r>
            <w:r w:rsidRPr="0000266B">
              <w:rPr>
                <w:iCs/>
                <w:szCs w:val="24"/>
                <w:lang w:eastAsia="en-AU"/>
              </w:rPr>
              <w:t xml:space="preserve"> AC 186</w:t>
            </w:r>
          </w:p>
          <w:p w14:paraId="27D95F81" w14:textId="77777777" w:rsidR="0000266B" w:rsidRPr="0000266B" w:rsidRDefault="0000266B" w:rsidP="0000266B">
            <w:pPr>
              <w:pStyle w:val="CasesLegislationAppealFrom"/>
              <w:spacing w:after="60"/>
            </w:pPr>
            <w:r w:rsidRPr="0000266B">
              <w:rPr>
                <w:i/>
                <w:iCs/>
              </w:rPr>
              <w:t xml:space="preserve">Tiger Yacht Management Ltd v Morris </w:t>
            </w:r>
            <w:r w:rsidRPr="0000266B">
              <w:t>(2019) 268 FCR 548</w:t>
            </w:r>
          </w:p>
          <w:p w14:paraId="27D95F82" w14:textId="77777777" w:rsidR="0000266B" w:rsidRPr="0000266B" w:rsidRDefault="0000266B" w:rsidP="0000266B">
            <w:pPr>
              <w:pStyle w:val="CasesLegislationAppealFrom"/>
              <w:spacing w:after="60"/>
            </w:pPr>
            <w:r w:rsidRPr="0000266B">
              <w:rPr>
                <w:i/>
                <w:iCs/>
              </w:rPr>
              <w:t xml:space="preserve">Trustees of the Property of Cummins (A Bankrupt) v Cummins </w:t>
            </w:r>
            <w:r w:rsidRPr="0000266B">
              <w:t>(2006) 227 CLR 278</w:t>
            </w:r>
          </w:p>
          <w:p w14:paraId="27D95F83" w14:textId="77777777" w:rsidR="0000266B" w:rsidRPr="0000266B" w:rsidRDefault="0000266B" w:rsidP="0000266B">
            <w:pPr>
              <w:pStyle w:val="CasesLegislationAppealFrom"/>
              <w:spacing w:after="60"/>
            </w:pPr>
            <w:r w:rsidRPr="0000266B">
              <w:rPr>
                <w:i/>
              </w:rPr>
              <w:t>Turner v Trevorrow</w:t>
            </w:r>
            <w:r w:rsidRPr="0000266B">
              <w:t xml:space="preserve"> (1994) 49 FCR 566</w:t>
            </w:r>
          </w:p>
          <w:p w14:paraId="27D95F84" w14:textId="77777777" w:rsidR="00156ADE" w:rsidRPr="0000266B" w:rsidRDefault="0000266B" w:rsidP="00156ADE">
            <w:pPr>
              <w:pStyle w:val="CasesLegislationAppealFrom"/>
              <w:spacing w:after="60"/>
            </w:pPr>
            <w:r w:rsidRPr="0000266B">
              <w:rPr>
                <w:i/>
              </w:rPr>
              <w:t>Valve Corporation v Australian Competition and Consumer Commission</w:t>
            </w:r>
            <w:r w:rsidRPr="0000266B">
              <w:t xml:space="preserve"> (2017) 258 FCR 190</w:t>
            </w:r>
            <w:bookmarkEnd w:id="4"/>
          </w:p>
        </w:tc>
      </w:tr>
      <w:tr w:rsidR="004C6BDE" w14:paraId="27D95F88" w14:textId="77777777" w:rsidTr="0024614E">
        <w:tc>
          <w:tcPr>
            <w:tcW w:w="3084" w:type="dxa"/>
            <w:shd w:val="clear" w:color="auto" w:fill="auto"/>
          </w:tcPr>
          <w:p w14:paraId="27D95F86" w14:textId="77777777" w:rsidR="004C6BDE" w:rsidRDefault="004C6BDE" w:rsidP="00C85BF1">
            <w:pPr>
              <w:pStyle w:val="Normal1linespace"/>
              <w:widowControl w:val="0"/>
            </w:pPr>
          </w:p>
        </w:tc>
        <w:tc>
          <w:tcPr>
            <w:tcW w:w="5989" w:type="dxa"/>
            <w:shd w:val="clear" w:color="auto" w:fill="auto"/>
          </w:tcPr>
          <w:p w14:paraId="27D95F87" w14:textId="77777777" w:rsidR="004C6BDE" w:rsidRDefault="004C6BDE" w:rsidP="00C85BF1">
            <w:pPr>
              <w:pStyle w:val="Normal1linespace"/>
              <w:widowControl w:val="0"/>
              <w:jc w:val="left"/>
            </w:pPr>
          </w:p>
        </w:tc>
      </w:tr>
      <w:tr w:rsidR="004C6BDE" w14:paraId="27D95F8B" w14:textId="77777777" w:rsidTr="0024614E">
        <w:tc>
          <w:tcPr>
            <w:tcW w:w="3084" w:type="dxa"/>
            <w:shd w:val="clear" w:color="auto" w:fill="auto"/>
          </w:tcPr>
          <w:p w14:paraId="27D95F89" w14:textId="77777777" w:rsidR="004C6BDE" w:rsidRDefault="004C6BDE" w:rsidP="00501A12">
            <w:pPr>
              <w:pStyle w:val="Normal1linespace"/>
              <w:widowControl w:val="0"/>
            </w:pPr>
            <w:r>
              <w:t>Division:</w:t>
            </w:r>
          </w:p>
        </w:tc>
        <w:tc>
          <w:tcPr>
            <w:tcW w:w="5989" w:type="dxa"/>
            <w:shd w:val="clear" w:color="auto" w:fill="auto"/>
          </w:tcPr>
          <w:p w14:paraId="27D95F8A" w14:textId="77777777" w:rsidR="004C6BDE" w:rsidRPr="00F17599" w:rsidRDefault="00ED335E" w:rsidP="00501A12">
            <w:pPr>
              <w:pStyle w:val="Normal1linespace"/>
              <w:widowControl w:val="0"/>
              <w:jc w:val="left"/>
            </w:pPr>
            <w:fldSimple w:instr=" DOCPROPERTY  Division ">
              <w:r w:rsidR="005640F6">
                <w:t>General Division</w:t>
              </w:r>
            </w:fldSimple>
          </w:p>
        </w:tc>
      </w:tr>
      <w:tr w:rsidR="004C6BDE" w14:paraId="27D95F8E" w14:textId="77777777" w:rsidTr="0024614E">
        <w:tc>
          <w:tcPr>
            <w:tcW w:w="3084" w:type="dxa"/>
            <w:shd w:val="clear" w:color="auto" w:fill="auto"/>
          </w:tcPr>
          <w:p w14:paraId="27D95F8C" w14:textId="77777777" w:rsidR="004C6BDE" w:rsidRDefault="004C6BDE" w:rsidP="00501A12">
            <w:pPr>
              <w:pStyle w:val="Normal1linespace"/>
              <w:widowControl w:val="0"/>
            </w:pPr>
            <w:bookmarkStart w:id="5" w:name="Registry_rows" w:colFirst="0" w:colLast="1"/>
          </w:p>
        </w:tc>
        <w:tc>
          <w:tcPr>
            <w:tcW w:w="5989" w:type="dxa"/>
            <w:shd w:val="clear" w:color="auto" w:fill="auto"/>
          </w:tcPr>
          <w:p w14:paraId="27D95F8D" w14:textId="77777777" w:rsidR="004C6BDE" w:rsidRDefault="004C6BDE" w:rsidP="00501A12">
            <w:pPr>
              <w:pStyle w:val="Normal1linespace"/>
              <w:widowControl w:val="0"/>
              <w:jc w:val="left"/>
            </w:pPr>
          </w:p>
        </w:tc>
      </w:tr>
      <w:tr w:rsidR="004C6BDE" w14:paraId="27D95F91" w14:textId="77777777" w:rsidTr="0024614E">
        <w:tc>
          <w:tcPr>
            <w:tcW w:w="3084" w:type="dxa"/>
            <w:shd w:val="clear" w:color="auto" w:fill="auto"/>
          </w:tcPr>
          <w:p w14:paraId="27D95F8F" w14:textId="77777777" w:rsidR="004C6BDE" w:rsidRDefault="004C6BDE" w:rsidP="00501A12">
            <w:pPr>
              <w:pStyle w:val="Normal1linespace"/>
              <w:widowControl w:val="0"/>
            </w:pPr>
            <w:r>
              <w:t>Registry:</w:t>
            </w:r>
          </w:p>
        </w:tc>
        <w:tc>
          <w:tcPr>
            <w:tcW w:w="5989" w:type="dxa"/>
            <w:shd w:val="clear" w:color="auto" w:fill="auto"/>
          </w:tcPr>
          <w:p w14:paraId="27D95F90" w14:textId="77777777" w:rsidR="004C6BDE" w:rsidRPr="00F17599" w:rsidRDefault="00ED335E" w:rsidP="00501A12">
            <w:pPr>
              <w:pStyle w:val="Normal1linespace"/>
              <w:widowControl w:val="0"/>
              <w:jc w:val="left"/>
            </w:pPr>
            <w:fldSimple w:instr=" DOCPROPERTY  Registry ">
              <w:r w:rsidR="005640F6">
                <w:t>Queensland</w:t>
              </w:r>
            </w:fldSimple>
          </w:p>
        </w:tc>
      </w:tr>
      <w:tr w:rsidR="004C6BDE" w14:paraId="27D95F94" w14:textId="77777777" w:rsidTr="0024614E">
        <w:tc>
          <w:tcPr>
            <w:tcW w:w="3084" w:type="dxa"/>
            <w:shd w:val="clear" w:color="auto" w:fill="auto"/>
          </w:tcPr>
          <w:p w14:paraId="27D95F92" w14:textId="77777777" w:rsidR="004C6BDE" w:rsidRDefault="004C6BDE" w:rsidP="00501A12">
            <w:pPr>
              <w:pStyle w:val="Normal1linespace"/>
              <w:widowControl w:val="0"/>
            </w:pPr>
            <w:bookmarkStart w:id="6" w:name="NPARow" w:colFirst="0" w:colLast="1"/>
            <w:bookmarkEnd w:id="5"/>
          </w:p>
        </w:tc>
        <w:tc>
          <w:tcPr>
            <w:tcW w:w="5989" w:type="dxa"/>
            <w:shd w:val="clear" w:color="auto" w:fill="auto"/>
          </w:tcPr>
          <w:p w14:paraId="27D95F93" w14:textId="77777777" w:rsidR="004C6BDE" w:rsidRPr="00F17599" w:rsidRDefault="004C6BDE" w:rsidP="00501A12">
            <w:pPr>
              <w:pStyle w:val="Normal1linespace"/>
              <w:widowControl w:val="0"/>
              <w:jc w:val="left"/>
              <w:rPr>
                <w:b/>
              </w:rPr>
            </w:pPr>
          </w:p>
        </w:tc>
      </w:tr>
      <w:tr w:rsidR="004C6BDE" w14:paraId="27D95F97" w14:textId="77777777" w:rsidTr="0024614E">
        <w:tc>
          <w:tcPr>
            <w:tcW w:w="3084" w:type="dxa"/>
            <w:shd w:val="clear" w:color="auto" w:fill="auto"/>
          </w:tcPr>
          <w:p w14:paraId="27D95F95" w14:textId="77777777" w:rsidR="004C6BDE" w:rsidRDefault="004C6BDE" w:rsidP="00501A12">
            <w:pPr>
              <w:pStyle w:val="Normal1linespace"/>
              <w:widowControl w:val="0"/>
            </w:pPr>
            <w:r>
              <w:t>National Practice Area:</w:t>
            </w:r>
          </w:p>
        </w:tc>
        <w:tc>
          <w:tcPr>
            <w:tcW w:w="5989" w:type="dxa"/>
            <w:shd w:val="clear" w:color="auto" w:fill="auto"/>
          </w:tcPr>
          <w:p w14:paraId="27D95F96" w14:textId="77777777" w:rsidR="004C6BDE" w:rsidRPr="00F17599" w:rsidRDefault="00C3527C" w:rsidP="00C85BF1">
            <w:pPr>
              <w:pStyle w:val="Normal1linespace"/>
              <w:widowControl w:val="0"/>
              <w:jc w:val="left"/>
              <w:rPr>
                <w:b/>
              </w:rPr>
            </w:pPr>
            <w:r>
              <w:fldChar w:fldCharType="begin"/>
            </w:r>
            <w:r>
              <w:instrText xml:space="preserve"> DOCPROPERTY  "Practice Area"  \* MERGEFORMAT </w:instrText>
            </w:r>
            <w:r>
              <w:fldChar w:fldCharType="separate"/>
            </w:r>
            <w:r w:rsidR="005640F6">
              <w:t>Commercial and Corporations</w:t>
            </w:r>
            <w:r>
              <w:fldChar w:fldCharType="end"/>
            </w:r>
          </w:p>
        </w:tc>
      </w:tr>
      <w:tr w:rsidR="00B202CA" w14:paraId="27D95F9A" w14:textId="77777777" w:rsidTr="00B33EAB">
        <w:tc>
          <w:tcPr>
            <w:tcW w:w="3084" w:type="dxa"/>
            <w:shd w:val="clear" w:color="auto" w:fill="auto"/>
          </w:tcPr>
          <w:p w14:paraId="27D95F98" w14:textId="77777777" w:rsidR="00B202CA" w:rsidRDefault="00B202CA" w:rsidP="00B33EAB">
            <w:pPr>
              <w:pStyle w:val="Normal1linespace"/>
              <w:widowControl w:val="0"/>
            </w:pPr>
          </w:p>
        </w:tc>
        <w:tc>
          <w:tcPr>
            <w:tcW w:w="5989" w:type="dxa"/>
            <w:shd w:val="clear" w:color="auto" w:fill="auto"/>
          </w:tcPr>
          <w:p w14:paraId="27D95F99" w14:textId="77777777" w:rsidR="00B202CA" w:rsidRDefault="00B202CA" w:rsidP="00B33EAB">
            <w:pPr>
              <w:pStyle w:val="Normal1linespace"/>
              <w:widowControl w:val="0"/>
              <w:jc w:val="left"/>
            </w:pPr>
          </w:p>
        </w:tc>
      </w:tr>
      <w:tr w:rsidR="00B202CA" w14:paraId="27D95F9D" w14:textId="77777777" w:rsidTr="00B33EAB">
        <w:tc>
          <w:tcPr>
            <w:tcW w:w="3084" w:type="dxa"/>
            <w:shd w:val="clear" w:color="auto" w:fill="auto"/>
          </w:tcPr>
          <w:p w14:paraId="27D95F9B" w14:textId="77777777" w:rsidR="00B202CA" w:rsidRDefault="00B202CA" w:rsidP="00B33EAB">
            <w:pPr>
              <w:pStyle w:val="Normal1linespace"/>
              <w:widowControl w:val="0"/>
            </w:pPr>
            <w:r>
              <w:t>Sub-area:</w:t>
            </w:r>
          </w:p>
        </w:tc>
        <w:tc>
          <w:tcPr>
            <w:tcW w:w="5989" w:type="dxa"/>
            <w:shd w:val="clear" w:color="auto" w:fill="auto"/>
          </w:tcPr>
          <w:p w14:paraId="27D95F9C" w14:textId="77777777" w:rsidR="00B202CA" w:rsidRDefault="00ED335E" w:rsidP="00B33EAB">
            <w:pPr>
              <w:pStyle w:val="Normal1linespace"/>
              <w:widowControl w:val="0"/>
              <w:jc w:val="left"/>
            </w:pPr>
            <w:fldSimple w:instr=" DOCPROPERTY  &quot;Sub Area&quot;  \* MERGEFORMAT ">
              <w:r w:rsidR="00B202CA" w:rsidRPr="00FA4791">
                <w:rPr>
                  <w:lang w:val="en-US"/>
                </w:rPr>
                <w:t>General and Personal</w:t>
              </w:r>
              <w:r w:rsidR="00B202CA">
                <w:t xml:space="preserve"> Insolvency</w:t>
              </w:r>
            </w:fldSimple>
          </w:p>
        </w:tc>
      </w:tr>
      <w:bookmarkEnd w:id="6"/>
      <w:tr w:rsidR="004C6BDE" w14:paraId="27D95FA0" w14:textId="77777777" w:rsidTr="0024614E">
        <w:tc>
          <w:tcPr>
            <w:tcW w:w="3084" w:type="dxa"/>
            <w:shd w:val="clear" w:color="auto" w:fill="auto"/>
          </w:tcPr>
          <w:p w14:paraId="27D95F9E" w14:textId="77777777" w:rsidR="004C6BDE" w:rsidRDefault="004C6BDE" w:rsidP="00501A12">
            <w:pPr>
              <w:pStyle w:val="Normal1linespace"/>
              <w:widowControl w:val="0"/>
            </w:pPr>
          </w:p>
        </w:tc>
        <w:tc>
          <w:tcPr>
            <w:tcW w:w="5989" w:type="dxa"/>
            <w:shd w:val="clear" w:color="auto" w:fill="auto"/>
          </w:tcPr>
          <w:p w14:paraId="27D95F9F" w14:textId="77777777" w:rsidR="004C6BDE" w:rsidRDefault="004C6BDE" w:rsidP="00501A12">
            <w:pPr>
              <w:pStyle w:val="Normal1linespace"/>
              <w:widowControl w:val="0"/>
              <w:jc w:val="left"/>
            </w:pPr>
          </w:p>
        </w:tc>
      </w:tr>
      <w:tr w:rsidR="004C6BDE" w14:paraId="27D95FA3" w14:textId="77777777" w:rsidTr="0024614E">
        <w:tc>
          <w:tcPr>
            <w:tcW w:w="3084" w:type="dxa"/>
            <w:shd w:val="clear" w:color="auto" w:fill="auto"/>
          </w:tcPr>
          <w:p w14:paraId="27D95FA1" w14:textId="77777777" w:rsidR="004C6BDE" w:rsidRDefault="004C6BDE" w:rsidP="00501A12">
            <w:pPr>
              <w:pStyle w:val="Normal1linespace"/>
              <w:widowControl w:val="0"/>
            </w:pPr>
            <w:r>
              <w:t>Number of paragraphs:</w:t>
            </w:r>
          </w:p>
        </w:tc>
        <w:tc>
          <w:tcPr>
            <w:tcW w:w="5989" w:type="dxa"/>
            <w:shd w:val="clear" w:color="auto" w:fill="auto"/>
          </w:tcPr>
          <w:p w14:paraId="27D95FA2" w14:textId="77777777" w:rsidR="004C6BDE" w:rsidRDefault="002C46C4" w:rsidP="00501A12">
            <w:pPr>
              <w:pStyle w:val="Normal1linespace"/>
              <w:widowControl w:val="0"/>
              <w:jc w:val="left"/>
            </w:pPr>
            <w:bookmarkStart w:id="7" w:name="PlaceCategoryParagraphs"/>
            <w:r>
              <w:t>91</w:t>
            </w:r>
            <w:bookmarkEnd w:id="7"/>
          </w:p>
        </w:tc>
      </w:tr>
      <w:tr w:rsidR="004C6BDE" w14:paraId="27D95FA6" w14:textId="77777777" w:rsidTr="0024614E">
        <w:tc>
          <w:tcPr>
            <w:tcW w:w="3084" w:type="dxa"/>
            <w:shd w:val="clear" w:color="auto" w:fill="auto"/>
          </w:tcPr>
          <w:p w14:paraId="27D95FA4" w14:textId="77777777" w:rsidR="004C6BDE" w:rsidRDefault="004C6BDE" w:rsidP="004C6BDE">
            <w:pPr>
              <w:pStyle w:val="Normal1linespace"/>
              <w:widowControl w:val="0"/>
              <w:jc w:val="left"/>
            </w:pPr>
          </w:p>
        </w:tc>
        <w:tc>
          <w:tcPr>
            <w:tcW w:w="5989" w:type="dxa"/>
            <w:shd w:val="clear" w:color="auto" w:fill="auto"/>
          </w:tcPr>
          <w:p w14:paraId="27D95FA5" w14:textId="77777777" w:rsidR="004C6BDE" w:rsidRDefault="004C6BDE" w:rsidP="004C6BDE">
            <w:pPr>
              <w:pStyle w:val="Normal1linespace"/>
              <w:widowControl w:val="0"/>
              <w:jc w:val="left"/>
            </w:pPr>
          </w:p>
        </w:tc>
      </w:tr>
      <w:tr w:rsidR="004C6BDE" w14:paraId="27D95FAA" w14:textId="77777777" w:rsidTr="0024614E">
        <w:tc>
          <w:tcPr>
            <w:tcW w:w="3084" w:type="dxa"/>
            <w:shd w:val="clear" w:color="auto" w:fill="auto"/>
          </w:tcPr>
          <w:p w14:paraId="27D95FA7" w14:textId="77777777" w:rsidR="004C6BDE" w:rsidRDefault="0024614E" w:rsidP="004C6BDE">
            <w:pPr>
              <w:pStyle w:val="Normal1linespace"/>
              <w:widowControl w:val="0"/>
              <w:jc w:val="left"/>
            </w:pPr>
            <w:r>
              <w:t>Date of last submissions</w:t>
            </w:r>
            <w:r w:rsidR="004C6BDE">
              <w:t>:</w:t>
            </w:r>
          </w:p>
        </w:tc>
        <w:tc>
          <w:tcPr>
            <w:tcW w:w="5989" w:type="dxa"/>
            <w:shd w:val="clear" w:color="auto" w:fill="auto"/>
          </w:tcPr>
          <w:p w14:paraId="27D95FA8" w14:textId="77777777" w:rsidR="004C6BDE" w:rsidRDefault="0024614E" w:rsidP="004C6BDE">
            <w:pPr>
              <w:pStyle w:val="Normal1linespace"/>
              <w:widowControl w:val="0"/>
              <w:jc w:val="left"/>
            </w:pPr>
            <w:r>
              <w:t>7 April 2021 (Respondent)</w:t>
            </w:r>
          </w:p>
          <w:p w14:paraId="27D95FA9" w14:textId="77777777" w:rsidR="0024614E" w:rsidRDefault="0024614E" w:rsidP="004407C6">
            <w:pPr>
              <w:pStyle w:val="Normal1linespace"/>
              <w:widowControl w:val="0"/>
              <w:jc w:val="left"/>
            </w:pPr>
            <w:r>
              <w:t>21 April 2021 (App</w:t>
            </w:r>
            <w:r w:rsidR="004407C6">
              <w:t>ellant</w:t>
            </w:r>
            <w:r>
              <w:t>)</w:t>
            </w:r>
          </w:p>
        </w:tc>
      </w:tr>
      <w:tr w:rsidR="004C6BDE" w14:paraId="27D95FAD" w14:textId="77777777" w:rsidTr="0024614E">
        <w:tc>
          <w:tcPr>
            <w:tcW w:w="3084" w:type="dxa"/>
            <w:shd w:val="clear" w:color="auto" w:fill="auto"/>
          </w:tcPr>
          <w:p w14:paraId="27D95FAB" w14:textId="77777777" w:rsidR="004C6BDE" w:rsidRDefault="004C6BDE" w:rsidP="004C6BDE">
            <w:pPr>
              <w:pStyle w:val="Normal1linespace"/>
              <w:widowControl w:val="0"/>
              <w:jc w:val="left"/>
            </w:pPr>
          </w:p>
        </w:tc>
        <w:tc>
          <w:tcPr>
            <w:tcW w:w="5989" w:type="dxa"/>
            <w:shd w:val="clear" w:color="auto" w:fill="auto"/>
          </w:tcPr>
          <w:p w14:paraId="27D95FAC" w14:textId="77777777" w:rsidR="004C6BDE" w:rsidRDefault="004C6BDE" w:rsidP="004C6BDE">
            <w:pPr>
              <w:pStyle w:val="Normal1linespace"/>
              <w:widowControl w:val="0"/>
              <w:jc w:val="left"/>
            </w:pPr>
          </w:p>
        </w:tc>
      </w:tr>
      <w:tr w:rsidR="004C6BDE" w14:paraId="27D95FB0" w14:textId="77777777" w:rsidTr="0024614E">
        <w:tc>
          <w:tcPr>
            <w:tcW w:w="3084" w:type="dxa"/>
            <w:shd w:val="clear" w:color="auto" w:fill="auto"/>
          </w:tcPr>
          <w:p w14:paraId="27D95FAE" w14:textId="77777777" w:rsidR="004C6BDE" w:rsidRDefault="004C6BDE" w:rsidP="004C6BDE">
            <w:pPr>
              <w:pStyle w:val="Normal1linespace"/>
              <w:widowControl w:val="0"/>
              <w:jc w:val="left"/>
            </w:pPr>
            <w:bookmarkStart w:id="8" w:name="CounselDate" w:colFirst="0" w:colLast="2"/>
            <w:r w:rsidRPr="006A24E3">
              <w:t>Date of hearing:</w:t>
            </w:r>
          </w:p>
        </w:tc>
        <w:tc>
          <w:tcPr>
            <w:tcW w:w="5989" w:type="dxa"/>
            <w:shd w:val="clear" w:color="auto" w:fill="auto"/>
          </w:tcPr>
          <w:p w14:paraId="27D95FAF" w14:textId="77777777" w:rsidR="004C6BDE" w:rsidRDefault="005316D1" w:rsidP="005316D1">
            <w:pPr>
              <w:pStyle w:val="Normal1linespace"/>
              <w:widowControl w:val="0"/>
              <w:jc w:val="left"/>
            </w:pPr>
            <w:bookmarkStart w:id="9" w:name="HearingDate"/>
            <w:r>
              <w:t>22 March 2021</w:t>
            </w:r>
            <w:r w:rsidR="004C6BDE">
              <w:t xml:space="preserve"> </w:t>
            </w:r>
            <w:bookmarkEnd w:id="9"/>
          </w:p>
        </w:tc>
      </w:tr>
      <w:tr w:rsidR="004C6BDE" w14:paraId="27D95FB3" w14:textId="77777777" w:rsidTr="0024614E">
        <w:tc>
          <w:tcPr>
            <w:tcW w:w="3084" w:type="dxa"/>
            <w:shd w:val="clear" w:color="auto" w:fill="auto"/>
          </w:tcPr>
          <w:p w14:paraId="27D95FB1" w14:textId="77777777" w:rsidR="004C6BDE" w:rsidRDefault="004C6BDE" w:rsidP="004C6BDE">
            <w:pPr>
              <w:pStyle w:val="Normal1linespace"/>
              <w:widowControl w:val="0"/>
              <w:jc w:val="left"/>
            </w:pPr>
          </w:p>
        </w:tc>
        <w:tc>
          <w:tcPr>
            <w:tcW w:w="5989" w:type="dxa"/>
            <w:shd w:val="clear" w:color="auto" w:fill="auto"/>
          </w:tcPr>
          <w:p w14:paraId="27D95FB2" w14:textId="77777777" w:rsidR="004C6BDE" w:rsidRDefault="004C6BDE" w:rsidP="004C6BDE">
            <w:pPr>
              <w:pStyle w:val="Normal1linespace"/>
              <w:widowControl w:val="0"/>
              <w:jc w:val="left"/>
            </w:pPr>
          </w:p>
        </w:tc>
      </w:tr>
      <w:tr w:rsidR="0024614E" w14:paraId="27D95FB6" w14:textId="77777777" w:rsidTr="00B202CA">
        <w:tc>
          <w:tcPr>
            <w:tcW w:w="3084" w:type="dxa"/>
            <w:shd w:val="clear" w:color="auto" w:fill="auto"/>
          </w:tcPr>
          <w:p w14:paraId="27D95FB4" w14:textId="77777777" w:rsidR="0024614E" w:rsidRDefault="0024614E" w:rsidP="0024614E">
            <w:pPr>
              <w:pStyle w:val="Normal1linespace"/>
              <w:widowControl w:val="0"/>
              <w:jc w:val="left"/>
            </w:pPr>
            <w:bookmarkStart w:id="10" w:name="Counsel" w:colFirst="0" w:colLast="2"/>
            <w:bookmarkEnd w:id="8"/>
            <w:r>
              <w:t>Counsel for the Appellant:</w:t>
            </w:r>
          </w:p>
        </w:tc>
        <w:tc>
          <w:tcPr>
            <w:tcW w:w="5989" w:type="dxa"/>
            <w:shd w:val="clear" w:color="auto" w:fill="auto"/>
          </w:tcPr>
          <w:p w14:paraId="27D95FB5" w14:textId="77777777" w:rsidR="0024614E" w:rsidRDefault="0024614E" w:rsidP="0024614E">
            <w:pPr>
              <w:pStyle w:val="Normal1linespace"/>
              <w:widowControl w:val="0"/>
              <w:jc w:val="left"/>
            </w:pPr>
            <w:bookmarkStart w:id="11" w:name="AppCounsel"/>
            <w:bookmarkEnd w:id="11"/>
            <w:r>
              <w:t xml:space="preserve">Mr M </w:t>
            </w:r>
            <w:proofErr w:type="spellStart"/>
            <w:r>
              <w:t>Amerena</w:t>
            </w:r>
            <w:proofErr w:type="spellEnd"/>
          </w:p>
        </w:tc>
      </w:tr>
      <w:tr w:rsidR="0024614E" w14:paraId="27D95FB9" w14:textId="77777777" w:rsidTr="00B202CA">
        <w:tc>
          <w:tcPr>
            <w:tcW w:w="3084" w:type="dxa"/>
            <w:shd w:val="clear" w:color="auto" w:fill="auto"/>
          </w:tcPr>
          <w:p w14:paraId="27D95FB7" w14:textId="77777777" w:rsidR="0024614E" w:rsidRDefault="0024614E" w:rsidP="0024614E">
            <w:pPr>
              <w:pStyle w:val="Normal1linespace"/>
              <w:widowControl w:val="0"/>
              <w:jc w:val="left"/>
            </w:pPr>
          </w:p>
        </w:tc>
        <w:tc>
          <w:tcPr>
            <w:tcW w:w="5989" w:type="dxa"/>
            <w:shd w:val="clear" w:color="auto" w:fill="auto"/>
          </w:tcPr>
          <w:p w14:paraId="27D95FB8" w14:textId="77777777" w:rsidR="0024614E" w:rsidRDefault="0024614E" w:rsidP="0024614E">
            <w:pPr>
              <w:pStyle w:val="Normal1linespace"/>
              <w:widowControl w:val="0"/>
              <w:jc w:val="left"/>
            </w:pPr>
          </w:p>
        </w:tc>
      </w:tr>
      <w:tr w:rsidR="0024614E" w14:paraId="27D95FBC" w14:textId="77777777" w:rsidTr="00B202CA">
        <w:tc>
          <w:tcPr>
            <w:tcW w:w="3084" w:type="dxa"/>
            <w:shd w:val="clear" w:color="auto" w:fill="auto"/>
          </w:tcPr>
          <w:p w14:paraId="27D95FBA" w14:textId="77777777" w:rsidR="0024614E" w:rsidRDefault="0024614E" w:rsidP="0024614E">
            <w:pPr>
              <w:pStyle w:val="Normal1linespace"/>
              <w:widowControl w:val="0"/>
              <w:jc w:val="left"/>
            </w:pPr>
            <w:r>
              <w:t>Solicitor for the Appellant:</w:t>
            </w:r>
          </w:p>
        </w:tc>
        <w:tc>
          <w:tcPr>
            <w:tcW w:w="5989" w:type="dxa"/>
            <w:shd w:val="clear" w:color="auto" w:fill="auto"/>
          </w:tcPr>
          <w:p w14:paraId="27D95FBB" w14:textId="77777777" w:rsidR="0024614E" w:rsidRDefault="0024614E" w:rsidP="0024614E">
            <w:pPr>
              <w:pStyle w:val="Normal1linespace"/>
              <w:widowControl w:val="0"/>
              <w:jc w:val="left"/>
            </w:pPr>
            <w:r>
              <w:t>O</w:t>
            </w:r>
            <w:r w:rsidR="004A77B8">
              <w:t>’</w:t>
            </w:r>
            <w:r>
              <w:t>Shea &amp; Partners</w:t>
            </w:r>
          </w:p>
        </w:tc>
      </w:tr>
      <w:tr w:rsidR="0024614E" w14:paraId="27D95FBF" w14:textId="77777777" w:rsidTr="00B202CA">
        <w:tc>
          <w:tcPr>
            <w:tcW w:w="3084" w:type="dxa"/>
            <w:shd w:val="clear" w:color="auto" w:fill="auto"/>
          </w:tcPr>
          <w:p w14:paraId="27D95FBD" w14:textId="77777777" w:rsidR="0024614E" w:rsidRDefault="0024614E" w:rsidP="0024614E">
            <w:pPr>
              <w:pStyle w:val="Normal1linespace"/>
              <w:widowControl w:val="0"/>
              <w:jc w:val="left"/>
            </w:pPr>
          </w:p>
        </w:tc>
        <w:tc>
          <w:tcPr>
            <w:tcW w:w="5989" w:type="dxa"/>
            <w:shd w:val="clear" w:color="auto" w:fill="auto"/>
          </w:tcPr>
          <w:p w14:paraId="27D95FBE" w14:textId="77777777" w:rsidR="0024614E" w:rsidRDefault="0024614E" w:rsidP="0024614E">
            <w:pPr>
              <w:pStyle w:val="Normal1linespace"/>
              <w:widowControl w:val="0"/>
              <w:jc w:val="left"/>
            </w:pPr>
          </w:p>
        </w:tc>
      </w:tr>
      <w:tr w:rsidR="0024614E" w14:paraId="27D95FC2" w14:textId="77777777" w:rsidTr="00B202CA">
        <w:tc>
          <w:tcPr>
            <w:tcW w:w="3084" w:type="dxa"/>
            <w:shd w:val="clear" w:color="auto" w:fill="auto"/>
          </w:tcPr>
          <w:p w14:paraId="27D95FC0" w14:textId="77777777" w:rsidR="0024614E" w:rsidRDefault="0024614E" w:rsidP="0024614E">
            <w:pPr>
              <w:pStyle w:val="Normal1linespace"/>
              <w:widowControl w:val="0"/>
              <w:jc w:val="left"/>
            </w:pPr>
            <w:r>
              <w:t>Counsel for the Respondent:</w:t>
            </w:r>
          </w:p>
        </w:tc>
        <w:tc>
          <w:tcPr>
            <w:tcW w:w="5989" w:type="dxa"/>
            <w:shd w:val="clear" w:color="auto" w:fill="auto"/>
          </w:tcPr>
          <w:p w14:paraId="27D95FC1" w14:textId="77777777" w:rsidR="0024614E" w:rsidRDefault="0024614E" w:rsidP="0024614E">
            <w:pPr>
              <w:pStyle w:val="Normal1linespace"/>
              <w:widowControl w:val="0"/>
              <w:jc w:val="left"/>
            </w:pPr>
            <w:r>
              <w:t>Mr P Somers</w:t>
            </w:r>
          </w:p>
        </w:tc>
      </w:tr>
      <w:tr w:rsidR="0024614E" w14:paraId="27D95FC5" w14:textId="77777777" w:rsidTr="00B202CA">
        <w:tc>
          <w:tcPr>
            <w:tcW w:w="3084" w:type="dxa"/>
            <w:shd w:val="clear" w:color="auto" w:fill="auto"/>
          </w:tcPr>
          <w:p w14:paraId="27D95FC3" w14:textId="77777777" w:rsidR="0024614E" w:rsidRDefault="0024614E" w:rsidP="0024614E">
            <w:pPr>
              <w:pStyle w:val="Normal1linespace"/>
              <w:widowControl w:val="0"/>
              <w:jc w:val="left"/>
            </w:pPr>
          </w:p>
        </w:tc>
        <w:tc>
          <w:tcPr>
            <w:tcW w:w="5989" w:type="dxa"/>
            <w:shd w:val="clear" w:color="auto" w:fill="auto"/>
          </w:tcPr>
          <w:p w14:paraId="27D95FC4" w14:textId="77777777" w:rsidR="0024614E" w:rsidRDefault="0024614E" w:rsidP="0024614E">
            <w:pPr>
              <w:pStyle w:val="Normal1linespace"/>
              <w:widowControl w:val="0"/>
              <w:jc w:val="left"/>
            </w:pPr>
          </w:p>
        </w:tc>
      </w:tr>
      <w:tr w:rsidR="0024614E" w14:paraId="27D95FC8" w14:textId="77777777" w:rsidTr="00B202CA">
        <w:tc>
          <w:tcPr>
            <w:tcW w:w="3084" w:type="dxa"/>
            <w:shd w:val="clear" w:color="auto" w:fill="auto"/>
          </w:tcPr>
          <w:p w14:paraId="27D95FC6" w14:textId="77777777" w:rsidR="0024614E" w:rsidRDefault="0024614E" w:rsidP="0024614E">
            <w:pPr>
              <w:pStyle w:val="Normal1linespace"/>
              <w:widowControl w:val="0"/>
              <w:jc w:val="left"/>
            </w:pPr>
            <w:r>
              <w:t>Solicitor for the Respondent:</w:t>
            </w:r>
          </w:p>
        </w:tc>
        <w:tc>
          <w:tcPr>
            <w:tcW w:w="5989" w:type="dxa"/>
            <w:shd w:val="clear" w:color="auto" w:fill="auto"/>
          </w:tcPr>
          <w:p w14:paraId="27D95FC7" w14:textId="77777777" w:rsidR="0024614E" w:rsidRDefault="0024614E" w:rsidP="0024614E">
            <w:pPr>
              <w:pStyle w:val="Normal1linespace"/>
              <w:widowControl w:val="0"/>
              <w:jc w:val="left"/>
            </w:pPr>
            <w:proofErr w:type="spellStart"/>
            <w:r>
              <w:t>Russells</w:t>
            </w:r>
            <w:proofErr w:type="spellEnd"/>
          </w:p>
        </w:tc>
      </w:tr>
      <w:bookmarkEnd w:id="10"/>
    </w:tbl>
    <w:p w14:paraId="27D95FC9" w14:textId="77777777" w:rsidR="007470BD" w:rsidRDefault="007470BD">
      <w:pPr>
        <w:pStyle w:val="Normal1linespace"/>
      </w:pPr>
    </w:p>
    <w:p w14:paraId="27D95FCA" w14:textId="77777777" w:rsidR="00E94CBF" w:rsidRDefault="00E94CBF">
      <w:pPr>
        <w:pStyle w:val="Normal1linespace"/>
      </w:pPr>
    </w:p>
    <w:p w14:paraId="27D95FCB" w14:textId="77777777" w:rsidR="00395B24" w:rsidRDefault="00395B24">
      <w:pPr>
        <w:pStyle w:val="Normal1linespace"/>
        <w:sectPr w:rsidR="00395B24" w:rsidSect="001F247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851" w:footer="768" w:gutter="0"/>
          <w:pgNumType w:start="1"/>
          <w:cols w:space="720"/>
          <w:noEndnote/>
          <w:titlePg/>
        </w:sectPr>
      </w:pPr>
    </w:p>
    <w:p w14:paraId="27D95FCC"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27D95FCF" w14:textId="77777777" w:rsidTr="005316D1">
        <w:tc>
          <w:tcPr>
            <w:tcW w:w="6912" w:type="dxa"/>
            <w:gridSpan w:val="2"/>
          </w:tcPr>
          <w:p w14:paraId="27D95FCD" w14:textId="77777777" w:rsidR="00A46CCC" w:rsidRPr="001765E0" w:rsidRDefault="00A46CCC" w:rsidP="00525A49">
            <w:pPr>
              <w:pStyle w:val="NormalHeadings"/>
            </w:pPr>
          </w:p>
        </w:tc>
        <w:tc>
          <w:tcPr>
            <w:tcW w:w="2330" w:type="dxa"/>
          </w:tcPr>
          <w:p w14:paraId="27D95FCE" w14:textId="77777777" w:rsidR="00A46CCC" w:rsidRDefault="005640F6" w:rsidP="00F92355">
            <w:pPr>
              <w:pStyle w:val="NormalHeadings"/>
              <w:jc w:val="right"/>
            </w:pPr>
            <w:bookmarkStart w:id="12" w:name="FileNo"/>
            <w:r>
              <w:t>QUD 446 of 2019</w:t>
            </w:r>
            <w:bookmarkEnd w:id="12"/>
          </w:p>
        </w:tc>
      </w:tr>
      <w:tr w:rsidR="00A76C13" w14:paraId="27D95FD1" w14:textId="77777777" w:rsidTr="005316D1">
        <w:tc>
          <w:tcPr>
            <w:tcW w:w="9242" w:type="dxa"/>
            <w:gridSpan w:val="3"/>
          </w:tcPr>
          <w:p w14:paraId="27D95FD0" w14:textId="77777777" w:rsidR="00A76C13" w:rsidRPr="00A76C13" w:rsidRDefault="005640F6" w:rsidP="005640F6">
            <w:pPr>
              <w:pStyle w:val="NormalHeadings"/>
              <w:jc w:val="left"/>
            </w:pPr>
            <w:bookmarkStart w:id="13" w:name="InTheMatterOf"/>
            <w:r>
              <w:t xml:space="preserve"> </w:t>
            </w:r>
            <w:bookmarkEnd w:id="13"/>
          </w:p>
        </w:tc>
      </w:tr>
      <w:tr w:rsidR="00A46CCC" w14:paraId="27D95FD6" w14:textId="77777777" w:rsidTr="005316D1">
        <w:trPr>
          <w:trHeight w:val="386"/>
        </w:trPr>
        <w:tc>
          <w:tcPr>
            <w:tcW w:w="2376" w:type="dxa"/>
          </w:tcPr>
          <w:p w14:paraId="27D95FD2" w14:textId="77777777" w:rsidR="00A46CCC" w:rsidRDefault="00A46CCC" w:rsidP="00C85BF1">
            <w:pPr>
              <w:pStyle w:val="NormalHeadings"/>
              <w:jc w:val="left"/>
              <w:rPr>
                <w:caps/>
                <w:szCs w:val="24"/>
              </w:rPr>
            </w:pPr>
            <w:bookmarkStart w:id="14" w:name="Parties"/>
            <w:r>
              <w:rPr>
                <w:caps/>
                <w:szCs w:val="24"/>
              </w:rPr>
              <w:t>BETWEEN:</w:t>
            </w:r>
          </w:p>
        </w:tc>
        <w:tc>
          <w:tcPr>
            <w:tcW w:w="6866" w:type="dxa"/>
            <w:gridSpan w:val="2"/>
          </w:tcPr>
          <w:p w14:paraId="27D95FD3" w14:textId="77777777" w:rsidR="005640F6" w:rsidRDefault="005640F6" w:rsidP="005640F6">
            <w:pPr>
              <w:pStyle w:val="NormalHeadings"/>
              <w:jc w:val="left"/>
            </w:pPr>
            <w:bookmarkStart w:id="15" w:name="Applicant"/>
            <w:r>
              <w:t>GARRY JOHN DONOGHUE</w:t>
            </w:r>
          </w:p>
          <w:p w14:paraId="27D95FD4" w14:textId="77777777" w:rsidR="005640F6" w:rsidRDefault="005640F6" w:rsidP="005640F6">
            <w:pPr>
              <w:pStyle w:val="PartyType"/>
            </w:pPr>
            <w:r>
              <w:t>Appellant</w:t>
            </w:r>
          </w:p>
          <w:bookmarkEnd w:id="15"/>
          <w:p w14:paraId="27D95FD5" w14:textId="77777777" w:rsidR="00A46CCC" w:rsidRPr="006555B4" w:rsidRDefault="00A46CCC" w:rsidP="00C85BF1">
            <w:pPr>
              <w:pStyle w:val="NormalHeadings"/>
              <w:jc w:val="left"/>
            </w:pPr>
          </w:p>
        </w:tc>
      </w:tr>
      <w:tr w:rsidR="00A46CCC" w14:paraId="27D95FDB" w14:textId="77777777" w:rsidTr="005316D1">
        <w:trPr>
          <w:trHeight w:val="386"/>
        </w:trPr>
        <w:tc>
          <w:tcPr>
            <w:tcW w:w="2376" w:type="dxa"/>
          </w:tcPr>
          <w:p w14:paraId="27D95FD7" w14:textId="77777777" w:rsidR="00A46CCC" w:rsidRDefault="00A46CCC" w:rsidP="00C85BF1">
            <w:pPr>
              <w:pStyle w:val="NormalHeadings"/>
              <w:jc w:val="left"/>
              <w:rPr>
                <w:caps/>
                <w:szCs w:val="24"/>
              </w:rPr>
            </w:pPr>
            <w:r>
              <w:rPr>
                <w:caps/>
                <w:szCs w:val="24"/>
              </w:rPr>
              <w:t>AND:</w:t>
            </w:r>
          </w:p>
        </w:tc>
        <w:tc>
          <w:tcPr>
            <w:tcW w:w="6866" w:type="dxa"/>
            <w:gridSpan w:val="2"/>
          </w:tcPr>
          <w:p w14:paraId="27D95FD8" w14:textId="77777777" w:rsidR="005640F6" w:rsidRDefault="005640F6" w:rsidP="005640F6">
            <w:pPr>
              <w:pStyle w:val="NormalHeadings"/>
              <w:jc w:val="left"/>
            </w:pPr>
            <w:bookmarkStart w:id="16" w:name="Respondent"/>
            <w:r>
              <w:t>RUSSELLS (A FIRM)</w:t>
            </w:r>
          </w:p>
          <w:p w14:paraId="27D95FD9" w14:textId="77777777" w:rsidR="005640F6" w:rsidRDefault="005640F6" w:rsidP="005640F6">
            <w:pPr>
              <w:pStyle w:val="PartyType"/>
            </w:pPr>
            <w:r>
              <w:t>Respondent</w:t>
            </w:r>
          </w:p>
          <w:bookmarkEnd w:id="16"/>
          <w:p w14:paraId="27D95FDA" w14:textId="77777777" w:rsidR="00A46CCC" w:rsidRPr="006555B4" w:rsidRDefault="00A46CCC" w:rsidP="00C85BF1">
            <w:pPr>
              <w:pStyle w:val="NormalHeadings"/>
              <w:jc w:val="left"/>
            </w:pPr>
          </w:p>
        </w:tc>
      </w:tr>
    </w:tbl>
    <w:p w14:paraId="27D95FDC"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27D95FDF" w14:textId="77777777">
        <w:tc>
          <w:tcPr>
            <w:tcW w:w="2376" w:type="dxa"/>
          </w:tcPr>
          <w:p w14:paraId="27D95FDD"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27D95FDE" w14:textId="77777777" w:rsidR="00395B24" w:rsidRDefault="005640F6">
            <w:pPr>
              <w:pStyle w:val="NormalHeadings"/>
              <w:jc w:val="left"/>
              <w:rPr>
                <w:caps/>
                <w:szCs w:val="24"/>
              </w:rPr>
            </w:pPr>
            <w:bookmarkStart w:id="19" w:name="Judge"/>
            <w:r>
              <w:rPr>
                <w:caps/>
                <w:szCs w:val="24"/>
              </w:rPr>
              <w:t>RANGIAH J</w:t>
            </w:r>
            <w:bookmarkEnd w:id="19"/>
          </w:p>
        </w:tc>
      </w:tr>
      <w:tr w:rsidR="00395B24" w14:paraId="27D95FE2" w14:textId="77777777">
        <w:tc>
          <w:tcPr>
            <w:tcW w:w="2376" w:type="dxa"/>
          </w:tcPr>
          <w:p w14:paraId="27D95FE0" w14:textId="77777777" w:rsidR="00395B24" w:rsidRPr="005640F6" w:rsidRDefault="002C7385">
            <w:pPr>
              <w:pStyle w:val="NormalHeadings"/>
              <w:spacing w:after="120"/>
              <w:jc w:val="left"/>
              <w:rPr>
                <w:caps/>
                <w:szCs w:val="24"/>
              </w:rPr>
            </w:pPr>
            <w:r w:rsidRPr="005640F6">
              <w:rPr>
                <w:caps/>
                <w:szCs w:val="24"/>
              </w:rPr>
              <w:t>DATE OF ORDER:</w:t>
            </w:r>
          </w:p>
        </w:tc>
        <w:tc>
          <w:tcPr>
            <w:tcW w:w="6866" w:type="dxa"/>
          </w:tcPr>
          <w:p w14:paraId="27D95FE1" w14:textId="77777777" w:rsidR="00395B24" w:rsidRDefault="005640F6">
            <w:pPr>
              <w:pStyle w:val="NormalHeadings"/>
              <w:jc w:val="left"/>
              <w:rPr>
                <w:caps/>
                <w:szCs w:val="24"/>
              </w:rPr>
            </w:pPr>
            <w:bookmarkStart w:id="20" w:name="Judgment_Dated"/>
            <w:r w:rsidRPr="005640F6">
              <w:rPr>
                <w:caps/>
                <w:szCs w:val="24"/>
              </w:rPr>
              <w:t>16 JULY 2021</w:t>
            </w:r>
            <w:bookmarkEnd w:id="20"/>
          </w:p>
        </w:tc>
      </w:tr>
    </w:tbl>
    <w:p w14:paraId="27D95FE3" w14:textId="77777777" w:rsidR="00395B24" w:rsidRDefault="00395B24">
      <w:pPr>
        <w:pStyle w:val="NormalHeadings"/>
        <w:rPr>
          <w:b w:val="0"/>
        </w:rPr>
      </w:pPr>
    </w:p>
    <w:p w14:paraId="27D95FE4" w14:textId="77777777" w:rsidR="008D1617" w:rsidRDefault="008D1617">
      <w:pPr>
        <w:pStyle w:val="NormalHeadings"/>
        <w:rPr>
          <w:b w:val="0"/>
        </w:rPr>
      </w:pPr>
    </w:p>
    <w:p w14:paraId="27D95FE5" w14:textId="77777777" w:rsidR="00395B24" w:rsidRDefault="002C7385">
      <w:pPr>
        <w:pStyle w:val="NormalHeadings"/>
      </w:pPr>
      <w:r>
        <w:t>THE COURT ORDERS THAT:</w:t>
      </w:r>
    </w:p>
    <w:p w14:paraId="27D95FE6" w14:textId="77777777" w:rsidR="007F60DF" w:rsidRDefault="007F60DF" w:rsidP="00243E5E">
      <w:pPr>
        <w:pStyle w:val="NormalHeadings"/>
      </w:pPr>
    </w:p>
    <w:p w14:paraId="27D95FE7" w14:textId="77777777" w:rsidR="004D45D8" w:rsidRDefault="004D45D8" w:rsidP="004D45D8">
      <w:pPr>
        <w:pStyle w:val="Order1"/>
      </w:pPr>
      <w:r>
        <w:t>The appeal is dismissed.</w:t>
      </w:r>
    </w:p>
    <w:p w14:paraId="27D95FE8" w14:textId="77777777" w:rsidR="00B04DB3" w:rsidRDefault="00B04DB3" w:rsidP="004D45D8">
      <w:pPr>
        <w:pStyle w:val="Order1"/>
      </w:pPr>
      <w:r>
        <w:t>The appellant pay the respondent’s costs of the appeal.</w:t>
      </w:r>
    </w:p>
    <w:p w14:paraId="27D95FE9" w14:textId="77777777" w:rsidR="001A6C52" w:rsidRDefault="001A6C52" w:rsidP="001A6C52">
      <w:pPr>
        <w:pStyle w:val="BodyText"/>
      </w:pPr>
    </w:p>
    <w:p w14:paraId="27D95FEA" w14:textId="77777777" w:rsidR="00A431E6" w:rsidRDefault="00A431E6" w:rsidP="001A6C52">
      <w:pPr>
        <w:pStyle w:val="BodyText"/>
      </w:pPr>
    </w:p>
    <w:p w14:paraId="27D95FEB" w14:textId="77777777" w:rsidR="0050309C" w:rsidRDefault="005640F6"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27D95FEC" w14:textId="77777777" w:rsidR="009D328D" w:rsidRDefault="009D328D" w:rsidP="002B0E91">
      <w:pPr>
        <w:pStyle w:val="BodyText"/>
      </w:pPr>
    </w:p>
    <w:p w14:paraId="27D95FED" w14:textId="77777777" w:rsidR="00395B24" w:rsidRDefault="00395B24">
      <w:pPr>
        <w:pStyle w:val="NormalHeadings"/>
        <w:spacing w:before="240" w:after="120"/>
        <w:rPr>
          <w:b w:val="0"/>
        </w:rPr>
        <w:sectPr w:rsidR="00395B24" w:rsidSect="0092590B">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fmt="lowerRoman" w:start="1"/>
          <w:cols w:space="720"/>
          <w:noEndnote/>
          <w:titlePg/>
        </w:sectPr>
      </w:pPr>
    </w:p>
    <w:p w14:paraId="27D95FEE" w14:textId="77777777" w:rsidR="00484F6D"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tbl>
      <w:tblPr>
        <w:tblW w:w="9411" w:type="dxa"/>
        <w:tblLook w:val="01E0" w:firstRow="1" w:lastRow="1" w:firstColumn="1" w:lastColumn="1" w:noHBand="0" w:noVBand="0"/>
      </w:tblPr>
      <w:tblGrid>
        <w:gridCol w:w="8411"/>
        <w:gridCol w:w="1000"/>
      </w:tblGrid>
      <w:tr w:rsidR="00A20FE3" w:rsidRPr="00D326DB" w14:paraId="27D95FF1" w14:textId="77777777" w:rsidTr="00A20FE3">
        <w:tc>
          <w:tcPr>
            <w:tcW w:w="8411" w:type="dxa"/>
            <w:shd w:val="clear" w:color="auto" w:fill="auto"/>
          </w:tcPr>
          <w:bookmarkStart w:id="23" w:name="PTOC"/>
          <w:p w14:paraId="27D95FEF" w14:textId="77777777" w:rsidR="00A20FE3" w:rsidRPr="00A20FE3" w:rsidRDefault="00A20FE3" w:rsidP="00A20FE3">
            <w:pPr>
              <w:pStyle w:val="FTOC2"/>
              <w:tabs>
                <w:tab w:val="clear" w:pos="9072"/>
              </w:tabs>
              <w:rPr>
                <w:lang w:eastAsia="en-AU"/>
              </w:rPr>
            </w:pPr>
            <w:r>
              <w:rPr>
                <w:lang w:eastAsia="en-AU"/>
              </w:rPr>
              <w:fldChar w:fldCharType="begin"/>
            </w:r>
            <w:r>
              <w:rPr>
                <w:lang w:eastAsia="en-AU"/>
              </w:rPr>
              <w:instrText xml:space="preserve"> REF _Ref77250804 \h </w:instrText>
            </w:r>
            <w:r>
              <w:rPr>
                <w:lang w:eastAsia="en-AU"/>
              </w:rPr>
            </w:r>
            <w:r>
              <w:rPr>
                <w:lang w:eastAsia="en-AU"/>
              </w:rPr>
              <w:fldChar w:fldCharType="separate"/>
            </w:r>
            <w:r>
              <w:t>The reasons of the primary judge</w:t>
            </w:r>
            <w:r>
              <w:rPr>
                <w:lang w:eastAsia="en-AU"/>
              </w:rPr>
              <w:fldChar w:fldCharType="end"/>
            </w:r>
          </w:p>
        </w:tc>
        <w:tc>
          <w:tcPr>
            <w:tcW w:w="1000" w:type="dxa"/>
            <w:shd w:val="clear" w:color="auto" w:fill="auto"/>
            <w:vAlign w:val="bottom"/>
          </w:tcPr>
          <w:p w14:paraId="27D95FF0" w14:textId="77777777" w:rsidR="00A20FE3" w:rsidRDefault="00A20FE3" w:rsidP="00640103">
            <w:pPr>
              <w:spacing w:before="120" w:after="60" w:line="240" w:lineRule="auto"/>
              <w:jc w:val="right"/>
              <w:rPr>
                <w:szCs w:val="24"/>
              </w:rPr>
            </w:pPr>
            <w:r>
              <w:rPr>
                <w:szCs w:val="24"/>
              </w:rPr>
              <w:t>[7]</w:t>
            </w:r>
          </w:p>
        </w:tc>
      </w:tr>
      <w:tr w:rsidR="00A20FE3" w:rsidRPr="00D326DB" w14:paraId="27D95FF4" w14:textId="77777777" w:rsidTr="00A20FE3">
        <w:tc>
          <w:tcPr>
            <w:tcW w:w="8411" w:type="dxa"/>
            <w:shd w:val="clear" w:color="auto" w:fill="auto"/>
          </w:tcPr>
          <w:p w14:paraId="27D95FF2" w14:textId="77777777" w:rsidR="00A20FE3" w:rsidRPr="00A20FE3" w:rsidRDefault="00A20FE3" w:rsidP="00A20FE3">
            <w:pPr>
              <w:pStyle w:val="FTOC2"/>
              <w:tabs>
                <w:tab w:val="clear" w:pos="9072"/>
              </w:tabs>
              <w:rPr>
                <w:lang w:eastAsia="en-AU"/>
              </w:rPr>
            </w:pPr>
            <w:r>
              <w:rPr>
                <w:lang w:eastAsia="en-AU"/>
              </w:rPr>
              <w:fldChar w:fldCharType="begin"/>
            </w:r>
            <w:r>
              <w:rPr>
                <w:lang w:eastAsia="en-AU"/>
              </w:rPr>
              <w:instrText xml:space="preserve"> REF _Ref77250805 \h </w:instrText>
            </w:r>
            <w:r>
              <w:rPr>
                <w:lang w:eastAsia="en-AU"/>
              </w:rPr>
            </w:r>
            <w:r>
              <w:rPr>
                <w:lang w:eastAsia="en-AU"/>
              </w:rPr>
              <w:fldChar w:fldCharType="separate"/>
            </w:r>
            <w:r>
              <w:t>The submissions</w:t>
            </w:r>
            <w:r>
              <w:rPr>
                <w:lang w:eastAsia="en-AU"/>
              </w:rPr>
              <w:fldChar w:fldCharType="end"/>
            </w:r>
          </w:p>
        </w:tc>
        <w:tc>
          <w:tcPr>
            <w:tcW w:w="1000" w:type="dxa"/>
            <w:shd w:val="clear" w:color="auto" w:fill="auto"/>
            <w:vAlign w:val="bottom"/>
          </w:tcPr>
          <w:p w14:paraId="27D95FF3" w14:textId="77777777" w:rsidR="00A20FE3" w:rsidRDefault="00A20FE3" w:rsidP="00640103">
            <w:pPr>
              <w:spacing w:before="120" w:after="60" w:line="240" w:lineRule="auto"/>
              <w:jc w:val="right"/>
              <w:rPr>
                <w:szCs w:val="24"/>
              </w:rPr>
            </w:pPr>
            <w:r>
              <w:rPr>
                <w:szCs w:val="24"/>
              </w:rPr>
              <w:t>[21]</w:t>
            </w:r>
          </w:p>
        </w:tc>
      </w:tr>
      <w:tr w:rsidR="00A20FE3" w:rsidRPr="00D326DB" w14:paraId="27D95FF7" w14:textId="77777777" w:rsidTr="00A20FE3">
        <w:tc>
          <w:tcPr>
            <w:tcW w:w="8411" w:type="dxa"/>
            <w:shd w:val="clear" w:color="auto" w:fill="auto"/>
          </w:tcPr>
          <w:p w14:paraId="27D95FF5" w14:textId="77777777" w:rsidR="00A20FE3" w:rsidRPr="00A20FE3" w:rsidRDefault="00A20FE3" w:rsidP="00A20FE3">
            <w:pPr>
              <w:pStyle w:val="FTOC2"/>
              <w:tabs>
                <w:tab w:val="clear" w:pos="9072"/>
              </w:tabs>
              <w:rPr>
                <w:lang w:eastAsia="en-AU"/>
              </w:rPr>
            </w:pPr>
            <w:r>
              <w:rPr>
                <w:lang w:eastAsia="en-AU"/>
              </w:rPr>
              <w:fldChar w:fldCharType="begin"/>
            </w:r>
            <w:r>
              <w:rPr>
                <w:lang w:eastAsia="en-AU"/>
              </w:rPr>
              <w:instrText xml:space="preserve"> REF _Ref77250806 \h </w:instrText>
            </w:r>
            <w:r>
              <w:rPr>
                <w:lang w:eastAsia="en-AU"/>
              </w:rPr>
            </w:r>
            <w:r>
              <w:rPr>
                <w:lang w:eastAsia="en-AU"/>
              </w:rPr>
              <w:fldChar w:fldCharType="separate"/>
            </w:r>
            <w:r>
              <w:t>Whether the primary judge erred in finding that the debtor was carrying on business in Australia</w:t>
            </w:r>
            <w:r>
              <w:rPr>
                <w:lang w:eastAsia="en-AU"/>
              </w:rPr>
              <w:fldChar w:fldCharType="end"/>
            </w:r>
          </w:p>
        </w:tc>
        <w:tc>
          <w:tcPr>
            <w:tcW w:w="1000" w:type="dxa"/>
            <w:shd w:val="clear" w:color="auto" w:fill="auto"/>
            <w:vAlign w:val="bottom"/>
          </w:tcPr>
          <w:p w14:paraId="27D95FF6" w14:textId="77777777" w:rsidR="00A20FE3" w:rsidRDefault="00A20FE3" w:rsidP="00640103">
            <w:pPr>
              <w:spacing w:before="120" w:after="60" w:line="240" w:lineRule="auto"/>
              <w:jc w:val="right"/>
              <w:rPr>
                <w:szCs w:val="24"/>
              </w:rPr>
            </w:pPr>
            <w:r>
              <w:rPr>
                <w:szCs w:val="24"/>
              </w:rPr>
              <w:t>[28]</w:t>
            </w:r>
          </w:p>
        </w:tc>
      </w:tr>
      <w:tr w:rsidR="00A20FE3" w:rsidRPr="00D326DB" w14:paraId="27D95FFA" w14:textId="77777777" w:rsidTr="00A20FE3">
        <w:tc>
          <w:tcPr>
            <w:tcW w:w="8411" w:type="dxa"/>
            <w:shd w:val="clear" w:color="auto" w:fill="auto"/>
          </w:tcPr>
          <w:p w14:paraId="27D95FF8" w14:textId="77777777" w:rsidR="00A20FE3" w:rsidRPr="00A20FE3" w:rsidRDefault="00A20FE3" w:rsidP="00A20FE3">
            <w:pPr>
              <w:pStyle w:val="FTOC3"/>
              <w:tabs>
                <w:tab w:val="clear" w:pos="9072"/>
              </w:tabs>
              <w:rPr>
                <w:i w:val="0"/>
                <w:lang w:eastAsia="en-AU"/>
              </w:rPr>
            </w:pPr>
            <w:r>
              <w:rPr>
                <w:lang w:eastAsia="en-AU"/>
              </w:rPr>
              <w:fldChar w:fldCharType="begin"/>
            </w:r>
            <w:r>
              <w:rPr>
                <w:lang w:eastAsia="en-AU"/>
              </w:rPr>
              <w:instrText xml:space="preserve"> REF _Ref77250807 \h </w:instrText>
            </w:r>
            <w:r>
              <w:rPr>
                <w:lang w:eastAsia="en-AU"/>
              </w:rPr>
            </w:r>
            <w:r>
              <w:rPr>
                <w:lang w:eastAsia="en-AU"/>
              </w:rPr>
              <w:fldChar w:fldCharType="separate"/>
            </w:r>
            <w:r w:rsidRPr="00442690">
              <w:t>Alleged errors in construction of s 43(1)(b)(iii) of the Act</w:t>
            </w:r>
            <w:r>
              <w:rPr>
                <w:lang w:eastAsia="en-AU"/>
              </w:rPr>
              <w:fldChar w:fldCharType="end"/>
            </w:r>
          </w:p>
        </w:tc>
        <w:tc>
          <w:tcPr>
            <w:tcW w:w="1000" w:type="dxa"/>
            <w:shd w:val="clear" w:color="auto" w:fill="auto"/>
            <w:vAlign w:val="bottom"/>
          </w:tcPr>
          <w:p w14:paraId="27D95FF9" w14:textId="77777777" w:rsidR="00A20FE3" w:rsidRDefault="00A20FE3" w:rsidP="00640103">
            <w:pPr>
              <w:spacing w:before="120" w:after="60" w:line="240" w:lineRule="auto"/>
              <w:jc w:val="right"/>
              <w:rPr>
                <w:szCs w:val="24"/>
              </w:rPr>
            </w:pPr>
            <w:r>
              <w:rPr>
                <w:szCs w:val="24"/>
              </w:rPr>
              <w:t>[29]</w:t>
            </w:r>
          </w:p>
        </w:tc>
      </w:tr>
      <w:tr w:rsidR="00A20FE3" w:rsidRPr="00D326DB" w14:paraId="27D95FFD" w14:textId="77777777" w:rsidTr="00A20FE3">
        <w:tc>
          <w:tcPr>
            <w:tcW w:w="8411" w:type="dxa"/>
            <w:shd w:val="clear" w:color="auto" w:fill="auto"/>
          </w:tcPr>
          <w:p w14:paraId="27D95FFB" w14:textId="77777777" w:rsidR="00A20FE3" w:rsidRPr="00A20FE3" w:rsidRDefault="00A20FE3" w:rsidP="00A20FE3">
            <w:pPr>
              <w:pStyle w:val="FTOC3"/>
              <w:tabs>
                <w:tab w:val="clear" w:pos="9072"/>
              </w:tabs>
              <w:rPr>
                <w:i w:val="0"/>
                <w:lang w:eastAsia="en-AU"/>
              </w:rPr>
            </w:pPr>
            <w:r>
              <w:rPr>
                <w:lang w:eastAsia="en-AU"/>
              </w:rPr>
              <w:fldChar w:fldCharType="begin"/>
            </w:r>
            <w:r>
              <w:rPr>
                <w:lang w:eastAsia="en-AU"/>
              </w:rPr>
              <w:instrText xml:space="preserve"> REF _Ref77250808 \h </w:instrText>
            </w:r>
            <w:r>
              <w:rPr>
                <w:lang w:eastAsia="en-AU"/>
              </w:rPr>
            </w:r>
            <w:r>
              <w:rPr>
                <w:lang w:eastAsia="en-AU"/>
              </w:rPr>
              <w:fldChar w:fldCharType="separate"/>
            </w:r>
            <w:r w:rsidRPr="00613CA8">
              <w:t>Alleged errors in making findings of fact</w:t>
            </w:r>
            <w:r>
              <w:rPr>
                <w:lang w:eastAsia="en-AU"/>
              </w:rPr>
              <w:fldChar w:fldCharType="end"/>
            </w:r>
          </w:p>
        </w:tc>
        <w:tc>
          <w:tcPr>
            <w:tcW w:w="1000" w:type="dxa"/>
            <w:shd w:val="clear" w:color="auto" w:fill="auto"/>
            <w:vAlign w:val="bottom"/>
          </w:tcPr>
          <w:p w14:paraId="27D95FFC" w14:textId="77777777" w:rsidR="00A20FE3" w:rsidRDefault="00A20FE3" w:rsidP="00640103">
            <w:pPr>
              <w:spacing w:before="120" w:after="60" w:line="240" w:lineRule="auto"/>
              <w:jc w:val="right"/>
              <w:rPr>
                <w:szCs w:val="24"/>
              </w:rPr>
            </w:pPr>
            <w:r>
              <w:rPr>
                <w:szCs w:val="24"/>
              </w:rPr>
              <w:t>[52]</w:t>
            </w:r>
          </w:p>
        </w:tc>
      </w:tr>
      <w:tr w:rsidR="00A20FE3" w:rsidRPr="00D326DB" w14:paraId="27D96000" w14:textId="77777777" w:rsidTr="00A20FE3">
        <w:tc>
          <w:tcPr>
            <w:tcW w:w="8411" w:type="dxa"/>
            <w:shd w:val="clear" w:color="auto" w:fill="auto"/>
          </w:tcPr>
          <w:p w14:paraId="27D95FFE" w14:textId="77777777" w:rsidR="00A20FE3" w:rsidRPr="00A20FE3" w:rsidRDefault="00A20FE3" w:rsidP="00A20FE3">
            <w:pPr>
              <w:pStyle w:val="FTOC3"/>
              <w:tabs>
                <w:tab w:val="clear" w:pos="9072"/>
              </w:tabs>
              <w:rPr>
                <w:i w:val="0"/>
                <w:lang w:eastAsia="en-AU"/>
              </w:rPr>
            </w:pPr>
            <w:r>
              <w:rPr>
                <w:lang w:eastAsia="en-AU"/>
              </w:rPr>
              <w:fldChar w:fldCharType="begin"/>
            </w:r>
            <w:r>
              <w:rPr>
                <w:lang w:eastAsia="en-AU"/>
              </w:rPr>
              <w:instrText xml:space="preserve"> REF _Ref77250809 \h </w:instrText>
            </w:r>
            <w:r>
              <w:rPr>
                <w:lang w:eastAsia="en-AU"/>
              </w:rPr>
            </w:r>
            <w:r>
              <w:rPr>
                <w:lang w:eastAsia="en-AU"/>
              </w:rPr>
              <w:fldChar w:fldCharType="separate"/>
            </w:r>
            <w:r>
              <w:t>Alleged errors in finding</w:t>
            </w:r>
            <w:r w:rsidRPr="00DF7F83">
              <w:t xml:space="preserve"> that the debtor </w:t>
            </w:r>
            <w:r>
              <w:t>was carrying</w:t>
            </w:r>
            <w:r w:rsidRPr="00DF7F83">
              <w:t xml:space="preserve"> on business in Australia</w:t>
            </w:r>
            <w:r>
              <w:rPr>
                <w:lang w:eastAsia="en-AU"/>
              </w:rPr>
              <w:fldChar w:fldCharType="end"/>
            </w:r>
          </w:p>
        </w:tc>
        <w:tc>
          <w:tcPr>
            <w:tcW w:w="1000" w:type="dxa"/>
            <w:shd w:val="clear" w:color="auto" w:fill="auto"/>
            <w:vAlign w:val="bottom"/>
          </w:tcPr>
          <w:p w14:paraId="27D95FFF" w14:textId="77777777" w:rsidR="00A20FE3" w:rsidRDefault="00A20FE3" w:rsidP="00640103">
            <w:pPr>
              <w:spacing w:before="120" w:after="60" w:line="240" w:lineRule="auto"/>
              <w:jc w:val="right"/>
              <w:rPr>
                <w:szCs w:val="24"/>
              </w:rPr>
            </w:pPr>
            <w:r>
              <w:rPr>
                <w:szCs w:val="24"/>
              </w:rPr>
              <w:t>[76]</w:t>
            </w:r>
          </w:p>
        </w:tc>
      </w:tr>
      <w:tr w:rsidR="00A20FE3" w:rsidRPr="00D326DB" w14:paraId="27D96003" w14:textId="77777777" w:rsidTr="00A20FE3">
        <w:tc>
          <w:tcPr>
            <w:tcW w:w="8411" w:type="dxa"/>
            <w:shd w:val="clear" w:color="auto" w:fill="auto"/>
          </w:tcPr>
          <w:p w14:paraId="27D96001" w14:textId="77777777" w:rsidR="00A20FE3" w:rsidRPr="00A20FE3" w:rsidRDefault="00A20FE3" w:rsidP="00A20FE3">
            <w:pPr>
              <w:pStyle w:val="FTOC2"/>
              <w:tabs>
                <w:tab w:val="clear" w:pos="9072"/>
              </w:tabs>
              <w:rPr>
                <w:lang w:eastAsia="en-AU"/>
              </w:rPr>
            </w:pPr>
            <w:r>
              <w:rPr>
                <w:lang w:eastAsia="en-AU"/>
              </w:rPr>
              <w:fldChar w:fldCharType="begin"/>
            </w:r>
            <w:r>
              <w:rPr>
                <w:lang w:eastAsia="en-AU"/>
              </w:rPr>
              <w:instrText xml:space="preserve"> REF _Ref77250810 \h </w:instrText>
            </w:r>
            <w:r>
              <w:rPr>
                <w:lang w:eastAsia="en-AU"/>
              </w:rPr>
            </w:r>
            <w:r>
              <w:rPr>
                <w:lang w:eastAsia="en-AU"/>
              </w:rPr>
              <w:fldChar w:fldCharType="separate"/>
            </w:r>
            <w:r w:rsidRPr="00AB6D0B">
              <w:t>Whether the p</w:t>
            </w:r>
            <w:r>
              <w:t>rimary judge erred in finding</w:t>
            </w:r>
            <w:r w:rsidRPr="00AB6D0B">
              <w:t xml:space="preserve"> that the debtor had a place of business in Australia</w:t>
            </w:r>
            <w:r>
              <w:rPr>
                <w:lang w:eastAsia="en-AU"/>
              </w:rPr>
              <w:fldChar w:fldCharType="end"/>
            </w:r>
          </w:p>
        </w:tc>
        <w:tc>
          <w:tcPr>
            <w:tcW w:w="1000" w:type="dxa"/>
            <w:shd w:val="clear" w:color="auto" w:fill="auto"/>
            <w:vAlign w:val="bottom"/>
          </w:tcPr>
          <w:p w14:paraId="27D96002" w14:textId="77777777" w:rsidR="00A20FE3" w:rsidRDefault="00A20FE3" w:rsidP="00640103">
            <w:pPr>
              <w:spacing w:before="120" w:after="60" w:line="240" w:lineRule="auto"/>
              <w:jc w:val="right"/>
              <w:rPr>
                <w:szCs w:val="24"/>
              </w:rPr>
            </w:pPr>
            <w:r>
              <w:rPr>
                <w:szCs w:val="24"/>
              </w:rPr>
              <w:t>[80]</w:t>
            </w:r>
          </w:p>
        </w:tc>
      </w:tr>
      <w:tr w:rsidR="00A20FE3" w:rsidRPr="00D326DB" w14:paraId="27D96006" w14:textId="77777777" w:rsidTr="00A20FE3">
        <w:tc>
          <w:tcPr>
            <w:tcW w:w="8411" w:type="dxa"/>
            <w:shd w:val="clear" w:color="auto" w:fill="auto"/>
          </w:tcPr>
          <w:p w14:paraId="27D96004" w14:textId="77777777" w:rsidR="00A20FE3" w:rsidRPr="00A20FE3" w:rsidRDefault="00A20FE3" w:rsidP="00A20FE3">
            <w:pPr>
              <w:pStyle w:val="FTOC2"/>
              <w:tabs>
                <w:tab w:val="clear" w:pos="9072"/>
              </w:tabs>
              <w:rPr>
                <w:lang w:eastAsia="en-AU"/>
              </w:rPr>
            </w:pPr>
            <w:r>
              <w:rPr>
                <w:lang w:eastAsia="en-AU"/>
              </w:rPr>
              <w:fldChar w:fldCharType="begin"/>
            </w:r>
            <w:r>
              <w:rPr>
                <w:lang w:eastAsia="en-AU"/>
              </w:rPr>
              <w:instrText xml:space="preserve"> REF _Ref77250811 \h </w:instrText>
            </w:r>
            <w:r>
              <w:rPr>
                <w:lang w:eastAsia="en-AU"/>
              </w:rPr>
            </w:r>
            <w:r>
              <w:rPr>
                <w:lang w:eastAsia="en-AU"/>
              </w:rPr>
              <w:fldChar w:fldCharType="separate"/>
            </w:r>
            <w:r w:rsidRPr="00895BB4">
              <w:t>Summary</w:t>
            </w:r>
            <w:r>
              <w:rPr>
                <w:lang w:eastAsia="en-AU"/>
              </w:rPr>
              <w:fldChar w:fldCharType="end"/>
            </w:r>
          </w:p>
        </w:tc>
        <w:tc>
          <w:tcPr>
            <w:tcW w:w="1000" w:type="dxa"/>
            <w:shd w:val="clear" w:color="auto" w:fill="auto"/>
            <w:vAlign w:val="bottom"/>
          </w:tcPr>
          <w:p w14:paraId="27D96005" w14:textId="77777777" w:rsidR="00A20FE3" w:rsidRDefault="00A20FE3" w:rsidP="00640103">
            <w:pPr>
              <w:spacing w:before="120" w:after="60" w:line="240" w:lineRule="auto"/>
              <w:jc w:val="right"/>
              <w:rPr>
                <w:szCs w:val="24"/>
              </w:rPr>
            </w:pPr>
            <w:r>
              <w:rPr>
                <w:szCs w:val="24"/>
              </w:rPr>
              <w:t>[90]</w:t>
            </w:r>
          </w:p>
        </w:tc>
      </w:tr>
      <w:bookmarkEnd w:id="23"/>
    </w:tbl>
    <w:p w14:paraId="27D96007" w14:textId="77777777" w:rsidR="005640F6" w:rsidRPr="00045BB7" w:rsidRDefault="005640F6" w:rsidP="005640F6">
      <w:pPr>
        <w:pStyle w:val="BodyText"/>
      </w:pPr>
    </w:p>
    <w:p w14:paraId="27D96008" w14:textId="77777777" w:rsidR="00694BEB" w:rsidRDefault="004C6BDE" w:rsidP="005E0510">
      <w:pPr>
        <w:pStyle w:val="NormalHeadings"/>
        <w:spacing w:line="360" w:lineRule="auto"/>
        <w:jc w:val="left"/>
        <w:rPr>
          <w:sz w:val="26"/>
          <w:szCs w:val="26"/>
        </w:rPr>
      </w:pPr>
      <w:r>
        <w:rPr>
          <w:sz w:val="26"/>
          <w:szCs w:val="26"/>
        </w:rPr>
        <w:t xml:space="preserve">RANGIAH J: </w:t>
      </w:r>
    </w:p>
    <w:p w14:paraId="27D96009" w14:textId="77777777" w:rsidR="0051434F" w:rsidRDefault="00324701" w:rsidP="0051434F">
      <w:pPr>
        <w:pStyle w:val="ParaNumbering"/>
      </w:pPr>
      <w:r>
        <w:t xml:space="preserve">On 4 July 2019, </w:t>
      </w:r>
      <w:r w:rsidR="00BA26AC">
        <w:t xml:space="preserve">in </w:t>
      </w:r>
      <w:proofErr w:type="spellStart"/>
      <w:r w:rsidR="00BA26AC" w:rsidRPr="0000266B">
        <w:rPr>
          <w:i/>
        </w:rPr>
        <w:t>Russells</w:t>
      </w:r>
      <w:proofErr w:type="spellEnd"/>
      <w:r w:rsidR="00BA26AC" w:rsidRPr="0000266B">
        <w:rPr>
          <w:i/>
        </w:rPr>
        <w:t xml:space="preserve"> (A Firm) v Donoghue </w:t>
      </w:r>
      <w:r w:rsidR="00BA26AC" w:rsidRPr="0000266B">
        <w:t>[2019] FCCA 1864</w:t>
      </w:r>
      <w:r w:rsidR="00BA26AC">
        <w:t xml:space="preserve">, </w:t>
      </w:r>
      <w:r w:rsidR="005316D1">
        <w:t>the Federal Circuit Co</w:t>
      </w:r>
      <w:r w:rsidR="00B014BA">
        <w:t xml:space="preserve">urt of Australia </w:t>
      </w:r>
      <w:r w:rsidR="00BA26AC">
        <w:t xml:space="preserve">made </w:t>
      </w:r>
      <w:r w:rsidR="005316D1">
        <w:t>a sequestration order agai</w:t>
      </w:r>
      <w:r w:rsidR="00126962">
        <w:t>nst the estate of the present appellant</w:t>
      </w:r>
      <w:r w:rsidR="004D45D8">
        <w:t xml:space="preserve">. </w:t>
      </w:r>
      <w:r w:rsidR="00831894">
        <w:t xml:space="preserve"> </w:t>
      </w:r>
      <w:r w:rsidR="00FD04DC">
        <w:t>This is an appeal against that</w:t>
      </w:r>
      <w:r>
        <w:t xml:space="preserve"> judgment.</w:t>
      </w:r>
    </w:p>
    <w:p w14:paraId="27D9600A" w14:textId="77777777" w:rsidR="00324701" w:rsidRDefault="00324701" w:rsidP="0051434F">
      <w:pPr>
        <w:pStyle w:val="ParaNumbering"/>
      </w:pPr>
      <w:r>
        <w:t xml:space="preserve">It is convenient to refer to the appellant as </w:t>
      </w:r>
      <w:r w:rsidRPr="00324701">
        <w:rPr>
          <w:b/>
        </w:rPr>
        <w:t>the debtor</w:t>
      </w:r>
      <w:r w:rsidR="00FD04DC">
        <w:t>,</w:t>
      </w:r>
      <w:r>
        <w:t xml:space="preserve"> and to the respondent as </w:t>
      </w:r>
      <w:r w:rsidRPr="00324701">
        <w:rPr>
          <w:b/>
        </w:rPr>
        <w:t>the creditor</w:t>
      </w:r>
      <w:r>
        <w:t xml:space="preserve">. </w:t>
      </w:r>
    </w:p>
    <w:p w14:paraId="27D9600B" w14:textId="77777777" w:rsidR="004D45D8" w:rsidRDefault="00FD04DC" w:rsidP="0051434F">
      <w:pPr>
        <w:pStyle w:val="ParaNumbering"/>
      </w:pPr>
      <w:r>
        <w:t>At first instance</w:t>
      </w:r>
      <w:r w:rsidR="00506D63">
        <w:t xml:space="preserve">, the </w:t>
      </w:r>
      <w:r w:rsidR="00324701">
        <w:t xml:space="preserve">debtor </w:t>
      </w:r>
      <w:r w:rsidR="00506D63">
        <w:t>did not dispute t</w:t>
      </w:r>
      <w:r w:rsidR="00324701">
        <w:t>hat he had committed an</w:t>
      </w:r>
      <w:r w:rsidR="00506D63">
        <w:t xml:space="preserve"> act of bankruptcy, but contended </w:t>
      </w:r>
      <w:r w:rsidR="00126962">
        <w:t xml:space="preserve">that the Court lacked jurisdiction </w:t>
      </w:r>
      <w:r w:rsidR="00810B2C">
        <w:t>to make a sequestration order on the basis that</w:t>
      </w:r>
      <w:r w:rsidR="00126962">
        <w:t xml:space="preserve"> </w:t>
      </w:r>
      <w:r w:rsidR="00506D63">
        <w:t xml:space="preserve">the requirements of </w:t>
      </w:r>
      <w:r w:rsidR="00506D63" w:rsidRPr="0000266B">
        <w:t>s 43(1)</w:t>
      </w:r>
      <w:r w:rsidR="00324701" w:rsidRPr="0000266B">
        <w:t>(b)</w:t>
      </w:r>
      <w:r w:rsidR="00506D63" w:rsidRPr="0000266B">
        <w:t xml:space="preserve"> of the </w:t>
      </w:r>
      <w:r w:rsidR="00506D63" w:rsidRPr="0000266B">
        <w:rPr>
          <w:i/>
        </w:rPr>
        <w:t xml:space="preserve">Bankruptcy Act 1966 </w:t>
      </w:r>
      <w:r w:rsidR="00506D63" w:rsidRPr="0000266B">
        <w:t>(</w:t>
      </w:r>
      <w:proofErr w:type="spellStart"/>
      <w:r w:rsidR="00506D63" w:rsidRPr="0000266B">
        <w:t>Cth</w:t>
      </w:r>
      <w:proofErr w:type="spellEnd"/>
      <w:r w:rsidR="00506D63" w:rsidRPr="0000266B">
        <w:t>)</w:t>
      </w:r>
      <w:r w:rsidR="00506D63">
        <w:t xml:space="preserve"> </w:t>
      </w:r>
      <w:r w:rsidR="004D45D8">
        <w:t xml:space="preserve">(the </w:t>
      </w:r>
      <w:r w:rsidR="004D45D8" w:rsidRPr="004D45D8">
        <w:rPr>
          <w:b/>
        </w:rPr>
        <w:t>Act</w:t>
      </w:r>
      <w:r w:rsidR="004D45D8">
        <w:t xml:space="preserve">) </w:t>
      </w:r>
      <w:r w:rsidR="00506D63">
        <w:t>were not satisfied</w:t>
      </w:r>
      <w:r w:rsidR="00324701">
        <w:t>.</w:t>
      </w:r>
      <w:r w:rsidR="00831894">
        <w:t xml:space="preserve"> </w:t>
      </w:r>
    </w:p>
    <w:p w14:paraId="27D9600C" w14:textId="77777777" w:rsidR="005316D1" w:rsidRDefault="004D45D8" w:rsidP="0051434F">
      <w:pPr>
        <w:pStyle w:val="ParaNumbering"/>
      </w:pPr>
      <w:r>
        <w:t>S</w:t>
      </w:r>
      <w:r w:rsidR="00324701">
        <w:t xml:space="preserve">ection </w:t>
      </w:r>
      <w:r>
        <w:t xml:space="preserve">43(1) of the Act </w:t>
      </w:r>
      <w:r w:rsidR="00324701">
        <w:t>provides</w:t>
      </w:r>
      <w:r w:rsidR="00506D63">
        <w:t>:</w:t>
      </w:r>
    </w:p>
    <w:p w14:paraId="27D9600D" w14:textId="77777777" w:rsidR="00AC6CE7" w:rsidRPr="00AC6CE7" w:rsidRDefault="00AC6CE7" w:rsidP="00AC6CE7">
      <w:pPr>
        <w:pStyle w:val="Quote1"/>
        <w:rPr>
          <w:b/>
        </w:rPr>
      </w:pPr>
      <w:r w:rsidRPr="00AC6CE7">
        <w:rPr>
          <w:b/>
        </w:rPr>
        <w:t>43</w:t>
      </w:r>
      <w:r>
        <w:rPr>
          <w:b/>
        </w:rPr>
        <w:tab/>
      </w:r>
      <w:r w:rsidRPr="00AC6CE7">
        <w:rPr>
          <w:b/>
        </w:rPr>
        <w:t>Jurisdiction to make sequestration orders</w:t>
      </w:r>
    </w:p>
    <w:p w14:paraId="27D9600E" w14:textId="77777777" w:rsidR="00AC6CE7" w:rsidRDefault="00AC6CE7" w:rsidP="00AC6CE7">
      <w:pPr>
        <w:pStyle w:val="Quote1"/>
      </w:pPr>
      <w:r>
        <w:t>(1)</w:t>
      </w:r>
      <w:r>
        <w:tab/>
        <w:t>Subject to this Act, where:</w:t>
      </w:r>
    </w:p>
    <w:p w14:paraId="27D9600F" w14:textId="77777777" w:rsidR="00AC6CE7" w:rsidRDefault="00AC6CE7" w:rsidP="00AC6CE7">
      <w:pPr>
        <w:pStyle w:val="Quote2"/>
      </w:pPr>
      <w:r>
        <w:t>(a)</w:t>
      </w:r>
      <w:r>
        <w:tab/>
        <w:t>a debtor has committed an act of bankruptcy; and</w:t>
      </w:r>
    </w:p>
    <w:p w14:paraId="27D96010" w14:textId="77777777" w:rsidR="00AC6CE7" w:rsidRDefault="00AC6CE7" w:rsidP="00AC6CE7">
      <w:pPr>
        <w:pStyle w:val="Quote2"/>
      </w:pPr>
      <w:r>
        <w:t>(b)</w:t>
      </w:r>
      <w:r>
        <w:tab/>
        <w:t>at the time when the act of bankruptcy was committed, the debtor:</w:t>
      </w:r>
    </w:p>
    <w:p w14:paraId="27D96011" w14:textId="77777777" w:rsidR="00AC6CE7" w:rsidRDefault="00AC6CE7" w:rsidP="00AC6CE7">
      <w:pPr>
        <w:pStyle w:val="Quote3"/>
        <w:ind w:left="2880" w:hanging="720"/>
      </w:pPr>
      <w:r>
        <w:t>(</w:t>
      </w:r>
      <w:proofErr w:type="spellStart"/>
      <w:r>
        <w:t>i</w:t>
      </w:r>
      <w:proofErr w:type="spellEnd"/>
      <w:r>
        <w:t>)</w:t>
      </w:r>
      <w:r>
        <w:tab/>
        <w:t>was personally present or ordinarily resident in Australia;</w:t>
      </w:r>
    </w:p>
    <w:p w14:paraId="27D96012" w14:textId="77777777" w:rsidR="00AC6CE7" w:rsidRDefault="00AC6CE7" w:rsidP="00AC6CE7">
      <w:pPr>
        <w:pStyle w:val="Quote3"/>
        <w:ind w:left="2880" w:hanging="720"/>
      </w:pPr>
      <w:r>
        <w:t>(ii)</w:t>
      </w:r>
      <w:r>
        <w:tab/>
        <w:t>had a dwelling house or place of business in Australia;</w:t>
      </w:r>
    </w:p>
    <w:p w14:paraId="27D96013" w14:textId="77777777" w:rsidR="00AC6CE7" w:rsidRDefault="00AC6CE7" w:rsidP="00AC6CE7">
      <w:pPr>
        <w:pStyle w:val="Quote3"/>
        <w:ind w:left="2880" w:hanging="720"/>
      </w:pPr>
      <w:r>
        <w:t>(iii)</w:t>
      </w:r>
      <w:r>
        <w:tab/>
        <w:t>was carrying on business in Australia, either personally or by means of an agent or manager; or</w:t>
      </w:r>
    </w:p>
    <w:p w14:paraId="27D96014" w14:textId="77777777" w:rsidR="00AC6CE7" w:rsidRDefault="00AC6CE7" w:rsidP="00AC6CE7">
      <w:pPr>
        <w:pStyle w:val="Quote3"/>
        <w:ind w:left="2880" w:hanging="720"/>
      </w:pPr>
      <w:r>
        <w:t>(iv)</w:t>
      </w:r>
      <w:r>
        <w:tab/>
        <w:t xml:space="preserve">was a member of a firm or partnership carrying on business in </w:t>
      </w:r>
      <w:r>
        <w:lastRenderedPageBreak/>
        <w:t>Australia by means of a partner or partners or of an agent or manager;</w:t>
      </w:r>
    </w:p>
    <w:p w14:paraId="27D96015" w14:textId="77777777" w:rsidR="00AC6CE7" w:rsidRDefault="00AC6CE7" w:rsidP="00AC6CE7">
      <w:pPr>
        <w:pStyle w:val="Quote2"/>
      </w:pPr>
      <w:r>
        <w:t>the Court may, on a petition presented by a creditor, make a sequestration order against the estate of the debtor.</w:t>
      </w:r>
    </w:p>
    <w:p w14:paraId="27D96016" w14:textId="77777777" w:rsidR="00324701" w:rsidRDefault="00324701" w:rsidP="00324701">
      <w:pPr>
        <w:pStyle w:val="Quote1"/>
        <w:ind w:left="1440" w:hanging="703"/>
      </w:pPr>
      <w:r>
        <w:t>…</w:t>
      </w:r>
    </w:p>
    <w:p w14:paraId="27D96017" w14:textId="77777777" w:rsidR="00285FC3" w:rsidRDefault="00506D63" w:rsidP="004D45D8">
      <w:pPr>
        <w:pStyle w:val="ParaNumbering"/>
      </w:pPr>
      <w:r>
        <w:t>T</w:t>
      </w:r>
      <w:r w:rsidR="00324701">
        <w:t xml:space="preserve">he primary judge </w:t>
      </w:r>
      <w:r w:rsidR="00BA26AC">
        <w:t xml:space="preserve">found </w:t>
      </w:r>
      <w:r>
        <w:t xml:space="preserve">that the </w:t>
      </w:r>
      <w:r w:rsidR="00324701">
        <w:t xml:space="preserve">debtor </w:t>
      </w:r>
      <w:r w:rsidR="00C02223">
        <w:t>“</w:t>
      </w:r>
      <w:r>
        <w:t>had a place of business in Australia</w:t>
      </w:r>
      <w:r w:rsidR="001C4BD8">
        <w:t>”</w:t>
      </w:r>
      <w:r>
        <w:t xml:space="preserve"> and</w:t>
      </w:r>
      <w:r w:rsidR="00126962">
        <w:t xml:space="preserve"> </w:t>
      </w:r>
      <w:r w:rsidR="001C4BD8">
        <w:t>“</w:t>
      </w:r>
      <w:r>
        <w:t>was carrying on business in Australia</w:t>
      </w:r>
      <w:r w:rsidR="001C4BD8">
        <w:t>”</w:t>
      </w:r>
      <w:r w:rsidR="00126962">
        <w:t xml:space="preserve"> </w:t>
      </w:r>
      <w:r w:rsidR="001B7890">
        <w:t xml:space="preserve">at the time </w:t>
      </w:r>
      <w:r w:rsidR="00126962">
        <w:t>when the act of bankruptcy was committed</w:t>
      </w:r>
      <w:r>
        <w:t>.</w:t>
      </w:r>
      <w:r w:rsidR="00831894">
        <w:t xml:space="preserve"> </w:t>
      </w:r>
      <w:r>
        <w:t xml:space="preserve">Accordingly, his Honour held that the Court had jurisdiction to make a sequestration </w:t>
      </w:r>
      <w:r w:rsidR="00BA26AC">
        <w:t>order and proceeded to make such an</w:t>
      </w:r>
      <w:r>
        <w:t xml:space="preserve"> order.</w:t>
      </w:r>
      <w:r w:rsidR="00831894">
        <w:t xml:space="preserve"> </w:t>
      </w:r>
      <w:r w:rsidR="0074239C">
        <w:t xml:space="preserve">In the appeal, the </w:t>
      </w:r>
      <w:r w:rsidR="00412744">
        <w:t xml:space="preserve">debtor </w:t>
      </w:r>
      <w:r w:rsidR="0074239C">
        <w:t>contends that the primary judge erred</w:t>
      </w:r>
      <w:r w:rsidR="00126962">
        <w:t xml:space="preserve"> </w:t>
      </w:r>
      <w:r w:rsidR="0074239C">
        <w:t xml:space="preserve">in </w:t>
      </w:r>
      <w:r w:rsidR="004D45D8">
        <w:t xml:space="preserve">making both </w:t>
      </w:r>
      <w:r w:rsidR="0074239C">
        <w:t>finding</w:t>
      </w:r>
      <w:r w:rsidR="004D45D8">
        <w:t>s.</w:t>
      </w:r>
      <w:r w:rsidR="0074239C">
        <w:t xml:space="preserve"> </w:t>
      </w:r>
    </w:p>
    <w:p w14:paraId="27D96018" w14:textId="77777777" w:rsidR="004D45D8" w:rsidRDefault="004D45D8" w:rsidP="004D45D8">
      <w:pPr>
        <w:pStyle w:val="ParaNumbering"/>
      </w:pPr>
      <w:r>
        <w:t>I will describe the reasons of the primary judge before considering the submissions of the parties.</w:t>
      </w:r>
    </w:p>
    <w:p w14:paraId="27D96019" w14:textId="77777777" w:rsidR="0074239C" w:rsidRDefault="00FE38F7" w:rsidP="00FE38F7">
      <w:pPr>
        <w:pStyle w:val="Heading2"/>
      </w:pPr>
      <w:bookmarkStart w:id="24" w:name="_Ref77250804"/>
      <w:r>
        <w:t>The reasons of the primary judge</w:t>
      </w:r>
      <w:bookmarkEnd w:id="24"/>
    </w:p>
    <w:p w14:paraId="27D9601A" w14:textId="77777777" w:rsidR="00FE38F7" w:rsidRDefault="00FE38F7" w:rsidP="00506D63">
      <w:pPr>
        <w:pStyle w:val="ParaNumbering"/>
      </w:pPr>
      <w:r>
        <w:t xml:space="preserve">The evidence before the </w:t>
      </w:r>
      <w:r w:rsidR="00324701">
        <w:t xml:space="preserve">Federal Circuit Court </w:t>
      </w:r>
      <w:r>
        <w:t>was given by way of affidavit.</w:t>
      </w:r>
      <w:r w:rsidR="00831894">
        <w:t xml:space="preserve"> </w:t>
      </w:r>
      <w:r>
        <w:t>There was no cross-examination of the deponents.</w:t>
      </w:r>
      <w:r w:rsidR="00831894">
        <w:t xml:space="preserve"> </w:t>
      </w:r>
      <w:r>
        <w:t>Accordingly, the primary evidence was not in dispute.</w:t>
      </w:r>
      <w:r w:rsidR="00831894">
        <w:t xml:space="preserve"> </w:t>
      </w:r>
      <w:r w:rsidR="001B7890">
        <w:t>The matters</w:t>
      </w:r>
      <w:r w:rsidR="00711DDB">
        <w:t xml:space="preserve"> </w:t>
      </w:r>
      <w:r w:rsidR="001B7890">
        <w:t>principally</w:t>
      </w:r>
      <w:r w:rsidR="004D45D8">
        <w:t xml:space="preserve"> in d</w:t>
      </w:r>
      <w:r w:rsidR="00324701">
        <w:t xml:space="preserve">ispute </w:t>
      </w:r>
      <w:r w:rsidR="001B7890">
        <w:t>were</w:t>
      </w:r>
      <w:r w:rsidR="00FD04DC">
        <w:t xml:space="preserve"> what inferences were capable of being drawn</w:t>
      </w:r>
      <w:r w:rsidR="00324701">
        <w:t>,</w:t>
      </w:r>
      <w:r w:rsidR="00FD04DC">
        <w:t xml:space="preserve"> and </w:t>
      </w:r>
      <w:r w:rsidR="00BB5D9E">
        <w:t xml:space="preserve">what inferences </w:t>
      </w:r>
      <w:r w:rsidR="00FD04DC">
        <w:t>ought to</w:t>
      </w:r>
      <w:r>
        <w:t xml:space="preserve"> be drawn</w:t>
      </w:r>
      <w:r w:rsidR="004D45D8">
        <w:t xml:space="preserve">, from that </w:t>
      </w:r>
      <w:r>
        <w:t>evidence.</w:t>
      </w:r>
      <w:r w:rsidR="00831894">
        <w:t xml:space="preserve"> </w:t>
      </w:r>
    </w:p>
    <w:p w14:paraId="27D9601B" w14:textId="77777777" w:rsidR="008408E6" w:rsidRDefault="00FD04DC" w:rsidP="00506D63">
      <w:pPr>
        <w:pStyle w:val="ParaNumbering"/>
      </w:pPr>
      <w:r>
        <w:t>From 201</w:t>
      </w:r>
      <w:r w:rsidR="004D45D8">
        <w:t>1</w:t>
      </w:r>
      <w:r>
        <w:t>, t</w:t>
      </w:r>
      <w:r w:rsidR="00FE38F7">
        <w:t xml:space="preserve">he </w:t>
      </w:r>
      <w:r w:rsidR="00324701">
        <w:t xml:space="preserve">debtor </w:t>
      </w:r>
      <w:r w:rsidR="00FE38F7">
        <w:t xml:space="preserve">had been engaged in litigation with the </w:t>
      </w:r>
      <w:r>
        <w:t>Commissioner of Taxation</w:t>
      </w:r>
      <w:r w:rsidR="00FE38F7">
        <w:t>.</w:t>
      </w:r>
      <w:r w:rsidR="00831894">
        <w:t xml:space="preserve"> </w:t>
      </w:r>
      <w:r w:rsidR="008408E6">
        <w:t xml:space="preserve">The </w:t>
      </w:r>
      <w:r w:rsidR="00324701">
        <w:t xml:space="preserve">creditor </w:t>
      </w:r>
      <w:r w:rsidR="008408E6">
        <w:t xml:space="preserve">is a firm of solicitors that acted for the </w:t>
      </w:r>
      <w:r w:rsidR="00324701">
        <w:t xml:space="preserve">debtor </w:t>
      </w:r>
      <w:r w:rsidR="008408E6">
        <w:t>in much of that litigation.</w:t>
      </w:r>
      <w:r w:rsidR="00831894">
        <w:t xml:space="preserve"> </w:t>
      </w:r>
      <w:r w:rsidR="008408E6">
        <w:t xml:space="preserve">The litigation ended in May 2018 when judgment was entered against the </w:t>
      </w:r>
      <w:r w:rsidR="00BB5D9E">
        <w:t xml:space="preserve">debtor </w:t>
      </w:r>
      <w:r w:rsidR="008408E6">
        <w:t>for</w:t>
      </w:r>
      <w:r w:rsidR="00324701">
        <w:t xml:space="preserve"> an amount</w:t>
      </w:r>
      <w:r w:rsidR="008408E6">
        <w:t xml:space="preserve"> in excess of $48 million</w:t>
      </w:r>
      <w:r w:rsidR="00661772">
        <w:t>.</w:t>
      </w:r>
    </w:p>
    <w:p w14:paraId="27D9601C" w14:textId="77777777" w:rsidR="0040146A" w:rsidRDefault="008408E6" w:rsidP="00506D63">
      <w:pPr>
        <w:pStyle w:val="ParaNumbering"/>
      </w:pPr>
      <w:r>
        <w:t xml:space="preserve">In the course of the litigation, the Commissioner of Taxation served several departure prohibition orders against the </w:t>
      </w:r>
      <w:r w:rsidR="00BB5D9E">
        <w:t xml:space="preserve">debtor to </w:t>
      </w:r>
      <w:r w:rsidR="00324701">
        <w:t xml:space="preserve">prevent him </w:t>
      </w:r>
      <w:r>
        <w:t>depart</w:t>
      </w:r>
      <w:r w:rsidR="00FD04DC">
        <w:t>ing</w:t>
      </w:r>
      <w:r>
        <w:t xml:space="preserve"> from Australia witho</w:t>
      </w:r>
      <w:r w:rsidR="00BB5D9E">
        <w:t xml:space="preserve">ut discharging, </w:t>
      </w:r>
      <w:r>
        <w:t xml:space="preserve">or making satisfactory arrangements for </w:t>
      </w:r>
      <w:r w:rsidR="00BB5D9E">
        <w:t>the discharge of, his tax liability</w:t>
      </w:r>
      <w:r>
        <w:t xml:space="preserve">. </w:t>
      </w:r>
      <w:r w:rsidR="00FD04DC">
        <w:t xml:space="preserve">The </w:t>
      </w:r>
      <w:r w:rsidR="00324701">
        <w:t xml:space="preserve">debtor </w:t>
      </w:r>
      <w:r>
        <w:t xml:space="preserve">was able to obtain </w:t>
      </w:r>
      <w:r w:rsidR="00324701">
        <w:t>certificates allowing him</w:t>
      </w:r>
      <w:r>
        <w:t xml:space="preserve"> to temporarily leave Australia.</w:t>
      </w:r>
      <w:r w:rsidR="00831894">
        <w:t xml:space="preserve"> </w:t>
      </w:r>
      <w:r w:rsidR="00FD04DC">
        <w:t>However, the</w:t>
      </w:r>
      <w:r w:rsidR="00324701">
        <w:t xml:space="preserve"> debtor </w:t>
      </w:r>
      <w:r>
        <w:t>has not returned and has been absent from Australia since about July 2014.</w:t>
      </w:r>
      <w:r w:rsidR="00831894">
        <w:t xml:space="preserve"> </w:t>
      </w:r>
    </w:p>
    <w:p w14:paraId="27D9601D" w14:textId="77777777" w:rsidR="00413D36" w:rsidRDefault="0040146A" w:rsidP="00506D63">
      <w:pPr>
        <w:pStyle w:val="ParaNumbering"/>
      </w:pPr>
      <w:r>
        <w:t>T</w:t>
      </w:r>
      <w:r w:rsidR="00186485">
        <w:t>he</w:t>
      </w:r>
      <w:r w:rsidR="00DB38F7">
        <w:t xml:space="preserve"> creditor</w:t>
      </w:r>
      <w:r w:rsidR="00186485">
        <w:t xml:space="preserve"> has commenced </w:t>
      </w:r>
      <w:r w:rsidR="00FD04DC">
        <w:t>litigation against the debtor</w:t>
      </w:r>
      <w:r w:rsidR="00186485">
        <w:t xml:space="preserve"> for unpaid fees.</w:t>
      </w:r>
      <w:r w:rsidR="00831894">
        <w:t xml:space="preserve"> </w:t>
      </w:r>
      <w:r w:rsidR="00413D36">
        <w:t>T</w:t>
      </w:r>
      <w:r w:rsidR="00FD04DC">
        <w:t xml:space="preserve">he litigation is ongoing, but the creditor </w:t>
      </w:r>
      <w:r w:rsidR="00413D36">
        <w:t xml:space="preserve">has the benefit of an interlocutory costs order made </w:t>
      </w:r>
      <w:r w:rsidR="00BB5D9E">
        <w:t xml:space="preserve">by </w:t>
      </w:r>
      <w:r w:rsidR="00413D36">
        <w:t>the District Court of Queensland on 12 March 2018</w:t>
      </w:r>
      <w:r w:rsidR="00BB5D9E" w:rsidRPr="00BB5D9E">
        <w:t xml:space="preserve"> </w:t>
      </w:r>
      <w:r w:rsidR="00BB5D9E">
        <w:t>in the sum of $10,000</w:t>
      </w:r>
      <w:r w:rsidR="00413D36">
        <w:t>.</w:t>
      </w:r>
      <w:r w:rsidR="00831894">
        <w:t xml:space="preserve"> </w:t>
      </w:r>
    </w:p>
    <w:p w14:paraId="27D9601E" w14:textId="77777777" w:rsidR="00413D36" w:rsidRDefault="00413D36" w:rsidP="00506D63">
      <w:pPr>
        <w:pStyle w:val="ParaNumbering"/>
      </w:pPr>
      <w:r>
        <w:t>On 22 March 2018, a bankruptcy notice was issued at the request of the</w:t>
      </w:r>
      <w:r w:rsidR="00FD04DC">
        <w:t xml:space="preserve"> creditor</w:t>
      </w:r>
      <w:r>
        <w:t>, asserting a debt of $10,000 based on the District Court</w:t>
      </w:r>
      <w:r w:rsidR="00895F5A">
        <w:t>’s order</w:t>
      </w:r>
      <w:r>
        <w:t>.</w:t>
      </w:r>
      <w:r w:rsidR="00831894">
        <w:t xml:space="preserve"> </w:t>
      </w:r>
    </w:p>
    <w:p w14:paraId="27D9601F" w14:textId="77777777" w:rsidR="00FE38F7" w:rsidRDefault="00413D36" w:rsidP="00506D63">
      <w:pPr>
        <w:pStyle w:val="ParaNumbering"/>
      </w:pPr>
      <w:r>
        <w:lastRenderedPageBreak/>
        <w:t xml:space="preserve">On 18 April 2018, the </w:t>
      </w:r>
      <w:r w:rsidR="00FD04DC">
        <w:t>creditor</w:t>
      </w:r>
      <w:r>
        <w:t xml:space="preserve"> obtained an order for substituted service of the bankruptcy notice.</w:t>
      </w:r>
      <w:r w:rsidR="00831894">
        <w:t xml:space="preserve"> </w:t>
      </w:r>
      <w:r>
        <w:t>The bankruptcy notice was required to be complied with by 12 June 2018.</w:t>
      </w:r>
      <w:r w:rsidR="00831894">
        <w:t xml:space="preserve"> </w:t>
      </w:r>
      <w:r>
        <w:t>It was not complied with.</w:t>
      </w:r>
    </w:p>
    <w:p w14:paraId="27D96020" w14:textId="77777777" w:rsidR="00413D36" w:rsidRDefault="00413D36" w:rsidP="00506D63">
      <w:pPr>
        <w:pStyle w:val="ParaNumbering"/>
      </w:pPr>
      <w:r>
        <w:t xml:space="preserve">On 10 December 2018, the </w:t>
      </w:r>
      <w:r w:rsidR="00FD04DC">
        <w:t>creditor</w:t>
      </w:r>
      <w:r>
        <w:t xml:space="preserve"> filed a creditor</w:t>
      </w:r>
      <w:r w:rsidR="004A77B8">
        <w:t>’</w:t>
      </w:r>
      <w:r>
        <w:t xml:space="preserve">s petition alleging an act of bankruptcy based upon the </w:t>
      </w:r>
      <w:r w:rsidR="00BB5D9E">
        <w:t>debtor</w:t>
      </w:r>
      <w:r w:rsidR="004A77B8">
        <w:t>’</w:t>
      </w:r>
      <w:r w:rsidR="00BB5D9E">
        <w:t xml:space="preserve">s </w:t>
      </w:r>
      <w:r>
        <w:t>failure to comply with the bankruptcy notice.</w:t>
      </w:r>
      <w:r w:rsidR="00831894">
        <w:t xml:space="preserve"> </w:t>
      </w:r>
      <w:r>
        <w:t>The creditor</w:t>
      </w:r>
      <w:r w:rsidR="004A77B8">
        <w:t>’</w:t>
      </w:r>
      <w:r>
        <w:t xml:space="preserve">s petition was </w:t>
      </w:r>
      <w:r w:rsidR="00FD04DC">
        <w:t xml:space="preserve">later </w:t>
      </w:r>
      <w:r>
        <w:t xml:space="preserve">amended to add a ground alleging that the </w:t>
      </w:r>
      <w:r w:rsidR="00CD060F">
        <w:t xml:space="preserve">debtor </w:t>
      </w:r>
      <w:r>
        <w:t>had remained out of Australia with intent to defeat or delay his creditors.</w:t>
      </w:r>
      <w:r w:rsidR="00831894">
        <w:t xml:space="preserve"> </w:t>
      </w:r>
    </w:p>
    <w:p w14:paraId="27D96021" w14:textId="77777777" w:rsidR="00BA26AC" w:rsidRDefault="00413D36" w:rsidP="00506D63">
      <w:pPr>
        <w:pStyle w:val="ParaNumbering"/>
      </w:pPr>
      <w:r>
        <w:t xml:space="preserve">The primary judge observed that the </w:t>
      </w:r>
      <w:r w:rsidR="00FD04DC">
        <w:t>creditor</w:t>
      </w:r>
      <w:r>
        <w:t xml:space="preserve"> did not contend that the </w:t>
      </w:r>
      <w:r w:rsidR="00FD04DC">
        <w:t xml:space="preserve">debtor </w:t>
      </w:r>
      <w:r>
        <w:t xml:space="preserve">was personally present </w:t>
      </w:r>
      <w:r w:rsidR="00FD04DC">
        <w:t xml:space="preserve">or ordinarily resident </w:t>
      </w:r>
      <w:r>
        <w:t>in Australia when he was served with the bankruptcy notice.</w:t>
      </w:r>
      <w:r w:rsidR="00831894">
        <w:t xml:space="preserve"> </w:t>
      </w:r>
      <w:r>
        <w:t xml:space="preserve">However, the </w:t>
      </w:r>
      <w:r w:rsidR="00FD04DC">
        <w:t>creditor</w:t>
      </w:r>
      <w:r>
        <w:t xml:space="preserve"> contended that the </w:t>
      </w:r>
      <w:r w:rsidR="00CD060F">
        <w:t xml:space="preserve">debtor </w:t>
      </w:r>
      <w:r>
        <w:t xml:space="preserve">had a dwelling house in Australia, had a place of business in Australia and </w:t>
      </w:r>
      <w:r w:rsidR="00A0578E">
        <w:t>was carrying</w:t>
      </w:r>
      <w:r>
        <w:t xml:space="preserve"> on business in Australia.</w:t>
      </w:r>
      <w:r w:rsidR="00831894">
        <w:t xml:space="preserve"> </w:t>
      </w:r>
    </w:p>
    <w:p w14:paraId="27D96022" w14:textId="77777777" w:rsidR="00413D36" w:rsidRDefault="00413D36" w:rsidP="00506D63">
      <w:pPr>
        <w:pStyle w:val="ParaNumbering"/>
      </w:pPr>
      <w:r>
        <w:t>These allegati</w:t>
      </w:r>
      <w:r w:rsidR="00BB5D9E">
        <w:t xml:space="preserve">ons were denied by the debtor. </w:t>
      </w:r>
      <w:r w:rsidR="008F3BD0">
        <w:t xml:space="preserve"> </w:t>
      </w:r>
      <w:r w:rsidR="00BB5D9E">
        <w:t>The debtor was represent</w:t>
      </w:r>
      <w:r w:rsidR="00BA26AC">
        <w:t>ed by counsel at the hearing. The debtor</w:t>
      </w:r>
      <w:r w:rsidR="00BB5D9E">
        <w:t xml:space="preserve"> </w:t>
      </w:r>
      <w:r w:rsidR="008F3BD0">
        <w:t>did not give evidence.</w:t>
      </w:r>
      <w:r w:rsidR="00831894">
        <w:t xml:space="preserve"> </w:t>
      </w:r>
    </w:p>
    <w:p w14:paraId="27D96023" w14:textId="77777777" w:rsidR="00C84275" w:rsidRDefault="00AA6C40" w:rsidP="00BB5D9E">
      <w:pPr>
        <w:pStyle w:val="ParaNumbering"/>
      </w:pPr>
      <w:r>
        <w:t xml:space="preserve">Much of the evidence was directed to the question of whether the </w:t>
      </w:r>
      <w:r w:rsidR="00BB5D9E">
        <w:t>debtor had</w:t>
      </w:r>
      <w:r w:rsidR="008F3BD0">
        <w:t xml:space="preserve"> </w:t>
      </w:r>
      <w:r>
        <w:t>a dwelling house in Australia</w:t>
      </w:r>
      <w:r w:rsidR="00BB5D9E">
        <w:t xml:space="preserve"> at the time of the act of bankruptcy</w:t>
      </w:r>
      <w:r>
        <w:t>.</w:t>
      </w:r>
      <w:r w:rsidR="00831894">
        <w:t xml:space="preserve"> </w:t>
      </w:r>
      <w:r w:rsidR="008F3BD0">
        <w:t xml:space="preserve">The primary judge found that </w:t>
      </w:r>
      <w:r>
        <w:t xml:space="preserve">the </w:t>
      </w:r>
      <w:r w:rsidR="00CD060F">
        <w:t xml:space="preserve">debtor </w:t>
      </w:r>
      <w:r>
        <w:t xml:space="preserve">had resided with his wife, Sandra Donoghue, </w:t>
      </w:r>
      <w:r w:rsidR="008F3BD0">
        <w:t xml:space="preserve">at a property </w:t>
      </w:r>
      <w:r w:rsidR="00C84275">
        <w:t xml:space="preserve">at </w:t>
      </w:r>
      <w:proofErr w:type="spellStart"/>
      <w:r w:rsidR="000618C7">
        <w:t>Langside</w:t>
      </w:r>
      <w:proofErr w:type="spellEnd"/>
      <w:r w:rsidR="000618C7">
        <w:t xml:space="preserve"> Road, in </w:t>
      </w:r>
      <w:r w:rsidR="00C84275">
        <w:t>Hamilton</w:t>
      </w:r>
      <w:r w:rsidR="000618C7">
        <w:t>,</w:t>
      </w:r>
      <w:r w:rsidR="008F3BD0">
        <w:t xml:space="preserve"> in Brisbane</w:t>
      </w:r>
      <w:r w:rsidR="00F45C85">
        <w:t xml:space="preserve"> (the </w:t>
      </w:r>
      <w:r w:rsidR="0066104D">
        <w:rPr>
          <w:b/>
        </w:rPr>
        <w:t>Hamilton property</w:t>
      </w:r>
      <w:r w:rsidR="008F3BD0">
        <w:t>)</w:t>
      </w:r>
      <w:r w:rsidR="00C84275">
        <w:t xml:space="preserve">, but </w:t>
      </w:r>
      <w:r w:rsidR="008F3BD0">
        <w:t xml:space="preserve">that they </w:t>
      </w:r>
      <w:r w:rsidR="00C84275">
        <w:t xml:space="preserve">had separated by </w:t>
      </w:r>
      <w:r w:rsidR="008F3BD0">
        <w:t xml:space="preserve">about </w:t>
      </w:r>
      <w:r w:rsidR="00C84275">
        <w:t xml:space="preserve">1998. </w:t>
      </w:r>
      <w:r w:rsidR="008F3BD0">
        <w:t xml:space="preserve">They had </w:t>
      </w:r>
      <w:r w:rsidR="00C84275">
        <w:t xml:space="preserve">entered into an informal separation agreement which </w:t>
      </w:r>
      <w:r w:rsidR="004339F8">
        <w:t>would allow</w:t>
      </w:r>
      <w:r w:rsidR="008F3BD0">
        <w:t xml:space="preserve"> </w:t>
      </w:r>
      <w:r w:rsidR="00C84275">
        <w:t xml:space="preserve">Mrs Donoghue and their daughter </w:t>
      </w:r>
      <w:r w:rsidR="008F3BD0">
        <w:t>to continue</w:t>
      </w:r>
      <w:r w:rsidR="00C84275">
        <w:t xml:space="preserve"> </w:t>
      </w:r>
      <w:r w:rsidR="004339F8">
        <w:t>to live at the Hamilton property</w:t>
      </w:r>
      <w:r w:rsidR="008F3BD0">
        <w:t xml:space="preserve">, while the debtor paid </w:t>
      </w:r>
      <w:r w:rsidR="00BA26AC">
        <w:t xml:space="preserve">them </w:t>
      </w:r>
      <w:r w:rsidR="00C84275">
        <w:t>sufficient money to support their lifestyle</w:t>
      </w:r>
      <w:r w:rsidR="00BB5D9E">
        <w:t>s</w:t>
      </w:r>
      <w:r w:rsidR="00C84275">
        <w:t>.</w:t>
      </w:r>
      <w:r w:rsidR="00831894">
        <w:t xml:space="preserve"> </w:t>
      </w:r>
      <w:r w:rsidR="00895F5A">
        <w:t xml:space="preserve">In the ensuing </w:t>
      </w:r>
      <w:r w:rsidR="00C84275">
        <w:t xml:space="preserve">years, Mrs Donoghue had </w:t>
      </w:r>
      <w:r w:rsidR="004339F8">
        <w:t>remained at the Hamilton property</w:t>
      </w:r>
      <w:r w:rsidR="00C84275">
        <w:t xml:space="preserve"> and the </w:t>
      </w:r>
      <w:r w:rsidR="008F3BD0">
        <w:t>debtor had honoured the</w:t>
      </w:r>
      <w:r w:rsidR="00C84275">
        <w:t xml:space="preserve"> agreement.</w:t>
      </w:r>
      <w:r w:rsidR="008F3BD0">
        <w:t xml:space="preserve"> </w:t>
      </w:r>
      <w:r w:rsidR="00C84275">
        <w:t xml:space="preserve">The primary judge found that the </w:t>
      </w:r>
      <w:r w:rsidR="008F3BD0">
        <w:t xml:space="preserve">debtor had not lived </w:t>
      </w:r>
      <w:r w:rsidR="00C84275">
        <w:t xml:space="preserve">in Australia </w:t>
      </w:r>
      <w:r w:rsidR="008F3BD0">
        <w:t xml:space="preserve">since 2014, </w:t>
      </w:r>
      <w:r w:rsidR="00C84275">
        <w:t>and probably lives in Ecuador.</w:t>
      </w:r>
      <w:r w:rsidR="00831894">
        <w:t xml:space="preserve"> </w:t>
      </w:r>
      <w:r w:rsidR="008F3BD0">
        <w:t xml:space="preserve">His Honour </w:t>
      </w:r>
      <w:r w:rsidR="00F17368">
        <w:t xml:space="preserve">was not satisfied that the </w:t>
      </w:r>
      <w:r w:rsidR="00CD060F">
        <w:t xml:space="preserve">debtor </w:t>
      </w:r>
      <w:r w:rsidR="00F17368">
        <w:t>had a dwelling house in Australia when he failed to comply with the bankruptcy notice on 12 June 2018.</w:t>
      </w:r>
      <w:r w:rsidR="00831894">
        <w:t xml:space="preserve"> </w:t>
      </w:r>
      <w:r w:rsidR="004339F8">
        <w:t>That finding has</w:t>
      </w:r>
      <w:r w:rsidR="00F17368">
        <w:t xml:space="preserve"> not </w:t>
      </w:r>
      <w:r w:rsidR="004339F8">
        <w:t>been challenged</w:t>
      </w:r>
      <w:r w:rsidR="00F17368">
        <w:t>.</w:t>
      </w:r>
      <w:r w:rsidR="00831894">
        <w:t xml:space="preserve"> </w:t>
      </w:r>
    </w:p>
    <w:p w14:paraId="27D96024" w14:textId="77777777" w:rsidR="00C84275" w:rsidRDefault="00BB5D9E" w:rsidP="00506D63">
      <w:pPr>
        <w:pStyle w:val="ParaNumbering"/>
      </w:pPr>
      <w:r>
        <w:t>However, some of the primary judge</w:t>
      </w:r>
      <w:r w:rsidR="004A77B8">
        <w:t>’</w:t>
      </w:r>
      <w:r>
        <w:t xml:space="preserve">s findings concerning whether the debtor had a dwelling house in Australia were </w:t>
      </w:r>
      <w:r w:rsidR="00895F5A">
        <w:t xml:space="preserve">also </w:t>
      </w:r>
      <w:r>
        <w:t xml:space="preserve">relevant to whether, when </w:t>
      </w:r>
      <w:r w:rsidR="0066104D">
        <w:t>the act</w:t>
      </w:r>
      <w:r>
        <w:t xml:space="preserve"> of bankruptcy was committed, </w:t>
      </w:r>
      <w:r w:rsidR="008F3BD0">
        <w:t>the debtor had a place of business in Australia and was ca</w:t>
      </w:r>
      <w:r w:rsidR="004339F8">
        <w:t>rrying on business in Australia. His Honour found:</w:t>
      </w:r>
      <w:r w:rsidR="00C84275">
        <w:t xml:space="preserve"> </w:t>
      </w:r>
    </w:p>
    <w:p w14:paraId="27D96025" w14:textId="77777777" w:rsidR="00D93DF3" w:rsidRDefault="00D93DF3" w:rsidP="00D93DF3">
      <w:pPr>
        <w:pStyle w:val="Quote1"/>
        <w:ind w:left="1440" w:hanging="703"/>
      </w:pPr>
      <w:r w:rsidRPr="00D93DF3">
        <w:t>24.</w:t>
      </w:r>
      <w:r>
        <w:tab/>
      </w:r>
      <w:r w:rsidRPr="00D93DF3">
        <w:t xml:space="preserve">In 2008, so some 10 years after the parties separated, the respondent borrowed between $4m and $5m from the Commonwealth Bank. The evidence of Mr </w:t>
      </w:r>
      <w:proofErr w:type="spellStart"/>
      <w:r w:rsidRPr="00D93DF3">
        <w:t>Tiplady</w:t>
      </w:r>
      <w:proofErr w:type="spellEnd"/>
      <w:r w:rsidRPr="00D93DF3">
        <w:t xml:space="preserve"> and Mrs </w:t>
      </w:r>
      <w:proofErr w:type="spellStart"/>
      <w:r w:rsidRPr="000B4C98">
        <w:t>Donog</w:t>
      </w:r>
      <w:r w:rsidR="008A57CC" w:rsidRPr="000B4C98">
        <w:t>o</w:t>
      </w:r>
      <w:r w:rsidRPr="000B4C98">
        <w:t>hue</w:t>
      </w:r>
      <w:proofErr w:type="spellEnd"/>
      <w:r w:rsidRPr="000B4C98">
        <w:t xml:space="preserve"> </w:t>
      </w:r>
      <w:r w:rsidR="008A57CC" w:rsidRPr="000B4C98">
        <w:t xml:space="preserve">(sic) </w:t>
      </w:r>
      <w:r w:rsidRPr="000B4C98">
        <w:t>is</w:t>
      </w:r>
      <w:r w:rsidRPr="00D93DF3">
        <w:t xml:space="preserve"> that it was borrowed by the respondent for business purposes. Mrs Donoghue says that he</w:t>
      </w:r>
      <w:r>
        <w:t xml:space="preserve"> continues to use that facility for his business. In her capacity as trustee of the family trust Mrs Donoghue </w:t>
      </w:r>
      <w:r>
        <w:lastRenderedPageBreak/>
        <w:t>agreed to be the borrower of the funds and for the Hamilton property being used for security for the loan, which was advanced over a period of time. However, the only evidence is that the funds were borrowed for the respondent</w:t>
      </w:r>
      <w:r w:rsidR="004A77B8">
        <w:t>’</w:t>
      </w:r>
      <w:r>
        <w:t>s business purposes and he had, and continues to have, the use of those funds.</w:t>
      </w:r>
    </w:p>
    <w:p w14:paraId="27D96026" w14:textId="77777777" w:rsidR="00C84275" w:rsidRDefault="00F45C85" w:rsidP="00D93DF3">
      <w:pPr>
        <w:pStyle w:val="Quote1"/>
        <w:ind w:left="1440" w:hanging="703"/>
      </w:pPr>
      <w:r>
        <w:t>25.</w:t>
      </w:r>
      <w:r w:rsidR="00D93DF3">
        <w:tab/>
        <w:t>The respondent is responsible for repaying the loan secured over the Hamilton property. He has personally guaranteed that loan. The current balance owing on the loan is in the order of $5.5m. The monthly repayments of that loan are in the order of $45,205. Mrs Donoghue has no capacity to make the repayments on the loan and nor does the family trust. Only the respondent has the capacity to meet the loan repayments. According to Mrs Donoghue</w:t>
      </w:r>
      <w:r w:rsidR="004A77B8">
        <w:t>’</w:t>
      </w:r>
      <w:r w:rsidR="00D93DF3">
        <w:t xml:space="preserve">s evidence, the loan repayments are made by the respondent from </w:t>
      </w:r>
      <w:r w:rsidR="001C4BD8">
        <w:t>“</w:t>
      </w:r>
      <w:r w:rsidR="00D93DF3">
        <w:t>a US Account</w:t>
      </w:r>
      <w:r w:rsidR="001C4BD8">
        <w:t>”</w:t>
      </w:r>
      <w:r w:rsidR="00D93DF3">
        <w:t xml:space="preserve"> to Mrs Donoghue</w:t>
      </w:r>
      <w:r w:rsidR="004A77B8">
        <w:t>’</w:t>
      </w:r>
      <w:r w:rsidR="00D93DF3">
        <w:t>s CBA bank account. From there, Mrs Donoghue repays the CBA Loan. The repayments are made in Brisbane, Australia.</w:t>
      </w:r>
    </w:p>
    <w:p w14:paraId="27D96027" w14:textId="77777777" w:rsidR="00D93DF3" w:rsidRDefault="00D93DF3" w:rsidP="00D93DF3">
      <w:pPr>
        <w:pStyle w:val="Quote1"/>
        <w:ind w:left="1440" w:hanging="703"/>
      </w:pPr>
      <w:r>
        <w:t>26.</w:t>
      </w:r>
      <w:r>
        <w:tab/>
        <w:t>There is nothing in the evidence about the source of the funds the respondent uses to repay the Loan. I accept that all the evidence demonstrates is that he obtained the loan for his business and continues to use it for that purpose. The petitioning creditor invites me to infer that the substantial monthly repayments are made from the respondent</w:t>
      </w:r>
      <w:r w:rsidR="004A77B8">
        <w:t>’</w:t>
      </w:r>
      <w:r>
        <w:t>s business activities. I think that inference is reasonable, especially where the respondent has not given any evidence to explain those dealings. I draw the inference and find that the substantial monthly repayments of the CBA borrowings are made from the respondent</w:t>
      </w:r>
      <w:r w:rsidR="004A77B8">
        <w:t>’</w:t>
      </w:r>
      <w:r>
        <w:t>s business activities</w:t>
      </w:r>
      <w:r w:rsidR="00BA26AC">
        <w:t>.</w:t>
      </w:r>
    </w:p>
    <w:p w14:paraId="27D96028" w14:textId="77777777" w:rsidR="00D93DF3" w:rsidRDefault="00D93DF3" w:rsidP="00D93DF3">
      <w:pPr>
        <w:pStyle w:val="Quote1"/>
        <w:ind w:left="1440" w:hanging="703"/>
      </w:pPr>
      <w:r>
        <w:t>27.</w:t>
      </w:r>
      <w:r>
        <w:tab/>
        <w:t>The evidence shows that the respondent listed the Hamilton property as the address for service of notices under his personal guarantee with the CBA. He also gave to the CBA the Hamilton property as his residential address. There is no evidence that the respondent has updated the Bank with any other address for service of such notices or any other residential address.</w:t>
      </w:r>
    </w:p>
    <w:p w14:paraId="27D96029" w14:textId="77777777" w:rsidR="00D93DF3" w:rsidRDefault="00D93DF3" w:rsidP="00D93DF3">
      <w:pPr>
        <w:pStyle w:val="Quote1"/>
        <w:ind w:left="1440" w:hanging="703"/>
      </w:pPr>
      <w:r>
        <w:t>…</w:t>
      </w:r>
    </w:p>
    <w:p w14:paraId="27D9602A" w14:textId="77777777" w:rsidR="00D93DF3" w:rsidRDefault="002C014B" w:rsidP="00D905DE">
      <w:pPr>
        <w:pStyle w:val="ParaNumbering"/>
      </w:pPr>
      <w:r>
        <w:t xml:space="preserve">The primary judge went on to conclude that the </w:t>
      </w:r>
      <w:r w:rsidR="002673C2">
        <w:t xml:space="preserve">debtor </w:t>
      </w:r>
      <w:r>
        <w:t>had a place of business in Australia</w:t>
      </w:r>
      <w:r w:rsidR="002673C2">
        <w:t xml:space="preserve"> when the act of bankruptcy was committed</w:t>
      </w:r>
      <w:r>
        <w:t>. His</w:t>
      </w:r>
      <w:r w:rsidR="00831894">
        <w:t xml:space="preserve"> </w:t>
      </w:r>
      <w:r>
        <w:t>Honour found:</w:t>
      </w:r>
    </w:p>
    <w:p w14:paraId="27D9602B" w14:textId="77777777" w:rsidR="0097445B" w:rsidRDefault="0097445B" w:rsidP="0097445B">
      <w:pPr>
        <w:pStyle w:val="Quote1"/>
        <w:ind w:left="1440" w:hanging="703"/>
      </w:pPr>
      <w:bookmarkStart w:id="25" w:name="PastedTemp53"/>
      <w:r>
        <w:t>36.</w:t>
      </w:r>
      <w:r>
        <w:tab/>
        <w:t>The evidence satisfies me that the CBA loan obtained by Mrs Donoghue for the respondent is part of the respondent</w:t>
      </w:r>
      <w:r w:rsidR="004A77B8">
        <w:t>’</w:t>
      </w:r>
      <w:r>
        <w:t>s business activities. It was obtained for business purposes and is used for business purposes.</w:t>
      </w:r>
    </w:p>
    <w:p w14:paraId="27D9602C" w14:textId="77777777" w:rsidR="0097445B" w:rsidRDefault="0097445B" w:rsidP="0097445B">
      <w:pPr>
        <w:pStyle w:val="Quote1"/>
        <w:ind w:left="1440" w:hanging="703"/>
      </w:pPr>
      <w:r>
        <w:t>37.</w:t>
      </w:r>
      <w:r>
        <w:tab/>
        <w:t>The loan was obtained here in Australia, from an Australian bank. The respondent gave a personal guarantee in respect of the borrowing. The respondent provides the funds so that repayments of the loan can be made. Those repayments are made here in Australia. The uncontroverted evidence is that for the purposes of that loan, the respondent has provided the address at the Hamilton property as his residential address and the address at which notices for the purposes of the personal guarantee might be served.</w:t>
      </w:r>
    </w:p>
    <w:p w14:paraId="27D9602D" w14:textId="77777777" w:rsidR="0097445B" w:rsidRDefault="0097445B" w:rsidP="0097445B">
      <w:pPr>
        <w:pStyle w:val="Quote1"/>
        <w:ind w:left="1440" w:hanging="703"/>
      </w:pPr>
      <w:r>
        <w:t>38.</w:t>
      </w:r>
      <w:r>
        <w:tab/>
        <w:t xml:space="preserve">I note that there is no suggestion that Sterling Pacific Pty Ltd has any connection with the CBA loan. However, the respondent remains a director of that company registered in Australia and the Hamilton property is his address according to the records held by ASIC in respect of that company. Those matters are indicia of the respondent having a place of business in Australia: </w:t>
      </w:r>
      <w:r w:rsidRPr="00B45E31">
        <w:rPr>
          <w:i/>
        </w:rPr>
        <w:t xml:space="preserve">Deputy Commissioner of Taxation v </w:t>
      </w:r>
      <w:proofErr w:type="spellStart"/>
      <w:r w:rsidRPr="00B45E31">
        <w:rPr>
          <w:i/>
        </w:rPr>
        <w:t>Wachjo</w:t>
      </w:r>
      <w:proofErr w:type="spellEnd"/>
      <w:r>
        <w:t xml:space="preserve"> (2005) 216 ALR 682 at [11]. It was open to the respondent to give evidence about his involvement in the </w:t>
      </w:r>
      <w:r>
        <w:lastRenderedPageBreak/>
        <w:t>company and the purpose for which he remains a director but he did not do so.</w:t>
      </w:r>
    </w:p>
    <w:p w14:paraId="27D9602E" w14:textId="77777777" w:rsidR="002C014B" w:rsidRPr="008A7C2B" w:rsidRDefault="0097445B" w:rsidP="0097445B">
      <w:pPr>
        <w:pStyle w:val="Quote1"/>
        <w:ind w:left="1440" w:hanging="703"/>
      </w:pPr>
      <w:r>
        <w:t>39.</w:t>
      </w:r>
      <w:r>
        <w:tab/>
        <w:t xml:space="preserve">I find that as at the date of the act of bankruptcy, 12 June, 2018, the respondent had a place of business in Australia namely the address of the Hamilton property. He maintained that address for the purposes of the loan that was obtained from the CBA and his dealings with the CBA in respect of that loan and in particular, the personal guarantee. I am satisfied that the requirement contained in s.43(1)(b)(ii) of the Bankruptcy Act is therefore met. </w:t>
      </w:r>
      <w:bookmarkEnd w:id="25"/>
    </w:p>
    <w:p w14:paraId="27D9602F" w14:textId="77777777" w:rsidR="002C014B" w:rsidRDefault="00D905DE" w:rsidP="00D905DE">
      <w:pPr>
        <w:pStyle w:val="ParaNumbering"/>
      </w:pPr>
      <w:r>
        <w:t>The primary judge also concluded that the debtor was carrying on business in Australia when the act of bankruptcy was committed.</w:t>
      </w:r>
      <w:r w:rsidR="00831894">
        <w:t xml:space="preserve"> </w:t>
      </w:r>
      <w:r>
        <w:t>His Honour found:</w:t>
      </w:r>
    </w:p>
    <w:p w14:paraId="27D96030" w14:textId="77777777" w:rsidR="0097445B" w:rsidRDefault="00442690" w:rsidP="00880523">
      <w:pPr>
        <w:pStyle w:val="Quote1"/>
        <w:ind w:left="1440" w:hanging="703"/>
      </w:pPr>
      <w:bookmarkStart w:id="26" w:name="PastedTemp28"/>
      <w:r>
        <w:t>40.</w:t>
      </w:r>
      <w:r w:rsidR="0097445B">
        <w:tab/>
        <w:t>I am also satisfied that for the purposes of s.43(1)(b)(iii) of the Bankruptcy Act the respondent is carrying on business in Australia.</w:t>
      </w:r>
      <w:r w:rsidR="00880523">
        <w:t xml:space="preserve"> </w:t>
      </w:r>
      <w:r w:rsidR="0097445B">
        <w:t>Although the respondent is not primarily liable for the CBA borrowings (the borrower being the trustee of the Donoghue family trust) the practical arrangements as explained by Mrs Donoghue demonstrate that</w:t>
      </w:r>
      <w:r w:rsidR="0097445B" w:rsidRPr="0097445B">
        <w:t xml:space="preserve"> </w:t>
      </w:r>
      <w:r w:rsidR="0097445B">
        <w:t>it is a loan for business purposes obtained at the respondent</w:t>
      </w:r>
      <w:r w:rsidR="004A77B8">
        <w:t>’</w:t>
      </w:r>
      <w:r w:rsidR="0097445B">
        <w:t xml:space="preserve">s request, used by him for his business and serviced by him here in Australia through the repayments of the loan as and when they fall due. </w:t>
      </w:r>
      <w:bookmarkStart w:id="27" w:name="PastedTemp30"/>
      <w:bookmarkEnd w:id="26"/>
      <w:r w:rsidR="0097445B">
        <w:t xml:space="preserve"> </w:t>
      </w:r>
    </w:p>
    <w:p w14:paraId="27D96031" w14:textId="77777777" w:rsidR="0097445B" w:rsidRDefault="0097445B" w:rsidP="0097445B">
      <w:pPr>
        <w:pStyle w:val="Quote1"/>
        <w:ind w:left="1440" w:hanging="703"/>
      </w:pPr>
      <w:r>
        <w:t>41.</w:t>
      </w:r>
      <w:r>
        <w:tab/>
        <w:t>Whilst the evidence does not permit of a precise finding about the nature or extent of the respondent</w:t>
      </w:r>
      <w:r w:rsidR="004A77B8">
        <w:t>’</w:t>
      </w:r>
      <w:r>
        <w:t xml:space="preserve">s business, none is necessary. All that needs to be found is that he is carrying on business in Australia. As cases like </w:t>
      </w:r>
      <w:r w:rsidRPr="00F129D2">
        <w:rPr>
          <w:i/>
        </w:rPr>
        <w:t xml:space="preserve">In Re </w:t>
      </w:r>
      <w:proofErr w:type="spellStart"/>
      <w:r w:rsidRPr="00F129D2">
        <w:rPr>
          <w:i/>
        </w:rPr>
        <w:t>Mendonca</w:t>
      </w:r>
      <w:proofErr w:type="spellEnd"/>
      <w:r w:rsidRPr="00F129D2">
        <w:rPr>
          <w:i/>
        </w:rPr>
        <w:t>; Ex parte FC of T</w:t>
      </w:r>
      <w:r>
        <w:t xml:space="preserve"> (1969) 15 FLR 256 (</w:t>
      </w:r>
      <w:proofErr w:type="spellStart"/>
      <w:r>
        <w:t>esp</w:t>
      </w:r>
      <w:proofErr w:type="spellEnd"/>
      <w:r>
        <w:t xml:space="preserve"> at 260-1) and </w:t>
      </w:r>
      <w:r w:rsidRPr="00F129D2">
        <w:rPr>
          <w:i/>
        </w:rPr>
        <w:t xml:space="preserve">Re </w:t>
      </w:r>
      <w:proofErr w:type="spellStart"/>
      <w:r w:rsidRPr="00F129D2">
        <w:rPr>
          <w:i/>
        </w:rPr>
        <w:t>Vassis</w:t>
      </w:r>
      <w:proofErr w:type="spellEnd"/>
      <w:r w:rsidRPr="00F129D2">
        <w:rPr>
          <w:i/>
        </w:rPr>
        <w:t>, Ex Parte Leo Leung</w:t>
      </w:r>
      <w:r>
        <w:t xml:space="preserve"> (1986) 64 ALR 407 demonstrate the phrase </w:t>
      </w:r>
      <w:r w:rsidRPr="00F129D2">
        <w:rPr>
          <w:i/>
        </w:rPr>
        <w:t>was carrying on business</w:t>
      </w:r>
      <w:r>
        <w:t xml:space="preserve"> in s.43(1)(b)(iii) has a very wide meaning.</w:t>
      </w:r>
    </w:p>
    <w:p w14:paraId="27D96032" w14:textId="77777777" w:rsidR="0097445B" w:rsidRDefault="0097445B" w:rsidP="0097445B">
      <w:pPr>
        <w:pStyle w:val="Quote1"/>
        <w:ind w:left="1440" w:hanging="703"/>
      </w:pPr>
      <w:r>
        <w:t>42.</w:t>
      </w:r>
      <w:r>
        <w:tab/>
        <w:t>The servicing of debt here in Australia for the purposes of the respondent</w:t>
      </w:r>
      <w:r w:rsidR="004A77B8">
        <w:t>’</w:t>
      </w:r>
      <w:r>
        <w:t>s business whatever that might be is, in my view, part of the respondent</w:t>
      </w:r>
      <w:r w:rsidR="004A77B8">
        <w:t>’</w:t>
      </w:r>
      <w:r>
        <w:t>s business. In circumstances where the loan was obtained here, the loan was funded in Australia, relies upon security in Australia and the repayments are made here in Australia from funds which I have found are generated in the respondent</w:t>
      </w:r>
      <w:r w:rsidR="004A77B8">
        <w:t>’</w:t>
      </w:r>
      <w:r>
        <w:t>s business, the requirement that the respondent was carrying on business in Australia as at the date of the act of bankruptcy, 12 June, 2018, is satisfied. I so find.</w:t>
      </w:r>
    </w:p>
    <w:p w14:paraId="27D96033" w14:textId="77777777" w:rsidR="0097445B" w:rsidRDefault="0097445B" w:rsidP="0097445B">
      <w:pPr>
        <w:pStyle w:val="Quote1"/>
        <w:ind w:left="1440" w:hanging="703"/>
      </w:pPr>
      <w:r>
        <w:t>43.</w:t>
      </w:r>
      <w:r>
        <w:tab/>
        <w:t>Alternatively, to the extent that there is some arrangement, either legally binding or otherwise between the respondent and Mrs Donoghue for the purposes of the CBA loan, that too, constitutes, in my view, the carrying on of business in Australia. It is plainly an arrangement or a facility that the respondent has organised with Mrs Donoghue to enable funds to be obtained for the purposes of his business. That arrangement was in place as at the date of the act of bankruptcy</w:t>
      </w:r>
      <w:r w:rsidR="00880523">
        <w:t>.</w:t>
      </w:r>
      <w:r>
        <w:t xml:space="preserve"> </w:t>
      </w:r>
      <w:bookmarkEnd w:id="27"/>
    </w:p>
    <w:p w14:paraId="27D96034" w14:textId="77777777" w:rsidR="00D905DE" w:rsidRDefault="00D905DE" w:rsidP="00D905DE">
      <w:pPr>
        <w:pStyle w:val="ParaNumbering"/>
      </w:pPr>
      <w:r>
        <w:t>The primary judge was satisfied of the matters set out in s </w:t>
      </w:r>
      <w:r w:rsidRPr="0000266B">
        <w:t>52</w:t>
      </w:r>
      <w:r>
        <w:t>(1) of the Act, including that the debt was still owing.</w:t>
      </w:r>
      <w:r w:rsidR="00831894">
        <w:t xml:space="preserve"> </w:t>
      </w:r>
      <w:r>
        <w:t>His Honour considered it unnecessary to address the creditor</w:t>
      </w:r>
      <w:r w:rsidR="004A77B8">
        <w:t>’</w:t>
      </w:r>
      <w:r>
        <w:t>s alternative argument that the debtor had committed an act of bankruptcy by remaining out of Australia.</w:t>
      </w:r>
      <w:r w:rsidR="00831894">
        <w:t xml:space="preserve"> </w:t>
      </w:r>
      <w:r>
        <w:t xml:space="preserve">His Honour </w:t>
      </w:r>
      <w:r w:rsidR="00895F5A">
        <w:t xml:space="preserve">proceeded to make </w:t>
      </w:r>
      <w:r>
        <w:t>a sequestration order against the estate of the debtor.</w:t>
      </w:r>
      <w:r w:rsidR="00831894">
        <w:t xml:space="preserve"> </w:t>
      </w:r>
      <w:r>
        <w:t>His Honour also awarded costs in favour of the creditor.</w:t>
      </w:r>
      <w:r w:rsidR="00831894">
        <w:t xml:space="preserve"> </w:t>
      </w:r>
    </w:p>
    <w:p w14:paraId="27D96035" w14:textId="77777777" w:rsidR="0005300E" w:rsidRDefault="0005300E" w:rsidP="0005300E">
      <w:pPr>
        <w:pStyle w:val="Heading2"/>
      </w:pPr>
      <w:bookmarkStart w:id="28" w:name="_Ref77250805"/>
      <w:r>
        <w:lastRenderedPageBreak/>
        <w:t>The submissions</w:t>
      </w:r>
      <w:bookmarkEnd w:id="28"/>
    </w:p>
    <w:p w14:paraId="27D96036" w14:textId="77777777" w:rsidR="001E18CB" w:rsidRDefault="001E18CB" w:rsidP="00C85BF1">
      <w:pPr>
        <w:pStyle w:val="ParaNumbering"/>
      </w:pPr>
      <w:r>
        <w:t>The Notice of Appeal contains five grounds, which are, in summary:</w:t>
      </w:r>
    </w:p>
    <w:p w14:paraId="27D96037" w14:textId="77777777" w:rsidR="00D87CFD" w:rsidRDefault="00442690" w:rsidP="00C3527C">
      <w:pPr>
        <w:pStyle w:val="NoNum"/>
        <w:ind w:left="720" w:hanging="720"/>
      </w:pPr>
      <w:r>
        <w:t>1.</w:t>
      </w:r>
      <w:r w:rsidR="00D87CFD">
        <w:tab/>
        <w:t>The finding that the</w:t>
      </w:r>
      <w:r w:rsidR="004339F8">
        <w:t xml:space="preserve"> monthly repayments of the Commonwealth Bank l</w:t>
      </w:r>
      <w:r w:rsidR="00895F5A">
        <w:t>oan were</w:t>
      </w:r>
      <w:r w:rsidR="00D87CFD">
        <w:t xml:space="preserve"> made from </w:t>
      </w:r>
      <w:r w:rsidR="001C4BD8">
        <w:t>“</w:t>
      </w:r>
      <w:r w:rsidR="00D87CFD">
        <w:t>the debtor</w:t>
      </w:r>
      <w:r w:rsidR="004A77B8">
        <w:t>’</w:t>
      </w:r>
      <w:r w:rsidR="00D87CFD">
        <w:t>s business activities</w:t>
      </w:r>
      <w:r w:rsidR="001C4BD8">
        <w:t>”</w:t>
      </w:r>
      <w:r w:rsidR="00D87CFD">
        <w:t xml:space="preserve"> was not supported by the evidence.</w:t>
      </w:r>
    </w:p>
    <w:p w14:paraId="27D96038" w14:textId="77777777" w:rsidR="00D87CFD" w:rsidRPr="0021167A" w:rsidRDefault="00442690" w:rsidP="00C3527C">
      <w:pPr>
        <w:pStyle w:val="NoNum"/>
        <w:ind w:left="720" w:hanging="720"/>
      </w:pPr>
      <w:r>
        <w:t>2.</w:t>
      </w:r>
      <w:r w:rsidR="00895F5A">
        <w:tab/>
        <w:t>That</w:t>
      </w:r>
      <w:r w:rsidR="00D87CFD">
        <w:t xml:space="preserve"> finding</w:t>
      </w:r>
      <w:r w:rsidR="00895F5A">
        <w:t xml:space="preserve">, being </w:t>
      </w:r>
      <w:r w:rsidR="00A13DE3">
        <w:t xml:space="preserve">based on the </w:t>
      </w:r>
      <w:r w:rsidR="00D87CFD">
        <w:t>debtor</w:t>
      </w:r>
      <w:r w:rsidR="00A13DE3">
        <w:t>’s failure</w:t>
      </w:r>
      <w:r w:rsidR="00D87CFD">
        <w:t xml:space="preserve"> to give evidence</w:t>
      </w:r>
      <w:r w:rsidR="00895F5A">
        <w:t>,</w:t>
      </w:r>
      <w:r w:rsidR="00D87CFD">
        <w:t xml:space="preserve"> was erroneous</w:t>
      </w:r>
      <w:r w:rsidR="00BA26AC">
        <w:t>,</w:t>
      </w:r>
      <w:r w:rsidR="00D87CFD">
        <w:t xml:space="preserve"> because </w:t>
      </w:r>
      <w:r w:rsidR="00895F5A">
        <w:t>the</w:t>
      </w:r>
      <w:r w:rsidR="00A13DE3">
        <w:t xml:space="preserve"> </w:t>
      </w:r>
      <w:r w:rsidR="00D87CFD">
        <w:t>failur</w:t>
      </w:r>
      <w:r w:rsidR="00A13DE3">
        <w:t xml:space="preserve">e </w:t>
      </w:r>
      <w:r w:rsidR="00895F5A">
        <w:t xml:space="preserve">to give evidence </w:t>
      </w:r>
      <w:r w:rsidR="00A13DE3">
        <w:t>could not be used to make up the</w:t>
      </w:r>
      <w:r w:rsidR="00D87CFD">
        <w:t xml:space="preserve"> deficiency of evidence.</w:t>
      </w:r>
    </w:p>
    <w:p w14:paraId="27D96039" w14:textId="77777777" w:rsidR="00D87CFD" w:rsidRDefault="00442690" w:rsidP="00C3527C">
      <w:pPr>
        <w:pStyle w:val="NoNum"/>
        <w:ind w:left="720" w:hanging="720"/>
      </w:pPr>
      <w:r>
        <w:t>3.</w:t>
      </w:r>
      <w:r w:rsidR="00D87CFD">
        <w:tab/>
        <w:t>The finding that maintaining</w:t>
      </w:r>
      <w:bookmarkStart w:id="29" w:name="_GoBack"/>
      <w:bookmarkEnd w:id="29"/>
      <w:r w:rsidR="00D87CFD">
        <w:t xml:space="preserve"> an addre</w:t>
      </w:r>
      <w:r w:rsidR="00895F5A">
        <w:t>ss for the purposes of a loan was</w:t>
      </w:r>
      <w:r w:rsidR="00D87CFD">
        <w:t xml:space="preserve"> maintaining a place of business </w:t>
      </w:r>
      <w:r w:rsidR="00880523">
        <w:t xml:space="preserve">in Australia </w:t>
      </w:r>
      <w:r w:rsidR="00D87CFD">
        <w:t>was erroneous.</w:t>
      </w:r>
    </w:p>
    <w:p w14:paraId="27D9603A" w14:textId="77777777" w:rsidR="00D87CFD" w:rsidRDefault="00442690" w:rsidP="00C3527C">
      <w:pPr>
        <w:pStyle w:val="NoNum"/>
        <w:ind w:left="720" w:hanging="720"/>
      </w:pPr>
      <w:r>
        <w:t>4.</w:t>
      </w:r>
      <w:r w:rsidR="00D87CFD">
        <w:tab/>
        <w:t xml:space="preserve">The finding that the </w:t>
      </w:r>
      <w:r w:rsidR="00C34034">
        <w:t xml:space="preserve">debtor’s </w:t>
      </w:r>
      <w:r w:rsidR="00D87CFD">
        <w:t>directorship of Sterling Pacific Pty Ltd and his address as director indicated that the debtor had a place of business in Australia was erroneous.</w:t>
      </w:r>
    </w:p>
    <w:p w14:paraId="27D9603B" w14:textId="77777777" w:rsidR="001E18CB" w:rsidRPr="008E6C94" w:rsidRDefault="00442690" w:rsidP="00C3527C">
      <w:pPr>
        <w:pStyle w:val="NoNum"/>
        <w:ind w:left="720" w:hanging="720"/>
      </w:pPr>
      <w:r>
        <w:t>5.</w:t>
      </w:r>
      <w:r w:rsidR="00D87CFD">
        <w:tab/>
        <w:t xml:space="preserve">The finding that the </w:t>
      </w:r>
      <w:r w:rsidR="00C34034">
        <w:t xml:space="preserve">debtor </w:t>
      </w:r>
      <w:r w:rsidR="00D87CFD">
        <w:t xml:space="preserve">borrowing money </w:t>
      </w:r>
      <w:r w:rsidR="00A13DE3">
        <w:t>and repaying the</w:t>
      </w:r>
      <w:r w:rsidR="00D87CFD">
        <w:t xml:space="preserve"> loan </w:t>
      </w:r>
      <w:r w:rsidR="00A13DE3">
        <w:t xml:space="preserve">in Australia </w:t>
      </w:r>
      <w:r w:rsidR="001B7890">
        <w:t>constituted carrying on</w:t>
      </w:r>
      <w:r w:rsidR="00C02223">
        <w:t xml:space="preserve"> </w:t>
      </w:r>
      <w:r w:rsidR="00D87CFD">
        <w:t>business in Australia was erroneous.</w:t>
      </w:r>
    </w:p>
    <w:p w14:paraId="27D9603C" w14:textId="77777777" w:rsidR="00F416FE" w:rsidRDefault="00A13DE3" w:rsidP="00C85BF1">
      <w:pPr>
        <w:pStyle w:val="ParaNumbering"/>
      </w:pPr>
      <w:r>
        <w:t>It may be seen that t</w:t>
      </w:r>
      <w:r w:rsidR="0005300E">
        <w:t xml:space="preserve">he </w:t>
      </w:r>
      <w:r w:rsidR="00B563A8">
        <w:t xml:space="preserve">debtor </w:t>
      </w:r>
      <w:r w:rsidR="0005300E">
        <w:t>challenges the primary judge</w:t>
      </w:r>
      <w:r w:rsidR="00BA26AC">
        <w:t xml:space="preserve">’s finding </w:t>
      </w:r>
      <w:r w:rsidR="0005300E">
        <w:t>that</w:t>
      </w:r>
      <w:r w:rsidR="00B563A8">
        <w:t>, at the time of the act of bankruptcy</w:t>
      </w:r>
      <w:r w:rsidR="00332C5B">
        <w:t xml:space="preserve"> on 12 June 2018</w:t>
      </w:r>
      <w:r w:rsidR="00B563A8">
        <w:t>,</w:t>
      </w:r>
      <w:r w:rsidR="0005300E">
        <w:t xml:space="preserve"> </w:t>
      </w:r>
      <w:r w:rsidR="00B563A8">
        <w:t xml:space="preserve">the debtor </w:t>
      </w:r>
      <w:r w:rsidR="007C6878">
        <w:t>“</w:t>
      </w:r>
      <w:r w:rsidR="0005300E">
        <w:t>was carrying on business in Australia</w:t>
      </w:r>
      <w:r w:rsidR="001C4BD8">
        <w:t>”</w:t>
      </w:r>
      <w:r w:rsidR="0005300E">
        <w:t xml:space="preserve"> within s 43(1)(b)(iii)</w:t>
      </w:r>
      <w:r w:rsidR="002673C2">
        <w:t>,</w:t>
      </w:r>
      <w:r w:rsidR="0005300E">
        <w:t xml:space="preserve"> and </w:t>
      </w:r>
      <w:r w:rsidR="00BA26AC">
        <w:t xml:space="preserve">the finding </w:t>
      </w:r>
      <w:r w:rsidR="0005300E">
        <w:t xml:space="preserve">that the debtor </w:t>
      </w:r>
      <w:r w:rsidR="00C02223">
        <w:t>“</w:t>
      </w:r>
      <w:r w:rsidR="0005300E">
        <w:t>had a place of business in Australia</w:t>
      </w:r>
      <w:r w:rsidR="001C4BD8">
        <w:t>”</w:t>
      </w:r>
      <w:r w:rsidR="0005300E">
        <w:t xml:space="preserve"> within s 43(1</w:t>
      </w:r>
      <w:r w:rsidR="0066104D">
        <w:t>)(b)(ii</w:t>
      </w:r>
      <w:r w:rsidR="0005300E">
        <w:t>)</w:t>
      </w:r>
      <w:r w:rsidRPr="00A13DE3">
        <w:t xml:space="preserve"> </w:t>
      </w:r>
      <w:r>
        <w:t>of the Act</w:t>
      </w:r>
      <w:r w:rsidR="0005300E">
        <w:t>.</w:t>
      </w:r>
      <w:r w:rsidR="00831894">
        <w:t xml:space="preserve"> </w:t>
      </w:r>
    </w:p>
    <w:p w14:paraId="27D9603D" w14:textId="77777777" w:rsidR="00E24A11" w:rsidRDefault="00F416FE" w:rsidP="00983296">
      <w:pPr>
        <w:pStyle w:val="ParaNumbering"/>
        <w:tabs>
          <w:tab w:val="clear" w:pos="720"/>
        </w:tabs>
      </w:pPr>
      <w:r>
        <w:t>The debtor submits that the primary judge</w:t>
      </w:r>
      <w:r w:rsidR="004A77B8">
        <w:t>’</w:t>
      </w:r>
      <w:r>
        <w:t xml:space="preserve">s description of the phrase </w:t>
      </w:r>
      <w:r w:rsidR="001C4BD8">
        <w:t>“</w:t>
      </w:r>
      <w:r>
        <w:t>carrying on business in Australia</w:t>
      </w:r>
      <w:r w:rsidR="001C4BD8">
        <w:t>”</w:t>
      </w:r>
      <w:r>
        <w:t xml:space="preserve"> as having </w:t>
      </w:r>
      <w:r w:rsidR="001C4BD8">
        <w:t>“</w:t>
      </w:r>
      <w:r>
        <w:t>a very wide meaning</w:t>
      </w:r>
      <w:r w:rsidR="001C4BD8">
        <w:t>”</w:t>
      </w:r>
      <w:r w:rsidR="00767909">
        <w:t xml:space="preserve"> was mistaken</w:t>
      </w:r>
      <w:r>
        <w:t>.</w:t>
      </w:r>
      <w:r w:rsidR="00A13DE3" w:rsidRPr="00A13DE3">
        <w:t xml:space="preserve"> </w:t>
      </w:r>
      <w:r w:rsidR="00767909">
        <w:t>The debtor</w:t>
      </w:r>
      <w:r w:rsidR="00A13DE3">
        <w:t xml:space="preserve"> submits that what is required is a commercial enterprise i</w:t>
      </w:r>
      <w:r w:rsidR="00B45061">
        <w:t xml:space="preserve">n the nature of a going concern, </w:t>
      </w:r>
      <w:r w:rsidR="00A13DE3">
        <w:t>that is, activities engaged in for the purposes of profit on a continuous and repetitive basis in Australia.</w:t>
      </w:r>
      <w:r>
        <w:t xml:space="preserve"> He </w:t>
      </w:r>
      <w:r w:rsidR="00983296">
        <w:t xml:space="preserve">contends </w:t>
      </w:r>
      <w:r w:rsidR="00E24A11">
        <w:t xml:space="preserve">that </w:t>
      </w:r>
      <w:r>
        <w:t xml:space="preserve">the phrase requires </w:t>
      </w:r>
      <w:r w:rsidR="001C4BD8">
        <w:t>“</w:t>
      </w:r>
      <w:r w:rsidR="00E24A11">
        <w:t>trading</w:t>
      </w:r>
      <w:r w:rsidR="001C4BD8">
        <w:t>”</w:t>
      </w:r>
      <w:r w:rsidR="00767909">
        <w:t xml:space="preserve"> in Australia, whereas </w:t>
      </w:r>
      <w:r w:rsidR="00E24A11">
        <w:t>the evidence suggest</w:t>
      </w:r>
      <w:r w:rsidR="00A13DE3">
        <w:t>s</w:t>
      </w:r>
      <w:r w:rsidR="00E24A11">
        <w:t xml:space="preserve"> that</w:t>
      </w:r>
      <w:r>
        <w:t xml:space="preserve"> any</w:t>
      </w:r>
      <w:r w:rsidR="00A13DE3">
        <w:t xml:space="preserve"> trading by any</w:t>
      </w:r>
      <w:r>
        <w:t xml:space="preserve"> relevant</w:t>
      </w:r>
      <w:r w:rsidR="00E24A11">
        <w:t xml:space="preserve"> business </w:t>
      </w:r>
      <w:r w:rsidR="00B45061">
        <w:t xml:space="preserve">was </w:t>
      </w:r>
      <w:r w:rsidR="00A13DE3">
        <w:t>overseas</w:t>
      </w:r>
      <w:r>
        <w:t xml:space="preserve">. The debtor </w:t>
      </w:r>
      <w:r w:rsidR="00E24A11">
        <w:t xml:space="preserve">submits that merely borrowing and repaying </w:t>
      </w:r>
      <w:r w:rsidR="00376442">
        <w:t xml:space="preserve">borrowed funds </w:t>
      </w:r>
      <w:r w:rsidR="00A13DE3">
        <w:t xml:space="preserve">in Australia </w:t>
      </w:r>
      <w:r w:rsidR="00376442">
        <w:t>for the purpose of a business conducted in a foreign country does not amount to carrying on business</w:t>
      </w:r>
      <w:r w:rsidR="00A13DE3">
        <w:t xml:space="preserve"> in Australia.</w:t>
      </w:r>
    </w:p>
    <w:p w14:paraId="27D9603E" w14:textId="77777777" w:rsidR="00F960D6" w:rsidRDefault="00341976" w:rsidP="007256ED">
      <w:pPr>
        <w:pStyle w:val="ParaNumbering"/>
      </w:pPr>
      <w:r>
        <w:t xml:space="preserve">The debtor </w:t>
      </w:r>
      <w:r w:rsidR="00983296">
        <w:t xml:space="preserve">also submits </w:t>
      </w:r>
      <w:r w:rsidR="00767909">
        <w:t>that the evidence was</w:t>
      </w:r>
      <w:r>
        <w:t xml:space="preserve"> </w:t>
      </w:r>
      <w:r w:rsidR="00A13DE3">
        <w:t xml:space="preserve">inadequate </w:t>
      </w:r>
      <w:r w:rsidR="00983296">
        <w:t xml:space="preserve">to permit a conclusion that any </w:t>
      </w:r>
      <w:r>
        <w:t xml:space="preserve">relevant business </w:t>
      </w:r>
      <w:r w:rsidR="00983296">
        <w:t xml:space="preserve">was </w:t>
      </w:r>
      <w:r>
        <w:t xml:space="preserve">the </w:t>
      </w:r>
      <w:r w:rsidR="00D0016A">
        <w:t>debtor</w:t>
      </w:r>
      <w:r w:rsidR="004A77B8">
        <w:t>’</w:t>
      </w:r>
      <w:r w:rsidR="00D0016A">
        <w:t xml:space="preserve">s </w:t>
      </w:r>
      <w:r>
        <w:t>o</w:t>
      </w:r>
      <w:r w:rsidR="00983296">
        <w:t>w</w:t>
      </w:r>
      <w:r>
        <w:t xml:space="preserve">n business.  </w:t>
      </w:r>
      <w:r w:rsidR="00A13DE3">
        <w:t xml:space="preserve">He </w:t>
      </w:r>
      <w:r w:rsidR="00983296">
        <w:t xml:space="preserve">argues </w:t>
      </w:r>
      <w:r>
        <w:t>that Mrs Donoghue</w:t>
      </w:r>
      <w:r w:rsidR="004A77B8">
        <w:t>’</w:t>
      </w:r>
      <w:r>
        <w:t xml:space="preserve">s references </w:t>
      </w:r>
      <w:r w:rsidR="00C34034">
        <w:t xml:space="preserve">to </w:t>
      </w:r>
      <w:r w:rsidR="001C4BD8">
        <w:t>“</w:t>
      </w:r>
      <w:r w:rsidR="00983296">
        <w:t xml:space="preserve">his </w:t>
      </w:r>
      <w:r w:rsidR="00C34034">
        <w:t xml:space="preserve">[the debtor’s] </w:t>
      </w:r>
      <w:r w:rsidR="00983296">
        <w:t>business</w:t>
      </w:r>
      <w:r w:rsidR="001C4BD8">
        <w:t>”</w:t>
      </w:r>
      <w:r w:rsidR="00983296">
        <w:t xml:space="preserve"> are in</w:t>
      </w:r>
      <w:r w:rsidR="00A13DE3">
        <w:t>exact and equivocal</w:t>
      </w:r>
      <w:r w:rsidR="00625A0F">
        <w:t xml:space="preserve">.  </w:t>
      </w:r>
      <w:r w:rsidR="00307BDD">
        <w:t>The debtor</w:t>
      </w:r>
      <w:r w:rsidR="00A13DE3">
        <w:t xml:space="preserve"> submits that there is</w:t>
      </w:r>
      <w:r w:rsidR="00625A0F">
        <w:t xml:space="preserve"> no evidence as to how he acquired the funds that enabled him to make payments to service the debt.  </w:t>
      </w:r>
      <w:r w:rsidR="007256ED">
        <w:t>In particular, there is</w:t>
      </w:r>
      <w:r w:rsidR="00551AD4">
        <w:t xml:space="preserve"> no evidence as to whether the debtor obtained such funds from a </w:t>
      </w:r>
      <w:r w:rsidR="00551AD4">
        <w:lastRenderedPageBreak/>
        <w:t xml:space="preserve">business he owned as opposed to a business owned by other legal </w:t>
      </w:r>
      <w:r w:rsidR="008448A8">
        <w:t>entities</w:t>
      </w:r>
      <w:r w:rsidR="00551AD4">
        <w:t xml:space="preserve">.  </w:t>
      </w:r>
      <w:r w:rsidR="00590C4A">
        <w:t>The debtor also argues</w:t>
      </w:r>
      <w:r w:rsidR="00F960D6">
        <w:t xml:space="preserve"> that it was inapprop</w:t>
      </w:r>
      <w:r w:rsidR="00983296">
        <w:t xml:space="preserve">riate for </w:t>
      </w:r>
      <w:r w:rsidR="007256ED">
        <w:t xml:space="preserve">the primary judge </w:t>
      </w:r>
      <w:r w:rsidR="00983296">
        <w:t xml:space="preserve">to </w:t>
      </w:r>
      <w:r w:rsidR="007256ED">
        <w:t xml:space="preserve">rely upon a </w:t>
      </w:r>
      <w:r w:rsidR="00D0016A" w:rsidRPr="00590C4A">
        <w:rPr>
          <w:i/>
        </w:rPr>
        <w:t>Jones</w:t>
      </w:r>
      <w:r w:rsidR="00F960D6" w:rsidRPr="00590C4A">
        <w:rPr>
          <w:i/>
        </w:rPr>
        <w:t xml:space="preserve"> v </w:t>
      </w:r>
      <w:proofErr w:type="spellStart"/>
      <w:r w:rsidR="00F960D6" w:rsidRPr="00590C4A">
        <w:rPr>
          <w:i/>
        </w:rPr>
        <w:t>Dunkel</w:t>
      </w:r>
      <w:proofErr w:type="spellEnd"/>
      <w:r w:rsidR="00F960D6">
        <w:t xml:space="preserve"> inference </w:t>
      </w:r>
      <w:r w:rsidR="007256ED">
        <w:t>for the conclusion that the</w:t>
      </w:r>
      <w:r w:rsidR="007256ED" w:rsidRPr="007256ED">
        <w:t xml:space="preserve"> repayments </w:t>
      </w:r>
      <w:r w:rsidR="00AB4888">
        <w:t>were made from the debtor’s</w:t>
      </w:r>
      <w:r w:rsidR="007256ED">
        <w:t xml:space="preserve"> business activities.</w:t>
      </w:r>
    </w:p>
    <w:p w14:paraId="27D9603F" w14:textId="77777777" w:rsidR="00F960D6" w:rsidRDefault="00F960D6" w:rsidP="0005300E">
      <w:pPr>
        <w:pStyle w:val="ParaNumbering"/>
      </w:pPr>
      <w:r>
        <w:t xml:space="preserve">The debtor points out that the creditor bore the onus of proving, on the balance of probabilities, </w:t>
      </w:r>
      <w:r w:rsidR="008B226C">
        <w:t xml:space="preserve">that </w:t>
      </w:r>
      <w:r w:rsidR="00C02223">
        <w:t>the debtor</w:t>
      </w:r>
      <w:r w:rsidR="00983296">
        <w:t xml:space="preserve"> </w:t>
      </w:r>
      <w:r w:rsidR="008B226C">
        <w:t>was carryin</w:t>
      </w:r>
      <w:r w:rsidR="007256ED">
        <w:t>g on business, or had a place of business, in Australia</w:t>
      </w:r>
      <w:r w:rsidR="00307BDD">
        <w:t>,</w:t>
      </w:r>
      <w:r w:rsidR="007256ED">
        <w:t xml:space="preserve"> at</w:t>
      </w:r>
      <w:r w:rsidR="008B226C">
        <w:t xml:space="preserve"> the date of the act of bankruptcy.  </w:t>
      </w:r>
      <w:r w:rsidR="00307BDD">
        <w:t xml:space="preserve">He </w:t>
      </w:r>
      <w:r w:rsidR="007256ED">
        <w:t xml:space="preserve">submits that </w:t>
      </w:r>
      <w:r w:rsidR="00710980" w:rsidRPr="0000266B">
        <w:t xml:space="preserve">s 140(2) of the </w:t>
      </w:r>
      <w:r w:rsidR="00710980" w:rsidRPr="0000266B">
        <w:rPr>
          <w:i/>
        </w:rPr>
        <w:t>Evidence Act 1995</w:t>
      </w:r>
      <w:r w:rsidR="00710980" w:rsidRPr="0000266B">
        <w:t xml:space="preserve"> (</w:t>
      </w:r>
      <w:proofErr w:type="spellStart"/>
      <w:r w:rsidR="00710980" w:rsidRPr="0000266B">
        <w:t>Cth</w:t>
      </w:r>
      <w:proofErr w:type="spellEnd"/>
      <w:r w:rsidR="00710980" w:rsidRPr="0000266B">
        <w:t>)</w:t>
      </w:r>
      <w:r w:rsidR="00710980">
        <w:t xml:space="preserve"> and the</w:t>
      </w:r>
      <w:r w:rsidR="007256ED">
        <w:t xml:space="preserve"> </w:t>
      </w:r>
      <w:proofErr w:type="spellStart"/>
      <w:r w:rsidR="00307BDD">
        <w:rPr>
          <w:i/>
        </w:rPr>
        <w:t>Briginshaw</w:t>
      </w:r>
      <w:proofErr w:type="spellEnd"/>
      <w:r w:rsidR="00307BDD">
        <w:t xml:space="preserve"> </w:t>
      </w:r>
      <w:r w:rsidR="00307BDD" w:rsidRPr="00442690">
        <w:t>standard</w:t>
      </w:r>
      <w:r w:rsidR="007256ED">
        <w:t xml:space="preserve"> </w:t>
      </w:r>
      <w:r w:rsidR="00307BDD">
        <w:t xml:space="preserve">must </w:t>
      </w:r>
      <w:r w:rsidR="00077D6B">
        <w:t>be taken into account.</w:t>
      </w:r>
      <w:r w:rsidR="00DB0332">
        <w:t xml:space="preserve">  </w:t>
      </w:r>
    </w:p>
    <w:p w14:paraId="27D96040" w14:textId="77777777" w:rsidR="00A21847" w:rsidRDefault="00A21847" w:rsidP="0005300E">
      <w:pPr>
        <w:pStyle w:val="ParaNumbering"/>
      </w:pPr>
      <w:r>
        <w:t xml:space="preserve">The inference that the debtor had a place of business in Australia </w:t>
      </w:r>
      <w:r w:rsidR="00983296">
        <w:t xml:space="preserve">was </w:t>
      </w:r>
      <w:r>
        <w:t>drawn</w:t>
      </w:r>
      <w:r w:rsidR="00983296">
        <w:t xml:space="preserve"> </w:t>
      </w:r>
      <w:r w:rsidR="009154DA">
        <w:t xml:space="preserve">from </w:t>
      </w:r>
      <w:r>
        <w:t xml:space="preserve">findings that </w:t>
      </w:r>
      <w:r w:rsidR="00DC5462">
        <w:t xml:space="preserve">the debtor </w:t>
      </w:r>
      <w:r w:rsidR="00A0578E">
        <w:t>was carrying</w:t>
      </w:r>
      <w:r w:rsidR="00DC5462">
        <w:t xml:space="preserve"> on business in Australia, that the debtor</w:t>
      </w:r>
      <w:r w:rsidR="00307BDD">
        <w:t xml:space="preserve"> gave the </w:t>
      </w:r>
      <w:r w:rsidR="000414B7">
        <w:t>Hamilton property</w:t>
      </w:r>
      <w:r w:rsidR="00307BDD">
        <w:t xml:space="preserve"> as his</w:t>
      </w:r>
      <w:r w:rsidR="00DC5462">
        <w:t xml:space="preserve"> </w:t>
      </w:r>
      <w:r w:rsidR="00307BDD">
        <w:t xml:space="preserve">address </w:t>
      </w:r>
      <w:r w:rsidR="00DC5462">
        <w:t xml:space="preserve">for his guarantee of the </w:t>
      </w:r>
      <w:r w:rsidR="009154DA">
        <w:t>Commonwealth Bank loan</w:t>
      </w:r>
      <w:r w:rsidR="007256ED">
        <w:t>,</w:t>
      </w:r>
      <w:r w:rsidR="009154DA">
        <w:t xml:space="preserve"> and </w:t>
      </w:r>
      <w:r w:rsidR="00DC5462">
        <w:t>that the debtor</w:t>
      </w:r>
      <w:r w:rsidR="007256ED" w:rsidRPr="007256ED">
        <w:t xml:space="preserve"> </w:t>
      </w:r>
      <w:r w:rsidR="007256ED">
        <w:t>gave the Hamilton property</w:t>
      </w:r>
      <w:r w:rsidR="007256ED" w:rsidRPr="009154DA">
        <w:t xml:space="preserve"> </w:t>
      </w:r>
      <w:r w:rsidR="007256ED">
        <w:t>to ASIC as his address</w:t>
      </w:r>
      <w:r w:rsidR="00DC5462">
        <w:t xml:space="preserve"> </w:t>
      </w:r>
      <w:r w:rsidR="007256ED">
        <w:t>for his directorship of Sterling Pacific Pty Ltd</w:t>
      </w:r>
      <w:r w:rsidR="00A865CA">
        <w:t>.  The debtor submits that the</w:t>
      </w:r>
      <w:r w:rsidR="00307BDD">
        <w:t>se</w:t>
      </w:r>
      <w:r w:rsidR="00A865CA">
        <w:t xml:space="preserve"> fa</w:t>
      </w:r>
      <w:r w:rsidR="009154DA">
        <w:t xml:space="preserve">cts </w:t>
      </w:r>
      <w:r w:rsidR="00332C5B">
        <w:t>did not</w:t>
      </w:r>
      <w:r w:rsidR="00A865CA">
        <w:t xml:space="preserve"> permit an inference that the debtor had a place of business in Australia.  </w:t>
      </w:r>
    </w:p>
    <w:p w14:paraId="27D96041" w14:textId="77777777" w:rsidR="00FB241E" w:rsidRDefault="00FB241E" w:rsidP="0005300E">
      <w:pPr>
        <w:pStyle w:val="ParaNumbering"/>
      </w:pPr>
      <w:r>
        <w:t>The creditor submits that</w:t>
      </w:r>
      <w:r w:rsidR="00983296">
        <w:t xml:space="preserve"> no error has been demonstrated</w:t>
      </w:r>
      <w:r w:rsidR="007256ED" w:rsidRPr="007256ED">
        <w:t xml:space="preserve"> </w:t>
      </w:r>
      <w:r w:rsidR="007256ED">
        <w:t>in the reasons of the primary judge</w:t>
      </w:r>
      <w:r>
        <w:t>.  The creditor emphasises that Mrs Donoghue was called by the debtor himself and submits that it is no a</w:t>
      </w:r>
      <w:r w:rsidR="00983296">
        <w:t>nswer for the debtor to now assert that her evidence was in</w:t>
      </w:r>
      <w:r>
        <w:t xml:space="preserve">exact or equivocal.  </w:t>
      </w:r>
      <w:r w:rsidR="00516975">
        <w:t xml:space="preserve">The creditor </w:t>
      </w:r>
      <w:r w:rsidR="00983296">
        <w:t xml:space="preserve">argues </w:t>
      </w:r>
      <w:r w:rsidR="00516975">
        <w:t xml:space="preserve">that the debtor did not </w:t>
      </w:r>
      <w:r w:rsidR="000F3A38">
        <w:t xml:space="preserve">make any submission to </w:t>
      </w:r>
      <w:r w:rsidR="00516975">
        <w:t xml:space="preserve">the primary judge that the business was not that of the debtor, </w:t>
      </w:r>
      <w:r w:rsidR="000F3A38">
        <w:t>n</w:t>
      </w:r>
      <w:r w:rsidR="00516975">
        <w:t>or tha</w:t>
      </w:r>
      <w:r w:rsidR="000F3A38">
        <w:t xml:space="preserve">t there was evidence to support a </w:t>
      </w:r>
      <w:r w:rsidR="00516975">
        <w:t xml:space="preserve">conclusion that the business was </w:t>
      </w:r>
      <w:r w:rsidR="00A0578E">
        <w:t>being carried</w:t>
      </w:r>
      <w:r w:rsidR="00516975">
        <w:t xml:space="preserve"> on by an entity other than the debtor.</w:t>
      </w:r>
    </w:p>
    <w:p w14:paraId="27D96042" w14:textId="77777777" w:rsidR="00CC162A" w:rsidRPr="00CC162A" w:rsidRDefault="00F73B3D" w:rsidP="00CC162A">
      <w:pPr>
        <w:pStyle w:val="Heading2"/>
      </w:pPr>
      <w:bookmarkStart w:id="30" w:name="_Ref77250806"/>
      <w:r>
        <w:t>Whether the p</w:t>
      </w:r>
      <w:r w:rsidR="00767909">
        <w:t>rimary judge erred in finding</w:t>
      </w:r>
      <w:r>
        <w:t xml:space="preserve"> that </w:t>
      </w:r>
      <w:r w:rsidR="000B3F1A">
        <w:t>the debtor was carrying on business in Australia</w:t>
      </w:r>
      <w:bookmarkEnd w:id="30"/>
    </w:p>
    <w:p w14:paraId="27D96043" w14:textId="77777777" w:rsidR="000B3F1A" w:rsidRDefault="000E567E" w:rsidP="000B3F1A">
      <w:pPr>
        <w:pStyle w:val="ParaNumbering"/>
      </w:pPr>
      <w:r>
        <w:t>It is convenient to commence</w:t>
      </w:r>
      <w:r w:rsidR="000B3F1A">
        <w:t xml:space="preserve"> </w:t>
      </w:r>
      <w:r>
        <w:t xml:space="preserve">by examining </w:t>
      </w:r>
      <w:r w:rsidR="000B3F1A">
        <w:t>the primary judge</w:t>
      </w:r>
      <w:r w:rsidR="004A77B8">
        <w:t>’</w:t>
      </w:r>
      <w:r w:rsidR="00332C5B">
        <w:t>s finding</w:t>
      </w:r>
      <w:r w:rsidR="000B3F1A">
        <w:t xml:space="preserve"> that</w:t>
      </w:r>
      <w:r w:rsidR="00332C5B">
        <w:t>,</w:t>
      </w:r>
      <w:r w:rsidR="00B45061">
        <w:t xml:space="preserve"> when </w:t>
      </w:r>
      <w:r w:rsidR="00767909">
        <w:t>the act</w:t>
      </w:r>
      <w:r w:rsidR="000B3F1A">
        <w:t xml:space="preserve"> of bankruptcy</w:t>
      </w:r>
      <w:r w:rsidR="00332C5B">
        <w:t xml:space="preserve"> </w:t>
      </w:r>
      <w:r w:rsidR="00B45061">
        <w:t xml:space="preserve">was committed </w:t>
      </w:r>
      <w:r w:rsidR="00332C5B">
        <w:t>on 12 June 2018</w:t>
      </w:r>
      <w:r w:rsidR="000B3F1A">
        <w:t xml:space="preserve">, the debtor was </w:t>
      </w:r>
      <w:r w:rsidR="001C4BD8">
        <w:t>“</w:t>
      </w:r>
      <w:r w:rsidR="000B3F1A">
        <w:t>carrying on business in Australia</w:t>
      </w:r>
      <w:r w:rsidR="001C4BD8">
        <w:t>”</w:t>
      </w:r>
      <w:r w:rsidR="000B3F1A">
        <w:t xml:space="preserve"> within s 43(1)(b)(iii) of the Act.  </w:t>
      </w:r>
    </w:p>
    <w:p w14:paraId="27D96044" w14:textId="77777777" w:rsidR="00CC162A" w:rsidRPr="00442690" w:rsidRDefault="00CC162A" w:rsidP="00767909">
      <w:pPr>
        <w:pStyle w:val="Heading3"/>
      </w:pPr>
      <w:bookmarkStart w:id="31" w:name="_Ref77250807"/>
      <w:r w:rsidRPr="00442690">
        <w:t>Alleged errors in construction of s 43(1)(b)(iii) of the Act</w:t>
      </w:r>
      <w:bookmarkEnd w:id="31"/>
    </w:p>
    <w:p w14:paraId="27D96045" w14:textId="77777777" w:rsidR="002F5DC4" w:rsidRDefault="007256ED" w:rsidP="002F5DC4">
      <w:pPr>
        <w:pStyle w:val="ParaNumbering"/>
      </w:pPr>
      <w:r>
        <w:t xml:space="preserve">The debtor argues that the primary judge made two related errors of construction of s 43(1)(b)(iii) of the Act.  First, it is </w:t>
      </w:r>
      <w:r w:rsidR="002F5DC4">
        <w:t xml:space="preserve">submitted </w:t>
      </w:r>
      <w:r>
        <w:t xml:space="preserve">that the primary judge’s description of the phrase </w:t>
      </w:r>
      <w:r w:rsidR="001C4BD8">
        <w:t>“</w:t>
      </w:r>
      <w:r>
        <w:t>carrying on business in Australia</w:t>
      </w:r>
      <w:r w:rsidR="001C4BD8">
        <w:t>”</w:t>
      </w:r>
      <w:r>
        <w:t xml:space="preserve"> as having </w:t>
      </w:r>
      <w:r w:rsidR="001C4BD8">
        <w:t>“</w:t>
      </w:r>
      <w:r>
        <w:t>a very wide meaning</w:t>
      </w:r>
      <w:r w:rsidR="001C4BD8">
        <w:t>”</w:t>
      </w:r>
      <w:r w:rsidR="002F5DC4">
        <w:t xml:space="preserve"> was mistaken. Second, it is submitted </w:t>
      </w:r>
      <w:r w:rsidR="00332C5B">
        <w:t xml:space="preserve">that </w:t>
      </w:r>
      <w:r w:rsidR="002F5DC4">
        <w:t xml:space="preserve">the phrase requires </w:t>
      </w:r>
      <w:r w:rsidR="00457E77">
        <w:t xml:space="preserve">the conduct of </w:t>
      </w:r>
      <w:r w:rsidR="00332C5B">
        <w:t>a commercial enterprise i</w:t>
      </w:r>
      <w:r w:rsidR="00457E77">
        <w:t>n the nature of a going concern</w:t>
      </w:r>
      <w:r w:rsidR="00767909">
        <w:t xml:space="preserve">, </w:t>
      </w:r>
      <w:r w:rsidR="000A5422">
        <w:t xml:space="preserve">or </w:t>
      </w:r>
      <w:r w:rsidR="00767909">
        <w:t>trading,</w:t>
      </w:r>
      <w:r w:rsidR="00332C5B">
        <w:t xml:space="preserve"> in Australia. </w:t>
      </w:r>
    </w:p>
    <w:p w14:paraId="27D96046" w14:textId="77777777" w:rsidR="00CA27DC" w:rsidRDefault="00CA27DC" w:rsidP="00A97080">
      <w:pPr>
        <w:pStyle w:val="ParaNumbering"/>
        <w:rPr>
          <w:iCs/>
          <w:szCs w:val="24"/>
          <w:lang w:eastAsia="en-AU"/>
        </w:rPr>
      </w:pPr>
      <w:r>
        <w:lastRenderedPageBreak/>
        <w:t xml:space="preserve">As to the first alleged error, the primary judge relied upon </w:t>
      </w:r>
      <w:r w:rsidRPr="0000266B">
        <w:rPr>
          <w:i/>
        </w:rPr>
        <w:t xml:space="preserve">Re </w:t>
      </w:r>
      <w:proofErr w:type="spellStart"/>
      <w:r w:rsidRPr="0000266B">
        <w:rPr>
          <w:i/>
        </w:rPr>
        <w:t>Mendonca</w:t>
      </w:r>
      <w:proofErr w:type="spellEnd"/>
      <w:r w:rsidRPr="0000266B">
        <w:rPr>
          <w:i/>
        </w:rPr>
        <w:t xml:space="preserve">; Ex parte </w:t>
      </w:r>
      <w:r w:rsidR="00ED73DB">
        <w:rPr>
          <w:i/>
        </w:rPr>
        <w:t xml:space="preserve">Federal </w:t>
      </w:r>
      <w:r w:rsidRPr="0000266B">
        <w:rPr>
          <w:i/>
        </w:rPr>
        <w:t>Commissioner of Taxation</w:t>
      </w:r>
      <w:r w:rsidRPr="0000266B">
        <w:t xml:space="preserve"> </w:t>
      </w:r>
      <w:r w:rsidR="00A97080">
        <w:t xml:space="preserve">(1969) </w:t>
      </w:r>
      <w:r w:rsidR="00A97080" w:rsidRPr="00A97080">
        <w:t xml:space="preserve">1 ATR 571 </w:t>
      </w:r>
      <w:r w:rsidRPr="0000266B">
        <w:t xml:space="preserve">and </w:t>
      </w:r>
      <w:r w:rsidR="00B761E4">
        <w:rPr>
          <w:i/>
        </w:rPr>
        <w:t xml:space="preserve">Re </w:t>
      </w:r>
      <w:proofErr w:type="spellStart"/>
      <w:r w:rsidR="00B761E4">
        <w:rPr>
          <w:i/>
        </w:rPr>
        <w:t>Vassis</w:t>
      </w:r>
      <w:proofErr w:type="spellEnd"/>
      <w:r w:rsidR="00B761E4">
        <w:rPr>
          <w:i/>
        </w:rPr>
        <w:t>;</w:t>
      </w:r>
      <w:r w:rsidRPr="0000266B">
        <w:rPr>
          <w:i/>
        </w:rPr>
        <w:t xml:space="preserve"> Ex Parte Leung</w:t>
      </w:r>
      <w:r w:rsidRPr="0000266B">
        <w:t xml:space="preserve"> </w:t>
      </w:r>
      <w:r w:rsidR="00A97080" w:rsidRPr="00A97080">
        <w:t>(1986) 9 FCR 518</w:t>
      </w:r>
      <w:r w:rsidR="00A97080">
        <w:t xml:space="preserve"> </w:t>
      </w:r>
      <w:r w:rsidR="00F50FCB">
        <w:t xml:space="preserve">for the proposition </w:t>
      </w:r>
      <w:r w:rsidR="00880523">
        <w:t xml:space="preserve">that </w:t>
      </w:r>
      <w:r w:rsidR="00F50FCB">
        <w:t xml:space="preserve">the </w:t>
      </w:r>
      <w:r w:rsidRPr="00CA27DC">
        <w:t xml:space="preserve">phrase has </w:t>
      </w:r>
      <w:r w:rsidR="001C4BD8">
        <w:t>“</w:t>
      </w:r>
      <w:r w:rsidRPr="00CA27DC">
        <w:t>a very wide meaning</w:t>
      </w:r>
      <w:r w:rsidR="001C4BD8">
        <w:t>”</w:t>
      </w:r>
      <w:r w:rsidRPr="00CA27DC">
        <w:t>.</w:t>
      </w:r>
      <w:r w:rsidR="00F50FCB">
        <w:t xml:space="preserve"> In </w:t>
      </w:r>
      <w:proofErr w:type="spellStart"/>
      <w:r w:rsidR="00F50FCB" w:rsidRPr="0000266B">
        <w:rPr>
          <w:i/>
          <w:iCs/>
          <w:szCs w:val="24"/>
          <w:lang w:eastAsia="en-AU"/>
        </w:rPr>
        <w:t>Theophile</w:t>
      </w:r>
      <w:proofErr w:type="spellEnd"/>
      <w:r w:rsidR="00F50FCB" w:rsidRPr="0000266B">
        <w:rPr>
          <w:i/>
          <w:iCs/>
          <w:szCs w:val="24"/>
          <w:lang w:eastAsia="en-AU"/>
        </w:rPr>
        <w:t xml:space="preserve"> v The Solicitor‐General</w:t>
      </w:r>
      <w:r w:rsidR="00156ADE">
        <w:t xml:space="preserve"> [</w:t>
      </w:r>
      <w:r w:rsidR="00156ADE">
        <w:rPr>
          <w:iCs/>
          <w:szCs w:val="24"/>
          <w:lang w:eastAsia="en-AU"/>
        </w:rPr>
        <w:t>1950]</w:t>
      </w:r>
      <w:r w:rsidR="00F50FCB" w:rsidRPr="0000266B">
        <w:rPr>
          <w:iCs/>
          <w:szCs w:val="24"/>
          <w:lang w:eastAsia="en-AU"/>
        </w:rPr>
        <w:t xml:space="preserve"> AC 186</w:t>
      </w:r>
      <w:r w:rsidR="00F50FCB">
        <w:rPr>
          <w:iCs/>
          <w:szCs w:val="24"/>
          <w:lang w:eastAsia="en-AU"/>
        </w:rPr>
        <w:t xml:space="preserve">, </w:t>
      </w:r>
      <w:r w:rsidR="00D45946">
        <w:rPr>
          <w:iCs/>
          <w:szCs w:val="24"/>
          <w:lang w:eastAsia="en-AU"/>
        </w:rPr>
        <w:t xml:space="preserve">the House of Lords considered </w:t>
      </w:r>
      <w:r w:rsidR="00D45946" w:rsidRPr="0000266B">
        <w:rPr>
          <w:iCs/>
          <w:szCs w:val="24"/>
          <w:lang w:eastAsia="en-AU"/>
        </w:rPr>
        <w:t>s </w:t>
      </w:r>
      <w:r w:rsidR="00F50FCB" w:rsidRPr="0000266B">
        <w:rPr>
          <w:iCs/>
          <w:szCs w:val="24"/>
          <w:lang w:eastAsia="en-AU"/>
        </w:rPr>
        <w:t>1</w:t>
      </w:r>
      <w:r w:rsidR="00307BDD" w:rsidRPr="0000266B">
        <w:rPr>
          <w:iCs/>
          <w:szCs w:val="24"/>
          <w:lang w:eastAsia="en-AU"/>
        </w:rPr>
        <w:t>(2)</w:t>
      </w:r>
      <w:r w:rsidR="00F50FCB" w:rsidRPr="0000266B">
        <w:rPr>
          <w:iCs/>
          <w:szCs w:val="24"/>
          <w:lang w:eastAsia="en-AU"/>
        </w:rPr>
        <w:t xml:space="preserve"> of the </w:t>
      </w:r>
      <w:r w:rsidR="00F50FCB" w:rsidRPr="00B45061">
        <w:rPr>
          <w:i/>
          <w:iCs/>
          <w:szCs w:val="24"/>
          <w:lang w:eastAsia="en-AU"/>
        </w:rPr>
        <w:t>Bankruptcy Act 1914</w:t>
      </w:r>
      <w:r w:rsidR="00F50FCB" w:rsidRPr="0000266B">
        <w:rPr>
          <w:i/>
          <w:iCs/>
          <w:szCs w:val="24"/>
          <w:lang w:eastAsia="en-AU"/>
        </w:rPr>
        <w:t xml:space="preserve"> </w:t>
      </w:r>
      <w:r w:rsidR="00F50FCB" w:rsidRPr="0000266B">
        <w:rPr>
          <w:iCs/>
          <w:szCs w:val="24"/>
          <w:lang w:eastAsia="en-AU"/>
        </w:rPr>
        <w:t>(UK)</w:t>
      </w:r>
      <w:r w:rsidR="00F50FCB">
        <w:rPr>
          <w:iCs/>
          <w:szCs w:val="24"/>
          <w:lang w:eastAsia="en-AU"/>
        </w:rPr>
        <w:t xml:space="preserve"> which </w:t>
      </w:r>
      <w:r w:rsidR="00767909">
        <w:rPr>
          <w:iCs/>
          <w:szCs w:val="24"/>
          <w:lang w:eastAsia="en-AU"/>
        </w:rPr>
        <w:t xml:space="preserve">defined </w:t>
      </w:r>
      <w:r w:rsidR="00F50FCB">
        <w:rPr>
          <w:iCs/>
          <w:szCs w:val="24"/>
          <w:lang w:eastAsia="en-AU"/>
        </w:rPr>
        <w:t xml:space="preserve">a </w:t>
      </w:r>
      <w:r w:rsidR="001C4BD8">
        <w:rPr>
          <w:iCs/>
          <w:szCs w:val="24"/>
          <w:lang w:eastAsia="en-AU"/>
        </w:rPr>
        <w:t>“</w:t>
      </w:r>
      <w:r w:rsidR="00F50FCB">
        <w:rPr>
          <w:iCs/>
          <w:szCs w:val="24"/>
          <w:lang w:eastAsia="en-AU"/>
        </w:rPr>
        <w:t>debtor</w:t>
      </w:r>
      <w:r w:rsidR="001C4BD8">
        <w:rPr>
          <w:iCs/>
          <w:szCs w:val="24"/>
          <w:lang w:eastAsia="en-AU"/>
        </w:rPr>
        <w:t>”</w:t>
      </w:r>
      <w:r w:rsidR="00F50FCB">
        <w:rPr>
          <w:iCs/>
          <w:szCs w:val="24"/>
          <w:lang w:eastAsia="en-AU"/>
        </w:rPr>
        <w:t xml:space="preserve"> as including a person who, </w:t>
      </w:r>
      <w:r w:rsidR="001C4BD8">
        <w:rPr>
          <w:iCs/>
          <w:szCs w:val="24"/>
          <w:lang w:eastAsia="en-AU"/>
        </w:rPr>
        <w:t>“</w:t>
      </w:r>
      <w:r w:rsidR="00F50FCB" w:rsidRPr="00F50FCB">
        <w:rPr>
          <w:iCs/>
          <w:szCs w:val="24"/>
          <w:lang w:eastAsia="en-AU"/>
        </w:rPr>
        <w:t>was carrying on business in England, personally, or</w:t>
      </w:r>
      <w:r w:rsidR="00F50FCB">
        <w:rPr>
          <w:iCs/>
          <w:szCs w:val="24"/>
          <w:lang w:eastAsia="en-AU"/>
        </w:rPr>
        <w:t xml:space="preserve"> </w:t>
      </w:r>
      <w:r w:rsidR="00F50FCB" w:rsidRPr="00F50FCB">
        <w:rPr>
          <w:iCs/>
          <w:szCs w:val="24"/>
          <w:lang w:eastAsia="en-AU"/>
        </w:rPr>
        <w:t>by means of an agent or manager</w:t>
      </w:r>
      <w:r w:rsidR="001C4BD8">
        <w:rPr>
          <w:iCs/>
          <w:szCs w:val="24"/>
          <w:lang w:eastAsia="en-AU"/>
        </w:rPr>
        <w:t>”</w:t>
      </w:r>
      <w:r w:rsidR="00F50FCB">
        <w:rPr>
          <w:iCs/>
          <w:szCs w:val="24"/>
          <w:lang w:eastAsia="en-AU"/>
        </w:rPr>
        <w:t>. Lord Porter held at 201:</w:t>
      </w:r>
    </w:p>
    <w:p w14:paraId="27D96047" w14:textId="77777777" w:rsidR="00F50FCB" w:rsidRPr="00F50FCB" w:rsidRDefault="00E6620F" w:rsidP="00E6620F">
      <w:pPr>
        <w:pStyle w:val="Quote1"/>
        <w:rPr>
          <w:lang w:eastAsia="en-AU"/>
        </w:rPr>
      </w:pPr>
      <w:r w:rsidRPr="00E6620F">
        <w:rPr>
          <w:lang w:eastAsia="en-AU"/>
        </w:rPr>
        <w:t>In a sense it is true that the appellant was not actively carrying on business within three months of the presentation of the petition, but there is a series of cases…which in unbroken sequence have decided that trading does not cease when, as the expression is, “the shutters are put up,” but continues until the sums due are collected and all debts paid.</w:t>
      </w:r>
    </w:p>
    <w:p w14:paraId="27D96048" w14:textId="77777777" w:rsidR="003943E9" w:rsidRPr="00E77E81" w:rsidRDefault="003943E9" w:rsidP="00773C44">
      <w:pPr>
        <w:pStyle w:val="ParaNumbering"/>
      </w:pPr>
      <w:r w:rsidRPr="00E77E81">
        <w:t xml:space="preserve">In </w:t>
      </w:r>
      <w:r w:rsidRPr="00E77E81">
        <w:rPr>
          <w:i/>
        </w:rPr>
        <w:t>In</w:t>
      </w:r>
      <w:r w:rsidRPr="00E77E81">
        <w:t xml:space="preserve"> </w:t>
      </w:r>
      <w:r w:rsidR="00B404F3" w:rsidRPr="00E77E81">
        <w:rPr>
          <w:i/>
        </w:rPr>
        <w:t>re Bird v</w:t>
      </w:r>
      <w:r w:rsidRPr="00E77E81">
        <w:rPr>
          <w:i/>
        </w:rPr>
        <w:t xml:space="preserve"> Inland Revenue Commissioners; Ex parte the Debtor</w:t>
      </w:r>
      <w:r w:rsidRPr="00E77E81">
        <w:t xml:space="preserve"> [1962] 1 WL</w:t>
      </w:r>
      <w:r w:rsidR="00773C44" w:rsidRPr="00E77E81">
        <w:t>R</w:t>
      </w:r>
      <w:r w:rsidRPr="00E77E81">
        <w:t xml:space="preserve"> 686, the Court of Appeal</w:t>
      </w:r>
      <w:r w:rsidR="00307BDD" w:rsidRPr="00E77E81">
        <w:t xml:space="preserve"> at</w:t>
      </w:r>
      <w:r w:rsidR="0074334F">
        <w:t xml:space="preserve"> 693, </w:t>
      </w:r>
      <w:r w:rsidR="00A33212">
        <w:t xml:space="preserve">697-698 and </w:t>
      </w:r>
      <w:r w:rsidR="0074334F">
        <w:t xml:space="preserve">699, </w:t>
      </w:r>
      <w:r w:rsidR="00B404F3" w:rsidRPr="00E77E81">
        <w:t xml:space="preserve">described the </w:t>
      </w:r>
      <w:r w:rsidRPr="00E77E81">
        <w:t xml:space="preserve">ratio </w:t>
      </w:r>
      <w:proofErr w:type="spellStart"/>
      <w:r w:rsidRPr="00E77E81">
        <w:t>decidendi</w:t>
      </w:r>
      <w:proofErr w:type="spellEnd"/>
      <w:r w:rsidRPr="00E77E81">
        <w:t xml:space="preserve"> of </w:t>
      </w:r>
      <w:proofErr w:type="spellStart"/>
      <w:r w:rsidRPr="00E77E81">
        <w:rPr>
          <w:i/>
        </w:rPr>
        <w:t>Theophile</w:t>
      </w:r>
      <w:proofErr w:type="spellEnd"/>
      <w:r w:rsidRPr="00E77E81">
        <w:t xml:space="preserve"> </w:t>
      </w:r>
      <w:r w:rsidR="00B404F3" w:rsidRPr="00E77E81">
        <w:t>as</w:t>
      </w:r>
      <w:r w:rsidR="00767909" w:rsidRPr="00E77E81">
        <w:t xml:space="preserve"> being that</w:t>
      </w:r>
      <w:r w:rsidRPr="00E77E81">
        <w:t xml:space="preserve">, </w:t>
      </w:r>
      <w:r w:rsidR="001C4BD8" w:rsidRPr="00E77E81">
        <w:t>“</w:t>
      </w:r>
      <w:r w:rsidRPr="00E77E81">
        <w:t>trading is not completed until you have performed all the obligations</w:t>
      </w:r>
      <w:r w:rsidR="00773C44" w:rsidRPr="00E77E81">
        <w:t xml:space="preserve"> </w:t>
      </w:r>
      <w:r w:rsidRPr="00E77E81">
        <w:t>that the f</w:t>
      </w:r>
      <w:r w:rsidR="00773C44" w:rsidRPr="00E77E81">
        <w:t>act of trading imposed upon you</w:t>
      </w:r>
      <w:r w:rsidR="001C4BD8" w:rsidRPr="00E77E81">
        <w:t>”</w:t>
      </w:r>
      <w:r w:rsidR="00773C44" w:rsidRPr="00E77E81">
        <w:t>.</w:t>
      </w:r>
      <w:r w:rsidR="0074334F">
        <w:t xml:space="preserve"> </w:t>
      </w:r>
    </w:p>
    <w:p w14:paraId="27D96049" w14:textId="77777777" w:rsidR="00A66C43" w:rsidRDefault="000E23AA" w:rsidP="00A66C43">
      <w:pPr>
        <w:pStyle w:val="ParaNumbering"/>
      </w:pPr>
      <w:r w:rsidRPr="00E44813">
        <w:t xml:space="preserve">In </w:t>
      </w:r>
      <w:proofErr w:type="spellStart"/>
      <w:r w:rsidRPr="00E44813">
        <w:rPr>
          <w:i/>
        </w:rPr>
        <w:t>Mendonca</w:t>
      </w:r>
      <w:proofErr w:type="spellEnd"/>
      <w:r w:rsidRPr="00E44813">
        <w:t xml:space="preserve">, Gibbs J </w:t>
      </w:r>
      <w:r w:rsidR="00307BDD" w:rsidRPr="00E44813">
        <w:t xml:space="preserve">referred </w:t>
      </w:r>
      <w:r w:rsidR="00307BDD" w:rsidRPr="00767909">
        <w:t xml:space="preserve">at </w:t>
      </w:r>
      <w:r w:rsidR="000D1D8A">
        <w:t>574-575</w:t>
      </w:r>
      <w:r w:rsidR="00307BDD" w:rsidRPr="00E44813">
        <w:t xml:space="preserve"> </w:t>
      </w:r>
      <w:r w:rsidRPr="00E44813">
        <w:t xml:space="preserve">to, </w:t>
      </w:r>
      <w:r w:rsidR="001C4BD8">
        <w:t>“</w:t>
      </w:r>
      <w:r w:rsidRPr="00E44813">
        <w:t xml:space="preserve">the somewhat wide understanding of those words </w:t>
      </w:r>
      <w:r w:rsidR="00C8407B" w:rsidRPr="00E44813">
        <w:t>[</w:t>
      </w:r>
      <w:r w:rsidR="001C4BD8">
        <w:t>“</w:t>
      </w:r>
      <w:r w:rsidR="00C8407B" w:rsidRPr="00E44813">
        <w:t>carrying on business</w:t>
      </w:r>
      <w:r w:rsidR="001C4BD8">
        <w:t>”</w:t>
      </w:r>
      <w:r w:rsidR="00C8407B" w:rsidRPr="00E44813">
        <w:t xml:space="preserve">] </w:t>
      </w:r>
      <w:r w:rsidRPr="00E44813">
        <w:t>that has come to be established in bankruptcy law</w:t>
      </w:r>
      <w:r w:rsidR="001C4BD8">
        <w:t>”</w:t>
      </w:r>
      <w:r w:rsidRPr="00E44813">
        <w:t xml:space="preserve">, citing </w:t>
      </w:r>
      <w:proofErr w:type="spellStart"/>
      <w:r w:rsidRPr="00E44813">
        <w:rPr>
          <w:i/>
        </w:rPr>
        <w:t>Theophile</w:t>
      </w:r>
      <w:proofErr w:type="spellEnd"/>
      <w:r w:rsidR="00773C44" w:rsidRPr="00E44813">
        <w:rPr>
          <w:i/>
        </w:rPr>
        <w:t xml:space="preserve"> </w:t>
      </w:r>
      <w:r w:rsidR="00773C44" w:rsidRPr="00E44813">
        <w:t xml:space="preserve">and </w:t>
      </w:r>
      <w:r w:rsidR="00773C44" w:rsidRPr="00E44813">
        <w:rPr>
          <w:i/>
        </w:rPr>
        <w:t>Bird</w:t>
      </w:r>
      <w:r w:rsidRPr="00E44813">
        <w:t xml:space="preserve">. </w:t>
      </w:r>
    </w:p>
    <w:p w14:paraId="27D9604A" w14:textId="77777777" w:rsidR="000E23AA" w:rsidRPr="00E44813" w:rsidRDefault="000E23AA" w:rsidP="00A66C43">
      <w:pPr>
        <w:pStyle w:val="ParaNumbering"/>
      </w:pPr>
      <w:r w:rsidRPr="00E44813">
        <w:t xml:space="preserve">In </w:t>
      </w:r>
      <w:proofErr w:type="spellStart"/>
      <w:r w:rsidRPr="00E44813">
        <w:rPr>
          <w:i/>
        </w:rPr>
        <w:t>Va</w:t>
      </w:r>
      <w:r w:rsidR="000D1D8A">
        <w:rPr>
          <w:i/>
        </w:rPr>
        <w:t>s</w:t>
      </w:r>
      <w:r w:rsidRPr="00E44813">
        <w:rPr>
          <w:i/>
        </w:rPr>
        <w:t>sis</w:t>
      </w:r>
      <w:proofErr w:type="spellEnd"/>
      <w:r w:rsidRPr="00E44813">
        <w:t xml:space="preserve">, Burchett J </w:t>
      </w:r>
      <w:r w:rsidR="00307BDD" w:rsidRPr="00E44813">
        <w:t xml:space="preserve">at </w:t>
      </w:r>
      <w:r w:rsidR="007C6878">
        <w:t>525-</w:t>
      </w:r>
      <w:r w:rsidR="000F26D0">
        <w:t>526</w:t>
      </w:r>
      <w:r w:rsidR="000D1D8A">
        <w:t xml:space="preserve"> </w:t>
      </w:r>
      <w:r w:rsidRPr="00E44813">
        <w:t xml:space="preserve">adopted the view of Gibbs J and added that </w:t>
      </w:r>
      <w:r w:rsidR="000D1D8A">
        <w:t xml:space="preserve">the </w:t>
      </w:r>
      <w:r w:rsidRPr="00E44813">
        <w:t xml:space="preserve">words, </w:t>
      </w:r>
      <w:r w:rsidR="001C4BD8">
        <w:t>“</w:t>
      </w:r>
      <w:r w:rsidRPr="00E44813">
        <w:t>either personally or by means of an agent or manager</w:t>
      </w:r>
      <w:r w:rsidR="001C4BD8">
        <w:t>”</w:t>
      </w:r>
      <w:r w:rsidR="00767909">
        <w:t>, are</w:t>
      </w:r>
      <w:r w:rsidRPr="00E44813">
        <w:t xml:space="preserve"> words of extension, not limitation.</w:t>
      </w:r>
      <w:r w:rsidR="00A66C43" w:rsidRPr="00A66C43">
        <w:t xml:space="preserve"> </w:t>
      </w:r>
      <w:r w:rsidR="00B45061">
        <w:t xml:space="preserve">Justice Burchett </w:t>
      </w:r>
      <w:r w:rsidR="00A66C43">
        <w:t xml:space="preserve">held that the debtor was "carrying on business in Australia" since the winding-up of the debtor’s business and the payment of its debts had not been concluded. </w:t>
      </w:r>
    </w:p>
    <w:p w14:paraId="27D9604B" w14:textId="77777777" w:rsidR="000E23AA" w:rsidRDefault="000E23AA" w:rsidP="000E23AA">
      <w:pPr>
        <w:pStyle w:val="ParaNumbering"/>
      </w:pPr>
      <w:r>
        <w:t xml:space="preserve">I accept </w:t>
      </w:r>
      <w:r w:rsidR="00307BDD">
        <w:t xml:space="preserve">the debtor’s submission </w:t>
      </w:r>
      <w:r w:rsidR="00C85BF1">
        <w:t xml:space="preserve">that </w:t>
      </w:r>
      <w:r>
        <w:t xml:space="preserve">the </w:t>
      </w:r>
      <w:r w:rsidR="00C85BF1">
        <w:t xml:space="preserve">primary </w:t>
      </w:r>
      <w:r w:rsidR="00307BDD">
        <w:t xml:space="preserve">judge’s description of </w:t>
      </w:r>
      <w:r w:rsidR="00C85BF1">
        <w:t xml:space="preserve">the phrase </w:t>
      </w:r>
      <w:r w:rsidR="001C4BD8">
        <w:t>“</w:t>
      </w:r>
      <w:r w:rsidR="00C85BF1">
        <w:t>carrying on business</w:t>
      </w:r>
      <w:r w:rsidR="001C4BD8">
        <w:t>”</w:t>
      </w:r>
      <w:r w:rsidR="00C85BF1">
        <w:t xml:space="preserve"> </w:t>
      </w:r>
      <w:r w:rsidR="00307BDD">
        <w:t xml:space="preserve">as having </w:t>
      </w:r>
      <w:r w:rsidR="00C34034">
        <w:t>“</w:t>
      </w:r>
      <w:r w:rsidR="00C85BF1" w:rsidRPr="00CA27DC">
        <w:t>a very wide meaning</w:t>
      </w:r>
      <w:r w:rsidR="001C4BD8">
        <w:t>”</w:t>
      </w:r>
      <w:r w:rsidR="00C85BF1">
        <w:t xml:space="preserve"> </w:t>
      </w:r>
      <w:r w:rsidR="00307BDD">
        <w:t xml:space="preserve">somewhat </w:t>
      </w:r>
      <w:r w:rsidR="00C85BF1">
        <w:t xml:space="preserve">overstates </w:t>
      </w:r>
      <w:r w:rsidR="00B404F3">
        <w:t xml:space="preserve">the effect of </w:t>
      </w:r>
      <w:proofErr w:type="spellStart"/>
      <w:r w:rsidR="00C85BF1" w:rsidRPr="00C85BF1">
        <w:rPr>
          <w:i/>
        </w:rPr>
        <w:t>Mendonca</w:t>
      </w:r>
      <w:proofErr w:type="spellEnd"/>
      <w:r w:rsidR="00C85BF1">
        <w:t xml:space="preserve"> and </w:t>
      </w:r>
      <w:proofErr w:type="spellStart"/>
      <w:r w:rsidR="00C85BF1" w:rsidRPr="00C85BF1">
        <w:rPr>
          <w:i/>
        </w:rPr>
        <w:t>Va</w:t>
      </w:r>
      <w:r w:rsidR="00A30CE0">
        <w:rPr>
          <w:i/>
        </w:rPr>
        <w:t>s</w:t>
      </w:r>
      <w:r w:rsidR="00C85BF1" w:rsidRPr="00C85BF1">
        <w:rPr>
          <w:i/>
        </w:rPr>
        <w:t>sis</w:t>
      </w:r>
      <w:proofErr w:type="spellEnd"/>
      <w:r w:rsidR="00C85BF1">
        <w:t xml:space="preserve">. However, that overstatement had no ultimate consequence. The judgments in </w:t>
      </w:r>
      <w:proofErr w:type="spellStart"/>
      <w:r w:rsidR="00C85BF1" w:rsidRPr="00C85BF1">
        <w:rPr>
          <w:i/>
        </w:rPr>
        <w:t>Theophile</w:t>
      </w:r>
      <w:proofErr w:type="spellEnd"/>
      <w:r w:rsidR="00C85BF1">
        <w:t>,</w:t>
      </w:r>
      <w:r w:rsidR="00B404F3">
        <w:t xml:space="preserve"> </w:t>
      </w:r>
      <w:r w:rsidR="00B404F3">
        <w:rPr>
          <w:i/>
        </w:rPr>
        <w:t>Bird,</w:t>
      </w:r>
      <w:r w:rsidR="00C85BF1" w:rsidRPr="00C85BF1">
        <w:rPr>
          <w:i/>
        </w:rPr>
        <w:t xml:space="preserve"> </w:t>
      </w:r>
      <w:proofErr w:type="spellStart"/>
      <w:r w:rsidR="00C85BF1" w:rsidRPr="00C85BF1">
        <w:rPr>
          <w:i/>
        </w:rPr>
        <w:t>Mendonca</w:t>
      </w:r>
      <w:proofErr w:type="spellEnd"/>
      <w:r w:rsidR="00C85BF1">
        <w:t xml:space="preserve"> and </w:t>
      </w:r>
      <w:proofErr w:type="spellStart"/>
      <w:r w:rsidR="00457E77" w:rsidRPr="00C85BF1">
        <w:rPr>
          <w:i/>
        </w:rPr>
        <w:t>Va</w:t>
      </w:r>
      <w:r w:rsidR="00A30CE0">
        <w:rPr>
          <w:i/>
        </w:rPr>
        <w:t>s</w:t>
      </w:r>
      <w:r w:rsidR="00457E77" w:rsidRPr="00C85BF1">
        <w:rPr>
          <w:i/>
        </w:rPr>
        <w:t>sis</w:t>
      </w:r>
      <w:proofErr w:type="spellEnd"/>
      <w:r w:rsidR="00457E77">
        <w:t xml:space="preserve"> </w:t>
      </w:r>
      <w:r w:rsidR="00C85BF1">
        <w:t xml:space="preserve">have a significance for the present case </w:t>
      </w:r>
      <w:r w:rsidR="00CD060F">
        <w:t xml:space="preserve">that </w:t>
      </w:r>
      <w:r w:rsidR="00C85BF1">
        <w:t>will be considered later in these reasons.</w:t>
      </w:r>
    </w:p>
    <w:p w14:paraId="27D9604C" w14:textId="77777777" w:rsidR="00C85BF1" w:rsidRDefault="00457E77" w:rsidP="00457E77">
      <w:pPr>
        <w:pStyle w:val="ParaNumbering"/>
      </w:pPr>
      <w:r>
        <w:t>The debtor’s second submission</w:t>
      </w:r>
      <w:r w:rsidR="00A47E3A">
        <w:t xml:space="preserve"> is</w:t>
      </w:r>
      <w:r>
        <w:t xml:space="preserve"> </w:t>
      </w:r>
      <w:r w:rsidR="00C85BF1">
        <w:t xml:space="preserve">that </w:t>
      </w:r>
      <w:r>
        <w:t>the primary judge erred in failing to find that s 43(1)(b)(iii) of the Act</w:t>
      </w:r>
      <w:r w:rsidRPr="00C85BF1">
        <w:t xml:space="preserve"> </w:t>
      </w:r>
      <w:r w:rsidR="00C85BF1" w:rsidRPr="00C85BF1">
        <w:t>requires a commercial enterprise in the nature of a going concern, that is, activities engaged in for the purpose of profit on a continuous and repetitive bas</w:t>
      </w:r>
      <w:r>
        <w:t>is in Australia. The debtor submits that there must be evidence of trading in Australia.</w:t>
      </w:r>
    </w:p>
    <w:p w14:paraId="27D9604D" w14:textId="77777777" w:rsidR="000E23AA" w:rsidRDefault="000E23AA" w:rsidP="000E23AA">
      <w:pPr>
        <w:pStyle w:val="ParaNumbering"/>
      </w:pPr>
      <w:r>
        <w:lastRenderedPageBreak/>
        <w:t>In response, the creditor submits that it is unnecessary that the whole of a</w:t>
      </w:r>
      <w:r w:rsidRPr="002F5DC4">
        <w:t xml:space="preserve"> business, or even </w:t>
      </w:r>
      <w:r>
        <w:t xml:space="preserve">a substantial </w:t>
      </w:r>
      <w:r w:rsidRPr="002F5DC4">
        <w:t xml:space="preserve">part of the business, </w:t>
      </w:r>
      <w:r>
        <w:t>be conducted</w:t>
      </w:r>
      <w:r w:rsidRPr="002F5DC4">
        <w:t xml:space="preserve"> in Australia. The creditor </w:t>
      </w:r>
      <w:r>
        <w:t xml:space="preserve">argues </w:t>
      </w:r>
      <w:r w:rsidRPr="002F5DC4">
        <w:t xml:space="preserve">that </w:t>
      </w:r>
      <w:r w:rsidR="000A5422">
        <w:t>all that is required</w:t>
      </w:r>
      <w:r w:rsidRPr="002F5DC4">
        <w:t xml:space="preserve"> is that some part of a business</w:t>
      </w:r>
      <w:r w:rsidR="00457E77">
        <w:t>, not necessarily</w:t>
      </w:r>
      <w:r w:rsidR="00767909">
        <w:t xml:space="preserve"> </w:t>
      </w:r>
      <w:r w:rsidR="00457E77">
        <w:t>direct trading activity,</w:t>
      </w:r>
      <w:r w:rsidRPr="002F5DC4">
        <w:t xml:space="preserve"> be carried on in Australia.</w:t>
      </w:r>
    </w:p>
    <w:p w14:paraId="27D9604E" w14:textId="77777777" w:rsidR="00DA2D1C" w:rsidRDefault="00DA2D1C" w:rsidP="00467EF4">
      <w:pPr>
        <w:pStyle w:val="ParaNumbering"/>
      </w:pPr>
      <w:r>
        <w:t>There is no authority that directly addresses the competing submissions in the context of</w:t>
      </w:r>
      <w:r w:rsidRPr="00DA2D1C">
        <w:t xml:space="preserve"> </w:t>
      </w:r>
      <w:r>
        <w:t xml:space="preserve">s 43(1)(b)(iii) of the Act, but assistance may be gained from cases </w:t>
      </w:r>
      <w:r w:rsidR="00EA7952">
        <w:t xml:space="preserve">that have considered </w:t>
      </w:r>
      <w:r w:rsidR="00D6209F">
        <w:t xml:space="preserve"> a similar </w:t>
      </w:r>
      <w:r w:rsidR="00EA7952">
        <w:t>phrase</w:t>
      </w:r>
      <w:r>
        <w:t xml:space="preserve"> </w:t>
      </w:r>
      <w:r w:rsidR="002F5DC4">
        <w:t>in statutory provisions that have a similar context</w:t>
      </w:r>
      <w:r>
        <w:t xml:space="preserve">.  </w:t>
      </w:r>
      <w:r w:rsidR="002F5DC4">
        <w:t xml:space="preserve">That context </w:t>
      </w:r>
      <w:r w:rsidR="00B45061">
        <w:t xml:space="preserve">is </w:t>
      </w:r>
      <w:r w:rsidR="00D6209F">
        <w:t>the foundation of a jurisdictional nexus</w:t>
      </w:r>
      <w:r w:rsidR="002F5DC4">
        <w:t xml:space="preserve">. </w:t>
      </w:r>
    </w:p>
    <w:p w14:paraId="27D9604F" w14:textId="77777777" w:rsidR="0071286E" w:rsidRPr="00E44813" w:rsidRDefault="000E567E" w:rsidP="0071286E">
      <w:pPr>
        <w:pStyle w:val="ParaNumbering"/>
      </w:pPr>
      <w:r w:rsidRPr="00E44813">
        <w:t xml:space="preserve">The debtor relies upon </w:t>
      </w:r>
      <w:r w:rsidR="0071286E" w:rsidRPr="0000266B">
        <w:rPr>
          <w:i/>
        </w:rPr>
        <w:t>Hope v Bathurst City Council</w:t>
      </w:r>
      <w:r w:rsidR="00266B6A" w:rsidRPr="0000266B">
        <w:t xml:space="preserve"> (1980) 144 CL</w:t>
      </w:r>
      <w:r w:rsidR="0071286E" w:rsidRPr="0000266B">
        <w:t>R 1</w:t>
      </w:r>
      <w:r w:rsidR="0071286E" w:rsidRPr="00E44813">
        <w:t xml:space="preserve">, where </w:t>
      </w:r>
      <w:r w:rsidRPr="00E44813">
        <w:t>Mason</w:t>
      </w:r>
      <w:r w:rsidR="007D39B0">
        <w:t> </w:t>
      </w:r>
      <w:r w:rsidRPr="00E44813">
        <w:t xml:space="preserve">J accepted </w:t>
      </w:r>
      <w:r w:rsidR="000F26D0">
        <w:t xml:space="preserve">at 8 </w:t>
      </w:r>
      <w:r w:rsidR="0071286E" w:rsidRPr="00E44813">
        <w:t xml:space="preserve">that the </w:t>
      </w:r>
      <w:r w:rsidRPr="00E44813">
        <w:t xml:space="preserve">dictionary </w:t>
      </w:r>
      <w:r w:rsidR="0071286E" w:rsidRPr="00E44813">
        <w:t xml:space="preserve">definition of </w:t>
      </w:r>
      <w:r w:rsidR="001C4BD8">
        <w:t>“</w:t>
      </w:r>
      <w:r w:rsidR="0071286E" w:rsidRPr="00E44813">
        <w:t>business</w:t>
      </w:r>
      <w:r w:rsidR="001C4BD8">
        <w:t>”</w:t>
      </w:r>
      <w:r w:rsidR="0071286E" w:rsidRPr="00E44813">
        <w:t xml:space="preserve"> which comes close</w:t>
      </w:r>
      <w:r w:rsidRPr="00E44813">
        <w:t xml:space="preserve">st to its popular meaning is, </w:t>
      </w:r>
      <w:r w:rsidR="001C4BD8">
        <w:t>“</w:t>
      </w:r>
      <w:r w:rsidR="0071286E" w:rsidRPr="00E44813">
        <w:t>a commercial enterprise as a going concern</w:t>
      </w:r>
      <w:r w:rsidR="007C6878">
        <w:t>”</w:t>
      </w:r>
      <w:r w:rsidR="0071286E" w:rsidRPr="00E44813">
        <w:t xml:space="preserve">. His Honour </w:t>
      </w:r>
      <w:r w:rsidRPr="00E44813">
        <w:t xml:space="preserve">considered </w:t>
      </w:r>
      <w:r w:rsidR="0071286E" w:rsidRPr="00E44813">
        <w:t xml:space="preserve">that, </w:t>
      </w:r>
      <w:r w:rsidR="001C4BD8">
        <w:t>“</w:t>
      </w:r>
      <w:r w:rsidR="0071286E" w:rsidRPr="00E44813">
        <w:t xml:space="preserve">it is the words </w:t>
      </w:r>
      <w:r w:rsidR="001C4BD8">
        <w:t>“</w:t>
      </w:r>
      <w:r w:rsidR="0071286E" w:rsidRPr="00E44813">
        <w:t>carrying on</w:t>
      </w:r>
      <w:r w:rsidR="001C4BD8">
        <w:t>”</w:t>
      </w:r>
      <w:r w:rsidR="0071286E" w:rsidRPr="00E44813">
        <w:t xml:space="preserve"> which imply the repetition of acts…and activities which possess something of a permanent character</w:t>
      </w:r>
      <w:r w:rsidR="001C4BD8">
        <w:t>”</w:t>
      </w:r>
      <w:r w:rsidR="007D39B0">
        <w:t xml:space="preserve">. </w:t>
      </w:r>
      <w:r w:rsidR="0071286E" w:rsidRPr="00E44813">
        <w:t xml:space="preserve"> </w:t>
      </w:r>
      <w:r w:rsidR="000F26D0">
        <w:t xml:space="preserve">In the context of s 118 of the </w:t>
      </w:r>
      <w:r w:rsidR="000F26D0" w:rsidRPr="00767909">
        <w:rPr>
          <w:i/>
        </w:rPr>
        <w:t>Local Government Act 1919</w:t>
      </w:r>
      <w:r w:rsidR="000F26D0">
        <w:t xml:space="preserve"> (NSW), </w:t>
      </w:r>
      <w:r w:rsidR="00767909">
        <w:t>h</w:t>
      </w:r>
      <w:r w:rsidR="00B45061">
        <w:t>is Honour held</w:t>
      </w:r>
      <w:r w:rsidR="00EA7952" w:rsidRPr="00E44813">
        <w:t xml:space="preserve"> </w:t>
      </w:r>
      <w:r w:rsidR="007C6878">
        <w:t xml:space="preserve">at 8-9 </w:t>
      </w:r>
      <w:r w:rsidR="000F26D0">
        <w:t xml:space="preserve">that “business” </w:t>
      </w:r>
      <w:r w:rsidR="00B45061">
        <w:t>denoted</w:t>
      </w:r>
      <w:r w:rsidRPr="00E44813">
        <w:t>,</w:t>
      </w:r>
      <w:r w:rsidR="0071286E" w:rsidRPr="00E44813">
        <w:t xml:space="preserve"> </w:t>
      </w:r>
      <w:r w:rsidR="001C4BD8">
        <w:t>“</w:t>
      </w:r>
      <w:r w:rsidR="0071286E" w:rsidRPr="00E44813">
        <w:t>activities undertaken as a commercial enterprise in the nature of a going concern, that is, activities engaged in for the purpose of profit on a continuous and repetitive basis</w:t>
      </w:r>
      <w:r w:rsidR="000F26D0">
        <w:t>”</w:t>
      </w:r>
      <w:r w:rsidR="0071286E" w:rsidRPr="00E44813">
        <w:t>.</w:t>
      </w:r>
    </w:p>
    <w:p w14:paraId="27D96050" w14:textId="77777777" w:rsidR="0071286E" w:rsidRDefault="0071286E" w:rsidP="0032449A">
      <w:pPr>
        <w:pStyle w:val="ParaNumbering"/>
        <w:rPr>
          <w:lang w:eastAsia="en-AU"/>
        </w:rPr>
      </w:pPr>
      <w:r>
        <w:t>In</w:t>
      </w:r>
      <w:r w:rsidR="00567B88">
        <w:t xml:space="preserve"> </w:t>
      </w:r>
      <w:r w:rsidR="00567B88" w:rsidRPr="0000266B">
        <w:rPr>
          <w:i/>
          <w:iCs/>
        </w:rPr>
        <w:t xml:space="preserve">Tiger Yacht Management Ltd v Morris </w:t>
      </w:r>
      <w:r w:rsidR="00567B88" w:rsidRPr="0000266B">
        <w:t>(2019) 268 FCR 548</w:t>
      </w:r>
      <w:r w:rsidR="00A47E3A">
        <w:t>,</w:t>
      </w:r>
      <w:r w:rsidR="0032449A">
        <w:t xml:space="preserve"> the Full Court considered the </w:t>
      </w:r>
      <w:r w:rsidR="00886D85">
        <w:t>meaning</w:t>
      </w:r>
      <w:r w:rsidR="0032449A">
        <w:t xml:space="preserve"> of </w:t>
      </w:r>
      <w:r w:rsidR="001C4BD8">
        <w:t>“</w:t>
      </w:r>
      <w:r w:rsidR="0032449A">
        <w:t>carrying on business in Australia</w:t>
      </w:r>
      <w:r w:rsidR="001C4BD8">
        <w:t>”</w:t>
      </w:r>
      <w:r w:rsidR="0032449A">
        <w:t xml:space="preserve"> in </w:t>
      </w:r>
      <w:r w:rsidR="0037662B">
        <w:t xml:space="preserve">r 10.42 </w:t>
      </w:r>
      <w:r w:rsidR="0032449A" w:rsidRPr="0000266B">
        <w:t xml:space="preserve">of the </w:t>
      </w:r>
      <w:r w:rsidR="0032449A" w:rsidRPr="0000266B">
        <w:rPr>
          <w:i/>
          <w:iCs/>
        </w:rPr>
        <w:t xml:space="preserve">Federal Court Rules 2011 </w:t>
      </w:r>
      <w:r w:rsidR="0032449A" w:rsidRPr="0000266B">
        <w:t>(</w:t>
      </w:r>
      <w:proofErr w:type="spellStart"/>
      <w:r w:rsidR="0032449A" w:rsidRPr="0000266B">
        <w:t>Cth</w:t>
      </w:r>
      <w:proofErr w:type="spellEnd"/>
      <w:r w:rsidR="0032449A" w:rsidRPr="0000266B">
        <w:t>)</w:t>
      </w:r>
      <w:r w:rsidR="0032449A">
        <w:t xml:space="preserve"> (</w:t>
      </w:r>
      <w:r w:rsidR="0032449A" w:rsidRPr="0032449A">
        <w:rPr>
          <w:b/>
          <w:bCs/>
        </w:rPr>
        <w:t>Rules</w:t>
      </w:r>
      <w:r w:rsidR="0032449A">
        <w:t>)</w:t>
      </w:r>
      <w:r w:rsidR="0037662B">
        <w:t xml:space="preserve">, for the purpose of r 10.43 of the Rules </w:t>
      </w:r>
      <w:r w:rsidR="0032449A">
        <w:t>which deals with service of an originating application in a foreign country. The Full Court observed</w:t>
      </w:r>
      <w:r>
        <w:t>:</w:t>
      </w:r>
    </w:p>
    <w:p w14:paraId="27D96051" w14:textId="77777777" w:rsidR="00DB0332" w:rsidRDefault="00DB0332" w:rsidP="00DB0332">
      <w:pPr>
        <w:pStyle w:val="Quote1"/>
        <w:ind w:left="1440" w:hanging="703"/>
      </w:pPr>
      <w:r>
        <w:t>50</w:t>
      </w:r>
      <w:r>
        <w:tab/>
        <w:t xml:space="preserve">The expression </w:t>
      </w:r>
      <w:r w:rsidR="001C4BD8">
        <w:t>“</w:t>
      </w:r>
      <w:r>
        <w:t>carrying on business</w:t>
      </w:r>
      <w:r w:rsidR="001C4BD8">
        <w:t>”</w:t>
      </w:r>
      <w:r>
        <w:t xml:space="preserve"> may have different meanings in different contexts: </w:t>
      </w:r>
      <w:proofErr w:type="spellStart"/>
      <w:r w:rsidRPr="00DB0332">
        <w:rPr>
          <w:i/>
        </w:rPr>
        <w:t>Luckins</w:t>
      </w:r>
      <w:proofErr w:type="spellEnd"/>
      <w:r w:rsidRPr="00DB0332">
        <w:rPr>
          <w:i/>
        </w:rPr>
        <w:t xml:space="preserve"> v Highway Motel (Carnarvon) Pty Ltd</w:t>
      </w:r>
      <w:r>
        <w:t xml:space="preserve"> (1975) 133 CLR 164 at 178 (Gibbs J). So, care must be taken to understand the context in which the requirement is being considered. However, when used to ensure a jurisdictional nexus as a matter of comity it will have a meaning informed by the requirement to ensure there is sufficient connection with the country asserting jurisdiction. It requires resort to the usual or ordinary meaning of the phrase and invites a factual inquiry. As the Court said in </w:t>
      </w:r>
      <w:r w:rsidRPr="00DB0332">
        <w:rPr>
          <w:i/>
        </w:rPr>
        <w:t>Anchorage Capital Partners Pty Ltd v ACPA Pty Ltd</w:t>
      </w:r>
      <w:r>
        <w:t xml:space="preserve"> (2018) 259 FCR 514 at [99]:</w:t>
      </w:r>
    </w:p>
    <w:p w14:paraId="27D96052" w14:textId="77777777" w:rsidR="00DB0332" w:rsidRDefault="00DB0332" w:rsidP="00DB0332">
      <w:pPr>
        <w:pStyle w:val="Quote3"/>
      </w:pPr>
      <w:r>
        <w:t xml:space="preserve">Whether a company is carrying on business in Australia is a question of fact: </w:t>
      </w:r>
      <w:proofErr w:type="spellStart"/>
      <w:r w:rsidRPr="00DB0332">
        <w:rPr>
          <w:i/>
        </w:rPr>
        <w:t>Luckins</w:t>
      </w:r>
      <w:proofErr w:type="spellEnd"/>
      <w:r w:rsidRPr="00DB0332">
        <w:rPr>
          <w:i/>
        </w:rPr>
        <w:t xml:space="preserve"> (Receiver &amp; Manager of Australian </w:t>
      </w:r>
      <w:proofErr w:type="spellStart"/>
      <w:r w:rsidRPr="00DB0332">
        <w:rPr>
          <w:i/>
        </w:rPr>
        <w:t>Trailways</w:t>
      </w:r>
      <w:proofErr w:type="spellEnd"/>
      <w:r w:rsidRPr="00DB0332">
        <w:rPr>
          <w:i/>
        </w:rPr>
        <w:t xml:space="preserve"> Pty Ltd) v Highway Motel (Carnarvon) Pty Ltd</w:t>
      </w:r>
      <w:r>
        <w:t xml:space="preserve"> (1975) 133 CLR 164 at 186. While it is correct to say that a company may be found to carry on business in Australia even though it does not maintain an office in Australia or the bulk of its business is carried on outside Australia, it does not follow that such a company will be found to carry on business in Australia merely because it has engaged in a small number of isolated transactions. Each case will depend on its own facts.</w:t>
      </w:r>
    </w:p>
    <w:p w14:paraId="27D96053" w14:textId="77777777" w:rsidR="00DB0332" w:rsidRDefault="00DB0332" w:rsidP="00DB0332">
      <w:pPr>
        <w:pStyle w:val="Quote1"/>
        <w:ind w:left="1440" w:hanging="703"/>
      </w:pPr>
      <w:r>
        <w:lastRenderedPageBreak/>
        <w:t>51</w:t>
      </w:r>
      <w:r>
        <w:tab/>
        <w:t xml:space="preserve">The activities must form a commercial enterprise: </w:t>
      </w:r>
      <w:r w:rsidRPr="00DB0332">
        <w:rPr>
          <w:i/>
        </w:rPr>
        <w:t>Australian Competition and Consumer Commission v Valve Corp</w:t>
      </w:r>
      <w:r w:rsidR="007C6878">
        <w:rPr>
          <w:i/>
        </w:rPr>
        <w:t>oration</w:t>
      </w:r>
      <w:r w:rsidRPr="00DB0332">
        <w:rPr>
          <w:i/>
        </w:rPr>
        <w:t xml:space="preserve"> (No 3)</w:t>
      </w:r>
      <w:r>
        <w:t xml:space="preserve"> </w:t>
      </w:r>
      <w:r w:rsidR="0037662B">
        <w:t xml:space="preserve">(2016) 337 ALR 647 </w:t>
      </w:r>
      <w:r>
        <w:t>at [197].</w:t>
      </w:r>
    </w:p>
    <w:p w14:paraId="27D96054" w14:textId="77777777" w:rsidR="000E567E" w:rsidRPr="007A65E2" w:rsidRDefault="00DB0332" w:rsidP="00DB0332">
      <w:pPr>
        <w:pStyle w:val="Quote1"/>
        <w:ind w:left="1440" w:hanging="703"/>
      </w:pPr>
      <w:r>
        <w:t>52</w:t>
      </w:r>
      <w:r>
        <w:tab/>
        <w:t xml:space="preserve">The words ‘carrying on’ imply the repetition of acts and activities which possess something of a permanent character: </w:t>
      </w:r>
      <w:r w:rsidRPr="00DB0332">
        <w:rPr>
          <w:i/>
        </w:rPr>
        <w:t>Hope v Bathurst City Council</w:t>
      </w:r>
      <w:r>
        <w:t xml:space="preserve"> (1980) 144 CLR 1 at 8 (Mason J). Participation in a single transaction or a number of isolated transactions will not satisfy this aspect.</w:t>
      </w:r>
    </w:p>
    <w:p w14:paraId="27D96055" w14:textId="77777777" w:rsidR="00DA2D1C" w:rsidRPr="00DA2D1C" w:rsidRDefault="006A4966" w:rsidP="00CA27DC">
      <w:pPr>
        <w:pStyle w:val="ParaNumbering"/>
      </w:pPr>
      <w:r>
        <w:t xml:space="preserve">In </w:t>
      </w:r>
      <w:r w:rsidR="00DA2D1C" w:rsidRPr="0000266B">
        <w:rPr>
          <w:i/>
          <w:iCs/>
        </w:rPr>
        <w:t xml:space="preserve">Australian Information Commissioner v Facebook </w:t>
      </w:r>
      <w:proofErr w:type="spellStart"/>
      <w:r w:rsidR="00DA2D1C" w:rsidRPr="0000266B">
        <w:rPr>
          <w:i/>
          <w:iCs/>
        </w:rPr>
        <w:t>Inc</w:t>
      </w:r>
      <w:proofErr w:type="spellEnd"/>
      <w:r w:rsidR="00DA2D1C" w:rsidRPr="0000266B">
        <w:rPr>
          <w:i/>
          <w:iCs/>
        </w:rPr>
        <w:t xml:space="preserve"> (No 2) </w:t>
      </w:r>
      <w:r w:rsidR="00567B88" w:rsidRPr="0000266B">
        <w:t>[2020] FCA 1307</w:t>
      </w:r>
      <w:r w:rsidR="00567B88">
        <w:t>, Thawley</w:t>
      </w:r>
      <w:r w:rsidR="00DA2D1C" w:rsidRPr="00DA2D1C">
        <w:t xml:space="preserve"> </w:t>
      </w:r>
      <w:r w:rsidR="00CD060F">
        <w:t xml:space="preserve">J </w:t>
      </w:r>
      <w:r w:rsidR="00DA2D1C" w:rsidRPr="00DA2D1C">
        <w:t xml:space="preserve">held the Commission had established a prima facie case that Facebook </w:t>
      </w:r>
      <w:proofErr w:type="spellStart"/>
      <w:r w:rsidR="00DA2D1C" w:rsidRPr="00DA2D1C">
        <w:t>Inc</w:t>
      </w:r>
      <w:proofErr w:type="spellEnd"/>
      <w:r w:rsidR="00DA2D1C" w:rsidRPr="00DA2D1C">
        <w:t xml:space="preserve"> carried on business in Austral</w:t>
      </w:r>
      <w:r w:rsidR="00075CE4">
        <w:t xml:space="preserve">ia within the meaning of </w:t>
      </w:r>
      <w:r w:rsidR="00075CE4" w:rsidRPr="0000266B">
        <w:t>s</w:t>
      </w:r>
      <w:r w:rsidR="00DA2D1C" w:rsidRPr="0000266B">
        <w:t xml:space="preserve"> 5B(3)(b) of the </w:t>
      </w:r>
      <w:r w:rsidR="00DA2D1C" w:rsidRPr="0000266B">
        <w:rPr>
          <w:i/>
        </w:rPr>
        <w:t>P</w:t>
      </w:r>
      <w:r w:rsidR="00DA2D1C" w:rsidRPr="0000266B">
        <w:rPr>
          <w:i/>
          <w:iCs/>
        </w:rPr>
        <w:t>rivacy Act 1988</w:t>
      </w:r>
      <w:r w:rsidR="006E307B" w:rsidRPr="0000266B">
        <w:rPr>
          <w:i/>
          <w:iCs/>
        </w:rPr>
        <w:t xml:space="preserve"> </w:t>
      </w:r>
      <w:r w:rsidR="006E307B" w:rsidRPr="0000266B">
        <w:rPr>
          <w:iCs/>
        </w:rPr>
        <w:t>(</w:t>
      </w:r>
      <w:proofErr w:type="spellStart"/>
      <w:r w:rsidR="006E307B" w:rsidRPr="0000266B">
        <w:rPr>
          <w:iCs/>
        </w:rPr>
        <w:t>Cth</w:t>
      </w:r>
      <w:proofErr w:type="spellEnd"/>
      <w:r w:rsidR="006E307B" w:rsidRPr="0000266B">
        <w:rPr>
          <w:iCs/>
        </w:rPr>
        <w:t>)</w:t>
      </w:r>
      <w:r w:rsidR="00DA2D1C" w:rsidRPr="00DA2D1C">
        <w:t>, by providing</w:t>
      </w:r>
      <w:r w:rsidR="00567B88">
        <w:t xml:space="preserve"> services to a subsidiary </w:t>
      </w:r>
      <w:r w:rsidR="00CA27DC">
        <w:t>by undertaking data processing activities</w:t>
      </w:r>
      <w:r w:rsidR="00767909">
        <w:t>,</w:t>
      </w:r>
      <w:r w:rsidR="00CA27DC">
        <w:t xml:space="preserve"> </w:t>
      </w:r>
      <w:r w:rsidR="00457E77">
        <w:t xml:space="preserve">including </w:t>
      </w:r>
      <w:r w:rsidR="00CA27DC">
        <w:t>operating cookies on the devices of users</w:t>
      </w:r>
      <w:r w:rsidR="00457E77" w:rsidRPr="00457E77">
        <w:t xml:space="preserve"> </w:t>
      </w:r>
      <w:r w:rsidR="00457E77" w:rsidRPr="00DA2D1C">
        <w:t>in Australia</w:t>
      </w:r>
      <w:r w:rsidR="00567B88">
        <w:t xml:space="preserve">. This was in circumstances where Facebook </w:t>
      </w:r>
      <w:proofErr w:type="spellStart"/>
      <w:r w:rsidR="00567B88">
        <w:t>Inc</w:t>
      </w:r>
      <w:proofErr w:type="spellEnd"/>
      <w:r w:rsidR="00567B88">
        <w:t xml:space="preserve"> carried out the bulk of its business overseas. </w:t>
      </w:r>
    </w:p>
    <w:p w14:paraId="27D96056" w14:textId="77777777" w:rsidR="00B526E3" w:rsidRPr="00DA2D1C" w:rsidRDefault="00B526E3" w:rsidP="00B526E3">
      <w:pPr>
        <w:pStyle w:val="ParaNumbering"/>
      </w:pPr>
      <w:r w:rsidRPr="00DA2D1C">
        <w:t xml:space="preserve">In </w:t>
      </w:r>
      <w:r>
        <w:rPr>
          <w:i/>
        </w:rPr>
        <w:t xml:space="preserve">Re Application of Campbell; </w:t>
      </w:r>
      <w:proofErr w:type="spellStart"/>
      <w:r w:rsidRPr="0000266B">
        <w:rPr>
          <w:i/>
          <w:iCs/>
        </w:rPr>
        <w:t>Gebo</w:t>
      </w:r>
      <w:proofErr w:type="spellEnd"/>
      <w:r w:rsidRPr="0000266B">
        <w:rPr>
          <w:i/>
          <w:iCs/>
        </w:rPr>
        <w:t xml:space="preserve"> </w:t>
      </w:r>
      <w:r>
        <w:rPr>
          <w:i/>
          <w:iCs/>
        </w:rPr>
        <w:t xml:space="preserve">Investments (Labuan) Ltd </w:t>
      </w:r>
      <w:r w:rsidRPr="0000266B">
        <w:rPr>
          <w:i/>
          <w:iCs/>
        </w:rPr>
        <w:t>v Signatory Investments</w:t>
      </w:r>
      <w:r>
        <w:rPr>
          <w:i/>
          <w:iCs/>
        </w:rPr>
        <w:t xml:space="preserve"> Pty Ltd</w:t>
      </w:r>
      <w:r w:rsidRPr="0000266B">
        <w:rPr>
          <w:i/>
          <w:iCs/>
        </w:rPr>
        <w:t xml:space="preserve"> </w:t>
      </w:r>
      <w:r w:rsidRPr="0000266B">
        <w:t>(2005) 54 ACSR 111</w:t>
      </w:r>
      <w:r>
        <w:t xml:space="preserve">, Barrett J, considering </w:t>
      </w:r>
      <w:r w:rsidRPr="0000266B">
        <w:t xml:space="preserve">s 21(2) of the </w:t>
      </w:r>
      <w:r w:rsidRPr="0000266B">
        <w:rPr>
          <w:i/>
        </w:rPr>
        <w:t xml:space="preserve">Corporations Act 2001 </w:t>
      </w:r>
      <w:r w:rsidRPr="0000266B">
        <w:t>(</w:t>
      </w:r>
      <w:proofErr w:type="spellStart"/>
      <w:r w:rsidRPr="0000266B">
        <w:t>Cth</w:t>
      </w:r>
      <w:proofErr w:type="spellEnd"/>
      <w:r w:rsidRPr="0000266B">
        <w:t>)</w:t>
      </w:r>
      <w:r>
        <w:t>, stated at [31]:</w:t>
      </w:r>
    </w:p>
    <w:p w14:paraId="27D96057" w14:textId="77777777" w:rsidR="00B526E3" w:rsidRPr="005A5688" w:rsidRDefault="00B526E3" w:rsidP="00B526E3">
      <w:pPr>
        <w:pStyle w:val="Quote1"/>
        <w:rPr>
          <w:highlight w:val="yellow"/>
        </w:rPr>
      </w:pPr>
      <w:r w:rsidRPr="00A80E0E">
        <w:t>Case law makes it clear that the territorial concept of carrying on business involves acts within the relevant territory that amount to or are ancillary to transactions that make up or support the business.</w:t>
      </w:r>
    </w:p>
    <w:p w14:paraId="27D96058" w14:textId="77777777" w:rsidR="00B526E3" w:rsidRDefault="00B526E3" w:rsidP="00B526E3">
      <w:pPr>
        <w:pStyle w:val="NoNum"/>
      </w:pPr>
      <w:r w:rsidRPr="00B11146">
        <w:t xml:space="preserve">This passage was approved by the Full Court of the Federal Court in </w:t>
      </w:r>
      <w:r w:rsidRPr="0000266B">
        <w:rPr>
          <w:i/>
        </w:rPr>
        <w:t>Valve Corporation v Australian Competition and Consumer Commission</w:t>
      </w:r>
      <w:r w:rsidRPr="0000266B">
        <w:t xml:space="preserve"> (2017) 258 FCR 190</w:t>
      </w:r>
      <w:r w:rsidRPr="00B11146">
        <w:t xml:space="preserve"> at [149].</w:t>
      </w:r>
      <w:r>
        <w:t xml:space="preserve"> </w:t>
      </w:r>
    </w:p>
    <w:p w14:paraId="27D96059" w14:textId="77777777" w:rsidR="00521A02" w:rsidRPr="00B526E3" w:rsidRDefault="00521A02" w:rsidP="00B526E3">
      <w:pPr>
        <w:pStyle w:val="ParaNumbering"/>
      </w:pPr>
      <w:r>
        <w:t>I</w:t>
      </w:r>
      <w:r w:rsidRPr="00A80E0E">
        <w:t xml:space="preserve">n </w:t>
      </w:r>
      <w:r w:rsidRPr="00B526E3">
        <w:rPr>
          <w:i/>
        </w:rPr>
        <w:t xml:space="preserve">Smith (on behalf of National Parks and Wildlife Service) v </w:t>
      </w:r>
      <w:proofErr w:type="spellStart"/>
      <w:r w:rsidRPr="00B526E3">
        <w:rPr>
          <w:i/>
        </w:rPr>
        <w:t>Capewell</w:t>
      </w:r>
      <w:proofErr w:type="spellEnd"/>
      <w:r w:rsidRPr="0000266B">
        <w:t xml:space="preserve"> (1979) 142 CLR 509</w:t>
      </w:r>
      <w:r w:rsidR="009D31AC">
        <w:t xml:space="preserve">, the </w:t>
      </w:r>
      <w:r w:rsidR="009E3502">
        <w:t>defendant</w:t>
      </w:r>
      <w:r w:rsidR="009D31AC">
        <w:t xml:space="preserve"> was charged with a breach of s 105(a) of the </w:t>
      </w:r>
      <w:r w:rsidR="009D31AC" w:rsidRPr="00B526E3">
        <w:rPr>
          <w:i/>
        </w:rPr>
        <w:t xml:space="preserve">National Parks and Wildlife Act 1974 </w:t>
      </w:r>
      <w:r w:rsidR="009D31AC">
        <w:t>(NSW)</w:t>
      </w:r>
      <w:r w:rsidR="009E3502">
        <w:t xml:space="preserve">, </w:t>
      </w:r>
      <w:r w:rsidR="009D31AC">
        <w:t>which provided that</w:t>
      </w:r>
      <w:r w:rsidR="0085571F">
        <w:t>,</w:t>
      </w:r>
      <w:r w:rsidR="009D31AC">
        <w:t xml:space="preserve"> “a person shall not exercise or carry on…the business of a skin dealer” unless properly licenced.</w:t>
      </w:r>
      <w:r w:rsidR="009E3502" w:rsidRPr="009E3502">
        <w:t xml:space="preserve"> </w:t>
      </w:r>
      <w:r w:rsidR="000A5422">
        <w:t xml:space="preserve">Justice </w:t>
      </w:r>
      <w:r w:rsidR="00767909">
        <w:t>Gibbs held at 519</w:t>
      </w:r>
      <w:r w:rsidR="009E3502">
        <w:t>:</w:t>
      </w:r>
      <w:r w:rsidR="00767909">
        <w:t xml:space="preserve"> </w:t>
      </w:r>
    </w:p>
    <w:p w14:paraId="27D9605A" w14:textId="77777777" w:rsidR="00521A02" w:rsidRPr="00BA01B3" w:rsidRDefault="00FE5947" w:rsidP="00A27597">
      <w:pPr>
        <w:pStyle w:val="Quote1"/>
        <w:keepNext/>
        <w:keepLines/>
        <w:rPr>
          <w:lang w:eastAsia="en-AU"/>
        </w:rPr>
      </w:pPr>
      <w:r w:rsidRPr="00FE5947">
        <w:rPr>
          <w:lang w:eastAsia="en-AU"/>
        </w:rPr>
        <w:t xml:space="preserve">It seems clear that a solitary transaction of sale or purchase of skins in New South Wales will only constitute an offence against s 105(a) of the Act, if </w:t>
      </w:r>
      <w:r w:rsidRPr="008722F2">
        <w:rPr>
          <w:lang w:eastAsia="en-AU"/>
        </w:rPr>
        <w:t>the sale o</w:t>
      </w:r>
      <w:r w:rsidR="008C694E" w:rsidRPr="008722F2">
        <w:rPr>
          <w:lang w:eastAsia="en-AU"/>
        </w:rPr>
        <w:t xml:space="preserve">f </w:t>
      </w:r>
      <w:r w:rsidR="00F90D70" w:rsidRPr="008722F2">
        <w:rPr>
          <w:lang w:eastAsia="en-AU"/>
        </w:rPr>
        <w:t>(sic</w:t>
      </w:r>
      <w:r w:rsidR="00F90D70">
        <w:rPr>
          <w:lang w:eastAsia="en-AU"/>
        </w:rPr>
        <w:t xml:space="preserve">) </w:t>
      </w:r>
      <w:r w:rsidRPr="00FE5947">
        <w:rPr>
          <w:lang w:eastAsia="en-AU"/>
        </w:rPr>
        <w:t>purchase has been made by the defendant with the intention that it shall be the first of several transactions in a business which he thereby commences to carry on, or if it has been made in the course of a business which the defendant is carrying on elsewhere.</w:t>
      </w:r>
    </w:p>
    <w:p w14:paraId="27D9605B" w14:textId="77777777" w:rsidR="00A80E0E" w:rsidRPr="00521A02" w:rsidRDefault="00CA27DC" w:rsidP="00521A02">
      <w:pPr>
        <w:pStyle w:val="ParaNumbering"/>
      </w:pPr>
      <w:r>
        <w:t xml:space="preserve">In </w:t>
      </w:r>
      <w:proofErr w:type="spellStart"/>
      <w:r w:rsidRPr="00CA27DC">
        <w:rPr>
          <w:i/>
        </w:rPr>
        <w:t>Gebo</w:t>
      </w:r>
      <w:proofErr w:type="spellEnd"/>
      <w:r w:rsidR="00521A02">
        <w:t xml:space="preserve">, </w:t>
      </w:r>
      <w:r>
        <w:t>Barrett J</w:t>
      </w:r>
      <w:r w:rsidR="00521A02">
        <w:t>,</w:t>
      </w:r>
      <w:r>
        <w:t xml:space="preserve"> </w:t>
      </w:r>
      <w:r w:rsidR="00521A02">
        <w:t>referring to the las</w:t>
      </w:r>
      <w:r w:rsidR="00755EE6">
        <w:t>t</w:t>
      </w:r>
      <w:r w:rsidR="00521A02">
        <w:t xml:space="preserve"> part of this passage, </w:t>
      </w:r>
      <w:r w:rsidR="00A80E0E" w:rsidRPr="00A80E0E">
        <w:t>concluded at [39]:</w:t>
      </w:r>
    </w:p>
    <w:p w14:paraId="27D9605C" w14:textId="77777777" w:rsidR="00DA2D1C" w:rsidRPr="00A80E0E" w:rsidRDefault="00A80E0E" w:rsidP="00A80E0E">
      <w:pPr>
        <w:pStyle w:val="Quote1"/>
      </w:pPr>
      <w:r w:rsidRPr="00A80E0E">
        <w:t xml:space="preserve">…a company may be found to be carrying on business </w:t>
      </w:r>
      <w:r w:rsidR="001C4BD8">
        <w:t>“</w:t>
      </w:r>
      <w:r w:rsidRPr="00A80E0E">
        <w:t>in</w:t>
      </w:r>
      <w:r w:rsidR="001C4BD8">
        <w:t>”</w:t>
      </w:r>
      <w:r w:rsidRPr="00A80E0E">
        <w:t xml:space="preserve"> a particular geographic area even though the bulk of its business is conducted elsewhere.</w:t>
      </w:r>
    </w:p>
    <w:p w14:paraId="27D9605D" w14:textId="77777777" w:rsidR="00A47E3A" w:rsidRPr="00DA2D1C" w:rsidRDefault="00A47E3A" w:rsidP="00A27597">
      <w:pPr>
        <w:pStyle w:val="ParaNumbering"/>
      </w:pPr>
      <w:r w:rsidRPr="00DA2D1C">
        <w:t xml:space="preserve">In </w:t>
      </w:r>
      <w:r w:rsidR="008C694E">
        <w:rPr>
          <w:i/>
        </w:rPr>
        <w:t xml:space="preserve">Re </w:t>
      </w:r>
      <w:r w:rsidRPr="0000266B">
        <w:rPr>
          <w:i/>
        </w:rPr>
        <w:t xml:space="preserve">TCL </w:t>
      </w:r>
      <w:proofErr w:type="spellStart"/>
      <w:r w:rsidRPr="0000266B">
        <w:rPr>
          <w:i/>
        </w:rPr>
        <w:t>Airconditioner</w:t>
      </w:r>
      <w:proofErr w:type="spellEnd"/>
      <w:r w:rsidRPr="0000266B">
        <w:rPr>
          <w:i/>
        </w:rPr>
        <w:t xml:space="preserve"> (</w:t>
      </w:r>
      <w:proofErr w:type="spellStart"/>
      <w:r w:rsidRPr="0000266B">
        <w:rPr>
          <w:i/>
        </w:rPr>
        <w:t>Zhongshan</w:t>
      </w:r>
      <w:proofErr w:type="spellEnd"/>
      <w:r w:rsidRPr="0000266B">
        <w:rPr>
          <w:i/>
        </w:rPr>
        <w:t>) Co Ltd v Castel Electronics Pty Ltd (No 2)</w:t>
      </w:r>
      <w:r w:rsidRPr="0000266B">
        <w:t xml:space="preserve"> (2019) 369 ALR 192</w:t>
      </w:r>
      <w:r w:rsidR="00767909">
        <w:t xml:space="preserve">, McKerracher J, also considering s 21(2) of the </w:t>
      </w:r>
      <w:r w:rsidR="00767909" w:rsidRPr="00767909">
        <w:rPr>
          <w:i/>
        </w:rPr>
        <w:t>Corporations Act</w:t>
      </w:r>
      <w:r w:rsidR="00767909">
        <w:t xml:space="preserve">, </w:t>
      </w:r>
      <w:r>
        <w:t>observed at [19]:</w:t>
      </w:r>
    </w:p>
    <w:p w14:paraId="27D9605E" w14:textId="77777777" w:rsidR="00450DA9" w:rsidRDefault="00450DA9" w:rsidP="00A27597">
      <w:pPr>
        <w:pStyle w:val="Quote1"/>
      </w:pPr>
      <w:r w:rsidRPr="00450DA9">
        <w:lastRenderedPageBreak/>
        <w:t xml:space="preserve">It was held a considerable time ago that carrying on business generally connotes a commercial enterprise conducted systematically and regularly with a view to profit or a succession of acts designed to advance some enterprise of the company pursued with the view to pecuniary gain: </w:t>
      </w:r>
      <w:r w:rsidRPr="00450DA9">
        <w:rPr>
          <w:i/>
        </w:rPr>
        <w:t>Hyde v Sullivan</w:t>
      </w:r>
      <w:r w:rsidRPr="00450DA9">
        <w:t xml:space="preserve"> (1955) 56 SR (NSW) 113 at 119. But as Barrett J emphasised in </w:t>
      </w:r>
      <w:proofErr w:type="spellStart"/>
      <w:r w:rsidRPr="00450DA9">
        <w:rPr>
          <w:i/>
        </w:rPr>
        <w:t>Gebo</w:t>
      </w:r>
      <w:proofErr w:type="spellEnd"/>
      <w:r w:rsidRPr="00450DA9">
        <w:t xml:space="preserve">, it is not necessary for the purposes of Pt 5.7 that the company in question engages in a series of acts within Australia. Particularly, in modern times, a company may be found to be carrying on business in Australia even though the bulk of its business is conducted elsewhere. This, indeed, has long been the case: see, for example, </w:t>
      </w:r>
      <w:r w:rsidRPr="00450DA9">
        <w:rPr>
          <w:i/>
        </w:rPr>
        <w:t xml:space="preserve">Dunlop Pneumatic Tyre Co Ltd v </w:t>
      </w:r>
      <w:proofErr w:type="spellStart"/>
      <w:r w:rsidRPr="00450DA9">
        <w:rPr>
          <w:i/>
        </w:rPr>
        <w:t>Aktien-Gesellschaft</w:t>
      </w:r>
      <w:proofErr w:type="spellEnd"/>
      <w:r w:rsidRPr="00450DA9">
        <w:rPr>
          <w:i/>
        </w:rPr>
        <w:t xml:space="preserve"> Fur Motor Und </w:t>
      </w:r>
      <w:proofErr w:type="spellStart"/>
      <w:r w:rsidRPr="00450DA9">
        <w:rPr>
          <w:i/>
        </w:rPr>
        <w:t>Motorfahrzeugbau</w:t>
      </w:r>
      <w:proofErr w:type="spellEnd"/>
      <w:r w:rsidRPr="00450DA9">
        <w:rPr>
          <w:i/>
        </w:rPr>
        <w:t xml:space="preserve"> </w:t>
      </w:r>
      <w:proofErr w:type="spellStart"/>
      <w:r w:rsidRPr="00450DA9">
        <w:rPr>
          <w:i/>
        </w:rPr>
        <w:t>Vorm</w:t>
      </w:r>
      <w:proofErr w:type="spellEnd"/>
      <w:r w:rsidRPr="00450DA9">
        <w:rPr>
          <w:i/>
        </w:rPr>
        <w:t xml:space="preserve"> </w:t>
      </w:r>
      <w:proofErr w:type="spellStart"/>
      <w:r w:rsidRPr="00450DA9">
        <w:rPr>
          <w:i/>
        </w:rPr>
        <w:t>Cudell</w:t>
      </w:r>
      <w:proofErr w:type="spellEnd"/>
      <w:r w:rsidRPr="00450DA9">
        <w:rPr>
          <w:i/>
        </w:rPr>
        <w:t xml:space="preserve"> &amp; Co</w:t>
      </w:r>
      <w:r w:rsidRPr="00450DA9">
        <w:t xml:space="preserve"> [1902] 1 KB 342; [1900-3] All ER Rep 195.</w:t>
      </w:r>
    </w:p>
    <w:p w14:paraId="27D9605F" w14:textId="77777777" w:rsidR="00755EE6" w:rsidRPr="00755EE6" w:rsidRDefault="00755EE6" w:rsidP="00521A02">
      <w:pPr>
        <w:pStyle w:val="ParaNumbering"/>
      </w:pPr>
      <w:r>
        <w:t xml:space="preserve">In </w:t>
      </w:r>
      <w:proofErr w:type="spellStart"/>
      <w:r w:rsidRPr="00C85BF1">
        <w:rPr>
          <w:i/>
        </w:rPr>
        <w:t>Theophile</w:t>
      </w:r>
      <w:proofErr w:type="spellEnd"/>
      <w:r>
        <w:t xml:space="preserve">, </w:t>
      </w:r>
      <w:r>
        <w:rPr>
          <w:i/>
        </w:rPr>
        <w:t>Bird,</w:t>
      </w:r>
      <w:r w:rsidRPr="00C85BF1">
        <w:rPr>
          <w:i/>
        </w:rPr>
        <w:t xml:space="preserve"> </w:t>
      </w:r>
      <w:proofErr w:type="spellStart"/>
      <w:r w:rsidRPr="00C85BF1">
        <w:rPr>
          <w:i/>
        </w:rPr>
        <w:t>Mendonca</w:t>
      </w:r>
      <w:proofErr w:type="spellEnd"/>
      <w:r>
        <w:t xml:space="preserve"> and </w:t>
      </w:r>
      <w:proofErr w:type="spellStart"/>
      <w:r w:rsidRPr="00C85BF1">
        <w:rPr>
          <w:i/>
        </w:rPr>
        <w:t>Va</w:t>
      </w:r>
      <w:r w:rsidR="00F90D70">
        <w:rPr>
          <w:i/>
        </w:rPr>
        <w:t>s</w:t>
      </w:r>
      <w:r w:rsidRPr="00C85BF1">
        <w:rPr>
          <w:i/>
        </w:rPr>
        <w:t>sis</w:t>
      </w:r>
      <w:proofErr w:type="spellEnd"/>
      <w:r>
        <w:t xml:space="preserve">, it was </w:t>
      </w:r>
      <w:r w:rsidR="00257D3E">
        <w:t xml:space="preserve">held </w:t>
      </w:r>
      <w:r>
        <w:t>that</w:t>
      </w:r>
      <w:r w:rsidR="00257D3E" w:rsidRPr="00257D3E">
        <w:t xml:space="preserve"> </w:t>
      </w:r>
      <w:r>
        <w:t xml:space="preserve">a </w:t>
      </w:r>
      <w:r w:rsidR="00094EF0">
        <w:t xml:space="preserve">person </w:t>
      </w:r>
      <w:r w:rsidR="00A66C43">
        <w:t xml:space="preserve">carries </w:t>
      </w:r>
      <w:r>
        <w:t>on</w:t>
      </w:r>
      <w:r w:rsidR="00A47E3A">
        <w:t xml:space="preserve"> business </w:t>
      </w:r>
      <w:r w:rsidR="0085571F">
        <w:t>during the process of a</w:t>
      </w:r>
      <w:r w:rsidR="00257D3E">
        <w:t xml:space="preserve"> business</w:t>
      </w:r>
      <w:r w:rsidR="00A47E3A">
        <w:t xml:space="preserve"> </w:t>
      </w:r>
      <w:r w:rsidR="00094EF0">
        <w:t xml:space="preserve">being wound </w:t>
      </w:r>
      <w:r>
        <w:t>up</w:t>
      </w:r>
      <w:r w:rsidR="00C8407B">
        <w:t xml:space="preserve"> and repaying it</w:t>
      </w:r>
      <w:r w:rsidR="00CD060F">
        <w:t>s</w:t>
      </w:r>
      <w:r w:rsidR="00C8407B">
        <w:t xml:space="preserve"> debts</w:t>
      </w:r>
      <w:r w:rsidR="00257D3E">
        <w:t>, even</w:t>
      </w:r>
      <w:r w:rsidR="00037F47">
        <w:t xml:space="preserve"> though the</w:t>
      </w:r>
      <w:r w:rsidR="00257D3E">
        <w:t xml:space="preserve"> business has ceased </w:t>
      </w:r>
      <w:r w:rsidR="00037F47">
        <w:t>to actually trade</w:t>
      </w:r>
      <w:r w:rsidR="00257D3E">
        <w:t>.</w:t>
      </w:r>
    </w:p>
    <w:p w14:paraId="27D96060" w14:textId="77777777" w:rsidR="00821841" w:rsidRDefault="003C575F" w:rsidP="00821841">
      <w:pPr>
        <w:pStyle w:val="ParaNumbering"/>
      </w:pPr>
      <w:r w:rsidRPr="00E44813">
        <w:rPr>
          <w:lang w:eastAsia="en-AU"/>
        </w:rPr>
        <w:t xml:space="preserve">In </w:t>
      </w:r>
      <w:proofErr w:type="spellStart"/>
      <w:r w:rsidRPr="0000266B">
        <w:rPr>
          <w:i/>
          <w:lang w:eastAsia="en-AU"/>
        </w:rPr>
        <w:t>Actiesselskabet</w:t>
      </w:r>
      <w:proofErr w:type="spellEnd"/>
      <w:r w:rsidRPr="0000266B">
        <w:rPr>
          <w:i/>
          <w:lang w:eastAsia="en-AU"/>
        </w:rPr>
        <w:t xml:space="preserve"> </w:t>
      </w:r>
      <w:proofErr w:type="spellStart"/>
      <w:r w:rsidRPr="0000266B">
        <w:rPr>
          <w:i/>
          <w:lang w:eastAsia="en-AU"/>
        </w:rPr>
        <w:t>Dampskib</w:t>
      </w:r>
      <w:proofErr w:type="spellEnd"/>
      <w:r w:rsidRPr="0000266B">
        <w:rPr>
          <w:i/>
          <w:lang w:eastAsia="en-AU"/>
        </w:rPr>
        <w:t xml:space="preserve"> </w:t>
      </w:r>
      <w:r w:rsidR="001C4BD8" w:rsidRPr="0000266B">
        <w:rPr>
          <w:i/>
          <w:lang w:eastAsia="en-AU"/>
        </w:rPr>
        <w:t>“</w:t>
      </w:r>
      <w:r w:rsidRPr="0000266B">
        <w:rPr>
          <w:i/>
          <w:lang w:eastAsia="en-AU"/>
        </w:rPr>
        <w:t>Hercules</w:t>
      </w:r>
      <w:r w:rsidR="001C4BD8" w:rsidRPr="0000266B">
        <w:rPr>
          <w:i/>
          <w:lang w:eastAsia="en-AU"/>
        </w:rPr>
        <w:t>”</w:t>
      </w:r>
      <w:r w:rsidRPr="0000266B">
        <w:rPr>
          <w:i/>
          <w:lang w:eastAsia="en-AU"/>
        </w:rPr>
        <w:t xml:space="preserve"> v Grand Trunk Pacific Railway Co</w:t>
      </w:r>
      <w:r w:rsidR="008C694E">
        <w:rPr>
          <w:i/>
          <w:lang w:eastAsia="en-AU"/>
        </w:rPr>
        <w:t>mpany</w:t>
      </w:r>
      <w:r w:rsidRPr="0000266B">
        <w:rPr>
          <w:lang w:eastAsia="en-AU"/>
        </w:rPr>
        <w:t xml:space="preserve"> [1912] 1 KB 222</w:t>
      </w:r>
      <w:r w:rsidRPr="00E44813">
        <w:rPr>
          <w:lang w:eastAsia="en-AU"/>
        </w:rPr>
        <w:t xml:space="preserve">, </w:t>
      </w:r>
      <w:r w:rsidR="00521A02" w:rsidRPr="00E44813">
        <w:t xml:space="preserve">the </w:t>
      </w:r>
      <w:r w:rsidR="00521A02" w:rsidRPr="00E44813">
        <w:rPr>
          <w:lang w:eastAsia="en-AU"/>
        </w:rPr>
        <w:t>defendant was</w:t>
      </w:r>
      <w:r w:rsidR="00094EF0" w:rsidRPr="00E44813">
        <w:rPr>
          <w:lang w:eastAsia="en-AU"/>
        </w:rPr>
        <w:t xml:space="preserve"> a company</w:t>
      </w:r>
      <w:r w:rsidR="00521A02" w:rsidRPr="00E44813">
        <w:rPr>
          <w:lang w:eastAsia="en-AU"/>
        </w:rPr>
        <w:t xml:space="preserve"> engaged in the construction </w:t>
      </w:r>
      <w:r w:rsidR="000A4ABD">
        <w:rPr>
          <w:lang w:eastAsia="en-AU"/>
        </w:rPr>
        <w:t xml:space="preserve">of </w:t>
      </w:r>
      <w:r w:rsidR="00521A02" w:rsidRPr="00E44813">
        <w:rPr>
          <w:lang w:eastAsia="en-AU"/>
        </w:rPr>
        <w:t>a railway in Canada</w:t>
      </w:r>
      <w:r w:rsidR="00094EF0" w:rsidRPr="00E44813">
        <w:rPr>
          <w:lang w:eastAsia="en-AU"/>
        </w:rPr>
        <w:t>. Four of its</w:t>
      </w:r>
      <w:r w:rsidR="00521A02" w:rsidRPr="00E44813">
        <w:rPr>
          <w:lang w:eastAsia="en-AU"/>
        </w:rPr>
        <w:t xml:space="preserve"> direc</w:t>
      </w:r>
      <w:r w:rsidR="00094EF0" w:rsidRPr="00E44813">
        <w:rPr>
          <w:lang w:eastAsia="en-AU"/>
        </w:rPr>
        <w:t>tors</w:t>
      </w:r>
      <w:r w:rsidR="00521A02" w:rsidRPr="00E44813">
        <w:rPr>
          <w:lang w:eastAsia="en-AU"/>
        </w:rPr>
        <w:t xml:space="preserve"> resided in London and formed a</w:t>
      </w:r>
      <w:r w:rsidR="00094EF0" w:rsidRPr="00E44813">
        <w:rPr>
          <w:lang w:eastAsia="en-AU"/>
        </w:rPr>
        <w:t xml:space="preserve"> committee which </w:t>
      </w:r>
      <w:r w:rsidR="008D51AD" w:rsidRPr="00E44813">
        <w:rPr>
          <w:lang w:eastAsia="en-AU"/>
        </w:rPr>
        <w:t xml:space="preserve">raised </w:t>
      </w:r>
      <w:r w:rsidR="00521A02" w:rsidRPr="00E44813">
        <w:rPr>
          <w:lang w:eastAsia="en-AU"/>
        </w:rPr>
        <w:t xml:space="preserve">loan capital to be used for </w:t>
      </w:r>
      <w:r w:rsidR="008D51AD" w:rsidRPr="00E44813">
        <w:rPr>
          <w:lang w:eastAsia="en-AU"/>
        </w:rPr>
        <w:t>t</w:t>
      </w:r>
      <w:r w:rsidR="00094EF0" w:rsidRPr="00E44813">
        <w:rPr>
          <w:lang w:eastAsia="en-AU"/>
        </w:rPr>
        <w:t xml:space="preserve">he construction of the railway. The money raised </w:t>
      </w:r>
      <w:r w:rsidR="008D51AD" w:rsidRPr="00E44813">
        <w:rPr>
          <w:lang w:eastAsia="en-AU"/>
        </w:rPr>
        <w:t>was paid in</w:t>
      </w:r>
      <w:r w:rsidR="00A47E3A" w:rsidRPr="00E44813">
        <w:rPr>
          <w:lang w:eastAsia="en-AU"/>
        </w:rPr>
        <w:t>to a bank</w:t>
      </w:r>
      <w:r w:rsidR="008D51AD" w:rsidRPr="00E44813">
        <w:rPr>
          <w:lang w:eastAsia="en-AU"/>
        </w:rPr>
        <w:t xml:space="preserve"> account </w:t>
      </w:r>
      <w:r w:rsidR="00094EF0" w:rsidRPr="00E44813">
        <w:rPr>
          <w:lang w:eastAsia="en-AU"/>
        </w:rPr>
        <w:t xml:space="preserve">in </w:t>
      </w:r>
      <w:r w:rsidR="008D51AD" w:rsidRPr="00E44813">
        <w:rPr>
          <w:lang w:eastAsia="en-AU"/>
        </w:rPr>
        <w:t xml:space="preserve">London and then remitted to Canada. </w:t>
      </w:r>
      <w:r w:rsidR="00521A02" w:rsidRPr="00E44813">
        <w:rPr>
          <w:lang w:eastAsia="en-AU"/>
        </w:rPr>
        <w:t>The committee had a secretary and staff</w:t>
      </w:r>
      <w:r w:rsidR="008D51AD" w:rsidRPr="00E44813">
        <w:rPr>
          <w:lang w:eastAsia="en-AU"/>
        </w:rPr>
        <w:t xml:space="preserve"> and met at</w:t>
      </w:r>
      <w:r w:rsidR="00521A02" w:rsidRPr="00E44813">
        <w:rPr>
          <w:lang w:eastAsia="en-AU"/>
        </w:rPr>
        <w:t xml:space="preserve"> </w:t>
      </w:r>
      <w:r w:rsidR="00CD060F" w:rsidRPr="00E44813">
        <w:rPr>
          <w:lang w:eastAsia="en-AU"/>
        </w:rPr>
        <w:t xml:space="preserve">an </w:t>
      </w:r>
      <w:r w:rsidR="00521A02" w:rsidRPr="00E44813">
        <w:rPr>
          <w:lang w:eastAsia="en-AU"/>
        </w:rPr>
        <w:t xml:space="preserve">office in </w:t>
      </w:r>
      <w:r w:rsidR="008D51AD" w:rsidRPr="00E44813">
        <w:rPr>
          <w:lang w:eastAsia="en-AU"/>
        </w:rPr>
        <w:t xml:space="preserve">London. </w:t>
      </w:r>
      <w:r w:rsidR="00521A02" w:rsidRPr="00E44813">
        <w:rPr>
          <w:lang w:eastAsia="en-AU"/>
        </w:rPr>
        <w:t xml:space="preserve">No </w:t>
      </w:r>
      <w:r w:rsidR="008D51AD" w:rsidRPr="00E44813">
        <w:rPr>
          <w:lang w:eastAsia="en-AU"/>
        </w:rPr>
        <w:t xml:space="preserve">other </w:t>
      </w:r>
      <w:r w:rsidR="00521A02" w:rsidRPr="00E44813">
        <w:rPr>
          <w:lang w:eastAsia="en-AU"/>
        </w:rPr>
        <w:t>business of the company</w:t>
      </w:r>
      <w:r w:rsidR="008D51AD" w:rsidRPr="00E44813">
        <w:rPr>
          <w:lang w:eastAsia="en-AU"/>
        </w:rPr>
        <w:t xml:space="preserve"> </w:t>
      </w:r>
      <w:r w:rsidR="00521A02" w:rsidRPr="00E44813">
        <w:rPr>
          <w:lang w:eastAsia="en-AU"/>
        </w:rPr>
        <w:t>was transacted by the committee</w:t>
      </w:r>
      <w:r w:rsidR="008D51AD" w:rsidRPr="00E44813">
        <w:rPr>
          <w:lang w:eastAsia="en-AU"/>
        </w:rPr>
        <w:t>.</w:t>
      </w:r>
      <w:r w:rsidR="00174CD2" w:rsidRPr="00174CD2">
        <w:rPr>
          <w:lang w:eastAsia="en-AU"/>
        </w:rPr>
        <w:t xml:space="preserve"> </w:t>
      </w:r>
    </w:p>
    <w:p w14:paraId="27D96061" w14:textId="77777777" w:rsidR="00AE55F8" w:rsidRDefault="0085571F" w:rsidP="00821841">
      <w:pPr>
        <w:pStyle w:val="ParaNumbering"/>
      </w:pPr>
      <w:r>
        <w:rPr>
          <w:lang w:eastAsia="en-AU"/>
        </w:rPr>
        <w:t xml:space="preserve">In </w:t>
      </w:r>
      <w:proofErr w:type="spellStart"/>
      <w:r>
        <w:rPr>
          <w:i/>
          <w:lang w:eastAsia="en-AU"/>
        </w:rPr>
        <w:t>Actiesselskabet</w:t>
      </w:r>
      <w:proofErr w:type="spellEnd"/>
      <w:r>
        <w:rPr>
          <w:lang w:eastAsia="en-AU"/>
        </w:rPr>
        <w:t>,</w:t>
      </w:r>
      <w:r>
        <w:rPr>
          <w:i/>
          <w:lang w:eastAsia="en-AU"/>
        </w:rPr>
        <w:t xml:space="preserve"> </w:t>
      </w:r>
      <w:r>
        <w:rPr>
          <w:lang w:eastAsia="en-AU"/>
        </w:rPr>
        <w:t>i</w:t>
      </w:r>
      <w:r w:rsidR="00BB58C6">
        <w:rPr>
          <w:lang w:eastAsia="en-AU"/>
        </w:rPr>
        <w:t>n the context of Ord IX</w:t>
      </w:r>
      <w:r w:rsidR="00AE55F8">
        <w:rPr>
          <w:lang w:eastAsia="en-AU"/>
        </w:rPr>
        <w:t xml:space="preserve">, </w:t>
      </w:r>
      <w:r w:rsidR="00F32F42">
        <w:rPr>
          <w:lang w:eastAsia="en-AU"/>
        </w:rPr>
        <w:t>r</w:t>
      </w:r>
      <w:r w:rsidR="00AE55F8">
        <w:rPr>
          <w:lang w:eastAsia="en-AU"/>
        </w:rPr>
        <w:t xml:space="preserve"> 8 of the </w:t>
      </w:r>
      <w:r w:rsidR="00AE55F8" w:rsidRPr="00DC2F06">
        <w:rPr>
          <w:lang w:eastAsia="en-AU"/>
        </w:rPr>
        <w:t>Rules of the Supreme Court 1883</w:t>
      </w:r>
      <w:r w:rsidR="00AE55F8" w:rsidRPr="006A42FA">
        <w:rPr>
          <w:i/>
          <w:lang w:eastAsia="en-AU"/>
        </w:rPr>
        <w:t xml:space="preserve"> </w:t>
      </w:r>
      <w:r w:rsidR="00AE55F8">
        <w:rPr>
          <w:lang w:eastAsia="en-AU"/>
        </w:rPr>
        <w:t>(UK), Lord Buckley held at 227</w:t>
      </w:r>
      <w:r w:rsidR="007C6878">
        <w:rPr>
          <w:lang w:eastAsia="en-AU"/>
        </w:rPr>
        <w:t xml:space="preserve">-228 </w:t>
      </w:r>
      <w:r w:rsidR="00AE55F8">
        <w:rPr>
          <w:lang w:eastAsia="en-AU"/>
        </w:rPr>
        <w:t>that a</w:t>
      </w:r>
      <w:r w:rsidR="00174CD2" w:rsidRPr="00E44813">
        <w:rPr>
          <w:lang w:eastAsia="en-AU"/>
        </w:rPr>
        <w:t xml:space="preserve"> writ could only be served upon the company in London if the company was carrying on business in England</w:t>
      </w:r>
      <w:r w:rsidR="00174CD2">
        <w:rPr>
          <w:lang w:eastAsia="en-AU"/>
        </w:rPr>
        <w:t>.</w:t>
      </w:r>
      <w:r w:rsidR="00A0150C">
        <w:t xml:space="preserve"> </w:t>
      </w:r>
      <w:r w:rsidR="005D5E93">
        <w:t>While the language of O</w:t>
      </w:r>
      <w:r w:rsidR="006A42FA">
        <w:t xml:space="preserve">rd </w:t>
      </w:r>
      <w:r w:rsidR="007C6878">
        <w:t>IX</w:t>
      </w:r>
      <w:r w:rsidR="006A42FA">
        <w:t>, r 8 did not include the phrase “carrying on business”, a</w:t>
      </w:r>
      <w:r w:rsidR="00AE55F8">
        <w:t xml:space="preserve"> </w:t>
      </w:r>
      <w:r w:rsidR="006A42FA">
        <w:t>body of case law</w:t>
      </w:r>
      <w:r w:rsidR="00AE55F8">
        <w:t xml:space="preserve"> dealing with service </w:t>
      </w:r>
      <w:r w:rsidR="005044A0">
        <w:t xml:space="preserve">of </w:t>
      </w:r>
      <w:r>
        <w:t xml:space="preserve">a </w:t>
      </w:r>
      <w:r w:rsidR="007C6878">
        <w:t>process</w:t>
      </w:r>
      <w:r w:rsidR="005044A0">
        <w:t xml:space="preserve"> </w:t>
      </w:r>
      <w:r w:rsidR="00AE55F8">
        <w:t xml:space="preserve">on foreign corporations </w:t>
      </w:r>
      <w:r w:rsidR="006A42FA">
        <w:t>favour</w:t>
      </w:r>
      <w:r w:rsidR="004F6BF8">
        <w:t>s</w:t>
      </w:r>
      <w:r w:rsidR="006A42FA">
        <w:t xml:space="preserve"> the expression</w:t>
      </w:r>
      <w:r w:rsidR="00AE55F8">
        <w:t xml:space="preserve"> “carrying on business” </w:t>
      </w:r>
      <w:r w:rsidR="006A42FA">
        <w:t>as a “convenient test”</w:t>
      </w:r>
      <w:r w:rsidR="00AE55F8">
        <w:t xml:space="preserve"> </w:t>
      </w:r>
      <w:r w:rsidR="006A42FA">
        <w:t xml:space="preserve">of </w:t>
      </w:r>
      <w:r w:rsidR="00AE55F8">
        <w:t xml:space="preserve">presence in the jurisdiction for the purpose of effective service: see, for example, </w:t>
      </w:r>
      <w:r w:rsidR="006A42FA" w:rsidRPr="006A42FA">
        <w:rPr>
          <w:i/>
        </w:rPr>
        <w:t>South India Shipping Corporation Ltd v Export-Import Bank of Korea</w:t>
      </w:r>
      <w:r w:rsidR="006A42FA" w:rsidRPr="005044A0">
        <w:t xml:space="preserve"> [1985] 1 WLR 585, 589</w:t>
      </w:r>
      <w:r w:rsidR="006A42FA">
        <w:t xml:space="preserve">; </w:t>
      </w:r>
      <w:proofErr w:type="spellStart"/>
      <w:r w:rsidR="005044A0" w:rsidRPr="00821841">
        <w:rPr>
          <w:i/>
        </w:rPr>
        <w:t>Badcock</w:t>
      </w:r>
      <w:proofErr w:type="spellEnd"/>
      <w:r w:rsidR="005044A0" w:rsidRPr="00821841">
        <w:rPr>
          <w:i/>
        </w:rPr>
        <w:t xml:space="preserve"> v Cumberland Gap Park Company</w:t>
      </w:r>
      <w:r w:rsidR="005044A0" w:rsidRPr="005044A0">
        <w:t xml:space="preserve"> [1893] 1 </w:t>
      </w:r>
      <w:proofErr w:type="spellStart"/>
      <w:r w:rsidR="005044A0" w:rsidRPr="005044A0">
        <w:t>Ch</w:t>
      </w:r>
      <w:proofErr w:type="spellEnd"/>
      <w:r w:rsidR="005044A0" w:rsidRPr="005044A0">
        <w:t xml:space="preserve"> 362, 367-368</w:t>
      </w:r>
      <w:r w:rsidR="005044A0">
        <w:t xml:space="preserve">; </w:t>
      </w:r>
      <w:proofErr w:type="spellStart"/>
      <w:r w:rsidR="005044A0" w:rsidRPr="00821841">
        <w:rPr>
          <w:i/>
        </w:rPr>
        <w:t>Haggin</w:t>
      </w:r>
      <w:proofErr w:type="spellEnd"/>
      <w:r w:rsidR="005044A0" w:rsidRPr="00821841">
        <w:rPr>
          <w:i/>
        </w:rPr>
        <w:t xml:space="preserve"> v </w:t>
      </w:r>
      <w:proofErr w:type="spellStart"/>
      <w:r w:rsidR="005044A0" w:rsidRPr="00821841">
        <w:rPr>
          <w:i/>
        </w:rPr>
        <w:t>Comptoir</w:t>
      </w:r>
      <w:proofErr w:type="spellEnd"/>
      <w:r w:rsidR="005044A0" w:rsidRPr="00821841">
        <w:rPr>
          <w:i/>
        </w:rPr>
        <w:t xml:space="preserve"> </w:t>
      </w:r>
      <w:proofErr w:type="spellStart"/>
      <w:r w:rsidR="005044A0" w:rsidRPr="00821841">
        <w:rPr>
          <w:i/>
        </w:rPr>
        <w:t>D’Escompte</w:t>
      </w:r>
      <w:proofErr w:type="spellEnd"/>
      <w:r w:rsidR="005044A0" w:rsidRPr="00821841">
        <w:rPr>
          <w:i/>
        </w:rPr>
        <w:t xml:space="preserve"> de Paris</w:t>
      </w:r>
      <w:r w:rsidR="005044A0" w:rsidRPr="005044A0">
        <w:t xml:space="preserve"> (1889) 23 QBD 519, 522</w:t>
      </w:r>
      <w:r w:rsidR="00F32F42">
        <w:t xml:space="preserve">; </w:t>
      </w:r>
      <w:r w:rsidR="00AE55F8" w:rsidRPr="006A42FA">
        <w:rPr>
          <w:i/>
          <w:lang w:eastAsia="en-AU"/>
        </w:rPr>
        <w:t xml:space="preserve">Newby v Von </w:t>
      </w:r>
      <w:proofErr w:type="spellStart"/>
      <w:r w:rsidR="00AE55F8" w:rsidRPr="006A42FA">
        <w:rPr>
          <w:i/>
          <w:lang w:eastAsia="en-AU"/>
        </w:rPr>
        <w:t>Oppen</w:t>
      </w:r>
      <w:proofErr w:type="spellEnd"/>
      <w:r w:rsidR="00AE55F8" w:rsidRPr="006A42FA">
        <w:rPr>
          <w:i/>
          <w:lang w:eastAsia="en-AU"/>
        </w:rPr>
        <w:t xml:space="preserve"> and </w:t>
      </w:r>
      <w:r w:rsidR="007C6878">
        <w:rPr>
          <w:i/>
          <w:lang w:eastAsia="en-AU"/>
        </w:rPr>
        <w:t xml:space="preserve">The </w:t>
      </w:r>
      <w:r w:rsidR="00AE55F8" w:rsidRPr="006A42FA">
        <w:rPr>
          <w:i/>
          <w:lang w:eastAsia="en-AU"/>
        </w:rPr>
        <w:t xml:space="preserve">Colt’s Patent Firearms Manufacturing Company </w:t>
      </w:r>
      <w:r w:rsidR="00AE55F8">
        <w:rPr>
          <w:lang w:eastAsia="en-AU"/>
        </w:rPr>
        <w:t>(1872) LR 7 QB 293, 296</w:t>
      </w:r>
      <w:r w:rsidR="00821841">
        <w:rPr>
          <w:lang w:eastAsia="en-AU"/>
        </w:rPr>
        <w:t xml:space="preserve">; and see </w:t>
      </w:r>
      <w:r w:rsidR="001763F6" w:rsidRPr="00821841">
        <w:rPr>
          <w:i/>
        </w:rPr>
        <w:t xml:space="preserve">Bray v F Hoffman-La Roche Ltd </w:t>
      </w:r>
      <w:r w:rsidR="001763F6">
        <w:t>(2002) 118 FCR 1 at [6</w:t>
      </w:r>
      <w:r w:rsidR="00821841">
        <w:t>1].</w:t>
      </w:r>
      <w:r w:rsidR="001763F6">
        <w:t xml:space="preserve"> </w:t>
      </w:r>
    </w:p>
    <w:p w14:paraId="27D96062" w14:textId="77777777" w:rsidR="008D51AD" w:rsidRPr="008D51AD" w:rsidRDefault="00810BAB" w:rsidP="00174CD2">
      <w:pPr>
        <w:pStyle w:val="ParaNumbering"/>
      </w:pPr>
      <w:r>
        <w:rPr>
          <w:szCs w:val="24"/>
          <w:lang w:eastAsia="en-AU"/>
        </w:rPr>
        <w:t xml:space="preserve">In </w:t>
      </w:r>
      <w:proofErr w:type="spellStart"/>
      <w:r>
        <w:rPr>
          <w:i/>
          <w:szCs w:val="24"/>
          <w:lang w:eastAsia="en-AU"/>
        </w:rPr>
        <w:t>Actiesselskabet</w:t>
      </w:r>
      <w:proofErr w:type="spellEnd"/>
      <w:r>
        <w:rPr>
          <w:i/>
          <w:szCs w:val="24"/>
          <w:lang w:eastAsia="en-AU"/>
        </w:rPr>
        <w:t>,</w:t>
      </w:r>
      <w:r>
        <w:rPr>
          <w:szCs w:val="24"/>
          <w:lang w:eastAsia="en-AU"/>
        </w:rPr>
        <w:t xml:space="preserve"> t</w:t>
      </w:r>
      <w:r w:rsidR="008D51AD" w:rsidRPr="00174CD2">
        <w:rPr>
          <w:szCs w:val="24"/>
          <w:lang w:eastAsia="en-AU"/>
        </w:rPr>
        <w:t xml:space="preserve">he Court of Appeal held </w:t>
      </w:r>
      <w:r w:rsidR="003C575F" w:rsidRPr="00174CD2">
        <w:rPr>
          <w:szCs w:val="24"/>
          <w:lang w:eastAsia="en-AU"/>
        </w:rPr>
        <w:t xml:space="preserve">that </w:t>
      </w:r>
      <w:r w:rsidR="00F55810" w:rsidRPr="00174CD2">
        <w:rPr>
          <w:szCs w:val="24"/>
          <w:lang w:eastAsia="en-AU"/>
        </w:rPr>
        <w:t xml:space="preserve">the </w:t>
      </w:r>
      <w:r w:rsidR="00A47E3A" w:rsidRPr="00174CD2">
        <w:rPr>
          <w:szCs w:val="24"/>
          <w:lang w:eastAsia="en-AU"/>
        </w:rPr>
        <w:t xml:space="preserve">raising </w:t>
      </w:r>
      <w:r w:rsidR="00F55810" w:rsidRPr="00174CD2">
        <w:rPr>
          <w:szCs w:val="24"/>
          <w:lang w:eastAsia="en-AU"/>
        </w:rPr>
        <w:t xml:space="preserve">of </w:t>
      </w:r>
      <w:r w:rsidR="00A47E3A" w:rsidRPr="00174CD2">
        <w:rPr>
          <w:szCs w:val="24"/>
          <w:lang w:eastAsia="en-AU"/>
        </w:rPr>
        <w:t>capital</w:t>
      </w:r>
      <w:r w:rsidR="003C575F" w:rsidRPr="00174CD2">
        <w:rPr>
          <w:szCs w:val="24"/>
          <w:lang w:eastAsia="en-AU"/>
        </w:rPr>
        <w:t xml:space="preserve"> in London for use in the company</w:t>
      </w:r>
      <w:r w:rsidR="004A77B8" w:rsidRPr="00174CD2">
        <w:rPr>
          <w:szCs w:val="24"/>
          <w:lang w:eastAsia="en-AU"/>
        </w:rPr>
        <w:t>’</w:t>
      </w:r>
      <w:r w:rsidR="003C575F" w:rsidRPr="00174CD2">
        <w:rPr>
          <w:szCs w:val="24"/>
          <w:lang w:eastAsia="en-AU"/>
        </w:rPr>
        <w:t>s railway operations in Canada amounted to carrying on business in Engla</w:t>
      </w:r>
      <w:r w:rsidR="004438D4" w:rsidRPr="00174CD2">
        <w:rPr>
          <w:szCs w:val="24"/>
          <w:lang w:eastAsia="en-AU"/>
        </w:rPr>
        <w:t>nd.</w:t>
      </w:r>
      <w:r w:rsidR="008D51AD" w:rsidRPr="00174CD2">
        <w:rPr>
          <w:szCs w:val="24"/>
          <w:lang w:eastAsia="en-AU"/>
        </w:rPr>
        <w:t xml:space="preserve"> L</w:t>
      </w:r>
      <w:r w:rsidR="002D63E0" w:rsidRPr="00174CD2">
        <w:rPr>
          <w:szCs w:val="24"/>
          <w:lang w:eastAsia="en-AU"/>
        </w:rPr>
        <w:t>ord Vaughan Williams held at 227</w:t>
      </w:r>
      <w:r w:rsidR="008D51AD" w:rsidRPr="00174CD2">
        <w:rPr>
          <w:szCs w:val="24"/>
          <w:lang w:eastAsia="en-AU"/>
        </w:rPr>
        <w:t>:</w:t>
      </w:r>
    </w:p>
    <w:p w14:paraId="27D96063" w14:textId="77777777" w:rsidR="008D51AD" w:rsidRPr="00613CA8" w:rsidRDefault="00613CA8" w:rsidP="00312331">
      <w:pPr>
        <w:pStyle w:val="Quote1"/>
        <w:rPr>
          <w:highlight w:val="yellow"/>
        </w:rPr>
      </w:pPr>
      <w:r w:rsidRPr="00613CA8">
        <w:t xml:space="preserve">Undoubtedly the defendants have officers here who act on their behalf at a fixed residence and who circulate advertisements of the defendants in their name; but it is </w:t>
      </w:r>
      <w:r w:rsidRPr="00613CA8">
        <w:lastRenderedPageBreak/>
        <w:t>contended that we ought to hold that they are not carrying on the business of the company, because the business carried on here is not that of running or managing the railway, but of raising money by means of the issue of bonds and debentures, which money is to be used by the company in Canada. In my judgment it is impossible to draw any such distinction. I think that in doing what it did the London board was carrying on the business of the company, and that it makes no difference that they pay no rent for the office in which they carry it on. The office is the office of the company; the business is advertised in every way as being carried on at the office. The appeal must therefore be dismissed.</w:t>
      </w:r>
    </w:p>
    <w:p w14:paraId="27D96064" w14:textId="77777777" w:rsidR="00A553E0" w:rsidRPr="003C575F" w:rsidRDefault="00A553E0" w:rsidP="00A553E0">
      <w:pPr>
        <w:pStyle w:val="ParaNumbering"/>
      </w:pPr>
      <w:r>
        <w:rPr>
          <w:szCs w:val="24"/>
          <w:lang w:eastAsia="en-AU"/>
        </w:rPr>
        <w:t>Lord Buckley held at 228</w:t>
      </w:r>
      <w:r w:rsidRPr="003C575F">
        <w:rPr>
          <w:szCs w:val="24"/>
          <w:lang w:eastAsia="en-AU"/>
        </w:rPr>
        <w:t>:</w:t>
      </w:r>
    </w:p>
    <w:p w14:paraId="27D96065" w14:textId="77777777" w:rsidR="00A553E0" w:rsidRPr="003C575F" w:rsidRDefault="00A553E0" w:rsidP="00A553E0">
      <w:pPr>
        <w:pStyle w:val="Quote1"/>
        <w:rPr>
          <w:lang w:eastAsia="en-AU"/>
        </w:rPr>
      </w:pPr>
      <w:r>
        <w:rPr>
          <w:lang w:eastAsia="en-AU"/>
        </w:rPr>
        <w:t>The cardinal factors are that the company does acts within the jurisdiction which are part of its business as a company, and does them at a fixed place within the jurisdiction. The raising of this loan capital is part of the company’s business, and it is done here by a London committee constituted of the directors resident in England. They are the company’s agents in this country for that purpose.</w:t>
      </w:r>
    </w:p>
    <w:p w14:paraId="27D96066" w14:textId="77777777" w:rsidR="00F02065" w:rsidRPr="00BA01B3" w:rsidRDefault="006205C1" w:rsidP="00A553E0">
      <w:pPr>
        <w:pStyle w:val="ParaNumbering"/>
      </w:pPr>
      <w:r>
        <w:rPr>
          <w:szCs w:val="24"/>
        </w:rPr>
        <w:t xml:space="preserve">Section </w:t>
      </w:r>
      <w:r w:rsidR="001069CD" w:rsidRPr="00A553E0">
        <w:rPr>
          <w:szCs w:val="24"/>
        </w:rPr>
        <w:t xml:space="preserve">43(1)(b)(iii) of the Act </w:t>
      </w:r>
      <w:r w:rsidR="00821841" w:rsidRPr="00A553E0">
        <w:rPr>
          <w:szCs w:val="24"/>
        </w:rPr>
        <w:t>requires</w:t>
      </w:r>
      <w:r w:rsidR="0085571F" w:rsidRPr="00A553E0">
        <w:rPr>
          <w:szCs w:val="24"/>
        </w:rPr>
        <w:t xml:space="preserve"> </w:t>
      </w:r>
      <w:r w:rsidR="00AC0C4B">
        <w:rPr>
          <w:szCs w:val="24"/>
        </w:rPr>
        <w:t xml:space="preserve">that </w:t>
      </w:r>
      <w:r w:rsidR="0085571F" w:rsidRPr="00A553E0">
        <w:rPr>
          <w:szCs w:val="24"/>
        </w:rPr>
        <w:t>the debtor “was car</w:t>
      </w:r>
      <w:r w:rsidR="00475288" w:rsidRPr="00A553E0">
        <w:rPr>
          <w:szCs w:val="24"/>
        </w:rPr>
        <w:t>rying on business in Australia” at the time of the act of bankruptcy</w:t>
      </w:r>
      <w:r>
        <w:rPr>
          <w:szCs w:val="24"/>
        </w:rPr>
        <w:t xml:space="preserve"> as a foundation for the jurisdiction of a court </w:t>
      </w:r>
      <w:r w:rsidRPr="00A553E0">
        <w:rPr>
          <w:szCs w:val="24"/>
        </w:rPr>
        <w:t>to make a sequestration order</w:t>
      </w:r>
      <w:r w:rsidR="00475288" w:rsidRPr="00A553E0">
        <w:rPr>
          <w:szCs w:val="24"/>
        </w:rPr>
        <w:t xml:space="preserve">. </w:t>
      </w:r>
      <w:r w:rsidR="00AC0C4B">
        <w:rPr>
          <w:szCs w:val="24"/>
        </w:rPr>
        <w:t>Applying</w:t>
      </w:r>
      <w:r w:rsidR="00475288" w:rsidRPr="00A553E0">
        <w:rPr>
          <w:szCs w:val="24"/>
        </w:rPr>
        <w:t xml:space="preserve"> </w:t>
      </w:r>
      <w:r w:rsidR="00AC0C4B">
        <w:rPr>
          <w:szCs w:val="24"/>
        </w:rPr>
        <w:t xml:space="preserve">the </w:t>
      </w:r>
      <w:r w:rsidR="00F55810" w:rsidRPr="00A553E0">
        <w:rPr>
          <w:szCs w:val="24"/>
        </w:rPr>
        <w:t>cases</w:t>
      </w:r>
      <w:r w:rsidR="00AC0C4B">
        <w:rPr>
          <w:szCs w:val="24"/>
        </w:rPr>
        <w:t xml:space="preserve"> that have considered a similar phrase in </w:t>
      </w:r>
      <w:r>
        <w:rPr>
          <w:szCs w:val="24"/>
        </w:rPr>
        <w:t xml:space="preserve">broadly </w:t>
      </w:r>
      <w:r w:rsidR="00AC0C4B">
        <w:rPr>
          <w:szCs w:val="24"/>
        </w:rPr>
        <w:t>similar contexts</w:t>
      </w:r>
      <w:r w:rsidR="00475288" w:rsidRPr="00A553E0">
        <w:rPr>
          <w:szCs w:val="24"/>
        </w:rPr>
        <w:t>, it can be concluded that</w:t>
      </w:r>
      <w:r w:rsidR="00943ABB" w:rsidRPr="00A553E0">
        <w:rPr>
          <w:szCs w:val="24"/>
        </w:rPr>
        <w:t>:</w:t>
      </w:r>
    </w:p>
    <w:p w14:paraId="27D96067" w14:textId="77777777" w:rsidR="00943ABB" w:rsidRPr="00C95E49" w:rsidRDefault="00943ABB" w:rsidP="0086520B">
      <w:pPr>
        <w:pStyle w:val="ListNo1"/>
      </w:pPr>
      <w:r w:rsidRPr="00943ABB">
        <w:t xml:space="preserve">Whether a company is </w:t>
      </w:r>
      <w:r w:rsidR="001C4BD8">
        <w:t>“</w:t>
      </w:r>
      <w:r w:rsidRPr="00943ABB">
        <w:t>carrying on business in Australia</w:t>
      </w:r>
      <w:r w:rsidR="001C4BD8">
        <w:t>”</w:t>
      </w:r>
      <w:r w:rsidRPr="00943ABB">
        <w:t xml:space="preserve"> is a question of fact</w:t>
      </w:r>
      <w:r>
        <w:t>.</w:t>
      </w:r>
    </w:p>
    <w:p w14:paraId="27D96068" w14:textId="77777777" w:rsidR="0037778A" w:rsidRDefault="00943ABB" w:rsidP="004F6BF8">
      <w:pPr>
        <w:pStyle w:val="ListNo1"/>
      </w:pPr>
      <w:r w:rsidRPr="00943ABB">
        <w:t xml:space="preserve">The words </w:t>
      </w:r>
      <w:r w:rsidR="001C4BD8">
        <w:t>“</w:t>
      </w:r>
      <w:r w:rsidRPr="00943ABB">
        <w:t>carrying on</w:t>
      </w:r>
      <w:r w:rsidR="001C4BD8">
        <w:t>”</w:t>
      </w:r>
      <w:r w:rsidRPr="00943ABB">
        <w:t xml:space="preserve"> imply the repetition of acts and activities which possess some</w:t>
      </w:r>
      <w:r w:rsidR="00BA01B3">
        <w:t>thing of a permanent character; and i</w:t>
      </w:r>
      <w:r w:rsidR="00C95E49">
        <w:t xml:space="preserve">t is </w:t>
      </w:r>
      <w:r w:rsidR="00266B6A">
        <w:t xml:space="preserve">generally </w:t>
      </w:r>
      <w:r w:rsidR="00C95E49">
        <w:t>insufficient for</w:t>
      </w:r>
      <w:r w:rsidRPr="00943ABB">
        <w:t xml:space="preserve"> there </w:t>
      </w:r>
      <w:r w:rsidR="00C95E49">
        <w:t xml:space="preserve">to </w:t>
      </w:r>
      <w:r w:rsidRPr="00943ABB">
        <w:t xml:space="preserve">be </w:t>
      </w:r>
      <w:r>
        <w:t>a</w:t>
      </w:r>
      <w:r w:rsidRPr="00943ABB">
        <w:t xml:space="preserve"> single transaction or a number of isolated transactions</w:t>
      </w:r>
      <w:r>
        <w:t>.</w:t>
      </w:r>
      <w:r w:rsidR="004F6BF8">
        <w:t xml:space="preserve"> </w:t>
      </w:r>
    </w:p>
    <w:p w14:paraId="27D96069" w14:textId="77777777" w:rsidR="00943ABB" w:rsidRPr="00BA01B3" w:rsidRDefault="00C34034" w:rsidP="004F6BF8">
      <w:pPr>
        <w:pStyle w:val="ListNo1"/>
      </w:pPr>
      <w:r>
        <w:t>A</w:t>
      </w:r>
      <w:r w:rsidR="004F6BF8">
        <w:t xml:space="preserve"> single transaction in Australia may be enough if</w:t>
      </w:r>
      <w:r w:rsidR="0085571F">
        <w:t xml:space="preserve"> </w:t>
      </w:r>
      <w:r w:rsidR="004F6BF8" w:rsidRPr="004F6BF8">
        <w:rPr>
          <w:szCs w:val="24"/>
        </w:rPr>
        <w:t xml:space="preserve">it has been made in the course of business which the </w:t>
      </w:r>
      <w:r w:rsidR="006F28F9">
        <w:rPr>
          <w:szCs w:val="24"/>
        </w:rPr>
        <w:t>debtor</w:t>
      </w:r>
      <w:r w:rsidR="00E415A3">
        <w:rPr>
          <w:szCs w:val="24"/>
        </w:rPr>
        <w:t xml:space="preserve"> </w:t>
      </w:r>
      <w:r w:rsidR="004F6BF8" w:rsidRPr="004F6BF8">
        <w:rPr>
          <w:szCs w:val="24"/>
        </w:rPr>
        <w:t xml:space="preserve">is carrying on </w:t>
      </w:r>
      <w:r w:rsidR="006F28F9">
        <w:rPr>
          <w:szCs w:val="24"/>
        </w:rPr>
        <w:t>overseas</w:t>
      </w:r>
      <w:r w:rsidR="004F6BF8" w:rsidRPr="004F6BF8">
        <w:rPr>
          <w:szCs w:val="24"/>
        </w:rPr>
        <w:t>.</w:t>
      </w:r>
    </w:p>
    <w:p w14:paraId="27D9606A" w14:textId="77777777" w:rsidR="00BA01B3" w:rsidRPr="00BA01B3" w:rsidRDefault="004F6BF8" w:rsidP="00BA01B3">
      <w:pPr>
        <w:pStyle w:val="ListNo1"/>
      </w:pPr>
      <w:r>
        <w:t>A</w:t>
      </w:r>
      <w:r w:rsidR="00BA01B3" w:rsidRPr="00943ABB">
        <w:t xml:space="preserve"> debtor may </w:t>
      </w:r>
      <w:r w:rsidR="00BA01B3">
        <w:t xml:space="preserve">carry on business </w:t>
      </w:r>
      <w:r w:rsidR="001C4BD8">
        <w:t>“</w:t>
      </w:r>
      <w:r w:rsidR="00BA01B3">
        <w:t>in</w:t>
      </w:r>
      <w:r w:rsidR="001C4BD8">
        <w:t>”</w:t>
      </w:r>
      <w:r w:rsidR="00BA01B3" w:rsidRPr="00943ABB">
        <w:t xml:space="preserve"> Australia even though the bulk of his or her business is conducted </w:t>
      </w:r>
      <w:r w:rsidR="00AC0C4B">
        <w:t>overseas</w:t>
      </w:r>
      <w:r w:rsidR="00BA01B3">
        <w:t>.</w:t>
      </w:r>
    </w:p>
    <w:p w14:paraId="27D9606B" w14:textId="77777777" w:rsidR="006F28F9" w:rsidRPr="00E415A3" w:rsidRDefault="00F55810">
      <w:pPr>
        <w:pStyle w:val="ListNo1"/>
        <w:rPr>
          <w:szCs w:val="24"/>
        </w:rPr>
      </w:pPr>
      <w:r>
        <w:t xml:space="preserve">It may be sufficient that there are acts </w:t>
      </w:r>
      <w:r w:rsidR="00BA01B3">
        <w:t xml:space="preserve">done </w:t>
      </w:r>
      <w:r w:rsidR="00943ABB">
        <w:t>in Australia</w:t>
      </w:r>
      <w:r w:rsidR="007C6878">
        <w:t xml:space="preserve"> </w:t>
      </w:r>
      <w:r w:rsidR="00943ABB" w:rsidRPr="00943ABB">
        <w:t>ancillary to</w:t>
      </w:r>
      <w:r w:rsidR="00755EE6">
        <w:t xml:space="preserve"> activities </w:t>
      </w:r>
      <w:r w:rsidR="00943ABB">
        <w:t xml:space="preserve">or </w:t>
      </w:r>
      <w:r>
        <w:t xml:space="preserve">transactions </w:t>
      </w:r>
      <w:r w:rsidR="00755EE6">
        <w:t>that make up</w:t>
      </w:r>
      <w:r w:rsidR="007C6878">
        <w:t xml:space="preserve"> a </w:t>
      </w:r>
      <w:r w:rsidR="00943ABB" w:rsidRPr="00943ABB">
        <w:t>business.</w:t>
      </w:r>
      <w:r w:rsidR="00755EE6">
        <w:t xml:space="preserve"> </w:t>
      </w:r>
      <w:r w:rsidR="008B7A01">
        <w:t xml:space="preserve">In this regard, </w:t>
      </w:r>
      <w:r w:rsidR="008B7A01" w:rsidRPr="006F28F9">
        <w:rPr>
          <w:szCs w:val="24"/>
        </w:rPr>
        <w:t xml:space="preserve">trading is not </w:t>
      </w:r>
      <w:r w:rsidR="008B7A01">
        <w:rPr>
          <w:szCs w:val="24"/>
        </w:rPr>
        <w:t>regarded as completed until a business</w:t>
      </w:r>
      <w:r w:rsidR="008B7A01" w:rsidRPr="006F28F9">
        <w:rPr>
          <w:szCs w:val="24"/>
        </w:rPr>
        <w:t xml:space="preserve"> ha</w:t>
      </w:r>
      <w:r w:rsidR="008B7A01">
        <w:rPr>
          <w:szCs w:val="24"/>
        </w:rPr>
        <w:t>s</w:t>
      </w:r>
      <w:r w:rsidR="008B7A01" w:rsidRPr="006F28F9">
        <w:rPr>
          <w:szCs w:val="24"/>
        </w:rPr>
        <w:t xml:space="preserve"> performed all the obligations </w:t>
      </w:r>
      <w:r w:rsidR="008B7A01">
        <w:rPr>
          <w:szCs w:val="24"/>
        </w:rPr>
        <w:t>imposed by</w:t>
      </w:r>
      <w:r w:rsidR="008B7A01" w:rsidRPr="006F28F9">
        <w:rPr>
          <w:szCs w:val="24"/>
        </w:rPr>
        <w:t xml:space="preserve"> the fact of trading</w:t>
      </w:r>
      <w:r w:rsidR="008B7A01">
        <w:rPr>
          <w:szCs w:val="24"/>
        </w:rPr>
        <w:t xml:space="preserve">. </w:t>
      </w:r>
      <w:r w:rsidR="006F28F9" w:rsidRPr="006F28F9">
        <w:rPr>
          <w:szCs w:val="24"/>
        </w:rPr>
        <w:t xml:space="preserve">Therefore, it is not essential that a business engage in </w:t>
      </w:r>
      <w:r w:rsidR="00AC0C4B">
        <w:rPr>
          <w:szCs w:val="24"/>
        </w:rPr>
        <w:t xml:space="preserve">actual </w:t>
      </w:r>
      <w:r w:rsidR="006F28F9" w:rsidRPr="006F28F9">
        <w:rPr>
          <w:szCs w:val="24"/>
        </w:rPr>
        <w:t xml:space="preserve">trading activity in Australia. </w:t>
      </w:r>
      <w:r w:rsidR="006F28F9" w:rsidRPr="00ED05A3">
        <w:rPr>
          <w:szCs w:val="24"/>
        </w:rPr>
        <w:t xml:space="preserve">Examples of such ancillary acts may include </w:t>
      </w:r>
      <w:r w:rsidR="007C6878">
        <w:rPr>
          <w:szCs w:val="24"/>
        </w:rPr>
        <w:t xml:space="preserve">the </w:t>
      </w:r>
      <w:r w:rsidR="006F28F9" w:rsidRPr="00ED05A3">
        <w:rPr>
          <w:szCs w:val="24"/>
        </w:rPr>
        <w:t xml:space="preserve">raising </w:t>
      </w:r>
      <w:r w:rsidR="007C6878">
        <w:rPr>
          <w:szCs w:val="24"/>
        </w:rPr>
        <w:t xml:space="preserve">of </w:t>
      </w:r>
      <w:r w:rsidR="006F28F9" w:rsidRPr="00ED05A3">
        <w:rPr>
          <w:szCs w:val="24"/>
        </w:rPr>
        <w:t xml:space="preserve">capital in Australia for use by a business overseas, or the winding up of a business and </w:t>
      </w:r>
      <w:r w:rsidR="007C6878">
        <w:rPr>
          <w:szCs w:val="24"/>
        </w:rPr>
        <w:t xml:space="preserve">the </w:t>
      </w:r>
      <w:r w:rsidR="006F28F9" w:rsidRPr="00ED05A3">
        <w:rPr>
          <w:szCs w:val="24"/>
        </w:rPr>
        <w:t xml:space="preserve">payment of debts after a business has ceased to actually trade in Australia. </w:t>
      </w:r>
    </w:p>
    <w:p w14:paraId="27D9606C" w14:textId="77777777" w:rsidR="00F73B3D" w:rsidRPr="00755EE6" w:rsidRDefault="00F73B3D" w:rsidP="00755EE6">
      <w:pPr>
        <w:pStyle w:val="ListNo1"/>
        <w:rPr>
          <w:szCs w:val="24"/>
        </w:rPr>
      </w:pPr>
      <w:r>
        <w:rPr>
          <w:szCs w:val="24"/>
        </w:rPr>
        <w:t>A person may carry on business in Australia without necessarily having a place of business in Australia.</w:t>
      </w:r>
    </w:p>
    <w:p w14:paraId="27D9606D" w14:textId="77777777" w:rsidR="003071CB" w:rsidRPr="00CC162A" w:rsidRDefault="00755EE6" w:rsidP="00053D52">
      <w:pPr>
        <w:pStyle w:val="ParaNumbering"/>
      </w:pPr>
      <w:r>
        <w:lastRenderedPageBreak/>
        <w:t xml:space="preserve">I reject </w:t>
      </w:r>
      <w:r w:rsidR="00C95E49">
        <w:t xml:space="preserve">the </w:t>
      </w:r>
      <w:r w:rsidR="003A5F97">
        <w:t xml:space="preserve">debtor’s </w:t>
      </w:r>
      <w:r w:rsidR="00C95E49">
        <w:t>submission that</w:t>
      </w:r>
      <w:r w:rsidR="00E54AB4">
        <w:t xml:space="preserve"> for the debtor to carry on</w:t>
      </w:r>
      <w:r w:rsidR="00810BAB">
        <w:t xml:space="preserve"> </w:t>
      </w:r>
      <w:r w:rsidR="00E54AB4">
        <w:t>business in Australia, it</w:t>
      </w:r>
      <w:r w:rsidR="00C95E49">
        <w:t xml:space="preserve"> is </w:t>
      </w:r>
      <w:r w:rsidR="00F55810">
        <w:t xml:space="preserve">essential </w:t>
      </w:r>
      <w:r w:rsidR="00E54AB4">
        <w:t xml:space="preserve">that </w:t>
      </w:r>
      <w:r w:rsidR="00F07756">
        <w:t>a</w:t>
      </w:r>
      <w:r w:rsidR="00C95E49">
        <w:t xml:space="preserve"> going concern </w:t>
      </w:r>
      <w:r w:rsidR="00E54AB4">
        <w:t xml:space="preserve">exist </w:t>
      </w:r>
      <w:r w:rsidR="00C95E49">
        <w:t>in Australia</w:t>
      </w:r>
      <w:r w:rsidR="00E54AB4">
        <w:t xml:space="preserve">. It </w:t>
      </w:r>
      <w:r w:rsidR="00C95E49">
        <w:t xml:space="preserve">is </w:t>
      </w:r>
      <w:r w:rsidR="00E54AB4">
        <w:t xml:space="preserve">not essential </w:t>
      </w:r>
      <w:r w:rsidR="00C95E49">
        <w:t xml:space="preserve">to demonstrate </w:t>
      </w:r>
      <w:r w:rsidR="004F6BF8">
        <w:t xml:space="preserve">actual </w:t>
      </w:r>
      <w:r w:rsidR="00C95E49">
        <w:t xml:space="preserve">trading activity in Australia. It may be enough for the creditor to demonstrate that the debtor engages in </w:t>
      </w:r>
      <w:r w:rsidR="00C95E49">
        <w:rPr>
          <w:szCs w:val="24"/>
        </w:rPr>
        <w:t xml:space="preserve">acts or transactions in Australia </w:t>
      </w:r>
      <w:r w:rsidR="007C6878">
        <w:rPr>
          <w:szCs w:val="24"/>
        </w:rPr>
        <w:t xml:space="preserve">which are </w:t>
      </w:r>
      <w:r w:rsidR="00C95E49" w:rsidRPr="00943ABB">
        <w:rPr>
          <w:szCs w:val="24"/>
        </w:rPr>
        <w:t xml:space="preserve">ancillary to </w:t>
      </w:r>
      <w:r w:rsidR="00F07756">
        <w:rPr>
          <w:szCs w:val="24"/>
        </w:rPr>
        <w:t xml:space="preserve">trading activity </w:t>
      </w:r>
      <w:r w:rsidR="00E54AB4">
        <w:rPr>
          <w:szCs w:val="24"/>
        </w:rPr>
        <w:t xml:space="preserve">conducted overseas. </w:t>
      </w:r>
      <w:r w:rsidR="00F07756">
        <w:rPr>
          <w:szCs w:val="24"/>
        </w:rPr>
        <w:t>Whether it is enough will depend upon the particular facts</w:t>
      </w:r>
      <w:r w:rsidR="000E20EA">
        <w:rPr>
          <w:szCs w:val="24"/>
        </w:rPr>
        <w:t xml:space="preserve"> of the case</w:t>
      </w:r>
      <w:r w:rsidR="00F07756">
        <w:rPr>
          <w:szCs w:val="24"/>
        </w:rPr>
        <w:t>.</w:t>
      </w:r>
    </w:p>
    <w:p w14:paraId="27D9606E" w14:textId="77777777" w:rsidR="00CC162A" w:rsidRPr="00613CA8" w:rsidRDefault="00CC162A" w:rsidP="00613CA8">
      <w:pPr>
        <w:pStyle w:val="Heading3"/>
      </w:pPr>
      <w:bookmarkStart w:id="32" w:name="_Ref77250808"/>
      <w:r w:rsidRPr="00613CA8">
        <w:t>Alleged errors in making findings of fact</w:t>
      </w:r>
      <w:bookmarkEnd w:id="32"/>
    </w:p>
    <w:p w14:paraId="27D9606F" w14:textId="77777777" w:rsidR="00053D52" w:rsidRDefault="00053D52" w:rsidP="00A87788">
      <w:pPr>
        <w:pStyle w:val="ParaNumbering"/>
      </w:pPr>
      <w:r>
        <w:t xml:space="preserve">The debtor submits that the primary judge </w:t>
      </w:r>
      <w:r w:rsidR="00902499">
        <w:t xml:space="preserve">erred </w:t>
      </w:r>
      <w:r w:rsidR="00810BAB">
        <w:t xml:space="preserve">in </w:t>
      </w:r>
      <w:r w:rsidR="00CC162A">
        <w:t>making</w:t>
      </w:r>
      <w:r w:rsidR="00475288">
        <w:t xml:space="preserve"> certain</w:t>
      </w:r>
      <w:r w:rsidR="00CC162A">
        <w:t xml:space="preserve"> findings of fact. More particularly, the debtor alleges that his Honour erred in drawing </w:t>
      </w:r>
      <w:r>
        <w:t xml:space="preserve">inferences </w:t>
      </w:r>
      <w:r w:rsidR="003A5F97">
        <w:t>from</w:t>
      </w:r>
      <w:r w:rsidR="00CC162A">
        <w:t xml:space="preserve"> findings of fact </w:t>
      </w:r>
      <w:r>
        <w:t xml:space="preserve">that </w:t>
      </w:r>
      <w:r w:rsidR="00CC162A">
        <w:t xml:space="preserve">led to </w:t>
      </w:r>
      <w:r w:rsidR="00902499">
        <w:t xml:space="preserve">a </w:t>
      </w:r>
      <w:r>
        <w:t xml:space="preserve">conclusion that the debtor was carrying on business in Australia at </w:t>
      </w:r>
      <w:r w:rsidR="00C34034">
        <w:t>12 June </w:t>
      </w:r>
      <w:r w:rsidR="00032364">
        <w:t xml:space="preserve">2018, </w:t>
      </w:r>
      <w:r>
        <w:t xml:space="preserve">the </w:t>
      </w:r>
      <w:r w:rsidR="00032364">
        <w:t>date of the act of bankruptcy</w:t>
      </w:r>
      <w:r>
        <w:t>.</w:t>
      </w:r>
    </w:p>
    <w:p w14:paraId="27D96070" w14:textId="77777777" w:rsidR="00A87788" w:rsidRDefault="00A87788" w:rsidP="00A27597">
      <w:pPr>
        <w:pStyle w:val="ParaNumbering"/>
        <w:keepNext/>
        <w:keepLines/>
      </w:pPr>
      <w:r>
        <w:t>The primary judge</w:t>
      </w:r>
      <w:r w:rsidR="004A77B8">
        <w:t>’</w:t>
      </w:r>
      <w:r w:rsidR="001E425E">
        <w:t>s reasoning proceeded as follows</w:t>
      </w:r>
      <w:r>
        <w:t>:</w:t>
      </w:r>
    </w:p>
    <w:p w14:paraId="27D96071" w14:textId="77777777" w:rsidR="00902499" w:rsidRDefault="009A3799" w:rsidP="00A27597">
      <w:pPr>
        <w:pStyle w:val="FCBullets"/>
        <w:keepNext/>
        <w:keepLines/>
      </w:pPr>
      <w:r>
        <w:t>In 2008,</w:t>
      </w:r>
      <w:r w:rsidR="00A87788">
        <w:t xml:space="preserve"> </w:t>
      </w:r>
      <w:r w:rsidR="00902499">
        <w:t xml:space="preserve">Mrs </w:t>
      </w:r>
      <w:r w:rsidR="00500BE9">
        <w:t>Donoghue</w:t>
      </w:r>
      <w:r w:rsidR="00902499">
        <w:t xml:space="preserve">, as trustee of a family trust that owns the Hamilton </w:t>
      </w:r>
      <w:r w:rsidR="000414B7">
        <w:t>property</w:t>
      </w:r>
      <w:r w:rsidR="00902499">
        <w:t xml:space="preserve">, </w:t>
      </w:r>
      <w:r w:rsidR="00A87788">
        <w:t>borrowed between $4</w:t>
      </w:r>
      <w:r>
        <w:t> </w:t>
      </w:r>
      <w:r w:rsidR="00A87788">
        <w:t>million and $5</w:t>
      </w:r>
      <w:r>
        <w:t> </w:t>
      </w:r>
      <w:r w:rsidR="00A87788">
        <w:t xml:space="preserve">million from the Commonwealth Bank for </w:t>
      </w:r>
      <w:r w:rsidR="00902499">
        <w:t>the use of the debtor in his business.</w:t>
      </w:r>
    </w:p>
    <w:p w14:paraId="27D96072" w14:textId="77777777" w:rsidR="00A87788" w:rsidRDefault="00902499" w:rsidP="00902499">
      <w:pPr>
        <w:pStyle w:val="FCBullets"/>
      </w:pPr>
      <w:r>
        <w:t>The</w:t>
      </w:r>
      <w:r w:rsidR="0037778A">
        <w:t xml:space="preserve"> Commonwealth Bank</w:t>
      </w:r>
      <w:r>
        <w:t xml:space="preserve"> loan is </w:t>
      </w:r>
      <w:r w:rsidR="001E425E">
        <w:t xml:space="preserve">secured by </w:t>
      </w:r>
      <w:r>
        <w:t xml:space="preserve">a </w:t>
      </w:r>
      <w:r w:rsidR="001E425E">
        <w:t xml:space="preserve">mortgage over the Hamilton property and the </w:t>
      </w:r>
      <w:r>
        <w:t xml:space="preserve">debtor’s </w:t>
      </w:r>
      <w:r w:rsidR="001E425E">
        <w:t>personal guarantee.</w:t>
      </w:r>
    </w:p>
    <w:p w14:paraId="27D96073" w14:textId="77777777" w:rsidR="001E425E" w:rsidRDefault="009A3799" w:rsidP="001E425E">
      <w:pPr>
        <w:pStyle w:val="FCBullets"/>
      </w:pPr>
      <w:r>
        <w:t xml:space="preserve">The </w:t>
      </w:r>
      <w:r w:rsidR="00902499">
        <w:t>debtor had, and continues</w:t>
      </w:r>
      <w:r w:rsidR="0001031D">
        <w:t xml:space="preserve"> to have,</w:t>
      </w:r>
      <w:r w:rsidR="00037F47">
        <w:t xml:space="preserve"> the use of the loan </w:t>
      </w:r>
      <w:r w:rsidR="00A87788">
        <w:t>funds</w:t>
      </w:r>
      <w:r w:rsidR="001E425E" w:rsidRPr="001E425E">
        <w:t xml:space="preserve"> </w:t>
      </w:r>
      <w:r w:rsidR="001E425E">
        <w:t xml:space="preserve">for his business, which </w:t>
      </w:r>
      <w:r w:rsidR="00032364">
        <w:t xml:space="preserve">business </w:t>
      </w:r>
      <w:r w:rsidR="001E425E">
        <w:t>is based overseas.</w:t>
      </w:r>
    </w:p>
    <w:p w14:paraId="27D96074" w14:textId="77777777" w:rsidR="009A3799" w:rsidRDefault="009A3799" w:rsidP="001E425E">
      <w:pPr>
        <w:pStyle w:val="FCBullets"/>
      </w:pPr>
      <w:r>
        <w:t xml:space="preserve">The </w:t>
      </w:r>
      <w:r w:rsidR="001E425E">
        <w:t xml:space="preserve">debtor makes monthly </w:t>
      </w:r>
      <w:r w:rsidR="00A87788">
        <w:t>payments in the order of $45,205 to Mrs Dono</w:t>
      </w:r>
      <w:r w:rsidR="001F762A">
        <w:t>g</w:t>
      </w:r>
      <w:r w:rsidR="00A87788">
        <w:t>hue</w:t>
      </w:r>
      <w:r w:rsidR="004A77B8">
        <w:t>’</w:t>
      </w:r>
      <w:r w:rsidR="00A87788">
        <w:t xml:space="preserve">s </w:t>
      </w:r>
      <w:r w:rsidR="0037778A">
        <w:t xml:space="preserve">bank </w:t>
      </w:r>
      <w:r w:rsidR="00A87788">
        <w:t>account</w:t>
      </w:r>
      <w:r w:rsidR="001E425E">
        <w:t xml:space="preserve"> in Brisbane</w:t>
      </w:r>
      <w:r w:rsidR="00A87788">
        <w:t xml:space="preserve"> and, from there, Mrs Dono</w:t>
      </w:r>
      <w:r w:rsidR="001F762A">
        <w:t>g</w:t>
      </w:r>
      <w:r w:rsidR="00A87788">
        <w:t xml:space="preserve">hue repays the </w:t>
      </w:r>
      <w:r w:rsidR="0037778A">
        <w:t xml:space="preserve">Commonwealth Bank </w:t>
      </w:r>
      <w:r w:rsidR="00A87788">
        <w:t xml:space="preserve">loan.  </w:t>
      </w:r>
    </w:p>
    <w:p w14:paraId="27D96075" w14:textId="77777777" w:rsidR="001E425E" w:rsidRDefault="001E425E" w:rsidP="00C85BF1">
      <w:pPr>
        <w:pStyle w:val="FCBullets"/>
      </w:pPr>
      <w:r>
        <w:t xml:space="preserve">An inference </w:t>
      </w:r>
      <w:r w:rsidR="00902499">
        <w:t xml:space="preserve">is available </w:t>
      </w:r>
      <w:r>
        <w:t xml:space="preserve">that the </w:t>
      </w:r>
      <w:r w:rsidR="0037778A">
        <w:t xml:space="preserve">debtor’s </w:t>
      </w:r>
      <w:r>
        <w:t>monthly repayments are made from funds from t</w:t>
      </w:r>
      <w:r w:rsidR="00902499">
        <w:t xml:space="preserve">he debtor’s </w:t>
      </w:r>
      <w:r w:rsidR="00E37DAD">
        <w:t xml:space="preserve">overseas </w:t>
      </w:r>
      <w:r w:rsidR="00902499">
        <w:t>business activities. That inference should be drawn, particularly as</w:t>
      </w:r>
      <w:r w:rsidRPr="001E425E">
        <w:t xml:space="preserve"> </w:t>
      </w:r>
      <w:r w:rsidR="00032364">
        <w:t>the debtor</w:t>
      </w:r>
      <w:r w:rsidR="00902499">
        <w:t xml:space="preserve"> </w:t>
      </w:r>
      <w:r>
        <w:t>failed to give evidence</w:t>
      </w:r>
      <w:r w:rsidR="00E37DAD">
        <w:t xml:space="preserve"> to the contrary</w:t>
      </w:r>
      <w:r>
        <w:t xml:space="preserve">.  </w:t>
      </w:r>
    </w:p>
    <w:p w14:paraId="27D96076" w14:textId="77777777" w:rsidR="00A87788" w:rsidRDefault="00564BEA" w:rsidP="00C85BF1">
      <w:pPr>
        <w:pStyle w:val="FCBullets"/>
      </w:pPr>
      <w:r>
        <w:t xml:space="preserve">The </w:t>
      </w:r>
      <w:r w:rsidR="00A87788">
        <w:t xml:space="preserve">servicing </w:t>
      </w:r>
      <w:r w:rsidR="00E37DAD">
        <w:t xml:space="preserve">in Australia </w:t>
      </w:r>
      <w:r>
        <w:t xml:space="preserve">of </w:t>
      </w:r>
      <w:r w:rsidR="00A87788">
        <w:t>the</w:t>
      </w:r>
      <w:r w:rsidR="00E37DAD">
        <w:t xml:space="preserve"> loan obtained </w:t>
      </w:r>
      <w:r w:rsidR="00A87788">
        <w:t>for the purposes of the debtor</w:t>
      </w:r>
      <w:r w:rsidR="004A77B8">
        <w:t>’</w:t>
      </w:r>
      <w:r w:rsidR="002D2186">
        <w:t>s business forms</w:t>
      </w:r>
      <w:r w:rsidR="00A87788">
        <w:t xml:space="preserve"> part of the debtor</w:t>
      </w:r>
      <w:r>
        <w:t>’</w:t>
      </w:r>
      <w:r w:rsidR="00A87788">
        <w:t>s business.</w:t>
      </w:r>
    </w:p>
    <w:p w14:paraId="27D96077" w14:textId="77777777" w:rsidR="00A87788" w:rsidRDefault="00564BEA" w:rsidP="009A3799">
      <w:pPr>
        <w:pStyle w:val="FCBullets"/>
      </w:pPr>
      <w:r>
        <w:t xml:space="preserve">In </w:t>
      </w:r>
      <w:r w:rsidR="00A87788">
        <w:t xml:space="preserve">circumstances where the loan was obtained in Australia, </w:t>
      </w:r>
      <w:r w:rsidR="0096372E">
        <w:t xml:space="preserve">the debtor </w:t>
      </w:r>
      <w:r w:rsidR="00A87788">
        <w:t xml:space="preserve">relies upon security in Australia and repayments are made in Australia from </w:t>
      </w:r>
      <w:r w:rsidR="001E425E">
        <w:t xml:space="preserve">funds received from </w:t>
      </w:r>
      <w:r w:rsidR="00A87788">
        <w:t>the debtor</w:t>
      </w:r>
      <w:r>
        <w:t>’</w:t>
      </w:r>
      <w:r w:rsidR="00A87788">
        <w:t>s business, the debtor was carrying on business in Australia</w:t>
      </w:r>
      <w:r w:rsidR="006E7A91">
        <w:t xml:space="preserve"> at the date of the act of bankruptcy</w:t>
      </w:r>
      <w:r w:rsidR="00A87788">
        <w:t>.</w:t>
      </w:r>
    </w:p>
    <w:p w14:paraId="27D96078" w14:textId="77777777" w:rsidR="00C65B53" w:rsidRDefault="00D31F41" w:rsidP="0014113D">
      <w:pPr>
        <w:pStyle w:val="FCBullets"/>
        <w:keepNext/>
        <w:keepLines/>
      </w:pPr>
      <w:r>
        <w:lastRenderedPageBreak/>
        <w:t>Alternatively</w:t>
      </w:r>
      <w:r w:rsidR="00A87788">
        <w:t>, to the extent that there is an arrangement between the debtor and Mrs</w:t>
      </w:r>
      <w:r>
        <w:t> </w:t>
      </w:r>
      <w:r w:rsidR="00A87788">
        <w:t>Dono</w:t>
      </w:r>
      <w:r w:rsidR="001F762A">
        <w:t>g</w:t>
      </w:r>
      <w:r w:rsidR="00A87788">
        <w:t xml:space="preserve">hue </w:t>
      </w:r>
      <w:r w:rsidR="001E425E">
        <w:t xml:space="preserve">in respect </w:t>
      </w:r>
      <w:r w:rsidR="00A87788">
        <w:t xml:space="preserve">of the Commonwealth </w:t>
      </w:r>
      <w:r>
        <w:t xml:space="preserve">Bank </w:t>
      </w:r>
      <w:r w:rsidR="001E425E">
        <w:t xml:space="preserve">loan, </w:t>
      </w:r>
      <w:r w:rsidR="00A87788">
        <w:t>that arrangement constitutes the carrying on of business in Australia</w:t>
      </w:r>
      <w:r w:rsidR="001E425E" w:rsidRPr="001E425E">
        <w:t xml:space="preserve"> </w:t>
      </w:r>
      <w:r w:rsidR="001E425E">
        <w:t>because it is a facility that the debtor organised to enable funds to be obtained for the purposes of his business</w:t>
      </w:r>
      <w:r w:rsidR="00A87788">
        <w:t xml:space="preserve">.  </w:t>
      </w:r>
    </w:p>
    <w:p w14:paraId="27D96079" w14:textId="77777777" w:rsidR="002F1393" w:rsidRDefault="00D10223" w:rsidP="006E7A91">
      <w:pPr>
        <w:pStyle w:val="ParaNumbering"/>
      </w:pPr>
      <w:r>
        <w:t xml:space="preserve">The </w:t>
      </w:r>
      <w:r w:rsidR="00A87788">
        <w:t xml:space="preserve">debtor submits that </w:t>
      </w:r>
      <w:r w:rsidR="001E425E">
        <w:t xml:space="preserve">several </w:t>
      </w:r>
      <w:r w:rsidR="00A87788">
        <w:t>of the findi</w:t>
      </w:r>
      <w:r w:rsidR="001E425E">
        <w:t>ngs made by the primary judge along</w:t>
      </w:r>
      <w:r w:rsidR="00A87788">
        <w:t xml:space="preserve"> this pat</w:t>
      </w:r>
      <w:r>
        <w:t>h</w:t>
      </w:r>
      <w:r w:rsidR="006E7A91">
        <w:t xml:space="preserve"> of reasoning were wrong. </w:t>
      </w:r>
      <w:r w:rsidR="002F1393">
        <w:t xml:space="preserve">The debtor takes as the starting point </w:t>
      </w:r>
      <w:r w:rsidR="00037F47">
        <w:t xml:space="preserve">for his arguments </w:t>
      </w:r>
      <w:r w:rsidR="002F1393">
        <w:t xml:space="preserve">that </w:t>
      </w:r>
      <w:r w:rsidR="00032364">
        <w:t xml:space="preserve">it was for </w:t>
      </w:r>
      <w:r w:rsidR="002F1393">
        <w:t xml:space="preserve">the creditor to prove </w:t>
      </w:r>
      <w:r w:rsidR="00037F47">
        <w:t>on the balance of probabilities</w:t>
      </w:r>
      <w:r w:rsidR="002D2186" w:rsidRPr="002D2186">
        <w:t xml:space="preserve"> </w:t>
      </w:r>
      <w:r w:rsidR="002D2186">
        <w:t>that the Federal Circuit Court had jurisdiction</w:t>
      </w:r>
      <w:r w:rsidR="002F1393">
        <w:t xml:space="preserve">, and </w:t>
      </w:r>
      <w:r w:rsidR="00037F47">
        <w:t>to do so having</w:t>
      </w:r>
      <w:r w:rsidR="00FE28D6">
        <w:t xml:space="preserve"> regard to</w:t>
      </w:r>
      <w:r w:rsidR="00037F47">
        <w:t xml:space="preserve"> the matters prescribed in</w:t>
      </w:r>
      <w:r w:rsidR="00FE28D6">
        <w:t xml:space="preserve"> s </w:t>
      </w:r>
      <w:r w:rsidR="002F1393">
        <w:t>140</w:t>
      </w:r>
      <w:r w:rsidR="00037F47">
        <w:t>(2)</w:t>
      </w:r>
      <w:r w:rsidR="002F1393">
        <w:t xml:space="preserve"> of the </w:t>
      </w:r>
      <w:r w:rsidR="002F1393" w:rsidRPr="006E7A91">
        <w:rPr>
          <w:i/>
        </w:rPr>
        <w:t xml:space="preserve">Evidence Act 1995 </w:t>
      </w:r>
      <w:r w:rsidR="002F1393">
        <w:t>(</w:t>
      </w:r>
      <w:proofErr w:type="spellStart"/>
      <w:r w:rsidR="002F1393">
        <w:t>Cth</w:t>
      </w:r>
      <w:proofErr w:type="spellEnd"/>
      <w:r w:rsidR="002F1393">
        <w:t>)</w:t>
      </w:r>
      <w:r w:rsidR="00037F47">
        <w:t xml:space="preserve">. Section 140 of the </w:t>
      </w:r>
      <w:r w:rsidR="00037F47" w:rsidRPr="00037F47">
        <w:rPr>
          <w:i/>
        </w:rPr>
        <w:t>Evidence Act</w:t>
      </w:r>
      <w:r w:rsidR="00913246">
        <w:t xml:space="preserve"> </w:t>
      </w:r>
      <w:r w:rsidR="002F1393">
        <w:t>provides:</w:t>
      </w:r>
    </w:p>
    <w:p w14:paraId="27D9607A" w14:textId="77777777" w:rsidR="002F1393" w:rsidRDefault="002F1393" w:rsidP="00613CA8">
      <w:pPr>
        <w:pStyle w:val="Quote1"/>
        <w:ind w:left="1440" w:hanging="703"/>
      </w:pPr>
      <w:r>
        <w:t>(1)</w:t>
      </w:r>
      <w:r>
        <w:tab/>
        <w:t>In a civil proceeding, the court must find the case of a party proved if it is satisfied that the case has been proved on the balance of probabilities.</w:t>
      </w:r>
    </w:p>
    <w:p w14:paraId="27D9607B" w14:textId="77777777" w:rsidR="002F1393" w:rsidRDefault="002F1393" w:rsidP="00613CA8">
      <w:pPr>
        <w:pStyle w:val="Quote1"/>
        <w:ind w:left="1440" w:hanging="703"/>
      </w:pPr>
      <w:r>
        <w:t>(2)</w:t>
      </w:r>
      <w:r>
        <w:tab/>
        <w:t>Without limiting the matters that the court may take into account in deciding whether it is so satisfied, it is to take into account:</w:t>
      </w:r>
    </w:p>
    <w:p w14:paraId="27D9607C" w14:textId="77777777" w:rsidR="002F1393" w:rsidRDefault="002F1393" w:rsidP="00613CA8">
      <w:pPr>
        <w:pStyle w:val="Quote2"/>
      </w:pPr>
      <w:r>
        <w:t>(a)</w:t>
      </w:r>
      <w:r>
        <w:tab/>
        <w:t>the nature of the cause of action or defence; and</w:t>
      </w:r>
    </w:p>
    <w:p w14:paraId="27D9607D" w14:textId="77777777" w:rsidR="002F1393" w:rsidRDefault="002F1393" w:rsidP="00613CA8">
      <w:pPr>
        <w:pStyle w:val="Quote2"/>
      </w:pPr>
      <w:r>
        <w:t>(b)</w:t>
      </w:r>
      <w:r>
        <w:tab/>
        <w:t>the nature of the subject matter of the proceeding; and</w:t>
      </w:r>
    </w:p>
    <w:p w14:paraId="27D9607E" w14:textId="77777777" w:rsidR="002F1393" w:rsidRDefault="002F1393" w:rsidP="00613CA8">
      <w:pPr>
        <w:pStyle w:val="Quote2"/>
      </w:pPr>
      <w:r>
        <w:t>(c)</w:t>
      </w:r>
      <w:r>
        <w:tab/>
        <w:t>the gravity of the matters alleged.</w:t>
      </w:r>
    </w:p>
    <w:p w14:paraId="27D9607F" w14:textId="77777777" w:rsidR="002F1393" w:rsidRDefault="002F1393" w:rsidP="002F1393">
      <w:pPr>
        <w:pStyle w:val="ParaNumbering"/>
      </w:pPr>
      <w:r>
        <w:t xml:space="preserve">In </w:t>
      </w:r>
      <w:r w:rsidRPr="0000266B">
        <w:rPr>
          <w:i/>
        </w:rPr>
        <w:t>Communications, Electrical, Electronic, Energy, Information, Postal, Plumbing and Allied Services Union of Australia v Australian Competition and Consumer Commission</w:t>
      </w:r>
      <w:r w:rsidRPr="0000266B">
        <w:t xml:space="preserve"> (2007) 162 FCR 466</w:t>
      </w:r>
      <w:r>
        <w:t xml:space="preserve"> at [31], </w:t>
      </w:r>
      <w:r w:rsidR="00037F47">
        <w:t xml:space="preserve">the Full Court </w:t>
      </w:r>
      <w:r>
        <w:t xml:space="preserve">observed that Dixon J’s </w:t>
      </w:r>
      <w:r w:rsidR="00037F47">
        <w:t xml:space="preserve">explanation of the civil standard of proof </w:t>
      </w:r>
      <w:r>
        <w:t xml:space="preserve">in </w:t>
      </w:r>
      <w:proofErr w:type="spellStart"/>
      <w:r w:rsidRPr="0000266B">
        <w:rPr>
          <w:i/>
        </w:rPr>
        <w:t>Briginshaw</w:t>
      </w:r>
      <w:proofErr w:type="spellEnd"/>
      <w:r w:rsidRPr="0000266B">
        <w:rPr>
          <w:i/>
        </w:rPr>
        <w:t xml:space="preserve"> v </w:t>
      </w:r>
      <w:proofErr w:type="spellStart"/>
      <w:r w:rsidRPr="0000266B">
        <w:rPr>
          <w:i/>
        </w:rPr>
        <w:t>Briginshaw</w:t>
      </w:r>
      <w:proofErr w:type="spellEnd"/>
      <w:r w:rsidRPr="0000266B">
        <w:t xml:space="preserve"> (1938) 60 CLR 336</w:t>
      </w:r>
      <w:r w:rsidR="00037F47">
        <w:t xml:space="preserve"> at 361-363</w:t>
      </w:r>
      <w:r w:rsidR="00B7122C">
        <w:t>,</w:t>
      </w:r>
      <w:r>
        <w:t xml:space="preserve"> </w:t>
      </w:r>
      <w:r w:rsidR="00B7122C">
        <w:t>“</w:t>
      </w:r>
      <w:r>
        <w:t xml:space="preserve">appositely expresses the considerations which s 140(2) of the </w:t>
      </w:r>
      <w:r w:rsidRPr="00BE2CE1">
        <w:rPr>
          <w:i/>
        </w:rPr>
        <w:t>Evidence Act</w:t>
      </w:r>
      <w:r>
        <w:t xml:space="preserve"> now requires a Court to take into account</w:t>
      </w:r>
      <w:r w:rsidR="00B7122C">
        <w:t>”</w:t>
      </w:r>
      <w:r>
        <w:t xml:space="preserve">. The consequences of a sequestration order have been described as quasi-penal: </w:t>
      </w:r>
      <w:r w:rsidRPr="0000266B">
        <w:rPr>
          <w:i/>
        </w:rPr>
        <w:t xml:space="preserve">Hamilton v Warne </w:t>
      </w:r>
      <w:r w:rsidRPr="0000266B">
        <w:t>(1907) 4 CLR 1293</w:t>
      </w:r>
      <w:r>
        <w:t xml:space="preserve"> at 1297, 1300 and 1302; </w:t>
      </w:r>
      <w:r w:rsidRPr="0000266B">
        <w:rPr>
          <w:i/>
        </w:rPr>
        <w:t>Ahern v Deputy Commissioner of Taxation</w:t>
      </w:r>
      <w:r w:rsidRPr="0000266B">
        <w:t xml:space="preserve"> </w:t>
      </w:r>
      <w:r w:rsidRPr="00156ADE">
        <w:rPr>
          <w:i/>
        </w:rPr>
        <w:t>(Qld)</w:t>
      </w:r>
      <w:r w:rsidRPr="0000266B">
        <w:t xml:space="preserve"> </w:t>
      </w:r>
      <w:r w:rsidR="00032364" w:rsidRPr="0000266B">
        <w:t>(</w:t>
      </w:r>
      <w:r w:rsidRPr="0000266B">
        <w:t>1</w:t>
      </w:r>
      <w:r w:rsidR="00032364" w:rsidRPr="0000266B">
        <w:t>9</w:t>
      </w:r>
      <w:r w:rsidRPr="0000266B">
        <w:t>87</w:t>
      </w:r>
      <w:r w:rsidR="00032364" w:rsidRPr="0000266B">
        <w:t>) 76 ALR 137</w:t>
      </w:r>
      <w:r w:rsidR="00032364">
        <w:t xml:space="preserve"> at 148. These consequences call</w:t>
      </w:r>
      <w:r>
        <w:t xml:space="preserve"> for the application of the</w:t>
      </w:r>
      <w:r w:rsidRPr="002F1393">
        <w:rPr>
          <w:i/>
        </w:rPr>
        <w:t xml:space="preserve"> </w:t>
      </w:r>
      <w:proofErr w:type="spellStart"/>
      <w:r w:rsidRPr="002F1393">
        <w:rPr>
          <w:i/>
        </w:rPr>
        <w:t>Briginshaw</w:t>
      </w:r>
      <w:proofErr w:type="spellEnd"/>
      <w:r w:rsidRPr="002F1393">
        <w:rPr>
          <w:i/>
        </w:rPr>
        <w:t xml:space="preserve"> </w:t>
      </w:r>
      <w:r w:rsidRPr="004361A1">
        <w:t>principle</w:t>
      </w:r>
      <w:r>
        <w:t xml:space="preserve">.  In particular, a creditor will not make out its case by inexact proofs, indefinite testimony or indirect references.  </w:t>
      </w:r>
    </w:p>
    <w:p w14:paraId="27D96080" w14:textId="77777777" w:rsidR="002F1393" w:rsidRDefault="002F1393" w:rsidP="002F1393">
      <w:pPr>
        <w:pStyle w:val="ParaNumbering"/>
      </w:pPr>
      <w:r>
        <w:t xml:space="preserve">Nevertheless, </w:t>
      </w:r>
      <w:r w:rsidR="00032364">
        <w:t>the standard remain</w:t>
      </w:r>
      <w:r w:rsidR="001F762A">
        <w:t>s</w:t>
      </w:r>
      <w:r w:rsidR="000618C7">
        <w:t xml:space="preserve"> the balance of probabilities</w:t>
      </w:r>
      <w:r w:rsidR="005D5E93">
        <w:t>.</w:t>
      </w:r>
      <w:r w:rsidR="000618C7">
        <w:t xml:space="preserve"> Further, </w:t>
      </w:r>
      <w:r>
        <w:t>there is no</w:t>
      </w:r>
      <w:r w:rsidR="00032364">
        <w:t xml:space="preserve"> requirement that a creditor may</w:t>
      </w:r>
      <w:r>
        <w:t xml:space="preserve"> only rely upon direct evidence.  Appropriate inferences may be drawn.</w:t>
      </w:r>
    </w:p>
    <w:p w14:paraId="27D96081" w14:textId="77777777" w:rsidR="00EB0753" w:rsidRDefault="00E37DAD" w:rsidP="00EB0753">
      <w:pPr>
        <w:pStyle w:val="ParaNumbering"/>
        <w:rPr>
          <w:lang w:eastAsia="en-AU"/>
        </w:rPr>
      </w:pPr>
      <w:r>
        <w:t>In</w:t>
      </w:r>
      <w:r w:rsidR="00EB0753">
        <w:t xml:space="preserve"> </w:t>
      </w:r>
      <w:r w:rsidR="00EB0753" w:rsidRPr="0000266B">
        <w:rPr>
          <w:i/>
          <w:iCs/>
        </w:rPr>
        <w:t xml:space="preserve">G v H </w:t>
      </w:r>
      <w:r w:rsidR="00EB0753" w:rsidRPr="0000266B">
        <w:t>(1994) 181 CLR 387</w:t>
      </w:r>
      <w:r w:rsidR="00EB0753">
        <w:t>, Brennan and McHugh JJ at 390</w:t>
      </w:r>
      <w:r>
        <w:t xml:space="preserve"> explained the circumstances in which inferences may be drawn</w:t>
      </w:r>
      <w:r w:rsidR="00EB0753">
        <w:t>:</w:t>
      </w:r>
    </w:p>
    <w:p w14:paraId="27D96082" w14:textId="77777777" w:rsidR="00EB0753" w:rsidRPr="005238B7" w:rsidRDefault="005238B7" w:rsidP="005238B7">
      <w:pPr>
        <w:pStyle w:val="Quote1"/>
        <w:rPr>
          <w:szCs w:val="22"/>
        </w:rPr>
      </w:pPr>
      <w:r w:rsidRPr="005238B7">
        <w:t xml:space="preserve">An inference is a tentative or final assent to the existence of a fact which the drawer of the inference bases on the existence of some other fact or facts. The drawing of an inference is an exercise of the ordinary powers of human reason in the light of human </w:t>
      </w:r>
      <w:r w:rsidRPr="005238B7">
        <w:lastRenderedPageBreak/>
        <w:t>experience; it is not affected directly by any rule of law.</w:t>
      </w:r>
    </w:p>
    <w:p w14:paraId="27D96083" w14:textId="77777777" w:rsidR="00EB0753" w:rsidRDefault="00EB0753" w:rsidP="00EB0753">
      <w:pPr>
        <w:pStyle w:val="ParaNumbering"/>
      </w:pPr>
      <w:r>
        <w:t xml:space="preserve">In </w:t>
      </w:r>
      <w:r w:rsidRPr="0000266B">
        <w:rPr>
          <w:i/>
          <w:iCs/>
        </w:rPr>
        <w:t xml:space="preserve">Henderson v </w:t>
      </w:r>
      <w:r w:rsidR="007C6878">
        <w:rPr>
          <w:i/>
          <w:iCs/>
        </w:rPr>
        <w:t xml:space="preserve">State of </w:t>
      </w:r>
      <w:r w:rsidRPr="0000266B">
        <w:rPr>
          <w:i/>
          <w:iCs/>
        </w:rPr>
        <w:t>Queensland</w:t>
      </w:r>
      <w:r w:rsidRPr="0000266B">
        <w:t xml:space="preserve"> (2014) 255 CLR 1</w:t>
      </w:r>
      <w:r>
        <w:t xml:space="preserve">, </w:t>
      </w:r>
      <w:proofErr w:type="spellStart"/>
      <w:r>
        <w:t>Gageler</w:t>
      </w:r>
      <w:proofErr w:type="spellEnd"/>
      <w:r>
        <w:t xml:space="preserve"> J observed at [89]:</w:t>
      </w:r>
    </w:p>
    <w:p w14:paraId="27D96084" w14:textId="77777777" w:rsidR="00EB0753" w:rsidRPr="005238B7" w:rsidRDefault="005238B7" w:rsidP="005238B7">
      <w:pPr>
        <w:pStyle w:val="Quote1"/>
      </w:pPr>
      <w:r w:rsidRPr="005238B7">
        <w:t xml:space="preserve">Generally speaking, and subject always to statutory modification, a party who bears the legal burden of proving the happening of an event or the existence of a state of affairs on the balance of probabilities can discharge that burden by adducing evidence of some fact the existence of which, in the absence of further evidence, is sufficient to justify the drawing of an inference that it is more likely than not that the event occurred or that the state of affairs exists. The threshold requirement for the party bearing the burden of proof to adduce evidence at least to establish some fact which provides the basis for such a further inference was explained by </w:t>
      </w:r>
      <w:proofErr w:type="spellStart"/>
      <w:r w:rsidRPr="005238B7">
        <w:t>Kitto</w:t>
      </w:r>
      <w:proofErr w:type="spellEnd"/>
      <w:r w:rsidRPr="005238B7">
        <w:t xml:space="preserve"> J in </w:t>
      </w:r>
      <w:r w:rsidRPr="005238B7">
        <w:rPr>
          <w:i/>
        </w:rPr>
        <w:t xml:space="preserve">Jones v </w:t>
      </w:r>
      <w:proofErr w:type="spellStart"/>
      <w:r w:rsidRPr="005238B7">
        <w:rPr>
          <w:i/>
        </w:rPr>
        <w:t>Dunkel</w:t>
      </w:r>
      <w:proofErr w:type="spellEnd"/>
      <w:r w:rsidR="00BC2E18">
        <w:rPr>
          <w:i/>
        </w:rPr>
        <w:t xml:space="preserve"> </w:t>
      </w:r>
      <w:r w:rsidR="00BC2E18">
        <w:t>[(1959) 101 CLR 298 at 305]</w:t>
      </w:r>
      <w:r w:rsidRPr="005238B7">
        <w:t>:</w:t>
      </w:r>
    </w:p>
    <w:p w14:paraId="27D96085" w14:textId="77777777" w:rsidR="00EB0753" w:rsidRPr="005238B7" w:rsidRDefault="005238B7" w:rsidP="005238B7">
      <w:pPr>
        <w:pStyle w:val="Quote2"/>
      </w:pPr>
      <w:r w:rsidRPr="005238B7">
        <w:t>One does not pass from the realm of conjecture into the realm of inference until some fact is found which positively suggests, that is to say provides a reason, special to the particular case under consideration, for thinking it likely that in that actual case a specific event happened or a specific state of affairs existed.</w:t>
      </w:r>
    </w:p>
    <w:p w14:paraId="27D96086" w14:textId="77777777" w:rsidR="00EB0753" w:rsidRDefault="00EB0753" w:rsidP="00EB0753">
      <w:pPr>
        <w:pStyle w:val="ParaNumbering"/>
      </w:pPr>
      <w:r>
        <w:t xml:space="preserve">The facts proved must give rise to a reasonable and definite inference, </w:t>
      </w:r>
      <w:r w:rsidR="00032364">
        <w:t xml:space="preserve">and </w:t>
      </w:r>
      <w:r>
        <w:t xml:space="preserve">not merely to conflicting inferences of equal degree of probability so that the choice between them is a mere matter of conjecture: </w:t>
      </w:r>
      <w:r>
        <w:rPr>
          <w:i/>
          <w:iCs/>
        </w:rPr>
        <w:t xml:space="preserve">Jones v </w:t>
      </w:r>
      <w:proofErr w:type="spellStart"/>
      <w:r>
        <w:rPr>
          <w:i/>
          <w:iCs/>
        </w:rPr>
        <w:t>Dunkel</w:t>
      </w:r>
      <w:proofErr w:type="spellEnd"/>
      <w:r>
        <w:t xml:space="preserve"> </w:t>
      </w:r>
      <w:r w:rsidR="00BB58C6">
        <w:t xml:space="preserve">(1959) 101 CLR 298 </w:t>
      </w:r>
      <w:r>
        <w:t>at 304</w:t>
      </w:r>
      <w:r w:rsidR="0093325B">
        <w:t>-305, 309-310, 317</w:t>
      </w:r>
      <w:r>
        <w:t xml:space="preserve">; </w:t>
      </w:r>
      <w:proofErr w:type="spellStart"/>
      <w:r w:rsidRPr="0000266B">
        <w:rPr>
          <w:i/>
          <w:iCs/>
        </w:rPr>
        <w:t>Girlock</w:t>
      </w:r>
      <w:proofErr w:type="spellEnd"/>
      <w:r w:rsidRPr="0000266B">
        <w:rPr>
          <w:i/>
          <w:iCs/>
        </w:rPr>
        <w:t xml:space="preserve"> (Sales) Pty Ltd v </w:t>
      </w:r>
      <w:proofErr w:type="spellStart"/>
      <w:r w:rsidRPr="0000266B">
        <w:rPr>
          <w:i/>
          <w:iCs/>
        </w:rPr>
        <w:t>Hurrell</w:t>
      </w:r>
      <w:proofErr w:type="spellEnd"/>
      <w:r w:rsidRPr="0000266B">
        <w:t xml:space="preserve"> (1982) 149 CLR 155</w:t>
      </w:r>
      <w:r>
        <w:t xml:space="preserve"> at 161–162; </w:t>
      </w:r>
      <w:r w:rsidRPr="0000266B">
        <w:rPr>
          <w:i/>
          <w:iCs/>
        </w:rPr>
        <w:t xml:space="preserve">Trustees of the Property of Cummins (A Bankrupt) v Cummins </w:t>
      </w:r>
      <w:r w:rsidRPr="0000266B">
        <w:t>(2006) 227 CLR 278</w:t>
      </w:r>
      <w:r>
        <w:t xml:space="preserve"> at [34].</w:t>
      </w:r>
    </w:p>
    <w:p w14:paraId="27D96087" w14:textId="77777777" w:rsidR="002F1393" w:rsidRPr="00E44813" w:rsidRDefault="00EB0753" w:rsidP="008F5096">
      <w:pPr>
        <w:pStyle w:val="ParaNumbering"/>
        <w:rPr>
          <w:szCs w:val="24"/>
        </w:rPr>
      </w:pPr>
      <w:r w:rsidRPr="00E44813">
        <w:rPr>
          <w:szCs w:val="24"/>
        </w:rPr>
        <w:t xml:space="preserve">In </w:t>
      </w:r>
      <w:r w:rsidRPr="0000266B">
        <w:rPr>
          <w:bCs/>
          <w:i/>
          <w:szCs w:val="24"/>
          <w:lang w:eastAsia="en-AU"/>
        </w:rPr>
        <w:t xml:space="preserve">Australian Information Commissioner v Facebook </w:t>
      </w:r>
      <w:proofErr w:type="spellStart"/>
      <w:r w:rsidRPr="0000266B">
        <w:rPr>
          <w:bCs/>
          <w:i/>
          <w:szCs w:val="24"/>
          <w:lang w:eastAsia="en-AU"/>
        </w:rPr>
        <w:t>Inc</w:t>
      </w:r>
      <w:proofErr w:type="spellEnd"/>
      <w:r w:rsidRPr="0000266B">
        <w:rPr>
          <w:bCs/>
          <w:i/>
          <w:szCs w:val="24"/>
          <w:lang w:eastAsia="en-AU"/>
        </w:rPr>
        <w:t xml:space="preserve"> (No 2)</w:t>
      </w:r>
      <w:r w:rsidRPr="00E44813">
        <w:rPr>
          <w:bCs/>
          <w:szCs w:val="24"/>
          <w:lang w:eastAsia="en-AU"/>
        </w:rPr>
        <w:t xml:space="preserve">, Thawley J </w:t>
      </w:r>
      <w:r w:rsidR="00032364" w:rsidRPr="00E44813">
        <w:rPr>
          <w:bCs/>
          <w:szCs w:val="24"/>
          <w:lang w:eastAsia="en-AU"/>
        </w:rPr>
        <w:t xml:space="preserve">summarised some </w:t>
      </w:r>
      <w:r w:rsidR="002D2186">
        <w:rPr>
          <w:bCs/>
          <w:szCs w:val="24"/>
          <w:lang w:eastAsia="en-AU"/>
        </w:rPr>
        <w:t xml:space="preserve">further principles </w:t>
      </w:r>
      <w:r w:rsidR="00032364" w:rsidRPr="00E44813">
        <w:rPr>
          <w:bCs/>
          <w:szCs w:val="24"/>
          <w:lang w:eastAsia="en-AU"/>
        </w:rPr>
        <w:t>at</w:t>
      </w:r>
      <w:r w:rsidR="006B2FDE">
        <w:rPr>
          <w:bCs/>
          <w:szCs w:val="24"/>
          <w:lang w:eastAsia="en-AU"/>
        </w:rPr>
        <w:t xml:space="preserve"> </w:t>
      </w:r>
      <w:r w:rsidR="0093325B">
        <w:rPr>
          <w:bCs/>
          <w:szCs w:val="24"/>
          <w:lang w:eastAsia="en-AU"/>
        </w:rPr>
        <w:t>[38]</w:t>
      </w:r>
      <w:r w:rsidRPr="000618C7">
        <w:rPr>
          <w:bCs/>
          <w:szCs w:val="24"/>
          <w:lang w:eastAsia="en-AU"/>
        </w:rPr>
        <w:t>:</w:t>
      </w:r>
    </w:p>
    <w:p w14:paraId="27D96088" w14:textId="77777777" w:rsidR="006B2FDE" w:rsidRDefault="006B2FDE" w:rsidP="008F5096">
      <w:pPr>
        <w:pStyle w:val="Quote1"/>
        <w:ind w:left="1440" w:hanging="703"/>
        <w:rPr>
          <w:lang w:eastAsia="en-AU"/>
        </w:rPr>
      </w:pPr>
      <w:r>
        <w:rPr>
          <w:lang w:eastAsia="en-AU"/>
        </w:rPr>
        <w:t>(1)</w:t>
      </w:r>
      <w:r>
        <w:rPr>
          <w:lang w:eastAsia="en-AU"/>
        </w:rPr>
        <w:tab/>
        <w:t>First, there can be no inference unless there are objective facts from which to infer the fact which it is sought to establish.</w:t>
      </w:r>
    </w:p>
    <w:p w14:paraId="27D96089" w14:textId="77777777" w:rsidR="006B2FDE" w:rsidRDefault="006B2FDE" w:rsidP="006B2FDE">
      <w:pPr>
        <w:pStyle w:val="Quote1"/>
        <w:ind w:left="1440" w:hanging="703"/>
        <w:rPr>
          <w:lang w:eastAsia="en-AU"/>
        </w:rPr>
      </w:pPr>
      <w:r>
        <w:rPr>
          <w:lang w:eastAsia="en-AU"/>
        </w:rPr>
        <w:t>(2)</w:t>
      </w:r>
      <w:r>
        <w:rPr>
          <w:lang w:eastAsia="en-AU"/>
        </w:rPr>
        <w:tab/>
        <w:t>Secondly, the making of a finding of fact through a process of inference can involve combining facts like strands in a cable or links in a chain. An inference can be drawn on the basis of circumstantial evidence.</w:t>
      </w:r>
    </w:p>
    <w:p w14:paraId="27D9608A" w14:textId="77777777" w:rsidR="006B2FDE" w:rsidRDefault="006B2FDE" w:rsidP="008F5096">
      <w:pPr>
        <w:pStyle w:val="Quote1"/>
        <w:keepNext/>
        <w:keepLines/>
        <w:ind w:left="1440" w:hanging="703"/>
        <w:rPr>
          <w:lang w:eastAsia="en-AU"/>
        </w:rPr>
      </w:pPr>
      <w:r>
        <w:rPr>
          <w:lang w:eastAsia="en-AU"/>
        </w:rPr>
        <w:t>(3)</w:t>
      </w:r>
      <w:r>
        <w:rPr>
          <w:lang w:eastAsia="en-AU"/>
        </w:rPr>
        <w:tab/>
        <w:t>Thirdly, where it is the civil standard of the balance of probabilities that applies, the inference cannot be drawn if the evidence only establishes a possibility; the inference can only be drawn if the evidence establishes that the inferred fact is more probable than not.</w:t>
      </w:r>
    </w:p>
    <w:p w14:paraId="27D9608B" w14:textId="77777777" w:rsidR="00EB0753" w:rsidRPr="00B835DD" w:rsidRDefault="006B2FDE" w:rsidP="008F5096">
      <w:pPr>
        <w:pStyle w:val="Quote1"/>
        <w:keepNext/>
        <w:keepLines/>
        <w:rPr>
          <w:lang w:eastAsia="en-AU"/>
        </w:rPr>
      </w:pPr>
      <w:r>
        <w:rPr>
          <w:lang w:eastAsia="en-AU"/>
        </w:rPr>
        <w:t>(Citations omitted.)</w:t>
      </w:r>
    </w:p>
    <w:p w14:paraId="27D9608C" w14:textId="77777777" w:rsidR="00A87788" w:rsidRDefault="00A87788" w:rsidP="00B93226">
      <w:pPr>
        <w:pStyle w:val="ParaNumbering"/>
      </w:pPr>
      <w:r>
        <w:t xml:space="preserve">The debtor submits that </w:t>
      </w:r>
      <w:r w:rsidR="00D10223">
        <w:t xml:space="preserve">his </w:t>
      </w:r>
      <w:r>
        <w:t>Honour erred in finding that any relevant business operated by the debtor was the debtor</w:t>
      </w:r>
      <w:r w:rsidR="00D10223">
        <w:t>’</w:t>
      </w:r>
      <w:r>
        <w:t>s own business.</w:t>
      </w:r>
      <w:r w:rsidR="00B93226">
        <w:t xml:space="preserve"> </w:t>
      </w:r>
      <w:r>
        <w:t xml:space="preserve">In </w:t>
      </w:r>
      <w:r w:rsidR="00D10223" w:rsidRPr="0000266B">
        <w:rPr>
          <w:i/>
        </w:rPr>
        <w:t>Turner v Trevorrow</w:t>
      </w:r>
      <w:r w:rsidRPr="0000266B">
        <w:t xml:space="preserve"> </w:t>
      </w:r>
      <w:r w:rsidR="00D10223" w:rsidRPr="0000266B">
        <w:t>(</w:t>
      </w:r>
      <w:r w:rsidRPr="0000266B">
        <w:t>19</w:t>
      </w:r>
      <w:r w:rsidR="00D10223" w:rsidRPr="0000266B">
        <w:t xml:space="preserve">94) </w:t>
      </w:r>
      <w:r w:rsidRPr="0000266B">
        <w:t>49 FCR 566</w:t>
      </w:r>
      <w:r w:rsidR="00B93226">
        <w:t xml:space="preserve"> at 572</w:t>
      </w:r>
      <w:r>
        <w:t xml:space="preserve">, the </w:t>
      </w:r>
      <w:r w:rsidR="00D10223">
        <w:t xml:space="preserve">Full Court </w:t>
      </w:r>
      <w:r>
        <w:t xml:space="preserve">held that for a debtor to come within </w:t>
      </w:r>
      <w:r w:rsidR="00D10223">
        <w:t>s </w:t>
      </w:r>
      <w:r>
        <w:t>43(</w:t>
      </w:r>
      <w:r w:rsidR="00D10223">
        <w:t>1</w:t>
      </w:r>
      <w:r>
        <w:t>)(</w:t>
      </w:r>
      <w:r w:rsidR="00D10223">
        <w:t>b</w:t>
      </w:r>
      <w:r>
        <w:t>)(</w:t>
      </w:r>
      <w:r w:rsidR="00D10223">
        <w:t>iii</w:t>
      </w:r>
      <w:r>
        <w:t>)</w:t>
      </w:r>
      <w:r w:rsidR="00B93226">
        <w:t xml:space="preserve"> of the Act</w:t>
      </w:r>
      <w:r>
        <w:t>, it must be shown that the debtor was carrying on his or her own business</w:t>
      </w:r>
      <w:r w:rsidR="00B93226">
        <w:t>, and it is in</w:t>
      </w:r>
      <w:r>
        <w:t xml:space="preserve">sufficient that the debtor was engaged as an employee in the business of somebody else:  </w:t>
      </w:r>
      <w:r w:rsidR="00D10223">
        <w:t xml:space="preserve">see </w:t>
      </w:r>
      <w:r>
        <w:t>also</w:t>
      </w:r>
      <w:r w:rsidR="0093325B">
        <w:t xml:space="preserve"> </w:t>
      </w:r>
      <w:r w:rsidR="0093325B">
        <w:rPr>
          <w:i/>
        </w:rPr>
        <w:t>In r</w:t>
      </w:r>
      <w:r w:rsidR="00D10223" w:rsidRPr="0000266B">
        <w:rPr>
          <w:i/>
        </w:rPr>
        <w:t xml:space="preserve">e </w:t>
      </w:r>
      <w:proofErr w:type="spellStart"/>
      <w:r w:rsidR="00D10223" w:rsidRPr="0000266B">
        <w:rPr>
          <w:i/>
        </w:rPr>
        <w:t>Brauch</w:t>
      </w:r>
      <w:proofErr w:type="spellEnd"/>
      <w:r w:rsidR="0093325B">
        <w:rPr>
          <w:i/>
        </w:rPr>
        <w:t xml:space="preserve"> (A Debtor)</w:t>
      </w:r>
      <w:r w:rsidR="00D10223" w:rsidRPr="005D5E93">
        <w:t>;</w:t>
      </w:r>
      <w:r w:rsidRPr="0000266B">
        <w:rPr>
          <w:i/>
        </w:rPr>
        <w:t xml:space="preserve"> </w:t>
      </w:r>
      <w:r w:rsidR="00D10223" w:rsidRPr="0000266B">
        <w:rPr>
          <w:i/>
        </w:rPr>
        <w:lastRenderedPageBreak/>
        <w:t xml:space="preserve">Ex </w:t>
      </w:r>
      <w:r w:rsidRPr="0000266B">
        <w:rPr>
          <w:i/>
        </w:rPr>
        <w:t xml:space="preserve">parte Britannic </w:t>
      </w:r>
      <w:r w:rsidR="00D10223" w:rsidRPr="0000266B">
        <w:rPr>
          <w:i/>
        </w:rPr>
        <w:t xml:space="preserve">Securities </w:t>
      </w:r>
      <w:r w:rsidRPr="0000266B">
        <w:rPr>
          <w:i/>
        </w:rPr>
        <w:t xml:space="preserve">and </w:t>
      </w:r>
      <w:r w:rsidR="00D10223" w:rsidRPr="0000266B">
        <w:rPr>
          <w:i/>
        </w:rPr>
        <w:t>Investments Ltd</w:t>
      </w:r>
      <w:r w:rsidRPr="0000266B">
        <w:t xml:space="preserve"> </w:t>
      </w:r>
      <w:r w:rsidR="0093325B">
        <w:t>[</w:t>
      </w:r>
      <w:r w:rsidRPr="0000266B">
        <w:t>1978</w:t>
      </w:r>
      <w:r w:rsidR="0093325B">
        <w:t>]</w:t>
      </w:r>
      <w:r w:rsidRPr="0000266B">
        <w:t xml:space="preserve"> </w:t>
      </w:r>
      <w:proofErr w:type="spellStart"/>
      <w:r w:rsidRPr="0000266B">
        <w:t>C</w:t>
      </w:r>
      <w:r w:rsidR="00D10223" w:rsidRPr="0000266B">
        <w:t>h</w:t>
      </w:r>
      <w:proofErr w:type="spellEnd"/>
      <w:r w:rsidR="00D10223" w:rsidRPr="0000266B">
        <w:t xml:space="preserve"> 316</w:t>
      </w:r>
      <w:r w:rsidR="00D10223">
        <w:t xml:space="preserve"> at 328;</w:t>
      </w:r>
      <w:r>
        <w:t xml:space="preserve"> </w:t>
      </w:r>
      <w:proofErr w:type="spellStart"/>
      <w:r w:rsidR="00CC7BAB" w:rsidRPr="0000266B">
        <w:rPr>
          <w:i/>
        </w:rPr>
        <w:t>Napiat</w:t>
      </w:r>
      <w:proofErr w:type="spellEnd"/>
      <w:r w:rsidR="00CC7BAB" w:rsidRPr="0000266B">
        <w:rPr>
          <w:i/>
        </w:rPr>
        <w:t xml:space="preserve"> Pty Ltd v </w:t>
      </w:r>
      <w:proofErr w:type="spellStart"/>
      <w:r w:rsidR="00CC7BAB" w:rsidRPr="0000266B">
        <w:rPr>
          <w:i/>
        </w:rPr>
        <w:t>Salfinger</w:t>
      </w:r>
      <w:proofErr w:type="spellEnd"/>
      <w:r w:rsidR="00CC7BAB" w:rsidRPr="0000266B">
        <w:rPr>
          <w:i/>
        </w:rPr>
        <w:t xml:space="preserve"> (No </w:t>
      </w:r>
      <w:r w:rsidR="00D10223" w:rsidRPr="0000266B">
        <w:rPr>
          <w:i/>
        </w:rPr>
        <w:t xml:space="preserve">7) </w:t>
      </w:r>
      <w:r w:rsidR="00D10223" w:rsidRPr="0000266B">
        <w:t>(</w:t>
      </w:r>
      <w:r w:rsidRPr="0000266B">
        <w:t>2011</w:t>
      </w:r>
      <w:r w:rsidR="00D10223" w:rsidRPr="0000266B">
        <w:t>)</w:t>
      </w:r>
      <w:r w:rsidRPr="0000266B">
        <w:t xml:space="preserve"> 202 FCR 264</w:t>
      </w:r>
      <w:r>
        <w:t xml:space="preserve"> at </w:t>
      </w:r>
      <w:r w:rsidR="00D10223">
        <w:t>[</w:t>
      </w:r>
      <w:r>
        <w:t>77</w:t>
      </w:r>
      <w:r w:rsidR="00D10223">
        <w:t>];</w:t>
      </w:r>
      <w:r>
        <w:t xml:space="preserve"> </w:t>
      </w:r>
      <w:r w:rsidRPr="0000266B">
        <w:rPr>
          <w:i/>
        </w:rPr>
        <w:t>Fuller</w:t>
      </w:r>
      <w:r w:rsidRPr="0000266B">
        <w:t xml:space="preserve"> </w:t>
      </w:r>
      <w:r w:rsidR="00D10223" w:rsidRPr="0000266B">
        <w:rPr>
          <w:i/>
        </w:rPr>
        <w:t xml:space="preserve">v </w:t>
      </w:r>
      <w:r w:rsidRPr="0000266B">
        <w:rPr>
          <w:i/>
        </w:rPr>
        <w:t>Alf</w:t>
      </w:r>
      <w:r w:rsidR="00D10223" w:rsidRPr="0000266B">
        <w:rPr>
          <w:i/>
        </w:rPr>
        <w:t>ord</w:t>
      </w:r>
      <w:r w:rsidRPr="0000266B">
        <w:t xml:space="preserve"> </w:t>
      </w:r>
      <w:r w:rsidR="00D10223" w:rsidRPr="0000266B">
        <w:t>(</w:t>
      </w:r>
      <w:r w:rsidRPr="0000266B">
        <w:t>2017</w:t>
      </w:r>
      <w:r w:rsidR="00D10223" w:rsidRPr="0000266B">
        <w:t>)</w:t>
      </w:r>
      <w:r w:rsidRPr="0000266B">
        <w:t xml:space="preserve"> 252 FCR 168</w:t>
      </w:r>
      <w:r>
        <w:t xml:space="preserve"> at </w:t>
      </w:r>
      <w:r w:rsidR="00D10223">
        <w:t>[</w:t>
      </w:r>
      <w:r>
        <w:t>50</w:t>
      </w:r>
      <w:r w:rsidR="00D10223">
        <w:t>]</w:t>
      </w:r>
      <w:r>
        <w:t>.</w:t>
      </w:r>
    </w:p>
    <w:p w14:paraId="27D9608D" w14:textId="77777777" w:rsidR="00A87788" w:rsidRDefault="00B93226" w:rsidP="00A87788">
      <w:pPr>
        <w:pStyle w:val="ParaNumbering"/>
      </w:pPr>
      <w:r>
        <w:t>At first instance, t</w:t>
      </w:r>
      <w:r w:rsidR="00A87788">
        <w:t>he debtor relied on an affidavit of Mrs Dono</w:t>
      </w:r>
      <w:r w:rsidR="00C51027">
        <w:t>g</w:t>
      </w:r>
      <w:r w:rsidR="00A87788">
        <w:t xml:space="preserve">hue.  </w:t>
      </w:r>
      <w:r w:rsidR="002D2186">
        <w:t xml:space="preserve">She </w:t>
      </w:r>
      <w:r w:rsidR="00A87788">
        <w:t>deposed:</w:t>
      </w:r>
    </w:p>
    <w:p w14:paraId="27D9608E" w14:textId="77777777" w:rsidR="00A87788" w:rsidRDefault="00A87788" w:rsidP="00492129">
      <w:pPr>
        <w:pStyle w:val="Quote1"/>
        <w:ind w:left="1440" w:hanging="703"/>
      </w:pPr>
      <w:r>
        <w:t>24.</w:t>
      </w:r>
      <w:r w:rsidR="00492129">
        <w:tab/>
        <w:t xml:space="preserve">When </w:t>
      </w:r>
      <w:r>
        <w:t xml:space="preserve">the house at </w:t>
      </w:r>
      <w:proofErr w:type="spellStart"/>
      <w:r w:rsidR="00492129">
        <w:t>Langside</w:t>
      </w:r>
      <w:proofErr w:type="spellEnd"/>
      <w:r w:rsidR="00492129">
        <w:t xml:space="preserve"> </w:t>
      </w:r>
      <w:r>
        <w:t>Road was built, there was a mortgage in the order of approximately $100,000</w:t>
      </w:r>
      <w:r w:rsidR="000C6704">
        <w:t>.00</w:t>
      </w:r>
      <w:r>
        <w:t>.  Gar</w:t>
      </w:r>
      <w:r w:rsidR="000C6704">
        <w:t>r</w:t>
      </w:r>
      <w:r>
        <w:t>y borrowed money from the trust that owns the house for his business.</w:t>
      </w:r>
    </w:p>
    <w:p w14:paraId="27D9608F" w14:textId="77777777" w:rsidR="00A87788" w:rsidRDefault="00A87788">
      <w:pPr>
        <w:pStyle w:val="Quote1"/>
        <w:ind w:left="1440" w:hanging="703"/>
      </w:pPr>
      <w:r>
        <w:t>25.</w:t>
      </w:r>
      <w:r w:rsidR="00492129">
        <w:tab/>
        <w:t xml:space="preserve">He </w:t>
      </w:r>
      <w:r>
        <w:t>asked me to borrow money against the house for him to use in his business, I can</w:t>
      </w:r>
      <w:r w:rsidR="004A77B8">
        <w:t>’</w:t>
      </w:r>
      <w:r>
        <w:t xml:space="preserve">t remember the exact amount now, it was (in </w:t>
      </w:r>
      <w:r w:rsidR="000C6704">
        <w:t>2-3</w:t>
      </w:r>
      <w:r>
        <w:t xml:space="preserve"> lots at different times for different business purposes) between four and five million added to the mortgage, borrowed from the trust on the basis that Gar</w:t>
      </w:r>
      <w:r w:rsidR="000C6704">
        <w:t>r</w:t>
      </w:r>
      <w:r>
        <w:t>y agreed to pay it back.</w:t>
      </w:r>
    </w:p>
    <w:p w14:paraId="27D96090" w14:textId="77777777" w:rsidR="00A87788" w:rsidRDefault="00A87788" w:rsidP="00492129">
      <w:pPr>
        <w:pStyle w:val="Quote1"/>
        <w:ind w:left="1440" w:hanging="703"/>
      </w:pPr>
      <w:r>
        <w:t>26.</w:t>
      </w:r>
      <w:r w:rsidR="00492129">
        <w:tab/>
      </w:r>
      <w:r>
        <w:t>I am aware that the mortg</w:t>
      </w:r>
      <w:r w:rsidR="00492129">
        <w:t>age is now in the order of $5.1</w:t>
      </w:r>
      <w:r>
        <w:t xml:space="preserve">M.  I do not work and </w:t>
      </w:r>
      <w:r w:rsidR="000C6704">
        <w:t xml:space="preserve">I </w:t>
      </w:r>
      <w:r>
        <w:t>have no capacity to service that mortgage.  The arrangement I have with Ga</w:t>
      </w:r>
      <w:r w:rsidR="000C6704">
        <w:t>r</w:t>
      </w:r>
      <w:r>
        <w:t>ry is that he services the mortgage that he uses for his business.</w:t>
      </w:r>
    </w:p>
    <w:p w14:paraId="27D96091" w14:textId="77777777" w:rsidR="00E5722C" w:rsidRDefault="00E5722C" w:rsidP="00492129">
      <w:pPr>
        <w:pStyle w:val="Quote1"/>
        <w:ind w:left="1440" w:hanging="703"/>
      </w:pPr>
      <w:r>
        <w:t>…</w:t>
      </w:r>
    </w:p>
    <w:p w14:paraId="27D96092" w14:textId="77777777" w:rsidR="00A87788" w:rsidRDefault="00A87788" w:rsidP="00492129">
      <w:pPr>
        <w:pStyle w:val="Quote1"/>
        <w:ind w:left="1440" w:hanging="703"/>
      </w:pPr>
      <w:r>
        <w:t>30</w:t>
      </w:r>
      <w:r w:rsidR="00492129">
        <w:t>.</w:t>
      </w:r>
      <w:r w:rsidR="00492129">
        <w:tab/>
        <w:t xml:space="preserve">The Australian Tax Office </w:t>
      </w:r>
      <w:r>
        <w:t xml:space="preserve">have a caveat lodged on the title of the </w:t>
      </w:r>
      <w:proofErr w:type="spellStart"/>
      <w:r w:rsidR="00492129">
        <w:t>Langside</w:t>
      </w:r>
      <w:proofErr w:type="spellEnd"/>
      <w:r w:rsidR="00492129">
        <w:t xml:space="preserve"> </w:t>
      </w:r>
      <w:r>
        <w:t>Road property.  They asked me to provide the house as some sort of security before they would give Gar</w:t>
      </w:r>
      <w:r w:rsidR="000C6704">
        <w:t>r</w:t>
      </w:r>
      <w:r>
        <w:t>y permission to travel overseas and as it was integral for him to be overseas for his business, I signed a mortgage…</w:t>
      </w:r>
    </w:p>
    <w:p w14:paraId="27D96093" w14:textId="77777777" w:rsidR="00A87788" w:rsidRDefault="00B93226" w:rsidP="0014113D">
      <w:pPr>
        <w:pStyle w:val="ParaNumbering"/>
      </w:pPr>
      <w:r>
        <w:t xml:space="preserve">The debtor argues that Mrs </w:t>
      </w:r>
      <w:r w:rsidR="00C51027">
        <w:t>Donoghue</w:t>
      </w:r>
      <w:r>
        <w:t>’s references to the Commonwealth Bank loan being made for the pur</w:t>
      </w:r>
      <w:r w:rsidR="00E5722C">
        <w:t>poses of the debtor’s business (</w:t>
      </w:r>
      <w:r w:rsidR="001C4BD8">
        <w:t>“</w:t>
      </w:r>
      <w:r w:rsidR="00E5722C">
        <w:t>his business</w:t>
      </w:r>
      <w:r w:rsidR="001C4BD8">
        <w:t>”</w:t>
      </w:r>
      <w:r w:rsidR="00E5722C">
        <w:t>)</w:t>
      </w:r>
      <w:r>
        <w:t xml:space="preserve"> are inexact and equivocal and insufficient to found a conclusion that any business from which funds for the loan repayments were obtained was the debtor’s own business. </w:t>
      </w:r>
      <w:r w:rsidR="00A87788">
        <w:t>The</w:t>
      </w:r>
      <w:r w:rsidR="00492129">
        <w:t xml:space="preserve"> debtor</w:t>
      </w:r>
      <w:r w:rsidR="00A87788">
        <w:t xml:space="preserve"> submits </w:t>
      </w:r>
      <w:r w:rsidR="00492129">
        <w:t xml:space="preserve">there </w:t>
      </w:r>
      <w:r w:rsidR="000C6704">
        <w:t xml:space="preserve">was </w:t>
      </w:r>
      <w:r w:rsidR="00A87788">
        <w:t>no evidence as to how he acquired the funds that enable</w:t>
      </w:r>
      <w:r w:rsidR="00492129">
        <w:t>d</w:t>
      </w:r>
      <w:r w:rsidR="00A87788">
        <w:t xml:space="preserve"> him to make payments to service the debt.  In particular, there was no evidence as to whether he obtained funds from </w:t>
      </w:r>
      <w:r w:rsidR="005D5E93">
        <w:t xml:space="preserve">a </w:t>
      </w:r>
      <w:r w:rsidR="00A87788">
        <w:t xml:space="preserve">business he owned, rather than a business owned by other legal entities </w:t>
      </w:r>
      <w:r>
        <w:t xml:space="preserve">with which he is associated, </w:t>
      </w:r>
      <w:r w:rsidR="00A87788">
        <w:t>su</w:t>
      </w:r>
      <w:r w:rsidR="00492129">
        <w:t xml:space="preserve">ch as </w:t>
      </w:r>
      <w:proofErr w:type="spellStart"/>
      <w:r w:rsidR="00492129">
        <w:t>Ecuadordomain</w:t>
      </w:r>
      <w:proofErr w:type="spellEnd"/>
      <w:r w:rsidR="00492129">
        <w:t> SA</w:t>
      </w:r>
      <w:r w:rsidR="00A87788">
        <w:t>.</w:t>
      </w:r>
      <w:r w:rsidR="00C65B53" w:rsidRPr="00C65B53">
        <w:t xml:space="preserve"> </w:t>
      </w:r>
    </w:p>
    <w:p w14:paraId="27D96094" w14:textId="77777777" w:rsidR="00564F3F" w:rsidRDefault="00564F3F" w:rsidP="00B93226">
      <w:pPr>
        <w:pStyle w:val="ParaNumbering"/>
      </w:pPr>
      <w:r>
        <w:t xml:space="preserve">Mrs </w:t>
      </w:r>
      <w:r w:rsidR="00500BE9">
        <w:t>Donoghue</w:t>
      </w:r>
      <w:r>
        <w:t xml:space="preserve">’s evidence was, </w:t>
      </w:r>
      <w:r w:rsidR="00FE21C9">
        <w:t>relevantly</w:t>
      </w:r>
      <w:r>
        <w:t>, that:</w:t>
      </w:r>
    </w:p>
    <w:p w14:paraId="27D96095" w14:textId="77777777" w:rsidR="00564F3F" w:rsidRDefault="00FE21C9" w:rsidP="00564F3F">
      <w:pPr>
        <w:pStyle w:val="FCBullets"/>
      </w:pPr>
      <w:r>
        <w:t xml:space="preserve">The debtor borrowed the money from the family trust </w:t>
      </w:r>
      <w:r w:rsidR="001C4BD8">
        <w:t>“</w:t>
      </w:r>
      <w:r>
        <w:t>for his business</w:t>
      </w:r>
      <w:r w:rsidR="001C4BD8">
        <w:t>”</w:t>
      </w:r>
      <w:r>
        <w:t xml:space="preserve"> and </w:t>
      </w:r>
      <w:r w:rsidR="001C4BD8">
        <w:t>“</w:t>
      </w:r>
      <w:r>
        <w:t>to use in his business</w:t>
      </w:r>
      <w:r w:rsidR="001C4BD8">
        <w:t>”</w:t>
      </w:r>
      <w:r>
        <w:t>.</w:t>
      </w:r>
    </w:p>
    <w:p w14:paraId="27D96096" w14:textId="77777777" w:rsidR="00FE21C9" w:rsidRDefault="00FE21C9" w:rsidP="00564F3F">
      <w:pPr>
        <w:pStyle w:val="FCBullets"/>
      </w:pPr>
      <w:r>
        <w:t xml:space="preserve">The </w:t>
      </w:r>
      <w:r w:rsidR="00032364">
        <w:t xml:space="preserve">debtor borrowed the </w:t>
      </w:r>
      <w:r>
        <w:t xml:space="preserve">money from the trust on the basis that </w:t>
      </w:r>
      <w:r w:rsidR="00032364">
        <w:t>the debtor</w:t>
      </w:r>
      <w:r w:rsidR="00395EEB">
        <w:t xml:space="preserve"> himself</w:t>
      </w:r>
      <w:r w:rsidR="00032364">
        <w:t xml:space="preserve"> </w:t>
      </w:r>
      <w:r>
        <w:t>agreed to pay it back.</w:t>
      </w:r>
    </w:p>
    <w:p w14:paraId="27D96097" w14:textId="77777777" w:rsidR="00FE21C9" w:rsidRDefault="00FE21C9" w:rsidP="00564F3F">
      <w:pPr>
        <w:pStyle w:val="FCBullets"/>
      </w:pPr>
      <w:r>
        <w:t xml:space="preserve">The arrangement Mrs </w:t>
      </w:r>
      <w:r w:rsidR="00500BE9">
        <w:t>Donoghue</w:t>
      </w:r>
      <w:r>
        <w:t xml:space="preserve"> has with the debtor is that </w:t>
      </w:r>
      <w:r w:rsidR="00395EEB">
        <w:t xml:space="preserve">“he </w:t>
      </w:r>
      <w:r>
        <w:t>services the mortgage that he uses for his business</w:t>
      </w:r>
      <w:r w:rsidR="001C4BD8">
        <w:t>”</w:t>
      </w:r>
      <w:r>
        <w:t>.</w:t>
      </w:r>
    </w:p>
    <w:p w14:paraId="27D96098" w14:textId="77777777" w:rsidR="00FE21C9" w:rsidRDefault="00FE21C9" w:rsidP="00564F3F">
      <w:pPr>
        <w:pStyle w:val="FCBullets"/>
      </w:pPr>
      <w:r>
        <w:t xml:space="preserve">It was </w:t>
      </w:r>
      <w:r w:rsidR="001C4BD8">
        <w:t>“</w:t>
      </w:r>
      <w:r>
        <w:t>integral for [the debtor] to be overseas for his business</w:t>
      </w:r>
      <w:r w:rsidR="00810BAB">
        <w:t>”</w:t>
      </w:r>
      <w:r>
        <w:t>.</w:t>
      </w:r>
    </w:p>
    <w:p w14:paraId="27D96099" w14:textId="77777777" w:rsidR="00C65B53" w:rsidRDefault="00C65B53" w:rsidP="00B93226">
      <w:pPr>
        <w:pStyle w:val="ParaNumbering"/>
      </w:pPr>
      <w:r>
        <w:lastRenderedPageBreak/>
        <w:t xml:space="preserve">The debtor </w:t>
      </w:r>
      <w:r w:rsidR="00C026F0">
        <w:t xml:space="preserve">expressly </w:t>
      </w:r>
      <w:r>
        <w:t xml:space="preserve">concedes that there </w:t>
      </w:r>
      <w:r w:rsidR="00395EEB">
        <w:t xml:space="preserve">is </w:t>
      </w:r>
      <w:r>
        <w:t xml:space="preserve">evidence </w:t>
      </w:r>
      <w:r w:rsidR="00C026F0">
        <w:t xml:space="preserve">demonstrating </w:t>
      </w:r>
      <w:r>
        <w:t xml:space="preserve">that the substantial monthly repayments of the Commonwealth Bank loan made by Mrs Donoghue </w:t>
      </w:r>
      <w:r w:rsidR="00C026F0">
        <w:t xml:space="preserve">are </w:t>
      </w:r>
      <w:r>
        <w:t>funded by payments made by the debtor.</w:t>
      </w:r>
    </w:p>
    <w:p w14:paraId="27D9609A" w14:textId="77777777" w:rsidR="00C93CD7" w:rsidRDefault="00B93226" w:rsidP="00B93226">
      <w:pPr>
        <w:pStyle w:val="ParaNumbering"/>
      </w:pPr>
      <w:r>
        <w:t xml:space="preserve">Mrs </w:t>
      </w:r>
      <w:r w:rsidR="00C51027">
        <w:t>Donoghue</w:t>
      </w:r>
      <w:r>
        <w:t xml:space="preserve">’s </w:t>
      </w:r>
      <w:r w:rsidR="00E5722C">
        <w:t xml:space="preserve">direct and unequivocal </w:t>
      </w:r>
      <w:r>
        <w:t xml:space="preserve">evidence </w:t>
      </w:r>
      <w:r w:rsidR="00E5722C">
        <w:t xml:space="preserve">was </w:t>
      </w:r>
      <w:r>
        <w:t xml:space="preserve">that the </w:t>
      </w:r>
      <w:r w:rsidR="00FE21C9">
        <w:t xml:space="preserve">debtor </w:t>
      </w:r>
      <w:r>
        <w:t>borrowed and used</w:t>
      </w:r>
      <w:r w:rsidR="00C026F0">
        <w:t>,</w:t>
      </w:r>
      <w:r>
        <w:t xml:space="preserve"> </w:t>
      </w:r>
      <w:r w:rsidR="00FE21C9">
        <w:t xml:space="preserve">and continues </w:t>
      </w:r>
      <w:r w:rsidR="00C51027">
        <w:t xml:space="preserve">to </w:t>
      </w:r>
      <w:r w:rsidR="00FE21C9">
        <w:t xml:space="preserve">use, the money for the debtor’s </w:t>
      </w:r>
      <w:r>
        <w:t xml:space="preserve">business.  </w:t>
      </w:r>
      <w:r w:rsidR="00FE21C9">
        <w:t xml:space="preserve">The references to </w:t>
      </w:r>
      <w:r w:rsidR="001C4BD8">
        <w:t>“</w:t>
      </w:r>
      <w:r w:rsidR="00FE21C9">
        <w:t>his business</w:t>
      </w:r>
      <w:r w:rsidR="001C4BD8">
        <w:t>”</w:t>
      </w:r>
      <w:r w:rsidR="00FE21C9">
        <w:t xml:space="preserve"> must, on their face, be understood as </w:t>
      </w:r>
      <w:r w:rsidR="00C026F0">
        <w:t xml:space="preserve">referring to </w:t>
      </w:r>
      <w:r w:rsidR="00FE21C9">
        <w:t xml:space="preserve">the debtor’s own business. </w:t>
      </w:r>
      <w:r w:rsidR="00C34034">
        <w:t>Mrs Dono</w:t>
      </w:r>
      <w:r w:rsidR="002D2186">
        <w:t>ghue’s</w:t>
      </w:r>
      <w:r w:rsidR="00EA45B8">
        <w:t xml:space="preserve"> </w:t>
      </w:r>
      <w:r w:rsidR="00A87788">
        <w:t>evidence does not</w:t>
      </w:r>
      <w:r>
        <w:t xml:space="preserve"> suggest</w:t>
      </w:r>
      <w:r w:rsidR="00A87788">
        <w:t xml:space="preserve"> tha</w:t>
      </w:r>
      <w:r w:rsidR="00EA45B8">
        <w:t>t the money was borrowed for</w:t>
      </w:r>
      <w:r w:rsidR="00A87788">
        <w:t xml:space="preserve"> and used by a business operated by</w:t>
      </w:r>
      <w:r w:rsidR="00EA45B8">
        <w:t xml:space="preserve"> s</w:t>
      </w:r>
      <w:r>
        <w:t>ome person or entity</w:t>
      </w:r>
      <w:r w:rsidR="00D364EA">
        <w:t xml:space="preserve"> other than the debtor</w:t>
      </w:r>
      <w:r>
        <w:t xml:space="preserve">.  </w:t>
      </w:r>
    </w:p>
    <w:p w14:paraId="27D9609B" w14:textId="77777777" w:rsidR="00A87788" w:rsidRDefault="00B93226" w:rsidP="00B93226">
      <w:pPr>
        <w:pStyle w:val="ParaNumbering"/>
      </w:pPr>
      <w:r>
        <w:t xml:space="preserve">Mrs </w:t>
      </w:r>
      <w:r w:rsidR="00500BE9">
        <w:t>Donoghue</w:t>
      </w:r>
      <w:r>
        <w:t>’s</w:t>
      </w:r>
      <w:r w:rsidR="00A87788">
        <w:t xml:space="preserve"> evidence was </w:t>
      </w:r>
      <w:r>
        <w:t>led by the debtor.</w:t>
      </w:r>
      <w:r w:rsidR="00C93CD7">
        <w:t xml:space="preserve"> The principle from</w:t>
      </w:r>
      <w:r>
        <w:t xml:space="preserve"> </w:t>
      </w:r>
      <w:proofErr w:type="spellStart"/>
      <w:r w:rsidR="00C93CD7" w:rsidRPr="0000266B">
        <w:rPr>
          <w:i/>
          <w:iCs/>
        </w:rPr>
        <w:t>Blatch</w:t>
      </w:r>
      <w:proofErr w:type="spellEnd"/>
      <w:r w:rsidR="00C93CD7" w:rsidRPr="0000266B">
        <w:rPr>
          <w:i/>
          <w:iCs/>
        </w:rPr>
        <w:t xml:space="preserve"> v Archer</w:t>
      </w:r>
      <w:r w:rsidR="00C93CD7" w:rsidRPr="0000266B">
        <w:t xml:space="preserve"> (1774) 1 </w:t>
      </w:r>
      <w:proofErr w:type="spellStart"/>
      <w:r w:rsidR="00C93CD7" w:rsidRPr="0000266B">
        <w:t>Cowp</w:t>
      </w:r>
      <w:proofErr w:type="spellEnd"/>
      <w:r w:rsidR="00C93CD7" w:rsidRPr="0000266B">
        <w:t xml:space="preserve"> 6</w:t>
      </w:r>
      <w:r w:rsidR="00C51027" w:rsidRPr="0000266B">
        <w:t>4</w:t>
      </w:r>
      <w:r w:rsidR="00C93CD7">
        <w:t xml:space="preserve"> at 65 is that, </w:t>
      </w:r>
      <w:r w:rsidR="001C4BD8">
        <w:t>“</w:t>
      </w:r>
      <w:r w:rsidR="00D364EA">
        <w:t>a</w:t>
      </w:r>
      <w:r w:rsidR="00C93CD7">
        <w:t>ll evidence is to be weighed according to the proof which was in the power of one side to have produced, and in the power of the other to have contradicted</w:t>
      </w:r>
      <w:r w:rsidR="001C4BD8">
        <w:t>”</w:t>
      </w:r>
      <w:r w:rsidR="00C93CD7">
        <w:t xml:space="preserve">. </w:t>
      </w:r>
      <w:r>
        <w:t xml:space="preserve">The </w:t>
      </w:r>
      <w:r w:rsidR="00A87788">
        <w:t>debtor did not lea</w:t>
      </w:r>
      <w:r w:rsidR="00EA45B8">
        <w:t>d</w:t>
      </w:r>
      <w:r>
        <w:t xml:space="preserve"> any evidence </w:t>
      </w:r>
      <w:r w:rsidR="00C026F0">
        <w:t>fro</w:t>
      </w:r>
      <w:r w:rsidR="00C93CD7">
        <w:t>m</w:t>
      </w:r>
      <w:r w:rsidR="00A87788">
        <w:t xml:space="preserve"> </w:t>
      </w:r>
      <w:r w:rsidR="00C93CD7">
        <w:t xml:space="preserve">Mrs </w:t>
      </w:r>
      <w:r w:rsidR="00500BE9">
        <w:t>Donoghue</w:t>
      </w:r>
      <w:r w:rsidR="00A87788">
        <w:t xml:space="preserve"> </w:t>
      </w:r>
      <w:r w:rsidR="00C93CD7">
        <w:t xml:space="preserve">that she </w:t>
      </w:r>
      <w:r w:rsidR="00A87788">
        <w:t>was using</w:t>
      </w:r>
      <w:r>
        <w:t xml:space="preserve"> the expression</w:t>
      </w:r>
      <w:r w:rsidR="00A87788">
        <w:t xml:space="preserve"> </w:t>
      </w:r>
      <w:r w:rsidR="001C4BD8">
        <w:t>“</w:t>
      </w:r>
      <w:r w:rsidR="00A87788">
        <w:t>his business</w:t>
      </w:r>
      <w:r w:rsidR="001C4BD8">
        <w:t>”</w:t>
      </w:r>
      <w:r w:rsidR="00A87788">
        <w:t xml:space="preserve"> in some loose sense.</w:t>
      </w:r>
      <w:r w:rsidRPr="00B93226">
        <w:t xml:space="preserve"> </w:t>
      </w:r>
      <w:r>
        <w:t xml:space="preserve">Mrs </w:t>
      </w:r>
      <w:r w:rsidR="00500BE9">
        <w:t>Donoghue</w:t>
      </w:r>
      <w:r>
        <w:t>’s evidence was not equivocal or uncertain.</w:t>
      </w:r>
      <w:r w:rsidR="00C026F0" w:rsidRPr="00C026F0">
        <w:t xml:space="preserve"> </w:t>
      </w:r>
      <w:r w:rsidR="00C026F0">
        <w:t xml:space="preserve">There is no good reason to regard Mrs Donoghue as having </w:t>
      </w:r>
      <w:r w:rsidR="00395EEB">
        <w:t>said things that she did not mean</w:t>
      </w:r>
      <w:r w:rsidR="00C026F0">
        <w:t xml:space="preserve">.  </w:t>
      </w:r>
    </w:p>
    <w:p w14:paraId="27D9609C" w14:textId="77777777" w:rsidR="00A87788" w:rsidRDefault="00B93226" w:rsidP="00A87788">
      <w:pPr>
        <w:pStyle w:val="ParaNumbering"/>
      </w:pPr>
      <w:r>
        <w:t>While t</w:t>
      </w:r>
      <w:r w:rsidR="00A87788">
        <w:t xml:space="preserve">here is </w:t>
      </w:r>
      <w:r>
        <w:t xml:space="preserve">some </w:t>
      </w:r>
      <w:r w:rsidR="00D364EA">
        <w:t xml:space="preserve">evidence </w:t>
      </w:r>
      <w:r w:rsidR="00A87788">
        <w:t xml:space="preserve">that the debtor </w:t>
      </w:r>
      <w:r w:rsidR="008B6440">
        <w:t xml:space="preserve">has an association with </w:t>
      </w:r>
      <w:r>
        <w:t xml:space="preserve">a company called </w:t>
      </w:r>
      <w:proofErr w:type="spellStart"/>
      <w:r w:rsidR="008B6440">
        <w:t>Ecuadordomain</w:t>
      </w:r>
      <w:proofErr w:type="spellEnd"/>
      <w:r w:rsidR="008B6440">
        <w:t xml:space="preserve"> SA and businesses </w:t>
      </w:r>
      <w:r>
        <w:t xml:space="preserve">called </w:t>
      </w:r>
      <w:proofErr w:type="spellStart"/>
      <w:r w:rsidR="00E77F48">
        <w:t>Dotla</w:t>
      </w:r>
      <w:proofErr w:type="spellEnd"/>
      <w:r w:rsidR="00E77F48">
        <w:t xml:space="preserve"> </w:t>
      </w:r>
      <w:r w:rsidR="004F6BF8">
        <w:t xml:space="preserve">Domains </w:t>
      </w:r>
      <w:r w:rsidR="004F6BF8" w:rsidRPr="00E32AB4">
        <w:t>and</w:t>
      </w:r>
      <w:r w:rsidR="00A87788">
        <w:t xml:space="preserve"> </w:t>
      </w:r>
      <w:proofErr w:type="spellStart"/>
      <w:r w:rsidR="008B6440">
        <w:t>Essam</w:t>
      </w:r>
      <w:proofErr w:type="spellEnd"/>
      <w:r w:rsidR="00A87788">
        <w:t xml:space="preserve"> </w:t>
      </w:r>
      <w:r w:rsidR="008B6440">
        <w:t xml:space="preserve">Communications Group </w:t>
      </w:r>
      <w:r w:rsidR="0001031D">
        <w:t xml:space="preserve">based overseas, </w:t>
      </w:r>
      <w:r w:rsidR="00A87788">
        <w:t xml:space="preserve">the evidence does not </w:t>
      </w:r>
      <w:r w:rsidR="0038048B">
        <w:t xml:space="preserve">give any indication as to </w:t>
      </w:r>
      <w:r w:rsidR="00A87788">
        <w:t xml:space="preserve">whether those businesses generate income </w:t>
      </w:r>
      <w:r w:rsidR="0038048B">
        <w:t>or have</w:t>
      </w:r>
      <w:r w:rsidR="0001031D">
        <w:t xml:space="preserve"> assets that may be </w:t>
      </w:r>
      <w:r w:rsidR="0038048B">
        <w:t xml:space="preserve">being </w:t>
      </w:r>
      <w:r w:rsidR="0001031D">
        <w:t xml:space="preserve">used by </w:t>
      </w:r>
      <w:r w:rsidR="00E44813">
        <w:t xml:space="preserve">the debtor </w:t>
      </w:r>
      <w:r w:rsidR="0038048B">
        <w:t>to make the repayments</w:t>
      </w:r>
      <w:r w:rsidR="00A87788">
        <w:t>.</w:t>
      </w:r>
      <w:r w:rsidR="0038048B">
        <w:t xml:space="preserve"> Again, the principle from </w:t>
      </w:r>
      <w:proofErr w:type="spellStart"/>
      <w:r w:rsidR="0038048B">
        <w:rPr>
          <w:i/>
          <w:iCs/>
        </w:rPr>
        <w:t>Blatch</w:t>
      </w:r>
      <w:proofErr w:type="spellEnd"/>
      <w:r w:rsidR="0038048B">
        <w:rPr>
          <w:i/>
          <w:iCs/>
        </w:rPr>
        <w:t xml:space="preserve"> v Archer </w:t>
      </w:r>
      <w:r w:rsidR="0038048B">
        <w:rPr>
          <w:iCs/>
        </w:rPr>
        <w:t>applies.</w:t>
      </w:r>
    </w:p>
    <w:p w14:paraId="27D9609D" w14:textId="77777777" w:rsidR="00A87788" w:rsidRDefault="00A87788" w:rsidP="00A87788">
      <w:pPr>
        <w:pStyle w:val="ParaNumbering"/>
      </w:pPr>
      <w:r>
        <w:t>The person in the best position to explain the use of the money borrowed from the Commonwealth Bank and the source of the funds used to make repayments of the loan was the debtor himself.  H</w:t>
      </w:r>
      <w:r w:rsidR="0038048B">
        <w:t>e did not give evidence</w:t>
      </w:r>
      <w:r w:rsidR="00395EEB">
        <w:t xml:space="preserve">, and </w:t>
      </w:r>
      <w:r w:rsidR="0038048B">
        <w:t>provide</w:t>
      </w:r>
      <w:r w:rsidR="00395EEB">
        <w:t>d no</w:t>
      </w:r>
      <w:r>
        <w:t xml:space="preserve"> explanation for </w:t>
      </w:r>
      <w:r w:rsidR="0038048B">
        <w:t>his failure</w:t>
      </w:r>
      <w:r>
        <w:t xml:space="preserve"> to give evidence.  The</w:t>
      </w:r>
      <w:r w:rsidR="0001031D">
        <w:t xml:space="preserve"> primary judge relied, in part, upon</w:t>
      </w:r>
      <w:r w:rsidR="00395EEB">
        <w:t xml:space="preserve"> that failure</w:t>
      </w:r>
      <w:r w:rsidR="0038048B">
        <w:t xml:space="preserve"> </w:t>
      </w:r>
      <w:r w:rsidR="0001031D">
        <w:t xml:space="preserve">to draw an </w:t>
      </w:r>
      <w:r>
        <w:t>inference that the repayments were made from the debtor</w:t>
      </w:r>
      <w:r w:rsidR="00416731">
        <w:t>’</w:t>
      </w:r>
      <w:r>
        <w:t>s business activities.</w:t>
      </w:r>
    </w:p>
    <w:p w14:paraId="27D9609E" w14:textId="77777777" w:rsidR="00F74300" w:rsidRDefault="00F74300" w:rsidP="00F74300">
      <w:pPr>
        <w:pStyle w:val="ParaNumbering"/>
      </w:pPr>
      <w:r>
        <w:t xml:space="preserve">In </w:t>
      </w:r>
      <w:proofErr w:type="spellStart"/>
      <w:r w:rsidRPr="0000266B">
        <w:rPr>
          <w:i/>
        </w:rPr>
        <w:t>Kuhl</w:t>
      </w:r>
      <w:proofErr w:type="spellEnd"/>
      <w:r w:rsidRPr="0000266B">
        <w:rPr>
          <w:i/>
        </w:rPr>
        <w:t xml:space="preserve"> v Zurich Financial Services</w:t>
      </w:r>
      <w:r w:rsidRPr="0000266B">
        <w:t xml:space="preserve"> </w:t>
      </w:r>
      <w:r w:rsidRPr="0000266B">
        <w:rPr>
          <w:i/>
        </w:rPr>
        <w:t xml:space="preserve">Australia Ltd </w:t>
      </w:r>
      <w:r w:rsidRPr="0000266B">
        <w:t>(2011) 243 CLR 361</w:t>
      </w:r>
      <w:r>
        <w:t xml:space="preserve">, the High Court explained the rule in </w:t>
      </w:r>
      <w:r w:rsidRPr="0047011A">
        <w:rPr>
          <w:i/>
        </w:rPr>
        <w:t xml:space="preserve">Jones v </w:t>
      </w:r>
      <w:proofErr w:type="spellStart"/>
      <w:r w:rsidRPr="0047011A">
        <w:rPr>
          <w:i/>
        </w:rPr>
        <w:t>Dunkel</w:t>
      </w:r>
      <w:proofErr w:type="spellEnd"/>
      <w:r>
        <w:t xml:space="preserve"> as follows:</w:t>
      </w:r>
    </w:p>
    <w:p w14:paraId="27D9609F" w14:textId="77777777" w:rsidR="00F74300" w:rsidRDefault="00F74300" w:rsidP="00F74300">
      <w:pPr>
        <w:pStyle w:val="Quote1"/>
        <w:ind w:left="1440" w:hanging="703"/>
      </w:pPr>
      <w:r>
        <w:t>63.</w:t>
      </w:r>
      <w:r>
        <w:tab/>
        <w:t xml:space="preserve">The rule in </w:t>
      </w:r>
      <w:r w:rsidRPr="00940F3D">
        <w:rPr>
          <w:i/>
        </w:rPr>
        <w:t xml:space="preserve">Jones v </w:t>
      </w:r>
      <w:proofErr w:type="spellStart"/>
      <w:r w:rsidRPr="00940F3D">
        <w:rPr>
          <w:i/>
        </w:rPr>
        <w:t>Dunkel</w:t>
      </w:r>
      <w:proofErr w:type="spellEnd"/>
      <w:r>
        <w:t xml:space="preserve"> is that the unexplained failure by a party to call a witness may in appropriate circumstances support an inference that the uncalled evidence would not have assisted the party’s case. That is particularly so where it is the party which is the uncalled witness. The failure to call a witness may also permit the court to draw, with greater confidence, any inference unfavourable to the party that failed to call the witness, if that uncalled witness appears to be in a position to cast light on whether the inference should be drawn… </w:t>
      </w:r>
    </w:p>
    <w:p w14:paraId="27D960A0" w14:textId="77777777" w:rsidR="00C93CD7" w:rsidRDefault="00F74300" w:rsidP="00C93CD7">
      <w:pPr>
        <w:pStyle w:val="Quote1"/>
        <w:ind w:left="1440" w:hanging="703"/>
      </w:pPr>
      <w:r>
        <w:lastRenderedPageBreak/>
        <w:t>64.</w:t>
      </w:r>
      <w:r>
        <w:tab/>
      </w:r>
      <w:r w:rsidRPr="00C93CD7">
        <w:t xml:space="preserve">The rule in </w:t>
      </w:r>
      <w:r w:rsidRPr="00C93CD7">
        <w:rPr>
          <w:i/>
        </w:rPr>
        <w:t xml:space="preserve">Jones v </w:t>
      </w:r>
      <w:proofErr w:type="spellStart"/>
      <w:r w:rsidRPr="00C93CD7">
        <w:rPr>
          <w:i/>
        </w:rPr>
        <w:t>Dunkel</w:t>
      </w:r>
      <w:proofErr w:type="spellEnd"/>
      <w:r w:rsidRPr="00C93CD7">
        <w:t xml:space="preserve"> permits an inference, not that evidence not called by a party would have been adverse to the party, but that it would not have assisted the party</w:t>
      </w:r>
      <w:r>
        <w:t>…</w:t>
      </w:r>
      <w:r w:rsidRPr="00D80424">
        <w:rPr>
          <w:rFonts w:ascii="Times-Roman" w:hAnsi="Times-Roman" w:cs="Times-Roman"/>
          <w:sz w:val="19"/>
          <w:szCs w:val="19"/>
          <w:lang w:eastAsia="en-AU"/>
        </w:rPr>
        <w:t xml:space="preserve"> </w:t>
      </w:r>
    </w:p>
    <w:p w14:paraId="27D960A1" w14:textId="77777777" w:rsidR="00F74300" w:rsidRDefault="00F74300" w:rsidP="00F74300">
      <w:pPr>
        <w:pStyle w:val="ParaNumbering"/>
      </w:pPr>
      <w:r>
        <w:t xml:space="preserve">Similarly, in </w:t>
      </w:r>
      <w:r w:rsidRPr="0000266B">
        <w:rPr>
          <w:i/>
        </w:rPr>
        <w:t>HML v The Queen</w:t>
      </w:r>
      <w:r w:rsidRPr="0000266B">
        <w:t xml:space="preserve"> (2008) 235 CLR 334</w:t>
      </w:r>
      <w:r>
        <w:t xml:space="preserve">, </w:t>
      </w:r>
      <w:proofErr w:type="spellStart"/>
      <w:r w:rsidR="00E77F48">
        <w:t>Heydon</w:t>
      </w:r>
      <w:proofErr w:type="spellEnd"/>
      <w:r w:rsidR="00E77F48">
        <w:t xml:space="preserve"> J </w:t>
      </w:r>
      <w:r>
        <w:t>held at [303]:</w:t>
      </w:r>
    </w:p>
    <w:p w14:paraId="27D960A2" w14:textId="77777777" w:rsidR="00F74300" w:rsidRPr="006302FF" w:rsidRDefault="00F74300" w:rsidP="00F74300">
      <w:pPr>
        <w:pStyle w:val="Quote1"/>
        <w:rPr>
          <w:szCs w:val="22"/>
          <w:highlight w:val="yellow"/>
        </w:rPr>
      </w:pPr>
      <w:r>
        <w:t>…</w:t>
      </w:r>
      <w:r w:rsidRPr="006302FF">
        <w:t>In civil cases the unexplained failure of a party to give evidence, call witnesses or tender material is not treated as evidence of fear that it would expose an unfavourable fact, nor as an assertion of the non-existence of the fact not proved: the only consequence is that the failure can cause an inference arising from the evidence of the opposing party to be more confidently drawn</w:t>
      </w:r>
      <w:r>
        <w:t>…</w:t>
      </w:r>
    </w:p>
    <w:p w14:paraId="27D960A3" w14:textId="77777777" w:rsidR="00F74300" w:rsidRDefault="00F74300" w:rsidP="00F74300">
      <w:pPr>
        <w:pStyle w:val="ParaNumbering"/>
      </w:pPr>
      <w:r>
        <w:t xml:space="preserve">The position was reiterated in </w:t>
      </w:r>
      <w:r w:rsidRPr="0000266B">
        <w:rPr>
          <w:i/>
        </w:rPr>
        <w:t xml:space="preserve">ASIC v </w:t>
      </w:r>
      <w:proofErr w:type="spellStart"/>
      <w:r w:rsidRPr="0000266B">
        <w:rPr>
          <w:i/>
        </w:rPr>
        <w:t>Hellicar</w:t>
      </w:r>
      <w:proofErr w:type="spellEnd"/>
      <w:r w:rsidRPr="0000266B">
        <w:t xml:space="preserve"> (2012) 247 CLR 345</w:t>
      </w:r>
      <w:r>
        <w:t xml:space="preserve">, where </w:t>
      </w:r>
      <w:proofErr w:type="spellStart"/>
      <w:r w:rsidR="00EC2CF1">
        <w:t>Heydon</w:t>
      </w:r>
      <w:proofErr w:type="spellEnd"/>
      <w:r w:rsidR="00EC2CF1">
        <w:t xml:space="preserve"> J</w:t>
      </w:r>
      <w:r>
        <w:t xml:space="preserve"> held at [232]:</w:t>
      </w:r>
    </w:p>
    <w:p w14:paraId="27D960A4" w14:textId="77777777" w:rsidR="00F74300" w:rsidRDefault="00F74300" w:rsidP="00F74300">
      <w:pPr>
        <w:pStyle w:val="Quote1"/>
        <w:rPr>
          <w:lang w:eastAsia="en-AU"/>
        </w:rPr>
      </w:pPr>
      <w:r w:rsidRPr="00325979">
        <w:rPr>
          <w:lang w:eastAsia="en-AU"/>
        </w:rPr>
        <w:t xml:space="preserve">…[T]wo consequences can flow from the unexplained failure of a party to call a witness whom that party would be expected to call. One is that the trier of fact may infer that the evidence of the absent witness would not assist the case of that party. The other is that the trier of fact may draw an inference unfavourable to that party with greater confidence. But </w:t>
      </w:r>
      <w:r w:rsidRPr="00E77F48">
        <w:rPr>
          <w:i/>
          <w:lang w:eastAsia="en-AU"/>
        </w:rPr>
        <w:t xml:space="preserve">Jones v </w:t>
      </w:r>
      <w:proofErr w:type="spellStart"/>
      <w:r w:rsidRPr="00E77F48">
        <w:rPr>
          <w:i/>
          <w:lang w:eastAsia="en-AU"/>
        </w:rPr>
        <w:t>Dunkel</w:t>
      </w:r>
      <w:proofErr w:type="spellEnd"/>
      <w:r w:rsidRPr="00325979">
        <w:rPr>
          <w:lang w:eastAsia="en-AU"/>
        </w:rPr>
        <w:t xml:space="preserve"> does not enable the trier of fact to infer that the evidence of the absent witness would have been positively adverse to that party…</w:t>
      </w:r>
    </w:p>
    <w:p w14:paraId="27D960A5" w14:textId="77777777" w:rsidR="00A87788" w:rsidRDefault="00A87788" w:rsidP="00A87788">
      <w:pPr>
        <w:pStyle w:val="ParaNumbering"/>
      </w:pPr>
      <w:r>
        <w:t xml:space="preserve">There was </w:t>
      </w:r>
      <w:r w:rsidR="0038048B">
        <w:t xml:space="preserve">direct </w:t>
      </w:r>
      <w:r>
        <w:t xml:space="preserve">evidence from Mrs </w:t>
      </w:r>
      <w:r w:rsidR="00C51027">
        <w:t>Donoghue</w:t>
      </w:r>
      <w:r>
        <w:t xml:space="preserve"> that the </w:t>
      </w:r>
      <w:r w:rsidR="00C026F0">
        <w:t xml:space="preserve">debtor </w:t>
      </w:r>
      <w:r>
        <w:t>bor</w:t>
      </w:r>
      <w:r w:rsidR="00C93CD7">
        <w:t xml:space="preserve">rowed </w:t>
      </w:r>
      <w:r w:rsidR="006205C1">
        <w:t xml:space="preserve">money </w:t>
      </w:r>
      <w:r w:rsidR="00C026F0">
        <w:t xml:space="preserve">from the family trust </w:t>
      </w:r>
      <w:r w:rsidR="00C93CD7">
        <w:t>for use</w:t>
      </w:r>
      <w:r>
        <w:t xml:space="preserve"> </w:t>
      </w:r>
      <w:r w:rsidR="00E32AB4">
        <w:t xml:space="preserve">in </w:t>
      </w:r>
      <w:r w:rsidR="00C93CD7">
        <w:t xml:space="preserve">his </w:t>
      </w:r>
      <w:r>
        <w:t>business</w:t>
      </w:r>
      <w:r w:rsidR="00564F3F">
        <w:t xml:space="preserve"> overseas</w:t>
      </w:r>
      <w:r w:rsidR="00C026F0">
        <w:t xml:space="preserve">, and </w:t>
      </w:r>
      <w:r w:rsidR="00E32AB4">
        <w:t xml:space="preserve">that the loan funds </w:t>
      </w:r>
      <w:r w:rsidR="004E7FC3">
        <w:t>continue</w:t>
      </w:r>
      <w:r w:rsidR="00C026F0">
        <w:t xml:space="preserve"> to be</w:t>
      </w:r>
      <w:r w:rsidR="00C93CD7">
        <w:t xml:space="preserve"> used by the debtor for his business</w:t>
      </w:r>
      <w:r>
        <w:t xml:space="preserve">.  There was </w:t>
      </w:r>
      <w:r w:rsidR="0038048B">
        <w:t xml:space="preserve">direct </w:t>
      </w:r>
      <w:r>
        <w:t>evidence</w:t>
      </w:r>
      <w:r w:rsidR="00C93CD7">
        <w:t xml:space="preserve"> from Mrs </w:t>
      </w:r>
      <w:r w:rsidR="00500BE9">
        <w:t>Donoghue</w:t>
      </w:r>
      <w:r>
        <w:t xml:space="preserve"> that repayments of the loan </w:t>
      </w:r>
      <w:r w:rsidR="00831603">
        <w:t>are</w:t>
      </w:r>
      <w:r>
        <w:t xml:space="preserve"> be</w:t>
      </w:r>
      <w:r w:rsidR="00F74300">
        <w:t>ing</w:t>
      </w:r>
      <w:r w:rsidR="0038048B">
        <w:t xml:space="preserve"> met</w:t>
      </w:r>
      <w:r>
        <w:t xml:space="preserve"> by the debtor, but there was no direct evidence as to the source of the funds used to make the repayments.  However, </w:t>
      </w:r>
      <w:r w:rsidR="00831603">
        <w:t>an inference was</w:t>
      </w:r>
      <w:r>
        <w:t xml:space="preserve"> available that</w:t>
      </w:r>
      <w:r w:rsidR="0038048B">
        <w:t>,</w:t>
      </w:r>
      <w:r>
        <w:t xml:space="preserve"> </w:t>
      </w:r>
      <w:r w:rsidR="00F74300">
        <w:t>a</w:t>
      </w:r>
      <w:r>
        <w:t>s the loan was use</w:t>
      </w:r>
      <w:r w:rsidR="00A0578E">
        <w:t>d for a</w:t>
      </w:r>
      <w:r w:rsidR="00E32AB4">
        <w:t xml:space="preserve"> business </w:t>
      </w:r>
      <w:r w:rsidR="00A0578E">
        <w:t xml:space="preserve">being </w:t>
      </w:r>
      <w:r w:rsidR="00E32AB4">
        <w:t>carried on by the</w:t>
      </w:r>
      <w:r>
        <w:t xml:space="preserve"> debtor, it was the debtor</w:t>
      </w:r>
      <w:r w:rsidR="00F74300">
        <w:t>’</w:t>
      </w:r>
      <w:r>
        <w:t>s business that was t</w:t>
      </w:r>
      <w:r w:rsidR="00831603">
        <w:t xml:space="preserve">he source of the funds used to make </w:t>
      </w:r>
      <w:r>
        <w:t xml:space="preserve">the loan repayments.  As the debtor did not give evidence, it was open </w:t>
      </w:r>
      <w:r w:rsidR="00494BA1">
        <w:t xml:space="preserve">to the primary judge </w:t>
      </w:r>
      <w:r>
        <w:t xml:space="preserve">to infer that any evidence he gave would not have assisted his case.  The absence of evidence from the debtor also allowed </w:t>
      </w:r>
      <w:r w:rsidR="00144E86">
        <w:t>a</w:t>
      </w:r>
      <w:r>
        <w:t xml:space="preserve"> </w:t>
      </w:r>
      <w:r w:rsidR="00144E86">
        <w:t xml:space="preserve">more confidently drawn </w:t>
      </w:r>
      <w:r>
        <w:t>inference that the debtor</w:t>
      </w:r>
      <w:r w:rsidR="00F74300">
        <w:t>’</w:t>
      </w:r>
      <w:r>
        <w:t>s business was the source of the funds for the repayments.</w:t>
      </w:r>
      <w:r w:rsidR="00831603">
        <w:t xml:space="preserve"> </w:t>
      </w:r>
      <w:r w:rsidR="00E32AB4">
        <w:t xml:space="preserve">It </w:t>
      </w:r>
      <w:r w:rsidR="00831603">
        <w:t>was unnecessary for there to be evidence about the nature and extent of the debtor’s business.</w:t>
      </w:r>
    </w:p>
    <w:p w14:paraId="27D960A6" w14:textId="77777777" w:rsidR="00831603" w:rsidRDefault="00DF7F83" w:rsidP="00E32AB4">
      <w:pPr>
        <w:pStyle w:val="ParaNumbering"/>
      </w:pPr>
      <w:r>
        <w:t>Even b</w:t>
      </w:r>
      <w:r w:rsidR="00831603">
        <w:t xml:space="preserve">earing in mind </w:t>
      </w:r>
      <w:r w:rsidR="0000266B">
        <w:t>s </w:t>
      </w:r>
      <w:r w:rsidR="00564F3F">
        <w:t xml:space="preserve">140(2) of the </w:t>
      </w:r>
      <w:r w:rsidR="00564F3F" w:rsidRPr="00564F3F">
        <w:rPr>
          <w:i/>
        </w:rPr>
        <w:t>Evidence Act</w:t>
      </w:r>
      <w:r w:rsidR="00564F3F">
        <w:t xml:space="preserve"> and the </w:t>
      </w:r>
      <w:proofErr w:type="spellStart"/>
      <w:r w:rsidR="00564F3F" w:rsidRPr="00564F3F">
        <w:rPr>
          <w:i/>
        </w:rPr>
        <w:t>Briginshaw</w:t>
      </w:r>
      <w:proofErr w:type="spellEnd"/>
      <w:r w:rsidR="00564F3F">
        <w:t xml:space="preserve"> standard, </w:t>
      </w:r>
      <w:r w:rsidR="00A87788">
        <w:t>there was</w:t>
      </w:r>
      <w:r>
        <w:t>, in my opinion,</w:t>
      </w:r>
      <w:r w:rsidR="00A87788">
        <w:t xml:space="preserve"> no e</w:t>
      </w:r>
      <w:r w:rsidR="002F1393">
        <w:t>rror</w:t>
      </w:r>
      <w:r w:rsidR="0001031D">
        <w:t xml:space="preserve"> by the primary judge in finding </w:t>
      </w:r>
      <w:r w:rsidR="00A87788">
        <w:t>that the loan was obtained for the debtor</w:t>
      </w:r>
      <w:r w:rsidR="00F74300">
        <w:t>’</w:t>
      </w:r>
      <w:r w:rsidR="00A87788">
        <w:t>s business, that the debtor continue</w:t>
      </w:r>
      <w:r w:rsidR="0001031D">
        <w:t>d</w:t>
      </w:r>
      <w:r w:rsidR="00A87788">
        <w:t xml:space="preserve"> to</w:t>
      </w:r>
      <w:r w:rsidR="0038048B">
        <w:t xml:space="preserve"> use the borrowed money for the</w:t>
      </w:r>
      <w:r w:rsidR="00A87788">
        <w:t xml:space="preserve"> purpose</w:t>
      </w:r>
      <w:r w:rsidR="0038048B">
        <w:t>s of his business</w:t>
      </w:r>
      <w:r w:rsidR="00A87788">
        <w:t xml:space="preserve"> and that the monthly repayments were made from the debtor</w:t>
      </w:r>
      <w:r w:rsidR="004A77B8">
        <w:t>’</w:t>
      </w:r>
      <w:r w:rsidR="00831603">
        <w:t>s business activities.</w:t>
      </w:r>
      <w:r w:rsidR="00A87788">
        <w:t xml:space="preserve"> </w:t>
      </w:r>
      <w:r w:rsidR="00E32AB4">
        <w:t xml:space="preserve">I reject the debtor’s submission that it was impermissible for his Honour to draw a </w:t>
      </w:r>
      <w:r w:rsidR="00E32AB4">
        <w:rPr>
          <w:i/>
        </w:rPr>
        <w:t>Jones v </w:t>
      </w:r>
      <w:proofErr w:type="spellStart"/>
      <w:r w:rsidR="00E32AB4" w:rsidRPr="00F74300">
        <w:rPr>
          <w:i/>
        </w:rPr>
        <w:t>Dunkel</w:t>
      </w:r>
      <w:proofErr w:type="spellEnd"/>
      <w:r w:rsidR="00E32AB4">
        <w:t xml:space="preserve"> inference against the debtor in respect of the source of the funds </w:t>
      </w:r>
      <w:r w:rsidR="00C34034">
        <w:t xml:space="preserve">used </w:t>
      </w:r>
      <w:r w:rsidR="00E32AB4">
        <w:t>for the loan repayments.</w:t>
      </w:r>
    </w:p>
    <w:p w14:paraId="27D960A7" w14:textId="77777777" w:rsidR="00831603" w:rsidRDefault="00A87788" w:rsidP="00AF0D56">
      <w:pPr>
        <w:pStyle w:val="ParaNumbering"/>
      </w:pPr>
      <w:r>
        <w:t xml:space="preserve">I </w:t>
      </w:r>
      <w:r w:rsidR="00DF7F83">
        <w:t xml:space="preserve">also </w:t>
      </w:r>
      <w:r>
        <w:t>reject the debtor</w:t>
      </w:r>
      <w:r w:rsidR="00F74300">
        <w:t>’</w:t>
      </w:r>
      <w:r w:rsidR="002F1393">
        <w:t>s submission</w:t>
      </w:r>
      <w:r>
        <w:t xml:space="preserve"> that the evidence was </w:t>
      </w:r>
      <w:r w:rsidR="004E7FC3">
        <w:t xml:space="preserve">inadequate </w:t>
      </w:r>
      <w:r>
        <w:t xml:space="preserve">to permit a </w:t>
      </w:r>
      <w:r w:rsidR="0001031D">
        <w:t xml:space="preserve">finding </w:t>
      </w:r>
      <w:r>
        <w:t>that the relevant business was the debtor</w:t>
      </w:r>
      <w:r w:rsidR="00F74300">
        <w:t>’</w:t>
      </w:r>
      <w:r>
        <w:t>s own business</w:t>
      </w:r>
      <w:r w:rsidR="00F74300">
        <w:t xml:space="preserve">. </w:t>
      </w:r>
      <w:r>
        <w:t xml:space="preserve"> </w:t>
      </w:r>
    </w:p>
    <w:p w14:paraId="27D960A8" w14:textId="77777777" w:rsidR="00F73B3D" w:rsidRPr="00DF7F83" w:rsidRDefault="00DF7F83" w:rsidP="0083640E">
      <w:pPr>
        <w:pStyle w:val="Heading3"/>
      </w:pPr>
      <w:bookmarkStart w:id="33" w:name="_Ref77250809"/>
      <w:r>
        <w:lastRenderedPageBreak/>
        <w:t>Alleged errors in finding</w:t>
      </w:r>
      <w:r w:rsidR="00F73B3D" w:rsidRPr="00DF7F83">
        <w:t xml:space="preserve"> that the debtor </w:t>
      </w:r>
      <w:r w:rsidR="00A0578E">
        <w:t>was carrying</w:t>
      </w:r>
      <w:r w:rsidR="00F73B3D" w:rsidRPr="00DF7F83">
        <w:t xml:space="preserve"> on business in Australia</w:t>
      </w:r>
      <w:bookmarkEnd w:id="33"/>
    </w:p>
    <w:p w14:paraId="27D960A9" w14:textId="77777777" w:rsidR="00380393" w:rsidRDefault="00380393" w:rsidP="00380393">
      <w:pPr>
        <w:pStyle w:val="ParaNumbering"/>
      </w:pPr>
      <w:r>
        <w:t xml:space="preserve">The debtor argues that even if </w:t>
      </w:r>
      <w:r w:rsidR="00831603">
        <w:t xml:space="preserve">his Honour’s </w:t>
      </w:r>
      <w:r>
        <w:t xml:space="preserve">primary findings are correct, the evidence did not allow a conclusion that the debtor </w:t>
      </w:r>
      <w:r w:rsidR="00A0578E">
        <w:t>was carrying</w:t>
      </w:r>
      <w:r>
        <w:t xml:space="preserve"> on business in Australia at the time of the act of bankruptcy. His Honour’s conclusion was ultimately based upon findings </w:t>
      </w:r>
      <w:r w:rsidR="005855BD">
        <w:t xml:space="preserve">that </w:t>
      </w:r>
      <w:r>
        <w:t xml:space="preserve">the loan was obtained in Australia, that the loan relies upon security in Australia and </w:t>
      </w:r>
      <w:r w:rsidR="005855BD">
        <w:t xml:space="preserve">that </w:t>
      </w:r>
      <w:r>
        <w:t>repayments are made in Australia from funds received from the debtor’s business</w:t>
      </w:r>
      <w:r w:rsidR="00E32AB4">
        <w:t xml:space="preserve"> conducted overseas</w:t>
      </w:r>
      <w:r>
        <w:t xml:space="preserve">. </w:t>
      </w:r>
    </w:p>
    <w:p w14:paraId="27D960AA" w14:textId="77777777" w:rsidR="004F6BF8" w:rsidRPr="004F6BF8" w:rsidRDefault="00C51027" w:rsidP="004F6BF8">
      <w:pPr>
        <w:pStyle w:val="ParaNumbering"/>
      </w:pPr>
      <w:r>
        <w:t>It is</w:t>
      </w:r>
      <w:r w:rsidR="00B835DD">
        <w:t xml:space="preserve"> true</w:t>
      </w:r>
      <w:r w:rsidR="00380393">
        <w:t>, as the debtor points out, that the loan was obtained in 2008, whereas the date at which the debtor had to be carrying on business in Australia</w:t>
      </w:r>
      <w:r w:rsidR="0054335E">
        <w:t xml:space="preserve"> was </w:t>
      </w:r>
      <w:r w:rsidR="005855BD">
        <w:t>12</w:t>
      </w:r>
      <w:r w:rsidR="00380393">
        <w:t xml:space="preserve"> June 2018.</w:t>
      </w:r>
      <w:r w:rsidR="0054335E">
        <w:t xml:space="preserve"> That distinguish</w:t>
      </w:r>
      <w:r w:rsidR="00564F3F">
        <w:t>es</w:t>
      </w:r>
      <w:r w:rsidR="0054335E">
        <w:t xml:space="preserve"> the facts in </w:t>
      </w:r>
      <w:proofErr w:type="spellStart"/>
      <w:r w:rsidR="0054335E" w:rsidRPr="00C8407B">
        <w:rPr>
          <w:i/>
          <w:szCs w:val="24"/>
          <w:lang w:eastAsia="en-AU"/>
        </w:rPr>
        <w:t>Actiesselskabet</w:t>
      </w:r>
      <w:proofErr w:type="spellEnd"/>
      <w:r w:rsidR="0054335E" w:rsidRPr="00C8407B">
        <w:rPr>
          <w:i/>
          <w:szCs w:val="24"/>
          <w:lang w:eastAsia="en-AU"/>
        </w:rPr>
        <w:t xml:space="preserve"> </w:t>
      </w:r>
      <w:proofErr w:type="spellStart"/>
      <w:r w:rsidR="0054335E" w:rsidRPr="00C8407B">
        <w:rPr>
          <w:i/>
          <w:szCs w:val="24"/>
          <w:lang w:eastAsia="en-AU"/>
        </w:rPr>
        <w:t>Dampskib</w:t>
      </w:r>
      <w:proofErr w:type="spellEnd"/>
      <w:r w:rsidR="0054335E" w:rsidRPr="00C8407B">
        <w:rPr>
          <w:i/>
          <w:szCs w:val="24"/>
          <w:lang w:eastAsia="en-AU"/>
        </w:rPr>
        <w:t xml:space="preserve"> </w:t>
      </w:r>
      <w:r w:rsidR="001C4BD8">
        <w:rPr>
          <w:i/>
          <w:szCs w:val="24"/>
          <w:lang w:eastAsia="en-AU"/>
        </w:rPr>
        <w:t>“</w:t>
      </w:r>
      <w:r w:rsidR="0054335E" w:rsidRPr="00C8407B">
        <w:rPr>
          <w:i/>
          <w:szCs w:val="24"/>
          <w:lang w:eastAsia="en-AU"/>
        </w:rPr>
        <w:t>Hercules</w:t>
      </w:r>
      <w:r w:rsidR="001C4BD8">
        <w:rPr>
          <w:i/>
          <w:szCs w:val="24"/>
          <w:lang w:eastAsia="en-AU"/>
        </w:rPr>
        <w:t>”</w:t>
      </w:r>
      <w:r w:rsidR="0054335E" w:rsidRPr="00C8407B">
        <w:rPr>
          <w:i/>
          <w:szCs w:val="24"/>
          <w:lang w:eastAsia="en-AU"/>
        </w:rPr>
        <w:t xml:space="preserve"> v Grand Trunk Pacific Railway Co</w:t>
      </w:r>
      <w:r w:rsidR="005855BD">
        <w:rPr>
          <w:i/>
          <w:szCs w:val="24"/>
          <w:lang w:eastAsia="en-AU"/>
        </w:rPr>
        <w:t>mpany</w:t>
      </w:r>
      <w:r w:rsidR="00755287" w:rsidRPr="00C8407B">
        <w:rPr>
          <w:szCs w:val="24"/>
          <w:lang w:eastAsia="en-AU"/>
        </w:rPr>
        <w:t>, where the company</w:t>
      </w:r>
      <w:r w:rsidR="00564F3F">
        <w:rPr>
          <w:szCs w:val="24"/>
          <w:lang w:eastAsia="en-AU"/>
        </w:rPr>
        <w:t>’s</w:t>
      </w:r>
      <w:r w:rsidR="00755287" w:rsidRPr="00C8407B">
        <w:rPr>
          <w:szCs w:val="24"/>
          <w:lang w:eastAsia="en-AU"/>
        </w:rPr>
        <w:t xml:space="preserve"> raising of capital</w:t>
      </w:r>
      <w:r w:rsidR="0054335E" w:rsidRPr="00C8407B">
        <w:rPr>
          <w:szCs w:val="24"/>
          <w:lang w:eastAsia="en-AU"/>
        </w:rPr>
        <w:t xml:space="preserve"> </w:t>
      </w:r>
      <w:r w:rsidR="00755287" w:rsidRPr="00C8407B">
        <w:rPr>
          <w:szCs w:val="24"/>
          <w:lang w:eastAsia="en-AU"/>
        </w:rPr>
        <w:t xml:space="preserve">in England led to a conclusion that the company was carrying on business in England. However, </w:t>
      </w:r>
      <w:r w:rsidR="00DF7F83">
        <w:rPr>
          <w:szCs w:val="24"/>
          <w:lang w:eastAsia="en-AU"/>
        </w:rPr>
        <w:t>if the raising of loans in a</w:t>
      </w:r>
      <w:r w:rsidR="00564F3F">
        <w:rPr>
          <w:szCs w:val="24"/>
          <w:lang w:eastAsia="en-AU"/>
        </w:rPr>
        <w:t xml:space="preserve"> country </w:t>
      </w:r>
      <w:r w:rsidR="00DF7F83">
        <w:rPr>
          <w:szCs w:val="24"/>
          <w:lang w:eastAsia="en-AU"/>
        </w:rPr>
        <w:t xml:space="preserve">is capable of </w:t>
      </w:r>
      <w:r w:rsidR="00755287" w:rsidRPr="00C8407B">
        <w:rPr>
          <w:szCs w:val="24"/>
          <w:lang w:eastAsia="en-AU"/>
        </w:rPr>
        <w:t>constituting the ca</w:t>
      </w:r>
      <w:r w:rsidR="00564F3F">
        <w:rPr>
          <w:szCs w:val="24"/>
          <w:lang w:eastAsia="en-AU"/>
        </w:rPr>
        <w:t>rrying on of business in that country</w:t>
      </w:r>
      <w:r w:rsidR="00DF7F83">
        <w:rPr>
          <w:szCs w:val="24"/>
          <w:lang w:eastAsia="en-AU"/>
        </w:rPr>
        <w:t xml:space="preserve">, so too must </w:t>
      </w:r>
      <w:r w:rsidR="000140D6">
        <w:rPr>
          <w:szCs w:val="24"/>
          <w:lang w:eastAsia="en-AU"/>
        </w:rPr>
        <w:t xml:space="preserve">be </w:t>
      </w:r>
      <w:r w:rsidR="00DF7F83">
        <w:rPr>
          <w:szCs w:val="24"/>
          <w:lang w:eastAsia="en-AU"/>
        </w:rPr>
        <w:t>the repayment of such loans</w:t>
      </w:r>
      <w:r w:rsidR="00755287" w:rsidRPr="00C8407B">
        <w:rPr>
          <w:szCs w:val="24"/>
          <w:lang w:eastAsia="en-AU"/>
        </w:rPr>
        <w:t xml:space="preserve">. </w:t>
      </w:r>
      <w:r w:rsidR="00E32AB4">
        <w:rPr>
          <w:szCs w:val="24"/>
          <w:lang w:eastAsia="en-AU"/>
        </w:rPr>
        <w:t>That</w:t>
      </w:r>
      <w:r w:rsidR="00C8407B" w:rsidRPr="00C8407B">
        <w:rPr>
          <w:szCs w:val="24"/>
          <w:lang w:eastAsia="en-AU"/>
        </w:rPr>
        <w:t xml:space="preserve"> is reinforced by </w:t>
      </w:r>
      <w:proofErr w:type="spellStart"/>
      <w:r w:rsidR="00C8407B" w:rsidRPr="00C8407B">
        <w:rPr>
          <w:i/>
        </w:rPr>
        <w:t>Theophile</w:t>
      </w:r>
      <w:proofErr w:type="spellEnd"/>
      <w:r w:rsidR="00C8407B">
        <w:t xml:space="preserve">, </w:t>
      </w:r>
      <w:r w:rsidR="00C8407B" w:rsidRPr="00C8407B">
        <w:rPr>
          <w:i/>
        </w:rPr>
        <w:t xml:space="preserve">Bird, </w:t>
      </w:r>
      <w:proofErr w:type="spellStart"/>
      <w:r w:rsidR="00C8407B" w:rsidRPr="00C8407B">
        <w:rPr>
          <w:i/>
        </w:rPr>
        <w:t>Mendonca</w:t>
      </w:r>
      <w:proofErr w:type="spellEnd"/>
      <w:r w:rsidR="00C8407B">
        <w:t xml:space="preserve"> and </w:t>
      </w:r>
      <w:proofErr w:type="spellStart"/>
      <w:r w:rsidR="00C8407B" w:rsidRPr="00C8407B">
        <w:rPr>
          <w:i/>
        </w:rPr>
        <w:t>Va</w:t>
      </w:r>
      <w:r w:rsidR="005855BD">
        <w:rPr>
          <w:i/>
        </w:rPr>
        <w:t>s</w:t>
      </w:r>
      <w:r w:rsidR="00C8407B" w:rsidRPr="00C8407B">
        <w:rPr>
          <w:i/>
        </w:rPr>
        <w:t>sis</w:t>
      </w:r>
      <w:proofErr w:type="spellEnd"/>
      <w:r w:rsidR="00C8407B">
        <w:t xml:space="preserve">, which accepted that a </w:t>
      </w:r>
      <w:r w:rsidR="00BC7D87">
        <w:t>business</w:t>
      </w:r>
      <w:r w:rsidR="00831603">
        <w:t xml:space="preserve"> is regarded as trading</w:t>
      </w:r>
      <w:r w:rsidR="005855BD">
        <w:t xml:space="preserve"> when paying off its debts arising from the fact of trading</w:t>
      </w:r>
      <w:r w:rsidR="00B835DD">
        <w:t>,</w:t>
      </w:r>
      <w:r w:rsidR="00C8407B">
        <w:t xml:space="preserve"> even </w:t>
      </w:r>
      <w:r w:rsidR="00E32AB4">
        <w:t xml:space="preserve">after </w:t>
      </w:r>
      <w:r w:rsidR="00831603">
        <w:t xml:space="preserve">it </w:t>
      </w:r>
      <w:r w:rsidR="00C8407B">
        <w:t xml:space="preserve">has ceased actually </w:t>
      </w:r>
      <w:r w:rsidR="00B835DD">
        <w:t>trading</w:t>
      </w:r>
      <w:r w:rsidR="005855BD">
        <w:t>.</w:t>
      </w:r>
      <w:r w:rsidR="004F6BF8">
        <w:t xml:space="preserve"> It is </w:t>
      </w:r>
      <w:r w:rsidR="00E32AB4">
        <w:t>also clear</w:t>
      </w:r>
      <w:r w:rsidR="004F6BF8">
        <w:t xml:space="preserve"> that</w:t>
      </w:r>
      <w:r w:rsidR="004F6BF8" w:rsidRPr="004F6BF8">
        <w:t xml:space="preserve"> a debtor may carry on business </w:t>
      </w:r>
      <w:r w:rsidR="004F6BF8">
        <w:t>in</w:t>
      </w:r>
      <w:r w:rsidR="004F6BF8" w:rsidRPr="004F6BF8">
        <w:t xml:space="preserve"> Australia even though the bulk of his or her business is conducted </w:t>
      </w:r>
      <w:r w:rsidR="004F6BF8">
        <w:t>overseas</w:t>
      </w:r>
      <w:r w:rsidR="004F6BF8" w:rsidRPr="004F6BF8">
        <w:t>.</w:t>
      </w:r>
    </w:p>
    <w:p w14:paraId="27D960AB" w14:textId="77777777" w:rsidR="002516C1" w:rsidRPr="002516C1" w:rsidRDefault="00B835DD" w:rsidP="002516C1">
      <w:pPr>
        <w:pStyle w:val="ParaNumbering"/>
      </w:pPr>
      <w:r>
        <w:t xml:space="preserve">In the present case, </w:t>
      </w:r>
      <w:r w:rsidR="002516C1">
        <w:t xml:space="preserve">the evidence established </w:t>
      </w:r>
      <w:r w:rsidR="007B4E10">
        <w:t xml:space="preserve">that, </w:t>
      </w:r>
      <w:r w:rsidR="002516C1">
        <w:t xml:space="preserve">at the date of the act of bankruptcy on </w:t>
      </w:r>
      <w:r w:rsidR="005855BD">
        <w:t>12</w:t>
      </w:r>
      <w:r w:rsidR="002516C1">
        <w:t xml:space="preserve"> June 2018</w:t>
      </w:r>
      <w:r w:rsidR="007B4E10">
        <w:t>,</w:t>
      </w:r>
      <w:r w:rsidR="00564F3F" w:rsidRPr="00564F3F">
        <w:t xml:space="preserve"> </w:t>
      </w:r>
      <w:r w:rsidR="00564F3F">
        <w:t>the following circumstances existed</w:t>
      </w:r>
      <w:r w:rsidR="002516C1">
        <w:t xml:space="preserve">. </w:t>
      </w:r>
      <w:r w:rsidR="00566B21">
        <w:t>In 200</w:t>
      </w:r>
      <w:r w:rsidR="00DF7F83">
        <w:t>8, Mrs Donoghue, as trustee of the</w:t>
      </w:r>
      <w:r w:rsidR="00566B21">
        <w:t xml:space="preserve"> </w:t>
      </w:r>
      <w:r>
        <w:t>family trust</w:t>
      </w:r>
      <w:r w:rsidR="002516C1">
        <w:t xml:space="preserve"> which </w:t>
      </w:r>
      <w:r>
        <w:t xml:space="preserve">owns the </w:t>
      </w:r>
      <w:r w:rsidR="000414B7">
        <w:t>Hamilton property</w:t>
      </w:r>
      <w:r w:rsidR="00566B21">
        <w:t>,</w:t>
      </w:r>
      <w:r>
        <w:t xml:space="preserve"> </w:t>
      </w:r>
      <w:r w:rsidR="002516C1">
        <w:t xml:space="preserve">had </w:t>
      </w:r>
      <w:r w:rsidR="00A33F72">
        <w:t xml:space="preserve">borrowed $4 million to $5 million </w:t>
      </w:r>
      <w:r>
        <w:t xml:space="preserve">from the Commonwealth Bank </w:t>
      </w:r>
      <w:r w:rsidR="00AC1C7A">
        <w:t>in Australia</w:t>
      </w:r>
      <w:r w:rsidR="00566B21">
        <w:t>,</w:t>
      </w:r>
      <w:r w:rsidR="00AC1C7A">
        <w:t xml:space="preserve"> </w:t>
      </w:r>
      <w:r>
        <w:t xml:space="preserve">and paid the </w:t>
      </w:r>
      <w:r w:rsidR="00566B21">
        <w:t>money</w:t>
      </w:r>
      <w:r>
        <w:t xml:space="preserve"> to the debtor</w:t>
      </w:r>
      <w:r w:rsidR="00A33F72">
        <w:t xml:space="preserve">. </w:t>
      </w:r>
      <w:r w:rsidR="00DF7F83">
        <w:t xml:space="preserve">The security for the Commonwealth Bank loan includes a personal guarantee given by the debtor. </w:t>
      </w:r>
      <w:r w:rsidR="00A33F72">
        <w:t xml:space="preserve">The debtor borrowed the money </w:t>
      </w:r>
      <w:r w:rsidR="00566B21">
        <w:t>from the family trust</w:t>
      </w:r>
      <w:r>
        <w:t xml:space="preserve"> for use in his business</w:t>
      </w:r>
      <w:r w:rsidR="007B4E10">
        <w:t xml:space="preserve">, which is </w:t>
      </w:r>
      <w:r w:rsidR="00E32AB4">
        <w:t xml:space="preserve">based </w:t>
      </w:r>
      <w:r w:rsidR="007B4E10">
        <w:t>overseas.</w:t>
      </w:r>
      <w:r w:rsidR="00E32AB4">
        <w:t xml:space="preserve"> </w:t>
      </w:r>
      <w:r w:rsidR="00725ECE">
        <w:t xml:space="preserve">The debtor continues to use the funds in his business. </w:t>
      </w:r>
      <w:r w:rsidR="007B4E10">
        <w:t>T</w:t>
      </w:r>
      <w:r w:rsidR="00AC1C7A">
        <w:t xml:space="preserve">he </w:t>
      </w:r>
      <w:r>
        <w:t>debtor make</w:t>
      </w:r>
      <w:r w:rsidR="00BC7D87">
        <w:t>s</w:t>
      </w:r>
      <w:r>
        <w:t xml:space="preserve"> </w:t>
      </w:r>
      <w:r w:rsidR="004926CD">
        <w:t xml:space="preserve">regular </w:t>
      </w:r>
      <w:r w:rsidR="008F0298">
        <w:t xml:space="preserve">and ongoing </w:t>
      </w:r>
      <w:r>
        <w:t>repayments</w:t>
      </w:r>
      <w:r w:rsidR="00DF7F83">
        <w:t xml:space="preserve"> of approximately</w:t>
      </w:r>
      <w:r w:rsidR="005855BD">
        <w:t xml:space="preserve"> </w:t>
      </w:r>
      <w:r w:rsidR="00DF7F83">
        <w:t>$45</w:t>
      </w:r>
      <w:r w:rsidR="007B4E10">
        <w:t>,000 per month</w:t>
      </w:r>
      <w:r w:rsidR="00DF7F83" w:rsidRPr="00DF7F83">
        <w:t xml:space="preserve"> </w:t>
      </w:r>
      <w:r w:rsidR="00DF7F83">
        <w:t xml:space="preserve">to </w:t>
      </w:r>
      <w:r w:rsidR="00725ECE">
        <w:t xml:space="preserve">Mrs Donoghue in </w:t>
      </w:r>
      <w:r w:rsidR="00DF7F83">
        <w:t>Australia</w:t>
      </w:r>
      <w:r w:rsidR="007B4E10">
        <w:t>.</w:t>
      </w:r>
      <w:r>
        <w:t xml:space="preserve"> </w:t>
      </w:r>
      <w:r w:rsidR="002516C1">
        <w:t>The debtor</w:t>
      </w:r>
      <w:r w:rsidR="007B4E10">
        <w:t>, it should be inferred,</w:t>
      </w:r>
      <w:r w:rsidR="002516C1">
        <w:t xml:space="preserve"> </w:t>
      </w:r>
      <w:r w:rsidR="00566B21">
        <w:t>makes the loan repayments</w:t>
      </w:r>
      <w:r w:rsidR="00A33F72">
        <w:t xml:space="preserve"> </w:t>
      </w:r>
      <w:r w:rsidR="002516C1">
        <w:t xml:space="preserve">from </w:t>
      </w:r>
      <w:r w:rsidR="007B4E10">
        <w:t>the capital or income of his</w:t>
      </w:r>
      <w:r w:rsidR="002516C1" w:rsidRPr="002516C1">
        <w:t xml:space="preserve"> business</w:t>
      </w:r>
      <w:r w:rsidR="00AC1C7A">
        <w:t>.</w:t>
      </w:r>
      <w:r w:rsidR="004E7FC3">
        <w:t xml:space="preserve"> The </w:t>
      </w:r>
      <w:r w:rsidR="00725ECE">
        <w:t xml:space="preserve">making of the loan repayments is part of </w:t>
      </w:r>
      <w:r w:rsidR="00C34034">
        <w:t xml:space="preserve">the </w:t>
      </w:r>
      <w:r w:rsidR="004E7FC3">
        <w:t xml:space="preserve">carrying on of the debtor’s business. </w:t>
      </w:r>
    </w:p>
    <w:p w14:paraId="27D960AC" w14:textId="77777777" w:rsidR="00380393" w:rsidRDefault="00AC1C7A" w:rsidP="00AF0D56">
      <w:pPr>
        <w:pStyle w:val="ParaNumbering"/>
      </w:pPr>
      <w:r>
        <w:t xml:space="preserve">I concur with the primary judge that, in these circumstances, the debtor </w:t>
      </w:r>
      <w:r w:rsidR="00A0578E">
        <w:t>was carrying</w:t>
      </w:r>
      <w:r>
        <w:t xml:space="preserve"> on business in Australia at</w:t>
      </w:r>
      <w:r w:rsidR="00725ECE">
        <w:t xml:space="preserve"> the time when the act of bankruptcy was committed</w:t>
      </w:r>
      <w:r>
        <w:t xml:space="preserve">. </w:t>
      </w:r>
      <w:r w:rsidR="004767D9">
        <w:t>The debtor has failed to demonstrate any error on the part of the primary judge in so concluding.</w:t>
      </w:r>
    </w:p>
    <w:p w14:paraId="27D960AD" w14:textId="77777777" w:rsidR="00F73B3D" w:rsidRPr="00AB6D0B" w:rsidRDefault="00F73B3D" w:rsidP="0083640E">
      <w:pPr>
        <w:pStyle w:val="Heading2"/>
      </w:pPr>
      <w:bookmarkStart w:id="34" w:name="_Ref77250810"/>
      <w:r w:rsidRPr="00AB6D0B">
        <w:lastRenderedPageBreak/>
        <w:t>Whether the p</w:t>
      </w:r>
      <w:r w:rsidR="00AB6D0B">
        <w:t>rimary judge erred in finding</w:t>
      </w:r>
      <w:r w:rsidRPr="00AB6D0B">
        <w:t xml:space="preserve"> that the debtor had a place of business in Australia</w:t>
      </w:r>
      <w:bookmarkEnd w:id="34"/>
    </w:p>
    <w:p w14:paraId="27D960AE" w14:textId="77777777" w:rsidR="00C65B53" w:rsidRDefault="00F73B3D" w:rsidP="00C65B53">
      <w:pPr>
        <w:pStyle w:val="ParaNumbering"/>
      </w:pPr>
      <w:r>
        <w:t>The primary judge also concluded that t</w:t>
      </w:r>
      <w:r w:rsidR="0000266B">
        <w:t>he criterion in s </w:t>
      </w:r>
      <w:r w:rsidR="005855BD">
        <w:t xml:space="preserve">43(1)(b)(ii) </w:t>
      </w:r>
      <w:r w:rsidR="0081714A">
        <w:t xml:space="preserve">of the Act, that </w:t>
      </w:r>
      <w:r>
        <w:t>at th</w:t>
      </w:r>
      <w:r w:rsidR="0081714A">
        <w:t>e date of the act of bankruptcy</w:t>
      </w:r>
      <w:r>
        <w:t xml:space="preserve"> </w:t>
      </w:r>
      <w:r w:rsidR="0081714A">
        <w:t>the debtor had</w:t>
      </w:r>
      <w:r>
        <w:t xml:space="preserve"> a</w:t>
      </w:r>
      <w:r w:rsidR="0081714A">
        <w:t xml:space="preserve"> place of business in Australia, </w:t>
      </w:r>
      <w:r>
        <w:t>was satisfied.</w:t>
      </w:r>
    </w:p>
    <w:p w14:paraId="27D960AF" w14:textId="77777777" w:rsidR="0007499A" w:rsidRDefault="00624134" w:rsidP="0007499A">
      <w:pPr>
        <w:pStyle w:val="ParaNumbering"/>
      </w:pPr>
      <w:r>
        <w:t xml:space="preserve">My </w:t>
      </w:r>
      <w:r w:rsidR="00C65B53">
        <w:t xml:space="preserve">finding that </w:t>
      </w:r>
      <w:r w:rsidR="0081714A">
        <w:t xml:space="preserve">the primary judge </w:t>
      </w:r>
      <w:r w:rsidR="003007CC">
        <w:t xml:space="preserve">did not err in </w:t>
      </w:r>
      <w:r w:rsidR="0081714A">
        <w:t xml:space="preserve">concluding </w:t>
      </w:r>
      <w:r w:rsidR="003007CC">
        <w:t xml:space="preserve">that the debtor </w:t>
      </w:r>
      <w:r w:rsidR="00A0578E">
        <w:t xml:space="preserve">was carrying </w:t>
      </w:r>
      <w:r w:rsidR="003007CC">
        <w:t>on business in Australia is enough to dispose of the appeal</w:t>
      </w:r>
      <w:r>
        <w:t>.</w:t>
      </w:r>
      <w:r w:rsidR="003007CC">
        <w:t xml:space="preserve"> </w:t>
      </w:r>
      <w:r w:rsidR="0081714A">
        <w:t xml:space="preserve">However, </w:t>
      </w:r>
      <w:r w:rsidR="004B160D">
        <w:t>in case I am wrong</w:t>
      </w:r>
      <w:r w:rsidR="0081714A">
        <w:t>,</w:t>
      </w:r>
      <w:r w:rsidR="0081714A" w:rsidRPr="0081714A">
        <w:t xml:space="preserve"> </w:t>
      </w:r>
      <w:r w:rsidR="0081714A">
        <w:t>I will proceed</w:t>
      </w:r>
      <w:r w:rsidR="004B160D">
        <w:t xml:space="preserve"> </w:t>
      </w:r>
      <w:r w:rsidR="003007CC">
        <w:t xml:space="preserve">to consider whether there was any error in </w:t>
      </w:r>
      <w:r>
        <w:t xml:space="preserve">his Honour’s </w:t>
      </w:r>
      <w:r w:rsidR="00AB6D0B">
        <w:t xml:space="preserve">finding </w:t>
      </w:r>
      <w:r w:rsidR="003007CC">
        <w:t>that the debtor had a place of business in Australia.</w:t>
      </w:r>
      <w:r>
        <w:t xml:space="preserve"> </w:t>
      </w:r>
    </w:p>
    <w:p w14:paraId="27D960B0" w14:textId="77777777" w:rsidR="0081714A" w:rsidRDefault="0081714A" w:rsidP="0081714A">
      <w:pPr>
        <w:pStyle w:val="ParaNumbering"/>
      </w:pPr>
      <w:r>
        <w:t>The debtor submits that</w:t>
      </w:r>
      <w:r w:rsidRPr="00C65B53">
        <w:t xml:space="preserve"> </w:t>
      </w:r>
      <w:r>
        <w:t>the primary judge erred in so concluding and in making findings of fact that led to that conclusion.</w:t>
      </w:r>
    </w:p>
    <w:p w14:paraId="27D960B1" w14:textId="77777777" w:rsidR="00C65B53" w:rsidRPr="0007499A" w:rsidRDefault="0007499A" w:rsidP="008F2E98">
      <w:pPr>
        <w:pStyle w:val="ParaNumbering"/>
        <w:keepNext/>
        <w:keepLines/>
      </w:pPr>
      <w:r w:rsidRPr="0007499A">
        <w:t xml:space="preserve">The primary judge’s conclusion was </w:t>
      </w:r>
      <w:r w:rsidR="00C65B53" w:rsidRPr="0007499A">
        <w:t>dra</w:t>
      </w:r>
      <w:r w:rsidRPr="0007499A">
        <w:t>wn from the following findings:</w:t>
      </w:r>
    </w:p>
    <w:p w14:paraId="27D960B2" w14:textId="77777777" w:rsidR="008F2E98" w:rsidRPr="0021167A" w:rsidRDefault="008F2E98" w:rsidP="0021167A">
      <w:pPr>
        <w:pStyle w:val="ListNo1"/>
        <w:numPr>
          <w:ilvl w:val="0"/>
          <w:numId w:val="37"/>
        </w:numPr>
      </w:pPr>
      <w:r w:rsidRPr="0021167A">
        <w:t xml:space="preserve">The debtor </w:t>
      </w:r>
      <w:r w:rsidR="00A0578E">
        <w:t>was carrying</w:t>
      </w:r>
      <w:r w:rsidRPr="0021167A">
        <w:t xml:space="preserve"> on business in Australia by servicing the debt to the family trust in Australia, in respect of which Mrs Donoghue had obtained a loan from the Commonwealth Bank.</w:t>
      </w:r>
    </w:p>
    <w:p w14:paraId="27D960B3" w14:textId="77777777" w:rsidR="008F2E98" w:rsidRPr="0021167A" w:rsidRDefault="008F2E98" w:rsidP="00564703">
      <w:pPr>
        <w:pStyle w:val="ListNo1"/>
        <w:numPr>
          <w:ilvl w:val="0"/>
          <w:numId w:val="37"/>
        </w:numPr>
      </w:pPr>
      <w:r w:rsidRPr="0021167A">
        <w:t xml:space="preserve">The debtor provided the </w:t>
      </w:r>
      <w:r w:rsidR="000414B7">
        <w:t>Hamilton property</w:t>
      </w:r>
      <w:r w:rsidRPr="0021167A">
        <w:t xml:space="preserve"> as his address for the personal guarantee he gave to secure the Commonwealth Bank loan.</w:t>
      </w:r>
    </w:p>
    <w:p w14:paraId="27D960B4" w14:textId="77777777" w:rsidR="0007499A" w:rsidRPr="0021167A" w:rsidRDefault="008F2E98" w:rsidP="00564703">
      <w:pPr>
        <w:pStyle w:val="ListNo1"/>
        <w:numPr>
          <w:ilvl w:val="0"/>
          <w:numId w:val="37"/>
        </w:numPr>
      </w:pPr>
      <w:r w:rsidRPr="0021167A">
        <w:t>The debtor remained a director of Sterling Pacific Pty Ltd, and his address</w:t>
      </w:r>
      <w:r w:rsidR="00AA1BD7" w:rsidRPr="0021167A">
        <w:t xml:space="preserve"> for the directorship</w:t>
      </w:r>
      <w:r w:rsidRPr="0021167A">
        <w:t xml:space="preserve">, according to the records held by ASIC, remained the </w:t>
      </w:r>
      <w:r w:rsidR="000414B7">
        <w:t>Hamilton property</w:t>
      </w:r>
      <w:r w:rsidRPr="0021167A">
        <w:t xml:space="preserve">. It was open to the </w:t>
      </w:r>
      <w:r w:rsidR="00C34034">
        <w:t xml:space="preserve">debtor </w:t>
      </w:r>
      <w:r w:rsidRPr="0021167A">
        <w:t xml:space="preserve">to give evidence about his involvement in Sterling Pacific Pty Ltd and the purpose for which he remained a director, but he did not do so, giving rise to a </w:t>
      </w:r>
      <w:r w:rsidRPr="0021167A">
        <w:rPr>
          <w:i/>
        </w:rPr>
        <w:t xml:space="preserve">Jones v </w:t>
      </w:r>
      <w:proofErr w:type="spellStart"/>
      <w:r w:rsidRPr="0021167A">
        <w:rPr>
          <w:i/>
        </w:rPr>
        <w:t>Dunkel</w:t>
      </w:r>
      <w:proofErr w:type="spellEnd"/>
      <w:r w:rsidRPr="0021167A">
        <w:t xml:space="preserve"> inference.</w:t>
      </w:r>
    </w:p>
    <w:p w14:paraId="27D960B5" w14:textId="77777777" w:rsidR="0007499A" w:rsidRDefault="0007499A" w:rsidP="0007499A">
      <w:pPr>
        <w:pStyle w:val="ParaNumbering"/>
        <w:rPr>
          <w:szCs w:val="24"/>
          <w:lang w:eastAsia="en-AU"/>
        </w:rPr>
      </w:pPr>
      <w:r>
        <w:rPr>
          <w:szCs w:val="24"/>
          <w:lang w:eastAsia="en-AU"/>
        </w:rPr>
        <w:t xml:space="preserve">The debtor submits </w:t>
      </w:r>
      <w:r w:rsidR="00C65B53" w:rsidRPr="0007499A">
        <w:rPr>
          <w:szCs w:val="24"/>
          <w:lang w:eastAsia="en-AU"/>
        </w:rPr>
        <w:t>that the</w:t>
      </w:r>
      <w:r>
        <w:rPr>
          <w:szCs w:val="24"/>
          <w:lang w:eastAsia="en-AU"/>
        </w:rPr>
        <w:t>se</w:t>
      </w:r>
      <w:r w:rsidR="00C65B53" w:rsidRPr="0007499A">
        <w:rPr>
          <w:szCs w:val="24"/>
          <w:lang w:eastAsia="en-AU"/>
        </w:rPr>
        <w:t xml:space="preserve"> </w:t>
      </w:r>
      <w:r w:rsidR="000936AF">
        <w:rPr>
          <w:szCs w:val="24"/>
          <w:lang w:eastAsia="en-AU"/>
        </w:rPr>
        <w:t>matters</w:t>
      </w:r>
      <w:r w:rsidR="00AA1BD7">
        <w:rPr>
          <w:szCs w:val="24"/>
          <w:lang w:eastAsia="en-AU"/>
        </w:rPr>
        <w:t>, whether considered individually</w:t>
      </w:r>
      <w:r w:rsidR="00AA1BD7" w:rsidRPr="0007499A">
        <w:rPr>
          <w:szCs w:val="24"/>
          <w:lang w:eastAsia="en-AU"/>
        </w:rPr>
        <w:t xml:space="preserve"> or in </w:t>
      </w:r>
      <w:r w:rsidR="00AA1BD7">
        <w:rPr>
          <w:szCs w:val="24"/>
          <w:lang w:eastAsia="en-AU"/>
        </w:rPr>
        <w:t>combination,</w:t>
      </w:r>
      <w:r w:rsidR="000936AF">
        <w:rPr>
          <w:szCs w:val="24"/>
          <w:lang w:eastAsia="en-AU"/>
        </w:rPr>
        <w:t xml:space="preserve"> </w:t>
      </w:r>
      <w:r>
        <w:rPr>
          <w:szCs w:val="24"/>
          <w:lang w:eastAsia="en-AU"/>
        </w:rPr>
        <w:t>do not permit an</w:t>
      </w:r>
      <w:r w:rsidR="0081714A">
        <w:rPr>
          <w:szCs w:val="24"/>
          <w:lang w:eastAsia="en-AU"/>
        </w:rPr>
        <w:t>y</w:t>
      </w:r>
      <w:r>
        <w:rPr>
          <w:szCs w:val="24"/>
          <w:lang w:eastAsia="en-AU"/>
        </w:rPr>
        <w:t xml:space="preserve"> </w:t>
      </w:r>
      <w:r w:rsidRPr="0007499A">
        <w:rPr>
          <w:szCs w:val="24"/>
          <w:lang w:eastAsia="en-AU"/>
        </w:rPr>
        <w:t>inference</w:t>
      </w:r>
      <w:r w:rsidR="00C65B53" w:rsidRPr="0007499A">
        <w:rPr>
          <w:szCs w:val="24"/>
          <w:lang w:eastAsia="en-AU"/>
        </w:rPr>
        <w:t xml:space="preserve"> that the</w:t>
      </w:r>
      <w:r>
        <w:rPr>
          <w:szCs w:val="24"/>
          <w:lang w:eastAsia="en-AU"/>
        </w:rPr>
        <w:t xml:space="preserve"> </w:t>
      </w:r>
      <w:r w:rsidR="00AA1BD7">
        <w:rPr>
          <w:szCs w:val="24"/>
          <w:lang w:eastAsia="en-AU"/>
        </w:rPr>
        <w:t>debtor</w:t>
      </w:r>
      <w:r w:rsidR="00AA1BD7" w:rsidRPr="0007499A">
        <w:rPr>
          <w:szCs w:val="24"/>
          <w:lang w:eastAsia="en-AU"/>
        </w:rPr>
        <w:t xml:space="preserve"> </w:t>
      </w:r>
      <w:r w:rsidR="00C65B53" w:rsidRPr="0007499A">
        <w:rPr>
          <w:szCs w:val="24"/>
          <w:lang w:eastAsia="en-AU"/>
        </w:rPr>
        <w:t>had a place of business in Australia on 12 June 2018</w:t>
      </w:r>
      <w:r w:rsidR="00AA1BD7">
        <w:rPr>
          <w:szCs w:val="24"/>
          <w:lang w:eastAsia="en-AU"/>
        </w:rPr>
        <w:t>.</w:t>
      </w:r>
      <w:r>
        <w:rPr>
          <w:szCs w:val="24"/>
          <w:lang w:eastAsia="en-AU"/>
        </w:rPr>
        <w:t xml:space="preserve"> </w:t>
      </w:r>
    </w:p>
    <w:p w14:paraId="27D960B6" w14:textId="77777777" w:rsidR="008F0298" w:rsidRPr="00E32AB4" w:rsidRDefault="000936AF" w:rsidP="00E32AB4">
      <w:pPr>
        <w:pStyle w:val="ParaNumbering"/>
        <w:rPr>
          <w:szCs w:val="24"/>
          <w:lang w:eastAsia="en-AU"/>
        </w:rPr>
      </w:pPr>
      <w:r>
        <w:t>Th</w:t>
      </w:r>
      <w:r w:rsidR="0081714A">
        <w:t>e parties made submissions concerning</w:t>
      </w:r>
      <w:r>
        <w:t xml:space="preserve"> whether </w:t>
      </w:r>
      <w:r w:rsidR="00AB6D0B">
        <w:t xml:space="preserve">a </w:t>
      </w:r>
      <w:r w:rsidR="00561F93">
        <w:t xml:space="preserve">person </w:t>
      </w:r>
      <w:r w:rsidR="00AB6D0B">
        <w:t>may</w:t>
      </w:r>
      <w:r>
        <w:t xml:space="preserve"> have a place of</w:t>
      </w:r>
      <w:r w:rsidRPr="000936AF">
        <w:t xml:space="preserve"> </w:t>
      </w:r>
      <w:r>
        <w:t xml:space="preserve">business in Australia without carrying </w:t>
      </w:r>
      <w:r w:rsidRPr="0007499A">
        <w:t>on business in Australia</w:t>
      </w:r>
      <w:r>
        <w:t xml:space="preserve">. </w:t>
      </w:r>
      <w:r w:rsidR="00E5601C">
        <w:t>The creditor submits that it is possible, while the debtor submits that it is not.</w:t>
      </w:r>
      <w:r w:rsidR="00E5601C">
        <w:rPr>
          <w:szCs w:val="24"/>
          <w:lang w:eastAsia="en-AU"/>
        </w:rPr>
        <w:t xml:space="preserve"> </w:t>
      </w:r>
      <w:r w:rsidR="0026657A">
        <w:rPr>
          <w:szCs w:val="24"/>
          <w:lang w:eastAsia="en-AU"/>
        </w:rPr>
        <w:t xml:space="preserve">The </w:t>
      </w:r>
      <w:r>
        <w:t xml:space="preserve">parties have not found any authority directly bearing on the issue. </w:t>
      </w:r>
      <w:r w:rsidR="008F0298">
        <w:t xml:space="preserve">The strongest argument raised by the </w:t>
      </w:r>
      <w:r w:rsidR="005B3552">
        <w:t xml:space="preserve">creditor </w:t>
      </w:r>
      <w:r w:rsidR="008F0298">
        <w:t>is that the criteri</w:t>
      </w:r>
      <w:r w:rsidR="00E44813">
        <w:t>a</w:t>
      </w:r>
      <w:r w:rsidR="008F0298">
        <w:t xml:space="preserve"> in s 43(1)(b)(ii) and (iii) </w:t>
      </w:r>
      <w:r w:rsidR="00624134">
        <w:t xml:space="preserve">of the Act </w:t>
      </w:r>
      <w:r w:rsidR="008F0298">
        <w:t>are d</w:t>
      </w:r>
      <w:r w:rsidR="00E5601C">
        <w:t>isjunctive, suggesting</w:t>
      </w:r>
      <w:r w:rsidR="008F0298">
        <w:t xml:space="preserve"> that the criterion of </w:t>
      </w:r>
      <w:r w:rsidR="00561F93">
        <w:t>“</w:t>
      </w:r>
      <w:r w:rsidR="008F0298">
        <w:t>place of business in Australia</w:t>
      </w:r>
      <w:r w:rsidR="00561F93">
        <w:t>”</w:t>
      </w:r>
      <w:r w:rsidR="008F0298">
        <w:t xml:space="preserve"> can be satisfied </w:t>
      </w:r>
      <w:r w:rsidR="00E5601C">
        <w:t xml:space="preserve">even if </w:t>
      </w:r>
      <w:r w:rsidR="008F0298" w:rsidRPr="00E32AB4">
        <w:rPr>
          <w:szCs w:val="24"/>
          <w:lang w:eastAsia="en-AU"/>
        </w:rPr>
        <w:t xml:space="preserve">the criterion of </w:t>
      </w:r>
      <w:r w:rsidR="00561F93" w:rsidRPr="00E32AB4">
        <w:rPr>
          <w:szCs w:val="24"/>
          <w:lang w:eastAsia="en-AU"/>
        </w:rPr>
        <w:t>“</w:t>
      </w:r>
      <w:r w:rsidR="008F0298">
        <w:t xml:space="preserve">carrying on business in </w:t>
      </w:r>
      <w:r w:rsidR="00E5601C">
        <w:t>Australia</w:t>
      </w:r>
      <w:r w:rsidR="00561F93">
        <w:t>”</w:t>
      </w:r>
      <w:r w:rsidR="00E5601C">
        <w:t xml:space="preserve"> is not</w:t>
      </w:r>
      <w:r w:rsidR="008F0298">
        <w:t xml:space="preserve">. </w:t>
      </w:r>
      <w:r w:rsidR="0026657A">
        <w:t xml:space="preserve">However, it is </w:t>
      </w:r>
      <w:r w:rsidR="008F0298">
        <w:t>unnecessary for me to decide the issue</w:t>
      </w:r>
      <w:r w:rsidR="00E5601C">
        <w:t xml:space="preserve"> in the circumstances of this case</w:t>
      </w:r>
      <w:r w:rsidR="008F0298">
        <w:t xml:space="preserve">. </w:t>
      </w:r>
      <w:r w:rsidR="00E5601C">
        <w:t xml:space="preserve">It is enough to assume the issue in favour of the creditor. </w:t>
      </w:r>
    </w:p>
    <w:p w14:paraId="27D960B7" w14:textId="77777777" w:rsidR="005D5E93" w:rsidRDefault="00B34261" w:rsidP="00624134">
      <w:pPr>
        <w:pStyle w:val="ParaNumbering"/>
        <w:rPr>
          <w:lang w:eastAsia="en-AU"/>
        </w:rPr>
      </w:pPr>
      <w:r>
        <w:rPr>
          <w:lang w:eastAsia="en-AU"/>
        </w:rPr>
        <w:lastRenderedPageBreak/>
        <w:t xml:space="preserve">The first </w:t>
      </w:r>
      <w:r w:rsidR="00624134">
        <w:rPr>
          <w:lang w:eastAsia="en-AU"/>
        </w:rPr>
        <w:t>matter</w:t>
      </w:r>
      <w:r>
        <w:rPr>
          <w:lang w:eastAsia="en-AU"/>
        </w:rPr>
        <w:t xml:space="preserve"> considered </w:t>
      </w:r>
      <w:r w:rsidR="00E44813">
        <w:rPr>
          <w:lang w:eastAsia="en-AU"/>
        </w:rPr>
        <w:t xml:space="preserve">by </w:t>
      </w:r>
      <w:r>
        <w:rPr>
          <w:lang w:eastAsia="en-AU"/>
        </w:rPr>
        <w:t xml:space="preserve">the primary judge is that the debtor </w:t>
      </w:r>
      <w:r w:rsidR="00A0578E">
        <w:t>was carrying</w:t>
      </w:r>
      <w:r w:rsidRPr="0007499A">
        <w:t xml:space="preserve"> on business in Australia</w:t>
      </w:r>
      <w:r>
        <w:t xml:space="preserve">. However, </w:t>
      </w:r>
      <w:r w:rsidR="00E5601C">
        <w:t>I am proceeding upon the assumption</w:t>
      </w:r>
      <w:r>
        <w:t xml:space="preserve"> that this finding was wrongly made. </w:t>
      </w:r>
    </w:p>
    <w:p w14:paraId="27D960B8" w14:textId="77777777" w:rsidR="00B34261" w:rsidRDefault="00B34261" w:rsidP="00624134">
      <w:pPr>
        <w:pStyle w:val="ParaNumbering"/>
        <w:rPr>
          <w:lang w:eastAsia="en-AU"/>
        </w:rPr>
      </w:pPr>
      <w:r>
        <w:t xml:space="preserve">The next matter was that the debtor </w:t>
      </w:r>
      <w:r w:rsidRPr="0007499A">
        <w:t xml:space="preserve">provided the </w:t>
      </w:r>
      <w:r w:rsidR="000414B7">
        <w:t>Hamilton property</w:t>
      </w:r>
      <w:r w:rsidRPr="0007499A">
        <w:t xml:space="preserve"> as his address for</w:t>
      </w:r>
      <w:r>
        <w:t xml:space="preserve"> his</w:t>
      </w:r>
      <w:r w:rsidRPr="0007499A">
        <w:t xml:space="preserve"> personal guarantee to secure the</w:t>
      </w:r>
      <w:r w:rsidR="00E44813">
        <w:t xml:space="preserve"> </w:t>
      </w:r>
      <w:r w:rsidRPr="0007499A">
        <w:t>Commonwealth Bank loan</w:t>
      </w:r>
      <w:r>
        <w:t xml:space="preserve">. </w:t>
      </w:r>
      <w:r w:rsidR="00AB6D0B">
        <w:t xml:space="preserve">However, this matter formed part of the primary judge’s reasoning for finding that </w:t>
      </w:r>
      <w:r>
        <w:t xml:space="preserve">the debtor was carrying on business in </w:t>
      </w:r>
      <w:r w:rsidR="00AB6D0B">
        <w:t xml:space="preserve">Australia, so </w:t>
      </w:r>
      <w:r w:rsidR="00E5601C">
        <w:t xml:space="preserve">I should also assume </w:t>
      </w:r>
      <w:r w:rsidR="00AB6D0B">
        <w:t xml:space="preserve">that his Honour’s reliance upon it </w:t>
      </w:r>
      <w:r>
        <w:t xml:space="preserve">was wrong. </w:t>
      </w:r>
    </w:p>
    <w:p w14:paraId="27D960B9" w14:textId="77777777" w:rsidR="00F73B3D" w:rsidRDefault="00B34261" w:rsidP="003A5937">
      <w:pPr>
        <w:pStyle w:val="ParaNumbering"/>
        <w:rPr>
          <w:szCs w:val="24"/>
          <w:lang w:eastAsia="en-AU"/>
        </w:rPr>
      </w:pPr>
      <w:r>
        <w:t xml:space="preserve">That only leaves the </w:t>
      </w:r>
      <w:r w:rsidR="00624134">
        <w:t xml:space="preserve">debtor’s </w:t>
      </w:r>
      <w:r w:rsidR="00624134" w:rsidRPr="0007499A">
        <w:t>director</w:t>
      </w:r>
      <w:r w:rsidR="00624134">
        <w:t>ship</w:t>
      </w:r>
      <w:r w:rsidR="00624134" w:rsidRPr="0007499A">
        <w:t xml:space="preserve"> of Sterling Pacific Pty Ltd</w:t>
      </w:r>
      <w:r w:rsidR="00624134">
        <w:rPr>
          <w:lang w:eastAsia="en-AU"/>
        </w:rPr>
        <w:t xml:space="preserve">. </w:t>
      </w:r>
      <w:r w:rsidR="00152A26">
        <w:rPr>
          <w:lang w:eastAsia="en-AU"/>
        </w:rPr>
        <w:t xml:space="preserve">The </w:t>
      </w:r>
      <w:r w:rsidR="00C65B53" w:rsidRPr="00624134">
        <w:rPr>
          <w:lang w:eastAsia="en-AU"/>
        </w:rPr>
        <w:t>ASIC records</w:t>
      </w:r>
      <w:r w:rsidR="00152A26">
        <w:rPr>
          <w:lang w:eastAsia="en-AU"/>
        </w:rPr>
        <w:t xml:space="preserve"> </w:t>
      </w:r>
      <w:r w:rsidR="00E5601C">
        <w:rPr>
          <w:lang w:eastAsia="en-AU"/>
        </w:rPr>
        <w:t xml:space="preserve">demonstrate </w:t>
      </w:r>
      <w:r w:rsidR="00152A26">
        <w:rPr>
          <w:lang w:eastAsia="en-AU"/>
        </w:rPr>
        <w:t xml:space="preserve">that a 1998 Annual Return showed that </w:t>
      </w:r>
      <w:r w:rsidR="00C65B53" w:rsidRPr="00624134">
        <w:rPr>
          <w:lang w:eastAsia="en-AU"/>
        </w:rPr>
        <w:t xml:space="preserve">Sterling Pacific Pty </w:t>
      </w:r>
      <w:proofErr w:type="spellStart"/>
      <w:r w:rsidR="00C65B53" w:rsidRPr="00624134">
        <w:rPr>
          <w:lang w:eastAsia="en-AU"/>
        </w:rPr>
        <w:t>Ltd’s</w:t>
      </w:r>
      <w:proofErr w:type="spellEnd"/>
      <w:r w:rsidR="00624134">
        <w:rPr>
          <w:lang w:eastAsia="en-AU"/>
        </w:rPr>
        <w:t xml:space="preserve"> </w:t>
      </w:r>
      <w:r w:rsidR="00C65B53" w:rsidRPr="00624134">
        <w:rPr>
          <w:lang w:eastAsia="en-AU"/>
        </w:rPr>
        <w:t>principal place of business</w:t>
      </w:r>
      <w:r w:rsidR="00E5601C">
        <w:rPr>
          <w:lang w:eastAsia="en-AU"/>
        </w:rPr>
        <w:t>,</w:t>
      </w:r>
      <w:r w:rsidR="00C65B53" w:rsidRPr="00624134">
        <w:rPr>
          <w:lang w:eastAsia="en-AU"/>
        </w:rPr>
        <w:t xml:space="preserve"> and </w:t>
      </w:r>
      <w:r w:rsidR="00E44813">
        <w:rPr>
          <w:lang w:eastAsia="en-AU"/>
        </w:rPr>
        <w:t>the debtor’s</w:t>
      </w:r>
      <w:r w:rsidR="00C65B53" w:rsidRPr="00624134">
        <w:rPr>
          <w:lang w:eastAsia="en-AU"/>
        </w:rPr>
        <w:t xml:space="preserve"> residenti</w:t>
      </w:r>
      <w:r w:rsidR="00624134">
        <w:rPr>
          <w:lang w:eastAsia="en-AU"/>
        </w:rPr>
        <w:t xml:space="preserve">al address </w:t>
      </w:r>
      <w:r w:rsidR="00E5601C">
        <w:rPr>
          <w:lang w:eastAsia="en-AU"/>
        </w:rPr>
        <w:t xml:space="preserve">as a director, </w:t>
      </w:r>
      <w:r w:rsidR="00152A26">
        <w:rPr>
          <w:lang w:eastAsia="en-AU"/>
        </w:rPr>
        <w:t xml:space="preserve">was </w:t>
      </w:r>
      <w:r w:rsidR="00624134">
        <w:rPr>
          <w:lang w:eastAsia="en-AU"/>
        </w:rPr>
        <w:t xml:space="preserve">the </w:t>
      </w:r>
      <w:r w:rsidR="000414B7">
        <w:rPr>
          <w:lang w:eastAsia="en-AU"/>
        </w:rPr>
        <w:t>Hamilton property</w:t>
      </w:r>
      <w:r w:rsidR="00624134">
        <w:rPr>
          <w:lang w:eastAsia="en-AU"/>
        </w:rPr>
        <w:t xml:space="preserve">. </w:t>
      </w:r>
      <w:r w:rsidR="00152A26">
        <w:rPr>
          <w:lang w:eastAsia="en-AU"/>
        </w:rPr>
        <w:t xml:space="preserve">The </w:t>
      </w:r>
      <w:r w:rsidR="0026657A">
        <w:rPr>
          <w:lang w:eastAsia="en-AU"/>
        </w:rPr>
        <w:t xml:space="preserve">unchallenged </w:t>
      </w:r>
      <w:r w:rsidR="00152A26" w:rsidRPr="00152A26">
        <w:rPr>
          <w:szCs w:val="24"/>
          <w:lang w:eastAsia="en-AU"/>
        </w:rPr>
        <w:t xml:space="preserve">evidence </w:t>
      </w:r>
      <w:r w:rsidR="00152A26">
        <w:rPr>
          <w:szCs w:val="24"/>
          <w:lang w:eastAsia="en-AU"/>
        </w:rPr>
        <w:t xml:space="preserve">of Alexandria </w:t>
      </w:r>
      <w:proofErr w:type="spellStart"/>
      <w:r w:rsidR="00152A26">
        <w:rPr>
          <w:szCs w:val="24"/>
          <w:lang w:eastAsia="en-AU"/>
        </w:rPr>
        <w:t>Geokas</w:t>
      </w:r>
      <w:proofErr w:type="spellEnd"/>
      <w:r w:rsidR="00152A26">
        <w:rPr>
          <w:szCs w:val="24"/>
          <w:lang w:eastAsia="en-AU"/>
        </w:rPr>
        <w:t xml:space="preserve">, the debtor’s daughter, was </w:t>
      </w:r>
      <w:r w:rsidR="00152A26" w:rsidRPr="00152A26">
        <w:rPr>
          <w:szCs w:val="24"/>
          <w:lang w:eastAsia="en-AU"/>
        </w:rPr>
        <w:t>that Sterling Pacific Pty L</w:t>
      </w:r>
      <w:r w:rsidR="00152A26">
        <w:rPr>
          <w:szCs w:val="24"/>
          <w:lang w:eastAsia="en-AU"/>
        </w:rPr>
        <w:t xml:space="preserve">td had never traded </w:t>
      </w:r>
      <w:r w:rsidR="00C34034">
        <w:rPr>
          <w:szCs w:val="24"/>
          <w:lang w:eastAsia="en-AU"/>
        </w:rPr>
        <w:t>n</w:t>
      </w:r>
      <w:r w:rsidR="00152A26">
        <w:rPr>
          <w:szCs w:val="24"/>
          <w:lang w:eastAsia="en-AU"/>
        </w:rPr>
        <w:t xml:space="preserve">or operated </w:t>
      </w:r>
      <w:r w:rsidR="00152A26" w:rsidRPr="00152A26">
        <w:rPr>
          <w:szCs w:val="24"/>
          <w:lang w:eastAsia="en-AU"/>
        </w:rPr>
        <w:t>any business</w:t>
      </w:r>
      <w:r w:rsidR="0081714A">
        <w:rPr>
          <w:szCs w:val="24"/>
          <w:lang w:eastAsia="en-AU"/>
        </w:rPr>
        <w:t>,</w:t>
      </w:r>
      <w:r w:rsidR="00152A26" w:rsidRPr="00152A26">
        <w:rPr>
          <w:szCs w:val="24"/>
          <w:lang w:eastAsia="en-AU"/>
        </w:rPr>
        <w:t xml:space="preserve"> and that t</w:t>
      </w:r>
      <w:r w:rsidR="0081714A">
        <w:rPr>
          <w:szCs w:val="24"/>
          <w:lang w:eastAsia="en-AU"/>
        </w:rPr>
        <w:t>he only thing it had done was</w:t>
      </w:r>
      <w:r w:rsidR="00152A26" w:rsidRPr="00152A26">
        <w:rPr>
          <w:szCs w:val="24"/>
          <w:lang w:eastAsia="en-AU"/>
        </w:rPr>
        <w:t xml:space="preserve"> purchase a car for Mrs</w:t>
      </w:r>
      <w:r w:rsidR="00152A26">
        <w:rPr>
          <w:szCs w:val="24"/>
          <w:lang w:eastAsia="en-AU"/>
        </w:rPr>
        <w:t xml:space="preserve"> </w:t>
      </w:r>
      <w:r w:rsidR="00152A26" w:rsidRPr="00152A26">
        <w:rPr>
          <w:szCs w:val="24"/>
          <w:lang w:eastAsia="en-AU"/>
        </w:rPr>
        <w:t>Donoghue</w:t>
      </w:r>
      <w:r w:rsidR="00AB6D0B">
        <w:rPr>
          <w:szCs w:val="24"/>
          <w:lang w:eastAsia="en-AU"/>
        </w:rPr>
        <w:t>. That</w:t>
      </w:r>
      <w:r w:rsidR="00152A26">
        <w:rPr>
          <w:szCs w:val="24"/>
          <w:lang w:eastAsia="en-AU"/>
        </w:rPr>
        <w:t xml:space="preserve"> </w:t>
      </w:r>
      <w:r w:rsidR="00AB6D0B">
        <w:rPr>
          <w:szCs w:val="24"/>
          <w:lang w:eastAsia="en-AU"/>
        </w:rPr>
        <w:t xml:space="preserve">evidence does not </w:t>
      </w:r>
      <w:r w:rsidR="003A5937" w:rsidRPr="003A5937">
        <w:rPr>
          <w:szCs w:val="24"/>
          <w:lang w:eastAsia="en-AU"/>
        </w:rPr>
        <w:t>support a</w:t>
      </w:r>
      <w:r w:rsidR="00E5601C">
        <w:rPr>
          <w:szCs w:val="24"/>
          <w:lang w:eastAsia="en-AU"/>
        </w:rPr>
        <w:t>n</w:t>
      </w:r>
      <w:r w:rsidR="003A5937">
        <w:rPr>
          <w:szCs w:val="24"/>
          <w:lang w:eastAsia="en-AU"/>
        </w:rPr>
        <w:t xml:space="preserve"> inference that the debtor had </w:t>
      </w:r>
      <w:r w:rsidR="0035409A">
        <w:rPr>
          <w:szCs w:val="24"/>
          <w:lang w:eastAsia="en-AU"/>
        </w:rPr>
        <w:t xml:space="preserve">a </w:t>
      </w:r>
      <w:r w:rsidR="0035409A" w:rsidRPr="003A5937">
        <w:rPr>
          <w:szCs w:val="24"/>
          <w:lang w:eastAsia="en-AU"/>
        </w:rPr>
        <w:t>place</w:t>
      </w:r>
      <w:r w:rsidR="003A5937" w:rsidRPr="003A5937">
        <w:rPr>
          <w:szCs w:val="24"/>
          <w:lang w:eastAsia="en-AU"/>
        </w:rPr>
        <w:t xml:space="preserve"> of business in Australia at the date of the </w:t>
      </w:r>
      <w:r w:rsidR="003A5937">
        <w:rPr>
          <w:szCs w:val="24"/>
          <w:lang w:eastAsia="en-AU"/>
        </w:rPr>
        <w:t>act of bankruptcy.</w:t>
      </w:r>
    </w:p>
    <w:p w14:paraId="27D960BA" w14:textId="77777777" w:rsidR="00FF22BC" w:rsidRDefault="0035409A" w:rsidP="00C026F0">
      <w:pPr>
        <w:pStyle w:val="ParaNumbering"/>
      </w:pPr>
      <w:r w:rsidRPr="0035409A">
        <w:rPr>
          <w:szCs w:val="24"/>
          <w:lang w:eastAsia="en-AU"/>
        </w:rPr>
        <w:t xml:space="preserve">Accordingly, </w:t>
      </w:r>
      <w:r>
        <w:rPr>
          <w:szCs w:val="24"/>
          <w:lang w:eastAsia="en-AU"/>
        </w:rPr>
        <w:t>if it is assumed that</w:t>
      </w:r>
      <w:r w:rsidR="00E5601C" w:rsidRPr="0035409A">
        <w:rPr>
          <w:szCs w:val="24"/>
          <w:lang w:eastAsia="en-AU"/>
        </w:rPr>
        <w:t xml:space="preserve"> the primary judge was </w:t>
      </w:r>
      <w:r w:rsidR="0081714A">
        <w:rPr>
          <w:szCs w:val="24"/>
          <w:lang w:eastAsia="en-AU"/>
        </w:rPr>
        <w:t xml:space="preserve">wrong in </w:t>
      </w:r>
      <w:r>
        <w:t xml:space="preserve">concluding that the debtor </w:t>
      </w:r>
      <w:r w:rsidR="00A0578E">
        <w:t>was carrying</w:t>
      </w:r>
      <w:r w:rsidR="005B3552">
        <w:t xml:space="preserve"> on business</w:t>
      </w:r>
      <w:r>
        <w:t xml:space="preserve"> in Australia, his Honour was </w:t>
      </w:r>
      <w:r w:rsidR="0081714A">
        <w:t xml:space="preserve">also </w:t>
      </w:r>
      <w:r>
        <w:t>wrong to conclude that the debtor had a place of business in Australia</w:t>
      </w:r>
      <w:r w:rsidR="0081714A">
        <w:t>.</w:t>
      </w:r>
    </w:p>
    <w:p w14:paraId="27D960BB" w14:textId="77777777" w:rsidR="0081714A" w:rsidRPr="00895BB4" w:rsidRDefault="0081714A" w:rsidP="005C0AF3">
      <w:pPr>
        <w:pStyle w:val="Heading2"/>
        <w:keepNext w:val="0"/>
      </w:pPr>
      <w:bookmarkStart w:id="35" w:name="_Ref77250811"/>
      <w:r w:rsidRPr="00895BB4">
        <w:t>Summary</w:t>
      </w:r>
      <w:bookmarkEnd w:id="35"/>
    </w:p>
    <w:p w14:paraId="27D960BC" w14:textId="77777777" w:rsidR="0081714A" w:rsidRDefault="0081714A" w:rsidP="005C0AF3">
      <w:pPr>
        <w:pStyle w:val="ParaNumbering"/>
      </w:pPr>
      <w:r>
        <w:t xml:space="preserve">In summary, the debtor has failed to demonstrate </w:t>
      </w:r>
      <w:r w:rsidR="00B04DB3">
        <w:t xml:space="preserve">error by the primary judge in </w:t>
      </w:r>
      <w:r w:rsidR="00AB6D0B">
        <w:t xml:space="preserve">finding </w:t>
      </w:r>
      <w:r w:rsidR="00B04DB3">
        <w:t xml:space="preserve">that, at the </w:t>
      </w:r>
      <w:r w:rsidR="007C6878">
        <w:t>date</w:t>
      </w:r>
      <w:r w:rsidR="00B04DB3">
        <w:t xml:space="preserve"> of the act of bankruptcy, the debtor</w:t>
      </w:r>
      <w:r w:rsidR="00A0578E">
        <w:t xml:space="preserve"> was carrying</w:t>
      </w:r>
      <w:r w:rsidR="00B04DB3">
        <w:t xml:space="preserve"> on business in Australia. Consequently, the debtor has failed to demonstrate any error in the making of the sequestration order against the debtor’s estate.</w:t>
      </w:r>
    </w:p>
    <w:p w14:paraId="27D960BD" w14:textId="77777777" w:rsidR="00B04DB3" w:rsidRDefault="00B04DB3" w:rsidP="005C0AF3">
      <w:pPr>
        <w:pStyle w:val="ParaNumbering"/>
      </w:pPr>
      <w:r>
        <w:t>The appeal must be dismissed with costs.</w:t>
      </w:r>
    </w:p>
    <w:p w14:paraId="27D960BE" w14:textId="77777777" w:rsidR="00A709BE" w:rsidRDefault="00A709BE" w:rsidP="005C0AF3">
      <w:pPr>
        <w:pStyle w:val="BodyText"/>
      </w:pPr>
    </w:p>
    <w:tbl>
      <w:tblPr>
        <w:tblW w:w="0" w:type="auto"/>
        <w:tblLook w:val="04A0" w:firstRow="1" w:lastRow="0" w:firstColumn="1" w:lastColumn="0" w:noHBand="0" w:noVBand="1"/>
      </w:tblPr>
      <w:tblGrid>
        <w:gridCol w:w="3794"/>
      </w:tblGrid>
      <w:tr w:rsidR="00FF22BC" w:rsidRPr="00FF22BC" w14:paraId="27D960C0" w14:textId="77777777">
        <w:tc>
          <w:tcPr>
            <w:tcW w:w="3794" w:type="dxa"/>
            <w:shd w:val="clear" w:color="auto" w:fill="auto"/>
          </w:tcPr>
          <w:p w14:paraId="27D960BF" w14:textId="77777777" w:rsidR="00FF22BC" w:rsidRPr="00FF22BC" w:rsidRDefault="00FF22BC" w:rsidP="005C0AF3">
            <w:pPr>
              <w:pStyle w:val="Normal1linespace"/>
            </w:pPr>
            <w:bookmarkStart w:id="36" w:name="Certification"/>
            <w:r w:rsidRPr="00FF22BC">
              <w:t xml:space="preserve">I certify that the preceding </w:t>
            </w:r>
            <w:bookmarkStart w:id="37" w:name="NumberWord"/>
            <w:r w:rsidR="002C46C4">
              <w:t>ninety-one</w:t>
            </w:r>
            <w:bookmarkEnd w:id="37"/>
            <w:r w:rsidRPr="00FF22BC">
              <w:t xml:space="preserve"> (</w:t>
            </w:r>
            <w:bookmarkStart w:id="38" w:name="NumberNumeral"/>
            <w:r w:rsidR="002C46C4">
              <w:t>91</w:t>
            </w:r>
            <w:bookmarkEnd w:id="38"/>
            <w:r w:rsidRPr="00FF22BC">
              <w:t xml:space="preserve">) numbered </w:t>
            </w:r>
            <w:bookmarkStart w:id="39" w:name="CertPara"/>
            <w:r w:rsidR="002C46C4">
              <w:t>paragraphs are</w:t>
            </w:r>
            <w:bookmarkEnd w:id="39"/>
            <w:r w:rsidRPr="00FF22BC">
              <w:t xml:space="preserve"> a true copy of the Reasons for Judgment of </w:t>
            </w:r>
            <w:bookmarkStart w:id="40" w:name="bkHonourable"/>
            <w:r w:rsidRPr="00FF22BC">
              <w:t xml:space="preserve">the Honourable </w:t>
            </w:r>
            <w:bookmarkStart w:id="41" w:name="Justice"/>
            <w:bookmarkEnd w:id="40"/>
            <w:r>
              <w:t xml:space="preserve">Justice </w:t>
            </w:r>
            <w:proofErr w:type="spellStart"/>
            <w:r>
              <w:t>Rangiah</w:t>
            </w:r>
            <w:bookmarkEnd w:id="41"/>
            <w:proofErr w:type="spellEnd"/>
            <w:r w:rsidRPr="00FF22BC">
              <w:t>.</w:t>
            </w:r>
          </w:p>
        </w:tc>
      </w:tr>
    </w:tbl>
    <w:p w14:paraId="69AA182B" w14:textId="77777777" w:rsidR="005F575F" w:rsidRDefault="005F575F" w:rsidP="00C85BF1">
      <w:pPr>
        <w:pStyle w:val="BodyText"/>
      </w:pPr>
    </w:p>
    <w:p w14:paraId="6CBB2D87" w14:textId="77777777" w:rsidR="005F575F" w:rsidRDefault="005F575F" w:rsidP="00C85BF1">
      <w:pPr>
        <w:pStyle w:val="BodyText"/>
      </w:pPr>
    </w:p>
    <w:p w14:paraId="27D960C1" w14:textId="7F5B4D8E" w:rsidR="00FF22BC" w:rsidRDefault="00FF22BC" w:rsidP="00C85BF1">
      <w:pPr>
        <w:pStyle w:val="BodyText"/>
      </w:pPr>
      <w:r>
        <w:t xml:space="preserve">Associate: </w:t>
      </w:r>
      <w:r>
        <w:tab/>
      </w:r>
    </w:p>
    <w:p w14:paraId="27D960C2" w14:textId="77777777" w:rsidR="00FF22BC" w:rsidRDefault="00FF22BC" w:rsidP="00FF22BC">
      <w:pPr>
        <w:pStyle w:val="BodyText"/>
        <w:tabs>
          <w:tab w:val="left" w:pos="1134"/>
        </w:tabs>
      </w:pPr>
      <w:r>
        <w:t>Dated:</w:t>
      </w:r>
      <w:r>
        <w:tab/>
      </w:r>
      <w:bookmarkStart w:id="42" w:name="CertifyDated"/>
      <w:r w:rsidR="005640F6">
        <w:t>16</w:t>
      </w:r>
      <w:r>
        <w:t xml:space="preserve"> Ju</w:t>
      </w:r>
      <w:r w:rsidR="005640F6">
        <w:t>ly</w:t>
      </w:r>
      <w:r>
        <w:t xml:space="preserve"> 2021</w:t>
      </w:r>
      <w:bookmarkEnd w:id="42"/>
      <w:bookmarkEnd w:id="36"/>
    </w:p>
    <w:sectPr w:rsidR="00FF22BC" w:rsidSect="00A84FD0">
      <w:headerReference w:type="even" r:id="rId22"/>
      <w:headerReference w:type="default" r:id="rId23"/>
      <w:footerReference w:type="default" r:id="rId24"/>
      <w:headerReference w:type="first" r:id="rId25"/>
      <w:footerReference w:type="first" r:id="rId2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960CB" w14:textId="77777777" w:rsidR="0085571F" w:rsidRDefault="0085571F">
      <w:pPr>
        <w:spacing w:line="20" w:lineRule="exact"/>
      </w:pPr>
    </w:p>
    <w:p w14:paraId="27D960CC" w14:textId="77777777" w:rsidR="0085571F" w:rsidRDefault="0085571F"/>
    <w:p w14:paraId="27D960CD" w14:textId="77777777" w:rsidR="0085571F" w:rsidRDefault="0085571F"/>
  </w:endnote>
  <w:endnote w:type="continuationSeparator" w:id="0">
    <w:p w14:paraId="27D960CE" w14:textId="77777777" w:rsidR="0085571F" w:rsidRDefault="0085571F">
      <w:r>
        <w:t xml:space="preserve"> </w:t>
      </w:r>
    </w:p>
    <w:p w14:paraId="27D960CF" w14:textId="77777777" w:rsidR="0085571F" w:rsidRDefault="0085571F"/>
    <w:p w14:paraId="27D960D0" w14:textId="77777777" w:rsidR="0085571F" w:rsidRDefault="0085571F"/>
  </w:endnote>
  <w:endnote w:type="continuationNotice" w:id="1">
    <w:p w14:paraId="27D960D1" w14:textId="77777777" w:rsidR="0085571F" w:rsidRDefault="0085571F">
      <w:r>
        <w:t xml:space="preserve"> </w:t>
      </w:r>
    </w:p>
    <w:p w14:paraId="27D960D2" w14:textId="77777777" w:rsidR="0085571F" w:rsidRDefault="0085571F"/>
    <w:p w14:paraId="27D960D3" w14:textId="77777777" w:rsidR="0085571F" w:rsidRDefault="00855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60D6" w14:textId="77777777" w:rsidR="005C0AF3" w:rsidRDefault="005C0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60D7" w14:textId="77777777" w:rsidR="0085571F" w:rsidRPr="00C47B9D" w:rsidRDefault="0085571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27D960E3" wp14:editId="27D960E4">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1D43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E77E81">
          <w:rPr>
            <w:bCs/>
            <w:sz w:val="18"/>
            <w:szCs w:val="18"/>
          </w:rPr>
          <w:t xml:space="preserve">Donoghue v </w:t>
        </w:r>
        <w:proofErr w:type="spellStart"/>
        <w:r w:rsidR="00E77E81">
          <w:rPr>
            <w:bCs/>
            <w:sz w:val="18"/>
            <w:szCs w:val="18"/>
          </w:rPr>
          <w:t>Russells</w:t>
        </w:r>
        <w:proofErr w:type="spellEnd"/>
        <w:r w:rsidR="00E77E81">
          <w:rPr>
            <w:bCs/>
            <w:sz w:val="18"/>
            <w:szCs w:val="18"/>
          </w:rPr>
          <w:t xml:space="preserve"> (A Firm) [2021] FCA 798</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60D9" w14:textId="77777777" w:rsidR="0085571F" w:rsidRPr="005C0AF3" w:rsidRDefault="0085571F" w:rsidP="005C0A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60DB" w14:textId="77777777" w:rsidR="0085571F" w:rsidRPr="00C47B9D" w:rsidRDefault="0085571F"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7D960E5" wp14:editId="27D960E6">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585F86"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81E2A5C267004B3B98B921A135B9F147"/>
        </w:placeholder>
        <w:dataBinding w:prefixMappings="xmlns:ns0='http://schemas.globalmacros.com/FCA'" w:xpath="/ns0:root[1]/ns0:Name[1]" w:storeItemID="{687E7CCB-4AA5-44E7-B148-17BA2B6F57C0}"/>
        <w:text w:multiLine="1"/>
      </w:sdtPr>
      <w:sdtEndPr/>
      <w:sdtContent>
        <w:r w:rsidR="00E77E81">
          <w:rPr>
            <w:bCs/>
            <w:sz w:val="18"/>
            <w:szCs w:val="18"/>
          </w:rPr>
          <w:t xml:space="preserve">Donoghue v </w:t>
        </w:r>
        <w:proofErr w:type="spellStart"/>
        <w:r w:rsidR="00E77E81">
          <w:rPr>
            <w:bCs/>
            <w:sz w:val="18"/>
            <w:szCs w:val="18"/>
          </w:rPr>
          <w:t>Russells</w:t>
        </w:r>
        <w:proofErr w:type="spellEnd"/>
        <w:r w:rsidR="00E77E81">
          <w:rPr>
            <w:bCs/>
            <w:sz w:val="18"/>
            <w:szCs w:val="18"/>
          </w:rPr>
          <w:t xml:space="preserve"> (A Firm) [2021] FCA 798</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60DD" w14:textId="27C18684" w:rsidR="0085571F" w:rsidRPr="00C47B9D" w:rsidRDefault="0085571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27D960E7" wp14:editId="27D960E8">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51F4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837FD15CDBC14FFAB70242BDE77D9886"/>
        </w:placeholder>
        <w:dataBinding w:prefixMappings="xmlns:ns0='http://schemas.globalmacros.com/FCA'" w:xpath="/ns0:root[1]/ns0:Name[1]" w:storeItemID="{687E7CCB-4AA5-44E7-B148-17BA2B6F57C0}"/>
        <w:text w:multiLine="1"/>
      </w:sdtPr>
      <w:sdtEndPr/>
      <w:sdtContent>
        <w:r w:rsidR="00E77E81">
          <w:rPr>
            <w:bCs/>
            <w:sz w:val="18"/>
            <w:szCs w:val="18"/>
          </w:rPr>
          <w:t xml:space="preserve">Donoghue v </w:t>
        </w:r>
        <w:proofErr w:type="spellStart"/>
        <w:r w:rsidR="00E77E81">
          <w:rPr>
            <w:bCs/>
            <w:sz w:val="18"/>
            <w:szCs w:val="18"/>
          </w:rPr>
          <w:t>Russells</w:t>
        </w:r>
        <w:proofErr w:type="spellEnd"/>
        <w:r w:rsidR="00E77E81">
          <w:rPr>
            <w:bCs/>
            <w:sz w:val="18"/>
            <w:szCs w:val="18"/>
          </w:rPr>
          <w:t xml:space="preserve"> (A Firm) [2021] FCA 798</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21BB1">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60E0" w14:textId="1BD4BFAB" w:rsidR="0085571F" w:rsidRPr="00C47B9D" w:rsidRDefault="0085571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27D960E9" wp14:editId="27D960EA">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1B4791"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4E88A175776F4DCEB27D98C8DAF0AD25"/>
        </w:placeholder>
        <w:dataBinding w:prefixMappings="xmlns:ns0='http://schemas.globalmacros.com/FCA'" w:xpath="/ns0:root[1]/ns0:Name[1]" w:storeItemID="{687E7CCB-4AA5-44E7-B148-17BA2B6F57C0}"/>
        <w:text w:multiLine="1"/>
      </w:sdtPr>
      <w:sdtEndPr/>
      <w:sdtContent>
        <w:r w:rsidR="00E77E81">
          <w:rPr>
            <w:bCs/>
            <w:sz w:val="18"/>
            <w:szCs w:val="18"/>
          </w:rPr>
          <w:t xml:space="preserve">Donoghue v </w:t>
        </w:r>
        <w:proofErr w:type="spellStart"/>
        <w:r w:rsidR="00E77E81">
          <w:rPr>
            <w:bCs/>
            <w:sz w:val="18"/>
            <w:szCs w:val="18"/>
          </w:rPr>
          <w:t>Russells</w:t>
        </w:r>
        <w:proofErr w:type="spellEnd"/>
        <w:r w:rsidR="00E77E81">
          <w:rPr>
            <w:bCs/>
            <w:sz w:val="18"/>
            <w:szCs w:val="18"/>
          </w:rPr>
          <w:t xml:space="preserve"> (A Firm) [2021] FCA 798</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3527C">
      <w:rPr>
        <w:bCs/>
        <w:noProof/>
        <w:sz w:val="20"/>
      </w:rPr>
      <w:t>6</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60E2" w14:textId="5987CD12" w:rsidR="0085571F" w:rsidRPr="00C47B9D" w:rsidRDefault="0085571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27D960EB" wp14:editId="27D960EC">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151CF"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A92D98B85A5442EBAFE27512D6268E6A"/>
        </w:placeholder>
        <w:dataBinding w:prefixMappings="xmlns:ns0='http://schemas.globalmacros.com/FCA'" w:xpath="/ns0:root[1]/ns0:Name[1]" w:storeItemID="{687E7CCB-4AA5-44E7-B148-17BA2B6F57C0}"/>
        <w:text w:multiLine="1"/>
      </w:sdtPr>
      <w:sdtEndPr/>
      <w:sdtContent>
        <w:r w:rsidR="00E77E81">
          <w:rPr>
            <w:bCs/>
            <w:sz w:val="18"/>
            <w:szCs w:val="18"/>
          </w:rPr>
          <w:t xml:space="preserve">Donoghue v </w:t>
        </w:r>
        <w:proofErr w:type="spellStart"/>
        <w:r w:rsidR="00E77E81">
          <w:rPr>
            <w:bCs/>
            <w:sz w:val="18"/>
            <w:szCs w:val="18"/>
          </w:rPr>
          <w:t>Russells</w:t>
        </w:r>
        <w:proofErr w:type="spellEnd"/>
        <w:r w:rsidR="00E77E81">
          <w:rPr>
            <w:bCs/>
            <w:sz w:val="18"/>
            <w:szCs w:val="18"/>
          </w:rPr>
          <w:t xml:space="preserve"> (A Firm) [2021] FCA 798</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21BB1">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960C5" w14:textId="77777777" w:rsidR="0085571F" w:rsidRDefault="0085571F"/>
    <w:p w14:paraId="27D960C6" w14:textId="77777777" w:rsidR="0085571F" w:rsidRDefault="0085571F"/>
    <w:p w14:paraId="27D960C7" w14:textId="77777777" w:rsidR="0085571F" w:rsidRDefault="0085571F"/>
  </w:footnote>
  <w:footnote w:type="continuationSeparator" w:id="0">
    <w:p w14:paraId="27D960C8" w14:textId="77777777" w:rsidR="0085571F" w:rsidRDefault="0085571F">
      <w:r>
        <w:continuationSeparator/>
      </w:r>
    </w:p>
    <w:p w14:paraId="27D960C9" w14:textId="77777777" w:rsidR="0085571F" w:rsidRDefault="0085571F"/>
    <w:p w14:paraId="27D960CA" w14:textId="77777777" w:rsidR="0085571F" w:rsidRDefault="008557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60D4" w14:textId="77777777" w:rsidR="005C0AF3" w:rsidRDefault="005C0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60D5" w14:textId="77777777" w:rsidR="005C0AF3" w:rsidRDefault="005C0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60D8" w14:textId="77777777" w:rsidR="005C0AF3" w:rsidRDefault="005C0A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60DA" w14:textId="77777777" w:rsidR="0085571F" w:rsidRDefault="0085571F">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60DC" w14:textId="77777777" w:rsidR="0085571F" w:rsidRDefault="0085571F">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60DE" w14:textId="77777777" w:rsidR="0085571F" w:rsidRDefault="0085571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60DF" w14:textId="77777777" w:rsidR="0085571F" w:rsidRDefault="0085571F">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60E1" w14:textId="77777777" w:rsidR="0085571F" w:rsidRDefault="0085571F"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0F2A5FAD"/>
    <w:multiLevelType w:val="hybridMultilevel"/>
    <w:tmpl w:val="B02E5D8E"/>
    <w:lvl w:ilvl="0" w:tplc="7A823384">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2E570253"/>
    <w:multiLevelType w:val="hybridMultilevel"/>
    <w:tmpl w:val="40323862"/>
    <w:lvl w:ilvl="0" w:tplc="8CEE0A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4B718E"/>
    <w:multiLevelType w:val="hybridMultilevel"/>
    <w:tmpl w:val="F8AC8EBE"/>
    <w:lvl w:ilvl="0" w:tplc="C1428626">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A050DD2"/>
    <w:multiLevelType w:val="hybridMultilevel"/>
    <w:tmpl w:val="9C2608F6"/>
    <w:lvl w:ilvl="0" w:tplc="1ECA6AB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E1D2AD4"/>
    <w:multiLevelType w:val="hybridMultilevel"/>
    <w:tmpl w:val="1018CB90"/>
    <w:lvl w:ilvl="0" w:tplc="2A267FB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5FC1CCB"/>
    <w:multiLevelType w:val="hybridMultilevel"/>
    <w:tmpl w:val="9D345C5E"/>
    <w:lvl w:ilvl="0" w:tplc="7360B058">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1"/>
  </w:num>
  <w:num w:numId="15">
    <w:abstractNumId w:val="23"/>
  </w:num>
  <w:num w:numId="16">
    <w:abstractNumId w:val="29"/>
  </w:num>
  <w:num w:numId="17">
    <w:abstractNumId w:val="14"/>
  </w:num>
  <w:num w:numId="18">
    <w:abstractNumId w:val="27"/>
  </w:num>
  <w:num w:numId="19">
    <w:abstractNumId w:val="11"/>
  </w:num>
  <w:num w:numId="20">
    <w:abstractNumId w:val="19"/>
  </w:num>
  <w:num w:numId="21">
    <w:abstractNumId w:val="16"/>
  </w:num>
  <w:num w:numId="22">
    <w:abstractNumId w:val="17"/>
  </w:num>
  <w:num w:numId="23">
    <w:abstractNumId w:val="20"/>
  </w:num>
  <w:num w:numId="24">
    <w:abstractNumId w:val="10"/>
  </w:num>
  <w:num w:numId="25">
    <w:abstractNumId w:val="10"/>
  </w:num>
  <w:num w:numId="26">
    <w:abstractNumId w:val="25"/>
  </w:num>
  <w:num w:numId="27">
    <w:abstractNumId w:val="26"/>
  </w:num>
  <w:num w:numId="28">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2"/>
  </w:num>
  <w:num w:numId="33">
    <w:abstractNumId w:val="28"/>
  </w:num>
  <w:num w:numId="34">
    <w:abstractNumId w:val="22"/>
  </w:num>
  <w:num w:numId="3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745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Russells (A Firm) v Donoghue [2019] FCCA 1864"/>
    <w:docVar w:name="Appellant" w:val="Garry John Donoghue"/>
    <w:docVar w:name="CounselParties" w:val="Appell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QUD 446 of 2019"/>
    <w:docVar w:name="grpRadioJudges" w:val="Justice"/>
    <w:docVar w:name="Initiators" w:val="(and another named in the Schedule)"/>
    <w:docVar w:name="Judgdate" w:val="16 July 2021"/>
    <w:docVar w:name="Judge" w:val="Rangiah"/>
    <w:docVar w:name="lstEntryList" w:val="-1"/>
    <w:docVar w:name="myEntryList" w:val="Counsel for the Appellant=Mr M Amerena|Solicitor for the Appellant=O'Shea &amp; Partners|Counsel for the Respondent=Mr P Somers|Solicitor for the Respondent=Russells"/>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Other"/>
    <w:docVar w:name="Place" w:val="N/A FCA"/>
    <w:docVar w:name="PracticeArea" w:val="Commercial and Corporations"/>
    <w:docVar w:name="RadioJudge" w:val="False"/>
    <w:docVar w:name="RadioJustice" w:val="True"/>
    <w:docVar w:name="RadioJustices" w:val="False"/>
    <w:docVar w:name="RESAndAnother" w:val="True"/>
    <w:docVar w:name="RESAndOthers" w:val="False"/>
    <w:docVar w:name="Respondent" w:val="Russells (a firm)"/>
    <w:docVar w:name="ResState" w:val="Queensland"/>
    <w:docVar w:name="SubArea" w:val="General and Personal Insolvency (C &amp; C)"/>
  </w:docVars>
  <w:rsids>
    <w:rsidRoot w:val="004C6BDE"/>
    <w:rsid w:val="00000747"/>
    <w:rsid w:val="0000266B"/>
    <w:rsid w:val="0001031D"/>
    <w:rsid w:val="000115C5"/>
    <w:rsid w:val="000140D6"/>
    <w:rsid w:val="0001469E"/>
    <w:rsid w:val="00015993"/>
    <w:rsid w:val="000165A5"/>
    <w:rsid w:val="00021CCB"/>
    <w:rsid w:val="00022289"/>
    <w:rsid w:val="00027398"/>
    <w:rsid w:val="0003201A"/>
    <w:rsid w:val="0003207A"/>
    <w:rsid w:val="00032364"/>
    <w:rsid w:val="00032F9F"/>
    <w:rsid w:val="000353A0"/>
    <w:rsid w:val="00037F47"/>
    <w:rsid w:val="000414B7"/>
    <w:rsid w:val="00041C07"/>
    <w:rsid w:val="00045BB7"/>
    <w:rsid w:val="0005300E"/>
    <w:rsid w:val="00053D52"/>
    <w:rsid w:val="00055719"/>
    <w:rsid w:val="0005641B"/>
    <w:rsid w:val="000618C7"/>
    <w:rsid w:val="0006196A"/>
    <w:rsid w:val="0006390C"/>
    <w:rsid w:val="00067849"/>
    <w:rsid w:val="0007499A"/>
    <w:rsid w:val="00075CE4"/>
    <w:rsid w:val="00077D6B"/>
    <w:rsid w:val="00081497"/>
    <w:rsid w:val="00085255"/>
    <w:rsid w:val="000936AF"/>
    <w:rsid w:val="00094615"/>
    <w:rsid w:val="00094EF0"/>
    <w:rsid w:val="00095A51"/>
    <w:rsid w:val="00096B97"/>
    <w:rsid w:val="000A2E76"/>
    <w:rsid w:val="000A4807"/>
    <w:rsid w:val="000A4ABD"/>
    <w:rsid w:val="000A4BE4"/>
    <w:rsid w:val="000A5422"/>
    <w:rsid w:val="000B3F1A"/>
    <w:rsid w:val="000B4C98"/>
    <w:rsid w:val="000B4FFB"/>
    <w:rsid w:val="000C023E"/>
    <w:rsid w:val="000C5195"/>
    <w:rsid w:val="000C62EF"/>
    <w:rsid w:val="000C6704"/>
    <w:rsid w:val="000D1D8A"/>
    <w:rsid w:val="000D1E2D"/>
    <w:rsid w:val="000D2137"/>
    <w:rsid w:val="000D3793"/>
    <w:rsid w:val="000D3FD2"/>
    <w:rsid w:val="000D4B2E"/>
    <w:rsid w:val="000E20EA"/>
    <w:rsid w:val="000E23AA"/>
    <w:rsid w:val="000E3FC8"/>
    <w:rsid w:val="000E567E"/>
    <w:rsid w:val="000E7BAE"/>
    <w:rsid w:val="000F133D"/>
    <w:rsid w:val="000F26D0"/>
    <w:rsid w:val="000F3A38"/>
    <w:rsid w:val="0010536B"/>
    <w:rsid w:val="001069CD"/>
    <w:rsid w:val="0011145C"/>
    <w:rsid w:val="001128BD"/>
    <w:rsid w:val="0011419D"/>
    <w:rsid w:val="00114B02"/>
    <w:rsid w:val="001226C0"/>
    <w:rsid w:val="00126962"/>
    <w:rsid w:val="00126EC8"/>
    <w:rsid w:val="0012731C"/>
    <w:rsid w:val="00131450"/>
    <w:rsid w:val="00132054"/>
    <w:rsid w:val="00134964"/>
    <w:rsid w:val="001351B9"/>
    <w:rsid w:val="0014113D"/>
    <w:rsid w:val="00144E86"/>
    <w:rsid w:val="00152A26"/>
    <w:rsid w:val="00155CD2"/>
    <w:rsid w:val="00156ADE"/>
    <w:rsid w:val="001727A4"/>
    <w:rsid w:val="0017376C"/>
    <w:rsid w:val="001738AB"/>
    <w:rsid w:val="00174CD2"/>
    <w:rsid w:val="001763F6"/>
    <w:rsid w:val="001765E0"/>
    <w:rsid w:val="00177759"/>
    <w:rsid w:val="00180BB3"/>
    <w:rsid w:val="00185E6B"/>
    <w:rsid w:val="00186485"/>
    <w:rsid w:val="00186F48"/>
    <w:rsid w:val="00187BBC"/>
    <w:rsid w:val="001932F3"/>
    <w:rsid w:val="001A2B40"/>
    <w:rsid w:val="001A4309"/>
    <w:rsid w:val="001A46AE"/>
    <w:rsid w:val="001A6C52"/>
    <w:rsid w:val="001B1053"/>
    <w:rsid w:val="001B14AC"/>
    <w:rsid w:val="001B7890"/>
    <w:rsid w:val="001B7940"/>
    <w:rsid w:val="001B7EF8"/>
    <w:rsid w:val="001C171A"/>
    <w:rsid w:val="001C37CA"/>
    <w:rsid w:val="001C4085"/>
    <w:rsid w:val="001C4BD8"/>
    <w:rsid w:val="001D02C2"/>
    <w:rsid w:val="001D4303"/>
    <w:rsid w:val="001D6746"/>
    <w:rsid w:val="001E18CB"/>
    <w:rsid w:val="001E3B49"/>
    <w:rsid w:val="001E425E"/>
    <w:rsid w:val="001E4A05"/>
    <w:rsid w:val="001E7388"/>
    <w:rsid w:val="001F13DD"/>
    <w:rsid w:val="001F2473"/>
    <w:rsid w:val="001F2DBC"/>
    <w:rsid w:val="001F3DB5"/>
    <w:rsid w:val="001F4342"/>
    <w:rsid w:val="001F73E8"/>
    <w:rsid w:val="001F762A"/>
    <w:rsid w:val="0020262C"/>
    <w:rsid w:val="00202723"/>
    <w:rsid w:val="0021167A"/>
    <w:rsid w:val="00211A3E"/>
    <w:rsid w:val="00215BCA"/>
    <w:rsid w:val="0021612A"/>
    <w:rsid w:val="00217AC4"/>
    <w:rsid w:val="00221461"/>
    <w:rsid w:val="00221BB1"/>
    <w:rsid w:val="00224537"/>
    <w:rsid w:val="00227B93"/>
    <w:rsid w:val="00231834"/>
    <w:rsid w:val="00235956"/>
    <w:rsid w:val="00243E5E"/>
    <w:rsid w:val="0024605B"/>
    <w:rsid w:val="0024614E"/>
    <w:rsid w:val="00247C9A"/>
    <w:rsid w:val="0025160C"/>
    <w:rsid w:val="002516C1"/>
    <w:rsid w:val="002535D0"/>
    <w:rsid w:val="002539B3"/>
    <w:rsid w:val="00256336"/>
    <w:rsid w:val="00257C3E"/>
    <w:rsid w:val="00257D3E"/>
    <w:rsid w:val="002602C2"/>
    <w:rsid w:val="002615D6"/>
    <w:rsid w:val="002641DB"/>
    <w:rsid w:val="0026657A"/>
    <w:rsid w:val="002666C9"/>
    <w:rsid w:val="00266B6A"/>
    <w:rsid w:val="002673C2"/>
    <w:rsid w:val="00270136"/>
    <w:rsid w:val="002702C7"/>
    <w:rsid w:val="00270FD7"/>
    <w:rsid w:val="00274F5B"/>
    <w:rsid w:val="00280836"/>
    <w:rsid w:val="00280B48"/>
    <w:rsid w:val="00282E1A"/>
    <w:rsid w:val="002840F1"/>
    <w:rsid w:val="002848C9"/>
    <w:rsid w:val="00285FC3"/>
    <w:rsid w:val="002900C6"/>
    <w:rsid w:val="0029113B"/>
    <w:rsid w:val="002934C0"/>
    <w:rsid w:val="0029764C"/>
    <w:rsid w:val="002A1B50"/>
    <w:rsid w:val="002A72AF"/>
    <w:rsid w:val="002B0E91"/>
    <w:rsid w:val="002B132C"/>
    <w:rsid w:val="002B3F23"/>
    <w:rsid w:val="002B4DCB"/>
    <w:rsid w:val="002B4EB5"/>
    <w:rsid w:val="002B5AF5"/>
    <w:rsid w:val="002B6779"/>
    <w:rsid w:val="002B71C0"/>
    <w:rsid w:val="002B7A34"/>
    <w:rsid w:val="002C014B"/>
    <w:rsid w:val="002C1B36"/>
    <w:rsid w:val="002C31AD"/>
    <w:rsid w:val="002C46C4"/>
    <w:rsid w:val="002C7385"/>
    <w:rsid w:val="002D2186"/>
    <w:rsid w:val="002D2336"/>
    <w:rsid w:val="002D2DBB"/>
    <w:rsid w:val="002D37D8"/>
    <w:rsid w:val="002D54A6"/>
    <w:rsid w:val="002D63E0"/>
    <w:rsid w:val="002E5BF9"/>
    <w:rsid w:val="002E6A7A"/>
    <w:rsid w:val="002F1393"/>
    <w:rsid w:val="002F1E49"/>
    <w:rsid w:val="002F4E9C"/>
    <w:rsid w:val="002F5DC4"/>
    <w:rsid w:val="002F7217"/>
    <w:rsid w:val="003007CC"/>
    <w:rsid w:val="00302F4E"/>
    <w:rsid w:val="003071CB"/>
    <w:rsid w:val="00307BDD"/>
    <w:rsid w:val="00312331"/>
    <w:rsid w:val="0031256C"/>
    <w:rsid w:val="00314D6C"/>
    <w:rsid w:val="00316D2A"/>
    <w:rsid w:val="00321EF7"/>
    <w:rsid w:val="00322A7C"/>
    <w:rsid w:val="00322EEC"/>
    <w:rsid w:val="00323061"/>
    <w:rsid w:val="0032449A"/>
    <w:rsid w:val="00324701"/>
    <w:rsid w:val="00332C5B"/>
    <w:rsid w:val="003402D3"/>
    <w:rsid w:val="00341976"/>
    <w:rsid w:val="00343ABC"/>
    <w:rsid w:val="003463FE"/>
    <w:rsid w:val="00347D41"/>
    <w:rsid w:val="0035409A"/>
    <w:rsid w:val="003554B3"/>
    <w:rsid w:val="0035613C"/>
    <w:rsid w:val="00356632"/>
    <w:rsid w:val="00357C7E"/>
    <w:rsid w:val="003653B6"/>
    <w:rsid w:val="00374CC4"/>
    <w:rsid w:val="00376442"/>
    <w:rsid w:val="0037662B"/>
    <w:rsid w:val="003774B2"/>
    <w:rsid w:val="0037778A"/>
    <w:rsid w:val="00380393"/>
    <w:rsid w:val="0038048B"/>
    <w:rsid w:val="00380D08"/>
    <w:rsid w:val="00380F2D"/>
    <w:rsid w:val="003845A9"/>
    <w:rsid w:val="003850C9"/>
    <w:rsid w:val="00390883"/>
    <w:rsid w:val="003922F8"/>
    <w:rsid w:val="00393C0A"/>
    <w:rsid w:val="003943E9"/>
    <w:rsid w:val="00395B24"/>
    <w:rsid w:val="00395EEB"/>
    <w:rsid w:val="003A2D38"/>
    <w:rsid w:val="003A5937"/>
    <w:rsid w:val="003A5F97"/>
    <w:rsid w:val="003A7ECC"/>
    <w:rsid w:val="003B019E"/>
    <w:rsid w:val="003B2C72"/>
    <w:rsid w:val="003B58B4"/>
    <w:rsid w:val="003C1333"/>
    <w:rsid w:val="003C20FF"/>
    <w:rsid w:val="003C550A"/>
    <w:rsid w:val="003C575F"/>
    <w:rsid w:val="003C6055"/>
    <w:rsid w:val="003D2650"/>
    <w:rsid w:val="003D560C"/>
    <w:rsid w:val="003D5C00"/>
    <w:rsid w:val="003E3154"/>
    <w:rsid w:val="003E5874"/>
    <w:rsid w:val="003E72D3"/>
    <w:rsid w:val="003F193E"/>
    <w:rsid w:val="003F242C"/>
    <w:rsid w:val="003F34F1"/>
    <w:rsid w:val="0040146A"/>
    <w:rsid w:val="004104B6"/>
    <w:rsid w:val="00411AE8"/>
    <w:rsid w:val="00412744"/>
    <w:rsid w:val="00413B74"/>
    <w:rsid w:val="00413D36"/>
    <w:rsid w:val="00416731"/>
    <w:rsid w:val="00433506"/>
    <w:rsid w:val="004339F8"/>
    <w:rsid w:val="004342F3"/>
    <w:rsid w:val="00435C5F"/>
    <w:rsid w:val="00436155"/>
    <w:rsid w:val="004361A1"/>
    <w:rsid w:val="004407C6"/>
    <w:rsid w:val="00441E98"/>
    <w:rsid w:val="00442690"/>
    <w:rsid w:val="004438D4"/>
    <w:rsid w:val="00450DA9"/>
    <w:rsid w:val="00450F3A"/>
    <w:rsid w:val="004532F7"/>
    <w:rsid w:val="00457E77"/>
    <w:rsid w:val="00464D51"/>
    <w:rsid w:val="00467EF4"/>
    <w:rsid w:val="00472027"/>
    <w:rsid w:val="00475288"/>
    <w:rsid w:val="004767D9"/>
    <w:rsid w:val="004804CF"/>
    <w:rsid w:val="004844A0"/>
    <w:rsid w:val="00484962"/>
    <w:rsid w:val="00484F6D"/>
    <w:rsid w:val="00484FB7"/>
    <w:rsid w:val="0048554D"/>
    <w:rsid w:val="00492129"/>
    <w:rsid w:val="004926CD"/>
    <w:rsid w:val="0049338A"/>
    <w:rsid w:val="0049417F"/>
    <w:rsid w:val="00494BA1"/>
    <w:rsid w:val="00496D41"/>
    <w:rsid w:val="004A6602"/>
    <w:rsid w:val="004A77B8"/>
    <w:rsid w:val="004B160D"/>
    <w:rsid w:val="004B3EFA"/>
    <w:rsid w:val="004B7604"/>
    <w:rsid w:val="004C2A87"/>
    <w:rsid w:val="004C4D7B"/>
    <w:rsid w:val="004C4ED3"/>
    <w:rsid w:val="004C667B"/>
    <w:rsid w:val="004C6BDE"/>
    <w:rsid w:val="004C7ECD"/>
    <w:rsid w:val="004D2EA5"/>
    <w:rsid w:val="004D32A6"/>
    <w:rsid w:val="004D33DB"/>
    <w:rsid w:val="004D45D8"/>
    <w:rsid w:val="004D53E5"/>
    <w:rsid w:val="004E0096"/>
    <w:rsid w:val="004E6998"/>
    <w:rsid w:val="004E6DC4"/>
    <w:rsid w:val="004E76A1"/>
    <w:rsid w:val="004E7FC3"/>
    <w:rsid w:val="004F21C1"/>
    <w:rsid w:val="004F493B"/>
    <w:rsid w:val="004F6BF8"/>
    <w:rsid w:val="00500BE9"/>
    <w:rsid w:val="00501A12"/>
    <w:rsid w:val="0050309C"/>
    <w:rsid w:val="005044A0"/>
    <w:rsid w:val="0050587F"/>
    <w:rsid w:val="00506D63"/>
    <w:rsid w:val="0051327C"/>
    <w:rsid w:val="0051346D"/>
    <w:rsid w:val="00513EAE"/>
    <w:rsid w:val="0051434F"/>
    <w:rsid w:val="00514D8A"/>
    <w:rsid w:val="00516806"/>
    <w:rsid w:val="00516975"/>
    <w:rsid w:val="0051739F"/>
    <w:rsid w:val="0052098C"/>
    <w:rsid w:val="00521A02"/>
    <w:rsid w:val="005238B7"/>
    <w:rsid w:val="00525A49"/>
    <w:rsid w:val="005262D1"/>
    <w:rsid w:val="00530876"/>
    <w:rsid w:val="005316D1"/>
    <w:rsid w:val="005332BF"/>
    <w:rsid w:val="00535613"/>
    <w:rsid w:val="005359EB"/>
    <w:rsid w:val="0054254A"/>
    <w:rsid w:val="0054335E"/>
    <w:rsid w:val="0054500B"/>
    <w:rsid w:val="00546392"/>
    <w:rsid w:val="005466B5"/>
    <w:rsid w:val="00551AD4"/>
    <w:rsid w:val="00554314"/>
    <w:rsid w:val="00561F93"/>
    <w:rsid w:val="0056251B"/>
    <w:rsid w:val="00562829"/>
    <w:rsid w:val="005629B3"/>
    <w:rsid w:val="005640F6"/>
    <w:rsid w:val="00564703"/>
    <w:rsid w:val="00564BEA"/>
    <w:rsid w:val="00564F3F"/>
    <w:rsid w:val="00566B21"/>
    <w:rsid w:val="00567B88"/>
    <w:rsid w:val="005724F6"/>
    <w:rsid w:val="00573AC4"/>
    <w:rsid w:val="005801FC"/>
    <w:rsid w:val="00580DDC"/>
    <w:rsid w:val="005855BD"/>
    <w:rsid w:val="00585BA9"/>
    <w:rsid w:val="00587359"/>
    <w:rsid w:val="00590C4A"/>
    <w:rsid w:val="00595016"/>
    <w:rsid w:val="00597AAE"/>
    <w:rsid w:val="005A222C"/>
    <w:rsid w:val="005A4DF8"/>
    <w:rsid w:val="005A5688"/>
    <w:rsid w:val="005A78C8"/>
    <w:rsid w:val="005B1426"/>
    <w:rsid w:val="005B214A"/>
    <w:rsid w:val="005B24DC"/>
    <w:rsid w:val="005B3552"/>
    <w:rsid w:val="005C0A8E"/>
    <w:rsid w:val="005C0AF3"/>
    <w:rsid w:val="005C1767"/>
    <w:rsid w:val="005C185C"/>
    <w:rsid w:val="005C42EF"/>
    <w:rsid w:val="005C76C2"/>
    <w:rsid w:val="005D2026"/>
    <w:rsid w:val="005D5E93"/>
    <w:rsid w:val="005E02F5"/>
    <w:rsid w:val="005E0510"/>
    <w:rsid w:val="005E176E"/>
    <w:rsid w:val="005E218E"/>
    <w:rsid w:val="005E35A0"/>
    <w:rsid w:val="005F0CEE"/>
    <w:rsid w:val="005F0D1B"/>
    <w:rsid w:val="005F1865"/>
    <w:rsid w:val="005F575F"/>
    <w:rsid w:val="006007BD"/>
    <w:rsid w:val="006013C8"/>
    <w:rsid w:val="0060270D"/>
    <w:rsid w:val="00604611"/>
    <w:rsid w:val="00611586"/>
    <w:rsid w:val="00611F80"/>
    <w:rsid w:val="00612D26"/>
    <w:rsid w:val="00613C8B"/>
    <w:rsid w:val="00613CA8"/>
    <w:rsid w:val="00615855"/>
    <w:rsid w:val="006205C1"/>
    <w:rsid w:val="00620DA8"/>
    <w:rsid w:val="00621887"/>
    <w:rsid w:val="00624134"/>
    <w:rsid w:val="00624520"/>
    <w:rsid w:val="00625A0F"/>
    <w:rsid w:val="00625ACF"/>
    <w:rsid w:val="006271F5"/>
    <w:rsid w:val="006278DC"/>
    <w:rsid w:val="00632300"/>
    <w:rsid w:val="00632BB7"/>
    <w:rsid w:val="00635B36"/>
    <w:rsid w:val="00636871"/>
    <w:rsid w:val="00640EE1"/>
    <w:rsid w:val="00640F4E"/>
    <w:rsid w:val="00643DE0"/>
    <w:rsid w:val="0064437D"/>
    <w:rsid w:val="00644A66"/>
    <w:rsid w:val="00644E85"/>
    <w:rsid w:val="00652C52"/>
    <w:rsid w:val="0066063F"/>
    <w:rsid w:val="0066104D"/>
    <w:rsid w:val="00661772"/>
    <w:rsid w:val="0066228E"/>
    <w:rsid w:val="00662BB0"/>
    <w:rsid w:val="00663878"/>
    <w:rsid w:val="00667773"/>
    <w:rsid w:val="00670743"/>
    <w:rsid w:val="00680A85"/>
    <w:rsid w:val="00681ADF"/>
    <w:rsid w:val="006847C0"/>
    <w:rsid w:val="00690EE2"/>
    <w:rsid w:val="00693854"/>
    <w:rsid w:val="006948B4"/>
    <w:rsid w:val="00694BEB"/>
    <w:rsid w:val="006A0E20"/>
    <w:rsid w:val="006A24E3"/>
    <w:rsid w:val="006A42FA"/>
    <w:rsid w:val="006A4966"/>
    <w:rsid w:val="006A5695"/>
    <w:rsid w:val="006B0439"/>
    <w:rsid w:val="006B2FDE"/>
    <w:rsid w:val="006B3904"/>
    <w:rsid w:val="006B5B7D"/>
    <w:rsid w:val="006C5B46"/>
    <w:rsid w:val="006C6E39"/>
    <w:rsid w:val="006D0ECF"/>
    <w:rsid w:val="006D3D5B"/>
    <w:rsid w:val="006D4C92"/>
    <w:rsid w:val="006D4EB6"/>
    <w:rsid w:val="006E307B"/>
    <w:rsid w:val="006E35BF"/>
    <w:rsid w:val="006E7850"/>
    <w:rsid w:val="006E7A91"/>
    <w:rsid w:val="006F28F9"/>
    <w:rsid w:val="006F46D6"/>
    <w:rsid w:val="007028D9"/>
    <w:rsid w:val="00707218"/>
    <w:rsid w:val="00710980"/>
    <w:rsid w:val="00710D04"/>
    <w:rsid w:val="00711DDB"/>
    <w:rsid w:val="0071286E"/>
    <w:rsid w:val="00712B1D"/>
    <w:rsid w:val="00715751"/>
    <w:rsid w:val="00715E35"/>
    <w:rsid w:val="007171BA"/>
    <w:rsid w:val="00717616"/>
    <w:rsid w:val="007256ED"/>
    <w:rsid w:val="00725ECE"/>
    <w:rsid w:val="007325D9"/>
    <w:rsid w:val="0073583B"/>
    <w:rsid w:val="007360CA"/>
    <w:rsid w:val="0074239C"/>
    <w:rsid w:val="0074334F"/>
    <w:rsid w:val="0074667B"/>
    <w:rsid w:val="007470BD"/>
    <w:rsid w:val="00754CF4"/>
    <w:rsid w:val="00755287"/>
    <w:rsid w:val="00755EE6"/>
    <w:rsid w:val="007562DE"/>
    <w:rsid w:val="00760647"/>
    <w:rsid w:val="00760EC0"/>
    <w:rsid w:val="00767909"/>
    <w:rsid w:val="007711BD"/>
    <w:rsid w:val="00773C44"/>
    <w:rsid w:val="0078003A"/>
    <w:rsid w:val="00780771"/>
    <w:rsid w:val="007929CF"/>
    <w:rsid w:val="007A193C"/>
    <w:rsid w:val="007A49E7"/>
    <w:rsid w:val="007A65E2"/>
    <w:rsid w:val="007A6F28"/>
    <w:rsid w:val="007B03C6"/>
    <w:rsid w:val="007B0883"/>
    <w:rsid w:val="007B0DB1"/>
    <w:rsid w:val="007B4E10"/>
    <w:rsid w:val="007B5673"/>
    <w:rsid w:val="007B7238"/>
    <w:rsid w:val="007B76FF"/>
    <w:rsid w:val="007C3BF6"/>
    <w:rsid w:val="007C67B3"/>
    <w:rsid w:val="007C6878"/>
    <w:rsid w:val="007C69E3"/>
    <w:rsid w:val="007D0FD2"/>
    <w:rsid w:val="007D2EF8"/>
    <w:rsid w:val="007D39B0"/>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10B2C"/>
    <w:rsid w:val="00810BAB"/>
    <w:rsid w:val="008140B7"/>
    <w:rsid w:val="0081714A"/>
    <w:rsid w:val="008202D0"/>
    <w:rsid w:val="008216E7"/>
    <w:rsid w:val="00821841"/>
    <w:rsid w:val="00825BE6"/>
    <w:rsid w:val="00826933"/>
    <w:rsid w:val="008276B4"/>
    <w:rsid w:val="00831603"/>
    <w:rsid w:val="00831894"/>
    <w:rsid w:val="00831927"/>
    <w:rsid w:val="0083640E"/>
    <w:rsid w:val="00837288"/>
    <w:rsid w:val="008408E6"/>
    <w:rsid w:val="00841BD3"/>
    <w:rsid w:val="008425F2"/>
    <w:rsid w:val="0084273D"/>
    <w:rsid w:val="008448A8"/>
    <w:rsid w:val="00844E3F"/>
    <w:rsid w:val="00845A83"/>
    <w:rsid w:val="00846ABB"/>
    <w:rsid w:val="00846BB9"/>
    <w:rsid w:val="00846D77"/>
    <w:rsid w:val="0085571F"/>
    <w:rsid w:val="008649D5"/>
    <w:rsid w:val="0086508C"/>
    <w:rsid w:val="0086520B"/>
    <w:rsid w:val="008712BB"/>
    <w:rsid w:val="008722F2"/>
    <w:rsid w:val="00875150"/>
    <w:rsid w:val="00880523"/>
    <w:rsid w:val="008830E7"/>
    <w:rsid w:val="00886D85"/>
    <w:rsid w:val="00890EDE"/>
    <w:rsid w:val="00892B38"/>
    <w:rsid w:val="00895BB4"/>
    <w:rsid w:val="00895F5A"/>
    <w:rsid w:val="008A1741"/>
    <w:rsid w:val="008A2484"/>
    <w:rsid w:val="008A52F3"/>
    <w:rsid w:val="008A57CC"/>
    <w:rsid w:val="008A7C2B"/>
    <w:rsid w:val="008B20F7"/>
    <w:rsid w:val="008B226C"/>
    <w:rsid w:val="008B6440"/>
    <w:rsid w:val="008B7A01"/>
    <w:rsid w:val="008C26D9"/>
    <w:rsid w:val="008C694E"/>
    <w:rsid w:val="008C6D50"/>
    <w:rsid w:val="008C7167"/>
    <w:rsid w:val="008C7503"/>
    <w:rsid w:val="008D1617"/>
    <w:rsid w:val="008D330F"/>
    <w:rsid w:val="008D48C1"/>
    <w:rsid w:val="008D51AD"/>
    <w:rsid w:val="008E6315"/>
    <w:rsid w:val="008E6C94"/>
    <w:rsid w:val="008F0298"/>
    <w:rsid w:val="008F07FC"/>
    <w:rsid w:val="008F11E0"/>
    <w:rsid w:val="008F2E98"/>
    <w:rsid w:val="008F3BD0"/>
    <w:rsid w:val="008F3EA7"/>
    <w:rsid w:val="008F5096"/>
    <w:rsid w:val="008F78BC"/>
    <w:rsid w:val="008F7B63"/>
    <w:rsid w:val="008F7D6A"/>
    <w:rsid w:val="00901C86"/>
    <w:rsid w:val="00902499"/>
    <w:rsid w:val="00903603"/>
    <w:rsid w:val="009054CB"/>
    <w:rsid w:val="00911F8D"/>
    <w:rsid w:val="00912F94"/>
    <w:rsid w:val="00913246"/>
    <w:rsid w:val="009154DA"/>
    <w:rsid w:val="009171BC"/>
    <w:rsid w:val="00920635"/>
    <w:rsid w:val="0092497E"/>
    <w:rsid w:val="0092590B"/>
    <w:rsid w:val="00925BF3"/>
    <w:rsid w:val="00925E60"/>
    <w:rsid w:val="009264B3"/>
    <w:rsid w:val="0093325B"/>
    <w:rsid w:val="009365E0"/>
    <w:rsid w:val="00940E7F"/>
    <w:rsid w:val="00941D4F"/>
    <w:rsid w:val="00942BA2"/>
    <w:rsid w:val="009432B7"/>
    <w:rsid w:val="00943ABB"/>
    <w:rsid w:val="00944C86"/>
    <w:rsid w:val="00947C02"/>
    <w:rsid w:val="00950BE6"/>
    <w:rsid w:val="00954502"/>
    <w:rsid w:val="00957DE8"/>
    <w:rsid w:val="00960ECB"/>
    <w:rsid w:val="009615D6"/>
    <w:rsid w:val="0096372E"/>
    <w:rsid w:val="00967855"/>
    <w:rsid w:val="0097445B"/>
    <w:rsid w:val="00974709"/>
    <w:rsid w:val="0097588C"/>
    <w:rsid w:val="00980736"/>
    <w:rsid w:val="00980834"/>
    <w:rsid w:val="00981A39"/>
    <w:rsid w:val="00982D56"/>
    <w:rsid w:val="00983296"/>
    <w:rsid w:val="00983DBF"/>
    <w:rsid w:val="00987097"/>
    <w:rsid w:val="00991123"/>
    <w:rsid w:val="00991CAB"/>
    <w:rsid w:val="009976AE"/>
    <w:rsid w:val="009A3799"/>
    <w:rsid w:val="009A3A9C"/>
    <w:rsid w:val="009B046C"/>
    <w:rsid w:val="009B13FA"/>
    <w:rsid w:val="009B1E2D"/>
    <w:rsid w:val="009B66A6"/>
    <w:rsid w:val="009C59FB"/>
    <w:rsid w:val="009C6F3B"/>
    <w:rsid w:val="009D1467"/>
    <w:rsid w:val="009D31AC"/>
    <w:rsid w:val="009D328D"/>
    <w:rsid w:val="009E3502"/>
    <w:rsid w:val="009E4FA6"/>
    <w:rsid w:val="009E7D93"/>
    <w:rsid w:val="009F3C34"/>
    <w:rsid w:val="009F462C"/>
    <w:rsid w:val="009F5C33"/>
    <w:rsid w:val="00A0150C"/>
    <w:rsid w:val="00A026F0"/>
    <w:rsid w:val="00A03EAC"/>
    <w:rsid w:val="00A04DBB"/>
    <w:rsid w:val="00A0578E"/>
    <w:rsid w:val="00A07EA0"/>
    <w:rsid w:val="00A11CA6"/>
    <w:rsid w:val="00A13DE3"/>
    <w:rsid w:val="00A20C49"/>
    <w:rsid w:val="00A20FE3"/>
    <w:rsid w:val="00A21847"/>
    <w:rsid w:val="00A22932"/>
    <w:rsid w:val="00A269CA"/>
    <w:rsid w:val="00A27597"/>
    <w:rsid w:val="00A30CE0"/>
    <w:rsid w:val="00A32017"/>
    <w:rsid w:val="00A33212"/>
    <w:rsid w:val="00A336EE"/>
    <w:rsid w:val="00A33F46"/>
    <w:rsid w:val="00A33F72"/>
    <w:rsid w:val="00A3427E"/>
    <w:rsid w:val="00A359AC"/>
    <w:rsid w:val="00A40F83"/>
    <w:rsid w:val="00A410FB"/>
    <w:rsid w:val="00A41413"/>
    <w:rsid w:val="00A431E6"/>
    <w:rsid w:val="00A436E8"/>
    <w:rsid w:val="00A45FB1"/>
    <w:rsid w:val="00A46CCC"/>
    <w:rsid w:val="00A47996"/>
    <w:rsid w:val="00A47E3A"/>
    <w:rsid w:val="00A51CFE"/>
    <w:rsid w:val="00A5204D"/>
    <w:rsid w:val="00A553E0"/>
    <w:rsid w:val="00A61605"/>
    <w:rsid w:val="00A6268F"/>
    <w:rsid w:val="00A65F97"/>
    <w:rsid w:val="00A66C43"/>
    <w:rsid w:val="00A709BE"/>
    <w:rsid w:val="00A76C13"/>
    <w:rsid w:val="00A776C1"/>
    <w:rsid w:val="00A80E0E"/>
    <w:rsid w:val="00A84FD0"/>
    <w:rsid w:val="00A865CA"/>
    <w:rsid w:val="00A87788"/>
    <w:rsid w:val="00A92E79"/>
    <w:rsid w:val="00A950B6"/>
    <w:rsid w:val="00A95D45"/>
    <w:rsid w:val="00A97080"/>
    <w:rsid w:val="00AA1BD7"/>
    <w:rsid w:val="00AA6C40"/>
    <w:rsid w:val="00AB41C1"/>
    <w:rsid w:val="00AB4888"/>
    <w:rsid w:val="00AB4CF2"/>
    <w:rsid w:val="00AB6CCA"/>
    <w:rsid w:val="00AB6D0B"/>
    <w:rsid w:val="00AC0997"/>
    <w:rsid w:val="00AC0C4B"/>
    <w:rsid w:val="00AC140B"/>
    <w:rsid w:val="00AC1C7A"/>
    <w:rsid w:val="00AC223F"/>
    <w:rsid w:val="00AC33B1"/>
    <w:rsid w:val="00AC6CE7"/>
    <w:rsid w:val="00AD12A8"/>
    <w:rsid w:val="00AD1349"/>
    <w:rsid w:val="00AD1ED9"/>
    <w:rsid w:val="00AD36C0"/>
    <w:rsid w:val="00AE023F"/>
    <w:rsid w:val="00AE201F"/>
    <w:rsid w:val="00AE55F8"/>
    <w:rsid w:val="00AF0D56"/>
    <w:rsid w:val="00AF3577"/>
    <w:rsid w:val="00AF35F9"/>
    <w:rsid w:val="00B014BA"/>
    <w:rsid w:val="00B0424C"/>
    <w:rsid w:val="00B04DB3"/>
    <w:rsid w:val="00B05C7D"/>
    <w:rsid w:val="00B074EF"/>
    <w:rsid w:val="00B11146"/>
    <w:rsid w:val="00B15D57"/>
    <w:rsid w:val="00B16347"/>
    <w:rsid w:val="00B17D6E"/>
    <w:rsid w:val="00B202CA"/>
    <w:rsid w:val="00B2435E"/>
    <w:rsid w:val="00B34261"/>
    <w:rsid w:val="00B346C3"/>
    <w:rsid w:val="00B4005C"/>
    <w:rsid w:val="00B404F3"/>
    <w:rsid w:val="00B4227E"/>
    <w:rsid w:val="00B4471C"/>
    <w:rsid w:val="00B45061"/>
    <w:rsid w:val="00B451A6"/>
    <w:rsid w:val="00B45E31"/>
    <w:rsid w:val="00B526E3"/>
    <w:rsid w:val="00B563A8"/>
    <w:rsid w:val="00B56D6E"/>
    <w:rsid w:val="00B6352F"/>
    <w:rsid w:val="00B64347"/>
    <w:rsid w:val="00B65DC6"/>
    <w:rsid w:val="00B67AC2"/>
    <w:rsid w:val="00B67E24"/>
    <w:rsid w:val="00B7122C"/>
    <w:rsid w:val="00B71D96"/>
    <w:rsid w:val="00B72082"/>
    <w:rsid w:val="00B722DE"/>
    <w:rsid w:val="00B751E3"/>
    <w:rsid w:val="00B75BA6"/>
    <w:rsid w:val="00B761E4"/>
    <w:rsid w:val="00B76C44"/>
    <w:rsid w:val="00B812A0"/>
    <w:rsid w:val="00B8184A"/>
    <w:rsid w:val="00B82283"/>
    <w:rsid w:val="00B828D8"/>
    <w:rsid w:val="00B835DD"/>
    <w:rsid w:val="00B83F87"/>
    <w:rsid w:val="00B87CDC"/>
    <w:rsid w:val="00B910C1"/>
    <w:rsid w:val="00B93226"/>
    <w:rsid w:val="00BA01B3"/>
    <w:rsid w:val="00BA26AC"/>
    <w:rsid w:val="00BA2CA4"/>
    <w:rsid w:val="00BA2EFA"/>
    <w:rsid w:val="00BA3DBC"/>
    <w:rsid w:val="00BA5F38"/>
    <w:rsid w:val="00BA707A"/>
    <w:rsid w:val="00BB1AFB"/>
    <w:rsid w:val="00BB27AE"/>
    <w:rsid w:val="00BB2DA2"/>
    <w:rsid w:val="00BB56DC"/>
    <w:rsid w:val="00BB58C6"/>
    <w:rsid w:val="00BB5D9E"/>
    <w:rsid w:val="00BC2E18"/>
    <w:rsid w:val="00BC62AB"/>
    <w:rsid w:val="00BC7D87"/>
    <w:rsid w:val="00BE183D"/>
    <w:rsid w:val="00BE2CE1"/>
    <w:rsid w:val="00BE6C3A"/>
    <w:rsid w:val="00BF5D7A"/>
    <w:rsid w:val="00C01C2E"/>
    <w:rsid w:val="00C02223"/>
    <w:rsid w:val="00C026F0"/>
    <w:rsid w:val="00C02D33"/>
    <w:rsid w:val="00C04B53"/>
    <w:rsid w:val="00C06904"/>
    <w:rsid w:val="00C11F4B"/>
    <w:rsid w:val="00C1232C"/>
    <w:rsid w:val="00C20C22"/>
    <w:rsid w:val="00C2608A"/>
    <w:rsid w:val="00C27C6B"/>
    <w:rsid w:val="00C30AD6"/>
    <w:rsid w:val="00C3249A"/>
    <w:rsid w:val="00C33183"/>
    <w:rsid w:val="00C34034"/>
    <w:rsid w:val="00C3527C"/>
    <w:rsid w:val="00C3594D"/>
    <w:rsid w:val="00C36442"/>
    <w:rsid w:val="00C400CE"/>
    <w:rsid w:val="00C410FD"/>
    <w:rsid w:val="00C457DE"/>
    <w:rsid w:val="00C47DD3"/>
    <w:rsid w:val="00C51027"/>
    <w:rsid w:val="00C53562"/>
    <w:rsid w:val="00C539FB"/>
    <w:rsid w:val="00C65868"/>
    <w:rsid w:val="00C65B53"/>
    <w:rsid w:val="00C66E57"/>
    <w:rsid w:val="00C74150"/>
    <w:rsid w:val="00C75594"/>
    <w:rsid w:val="00C8407B"/>
    <w:rsid w:val="00C84275"/>
    <w:rsid w:val="00C8531D"/>
    <w:rsid w:val="00C85982"/>
    <w:rsid w:val="00C85BF1"/>
    <w:rsid w:val="00C93CD7"/>
    <w:rsid w:val="00C95E49"/>
    <w:rsid w:val="00CA0466"/>
    <w:rsid w:val="00CA246D"/>
    <w:rsid w:val="00CA27DC"/>
    <w:rsid w:val="00CA50D9"/>
    <w:rsid w:val="00CA6974"/>
    <w:rsid w:val="00CB3054"/>
    <w:rsid w:val="00CB5636"/>
    <w:rsid w:val="00CC162A"/>
    <w:rsid w:val="00CC3EE5"/>
    <w:rsid w:val="00CC7BAB"/>
    <w:rsid w:val="00CD060F"/>
    <w:rsid w:val="00CD0AAD"/>
    <w:rsid w:val="00CE425C"/>
    <w:rsid w:val="00CE58AC"/>
    <w:rsid w:val="00CF2BDA"/>
    <w:rsid w:val="00CF5A80"/>
    <w:rsid w:val="00D0016A"/>
    <w:rsid w:val="00D045EE"/>
    <w:rsid w:val="00D05091"/>
    <w:rsid w:val="00D10223"/>
    <w:rsid w:val="00D10CA6"/>
    <w:rsid w:val="00D10F21"/>
    <w:rsid w:val="00D134CF"/>
    <w:rsid w:val="00D1573B"/>
    <w:rsid w:val="00D24806"/>
    <w:rsid w:val="00D31F41"/>
    <w:rsid w:val="00D32A78"/>
    <w:rsid w:val="00D34040"/>
    <w:rsid w:val="00D34E69"/>
    <w:rsid w:val="00D364EA"/>
    <w:rsid w:val="00D36C78"/>
    <w:rsid w:val="00D375EE"/>
    <w:rsid w:val="00D45946"/>
    <w:rsid w:val="00D55AE8"/>
    <w:rsid w:val="00D56056"/>
    <w:rsid w:val="00D6085F"/>
    <w:rsid w:val="00D6209F"/>
    <w:rsid w:val="00D62699"/>
    <w:rsid w:val="00D72984"/>
    <w:rsid w:val="00D761F8"/>
    <w:rsid w:val="00D778E9"/>
    <w:rsid w:val="00D812BF"/>
    <w:rsid w:val="00D82620"/>
    <w:rsid w:val="00D85707"/>
    <w:rsid w:val="00D87CFD"/>
    <w:rsid w:val="00D905DE"/>
    <w:rsid w:val="00D93DF3"/>
    <w:rsid w:val="00D96D00"/>
    <w:rsid w:val="00D9725F"/>
    <w:rsid w:val="00DA01B1"/>
    <w:rsid w:val="00DA11A2"/>
    <w:rsid w:val="00DA14ED"/>
    <w:rsid w:val="00DA26D6"/>
    <w:rsid w:val="00DA2D1C"/>
    <w:rsid w:val="00DB0332"/>
    <w:rsid w:val="00DB2EF1"/>
    <w:rsid w:val="00DB38F7"/>
    <w:rsid w:val="00DB3DE1"/>
    <w:rsid w:val="00DB5DA0"/>
    <w:rsid w:val="00DB716C"/>
    <w:rsid w:val="00DC2F06"/>
    <w:rsid w:val="00DC5462"/>
    <w:rsid w:val="00DC5C85"/>
    <w:rsid w:val="00DC7C5D"/>
    <w:rsid w:val="00DD4236"/>
    <w:rsid w:val="00DD44F1"/>
    <w:rsid w:val="00DD6957"/>
    <w:rsid w:val="00DD6E7A"/>
    <w:rsid w:val="00DE3067"/>
    <w:rsid w:val="00DF3EEE"/>
    <w:rsid w:val="00DF5E14"/>
    <w:rsid w:val="00DF75E1"/>
    <w:rsid w:val="00DF7F83"/>
    <w:rsid w:val="00E00F92"/>
    <w:rsid w:val="00E027BC"/>
    <w:rsid w:val="00E07507"/>
    <w:rsid w:val="00E10F0D"/>
    <w:rsid w:val="00E14EA5"/>
    <w:rsid w:val="00E2070E"/>
    <w:rsid w:val="00E21133"/>
    <w:rsid w:val="00E2327E"/>
    <w:rsid w:val="00E24A11"/>
    <w:rsid w:val="00E266EF"/>
    <w:rsid w:val="00E326A8"/>
    <w:rsid w:val="00E32AB4"/>
    <w:rsid w:val="00E374D9"/>
    <w:rsid w:val="00E37DAD"/>
    <w:rsid w:val="00E415A3"/>
    <w:rsid w:val="00E44813"/>
    <w:rsid w:val="00E465F5"/>
    <w:rsid w:val="00E47428"/>
    <w:rsid w:val="00E54AB4"/>
    <w:rsid w:val="00E5601C"/>
    <w:rsid w:val="00E56C8E"/>
    <w:rsid w:val="00E5716B"/>
    <w:rsid w:val="00E5722C"/>
    <w:rsid w:val="00E57F1F"/>
    <w:rsid w:val="00E61C95"/>
    <w:rsid w:val="00E6620F"/>
    <w:rsid w:val="00E66B9F"/>
    <w:rsid w:val="00E70A6A"/>
    <w:rsid w:val="00E710D6"/>
    <w:rsid w:val="00E73DA4"/>
    <w:rsid w:val="00E76E45"/>
    <w:rsid w:val="00E777C9"/>
    <w:rsid w:val="00E77E81"/>
    <w:rsid w:val="00E77F48"/>
    <w:rsid w:val="00E81DA6"/>
    <w:rsid w:val="00E840AA"/>
    <w:rsid w:val="00E84212"/>
    <w:rsid w:val="00E9086C"/>
    <w:rsid w:val="00E90AAA"/>
    <w:rsid w:val="00E91A0F"/>
    <w:rsid w:val="00E94A71"/>
    <w:rsid w:val="00E94CBF"/>
    <w:rsid w:val="00EA03CE"/>
    <w:rsid w:val="00EA23E5"/>
    <w:rsid w:val="00EA45B8"/>
    <w:rsid w:val="00EA4E2E"/>
    <w:rsid w:val="00EA7952"/>
    <w:rsid w:val="00EB0753"/>
    <w:rsid w:val="00EB1D32"/>
    <w:rsid w:val="00EB2417"/>
    <w:rsid w:val="00EB2CCB"/>
    <w:rsid w:val="00EB7A25"/>
    <w:rsid w:val="00EC0F3E"/>
    <w:rsid w:val="00EC2CF1"/>
    <w:rsid w:val="00EC57A7"/>
    <w:rsid w:val="00EC786E"/>
    <w:rsid w:val="00ED0817"/>
    <w:rsid w:val="00ED335E"/>
    <w:rsid w:val="00ED73DB"/>
    <w:rsid w:val="00ED7DD9"/>
    <w:rsid w:val="00EE18F9"/>
    <w:rsid w:val="00EE445B"/>
    <w:rsid w:val="00EE5F15"/>
    <w:rsid w:val="00EF3113"/>
    <w:rsid w:val="00EF3F84"/>
    <w:rsid w:val="00F02065"/>
    <w:rsid w:val="00F07756"/>
    <w:rsid w:val="00F129D2"/>
    <w:rsid w:val="00F17368"/>
    <w:rsid w:val="00F176AC"/>
    <w:rsid w:val="00F25A98"/>
    <w:rsid w:val="00F26F28"/>
    <w:rsid w:val="00F27714"/>
    <w:rsid w:val="00F3276E"/>
    <w:rsid w:val="00F32F42"/>
    <w:rsid w:val="00F33D3C"/>
    <w:rsid w:val="00F37A91"/>
    <w:rsid w:val="00F408A0"/>
    <w:rsid w:val="00F416FE"/>
    <w:rsid w:val="00F45C85"/>
    <w:rsid w:val="00F45CF5"/>
    <w:rsid w:val="00F47DB0"/>
    <w:rsid w:val="00F506D7"/>
    <w:rsid w:val="00F50C3F"/>
    <w:rsid w:val="00F50E34"/>
    <w:rsid w:val="00F50FCB"/>
    <w:rsid w:val="00F53EF7"/>
    <w:rsid w:val="00F54BF2"/>
    <w:rsid w:val="00F55810"/>
    <w:rsid w:val="00F73B3D"/>
    <w:rsid w:val="00F74300"/>
    <w:rsid w:val="00F775AC"/>
    <w:rsid w:val="00F84223"/>
    <w:rsid w:val="00F90D70"/>
    <w:rsid w:val="00F92355"/>
    <w:rsid w:val="00F93963"/>
    <w:rsid w:val="00F94291"/>
    <w:rsid w:val="00F960D6"/>
    <w:rsid w:val="00FA298A"/>
    <w:rsid w:val="00FA5B66"/>
    <w:rsid w:val="00FB241E"/>
    <w:rsid w:val="00FB30EB"/>
    <w:rsid w:val="00FB7982"/>
    <w:rsid w:val="00FC0734"/>
    <w:rsid w:val="00FC0FC5"/>
    <w:rsid w:val="00FC588F"/>
    <w:rsid w:val="00FC6879"/>
    <w:rsid w:val="00FD04DC"/>
    <w:rsid w:val="00FD4581"/>
    <w:rsid w:val="00FD7966"/>
    <w:rsid w:val="00FE1B30"/>
    <w:rsid w:val="00FE21C9"/>
    <w:rsid w:val="00FE28D6"/>
    <w:rsid w:val="00FE38F7"/>
    <w:rsid w:val="00FE5947"/>
    <w:rsid w:val="00FE7B44"/>
    <w:rsid w:val="00FF22BC"/>
    <w:rsid w:val="00FF3760"/>
    <w:rsid w:val="00FF6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27D95F33"/>
  <w15:docId w15:val="{6286DAC2-9851-457C-B47B-070108C4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575F"/>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customStyle="1" w:styleId="007575fc">
    <w:name w:val="007575fc"/>
    <w:basedOn w:val="Normal"/>
    <w:rsid w:val="00C20C22"/>
    <w:pPr>
      <w:spacing w:before="100" w:beforeAutospacing="1" w:after="100" w:afterAutospacing="1" w:line="240" w:lineRule="auto"/>
      <w:jc w:val="left"/>
    </w:pPr>
    <w:rPr>
      <w:rFonts w:eastAsia="Times New Roman"/>
      <w:szCs w:val="24"/>
      <w:lang w:eastAsia="en-AU"/>
    </w:rPr>
  </w:style>
  <w:style w:type="paragraph" w:customStyle="1" w:styleId="numberedlist">
    <w:name w:val="numberedlist"/>
    <w:basedOn w:val="Normal"/>
    <w:rsid w:val="00C20C22"/>
    <w:pPr>
      <w:spacing w:before="100" w:beforeAutospacing="1" w:after="100" w:afterAutospacing="1" w:line="240" w:lineRule="auto"/>
      <w:jc w:val="left"/>
    </w:pPr>
    <w:rPr>
      <w:rFonts w:eastAsia="Times New Roman"/>
      <w:szCs w:val="24"/>
      <w:lang w:eastAsia="en-AU"/>
    </w:rPr>
  </w:style>
  <w:style w:type="paragraph" w:customStyle="1" w:styleId="Quote5">
    <w:name w:val="Quote5"/>
    <w:basedOn w:val="Normal"/>
    <w:rsid w:val="00C20C22"/>
    <w:pPr>
      <w:spacing w:before="100" w:beforeAutospacing="1" w:after="100" w:afterAutospacing="1" w:line="240" w:lineRule="auto"/>
      <w:jc w:val="left"/>
    </w:pPr>
    <w:rPr>
      <w:rFonts w:eastAsia="Times New Roman"/>
      <w:szCs w:val="24"/>
      <w:lang w:eastAsia="en-AU"/>
    </w:rPr>
  </w:style>
  <w:style w:type="paragraph" w:customStyle="1" w:styleId="00625234">
    <w:name w:val="00625234"/>
    <w:basedOn w:val="Normal"/>
    <w:rsid w:val="0071286E"/>
    <w:pPr>
      <w:spacing w:before="100" w:beforeAutospacing="1" w:after="100" w:afterAutospacing="1" w:line="240" w:lineRule="auto"/>
      <w:jc w:val="left"/>
    </w:pPr>
    <w:rPr>
      <w:rFonts w:eastAsia="Times New Roman"/>
      <w:szCs w:val="24"/>
      <w:lang w:eastAsia="en-AU"/>
    </w:rPr>
  </w:style>
  <w:style w:type="paragraph" w:customStyle="1" w:styleId="00dd27ce">
    <w:name w:val="00dd27ce"/>
    <w:basedOn w:val="Normal"/>
    <w:rsid w:val="000E567E"/>
    <w:pPr>
      <w:spacing w:before="100" w:beforeAutospacing="1" w:after="100" w:afterAutospacing="1" w:line="240" w:lineRule="auto"/>
      <w:jc w:val="left"/>
    </w:pPr>
    <w:rPr>
      <w:rFonts w:eastAsia="Times New Roman"/>
      <w:szCs w:val="24"/>
      <w:lang w:eastAsia="en-AU"/>
    </w:rPr>
  </w:style>
  <w:style w:type="paragraph" w:customStyle="1" w:styleId="00f451eb">
    <w:name w:val="00f451eb"/>
    <w:basedOn w:val="Normal"/>
    <w:rsid w:val="0032449A"/>
    <w:pPr>
      <w:spacing w:before="100" w:beforeAutospacing="1" w:after="100" w:afterAutospacing="1" w:line="240" w:lineRule="auto"/>
      <w:jc w:val="left"/>
    </w:pPr>
    <w:rPr>
      <w:rFonts w:eastAsia="Times New Roman"/>
      <w:szCs w:val="24"/>
      <w:lang w:eastAsia="en-AU"/>
    </w:rPr>
  </w:style>
  <w:style w:type="paragraph" w:customStyle="1" w:styleId="003f1f2d">
    <w:name w:val="003f1f2d"/>
    <w:basedOn w:val="Normal"/>
    <w:rsid w:val="00EB0753"/>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rsid w:val="00EB0753"/>
    <w:pPr>
      <w:ind w:left="720"/>
      <w:contextualSpacing/>
    </w:pPr>
  </w:style>
  <w:style w:type="paragraph" w:styleId="Revision">
    <w:name w:val="Revision"/>
    <w:hidden/>
    <w:uiPriority w:val="99"/>
    <w:semiHidden/>
    <w:rsid w:val="008425F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2093">
      <w:bodyDiv w:val="1"/>
      <w:marLeft w:val="0"/>
      <w:marRight w:val="0"/>
      <w:marTop w:val="0"/>
      <w:marBottom w:val="0"/>
      <w:divBdr>
        <w:top w:val="none" w:sz="0" w:space="0" w:color="auto"/>
        <w:left w:val="none" w:sz="0" w:space="0" w:color="auto"/>
        <w:bottom w:val="none" w:sz="0" w:space="0" w:color="auto"/>
        <w:right w:val="none" w:sz="0" w:space="0" w:color="auto"/>
      </w:divBdr>
      <w:divsChild>
        <w:div w:id="926579414">
          <w:marLeft w:val="0"/>
          <w:marRight w:val="0"/>
          <w:marTop w:val="0"/>
          <w:marBottom w:val="0"/>
          <w:divBdr>
            <w:top w:val="none" w:sz="0" w:space="0" w:color="auto"/>
            <w:left w:val="none" w:sz="0" w:space="0" w:color="auto"/>
            <w:bottom w:val="none" w:sz="0" w:space="0" w:color="auto"/>
            <w:right w:val="none" w:sz="0" w:space="0" w:color="auto"/>
          </w:divBdr>
          <w:divsChild>
            <w:div w:id="289359251">
              <w:marLeft w:val="0"/>
              <w:marRight w:val="0"/>
              <w:marTop w:val="0"/>
              <w:marBottom w:val="0"/>
              <w:divBdr>
                <w:top w:val="none" w:sz="0" w:space="0" w:color="auto"/>
                <w:left w:val="none" w:sz="0" w:space="0" w:color="auto"/>
                <w:bottom w:val="none" w:sz="0" w:space="0" w:color="auto"/>
                <w:right w:val="none" w:sz="0" w:space="0" w:color="auto"/>
              </w:divBdr>
              <w:divsChild>
                <w:div w:id="381251168">
                  <w:marLeft w:val="0"/>
                  <w:marRight w:val="0"/>
                  <w:marTop w:val="0"/>
                  <w:marBottom w:val="0"/>
                  <w:divBdr>
                    <w:top w:val="none" w:sz="0" w:space="0" w:color="auto"/>
                    <w:left w:val="none" w:sz="0" w:space="0" w:color="auto"/>
                    <w:bottom w:val="none" w:sz="0" w:space="0" w:color="auto"/>
                    <w:right w:val="none" w:sz="0" w:space="0" w:color="auto"/>
                  </w:divBdr>
                  <w:divsChild>
                    <w:div w:id="461195309">
                      <w:marLeft w:val="0"/>
                      <w:marRight w:val="0"/>
                      <w:marTop w:val="0"/>
                      <w:marBottom w:val="0"/>
                      <w:divBdr>
                        <w:top w:val="none" w:sz="0" w:space="0" w:color="auto"/>
                        <w:left w:val="none" w:sz="0" w:space="0" w:color="auto"/>
                        <w:bottom w:val="none" w:sz="0" w:space="0" w:color="auto"/>
                        <w:right w:val="none" w:sz="0" w:space="0" w:color="auto"/>
                      </w:divBdr>
                      <w:divsChild>
                        <w:div w:id="1015377261">
                          <w:marLeft w:val="0"/>
                          <w:marRight w:val="0"/>
                          <w:marTop w:val="0"/>
                          <w:marBottom w:val="0"/>
                          <w:divBdr>
                            <w:top w:val="none" w:sz="0" w:space="0" w:color="auto"/>
                            <w:left w:val="none" w:sz="0" w:space="0" w:color="auto"/>
                            <w:bottom w:val="none" w:sz="0" w:space="0" w:color="auto"/>
                            <w:right w:val="none" w:sz="0" w:space="0" w:color="auto"/>
                          </w:divBdr>
                          <w:divsChild>
                            <w:div w:id="70785571">
                              <w:marLeft w:val="0"/>
                              <w:marRight w:val="0"/>
                              <w:marTop w:val="0"/>
                              <w:marBottom w:val="0"/>
                              <w:divBdr>
                                <w:top w:val="none" w:sz="0" w:space="0" w:color="auto"/>
                                <w:left w:val="none" w:sz="0" w:space="0" w:color="auto"/>
                                <w:bottom w:val="none" w:sz="0" w:space="0" w:color="auto"/>
                                <w:right w:val="none" w:sz="0" w:space="0" w:color="auto"/>
                              </w:divBdr>
                              <w:divsChild>
                                <w:div w:id="825173228">
                                  <w:marLeft w:val="0"/>
                                  <w:marRight w:val="0"/>
                                  <w:marTop w:val="0"/>
                                  <w:marBottom w:val="0"/>
                                  <w:divBdr>
                                    <w:top w:val="none" w:sz="0" w:space="0" w:color="auto"/>
                                    <w:left w:val="none" w:sz="0" w:space="0" w:color="auto"/>
                                    <w:bottom w:val="none" w:sz="0" w:space="0" w:color="auto"/>
                                    <w:right w:val="none" w:sz="0" w:space="0" w:color="auto"/>
                                  </w:divBdr>
                                  <w:divsChild>
                                    <w:div w:id="450589558">
                                      <w:marLeft w:val="0"/>
                                      <w:marRight w:val="0"/>
                                      <w:marTop w:val="0"/>
                                      <w:marBottom w:val="0"/>
                                      <w:divBdr>
                                        <w:top w:val="none" w:sz="0" w:space="0" w:color="auto"/>
                                        <w:left w:val="none" w:sz="0" w:space="0" w:color="auto"/>
                                        <w:bottom w:val="none" w:sz="0" w:space="0" w:color="auto"/>
                                        <w:right w:val="none" w:sz="0" w:space="0" w:color="auto"/>
                                      </w:divBdr>
                                      <w:divsChild>
                                        <w:div w:id="1518497730">
                                          <w:marLeft w:val="0"/>
                                          <w:marRight w:val="0"/>
                                          <w:marTop w:val="0"/>
                                          <w:marBottom w:val="0"/>
                                          <w:divBdr>
                                            <w:top w:val="none" w:sz="0" w:space="0" w:color="auto"/>
                                            <w:left w:val="none" w:sz="0" w:space="0" w:color="auto"/>
                                            <w:bottom w:val="none" w:sz="0" w:space="0" w:color="auto"/>
                                            <w:right w:val="none" w:sz="0" w:space="0" w:color="auto"/>
                                          </w:divBdr>
                                          <w:divsChild>
                                            <w:div w:id="983587632">
                                              <w:marLeft w:val="0"/>
                                              <w:marRight w:val="0"/>
                                              <w:marTop w:val="0"/>
                                              <w:marBottom w:val="0"/>
                                              <w:divBdr>
                                                <w:top w:val="none" w:sz="0" w:space="0" w:color="auto"/>
                                                <w:left w:val="none" w:sz="0" w:space="0" w:color="auto"/>
                                                <w:bottom w:val="none" w:sz="0" w:space="0" w:color="auto"/>
                                                <w:right w:val="none" w:sz="0" w:space="0" w:color="auto"/>
                                              </w:divBdr>
                                              <w:divsChild>
                                                <w:div w:id="7829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84703">
      <w:bodyDiv w:val="1"/>
      <w:marLeft w:val="0"/>
      <w:marRight w:val="0"/>
      <w:marTop w:val="0"/>
      <w:marBottom w:val="0"/>
      <w:divBdr>
        <w:top w:val="none" w:sz="0" w:space="0" w:color="auto"/>
        <w:left w:val="none" w:sz="0" w:space="0" w:color="auto"/>
        <w:bottom w:val="none" w:sz="0" w:space="0" w:color="auto"/>
        <w:right w:val="none" w:sz="0" w:space="0" w:color="auto"/>
      </w:divBdr>
      <w:divsChild>
        <w:div w:id="600916590">
          <w:marLeft w:val="0"/>
          <w:marRight w:val="0"/>
          <w:marTop w:val="0"/>
          <w:marBottom w:val="0"/>
          <w:divBdr>
            <w:top w:val="none" w:sz="0" w:space="0" w:color="auto"/>
            <w:left w:val="none" w:sz="0" w:space="0" w:color="auto"/>
            <w:bottom w:val="none" w:sz="0" w:space="0" w:color="auto"/>
            <w:right w:val="none" w:sz="0" w:space="0" w:color="auto"/>
          </w:divBdr>
          <w:divsChild>
            <w:div w:id="702754363">
              <w:marLeft w:val="0"/>
              <w:marRight w:val="0"/>
              <w:marTop w:val="0"/>
              <w:marBottom w:val="0"/>
              <w:divBdr>
                <w:top w:val="none" w:sz="0" w:space="0" w:color="auto"/>
                <w:left w:val="none" w:sz="0" w:space="0" w:color="auto"/>
                <w:bottom w:val="none" w:sz="0" w:space="0" w:color="auto"/>
                <w:right w:val="none" w:sz="0" w:space="0" w:color="auto"/>
              </w:divBdr>
              <w:divsChild>
                <w:div w:id="253520404">
                  <w:marLeft w:val="0"/>
                  <w:marRight w:val="0"/>
                  <w:marTop w:val="0"/>
                  <w:marBottom w:val="0"/>
                  <w:divBdr>
                    <w:top w:val="none" w:sz="0" w:space="0" w:color="auto"/>
                    <w:left w:val="none" w:sz="0" w:space="0" w:color="auto"/>
                    <w:bottom w:val="none" w:sz="0" w:space="0" w:color="auto"/>
                    <w:right w:val="none" w:sz="0" w:space="0" w:color="auto"/>
                  </w:divBdr>
                  <w:divsChild>
                    <w:div w:id="1854761415">
                      <w:marLeft w:val="0"/>
                      <w:marRight w:val="0"/>
                      <w:marTop w:val="0"/>
                      <w:marBottom w:val="0"/>
                      <w:divBdr>
                        <w:top w:val="none" w:sz="0" w:space="0" w:color="auto"/>
                        <w:left w:val="none" w:sz="0" w:space="0" w:color="auto"/>
                        <w:bottom w:val="none" w:sz="0" w:space="0" w:color="auto"/>
                        <w:right w:val="none" w:sz="0" w:space="0" w:color="auto"/>
                      </w:divBdr>
                      <w:divsChild>
                        <w:div w:id="48120009">
                          <w:marLeft w:val="0"/>
                          <w:marRight w:val="0"/>
                          <w:marTop w:val="0"/>
                          <w:marBottom w:val="0"/>
                          <w:divBdr>
                            <w:top w:val="none" w:sz="0" w:space="0" w:color="auto"/>
                            <w:left w:val="none" w:sz="0" w:space="0" w:color="auto"/>
                            <w:bottom w:val="none" w:sz="0" w:space="0" w:color="auto"/>
                            <w:right w:val="none" w:sz="0" w:space="0" w:color="auto"/>
                          </w:divBdr>
                          <w:divsChild>
                            <w:div w:id="1727802177">
                              <w:marLeft w:val="0"/>
                              <w:marRight w:val="0"/>
                              <w:marTop w:val="0"/>
                              <w:marBottom w:val="0"/>
                              <w:divBdr>
                                <w:top w:val="none" w:sz="0" w:space="0" w:color="auto"/>
                                <w:left w:val="none" w:sz="0" w:space="0" w:color="auto"/>
                                <w:bottom w:val="none" w:sz="0" w:space="0" w:color="auto"/>
                                <w:right w:val="none" w:sz="0" w:space="0" w:color="auto"/>
                              </w:divBdr>
                              <w:divsChild>
                                <w:div w:id="795223599">
                                  <w:marLeft w:val="0"/>
                                  <w:marRight w:val="0"/>
                                  <w:marTop w:val="0"/>
                                  <w:marBottom w:val="0"/>
                                  <w:divBdr>
                                    <w:top w:val="none" w:sz="0" w:space="0" w:color="auto"/>
                                    <w:left w:val="none" w:sz="0" w:space="0" w:color="auto"/>
                                    <w:bottom w:val="none" w:sz="0" w:space="0" w:color="auto"/>
                                    <w:right w:val="none" w:sz="0" w:space="0" w:color="auto"/>
                                  </w:divBdr>
                                  <w:divsChild>
                                    <w:div w:id="1963876186">
                                      <w:marLeft w:val="0"/>
                                      <w:marRight w:val="0"/>
                                      <w:marTop w:val="0"/>
                                      <w:marBottom w:val="0"/>
                                      <w:divBdr>
                                        <w:top w:val="none" w:sz="0" w:space="0" w:color="auto"/>
                                        <w:left w:val="none" w:sz="0" w:space="0" w:color="auto"/>
                                        <w:bottom w:val="none" w:sz="0" w:space="0" w:color="auto"/>
                                        <w:right w:val="none" w:sz="0" w:space="0" w:color="auto"/>
                                      </w:divBdr>
                                      <w:divsChild>
                                        <w:div w:id="1978801861">
                                          <w:marLeft w:val="0"/>
                                          <w:marRight w:val="0"/>
                                          <w:marTop w:val="0"/>
                                          <w:marBottom w:val="0"/>
                                          <w:divBdr>
                                            <w:top w:val="none" w:sz="0" w:space="0" w:color="auto"/>
                                            <w:left w:val="none" w:sz="0" w:space="0" w:color="auto"/>
                                            <w:bottom w:val="none" w:sz="0" w:space="0" w:color="auto"/>
                                            <w:right w:val="none" w:sz="0" w:space="0" w:color="auto"/>
                                          </w:divBdr>
                                          <w:divsChild>
                                            <w:div w:id="1437751148">
                                              <w:marLeft w:val="0"/>
                                              <w:marRight w:val="0"/>
                                              <w:marTop w:val="0"/>
                                              <w:marBottom w:val="0"/>
                                              <w:divBdr>
                                                <w:top w:val="none" w:sz="0" w:space="0" w:color="auto"/>
                                                <w:left w:val="none" w:sz="0" w:space="0" w:color="auto"/>
                                                <w:bottom w:val="none" w:sz="0" w:space="0" w:color="auto"/>
                                                <w:right w:val="none" w:sz="0" w:space="0" w:color="auto"/>
                                              </w:divBdr>
                                              <w:divsChild>
                                                <w:div w:id="5646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259951">
      <w:bodyDiv w:val="1"/>
      <w:marLeft w:val="0"/>
      <w:marRight w:val="0"/>
      <w:marTop w:val="0"/>
      <w:marBottom w:val="0"/>
      <w:divBdr>
        <w:top w:val="none" w:sz="0" w:space="0" w:color="auto"/>
        <w:left w:val="none" w:sz="0" w:space="0" w:color="auto"/>
        <w:bottom w:val="none" w:sz="0" w:space="0" w:color="auto"/>
        <w:right w:val="none" w:sz="0" w:space="0" w:color="auto"/>
      </w:divBdr>
      <w:divsChild>
        <w:div w:id="1520315689">
          <w:marLeft w:val="0"/>
          <w:marRight w:val="0"/>
          <w:marTop w:val="0"/>
          <w:marBottom w:val="0"/>
          <w:divBdr>
            <w:top w:val="none" w:sz="0" w:space="0" w:color="auto"/>
            <w:left w:val="none" w:sz="0" w:space="0" w:color="auto"/>
            <w:bottom w:val="none" w:sz="0" w:space="0" w:color="auto"/>
            <w:right w:val="none" w:sz="0" w:space="0" w:color="auto"/>
          </w:divBdr>
          <w:divsChild>
            <w:div w:id="58210313">
              <w:marLeft w:val="0"/>
              <w:marRight w:val="0"/>
              <w:marTop w:val="0"/>
              <w:marBottom w:val="0"/>
              <w:divBdr>
                <w:top w:val="none" w:sz="0" w:space="0" w:color="auto"/>
                <w:left w:val="none" w:sz="0" w:space="0" w:color="auto"/>
                <w:bottom w:val="none" w:sz="0" w:space="0" w:color="auto"/>
                <w:right w:val="none" w:sz="0" w:space="0" w:color="auto"/>
              </w:divBdr>
              <w:divsChild>
                <w:div w:id="1549106839">
                  <w:marLeft w:val="0"/>
                  <w:marRight w:val="0"/>
                  <w:marTop w:val="0"/>
                  <w:marBottom w:val="0"/>
                  <w:divBdr>
                    <w:top w:val="none" w:sz="0" w:space="0" w:color="auto"/>
                    <w:left w:val="none" w:sz="0" w:space="0" w:color="auto"/>
                    <w:bottom w:val="none" w:sz="0" w:space="0" w:color="auto"/>
                    <w:right w:val="none" w:sz="0" w:space="0" w:color="auto"/>
                  </w:divBdr>
                  <w:divsChild>
                    <w:div w:id="1877503410">
                      <w:marLeft w:val="0"/>
                      <w:marRight w:val="0"/>
                      <w:marTop w:val="0"/>
                      <w:marBottom w:val="0"/>
                      <w:divBdr>
                        <w:top w:val="none" w:sz="0" w:space="0" w:color="auto"/>
                        <w:left w:val="none" w:sz="0" w:space="0" w:color="auto"/>
                        <w:bottom w:val="none" w:sz="0" w:space="0" w:color="auto"/>
                        <w:right w:val="none" w:sz="0" w:space="0" w:color="auto"/>
                      </w:divBdr>
                      <w:divsChild>
                        <w:div w:id="1630011638">
                          <w:marLeft w:val="0"/>
                          <w:marRight w:val="0"/>
                          <w:marTop w:val="0"/>
                          <w:marBottom w:val="0"/>
                          <w:divBdr>
                            <w:top w:val="none" w:sz="0" w:space="0" w:color="auto"/>
                            <w:left w:val="none" w:sz="0" w:space="0" w:color="auto"/>
                            <w:bottom w:val="none" w:sz="0" w:space="0" w:color="auto"/>
                            <w:right w:val="none" w:sz="0" w:space="0" w:color="auto"/>
                          </w:divBdr>
                          <w:divsChild>
                            <w:div w:id="1863081386">
                              <w:marLeft w:val="0"/>
                              <w:marRight w:val="0"/>
                              <w:marTop w:val="0"/>
                              <w:marBottom w:val="0"/>
                              <w:divBdr>
                                <w:top w:val="none" w:sz="0" w:space="0" w:color="auto"/>
                                <w:left w:val="none" w:sz="0" w:space="0" w:color="auto"/>
                                <w:bottom w:val="none" w:sz="0" w:space="0" w:color="auto"/>
                                <w:right w:val="none" w:sz="0" w:space="0" w:color="auto"/>
                              </w:divBdr>
                              <w:divsChild>
                                <w:div w:id="554465471">
                                  <w:marLeft w:val="0"/>
                                  <w:marRight w:val="0"/>
                                  <w:marTop w:val="0"/>
                                  <w:marBottom w:val="0"/>
                                  <w:divBdr>
                                    <w:top w:val="none" w:sz="0" w:space="0" w:color="auto"/>
                                    <w:left w:val="none" w:sz="0" w:space="0" w:color="auto"/>
                                    <w:bottom w:val="none" w:sz="0" w:space="0" w:color="auto"/>
                                    <w:right w:val="none" w:sz="0" w:space="0" w:color="auto"/>
                                  </w:divBdr>
                                  <w:divsChild>
                                    <w:div w:id="1757238839">
                                      <w:marLeft w:val="0"/>
                                      <w:marRight w:val="0"/>
                                      <w:marTop w:val="0"/>
                                      <w:marBottom w:val="0"/>
                                      <w:divBdr>
                                        <w:top w:val="none" w:sz="0" w:space="0" w:color="auto"/>
                                        <w:left w:val="none" w:sz="0" w:space="0" w:color="auto"/>
                                        <w:bottom w:val="none" w:sz="0" w:space="0" w:color="auto"/>
                                        <w:right w:val="none" w:sz="0" w:space="0" w:color="auto"/>
                                      </w:divBdr>
                                      <w:divsChild>
                                        <w:div w:id="1953583409">
                                          <w:marLeft w:val="0"/>
                                          <w:marRight w:val="0"/>
                                          <w:marTop w:val="0"/>
                                          <w:marBottom w:val="0"/>
                                          <w:divBdr>
                                            <w:top w:val="none" w:sz="0" w:space="0" w:color="auto"/>
                                            <w:left w:val="none" w:sz="0" w:space="0" w:color="auto"/>
                                            <w:bottom w:val="none" w:sz="0" w:space="0" w:color="auto"/>
                                            <w:right w:val="none" w:sz="0" w:space="0" w:color="auto"/>
                                          </w:divBdr>
                                          <w:divsChild>
                                            <w:div w:id="120266203">
                                              <w:marLeft w:val="0"/>
                                              <w:marRight w:val="0"/>
                                              <w:marTop w:val="0"/>
                                              <w:marBottom w:val="0"/>
                                              <w:divBdr>
                                                <w:top w:val="none" w:sz="0" w:space="0" w:color="auto"/>
                                                <w:left w:val="none" w:sz="0" w:space="0" w:color="auto"/>
                                                <w:bottom w:val="none" w:sz="0" w:space="0" w:color="auto"/>
                                                <w:right w:val="none" w:sz="0" w:space="0" w:color="auto"/>
                                              </w:divBdr>
                                              <w:divsChild>
                                                <w:div w:id="4303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8166989">
      <w:bodyDiv w:val="1"/>
      <w:marLeft w:val="0"/>
      <w:marRight w:val="0"/>
      <w:marTop w:val="0"/>
      <w:marBottom w:val="0"/>
      <w:divBdr>
        <w:top w:val="none" w:sz="0" w:space="0" w:color="auto"/>
        <w:left w:val="none" w:sz="0" w:space="0" w:color="auto"/>
        <w:bottom w:val="none" w:sz="0" w:space="0" w:color="auto"/>
        <w:right w:val="none" w:sz="0" w:space="0" w:color="auto"/>
      </w:divBdr>
      <w:divsChild>
        <w:div w:id="47655106">
          <w:marLeft w:val="0"/>
          <w:marRight w:val="0"/>
          <w:marTop w:val="0"/>
          <w:marBottom w:val="0"/>
          <w:divBdr>
            <w:top w:val="none" w:sz="0" w:space="0" w:color="auto"/>
            <w:left w:val="none" w:sz="0" w:space="0" w:color="auto"/>
            <w:bottom w:val="none" w:sz="0" w:space="0" w:color="auto"/>
            <w:right w:val="none" w:sz="0" w:space="0" w:color="auto"/>
          </w:divBdr>
          <w:divsChild>
            <w:div w:id="2042241106">
              <w:marLeft w:val="0"/>
              <w:marRight w:val="0"/>
              <w:marTop w:val="0"/>
              <w:marBottom w:val="0"/>
              <w:divBdr>
                <w:top w:val="none" w:sz="0" w:space="0" w:color="auto"/>
                <w:left w:val="none" w:sz="0" w:space="0" w:color="auto"/>
                <w:bottom w:val="none" w:sz="0" w:space="0" w:color="auto"/>
                <w:right w:val="none" w:sz="0" w:space="0" w:color="auto"/>
              </w:divBdr>
              <w:divsChild>
                <w:div w:id="1217621346">
                  <w:marLeft w:val="0"/>
                  <w:marRight w:val="0"/>
                  <w:marTop w:val="0"/>
                  <w:marBottom w:val="0"/>
                  <w:divBdr>
                    <w:top w:val="none" w:sz="0" w:space="0" w:color="auto"/>
                    <w:left w:val="none" w:sz="0" w:space="0" w:color="auto"/>
                    <w:bottom w:val="none" w:sz="0" w:space="0" w:color="auto"/>
                    <w:right w:val="none" w:sz="0" w:space="0" w:color="auto"/>
                  </w:divBdr>
                  <w:divsChild>
                    <w:div w:id="836307216">
                      <w:marLeft w:val="0"/>
                      <w:marRight w:val="0"/>
                      <w:marTop w:val="0"/>
                      <w:marBottom w:val="0"/>
                      <w:divBdr>
                        <w:top w:val="none" w:sz="0" w:space="0" w:color="auto"/>
                        <w:left w:val="none" w:sz="0" w:space="0" w:color="auto"/>
                        <w:bottom w:val="none" w:sz="0" w:space="0" w:color="auto"/>
                        <w:right w:val="none" w:sz="0" w:space="0" w:color="auto"/>
                      </w:divBdr>
                      <w:divsChild>
                        <w:div w:id="509029784">
                          <w:marLeft w:val="0"/>
                          <w:marRight w:val="0"/>
                          <w:marTop w:val="0"/>
                          <w:marBottom w:val="0"/>
                          <w:divBdr>
                            <w:top w:val="none" w:sz="0" w:space="0" w:color="auto"/>
                            <w:left w:val="none" w:sz="0" w:space="0" w:color="auto"/>
                            <w:bottom w:val="none" w:sz="0" w:space="0" w:color="auto"/>
                            <w:right w:val="none" w:sz="0" w:space="0" w:color="auto"/>
                          </w:divBdr>
                          <w:divsChild>
                            <w:div w:id="1851094629">
                              <w:marLeft w:val="0"/>
                              <w:marRight w:val="0"/>
                              <w:marTop w:val="0"/>
                              <w:marBottom w:val="0"/>
                              <w:divBdr>
                                <w:top w:val="none" w:sz="0" w:space="0" w:color="auto"/>
                                <w:left w:val="none" w:sz="0" w:space="0" w:color="auto"/>
                                <w:bottom w:val="none" w:sz="0" w:space="0" w:color="auto"/>
                                <w:right w:val="none" w:sz="0" w:space="0" w:color="auto"/>
                              </w:divBdr>
                              <w:divsChild>
                                <w:div w:id="664632755">
                                  <w:marLeft w:val="0"/>
                                  <w:marRight w:val="0"/>
                                  <w:marTop w:val="0"/>
                                  <w:marBottom w:val="0"/>
                                  <w:divBdr>
                                    <w:top w:val="none" w:sz="0" w:space="0" w:color="auto"/>
                                    <w:left w:val="none" w:sz="0" w:space="0" w:color="auto"/>
                                    <w:bottom w:val="none" w:sz="0" w:space="0" w:color="auto"/>
                                    <w:right w:val="none" w:sz="0" w:space="0" w:color="auto"/>
                                  </w:divBdr>
                                  <w:divsChild>
                                    <w:div w:id="1246064368">
                                      <w:marLeft w:val="0"/>
                                      <w:marRight w:val="0"/>
                                      <w:marTop w:val="0"/>
                                      <w:marBottom w:val="0"/>
                                      <w:divBdr>
                                        <w:top w:val="none" w:sz="0" w:space="0" w:color="auto"/>
                                        <w:left w:val="none" w:sz="0" w:space="0" w:color="auto"/>
                                        <w:bottom w:val="none" w:sz="0" w:space="0" w:color="auto"/>
                                        <w:right w:val="none" w:sz="0" w:space="0" w:color="auto"/>
                                      </w:divBdr>
                                      <w:divsChild>
                                        <w:div w:id="598177499">
                                          <w:marLeft w:val="0"/>
                                          <w:marRight w:val="0"/>
                                          <w:marTop w:val="0"/>
                                          <w:marBottom w:val="0"/>
                                          <w:divBdr>
                                            <w:top w:val="none" w:sz="0" w:space="0" w:color="auto"/>
                                            <w:left w:val="none" w:sz="0" w:space="0" w:color="auto"/>
                                            <w:bottom w:val="none" w:sz="0" w:space="0" w:color="auto"/>
                                            <w:right w:val="none" w:sz="0" w:space="0" w:color="auto"/>
                                          </w:divBdr>
                                          <w:divsChild>
                                            <w:div w:id="1805734715">
                                              <w:marLeft w:val="0"/>
                                              <w:marRight w:val="0"/>
                                              <w:marTop w:val="0"/>
                                              <w:marBottom w:val="0"/>
                                              <w:divBdr>
                                                <w:top w:val="none" w:sz="0" w:space="0" w:color="auto"/>
                                                <w:left w:val="none" w:sz="0" w:space="0" w:color="auto"/>
                                                <w:bottom w:val="none" w:sz="0" w:space="0" w:color="auto"/>
                                                <w:right w:val="none" w:sz="0" w:space="0" w:color="auto"/>
                                              </w:divBdr>
                                              <w:divsChild>
                                                <w:div w:id="1658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498271">
      <w:bodyDiv w:val="1"/>
      <w:marLeft w:val="0"/>
      <w:marRight w:val="0"/>
      <w:marTop w:val="0"/>
      <w:marBottom w:val="0"/>
      <w:divBdr>
        <w:top w:val="none" w:sz="0" w:space="0" w:color="auto"/>
        <w:left w:val="none" w:sz="0" w:space="0" w:color="auto"/>
        <w:bottom w:val="none" w:sz="0" w:space="0" w:color="auto"/>
        <w:right w:val="none" w:sz="0" w:space="0" w:color="auto"/>
      </w:divBdr>
      <w:divsChild>
        <w:div w:id="1870096943">
          <w:marLeft w:val="0"/>
          <w:marRight w:val="0"/>
          <w:marTop w:val="0"/>
          <w:marBottom w:val="0"/>
          <w:divBdr>
            <w:top w:val="none" w:sz="0" w:space="0" w:color="auto"/>
            <w:left w:val="none" w:sz="0" w:space="0" w:color="auto"/>
            <w:bottom w:val="none" w:sz="0" w:space="0" w:color="auto"/>
            <w:right w:val="none" w:sz="0" w:space="0" w:color="auto"/>
          </w:divBdr>
          <w:divsChild>
            <w:div w:id="827090734">
              <w:marLeft w:val="0"/>
              <w:marRight w:val="0"/>
              <w:marTop w:val="0"/>
              <w:marBottom w:val="0"/>
              <w:divBdr>
                <w:top w:val="none" w:sz="0" w:space="0" w:color="auto"/>
                <w:left w:val="none" w:sz="0" w:space="0" w:color="auto"/>
                <w:bottom w:val="none" w:sz="0" w:space="0" w:color="auto"/>
                <w:right w:val="none" w:sz="0" w:space="0" w:color="auto"/>
              </w:divBdr>
              <w:divsChild>
                <w:div w:id="1758863587">
                  <w:marLeft w:val="0"/>
                  <w:marRight w:val="0"/>
                  <w:marTop w:val="0"/>
                  <w:marBottom w:val="0"/>
                  <w:divBdr>
                    <w:top w:val="none" w:sz="0" w:space="0" w:color="auto"/>
                    <w:left w:val="none" w:sz="0" w:space="0" w:color="auto"/>
                    <w:bottom w:val="none" w:sz="0" w:space="0" w:color="auto"/>
                    <w:right w:val="none" w:sz="0" w:space="0" w:color="auto"/>
                  </w:divBdr>
                  <w:divsChild>
                    <w:div w:id="98841947">
                      <w:marLeft w:val="0"/>
                      <w:marRight w:val="0"/>
                      <w:marTop w:val="0"/>
                      <w:marBottom w:val="0"/>
                      <w:divBdr>
                        <w:top w:val="none" w:sz="0" w:space="0" w:color="auto"/>
                        <w:left w:val="none" w:sz="0" w:space="0" w:color="auto"/>
                        <w:bottom w:val="none" w:sz="0" w:space="0" w:color="auto"/>
                        <w:right w:val="none" w:sz="0" w:space="0" w:color="auto"/>
                      </w:divBdr>
                      <w:divsChild>
                        <w:div w:id="1368869863">
                          <w:marLeft w:val="0"/>
                          <w:marRight w:val="0"/>
                          <w:marTop w:val="0"/>
                          <w:marBottom w:val="0"/>
                          <w:divBdr>
                            <w:top w:val="none" w:sz="0" w:space="0" w:color="auto"/>
                            <w:left w:val="none" w:sz="0" w:space="0" w:color="auto"/>
                            <w:bottom w:val="none" w:sz="0" w:space="0" w:color="auto"/>
                            <w:right w:val="none" w:sz="0" w:space="0" w:color="auto"/>
                          </w:divBdr>
                          <w:divsChild>
                            <w:div w:id="1697609388">
                              <w:marLeft w:val="0"/>
                              <w:marRight w:val="0"/>
                              <w:marTop w:val="0"/>
                              <w:marBottom w:val="0"/>
                              <w:divBdr>
                                <w:top w:val="none" w:sz="0" w:space="0" w:color="auto"/>
                                <w:left w:val="none" w:sz="0" w:space="0" w:color="auto"/>
                                <w:bottom w:val="none" w:sz="0" w:space="0" w:color="auto"/>
                                <w:right w:val="none" w:sz="0" w:space="0" w:color="auto"/>
                              </w:divBdr>
                              <w:divsChild>
                                <w:div w:id="596982203">
                                  <w:marLeft w:val="0"/>
                                  <w:marRight w:val="0"/>
                                  <w:marTop w:val="0"/>
                                  <w:marBottom w:val="0"/>
                                  <w:divBdr>
                                    <w:top w:val="none" w:sz="0" w:space="0" w:color="auto"/>
                                    <w:left w:val="none" w:sz="0" w:space="0" w:color="auto"/>
                                    <w:bottom w:val="none" w:sz="0" w:space="0" w:color="auto"/>
                                    <w:right w:val="none" w:sz="0" w:space="0" w:color="auto"/>
                                  </w:divBdr>
                                  <w:divsChild>
                                    <w:div w:id="771321721">
                                      <w:marLeft w:val="0"/>
                                      <w:marRight w:val="0"/>
                                      <w:marTop w:val="0"/>
                                      <w:marBottom w:val="0"/>
                                      <w:divBdr>
                                        <w:top w:val="none" w:sz="0" w:space="0" w:color="auto"/>
                                        <w:left w:val="none" w:sz="0" w:space="0" w:color="auto"/>
                                        <w:bottom w:val="none" w:sz="0" w:space="0" w:color="auto"/>
                                        <w:right w:val="none" w:sz="0" w:space="0" w:color="auto"/>
                                      </w:divBdr>
                                      <w:divsChild>
                                        <w:div w:id="32122036">
                                          <w:marLeft w:val="0"/>
                                          <w:marRight w:val="0"/>
                                          <w:marTop w:val="0"/>
                                          <w:marBottom w:val="0"/>
                                          <w:divBdr>
                                            <w:top w:val="none" w:sz="0" w:space="0" w:color="auto"/>
                                            <w:left w:val="none" w:sz="0" w:space="0" w:color="auto"/>
                                            <w:bottom w:val="none" w:sz="0" w:space="0" w:color="auto"/>
                                            <w:right w:val="none" w:sz="0" w:space="0" w:color="auto"/>
                                          </w:divBdr>
                                          <w:divsChild>
                                            <w:div w:id="1903716659">
                                              <w:marLeft w:val="0"/>
                                              <w:marRight w:val="0"/>
                                              <w:marTop w:val="0"/>
                                              <w:marBottom w:val="0"/>
                                              <w:divBdr>
                                                <w:top w:val="none" w:sz="0" w:space="0" w:color="auto"/>
                                                <w:left w:val="none" w:sz="0" w:space="0" w:color="auto"/>
                                                <w:bottom w:val="none" w:sz="0" w:space="0" w:color="auto"/>
                                                <w:right w:val="none" w:sz="0" w:space="0" w:color="auto"/>
                                              </w:divBdr>
                                              <w:divsChild>
                                                <w:div w:id="20736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727365">
      <w:bodyDiv w:val="1"/>
      <w:marLeft w:val="0"/>
      <w:marRight w:val="0"/>
      <w:marTop w:val="0"/>
      <w:marBottom w:val="0"/>
      <w:divBdr>
        <w:top w:val="none" w:sz="0" w:space="0" w:color="auto"/>
        <w:left w:val="none" w:sz="0" w:space="0" w:color="auto"/>
        <w:bottom w:val="none" w:sz="0" w:space="0" w:color="auto"/>
        <w:right w:val="none" w:sz="0" w:space="0" w:color="auto"/>
      </w:divBdr>
      <w:divsChild>
        <w:div w:id="1669020515">
          <w:marLeft w:val="0"/>
          <w:marRight w:val="0"/>
          <w:marTop w:val="0"/>
          <w:marBottom w:val="0"/>
          <w:divBdr>
            <w:top w:val="none" w:sz="0" w:space="0" w:color="auto"/>
            <w:left w:val="none" w:sz="0" w:space="0" w:color="auto"/>
            <w:bottom w:val="none" w:sz="0" w:space="0" w:color="auto"/>
            <w:right w:val="none" w:sz="0" w:space="0" w:color="auto"/>
          </w:divBdr>
          <w:divsChild>
            <w:div w:id="207306582">
              <w:marLeft w:val="0"/>
              <w:marRight w:val="0"/>
              <w:marTop w:val="0"/>
              <w:marBottom w:val="0"/>
              <w:divBdr>
                <w:top w:val="none" w:sz="0" w:space="0" w:color="auto"/>
                <w:left w:val="none" w:sz="0" w:space="0" w:color="auto"/>
                <w:bottom w:val="none" w:sz="0" w:space="0" w:color="auto"/>
                <w:right w:val="none" w:sz="0" w:space="0" w:color="auto"/>
              </w:divBdr>
              <w:divsChild>
                <w:div w:id="429357432">
                  <w:marLeft w:val="0"/>
                  <w:marRight w:val="0"/>
                  <w:marTop w:val="0"/>
                  <w:marBottom w:val="0"/>
                  <w:divBdr>
                    <w:top w:val="none" w:sz="0" w:space="0" w:color="auto"/>
                    <w:left w:val="none" w:sz="0" w:space="0" w:color="auto"/>
                    <w:bottom w:val="none" w:sz="0" w:space="0" w:color="auto"/>
                    <w:right w:val="none" w:sz="0" w:space="0" w:color="auto"/>
                  </w:divBdr>
                  <w:divsChild>
                    <w:div w:id="154537839">
                      <w:marLeft w:val="0"/>
                      <w:marRight w:val="0"/>
                      <w:marTop w:val="0"/>
                      <w:marBottom w:val="0"/>
                      <w:divBdr>
                        <w:top w:val="none" w:sz="0" w:space="0" w:color="auto"/>
                        <w:left w:val="none" w:sz="0" w:space="0" w:color="auto"/>
                        <w:bottom w:val="none" w:sz="0" w:space="0" w:color="auto"/>
                        <w:right w:val="none" w:sz="0" w:space="0" w:color="auto"/>
                      </w:divBdr>
                      <w:divsChild>
                        <w:div w:id="152066431">
                          <w:marLeft w:val="0"/>
                          <w:marRight w:val="0"/>
                          <w:marTop w:val="0"/>
                          <w:marBottom w:val="0"/>
                          <w:divBdr>
                            <w:top w:val="none" w:sz="0" w:space="0" w:color="auto"/>
                            <w:left w:val="none" w:sz="0" w:space="0" w:color="auto"/>
                            <w:bottom w:val="none" w:sz="0" w:space="0" w:color="auto"/>
                            <w:right w:val="none" w:sz="0" w:space="0" w:color="auto"/>
                          </w:divBdr>
                          <w:divsChild>
                            <w:div w:id="2068258274">
                              <w:marLeft w:val="0"/>
                              <w:marRight w:val="0"/>
                              <w:marTop w:val="0"/>
                              <w:marBottom w:val="0"/>
                              <w:divBdr>
                                <w:top w:val="none" w:sz="0" w:space="0" w:color="auto"/>
                                <w:left w:val="none" w:sz="0" w:space="0" w:color="auto"/>
                                <w:bottom w:val="none" w:sz="0" w:space="0" w:color="auto"/>
                                <w:right w:val="none" w:sz="0" w:space="0" w:color="auto"/>
                              </w:divBdr>
                              <w:divsChild>
                                <w:div w:id="954823291">
                                  <w:marLeft w:val="0"/>
                                  <w:marRight w:val="0"/>
                                  <w:marTop w:val="0"/>
                                  <w:marBottom w:val="0"/>
                                  <w:divBdr>
                                    <w:top w:val="none" w:sz="0" w:space="0" w:color="auto"/>
                                    <w:left w:val="none" w:sz="0" w:space="0" w:color="auto"/>
                                    <w:bottom w:val="none" w:sz="0" w:space="0" w:color="auto"/>
                                    <w:right w:val="none" w:sz="0" w:space="0" w:color="auto"/>
                                  </w:divBdr>
                                  <w:divsChild>
                                    <w:div w:id="323320408">
                                      <w:marLeft w:val="0"/>
                                      <w:marRight w:val="0"/>
                                      <w:marTop w:val="0"/>
                                      <w:marBottom w:val="0"/>
                                      <w:divBdr>
                                        <w:top w:val="none" w:sz="0" w:space="0" w:color="auto"/>
                                        <w:left w:val="none" w:sz="0" w:space="0" w:color="auto"/>
                                        <w:bottom w:val="none" w:sz="0" w:space="0" w:color="auto"/>
                                        <w:right w:val="none" w:sz="0" w:space="0" w:color="auto"/>
                                      </w:divBdr>
                                      <w:divsChild>
                                        <w:div w:id="1923444184">
                                          <w:marLeft w:val="0"/>
                                          <w:marRight w:val="0"/>
                                          <w:marTop w:val="0"/>
                                          <w:marBottom w:val="0"/>
                                          <w:divBdr>
                                            <w:top w:val="none" w:sz="0" w:space="0" w:color="auto"/>
                                            <w:left w:val="none" w:sz="0" w:space="0" w:color="auto"/>
                                            <w:bottom w:val="none" w:sz="0" w:space="0" w:color="auto"/>
                                            <w:right w:val="none" w:sz="0" w:space="0" w:color="auto"/>
                                          </w:divBdr>
                                          <w:divsChild>
                                            <w:div w:id="1573395648">
                                              <w:marLeft w:val="0"/>
                                              <w:marRight w:val="0"/>
                                              <w:marTop w:val="0"/>
                                              <w:marBottom w:val="0"/>
                                              <w:divBdr>
                                                <w:top w:val="none" w:sz="0" w:space="0" w:color="auto"/>
                                                <w:left w:val="none" w:sz="0" w:space="0" w:color="auto"/>
                                                <w:bottom w:val="none" w:sz="0" w:space="0" w:color="auto"/>
                                                <w:right w:val="none" w:sz="0" w:space="0" w:color="auto"/>
                                              </w:divBdr>
                                              <w:divsChild>
                                                <w:div w:id="20031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525073">
      <w:bodyDiv w:val="1"/>
      <w:marLeft w:val="0"/>
      <w:marRight w:val="0"/>
      <w:marTop w:val="0"/>
      <w:marBottom w:val="0"/>
      <w:divBdr>
        <w:top w:val="none" w:sz="0" w:space="0" w:color="auto"/>
        <w:left w:val="none" w:sz="0" w:space="0" w:color="auto"/>
        <w:bottom w:val="none" w:sz="0" w:space="0" w:color="auto"/>
        <w:right w:val="none" w:sz="0" w:space="0" w:color="auto"/>
      </w:divBdr>
      <w:divsChild>
        <w:div w:id="1027750879">
          <w:marLeft w:val="0"/>
          <w:marRight w:val="0"/>
          <w:marTop w:val="0"/>
          <w:marBottom w:val="0"/>
          <w:divBdr>
            <w:top w:val="none" w:sz="0" w:space="0" w:color="auto"/>
            <w:left w:val="none" w:sz="0" w:space="0" w:color="auto"/>
            <w:bottom w:val="none" w:sz="0" w:space="0" w:color="auto"/>
            <w:right w:val="none" w:sz="0" w:space="0" w:color="auto"/>
          </w:divBdr>
          <w:divsChild>
            <w:div w:id="1237128308">
              <w:marLeft w:val="0"/>
              <w:marRight w:val="0"/>
              <w:marTop w:val="0"/>
              <w:marBottom w:val="0"/>
              <w:divBdr>
                <w:top w:val="none" w:sz="0" w:space="0" w:color="auto"/>
                <w:left w:val="none" w:sz="0" w:space="0" w:color="auto"/>
                <w:bottom w:val="none" w:sz="0" w:space="0" w:color="auto"/>
                <w:right w:val="none" w:sz="0" w:space="0" w:color="auto"/>
              </w:divBdr>
              <w:divsChild>
                <w:div w:id="1741950869">
                  <w:marLeft w:val="0"/>
                  <w:marRight w:val="0"/>
                  <w:marTop w:val="0"/>
                  <w:marBottom w:val="0"/>
                  <w:divBdr>
                    <w:top w:val="none" w:sz="0" w:space="0" w:color="auto"/>
                    <w:left w:val="none" w:sz="0" w:space="0" w:color="auto"/>
                    <w:bottom w:val="none" w:sz="0" w:space="0" w:color="auto"/>
                    <w:right w:val="none" w:sz="0" w:space="0" w:color="auto"/>
                  </w:divBdr>
                  <w:divsChild>
                    <w:div w:id="812066971">
                      <w:marLeft w:val="0"/>
                      <w:marRight w:val="0"/>
                      <w:marTop w:val="0"/>
                      <w:marBottom w:val="0"/>
                      <w:divBdr>
                        <w:top w:val="none" w:sz="0" w:space="0" w:color="auto"/>
                        <w:left w:val="none" w:sz="0" w:space="0" w:color="auto"/>
                        <w:bottom w:val="none" w:sz="0" w:space="0" w:color="auto"/>
                        <w:right w:val="none" w:sz="0" w:space="0" w:color="auto"/>
                      </w:divBdr>
                      <w:divsChild>
                        <w:div w:id="308560108">
                          <w:marLeft w:val="0"/>
                          <w:marRight w:val="0"/>
                          <w:marTop w:val="0"/>
                          <w:marBottom w:val="0"/>
                          <w:divBdr>
                            <w:top w:val="none" w:sz="0" w:space="0" w:color="auto"/>
                            <w:left w:val="none" w:sz="0" w:space="0" w:color="auto"/>
                            <w:bottom w:val="none" w:sz="0" w:space="0" w:color="auto"/>
                            <w:right w:val="none" w:sz="0" w:space="0" w:color="auto"/>
                          </w:divBdr>
                          <w:divsChild>
                            <w:div w:id="1849756666">
                              <w:marLeft w:val="0"/>
                              <w:marRight w:val="0"/>
                              <w:marTop w:val="0"/>
                              <w:marBottom w:val="0"/>
                              <w:divBdr>
                                <w:top w:val="none" w:sz="0" w:space="0" w:color="auto"/>
                                <w:left w:val="none" w:sz="0" w:space="0" w:color="auto"/>
                                <w:bottom w:val="none" w:sz="0" w:space="0" w:color="auto"/>
                                <w:right w:val="none" w:sz="0" w:space="0" w:color="auto"/>
                              </w:divBdr>
                              <w:divsChild>
                                <w:div w:id="1477184956">
                                  <w:marLeft w:val="0"/>
                                  <w:marRight w:val="0"/>
                                  <w:marTop w:val="0"/>
                                  <w:marBottom w:val="0"/>
                                  <w:divBdr>
                                    <w:top w:val="none" w:sz="0" w:space="0" w:color="auto"/>
                                    <w:left w:val="none" w:sz="0" w:space="0" w:color="auto"/>
                                    <w:bottom w:val="none" w:sz="0" w:space="0" w:color="auto"/>
                                    <w:right w:val="none" w:sz="0" w:space="0" w:color="auto"/>
                                  </w:divBdr>
                                  <w:divsChild>
                                    <w:div w:id="1690836249">
                                      <w:marLeft w:val="0"/>
                                      <w:marRight w:val="0"/>
                                      <w:marTop w:val="0"/>
                                      <w:marBottom w:val="0"/>
                                      <w:divBdr>
                                        <w:top w:val="none" w:sz="0" w:space="0" w:color="auto"/>
                                        <w:left w:val="none" w:sz="0" w:space="0" w:color="auto"/>
                                        <w:bottom w:val="none" w:sz="0" w:space="0" w:color="auto"/>
                                        <w:right w:val="none" w:sz="0" w:space="0" w:color="auto"/>
                                      </w:divBdr>
                                      <w:divsChild>
                                        <w:div w:id="1042708384">
                                          <w:marLeft w:val="0"/>
                                          <w:marRight w:val="0"/>
                                          <w:marTop w:val="0"/>
                                          <w:marBottom w:val="0"/>
                                          <w:divBdr>
                                            <w:top w:val="none" w:sz="0" w:space="0" w:color="auto"/>
                                            <w:left w:val="none" w:sz="0" w:space="0" w:color="auto"/>
                                            <w:bottom w:val="none" w:sz="0" w:space="0" w:color="auto"/>
                                            <w:right w:val="none" w:sz="0" w:space="0" w:color="auto"/>
                                          </w:divBdr>
                                          <w:divsChild>
                                            <w:div w:id="303774419">
                                              <w:marLeft w:val="0"/>
                                              <w:marRight w:val="0"/>
                                              <w:marTop w:val="0"/>
                                              <w:marBottom w:val="0"/>
                                              <w:divBdr>
                                                <w:top w:val="none" w:sz="0" w:space="0" w:color="auto"/>
                                                <w:left w:val="none" w:sz="0" w:space="0" w:color="auto"/>
                                                <w:bottom w:val="none" w:sz="0" w:space="0" w:color="auto"/>
                                                <w:right w:val="none" w:sz="0" w:space="0" w:color="auto"/>
                                              </w:divBdr>
                                              <w:divsChild>
                                                <w:div w:id="13748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C2A845EC424CCDA425851AD247861B"/>
        <w:category>
          <w:name w:val="General"/>
          <w:gallery w:val="placeholder"/>
        </w:category>
        <w:types>
          <w:type w:val="bbPlcHdr"/>
        </w:types>
        <w:behaviors>
          <w:behavior w:val="content"/>
        </w:behaviors>
        <w:guid w:val="{EA3CC178-72AD-410C-84F2-ADD2FF3AC7A6}"/>
      </w:docPartPr>
      <w:docPartBody>
        <w:p w:rsidR="00853DD8" w:rsidRDefault="00853DD8">
          <w:pPr>
            <w:pStyle w:val="9CC2A845EC424CCDA425851AD247861B"/>
          </w:pPr>
          <w:r>
            <w:rPr>
              <w:rStyle w:val="PlaceholderText"/>
            </w:rPr>
            <w:t>MNC Text</w:t>
          </w:r>
        </w:p>
      </w:docPartBody>
    </w:docPart>
    <w:docPart>
      <w:docPartPr>
        <w:name w:val="81E2A5C267004B3B98B921A135B9F147"/>
        <w:category>
          <w:name w:val="General"/>
          <w:gallery w:val="placeholder"/>
        </w:category>
        <w:types>
          <w:type w:val="bbPlcHdr"/>
        </w:types>
        <w:behaviors>
          <w:behavior w:val="content"/>
        </w:behaviors>
        <w:guid w:val="{61C63C40-4E93-4D67-BD1B-4020A1024069}"/>
      </w:docPartPr>
      <w:docPartBody>
        <w:p w:rsidR="00853DD8" w:rsidRDefault="00853DD8">
          <w:pPr>
            <w:pStyle w:val="81E2A5C267004B3B98B921A135B9F147"/>
          </w:pPr>
          <w:r w:rsidRPr="005C44BE">
            <w:rPr>
              <w:rStyle w:val="PlaceholderText"/>
            </w:rPr>
            <w:t>Click or tap here to enter text.</w:t>
          </w:r>
        </w:p>
      </w:docPartBody>
    </w:docPart>
    <w:docPart>
      <w:docPartPr>
        <w:name w:val="837FD15CDBC14FFAB70242BDE77D9886"/>
        <w:category>
          <w:name w:val="General"/>
          <w:gallery w:val="placeholder"/>
        </w:category>
        <w:types>
          <w:type w:val="bbPlcHdr"/>
        </w:types>
        <w:behaviors>
          <w:behavior w:val="content"/>
        </w:behaviors>
        <w:guid w:val="{2624065F-B657-4853-A38E-485A5A91613E}"/>
      </w:docPartPr>
      <w:docPartBody>
        <w:p w:rsidR="00853DD8" w:rsidRDefault="00853DD8">
          <w:pPr>
            <w:pStyle w:val="837FD15CDBC14FFAB70242BDE77D9886"/>
          </w:pPr>
          <w:r w:rsidRPr="005C44BE">
            <w:rPr>
              <w:rStyle w:val="PlaceholderText"/>
            </w:rPr>
            <w:t>Click or tap here to enter text.</w:t>
          </w:r>
        </w:p>
      </w:docPartBody>
    </w:docPart>
    <w:docPart>
      <w:docPartPr>
        <w:name w:val="4E88A175776F4DCEB27D98C8DAF0AD25"/>
        <w:category>
          <w:name w:val="General"/>
          <w:gallery w:val="placeholder"/>
        </w:category>
        <w:types>
          <w:type w:val="bbPlcHdr"/>
        </w:types>
        <w:behaviors>
          <w:behavior w:val="content"/>
        </w:behaviors>
        <w:guid w:val="{E065E109-8FCD-4DD7-B94F-64621D408E88}"/>
      </w:docPartPr>
      <w:docPartBody>
        <w:p w:rsidR="00853DD8" w:rsidRDefault="00853DD8">
          <w:pPr>
            <w:pStyle w:val="4E88A175776F4DCEB27D98C8DAF0AD25"/>
          </w:pPr>
          <w:r w:rsidRPr="005C44BE">
            <w:rPr>
              <w:rStyle w:val="PlaceholderText"/>
            </w:rPr>
            <w:t>Click or tap here to enter text.</w:t>
          </w:r>
        </w:p>
      </w:docPartBody>
    </w:docPart>
    <w:docPart>
      <w:docPartPr>
        <w:name w:val="A92D98B85A5442EBAFE27512D6268E6A"/>
        <w:category>
          <w:name w:val="General"/>
          <w:gallery w:val="placeholder"/>
        </w:category>
        <w:types>
          <w:type w:val="bbPlcHdr"/>
        </w:types>
        <w:behaviors>
          <w:behavior w:val="content"/>
        </w:behaviors>
        <w:guid w:val="{273D747B-2084-4CDE-AA56-549DF89911A0}"/>
      </w:docPartPr>
      <w:docPartBody>
        <w:p w:rsidR="00853DD8" w:rsidRDefault="00853DD8">
          <w:pPr>
            <w:pStyle w:val="A92D98B85A5442EBAFE27512D6268E6A"/>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D8"/>
    <w:rsid w:val="00091500"/>
    <w:rsid w:val="00315E5C"/>
    <w:rsid w:val="004B6B42"/>
    <w:rsid w:val="0064430F"/>
    <w:rsid w:val="006831F7"/>
    <w:rsid w:val="00853DD8"/>
    <w:rsid w:val="00C523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CC2A845EC424CCDA425851AD247861B">
    <w:name w:val="9CC2A845EC424CCDA425851AD247861B"/>
  </w:style>
  <w:style w:type="paragraph" w:customStyle="1" w:styleId="81E2A5C267004B3B98B921A135B9F147">
    <w:name w:val="81E2A5C267004B3B98B921A135B9F147"/>
  </w:style>
  <w:style w:type="paragraph" w:customStyle="1" w:styleId="837FD15CDBC14FFAB70242BDE77D9886">
    <w:name w:val="837FD15CDBC14FFAB70242BDE77D9886"/>
  </w:style>
  <w:style w:type="paragraph" w:customStyle="1" w:styleId="4E88A175776F4DCEB27D98C8DAF0AD25">
    <w:name w:val="4E88A175776F4DCEB27D98C8DAF0AD25"/>
  </w:style>
  <w:style w:type="paragraph" w:customStyle="1" w:styleId="A92D98B85A5442EBAFE27512D6268E6A">
    <w:name w:val="A92D98B85A5442EBAFE27512D6268E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Final</Judgment_x0020_Type>
    <Document_x0020_Type xmlns="85512599-8531-48e1-9b90-9215d01f2c32">Judgment</Document_x0020_Typ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48544FE27E9943938C4CF84BFE7DC3" ma:contentTypeVersion="" ma:contentTypeDescription="Create a new document." ma:contentTypeScope="" ma:versionID="a0846e85e570490a7ba96961d4204217">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globalmacros.com/FCA">
  <Name>Donoghue v Russells (A Firm) [2021] FCA 798</Name>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86D1A-A8B9-4FCF-9338-BD1F6CB597E0}">
  <ds:schemaRefs>
    <ds:schemaRef ds:uri="http://schemas.microsoft.com/office/2006/metadata/properties"/>
    <ds:schemaRef ds:uri="http://purl.org/dc/terms/"/>
    <ds:schemaRef ds:uri="http://schemas.microsoft.com/sharepoint/v3/fields"/>
    <ds:schemaRef ds:uri="http://schemas.microsoft.com/office/2006/documentManagement/types"/>
    <ds:schemaRef ds:uri="http://www.w3.org/XML/1998/namespace"/>
    <ds:schemaRef ds:uri="85512599-8531-48e1-9b90-9215d01f2c32"/>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8F48221-8788-4693-978E-6F28B47EABA5}">
  <ds:schemaRefs>
    <ds:schemaRef ds:uri="http://schemas.microsoft.com/sharepoint/v3/contenttype/forms"/>
  </ds:schemaRefs>
</ds:datastoreItem>
</file>

<file path=customXml/itemProps3.xml><?xml version="1.0" encoding="utf-8"?>
<ds:datastoreItem xmlns:ds="http://schemas.openxmlformats.org/officeDocument/2006/customXml" ds:itemID="{C5248A3F-0DD7-4AAF-A508-F7032F07F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E7CCB-4AA5-44E7-B148-17BA2B6F57C0}">
  <ds:schemaRefs>
    <ds:schemaRef ds:uri="http://schemas.globalmacros.com/FCA"/>
  </ds:schemaRefs>
</ds:datastoreItem>
</file>

<file path=customXml/itemProps5.xml><?xml version="1.0" encoding="utf-8"?>
<ds:datastoreItem xmlns:ds="http://schemas.openxmlformats.org/officeDocument/2006/customXml" ds:itemID="{2A387643-1C7B-4832-8EC2-6791FB87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25</Pages>
  <Words>10086</Words>
  <Characters>48908</Characters>
  <Application>Microsoft Office Word</Application>
  <DocSecurity>0</DocSecurity>
  <Lines>922</Lines>
  <Paragraphs>361</Paragraphs>
  <ScaleCrop>false</ScaleCrop>
  <HeadingPairs>
    <vt:vector size="2" baseType="variant">
      <vt:variant>
        <vt:lpstr>Title</vt:lpstr>
      </vt:variant>
      <vt:variant>
        <vt:i4>1</vt:i4>
      </vt:variant>
    </vt:vector>
  </HeadingPairs>
  <TitlesOfParts>
    <vt:vector size="1" baseType="lpstr">
      <vt:lpstr>Donoghue v Russells (A Firm) [2021] FCA 798</vt:lpstr>
    </vt:vector>
  </TitlesOfParts>
  <Company>Federal Court of Australia</Company>
  <LinksUpToDate>false</LinksUpToDate>
  <CharactersWithSpaces>58633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Donoghue v Russells (A Firm) [2021] FCA 798</dc:title>
  <dc:creator>Federal Court of Australia</dc:creator>
  <cp:lastModifiedBy>Federal Court of Australia</cp:lastModifiedBy>
  <cp:revision>6</cp:revision>
  <cp:lastPrinted>2021-07-11T23:18:00Z</cp:lastPrinted>
  <dcterms:created xsi:type="dcterms:W3CDTF">2021-07-16T02:42:00Z</dcterms:created>
  <dcterms:modified xsi:type="dcterms:W3CDTF">2021-07-16T04:13:00Z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25</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General and Personal Insolvency</vt:lpwstr>
  </property>
  <property fmtid="{D5CDD505-2E9C-101B-9397-08002B2CF9AE}" pid="18" name="AppealFrom">
    <vt:lpwstr>Russells (A Firm) v Donoghue [2019] FCCA 1864</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y fmtid="{D5CDD505-2E9C-101B-9397-08002B2CF9AE}" pid="27" name="ContentTypeId">
    <vt:lpwstr>0x010100F948544FE27E9943938C4CF84BFE7DC3</vt:lpwstr>
  </property>
</Properties>
</file>