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A5195" w:rsidP="00A22932">
      <w:pPr>
        <w:pStyle w:val="CourtTitle"/>
      </w:pPr>
      <w:r>
        <w:fldChar w:fldCharType="begin" w:fldLock="1"/>
      </w:r>
      <w:r>
        <w:instrText xml:space="preserve"> DOCPROPERTY  Court  \* MERGEFORMAT </w:instrText>
      </w:r>
      <w:r>
        <w:fldChar w:fldCharType="separate"/>
      </w:r>
      <w:r w:rsidR="00D602D9">
        <w:t>Federal Court of Australia</w:t>
      </w:r>
      <w:r>
        <w:fldChar w:fldCharType="end"/>
      </w:r>
    </w:p>
    <w:p w:rsidR="00395B24" w:rsidRDefault="00395B24">
      <w:pPr>
        <w:pStyle w:val="NormalHeadings"/>
        <w:jc w:val="center"/>
        <w:rPr>
          <w:sz w:val="32"/>
        </w:rPr>
      </w:pPr>
    </w:p>
    <w:bookmarkStart w:id="0" w:name="MNC"/>
    <w:p w:rsidR="00374CC4" w:rsidRDefault="008C66BB" w:rsidP="001A2B40">
      <w:pPr>
        <w:pStyle w:val="MNC"/>
      </w:pPr>
      <w:sdt>
        <w:sdtPr>
          <w:alias w:val="MNC"/>
          <w:tag w:val="MNC"/>
          <w:id w:val="343289786"/>
          <w:lock w:val="sdtLocked"/>
          <w:placeholder>
            <w:docPart w:val="063FA0D3C5DB4D0FA9CC9ADAD65BCED5"/>
          </w:placeholder>
          <w:dataBinding w:prefixMappings="xmlns:ns0='http://schemas.globalmacros.com/FCA'" w:xpath="/ns0:root[1]/ns0:Name[1]" w:storeItemID="{687E7CCB-4AA5-44E7-B148-17BA2B6F57C0}"/>
          <w:text w:multiLine="1"/>
        </w:sdtPr>
        <w:sdtEndPr/>
        <w:sdtContent>
          <w:r w:rsidR="00715751">
            <w:t xml:space="preserve"> </w:t>
          </w:r>
          <w:proofErr w:type="spellStart"/>
          <w:r w:rsidR="0024307E">
            <w:t>Topp</w:t>
          </w:r>
          <w:proofErr w:type="spellEnd"/>
          <w:r w:rsidR="0024307E">
            <w:t xml:space="preserve"> (Liquidator), i</w:t>
          </w:r>
          <w:r w:rsidR="00C74DCD">
            <w:t xml:space="preserve">n the matter of </w:t>
          </w:r>
          <w:proofErr w:type="spellStart"/>
          <w:r w:rsidR="00C74DCD">
            <w:t>Aidzan</w:t>
          </w:r>
          <w:proofErr w:type="spellEnd"/>
          <w:r w:rsidR="00C74DCD">
            <w:t xml:space="preserve"> Pty Limite</w:t>
          </w:r>
          <w:r w:rsidR="0024307E">
            <w:t xml:space="preserve">d (in Liquidation) v </w:t>
          </w:r>
          <w:proofErr w:type="spellStart"/>
          <w:r w:rsidR="0024307E">
            <w:t>Nazdia</w:t>
          </w:r>
          <w:proofErr w:type="spellEnd"/>
          <w:r w:rsidR="0024307E">
            <w:t xml:space="preserve"> Pty Limited [2020] FCA 1764</w:t>
          </w:r>
          <w:r w:rsidR="00693854">
            <w:t xml:space="preserve"> </w:t>
          </w:r>
        </w:sdtContent>
      </w:sdt>
      <w:bookmarkEnd w:id="0"/>
      <w:r w:rsidR="005C185C">
        <w:t xml:space="preserve"> </w:t>
      </w:r>
    </w:p>
    <w:tbl>
      <w:tblPr>
        <w:tblW w:w="9038" w:type="dxa"/>
        <w:tblLayout w:type="fixed"/>
        <w:tblLook w:val="01E0" w:firstRow="1" w:lastRow="1" w:firstColumn="1" w:lastColumn="1" w:noHBand="0" w:noVBand="0"/>
        <w:tblCaption w:val="Cover Table"/>
        <w:tblDescription w:val="Cover Table"/>
      </w:tblPr>
      <w:tblGrid>
        <w:gridCol w:w="3084"/>
        <w:gridCol w:w="5954"/>
      </w:tblGrid>
      <w:tr w:rsidR="00395B24" w:rsidTr="00663878">
        <w:tc>
          <w:tcPr>
            <w:tcW w:w="3084" w:type="dxa"/>
            <w:shd w:val="clear" w:color="auto" w:fill="auto"/>
          </w:tcPr>
          <w:p w:rsidR="00395B24" w:rsidRDefault="002C7385" w:rsidP="00663878">
            <w:pPr>
              <w:pStyle w:val="Normal1linespace"/>
              <w:widowControl w:val="0"/>
              <w:jc w:val="left"/>
            </w:pPr>
            <w:r>
              <w:t>File number(s):</w:t>
            </w:r>
          </w:p>
        </w:tc>
        <w:tc>
          <w:tcPr>
            <w:tcW w:w="5954" w:type="dxa"/>
            <w:shd w:val="clear" w:color="auto" w:fill="auto"/>
          </w:tcPr>
          <w:p w:rsidR="00395B24" w:rsidRPr="00D602D9" w:rsidRDefault="009C4369" w:rsidP="00D602D9">
            <w:pPr>
              <w:pStyle w:val="Normal1linespace"/>
              <w:jc w:val="left"/>
            </w:pPr>
            <w:fldSimple w:instr=" REF  FileNo  \* MERGEFORMAT " w:fldLock="1">
              <w:r w:rsidR="00D602D9" w:rsidRPr="00D602D9">
                <w:t>NSD 306 of 2019</w:t>
              </w:r>
            </w:fldSimple>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54" w:type="dxa"/>
            <w:shd w:val="clear" w:color="auto" w:fill="auto"/>
          </w:tcPr>
          <w:p w:rsidR="00395B24" w:rsidRDefault="002C7385" w:rsidP="00663878">
            <w:pPr>
              <w:pStyle w:val="Normal1linespace"/>
              <w:widowControl w:val="0"/>
              <w:jc w:val="left"/>
              <w:rPr>
                <w:b/>
              </w:rPr>
            </w:pPr>
            <w:r w:rsidRPr="00D602D9">
              <w:rPr>
                <w:b/>
              </w:rPr>
              <w:fldChar w:fldCharType="begin" w:fldLock="1"/>
            </w:r>
            <w:r w:rsidRPr="00D602D9">
              <w:rPr>
                <w:b/>
              </w:rPr>
              <w:instrText xml:space="preserve"> REF  Judge  \* MERGEFORMAT </w:instrText>
            </w:r>
            <w:r w:rsidRPr="00D602D9">
              <w:rPr>
                <w:b/>
              </w:rPr>
              <w:fldChar w:fldCharType="separate"/>
            </w:r>
            <w:r w:rsidR="00D602D9" w:rsidRPr="00D602D9">
              <w:rPr>
                <w:b/>
                <w:caps/>
                <w:szCs w:val="24"/>
              </w:rPr>
              <w:t>RARES J</w:t>
            </w:r>
            <w:r w:rsidRPr="00D602D9">
              <w:rPr>
                <w:b/>
              </w:rPr>
              <w:fldChar w:fldCharType="end"/>
            </w:r>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Date of judgment:</w:t>
            </w:r>
          </w:p>
        </w:tc>
        <w:tc>
          <w:tcPr>
            <w:tcW w:w="5954" w:type="dxa"/>
            <w:shd w:val="clear" w:color="auto" w:fill="auto"/>
          </w:tcPr>
          <w:p w:rsidR="00395B24" w:rsidRDefault="00D602D9" w:rsidP="00663878">
            <w:pPr>
              <w:pStyle w:val="Normal1linespace"/>
              <w:widowControl w:val="0"/>
              <w:jc w:val="left"/>
            </w:pPr>
            <w:bookmarkStart w:id="1" w:name="JudgmentDate"/>
            <w:r>
              <w:t>20 November 2020</w:t>
            </w:r>
            <w:bookmarkEnd w:id="1"/>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Catchwords:</w:t>
            </w:r>
          </w:p>
        </w:tc>
        <w:tc>
          <w:tcPr>
            <w:tcW w:w="5954" w:type="dxa"/>
            <w:shd w:val="clear" w:color="auto" w:fill="auto"/>
          </w:tcPr>
          <w:p w:rsidR="00A348E5" w:rsidRDefault="00110B5D" w:rsidP="00A348E5">
            <w:pPr>
              <w:pStyle w:val="Normal1linespace"/>
              <w:widowControl w:val="0"/>
              <w:jc w:val="left"/>
            </w:pPr>
            <w:bookmarkStart w:id="2" w:name="Catchwords"/>
            <w:r>
              <w:rPr>
                <w:b/>
              </w:rPr>
              <w:t xml:space="preserve">BANKRUPTCY AND INSOLVENCY </w:t>
            </w:r>
            <w:r>
              <w:t xml:space="preserve">– application </w:t>
            </w:r>
            <w:proofErr w:type="spellStart"/>
            <w:r w:rsidR="00E608E9">
              <w:rPr>
                <w:i/>
              </w:rPr>
              <w:t>nunc</w:t>
            </w:r>
            <w:proofErr w:type="spellEnd"/>
            <w:r w:rsidR="00E608E9">
              <w:rPr>
                <w:i/>
              </w:rPr>
              <w:t xml:space="preserve"> pro </w:t>
            </w:r>
            <w:proofErr w:type="spellStart"/>
            <w:r w:rsidR="00E608E9">
              <w:rPr>
                <w:i/>
              </w:rPr>
              <w:t>tunc</w:t>
            </w:r>
            <w:proofErr w:type="spellEnd"/>
            <w:r w:rsidR="00E608E9">
              <w:rPr>
                <w:i/>
              </w:rPr>
              <w:t xml:space="preserve"> </w:t>
            </w:r>
            <w:r w:rsidR="00E608E9">
              <w:t xml:space="preserve">for </w:t>
            </w:r>
            <w:r w:rsidR="00A348E5">
              <w:t>approval of payment</w:t>
            </w:r>
            <w:r w:rsidR="00E608E9">
              <w:t>s</w:t>
            </w:r>
            <w:r>
              <w:t xml:space="preserve"> </w:t>
            </w:r>
            <w:r w:rsidR="00E608E9">
              <w:t>of</w:t>
            </w:r>
            <w:r>
              <w:t xml:space="preserve"> </w:t>
            </w:r>
            <w:r w:rsidR="00A348E5">
              <w:t xml:space="preserve">remuneration </w:t>
            </w:r>
            <w:r w:rsidR="00E608E9">
              <w:t>of Court appointed</w:t>
            </w:r>
            <w:r w:rsidR="00A348E5">
              <w:t xml:space="preserve"> receivers </w:t>
            </w:r>
            <w:r w:rsidR="00524E26">
              <w:t>and</w:t>
            </w:r>
            <w:r w:rsidR="00A348E5">
              <w:t xml:space="preserve"> liquidators </w:t>
            </w:r>
            <w:r w:rsidR="00E608E9">
              <w:t xml:space="preserve">paid to themselves </w:t>
            </w:r>
            <w:r w:rsidR="00A348E5">
              <w:t xml:space="preserve">without </w:t>
            </w:r>
            <w:r w:rsidR="00E608E9">
              <w:t>prior application to Court</w:t>
            </w:r>
            <w:r w:rsidR="00A348E5">
              <w:t xml:space="preserve"> – where liquidators misunderstood effect of orders entitling Registrar to determine amount of liquidators’ </w:t>
            </w:r>
            <w:r w:rsidR="00E608E9">
              <w:t xml:space="preserve">and receivers’ </w:t>
            </w:r>
            <w:r w:rsidR="00A348E5">
              <w:t xml:space="preserve">remuneration – </w:t>
            </w:r>
            <w:r w:rsidR="00A348E5">
              <w:rPr>
                <w:i/>
              </w:rPr>
              <w:t>Held</w:t>
            </w:r>
            <w:r w:rsidR="00A348E5">
              <w:t xml:space="preserve">: Registrar to determine and approve for payment, out of funds held by liquidators, their remuneration, costs and expenses as </w:t>
            </w:r>
            <w:r w:rsidR="00524E26">
              <w:t xml:space="preserve">liquidators and </w:t>
            </w:r>
            <w:r w:rsidR="00A348E5">
              <w:t>receivers</w:t>
            </w:r>
            <w:r>
              <w:t xml:space="preserve"> </w:t>
            </w:r>
          </w:p>
          <w:p w:rsidR="00A348E5" w:rsidRDefault="00A348E5" w:rsidP="00A348E5">
            <w:pPr>
              <w:pStyle w:val="Normal1linespace"/>
              <w:widowControl w:val="0"/>
              <w:jc w:val="left"/>
            </w:pPr>
          </w:p>
          <w:p w:rsidR="00395B24" w:rsidRDefault="00A348E5" w:rsidP="00524E26">
            <w:pPr>
              <w:pStyle w:val="Normal1linespace"/>
              <w:widowControl w:val="0"/>
              <w:jc w:val="left"/>
            </w:pPr>
            <w:r>
              <w:rPr>
                <w:b/>
              </w:rPr>
              <w:t>BANKRUPTCY AND INSOLVENCY</w:t>
            </w:r>
            <w:r>
              <w:t xml:space="preserve"> – application </w:t>
            </w:r>
            <w:proofErr w:type="spellStart"/>
            <w:r>
              <w:rPr>
                <w:i/>
              </w:rPr>
              <w:t>nunc</w:t>
            </w:r>
            <w:proofErr w:type="spellEnd"/>
            <w:r>
              <w:rPr>
                <w:i/>
              </w:rPr>
              <w:t xml:space="preserve"> pro </w:t>
            </w:r>
            <w:proofErr w:type="spellStart"/>
            <w:r>
              <w:rPr>
                <w:i/>
              </w:rPr>
              <w:t>tunc</w:t>
            </w:r>
            <w:proofErr w:type="spellEnd"/>
            <w:r>
              <w:t xml:space="preserve"> </w:t>
            </w:r>
            <w:r w:rsidR="00E608E9">
              <w:t>for</w:t>
            </w:r>
            <w:r>
              <w:t xml:space="preserve"> payment from assets held</w:t>
            </w:r>
            <w:r w:rsidR="00E608E9">
              <w:t xml:space="preserve"> on two trusts</w:t>
            </w:r>
            <w:r>
              <w:t xml:space="preserve"> by company in liquidation – whether </w:t>
            </w:r>
            <w:r w:rsidR="00E608E9">
              <w:t xml:space="preserve">necessary to </w:t>
            </w:r>
            <w:r>
              <w:t xml:space="preserve">apportion liability </w:t>
            </w:r>
            <w:r w:rsidR="00E608E9">
              <w:t xml:space="preserve">between assets of two trusts </w:t>
            </w:r>
            <w:r>
              <w:t xml:space="preserve">for </w:t>
            </w:r>
            <w:r w:rsidR="00524E26">
              <w:t>remuneration</w:t>
            </w:r>
            <w:r>
              <w:t xml:space="preserve"> of liquidators </w:t>
            </w:r>
            <w:r w:rsidR="00E608E9">
              <w:t xml:space="preserve">for brief period </w:t>
            </w:r>
            <w:r w:rsidR="00524E26">
              <w:t>until</w:t>
            </w:r>
            <w:r w:rsidR="00E608E9">
              <w:t xml:space="preserve"> new trustee appointed to superannuation fund </w:t>
            </w:r>
            <w:r w:rsidR="00125029">
              <w:t xml:space="preserve">– </w:t>
            </w:r>
            <w:r>
              <w:t xml:space="preserve">where only business of company </w:t>
            </w:r>
            <w:r w:rsidR="00E608E9">
              <w:t>was</w:t>
            </w:r>
            <w:r>
              <w:t xml:space="preserve"> to act as trustee</w:t>
            </w:r>
            <w:r w:rsidR="00125029">
              <w:t xml:space="preserve"> and liquidators and receivers did no substantive work </w:t>
            </w:r>
            <w:r w:rsidR="00E608E9">
              <w:t xml:space="preserve">in respect of superannuation trust and did not seek any remuneration </w:t>
            </w:r>
            <w:r w:rsidR="00524E26">
              <w:t>for</w:t>
            </w:r>
            <w:r w:rsidR="00125029">
              <w:t xml:space="preserve"> relevant </w:t>
            </w:r>
            <w:r w:rsidR="00E608E9">
              <w:t xml:space="preserve">short </w:t>
            </w:r>
            <w:r w:rsidR="00125029">
              <w:t>period</w:t>
            </w:r>
            <w:r>
              <w:t xml:space="preserve"> – </w:t>
            </w:r>
            <w:r w:rsidR="00125029">
              <w:rPr>
                <w:i/>
              </w:rPr>
              <w:t>Held</w:t>
            </w:r>
            <w:r w:rsidR="00125029">
              <w:t xml:space="preserve">: </w:t>
            </w:r>
            <w:r w:rsidR="00524E26">
              <w:t>l</w:t>
            </w:r>
            <w:r w:rsidR="00E608E9">
              <w:t>iquidators authorised not to seek or apportion remuneration in respect of superannuation trust</w:t>
            </w:r>
            <w:r w:rsidR="002C7385">
              <w:t xml:space="preserve"> </w:t>
            </w:r>
            <w:bookmarkEnd w:id="2"/>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Legislation:</w:t>
            </w:r>
          </w:p>
        </w:tc>
        <w:tc>
          <w:tcPr>
            <w:tcW w:w="5954" w:type="dxa"/>
            <w:shd w:val="clear" w:color="auto" w:fill="auto"/>
          </w:tcPr>
          <w:p w:rsidR="00395B24" w:rsidRPr="00B43ACE" w:rsidRDefault="00B43ACE" w:rsidP="00B43ACE">
            <w:pPr>
              <w:pStyle w:val="CasesLegislationAppealFrom"/>
              <w:spacing w:after="60"/>
            </w:pPr>
            <w:bookmarkStart w:id="3" w:name="Legislation"/>
            <w:r w:rsidRPr="00B43ACE">
              <w:rPr>
                <w:i/>
              </w:rPr>
              <w:t>Superannuation Industry (Supervision) Act 1993</w:t>
            </w:r>
            <w:r w:rsidRPr="00B43ACE">
              <w:t xml:space="preserve"> (</w:t>
            </w:r>
            <w:proofErr w:type="spellStart"/>
            <w:r w:rsidRPr="00B43ACE">
              <w:t>Cth</w:t>
            </w:r>
            <w:proofErr w:type="spellEnd"/>
            <w:r>
              <w:t>) s 120(2)(e)</w:t>
            </w:r>
            <w:bookmarkEnd w:id="3"/>
          </w:p>
        </w:tc>
      </w:tr>
      <w:tr w:rsidR="00395B24" w:rsidTr="00663878">
        <w:tc>
          <w:tcPr>
            <w:tcW w:w="3084"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663878">
        <w:tc>
          <w:tcPr>
            <w:tcW w:w="3084" w:type="dxa"/>
            <w:shd w:val="clear" w:color="auto" w:fill="auto"/>
          </w:tcPr>
          <w:p w:rsidR="00395B24" w:rsidRDefault="002C7385" w:rsidP="00663878">
            <w:pPr>
              <w:pStyle w:val="Normal1linespace"/>
              <w:widowControl w:val="0"/>
              <w:jc w:val="left"/>
            </w:pPr>
            <w:r>
              <w:t>Cases cited:</w:t>
            </w:r>
          </w:p>
        </w:tc>
        <w:tc>
          <w:tcPr>
            <w:tcW w:w="5954" w:type="dxa"/>
            <w:shd w:val="clear" w:color="auto" w:fill="auto"/>
          </w:tcPr>
          <w:p w:rsidR="00395B24" w:rsidRPr="00B43ACE" w:rsidRDefault="00B43ACE" w:rsidP="00B43ACE">
            <w:pPr>
              <w:pStyle w:val="CasesLegislationAppealFrom"/>
              <w:spacing w:after="60"/>
            </w:pPr>
            <w:bookmarkStart w:id="4" w:name="Cases_Cited"/>
            <w:r w:rsidRPr="00B43ACE">
              <w:rPr>
                <w:i/>
              </w:rPr>
              <w:t xml:space="preserve">Carter Holt Harvey </w:t>
            </w:r>
            <w:proofErr w:type="spellStart"/>
            <w:r w:rsidRPr="00B43ACE">
              <w:rPr>
                <w:i/>
              </w:rPr>
              <w:t>Woodproducts</w:t>
            </w:r>
            <w:proofErr w:type="spellEnd"/>
            <w:r w:rsidRPr="00B43ACE">
              <w:rPr>
                <w:i/>
              </w:rPr>
              <w:t xml:space="preserve"> Australia Pty Ltd v Commonwealth</w:t>
            </w:r>
            <w:r w:rsidRPr="00B43ACE">
              <w:t xml:space="preserve"> (2019) 368 ALR 390</w:t>
            </w:r>
            <w:bookmarkEnd w:id="4"/>
          </w:p>
        </w:tc>
      </w:tr>
      <w:tr w:rsidR="00D602D9" w:rsidTr="002F7154">
        <w:tc>
          <w:tcPr>
            <w:tcW w:w="3084" w:type="dxa"/>
            <w:shd w:val="clear" w:color="auto" w:fill="auto"/>
          </w:tcPr>
          <w:p w:rsidR="00D602D9" w:rsidRDefault="00D602D9" w:rsidP="002F7154">
            <w:pPr>
              <w:pStyle w:val="Normal1linespace"/>
              <w:widowControl w:val="0"/>
            </w:pPr>
          </w:p>
        </w:tc>
        <w:tc>
          <w:tcPr>
            <w:tcW w:w="5954" w:type="dxa"/>
            <w:shd w:val="clear" w:color="auto" w:fill="auto"/>
          </w:tcPr>
          <w:p w:rsidR="00D602D9" w:rsidRDefault="00D602D9" w:rsidP="002F7154">
            <w:pPr>
              <w:pStyle w:val="Normal1linespace"/>
              <w:widowControl w:val="0"/>
              <w:jc w:val="left"/>
            </w:pPr>
          </w:p>
        </w:tc>
      </w:tr>
      <w:tr w:rsidR="00D602D9" w:rsidTr="002F7154">
        <w:tc>
          <w:tcPr>
            <w:tcW w:w="3084" w:type="dxa"/>
            <w:shd w:val="clear" w:color="auto" w:fill="auto"/>
          </w:tcPr>
          <w:p w:rsidR="00D602D9" w:rsidRDefault="00D602D9" w:rsidP="00501A12">
            <w:pPr>
              <w:pStyle w:val="Normal1linespace"/>
              <w:widowControl w:val="0"/>
            </w:pPr>
            <w:r>
              <w:t>Division:</w:t>
            </w:r>
          </w:p>
        </w:tc>
        <w:tc>
          <w:tcPr>
            <w:tcW w:w="5954" w:type="dxa"/>
            <w:shd w:val="clear" w:color="auto" w:fill="auto"/>
          </w:tcPr>
          <w:p w:rsidR="00D602D9" w:rsidRPr="00F17599" w:rsidRDefault="009C4369" w:rsidP="00501A12">
            <w:pPr>
              <w:pStyle w:val="Normal1linespace"/>
              <w:widowControl w:val="0"/>
              <w:jc w:val="left"/>
            </w:pPr>
            <w:fldSimple w:instr=" DOCPROPERTY  Division " w:fldLock="1">
              <w:r w:rsidR="00D602D9">
                <w:t>General Division</w:t>
              </w:r>
            </w:fldSimple>
          </w:p>
        </w:tc>
      </w:tr>
      <w:tr w:rsidR="00D602D9" w:rsidTr="002F7154">
        <w:tc>
          <w:tcPr>
            <w:tcW w:w="3084" w:type="dxa"/>
            <w:shd w:val="clear" w:color="auto" w:fill="auto"/>
          </w:tcPr>
          <w:p w:rsidR="00D602D9" w:rsidRDefault="00D602D9" w:rsidP="00501A12">
            <w:pPr>
              <w:pStyle w:val="Normal1linespace"/>
              <w:widowControl w:val="0"/>
            </w:pPr>
            <w:bookmarkStart w:id="5" w:name="Registry_rows" w:colFirst="0" w:colLast="1"/>
          </w:p>
        </w:tc>
        <w:tc>
          <w:tcPr>
            <w:tcW w:w="5954" w:type="dxa"/>
            <w:shd w:val="clear" w:color="auto" w:fill="auto"/>
          </w:tcPr>
          <w:p w:rsidR="00D602D9" w:rsidRDefault="00D602D9" w:rsidP="00501A12">
            <w:pPr>
              <w:pStyle w:val="Normal1linespace"/>
              <w:widowControl w:val="0"/>
              <w:jc w:val="left"/>
            </w:pPr>
          </w:p>
        </w:tc>
      </w:tr>
      <w:tr w:rsidR="00D602D9" w:rsidTr="002F7154">
        <w:tc>
          <w:tcPr>
            <w:tcW w:w="3084" w:type="dxa"/>
            <w:shd w:val="clear" w:color="auto" w:fill="auto"/>
          </w:tcPr>
          <w:p w:rsidR="00D602D9" w:rsidRDefault="00D602D9" w:rsidP="00501A12">
            <w:pPr>
              <w:pStyle w:val="Normal1linespace"/>
              <w:widowControl w:val="0"/>
            </w:pPr>
            <w:r>
              <w:t>Registry:</w:t>
            </w:r>
          </w:p>
        </w:tc>
        <w:tc>
          <w:tcPr>
            <w:tcW w:w="5954" w:type="dxa"/>
            <w:shd w:val="clear" w:color="auto" w:fill="auto"/>
          </w:tcPr>
          <w:p w:rsidR="00D602D9" w:rsidRPr="00F17599" w:rsidRDefault="009C4369" w:rsidP="00501A12">
            <w:pPr>
              <w:pStyle w:val="Normal1linespace"/>
              <w:widowControl w:val="0"/>
              <w:jc w:val="left"/>
            </w:pPr>
            <w:fldSimple w:instr=" DOCPROPERTY  Registry " w:fldLock="1">
              <w:r w:rsidR="00D602D9">
                <w:t>New South Wales</w:t>
              </w:r>
            </w:fldSimple>
          </w:p>
        </w:tc>
      </w:tr>
      <w:tr w:rsidR="00D602D9" w:rsidTr="002F7154">
        <w:tc>
          <w:tcPr>
            <w:tcW w:w="3084" w:type="dxa"/>
            <w:shd w:val="clear" w:color="auto" w:fill="auto"/>
          </w:tcPr>
          <w:p w:rsidR="00D602D9" w:rsidRDefault="00D602D9" w:rsidP="00501A12">
            <w:pPr>
              <w:pStyle w:val="Normal1linespace"/>
              <w:widowControl w:val="0"/>
            </w:pPr>
            <w:bookmarkStart w:id="6" w:name="NPARow" w:colFirst="0" w:colLast="1"/>
            <w:bookmarkEnd w:id="5"/>
          </w:p>
        </w:tc>
        <w:tc>
          <w:tcPr>
            <w:tcW w:w="5954" w:type="dxa"/>
            <w:shd w:val="clear" w:color="auto" w:fill="auto"/>
          </w:tcPr>
          <w:p w:rsidR="00D602D9" w:rsidRPr="00F17599" w:rsidRDefault="00D602D9" w:rsidP="00501A12">
            <w:pPr>
              <w:pStyle w:val="Normal1linespace"/>
              <w:widowControl w:val="0"/>
              <w:jc w:val="left"/>
              <w:rPr>
                <w:b/>
              </w:rPr>
            </w:pPr>
          </w:p>
        </w:tc>
      </w:tr>
      <w:tr w:rsidR="00D602D9" w:rsidTr="002F7154">
        <w:tc>
          <w:tcPr>
            <w:tcW w:w="3084" w:type="dxa"/>
            <w:shd w:val="clear" w:color="auto" w:fill="auto"/>
          </w:tcPr>
          <w:p w:rsidR="00D602D9" w:rsidRDefault="00D602D9" w:rsidP="00501A12">
            <w:pPr>
              <w:pStyle w:val="Normal1linespace"/>
              <w:widowControl w:val="0"/>
            </w:pPr>
            <w:r>
              <w:t>National Practice Area:</w:t>
            </w:r>
          </w:p>
        </w:tc>
        <w:tc>
          <w:tcPr>
            <w:tcW w:w="5954" w:type="dxa"/>
            <w:shd w:val="clear" w:color="auto" w:fill="auto"/>
          </w:tcPr>
          <w:p w:rsidR="00D602D9" w:rsidRPr="00F17599" w:rsidRDefault="009C4369" w:rsidP="00171DBB">
            <w:pPr>
              <w:pStyle w:val="Normal1linespace"/>
              <w:widowControl w:val="0"/>
              <w:jc w:val="left"/>
              <w:rPr>
                <w:b/>
              </w:rPr>
            </w:pPr>
            <w:fldSimple w:instr=" DOCPROPERTY  &quot;Practice Area&quot;  \* MERGEFORMAT " w:fldLock="1">
              <w:r w:rsidR="00D602D9">
                <w:t>Commercial and Corporations</w:t>
              </w:r>
            </w:fldSimple>
          </w:p>
        </w:tc>
      </w:tr>
      <w:tr w:rsidR="00D602D9" w:rsidTr="002F7154">
        <w:tc>
          <w:tcPr>
            <w:tcW w:w="3084" w:type="dxa"/>
            <w:shd w:val="clear" w:color="auto" w:fill="auto"/>
          </w:tcPr>
          <w:p w:rsidR="00D602D9" w:rsidRDefault="00D602D9" w:rsidP="00501A12">
            <w:pPr>
              <w:pStyle w:val="Normal1linespace"/>
              <w:widowControl w:val="0"/>
            </w:pPr>
            <w:bookmarkStart w:id="7" w:name="SubAreaRow" w:colFirst="0" w:colLast="1"/>
            <w:bookmarkEnd w:id="6"/>
          </w:p>
        </w:tc>
        <w:tc>
          <w:tcPr>
            <w:tcW w:w="5954" w:type="dxa"/>
            <w:shd w:val="clear" w:color="auto" w:fill="auto"/>
          </w:tcPr>
          <w:p w:rsidR="00D602D9" w:rsidRDefault="00D602D9" w:rsidP="00171DBB">
            <w:pPr>
              <w:pStyle w:val="Normal1linespace"/>
              <w:widowControl w:val="0"/>
              <w:jc w:val="left"/>
            </w:pPr>
          </w:p>
        </w:tc>
      </w:tr>
      <w:tr w:rsidR="00D602D9" w:rsidTr="002F7154">
        <w:tc>
          <w:tcPr>
            <w:tcW w:w="3084" w:type="dxa"/>
            <w:shd w:val="clear" w:color="auto" w:fill="auto"/>
          </w:tcPr>
          <w:p w:rsidR="00D602D9" w:rsidRDefault="00D602D9" w:rsidP="00501A12">
            <w:pPr>
              <w:pStyle w:val="Normal1linespace"/>
              <w:widowControl w:val="0"/>
            </w:pPr>
            <w:r>
              <w:t>Sub-area:</w:t>
            </w:r>
          </w:p>
        </w:tc>
        <w:tc>
          <w:tcPr>
            <w:tcW w:w="5954" w:type="dxa"/>
            <w:shd w:val="clear" w:color="auto" w:fill="auto"/>
          </w:tcPr>
          <w:p w:rsidR="00D602D9" w:rsidRPr="00837288" w:rsidRDefault="009C4369" w:rsidP="00435936">
            <w:pPr>
              <w:pStyle w:val="Normal1linespace"/>
              <w:widowControl w:val="0"/>
              <w:jc w:val="left"/>
            </w:pPr>
            <w:fldSimple w:instr=" DOCPROPERTY  &quot;Sub Area&quot;  \* MERGEFORMAT " w:fldLock="1">
              <w:r w:rsidR="00D602D9" w:rsidRPr="00D602D9">
                <w:rPr>
                  <w:lang w:val="en-US"/>
                </w:rPr>
                <w:t>Corporations and Corporate</w:t>
              </w:r>
              <w:r w:rsidR="00D602D9">
                <w:t xml:space="preserve"> Insolvency</w:t>
              </w:r>
            </w:fldSimple>
          </w:p>
        </w:tc>
      </w:tr>
      <w:bookmarkEnd w:id="7"/>
      <w:tr w:rsidR="00D602D9" w:rsidTr="002F7154">
        <w:tc>
          <w:tcPr>
            <w:tcW w:w="3084" w:type="dxa"/>
            <w:shd w:val="clear" w:color="auto" w:fill="auto"/>
          </w:tcPr>
          <w:p w:rsidR="00D602D9" w:rsidRDefault="00D602D9" w:rsidP="00501A12">
            <w:pPr>
              <w:pStyle w:val="Normal1linespace"/>
              <w:widowControl w:val="0"/>
            </w:pPr>
          </w:p>
        </w:tc>
        <w:tc>
          <w:tcPr>
            <w:tcW w:w="5954" w:type="dxa"/>
            <w:shd w:val="clear" w:color="auto" w:fill="auto"/>
          </w:tcPr>
          <w:p w:rsidR="00D602D9" w:rsidRDefault="00D602D9" w:rsidP="00501A12">
            <w:pPr>
              <w:pStyle w:val="Normal1linespace"/>
              <w:widowControl w:val="0"/>
              <w:jc w:val="left"/>
            </w:pPr>
          </w:p>
        </w:tc>
      </w:tr>
      <w:tr w:rsidR="00D602D9" w:rsidTr="002F7154">
        <w:tc>
          <w:tcPr>
            <w:tcW w:w="3084" w:type="dxa"/>
            <w:shd w:val="clear" w:color="auto" w:fill="auto"/>
          </w:tcPr>
          <w:p w:rsidR="00D602D9" w:rsidRDefault="00D602D9" w:rsidP="00501A12">
            <w:pPr>
              <w:pStyle w:val="Normal1linespace"/>
              <w:widowControl w:val="0"/>
            </w:pPr>
            <w:r>
              <w:t>Number of paragraphs:</w:t>
            </w:r>
          </w:p>
        </w:tc>
        <w:tc>
          <w:tcPr>
            <w:tcW w:w="5954" w:type="dxa"/>
            <w:shd w:val="clear" w:color="auto" w:fill="auto"/>
          </w:tcPr>
          <w:p w:rsidR="00D602D9" w:rsidRDefault="00B43ACE" w:rsidP="00501A12">
            <w:pPr>
              <w:pStyle w:val="Normal1linespace"/>
              <w:widowControl w:val="0"/>
              <w:jc w:val="left"/>
            </w:pPr>
            <w:bookmarkStart w:id="8" w:name="PlaceCategoryParagraphs"/>
            <w:r>
              <w:t>32</w:t>
            </w:r>
            <w:r w:rsidR="00D602D9">
              <w:t xml:space="preserve"> </w:t>
            </w:r>
            <w:bookmarkEnd w:id="8"/>
          </w:p>
        </w:tc>
      </w:tr>
      <w:tr w:rsidR="00D602D9" w:rsidTr="00CC3EE5">
        <w:tc>
          <w:tcPr>
            <w:tcW w:w="3084" w:type="dxa"/>
            <w:shd w:val="clear" w:color="auto" w:fill="auto"/>
          </w:tcPr>
          <w:p w:rsidR="00D602D9" w:rsidRDefault="00D602D9" w:rsidP="00D602D9">
            <w:pPr>
              <w:pStyle w:val="Normal1linespace"/>
              <w:widowControl w:val="0"/>
              <w:jc w:val="left"/>
            </w:pPr>
          </w:p>
        </w:tc>
        <w:tc>
          <w:tcPr>
            <w:tcW w:w="5954" w:type="dxa"/>
            <w:shd w:val="clear" w:color="auto" w:fill="auto"/>
          </w:tcPr>
          <w:p w:rsidR="00D602D9" w:rsidRDefault="00D602D9" w:rsidP="00D602D9">
            <w:pPr>
              <w:pStyle w:val="Normal1linespace"/>
              <w:widowControl w:val="0"/>
              <w:jc w:val="left"/>
            </w:pPr>
          </w:p>
        </w:tc>
      </w:tr>
      <w:tr w:rsidR="00D602D9" w:rsidTr="00CC3EE5">
        <w:tc>
          <w:tcPr>
            <w:tcW w:w="3084" w:type="dxa"/>
            <w:shd w:val="clear" w:color="auto" w:fill="auto"/>
          </w:tcPr>
          <w:p w:rsidR="00D602D9" w:rsidRDefault="00D602D9" w:rsidP="00D602D9">
            <w:pPr>
              <w:pStyle w:val="Normal1linespace"/>
              <w:widowControl w:val="0"/>
              <w:jc w:val="left"/>
            </w:pPr>
            <w:bookmarkStart w:id="9" w:name="CounselDate" w:colFirst="0" w:colLast="2"/>
            <w:r w:rsidRPr="006A24E3">
              <w:t>Date of hearing:</w:t>
            </w:r>
          </w:p>
        </w:tc>
        <w:tc>
          <w:tcPr>
            <w:tcW w:w="5954" w:type="dxa"/>
            <w:shd w:val="clear" w:color="auto" w:fill="auto"/>
          </w:tcPr>
          <w:p w:rsidR="00D602D9" w:rsidRDefault="00B43ACE" w:rsidP="00D602D9">
            <w:pPr>
              <w:pStyle w:val="Normal1linespace"/>
              <w:widowControl w:val="0"/>
              <w:jc w:val="left"/>
            </w:pPr>
            <w:bookmarkStart w:id="10" w:name="HearingDate"/>
            <w:r>
              <w:t>20 November 2020</w:t>
            </w:r>
            <w:r w:rsidR="00D602D9">
              <w:t xml:space="preserve"> </w:t>
            </w:r>
            <w:bookmarkEnd w:id="10"/>
          </w:p>
        </w:tc>
      </w:tr>
      <w:tr w:rsidR="00D602D9" w:rsidTr="00CC3EE5">
        <w:tc>
          <w:tcPr>
            <w:tcW w:w="3084" w:type="dxa"/>
            <w:shd w:val="clear" w:color="auto" w:fill="auto"/>
          </w:tcPr>
          <w:p w:rsidR="00D602D9" w:rsidRDefault="00D602D9" w:rsidP="00D602D9">
            <w:pPr>
              <w:pStyle w:val="Normal1linespace"/>
              <w:widowControl w:val="0"/>
              <w:jc w:val="left"/>
            </w:pPr>
          </w:p>
        </w:tc>
        <w:tc>
          <w:tcPr>
            <w:tcW w:w="5954" w:type="dxa"/>
            <w:shd w:val="clear" w:color="auto" w:fill="auto"/>
          </w:tcPr>
          <w:p w:rsidR="00D602D9" w:rsidRDefault="00D602D9" w:rsidP="00D602D9">
            <w:pPr>
              <w:pStyle w:val="Normal1linespace"/>
              <w:widowControl w:val="0"/>
              <w:jc w:val="left"/>
            </w:pPr>
          </w:p>
        </w:tc>
      </w:tr>
      <w:tr w:rsidR="00D602D9" w:rsidTr="00CC3EE5">
        <w:tc>
          <w:tcPr>
            <w:tcW w:w="3084" w:type="dxa"/>
            <w:shd w:val="clear" w:color="auto" w:fill="auto"/>
          </w:tcPr>
          <w:p w:rsidR="00D602D9" w:rsidRPr="00D602D9" w:rsidRDefault="00B43ACE" w:rsidP="00D602D9">
            <w:pPr>
              <w:pStyle w:val="Normal1linespace"/>
              <w:widowControl w:val="0"/>
              <w:jc w:val="left"/>
            </w:pPr>
            <w:bookmarkStart w:id="11" w:name="Place_rows" w:colFirst="0" w:colLast="1"/>
            <w:r>
              <w:t>Counsel for the Plaintiffs:</w:t>
            </w:r>
          </w:p>
        </w:tc>
        <w:tc>
          <w:tcPr>
            <w:tcW w:w="5954" w:type="dxa"/>
            <w:shd w:val="clear" w:color="auto" w:fill="auto"/>
          </w:tcPr>
          <w:p w:rsidR="00D602D9" w:rsidRPr="00D602D9" w:rsidRDefault="00B43ACE" w:rsidP="00D602D9">
            <w:pPr>
              <w:pStyle w:val="Normal1linespace"/>
              <w:widowControl w:val="0"/>
              <w:jc w:val="left"/>
            </w:pPr>
            <w:r>
              <w:t>Mr Roger Marshall SC</w:t>
            </w:r>
          </w:p>
        </w:tc>
      </w:tr>
      <w:tr w:rsidR="00D602D9" w:rsidTr="00CC3EE5">
        <w:tc>
          <w:tcPr>
            <w:tcW w:w="3084" w:type="dxa"/>
            <w:shd w:val="clear" w:color="auto" w:fill="auto"/>
          </w:tcPr>
          <w:p w:rsidR="00D602D9" w:rsidRPr="00D602D9" w:rsidRDefault="00D602D9" w:rsidP="00D602D9">
            <w:pPr>
              <w:pStyle w:val="Normal1linespace"/>
              <w:widowControl w:val="0"/>
              <w:jc w:val="left"/>
            </w:pPr>
          </w:p>
        </w:tc>
        <w:tc>
          <w:tcPr>
            <w:tcW w:w="5954" w:type="dxa"/>
            <w:shd w:val="clear" w:color="auto" w:fill="auto"/>
          </w:tcPr>
          <w:p w:rsidR="00D602D9" w:rsidRPr="00D602D9" w:rsidRDefault="00D602D9" w:rsidP="00D602D9">
            <w:pPr>
              <w:pStyle w:val="Normal1linespace"/>
              <w:widowControl w:val="0"/>
              <w:jc w:val="left"/>
            </w:pPr>
          </w:p>
        </w:tc>
      </w:tr>
      <w:tr w:rsidR="00B43ACE" w:rsidTr="00CC3EE5">
        <w:tc>
          <w:tcPr>
            <w:tcW w:w="3084" w:type="dxa"/>
            <w:shd w:val="clear" w:color="auto" w:fill="auto"/>
          </w:tcPr>
          <w:p w:rsidR="00B43ACE" w:rsidRPr="00D602D9" w:rsidRDefault="00566BE6" w:rsidP="00D602D9">
            <w:pPr>
              <w:pStyle w:val="Normal1linespace"/>
              <w:widowControl w:val="0"/>
              <w:jc w:val="left"/>
            </w:pPr>
            <w:r>
              <w:t xml:space="preserve">Solicitor for the Plaintiffs: </w:t>
            </w:r>
          </w:p>
        </w:tc>
        <w:tc>
          <w:tcPr>
            <w:tcW w:w="5954" w:type="dxa"/>
            <w:shd w:val="clear" w:color="auto" w:fill="auto"/>
          </w:tcPr>
          <w:p w:rsidR="00B43ACE" w:rsidRPr="00D602D9" w:rsidRDefault="00566BE6" w:rsidP="00D602D9">
            <w:pPr>
              <w:pStyle w:val="Normal1linespace"/>
              <w:widowControl w:val="0"/>
              <w:jc w:val="left"/>
            </w:pPr>
            <w:proofErr w:type="spellStart"/>
            <w:r>
              <w:t>Ashurst</w:t>
            </w:r>
            <w:proofErr w:type="spellEnd"/>
          </w:p>
        </w:tc>
      </w:tr>
      <w:tr w:rsidR="00B43ACE" w:rsidTr="00CC3EE5">
        <w:tc>
          <w:tcPr>
            <w:tcW w:w="3084" w:type="dxa"/>
            <w:shd w:val="clear" w:color="auto" w:fill="auto"/>
          </w:tcPr>
          <w:p w:rsidR="00B43ACE" w:rsidRPr="00D602D9" w:rsidRDefault="00B43ACE" w:rsidP="00D602D9">
            <w:pPr>
              <w:pStyle w:val="Normal1linespace"/>
              <w:widowControl w:val="0"/>
              <w:jc w:val="left"/>
            </w:pPr>
          </w:p>
        </w:tc>
        <w:tc>
          <w:tcPr>
            <w:tcW w:w="5954" w:type="dxa"/>
            <w:shd w:val="clear" w:color="auto" w:fill="auto"/>
          </w:tcPr>
          <w:p w:rsidR="00B43ACE" w:rsidRPr="00D602D9" w:rsidRDefault="00B43ACE" w:rsidP="00D602D9">
            <w:pPr>
              <w:pStyle w:val="Normal1linespace"/>
              <w:widowControl w:val="0"/>
              <w:jc w:val="left"/>
            </w:pPr>
          </w:p>
        </w:tc>
      </w:tr>
      <w:tr w:rsidR="00B43ACE" w:rsidTr="00CC3EE5">
        <w:tc>
          <w:tcPr>
            <w:tcW w:w="3084" w:type="dxa"/>
            <w:shd w:val="clear" w:color="auto" w:fill="auto"/>
          </w:tcPr>
          <w:p w:rsidR="00B43ACE" w:rsidRPr="00D602D9" w:rsidRDefault="00566BE6" w:rsidP="00D602D9">
            <w:pPr>
              <w:pStyle w:val="Normal1linespace"/>
              <w:widowControl w:val="0"/>
              <w:jc w:val="left"/>
            </w:pPr>
            <w:r>
              <w:t>Solicitor for the Defendant:</w:t>
            </w:r>
          </w:p>
        </w:tc>
        <w:tc>
          <w:tcPr>
            <w:tcW w:w="5954" w:type="dxa"/>
            <w:shd w:val="clear" w:color="auto" w:fill="auto"/>
          </w:tcPr>
          <w:p w:rsidR="00B43ACE" w:rsidRPr="00D602D9" w:rsidRDefault="00566BE6" w:rsidP="00D602D9">
            <w:pPr>
              <w:pStyle w:val="Normal1linespace"/>
              <w:widowControl w:val="0"/>
              <w:jc w:val="left"/>
            </w:pPr>
            <w:r>
              <w:t>Surry Partners Lawyers</w:t>
            </w:r>
          </w:p>
        </w:tc>
      </w:tr>
      <w:tr w:rsidR="00B43ACE" w:rsidTr="00CC3EE5">
        <w:tc>
          <w:tcPr>
            <w:tcW w:w="3084" w:type="dxa"/>
            <w:shd w:val="clear" w:color="auto" w:fill="auto"/>
          </w:tcPr>
          <w:p w:rsidR="00B43ACE" w:rsidRPr="00D602D9" w:rsidRDefault="00B43ACE" w:rsidP="00D602D9">
            <w:pPr>
              <w:pStyle w:val="Normal1linespace"/>
              <w:widowControl w:val="0"/>
              <w:jc w:val="left"/>
            </w:pPr>
          </w:p>
        </w:tc>
        <w:tc>
          <w:tcPr>
            <w:tcW w:w="5954" w:type="dxa"/>
            <w:shd w:val="clear" w:color="auto" w:fill="auto"/>
          </w:tcPr>
          <w:p w:rsidR="00B43ACE" w:rsidRPr="00D602D9" w:rsidRDefault="00B43ACE" w:rsidP="00D602D9">
            <w:pPr>
              <w:pStyle w:val="Normal1linespace"/>
              <w:widowControl w:val="0"/>
              <w:jc w:val="left"/>
            </w:pPr>
          </w:p>
        </w:tc>
      </w:tr>
      <w:tr w:rsidR="00566BE6" w:rsidTr="00CC3EE5">
        <w:tc>
          <w:tcPr>
            <w:tcW w:w="3084" w:type="dxa"/>
            <w:shd w:val="clear" w:color="auto" w:fill="auto"/>
          </w:tcPr>
          <w:p w:rsidR="00566BE6" w:rsidRPr="00D602D9" w:rsidRDefault="00566BE6" w:rsidP="00566BE6">
            <w:pPr>
              <w:pStyle w:val="Normal1linespace"/>
              <w:widowControl w:val="0"/>
              <w:jc w:val="left"/>
            </w:pPr>
            <w:r>
              <w:t xml:space="preserve">Solicitor for Mr Hayes (Interested Person): </w:t>
            </w:r>
          </w:p>
        </w:tc>
        <w:tc>
          <w:tcPr>
            <w:tcW w:w="5954" w:type="dxa"/>
            <w:shd w:val="clear" w:color="auto" w:fill="auto"/>
          </w:tcPr>
          <w:p w:rsidR="00566BE6" w:rsidRPr="00D602D9" w:rsidRDefault="00566BE6" w:rsidP="00566BE6">
            <w:pPr>
              <w:pStyle w:val="Normal1linespace"/>
              <w:widowControl w:val="0"/>
              <w:jc w:val="left"/>
            </w:pPr>
            <w:r w:rsidRPr="00566BE6">
              <w:t xml:space="preserve">Watson </w:t>
            </w:r>
            <w:proofErr w:type="spellStart"/>
            <w:r w:rsidRPr="00566BE6">
              <w:t>Mangioni</w:t>
            </w:r>
            <w:proofErr w:type="spellEnd"/>
            <w:r w:rsidRPr="00566BE6">
              <w:t xml:space="preserve"> Lawyers Pty Limited</w:t>
            </w:r>
          </w:p>
        </w:tc>
      </w:tr>
    </w:tbl>
    <w:p w:rsidR="00B17D6E" w:rsidRDefault="00B17D6E">
      <w:pPr>
        <w:pStyle w:val="Normal1linespace"/>
      </w:pPr>
      <w:bookmarkStart w:id="12" w:name="CompletionTable"/>
      <w:bookmarkEnd w:id="9"/>
      <w:bookmarkEnd w:id="11"/>
    </w:p>
    <w:bookmarkEnd w:id="12"/>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8"/>
          <w:footerReference w:type="first" r:id="rId9"/>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D602D9" w:rsidP="00F92355">
            <w:pPr>
              <w:pStyle w:val="NormalHeadings"/>
              <w:jc w:val="right"/>
            </w:pPr>
            <w:bookmarkStart w:id="13" w:name="FileNo"/>
            <w:r>
              <w:t>NSD 306 of 2019</w:t>
            </w:r>
            <w:bookmarkEnd w:id="13"/>
          </w:p>
        </w:tc>
      </w:tr>
      <w:tr w:rsidR="00A76C13" w:rsidTr="00F461A4">
        <w:tc>
          <w:tcPr>
            <w:tcW w:w="9242" w:type="dxa"/>
            <w:gridSpan w:val="3"/>
          </w:tcPr>
          <w:p w:rsidR="00A76C13" w:rsidRPr="00A76C13" w:rsidRDefault="00D602D9" w:rsidP="0024307E">
            <w:pPr>
              <w:pStyle w:val="NormalHeadings"/>
              <w:spacing w:before="240" w:after="240"/>
              <w:jc w:val="left"/>
            </w:pPr>
            <w:bookmarkStart w:id="14" w:name="InTheMatterOf"/>
            <w:r>
              <w:t xml:space="preserve">IN THE MATTER OF AIDZAN PTY </w:t>
            </w:r>
            <w:r w:rsidR="0024307E">
              <w:t>LIMITED</w:t>
            </w:r>
            <w:r>
              <w:t xml:space="preserve"> (IN LIQUIDATION)</w:t>
            </w:r>
            <w:bookmarkEnd w:id="14"/>
          </w:p>
        </w:tc>
      </w:tr>
      <w:tr w:rsidR="00A46CCC" w:rsidTr="005041F0">
        <w:trPr>
          <w:trHeight w:val="386"/>
        </w:trPr>
        <w:tc>
          <w:tcPr>
            <w:tcW w:w="2376" w:type="dxa"/>
          </w:tcPr>
          <w:p w:rsidR="00A46CCC" w:rsidRDefault="00A46CCC" w:rsidP="005041F0">
            <w:pPr>
              <w:pStyle w:val="NormalHeadings"/>
              <w:jc w:val="left"/>
              <w:rPr>
                <w:caps/>
                <w:szCs w:val="24"/>
              </w:rPr>
            </w:pPr>
            <w:bookmarkStart w:id="15" w:name="Parties"/>
            <w:r>
              <w:rPr>
                <w:caps/>
                <w:szCs w:val="24"/>
              </w:rPr>
              <w:t>BETWEEN:</w:t>
            </w:r>
          </w:p>
        </w:tc>
        <w:tc>
          <w:tcPr>
            <w:tcW w:w="6866" w:type="dxa"/>
            <w:gridSpan w:val="2"/>
          </w:tcPr>
          <w:p w:rsidR="00D602D9" w:rsidRDefault="00D602D9" w:rsidP="00D602D9">
            <w:pPr>
              <w:pStyle w:val="NormalHeadings"/>
              <w:jc w:val="left"/>
            </w:pPr>
            <w:bookmarkStart w:id="16" w:name="Applicant"/>
            <w:r>
              <w:t xml:space="preserve">ALAN GODFREY TOPP IN HIS CAPACITY AS </w:t>
            </w:r>
            <w:r w:rsidR="002E3072">
              <w:t xml:space="preserve">OFFICIAL </w:t>
            </w:r>
            <w:r>
              <w:t>LIQUIDATOR OF AIDZAN PTY LIMITED (IN LIQUIDATION)</w:t>
            </w:r>
            <w:r w:rsidR="002E3072">
              <w:t xml:space="preserve"> ACN 003 889 558</w:t>
            </w:r>
          </w:p>
          <w:p w:rsidR="00D602D9" w:rsidRDefault="00D602D9" w:rsidP="00D602D9">
            <w:pPr>
              <w:pStyle w:val="PartyType"/>
            </w:pPr>
            <w:r>
              <w:t>First Plaintiff</w:t>
            </w:r>
          </w:p>
          <w:p w:rsidR="00D602D9" w:rsidRDefault="00D602D9" w:rsidP="005041F0">
            <w:pPr>
              <w:pStyle w:val="NormalHeadings"/>
              <w:jc w:val="left"/>
              <w:rPr>
                <w:szCs w:val="24"/>
              </w:rPr>
            </w:pPr>
          </w:p>
          <w:p w:rsidR="00D602D9" w:rsidRDefault="00D602D9" w:rsidP="00D602D9">
            <w:pPr>
              <w:pStyle w:val="NormalHeadings"/>
              <w:jc w:val="left"/>
            </w:pPr>
            <w:r>
              <w:t xml:space="preserve">BRUCE GLEESON IN HIS CAPACITY AS </w:t>
            </w:r>
            <w:r w:rsidR="002E3072">
              <w:t xml:space="preserve">OFFICIAL </w:t>
            </w:r>
            <w:r>
              <w:t>LIQUIDATOR OF AIDZAN PTY LIMITED (IN LIQUIDATION)</w:t>
            </w:r>
            <w:r w:rsidR="002E3072">
              <w:t xml:space="preserve"> ACN 003 889 558</w:t>
            </w:r>
          </w:p>
          <w:p w:rsidR="00D602D9" w:rsidRDefault="00D602D9" w:rsidP="00D602D9">
            <w:pPr>
              <w:pStyle w:val="PartyType"/>
            </w:pPr>
            <w:r>
              <w:t>Second Plaintiff</w:t>
            </w:r>
          </w:p>
          <w:p w:rsidR="00D602D9" w:rsidRDefault="00D602D9" w:rsidP="005041F0">
            <w:pPr>
              <w:pStyle w:val="NormalHeadings"/>
              <w:jc w:val="left"/>
              <w:rPr>
                <w:szCs w:val="24"/>
              </w:rPr>
            </w:pPr>
          </w:p>
          <w:p w:rsidR="00D602D9" w:rsidRDefault="00D602D9" w:rsidP="00D602D9">
            <w:pPr>
              <w:pStyle w:val="NormalHeadings"/>
              <w:jc w:val="left"/>
            </w:pPr>
            <w:r>
              <w:t>AIDZAN PTY LIMITED (IN LIQUIDATION)</w:t>
            </w:r>
          </w:p>
          <w:p w:rsidR="00D602D9" w:rsidRDefault="00D602D9" w:rsidP="00D602D9">
            <w:pPr>
              <w:pStyle w:val="PartyType"/>
            </w:pPr>
            <w:r>
              <w:t>Third Plaintiff</w:t>
            </w:r>
          </w:p>
          <w:bookmarkEnd w:id="16"/>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D602D9" w:rsidRDefault="00D602D9" w:rsidP="00D602D9">
            <w:pPr>
              <w:pStyle w:val="NormalHeadings"/>
              <w:jc w:val="left"/>
            </w:pPr>
            <w:bookmarkStart w:id="17" w:name="Respondent"/>
            <w:r>
              <w:t>NAZDIA PTY LIMITED ACN 631 617 331</w:t>
            </w:r>
          </w:p>
          <w:p w:rsidR="00D602D9" w:rsidRDefault="00D602D9" w:rsidP="00D602D9">
            <w:pPr>
              <w:pStyle w:val="PartyType"/>
            </w:pPr>
            <w:r>
              <w:t>Defendant</w:t>
            </w:r>
          </w:p>
          <w:bookmarkEnd w:id="17"/>
          <w:p w:rsidR="00A46CCC" w:rsidRPr="006555B4" w:rsidRDefault="00A46CCC" w:rsidP="005041F0">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D602D9">
            <w:pPr>
              <w:pStyle w:val="NormalHeadings"/>
              <w:jc w:val="left"/>
              <w:rPr>
                <w:caps/>
                <w:szCs w:val="24"/>
              </w:rPr>
            </w:pPr>
            <w:bookmarkStart w:id="20" w:name="Judge"/>
            <w:r>
              <w:rPr>
                <w:caps/>
                <w:szCs w:val="24"/>
              </w:rPr>
              <w:t>RARES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602D9">
            <w:pPr>
              <w:pStyle w:val="NormalHeadings"/>
              <w:jc w:val="left"/>
              <w:rPr>
                <w:caps/>
                <w:szCs w:val="24"/>
              </w:rPr>
            </w:pPr>
            <w:bookmarkStart w:id="21" w:name="Judgment_Dated"/>
            <w:r>
              <w:rPr>
                <w:caps/>
                <w:szCs w:val="24"/>
              </w:rPr>
              <w:t>20 NOVEMBER 2020</w:t>
            </w:r>
            <w:bookmarkEnd w:id="21"/>
          </w:p>
        </w:tc>
      </w:tr>
    </w:tbl>
    <w:p w:rsidR="00395B24" w:rsidRDefault="00395B24">
      <w:pPr>
        <w:pStyle w:val="NormalHeadings"/>
        <w:rPr>
          <w:b w:val="0"/>
        </w:rPr>
      </w:pPr>
    </w:p>
    <w:p w:rsidR="008D1617" w:rsidRDefault="008D1617">
      <w:pPr>
        <w:pStyle w:val="NormalHeadings"/>
        <w:rPr>
          <w:b w:val="0"/>
        </w:rPr>
      </w:pPr>
    </w:p>
    <w:p w:rsidR="00C74DCD" w:rsidRDefault="002C7385" w:rsidP="00C74DCD">
      <w:pPr>
        <w:pStyle w:val="NormalHeadings"/>
      </w:pPr>
      <w:r>
        <w:t>THE COURT ORDERS THAT:</w:t>
      </w:r>
    </w:p>
    <w:p w:rsidR="00C74DCD" w:rsidRDefault="00C74DCD" w:rsidP="00C74DCD">
      <w:pPr>
        <w:pStyle w:val="Order1"/>
      </w:pPr>
      <w:r>
        <w:t xml:space="preserve">The Registrar determine the amount of the remuneration of the First and Second Plaintiffs for acting as liquidators of the Third Plaintiff for any work done not covered by order 1 made on 22 March 2019 or the approval given by the creditors of the Third Plaintiff on 22 May 2019. </w:t>
      </w:r>
    </w:p>
    <w:p w:rsidR="001A0EDC" w:rsidRDefault="00C74DCD" w:rsidP="001A0EDC">
      <w:pPr>
        <w:pStyle w:val="Order1"/>
      </w:pPr>
      <w:r>
        <w:rPr>
          <w:i/>
          <w:iCs/>
        </w:rPr>
        <w:t xml:space="preserve">Nunc pro </w:t>
      </w:r>
      <w:proofErr w:type="spellStart"/>
      <w:r>
        <w:rPr>
          <w:i/>
          <w:iCs/>
        </w:rPr>
        <w:t>tunc</w:t>
      </w:r>
      <w:proofErr w:type="spellEnd"/>
      <w:r>
        <w:rPr>
          <w:i/>
          <w:iCs/>
        </w:rPr>
        <w:t xml:space="preserve"> </w:t>
      </w:r>
      <w:r>
        <w:t>from 24 October 2019, the First and Second Plaintiffs, in their capacity as joint and several receivers and managers of the assets of the P.A.L. Property Trust (</w:t>
      </w:r>
      <w:r>
        <w:rPr>
          <w:b/>
          <w:bCs/>
        </w:rPr>
        <w:t>Receivers</w:t>
      </w:r>
      <w:r>
        <w:t xml:space="preserve">) pursuant to order 2 made on 6 March 2019 be authorised to pay the First and Second Plaintiffs’ expenses of the Third Plaintiff’s liquidation and their remuneration as liquidators of the Third Plaintiff as determined or authorised by order 1 made on 22 March 2019, the approval given by the creditors of the Third Plaintiff on 22 May 2019 or pursuant to order 1 made today from the funds they hold as Receivers. </w:t>
      </w:r>
    </w:p>
    <w:p w:rsidR="001A0EDC" w:rsidRDefault="001A0EDC" w:rsidP="001A0EDC">
      <w:pPr>
        <w:pStyle w:val="NormalHeadings"/>
      </w:pPr>
      <w:r w:rsidRPr="001A0EDC">
        <w:t xml:space="preserve">THE COURT DIRECTS THAT: </w:t>
      </w:r>
    </w:p>
    <w:p w:rsidR="001A0EDC" w:rsidRDefault="001A0EDC" w:rsidP="001A0EDC">
      <w:pPr>
        <w:pStyle w:val="Order1"/>
      </w:pPr>
      <w:r>
        <w:t xml:space="preserve">The Receivers pay from the funds they hold as Receivers: </w:t>
      </w:r>
    </w:p>
    <w:p w:rsidR="001A0EDC" w:rsidRDefault="001A0EDC" w:rsidP="001A0EDC">
      <w:pPr>
        <w:pStyle w:val="Order2"/>
      </w:pPr>
      <w:r>
        <w:t xml:space="preserve">the amount in order 2; </w:t>
      </w:r>
    </w:p>
    <w:p w:rsidR="001A0EDC" w:rsidRDefault="001A0EDC" w:rsidP="001A0EDC">
      <w:pPr>
        <w:pStyle w:val="Order2"/>
      </w:pPr>
      <w:r>
        <w:lastRenderedPageBreak/>
        <w:t xml:space="preserve">the Receivers’ remuneration and expenses as approved by the Registrar, </w:t>
      </w:r>
    </w:p>
    <w:p w:rsidR="001A0EDC" w:rsidRDefault="001A0EDC" w:rsidP="001A0EDC">
      <w:pPr>
        <w:pStyle w:val="Order1"/>
        <w:numPr>
          <w:ilvl w:val="0"/>
          <w:numId w:val="0"/>
        </w:numPr>
        <w:ind w:left="720"/>
      </w:pPr>
      <w:r>
        <w:t xml:space="preserve">and then hold the balance of the funds in the Receivership until further order. </w:t>
      </w:r>
    </w:p>
    <w:p w:rsidR="001A0EDC" w:rsidRDefault="001A0EDC" w:rsidP="001A0EDC">
      <w:pPr>
        <w:pStyle w:val="Order1"/>
      </w:pPr>
      <w:r>
        <w:t xml:space="preserve">The balance of the claims for relief in the Interlocutory Application filed on 29 July 2020 be fixed for hearing at 10:15am on 17 December 2020. </w:t>
      </w:r>
    </w:p>
    <w:p w:rsidR="001A0EDC" w:rsidRDefault="001A0EDC" w:rsidP="001A0EDC">
      <w:pPr>
        <w:pStyle w:val="Order1"/>
      </w:pPr>
      <w:r>
        <w:t xml:space="preserve">The Plaintiffs file and serve any further evidence by 4pm on 27 November 2020. </w:t>
      </w:r>
    </w:p>
    <w:p w:rsidR="001A0EDC" w:rsidRDefault="001A0EDC" w:rsidP="001A0EDC">
      <w:pPr>
        <w:pStyle w:val="Order1"/>
      </w:pPr>
      <w:r>
        <w:t xml:space="preserve">Any person wishing to apply for leave to be heard file any Interlocutory Process seeking leave to be heard by 27 November 2020, and that any such interlocutory Process be returnable for hearing at 10:15am on 17 December 2020. </w:t>
      </w:r>
    </w:p>
    <w:p w:rsidR="001A0EDC" w:rsidRDefault="001A0EDC" w:rsidP="001A0EDC">
      <w:pPr>
        <w:pStyle w:val="Order1"/>
      </w:pPr>
      <w:r>
        <w:t xml:space="preserve">Any person wishing to apply for leave to be heard, or who has leave to be heard, file and serve any evidence they wish to rely on by 4pm on 4 December 2020. </w:t>
      </w:r>
    </w:p>
    <w:p w:rsidR="001A0EDC" w:rsidRDefault="001A0EDC" w:rsidP="001A0EDC">
      <w:pPr>
        <w:pStyle w:val="Order1"/>
      </w:pPr>
      <w:r>
        <w:t xml:space="preserve">The Plaintiffs file and serve their written submissions limited to 5 pages by 4pm on 8 December 2020. </w:t>
      </w:r>
    </w:p>
    <w:p w:rsidR="001A0EDC" w:rsidRDefault="001A0EDC" w:rsidP="001A0EDC">
      <w:pPr>
        <w:pStyle w:val="Order1"/>
      </w:pPr>
      <w:r>
        <w:t xml:space="preserve">Alan Hayes file and serve his written submissions limited to 5 pages by 4pm on 11 December 2020. </w:t>
      </w:r>
    </w:p>
    <w:p w:rsidR="001A0EDC" w:rsidRDefault="001A0EDC" w:rsidP="001A0EDC">
      <w:pPr>
        <w:pStyle w:val="Order1"/>
      </w:pPr>
      <w:r>
        <w:t xml:space="preserve">Any person who has filed an Interlocutory Process under order 6 file and serve their written submissions limited to 5 pages by 4pm on 14 December 2020. </w:t>
      </w:r>
    </w:p>
    <w:p w:rsidR="001A0EDC" w:rsidRDefault="001A0EDC" w:rsidP="001A0EDC">
      <w:pPr>
        <w:pStyle w:val="Order1"/>
      </w:pPr>
      <w:r>
        <w:t xml:space="preserve">The Plaintiffs file and serve their submissions in reply limited to 3 pages by noon on 16 December 2020. </w:t>
      </w:r>
    </w:p>
    <w:p w:rsidR="00A431E6" w:rsidRDefault="00A431E6" w:rsidP="001A6C52">
      <w:pPr>
        <w:pStyle w:val="BodyText"/>
      </w:pPr>
    </w:p>
    <w:p w:rsidR="001A0EDC" w:rsidRDefault="001A0EDC" w:rsidP="001A6C52">
      <w:pPr>
        <w:pStyle w:val="BodyText"/>
      </w:pPr>
    </w:p>
    <w:p w:rsidR="0050309C" w:rsidRDefault="00D602D9"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C74DCD" w:rsidRPr="00045BB7" w:rsidRDefault="00C74DCD" w:rsidP="00045BB7">
      <w:pPr>
        <w:pStyle w:val="NormalHeadings"/>
        <w:spacing w:line="480" w:lineRule="auto"/>
        <w:jc w:val="center"/>
        <w:rPr>
          <w:sz w:val="28"/>
          <w:szCs w:val="28"/>
        </w:rPr>
      </w:pPr>
      <w:r>
        <w:rPr>
          <w:sz w:val="28"/>
          <w:szCs w:val="28"/>
        </w:rPr>
        <w:t>(REVISED FROM THE TRANSCRIPT)</w:t>
      </w:r>
    </w:p>
    <w:p w:rsidR="00694BEB" w:rsidRDefault="00C74DCD" w:rsidP="005E0510">
      <w:pPr>
        <w:pStyle w:val="NormalHeadings"/>
        <w:spacing w:line="360" w:lineRule="auto"/>
        <w:jc w:val="left"/>
        <w:rPr>
          <w:sz w:val="26"/>
          <w:szCs w:val="26"/>
        </w:rPr>
      </w:pPr>
      <w:r>
        <w:rPr>
          <w:sz w:val="26"/>
          <w:szCs w:val="26"/>
        </w:rPr>
        <w:t>RARES J:</w:t>
      </w:r>
    </w:p>
    <w:p w:rsidR="00C74DCD" w:rsidRDefault="00C74DCD" w:rsidP="00C74DCD">
      <w:pPr>
        <w:pStyle w:val="ParaNumbering"/>
      </w:pPr>
      <w:r w:rsidRPr="00EF0551">
        <w:t xml:space="preserve">The first and second plaintiffs are the </w:t>
      </w:r>
      <w:r w:rsidRPr="001F7DF3">
        <w:rPr>
          <w:b/>
        </w:rPr>
        <w:t>liquidators</w:t>
      </w:r>
      <w:r w:rsidRPr="00EF0551">
        <w:t xml:space="preserve"> appointed by the Supreme Court of New South Wales on 4 February 2019 to </w:t>
      </w:r>
      <w:proofErr w:type="spellStart"/>
      <w:r w:rsidRPr="001F7DF3">
        <w:rPr>
          <w:b/>
        </w:rPr>
        <w:t>Aidzan</w:t>
      </w:r>
      <w:proofErr w:type="spellEnd"/>
      <w:r w:rsidR="001F7DF3">
        <w:t xml:space="preserve"> Pty Limited (in </w:t>
      </w:r>
      <w:proofErr w:type="spellStart"/>
      <w:r w:rsidR="001F7DF3">
        <w:t>liq</w:t>
      </w:r>
      <w:proofErr w:type="spellEnd"/>
      <w:r w:rsidRPr="00EF0551">
        <w:t>)</w:t>
      </w:r>
      <w:r w:rsidR="002E3072">
        <w:t>,</w:t>
      </w:r>
      <w:r w:rsidRPr="00EF0551">
        <w:t xml:space="preserve"> which is the third plaintiff.  </w:t>
      </w:r>
      <w:r w:rsidR="002E3072">
        <w:t>O</w:t>
      </w:r>
      <w:r w:rsidRPr="00EF0551">
        <w:t xml:space="preserve">n 6 March 2019, Yates J, in this Court, </w:t>
      </w:r>
      <w:r w:rsidR="00396C0E">
        <w:t xml:space="preserve">ordered that </w:t>
      </w:r>
      <w:r w:rsidR="001F7DF3">
        <w:t xml:space="preserve">Alan </w:t>
      </w:r>
      <w:proofErr w:type="spellStart"/>
      <w:r w:rsidR="00396C0E">
        <w:rPr>
          <w:b/>
        </w:rPr>
        <w:t>Topp</w:t>
      </w:r>
      <w:proofErr w:type="spellEnd"/>
      <w:r w:rsidRPr="00EF0551">
        <w:t xml:space="preserve"> and </w:t>
      </w:r>
      <w:r w:rsidR="001F7DF3">
        <w:t>Bruce</w:t>
      </w:r>
      <w:r w:rsidRPr="00EF0551">
        <w:t xml:space="preserve"> </w:t>
      </w:r>
      <w:r w:rsidRPr="001F7DF3">
        <w:rPr>
          <w:b/>
        </w:rPr>
        <w:t>Gleeson</w:t>
      </w:r>
      <w:r w:rsidR="001F7DF3">
        <w:t xml:space="preserve"> </w:t>
      </w:r>
      <w:r w:rsidR="00396C0E">
        <w:t xml:space="preserve">be </w:t>
      </w:r>
      <w:r w:rsidR="00396C0E" w:rsidRPr="00EF0551">
        <w:t>appointed</w:t>
      </w:r>
      <w:r w:rsidR="002E3072">
        <w:t>,</w:t>
      </w:r>
      <w:r w:rsidR="00396C0E" w:rsidRPr="00EF0551">
        <w:t xml:space="preserve"> </w:t>
      </w:r>
      <w:r w:rsidR="001F7DF3">
        <w:t>without security</w:t>
      </w:r>
      <w:r w:rsidRPr="00EF0551">
        <w:t xml:space="preserve">, </w:t>
      </w:r>
      <w:r w:rsidR="001F7DF3">
        <w:t>as joint and</w:t>
      </w:r>
      <w:r w:rsidRPr="00EF0551">
        <w:t xml:space="preserve"> several </w:t>
      </w:r>
      <w:r w:rsidRPr="001F7DF3">
        <w:rPr>
          <w:b/>
        </w:rPr>
        <w:t>receivers</w:t>
      </w:r>
      <w:r w:rsidRPr="00EF0551">
        <w:t xml:space="preserve"> and managers of the assets of the </w:t>
      </w:r>
      <w:r w:rsidRPr="001F7DF3">
        <w:rPr>
          <w:b/>
        </w:rPr>
        <w:t>PAL</w:t>
      </w:r>
      <w:r w:rsidRPr="00EF0551">
        <w:t xml:space="preserve"> Property </w:t>
      </w:r>
      <w:r w:rsidRPr="001F7DF3">
        <w:rPr>
          <w:b/>
        </w:rPr>
        <w:t>Trust</w:t>
      </w:r>
      <w:r w:rsidRPr="00EF0551">
        <w:t xml:space="preserve"> until further order.  </w:t>
      </w:r>
    </w:p>
    <w:p w:rsidR="009B2C37" w:rsidRDefault="009B2C37" w:rsidP="00C74DCD">
      <w:pPr>
        <w:pStyle w:val="ParaNumbering"/>
      </w:pPr>
      <w:r>
        <w:t xml:space="preserve">The orders made on 6 March 2019 included, </w:t>
      </w:r>
      <w:r w:rsidRPr="009B2C37">
        <w:rPr>
          <w:i/>
        </w:rPr>
        <w:t>first</w:t>
      </w:r>
      <w:r>
        <w:t>, o</w:t>
      </w:r>
      <w:r w:rsidRPr="00EF0551">
        <w:t>bjective</w:t>
      </w:r>
      <w:r>
        <w:t xml:space="preserve"> 1 in annexure B that stated that the objective</w:t>
      </w:r>
      <w:r w:rsidRPr="00EF0551">
        <w:t xml:space="preserve"> of the appointment of the receivers was to enable them to realise the assets of the PAL Trust</w:t>
      </w:r>
      <w:r>
        <w:t>,</w:t>
      </w:r>
      <w:r w:rsidRPr="00EF0551">
        <w:t xml:space="preserve"> to enforce </w:t>
      </w:r>
      <w:proofErr w:type="spellStart"/>
      <w:r w:rsidRPr="00EF0551">
        <w:t>Aidzan’s</w:t>
      </w:r>
      <w:proofErr w:type="spellEnd"/>
      <w:r w:rsidRPr="00EF0551">
        <w:t xml:space="preserve"> right of indemnity against those assets and to apply the proceeds to discharge those liabilities of </w:t>
      </w:r>
      <w:proofErr w:type="spellStart"/>
      <w:r w:rsidRPr="00EF0551">
        <w:t>Aidzan</w:t>
      </w:r>
      <w:proofErr w:type="spellEnd"/>
      <w:r w:rsidRPr="00EF0551">
        <w:t xml:space="preserve"> to whic</w:t>
      </w:r>
      <w:r>
        <w:t xml:space="preserve">h the right of indemnity applied, and, </w:t>
      </w:r>
      <w:r w:rsidRPr="00D704F8">
        <w:rPr>
          <w:i/>
        </w:rPr>
        <w:t>secondly</w:t>
      </w:r>
      <w:r w:rsidR="00D704F8">
        <w:t>,</w:t>
      </w:r>
      <w:r w:rsidRPr="00EF0551">
        <w:t xml:space="preserve"> </w:t>
      </w:r>
      <w:r>
        <w:t>o</w:t>
      </w:r>
      <w:r w:rsidRPr="00EF0551">
        <w:t xml:space="preserve">rder 8 </w:t>
      </w:r>
      <w:r>
        <w:t xml:space="preserve">that directed </w:t>
      </w:r>
      <w:r w:rsidRPr="00EF0551">
        <w:t xml:space="preserve">the </w:t>
      </w:r>
      <w:r>
        <w:t>R</w:t>
      </w:r>
      <w:r w:rsidRPr="00EF0551">
        <w:t>egistrar to determi</w:t>
      </w:r>
      <w:r w:rsidR="002E3072">
        <w:t>ne the amount of the liquidator</w:t>
      </w:r>
      <w:r w:rsidRPr="00EF0551">
        <w:t>s</w:t>
      </w:r>
      <w:r w:rsidR="002E3072">
        <w:t>’</w:t>
      </w:r>
      <w:r w:rsidRPr="00EF0551">
        <w:t xml:space="preserve"> remuneration for the period 4 to 26 February 2019, as claimed in Mr </w:t>
      </w:r>
      <w:proofErr w:type="spellStart"/>
      <w:r>
        <w:t>Topp’s</w:t>
      </w:r>
      <w:proofErr w:type="spellEnd"/>
      <w:r w:rsidRPr="00EF0551">
        <w:t xml:space="preserve"> affidavit of 27 February 2019.</w:t>
      </w:r>
    </w:p>
    <w:p w:rsidR="00396C0E" w:rsidRDefault="00396C0E" w:rsidP="00396C0E">
      <w:pPr>
        <w:pStyle w:val="Heading2"/>
      </w:pPr>
      <w:r>
        <w:t>This application</w:t>
      </w:r>
    </w:p>
    <w:p w:rsidR="00396C0E" w:rsidRDefault="00396C0E" w:rsidP="00396C0E">
      <w:pPr>
        <w:pStyle w:val="ParaNumbering"/>
      </w:pPr>
      <w:r>
        <w:t>The liquidator</w:t>
      </w:r>
      <w:r w:rsidRPr="00EF0551">
        <w:t xml:space="preserve">s </w:t>
      </w:r>
      <w:r>
        <w:t xml:space="preserve">and </w:t>
      </w:r>
      <w:r w:rsidRPr="00EF0551">
        <w:t xml:space="preserve">receivers </w:t>
      </w:r>
      <w:r>
        <w:t>also</w:t>
      </w:r>
      <w:r w:rsidRPr="00EF0551">
        <w:t xml:space="preserve"> seek a number of orders in their interlocutory application filed on 29 July 2020</w:t>
      </w:r>
      <w:r w:rsidR="009B2C37">
        <w:t>,</w:t>
      </w:r>
      <w:r w:rsidRPr="00EF0551">
        <w:t xml:space="preserve"> </w:t>
      </w:r>
      <w:r>
        <w:t xml:space="preserve">including </w:t>
      </w:r>
      <w:r w:rsidR="001C3728">
        <w:t xml:space="preserve">orders </w:t>
      </w:r>
      <w:r>
        <w:t>that that application</w:t>
      </w:r>
      <w:r w:rsidRPr="00EF0551">
        <w:t xml:space="preserve"> be </w:t>
      </w:r>
      <w:r w:rsidR="009B2C37">
        <w:t xml:space="preserve">determined </w:t>
      </w:r>
      <w:r w:rsidRPr="00EF0551">
        <w:t xml:space="preserve">in two stages.  </w:t>
      </w:r>
      <w:r>
        <w:t>The first stage</w:t>
      </w:r>
      <w:r w:rsidRPr="00EF0551">
        <w:t xml:space="preserve"> seeks </w:t>
      </w:r>
      <w:r>
        <w:t xml:space="preserve">orders today </w:t>
      </w:r>
      <w:r w:rsidRPr="00EF0551">
        <w:t>that</w:t>
      </w:r>
      <w:r w:rsidR="009B2C37">
        <w:t>:</w:t>
      </w:r>
      <w:r w:rsidRPr="00EF0551">
        <w:t xml:space="preserve"> </w:t>
      </w:r>
    </w:p>
    <w:p w:rsidR="00396C0E" w:rsidRDefault="00396C0E" w:rsidP="00396C0E">
      <w:pPr>
        <w:pStyle w:val="FCBullets"/>
      </w:pPr>
      <w:r>
        <w:t>the R</w:t>
      </w:r>
      <w:r w:rsidRPr="00EF0551">
        <w:t xml:space="preserve">egistrar should </w:t>
      </w:r>
      <w:r>
        <w:t>determine</w:t>
      </w:r>
      <w:r w:rsidR="001C3728">
        <w:t xml:space="preserve"> the amount of the liquidator</w:t>
      </w:r>
      <w:r w:rsidRPr="00EF0551">
        <w:t>s</w:t>
      </w:r>
      <w:r w:rsidR="001C3728">
        <w:t>’</w:t>
      </w:r>
      <w:r w:rsidRPr="00EF0551">
        <w:t xml:space="preserve"> remuneration for the period from 27 February 2019;  </w:t>
      </w:r>
    </w:p>
    <w:p w:rsidR="00396C0E" w:rsidRDefault="00396C0E" w:rsidP="00396C0E">
      <w:pPr>
        <w:pStyle w:val="FCBullets"/>
      </w:pPr>
      <w:r>
        <w:t>the  liquidators</w:t>
      </w:r>
      <w:r w:rsidRPr="00EF0551">
        <w:t xml:space="preserve"> pay that remuneration </w:t>
      </w:r>
      <w:r>
        <w:t xml:space="preserve">as fixed </w:t>
      </w:r>
      <w:r w:rsidR="009B2C37">
        <w:t xml:space="preserve">and their expenses as receivers (which are likely to be mainly legal fees) </w:t>
      </w:r>
      <w:r w:rsidRPr="00EF0551">
        <w:t xml:space="preserve">to themselves from the funds they hold in </w:t>
      </w:r>
      <w:r>
        <w:t xml:space="preserve">the </w:t>
      </w:r>
      <w:r w:rsidRPr="00EF0551">
        <w:t xml:space="preserve">receivership;  and </w:t>
      </w:r>
    </w:p>
    <w:p w:rsidR="00396C0E" w:rsidRDefault="001C3728" w:rsidP="00396C0E">
      <w:pPr>
        <w:pStyle w:val="FCBullets"/>
      </w:pPr>
      <w:r>
        <w:t xml:space="preserve">any funds held by the receivers, </w:t>
      </w:r>
      <w:r w:rsidR="00396C0E" w:rsidRPr="00EF0551">
        <w:t>after paying any amount owing t</w:t>
      </w:r>
      <w:r w:rsidR="00396C0E">
        <w:t>o the Commissioner of Taxation (</w:t>
      </w:r>
      <w:r w:rsidR="00396C0E" w:rsidRPr="00EF0551">
        <w:t xml:space="preserve">which Mr </w:t>
      </w:r>
      <w:proofErr w:type="spellStart"/>
      <w:r w:rsidR="00396C0E">
        <w:t>Topp</w:t>
      </w:r>
      <w:proofErr w:type="spellEnd"/>
      <w:r w:rsidR="00396C0E" w:rsidRPr="00EF0551">
        <w:t xml:space="preserve"> believes will be the subject of a nil cert</w:t>
      </w:r>
      <w:r w:rsidR="00396C0E">
        <w:t>ificate soon to be forthcoming)</w:t>
      </w:r>
      <w:r>
        <w:t>,</w:t>
      </w:r>
      <w:r w:rsidR="002E3072">
        <w:t xml:space="preserve"> be</w:t>
      </w:r>
      <w:r w:rsidR="00396C0E" w:rsidRPr="00EF0551">
        <w:t xml:space="preserve"> </w:t>
      </w:r>
      <w:r w:rsidR="002E3072">
        <w:t xml:space="preserve">paid </w:t>
      </w:r>
      <w:r w:rsidR="00396C0E" w:rsidRPr="00EF0551">
        <w:t xml:space="preserve">to </w:t>
      </w:r>
      <w:proofErr w:type="spellStart"/>
      <w:r w:rsidR="00396C0E" w:rsidRPr="002E3072">
        <w:rPr>
          <w:b/>
        </w:rPr>
        <w:t>Nazdia</w:t>
      </w:r>
      <w:proofErr w:type="spellEnd"/>
      <w:r w:rsidR="00396C0E">
        <w:t xml:space="preserve"> </w:t>
      </w:r>
      <w:r w:rsidR="002E3072">
        <w:t xml:space="preserve">Pty Ltd, the first defendant, </w:t>
      </w:r>
      <w:r w:rsidR="00396C0E">
        <w:t xml:space="preserve">after the Registrar determines the receivers’ remuneration for the period up to 24 June 2020, and the retention by </w:t>
      </w:r>
      <w:r w:rsidR="002E3072">
        <w:t xml:space="preserve">the </w:t>
      </w:r>
      <w:proofErr w:type="spellStart"/>
      <w:r w:rsidR="002E3072">
        <w:t>receievers</w:t>
      </w:r>
      <w:proofErr w:type="spellEnd"/>
      <w:r w:rsidR="00396C0E">
        <w:t xml:space="preserve"> of $350,000 to meet anticipated costs and expenses of the receivership and liquidation up to the anticipated terminations of those appointments.</w:t>
      </w:r>
    </w:p>
    <w:p w:rsidR="001F7DF3" w:rsidRDefault="00396C0E" w:rsidP="00C74DCD">
      <w:pPr>
        <w:pStyle w:val="ParaNumbering"/>
      </w:pPr>
      <w:proofErr w:type="spellStart"/>
      <w:r w:rsidRPr="00EF0551">
        <w:lastRenderedPageBreak/>
        <w:t>Aidzan</w:t>
      </w:r>
      <w:proofErr w:type="spellEnd"/>
      <w:r w:rsidRPr="00EF0551">
        <w:t xml:space="preserve"> was the trustee of the PAL Trust.  </w:t>
      </w:r>
      <w:r w:rsidR="00C74DCD" w:rsidRPr="00EF0551">
        <w:t xml:space="preserve">The circumstances in which </w:t>
      </w:r>
      <w:proofErr w:type="spellStart"/>
      <w:r w:rsidR="00C74DCD" w:rsidRPr="00EF0551">
        <w:t>Aidzan</w:t>
      </w:r>
      <w:proofErr w:type="spellEnd"/>
      <w:r w:rsidR="00C74DCD" w:rsidRPr="00EF0551">
        <w:t xml:space="preserve"> came to be the trustee of the PAL Trust</w:t>
      </w:r>
      <w:r w:rsidR="002E3072">
        <w:t>,</w:t>
      </w:r>
      <w:r w:rsidR="00C74DCD" w:rsidRPr="00EF0551">
        <w:t xml:space="preserve"> and their aftermath</w:t>
      </w:r>
      <w:r w:rsidR="002E3072">
        <w:t>,</w:t>
      </w:r>
      <w:r w:rsidR="00C74DCD" w:rsidRPr="00EF0551">
        <w:t xml:space="preserve"> are somewhat complex but</w:t>
      </w:r>
      <w:r w:rsidR="001F7DF3">
        <w:t>,</w:t>
      </w:r>
      <w:r w:rsidR="00C74DCD" w:rsidRPr="00EF0551">
        <w:t xml:space="preserve"> for present purposes</w:t>
      </w:r>
      <w:r w:rsidR="001F7DF3">
        <w:t>,</w:t>
      </w:r>
      <w:r w:rsidR="00C74DCD" w:rsidRPr="00EF0551">
        <w:t xml:space="preserve"> can be summarised </w:t>
      </w:r>
      <w:r w:rsidR="001F7DF3" w:rsidRPr="00EF0551">
        <w:t xml:space="preserve">broadly </w:t>
      </w:r>
      <w:r w:rsidR="00C74DCD" w:rsidRPr="00EF0551">
        <w:t>as follows</w:t>
      </w:r>
      <w:r w:rsidR="001C3728">
        <w:t>,</w:t>
      </w:r>
      <w:r w:rsidR="001F7DF3">
        <w:t xml:space="preserve"> based on Mr </w:t>
      </w:r>
      <w:proofErr w:type="spellStart"/>
      <w:r w:rsidR="001F7DF3">
        <w:t>Topp’s</w:t>
      </w:r>
      <w:proofErr w:type="spellEnd"/>
      <w:r w:rsidR="001F7DF3">
        <w:t xml:space="preserve"> investigations as liquidator and receiver</w:t>
      </w:r>
      <w:r w:rsidR="00C74DCD" w:rsidRPr="00EF0551">
        <w:t xml:space="preserve">.  </w:t>
      </w:r>
    </w:p>
    <w:p w:rsidR="001F7DF3" w:rsidRPr="00EF0551" w:rsidRDefault="002E3072" w:rsidP="001F7DF3">
      <w:pPr>
        <w:pStyle w:val="ParaNumbering"/>
      </w:pPr>
      <w:r>
        <w:t>On 27 April 195</w:t>
      </w:r>
      <w:r w:rsidR="00C74DCD" w:rsidRPr="00EF0551">
        <w:t xml:space="preserve">5, </w:t>
      </w:r>
      <w:r w:rsidR="001F7DF3">
        <w:t>each of Alan</w:t>
      </w:r>
      <w:r w:rsidR="00C74DCD" w:rsidRPr="00EF0551">
        <w:t xml:space="preserve"> Laird (Holdings) Pty Limited</w:t>
      </w:r>
      <w:r w:rsidR="001F7DF3">
        <w:t xml:space="preserve"> (</w:t>
      </w:r>
      <w:r w:rsidR="001F7DF3">
        <w:rPr>
          <w:b/>
        </w:rPr>
        <w:t>ALH</w:t>
      </w:r>
      <w:r w:rsidR="001F7DF3">
        <w:t>) and K. &amp; A. Laird (N.S.W.) Pty Ltd (</w:t>
      </w:r>
      <w:r w:rsidR="001F7DF3" w:rsidRPr="001F7DF3">
        <w:rPr>
          <w:b/>
        </w:rPr>
        <w:t>K. &amp; A. Laird</w:t>
      </w:r>
      <w:r w:rsidR="001F7DF3">
        <w:t>)</w:t>
      </w:r>
      <w:r w:rsidR="00C74DCD" w:rsidRPr="00EF0551">
        <w:t xml:space="preserve"> was incorporated. </w:t>
      </w:r>
      <w:r>
        <w:t xml:space="preserve"> ALH</w:t>
      </w:r>
      <w:r w:rsidRPr="00EF0551">
        <w:t xml:space="preserve"> did not appear to engage any trade or business activities.  </w:t>
      </w:r>
      <w:r>
        <w:t>K. &amp; A. Laird was the operating company of the family’s steel metalwork business.</w:t>
      </w:r>
      <w:r w:rsidR="00C74DCD" w:rsidRPr="00EF0551">
        <w:t xml:space="preserve"> </w:t>
      </w:r>
      <w:r>
        <w:t xml:space="preserve"> </w:t>
      </w:r>
      <w:r w:rsidR="00C74DCD" w:rsidRPr="00EF0551">
        <w:t xml:space="preserve">The eponymous </w:t>
      </w:r>
      <w:r w:rsidR="001F7DF3" w:rsidRPr="001C3728">
        <w:rPr>
          <w:b/>
        </w:rPr>
        <w:t>Alan</w:t>
      </w:r>
      <w:r w:rsidR="00C74DCD" w:rsidRPr="00EF0551">
        <w:t xml:space="preserve"> Laird appears to have been the patriarch of the family </w:t>
      </w:r>
      <w:r>
        <w:t>and the initial driving force behind its</w:t>
      </w:r>
      <w:r w:rsidR="00C74DCD" w:rsidRPr="00EF0551">
        <w:t xml:space="preserve"> </w:t>
      </w:r>
      <w:r w:rsidR="001F7DF3">
        <w:t>steel</w:t>
      </w:r>
      <w:r w:rsidR="001C3728">
        <w:t xml:space="preserve"> metal</w:t>
      </w:r>
      <w:r w:rsidR="00C74DCD" w:rsidRPr="00EF0551">
        <w:t>work and associated business</w:t>
      </w:r>
      <w:r w:rsidR="001F7DF3">
        <w:t xml:space="preserve">es.  </w:t>
      </w:r>
    </w:p>
    <w:p w:rsidR="001F7DF3" w:rsidRDefault="00C74DCD" w:rsidP="001F7DF3">
      <w:pPr>
        <w:pStyle w:val="ParaNumbering"/>
      </w:pPr>
      <w:r w:rsidRPr="00EF0551">
        <w:t xml:space="preserve">Subsequently, </w:t>
      </w:r>
      <w:r w:rsidR="001F7DF3" w:rsidRPr="00EF0551">
        <w:t>on 17 June 1959</w:t>
      </w:r>
      <w:r w:rsidR="001F7DF3">
        <w:t xml:space="preserve">, </w:t>
      </w:r>
      <w:proofErr w:type="spellStart"/>
      <w:r w:rsidRPr="001F7DF3">
        <w:rPr>
          <w:b/>
        </w:rPr>
        <w:t>Winbourne</w:t>
      </w:r>
      <w:proofErr w:type="spellEnd"/>
      <w:r w:rsidRPr="00EF0551">
        <w:t xml:space="preserve"> Engineering Pty Limited was incorporated</w:t>
      </w:r>
      <w:r w:rsidR="001F7DF3">
        <w:t>,</w:t>
      </w:r>
      <w:r w:rsidRPr="00EF0551">
        <w:t xml:space="preserve"> but according to </w:t>
      </w:r>
      <w:r w:rsidR="001F7DF3">
        <w:t>Alan</w:t>
      </w:r>
      <w:r w:rsidR="001C3728">
        <w:t>’s</w:t>
      </w:r>
      <w:r w:rsidRPr="00EF0551">
        <w:t xml:space="preserve"> son, </w:t>
      </w:r>
      <w:r w:rsidRPr="001F7DF3">
        <w:rPr>
          <w:b/>
        </w:rPr>
        <w:t>Peter</w:t>
      </w:r>
      <w:r w:rsidR="002E3072">
        <w:rPr>
          <w:b/>
        </w:rPr>
        <w:t xml:space="preserve"> </w:t>
      </w:r>
      <w:r w:rsidR="002E3072">
        <w:t>Laird</w:t>
      </w:r>
      <w:r w:rsidRPr="00EF0551">
        <w:t xml:space="preserve">, it </w:t>
      </w:r>
      <w:r w:rsidR="001C3728">
        <w:t xml:space="preserve">also </w:t>
      </w:r>
      <w:r w:rsidRPr="00EF0551">
        <w:t xml:space="preserve">did not engage any trade or business activities.  Peter became a director of </w:t>
      </w:r>
      <w:proofErr w:type="spellStart"/>
      <w:r w:rsidRPr="00EF0551">
        <w:t>Winbourne</w:t>
      </w:r>
      <w:proofErr w:type="spellEnd"/>
      <w:r w:rsidRPr="00EF0551">
        <w:t xml:space="preserve"> on 4 March 1980.  His mother, </w:t>
      </w:r>
      <w:r w:rsidRPr="001F7DF3">
        <w:rPr>
          <w:b/>
        </w:rPr>
        <w:t xml:space="preserve">Dorothy </w:t>
      </w:r>
      <w:r w:rsidRPr="001C3728">
        <w:t>Laird</w:t>
      </w:r>
      <w:r w:rsidRPr="00EF0551">
        <w:t xml:space="preserve">, became a director of </w:t>
      </w:r>
      <w:proofErr w:type="spellStart"/>
      <w:r w:rsidRPr="00EF0551">
        <w:t>Winbourne</w:t>
      </w:r>
      <w:proofErr w:type="spellEnd"/>
      <w:r w:rsidRPr="00EF0551">
        <w:t xml:space="preserve"> from 16 April 1984 until she passed away on 27 November 2009.  One of Mr Laird’s siblings, </w:t>
      </w:r>
      <w:r w:rsidRPr="001F7DF3">
        <w:rPr>
          <w:b/>
        </w:rPr>
        <w:t>Michael</w:t>
      </w:r>
      <w:r w:rsidR="002E3072">
        <w:rPr>
          <w:b/>
        </w:rPr>
        <w:t xml:space="preserve"> </w:t>
      </w:r>
      <w:r w:rsidR="002E3072">
        <w:t>Laird</w:t>
      </w:r>
      <w:r w:rsidRPr="00EF0551">
        <w:t xml:space="preserve">, was appointed </w:t>
      </w:r>
      <w:r w:rsidR="001F7DF3">
        <w:t xml:space="preserve">as secretary of </w:t>
      </w:r>
      <w:r w:rsidR="001F7DF3" w:rsidRPr="00EF0551">
        <w:t>K. &amp; A. Laird</w:t>
      </w:r>
      <w:r w:rsidR="001F7DF3">
        <w:t xml:space="preserve"> on 28 September 1983 and as a </w:t>
      </w:r>
      <w:r w:rsidRPr="00EF0551">
        <w:t>directo</w:t>
      </w:r>
      <w:r w:rsidR="001F7DF3">
        <w:t xml:space="preserve">r of </w:t>
      </w:r>
      <w:proofErr w:type="spellStart"/>
      <w:r w:rsidR="001F7DF3">
        <w:t>Winbourne</w:t>
      </w:r>
      <w:proofErr w:type="spellEnd"/>
      <w:r w:rsidR="001F7DF3">
        <w:t xml:space="preserve"> on 1 June 2017.  </w:t>
      </w:r>
      <w:r w:rsidRPr="00EF0551">
        <w:t xml:space="preserve">Another sibling of Peter, </w:t>
      </w:r>
      <w:r w:rsidRPr="001F7DF3">
        <w:rPr>
          <w:b/>
        </w:rPr>
        <w:t>Deb</w:t>
      </w:r>
      <w:r w:rsidR="002E3072">
        <w:rPr>
          <w:b/>
        </w:rPr>
        <w:t>ora</w:t>
      </w:r>
      <w:r w:rsidR="001F7DF3">
        <w:t xml:space="preserve"> Laird</w:t>
      </w:r>
      <w:r w:rsidRPr="00EF0551">
        <w:t xml:space="preserve"> </w:t>
      </w:r>
      <w:r w:rsidR="001F7DF3">
        <w:t>(</w:t>
      </w:r>
      <w:r w:rsidR="002E3072">
        <w:t>also known as Debora</w:t>
      </w:r>
      <w:r w:rsidRPr="00EF0551">
        <w:t xml:space="preserve"> Roberts</w:t>
      </w:r>
      <w:r w:rsidR="001F7DF3">
        <w:t>)</w:t>
      </w:r>
      <w:r w:rsidR="001C3728">
        <w:t>,</w:t>
      </w:r>
      <w:r w:rsidRPr="00EF0551">
        <w:t xml:space="preserve"> became a director of </w:t>
      </w:r>
      <w:r w:rsidR="001F7DF3">
        <w:t>ALH</w:t>
      </w:r>
      <w:r w:rsidRPr="00EF0551">
        <w:t xml:space="preserve"> on 1 May 1979</w:t>
      </w:r>
      <w:r w:rsidR="002E3072">
        <w:t>,</w:t>
      </w:r>
      <w:r w:rsidRPr="00EF0551">
        <w:t xml:space="preserve"> and </w:t>
      </w:r>
      <w:r w:rsidR="001F7DF3">
        <w:t>Peter</w:t>
      </w:r>
      <w:r w:rsidRPr="00EF0551">
        <w:t xml:space="preserve"> </w:t>
      </w:r>
      <w:r w:rsidR="001C3728">
        <w:t xml:space="preserve">also </w:t>
      </w:r>
      <w:r w:rsidRPr="00EF0551">
        <w:t>became</w:t>
      </w:r>
      <w:r w:rsidR="001C3728">
        <w:t xml:space="preserve"> one of its</w:t>
      </w:r>
      <w:r w:rsidRPr="00EF0551">
        <w:t xml:space="preserve"> director</w:t>
      </w:r>
      <w:r w:rsidR="001C3728">
        <w:t>s</w:t>
      </w:r>
      <w:r w:rsidRPr="00EF0551">
        <w:t xml:space="preserve"> on 16 April 1984.  </w:t>
      </w:r>
      <w:r w:rsidR="001F7DF3">
        <w:t>Dorothy</w:t>
      </w:r>
      <w:r w:rsidRPr="00EF0551">
        <w:t xml:space="preserve"> had been appointed a director </w:t>
      </w:r>
      <w:r w:rsidR="001C3728">
        <w:t xml:space="preserve">of ALH </w:t>
      </w:r>
      <w:r w:rsidRPr="00EF0551">
        <w:t xml:space="preserve">on 30 June 1955 and remained so until her death.  Michael became a director of </w:t>
      </w:r>
      <w:r w:rsidR="001F7DF3">
        <w:t>ALH</w:t>
      </w:r>
      <w:r w:rsidRPr="00EF0551">
        <w:t xml:space="preserve"> only on 7 August 2018.  </w:t>
      </w:r>
    </w:p>
    <w:p w:rsidR="00112A72" w:rsidRDefault="00C74DCD" w:rsidP="001F7DF3">
      <w:pPr>
        <w:pStyle w:val="ParaNumbering"/>
      </w:pPr>
      <w:r w:rsidRPr="00EF0551">
        <w:t xml:space="preserve">Peter managed </w:t>
      </w:r>
      <w:r w:rsidR="002E3072" w:rsidRPr="00EF0551">
        <w:t xml:space="preserve">K. &amp; A. Laird </w:t>
      </w:r>
      <w:r w:rsidRPr="00EF0551">
        <w:t>with his father during the 1970s and 1980s</w:t>
      </w:r>
      <w:r w:rsidR="001C3728">
        <w:t>,</w:t>
      </w:r>
      <w:r w:rsidRPr="00EF0551">
        <w:t xml:space="preserve"> having been appointed a director on 4 May 1980.  Peter’s siblings did not take part in the day to day activities of the companies or their management although</w:t>
      </w:r>
      <w:r w:rsidR="00112A72">
        <w:t>,</w:t>
      </w:r>
      <w:r w:rsidRPr="00EF0551">
        <w:t xml:space="preserve"> </w:t>
      </w:r>
      <w:r w:rsidR="00112A72">
        <w:t xml:space="preserve">as I have noted, </w:t>
      </w:r>
      <w:r w:rsidRPr="00EF0551">
        <w:t xml:space="preserve">Michael was appointed secretary of K. &amp; A. Laird on 28 September 1983.  </w:t>
      </w:r>
    </w:p>
    <w:p w:rsidR="00112A72" w:rsidRDefault="00112A72" w:rsidP="00112A72">
      <w:pPr>
        <w:pStyle w:val="ParaNumbering"/>
      </w:pPr>
      <w:r>
        <w:t>From</w:t>
      </w:r>
      <w:r w:rsidR="00C74DCD" w:rsidRPr="00EF0551">
        <w:t xml:space="preserve"> the time that </w:t>
      </w:r>
      <w:r>
        <w:t>Alan</w:t>
      </w:r>
      <w:r w:rsidR="00C74DCD" w:rsidRPr="00EF0551">
        <w:t xml:space="preserve"> withdrew from the day to day operations of K. &amp; A. Laird in the late 1980s</w:t>
      </w:r>
      <w:r>
        <w:t>,</w:t>
      </w:r>
      <w:r w:rsidR="00C74DCD" w:rsidRPr="00EF0551">
        <w:t xml:space="preserve"> Peter managed its operations alone.  </w:t>
      </w:r>
      <w:r>
        <w:t>Alan</w:t>
      </w:r>
      <w:r w:rsidR="00C74DCD" w:rsidRPr="00EF0551">
        <w:t xml:space="preserve"> passed away on 27 August 1987.  Between 30 July 1987 to 27 November 2009, the share</w:t>
      </w:r>
      <w:r>
        <w:t>s</w:t>
      </w:r>
      <w:r w:rsidR="00C74DCD" w:rsidRPr="00EF0551">
        <w:t xml:space="preserve"> </w:t>
      </w:r>
      <w:r>
        <w:t>in ALH were</w:t>
      </w:r>
      <w:r w:rsidR="00C74DCD" w:rsidRPr="00EF0551">
        <w:t xml:space="preserve"> held </w:t>
      </w:r>
      <w:r>
        <w:t>as follows:</w:t>
      </w:r>
    </w:p>
    <w:tbl>
      <w:tblPr>
        <w:tblStyle w:val="TableGrid"/>
        <w:tblW w:w="5539" w:type="dxa"/>
        <w:jc w:val="center"/>
        <w:tblLook w:val="04A0" w:firstRow="1" w:lastRow="0" w:firstColumn="1" w:lastColumn="0" w:noHBand="0" w:noVBand="1"/>
      </w:tblPr>
      <w:tblGrid>
        <w:gridCol w:w="2982"/>
        <w:gridCol w:w="2557"/>
      </w:tblGrid>
      <w:tr w:rsidR="009B2C37" w:rsidTr="00AA5195">
        <w:trPr>
          <w:trHeight w:val="20"/>
          <w:jc w:val="center"/>
        </w:trPr>
        <w:tc>
          <w:tcPr>
            <w:tcW w:w="2982" w:type="dxa"/>
          </w:tcPr>
          <w:p w:rsidR="009B2C37" w:rsidRPr="009B2C37" w:rsidRDefault="009B2C37" w:rsidP="009B2C37">
            <w:pPr>
              <w:pStyle w:val="Quote1"/>
              <w:spacing w:after="100" w:afterAutospacing="1"/>
              <w:ind w:left="0" w:right="0"/>
              <w:jc w:val="left"/>
              <w:rPr>
                <w:b/>
              </w:rPr>
            </w:pPr>
            <w:r w:rsidRPr="009B2C37">
              <w:rPr>
                <w:b/>
              </w:rPr>
              <w:t>Shareholder</w:t>
            </w:r>
          </w:p>
        </w:tc>
        <w:tc>
          <w:tcPr>
            <w:tcW w:w="2557" w:type="dxa"/>
          </w:tcPr>
          <w:p w:rsidR="009B2C37" w:rsidRPr="009B2C37" w:rsidRDefault="009B2C37" w:rsidP="009B2C37">
            <w:pPr>
              <w:pStyle w:val="Quote1"/>
              <w:spacing w:after="100" w:afterAutospacing="1"/>
              <w:ind w:left="0" w:right="0"/>
              <w:jc w:val="left"/>
              <w:rPr>
                <w:b/>
              </w:rPr>
            </w:pPr>
            <w:r w:rsidRPr="009B2C37">
              <w:rPr>
                <w:b/>
              </w:rPr>
              <w:t>Holding</w:t>
            </w:r>
          </w:p>
        </w:tc>
      </w:tr>
      <w:tr w:rsidR="00112A72" w:rsidTr="00AA5195">
        <w:trPr>
          <w:trHeight w:val="20"/>
          <w:jc w:val="center"/>
        </w:trPr>
        <w:tc>
          <w:tcPr>
            <w:tcW w:w="2982" w:type="dxa"/>
          </w:tcPr>
          <w:p w:rsidR="00112A72" w:rsidRDefault="00112A72" w:rsidP="009B2C37">
            <w:pPr>
              <w:pStyle w:val="Quote1"/>
              <w:spacing w:after="100" w:afterAutospacing="1"/>
              <w:ind w:left="0" w:right="0"/>
              <w:jc w:val="left"/>
            </w:pPr>
            <w:r>
              <w:t>Dorothy</w:t>
            </w:r>
          </w:p>
        </w:tc>
        <w:tc>
          <w:tcPr>
            <w:tcW w:w="2557" w:type="dxa"/>
          </w:tcPr>
          <w:p w:rsidR="00112A72" w:rsidRDefault="00112A72" w:rsidP="009B2C37">
            <w:pPr>
              <w:pStyle w:val="Quote1"/>
              <w:spacing w:after="100" w:afterAutospacing="1"/>
              <w:ind w:left="0" w:right="0"/>
              <w:jc w:val="left"/>
            </w:pPr>
            <w:r>
              <w:t>50%</w:t>
            </w:r>
          </w:p>
        </w:tc>
      </w:tr>
      <w:tr w:rsidR="00112A72" w:rsidTr="00AA5195">
        <w:trPr>
          <w:trHeight w:val="274"/>
          <w:jc w:val="center"/>
        </w:trPr>
        <w:tc>
          <w:tcPr>
            <w:tcW w:w="2982" w:type="dxa"/>
          </w:tcPr>
          <w:p w:rsidR="00112A72" w:rsidRDefault="00112A72" w:rsidP="009B2C37">
            <w:pPr>
              <w:pStyle w:val="Quote1"/>
              <w:spacing w:after="100" w:afterAutospacing="1"/>
              <w:ind w:left="0" w:right="0"/>
              <w:jc w:val="left"/>
            </w:pPr>
            <w:r>
              <w:t>Peter</w:t>
            </w:r>
          </w:p>
        </w:tc>
        <w:tc>
          <w:tcPr>
            <w:tcW w:w="2557" w:type="dxa"/>
          </w:tcPr>
          <w:p w:rsidR="00112A72" w:rsidRDefault="00112A72" w:rsidP="009B2C37">
            <w:pPr>
              <w:pStyle w:val="Quote1"/>
              <w:spacing w:after="100" w:afterAutospacing="1"/>
              <w:ind w:left="0" w:right="0"/>
              <w:jc w:val="left"/>
            </w:pPr>
            <w:r>
              <w:t>16%</w:t>
            </w:r>
          </w:p>
        </w:tc>
      </w:tr>
      <w:tr w:rsidR="00112A72" w:rsidTr="00AA5195">
        <w:trPr>
          <w:trHeight w:val="20"/>
          <w:jc w:val="center"/>
        </w:trPr>
        <w:tc>
          <w:tcPr>
            <w:tcW w:w="2982" w:type="dxa"/>
          </w:tcPr>
          <w:p w:rsidR="00112A72" w:rsidRDefault="00112A72" w:rsidP="009B2C37">
            <w:pPr>
              <w:pStyle w:val="Quote1"/>
              <w:spacing w:after="100" w:afterAutospacing="1"/>
              <w:ind w:left="0" w:right="0"/>
              <w:jc w:val="left"/>
            </w:pPr>
            <w:r>
              <w:t>Michael</w:t>
            </w:r>
          </w:p>
        </w:tc>
        <w:tc>
          <w:tcPr>
            <w:tcW w:w="2557" w:type="dxa"/>
          </w:tcPr>
          <w:p w:rsidR="00112A72" w:rsidRDefault="00112A72" w:rsidP="009B2C37">
            <w:pPr>
              <w:pStyle w:val="Quote1"/>
              <w:spacing w:after="100" w:afterAutospacing="1"/>
              <w:ind w:left="0" w:right="0"/>
              <w:jc w:val="left"/>
            </w:pPr>
            <w:r>
              <w:t>8.5%</w:t>
            </w:r>
          </w:p>
        </w:tc>
      </w:tr>
      <w:tr w:rsidR="00112A72" w:rsidTr="00AA5195">
        <w:trPr>
          <w:trHeight w:val="20"/>
          <w:jc w:val="center"/>
        </w:trPr>
        <w:tc>
          <w:tcPr>
            <w:tcW w:w="2982" w:type="dxa"/>
          </w:tcPr>
          <w:p w:rsidR="00112A72" w:rsidRPr="00112A72" w:rsidRDefault="00112A72" w:rsidP="00AA5195">
            <w:pPr>
              <w:pStyle w:val="Quote1"/>
              <w:spacing w:after="100" w:afterAutospacing="1"/>
              <w:ind w:left="0" w:right="0"/>
            </w:pPr>
            <w:r>
              <w:rPr>
                <w:b/>
              </w:rPr>
              <w:t xml:space="preserve">David </w:t>
            </w:r>
            <w:r w:rsidR="002E3072">
              <w:rPr>
                <w:b/>
              </w:rPr>
              <w:t xml:space="preserve">Laird </w:t>
            </w:r>
            <w:r>
              <w:t>(another sibling)</w:t>
            </w:r>
          </w:p>
        </w:tc>
        <w:tc>
          <w:tcPr>
            <w:tcW w:w="2557" w:type="dxa"/>
          </w:tcPr>
          <w:p w:rsidR="00112A72" w:rsidRDefault="00112A72" w:rsidP="009B2C37">
            <w:pPr>
              <w:pStyle w:val="Quote1"/>
              <w:spacing w:after="100" w:afterAutospacing="1"/>
              <w:ind w:left="0" w:right="0"/>
              <w:jc w:val="left"/>
            </w:pPr>
            <w:r>
              <w:t>8.5%</w:t>
            </w:r>
          </w:p>
        </w:tc>
      </w:tr>
      <w:tr w:rsidR="00112A72" w:rsidTr="00AA5195">
        <w:trPr>
          <w:trHeight w:val="20"/>
          <w:jc w:val="center"/>
        </w:trPr>
        <w:tc>
          <w:tcPr>
            <w:tcW w:w="2982" w:type="dxa"/>
          </w:tcPr>
          <w:p w:rsidR="00112A72" w:rsidRDefault="002E3072" w:rsidP="00AA5195">
            <w:pPr>
              <w:pStyle w:val="Quote1"/>
              <w:spacing w:after="100" w:afterAutospacing="1"/>
              <w:ind w:left="0" w:right="0"/>
            </w:pPr>
            <w:r>
              <w:lastRenderedPageBreak/>
              <w:t>Debora</w:t>
            </w:r>
          </w:p>
        </w:tc>
        <w:tc>
          <w:tcPr>
            <w:tcW w:w="2557" w:type="dxa"/>
          </w:tcPr>
          <w:p w:rsidR="00112A72" w:rsidRDefault="00112A72" w:rsidP="009B2C37">
            <w:pPr>
              <w:pStyle w:val="Quote1"/>
              <w:spacing w:after="100" w:afterAutospacing="1"/>
              <w:ind w:left="0" w:right="0"/>
              <w:jc w:val="left"/>
            </w:pPr>
            <w:r>
              <w:t>8.5%</w:t>
            </w:r>
          </w:p>
        </w:tc>
      </w:tr>
      <w:tr w:rsidR="00112A72" w:rsidTr="00AA5195">
        <w:trPr>
          <w:trHeight w:val="20"/>
          <w:jc w:val="center"/>
        </w:trPr>
        <w:tc>
          <w:tcPr>
            <w:tcW w:w="2982" w:type="dxa"/>
          </w:tcPr>
          <w:p w:rsidR="00112A72" w:rsidRPr="00112A72" w:rsidRDefault="00112A72" w:rsidP="00AA5195">
            <w:pPr>
              <w:pStyle w:val="Quote1"/>
              <w:spacing w:after="100" w:afterAutospacing="1"/>
              <w:ind w:left="0" w:right="0"/>
            </w:pPr>
            <w:r>
              <w:rPr>
                <w:b/>
              </w:rPr>
              <w:t>Christine</w:t>
            </w:r>
            <w:r w:rsidR="002E3072">
              <w:rPr>
                <w:b/>
              </w:rPr>
              <w:t xml:space="preserve"> </w:t>
            </w:r>
            <w:r w:rsidR="002E3072">
              <w:t>Laird</w:t>
            </w:r>
            <w:r>
              <w:rPr>
                <w:b/>
              </w:rPr>
              <w:t xml:space="preserve"> </w:t>
            </w:r>
            <w:r>
              <w:t xml:space="preserve">(another sibling, now </w:t>
            </w:r>
            <w:r w:rsidR="002E3072">
              <w:t xml:space="preserve">known as </w:t>
            </w:r>
            <w:r>
              <w:t>Christine Cook)</w:t>
            </w:r>
          </w:p>
        </w:tc>
        <w:tc>
          <w:tcPr>
            <w:tcW w:w="2557" w:type="dxa"/>
          </w:tcPr>
          <w:p w:rsidR="00112A72" w:rsidRDefault="00112A72" w:rsidP="009B2C37">
            <w:pPr>
              <w:pStyle w:val="Quote1"/>
              <w:spacing w:after="100" w:afterAutospacing="1"/>
              <w:ind w:left="0" w:right="0"/>
              <w:jc w:val="left"/>
            </w:pPr>
            <w:r>
              <w:t>8.5%</w:t>
            </w:r>
          </w:p>
        </w:tc>
      </w:tr>
    </w:tbl>
    <w:p w:rsidR="00BB29AC" w:rsidRDefault="00C74DCD" w:rsidP="001C3728">
      <w:pPr>
        <w:pStyle w:val="ParaNumbering"/>
      </w:pPr>
      <w:proofErr w:type="spellStart"/>
      <w:r w:rsidRPr="00EF0551">
        <w:t>Aidzan</w:t>
      </w:r>
      <w:proofErr w:type="spellEnd"/>
      <w:r w:rsidRPr="00EF0551">
        <w:t xml:space="preserve"> was incorporated on 26 October 1989.  </w:t>
      </w:r>
      <w:r w:rsidR="00BB29AC">
        <w:t>Dorothy</w:t>
      </w:r>
      <w:r w:rsidRPr="00EF0551">
        <w:t xml:space="preserve"> and Peter became its directors</w:t>
      </w:r>
      <w:r w:rsidR="002E3072">
        <w:t>,</w:t>
      </w:r>
      <w:r w:rsidRPr="00EF0551">
        <w:t xml:space="preserve"> and each owned half of its shares.  In around March 1990, </w:t>
      </w:r>
      <w:proofErr w:type="spellStart"/>
      <w:r w:rsidRPr="00EF0551">
        <w:t>Aidzan</w:t>
      </w:r>
      <w:proofErr w:type="spellEnd"/>
      <w:r w:rsidRPr="00EF0551">
        <w:t xml:space="preserve"> acquired industrial land at 146 </w:t>
      </w:r>
      <w:proofErr w:type="spellStart"/>
      <w:r w:rsidRPr="00EF0551">
        <w:t>Sunnyholt</w:t>
      </w:r>
      <w:proofErr w:type="spellEnd"/>
      <w:r w:rsidRPr="00EF0551">
        <w:t xml:space="preserve"> Road, Blacktown</w:t>
      </w:r>
      <w:r w:rsidR="00BB29AC">
        <w:t xml:space="preserve"> (the </w:t>
      </w:r>
      <w:r w:rsidR="00BB29AC">
        <w:rPr>
          <w:b/>
        </w:rPr>
        <w:t>Blacktown property</w:t>
      </w:r>
      <w:r w:rsidR="00BB29AC">
        <w:t>)</w:t>
      </w:r>
      <w:r w:rsidRPr="00EF0551">
        <w:t xml:space="preserve"> in its capacit</w:t>
      </w:r>
      <w:r>
        <w:t xml:space="preserve">y as trustee of the </w:t>
      </w:r>
      <w:r w:rsidRPr="00BB29AC">
        <w:rPr>
          <w:b/>
        </w:rPr>
        <w:t>Peter Laird Trust</w:t>
      </w:r>
      <w:r w:rsidR="00BB29AC">
        <w:rPr>
          <w:b/>
        </w:rPr>
        <w:t xml:space="preserve"> </w:t>
      </w:r>
      <w:r w:rsidR="00BB29AC">
        <w:t>that was settled contemporaneously</w:t>
      </w:r>
      <w:r w:rsidR="002E3072">
        <w:t>,</w:t>
      </w:r>
      <w:r w:rsidR="00BB29AC">
        <w:t xml:space="preserve"> and </w:t>
      </w:r>
      <w:proofErr w:type="spellStart"/>
      <w:r w:rsidR="00BB29AC">
        <w:t>Aidzan</w:t>
      </w:r>
      <w:proofErr w:type="spellEnd"/>
      <w:r w:rsidR="00BB29AC">
        <w:t xml:space="preserve"> was appointed its trustee</w:t>
      </w:r>
      <w:r w:rsidRPr="00EF0551">
        <w:t xml:space="preserve">.  The Blacktown property included a large warehouse and factory building.  </w:t>
      </w:r>
      <w:proofErr w:type="spellStart"/>
      <w:r w:rsidRPr="00EF0551">
        <w:t>Aidzan</w:t>
      </w:r>
      <w:proofErr w:type="spellEnd"/>
      <w:r w:rsidRPr="00EF0551">
        <w:t xml:space="preserve"> leased the Blacktown property to K. &amp; A. Laird from 24 March 1990.  K. &amp; A. Laird ran the </w:t>
      </w:r>
      <w:r w:rsidR="00BB29AC">
        <w:t xml:space="preserve">steel </w:t>
      </w:r>
      <w:r w:rsidRPr="00EF0551">
        <w:t>metalwork business from the Blacktown property</w:t>
      </w:r>
      <w:r w:rsidR="002E3072">
        <w:t>,</w:t>
      </w:r>
      <w:r w:rsidRPr="00EF0551">
        <w:t xml:space="preserve"> and Peter managed it.  </w:t>
      </w:r>
    </w:p>
    <w:p w:rsidR="00C74DCD" w:rsidRPr="00EF0551" w:rsidRDefault="00C74DCD" w:rsidP="001C3728">
      <w:pPr>
        <w:pStyle w:val="ParaNumbering"/>
      </w:pPr>
      <w:r w:rsidRPr="00EF0551">
        <w:t xml:space="preserve">On about 1 January 1993, the </w:t>
      </w:r>
      <w:proofErr w:type="spellStart"/>
      <w:r w:rsidRPr="00EF0551">
        <w:t>Aidzan</w:t>
      </w:r>
      <w:proofErr w:type="spellEnd"/>
      <w:r w:rsidRPr="00EF0551">
        <w:t xml:space="preserve"> </w:t>
      </w:r>
      <w:r w:rsidRPr="00BB29AC">
        <w:rPr>
          <w:b/>
        </w:rPr>
        <w:t>Superannuation Fund</w:t>
      </w:r>
      <w:r w:rsidRPr="00EF0551">
        <w:t xml:space="preserve"> was established, and its sole beneficiary was, and remains, Peter.  </w:t>
      </w:r>
      <w:r w:rsidR="001C3728" w:rsidRPr="00EF0551">
        <w:t>On about the same day</w:t>
      </w:r>
      <w:r w:rsidR="00DF0779">
        <w:t>,</w:t>
      </w:r>
      <w:r w:rsidR="001C3728" w:rsidRPr="00EF0551">
        <w:t xml:space="preserve"> the PAL Property Trust was also established</w:t>
      </w:r>
      <w:r w:rsidR="002E3072">
        <w:t>,</w:t>
      </w:r>
      <w:r w:rsidR="001C3728" w:rsidRPr="00EF0551">
        <w:t xml:space="preserve"> and </w:t>
      </w:r>
      <w:proofErr w:type="spellStart"/>
      <w:r w:rsidR="001C3728" w:rsidRPr="00EF0551">
        <w:t>Aidzan</w:t>
      </w:r>
      <w:proofErr w:type="spellEnd"/>
      <w:r w:rsidR="001C3728" w:rsidRPr="00EF0551">
        <w:t xml:space="preserve"> </w:t>
      </w:r>
      <w:r w:rsidR="001C3728">
        <w:t xml:space="preserve">was </w:t>
      </w:r>
      <w:r w:rsidR="001C3728" w:rsidRPr="00EF0551">
        <w:t xml:space="preserve">appointed its trustee under a trust deed which is apparently lost.  </w:t>
      </w:r>
      <w:r w:rsidR="00BB29AC" w:rsidRPr="00EF0551">
        <w:t>All of the units in the PAL Trust</w:t>
      </w:r>
      <w:r w:rsidR="00BB29AC">
        <w:t>,</w:t>
      </w:r>
      <w:r w:rsidR="00BB29AC" w:rsidRPr="00EF0551">
        <w:t xml:space="preserve"> </w:t>
      </w:r>
      <w:r w:rsidR="00BB29AC">
        <w:t xml:space="preserve">according to Mr </w:t>
      </w:r>
      <w:proofErr w:type="spellStart"/>
      <w:r w:rsidR="00BB29AC">
        <w:t>Topp’s</w:t>
      </w:r>
      <w:proofErr w:type="spellEnd"/>
      <w:r w:rsidR="00BB29AC" w:rsidRPr="00EF0551">
        <w:t xml:space="preserve"> investigations</w:t>
      </w:r>
      <w:r w:rsidR="00BB29AC">
        <w:t>,</w:t>
      </w:r>
      <w:r w:rsidR="00BB29AC" w:rsidRPr="00EF0551">
        <w:t xml:space="preserve"> are held by </w:t>
      </w:r>
      <w:proofErr w:type="spellStart"/>
      <w:r w:rsidR="00BB29AC" w:rsidRPr="00EF0551">
        <w:t>Aidzan</w:t>
      </w:r>
      <w:proofErr w:type="spellEnd"/>
      <w:r w:rsidR="00BB29AC" w:rsidRPr="00EF0551">
        <w:t xml:space="preserve"> as trustee of the superannuation fund. </w:t>
      </w:r>
      <w:r w:rsidR="00BB29AC">
        <w:t xml:space="preserve"> </w:t>
      </w:r>
    </w:p>
    <w:p w:rsidR="002C3C20" w:rsidRDefault="00C74DCD" w:rsidP="00C74DCD">
      <w:pPr>
        <w:pStyle w:val="ParaNumbering"/>
      </w:pPr>
      <w:r w:rsidRPr="00EF0551">
        <w:t xml:space="preserve">In 1993, the beneficial interest in the Blacktown property was transferred from the Peter Laird Trust to the </w:t>
      </w:r>
      <w:r w:rsidR="002C3C20">
        <w:t>PAL</w:t>
      </w:r>
      <w:r w:rsidRPr="00EF0551">
        <w:t xml:space="preserve"> Trust for a consideration of $3.48 million but </w:t>
      </w:r>
      <w:proofErr w:type="spellStart"/>
      <w:r w:rsidRPr="00EF0551">
        <w:t>Aidzan</w:t>
      </w:r>
      <w:proofErr w:type="spellEnd"/>
      <w:r w:rsidRPr="00EF0551">
        <w:t>, as trustee, remai</w:t>
      </w:r>
      <w:r w:rsidR="001C3728">
        <w:t>ned the registered proprietor of that land.</w:t>
      </w:r>
    </w:p>
    <w:p w:rsidR="00C74DCD" w:rsidRPr="00EF0551" w:rsidRDefault="00C74DCD" w:rsidP="00C74DCD">
      <w:pPr>
        <w:pStyle w:val="ParaNumbering"/>
      </w:pPr>
      <w:r w:rsidRPr="00EF0551">
        <w:t xml:space="preserve">Once </w:t>
      </w:r>
      <w:r w:rsidR="002C3C20">
        <w:t>Dorothy died on 27 November 2009</w:t>
      </w:r>
      <w:r w:rsidR="002E3072">
        <w:t>,</w:t>
      </w:r>
      <w:r w:rsidR="002C3C20">
        <w:t xml:space="preserve"> her </w:t>
      </w:r>
      <w:r w:rsidRPr="00EF0551">
        <w:t>shareholding was distri</w:t>
      </w:r>
      <w:r w:rsidR="002C3C20">
        <w:t>buted among her children.  T</w:t>
      </w:r>
      <w:r w:rsidRPr="00EF0551">
        <w:t>he result of that distribution was that Peter held 32</w:t>
      </w:r>
      <w:r w:rsidR="002C3C20">
        <w:t>% and each of his four siblings held</w:t>
      </w:r>
      <w:r w:rsidRPr="00EF0551">
        <w:t xml:space="preserve"> 17</w:t>
      </w:r>
      <w:r w:rsidR="002C3C20">
        <w:t xml:space="preserve">% </w:t>
      </w:r>
      <w:r w:rsidRPr="00EF0551">
        <w:t xml:space="preserve">in ALH.  However, </w:t>
      </w:r>
      <w:r w:rsidR="002C3C20">
        <w:t>Dorothy’s</w:t>
      </w:r>
      <w:r w:rsidRPr="00EF0551">
        <w:t xml:space="preserve"> shares in </w:t>
      </w:r>
      <w:r w:rsidR="002C3C20">
        <w:t xml:space="preserve">both </w:t>
      </w:r>
      <w:proofErr w:type="spellStart"/>
      <w:r w:rsidRPr="00EF0551">
        <w:t>Aidzan</w:t>
      </w:r>
      <w:proofErr w:type="spellEnd"/>
      <w:r w:rsidRPr="00EF0551">
        <w:t xml:space="preserve"> </w:t>
      </w:r>
      <w:r w:rsidR="002C3C20">
        <w:t xml:space="preserve">and </w:t>
      </w:r>
      <w:proofErr w:type="spellStart"/>
      <w:r w:rsidR="002C3C20">
        <w:t>Winbourne</w:t>
      </w:r>
      <w:proofErr w:type="spellEnd"/>
      <w:r w:rsidR="002C3C20">
        <w:t xml:space="preserve"> passed to Peter</w:t>
      </w:r>
      <w:r w:rsidR="002E3072">
        <w:t>,</w:t>
      </w:r>
      <w:r w:rsidR="002C3C20">
        <w:t xml:space="preserve"> </w:t>
      </w:r>
      <w:r w:rsidRPr="00EF0551">
        <w:t xml:space="preserve">and he became </w:t>
      </w:r>
      <w:r w:rsidR="001C3728">
        <w:t xml:space="preserve">each of </w:t>
      </w:r>
      <w:r w:rsidRPr="00EF0551">
        <w:t xml:space="preserve">their </w:t>
      </w:r>
      <w:r w:rsidR="001C3728">
        <w:t>sole director</w:t>
      </w:r>
      <w:r w:rsidRPr="00EF0551">
        <w:t xml:space="preserve">.  </w:t>
      </w:r>
    </w:p>
    <w:p w:rsidR="002C3C20" w:rsidRDefault="00C74DCD" w:rsidP="00C74DCD">
      <w:pPr>
        <w:pStyle w:val="ParaNumbering"/>
      </w:pPr>
      <w:r w:rsidRPr="00EF0551">
        <w:t xml:space="preserve">Peter informed Mr </w:t>
      </w:r>
      <w:proofErr w:type="spellStart"/>
      <w:r w:rsidR="002C3C20">
        <w:t>Topp</w:t>
      </w:r>
      <w:proofErr w:type="spellEnd"/>
      <w:r w:rsidRPr="00EF0551">
        <w:t xml:space="preserve"> that K. &amp; A. Laird ceased operating in around 2013 and that stock that it owned remained at the Blacktown property for at least a year</w:t>
      </w:r>
      <w:r w:rsidR="002E3072">
        <w:t>,</w:t>
      </w:r>
      <w:r w:rsidRPr="00EF0551">
        <w:t xml:space="preserve"> </w:t>
      </w:r>
      <w:r w:rsidR="002E3072">
        <w:t>before</w:t>
      </w:r>
      <w:r w:rsidRPr="00EF0551">
        <w:t xml:space="preserve"> it was removed</w:t>
      </w:r>
      <w:r w:rsidR="001C3728">
        <w:t xml:space="preserve">. </w:t>
      </w:r>
      <w:r w:rsidRPr="00EF0551">
        <w:t xml:space="preserve"> </w:t>
      </w:r>
      <w:r w:rsidR="001C3728">
        <w:t>S</w:t>
      </w:r>
      <w:r w:rsidRPr="00EF0551">
        <w:t xml:space="preserve">ince then it has remained vacant.  From about 2015 to the time of the appointment of the liquidators, rates and charges incurred in respect of the Blacktown property appear to have remained unpaid, including a debt to the petitioning </w:t>
      </w:r>
      <w:r w:rsidR="002C3C20">
        <w:t>creditor in the liquidation, Sydney Water,</w:t>
      </w:r>
      <w:r w:rsidRPr="00EF0551">
        <w:t xml:space="preserve"> totalling over $30,000.  </w:t>
      </w:r>
    </w:p>
    <w:p w:rsidR="002C3C20" w:rsidRDefault="00C74DCD" w:rsidP="00C74DCD">
      <w:pPr>
        <w:pStyle w:val="ParaNumbering"/>
      </w:pPr>
      <w:r w:rsidRPr="00EF0551">
        <w:t xml:space="preserve">On about 24 August 2018, </w:t>
      </w:r>
      <w:r w:rsidR="001C3728">
        <w:t>in</w:t>
      </w:r>
      <w:r w:rsidR="001C3728" w:rsidRPr="00EF0551">
        <w:t xml:space="preserve"> members</w:t>
      </w:r>
      <w:r w:rsidR="00DF0779">
        <w:t>’</w:t>
      </w:r>
      <w:r w:rsidR="001C3728" w:rsidRPr="00EF0551">
        <w:t xml:space="preserve"> voluntary winding</w:t>
      </w:r>
      <w:r w:rsidR="001C3728">
        <w:t>s</w:t>
      </w:r>
      <w:r w:rsidR="001C3728" w:rsidRPr="00EF0551">
        <w:t xml:space="preserve"> up</w:t>
      </w:r>
      <w:r w:rsidR="001C3728">
        <w:t xml:space="preserve">, </w:t>
      </w:r>
      <w:r w:rsidR="002C3C20">
        <w:t>Alan</w:t>
      </w:r>
      <w:r w:rsidRPr="00EF0551">
        <w:t xml:space="preserve"> </w:t>
      </w:r>
      <w:r w:rsidRPr="002C3C20">
        <w:rPr>
          <w:b/>
        </w:rPr>
        <w:t>Hayes</w:t>
      </w:r>
      <w:r w:rsidRPr="00EF0551">
        <w:t xml:space="preserve"> was appointed the liquidator of K. &amp; A. La</w:t>
      </w:r>
      <w:r w:rsidR="002C3C20">
        <w:t xml:space="preserve">ird, </w:t>
      </w:r>
      <w:proofErr w:type="spellStart"/>
      <w:r w:rsidR="002C3C20">
        <w:t>Winbourne</w:t>
      </w:r>
      <w:proofErr w:type="spellEnd"/>
      <w:r w:rsidR="002C3C20">
        <w:t xml:space="preserve"> and </w:t>
      </w:r>
      <w:r w:rsidR="001C3728">
        <w:t>ALH</w:t>
      </w:r>
      <w:r w:rsidRPr="00EF0551">
        <w:t xml:space="preserve">.  </w:t>
      </w:r>
    </w:p>
    <w:p w:rsidR="001C3728" w:rsidRDefault="00C74DCD" w:rsidP="002C3C20">
      <w:pPr>
        <w:pStyle w:val="ParaNumbering"/>
      </w:pPr>
      <w:r w:rsidRPr="00EF0551">
        <w:lastRenderedPageBreak/>
        <w:t xml:space="preserve">Mr </w:t>
      </w:r>
      <w:proofErr w:type="spellStart"/>
      <w:r w:rsidR="002C3C20">
        <w:t>Topp’s</w:t>
      </w:r>
      <w:proofErr w:type="spellEnd"/>
      <w:r w:rsidRPr="00EF0551">
        <w:t xml:space="preserve"> investigations revealed that since 1993, </w:t>
      </w:r>
      <w:proofErr w:type="spellStart"/>
      <w:r w:rsidRPr="00EF0551">
        <w:t>Aidzan’s</w:t>
      </w:r>
      <w:proofErr w:type="spellEnd"/>
      <w:r w:rsidRPr="00EF0551">
        <w:t xml:space="preserve"> only business was to act as the trustee of the </w:t>
      </w:r>
      <w:r w:rsidR="002C3C20">
        <w:t>PAL</w:t>
      </w:r>
      <w:r w:rsidRPr="00EF0551">
        <w:t xml:space="preserve"> Trust.  Immediately after </w:t>
      </w:r>
      <w:r w:rsidR="002C3C20">
        <w:t>its liquidation on 18 February</w:t>
      </w:r>
      <w:r w:rsidR="002E3072">
        <w:t xml:space="preserve"> 2019</w:t>
      </w:r>
      <w:r w:rsidRPr="00EF0551">
        <w:t xml:space="preserve">, </w:t>
      </w:r>
      <w:proofErr w:type="spellStart"/>
      <w:r w:rsidRPr="00EF0551">
        <w:t>Aidzan</w:t>
      </w:r>
      <w:proofErr w:type="spellEnd"/>
      <w:r w:rsidRPr="00EF0551">
        <w:t xml:space="preserve"> was replaced as trustee of the superannuation trust by </w:t>
      </w:r>
      <w:proofErr w:type="spellStart"/>
      <w:r w:rsidRPr="002E3072">
        <w:t>Nazdia</w:t>
      </w:r>
      <w:proofErr w:type="spellEnd"/>
      <w:r w:rsidRPr="00EF0551">
        <w:t xml:space="preserve">.  </w:t>
      </w:r>
      <w:r w:rsidR="00DF0779">
        <w:t>That i</w:t>
      </w:r>
      <w:r w:rsidR="002C3C20">
        <w:t xml:space="preserve">s because </w:t>
      </w:r>
      <w:r w:rsidRPr="00EF0551">
        <w:t xml:space="preserve">the </w:t>
      </w:r>
      <w:r w:rsidR="002C3C20">
        <w:t>winding up</w:t>
      </w:r>
      <w:r w:rsidRPr="00EF0551">
        <w:t xml:space="preserve"> of a superannuation fund trustee </w:t>
      </w:r>
      <w:r w:rsidR="001C3728">
        <w:t>is</w:t>
      </w:r>
      <w:r w:rsidRPr="00EF0551">
        <w:t xml:space="preserve"> a disqualifying event pursuant to </w:t>
      </w:r>
      <w:r w:rsidR="002C3C20">
        <w:t>s</w:t>
      </w:r>
      <w:r w:rsidRPr="00EF0551">
        <w:t xml:space="preserve"> 120(2)</w:t>
      </w:r>
      <w:r w:rsidR="002E3072">
        <w:t>(e)</w:t>
      </w:r>
      <w:r w:rsidRPr="00EF0551">
        <w:t xml:space="preserve"> of the </w:t>
      </w:r>
      <w:r w:rsidRPr="00B43ACE">
        <w:rPr>
          <w:i/>
        </w:rPr>
        <w:t>Superannuation Industry (Supervision) Act 1993</w:t>
      </w:r>
      <w:r w:rsidR="002C3C20" w:rsidRPr="00B43ACE">
        <w:t xml:space="preserve"> (</w:t>
      </w:r>
      <w:proofErr w:type="spellStart"/>
      <w:r w:rsidR="002C3C20" w:rsidRPr="00B43ACE">
        <w:t>Cth</w:t>
      </w:r>
      <w:proofErr w:type="spellEnd"/>
      <w:r w:rsidR="002C3C20" w:rsidRPr="00B43ACE">
        <w:t>)</w:t>
      </w:r>
      <w:r w:rsidR="001C3728">
        <w:t>.</w:t>
      </w:r>
      <w:r w:rsidRPr="00EF0551">
        <w:t xml:space="preserve"> </w:t>
      </w:r>
    </w:p>
    <w:p w:rsidR="00C74DCD" w:rsidRPr="00EF0551" w:rsidRDefault="00C74DCD" w:rsidP="002C3C20">
      <w:pPr>
        <w:pStyle w:val="ParaNumbering"/>
      </w:pPr>
      <w:proofErr w:type="spellStart"/>
      <w:r w:rsidRPr="00EF0551">
        <w:t>Nazdia</w:t>
      </w:r>
      <w:proofErr w:type="spellEnd"/>
      <w:r w:rsidRPr="00EF0551">
        <w:t xml:space="preserve"> has, since its appointment, had administrative responsibility for ensuring that the superannuation fund complied with its obligations as a superannuation trustee</w:t>
      </w:r>
      <w:r w:rsidR="002E3072">
        <w:t>,</w:t>
      </w:r>
      <w:r w:rsidRPr="00EF0551">
        <w:t xml:space="preserve"> and the liquidators have never had any occasion to concern themselves with that work.  </w:t>
      </w:r>
      <w:r w:rsidR="001C3728">
        <w:t xml:space="preserve">Thus, although the liquidators </w:t>
      </w:r>
      <w:r w:rsidRPr="00EF0551">
        <w:t xml:space="preserve">were in </w:t>
      </w:r>
      <w:r w:rsidR="001C3728">
        <w:t xml:space="preserve">legal </w:t>
      </w:r>
      <w:r w:rsidRPr="00EF0551">
        <w:t xml:space="preserve">control of </w:t>
      </w:r>
      <w:proofErr w:type="spellStart"/>
      <w:r w:rsidRPr="00EF0551">
        <w:t>Aidzan</w:t>
      </w:r>
      <w:proofErr w:type="spellEnd"/>
      <w:r w:rsidRPr="00EF0551">
        <w:t xml:space="preserve"> for about two weeks </w:t>
      </w:r>
      <w:r w:rsidR="002E3072">
        <w:t>(</w:t>
      </w:r>
      <w:r w:rsidRPr="00EF0551">
        <w:t xml:space="preserve">until </w:t>
      </w:r>
      <w:proofErr w:type="spellStart"/>
      <w:r w:rsidRPr="00EF0551">
        <w:t>Naz</w:t>
      </w:r>
      <w:r>
        <w:t>d</w:t>
      </w:r>
      <w:r w:rsidRPr="00EF0551">
        <w:t>ia’s</w:t>
      </w:r>
      <w:proofErr w:type="spellEnd"/>
      <w:r w:rsidRPr="00EF0551">
        <w:t xml:space="preserve"> appointment as tru</w:t>
      </w:r>
      <w:r w:rsidR="002E3072">
        <w:t>stee of the superannuation fund)</w:t>
      </w:r>
      <w:r w:rsidRPr="00EF0551">
        <w:t xml:space="preserve"> it does not appear that they performed any substantive work in relation to the superannuation fund</w:t>
      </w:r>
      <w:r w:rsidR="002E3072">
        <w:t>.  Realistically</w:t>
      </w:r>
      <w:r w:rsidR="004E7DB0">
        <w:t xml:space="preserve"> and practically,</w:t>
      </w:r>
      <w:r w:rsidR="001C3728">
        <w:t xml:space="preserve"> </w:t>
      </w:r>
      <w:r w:rsidR="00BB0B37" w:rsidRPr="00EF0551">
        <w:t>in all of the circumstances</w:t>
      </w:r>
      <w:r w:rsidR="001C3728">
        <w:t>,</w:t>
      </w:r>
      <w:r w:rsidR="004E7DB0">
        <w:t xml:space="preserve"> the liquidators do not think it</w:t>
      </w:r>
      <w:r w:rsidRPr="00EF0551">
        <w:t xml:space="preserve"> is necessary to apportion </w:t>
      </w:r>
      <w:r w:rsidR="004E7DB0">
        <w:t>anything for that short period</w:t>
      </w:r>
      <w:r w:rsidRPr="00EF0551">
        <w:t xml:space="preserve"> </w:t>
      </w:r>
      <w:r w:rsidR="00BB0B37">
        <w:t>in respect of any work done</w:t>
      </w:r>
      <w:r w:rsidR="00BB0B37" w:rsidRPr="00EF0551">
        <w:t xml:space="preserve"> </w:t>
      </w:r>
      <w:r w:rsidR="00BB0B37">
        <w:t>as an expense</w:t>
      </w:r>
      <w:r w:rsidRPr="00EF0551">
        <w:t xml:space="preserve"> of the liquidation of </w:t>
      </w:r>
      <w:proofErr w:type="spellStart"/>
      <w:r w:rsidR="004E7DB0">
        <w:t>Aidzan</w:t>
      </w:r>
      <w:proofErr w:type="spellEnd"/>
      <w:r w:rsidR="004E7DB0">
        <w:t xml:space="preserve"> </w:t>
      </w:r>
      <w:r w:rsidR="00BB0B37">
        <w:t xml:space="preserve">or in its capacity </w:t>
      </w:r>
      <w:r w:rsidR="004E7DB0">
        <w:t>as the</w:t>
      </w:r>
      <w:r w:rsidR="00DF0779">
        <w:t xml:space="preserve"> then</w:t>
      </w:r>
      <w:r w:rsidR="004E7DB0">
        <w:t xml:space="preserve"> </w:t>
      </w:r>
      <w:r w:rsidRPr="00EF0551">
        <w:t xml:space="preserve">insolvent trustee of the superannuation fund.  </w:t>
      </w:r>
    </w:p>
    <w:p w:rsidR="004E7DB0" w:rsidRDefault="004E7DB0" w:rsidP="00C74DCD">
      <w:pPr>
        <w:pStyle w:val="ParaNumbering"/>
      </w:pPr>
      <w:r>
        <w:t>On 19 July 2019, t</w:t>
      </w:r>
      <w:r w:rsidR="00C74DCD" w:rsidRPr="00EF0551">
        <w:t xml:space="preserve">he receivers caused </w:t>
      </w:r>
      <w:proofErr w:type="spellStart"/>
      <w:r w:rsidR="00C74DCD" w:rsidRPr="00EF0551">
        <w:t>Aidzan</w:t>
      </w:r>
      <w:proofErr w:type="spellEnd"/>
      <w:r w:rsidR="00C74DCD" w:rsidRPr="00EF0551">
        <w:t xml:space="preserve"> to enter into a contract to sell the Bla</w:t>
      </w:r>
      <w:r w:rsidR="00BB0B37">
        <w:t>cktown property.  T</w:t>
      </w:r>
      <w:r w:rsidR="00C74DCD" w:rsidRPr="00EF0551">
        <w:t>hat contra</w:t>
      </w:r>
      <w:r>
        <w:t>ct completed on 23 October 2019, r</w:t>
      </w:r>
      <w:r w:rsidR="00C74DCD" w:rsidRPr="00EF0551">
        <w:t>ealising net proceeds</w:t>
      </w:r>
      <w:r>
        <w:t>,</w:t>
      </w:r>
      <w:r w:rsidR="00C74DCD" w:rsidRPr="00EF0551">
        <w:t xml:space="preserve"> </w:t>
      </w:r>
      <w:r>
        <w:t>inclusive of GST,</w:t>
      </w:r>
      <w:r w:rsidR="002E3072">
        <w:t xml:space="preserve"> of $7,749,583.5</w:t>
      </w:r>
      <w:r w:rsidR="00C74DCD" w:rsidRPr="00EF0551">
        <w:t xml:space="preserve">3.  The three creditors of </w:t>
      </w:r>
      <w:proofErr w:type="spellStart"/>
      <w:r w:rsidR="00C74DCD" w:rsidRPr="00EF0551">
        <w:t>Aidzan</w:t>
      </w:r>
      <w:proofErr w:type="spellEnd"/>
      <w:r w:rsidR="00C74DCD" w:rsidRPr="00EF0551">
        <w:t xml:space="preserve"> were paid in full on completion of the sale.  </w:t>
      </w:r>
    </w:p>
    <w:p w:rsidR="00BB0B37" w:rsidRDefault="00BB0B37" w:rsidP="00BB0B37">
      <w:pPr>
        <w:pStyle w:val="Heading2"/>
      </w:pPr>
      <w:r>
        <w:t>The liquidators’ remuneration</w:t>
      </w:r>
    </w:p>
    <w:p w:rsidR="00BB0B37" w:rsidRDefault="004E7DB0" w:rsidP="00C74DCD">
      <w:pPr>
        <w:pStyle w:val="ParaNumbering"/>
      </w:pPr>
      <w:r>
        <w:t>On 22 March 2019, the Registrar approved t</w:t>
      </w:r>
      <w:r w:rsidR="002E3072">
        <w:t>he liquidator</w:t>
      </w:r>
      <w:r w:rsidR="00C74DCD" w:rsidRPr="00EF0551">
        <w:t>s</w:t>
      </w:r>
      <w:r w:rsidR="002E3072">
        <w:t>’</w:t>
      </w:r>
      <w:r w:rsidR="00C74DCD" w:rsidRPr="00EF0551">
        <w:t xml:space="preserve"> remuneration </w:t>
      </w:r>
      <w:r w:rsidR="002E3072">
        <w:t>of $33,084</w:t>
      </w:r>
      <w:r w:rsidR="00BB0B37">
        <w:t xml:space="preserve">.50 </w:t>
      </w:r>
      <w:r w:rsidR="00C74DCD" w:rsidRPr="00EF0551">
        <w:t>for th</w:t>
      </w:r>
      <w:r>
        <w:t>e period 4 to 26 February 2019</w:t>
      </w:r>
      <w:r w:rsidR="002E3072">
        <w:t>,</w:t>
      </w:r>
      <w:r>
        <w:t xml:space="preserve"> and </w:t>
      </w:r>
      <w:r w:rsidR="00BB0B37">
        <w:t xml:space="preserve">that sum </w:t>
      </w:r>
      <w:r w:rsidR="00C74DCD" w:rsidRPr="00EF0551">
        <w:t xml:space="preserve">was paid from funds in the receivership.  </w:t>
      </w:r>
    </w:p>
    <w:p w:rsidR="00BB0B37" w:rsidRDefault="00C74DCD" w:rsidP="00BB0B37">
      <w:pPr>
        <w:pStyle w:val="ParaNumbering"/>
      </w:pPr>
      <w:r w:rsidRPr="00EF0551">
        <w:t xml:space="preserve">On about 22 May 2019, Mr </w:t>
      </w:r>
      <w:proofErr w:type="spellStart"/>
      <w:r w:rsidR="002C3C20">
        <w:t>Topp</w:t>
      </w:r>
      <w:proofErr w:type="spellEnd"/>
      <w:r w:rsidRPr="00EF0551">
        <w:t xml:space="preserve"> obtained approval from Sydney Water, as petitioning creditor, </w:t>
      </w:r>
      <w:r w:rsidR="004E7DB0">
        <w:t>for payment</w:t>
      </w:r>
      <w:r w:rsidRPr="00EF0551">
        <w:t xml:space="preserve"> of </w:t>
      </w:r>
      <w:r w:rsidR="004E7DB0">
        <w:t xml:space="preserve">remuneration and expenses totalling </w:t>
      </w:r>
      <w:r w:rsidRPr="00EF0551">
        <w:t>$12,590.50</w:t>
      </w:r>
      <w:r w:rsidR="002E3072">
        <w:t>,</w:t>
      </w:r>
      <w:r w:rsidRPr="00EF0551">
        <w:t xml:space="preserve"> excluding GST</w:t>
      </w:r>
      <w:r w:rsidR="002E3072">
        <w:t>,</w:t>
      </w:r>
      <w:r w:rsidRPr="00EF0551">
        <w:t xml:space="preserve"> incurred by the liquidators between 26 February 2019 to 28 April 2019</w:t>
      </w:r>
      <w:r w:rsidR="002E3072">
        <w:t>,</w:t>
      </w:r>
      <w:r w:rsidRPr="00EF0551">
        <w:t xml:space="preserve"> </w:t>
      </w:r>
      <w:r w:rsidR="00BB0B37">
        <w:t xml:space="preserve">and for payment of </w:t>
      </w:r>
      <w:r w:rsidRPr="00EF0551">
        <w:t>their future anticipated remuneration of $15,000</w:t>
      </w:r>
      <w:r w:rsidR="002E3072">
        <w:t>,</w:t>
      </w:r>
      <w:r w:rsidRPr="00EF0551">
        <w:t xml:space="preserve"> excluding GST.  </w:t>
      </w:r>
      <w:r w:rsidR="004E7DB0" w:rsidRPr="00EF0551">
        <w:t xml:space="preserve">Up until 24 July 2020, the total remuneration and expenses that Mr </w:t>
      </w:r>
      <w:proofErr w:type="spellStart"/>
      <w:r w:rsidR="004E7DB0">
        <w:t>Topp</w:t>
      </w:r>
      <w:proofErr w:type="spellEnd"/>
      <w:r w:rsidR="004E7DB0" w:rsidRPr="00EF0551">
        <w:t xml:space="preserve"> and Mr Gleeson incurred amounted to about $132,500.  </w:t>
      </w:r>
    </w:p>
    <w:p w:rsidR="00C74DCD" w:rsidRDefault="00C74DCD" w:rsidP="00BB0B37">
      <w:pPr>
        <w:pStyle w:val="ParaNumbering"/>
      </w:pPr>
      <w:r w:rsidRPr="00EF0551">
        <w:t xml:space="preserve">Mr </w:t>
      </w:r>
      <w:proofErr w:type="spellStart"/>
      <w:r w:rsidR="002C3C20">
        <w:t>Topp</w:t>
      </w:r>
      <w:proofErr w:type="spellEnd"/>
      <w:r w:rsidRPr="00EF0551">
        <w:t xml:space="preserve"> came to understand that those payments ought not to have been made without </w:t>
      </w:r>
      <w:r w:rsidR="004E7DB0">
        <w:t>seeking a further order of the C</w:t>
      </w:r>
      <w:r w:rsidRPr="00EF0551">
        <w:t xml:space="preserve">ourt.  He explained that the liquidators misunderstood the </w:t>
      </w:r>
      <w:r w:rsidR="002E3072">
        <w:t xml:space="preserve">effect of the </w:t>
      </w:r>
      <w:r w:rsidRPr="00EF0551">
        <w:t xml:space="preserve">orders </w:t>
      </w:r>
      <w:r w:rsidR="0079549A">
        <w:t>that</w:t>
      </w:r>
      <w:r w:rsidRPr="00EF0551">
        <w:t xml:space="preserve"> Yates J </w:t>
      </w:r>
      <w:r w:rsidR="0079549A">
        <w:t xml:space="preserve">made </w:t>
      </w:r>
      <w:r w:rsidRPr="00EF0551">
        <w:t>on 6 March 2019</w:t>
      </w:r>
      <w:r w:rsidR="0079549A">
        <w:t>.</w:t>
      </w:r>
      <w:r w:rsidRPr="00EF0551">
        <w:t xml:space="preserve"> </w:t>
      </w:r>
      <w:r w:rsidR="0079549A">
        <w:t xml:space="preserve"> He said</w:t>
      </w:r>
      <w:r w:rsidRPr="00EF0551">
        <w:t xml:space="preserve"> that</w:t>
      </w:r>
      <w:r w:rsidR="0079549A">
        <w:t xml:space="preserve"> they believed that they had t</w:t>
      </w:r>
      <w:r w:rsidR="002E3072">
        <w:t>he right to make those payments,</w:t>
      </w:r>
      <w:r w:rsidR="0079549A">
        <w:t xml:space="preserve"> based on</w:t>
      </w:r>
      <w:r w:rsidR="002E3072">
        <w:t xml:space="preserve"> his initial understanding of</w:t>
      </w:r>
      <w:r w:rsidR="0079549A">
        <w:t xml:space="preserve"> </w:t>
      </w:r>
      <w:r w:rsidR="0079549A" w:rsidRPr="00BB0B37">
        <w:rPr>
          <w:i/>
        </w:rPr>
        <w:t>first</w:t>
      </w:r>
      <w:r w:rsidR="0079549A">
        <w:t>,</w:t>
      </w:r>
      <w:r w:rsidRPr="00EF0551">
        <w:t xml:space="preserve"> objective </w:t>
      </w:r>
      <w:r w:rsidR="0079549A">
        <w:t>1</w:t>
      </w:r>
      <w:r w:rsidRPr="00EF0551">
        <w:t xml:space="preserve"> in annexure B </w:t>
      </w:r>
      <w:r w:rsidRPr="00EF0551">
        <w:lastRenderedPageBreak/>
        <w:t xml:space="preserve">to </w:t>
      </w:r>
      <w:r w:rsidR="0079549A">
        <w:t>those</w:t>
      </w:r>
      <w:r w:rsidRPr="00EF0551">
        <w:t xml:space="preserve"> orders </w:t>
      </w:r>
      <w:r w:rsidR="0079549A">
        <w:t xml:space="preserve">and </w:t>
      </w:r>
      <w:r w:rsidR="0079549A" w:rsidRPr="00BB0B37">
        <w:rPr>
          <w:i/>
        </w:rPr>
        <w:t>secondly</w:t>
      </w:r>
      <w:r w:rsidR="001C3728">
        <w:t>, order 8.</w:t>
      </w:r>
      <w:r w:rsidRPr="00EF0551">
        <w:t xml:space="preserve">  Mr </w:t>
      </w:r>
      <w:proofErr w:type="spellStart"/>
      <w:r w:rsidR="002C3C20">
        <w:t>Topp</w:t>
      </w:r>
      <w:proofErr w:type="spellEnd"/>
      <w:r w:rsidRPr="00EF0551">
        <w:t xml:space="preserve"> apologised </w:t>
      </w:r>
      <w:r w:rsidR="0079549A">
        <w:t xml:space="preserve">in his affidavit </w:t>
      </w:r>
      <w:r w:rsidR="00BB0B37">
        <w:t xml:space="preserve">for </w:t>
      </w:r>
      <w:r w:rsidRPr="00EF0551">
        <w:t xml:space="preserve">misunderstanding the proper interpretation of the </w:t>
      </w:r>
      <w:r w:rsidR="0079549A">
        <w:t xml:space="preserve">Court’s </w:t>
      </w:r>
      <w:r w:rsidRPr="00EF0551">
        <w:t>orders</w:t>
      </w:r>
      <w:r w:rsidR="002E3072">
        <w:t>,</w:t>
      </w:r>
      <w:r w:rsidRPr="00EF0551">
        <w:t xml:space="preserve"> and </w:t>
      </w:r>
      <w:r w:rsidR="0079549A">
        <w:t>now seeks that the C</w:t>
      </w:r>
      <w:r w:rsidRPr="00EF0551">
        <w:t xml:space="preserve">ourt retrospectively approve </w:t>
      </w:r>
      <w:r w:rsidR="0079549A">
        <w:t>all of the</w:t>
      </w:r>
      <w:r w:rsidRPr="00EF0551">
        <w:t xml:space="preserve"> payments</w:t>
      </w:r>
      <w:r w:rsidR="0079549A">
        <w:t xml:space="preserve"> </w:t>
      </w:r>
      <w:r w:rsidR="00DF0779">
        <w:t xml:space="preserve">of their remuneration as the receivers or liquidators </w:t>
      </w:r>
      <w:r w:rsidR="0079549A">
        <w:t>that the liquidators made</w:t>
      </w:r>
      <w:r w:rsidR="00DF0779">
        <w:t>.</w:t>
      </w:r>
    </w:p>
    <w:p w:rsidR="00BB0B37" w:rsidRDefault="00BB0B37" w:rsidP="002E3072">
      <w:pPr>
        <w:pStyle w:val="Heading3"/>
      </w:pPr>
      <w:r>
        <w:t>Consideration</w:t>
      </w:r>
      <w:r w:rsidR="00D704F8">
        <w:t xml:space="preserve"> – remuneration</w:t>
      </w:r>
    </w:p>
    <w:p w:rsidR="00BB0B37" w:rsidRPr="00BB0B37" w:rsidRDefault="00BB0B37" w:rsidP="00BB0B37">
      <w:pPr>
        <w:pStyle w:val="ParaNumbering"/>
      </w:pPr>
      <w:r w:rsidRPr="00EF0551">
        <w:t xml:space="preserve">As </w:t>
      </w:r>
      <w:proofErr w:type="spellStart"/>
      <w:r>
        <w:t>Aidzan</w:t>
      </w:r>
      <w:proofErr w:type="spellEnd"/>
      <w:r>
        <w:t xml:space="preserve"> is</w:t>
      </w:r>
      <w:r w:rsidRPr="00EF0551">
        <w:t xml:space="preserve"> </w:t>
      </w:r>
      <w:r w:rsidR="00DF0779">
        <w:t xml:space="preserve">now </w:t>
      </w:r>
      <w:r w:rsidRPr="00EF0551">
        <w:t xml:space="preserve">clearly solvent, the liquidators anticipate that the winding up will soon be terminated and the company restored to </w:t>
      </w:r>
      <w:r>
        <w:t>its</w:t>
      </w:r>
      <w:r w:rsidRPr="00EF0551">
        <w:t xml:space="preserve"> shareholders.  Likewise, the purpose of the receivership is now fulfilled.</w:t>
      </w:r>
    </w:p>
    <w:p w:rsidR="00C74DCD" w:rsidRPr="00EF0551" w:rsidRDefault="0079549A" w:rsidP="001C3728">
      <w:pPr>
        <w:pStyle w:val="ParaNumbering"/>
      </w:pPr>
      <w:r>
        <w:t>I am satisfied that, in</w:t>
      </w:r>
      <w:r w:rsidR="00C74DCD" w:rsidRPr="00EF0551">
        <w:t xml:space="preserve"> all of the circumstances, </w:t>
      </w:r>
      <w:r>
        <w:t xml:space="preserve">Mr </w:t>
      </w:r>
      <w:proofErr w:type="spellStart"/>
      <w:r>
        <w:t>Topp</w:t>
      </w:r>
      <w:proofErr w:type="spellEnd"/>
      <w:r>
        <w:t xml:space="preserve"> has explained </w:t>
      </w:r>
      <w:r w:rsidR="00C74DCD" w:rsidRPr="00EF0551">
        <w:t>the basis of the</w:t>
      </w:r>
      <w:r>
        <w:t xml:space="preserve"> liquidators’ </w:t>
      </w:r>
      <w:r w:rsidR="00C74DCD" w:rsidRPr="00EF0551">
        <w:t>m</w:t>
      </w:r>
      <w:r>
        <w:t>isunderstanding of the 6 March 2019 orders.  While the R</w:t>
      </w:r>
      <w:r w:rsidR="00C74DCD" w:rsidRPr="00EF0551">
        <w:t xml:space="preserve">egistrar was entitled to determine the amount of the </w:t>
      </w:r>
      <w:r w:rsidR="00986DDB">
        <w:t>liquidators’ remuneration</w:t>
      </w:r>
      <w:r>
        <w:t>, as officers of the C</w:t>
      </w:r>
      <w:r w:rsidR="00C74DCD" w:rsidRPr="00EF0551">
        <w:t>ourt</w:t>
      </w:r>
      <w:r w:rsidR="00BB0B37">
        <w:t>,</w:t>
      </w:r>
      <w:r>
        <w:t xml:space="preserve"> for the period 4 to 26 February 2019, they</w:t>
      </w:r>
      <w:r w:rsidR="00C74DCD" w:rsidRPr="00EF0551">
        <w:t xml:space="preserve"> were nonetheless required to </w:t>
      </w:r>
      <w:r>
        <w:t>seek the Court’s authorisation by</w:t>
      </w:r>
      <w:r w:rsidR="00C74DCD" w:rsidRPr="00EF0551">
        <w:t xml:space="preserve"> an order for payment</w:t>
      </w:r>
      <w:r>
        <w:t xml:space="preserve"> of any further remuneration.  The misunderstanding may have arisen from</w:t>
      </w:r>
      <w:r w:rsidR="00C74DCD" w:rsidRPr="00EF0551">
        <w:t xml:space="preserve"> an infelicity in the drafting of the orders</w:t>
      </w:r>
      <w:r>
        <w:t>.</w:t>
      </w:r>
      <w:r w:rsidR="00C74DCD" w:rsidRPr="00EF0551">
        <w:t xml:space="preserve"> </w:t>
      </w:r>
      <w:r>
        <w:t xml:space="preserve"> I</w:t>
      </w:r>
      <w:r w:rsidR="00C74DCD" w:rsidRPr="00EF0551">
        <w:t>t is appropriate to approve the amount of remuneration</w:t>
      </w:r>
      <w:r w:rsidR="002E3072">
        <w:t>,</w:t>
      </w:r>
      <w:r w:rsidR="00C74DCD" w:rsidRPr="00EF0551">
        <w:t xml:space="preserve"> sinc</w:t>
      </w:r>
      <w:r w:rsidR="002E3072">
        <w:t>e it was determined by the R</w:t>
      </w:r>
      <w:r w:rsidR="00C74DCD" w:rsidRPr="00EF0551">
        <w:t>egistrar in accordance with his Honour’s orders</w:t>
      </w:r>
      <w:r w:rsidR="002E3072">
        <w:t>,</w:t>
      </w:r>
      <w:r w:rsidR="00C74DCD" w:rsidRPr="00EF0551">
        <w:t xml:space="preserve"> and I will do so.  </w:t>
      </w:r>
    </w:p>
    <w:p w:rsidR="00DD0365" w:rsidRDefault="00C74DCD" w:rsidP="00BB0B37">
      <w:pPr>
        <w:pStyle w:val="ParaNumbering"/>
      </w:pPr>
      <w:r w:rsidRPr="00EF0551">
        <w:t xml:space="preserve">In my opinion, it is appropriate </w:t>
      </w:r>
      <w:r w:rsidR="00BB0B37">
        <w:t>to</w:t>
      </w:r>
      <w:r w:rsidRPr="00EF0551">
        <w:t xml:space="preserve"> order that the </w:t>
      </w:r>
      <w:r w:rsidR="00DD0365">
        <w:t>R</w:t>
      </w:r>
      <w:r w:rsidRPr="00EF0551">
        <w:t>egistrar determine and</w:t>
      </w:r>
      <w:r w:rsidR="00DD0365">
        <w:t xml:space="preserve"> </w:t>
      </w:r>
      <w:r w:rsidRPr="00EF0551">
        <w:t>approve for payment</w:t>
      </w:r>
      <w:r w:rsidR="002E3072">
        <w:t>,</w:t>
      </w:r>
      <w:r w:rsidRPr="00EF0551">
        <w:t xml:space="preserve"> out of the funds held by</w:t>
      </w:r>
      <w:r w:rsidR="00DF0779">
        <w:t xml:space="preserve"> the liquidators</w:t>
      </w:r>
      <w:r w:rsidR="00DD0365">
        <w:t>, their</w:t>
      </w:r>
      <w:r w:rsidRPr="00EF0551">
        <w:t xml:space="preserve"> remuneration </w:t>
      </w:r>
      <w:r w:rsidR="00BB0B37">
        <w:t xml:space="preserve">as receivers </w:t>
      </w:r>
      <w:r w:rsidR="00DD0365">
        <w:t xml:space="preserve">and the </w:t>
      </w:r>
      <w:r w:rsidRPr="00EF0551">
        <w:t xml:space="preserve">costs and expenses </w:t>
      </w:r>
      <w:r w:rsidR="00BB0B37">
        <w:t xml:space="preserve">of the receivership and liquidation </w:t>
      </w:r>
      <w:r w:rsidR="00DD0365">
        <w:t>up to 24 June 2020</w:t>
      </w:r>
      <w:r w:rsidRPr="00EF0551">
        <w:t xml:space="preserve">. </w:t>
      </w:r>
    </w:p>
    <w:p w:rsidR="00DF0779" w:rsidRDefault="00DF0779" w:rsidP="007A7B42">
      <w:pPr>
        <w:pStyle w:val="Heading2"/>
      </w:pPr>
      <w:r>
        <w:t xml:space="preserve">Can the liquidators and receivers be paid from money held by </w:t>
      </w:r>
      <w:proofErr w:type="spellStart"/>
      <w:r>
        <w:t>Aidzan</w:t>
      </w:r>
      <w:proofErr w:type="spellEnd"/>
      <w:r>
        <w:t xml:space="preserve"> as trustee?</w:t>
      </w:r>
    </w:p>
    <w:p w:rsidR="00DD0365" w:rsidRDefault="00C74DCD" w:rsidP="00C74DCD">
      <w:pPr>
        <w:pStyle w:val="ParaNumbering"/>
      </w:pPr>
      <w:r w:rsidRPr="00EF0551">
        <w:t xml:space="preserve">The second question that arises </w:t>
      </w:r>
      <w:r w:rsidR="00DD0365">
        <w:t>in the first stage of the interlocutory application is whether the liquidator</w:t>
      </w:r>
      <w:r w:rsidRPr="00EF0551">
        <w:t>s</w:t>
      </w:r>
      <w:r w:rsidR="00DD0365">
        <w:t>’ and receivers’</w:t>
      </w:r>
      <w:r w:rsidRPr="00EF0551">
        <w:t xml:space="preserve"> remuneration </w:t>
      </w:r>
      <w:r w:rsidR="00DD0365">
        <w:t xml:space="preserve">and </w:t>
      </w:r>
      <w:r w:rsidRPr="00EF0551">
        <w:t xml:space="preserve">expenses can be paid from the assets that </w:t>
      </w:r>
      <w:proofErr w:type="spellStart"/>
      <w:r w:rsidRPr="00EF0551">
        <w:t>Aidzan</w:t>
      </w:r>
      <w:proofErr w:type="spellEnd"/>
      <w:r w:rsidRPr="00EF0551">
        <w:t xml:space="preserve"> holds on trust for the PAL Trust.  </w:t>
      </w:r>
    </w:p>
    <w:p w:rsidR="00C74DCD" w:rsidRPr="00EF0551" w:rsidRDefault="00C74DCD" w:rsidP="00C74DCD">
      <w:pPr>
        <w:pStyle w:val="ParaNumbering"/>
      </w:pPr>
      <w:r w:rsidRPr="00EF0551">
        <w:t xml:space="preserve">The liquidators contend that this is possible because the only business of </w:t>
      </w:r>
      <w:proofErr w:type="spellStart"/>
      <w:r w:rsidRPr="00EF0551">
        <w:t>Aidzan</w:t>
      </w:r>
      <w:proofErr w:type="spellEnd"/>
      <w:r w:rsidRPr="00EF0551">
        <w:t xml:space="preserve"> was to act as trustee</w:t>
      </w:r>
      <w:r w:rsidR="002E3072">
        <w:t xml:space="preserve"> of the PAL Trust</w:t>
      </w:r>
      <w:r w:rsidR="00DD0365">
        <w:t>.</w:t>
      </w:r>
      <w:r w:rsidRPr="00EF0551">
        <w:t xml:space="preserve"> </w:t>
      </w:r>
      <w:r w:rsidR="00DD0365">
        <w:t xml:space="preserve"> They submit </w:t>
      </w:r>
      <w:r w:rsidRPr="00EF0551">
        <w:t xml:space="preserve">that the consequence of the High Court’s decision in </w:t>
      </w:r>
      <w:r w:rsidRPr="00B43ACE">
        <w:rPr>
          <w:i/>
        </w:rPr>
        <w:t xml:space="preserve">Carter Holt Harvey </w:t>
      </w:r>
      <w:proofErr w:type="spellStart"/>
      <w:r w:rsidRPr="00B43ACE">
        <w:rPr>
          <w:i/>
        </w:rPr>
        <w:t>Woodproducts</w:t>
      </w:r>
      <w:proofErr w:type="spellEnd"/>
      <w:r w:rsidRPr="00B43ACE">
        <w:rPr>
          <w:i/>
        </w:rPr>
        <w:t xml:space="preserve"> Australia Pty Ltd v Commonwealth</w:t>
      </w:r>
      <w:r w:rsidR="00DD0365" w:rsidRPr="00B43ACE">
        <w:t xml:space="preserve"> (2019) 368 ALR </w:t>
      </w:r>
      <w:r w:rsidRPr="00B43ACE">
        <w:t>390</w:t>
      </w:r>
      <w:r w:rsidRPr="00EF0551">
        <w:t xml:space="preserve"> is that they will have a right of exoneration out of the trust property from which to discharge the amount of the remuneration</w:t>
      </w:r>
      <w:r w:rsidR="00BB0B37">
        <w:t>,</w:t>
      </w:r>
      <w:r w:rsidRPr="00EF0551">
        <w:t xml:space="preserve"> costs and expenses due to them in performance of their duties as liquidators</w:t>
      </w:r>
      <w:r w:rsidR="00DD0365">
        <w:t xml:space="preserve"> and receivers</w:t>
      </w:r>
      <w:r w:rsidRPr="00EF0551">
        <w:t xml:space="preserve">, being to carry on the business of </w:t>
      </w:r>
      <w:proofErr w:type="spellStart"/>
      <w:r w:rsidR="00DD0365">
        <w:t>Aidzan</w:t>
      </w:r>
      <w:proofErr w:type="spellEnd"/>
      <w:r w:rsidRPr="00EF0551">
        <w:t xml:space="preserve"> solely in its capacity as trustee.</w:t>
      </w:r>
    </w:p>
    <w:p w:rsidR="00DD0365" w:rsidRDefault="00C74DCD" w:rsidP="00C74DCD">
      <w:pPr>
        <w:pStyle w:val="ParaNumbering"/>
      </w:pPr>
      <w:r w:rsidRPr="00EF0551">
        <w:lastRenderedPageBreak/>
        <w:t xml:space="preserve">The liquidators argue that because </w:t>
      </w:r>
      <w:proofErr w:type="spellStart"/>
      <w:r w:rsidRPr="00EF0551">
        <w:t>Aidzan</w:t>
      </w:r>
      <w:proofErr w:type="spellEnd"/>
      <w:r w:rsidRPr="00EF0551">
        <w:t xml:space="preserve"> acted only as trustee, all of the work which they performed in their capacity as liquidators </w:t>
      </w:r>
      <w:r w:rsidR="00DD0365">
        <w:t xml:space="preserve">and receivers </w:t>
      </w:r>
      <w:r w:rsidRPr="00EF0551">
        <w:t>in its winding up ought be paid by the trust fund</w:t>
      </w:r>
      <w:r w:rsidR="00DD0365">
        <w:t>.  T</w:t>
      </w:r>
      <w:r w:rsidRPr="00EF0551">
        <w:t xml:space="preserve">hey contend that it is not necessary for there to be any apportionment of liability for the cost of the work done by the liquidators for the </w:t>
      </w:r>
      <w:r w:rsidR="00BB0B37">
        <w:t xml:space="preserve">short </w:t>
      </w:r>
      <w:r w:rsidRPr="00EF0551">
        <w:t xml:space="preserve">period during which </w:t>
      </w:r>
      <w:proofErr w:type="spellStart"/>
      <w:r w:rsidRPr="00EF0551">
        <w:t>Aidzan</w:t>
      </w:r>
      <w:proofErr w:type="spellEnd"/>
      <w:r w:rsidRPr="00EF0551">
        <w:t xml:space="preserve"> continued in its role as trustee of the superannuation </w:t>
      </w:r>
      <w:r w:rsidR="002E3072">
        <w:t>fund</w:t>
      </w:r>
      <w:r w:rsidRPr="00EF0551">
        <w:t xml:space="preserve">.  </w:t>
      </w:r>
    </w:p>
    <w:p w:rsidR="00DD0365" w:rsidRDefault="00DD0365" w:rsidP="002E3072">
      <w:pPr>
        <w:pStyle w:val="Heading3"/>
      </w:pPr>
      <w:r>
        <w:t>Consideration</w:t>
      </w:r>
      <w:r w:rsidR="00D704F8">
        <w:t xml:space="preserve"> – can </w:t>
      </w:r>
      <w:proofErr w:type="spellStart"/>
      <w:r w:rsidR="00D704F8">
        <w:t>Aidzan</w:t>
      </w:r>
      <w:proofErr w:type="spellEnd"/>
      <w:r w:rsidR="00D704F8">
        <w:t xml:space="preserve"> pay?</w:t>
      </w:r>
    </w:p>
    <w:p w:rsidR="00C74DCD" w:rsidRPr="00EF0551" w:rsidRDefault="00C74DCD" w:rsidP="00DD0365">
      <w:pPr>
        <w:pStyle w:val="ParaNumbering"/>
      </w:pPr>
      <w:r w:rsidRPr="00EF0551">
        <w:t xml:space="preserve">Importantly, as </w:t>
      </w:r>
      <w:proofErr w:type="spellStart"/>
      <w:r w:rsidRPr="00EF0551">
        <w:t>Kiefel</w:t>
      </w:r>
      <w:proofErr w:type="spellEnd"/>
      <w:r w:rsidRPr="00EF0551">
        <w:t xml:space="preserve"> CJ, Keane and Edelman JJ explain</w:t>
      </w:r>
      <w:r w:rsidR="00DD0365">
        <w:t>ed</w:t>
      </w:r>
      <w:r w:rsidRPr="00EF0551">
        <w:t xml:space="preserve"> in </w:t>
      </w:r>
      <w:r w:rsidRPr="00C74DCD">
        <w:rPr>
          <w:i/>
        </w:rPr>
        <w:t>Carter Holt</w:t>
      </w:r>
      <w:r w:rsidRPr="00EF0551">
        <w:t xml:space="preserve"> 368 ALR </w:t>
      </w:r>
      <w:r w:rsidR="00DD0365">
        <w:t xml:space="preserve">at </w:t>
      </w:r>
      <w:r w:rsidRPr="00EF0551">
        <w:t>401 [24], a trust is not a separate entity</w:t>
      </w:r>
      <w:r w:rsidR="00DD0365">
        <w:t>.  T</w:t>
      </w:r>
      <w:r w:rsidRPr="00EF0551">
        <w:t>herefore</w:t>
      </w:r>
      <w:r w:rsidR="00DD0365">
        <w:t>, a trust</w:t>
      </w:r>
      <w:r w:rsidRPr="00EF0551">
        <w:t xml:space="preserve"> does not have a separate solvency status from </w:t>
      </w:r>
      <w:r w:rsidR="00DD0365">
        <w:t>that of its</w:t>
      </w:r>
      <w:r w:rsidR="00BB0B37">
        <w:t xml:space="preserve"> trustee.  A</w:t>
      </w:r>
      <w:r w:rsidRPr="00EF0551">
        <w:t xml:space="preserve"> trustee is personally liable for debts it incur</w:t>
      </w:r>
      <w:r w:rsidR="00DD0365">
        <w:t>s as trustee, w</w:t>
      </w:r>
      <w:r w:rsidRPr="00EF0551">
        <w:t>hether or not the trustee contracted with creditors as a named trustee and whether or not creditors knew of the existence of trust.  The Court held that a trustee’s power of exoneration can only be us</w:t>
      </w:r>
      <w:r w:rsidR="002E76C9">
        <w:t>ed according to its terms</w:t>
      </w:r>
      <w:r w:rsidR="002E3072">
        <w:t>,</w:t>
      </w:r>
      <w:r w:rsidR="002E76C9">
        <w:t xml:space="preserve"> and is</w:t>
      </w:r>
      <w:r w:rsidRPr="00EF0551">
        <w:t xml:space="preserve"> confined to the use of trust funds to discharge debts properly incurred by the trustee</w:t>
      </w:r>
      <w:r w:rsidR="002E76C9">
        <w:t>.  That right survives</w:t>
      </w:r>
      <w:r w:rsidRPr="00EF0551">
        <w:t xml:space="preserve"> liquidation or b</w:t>
      </w:r>
      <w:r w:rsidR="002E76C9">
        <w:t xml:space="preserve">ankruptcy of the trustee itself: </w:t>
      </w:r>
      <w:r w:rsidR="002E76C9">
        <w:rPr>
          <w:i/>
        </w:rPr>
        <w:t xml:space="preserve">Carter Holt </w:t>
      </w:r>
      <w:r w:rsidR="002E76C9">
        <w:t>368 ALR at</w:t>
      </w:r>
      <w:r w:rsidR="002E3072">
        <w:t xml:space="preserve"> 403–</w:t>
      </w:r>
      <w:r w:rsidRPr="00EF0551">
        <w:t>404</w:t>
      </w:r>
      <w:r w:rsidR="002E3072">
        <w:t xml:space="preserve"> [31]–[32] and 407–</w:t>
      </w:r>
      <w:r w:rsidRPr="00EF0551">
        <w:t>408</w:t>
      </w:r>
      <w:r>
        <w:t xml:space="preserve"> </w:t>
      </w:r>
      <w:r w:rsidRPr="00EF0551">
        <w:t>[44]</w:t>
      </w:r>
      <w:r w:rsidR="002E3072">
        <w:t xml:space="preserve"> per </w:t>
      </w:r>
      <w:proofErr w:type="spellStart"/>
      <w:r w:rsidR="002E3072">
        <w:t>Kiefel</w:t>
      </w:r>
      <w:proofErr w:type="spellEnd"/>
      <w:r w:rsidR="002E3072">
        <w:t xml:space="preserve"> CJ, Keane and Edelman JJ, 420</w:t>
      </w:r>
      <w:r w:rsidRPr="00EF0551">
        <w:t xml:space="preserve"> [92] per </w:t>
      </w:r>
      <w:r w:rsidR="002E76C9">
        <w:t xml:space="preserve">Bell, </w:t>
      </w:r>
      <w:proofErr w:type="spellStart"/>
      <w:r w:rsidR="002E76C9">
        <w:t>Gageler</w:t>
      </w:r>
      <w:proofErr w:type="spellEnd"/>
      <w:r w:rsidR="002E76C9">
        <w:t xml:space="preserve"> and Nettle JJ and</w:t>
      </w:r>
      <w:r w:rsidRPr="00EF0551">
        <w:t xml:space="preserve"> 429</w:t>
      </w:r>
      <w:r>
        <w:t xml:space="preserve"> </w:t>
      </w:r>
      <w:r w:rsidRPr="00EF0551">
        <w:t>[130</w:t>
      </w:r>
      <w:r>
        <w:t>]</w:t>
      </w:r>
      <w:r w:rsidRPr="00EF0551">
        <w:t xml:space="preserve"> and </w:t>
      </w:r>
      <w:r>
        <w:t>[</w:t>
      </w:r>
      <w:r w:rsidRPr="00EF0551">
        <w:t xml:space="preserve">132] </w:t>
      </w:r>
      <w:r w:rsidR="002E76C9">
        <w:t>per</w:t>
      </w:r>
      <w:r w:rsidRPr="00EF0551">
        <w:t xml:space="preserve"> Gordon J.  </w:t>
      </w:r>
      <w:proofErr w:type="spellStart"/>
      <w:r w:rsidRPr="00EF0551">
        <w:t>Kiefel</w:t>
      </w:r>
      <w:proofErr w:type="spellEnd"/>
      <w:r w:rsidRPr="00EF0551">
        <w:t xml:space="preserve"> CJ, Keane and Edelman J</w:t>
      </w:r>
      <w:r w:rsidR="002E3072">
        <w:t>J</w:t>
      </w:r>
      <w:r w:rsidRPr="00EF0551">
        <w:t xml:space="preserve"> explained </w:t>
      </w:r>
      <w:r w:rsidR="002E76C9">
        <w:t>(</w:t>
      </w:r>
      <w:r w:rsidRPr="00EF0551">
        <w:t>at 409</w:t>
      </w:r>
      <w:r>
        <w:t xml:space="preserve"> </w:t>
      </w:r>
      <w:r w:rsidRPr="00EF0551">
        <w:t>[50]</w:t>
      </w:r>
      <w:r w:rsidR="002E3072">
        <w:t>,</w:t>
      </w:r>
      <w:r w:rsidR="002E76C9">
        <w:t xml:space="preserve"> and see also at 437 [171] per Gordon J)</w:t>
      </w:r>
      <w:r w:rsidRPr="00EF0551">
        <w:t xml:space="preserve"> that the power of exoneration is the property of the company in its capacity as trustee and can be used for its personal benefit as trustee. </w:t>
      </w:r>
    </w:p>
    <w:p w:rsidR="00BB0B37" w:rsidRDefault="002E76C9" w:rsidP="00C74DCD">
      <w:pPr>
        <w:pStyle w:val="ParaNumbering"/>
      </w:pPr>
      <w:r>
        <w:t>A</w:t>
      </w:r>
      <w:r w:rsidR="00C74DCD" w:rsidRPr="00EF0551">
        <w:t xml:space="preserve">s Bell, </w:t>
      </w:r>
      <w:proofErr w:type="spellStart"/>
      <w:r w:rsidR="00C74DCD" w:rsidRPr="00EF0551">
        <w:t>Gageler</w:t>
      </w:r>
      <w:proofErr w:type="spellEnd"/>
      <w:r w:rsidR="00C74DCD" w:rsidRPr="00EF0551">
        <w:t xml:space="preserve"> and Nettle JJ pointed out </w:t>
      </w:r>
      <w:r>
        <w:t xml:space="preserve">(at </w:t>
      </w:r>
      <w:r w:rsidR="00C74DCD" w:rsidRPr="00EF0551">
        <w:t>422</w:t>
      </w:r>
      <w:r w:rsidR="00C74DCD">
        <w:t xml:space="preserve"> </w:t>
      </w:r>
      <w:r w:rsidR="002E3072">
        <w:t>[97</w:t>
      </w:r>
      <w:r w:rsidR="00C74DCD" w:rsidRPr="00EF0551">
        <w:t>]</w:t>
      </w:r>
      <w:r w:rsidR="002E3072">
        <w:t>,</w:t>
      </w:r>
      <w:r w:rsidR="00C74DCD" w:rsidRPr="00EF0551">
        <w:t xml:space="preserve"> and Gordon J appears to have agreed at 435</w:t>
      </w:r>
      <w:r>
        <w:t xml:space="preserve"> </w:t>
      </w:r>
      <w:r w:rsidR="00C74DCD" w:rsidRPr="00EF0551">
        <w:t>[160]</w:t>
      </w:r>
      <w:r>
        <w:t>), o</w:t>
      </w:r>
      <w:r w:rsidRPr="00EF0551">
        <w:t>rdinarily</w:t>
      </w:r>
      <w:r w:rsidR="00C74DCD" w:rsidRPr="00EF0551">
        <w:t xml:space="preserve">, where there is more than one trust of which a corporation is trustee, it will be necessary to apportion the burden of the work performed by the trustee to the relevant trust fund to which </w:t>
      </w:r>
      <w:r>
        <w:t>the trustee’s common</w:t>
      </w:r>
      <w:r w:rsidR="00C74DCD" w:rsidRPr="00EF0551">
        <w:t xml:space="preserve"> work contributed.  </w:t>
      </w:r>
    </w:p>
    <w:p w:rsidR="00BB0B37" w:rsidRDefault="002E76C9" w:rsidP="00C74DCD">
      <w:pPr>
        <w:pStyle w:val="ParaNumbering"/>
      </w:pPr>
      <w:r>
        <w:t>I</w:t>
      </w:r>
      <w:r w:rsidR="00C74DCD" w:rsidRPr="00EF0551">
        <w:t xml:space="preserve">n essence, </w:t>
      </w:r>
      <w:r>
        <w:t xml:space="preserve">that </w:t>
      </w:r>
      <w:r w:rsidR="002E3072">
        <w:t>was the issue</w:t>
      </w:r>
      <w:r w:rsidR="00C74DCD" w:rsidRPr="00EF0551">
        <w:t xml:space="preserve"> </w:t>
      </w:r>
      <w:r>
        <w:t>of</w:t>
      </w:r>
      <w:r w:rsidR="00C74DCD" w:rsidRPr="00EF0551">
        <w:t xml:space="preserve"> present concern </w:t>
      </w:r>
      <w:r>
        <w:t>to</w:t>
      </w:r>
      <w:r w:rsidR="00C74DCD" w:rsidRPr="00EF0551">
        <w:t xml:space="preserve"> the liquidators and receivers</w:t>
      </w:r>
      <w:r w:rsidR="002B71F9">
        <w:t>,</w:t>
      </w:r>
      <w:r w:rsidR="00C74DCD" w:rsidRPr="00EF0551">
        <w:t xml:space="preserve"> which I have discussed above.  However, as they have pointed out,</w:t>
      </w:r>
      <w:r>
        <w:t xml:space="preserve"> in a practical sense </w:t>
      </w:r>
      <w:r w:rsidR="00BB0B37">
        <w:t xml:space="preserve">the problem </w:t>
      </w:r>
      <w:r>
        <w:t xml:space="preserve">is </w:t>
      </w:r>
      <w:r w:rsidR="00C74DCD" w:rsidRPr="00EF0551">
        <w:t>more theoretical than real</w:t>
      </w:r>
      <w:r>
        <w:t>.</w:t>
      </w:r>
      <w:r w:rsidR="00C74DCD" w:rsidRPr="00EF0551">
        <w:t xml:space="preserve"> </w:t>
      </w:r>
      <w:r w:rsidR="007A7B42">
        <w:t xml:space="preserve"> It is not possible or </w:t>
      </w:r>
      <w:r>
        <w:t xml:space="preserve">apparent </w:t>
      </w:r>
      <w:r w:rsidR="00D704F8">
        <w:t>how to quantify or value, n</w:t>
      </w:r>
      <w:r w:rsidR="007A7B42">
        <w:t xml:space="preserve">or is it sensible to </w:t>
      </w:r>
      <w:r w:rsidR="00BB0B37">
        <w:t xml:space="preserve">burden the superannuation fund </w:t>
      </w:r>
      <w:r w:rsidR="007A7B42">
        <w:t>with</w:t>
      </w:r>
      <w:r w:rsidR="00D704F8">
        <w:t>,</w:t>
      </w:r>
      <w:r w:rsidR="007A7B42">
        <w:t xml:space="preserve"> any such expense </w:t>
      </w:r>
      <w:r w:rsidR="00BB0B37">
        <w:t xml:space="preserve">for the two week period of the liquidation until </w:t>
      </w:r>
      <w:proofErr w:type="spellStart"/>
      <w:r w:rsidR="00BB0B37">
        <w:t>Nazdia</w:t>
      </w:r>
      <w:proofErr w:type="spellEnd"/>
      <w:r w:rsidR="00BB0B37">
        <w:t xml:space="preserve"> replaced </w:t>
      </w:r>
      <w:proofErr w:type="spellStart"/>
      <w:r w:rsidR="00BB0B37">
        <w:t>Aidzan</w:t>
      </w:r>
      <w:proofErr w:type="spellEnd"/>
      <w:r w:rsidR="002E3072">
        <w:t xml:space="preserve"> as trustee</w:t>
      </w:r>
      <w:r>
        <w:t xml:space="preserve">.  That is because </w:t>
      </w:r>
      <w:r w:rsidR="00C74DCD" w:rsidRPr="00EF0551">
        <w:t xml:space="preserve">the liquidators and receivers </w:t>
      </w:r>
      <w:r>
        <w:t xml:space="preserve">did no substantive work in respect of the superannuation fund in </w:t>
      </w:r>
      <w:r w:rsidR="00BB0B37">
        <w:t>that</w:t>
      </w:r>
      <w:r>
        <w:t xml:space="preserve"> fortnight</w:t>
      </w:r>
      <w:r w:rsidR="00C74DCD" w:rsidRPr="00EF0551">
        <w:t xml:space="preserve">.  </w:t>
      </w:r>
    </w:p>
    <w:p w:rsidR="00C74DCD" w:rsidRPr="00EF0551" w:rsidRDefault="00C74DCD" w:rsidP="00C74DCD">
      <w:pPr>
        <w:pStyle w:val="ParaNumbering"/>
      </w:pPr>
      <w:r w:rsidRPr="00EF0551">
        <w:t>I accept the liquidators</w:t>
      </w:r>
      <w:r w:rsidR="002E76C9">
        <w:t>’ and receiver</w:t>
      </w:r>
      <w:r w:rsidRPr="00EF0551">
        <w:t>s</w:t>
      </w:r>
      <w:r w:rsidR="002E76C9">
        <w:t>’</w:t>
      </w:r>
      <w:r w:rsidRPr="00EF0551">
        <w:t xml:space="preserve"> submission that, in the particular circumstances of the present case, it is not necessary to undertake what might be </w:t>
      </w:r>
      <w:r w:rsidR="002E76C9">
        <w:t>an</w:t>
      </w:r>
      <w:r w:rsidRPr="00EF0551">
        <w:t xml:space="preserve"> artificial and expensive exercise in trying to make some small</w:t>
      </w:r>
      <w:r w:rsidR="002E76C9">
        <w:t>, and largely theoretical, allocation for that</w:t>
      </w:r>
      <w:r w:rsidRPr="00EF0551">
        <w:t xml:space="preserve"> </w:t>
      </w:r>
      <w:r w:rsidR="002E76C9">
        <w:t>two week</w:t>
      </w:r>
      <w:r w:rsidRPr="00EF0551">
        <w:t xml:space="preserve"> period</w:t>
      </w:r>
      <w:r w:rsidR="002E76C9">
        <w:t>.</w:t>
      </w:r>
      <w:r w:rsidRPr="00EF0551">
        <w:t xml:space="preserve">  </w:t>
      </w:r>
    </w:p>
    <w:p w:rsidR="007A7B42" w:rsidRDefault="00C74DCD" w:rsidP="00C74DCD">
      <w:pPr>
        <w:pStyle w:val="ParaNumbering"/>
      </w:pPr>
      <w:r w:rsidRPr="00EF0551">
        <w:lastRenderedPageBreak/>
        <w:t>For these reasons</w:t>
      </w:r>
      <w:r w:rsidR="002E76C9">
        <w:t>,</w:t>
      </w:r>
      <w:r w:rsidRPr="00EF0551">
        <w:t xml:space="preserve"> I am of opinion that</w:t>
      </w:r>
      <w:r w:rsidR="002E76C9">
        <w:t xml:space="preserve"> I should make orders that the R</w:t>
      </w:r>
      <w:r w:rsidRPr="00EF0551">
        <w:t>egistrar determine th</w:t>
      </w:r>
      <w:r w:rsidR="002E76C9">
        <w:t>e remuneration of the plaintiff</w:t>
      </w:r>
      <w:r w:rsidRPr="00EF0551">
        <w:t xml:space="preserve">s </w:t>
      </w:r>
      <w:r w:rsidR="00BB0B37">
        <w:t>when</w:t>
      </w:r>
      <w:r w:rsidRPr="00EF0551">
        <w:t xml:space="preserve"> acting as liquidators </w:t>
      </w:r>
      <w:r w:rsidR="002E76C9">
        <w:t xml:space="preserve">and receivers of the PAL Trust </w:t>
      </w:r>
      <w:r w:rsidRPr="00EF0551">
        <w:t xml:space="preserve">of </w:t>
      </w:r>
      <w:proofErr w:type="spellStart"/>
      <w:r w:rsidRPr="00EF0551">
        <w:t>Aidzan</w:t>
      </w:r>
      <w:proofErr w:type="spellEnd"/>
      <w:r w:rsidR="002B71F9">
        <w:t>,</w:t>
      </w:r>
      <w:r w:rsidRPr="00EF0551">
        <w:t xml:space="preserve"> for any work done and expenses n</w:t>
      </w:r>
      <w:r w:rsidR="002E76C9">
        <w:t>ot covered by the Registrar’s approval of 22</w:t>
      </w:r>
      <w:r w:rsidRPr="00EF0551">
        <w:t xml:space="preserve"> March 2019 or the approval of the creditors of </w:t>
      </w:r>
      <w:proofErr w:type="spellStart"/>
      <w:r w:rsidRPr="00EF0551">
        <w:t>Aidzan</w:t>
      </w:r>
      <w:proofErr w:type="spellEnd"/>
      <w:r w:rsidRPr="00EF0551">
        <w:t xml:space="preserve"> on 27 May 2019.  </w:t>
      </w:r>
    </w:p>
    <w:p w:rsidR="00A45349" w:rsidRDefault="00C74DCD" w:rsidP="00A45349">
      <w:pPr>
        <w:pStyle w:val="ParaNumbering"/>
      </w:pPr>
      <w:r w:rsidRPr="00EF0551">
        <w:t xml:space="preserve">I shall make an order </w:t>
      </w:r>
      <w:proofErr w:type="spellStart"/>
      <w:r w:rsidRPr="00C74DCD">
        <w:rPr>
          <w:i/>
        </w:rPr>
        <w:t>nunc</w:t>
      </w:r>
      <w:proofErr w:type="spellEnd"/>
      <w:r w:rsidRPr="00C74DCD">
        <w:rPr>
          <w:i/>
        </w:rPr>
        <w:t xml:space="preserve"> pro </w:t>
      </w:r>
      <w:proofErr w:type="spellStart"/>
      <w:r w:rsidRPr="00C74DCD">
        <w:rPr>
          <w:i/>
        </w:rPr>
        <w:t>tunc</w:t>
      </w:r>
      <w:proofErr w:type="spellEnd"/>
      <w:r w:rsidRPr="00EF0551">
        <w:t xml:space="preserve"> that</w:t>
      </w:r>
      <w:r w:rsidR="00BB0B37">
        <w:t>,</w:t>
      </w:r>
      <w:r w:rsidR="002B71F9">
        <w:t xml:space="preserve"> from 24</w:t>
      </w:r>
      <w:r w:rsidRPr="00EF0551">
        <w:t xml:space="preserve"> October 2019</w:t>
      </w:r>
      <w:r w:rsidR="00BB0B37">
        <w:t>,</w:t>
      </w:r>
      <w:r w:rsidRPr="00EF0551">
        <w:t xml:space="preserve"> the </w:t>
      </w:r>
      <w:r w:rsidR="002E76C9">
        <w:t>liquidators</w:t>
      </w:r>
      <w:r w:rsidRPr="00EF0551">
        <w:t xml:space="preserve">, as receivers of the PAL Trust, be authorised </w:t>
      </w:r>
      <w:r w:rsidR="002E76C9">
        <w:t>to pay</w:t>
      </w:r>
      <w:r w:rsidRPr="00EF0551">
        <w:t xml:space="preserve"> their expenses of the liquidation of </w:t>
      </w:r>
      <w:proofErr w:type="spellStart"/>
      <w:r w:rsidR="002E76C9">
        <w:t>Aidzan</w:t>
      </w:r>
      <w:proofErr w:type="spellEnd"/>
      <w:r w:rsidR="002E76C9">
        <w:t xml:space="preserve">, including the amount of their remuneration and expenses fixed by the Registrar, </w:t>
      </w:r>
      <w:r w:rsidRPr="00EF0551">
        <w:t xml:space="preserve">from the funds they hold in </w:t>
      </w:r>
      <w:r w:rsidR="002E76C9">
        <w:t xml:space="preserve">the </w:t>
      </w:r>
      <w:r w:rsidRPr="00EF0551">
        <w:t>receivership</w:t>
      </w:r>
      <w:r w:rsidR="002E76C9">
        <w:t>,  a</w:t>
      </w:r>
      <w:r w:rsidRPr="00EF0551">
        <w:t>nd that after paying the amounts owing to themselves as liquidators, their own expenses and r</w:t>
      </w:r>
      <w:r w:rsidR="002B71F9">
        <w:t>emuneration as approved by the R</w:t>
      </w:r>
      <w:r w:rsidRPr="00EF0551">
        <w:t xml:space="preserve">egistrar, they hold the balance of the funds in the receivership until the further order. </w:t>
      </w:r>
    </w:p>
    <w:tbl>
      <w:tblPr>
        <w:tblW w:w="0" w:type="auto"/>
        <w:tblLook w:val="04A0" w:firstRow="1" w:lastRow="0" w:firstColumn="1" w:lastColumn="0" w:noHBand="0" w:noVBand="1"/>
      </w:tblPr>
      <w:tblGrid>
        <w:gridCol w:w="3794"/>
      </w:tblGrid>
      <w:tr w:rsidR="00A45349" w:rsidRPr="00DF1471" w:rsidTr="001D01AF">
        <w:tc>
          <w:tcPr>
            <w:tcW w:w="3794" w:type="dxa"/>
            <w:shd w:val="clear" w:color="auto" w:fill="auto"/>
          </w:tcPr>
          <w:p w:rsidR="00A45349" w:rsidRPr="00DF1471" w:rsidRDefault="00A45349" w:rsidP="00A45349">
            <w:pPr>
              <w:pStyle w:val="NoNum"/>
              <w:spacing w:line="240" w:lineRule="auto"/>
            </w:pPr>
            <w:r w:rsidRPr="00DF1471">
              <w:t xml:space="preserve">I certify that the preceding </w:t>
            </w:r>
            <w:r>
              <w:t>thirty-two</w:t>
            </w:r>
            <w:r w:rsidRPr="00DF1471">
              <w:t xml:space="preserve"> (</w:t>
            </w:r>
            <w:r>
              <w:t>32</w:t>
            </w:r>
            <w:r w:rsidRPr="00DF1471">
              <w:t xml:space="preserve">) numbered </w:t>
            </w:r>
            <w:bookmarkStart w:id="24" w:name="CertPara"/>
            <w:r>
              <w:t>paragraphs are</w:t>
            </w:r>
            <w:bookmarkEnd w:id="24"/>
            <w:r w:rsidRPr="00DF1471">
              <w:t xml:space="preserve"> a true copy of the Reasons for Judgment of </w:t>
            </w:r>
            <w:bookmarkStart w:id="25" w:name="bkHonourable"/>
            <w:r w:rsidRPr="00DF1471">
              <w:t xml:space="preserve">the Honourable </w:t>
            </w:r>
            <w:bookmarkStart w:id="26" w:name="Justice"/>
            <w:bookmarkEnd w:id="25"/>
            <w:r>
              <w:t>Justice Rares</w:t>
            </w:r>
            <w:bookmarkEnd w:id="26"/>
            <w:r w:rsidRPr="00DF1471">
              <w:t>.</w:t>
            </w:r>
          </w:p>
        </w:tc>
      </w:tr>
    </w:tbl>
    <w:p w:rsidR="002B7239" w:rsidRDefault="002B7239" w:rsidP="00A45349">
      <w:pPr>
        <w:pStyle w:val="NoNum"/>
        <w:spacing w:line="240" w:lineRule="auto"/>
      </w:pPr>
    </w:p>
    <w:p w:rsidR="002B7239" w:rsidRDefault="002B7239" w:rsidP="00A45349">
      <w:pPr>
        <w:pStyle w:val="NoNum"/>
        <w:spacing w:line="240" w:lineRule="auto"/>
      </w:pPr>
    </w:p>
    <w:p w:rsidR="00A45349" w:rsidRDefault="00A45349" w:rsidP="00A45349">
      <w:pPr>
        <w:pStyle w:val="NoNum"/>
        <w:spacing w:line="240" w:lineRule="auto"/>
      </w:pPr>
      <w:r>
        <w:t>Associate:</w:t>
      </w:r>
      <w:r w:rsidRPr="00A45349">
        <w:t xml:space="preserve"> </w:t>
      </w:r>
      <w:bookmarkStart w:id="27" w:name="_GoBack"/>
      <w:bookmarkEnd w:id="27"/>
    </w:p>
    <w:p w:rsidR="00A45349" w:rsidRDefault="00A45349" w:rsidP="00A45349">
      <w:pPr>
        <w:pStyle w:val="NoNum"/>
        <w:spacing w:line="240" w:lineRule="auto"/>
      </w:pPr>
      <w:r>
        <w:t>Dated:</w:t>
      </w:r>
      <w:r>
        <w:tab/>
      </w:r>
      <w:bookmarkStart w:id="28" w:name="CertifyDated"/>
      <w:r>
        <w:t>8 December 2020</w:t>
      </w:r>
      <w:bookmarkEnd w:id="28"/>
    </w:p>
    <w:sectPr w:rsidR="00A45349"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8A" w:rsidRDefault="00EE688A">
      <w:pPr>
        <w:spacing w:line="20" w:lineRule="exact"/>
      </w:pPr>
    </w:p>
    <w:p w:rsidR="00EE688A" w:rsidRDefault="00EE688A"/>
    <w:p w:rsidR="00EE688A" w:rsidRDefault="00EE688A"/>
  </w:endnote>
  <w:endnote w:type="continuationSeparator" w:id="0">
    <w:p w:rsidR="00EE688A" w:rsidRDefault="00EE688A">
      <w:r>
        <w:t xml:space="preserve"> </w:t>
      </w:r>
    </w:p>
    <w:p w:rsidR="00EE688A" w:rsidRDefault="00EE688A"/>
    <w:p w:rsidR="00EE688A" w:rsidRDefault="00EE688A"/>
  </w:endnote>
  <w:endnote w:type="continuationNotice" w:id="1">
    <w:p w:rsidR="00EE688A" w:rsidRDefault="00EE688A">
      <w:r>
        <w:t xml:space="preserve"> </w:t>
      </w:r>
    </w:p>
    <w:p w:rsidR="00EE688A" w:rsidRDefault="00EE688A"/>
    <w:p w:rsidR="00EE688A" w:rsidRDefault="00EE6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39" w:rsidRPr="00A436E8" w:rsidRDefault="006C6E39" w:rsidP="00A436E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A436E8" w:rsidRDefault="00395B24"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A84FD0" w:rsidRDefault="00A84FD0" w:rsidP="00A84FD0">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A436E8" w:rsidRDefault="00A436E8" w:rsidP="00A436E8">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A84FD0" w:rsidRDefault="00395B24" w:rsidP="00A84FD0">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E49" w:rsidRPr="00A84FD0" w:rsidRDefault="002F1E49"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8A" w:rsidRDefault="00EE688A"/>
    <w:p w:rsidR="00EE688A" w:rsidRDefault="00EE688A"/>
    <w:p w:rsidR="00EE688A" w:rsidRDefault="00EE688A"/>
  </w:footnote>
  <w:footnote w:type="continuationSeparator" w:id="0">
    <w:p w:rsidR="00EE688A" w:rsidRDefault="00EE688A">
      <w:r>
        <w:continuationSeparator/>
      </w:r>
    </w:p>
    <w:p w:rsidR="00EE688A" w:rsidRDefault="00EE688A"/>
    <w:p w:rsidR="00EE688A" w:rsidRDefault="00EE68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390424"/>
      <w:docPartObj>
        <w:docPartGallery w:val="Page Numbers (Top of Page)"/>
        <w:docPartUnique/>
      </w:docPartObj>
    </w:sdtPr>
    <w:sdtEndPr>
      <w:rPr>
        <w:noProof/>
      </w:rPr>
    </w:sdtEndPr>
    <w:sdtContent>
      <w:p w:rsidR="004C31B0" w:rsidRDefault="004C31B0">
        <w:pPr>
          <w:pStyle w:val="Header"/>
          <w:jc w:val="center"/>
        </w:pPr>
        <w:r>
          <w:fldChar w:fldCharType="begin"/>
        </w:r>
        <w:r>
          <w:instrText xml:space="preserve"> PAGE   \* MERGEFORMAT </w:instrText>
        </w:r>
        <w:r>
          <w:fldChar w:fldCharType="separate"/>
        </w:r>
        <w:r w:rsidR="002B7239">
          <w:rPr>
            <w:noProof/>
          </w:rPr>
          <w:t>ii</w:t>
        </w:r>
        <w:r>
          <w:rPr>
            <w:noProof/>
          </w:rPr>
          <w:fldChar w:fldCharType="end"/>
        </w:r>
      </w:p>
    </w:sdtContent>
  </w:sdt>
  <w:p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321620"/>
      <w:docPartObj>
        <w:docPartGallery w:val="Page Numbers (Top of Page)"/>
        <w:docPartUnique/>
      </w:docPartObj>
    </w:sdtPr>
    <w:sdtEndPr>
      <w:rPr>
        <w:noProof/>
      </w:rPr>
    </w:sdtEndPr>
    <w:sdtContent>
      <w:p w:rsidR="00F8468E" w:rsidRDefault="00F8468E">
        <w:pPr>
          <w:pStyle w:val="Header"/>
          <w:jc w:val="center"/>
        </w:pPr>
        <w:r>
          <w:fldChar w:fldCharType="begin"/>
        </w:r>
        <w:r>
          <w:instrText xml:space="preserve"> PAGE   \* MERGEFORMAT </w:instrText>
        </w:r>
        <w:r>
          <w:fldChar w:fldCharType="separate"/>
        </w:r>
        <w:r w:rsidR="008C66BB">
          <w:rPr>
            <w:noProof/>
          </w:rPr>
          <w:t>6</w:t>
        </w:r>
        <w:r>
          <w:rPr>
            <w:noProof/>
          </w:rPr>
          <w:fldChar w:fldCharType="end"/>
        </w:r>
      </w:p>
    </w:sdtContent>
  </w:sdt>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7A20F84"/>
    <w:multiLevelType w:val="hybridMultilevel"/>
    <w:tmpl w:val="B7CA43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D41B8E"/>
    <w:multiLevelType w:val="multilevel"/>
    <w:tmpl w:val="A1C8FFD0"/>
    <w:numStyleLink w:val="FCOrders"/>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4174D8B"/>
    <w:multiLevelType w:val="multilevel"/>
    <w:tmpl w:val="A1C8FFD0"/>
    <w:numStyleLink w:val="FCOrders"/>
  </w:abstractNum>
  <w:abstractNum w:abstractNumId="25"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2"/>
  </w:num>
  <w:num w:numId="15">
    <w:abstractNumId w:val="23"/>
  </w:num>
  <w:num w:numId="16">
    <w:abstractNumId w:val="29"/>
  </w:num>
  <w:num w:numId="17">
    <w:abstractNumId w:val="13"/>
  </w:num>
  <w:num w:numId="18">
    <w:abstractNumId w:val="28"/>
  </w:num>
  <w:num w:numId="19">
    <w:abstractNumId w:val="11"/>
  </w:num>
  <w:num w:numId="20">
    <w:abstractNumId w:val="18"/>
  </w:num>
  <w:num w:numId="21">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num>
  <w:num w:numId="29">
    <w:abstractNumId w:val="14"/>
  </w:num>
  <w:num w:numId="30">
    <w:abstractNumId w:val="25"/>
  </w:num>
  <w:num w:numId="31">
    <w:abstractNumId w:val="20"/>
  </w:num>
  <w:num w:numId="32">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num>
  <w:num w:numId="38">
    <w:abstractNumId w:val="13"/>
  </w:num>
  <w:num w:numId="39">
    <w:abstractNumId w:val="21"/>
  </w:num>
  <w:num w:numId="40">
    <w:abstractNumId w:val="21"/>
  </w:num>
  <w:num w:numId="41">
    <w:abstractNumId w:val="21"/>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7"/>
  </w:num>
  <w:num w:numId="5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rt" w:val="Federal Court of Australia"/>
    <w:docVar w:name="Cross1AndAnother" w:val="True"/>
    <w:docVar w:name="Cross1AndOthers" w:val="False"/>
    <w:docVar w:name="Cross2AndAnother" w:val="True"/>
    <w:docVar w:name="Cross2AndOthers" w:val="False"/>
    <w:docVar w:name="Defendant" w:val="Nazdia Pty Limited ACN 631 617 331"/>
    <w:docVar w:name="Defenders" w:val="(and another named in the Schedule)"/>
    <w:docVar w:name="Division" w:val="General Division of the FCA"/>
    <w:docVar w:name="DocCreated" w:val="True"/>
    <w:docVar w:name="FileNumbers" w:val="NSD 306 of 2019"/>
    <w:docVar w:name="Initiators" w:val="(and another named in the Schedule)"/>
    <w:docVar w:name="InTheMatterOf" w:val="Aidzan Pty Ltd (in Liquidation)"/>
    <w:docVar w:name="Judgdate" w:val="20 November 2020"/>
    <w:docVar w:name="Judge" w:val="Rares"/>
    <w:docVar w:name="NSD" w:val="NSD "/>
    <w:docVar w:name="NumApps" w:val="3"/>
    <w:docVar w:name="NumCrossResps" w:val="0"/>
    <w:docVar w:name="NumDefs" w:val="1"/>
    <w:docVar w:name="NumOthers" w:val="0"/>
    <w:docVar w:name="OtherNum" w:val="0"/>
    <w:docVar w:name="Parties1" w:val="Plaintiff"/>
    <w:docVar w:name="Parties2" w:val="Defendant"/>
    <w:docVar w:name="Parties3" w:val="Cross-Appellant"/>
    <w:docVar w:name="Parties4" w:val="Cross-Defendant"/>
    <w:docVar w:name="Parties5" w:val="Intervener"/>
    <w:docVar w:name="Place" w:val="Sydney"/>
    <w:docVar w:name="Plaintiff" w:val="Alan Godfrey Topp in his capacity as Liquidator of Aidzan Pty Limited (in Liquidation)|Bruce Gleeson in his capacity as Liquidator of Aidzan Pty Limited (in Liquidation)|Aidzan Pty Limited (in Liquidation)"/>
    <w:docVar w:name="PracticeArea" w:val="Commercial and Corporations"/>
    <w:docVar w:name="RESAndAnother" w:val="True"/>
    <w:docVar w:name="RESAndOthers" w:val="False"/>
    <w:docVar w:name="ResState" w:val="New South Wales"/>
    <w:docVar w:name="SubArea" w:val="Corporations and Corporate Insolvency (C &amp; C)"/>
  </w:docVars>
  <w:rsids>
    <w:rsidRoot w:val="00D602D9"/>
    <w:rsid w:val="00000747"/>
    <w:rsid w:val="000115C5"/>
    <w:rsid w:val="0001469E"/>
    <w:rsid w:val="00015993"/>
    <w:rsid w:val="00021CCB"/>
    <w:rsid w:val="00022289"/>
    <w:rsid w:val="00027398"/>
    <w:rsid w:val="0003201A"/>
    <w:rsid w:val="0003207A"/>
    <w:rsid w:val="00032F9F"/>
    <w:rsid w:val="00041C07"/>
    <w:rsid w:val="00045BB7"/>
    <w:rsid w:val="00055719"/>
    <w:rsid w:val="0005641B"/>
    <w:rsid w:val="0006196A"/>
    <w:rsid w:val="00081497"/>
    <w:rsid w:val="00085255"/>
    <w:rsid w:val="000A2E76"/>
    <w:rsid w:val="000A4807"/>
    <w:rsid w:val="000A4BE4"/>
    <w:rsid w:val="000B22E6"/>
    <w:rsid w:val="000C023E"/>
    <w:rsid w:val="000C5195"/>
    <w:rsid w:val="000C62EF"/>
    <w:rsid w:val="000D2137"/>
    <w:rsid w:val="000D3FD2"/>
    <w:rsid w:val="000D4B2E"/>
    <w:rsid w:val="000E3FC8"/>
    <w:rsid w:val="000E7BAE"/>
    <w:rsid w:val="000F133D"/>
    <w:rsid w:val="0010536B"/>
    <w:rsid w:val="00110B5D"/>
    <w:rsid w:val="0011145C"/>
    <w:rsid w:val="001128BD"/>
    <w:rsid w:val="00112A72"/>
    <w:rsid w:val="0011419D"/>
    <w:rsid w:val="00114B02"/>
    <w:rsid w:val="001226C0"/>
    <w:rsid w:val="00125029"/>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0EDC"/>
    <w:rsid w:val="001A2B40"/>
    <w:rsid w:val="001A4309"/>
    <w:rsid w:val="001A46AE"/>
    <w:rsid w:val="001A6C52"/>
    <w:rsid w:val="001B1053"/>
    <w:rsid w:val="001B14AC"/>
    <w:rsid w:val="001B7940"/>
    <w:rsid w:val="001C171A"/>
    <w:rsid w:val="001C3728"/>
    <w:rsid w:val="001C37CA"/>
    <w:rsid w:val="001C4085"/>
    <w:rsid w:val="001D4303"/>
    <w:rsid w:val="001D6746"/>
    <w:rsid w:val="001E3B49"/>
    <w:rsid w:val="001E4A05"/>
    <w:rsid w:val="001E7388"/>
    <w:rsid w:val="001F13DD"/>
    <w:rsid w:val="001F2473"/>
    <w:rsid w:val="001F2DBC"/>
    <w:rsid w:val="001F73E8"/>
    <w:rsid w:val="001F7DF3"/>
    <w:rsid w:val="0020262C"/>
    <w:rsid w:val="00211A3E"/>
    <w:rsid w:val="00215BCA"/>
    <w:rsid w:val="00217AC4"/>
    <w:rsid w:val="00221461"/>
    <w:rsid w:val="00224537"/>
    <w:rsid w:val="00235956"/>
    <w:rsid w:val="0024307E"/>
    <w:rsid w:val="00243E5E"/>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764C"/>
    <w:rsid w:val="002A1B50"/>
    <w:rsid w:val="002B0E91"/>
    <w:rsid w:val="002B132C"/>
    <w:rsid w:val="002B3F23"/>
    <w:rsid w:val="002B4EB5"/>
    <w:rsid w:val="002B6779"/>
    <w:rsid w:val="002B71C0"/>
    <w:rsid w:val="002B71F9"/>
    <w:rsid w:val="002B7239"/>
    <w:rsid w:val="002B7A34"/>
    <w:rsid w:val="002C31AD"/>
    <w:rsid w:val="002C3C20"/>
    <w:rsid w:val="002C7385"/>
    <w:rsid w:val="002D2DBB"/>
    <w:rsid w:val="002D37D8"/>
    <w:rsid w:val="002D54A6"/>
    <w:rsid w:val="002E3072"/>
    <w:rsid w:val="002E5BF9"/>
    <w:rsid w:val="002E6A7A"/>
    <w:rsid w:val="002E76C9"/>
    <w:rsid w:val="002F1E49"/>
    <w:rsid w:val="002F4E9C"/>
    <w:rsid w:val="00302F4E"/>
    <w:rsid w:val="0031256C"/>
    <w:rsid w:val="00314D6C"/>
    <w:rsid w:val="00316D2A"/>
    <w:rsid w:val="00322A7C"/>
    <w:rsid w:val="00322EEC"/>
    <w:rsid w:val="00323061"/>
    <w:rsid w:val="003402D3"/>
    <w:rsid w:val="00343ABC"/>
    <w:rsid w:val="003463FE"/>
    <w:rsid w:val="00347D41"/>
    <w:rsid w:val="003554B3"/>
    <w:rsid w:val="00356632"/>
    <w:rsid w:val="00357C7E"/>
    <w:rsid w:val="003653B6"/>
    <w:rsid w:val="00374CC4"/>
    <w:rsid w:val="003774B2"/>
    <w:rsid w:val="00380F2D"/>
    <w:rsid w:val="003845A9"/>
    <w:rsid w:val="003850C9"/>
    <w:rsid w:val="00390883"/>
    <w:rsid w:val="003922F8"/>
    <w:rsid w:val="00395B24"/>
    <w:rsid w:val="00396C0E"/>
    <w:rsid w:val="003A2D38"/>
    <w:rsid w:val="003A7ECC"/>
    <w:rsid w:val="003B2C72"/>
    <w:rsid w:val="003B2D0E"/>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403D6"/>
    <w:rsid w:val="00441E98"/>
    <w:rsid w:val="00450F3A"/>
    <w:rsid w:val="004532F7"/>
    <w:rsid w:val="00457E90"/>
    <w:rsid w:val="00464D51"/>
    <w:rsid w:val="00472027"/>
    <w:rsid w:val="004804CF"/>
    <w:rsid w:val="00484962"/>
    <w:rsid w:val="00484F6D"/>
    <w:rsid w:val="00484FB7"/>
    <w:rsid w:val="0048554D"/>
    <w:rsid w:val="0049338A"/>
    <w:rsid w:val="0049417F"/>
    <w:rsid w:val="00496D41"/>
    <w:rsid w:val="004A6602"/>
    <w:rsid w:val="004B3EFA"/>
    <w:rsid w:val="004C2A87"/>
    <w:rsid w:val="004C31B0"/>
    <w:rsid w:val="004C4D7B"/>
    <w:rsid w:val="004C4ED3"/>
    <w:rsid w:val="004C667B"/>
    <w:rsid w:val="004C7ECD"/>
    <w:rsid w:val="004D2EA5"/>
    <w:rsid w:val="004D32A6"/>
    <w:rsid w:val="004D53E5"/>
    <w:rsid w:val="004E6DC4"/>
    <w:rsid w:val="004E7DB0"/>
    <w:rsid w:val="004F21C1"/>
    <w:rsid w:val="00501A12"/>
    <w:rsid w:val="0050309C"/>
    <w:rsid w:val="0051327C"/>
    <w:rsid w:val="0051346D"/>
    <w:rsid w:val="00513EAE"/>
    <w:rsid w:val="0051434F"/>
    <w:rsid w:val="00516806"/>
    <w:rsid w:val="0052098C"/>
    <w:rsid w:val="00524E26"/>
    <w:rsid w:val="00525A49"/>
    <w:rsid w:val="005262D1"/>
    <w:rsid w:val="00530876"/>
    <w:rsid w:val="00535613"/>
    <w:rsid w:val="005359EB"/>
    <w:rsid w:val="0054254A"/>
    <w:rsid w:val="0054500B"/>
    <w:rsid w:val="005466B5"/>
    <w:rsid w:val="00554314"/>
    <w:rsid w:val="00562829"/>
    <w:rsid w:val="005629B3"/>
    <w:rsid w:val="00566BE6"/>
    <w:rsid w:val="005724F6"/>
    <w:rsid w:val="00572F3E"/>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58FA"/>
    <w:rsid w:val="006E7850"/>
    <w:rsid w:val="006F46D6"/>
    <w:rsid w:val="007028D9"/>
    <w:rsid w:val="00707218"/>
    <w:rsid w:val="00710D04"/>
    <w:rsid w:val="00712B1D"/>
    <w:rsid w:val="00715751"/>
    <w:rsid w:val="007171BA"/>
    <w:rsid w:val="00717616"/>
    <w:rsid w:val="007325D9"/>
    <w:rsid w:val="0073583B"/>
    <w:rsid w:val="007360CA"/>
    <w:rsid w:val="0074667B"/>
    <w:rsid w:val="007470BD"/>
    <w:rsid w:val="00760EC0"/>
    <w:rsid w:val="007711BD"/>
    <w:rsid w:val="0078003A"/>
    <w:rsid w:val="00780771"/>
    <w:rsid w:val="007929CF"/>
    <w:rsid w:val="0079549A"/>
    <w:rsid w:val="007A49E7"/>
    <w:rsid w:val="007A6F28"/>
    <w:rsid w:val="007A7B42"/>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2BBE"/>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6BB"/>
    <w:rsid w:val="008C6D50"/>
    <w:rsid w:val="008C7167"/>
    <w:rsid w:val="008C7503"/>
    <w:rsid w:val="008D1617"/>
    <w:rsid w:val="008D330F"/>
    <w:rsid w:val="008D48C1"/>
    <w:rsid w:val="008E6315"/>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65E0"/>
    <w:rsid w:val="00942BA2"/>
    <w:rsid w:val="009432B7"/>
    <w:rsid w:val="00944C86"/>
    <w:rsid w:val="00947C02"/>
    <w:rsid w:val="00950BE6"/>
    <w:rsid w:val="0095164C"/>
    <w:rsid w:val="00957DE8"/>
    <w:rsid w:val="00960ECB"/>
    <w:rsid w:val="009615D6"/>
    <w:rsid w:val="00967855"/>
    <w:rsid w:val="00974709"/>
    <w:rsid w:val="00980736"/>
    <w:rsid w:val="00981A39"/>
    <w:rsid w:val="00982D56"/>
    <w:rsid w:val="00983DBF"/>
    <w:rsid w:val="00986DDB"/>
    <w:rsid w:val="00987097"/>
    <w:rsid w:val="00991123"/>
    <w:rsid w:val="00991CAB"/>
    <w:rsid w:val="009A3A9C"/>
    <w:rsid w:val="009B046C"/>
    <w:rsid w:val="009B13FA"/>
    <w:rsid w:val="009B1E2D"/>
    <w:rsid w:val="009B2C37"/>
    <w:rsid w:val="009C4369"/>
    <w:rsid w:val="009C59FB"/>
    <w:rsid w:val="009C6F3B"/>
    <w:rsid w:val="009D1467"/>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48E5"/>
    <w:rsid w:val="00A359AC"/>
    <w:rsid w:val="00A40F83"/>
    <w:rsid w:val="00A410FB"/>
    <w:rsid w:val="00A41413"/>
    <w:rsid w:val="00A431E6"/>
    <w:rsid w:val="00A436E8"/>
    <w:rsid w:val="00A45349"/>
    <w:rsid w:val="00A45FB1"/>
    <w:rsid w:val="00A46CCC"/>
    <w:rsid w:val="00A47996"/>
    <w:rsid w:val="00A51CFE"/>
    <w:rsid w:val="00A5204D"/>
    <w:rsid w:val="00A61605"/>
    <w:rsid w:val="00A65F97"/>
    <w:rsid w:val="00A76C13"/>
    <w:rsid w:val="00A84FD0"/>
    <w:rsid w:val="00A92E79"/>
    <w:rsid w:val="00A950B6"/>
    <w:rsid w:val="00A95D45"/>
    <w:rsid w:val="00AA5195"/>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3AC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0B37"/>
    <w:rsid w:val="00BB1AFB"/>
    <w:rsid w:val="00BB27AE"/>
    <w:rsid w:val="00BB29AC"/>
    <w:rsid w:val="00BB2DA2"/>
    <w:rsid w:val="00BB56DC"/>
    <w:rsid w:val="00BE183D"/>
    <w:rsid w:val="00BF5D7A"/>
    <w:rsid w:val="00C01C2E"/>
    <w:rsid w:val="00C02D33"/>
    <w:rsid w:val="00C04B53"/>
    <w:rsid w:val="00C1232C"/>
    <w:rsid w:val="00C27C6B"/>
    <w:rsid w:val="00C3594D"/>
    <w:rsid w:val="00C36442"/>
    <w:rsid w:val="00C400CE"/>
    <w:rsid w:val="00C410FD"/>
    <w:rsid w:val="00C457DE"/>
    <w:rsid w:val="00C47DD3"/>
    <w:rsid w:val="00C53562"/>
    <w:rsid w:val="00C539FB"/>
    <w:rsid w:val="00C66E57"/>
    <w:rsid w:val="00C74150"/>
    <w:rsid w:val="00C74DCD"/>
    <w:rsid w:val="00C75594"/>
    <w:rsid w:val="00C85982"/>
    <w:rsid w:val="00CA0466"/>
    <w:rsid w:val="00CA246D"/>
    <w:rsid w:val="00CA50D9"/>
    <w:rsid w:val="00CB3054"/>
    <w:rsid w:val="00CB5636"/>
    <w:rsid w:val="00CC3EE5"/>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2D9"/>
    <w:rsid w:val="00D6085F"/>
    <w:rsid w:val="00D62699"/>
    <w:rsid w:val="00D704F8"/>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0365"/>
    <w:rsid w:val="00DD4236"/>
    <w:rsid w:val="00DD44F1"/>
    <w:rsid w:val="00DD6957"/>
    <w:rsid w:val="00DD6E7A"/>
    <w:rsid w:val="00DE3067"/>
    <w:rsid w:val="00DF0779"/>
    <w:rsid w:val="00DF3EEE"/>
    <w:rsid w:val="00DF75E1"/>
    <w:rsid w:val="00E027BC"/>
    <w:rsid w:val="00E10F0D"/>
    <w:rsid w:val="00E14EA5"/>
    <w:rsid w:val="00E2070E"/>
    <w:rsid w:val="00E21133"/>
    <w:rsid w:val="00E2327E"/>
    <w:rsid w:val="00E266EF"/>
    <w:rsid w:val="00E47428"/>
    <w:rsid w:val="00E56C8E"/>
    <w:rsid w:val="00E5716B"/>
    <w:rsid w:val="00E57F1F"/>
    <w:rsid w:val="00E608E9"/>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E688A"/>
    <w:rsid w:val="00EF3113"/>
    <w:rsid w:val="00EF3F84"/>
    <w:rsid w:val="00F176AC"/>
    <w:rsid w:val="00F26F28"/>
    <w:rsid w:val="00F27714"/>
    <w:rsid w:val="00F3276E"/>
    <w:rsid w:val="00F33D3C"/>
    <w:rsid w:val="00F37A91"/>
    <w:rsid w:val="00F408A0"/>
    <w:rsid w:val="00F45CF5"/>
    <w:rsid w:val="00F47DB0"/>
    <w:rsid w:val="00F50C3F"/>
    <w:rsid w:val="00F50E34"/>
    <w:rsid w:val="00F53EF7"/>
    <w:rsid w:val="00F54BF2"/>
    <w:rsid w:val="00F775AC"/>
    <w:rsid w:val="00F8468E"/>
    <w:rsid w:val="00F92355"/>
    <w:rsid w:val="00F93963"/>
    <w:rsid w:val="00F94291"/>
    <w:rsid w:val="00FA298A"/>
    <w:rsid w:val="00FA5B66"/>
    <w:rsid w:val="00FB30EB"/>
    <w:rsid w:val="00FB7982"/>
    <w:rsid w:val="00FC0734"/>
    <w:rsid w:val="00FC0FC5"/>
    <w:rsid w:val="00FC588F"/>
    <w:rsid w:val="00FC6879"/>
    <w:rsid w:val="00FE1001"/>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27F44F"/>
  <w15:docId w15:val="{EF0D7248-CB12-4A51-97BF-4AD847F2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 w:type="paragraph" w:styleId="ListParagraph">
    <w:name w:val="List Paragraph"/>
    <w:basedOn w:val="Normal"/>
    <w:uiPriority w:val="34"/>
    <w:rsid w:val="00C74DCD"/>
    <w:pPr>
      <w:ind w:left="720"/>
      <w:contextualSpacing/>
    </w:pPr>
  </w:style>
  <w:style w:type="paragraph" w:customStyle="1" w:styleId="Default">
    <w:name w:val="Default"/>
    <w:rsid w:val="00C74DCD"/>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4C31B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3FA0D3C5DB4D0FA9CC9ADAD65BCED5"/>
        <w:category>
          <w:name w:val="General"/>
          <w:gallery w:val="placeholder"/>
        </w:category>
        <w:types>
          <w:type w:val="bbPlcHdr"/>
        </w:types>
        <w:behaviors>
          <w:behavior w:val="content"/>
        </w:behaviors>
        <w:guid w:val="{3BE90234-2E1C-4E27-99A8-E242B61F9FA0}"/>
      </w:docPartPr>
      <w:docPartBody>
        <w:p w:rsidR="00763D65" w:rsidRDefault="00763D65">
          <w:pPr>
            <w:pStyle w:val="063FA0D3C5DB4D0FA9CC9ADAD65BCED5"/>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65"/>
    <w:rsid w:val="00763D65"/>
    <w:rsid w:val="00B54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3FA0D3C5DB4D0FA9CC9ADAD65BCED5">
    <w:name w:val="063FA0D3C5DB4D0FA9CC9ADAD65BCED5"/>
  </w:style>
  <w:style w:type="paragraph" w:customStyle="1" w:styleId="D2B81DF1A75D45868E1F661534C4921A">
    <w:name w:val="D2B81DF1A75D45868E1F661534C4921A"/>
  </w:style>
  <w:style w:type="paragraph" w:customStyle="1" w:styleId="5FD82EB5598245809C1426FBD5B7438F">
    <w:name w:val="5FD82EB5598245809C1426FBD5B7438F"/>
  </w:style>
  <w:style w:type="paragraph" w:customStyle="1" w:styleId="352D4C39C4AE4DD8AC552657E9055174">
    <w:name w:val="352D4C39C4AE4DD8AC552657E9055174"/>
  </w:style>
  <w:style w:type="paragraph" w:customStyle="1" w:styleId="C60FE6D4A289472D890D82B32EAFDCE3">
    <w:name w:val="C60FE6D4A289472D890D82B32EAFD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 Topp (Liquidator), in the matter of Aidzan Pty Limited (in Liquidation) v Nazdia Pty Limited [2020] FCA 1764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11</Pages>
  <Words>3378</Words>
  <Characters>17004</Characters>
  <Application>Microsoft Office Word</Application>
  <DocSecurity>0</DocSecurity>
  <Lines>377</Lines>
  <Paragraphs>156</Paragraphs>
  <ScaleCrop>false</ScaleCrop>
  <HeadingPairs>
    <vt:vector size="2" baseType="variant">
      <vt:variant>
        <vt:lpstr>Title</vt:lpstr>
      </vt:variant>
      <vt:variant>
        <vt:i4>1</vt:i4>
      </vt:variant>
    </vt:vector>
  </HeadingPairs>
  <TitlesOfParts>
    <vt:vector size="1" baseType="lpstr">
      <vt:lpstr>Topp (Liquidator), in the matter of Aidzan Pty Limited (in Liquidation) v Nazdia Pty Limited [2020] FCA 1764 </vt:lpstr>
    </vt:vector>
  </TitlesOfParts>
  <Company>Federal Court of Australia</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Topp (Liquidator), in the matter of Aidzan Pty Limited (in Liquidation) v Nazdia Pty Limited [2020] FCA 1764</dc:title>
  <dc:creator>Federal Court of Australia</dc:creator>
  <cp:lastModifiedBy>Federal Court of Australia</cp:lastModifiedBy>
  <cp:revision>4</cp:revision>
  <cp:lastPrinted>2020-12-07T22:32:00Z</cp:lastPrinted>
  <dcterms:created xsi:type="dcterms:W3CDTF">2020-12-08T02:35:00Z</dcterms:created>
  <dcterms:modified xsi:type="dcterms:W3CDTF">2020-12-08T02:36:00Z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