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E408" w14:textId="71D20135" w:rsidR="00395B24" w:rsidRDefault="001E3C6B" w:rsidP="00A22932">
      <w:pPr>
        <w:pStyle w:val="CourtTitle"/>
      </w:pPr>
      <w:r>
        <w:rPr>
          <w:caps w:val="0"/>
        </w:rPr>
        <w:t>FEDERAL COURT OF AUSTRALIA</w:t>
      </w:r>
    </w:p>
    <w:p w14:paraId="2026BB95" w14:textId="77777777" w:rsidR="00395B24" w:rsidRDefault="00395B24">
      <w:pPr>
        <w:pStyle w:val="NormalHeadings"/>
        <w:jc w:val="center"/>
        <w:rPr>
          <w:sz w:val="32"/>
        </w:rPr>
      </w:pPr>
    </w:p>
    <w:bookmarkStart w:id="0" w:name="MNC"/>
    <w:p w14:paraId="08F71135" w14:textId="57BCA3A6" w:rsidR="00374CC4" w:rsidRDefault="001E3C6B" w:rsidP="001A2B40">
      <w:pPr>
        <w:pStyle w:val="MNC"/>
      </w:pPr>
      <w:sdt>
        <w:sdtPr>
          <w:rPr>
            <w:color w:val="000000"/>
            <w:szCs w:val="24"/>
            <w:lang w:eastAsia="en-AU"/>
          </w:rPr>
          <w:alias w:val="MNC"/>
          <w:tag w:val="MNC"/>
          <w:id w:val="343289786"/>
          <w:lock w:val="sdtLocked"/>
          <w:placeholder>
            <w:docPart w:val="2550DE44AD5B471EB146D76F3940E531"/>
          </w:placeholder>
          <w:dataBinding w:prefixMappings="xmlns:ns0='http://schemas.globalmacros.com/FCA'" w:xpath="/ns0:root[1]/ns0:Name[1]" w:storeItemID="{687E7CCB-4AA5-44E7-B148-17BA2B6F57C0}"/>
          <w:text w:multiLine="1"/>
        </w:sdtPr>
        <w:sdtEndPr/>
        <w:sdtContent>
          <w:r w:rsidR="003E6446" w:rsidRPr="003E6446">
            <w:rPr>
              <w:color w:val="000000"/>
              <w:szCs w:val="24"/>
              <w:lang w:eastAsia="en-AU"/>
            </w:rPr>
            <w:t xml:space="preserve">Allergan Australia Pty Ltd v Self Care IP Holdings Pty Ltd [2020] FCA </w:t>
          </w:r>
          <w:r w:rsidR="002A3DCE">
            <w:rPr>
              <w:color w:val="000000"/>
              <w:szCs w:val="24"/>
              <w:lang w:eastAsia="en-AU"/>
            </w:rPr>
            <w:t>1530</w:t>
          </w:r>
          <w:r w:rsidR="003E6446" w:rsidRPr="003E6446">
            <w:rPr>
              <w:color w:val="000000"/>
              <w:szCs w:val="24"/>
              <w:lang w:eastAsia="en-AU"/>
            </w:rPr>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C3D5C9D" w14:textId="77777777" w:rsidTr="003E6446">
        <w:tc>
          <w:tcPr>
            <w:tcW w:w="3084" w:type="dxa"/>
            <w:shd w:val="clear" w:color="auto" w:fill="auto"/>
          </w:tcPr>
          <w:p w14:paraId="095BDC13"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241672C3" w14:textId="2103CBB2" w:rsidR="00395B24" w:rsidRDefault="003E6446" w:rsidP="002539B3">
            <w:pPr>
              <w:pStyle w:val="CasesLegislationAppealFrom"/>
              <w:spacing w:after="60"/>
            </w:pPr>
            <w:r w:rsidRPr="003E6446">
              <w:rPr>
                <w:i/>
              </w:rPr>
              <w:t>Allergan Inc v Self Care IP Holdings Pty Ltd</w:t>
            </w:r>
            <w:r>
              <w:t xml:space="preserve"> [2017] ATMO 102</w:t>
            </w:r>
          </w:p>
        </w:tc>
      </w:tr>
      <w:tr w:rsidR="00395B24" w14:paraId="049C8438" w14:textId="77777777" w:rsidTr="003E6446">
        <w:tc>
          <w:tcPr>
            <w:tcW w:w="3084" w:type="dxa"/>
            <w:shd w:val="clear" w:color="auto" w:fill="auto"/>
          </w:tcPr>
          <w:p w14:paraId="2916A83C" w14:textId="77777777" w:rsidR="00395B24" w:rsidRDefault="00395B24" w:rsidP="00663878">
            <w:pPr>
              <w:pStyle w:val="Normal1linespace"/>
              <w:widowControl w:val="0"/>
              <w:jc w:val="left"/>
            </w:pPr>
          </w:p>
        </w:tc>
        <w:tc>
          <w:tcPr>
            <w:tcW w:w="5989" w:type="dxa"/>
            <w:shd w:val="clear" w:color="auto" w:fill="auto"/>
          </w:tcPr>
          <w:p w14:paraId="6540DE49" w14:textId="77777777" w:rsidR="00395B24" w:rsidRDefault="00395B24" w:rsidP="00663878">
            <w:pPr>
              <w:pStyle w:val="Normal1linespace"/>
              <w:widowControl w:val="0"/>
              <w:jc w:val="left"/>
            </w:pPr>
          </w:p>
        </w:tc>
      </w:tr>
      <w:bookmarkEnd w:id="1"/>
      <w:tr w:rsidR="00395B24" w14:paraId="0B3FFE98" w14:textId="77777777" w:rsidTr="003E6446">
        <w:tc>
          <w:tcPr>
            <w:tcW w:w="3084" w:type="dxa"/>
            <w:shd w:val="clear" w:color="auto" w:fill="auto"/>
          </w:tcPr>
          <w:p w14:paraId="038908D4" w14:textId="77777777" w:rsidR="00395B24" w:rsidRDefault="003E6446" w:rsidP="00663878">
            <w:pPr>
              <w:pStyle w:val="Normal1linespace"/>
              <w:widowControl w:val="0"/>
              <w:jc w:val="left"/>
            </w:pPr>
            <w:r>
              <w:t>File numbers</w:t>
            </w:r>
            <w:r w:rsidR="002C7385">
              <w:t>:</w:t>
            </w:r>
          </w:p>
        </w:tc>
        <w:tc>
          <w:tcPr>
            <w:tcW w:w="5989" w:type="dxa"/>
            <w:shd w:val="clear" w:color="auto" w:fill="auto"/>
          </w:tcPr>
          <w:p w14:paraId="3B244E22" w14:textId="77777777" w:rsidR="003E6446" w:rsidRPr="003E6446" w:rsidRDefault="00EE4D06" w:rsidP="003E6446">
            <w:pPr>
              <w:pStyle w:val="Normal1linespace"/>
              <w:jc w:val="left"/>
            </w:pPr>
            <w:r w:rsidRPr="003E6446">
              <w:fldChar w:fldCharType="begin" w:fldLock="1"/>
            </w:r>
            <w:r w:rsidRPr="003E6446">
              <w:instrText xml:space="preserve"> REF  FileNo  \* MERGEFORMAT </w:instrText>
            </w:r>
            <w:r w:rsidRPr="003E6446">
              <w:fldChar w:fldCharType="separate"/>
            </w:r>
            <w:r w:rsidR="003E6446" w:rsidRPr="003E6446">
              <w:t>NSD 15 of 2017</w:t>
            </w:r>
          </w:p>
          <w:p w14:paraId="7AD65320" w14:textId="77777777" w:rsidR="00395B24" w:rsidRPr="001B1053" w:rsidRDefault="003E6446" w:rsidP="003E6446">
            <w:pPr>
              <w:pStyle w:val="Normal1linespace"/>
              <w:jc w:val="left"/>
            </w:pPr>
            <w:r w:rsidRPr="003E6446">
              <w:t>NSD 1802 of 2017</w:t>
            </w:r>
            <w:r w:rsidR="00EE4D06" w:rsidRPr="003E6446">
              <w:fldChar w:fldCharType="end"/>
            </w:r>
          </w:p>
        </w:tc>
      </w:tr>
      <w:tr w:rsidR="00395B24" w14:paraId="1EABC994" w14:textId="77777777" w:rsidTr="003E6446">
        <w:tc>
          <w:tcPr>
            <w:tcW w:w="3084" w:type="dxa"/>
            <w:shd w:val="clear" w:color="auto" w:fill="auto"/>
          </w:tcPr>
          <w:p w14:paraId="3116CC62" w14:textId="77777777" w:rsidR="00395B24" w:rsidRDefault="00395B24" w:rsidP="00663878">
            <w:pPr>
              <w:pStyle w:val="Normal1linespace"/>
              <w:widowControl w:val="0"/>
              <w:jc w:val="left"/>
            </w:pPr>
          </w:p>
        </w:tc>
        <w:tc>
          <w:tcPr>
            <w:tcW w:w="5989" w:type="dxa"/>
            <w:shd w:val="clear" w:color="auto" w:fill="auto"/>
          </w:tcPr>
          <w:p w14:paraId="52ABAA29" w14:textId="77777777" w:rsidR="00395B24" w:rsidRDefault="00395B24" w:rsidP="00663878">
            <w:pPr>
              <w:pStyle w:val="Normal1linespace"/>
              <w:widowControl w:val="0"/>
              <w:jc w:val="left"/>
            </w:pPr>
          </w:p>
        </w:tc>
      </w:tr>
      <w:tr w:rsidR="00395B24" w14:paraId="4E3BD733" w14:textId="77777777" w:rsidTr="003E6446">
        <w:tc>
          <w:tcPr>
            <w:tcW w:w="3084" w:type="dxa"/>
            <w:shd w:val="clear" w:color="auto" w:fill="auto"/>
          </w:tcPr>
          <w:p w14:paraId="3F60EEB5"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04B27B96" w14:textId="77777777" w:rsidR="00395B24" w:rsidRDefault="002C7385" w:rsidP="00663878">
            <w:pPr>
              <w:pStyle w:val="Normal1linespace"/>
              <w:widowControl w:val="0"/>
              <w:jc w:val="left"/>
              <w:rPr>
                <w:b/>
              </w:rPr>
            </w:pPr>
            <w:r w:rsidRPr="003E6446">
              <w:rPr>
                <w:b/>
              </w:rPr>
              <w:fldChar w:fldCharType="begin" w:fldLock="1"/>
            </w:r>
            <w:r w:rsidRPr="003E6446">
              <w:rPr>
                <w:b/>
              </w:rPr>
              <w:instrText xml:space="preserve"> REF  Judge  \* MERGEFORMAT </w:instrText>
            </w:r>
            <w:r w:rsidRPr="003E6446">
              <w:rPr>
                <w:b/>
              </w:rPr>
              <w:fldChar w:fldCharType="separate"/>
            </w:r>
            <w:r w:rsidR="003E6446" w:rsidRPr="003E6446">
              <w:rPr>
                <w:b/>
                <w:caps/>
                <w:szCs w:val="24"/>
              </w:rPr>
              <w:t>STEWART J</w:t>
            </w:r>
            <w:r w:rsidRPr="003E6446">
              <w:rPr>
                <w:b/>
              </w:rPr>
              <w:fldChar w:fldCharType="end"/>
            </w:r>
          </w:p>
        </w:tc>
      </w:tr>
      <w:tr w:rsidR="00395B24" w14:paraId="646E2CD4" w14:textId="77777777" w:rsidTr="003E6446">
        <w:tc>
          <w:tcPr>
            <w:tcW w:w="3084" w:type="dxa"/>
            <w:shd w:val="clear" w:color="auto" w:fill="auto"/>
          </w:tcPr>
          <w:p w14:paraId="68BB91B9" w14:textId="77777777" w:rsidR="00395B24" w:rsidRDefault="00395B24" w:rsidP="00663878">
            <w:pPr>
              <w:pStyle w:val="Normal1linespace"/>
              <w:widowControl w:val="0"/>
              <w:jc w:val="left"/>
            </w:pPr>
          </w:p>
        </w:tc>
        <w:tc>
          <w:tcPr>
            <w:tcW w:w="5989" w:type="dxa"/>
            <w:shd w:val="clear" w:color="auto" w:fill="auto"/>
          </w:tcPr>
          <w:p w14:paraId="7ED24A02" w14:textId="77777777" w:rsidR="00395B24" w:rsidRDefault="00395B24" w:rsidP="00663878">
            <w:pPr>
              <w:pStyle w:val="Normal1linespace"/>
              <w:widowControl w:val="0"/>
              <w:jc w:val="left"/>
            </w:pPr>
          </w:p>
        </w:tc>
      </w:tr>
      <w:tr w:rsidR="00395B24" w14:paraId="4915BA9D" w14:textId="77777777" w:rsidTr="003E6446">
        <w:tc>
          <w:tcPr>
            <w:tcW w:w="3084" w:type="dxa"/>
            <w:shd w:val="clear" w:color="auto" w:fill="auto"/>
          </w:tcPr>
          <w:p w14:paraId="71BAB5D3" w14:textId="77777777" w:rsidR="00395B24" w:rsidRDefault="002C7385" w:rsidP="00663878">
            <w:pPr>
              <w:pStyle w:val="Normal1linespace"/>
              <w:widowControl w:val="0"/>
              <w:jc w:val="left"/>
            </w:pPr>
            <w:r>
              <w:t>Date of judgment:</w:t>
            </w:r>
          </w:p>
        </w:tc>
        <w:tc>
          <w:tcPr>
            <w:tcW w:w="5989" w:type="dxa"/>
            <w:shd w:val="clear" w:color="auto" w:fill="auto"/>
          </w:tcPr>
          <w:p w14:paraId="22DE66AD" w14:textId="3DF30837" w:rsidR="00395B24" w:rsidRDefault="00756FCE" w:rsidP="00663878">
            <w:pPr>
              <w:pStyle w:val="Normal1linespace"/>
              <w:widowControl w:val="0"/>
              <w:jc w:val="left"/>
            </w:pPr>
            <w:r>
              <w:t>22 October 2020</w:t>
            </w:r>
          </w:p>
        </w:tc>
      </w:tr>
      <w:tr w:rsidR="00395B24" w14:paraId="6316DC79" w14:textId="77777777" w:rsidTr="003E6446">
        <w:tc>
          <w:tcPr>
            <w:tcW w:w="3084" w:type="dxa"/>
            <w:shd w:val="clear" w:color="auto" w:fill="auto"/>
          </w:tcPr>
          <w:p w14:paraId="61A4E29D" w14:textId="77777777" w:rsidR="00395B24" w:rsidRDefault="00395B24" w:rsidP="00663878">
            <w:pPr>
              <w:pStyle w:val="Normal1linespace"/>
              <w:widowControl w:val="0"/>
              <w:jc w:val="left"/>
            </w:pPr>
          </w:p>
        </w:tc>
        <w:tc>
          <w:tcPr>
            <w:tcW w:w="5989" w:type="dxa"/>
            <w:shd w:val="clear" w:color="auto" w:fill="auto"/>
          </w:tcPr>
          <w:p w14:paraId="0D96891D" w14:textId="77777777" w:rsidR="00395B24" w:rsidRDefault="00395B24" w:rsidP="00663878">
            <w:pPr>
              <w:pStyle w:val="Normal1linespace"/>
              <w:widowControl w:val="0"/>
              <w:jc w:val="left"/>
            </w:pPr>
          </w:p>
        </w:tc>
      </w:tr>
      <w:tr w:rsidR="00395B24" w14:paraId="7AFE97D4" w14:textId="77777777" w:rsidTr="003E6446">
        <w:tc>
          <w:tcPr>
            <w:tcW w:w="3084" w:type="dxa"/>
            <w:shd w:val="clear" w:color="auto" w:fill="auto"/>
          </w:tcPr>
          <w:p w14:paraId="7F14FDF9" w14:textId="77777777" w:rsidR="00395B24" w:rsidRDefault="002C7385" w:rsidP="00663878">
            <w:pPr>
              <w:pStyle w:val="Normal1linespace"/>
              <w:widowControl w:val="0"/>
              <w:jc w:val="left"/>
            </w:pPr>
            <w:r>
              <w:t>Catchwords:</w:t>
            </w:r>
          </w:p>
        </w:tc>
        <w:tc>
          <w:tcPr>
            <w:tcW w:w="5989" w:type="dxa"/>
            <w:shd w:val="clear" w:color="auto" w:fill="auto"/>
          </w:tcPr>
          <w:p w14:paraId="06AF9F5C" w14:textId="1724DD8F" w:rsidR="001E20C6" w:rsidRDefault="001E20C6" w:rsidP="003E6446">
            <w:pPr>
              <w:pStyle w:val="Normal1linespace"/>
              <w:widowControl w:val="0"/>
              <w:jc w:val="left"/>
              <w:rPr>
                <w:color w:val="000000"/>
                <w:bdr w:val="none" w:sz="0" w:space="0" w:color="auto" w:frame="1"/>
                <w:shd w:val="clear" w:color="auto" w:fill="FFFFFF"/>
              </w:rPr>
            </w:pPr>
            <w:bookmarkStart w:id="2" w:name="Catchwords"/>
            <w:r>
              <w:rPr>
                <w:b/>
                <w:bCs/>
                <w:color w:val="000000"/>
                <w:bdr w:val="none" w:sz="0" w:space="0" w:color="auto" w:frame="1"/>
                <w:shd w:val="clear" w:color="auto" w:fill="FFFFFF"/>
              </w:rPr>
              <w:t>TRADE MARKS </w:t>
            </w:r>
            <w:r>
              <w:rPr>
                <w:color w:val="000000"/>
                <w:bdr w:val="none" w:sz="0" w:space="0" w:color="auto" w:frame="1"/>
                <w:shd w:val="clear" w:color="auto" w:fill="FFFFFF"/>
              </w:rPr>
              <w:t>– infringement claim pursuant to s 120 of the </w:t>
            </w:r>
            <w:r>
              <w:rPr>
                <w:i/>
                <w:iCs/>
                <w:color w:val="000000"/>
                <w:bdr w:val="none" w:sz="0" w:space="0" w:color="auto" w:frame="1"/>
                <w:shd w:val="clear" w:color="auto" w:fill="FFFFFF"/>
              </w:rPr>
              <w:t xml:space="preserve">Trade Marks </w:t>
            </w:r>
            <w:r w:rsidRPr="00D847CD">
              <w:rPr>
                <w:b/>
                <w:i/>
                <w:iCs/>
                <w:color w:val="000000"/>
                <w:bdr w:val="none" w:sz="0" w:space="0" w:color="auto" w:frame="1"/>
                <w:shd w:val="clear" w:color="auto" w:fill="FFFFFF"/>
              </w:rPr>
              <w:t>Act</w:t>
            </w:r>
            <w:r>
              <w:rPr>
                <w:i/>
                <w:iCs/>
                <w:color w:val="000000"/>
                <w:bdr w:val="none" w:sz="0" w:space="0" w:color="auto" w:frame="1"/>
                <w:shd w:val="clear" w:color="auto" w:fill="FFFFFF"/>
              </w:rPr>
              <w:t xml:space="preserve"> 1995</w:t>
            </w:r>
            <w:r>
              <w:rPr>
                <w:color w:val="000000"/>
                <w:bdr w:val="none" w:sz="0" w:space="0" w:color="auto" w:frame="1"/>
                <w:shd w:val="clear" w:color="auto" w:fill="FFFFFF"/>
              </w:rPr>
              <w:t> (Cth) </w:t>
            </w:r>
            <w:r>
              <w:rPr>
                <w:color w:val="000000"/>
                <w:shd w:val="clear" w:color="auto" w:fill="FFFFFF"/>
              </w:rPr>
              <w:t>– whether respondent</w:t>
            </w:r>
            <w:r w:rsidR="002B79F4">
              <w:rPr>
                <w:color w:val="000000"/>
                <w:shd w:val="clear" w:color="auto" w:fill="FFFFFF"/>
              </w:rPr>
              <w:t>s</w:t>
            </w:r>
            <w:r>
              <w:rPr>
                <w:color w:val="000000"/>
                <w:shd w:val="clear" w:color="auto" w:fill="FFFFFF"/>
              </w:rPr>
              <w:t xml:space="preserve"> infri</w:t>
            </w:r>
            <w:r w:rsidR="002B79F4">
              <w:rPr>
                <w:color w:val="000000"/>
                <w:shd w:val="clear" w:color="auto" w:fill="FFFFFF"/>
              </w:rPr>
              <w:t>nged applicant</w:t>
            </w:r>
            <w:r w:rsidR="00431896">
              <w:rPr>
                <w:color w:val="000000"/>
                <w:shd w:val="clear" w:color="auto" w:fill="FFFFFF"/>
              </w:rPr>
              <w:t>s</w:t>
            </w:r>
            <w:r w:rsidR="002B79F4">
              <w:rPr>
                <w:color w:val="000000"/>
                <w:shd w:val="clear" w:color="auto" w:fill="FFFFFF"/>
              </w:rPr>
              <w:t>’</w:t>
            </w:r>
            <w:r w:rsidR="00431896">
              <w:rPr>
                <w:color w:val="000000"/>
                <w:shd w:val="clear" w:color="auto" w:fill="FFFFFF"/>
              </w:rPr>
              <w:t xml:space="preserve"> </w:t>
            </w:r>
            <w:r w:rsidR="002B79F4">
              <w:rPr>
                <w:color w:val="000000"/>
                <w:shd w:val="clear" w:color="auto" w:fill="FFFFFF"/>
              </w:rPr>
              <w:t xml:space="preserve">BOTOX </w:t>
            </w:r>
            <w:r w:rsidR="00431896">
              <w:rPr>
                <w:color w:val="000000"/>
                <w:shd w:val="clear" w:color="auto" w:fill="FFFFFF"/>
              </w:rPr>
              <w:t>mark</w:t>
            </w:r>
            <w:r w:rsidR="002B79F4">
              <w:rPr>
                <w:color w:val="000000"/>
                <w:shd w:val="clear" w:color="auto" w:fill="FFFFFF"/>
              </w:rPr>
              <w:t>s</w:t>
            </w:r>
            <w:r w:rsidR="00431896">
              <w:rPr>
                <w:color w:val="000000"/>
                <w:shd w:val="clear" w:color="auto" w:fill="FFFFFF"/>
              </w:rPr>
              <w:t xml:space="preserve"> by using</w:t>
            </w:r>
            <w:r>
              <w:rPr>
                <w:color w:val="000000"/>
                <w:shd w:val="clear" w:color="auto" w:fill="FFFFFF"/>
              </w:rPr>
              <w:t xml:space="preserve"> </w:t>
            </w:r>
            <w:r w:rsidR="00D847CD">
              <w:rPr>
                <w:color w:val="000000"/>
                <w:shd w:val="clear" w:color="auto" w:fill="FFFFFF"/>
              </w:rPr>
              <w:t>PROTOX</w:t>
            </w:r>
            <w:r>
              <w:rPr>
                <w:color w:val="000000"/>
                <w:shd w:val="clear" w:color="auto" w:fill="FFFFFF"/>
              </w:rPr>
              <w:t xml:space="preserve"> as a trade mark </w:t>
            </w:r>
            <w:r>
              <w:rPr>
                <w:color w:val="000000"/>
                <w:bdr w:val="none" w:sz="0" w:space="0" w:color="auto" w:frame="1"/>
                <w:shd w:val="clear" w:color="auto" w:fill="FFFFFF"/>
              </w:rPr>
              <w:t xml:space="preserve">– </w:t>
            </w:r>
            <w:r>
              <w:rPr>
                <w:color w:val="000000"/>
                <w:shd w:val="clear" w:color="auto" w:fill="FFFFFF"/>
              </w:rPr>
              <w:t>whether use of applicants</w:t>
            </w:r>
            <w:r w:rsidR="002B79F4">
              <w:rPr>
                <w:color w:val="000000"/>
                <w:shd w:val="clear" w:color="auto" w:fill="FFFFFF"/>
              </w:rPr>
              <w:t>’</w:t>
            </w:r>
            <w:r>
              <w:rPr>
                <w:color w:val="000000"/>
                <w:shd w:val="clear" w:color="auto" w:fill="FFFFFF"/>
              </w:rPr>
              <w:t xml:space="preserve"> trade mark in composite phrases</w:t>
            </w:r>
            <w:r w:rsidR="000D0359">
              <w:rPr>
                <w:color w:val="000000"/>
                <w:shd w:val="clear" w:color="auto" w:fill="FFFFFF"/>
              </w:rPr>
              <w:t xml:space="preserve"> such as “Instant BOTOX® Alternative”</w:t>
            </w:r>
            <w:r>
              <w:rPr>
                <w:color w:val="000000"/>
                <w:shd w:val="clear" w:color="auto" w:fill="FFFFFF"/>
              </w:rPr>
              <w:t xml:space="preserve"> </w:t>
            </w:r>
            <w:r w:rsidR="000D0359">
              <w:rPr>
                <w:color w:val="000000"/>
                <w:shd w:val="clear" w:color="auto" w:fill="FFFFFF"/>
              </w:rPr>
              <w:t xml:space="preserve">is </w:t>
            </w:r>
            <w:r>
              <w:rPr>
                <w:color w:val="000000"/>
                <w:shd w:val="clear" w:color="auto" w:fill="FFFFFF"/>
              </w:rPr>
              <w:t xml:space="preserve">use as a trade mark – whether </w:t>
            </w:r>
            <w:r w:rsidR="00431896">
              <w:rPr>
                <w:color w:val="000000"/>
                <w:shd w:val="clear" w:color="auto" w:fill="FFFFFF"/>
              </w:rPr>
              <w:t>PROTOX</w:t>
            </w:r>
            <w:r>
              <w:rPr>
                <w:color w:val="000000"/>
                <w:shd w:val="clear" w:color="auto" w:fill="FFFFFF"/>
              </w:rPr>
              <w:t xml:space="preserve"> or composite phrases </w:t>
            </w:r>
            <w:r w:rsidRPr="007A08C7">
              <w:rPr>
                <w:iCs/>
              </w:rPr>
              <w:t>substantially identical with, or deceptively similar to</w:t>
            </w:r>
            <w:r w:rsidR="002B79F4">
              <w:rPr>
                <w:color w:val="000000"/>
                <w:bdr w:val="none" w:sz="0" w:space="0" w:color="auto" w:frame="1"/>
                <w:shd w:val="clear" w:color="auto" w:fill="FFFFFF"/>
              </w:rPr>
              <w:t xml:space="preserve"> applicant</w:t>
            </w:r>
            <w:r>
              <w:rPr>
                <w:color w:val="000000"/>
                <w:bdr w:val="none" w:sz="0" w:space="0" w:color="auto" w:frame="1"/>
                <w:shd w:val="clear" w:color="auto" w:fill="FFFFFF"/>
              </w:rPr>
              <w:t>s</w:t>
            </w:r>
            <w:r w:rsidR="002B79F4">
              <w:rPr>
                <w:color w:val="000000"/>
                <w:bdr w:val="none" w:sz="0" w:space="0" w:color="auto" w:frame="1"/>
                <w:shd w:val="clear" w:color="auto" w:fill="FFFFFF"/>
              </w:rPr>
              <w:t>’</w:t>
            </w:r>
            <w:r>
              <w:rPr>
                <w:color w:val="000000"/>
                <w:bdr w:val="none" w:sz="0" w:space="0" w:color="auto" w:frame="1"/>
                <w:shd w:val="clear" w:color="auto" w:fill="FFFFFF"/>
              </w:rPr>
              <w:t xml:space="preserve"> mark</w:t>
            </w:r>
            <w:r w:rsidR="000D0359">
              <w:rPr>
                <w:color w:val="000000"/>
                <w:bdr w:val="none" w:sz="0" w:space="0" w:color="auto" w:frame="1"/>
                <w:shd w:val="clear" w:color="auto" w:fill="FFFFFF"/>
              </w:rPr>
              <w:t>s</w:t>
            </w:r>
            <w:r>
              <w:rPr>
                <w:color w:val="000000"/>
                <w:bdr w:val="none" w:sz="0" w:space="0" w:color="auto" w:frame="1"/>
                <w:shd w:val="clear" w:color="auto" w:fill="FFFFFF"/>
              </w:rPr>
              <w:t xml:space="preserve"> – whether </w:t>
            </w:r>
            <w:r w:rsidR="0046548A">
              <w:rPr>
                <w:color w:val="000000"/>
                <w:bdr w:val="none" w:sz="0" w:space="0" w:color="auto" w:frame="1"/>
                <w:shd w:val="clear" w:color="auto" w:fill="FFFFFF"/>
              </w:rPr>
              <w:t>goods in respect of which trade mark registered o</w:t>
            </w:r>
            <w:r w:rsidR="002B79F4">
              <w:rPr>
                <w:color w:val="000000"/>
                <w:bdr w:val="none" w:sz="0" w:space="0" w:color="auto" w:frame="1"/>
                <w:shd w:val="clear" w:color="auto" w:fill="FFFFFF"/>
              </w:rPr>
              <w:t>r goods of the same description</w:t>
            </w:r>
          </w:p>
          <w:p w14:paraId="30A80C19" w14:textId="77777777" w:rsidR="00A1342F" w:rsidRDefault="00A1342F" w:rsidP="003E6446">
            <w:pPr>
              <w:pStyle w:val="Normal1linespace"/>
              <w:widowControl w:val="0"/>
              <w:jc w:val="left"/>
              <w:rPr>
                <w:color w:val="000000"/>
                <w:bdr w:val="none" w:sz="0" w:space="0" w:color="auto" w:frame="1"/>
                <w:shd w:val="clear" w:color="auto" w:fill="FFFFFF"/>
              </w:rPr>
            </w:pPr>
          </w:p>
          <w:p w14:paraId="77512BF3" w14:textId="0C64A955" w:rsidR="002B79F4" w:rsidRDefault="002B79F4" w:rsidP="003E6446">
            <w:pPr>
              <w:pStyle w:val="Normal1linespace"/>
              <w:widowControl w:val="0"/>
              <w:jc w:val="left"/>
            </w:pPr>
            <w:r w:rsidRPr="002B79F4">
              <w:rPr>
                <w:b/>
                <w:color w:val="000000"/>
                <w:bdr w:val="none" w:sz="0" w:space="0" w:color="auto" w:frame="1"/>
                <w:shd w:val="clear" w:color="auto" w:fill="FFFFFF"/>
              </w:rPr>
              <w:t>TRADE MARKS</w:t>
            </w:r>
            <w:r>
              <w:rPr>
                <w:color w:val="000000"/>
                <w:bdr w:val="none" w:sz="0" w:space="0" w:color="auto" w:frame="1"/>
                <w:shd w:val="clear" w:color="auto" w:fill="FFFFFF"/>
              </w:rPr>
              <w:t xml:space="preserve"> – whether director of respondents </w:t>
            </w:r>
            <w:r w:rsidR="00EB1DAD">
              <w:t>directed, procured or entered into a common design with respondents in any acts of infringement – whether director had “close personal involvement” in any infringing conduct – whether director’s conduct was such as to “go beyond” causing the company to act – whether the director was “standing apart” from the company</w:t>
            </w:r>
          </w:p>
          <w:p w14:paraId="0CC0EBFD" w14:textId="77777777" w:rsidR="00A1342F" w:rsidRDefault="00A1342F" w:rsidP="003E6446">
            <w:pPr>
              <w:pStyle w:val="Normal1linespace"/>
              <w:widowControl w:val="0"/>
              <w:jc w:val="left"/>
              <w:rPr>
                <w:color w:val="000000"/>
                <w:bdr w:val="none" w:sz="0" w:space="0" w:color="auto" w:frame="1"/>
                <w:shd w:val="clear" w:color="auto" w:fill="FFFFFF"/>
              </w:rPr>
            </w:pPr>
          </w:p>
          <w:p w14:paraId="0E53AA8B" w14:textId="21BC2B6B" w:rsidR="002B79F4" w:rsidRDefault="00201B11" w:rsidP="003E6446">
            <w:pPr>
              <w:pStyle w:val="Normal1linespace"/>
              <w:widowControl w:val="0"/>
              <w:jc w:val="left"/>
              <w:rPr>
                <w:color w:val="000000"/>
                <w:bdr w:val="none" w:sz="0" w:space="0" w:color="auto" w:frame="1"/>
                <w:shd w:val="clear" w:color="auto" w:fill="FFFFFF"/>
              </w:rPr>
            </w:pPr>
            <w:r>
              <w:rPr>
                <w:b/>
                <w:color w:val="000000"/>
                <w:bdr w:val="none" w:sz="0" w:space="0" w:color="auto" w:frame="1"/>
                <w:shd w:val="clear" w:color="auto" w:fill="FFFFFF"/>
              </w:rPr>
              <w:t>TRADE MARKS</w:t>
            </w:r>
            <w:r>
              <w:rPr>
                <w:color w:val="000000"/>
                <w:bdr w:val="none" w:sz="0" w:space="0" w:color="auto" w:frame="1"/>
                <w:shd w:val="clear" w:color="auto" w:fill="FFFFFF"/>
              </w:rPr>
              <w:t xml:space="preserve"> </w:t>
            </w:r>
            <w:r w:rsidR="00FD4552">
              <w:rPr>
                <w:color w:val="000000"/>
                <w:bdr w:val="none" w:sz="0" w:space="0" w:color="auto" w:frame="1"/>
                <w:shd w:val="clear" w:color="auto" w:fill="FFFFFF"/>
              </w:rPr>
              <w:t xml:space="preserve">– cross-claim for </w:t>
            </w:r>
            <w:r w:rsidR="00FD4552">
              <w:rPr>
                <w:color w:val="000000"/>
                <w:shd w:val="clear" w:color="auto" w:fill="FFFFFF"/>
              </w:rPr>
              <w:t xml:space="preserve">removal </w:t>
            </w:r>
            <w:r w:rsidR="00FD4552">
              <w:t>from the Register</w:t>
            </w:r>
            <w:r w:rsidR="001403DB">
              <w:t xml:space="preserve"> </w:t>
            </w:r>
            <w:r w:rsidR="001403DB">
              <w:rPr>
                <w:color w:val="000000"/>
                <w:bdr w:val="none" w:sz="0" w:space="0" w:color="auto" w:frame="1"/>
                <w:shd w:val="clear" w:color="auto" w:fill="FFFFFF"/>
              </w:rPr>
              <w:t>of Trade Marks</w:t>
            </w:r>
            <w:r w:rsidR="00FD4552">
              <w:t xml:space="preserve"> for non-use pursuant to s 92(4)(b)</w:t>
            </w:r>
            <w:r w:rsidR="00FD4552">
              <w:rPr>
                <w:color w:val="000000"/>
                <w:bdr w:val="none" w:sz="0" w:space="0" w:color="auto" w:frame="1"/>
                <w:shd w:val="clear" w:color="auto" w:fill="FFFFFF"/>
              </w:rPr>
              <w:t xml:space="preserve"> of the Act </w:t>
            </w:r>
            <w:r>
              <w:rPr>
                <w:color w:val="000000"/>
                <w:bdr w:val="none" w:sz="0" w:space="0" w:color="auto" w:frame="1"/>
                <w:shd w:val="clear" w:color="auto" w:fill="FFFFFF"/>
              </w:rPr>
              <w:t>–</w:t>
            </w:r>
            <w:r w:rsidR="00FD4552">
              <w:rPr>
                <w:color w:val="000000"/>
                <w:bdr w:val="none" w:sz="0" w:space="0" w:color="auto" w:frame="1"/>
                <w:shd w:val="clear" w:color="auto" w:fill="FFFFFF"/>
              </w:rPr>
              <w:t xml:space="preserve"> whether</w:t>
            </w:r>
            <w:r w:rsidR="001403DB">
              <w:rPr>
                <w:color w:val="000000"/>
                <w:bdr w:val="none" w:sz="0" w:space="0" w:color="auto" w:frame="1"/>
                <w:shd w:val="clear" w:color="auto" w:fill="FFFFFF"/>
              </w:rPr>
              <w:t xml:space="preserve"> </w:t>
            </w:r>
            <w:r w:rsidR="00756FCE">
              <w:rPr>
                <w:color w:val="000000"/>
                <w:bdr w:val="none" w:sz="0" w:space="0" w:color="auto" w:frame="1"/>
                <w:shd w:val="clear" w:color="auto" w:fill="FFFFFF"/>
              </w:rPr>
              <w:t>the</w:t>
            </w:r>
            <w:r w:rsidR="001403DB">
              <w:rPr>
                <w:color w:val="000000"/>
                <w:bdr w:val="none" w:sz="0" w:space="0" w:color="auto" w:frame="1"/>
                <w:shd w:val="clear" w:color="auto" w:fill="FFFFFF"/>
              </w:rPr>
              <w:t xml:space="preserve"> </w:t>
            </w:r>
            <w:r w:rsidR="002B79F4">
              <w:rPr>
                <w:color w:val="000000"/>
                <w:bdr w:val="none" w:sz="0" w:space="0" w:color="auto" w:frame="1"/>
                <w:shd w:val="clear" w:color="auto" w:fill="FFFFFF"/>
              </w:rPr>
              <w:t xml:space="preserve">BOTOX </w:t>
            </w:r>
            <w:r w:rsidR="00756FCE">
              <w:rPr>
                <w:color w:val="000000"/>
                <w:bdr w:val="none" w:sz="0" w:space="0" w:color="auto" w:frame="1"/>
                <w:shd w:val="clear" w:color="auto" w:fill="FFFFFF"/>
              </w:rPr>
              <w:t xml:space="preserve">marks </w:t>
            </w:r>
            <w:r w:rsidR="001403DB">
              <w:rPr>
                <w:color w:val="000000"/>
                <w:bdr w:val="none" w:sz="0" w:space="0" w:color="auto" w:frame="1"/>
                <w:shd w:val="clear" w:color="auto" w:fill="FFFFFF"/>
              </w:rPr>
              <w:t>ha</w:t>
            </w:r>
            <w:r w:rsidR="00756FCE">
              <w:rPr>
                <w:color w:val="000000"/>
                <w:bdr w:val="none" w:sz="0" w:space="0" w:color="auto" w:frame="1"/>
                <w:shd w:val="clear" w:color="auto" w:fill="FFFFFF"/>
              </w:rPr>
              <w:t>ve</w:t>
            </w:r>
            <w:r w:rsidR="001403DB">
              <w:rPr>
                <w:color w:val="000000"/>
                <w:bdr w:val="none" w:sz="0" w:space="0" w:color="auto" w:frame="1"/>
                <w:shd w:val="clear" w:color="auto" w:fill="FFFFFF"/>
              </w:rPr>
              <w:t xml:space="preserve"> been used in relation to </w:t>
            </w:r>
            <w:r w:rsidR="002B79F4">
              <w:rPr>
                <w:color w:val="000000"/>
                <w:bdr w:val="none" w:sz="0" w:space="0" w:color="auto" w:frame="1"/>
                <w:shd w:val="clear" w:color="auto" w:fill="FFFFFF"/>
              </w:rPr>
              <w:t>specified goods in class 3 – whether Botox product is a cosmetic product</w:t>
            </w:r>
          </w:p>
          <w:p w14:paraId="4C70972F" w14:textId="77777777" w:rsidR="00A1342F" w:rsidRDefault="00A1342F" w:rsidP="003E6446">
            <w:pPr>
              <w:pStyle w:val="Normal1linespace"/>
              <w:widowControl w:val="0"/>
              <w:jc w:val="left"/>
              <w:rPr>
                <w:color w:val="000000"/>
                <w:bdr w:val="none" w:sz="0" w:space="0" w:color="auto" w:frame="1"/>
                <w:shd w:val="clear" w:color="auto" w:fill="FFFFFF"/>
              </w:rPr>
            </w:pPr>
          </w:p>
          <w:p w14:paraId="5E5ED7C3" w14:textId="3AA17968" w:rsidR="00201B11" w:rsidRDefault="002B79F4" w:rsidP="003E6446">
            <w:pPr>
              <w:pStyle w:val="Normal1linespace"/>
              <w:widowControl w:val="0"/>
              <w:jc w:val="left"/>
            </w:pPr>
            <w:r>
              <w:rPr>
                <w:b/>
                <w:color w:val="000000"/>
                <w:bdr w:val="none" w:sz="0" w:space="0" w:color="auto" w:frame="1"/>
                <w:shd w:val="clear" w:color="auto" w:fill="FFFFFF"/>
              </w:rPr>
              <w:t>TRADE MARKS</w:t>
            </w:r>
            <w:r w:rsidR="00FD4552">
              <w:rPr>
                <w:color w:val="000000"/>
                <w:bdr w:val="none" w:sz="0" w:space="0" w:color="auto" w:frame="1"/>
                <w:shd w:val="clear" w:color="auto" w:fill="FFFFFF"/>
              </w:rPr>
              <w:t xml:space="preserve"> </w:t>
            </w:r>
            <w:r w:rsidR="00431896">
              <w:rPr>
                <w:color w:val="000000"/>
                <w:bdr w:val="none" w:sz="0" w:space="0" w:color="auto" w:frame="1"/>
                <w:shd w:val="clear" w:color="auto" w:fill="FFFFFF"/>
              </w:rPr>
              <w:t xml:space="preserve">– </w:t>
            </w:r>
            <w:r w:rsidR="00BD3F4C">
              <w:rPr>
                <w:color w:val="000000"/>
                <w:shd w:val="clear" w:color="auto" w:fill="FFFFFF"/>
              </w:rPr>
              <w:t>cross-claim</w:t>
            </w:r>
            <w:r w:rsidR="00431896">
              <w:rPr>
                <w:color w:val="000000"/>
                <w:shd w:val="clear" w:color="auto" w:fill="FFFFFF"/>
              </w:rPr>
              <w:t xml:space="preserve"> </w:t>
            </w:r>
            <w:r w:rsidR="00BD3F4C">
              <w:rPr>
                <w:color w:val="000000"/>
                <w:shd w:val="clear" w:color="auto" w:fill="FFFFFF"/>
              </w:rPr>
              <w:t>for</w:t>
            </w:r>
            <w:r w:rsidR="00BD3F4C">
              <w:rPr>
                <w:color w:val="000000"/>
                <w:bdr w:val="none" w:sz="0" w:space="0" w:color="auto" w:frame="1"/>
                <w:shd w:val="clear" w:color="auto" w:fill="FFFFFF"/>
              </w:rPr>
              <w:t xml:space="preserve"> rectification of the </w:t>
            </w:r>
            <w:r w:rsidR="000D0359">
              <w:rPr>
                <w:color w:val="000000"/>
                <w:bdr w:val="none" w:sz="0" w:space="0" w:color="auto" w:frame="1"/>
                <w:shd w:val="clear" w:color="auto" w:fill="FFFFFF"/>
              </w:rPr>
              <w:t xml:space="preserve">Register of Trade Marks </w:t>
            </w:r>
            <w:r w:rsidR="00BD3F4C">
              <w:rPr>
                <w:color w:val="000000"/>
                <w:bdr w:val="none" w:sz="0" w:space="0" w:color="auto" w:frame="1"/>
                <w:shd w:val="clear" w:color="auto" w:fill="FFFFFF"/>
              </w:rPr>
              <w:t xml:space="preserve">to cancel registration of </w:t>
            </w:r>
            <w:r>
              <w:rPr>
                <w:color w:val="000000"/>
                <w:bdr w:val="none" w:sz="0" w:space="0" w:color="auto" w:frame="1"/>
                <w:shd w:val="clear" w:color="auto" w:fill="FFFFFF"/>
              </w:rPr>
              <w:t>BOTOX</w:t>
            </w:r>
            <w:r w:rsidR="00BD3F4C">
              <w:rPr>
                <w:color w:val="000000"/>
                <w:bdr w:val="none" w:sz="0" w:space="0" w:color="auto" w:frame="1"/>
                <w:shd w:val="clear" w:color="auto" w:fill="FFFFFF"/>
              </w:rPr>
              <w:t xml:space="preserve"> trade mark pursuant to s 88(1) of the Act </w:t>
            </w:r>
            <w:r w:rsidR="001403DB">
              <w:rPr>
                <w:color w:val="000000"/>
                <w:bdr w:val="none" w:sz="0" w:space="0" w:color="auto" w:frame="1"/>
                <w:shd w:val="clear" w:color="auto" w:fill="FFFFFF"/>
              </w:rPr>
              <w:t xml:space="preserve">– defensive trade marks – whether </w:t>
            </w:r>
            <w:r>
              <w:rPr>
                <w:color w:val="000000"/>
                <w:bdr w:val="none" w:sz="0" w:space="0" w:color="auto" w:frame="1"/>
                <w:shd w:val="clear" w:color="auto" w:fill="FFFFFF"/>
              </w:rPr>
              <w:t xml:space="preserve">use of the </w:t>
            </w:r>
            <w:r w:rsidR="001403DB">
              <w:rPr>
                <w:color w:val="000000"/>
                <w:bdr w:val="none" w:sz="0" w:space="0" w:color="auto" w:frame="1"/>
                <w:shd w:val="clear" w:color="auto" w:fill="FFFFFF"/>
              </w:rPr>
              <w:t xml:space="preserve">mark </w:t>
            </w:r>
            <w:r>
              <w:rPr>
                <w:color w:val="000000"/>
                <w:bdr w:val="none" w:sz="0" w:space="0" w:color="auto" w:frame="1"/>
                <w:shd w:val="clear" w:color="auto" w:fill="FFFFFF"/>
              </w:rPr>
              <w:t xml:space="preserve">would </w:t>
            </w:r>
            <w:r w:rsidR="001403DB">
              <w:t xml:space="preserve">indicate a connection between those goods and the registered owner </w:t>
            </w:r>
            <w:r>
              <w:t>of the BOTOX mark</w:t>
            </w:r>
            <w:r w:rsidR="00756FCE">
              <w:t>s</w:t>
            </w:r>
            <w:r>
              <w:t xml:space="preserve"> </w:t>
            </w:r>
            <w:r w:rsidR="001403DB">
              <w:t xml:space="preserve">– where strong reputation of </w:t>
            </w:r>
            <w:r>
              <w:t>mark</w:t>
            </w:r>
            <w:r w:rsidR="00756FCE">
              <w:t>s</w:t>
            </w:r>
            <w:r>
              <w:t xml:space="preserve"> – potential for confusion</w:t>
            </w:r>
          </w:p>
          <w:p w14:paraId="3082786F" w14:textId="77777777" w:rsidR="00A1342F" w:rsidRDefault="00A1342F" w:rsidP="003E6446">
            <w:pPr>
              <w:pStyle w:val="Normal1linespace"/>
              <w:widowControl w:val="0"/>
              <w:jc w:val="left"/>
              <w:rPr>
                <w:color w:val="000000"/>
                <w:bdr w:val="none" w:sz="0" w:space="0" w:color="auto" w:frame="1"/>
                <w:shd w:val="clear" w:color="auto" w:fill="FFFFFF"/>
              </w:rPr>
            </w:pPr>
          </w:p>
          <w:p w14:paraId="1550E46B" w14:textId="474DA19B" w:rsidR="00D847CD" w:rsidRDefault="00D847CD" w:rsidP="003E6446">
            <w:pPr>
              <w:pStyle w:val="Normal1linespace"/>
              <w:widowControl w:val="0"/>
              <w:jc w:val="left"/>
              <w:rPr>
                <w:color w:val="000000"/>
                <w:bdr w:val="none" w:sz="0" w:space="0" w:color="auto" w:frame="1"/>
                <w:shd w:val="clear" w:color="auto" w:fill="FFFFFF"/>
              </w:rPr>
            </w:pPr>
            <w:r>
              <w:rPr>
                <w:b/>
                <w:color w:val="000000"/>
                <w:bdr w:val="none" w:sz="0" w:space="0" w:color="auto" w:frame="1"/>
                <w:shd w:val="clear" w:color="auto" w:fill="FFFFFF"/>
              </w:rPr>
              <w:t>TRADE MARKS</w:t>
            </w:r>
            <w:r>
              <w:rPr>
                <w:color w:val="000000"/>
                <w:bdr w:val="none" w:sz="0" w:space="0" w:color="auto" w:frame="1"/>
                <w:shd w:val="clear" w:color="auto" w:fill="FFFFFF"/>
              </w:rPr>
              <w:t xml:space="preserve"> – registration – opposition – appeal </w:t>
            </w:r>
            <w:r>
              <w:rPr>
                <w:color w:val="000000"/>
                <w:bdr w:val="none" w:sz="0" w:space="0" w:color="auto" w:frame="1"/>
                <w:shd w:val="clear" w:color="auto" w:fill="FFFFFF"/>
              </w:rPr>
              <w:lastRenderedPageBreak/>
              <w:t>under s 56 of the </w:t>
            </w:r>
            <w:r w:rsidRPr="00D847CD">
              <w:rPr>
                <w:iCs/>
                <w:color w:val="000000"/>
                <w:bdr w:val="none" w:sz="0" w:space="0" w:color="auto" w:frame="1"/>
                <w:shd w:val="clear" w:color="auto" w:fill="FFFFFF"/>
              </w:rPr>
              <w:t>Act</w:t>
            </w:r>
            <w:r w:rsidRPr="00D847CD">
              <w:rPr>
                <w:color w:val="000000"/>
                <w:bdr w:val="none" w:sz="0" w:space="0" w:color="auto" w:frame="1"/>
                <w:shd w:val="clear" w:color="auto" w:fill="FFFFFF"/>
              </w:rPr>
              <w:t> </w:t>
            </w:r>
            <w:r>
              <w:rPr>
                <w:color w:val="000000"/>
                <w:bdr w:val="none" w:sz="0" w:space="0" w:color="auto" w:frame="1"/>
                <w:shd w:val="clear" w:color="auto" w:fill="FFFFFF"/>
              </w:rPr>
              <w:t>against decision of the Registrar of Trade Marks allowing registration of the mark FREEZEFRAME PROTOX – whether a ground of opposition to registration of the marks is established pursuant to ss 42(b), 44, 58, 59, 60 or 62A of the </w:t>
            </w:r>
            <w:r w:rsidRPr="00D847CD">
              <w:rPr>
                <w:iCs/>
                <w:color w:val="000000"/>
                <w:bdr w:val="none" w:sz="0" w:space="0" w:color="auto" w:frame="1"/>
                <w:shd w:val="clear" w:color="auto" w:fill="FFFFFF"/>
              </w:rPr>
              <w:t>Act</w:t>
            </w:r>
            <w:r w:rsidRPr="00D847CD">
              <w:rPr>
                <w:color w:val="000000"/>
                <w:bdr w:val="none" w:sz="0" w:space="0" w:color="auto" w:frame="1"/>
                <w:shd w:val="clear" w:color="auto" w:fill="FFFFFF"/>
              </w:rPr>
              <w:t> </w:t>
            </w:r>
            <w:r>
              <w:rPr>
                <w:color w:val="000000"/>
                <w:bdr w:val="none" w:sz="0" w:space="0" w:color="auto" w:frame="1"/>
                <w:shd w:val="clear" w:color="auto" w:fill="FFFFFF"/>
              </w:rPr>
              <w:t xml:space="preserve">– whether </w:t>
            </w:r>
            <w:r w:rsidR="00663B07">
              <w:rPr>
                <w:color w:val="000000"/>
                <w:bdr w:val="none" w:sz="0" w:space="0" w:color="auto" w:frame="1"/>
                <w:shd w:val="clear" w:color="auto" w:fill="FFFFFF"/>
              </w:rPr>
              <w:t>respondent</w:t>
            </w:r>
            <w:r>
              <w:rPr>
                <w:color w:val="000000"/>
                <w:bdr w:val="none" w:sz="0" w:space="0" w:color="auto" w:frame="1"/>
                <w:shd w:val="clear" w:color="auto" w:fill="FFFFFF"/>
              </w:rPr>
              <w:t xml:space="preserve">’s mark is deceptively similar to the </w:t>
            </w:r>
            <w:r w:rsidR="00663B07">
              <w:rPr>
                <w:color w:val="000000"/>
                <w:bdr w:val="none" w:sz="0" w:space="0" w:color="auto" w:frame="1"/>
                <w:shd w:val="clear" w:color="auto" w:fill="FFFFFF"/>
              </w:rPr>
              <w:t>appellant’</w:t>
            </w:r>
            <w:r>
              <w:rPr>
                <w:color w:val="000000"/>
                <w:bdr w:val="none" w:sz="0" w:space="0" w:color="auto" w:frame="1"/>
                <w:shd w:val="clear" w:color="auto" w:fill="FFFFFF"/>
              </w:rPr>
              <w:t xml:space="preserve">s marks in respect of similar goods – whether </w:t>
            </w:r>
            <w:r w:rsidR="00663B07">
              <w:rPr>
                <w:color w:val="000000"/>
                <w:bdr w:val="none" w:sz="0" w:space="0" w:color="auto" w:frame="1"/>
                <w:shd w:val="clear" w:color="auto" w:fill="FFFFFF"/>
              </w:rPr>
              <w:t>respondent</w:t>
            </w:r>
            <w:r>
              <w:rPr>
                <w:color w:val="000000"/>
                <w:bdr w:val="none" w:sz="0" w:space="0" w:color="auto" w:frame="1"/>
                <w:shd w:val="clear" w:color="auto" w:fill="FFFFFF"/>
              </w:rPr>
              <w:t xml:space="preserve">’s mark likely to deceive or cause confusion because of reputation of </w:t>
            </w:r>
            <w:r w:rsidR="00663B07">
              <w:rPr>
                <w:color w:val="000000"/>
                <w:bdr w:val="none" w:sz="0" w:space="0" w:color="auto" w:frame="1"/>
                <w:shd w:val="clear" w:color="auto" w:fill="FFFFFF"/>
              </w:rPr>
              <w:t>appellant</w:t>
            </w:r>
            <w:r>
              <w:rPr>
                <w:color w:val="000000"/>
                <w:bdr w:val="none" w:sz="0" w:space="0" w:color="auto" w:frame="1"/>
                <w:shd w:val="clear" w:color="auto" w:fill="FFFFFF"/>
              </w:rPr>
              <w:t xml:space="preserve">’s marks – whether </w:t>
            </w:r>
            <w:r w:rsidR="0046548A">
              <w:rPr>
                <w:color w:val="000000"/>
                <w:bdr w:val="none" w:sz="0" w:space="0" w:color="auto" w:frame="1"/>
                <w:shd w:val="clear" w:color="auto" w:fill="FFFFFF"/>
              </w:rPr>
              <w:t>respondent</w:t>
            </w:r>
            <w:r>
              <w:rPr>
                <w:color w:val="000000"/>
                <w:bdr w:val="none" w:sz="0" w:space="0" w:color="auto" w:frame="1"/>
                <w:shd w:val="clear" w:color="auto" w:fill="FFFFFF"/>
              </w:rPr>
              <w:t xml:space="preserve"> intended to use or authorise use of mark at priority date – </w:t>
            </w:r>
            <w:r w:rsidR="0046548A">
              <w:rPr>
                <w:color w:val="000000"/>
                <w:bdr w:val="none" w:sz="0" w:space="0" w:color="auto" w:frame="1"/>
                <w:shd w:val="clear" w:color="auto" w:fill="FFFFFF"/>
              </w:rPr>
              <w:t>whether respondent owner of the opposed mark – whether registratio</w:t>
            </w:r>
            <w:r w:rsidR="002B79F4">
              <w:rPr>
                <w:color w:val="000000"/>
                <w:bdr w:val="none" w:sz="0" w:space="0" w:color="auto" w:frame="1"/>
                <w:shd w:val="clear" w:color="auto" w:fill="FFFFFF"/>
              </w:rPr>
              <w:t>n application made in bad faith</w:t>
            </w:r>
          </w:p>
          <w:p w14:paraId="083DA143" w14:textId="77777777" w:rsidR="00A1342F" w:rsidRDefault="00A1342F" w:rsidP="003E6446">
            <w:pPr>
              <w:pStyle w:val="Normal1linespace"/>
              <w:widowControl w:val="0"/>
              <w:jc w:val="left"/>
              <w:rPr>
                <w:color w:val="000000"/>
                <w:bdr w:val="none" w:sz="0" w:space="0" w:color="auto" w:frame="1"/>
                <w:shd w:val="clear" w:color="auto" w:fill="FFFFFF"/>
              </w:rPr>
            </w:pPr>
          </w:p>
          <w:p w14:paraId="5A147B67" w14:textId="737A55F7" w:rsidR="002B79F4" w:rsidRDefault="001E20C6" w:rsidP="003E6446">
            <w:pPr>
              <w:pStyle w:val="Normal1linespace"/>
              <w:widowControl w:val="0"/>
              <w:jc w:val="left"/>
              <w:rPr>
                <w:color w:val="000000"/>
                <w:bdr w:val="none" w:sz="0" w:space="0" w:color="auto" w:frame="1"/>
                <w:shd w:val="clear" w:color="auto" w:fill="FFFFFF"/>
              </w:rPr>
            </w:pPr>
            <w:r>
              <w:rPr>
                <w:b/>
                <w:bCs/>
                <w:color w:val="000000"/>
                <w:bdr w:val="none" w:sz="0" w:space="0" w:color="auto" w:frame="1"/>
                <w:shd w:val="clear" w:color="auto" w:fill="FFFFFF"/>
              </w:rPr>
              <w:t>CONSUMER LAW </w:t>
            </w:r>
            <w:r>
              <w:rPr>
                <w:color w:val="000000"/>
                <w:bdr w:val="none" w:sz="0" w:space="0" w:color="auto" w:frame="1"/>
                <w:shd w:val="clear" w:color="auto" w:fill="FFFFFF"/>
              </w:rPr>
              <w:t>– misleading or deceptive conduct – use of allegedly similar trade marks in relation to the sale of cosmetic products –whether respondents intended to mislead or deceive consumers – whether respondents’ mark or marks adopted for the purpose of appropriating the reputation of the applicant – where no relationship between applicant</w:t>
            </w:r>
            <w:r w:rsidR="002B79F4">
              <w:rPr>
                <w:color w:val="000000"/>
                <w:bdr w:val="none" w:sz="0" w:space="0" w:color="auto" w:frame="1"/>
                <w:shd w:val="clear" w:color="auto" w:fill="FFFFFF"/>
              </w:rPr>
              <w:t>s</w:t>
            </w:r>
            <w:r>
              <w:rPr>
                <w:color w:val="000000"/>
                <w:bdr w:val="none" w:sz="0" w:space="0" w:color="auto" w:frame="1"/>
                <w:shd w:val="clear" w:color="auto" w:fill="FFFFFF"/>
              </w:rPr>
              <w:t xml:space="preserve"> and respondent</w:t>
            </w:r>
            <w:r w:rsidR="002B79F4">
              <w:rPr>
                <w:color w:val="000000"/>
                <w:bdr w:val="none" w:sz="0" w:space="0" w:color="auto" w:frame="1"/>
                <w:shd w:val="clear" w:color="auto" w:fill="FFFFFF"/>
              </w:rPr>
              <w:t>s</w:t>
            </w:r>
            <w:r>
              <w:rPr>
                <w:color w:val="000000"/>
                <w:bdr w:val="none" w:sz="0" w:space="0" w:color="auto" w:frame="1"/>
                <w:shd w:val="clear" w:color="auto" w:fill="FFFFFF"/>
              </w:rPr>
              <w:t xml:space="preserve"> and use of marks by responde</w:t>
            </w:r>
            <w:r w:rsidR="00DC14D5">
              <w:rPr>
                <w:color w:val="000000"/>
                <w:bdr w:val="none" w:sz="0" w:space="0" w:color="auto" w:frame="1"/>
                <w:shd w:val="clear" w:color="auto" w:fill="FFFFFF"/>
              </w:rPr>
              <w:t>nt</w:t>
            </w:r>
            <w:r w:rsidR="002B79F4">
              <w:rPr>
                <w:color w:val="000000"/>
                <w:bdr w:val="none" w:sz="0" w:space="0" w:color="auto" w:frame="1"/>
                <w:shd w:val="clear" w:color="auto" w:fill="FFFFFF"/>
              </w:rPr>
              <w:t>s</w:t>
            </w:r>
            <w:r w:rsidR="00DC14D5">
              <w:rPr>
                <w:color w:val="000000"/>
                <w:bdr w:val="none" w:sz="0" w:space="0" w:color="auto" w:frame="1"/>
                <w:shd w:val="clear" w:color="auto" w:fill="FFFFFF"/>
              </w:rPr>
              <w:t xml:space="preserve"> not authorised by applicant</w:t>
            </w:r>
            <w:r w:rsidR="002B79F4">
              <w:rPr>
                <w:color w:val="000000"/>
                <w:bdr w:val="none" w:sz="0" w:space="0" w:color="auto" w:frame="1"/>
                <w:shd w:val="clear" w:color="auto" w:fill="FFFFFF"/>
              </w:rPr>
              <w:t>s</w:t>
            </w:r>
            <w:r w:rsidR="00DC14D5">
              <w:rPr>
                <w:color w:val="000000"/>
                <w:bdr w:val="none" w:sz="0" w:space="0" w:color="auto" w:frame="1"/>
                <w:shd w:val="clear" w:color="auto" w:fill="FFFFFF"/>
              </w:rPr>
              <w:t xml:space="preserve"> – </w:t>
            </w:r>
            <w:r>
              <w:rPr>
                <w:color w:val="000000"/>
                <w:bdr w:val="none" w:sz="0" w:space="0" w:color="auto" w:frame="1"/>
                <w:shd w:val="clear" w:color="auto" w:fill="FFFFFF"/>
              </w:rPr>
              <w:t>whether</w:t>
            </w:r>
            <w:r w:rsidR="00DC14D5">
              <w:rPr>
                <w:color w:val="000000"/>
                <w:bdr w:val="none" w:sz="0" w:space="0" w:color="auto" w:frame="1"/>
                <w:shd w:val="clear" w:color="auto" w:fill="FFFFFF"/>
              </w:rPr>
              <w:t xml:space="preserve"> </w:t>
            </w:r>
            <w:r>
              <w:rPr>
                <w:color w:val="000000"/>
                <w:bdr w:val="none" w:sz="0" w:space="0" w:color="auto" w:frame="1"/>
                <w:shd w:val="clear" w:color="auto" w:fill="FFFFFF"/>
              </w:rPr>
              <w:t xml:space="preserve">respondents represented by the use of </w:t>
            </w:r>
            <w:r w:rsidR="002B79F4">
              <w:rPr>
                <w:color w:val="000000"/>
                <w:bdr w:val="none" w:sz="0" w:space="0" w:color="auto" w:frame="1"/>
                <w:shd w:val="clear" w:color="auto" w:fill="FFFFFF"/>
              </w:rPr>
              <w:t>applicant</w:t>
            </w:r>
            <w:r w:rsidR="00DC14D5">
              <w:rPr>
                <w:color w:val="000000"/>
                <w:bdr w:val="none" w:sz="0" w:space="0" w:color="auto" w:frame="1"/>
                <w:shd w:val="clear" w:color="auto" w:fill="FFFFFF"/>
              </w:rPr>
              <w:t>s</w:t>
            </w:r>
            <w:r w:rsidR="002B79F4">
              <w:rPr>
                <w:color w:val="000000"/>
                <w:bdr w:val="none" w:sz="0" w:space="0" w:color="auto" w:frame="1"/>
                <w:shd w:val="clear" w:color="auto" w:fill="FFFFFF"/>
              </w:rPr>
              <w:t>’</w:t>
            </w:r>
            <w:r>
              <w:rPr>
                <w:color w:val="000000"/>
                <w:bdr w:val="none" w:sz="0" w:space="0" w:color="auto" w:frame="1"/>
                <w:shd w:val="clear" w:color="auto" w:fill="FFFFFF"/>
              </w:rPr>
              <w:t xml:space="preserve"> trade </w:t>
            </w:r>
            <w:r w:rsidR="00DC14D5">
              <w:rPr>
                <w:color w:val="000000"/>
                <w:bdr w:val="none" w:sz="0" w:space="0" w:color="auto" w:frame="1"/>
                <w:shd w:val="clear" w:color="auto" w:fill="FFFFFF"/>
              </w:rPr>
              <w:t xml:space="preserve">marks </w:t>
            </w:r>
            <w:r>
              <w:rPr>
                <w:color w:val="000000"/>
                <w:bdr w:val="none" w:sz="0" w:space="0" w:color="auto" w:frame="1"/>
                <w:shd w:val="clear" w:color="auto" w:fill="FFFFFF"/>
              </w:rPr>
              <w:t xml:space="preserve">that their goods were provided by or associated with </w:t>
            </w:r>
            <w:r w:rsidR="000D0359">
              <w:rPr>
                <w:color w:val="000000"/>
                <w:bdr w:val="none" w:sz="0" w:space="0" w:color="auto" w:frame="1"/>
                <w:shd w:val="clear" w:color="auto" w:fill="FFFFFF"/>
              </w:rPr>
              <w:t xml:space="preserve">the </w:t>
            </w:r>
            <w:r>
              <w:rPr>
                <w:color w:val="000000"/>
                <w:bdr w:val="none" w:sz="0" w:space="0" w:color="auto" w:frame="1"/>
                <w:shd w:val="clear" w:color="auto" w:fill="FFFFFF"/>
              </w:rPr>
              <w:t>applicant</w:t>
            </w:r>
            <w:r w:rsidR="002B79F4">
              <w:rPr>
                <w:color w:val="000000"/>
                <w:bdr w:val="none" w:sz="0" w:space="0" w:color="auto" w:frame="1"/>
                <w:shd w:val="clear" w:color="auto" w:fill="FFFFFF"/>
              </w:rPr>
              <w:t>s</w:t>
            </w:r>
            <w:r>
              <w:rPr>
                <w:color w:val="000000"/>
                <w:bdr w:val="none" w:sz="0" w:space="0" w:color="auto" w:frame="1"/>
                <w:shd w:val="clear" w:color="auto" w:fill="FFFFFF"/>
              </w:rPr>
              <w:t xml:space="preserve"> or provided with the endorsement, approval, licence, authority or sponsorship of </w:t>
            </w:r>
            <w:r w:rsidR="000D0359">
              <w:rPr>
                <w:color w:val="000000"/>
                <w:bdr w:val="none" w:sz="0" w:space="0" w:color="auto" w:frame="1"/>
                <w:shd w:val="clear" w:color="auto" w:fill="FFFFFF"/>
              </w:rPr>
              <w:t xml:space="preserve">the </w:t>
            </w:r>
            <w:r>
              <w:rPr>
                <w:color w:val="000000"/>
                <w:bdr w:val="none" w:sz="0" w:space="0" w:color="auto" w:frame="1"/>
                <w:shd w:val="clear" w:color="auto" w:fill="FFFFFF"/>
              </w:rPr>
              <w:t>applicant</w:t>
            </w:r>
            <w:r w:rsidR="002B79F4">
              <w:rPr>
                <w:color w:val="000000"/>
                <w:bdr w:val="none" w:sz="0" w:space="0" w:color="auto" w:frame="1"/>
                <w:shd w:val="clear" w:color="auto" w:fill="FFFFFF"/>
              </w:rPr>
              <w:t>s</w:t>
            </w:r>
          </w:p>
          <w:p w14:paraId="0B74E408" w14:textId="77777777" w:rsidR="00A1342F" w:rsidRDefault="00A1342F" w:rsidP="003E6446">
            <w:pPr>
              <w:pStyle w:val="Normal1linespace"/>
              <w:widowControl w:val="0"/>
              <w:jc w:val="left"/>
              <w:rPr>
                <w:color w:val="000000"/>
                <w:bdr w:val="none" w:sz="0" w:space="0" w:color="auto" w:frame="1"/>
                <w:shd w:val="clear" w:color="auto" w:fill="FFFFFF"/>
              </w:rPr>
            </w:pPr>
          </w:p>
          <w:p w14:paraId="54B9317D" w14:textId="10D2DD58" w:rsidR="002B79F4" w:rsidRDefault="002B79F4" w:rsidP="003E6446">
            <w:pPr>
              <w:pStyle w:val="Normal1linespace"/>
              <w:widowControl w:val="0"/>
              <w:jc w:val="left"/>
              <w:rPr>
                <w:color w:val="000000"/>
                <w:bdr w:val="none" w:sz="0" w:space="0" w:color="auto" w:frame="1"/>
                <w:shd w:val="clear" w:color="auto" w:fill="FFFFFF"/>
              </w:rPr>
            </w:pPr>
            <w:r w:rsidRPr="002B79F4">
              <w:rPr>
                <w:b/>
                <w:color w:val="000000"/>
                <w:bdr w:val="none" w:sz="0" w:space="0" w:color="auto" w:frame="1"/>
                <w:shd w:val="clear" w:color="auto" w:fill="FFFFFF"/>
              </w:rPr>
              <w:t>CONSUMER LAW</w:t>
            </w:r>
            <w:r w:rsidR="001E20C6">
              <w:rPr>
                <w:color w:val="000000"/>
                <w:bdr w:val="none" w:sz="0" w:space="0" w:color="auto" w:frame="1"/>
                <w:shd w:val="clear" w:color="auto" w:fill="FFFFFF"/>
              </w:rPr>
              <w:t xml:space="preserve"> </w:t>
            </w:r>
            <w:r w:rsidR="00DC14D5">
              <w:rPr>
                <w:color w:val="000000"/>
                <w:bdr w:val="none" w:sz="0" w:space="0" w:color="auto" w:frame="1"/>
                <w:shd w:val="clear" w:color="auto" w:fill="FFFFFF"/>
              </w:rPr>
              <w:t>–</w:t>
            </w:r>
            <w:r w:rsidR="001E20C6">
              <w:rPr>
                <w:color w:val="000000"/>
                <w:bdr w:val="none" w:sz="0" w:space="0" w:color="auto" w:frame="1"/>
                <w:shd w:val="clear" w:color="auto" w:fill="FFFFFF"/>
              </w:rPr>
              <w:t xml:space="preserve"> </w:t>
            </w:r>
            <w:r>
              <w:rPr>
                <w:color w:val="000000"/>
                <w:bdr w:val="none" w:sz="0" w:space="0" w:color="auto" w:frame="1"/>
                <w:shd w:val="clear" w:color="auto" w:fill="FFFFFF"/>
              </w:rPr>
              <w:t xml:space="preserve">misleading or deceptive conduct – </w:t>
            </w:r>
            <w:r w:rsidR="00EA336B">
              <w:rPr>
                <w:color w:val="000000"/>
                <w:bdr w:val="none" w:sz="0" w:space="0" w:color="auto" w:frame="1"/>
                <w:shd w:val="clear" w:color="auto" w:fill="FFFFFF"/>
              </w:rPr>
              <w:t>e</w:t>
            </w:r>
            <w:r w:rsidR="00DC14D5">
              <w:rPr>
                <w:color w:val="000000"/>
                <w:bdr w:val="none" w:sz="0" w:space="0" w:color="auto" w:frame="1"/>
                <w:shd w:val="clear" w:color="auto" w:fill="FFFFFF"/>
              </w:rPr>
              <w:t>fficacy representations – representations as to a future matter – whether representations that product will give similar results, achieve the same performance characteristics or work</w:t>
            </w:r>
            <w:r>
              <w:rPr>
                <w:color w:val="000000"/>
                <w:bdr w:val="none" w:sz="0" w:space="0" w:color="auto" w:frame="1"/>
                <w:shd w:val="clear" w:color="auto" w:fill="FFFFFF"/>
              </w:rPr>
              <w:t xml:space="preserve"> complementarily with applicant</w:t>
            </w:r>
            <w:r w:rsidR="00DC14D5">
              <w:rPr>
                <w:color w:val="000000"/>
                <w:bdr w:val="none" w:sz="0" w:space="0" w:color="auto" w:frame="1"/>
                <w:shd w:val="clear" w:color="auto" w:fill="FFFFFF"/>
              </w:rPr>
              <w:t>s</w:t>
            </w:r>
            <w:r>
              <w:rPr>
                <w:color w:val="000000"/>
                <w:bdr w:val="none" w:sz="0" w:space="0" w:color="auto" w:frame="1"/>
                <w:shd w:val="clear" w:color="auto" w:fill="FFFFFF"/>
              </w:rPr>
              <w:t>’</w:t>
            </w:r>
            <w:r w:rsidR="00DC14D5">
              <w:rPr>
                <w:color w:val="000000"/>
                <w:bdr w:val="none" w:sz="0" w:space="0" w:color="auto" w:frame="1"/>
                <w:shd w:val="clear" w:color="auto" w:fill="FFFFFF"/>
              </w:rPr>
              <w:t xml:space="preserve"> product made – whether reasonable grounds for such representations as made –</w:t>
            </w:r>
            <w:r w:rsidR="00074BD0">
              <w:rPr>
                <w:color w:val="000000"/>
                <w:bdr w:val="none" w:sz="0" w:space="0" w:color="auto" w:frame="1"/>
                <w:shd w:val="clear" w:color="auto" w:fill="FFFFFF"/>
              </w:rPr>
              <w:t xml:space="preserve"> </w:t>
            </w:r>
            <w:r>
              <w:rPr>
                <w:color w:val="000000"/>
                <w:bdr w:val="none" w:sz="0" w:space="0" w:color="auto" w:frame="1"/>
                <w:shd w:val="clear" w:color="auto" w:fill="FFFFFF"/>
              </w:rPr>
              <w:t>analysis of scientific studies</w:t>
            </w:r>
          </w:p>
          <w:p w14:paraId="04824506" w14:textId="77777777" w:rsidR="00A1342F" w:rsidRDefault="00A1342F" w:rsidP="003E6446">
            <w:pPr>
              <w:pStyle w:val="Normal1linespace"/>
              <w:widowControl w:val="0"/>
              <w:jc w:val="left"/>
              <w:rPr>
                <w:color w:val="000000"/>
                <w:bdr w:val="none" w:sz="0" w:space="0" w:color="auto" w:frame="1"/>
                <w:shd w:val="clear" w:color="auto" w:fill="FFFFFF"/>
              </w:rPr>
            </w:pPr>
          </w:p>
          <w:p w14:paraId="58F8292D" w14:textId="77777777" w:rsidR="00A1342F" w:rsidRDefault="002B79F4" w:rsidP="003E6446">
            <w:pPr>
              <w:pStyle w:val="Normal1linespace"/>
              <w:widowControl w:val="0"/>
              <w:jc w:val="left"/>
              <w:rPr>
                <w:color w:val="000000"/>
                <w:shd w:val="clear" w:color="auto" w:fill="FFFFFF"/>
              </w:rPr>
            </w:pPr>
            <w:r w:rsidRPr="002B79F4">
              <w:rPr>
                <w:b/>
                <w:color w:val="000000"/>
                <w:bdr w:val="none" w:sz="0" w:space="0" w:color="auto" w:frame="1"/>
                <w:shd w:val="clear" w:color="auto" w:fill="FFFFFF"/>
              </w:rPr>
              <w:t>CONSUMER LAW</w:t>
            </w:r>
            <w:r>
              <w:rPr>
                <w:color w:val="000000"/>
                <w:bdr w:val="none" w:sz="0" w:space="0" w:color="auto" w:frame="1"/>
                <w:shd w:val="clear" w:color="auto" w:fill="FFFFFF"/>
              </w:rPr>
              <w:t xml:space="preserve"> – </w:t>
            </w:r>
            <w:r>
              <w:rPr>
                <w:color w:val="000000"/>
                <w:shd w:val="clear" w:color="auto" w:fill="FFFFFF"/>
              </w:rPr>
              <w:t>whether director sh</w:t>
            </w:r>
            <w:r w:rsidR="00074BD0">
              <w:rPr>
                <w:color w:val="000000"/>
                <w:shd w:val="clear" w:color="auto" w:fill="FFFFFF"/>
              </w:rPr>
              <w:t>ould be held personal</w:t>
            </w:r>
            <w:r>
              <w:rPr>
                <w:color w:val="000000"/>
                <w:shd w:val="clear" w:color="auto" w:fill="FFFFFF"/>
              </w:rPr>
              <w:t xml:space="preserve">ly liable for any contravention – whether the director </w:t>
            </w:r>
            <w:r w:rsidRPr="002B79F4">
              <w:rPr>
                <w:color w:val="000000"/>
                <w:shd w:val="clear" w:color="auto" w:fill="FFFFFF"/>
              </w:rPr>
              <w:t>aided, abetted, counselle</w:t>
            </w:r>
            <w:r>
              <w:rPr>
                <w:color w:val="000000"/>
                <w:shd w:val="clear" w:color="auto" w:fill="FFFFFF"/>
              </w:rPr>
              <w:t>d or procured any contravention</w:t>
            </w:r>
          </w:p>
          <w:p w14:paraId="0B2FDE98" w14:textId="04AA08C8" w:rsidR="001E20C6" w:rsidRDefault="00EA336B" w:rsidP="003E6446">
            <w:pPr>
              <w:pStyle w:val="Normal1linespace"/>
              <w:widowControl w:val="0"/>
              <w:jc w:val="left"/>
              <w:rPr>
                <w:color w:val="000000"/>
                <w:bdr w:val="none" w:sz="0" w:space="0" w:color="auto" w:frame="1"/>
                <w:shd w:val="clear" w:color="auto" w:fill="FFFFFF"/>
              </w:rPr>
            </w:pPr>
            <w:r>
              <w:rPr>
                <w:color w:val="000000"/>
                <w:bdr w:val="none" w:sz="0" w:space="0" w:color="auto" w:frame="1"/>
                <w:shd w:val="clear" w:color="auto" w:fill="FFFFFF"/>
              </w:rPr>
              <w:br/>
            </w:r>
            <w:r>
              <w:rPr>
                <w:b/>
                <w:bCs/>
                <w:color w:val="000000"/>
                <w:bdr w:val="none" w:sz="0" w:space="0" w:color="auto" w:frame="1"/>
                <w:shd w:val="clear" w:color="auto" w:fill="FFFFFF"/>
              </w:rPr>
              <w:t>TORTS </w:t>
            </w:r>
            <w:r>
              <w:rPr>
                <w:color w:val="000000"/>
                <w:bdr w:val="none" w:sz="0" w:space="0" w:color="auto" w:frame="1"/>
                <w:shd w:val="clear" w:color="auto" w:fill="FFFFFF"/>
              </w:rPr>
              <w:t xml:space="preserve">– passing off – whether </w:t>
            </w:r>
            <w:r w:rsidR="00EB1DAD">
              <w:rPr>
                <w:color w:val="000000"/>
                <w:bdr w:val="none" w:sz="0" w:space="0" w:color="auto" w:frame="1"/>
                <w:shd w:val="clear" w:color="auto" w:fill="FFFFFF"/>
              </w:rPr>
              <w:t>goodwill or reputation attached to Botox product by association with the identifying “get-up” – whether there was a misrepresentation by the respondents leading or likely to lead the public to believe that goods offered by them are the goods of the applicants</w:t>
            </w:r>
          </w:p>
          <w:p w14:paraId="0A1FA61E" w14:textId="77777777" w:rsidR="00A1342F" w:rsidRDefault="00A1342F" w:rsidP="003E6446">
            <w:pPr>
              <w:pStyle w:val="Normal1linespace"/>
              <w:widowControl w:val="0"/>
              <w:jc w:val="left"/>
              <w:rPr>
                <w:color w:val="000000"/>
                <w:bdr w:val="none" w:sz="0" w:space="0" w:color="auto" w:frame="1"/>
                <w:shd w:val="clear" w:color="auto" w:fill="FFFFFF"/>
              </w:rPr>
            </w:pPr>
          </w:p>
          <w:p w14:paraId="63602880" w14:textId="630FF55C" w:rsidR="00395B24" w:rsidRPr="00074BD0" w:rsidRDefault="009613CC" w:rsidP="00C33CB0">
            <w:pPr>
              <w:pStyle w:val="Normal1linespace"/>
              <w:widowControl w:val="0"/>
              <w:jc w:val="left"/>
              <w:rPr>
                <w:color w:val="000000"/>
                <w:bdr w:val="none" w:sz="0" w:space="0" w:color="auto" w:frame="1"/>
                <w:shd w:val="clear" w:color="auto" w:fill="FFFFFF"/>
              </w:rPr>
            </w:pPr>
            <w:r>
              <w:rPr>
                <w:b/>
                <w:bCs/>
                <w:color w:val="000000"/>
                <w:bdr w:val="none" w:sz="0" w:space="0" w:color="auto" w:frame="1"/>
                <w:shd w:val="clear" w:color="auto" w:fill="FFFFFF"/>
              </w:rPr>
              <w:t>PRACTICE AND PROCEDURE</w:t>
            </w:r>
            <w:r w:rsidR="000D56E7">
              <w:rPr>
                <w:b/>
                <w:bCs/>
                <w:color w:val="000000"/>
                <w:bdr w:val="none" w:sz="0" w:space="0" w:color="auto" w:frame="1"/>
                <w:shd w:val="clear" w:color="auto" w:fill="FFFFFF"/>
              </w:rPr>
              <w:t xml:space="preserve"> </w:t>
            </w:r>
            <w:r w:rsidR="000D56E7">
              <w:rPr>
                <w:bCs/>
                <w:color w:val="000000"/>
                <w:bdr w:val="none" w:sz="0" w:space="0" w:color="auto" w:frame="1"/>
                <w:shd w:val="clear" w:color="auto" w:fill="FFFFFF"/>
              </w:rPr>
              <w:t>–</w:t>
            </w:r>
            <w:r w:rsidR="007C48C5">
              <w:rPr>
                <w:bCs/>
                <w:color w:val="000000"/>
                <w:bdr w:val="none" w:sz="0" w:space="0" w:color="auto" w:frame="1"/>
                <w:shd w:val="clear" w:color="auto" w:fill="FFFFFF"/>
              </w:rPr>
              <w:t xml:space="preserve"> injunctive relief against contravention of statute –</w:t>
            </w:r>
            <w:r w:rsidR="000D56E7">
              <w:rPr>
                <w:bCs/>
                <w:color w:val="000000"/>
                <w:bdr w:val="none" w:sz="0" w:space="0" w:color="auto" w:frame="1"/>
                <w:shd w:val="clear" w:color="auto" w:fill="FFFFFF"/>
              </w:rPr>
              <w:t xml:space="preserve"> </w:t>
            </w:r>
            <w:r>
              <w:rPr>
                <w:bCs/>
                <w:color w:val="000000"/>
                <w:bdr w:val="none" w:sz="0" w:space="0" w:color="auto" w:frame="1"/>
                <w:shd w:val="clear" w:color="auto" w:fill="FFFFFF"/>
              </w:rPr>
              <w:t>whether</w:t>
            </w:r>
            <w:r w:rsidR="007C48C5">
              <w:rPr>
                <w:bCs/>
                <w:color w:val="000000"/>
                <w:bdr w:val="none" w:sz="0" w:space="0" w:color="auto" w:frame="1"/>
                <w:shd w:val="clear" w:color="auto" w:fill="FFFFFF"/>
              </w:rPr>
              <w:t xml:space="preserve"> </w:t>
            </w:r>
            <w:r>
              <w:rPr>
                <w:bCs/>
                <w:color w:val="000000"/>
                <w:bdr w:val="none" w:sz="0" w:space="0" w:color="auto" w:frame="1"/>
                <w:shd w:val="clear" w:color="auto" w:fill="FFFFFF"/>
              </w:rPr>
              <w:t xml:space="preserve">contraventions of </w:t>
            </w:r>
            <w:r>
              <w:rPr>
                <w:bCs/>
                <w:i/>
                <w:color w:val="000000"/>
                <w:bdr w:val="none" w:sz="0" w:space="0" w:color="auto" w:frame="1"/>
                <w:shd w:val="clear" w:color="auto" w:fill="FFFFFF"/>
              </w:rPr>
              <w:t xml:space="preserve">Therapeutic Goods Act 1989 </w:t>
            </w:r>
            <w:r>
              <w:rPr>
                <w:bCs/>
                <w:color w:val="000000"/>
                <w:bdr w:val="none" w:sz="0" w:space="0" w:color="auto" w:frame="1"/>
                <w:shd w:val="clear" w:color="auto" w:fill="FFFFFF"/>
              </w:rPr>
              <w:t>(Cth) –</w:t>
            </w:r>
            <w:r w:rsidR="00C33CB0">
              <w:rPr>
                <w:bCs/>
                <w:color w:val="000000"/>
                <w:bdr w:val="none" w:sz="0" w:space="0" w:color="auto" w:frame="1"/>
                <w:shd w:val="clear" w:color="auto" w:fill="FFFFFF"/>
              </w:rPr>
              <w:t xml:space="preserve"> </w:t>
            </w:r>
            <w:r w:rsidR="000C7F08">
              <w:rPr>
                <w:bCs/>
                <w:color w:val="000000"/>
                <w:bdr w:val="none" w:sz="0" w:space="0" w:color="auto" w:frame="1"/>
                <w:shd w:val="clear" w:color="auto" w:fill="FFFFFF"/>
              </w:rPr>
              <w:t xml:space="preserve">whether claims in </w:t>
            </w:r>
            <w:r w:rsidR="000C7F08">
              <w:rPr>
                <w:bCs/>
                <w:color w:val="000000"/>
                <w:bdr w:val="none" w:sz="0" w:space="0" w:color="auto" w:frame="1"/>
                <w:shd w:val="clear" w:color="auto" w:fill="FFFFFF"/>
              </w:rPr>
              <w:lastRenderedPageBreak/>
              <w:t xml:space="preserve">relation to respondents’ products are claims of therapeutic use – </w:t>
            </w:r>
            <w:r w:rsidR="00C33CB0">
              <w:rPr>
                <w:bCs/>
                <w:color w:val="000000"/>
                <w:bdr w:val="none" w:sz="0" w:space="0" w:color="auto" w:frame="1"/>
                <w:shd w:val="clear" w:color="auto" w:fill="FFFFFF"/>
              </w:rPr>
              <w:t xml:space="preserve">whether applicants have standing to enforce </w:t>
            </w:r>
            <w:r w:rsidR="000C7F08">
              <w:rPr>
                <w:bCs/>
                <w:color w:val="000000"/>
                <w:bdr w:val="none" w:sz="0" w:space="0" w:color="auto" w:frame="1"/>
                <w:shd w:val="clear" w:color="auto" w:fill="FFFFFF"/>
              </w:rPr>
              <w:t>criminal prohibitions by injunction</w:t>
            </w:r>
            <w:r>
              <w:rPr>
                <w:bCs/>
                <w:color w:val="000000"/>
                <w:bdr w:val="none" w:sz="0" w:space="0" w:color="auto" w:frame="1"/>
                <w:shd w:val="clear" w:color="auto" w:fill="FFFFFF"/>
              </w:rPr>
              <w:t xml:space="preserve"> </w:t>
            </w:r>
            <w:bookmarkEnd w:id="2"/>
          </w:p>
        </w:tc>
      </w:tr>
      <w:tr w:rsidR="00395B24" w14:paraId="73741951" w14:textId="77777777" w:rsidTr="003E6446">
        <w:tc>
          <w:tcPr>
            <w:tcW w:w="3084" w:type="dxa"/>
            <w:shd w:val="clear" w:color="auto" w:fill="auto"/>
          </w:tcPr>
          <w:p w14:paraId="14139E59" w14:textId="77777777" w:rsidR="00395B24" w:rsidRDefault="00395B24" w:rsidP="00663878">
            <w:pPr>
              <w:pStyle w:val="Normal1linespace"/>
              <w:widowControl w:val="0"/>
              <w:jc w:val="left"/>
            </w:pPr>
          </w:p>
        </w:tc>
        <w:tc>
          <w:tcPr>
            <w:tcW w:w="5989" w:type="dxa"/>
            <w:shd w:val="clear" w:color="auto" w:fill="auto"/>
          </w:tcPr>
          <w:p w14:paraId="4FAE7966" w14:textId="77777777" w:rsidR="00395B24" w:rsidRDefault="00395B24" w:rsidP="00663878">
            <w:pPr>
              <w:pStyle w:val="Normal1linespace"/>
              <w:widowControl w:val="0"/>
              <w:jc w:val="left"/>
            </w:pPr>
          </w:p>
        </w:tc>
      </w:tr>
      <w:tr w:rsidR="00395B24" w14:paraId="0E2F3067" w14:textId="77777777" w:rsidTr="003E6446">
        <w:tc>
          <w:tcPr>
            <w:tcW w:w="3084" w:type="dxa"/>
            <w:shd w:val="clear" w:color="auto" w:fill="auto"/>
          </w:tcPr>
          <w:p w14:paraId="47FC1B68" w14:textId="77777777" w:rsidR="00395B24" w:rsidRDefault="002C7385" w:rsidP="00663878">
            <w:pPr>
              <w:pStyle w:val="Normal1linespace"/>
              <w:widowControl w:val="0"/>
              <w:jc w:val="left"/>
            </w:pPr>
            <w:r>
              <w:t>Legislation:</w:t>
            </w:r>
          </w:p>
        </w:tc>
        <w:tc>
          <w:tcPr>
            <w:tcW w:w="5989" w:type="dxa"/>
            <w:shd w:val="clear" w:color="auto" w:fill="auto"/>
          </w:tcPr>
          <w:p w14:paraId="2DB43CAC" w14:textId="26C72DC3" w:rsidR="00162AB6" w:rsidRDefault="00162AB6" w:rsidP="00162AB6">
            <w:pPr>
              <w:pStyle w:val="CasesLegislationAppealFrom"/>
              <w:spacing w:after="60"/>
            </w:pPr>
            <w:bookmarkStart w:id="3" w:name="Legislation"/>
            <w:r w:rsidRPr="00162AB6">
              <w:rPr>
                <w:i/>
              </w:rPr>
              <w:t>Acts Interpretation Act 1901</w:t>
            </w:r>
            <w:r w:rsidRPr="00162AB6">
              <w:t xml:space="preserve"> (Cth) s</w:t>
            </w:r>
            <w:r w:rsidR="00FF6DFF">
              <w:t>s 2G,</w:t>
            </w:r>
            <w:r w:rsidRPr="00162AB6">
              <w:t xml:space="preserve"> 36(1</w:t>
            </w:r>
            <w:r>
              <w:t>)</w:t>
            </w:r>
          </w:p>
          <w:p w14:paraId="1C2D6BE2" w14:textId="6BCB58CE" w:rsidR="00C81F48" w:rsidRDefault="00C81F48" w:rsidP="00C81F48">
            <w:pPr>
              <w:pStyle w:val="CasesLegislationAppealFrom"/>
              <w:spacing w:after="60"/>
            </w:pPr>
            <w:r w:rsidRPr="00C81F48">
              <w:rPr>
                <w:i/>
              </w:rPr>
              <w:t xml:space="preserve">Competition and Consumer Act 2010 </w:t>
            </w:r>
            <w:r>
              <w:t>(Cth)</w:t>
            </w:r>
            <w:r w:rsidR="005D4B12">
              <w:t xml:space="preserve"> s 75B and</w:t>
            </w:r>
            <w:r>
              <w:t xml:space="preserve"> Sch 2 (</w:t>
            </w:r>
            <w:r w:rsidRPr="00C81F48">
              <w:rPr>
                <w:i/>
              </w:rPr>
              <w:t>Australian Consumer Law</w:t>
            </w:r>
            <w:r>
              <w:t>) ss 2, 4, 18, 29(1)(a), 29(1)(g), 29(1)(h), 236</w:t>
            </w:r>
          </w:p>
          <w:p w14:paraId="76886ECB" w14:textId="3BEB9295" w:rsidR="00162AB6" w:rsidRDefault="00A54BF8" w:rsidP="00162AB6">
            <w:pPr>
              <w:pStyle w:val="CasesLegislationAppealFrom"/>
              <w:spacing w:after="60"/>
            </w:pPr>
            <w:r>
              <w:rPr>
                <w:i/>
              </w:rPr>
              <w:t xml:space="preserve">Evidence Act </w:t>
            </w:r>
            <w:r w:rsidR="002D54D1">
              <w:rPr>
                <w:i/>
              </w:rPr>
              <w:t>1995</w:t>
            </w:r>
            <w:r>
              <w:t xml:space="preserve"> (Cth) s 91</w:t>
            </w:r>
          </w:p>
          <w:p w14:paraId="576327A2" w14:textId="677A1475" w:rsidR="000D56E7" w:rsidRPr="00A54BF8" w:rsidRDefault="000D56E7" w:rsidP="00162AB6">
            <w:pPr>
              <w:pStyle w:val="CasesLegislationAppealFrom"/>
              <w:spacing w:after="60"/>
            </w:pPr>
            <w:r w:rsidRPr="007A08C7">
              <w:rPr>
                <w:i/>
              </w:rPr>
              <w:t xml:space="preserve">Therapeutic Goods Act 1989 </w:t>
            </w:r>
            <w:r w:rsidRPr="007A08C7">
              <w:t>(Cth)</w:t>
            </w:r>
            <w:r>
              <w:t xml:space="preserve"> ss </w:t>
            </w:r>
            <w:r w:rsidR="00EA5505">
              <w:t xml:space="preserve">3, </w:t>
            </w:r>
            <w:r>
              <w:t>42DLB, 42DL</w:t>
            </w:r>
          </w:p>
          <w:p w14:paraId="6B0F598E" w14:textId="47CA4238" w:rsidR="00A54BF8" w:rsidRDefault="00A54BF8" w:rsidP="00162AB6">
            <w:pPr>
              <w:pStyle w:val="CasesLegislationAppealFrom"/>
              <w:spacing w:after="60"/>
            </w:pPr>
            <w:r w:rsidRPr="007A08C7">
              <w:rPr>
                <w:i/>
                <w:iCs/>
              </w:rPr>
              <w:t xml:space="preserve">Trade Marks Act 1995 </w:t>
            </w:r>
            <w:r w:rsidRPr="007A08C7">
              <w:t>(Cth)</w:t>
            </w:r>
            <w:r>
              <w:t xml:space="preserve"> ss </w:t>
            </w:r>
            <w:r w:rsidR="000C518E">
              <w:t xml:space="preserve">6, </w:t>
            </w:r>
            <w:r>
              <w:t xml:space="preserve">8, 10, 17, </w:t>
            </w:r>
            <w:r w:rsidR="00CC3677">
              <w:t xml:space="preserve">20, </w:t>
            </w:r>
            <w:r>
              <w:t>27, 42, 44, 58, 59, 60, 62A, 88, 92, 100, 101, 120, 187</w:t>
            </w:r>
            <w:r w:rsidR="00015469">
              <w:t>, 219</w:t>
            </w:r>
          </w:p>
          <w:p w14:paraId="418A664A" w14:textId="2648FADA" w:rsidR="00EA5505" w:rsidRDefault="00EA5505" w:rsidP="00162AB6">
            <w:pPr>
              <w:pStyle w:val="CasesLegislationAppealFrom"/>
              <w:spacing w:after="60"/>
            </w:pPr>
            <w:r w:rsidRPr="00EA5505">
              <w:rPr>
                <w:i/>
              </w:rPr>
              <w:t>Federal Court Rules 2011</w:t>
            </w:r>
            <w:r>
              <w:t xml:space="preserve"> (Cth) r 22.01</w:t>
            </w:r>
          </w:p>
          <w:p w14:paraId="46EB8782" w14:textId="1789281F" w:rsidR="002D54D1" w:rsidRDefault="00162AB6" w:rsidP="002D54D1">
            <w:pPr>
              <w:pStyle w:val="CasesLegislationAppealFrom"/>
              <w:spacing w:after="60"/>
            </w:pPr>
            <w:r w:rsidRPr="00162AB6">
              <w:rPr>
                <w:i/>
              </w:rPr>
              <w:t>Trade Mark Regulations 1995</w:t>
            </w:r>
            <w:r w:rsidRPr="00162AB6">
              <w:t xml:space="preserve"> (Cth)</w:t>
            </w:r>
            <w:r>
              <w:t xml:space="preserve"> </w:t>
            </w:r>
            <w:r w:rsidR="006C6178">
              <w:t xml:space="preserve">reg </w:t>
            </w:r>
            <w:r>
              <w:t>1</w:t>
            </w:r>
            <w:r w:rsidR="002D54D1">
              <w:t>7A.48D</w:t>
            </w:r>
          </w:p>
          <w:p w14:paraId="03D4DFD8" w14:textId="3D0621FE" w:rsidR="00E125EB" w:rsidRDefault="00E125EB" w:rsidP="002D54D1">
            <w:pPr>
              <w:pStyle w:val="CasesLegislationAppealFrom"/>
              <w:spacing w:after="60"/>
            </w:pPr>
            <w:r>
              <w:rPr>
                <w:i/>
              </w:rPr>
              <w:t>Trade Marks Act</w:t>
            </w:r>
            <w:r>
              <w:t xml:space="preserve"> </w:t>
            </w:r>
            <w:r w:rsidRPr="00E125EB">
              <w:rPr>
                <w:i/>
              </w:rPr>
              <w:t>1955</w:t>
            </w:r>
            <w:r>
              <w:t xml:space="preserve"> (Cth) s</w:t>
            </w:r>
            <w:r w:rsidR="00280024">
              <w:t>s</w:t>
            </w:r>
            <w:r>
              <w:t xml:space="preserve"> </w:t>
            </w:r>
            <w:r w:rsidR="00280024">
              <w:t xml:space="preserve">66, </w:t>
            </w:r>
            <w:r>
              <w:t>93(1)</w:t>
            </w:r>
          </w:p>
          <w:p w14:paraId="54BA67DB" w14:textId="799BEE7A" w:rsidR="00162AB6" w:rsidRPr="00162AB6" w:rsidRDefault="002D54D1" w:rsidP="002D54D1">
            <w:pPr>
              <w:pStyle w:val="CasesLegislationAppealFrom"/>
              <w:spacing w:after="60"/>
            </w:pPr>
            <w:r w:rsidRPr="00162AB6">
              <w:rPr>
                <w:i/>
              </w:rPr>
              <w:t>Trade Marks Act 1938</w:t>
            </w:r>
            <w:r w:rsidRPr="00162AB6">
              <w:t xml:space="preserve"> (UK)</w:t>
            </w:r>
            <w:r>
              <w:t xml:space="preserve"> s </w:t>
            </w:r>
            <w:r w:rsidRPr="00162AB6">
              <w:t>27(1)</w:t>
            </w:r>
            <w:r w:rsidR="00162AB6" w:rsidRPr="00162AB6">
              <w:t xml:space="preserve"> </w:t>
            </w:r>
            <w:bookmarkEnd w:id="3"/>
          </w:p>
        </w:tc>
      </w:tr>
      <w:tr w:rsidR="00395B24" w14:paraId="1D1B11F4" w14:textId="77777777" w:rsidTr="003E6446">
        <w:tc>
          <w:tcPr>
            <w:tcW w:w="3084" w:type="dxa"/>
            <w:shd w:val="clear" w:color="auto" w:fill="auto"/>
          </w:tcPr>
          <w:p w14:paraId="43608BDA" w14:textId="77777777" w:rsidR="00395B24" w:rsidRDefault="00395B24" w:rsidP="00663878">
            <w:pPr>
              <w:pStyle w:val="Normal1linespace"/>
              <w:widowControl w:val="0"/>
              <w:jc w:val="left"/>
            </w:pPr>
          </w:p>
        </w:tc>
        <w:tc>
          <w:tcPr>
            <w:tcW w:w="5989" w:type="dxa"/>
            <w:shd w:val="clear" w:color="auto" w:fill="auto"/>
          </w:tcPr>
          <w:p w14:paraId="69E1F905" w14:textId="77777777" w:rsidR="00395B24" w:rsidRDefault="00395B24" w:rsidP="00663878">
            <w:pPr>
              <w:pStyle w:val="Normal1linespace"/>
              <w:widowControl w:val="0"/>
              <w:jc w:val="left"/>
            </w:pPr>
          </w:p>
        </w:tc>
      </w:tr>
      <w:tr w:rsidR="00395B24" w14:paraId="2808F321" w14:textId="77777777" w:rsidTr="003E6446">
        <w:tc>
          <w:tcPr>
            <w:tcW w:w="3084" w:type="dxa"/>
            <w:shd w:val="clear" w:color="auto" w:fill="auto"/>
          </w:tcPr>
          <w:p w14:paraId="328C8F04" w14:textId="77777777" w:rsidR="00395B24" w:rsidRDefault="002C7385" w:rsidP="00663878">
            <w:pPr>
              <w:pStyle w:val="Normal1linespace"/>
              <w:widowControl w:val="0"/>
              <w:jc w:val="left"/>
            </w:pPr>
            <w:r>
              <w:t>Cases cited:</w:t>
            </w:r>
          </w:p>
        </w:tc>
        <w:tc>
          <w:tcPr>
            <w:tcW w:w="5989" w:type="dxa"/>
            <w:shd w:val="clear" w:color="auto" w:fill="auto"/>
          </w:tcPr>
          <w:p w14:paraId="0CD30300" w14:textId="6FD74964" w:rsidR="0001232F" w:rsidRDefault="0001232F" w:rsidP="00162AB6">
            <w:pPr>
              <w:pStyle w:val="CasesLegislationAppealFrom"/>
              <w:spacing w:after="60"/>
              <w:rPr>
                <w:i/>
              </w:rPr>
            </w:pPr>
            <w:bookmarkStart w:id="4" w:name="Cases_Cited"/>
            <w:r w:rsidRPr="0001232F">
              <w:rPr>
                <w:i/>
              </w:rPr>
              <w:t xml:space="preserve">AFT Pharmaceuticals </w:t>
            </w:r>
            <w:r w:rsidRPr="00600569">
              <w:rPr>
                <w:i/>
              </w:rPr>
              <w:t>(Au) Pty Ltd v Reckitt Benckiser (Australia) Pty Ltd</w:t>
            </w:r>
            <w:r w:rsidRPr="00600569">
              <w:t> [2020] FCAFC 45</w:t>
            </w:r>
            <w:r>
              <w:t xml:space="preserve">; </w:t>
            </w:r>
            <w:r w:rsidRPr="00600569">
              <w:t>143 ACSR 522</w:t>
            </w:r>
          </w:p>
          <w:p w14:paraId="555749F8" w14:textId="780C5D85" w:rsidR="00162AB6" w:rsidRPr="00162AB6" w:rsidRDefault="00162AB6" w:rsidP="00162AB6">
            <w:pPr>
              <w:pStyle w:val="CasesLegislationAppealFrom"/>
              <w:spacing w:after="60"/>
            </w:pPr>
            <w:r w:rsidRPr="00162AB6">
              <w:rPr>
                <w:i/>
              </w:rPr>
              <w:t>Allergan Inc v Di Giacomo</w:t>
            </w:r>
            <w:r w:rsidRPr="00162AB6">
              <w:t xml:space="preserve"> [2011] FCA 1540; 199 FCR 126</w:t>
            </w:r>
          </w:p>
          <w:p w14:paraId="10BD8DCE" w14:textId="38AB82F2" w:rsidR="00162AB6" w:rsidRDefault="00162AB6" w:rsidP="00162AB6">
            <w:pPr>
              <w:pStyle w:val="CasesLegislationAppealFrom"/>
              <w:spacing w:after="60"/>
            </w:pPr>
            <w:r w:rsidRPr="00162AB6">
              <w:rPr>
                <w:i/>
              </w:rPr>
              <w:t>Allergan Inc v Self Care IP Holdings Pty Ltd</w:t>
            </w:r>
            <w:r w:rsidRPr="00162AB6">
              <w:t xml:space="preserve"> [2017] ATMO 102</w:t>
            </w:r>
          </w:p>
          <w:p w14:paraId="26CB4EC3" w14:textId="4902220A" w:rsidR="004D5F19" w:rsidRPr="00162AB6" w:rsidRDefault="004D5F19" w:rsidP="00162AB6">
            <w:pPr>
              <w:pStyle w:val="CasesLegislationAppealFrom"/>
              <w:spacing w:after="60"/>
            </w:pPr>
            <w:r w:rsidRPr="00186478">
              <w:rPr>
                <w:i/>
              </w:rPr>
              <w:t>AMI Australia Holdings Pty Ltd v Ba</w:t>
            </w:r>
            <w:r>
              <w:rPr>
                <w:i/>
              </w:rPr>
              <w:t>de</w:t>
            </w:r>
            <w:r w:rsidRPr="00186478">
              <w:rPr>
                <w:i/>
              </w:rPr>
              <w:t xml:space="preserve"> Medic</w:t>
            </w:r>
            <w:r>
              <w:rPr>
                <w:i/>
              </w:rPr>
              <w:t>al Institute (Australia) Pty Ltd (No 2)</w:t>
            </w:r>
            <w:r>
              <w:t xml:space="preserve"> [2009] FCA 1437; 262 ALR 458</w:t>
            </w:r>
          </w:p>
          <w:p w14:paraId="52F5E217" w14:textId="1B8BBF8F" w:rsidR="00162AB6" w:rsidRPr="00162AB6" w:rsidRDefault="00162AB6" w:rsidP="00162AB6">
            <w:pPr>
              <w:pStyle w:val="CasesLegislationAppealFrom"/>
              <w:spacing w:after="60"/>
            </w:pPr>
            <w:r w:rsidRPr="00162AB6">
              <w:rPr>
                <w:i/>
              </w:rPr>
              <w:t xml:space="preserve">Anheuser Busch v </w:t>
            </w:r>
            <w:r w:rsidR="00284946" w:rsidRPr="00162AB6">
              <w:rPr>
                <w:i/>
              </w:rPr>
              <w:t>Budejovick</w:t>
            </w:r>
            <w:r w:rsidR="00284946" w:rsidRPr="00284946">
              <w:rPr>
                <w:i/>
              </w:rPr>
              <w:t>ý</w:t>
            </w:r>
            <w:r w:rsidR="00284946" w:rsidRPr="00162AB6">
              <w:rPr>
                <w:i/>
              </w:rPr>
              <w:t xml:space="preserve"> Budvar N</w:t>
            </w:r>
            <w:r w:rsidR="00284946" w:rsidRPr="00284946">
              <w:rPr>
                <w:i/>
              </w:rPr>
              <w:t>á</w:t>
            </w:r>
            <w:r w:rsidR="00284946">
              <w:rPr>
                <w:i/>
              </w:rPr>
              <w:t>rodn</w:t>
            </w:r>
            <w:r w:rsidR="00284946" w:rsidRPr="00284946">
              <w:rPr>
                <w:i/>
              </w:rPr>
              <w:t>í</w:t>
            </w:r>
            <w:r w:rsidR="00284946" w:rsidRPr="00162AB6">
              <w:rPr>
                <w:i/>
              </w:rPr>
              <w:t xml:space="preserve"> Podnik</w:t>
            </w:r>
            <w:r w:rsidRPr="00162AB6">
              <w:t xml:space="preserve"> [2002] FCA 390; 56 IPR 182</w:t>
            </w:r>
          </w:p>
          <w:p w14:paraId="3DEF666B" w14:textId="6B04F8C1" w:rsidR="00162AB6" w:rsidRDefault="00162AB6" w:rsidP="00162AB6">
            <w:pPr>
              <w:pStyle w:val="CasesLegislationAppealFrom"/>
              <w:spacing w:after="60"/>
            </w:pPr>
            <w:r w:rsidRPr="00162AB6">
              <w:rPr>
                <w:i/>
              </w:rPr>
              <w:t>Aston v Harlee Manufacturing Co</w:t>
            </w:r>
            <w:r w:rsidRPr="00162AB6">
              <w:t xml:space="preserve"> </w:t>
            </w:r>
            <w:r w:rsidR="009306ED">
              <w:t>[</w:t>
            </w:r>
            <w:r w:rsidR="009306ED" w:rsidRPr="00162AB6">
              <w:t>1960</w:t>
            </w:r>
            <w:r w:rsidR="009306ED">
              <w:t>] HCA 47;</w:t>
            </w:r>
            <w:r w:rsidR="009306ED" w:rsidRPr="00162AB6">
              <w:t xml:space="preserve"> 103 CLR 39</w:t>
            </w:r>
            <w:r w:rsidR="009306ED" w:rsidRPr="00CC024A">
              <w:t>1</w:t>
            </w:r>
          </w:p>
          <w:p w14:paraId="38C7FB1A" w14:textId="090F7268" w:rsidR="0001232F" w:rsidRDefault="0001232F" w:rsidP="00162AB6">
            <w:pPr>
              <w:pStyle w:val="CasesLegislationAppealFrom"/>
              <w:spacing w:after="60"/>
            </w:pPr>
            <w:r w:rsidRPr="00110A9C">
              <w:rPr>
                <w:i/>
                <w:iCs/>
              </w:rPr>
              <w:t>Australian Competition and Consumer Commission v ACM Group Ltd (No 2)</w:t>
            </w:r>
            <w:r w:rsidRPr="00110A9C">
              <w:t> [2018] FCA 1115</w:t>
            </w:r>
          </w:p>
          <w:p w14:paraId="30A4BF8C" w14:textId="177E83C0" w:rsidR="009B28EC" w:rsidRDefault="009B28EC" w:rsidP="00162AB6">
            <w:pPr>
              <w:pStyle w:val="CasesLegislationAppealFrom"/>
              <w:spacing w:after="60"/>
            </w:pPr>
            <w:r>
              <w:rPr>
                <w:i/>
              </w:rPr>
              <w:t>Australian Competition and Consumer Commission</w:t>
            </w:r>
            <w:r w:rsidRPr="00E51417">
              <w:rPr>
                <w:i/>
              </w:rPr>
              <w:t xml:space="preserve"> v Birubi Art Pty Ltd</w:t>
            </w:r>
            <w:r w:rsidRPr="00E51417">
              <w:t> [2018] FCA 1595</w:t>
            </w:r>
          </w:p>
          <w:p w14:paraId="6B911744" w14:textId="12834FCC" w:rsidR="000C518E" w:rsidRDefault="000C518E" w:rsidP="00162AB6">
            <w:pPr>
              <w:pStyle w:val="CasesLegislationAppealFrom"/>
              <w:spacing w:after="60"/>
            </w:pPr>
            <w:r>
              <w:rPr>
                <w:i/>
              </w:rPr>
              <w:t>Australian Competition and Consumer Commission</w:t>
            </w:r>
            <w:r w:rsidRPr="0079434A">
              <w:rPr>
                <w:i/>
              </w:rPr>
              <w:t xml:space="preserve"> v </w:t>
            </w:r>
            <w:r w:rsidRPr="000C518E">
              <w:rPr>
                <w:i/>
              </w:rPr>
              <w:t>Coles</w:t>
            </w:r>
            <w:r w:rsidRPr="0079434A">
              <w:rPr>
                <w:i/>
              </w:rPr>
              <w:t xml:space="preserve"> Supermarkets Australia Pty Ltd</w:t>
            </w:r>
            <w:r>
              <w:t xml:space="preserve"> [2014] FCA 634; 317 ALR 73</w:t>
            </w:r>
          </w:p>
          <w:p w14:paraId="3622AFE9" w14:textId="3659270A" w:rsidR="004634B4" w:rsidRDefault="004634B4" w:rsidP="00162AB6">
            <w:pPr>
              <w:pStyle w:val="CasesLegislationAppealFrom"/>
              <w:spacing w:after="60"/>
            </w:pPr>
            <w:r w:rsidRPr="00110A9C">
              <w:rPr>
                <w:i/>
                <w:iCs/>
              </w:rPr>
              <w:t>Australian Competition and Consumer Commission v Giraffe World Australia Pty Ltd (No 2</w:t>
            </w:r>
            <w:r w:rsidRPr="00110A9C">
              <w:t>) [1999] FCA 1161; 95 FCR 302</w:t>
            </w:r>
          </w:p>
          <w:p w14:paraId="760B5F20" w14:textId="2FAEC8FD" w:rsidR="009B28EC" w:rsidRDefault="009B28EC" w:rsidP="009B28EC">
            <w:pPr>
              <w:pStyle w:val="CasesLegislationAppealFrom"/>
              <w:spacing w:after="60"/>
            </w:pPr>
            <w:r>
              <w:rPr>
                <w:i/>
              </w:rPr>
              <w:t>Australian Competition and Consumer Commission</w:t>
            </w:r>
            <w:r w:rsidRPr="00E51417">
              <w:rPr>
                <w:i/>
                <w:iCs/>
              </w:rPr>
              <w:t xml:space="preserve"> v Jetstar Airways Pty Ltd</w:t>
            </w:r>
            <w:r w:rsidRPr="00E51417">
              <w:t xml:space="preserve"> [2015] FCA 1263</w:t>
            </w:r>
          </w:p>
          <w:p w14:paraId="2D4D57BF" w14:textId="0BEC3CF8" w:rsidR="009B28EC" w:rsidRDefault="009B28EC" w:rsidP="009B28EC">
            <w:pPr>
              <w:pStyle w:val="CasesLegislationAppealFrom"/>
              <w:spacing w:after="60"/>
              <w:rPr>
                <w:i/>
              </w:rPr>
            </w:pPr>
            <w:r>
              <w:rPr>
                <w:i/>
              </w:rPr>
              <w:t>Australian Competition and Consumer Commission</w:t>
            </w:r>
            <w:r w:rsidRPr="00110A9C">
              <w:rPr>
                <w:i/>
              </w:rPr>
              <w:t xml:space="preserve"> v Purple Harmony Plates Pty </w:t>
            </w:r>
            <w:r>
              <w:rPr>
                <w:i/>
              </w:rPr>
              <w:t>Ltd</w:t>
            </w:r>
            <w:r w:rsidRPr="00110A9C">
              <w:t xml:space="preserve"> [2001] FCA 1062</w:t>
            </w:r>
          </w:p>
          <w:p w14:paraId="0B2BFD73" w14:textId="1C06CAF9" w:rsidR="009B28EC" w:rsidRDefault="009B28EC" w:rsidP="009B28EC">
            <w:pPr>
              <w:pStyle w:val="CasesLegislationAppealFrom"/>
              <w:spacing w:after="60"/>
              <w:rPr>
                <w:i/>
              </w:rPr>
            </w:pPr>
            <w:r>
              <w:rPr>
                <w:i/>
              </w:rPr>
              <w:t>Australian Competition and Consumer Commission v TPG Internet Pty Ltd</w:t>
            </w:r>
            <w:r>
              <w:t xml:space="preserve"> [2020] FCAFC 130; 381 ALR 507</w:t>
            </w:r>
          </w:p>
          <w:p w14:paraId="153B8466" w14:textId="4D2A1BCE" w:rsidR="009B28EC" w:rsidRDefault="009B28EC" w:rsidP="009B28EC">
            <w:pPr>
              <w:pStyle w:val="CasesLegislationAppealFrom"/>
              <w:spacing w:after="60"/>
            </w:pPr>
            <w:r>
              <w:rPr>
                <w:i/>
              </w:rPr>
              <w:lastRenderedPageBreak/>
              <w:t>Australian Competition and Consumer Commission</w:t>
            </w:r>
            <w:r w:rsidRPr="0079434A">
              <w:rPr>
                <w:i/>
              </w:rPr>
              <w:t xml:space="preserve"> v </w:t>
            </w:r>
            <w:r w:rsidRPr="00BA2F9C">
              <w:rPr>
                <w:i/>
              </w:rPr>
              <w:t>TPG</w:t>
            </w:r>
            <w:r w:rsidRPr="0079434A">
              <w:rPr>
                <w:i/>
              </w:rPr>
              <w:t xml:space="preserve"> Internet Pty Ltd</w:t>
            </w:r>
            <w:r>
              <w:t xml:space="preserve"> [2013] HCA 54; 250 CLR 640</w:t>
            </w:r>
          </w:p>
          <w:p w14:paraId="4FF6685F" w14:textId="7D1BFC0C" w:rsidR="0001232F" w:rsidRDefault="0001232F" w:rsidP="00162AB6">
            <w:pPr>
              <w:pStyle w:val="CasesLegislationAppealFrom"/>
              <w:spacing w:after="60"/>
            </w:pPr>
            <w:r w:rsidRPr="00110A9C">
              <w:rPr>
                <w:i/>
                <w:iCs/>
              </w:rPr>
              <w:t xml:space="preserve">Australian Competition and Consumer Commission v Woolworths </w:t>
            </w:r>
            <w:r>
              <w:rPr>
                <w:i/>
                <w:iCs/>
              </w:rPr>
              <w:t>Ltd</w:t>
            </w:r>
            <w:r w:rsidRPr="00110A9C">
              <w:t xml:space="preserve"> [2019] FCA 1039</w:t>
            </w:r>
          </w:p>
          <w:p w14:paraId="35A14F32" w14:textId="08680E4E" w:rsidR="004C516D" w:rsidRPr="00162AB6" w:rsidRDefault="004C516D" w:rsidP="00162AB6">
            <w:pPr>
              <w:pStyle w:val="CasesLegislationAppealFrom"/>
              <w:spacing w:after="60"/>
            </w:pPr>
            <w:r w:rsidRPr="005539D1">
              <w:rPr>
                <w:i/>
              </w:rPr>
              <w:t xml:space="preserve">Australian Meat Group Pty Ltd v JBS Australia Pty </w:t>
            </w:r>
            <w:r>
              <w:rPr>
                <w:i/>
              </w:rPr>
              <w:t>Ltd</w:t>
            </w:r>
            <w:r w:rsidRPr="005539D1">
              <w:t xml:space="preserve"> [2018] FCAFC 207</w:t>
            </w:r>
            <w:r>
              <w:t>; 268 FCR 624</w:t>
            </w:r>
          </w:p>
          <w:p w14:paraId="2438FD73" w14:textId="77777777" w:rsidR="00162AB6" w:rsidRPr="00162AB6" w:rsidRDefault="00162AB6" w:rsidP="00162AB6">
            <w:pPr>
              <w:pStyle w:val="CasesLegislationAppealFrom"/>
              <w:spacing w:after="60"/>
            </w:pPr>
            <w:r w:rsidRPr="00162AB6">
              <w:rPr>
                <w:i/>
                <w:iCs/>
              </w:rPr>
              <w:t xml:space="preserve">Australian Woollen Mills Limited v F S Walton and Company Ltd </w:t>
            </w:r>
            <w:r w:rsidRPr="00162AB6">
              <w:t>[1937] HCA 51; 58 CLR 641</w:t>
            </w:r>
          </w:p>
          <w:p w14:paraId="395FF1CE" w14:textId="2E800DCE" w:rsidR="00162AB6" w:rsidRDefault="00162AB6" w:rsidP="00162AB6">
            <w:pPr>
              <w:pStyle w:val="CasesLegislationAppealFrom"/>
              <w:spacing w:after="60"/>
            </w:pPr>
            <w:r w:rsidRPr="00162AB6">
              <w:rPr>
                <w:i/>
              </w:rPr>
              <w:t>Bauer Consumer Media Ltd v Evergreen Television Pty Ltd</w:t>
            </w:r>
            <w:r w:rsidRPr="00162AB6">
              <w:t xml:space="preserve"> [2017] FCA 507; 349 ALR 679</w:t>
            </w:r>
          </w:p>
          <w:p w14:paraId="019E5295" w14:textId="52CC6E64" w:rsidR="00C67D57" w:rsidRDefault="00C67D57" w:rsidP="00162AB6">
            <w:pPr>
              <w:pStyle w:val="CasesLegislationAppealFrom"/>
              <w:spacing w:after="60"/>
            </w:pPr>
            <w:r>
              <w:rPr>
                <w:bCs/>
                <w:i/>
              </w:rPr>
              <w:t>Bing! Software Pty Ltd v Bing Technologies Pty Ltd (No 1)</w:t>
            </w:r>
            <w:r>
              <w:rPr>
                <w:bCs/>
              </w:rPr>
              <w:t xml:space="preserve"> [2008] FCA 1760; 79 IPR 454</w:t>
            </w:r>
          </w:p>
          <w:p w14:paraId="7795BF4B" w14:textId="1B9FBACD" w:rsidR="005B4EF0" w:rsidRDefault="005B4EF0" w:rsidP="00162AB6">
            <w:pPr>
              <w:pStyle w:val="CasesLegislationAppealFrom"/>
              <w:spacing w:after="60"/>
            </w:pPr>
            <w:r w:rsidRPr="005B4EF0">
              <w:rPr>
                <w:i/>
              </w:rPr>
              <w:t>Butcher</w:t>
            </w:r>
            <w:r w:rsidRPr="00BA2F9C">
              <w:rPr>
                <w:i/>
              </w:rPr>
              <w:t xml:space="preserve"> v Lachlan Elder Realty Pty Ltd</w:t>
            </w:r>
            <w:r w:rsidRPr="00BA2F9C">
              <w:t xml:space="preserve"> [2004] HCA 60; 218 CLR 592</w:t>
            </w:r>
          </w:p>
          <w:p w14:paraId="59CE0C8F" w14:textId="5426C5AB" w:rsidR="00A15A8A" w:rsidRDefault="00A15A8A" w:rsidP="00162AB6">
            <w:pPr>
              <w:pStyle w:val="CasesLegislationAppealFrom"/>
              <w:spacing w:after="60"/>
            </w:pPr>
            <w:r w:rsidRPr="00A15A8A">
              <w:rPr>
                <w:i/>
              </w:rPr>
              <w:t>CA Henschke</w:t>
            </w:r>
            <w:r w:rsidRPr="003D32D4">
              <w:rPr>
                <w:i/>
              </w:rPr>
              <w:t xml:space="preserve"> &amp; Co v Rosemount Estates Pty Ltd</w:t>
            </w:r>
            <w:r>
              <w:t xml:space="preserve"> [2000] FCA 1539; 52 IPR 42</w:t>
            </w:r>
          </w:p>
          <w:p w14:paraId="188E730B" w14:textId="2A8BCE49" w:rsidR="00FA1AD6" w:rsidRDefault="00FA1AD6" w:rsidP="00162AB6">
            <w:pPr>
              <w:pStyle w:val="CasesLegislationAppealFrom"/>
              <w:spacing w:after="60"/>
            </w:pPr>
            <w:r w:rsidRPr="00DA34E8">
              <w:rPr>
                <w:i/>
                <w:iCs/>
              </w:rPr>
              <w:t xml:space="preserve">Cadbury Schweppes Pty Ltd v Darrell Lea Chocolate Shops Pty Ltd </w:t>
            </w:r>
            <w:r w:rsidRPr="00DA34E8">
              <w:t>[2007] FCAFC 70</w:t>
            </w:r>
            <w:r>
              <w:t>;</w:t>
            </w:r>
            <w:r w:rsidRPr="00DA34E8">
              <w:t xml:space="preserve"> 159 FCR 397</w:t>
            </w:r>
          </w:p>
          <w:p w14:paraId="18D7AE82" w14:textId="4E4DD742" w:rsidR="00CB263E" w:rsidRDefault="00CB263E" w:rsidP="00162AB6">
            <w:pPr>
              <w:pStyle w:val="CasesLegislationAppealFrom"/>
              <w:spacing w:after="60"/>
            </w:pPr>
            <w:r w:rsidRPr="00BA2F9C">
              <w:rPr>
                <w:i/>
              </w:rPr>
              <w:t>Campbell v Backoffice Investments Pty Ltd</w:t>
            </w:r>
            <w:r>
              <w:t xml:space="preserve"> [2009] HCA 25; 238 CLR 304</w:t>
            </w:r>
          </w:p>
          <w:p w14:paraId="1B47CC28" w14:textId="3FB814C4" w:rsidR="00252592" w:rsidRDefault="00252592" w:rsidP="00162AB6">
            <w:pPr>
              <w:pStyle w:val="CasesLegislationAppealFrom"/>
              <w:spacing w:after="60"/>
            </w:pPr>
            <w:r w:rsidRPr="00252592">
              <w:rPr>
                <w:i/>
                <w:iCs/>
              </w:rPr>
              <w:t>Campomar</w:t>
            </w:r>
            <w:r w:rsidRPr="0079434A">
              <w:rPr>
                <w:i/>
                <w:iCs/>
              </w:rPr>
              <w:t xml:space="preserve"> Sociedad Limitada v Nike International </w:t>
            </w:r>
            <w:r w:rsidRPr="0079434A">
              <w:t>[2000] HCA 12</w:t>
            </w:r>
            <w:r>
              <w:t>;</w:t>
            </w:r>
            <w:r w:rsidRPr="0079434A">
              <w:t xml:space="preserve"> 202 CLR 45</w:t>
            </w:r>
          </w:p>
          <w:p w14:paraId="14017BFF" w14:textId="14C0887D" w:rsidR="000C518E" w:rsidRDefault="000C518E" w:rsidP="00162AB6">
            <w:pPr>
              <w:pStyle w:val="CasesLegislationAppealFrom"/>
              <w:spacing w:after="60"/>
            </w:pPr>
            <w:r w:rsidRPr="00AB1216">
              <w:rPr>
                <w:i/>
              </w:rPr>
              <w:t>Chief Commissioner of State Revenue v Adams Bidco Pty Ltd</w:t>
            </w:r>
            <w:r w:rsidRPr="00AB1216">
              <w:t xml:space="preserve"> [2019] NSWCA 34</w:t>
            </w:r>
          </w:p>
          <w:p w14:paraId="717A99D6" w14:textId="35660326" w:rsidR="00770949" w:rsidRDefault="00770949" w:rsidP="00162AB6">
            <w:pPr>
              <w:pStyle w:val="CasesLegislationAppealFrom"/>
              <w:spacing w:after="60"/>
              <w:rPr>
                <w:bCs/>
                <w:iCs/>
              </w:rPr>
            </w:pPr>
            <w:r w:rsidRPr="00162AB6">
              <w:rPr>
                <w:bCs/>
                <w:i/>
                <w:iCs/>
              </w:rPr>
              <w:t>Coca-Cola Company v All-Fect Distributors Ltd</w:t>
            </w:r>
            <w:r w:rsidRPr="00162AB6">
              <w:rPr>
                <w:bCs/>
                <w:iCs/>
              </w:rPr>
              <w:t xml:space="preserve"> [1999] FCA 1721; 96 FCR 107</w:t>
            </w:r>
          </w:p>
          <w:p w14:paraId="2593A711" w14:textId="77ABFBA5" w:rsidR="00630336" w:rsidRDefault="00630336" w:rsidP="00162AB6">
            <w:pPr>
              <w:pStyle w:val="CasesLegislationAppealFrom"/>
              <w:spacing w:after="60"/>
              <w:rPr>
                <w:bCs/>
                <w:iCs/>
              </w:rPr>
            </w:pPr>
            <w:r w:rsidRPr="00630336">
              <w:rPr>
                <w:i/>
                <w:iCs/>
              </w:rPr>
              <w:t>ConAgra</w:t>
            </w:r>
            <w:r w:rsidRPr="00DA34E8">
              <w:rPr>
                <w:i/>
                <w:iCs/>
              </w:rPr>
              <w:t xml:space="preserve"> Inc v McCain Foods (Aust) Pty Ltd </w:t>
            </w:r>
            <w:r>
              <w:rPr>
                <w:iCs/>
              </w:rPr>
              <w:t>[1992] FCA 176;</w:t>
            </w:r>
            <w:r w:rsidRPr="00DA34E8">
              <w:rPr>
                <w:i/>
                <w:iCs/>
              </w:rPr>
              <w:t xml:space="preserve"> </w:t>
            </w:r>
            <w:r w:rsidRPr="00DA34E8">
              <w:t>33 FCR 302</w:t>
            </w:r>
          </w:p>
          <w:p w14:paraId="30CC3B30" w14:textId="6865A10C" w:rsidR="00162AB6" w:rsidRDefault="00162AB6" w:rsidP="00162AB6">
            <w:pPr>
              <w:pStyle w:val="CasesLegislationAppealFrom"/>
              <w:spacing w:after="60"/>
            </w:pPr>
            <w:r w:rsidRPr="00162AB6">
              <w:rPr>
                <w:i/>
              </w:rPr>
              <w:t>Cooper Engineering Co Pty Ltd v Sigmund Pumps Ltd</w:t>
            </w:r>
            <w:r w:rsidRPr="00162AB6">
              <w:t xml:space="preserve"> [1952] HCA 15; 86 CLR 536</w:t>
            </w:r>
          </w:p>
          <w:p w14:paraId="1DE041FF" w14:textId="3F50980C" w:rsidR="00F05856" w:rsidRDefault="00F05856" w:rsidP="00162AB6">
            <w:pPr>
              <w:pStyle w:val="CasesLegislationAppealFrom"/>
              <w:spacing w:after="60"/>
            </w:pPr>
            <w:r w:rsidRPr="00110A9C">
              <w:rPr>
                <w:i/>
                <w:iCs/>
              </w:rPr>
              <w:t>Cummings v Lewis</w:t>
            </w:r>
            <w:r>
              <w:t> [1993] FCA 190;</w:t>
            </w:r>
            <w:r w:rsidRPr="00110A9C">
              <w:t xml:space="preserve"> 41 FCR 559</w:t>
            </w:r>
          </w:p>
          <w:p w14:paraId="260761A1" w14:textId="2D5EBE08" w:rsidR="00162AB6" w:rsidRDefault="00162AB6" w:rsidP="00162AB6">
            <w:pPr>
              <w:pStyle w:val="CasesLegislationAppealFrom"/>
              <w:spacing w:after="60"/>
            </w:pPr>
            <w:r w:rsidRPr="00162AB6">
              <w:rPr>
                <w:i/>
              </w:rPr>
              <w:t>DC Comics v Cheqout Pty Ltd</w:t>
            </w:r>
            <w:r w:rsidRPr="00162AB6">
              <w:t xml:space="preserve"> [2013] FCA 478; 212 FCR 194</w:t>
            </w:r>
          </w:p>
          <w:p w14:paraId="26ACF9F2" w14:textId="592DFB57" w:rsidR="00186E8F" w:rsidRPr="00162AB6" w:rsidRDefault="00186E8F" w:rsidP="00162AB6">
            <w:pPr>
              <w:pStyle w:val="CasesLegislationAppealFrom"/>
              <w:spacing w:after="60"/>
            </w:pPr>
            <w:r w:rsidRPr="00110A9C">
              <w:rPr>
                <w:i/>
                <w:iCs/>
              </w:rPr>
              <w:t xml:space="preserve">Doppstadt Australia Pty Ltd v Lovick &amp; Son Developments Pty Ltd </w:t>
            </w:r>
            <w:r w:rsidRPr="00110A9C">
              <w:rPr>
                <w:iCs/>
              </w:rPr>
              <w:t>[2014] NSWCA 158</w:t>
            </w:r>
          </w:p>
          <w:p w14:paraId="04391204" w14:textId="77777777" w:rsidR="00162AB6" w:rsidRPr="00162AB6" w:rsidRDefault="00162AB6" w:rsidP="00162AB6">
            <w:pPr>
              <w:pStyle w:val="CasesLegislationAppealFrom"/>
              <w:spacing w:after="60"/>
              <w:rPr>
                <w:bCs/>
                <w:iCs/>
              </w:rPr>
            </w:pPr>
            <w:r w:rsidRPr="00162AB6">
              <w:rPr>
                <w:i/>
                <w:iCs/>
              </w:rPr>
              <w:t>E &amp; J Gallo Winery v Lion Nathan Australia Pty Ltd</w:t>
            </w:r>
            <w:r w:rsidRPr="00162AB6">
              <w:rPr>
                <w:iCs/>
              </w:rPr>
              <w:t xml:space="preserve"> [2010] HCA 15; </w:t>
            </w:r>
            <w:r w:rsidRPr="00162AB6">
              <w:rPr>
                <w:bCs/>
                <w:iCs/>
              </w:rPr>
              <w:t>241 CLR 144</w:t>
            </w:r>
          </w:p>
          <w:p w14:paraId="1C74E398" w14:textId="43A999AB" w:rsidR="00162AB6" w:rsidRDefault="00162AB6" w:rsidP="00162AB6">
            <w:pPr>
              <w:pStyle w:val="CasesLegislationAppealFrom"/>
              <w:spacing w:after="60"/>
              <w:rPr>
                <w:bCs/>
              </w:rPr>
            </w:pPr>
            <w:r w:rsidRPr="00162AB6">
              <w:rPr>
                <w:bCs/>
                <w:i/>
                <w:iCs/>
              </w:rPr>
              <w:t>E &amp; J Gallo</w:t>
            </w:r>
            <w:r w:rsidRPr="00162AB6">
              <w:rPr>
                <w:b/>
                <w:bCs/>
                <w:i/>
                <w:iCs/>
              </w:rPr>
              <w:t> </w:t>
            </w:r>
            <w:r w:rsidRPr="00162AB6">
              <w:rPr>
                <w:bCs/>
                <w:i/>
                <w:iCs/>
              </w:rPr>
              <w:t>Winery v Lion Nathan Australia Pty Ltd</w:t>
            </w:r>
            <w:r w:rsidRPr="00162AB6">
              <w:rPr>
                <w:bCs/>
              </w:rPr>
              <w:t> [2009] FCAFC 27; 175 FCR 386</w:t>
            </w:r>
          </w:p>
          <w:p w14:paraId="5C791687" w14:textId="0BAA32EE" w:rsidR="00AD061C" w:rsidRPr="00162AB6" w:rsidRDefault="00AD061C" w:rsidP="00162AB6">
            <w:pPr>
              <w:pStyle w:val="CasesLegislationAppealFrom"/>
              <w:spacing w:after="60"/>
              <w:rPr>
                <w:bCs/>
              </w:rPr>
            </w:pPr>
            <w:r w:rsidRPr="00BC2117">
              <w:rPr>
                <w:bCs/>
                <w:i/>
                <w:iCs/>
                <w:lang w:val="pt-BR"/>
              </w:rPr>
              <w:t xml:space="preserve">E &amp; J Gallo Winery v Lion Nathan Australia Pty Ltd </w:t>
            </w:r>
            <w:r w:rsidRPr="00BC2117">
              <w:rPr>
                <w:bCs/>
                <w:lang w:val="pt-BR"/>
              </w:rPr>
              <w:t>[2008] FCA 934; 77 IPR 69</w:t>
            </w:r>
          </w:p>
          <w:p w14:paraId="3E4CEB43" w14:textId="77777777" w:rsidR="00162AB6" w:rsidRPr="00162AB6" w:rsidRDefault="00162AB6" w:rsidP="00162AB6">
            <w:pPr>
              <w:pStyle w:val="CasesLegislationAppealFrom"/>
              <w:spacing w:after="60"/>
            </w:pPr>
            <w:r w:rsidRPr="00162AB6">
              <w:rPr>
                <w:i/>
              </w:rPr>
              <w:t>Food Channel Network Pty Ltd v Television Food Network GP</w:t>
            </w:r>
            <w:r w:rsidRPr="00162AB6">
              <w:t xml:space="preserve"> [2010] FCAFC 58; 185 FCR 9</w:t>
            </w:r>
          </w:p>
          <w:p w14:paraId="27EA5085" w14:textId="49025618" w:rsidR="00162AB6" w:rsidRDefault="00162AB6" w:rsidP="00162AB6">
            <w:pPr>
              <w:pStyle w:val="CasesLegislationAppealFrom"/>
              <w:spacing w:after="60"/>
            </w:pPr>
            <w:r w:rsidRPr="00162AB6">
              <w:rPr>
                <w:i/>
              </w:rPr>
              <w:t>Fry Consulting Pty Ltd v Sports Warehouse Inc (No 2)</w:t>
            </w:r>
            <w:r w:rsidRPr="00162AB6">
              <w:t xml:space="preserve"> [2012] FCA 81; 201 FCR 565</w:t>
            </w:r>
          </w:p>
          <w:p w14:paraId="79ADB38D" w14:textId="6B0D7E69" w:rsidR="004A6485" w:rsidRDefault="004A6485" w:rsidP="00162AB6">
            <w:pPr>
              <w:pStyle w:val="CasesLegislationAppealFrom"/>
              <w:spacing w:after="60"/>
            </w:pPr>
            <w:r w:rsidRPr="004A6485">
              <w:rPr>
                <w:i/>
              </w:rPr>
              <w:lastRenderedPageBreak/>
              <w:t>Gillette</w:t>
            </w:r>
            <w:r w:rsidRPr="00DD7E99">
              <w:rPr>
                <w:i/>
              </w:rPr>
              <w:t xml:space="preserve"> Australia Pty Ltd v Energiser Australia Pty Ltd</w:t>
            </w:r>
            <w:r w:rsidRPr="00173667">
              <w:t xml:space="preserve"> [2002] FCAFC 223; 193 ALR 629</w:t>
            </w:r>
          </w:p>
          <w:p w14:paraId="2A99E426" w14:textId="61EFDB50" w:rsidR="00CA2D97" w:rsidRDefault="00CA2D97" w:rsidP="00162AB6">
            <w:pPr>
              <w:pStyle w:val="CasesLegislationAppealFrom"/>
              <w:spacing w:after="60"/>
            </w:pPr>
            <w:r w:rsidRPr="00BA2F9C">
              <w:rPr>
                <w:i/>
                <w:iCs/>
              </w:rPr>
              <w:t xml:space="preserve">Global Sportsman Pty Ltd v Mirror Newspapers Pty Ltd </w:t>
            </w:r>
            <w:r>
              <w:rPr>
                <w:iCs/>
              </w:rPr>
              <w:t>[</w:t>
            </w:r>
            <w:r w:rsidRPr="00BA2F9C">
              <w:t>1984</w:t>
            </w:r>
            <w:r>
              <w:t>] FCA 167;</w:t>
            </w:r>
            <w:r w:rsidRPr="00BA2F9C">
              <w:t xml:space="preserve"> 2 FCR 82</w:t>
            </w:r>
          </w:p>
          <w:p w14:paraId="099ED1FB" w14:textId="0D39899E" w:rsidR="00252592" w:rsidRPr="00162AB6" w:rsidRDefault="00252592" w:rsidP="00162AB6">
            <w:pPr>
              <w:pStyle w:val="CasesLegislationAppealFrom"/>
              <w:spacing w:after="60"/>
            </w:pPr>
            <w:r w:rsidRPr="0079434A">
              <w:rPr>
                <w:i/>
                <w:iCs/>
              </w:rPr>
              <w:t xml:space="preserve">Google Inc v Australian Competition and Consumer Commission </w:t>
            </w:r>
            <w:r w:rsidRPr="0079434A">
              <w:t>[2013] HCA 1</w:t>
            </w:r>
            <w:r>
              <w:t>;</w:t>
            </w:r>
            <w:r w:rsidRPr="0079434A">
              <w:t xml:space="preserve"> 249 CLR 435</w:t>
            </w:r>
          </w:p>
          <w:p w14:paraId="631FB65C" w14:textId="6A8A611C" w:rsidR="00162AB6" w:rsidRPr="00162AB6" w:rsidRDefault="00162AB6" w:rsidP="00162AB6">
            <w:pPr>
              <w:pStyle w:val="CasesLegislationAppealFrom"/>
              <w:spacing w:after="60"/>
            </w:pPr>
            <w:r w:rsidRPr="00162AB6">
              <w:rPr>
                <w:i/>
                <w:iCs/>
              </w:rPr>
              <w:t>Health World Ltd v Shin-Sun Aust</w:t>
            </w:r>
            <w:r w:rsidR="009211F9">
              <w:rPr>
                <w:i/>
                <w:iCs/>
              </w:rPr>
              <w:t>ralia</w:t>
            </w:r>
            <w:r w:rsidRPr="00162AB6">
              <w:rPr>
                <w:i/>
                <w:iCs/>
              </w:rPr>
              <w:t xml:space="preserve"> Pty Ltd </w:t>
            </w:r>
            <w:r w:rsidRPr="00162AB6">
              <w:t>[2010] HCA 13; 240 CLR 590</w:t>
            </w:r>
          </w:p>
          <w:p w14:paraId="52A3E287" w14:textId="77777777" w:rsidR="00162AB6" w:rsidRPr="00162AB6" w:rsidRDefault="00162AB6" w:rsidP="00162AB6">
            <w:pPr>
              <w:pStyle w:val="CasesLegislationAppealFrom"/>
              <w:spacing w:after="60"/>
            </w:pPr>
            <w:r w:rsidRPr="00162AB6">
              <w:rPr>
                <w:i/>
              </w:rPr>
              <w:t>Hills Industries Ltd v Bitek Pty Ltd</w:t>
            </w:r>
            <w:r w:rsidRPr="00162AB6">
              <w:t xml:space="preserve"> [2011] FCA 94; 214 FCR 396</w:t>
            </w:r>
          </w:p>
          <w:p w14:paraId="74363F97" w14:textId="7251D5A1" w:rsidR="00162AB6" w:rsidRDefault="00162AB6" w:rsidP="00162AB6">
            <w:pPr>
              <w:pStyle w:val="CasesLegislationAppealFrom"/>
              <w:spacing w:after="60"/>
            </w:pPr>
            <w:r w:rsidRPr="00162AB6">
              <w:rPr>
                <w:i/>
                <w:iCs/>
              </w:rPr>
              <w:t xml:space="preserve">Irving’s Yeast-Vite Ltd v Horsenail </w:t>
            </w:r>
            <w:r w:rsidRPr="00162AB6">
              <w:t xml:space="preserve">(1934) 51 RPC </w:t>
            </w:r>
            <w:r w:rsidR="00CC4C21">
              <w:t>110</w:t>
            </w:r>
          </w:p>
          <w:p w14:paraId="487D84B0" w14:textId="53D96326" w:rsidR="005D4B12" w:rsidRPr="00162AB6" w:rsidRDefault="005D4B12" w:rsidP="00162AB6">
            <w:pPr>
              <w:pStyle w:val="CasesLegislationAppealFrom"/>
              <w:spacing w:after="60"/>
            </w:pPr>
            <w:r w:rsidRPr="00B43FE9">
              <w:rPr>
                <w:i/>
              </w:rPr>
              <w:t>Insight Radiology Pty Ltd v Insight Clinical Imaging Pty Ltd</w:t>
            </w:r>
            <w:r>
              <w:t xml:space="preserve"> [2016] FCA 1406; 122 IPR 232</w:t>
            </w:r>
          </w:p>
          <w:p w14:paraId="603268EF" w14:textId="20816EDD" w:rsidR="00162AB6" w:rsidRPr="00162AB6" w:rsidRDefault="00162AB6" w:rsidP="00162AB6">
            <w:pPr>
              <w:pStyle w:val="CasesLegislationAppealFrom"/>
              <w:spacing w:after="60"/>
            </w:pPr>
            <w:r w:rsidRPr="00162AB6">
              <w:rPr>
                <w:i/>
              </w:rPr>
              <w:t>Jaffer</w:t>
            </w:r>
            <w:r w:rsidR="0046749A">
              <w:rPr>
                <w:i/>
              </w:rPr>
              <w:t>j</w:t>
            </w:r>
            <w:r w:rsidRPr="00162AB6">
              <w:rPr>
                <w:i/>
              </w:rPr>
              <w:t>ee v Scarlett</w:t>
            </w:r>
            <w:r w:rsidR="0046749A">
              <w:t xml:space="preserve"> [193</w:t>
            </w:r>
            <w:r w:rsidRPr="00162AB6">
              <w:t>7] HCA 36; 57 CLR 115</w:t>
            </w:r>
          </w:p>
          <w:p w14:paraId="08F07404" w14:textId="3FEFE6BF" w:rsidR="00162AB6" w:rsidRDefault="00162AB6" w:rsidP="00162AB6">
            <w:pPr>
              <w:pStyle w:val="CasesLegislationAppealFrom"/>
              <w:spacing w:after="60"/>
            </w:pPr>
            <w:r w:rsidRPr="00162AB6">
              <w:rPr>
                <w:i/>
              </w:rPr>
              <w:t>Johnson &amp; Johnson Australia Pty Ltd v Sterling Pharmaceuticals Pty Ltd</w:t>
            </w:r>
            <w:r w:rsidRPr="00162AB6">
              <w:t xml:space="preserve"> [1991] FCA </w:t>
            </w:r>
            <w:r w:rsidR="00A322D3">
              <w:t>402</w:t>
            </w:r>
            <w:r w:rsidRPr="00162AB6">
              <w:t>; 30 FCR 326</w:t>
            </w:r>
          </w:p>
          <w:p w14:paraId="71740580" w14:textId="1433ED50" w:rsidR="00065968" w:rsidRDefault="00065968" w:rsidP="00162AB6">
            <w:pPr>
              <w:pStyle w:val="CasesLegislationAppealFrom"/>
              <w:spacing w:after="60"/>
            </w:pPr>
            <w:r w:rsidRPr="00B43FE9">
              <w:rPr>
                <w:i/>
                <w:iCs/>
              </w:rPr>
              <w:t xml:space="preserve">JR Consulting &amp; Drafting Pty Ltd v Cummings </w:t>
            </w:r>
            <w:r w:rsidRPr="00B43FE9">
              <w:t>[2016] FCAFC 20</w:t>
            </w:r>
            <w:r>
              <w:t>;</w:t>
            </w:r>
            <w:r w:rsidRPr="00B43FE9">
              <w:t xml:space="preserve"> 329</w:t>
            </w:r>
            <w:r>
              <w:t xml:space="preserve"> ALR 625</w:t>
            </w:r>
          </w:p>
          <w:p w14:paraId="747D9D5F" w14:textId="29B9451F" w:rsidR="00C91EF9" w:rsidRDefault="00C91EF9" w:rsidP="00162AB6">
            <w:pPr>
              <w:pStyle w:val="CasesLegislationAppealFrom"/>
              <w:spacing w:after="60"/>
            </w:pPr>
            <w:r w:rsidRPr="007A08C7">
              <w:rPr>
                <w:i/>
                <w:iCs/>
              </w:rPr>
              <w:t xml:space="preserve">J </w:t>
            </w:r>
            <w:r w:rsidRPr="00162AB6">
              <w:rPr>
                <w:i/>
                <w:iCs/>
              </w:rPr>
              <w:t xml:space="preserve">Lyons &amp; Co Ltd’s Application </w:t>
            </w:r>
            <w:r w:rsidRPr="00162AB6">
              <w:t>[1959] RPC 120</w:t>
            </w:r>
          </w:p>
          <w:p w14:paraId="439D8323" w14:textId="1002D4DC" w:rsidR="00065968" w:rsidRDefault="00065968" w:rsidP="00162AB6">
            <w:pPr>
              <w:pStyle w:val="CasesLegislationAppealFrom"/>
              <w:spacing w:after="60"/>
            </w:pPr>
            <w:r w:rsidRPr="00065968">
              <w:rPr>
                <w:i/>
                <w:iCs/>
              </w:rPr>
              <w:t>Keller</w:t>
            </w:r>
            <w:r w:rsidRPr="00B43FE9">
              <w:rPr>
                <w:i/>
                <w:iCs/>
              </w:rPr>
              <w:t xml:space="preserve"> v LED Technologies Pty Ltd </w:t>
            </w:r>
            <w:r w:rsidRPr="00B43FE9">
              <w:t>[2010] FCAFC 55</w:t>
            </w:r>
            <w:r>
              <w:t>;</w:t>
            </w:r>
            <w:r w:rsidRPr="00B43FE9">
              <w:t xml:space="preserve"> 185 FCR 449</w:t>
            </w:r>
          </w:p>
          <w:p w14:paraId="4DC75E63" w14:textId="747CDBDF" w:rsidR="00CF726A" w:rsidRPr="00162AB6" w:rsidRDefault="00CF726A" w:rsidP="00162AB6">
            <w:pPr>
              <w:pStyle w:val="CasesLegislationAppealFrom"/>
              <w:spacing w:after="60"/>
            </w:pPr>
            <w:r w:rsidRPr="00736F93">
              <w:rPr>
                <w:i/>
              </w:rPr>
              <w:t>Knott Investments</w:t>
            </w:r>
            <w:r w:rsidRPr="006F1F9A">
              <w:rPr>
                <w:i/>
              </w:rPr>
              <w:t xml:space="preserve"> Pty Ltd v Winnebago Industries Inc</w:t>
            </w:r>
            <w:r w:rsidRPr="006F1F9A">
              <w:t xml:space="preserve"> [2013] FCAFC 59</w:t>
            </w:r>
            <w:r>
              <w:t>;</w:t>
            </w:r>
            <w:r w:rsidRPr="006F1F9A">
              <w:t xml:space="preserve"> 211 FCR 449</w:t>
            </w:r>
          </w:p>
          <w:p w14:paraId="0B9F731B" w14:textId="027BC70C" w:rsidR="00162AB6" w:rsidRDefault="00162AB6" w:rsidP="00162AB6">
            <w:pPr>
              <w:pStyle w:val="CasesLegislationAppealFrom"/>
              <w:spacing w:after="60"/>
              <w:rPr>
                <w:bCs/>
                <w:lang w:val="pt-BR"/>
              </w:rPr>
            </w:pPr>
            <w:r w:rsidRPr="00162AB6">
              <w:rPr>
                <w:i/>
                <w:iCs/>
                <w:lang w:val="pt-BR"/>
              </w:rPr>
              <w:t xml:space="preserve">Kowa Company Ltd v NV Organon </w:t>
            </w:r>
            <w:r w:rsidRPr="00162AB6">
              <w:rPr>
                <w:lang w:val="pt-BR"/>
              </w:rPr>
              <w:t xml:space="preserve">[2005] FCA 1282; </w:t>
            </w:r>
            <w:r w:rsidRPr="00162AB6">
              <w:rPr>
                <w:bCs/>
                <w:lang w:val="pt-BR"/>
              </w:rPr>
              <w:t>223 ALR 27</w:t>
            </w:r>
          </w:p>
          <w:p w14:paraId="618FC18B" w14:textId="04D9AE77" w:rsidR="00CF6285" w:rsidRPr="00162AB6" w:rsidRDefault="00CF6285" w:rsidP="00162AB6">
            <w:pPr>
              <w:pStyle w:val="CasesLegislationAppealFrom"/>
              <w:spacing w:after="60"/>
              <w:rPr>
                <w:bCs/>
                <w:lang w:val="pt-BR"/>
              </w:rPr>
            </w:pPr>
            <w:r w:rsidRPr="00CF6285">
              <w:rPr>
                <w:i/>
              </w:rPr>
              <w:t>Kraft</w:t>
            </w:r>
            <w:r w:rsidRPr="00993529">
              <w:rPr>
                <w:i/>
              </w:rPr>
              <w:t xml:space="preserve"> Foods Group Brands LLC v Bega Cheese </w:t>
            </w:r>
            <w:r>
              <w:rPr>
                <w:i/>
              </w:rPr>
              <w:t>Ltd</w:t>
            </w:r>
            <w:r w:rsidRPr="00993529">
              <w:t> [2020] FCAFC 65; 377 ALR 387</w:t>
            </w:r>
          </w:p>
          <w:p w14:paraId="7F0F8861" w14:textId="77777777" w:rsidR="00162AB6" w:rsidRPr="00162AB6" w:rsidRDefault="00162AB6" w:rsidP="00162AB6">
            <w:pPr>
              <w:pStyle w:val="CasesLegislationAppealFrom"/>
              <w:spacing w:after="60"/>
            </w:pPr>
            <w:r w:rsidRPr="00162AB6">
              <w:rPr>
                <w:i/>
              </w:rPr>
              <w:t>Lodestar Anstalt v Campari America LLC</w:t>
            </w:r>
            <w:r w:rsidRPr="00162AB6">
              <w:t xml:space="preserve"> [2016] FCAFC 92; 244 FCR 557</w:t>
            </w:r>
          </w:p>
          <w:p w14:paraId="11EFEC93" w14:textId="5E276AC1" w:rsidR="00162AB6" w:rsidRDefault="00162AB6" w:rsidP="00162AB6">
            <w:pPr>
              <w:pStyle w:val="CasesLegislationAppealFrom"/>
              <w:spacing w:after="60"/>
            </w:pPr>
            <w:r w:rsidRPr="00162AB6">
              <w:rPr>
                <w:i/>
                <w:iCs/>
              </w:rPr>
              <w:t xml:space="preserve">Lyons &amp; Co Ltd’s Application </w:t>
            </w:r>
            <w:r w:rsidRPr="00162AB6">
              <w:t>[1959] RPC 120</w:t>
            </w:r>
          </w:p>
          <w:p w14:paraId="293765A0" w14:textId="5CD7CB5F" w:rsidR="004C516D" w:rsidRDefault="004C516D" w:rsidP="00162AB6">
            <w:pPr>
              <w:pStyle w:val="CasesLegislationAppealFrom"/>
              <w:spacing w:after="60"/>
            </w:pPr>
            <w:r>
              <w:rPr>
                <w:i/>
              </w:rPr>
              <w:t>Mars Australia Pty Ltd v Sweet Rewards Pty Ltd</w:t>
            </w:r>
            <w:r>
              <w:t xml:space="preserve"> [2009] FCA 606; 81 IPR 354</w:t>
            </w:r>
          </w:p>
          <w:p w14:paraId="524987CB" w14:textId="624788A4" w:rsidR="004E606B" w:rsidRPr="00162AB6" w:rsidRDefault="004E606B" w:rsidP="00162AB6">
            <w:pPr>
              <w:pStyle w:val="CasesLegislationAppealFrom"/>
              <w:spacing w:after="60"/>
            </w:pPr>
            <w:r w:rsidRPr="00CB0EBF">
              <w:rPr>
                <w:i/>
              </w:rPr>
              <w:t>Melbourne Chinese Press Pty Ltd v Australian Chinese Newspapers Pty Ltd</w:t>
            </w:r>
            <w:r w:rsidRPr="00CB0EBF">
              <w:t xml:space="preserve"> [2004] FCAFC 201</w:t>
            </w:r>
            <w:r>
              <w:t>;</w:t>
            </w:r>
            <w:r w:rsidRPr="00CB0EBF">
              <w:t xml:space="preserve"> 63 IPR 38</w:t>
            </w:r>
          </w:p>
          <w:p w14:paraId="3C537647" w14:textId="70BC82AD" w:rsidR="00162AB6" w:rsidRDefault="00162AB6" w:rsidP="00162AB6">
            <w:pPr>
              <w:pStyle w:val="CasesLegislationAppealFrom"/>
              <w:spacing w:after="60"/>
              <w:rPr>
                <w:bCs/>
              </w:rPr>
            </w:pPr>
            <w:r w:rsidRPr="00162AB6">
              <w:rPr>
                <w:i/>
                <w:iCs/>
              </w:rPr>
              <w:t xml:space="preserve">MID Sydney Pty Ltd v Australian Tourism Co Ltd </w:t>
            </w:r>
            <w:r w:rsidR="00722617" w:rsidRPr="00722617">
              <w:rPr>
                <w:bCs/>
              </w:rPr>
              <w:t>[1998] FCA 1616</w:t>
            </w:r>
            <w:r w:rsidR="00722617">
              <w:rPr>
                <w:bCs/>
              </w:rPr>
              <w:t>;</w:t>
            </w:r>
            <w:r w:rsidRPr="00162AB6">
              <w:rPr>
                <w:bCs/>
              </w:rPr>
              <w:t xml:space="preserve"> 90 FCR 236</w:t>
            </w:r>
          </w:p>
          <w:p w14:paraId="0AEE1512" w14:textId="184B178A" w:rsidR="00280024" w:rsidRDefault="00280024" w:rsidP="00162AB6">
            <w:pPr>
              <w:pStyle w:val="CasesLegislationAppealFrom"/>
              <w:spacing w:after="60"/>
            </w:pPr>
            <w:r w:rsidRPr="00D92865">
              <w:rPr>
                <w:i/>
              </w:rPr>
              <w:t>Mond Staffordshire Refining Co Ltd v Harlem</w:t>
            </w:r>
            <w:r w:rsidRPr="00D92865">
              <w:t xml:space="preserve"> </w:t>
            </w:r>
            <w:r>
              <w:t>[</w:t>
            </w:r>
            <w:r w:rsidRPr="00D92865">
              <w:t>1929</w:t>
            </w:r>
            <w:r>
              <w:t>] HCA 6;</w:t>
            </w:r>
            <w:r w:rsidRPr="00D92865">
              <w:t xml:space="preserve"> 41 CLR 475</w:t>
            </w:r>
          </w:p>
          <w:p w14:paraId="13D2C65A" w14:textId="344F2AD4" w:rsidR="00C84680" w:rsidRDefault="00C84680" w:rsidP="00162AB6">
            <w:pPr>
              <w:pStyle w:val="CasesLegislationAppealFrom"/>
              <w:spacing w:after="60"/>
            </w:pPr>
            <w:r w:rsidRPr="00BD1E4F">
              <w:rPr>
                <w:i/>
                <w:iCs/>
              </w:rPr>
              <w:t xml:space="preserve">Moorgate Tobacco Co Ltd v Philip Morris Ltd (No </w:t>
            </w:r>
            <w:r w:rsidRPr="00BD1E4F">
              <w:t>2) [1984] HCA 73; 156 CLR 414</w:t>
            </w:r>
          </w:p>
          <w:p w14:paraId="73750603" w14:textId="09154037" w:rsidR="00DF2CFA" w:rsidRDefault="00DF2CFA" w:rsidP="00162AB6">
            <w:pPr>
              <w:pStyle w:val="CasesLegislationAppealFrom"/>
              <w:spacing w:after="60"/>
              <w:rPr>
                <w:bCs/>
              </w:rPr>
            </w:pPr>
            <w:r w:rsidRPr="00D92865">
              <w:rPr>
                <w:i/>
              </w:rPr>
              <w:t>New South Wales Dairy Corporation v Murray Goulburn Co-op Co Ltd (No 1)</w:t>
            </w:r>
            <w:r w:rsidRPr="00D92865">
              <w:t xml:space="preserve"> </w:t>
            </w:r>
            <w:r>
              <w:t>[</w:t>
            </w:r>
            <w:r w:rsidRPr="00D92865">
              <w:t>1989</w:t>
            </w:r>
            <w:r>
              <w:t>] FCA 124;</w:t>
            </w:r>
            <w:r w:rsidRPr="00D92865">
              <w:t xml:space="preserve"> 14 IPR 26</w:t>
            </w:r>
          </w:p>
          <w:p w14:paraId="656DBF1B" w14:textId="3F890340" w:rsidR="004A6485" w:rsidRDefault="004A6485" w:rsidP="00162AB6">
            <w:pPr>
              <w:pStyle w:val="CasesLegislationAppealFrom"/>
              <w:spacing w:after="60"/>
            </w:pPr>
            <w:r w:rsidRPr="004A6485">
              <w:rPr>
                <w:i/>
              </w:rPr>
              <w:t xml:space="preserve">Novartis </w:t>
            </w:r>
            <w:r w:rsidRPr="00173667">
              <w:rPr>
                <w:i/>
              </w:rPr>
              <w:t>Pharmaceuticals Australia Pty Ltd</w:t>
            </w:r>
            <w:r w:rsidR="00785FB6">
              <w:rPr>
                <w:i/>
              </w:rPr>
              <w:t xml:space="preserve"> v</w:t>
            </w:r>
            <w:r w:rsidRPr="00173667">
              <w:rPr>
                <w:i/>
              </w:rPr>
              <w:t xml:space="preserve"> Bayer Australia Ltd</w:t>
            </w:r>
            <w:r w:rsidRPr="00173667">
              <w:t xml:space="preserve"> [2015] FCA 35; 322 ALR 621</w:t>
            </w:r>
          </w:p>
          <w:p w14:paraId="36AD5EE4" w14:textId="77777777" w:rsidR="00513FFF" w:rsidRDefault="00513FFF" w:rsidP="00513FFF">
            <w:pPr>
              <w:pStyle w:val="CasesLegislationAppealFrom"/>
              <w:spacing w:after="60"/>
            </w:pPr>
            <w:r w:rsidRPr="00256649">
              <w:rPr>
                <w:bCs/>
                <w:i/>
              </w:rPr>
              <w:t>Pacific Dunlop Ltd v Hogan</w:t>
            </w:r>
            <w:r>
              <w:rPr>
                <w:bCs/>
              </w:rPr>
              <w:t xml:space="preserve"> [1989] FCA 250;</w:t>
            </w:r>
            <w:r w:rsidRPr="00256649">
              <w:rPr>
                <w:bCs/>
              </w:rPr>
              <w:t xml:space="preserve"> 23 FCR 553</w:t>
            </w:r>
          </w:p>
          <w:p w14:paraId="355A85AB" w14:textId="67784533" w:rsidR="00C7461A" w:rsidRPr="00162AB6" w:rsidRDefault="00C7461A" w:rsidP="00162AB6">
            <w:pPr>
              <w:pStyle w:val="CasesLegislationAppealFrom"/>
              <w:spacing w:after="60"/>
              <w:rPr>
                <w:bCs/>
              </w:rPr>
            </w:pPr>
            <w:r w:rsidRPr="00C7461A">
              <w:rPr>
                <w:i/>
              </w:rPr>
              <w:lastRenderedPageBreak/>
              <w:t xml:space="preserve">Parkdale Custom </w:t>
            </w:r>
            <w:r>
              <w:rPr>
                <w:i/>
              </w:rPr>
              <w:t>B</w:t>
            </w:r>
            <w:r w:rsidRPr="00C7461A">
              <w:rPr>
                <w:i/>
              </w:rPr>
              <w:t>uilt Furniture Pty Ltd v Puxu Pty Ltd</w:t>
            </w:r>
            <w:r w:rsidRPr="00C7461A">
              <w:t xml:space="preserve"> [1982] HCA 44; 149 CLR 191</w:t>
            </w:r>
          </w:p>
          <w:p w14:paraId="68ED6871" w14:textId="75771FAC" w:rsidR="00162AB6" w:rsidRDefault="00162AB6" w:rsidP="00162AB6">
            <w:pPr>
              <w:pStyle w:val="CasesLegislationAppealFrom"/>
              <w:spacing w:after="60"/>
            </w:pPr>
            <w:r w:rsidRPr="00162AB6">
              <w:rPr>
                <w:i/>
              </w:rPr>
              <w:t>PepsiCo Australia Pty Ltd v Kettle Chip Co Pty Ltd</w:t>
            </w:r>
            <w:r w:rsidRPr="00162AB6">
              <w:t xml:space="preserve"> </w:t>
            </w:r>
            <w:r w:rsidR="00284946">
              <w:t>[</w:t>
            </w:r>
            <w:r w:rsidR="00284946" w:rsidRPr="00162AB6">
              <w:t>1996</w:t>
            </w:r>
            <w:r w:rsidR="00284946">
              <w:t xml:space="preserve">] </w:t>
            </w:r>
            <w:r w:rsidR="00284946" w:rsidRPr="008346B8">
              <w:t>FCA 48</w:t>
            </w:r>
            <w:r w:rsidR="00284946">
              <w:t>;</w:t>
            </w:r>
            <w:r w:rsidRPr="00162AB6">
              <w:t xml:space="preserve"> 135 ALR 192</w:t>
            </w:r>
          </w:p>
          <w:p w14:paraId="7606FBD2" w14:textId="5FD6002B" w:rsidR="00185CD8" w:rsidRPr="00162AB6" w:rsidRDefault="00185CD8" w:rsidP="00162AB6">
            <w:pPr>
              <w:pStyle w:val="CasesLegislationAppealFrom"/>
              <w:spacing w:after="60"/>
            </w:pPr>
            <w:r w:rsidRPr="005A308F">
              <w:rPr>
                <w:i/>
                <w:iCs/>
              </w:rPr>
              <w:t xml:space="preserve">Peter </w:t>
            </w:r>
            <w:r w:rsidRPr="00185CD8">
              <w:rPr>
                <w:i/>
                <w:iCs/>
              </w:rPr>
              <w:t>Bodum</w:t>
            </w:r>
            <w:r w:rsidRPr="005A308F">
              <w:rPr>
                <w:i/>
                <w:iCs/>
              </w:rPr>
              <w:t xml:space="preserve"> A/S and Others v DKSH Australia Pty Ltd </w:t>
            </w:r>
            <w:r w:rsidRPr="005A308F">
              <w:t xml:space="preserve">[2011] FCAFC 98; </w:t>
            </w:r>
            <w:r w:rsidRPr="005A308F">
              <w:rPr>
                <w:bCs/>
              </w:rPr>
              <w:t>280 ALR 639</w:t>
            </w:r>
          </w:p>
          <w:p w14:paraId="76CCB168" w14:textId="6C8A3E1B" w:rsidR="00162AB6" w:rsidRPr="00162AB6" w:rsidRDefault="00162AB6" w:rsidP="00162AB6">
            <w:pPr>
              <w:pStyle w:val="CasesLegislationAppealFrom"/>
              <w:spacing w:after="60"/>
            </w:pPr>
            <w:r w:rsidRPr="00162AB6">
              <w:rPr>
                <w:i/>
              </w:rPr>
              <w:t>Pfizer v Karam</w:t>
            </w:r>
            <w:r w:rsidRPr="00162AB6">
              <w:t xml:space="preserve"> [2006] FCA 1663; </w:t>
            </w:r>
            <w:r w:rsidR="00B90AE0">
              <w:t>219</w:t>
            </w:r>
            <w:r w:rsidR="00B90AE0" w:rsidRPr="00162AB6">
              <w:t xml:space="preserve"> </w:t>
            </w:r>
            <w:r w:rsidR="00B90AE0">
              <w:t>FCR 585</w:t>
            </w:r>
          </w:p>
          <w:p w14:paraId="25BED460" w14:textId="77777777" w:rsidR="00162AB6" w:rsidRPr="00162AB6" w:rsidRDefault="00162AB6" w:rsidP="00162AB6">
            <w:pPr>
              <w:pStyle w:val="CasesLegislationAppealFrom"/>
              <w:spacing w:after="60"/>
            </w:pPr>
            <w:r w:rsidRPr="00162AB6">
              <w:rPr>
                <w:i/>
              </w:rPr>
              <w:t>Pham Global Pty Ltd v Insight Clinical Imaging Pty Ltd</w:t>
            </w:r>
            <w:r w:rsidRPr="00162AB6">
              <w:t xml:space="preserve"> [2017] FCAFC 83; 251 FCR 379</w:t>
            </w:r>
          </w:p>
          <w:p w14:paraId="24E62870" w14:textId="4EC7DD58" w:rsidR="00162AB6" w:rsidRDefault="00162AB6" w:rsidP="00162AB6">
            <w:pPr>
              <w:pStyle w:val="CasesLegislationAppealFrom"/>
              <w:spacing w:after="60"/>
            </w:pPr>
            <w:r w:rsidRPr="00162AB6">
              <w:rPr>
                <w:i/>
              </w:rPr>
              <w:t>Pioneer Computers Australia Pty Ltd v Pioneer KK</w:t>
            </w:r>
            <w:r w:rsidRPr="00162AB6">
              <w:t xml:space="preserve"> [2009] FCA 135; 176 FCR 300</w:t>
            </w:r>
          </w:p>
          <w:p w14:paraId="2CAA280E" w14:textId="7BEEB76E" w:rsidR="00162AB6" w:rsidRPr="00162AB6" w:rsidRDefault="00162AB6" w:rsidP="00162AB6">
            <w:pPr>
              <w:pStyle w:val="CasesLegislationAppealFrom"/>
              <w:spacing w:after="60"/>
              <w:rPr>
                <w:bCs/>
              </w:rPr>
            </w:pPr>
            <w:r w:rsidRPr="00162AB6">
              <w:rPr>
                <w:bCs/>
                <w:i/>
                <w:iCs/>
              </w:rPr>
              <w:t xml:space="preserve">Polo Textile Industries Pty Ltd v Domestic Textile Corp Pty Ltd  </w:t>
            </w:r>
            <w:r w:rsidRPr="00162AB6">
              <w:rPr>
                <w:bCs/>
              </w:rPr>
              <w:t>[1993] FCA 2</w:t>
            </w:r>
            <w:r w:rsidR="00722617">
              <w:rPr>
                <w:bCs/>
              </w:rPr>
              <w:t>65</w:t>
            </w:r>
            <w:r w:rsidRPr="00162AB6">
              <w:rPr>
                <w:bCs/>
              </w:rPr>
              <w:t>; 42 FCR 227</w:t>
            </w:r>
          </w:p>
          <w:p w14:paraId="16CF72FC" w14:textId="612ABCE6" w:rsidR="00162AB6" w:rsidRDefault="00162AB6" w:rsidP="00162AB6">
            <w:pPr>
              <w:pStyle w:val="CasesLegislationAppealFrom"/>
              <w:spacing w:after="60"/>
              <w:rPr>
                <w:lang w:val="en-US"/>
              </w:rPr>
            </w:pPr>
            <w:r w:rsidRPr="00162AB6">
              <w:rPr>
                <w:i/>
                <w:iCs/>
                <w:lang w:val="en-US"/>
              </w:rPr>
              <w:t>Re</w:t>
            </w:r>
            <w:r w:rsidRPr="00162AB6">
              <w:rPr>
                <w:lang w:val="en-US"/>
              </w:rPr>
              <w:t xml:space="preserve"> </w:t>
            </w:r>
            <w:r w:rsidRPr="00162AB6">
              <w:rPr>
                <w:i/>
                <w:iCs/>
                <w:lang w:val="en-US"/>
              </w:rPr>
              <w:t>Applications by Mobile Oil Corp</w:t>
            </w:r>
            <w:r w:rsidRPr="00162AB6">
              <w:rPr>
                <w:lang w:val="en-US"/>
              </w:rPr>
              <w:t xml:space="preserve"> (1995) 32 IPR 535</w:t>
            </w:r>
          </w:p>
          <w:p w14:paraId="3F9DC076" w14:textId="1C89D9A5" w:rsidR="00B41E6E" w:rsidRPr="00162AB6" w:rsidRDefault="00B41E6E" w:rsidP="00162AB6">
            <w:pPr>
              <w:pStyle w:val="CasesLegislationAppealFrom"/>
              <w:spacing w:after="60"/>
              <w:rPr>
                <w:lang w:val="en-US"/>
              </w:rPr>
            </w:pPr>
            <w:r w:rsidRPr="00CB0EBF">
              <w:rPr>
                <w:i/>
                <w:iCs/>
              </w:rPr>
              <w:t>Re Application by Pianotist Co Ltd </w:t>
            </w:r>
            <w:r w:rsidRPr="00CB0EBF">
              <w:t>(1906) 23 RPC 774</w:t>
            </w:r>
          </w:p>
          <w:p w14:paraId="2F7AF57B" w14:textId="00A0D11B" w:rsidR="00162AB6" w:rsidRDefault="00162AB6" w:rsidP="00162AB6">
            <w:pPr>
              <w:pStyle w:val="CasesLegislationAppealFrom"/>
              <w:spacing w:after="60"/>
            </w:pPr>
            <w:r w:rsidRPr="00162AB6">
              <w:rPr>
                <w:i/>
              </w:rPr>
              <w:t>Re Ferodo Ltd</w:t>
            </w:r>
            <w:r w:rsidRPr="00162AB6">
              <w:t xml:space="preserve"> [1945] Ch 334; 62 RPC 111</w:t>
            </w:r>
          </w:p>
          <w:p w14:paraId="3482A431" w14:textId="54B1F801" w:rsidR="00885179" w:rsidRDefault="00885179" w:rsidP="00162AB6">
            <w:pPr>
              <w:pStyle w:val="CasesLegislationAppealFrom"/>
              <w:spacing w:after="60"/>
            </w:pPr>
            <w:r w:rsidRPr="00600569">
              <w:rPr>
                <w:i/>
                <w:iCs/>
              </w:rPr>
              <w:t xml:space="preserve">Reckitt Benckiser (Australia) Pty Ltd v GlaxoSmithKline Australia Pty Ltd </w:t>
            </w:r>
            <w:r w:rsidRPr="00600569">
              <w:t>[2018] FCAFC 138</w:t>
            </w:r>
          </w:p>
          <w:p w14:paraId="4A8420E5" w14:textId="30FCD148" w:rsidR="00E12ED9" w:rsidRDefault="00E12ED9" w:rsidP="00162AB6">
            <w:pPr>
              <w:pStyle w:val="CasesLegislationAppealFrom"/>
              <w:spacing w:after="60"/>
            </w:pPr>
            <w:r w:rsidRPr="00E12ED9">
              <w:rPr>
                <w:i/>
              </w:rPr>
              <w:t>Reckitt Benckiser (Australia)</w:t>
            </w:r>
            <w:r w:rsidRPr="00173667">
              <w:rPr>
                <w:i/>
              </w:rPr>
              <w:t xml:space="preserve"> Pty Ltd v AFT Pharmaceuticals (AU) Pty Ltd </w:t>
            </w:r>
            <w:r w:rsidRPr="00173667">
              <w:t>[2018] FCA 1552</w:t>
            </w:r>
          </w:p>
          <w:p w14:paraId="6DF5871A" w14:textId="3DC99BF8" w:rsidR="00C84680" w:rsidRPr="00162AB6" w:rsidRDefault="00C84680" w:rsidP="00162AB6">
            <w:pPr>
              <w:pStyle w:val="CasesLegislationAppealFrom"/>
              <w:spacing w:after="60"/>
            </w:pPr>
            <w:r w:rsidRPr="00C44BB6">
              <w:rPr>
                <w:i/>
                <w:iCs/>
              </w:rPr>
              <w:t xml:space="preserve">Reckitt </w:t>
            </w:r>
            <w:r>
              <w:rPr>
                <w:i/>
                <w:iCs/>
              </w:rPr>
              <w:t>&amp;</w:t>
            </w:r>
            <w:r w:rsidRPr="00C44BB6">
              <w:rPr>
                <w:i/>
                <w:iCs/>
              </w:rPr>
              <w:t xml:space="preserve"> Colman Products Ltd v Borden Inc </w:t>
            </w:r>
            <w:r>
              <w:t xml:space="preserve">[1990] UKHL 12; </w:t>
            </w:r>
            <w:r w:rsidRPr="00C44BB6">
              <w:t>[1990] 1 WLR 491</w:t>
            </w:r>
          </w:p>
          <w:p w14:paraId="1B28318C" w14:textId="77777777" w:rsidR="00162AB6" w:rsidRPr="00162AB6" w:rsidRDefault="00162AB6" w:rsidP="00162AB6">
            <w:pPr>
              <w:pStyle w:val="CasesLegislationAppealFrom"/>
              <w:spacing w:after="60"/>
            </w:pPr>
            <w:r w:rsidRPr="00162AB6">
              <w:rPr>
                <w:i/>
                <w:iCs/>
              </w:rPr>
              <w:t xml:space="preserve">Registrar of Trade Marks v Woolworths Ltd </w:t>
            </w:r>
            <w:r w:rsidRPr="00162AB6">
              <w:t>[1999] FCA 1020; 93 FCR 365</w:t>
            </w:r>
          </w:p>
          <w:p w14:paraId="700194BC" w14:textId="23EA8D4C" w:rsidR="00162AB6" w:rsidRDefault="00162AB6" w:rsidP="00162AB6">
            <w:pPr>
              <w:pStyle w:val="CasesLegislationAppealFrom"/>
              <w:spacing w:after="60"/>
            </w:pPr>
            <w:r w:rsidRPr="00162AB6">
              <w:rPr>
                <w:i/>
              </w:rPr>
              <w:t>Reliance Water Controls Ltd v Altecnic Ltd</w:t>
            </w:r>
            <w:r w:rsidRPr="00162AB6">
              <w:t xml:space="preserve"> [2001] EWCA Civ 1928</w:t>
            </w:r>
          </w:p>
          <w:p w14:paraId="253A2697" w14:textId="6444F31C" w:rsidR="00513FFF" w:rsidRDefault="00513FFF" w:rsidP="00162AB6">
            <w:pPr>
              <w:pStyle w:val="CasesLegislationAppealFrom"/>
              <w:spacing w:after="60"/>
            </w:pPr>
            <w:r w:rsidRPr="00256649">
              <w:rPr>
                <w:i/>
              </w:rPr>
              <w:t>Ricegrowers Ltd v Real Foods Pty Ltd</w:t>
            </w:r>
            <w:r>
              <w:t xml:space="preserve"> [2008] FCA 639; 77 IPR 32</w:t>
            </w:r>
          </w:p>
          <w:p w14:paraId="442F770D" w14:textId="65248B1C" w:rsidR="00513FFF" w:rsidRPr="00162AB6" w:rsidRDefault="00513FFF" w:rsidP="00162AB6">
            <w:pPr>
              <w:pStyle w:val="CasesLegislationAppealFrom"/>
              <w:spacing w:after="60"/>
            </w:pPr>
            <w:r w:rsidRPr="00256649">
              <w:rPr>
                <w:bCs/>
                <w:i/>
              </w:rPr>
              <w:t>Sheldon and Hammond Pty Ltd v Metrokane Inc</w:t>
            </w:r>
            <w:r w:rsidRPr="00256649">
              <w:rPr>
                <w:bCs/>
              </w:rPr>
              <w:t xml:space="preserve"> [2004] FCA 19; 135 FCR 34</w:t>
            </w:r>
          </w:p>
          <w:p w14:paraId="07B3D814" w14:textId="77777777" w:rsidR="00162AB6" w:rsidRPr="00162AB6" w:rsidRDefault="00162AB6" w:rsidP="00162AB6">
            <w:pPr>
              <w:pStyle w:val="CasesLegislationAppealFrom"/>
              <w:spacing w:after="60"/>
            </w:pPr>
            <w:r w:rsidRPr="00162AB6">
              <w:rPr>
                <w:i/>
                <w:iCs/>
              </w:rPr>
              <w:t>SMA</w:t>
            </w:r>
            <w:r w:rsidRPr="00162AB6">
              <w:t> </w:t>
            </w:r>
            <w:r w:rsidRPr="00162AB6">
              <w:rPr>
                <w:i/>
                <w:iCs/>
              </w:rPr>
              <w:t>Solar Technology AG v Beyond the Building Systems Pty Ltd (No 5)</w:t>
            </w:r>
            <w:r w:rsidRPr="00162AB6">
              <w:t> [2012] FCA 1483</w:t>
            </w:r>
          </w:p>
          <w:p w14:paraId="19751A69" w14:textId="6DA69A6D" w:rsidR="00162AB6" w:rsidRDefault="00162AB6" w:rsidP="00162AB6">
            <w:pPr>
              <w:pStyle w:val="CasesLegislationAppealFrom"/>
              <w:spacing w:after="60"/>
            </w:pPr>
            <w:r w:rsidRPr="00162AB6">
              <w:rPr>
                <w:i/>
              </w:rPr>
              <w:t>Southern Cross Refrigerating Co v Toowo</w:t>
            </w:r>
            <w:r w:rsidR="005B78A3">
              <w:rPr>
                <w:i/>
              </w:rPr>
              <w:t>o</w:t>
            </w:r>
            <w:r w:rsidRPr="00162AB6">
              <w:rPr>
                <w:i/>
              </w:rPr>
              <w:t>mba Foundry Pty Ltd</w:t>
            </w:r>
            <w:r w:rsidRPr="00162AB6">
              <w:t xml:space="preserve"> [1954] HCA 82; 91 CLR 592</w:t>
            </w:r>
          </w:p>
          <w:p w14:paraId="2B7F2CFA" w14:textId="772C2A62" w:rsidR="00C84680" w:rsidRPr="00162AB6" w:rsidRDefault="00C84680" w:rsidP="00162AB6">
            <w:pPr>
              <w:pStyle w:val="CasesLegislationAppealFrom"/>
              <w:spacing w:after="60"/>
            </w:pPr>
            <w:r w:rsidRPr="00DD7E99">
              <w:rPr>
                <w:i/>
                <w:iCs/>
              </w:rPr>
              <w:t xml:space="preserve">Stuart Alexander </w:t>
            </w:r>
            <w:r w:rsidRPr="00DD7E99">
              <w:t xml:space="preserve">&amp; </w:t>
            </w:r>
            <w:r w:rsidRPr="00DD7E99">
              <w:rPr>
                <w:i/>
                <w:iCs/>
              </w:rPr>
              <w:t xml:space="preserve">Co (Interstate) Pty Ltd v Blenders Pty Ltd </w:t>
            </w:r>
            <w:r>
              <w:t>[1981] FCA 169;</w:t>
            </w:r>
            <w:r w:rsidRPr="00DD7E99">
              <w:t xml:space="preserve"> 37</w:t>
            </w:r>
            <w:r>
              <w:t xml:space="preserve"> </w:t>
            </w:r>
            <w:r w:rsidRPr="00DD7E99">
              <w:t>ALR 161</w:t>
            </w:r>
          </w:p>
          <w:p w14:paraId="052D35E5" w14:textId="3B7AEB23" w:rsidR="00162AB6" w:rsidRDefault="00162AB6" w:rsidP="00162AB6">
            <w:pPr>
              <w:pStyle w:val="CasesLegislationAppealFrom"/>
              <w:spacing w:after="60"/>
            </w:pPr>
            <w:r w:rsidRPr="00162AB6">
              <w:rPr>
                <w:i/>
              </w:rPr>
              <w:t>Suyen Corporation v Americana International Ltd</w:t>
            </w:r>
            <w:r w:rsidRPr="00162AB6">
              <w:t xml:space="preserve"> </w:t>
            </w:r>
            <w:r w:rsidR="009306ED">
              <w:t>[2010] FCA 638;</w:t>
            </w:r>
            <w:r w:rsidRPr="00162AB6">
              <w:t xml:space="preserve"> 187 FCR 169</w:t>
            </w:r>
          </w:p>
          <w:p w14:paraId="759B6E43" w14:textId="3889358C" w:rsidR="004F3EE4" w:rsidRDefault="004F3EE4" w:rsidP="00162AB6">
            <w:pPr>
              <w:pStyle w:val="CasesLegislationAppealFrom"/>
              <w:spacing w:after="60"/>
            </w:pPr>
            <w:r w:rsidRPr="00582E38">
              <w:rPr>
                <w:i/>
                <w:iCs/>
              </w:rPr>
              <w:t xml:space="preserve">Sydneywide Distributors Pty Ltd v </w:t>
            </w:r>
            <w:r w:rsidRPr="004F3EE4">
              <w:rPr>
                <w:i/>
                <w:iCs/>
              </w:rPr>
              <w:t>Red Bull</w:t>
            </w:r>
            <w:r w:rsidRPr="00582E38">
              <w:rPr>
                <w:i/>
                <w:iCs/>
              </w:rPr>
              <w:t xml:space="preserve"> Australia Pty Ltd </w:t>
            </w:r>
            <w:r w:rsidRPr="00582E38">
              <w:t>[2002] FCAFC 157; 234 FCR 549</w:t>
            </w:r>
          </w:p>
          <w:p w14:paraId="6C098343" w14:textId="3FCF72E6" w:rsidR="007F78D7" w:rsidRDefault="007F78D7" w:rsidP="00162AB6">
            <w:pPr>
              <w:pStyle w:val="CasesLegislationAppealFrom"/>
              <w:spacing w:after="60"/>
            </w:pPr>
            <w:r w:rsidRPr="00110A9C">
              <w:rPr>
                <w:i/>
                <w:iCs/>
              </w:rPr>
              <w:t>Sykes v Reserve Bank of Australia</w:t>
            </w:r>
            <w:r>
              <w:rPr>
                <w:iCs/>
              </w:rPr>
              <w:t xml:space="preserve"> </w:t>
            </w:r>
            <w:r w:rsidRPr="007F78D7">
              <w:rPr>
                <w:iCs/>
              </w:rPr>
              <w:t>[1998] FCA 1405</w:t>
            </w:r>
            <w:r>
              <w:rPr>
                <w:iCs/>
              </w:rPr>
              <w:t>;</w:t>
            </w:r>
            <w:r w:rsidRPr="00110A9C">
              <w:t xml:space="preserve"> 88 FCR 511</w:t>
            </w:r>
          </w:p>
          <w:p w14:paraId="1477C656" w14:textId="0392B909" w:rsidR="00C84680" w:rsidRDefault="00C84680" w:rsidP="00162AB6">
            <w:pPr>
              <w:pStyle w:val="CasesLegislationAppealFrom"/>
              <w:spacing w:after="60"/>
            </w:pPr>
            <w:r w:rsidRPr="00C84680">
              <w:rPr>
                <w:i/>
              </w:rPr>
              <w:t>Telstra</w:t>
            </w:r>
            <w:r w:rsidRPr="00DD7E99">
              <w:rPr>
                <w:i/>
              </w:rPr>
              <w:t xml:space="preserve"> Corporation Ltd v Optus Communications Pty Ltd</w:t>
            </w:r>
            <w:r w:rsidRPr="00DD7E99">
              <w:t xml:space="preserve"> [1996] FCA 1035; 36 IPR 515</w:t>
            </w:r>
          </w:p>
          <w:p w14:paraId="2FA424EB" w14:textId="344BDF7F" w:rsidR="002A0A3A" w:rsidRPr="00162AB6" w:rsidRDefault="002A0A3A" w:rsidP="00162AB6">
            <w:pPr>
              <w:pStyle w:val="CasesLegislationAppealFrom"/>
              <w:spacing w:after="60"/>
            </w:pPr>
            <w:r w:rsidRPr="00E51417">
              <w:rPr>
                <w:i/>
              </w:rPr>
              <w:t>Telstra Corporation Ltd v Singtel Optus Pty Ltd</w:t>
            </w:r>
            <w:r w:rsidRPr="00E51417">
              <w:t xml:space="preserve"> [2018] </w:t>
            </w:r>
            <w:r w:rsidRPr="00E51417">
              <w:lastRenderedPageBreak/>
              <w:t>VSCA 347</w:t>
            </w:r>
          </w:p>
          <w:p w14:paraId="6EF73F5F" w14:textId="0ADD0B8E" w:rsidR="00162AB6" w:rsidRPr="00162AB6" w:rsidRDefault="00162AB6" w:rsidP="00162AB6">
            <w:pPr>
              <w:pStyle w:val="CasesLegislationAppealFrom"/>
              <w:spacing w:after="60"/>
            </w:pPr>
            <w:r w:rsidRPr="00162AB6">
              <w:rPr>
                <w:i/>
              </w:rPr>
              <w:t>Shell Company of Australia Ltd v Esso Standard Oil (Australia) Ltd</w:t>
            </w:r>
            <w:r w:rsidRPr="00162AB6">
              <w:t xml:space="preserve"> [1963] HCA 66; 109 CLR 407</w:t>
            </w:r>
          </w:p>
          <w:p w14:paraId="0E19041E" w14:textId="098722FA" w:rsidR="00386ACB" w:rsidRDefault="00162AB6" w:rsidP="00162AB6">
            <w:pPr>
              <w:pStyle w:val="CasesLegislationAppealFrom"/>
              <w:spacing w:after="60"/>
            </w:pPr>
            <w:r w:rsidRPr="00162AB6">
              <w:rPr>
                <w:i/>
              </w:rPr>
              <w:t xml:space="preserve">Tivo Inc v Vivo International Corporation Pty Ltd </w:t>
            </w:r>
            <w:r w:rsidRPr="00162AB6">
              <w:t>[2012] FCA 25</w:t>
            </w:r>
            <w:r w:rsidR="00386ACB">
              <w:t>2</w:t>
            </w:r>
          </w:p>
          <w:p w14:paraId="20557B62" w14:textId="3B9559C0" w:rsidR="0043337D" w:rsidRDefault="0043337D" w:rsidP="00162AB6">
            <w:pPr>
              <w:pStyle w:val="CasesLegislationAppealFrom"/>
              <w:spacing w:after="60"/>
            </w:pPr>
            <w:r w:rsidRPr="00DD7E99">
              <w:rPr>
                <w:i/>
                <w:iCs/>
              </w:rPr>
              <w:t xml:space="preserve">Trade Practices Commission v Telstra Corp Ltd </w:t>
            </w:r>
            <w:r>
              <w:t>[1993] FCA 567; ATPR 41-</w:t>
            </w:r>
            <w:r w:rsidRPr="00DD7E99">
              <w:t>256</w:t>
            </w:r>
          </w:p>
          <w:p w14:paraId="6F120C31" w14:textId="28D2AA0F" w:rsidR="002C3999" w:rsidRDefault="002C3999" w:rsidP="00162AB6">
            <w:pPr>
              <w:pStyle w:val="CasesLegislationAppealFrom"/>
              <w:spacing w:after="60"/>
            </w:pPr>
            <w:r w:rsidRPr="00E51417">
              <w:rPr>
                <w:i/>
              </w:rPr>
              <w:t>Unilever Australia Ltd v Beiersdorf Australia Ltd</w:t>
            </w:r>
            <w:r w:rsidRPr="00E51417">
              <w:t> [2018] FCA 2076</w:t>
            </w:r>
          </w:p>
          <w:p w14:paraId="34D2C1D0" w14:textId="19F46C40" w:rsidR="002F5711" w:rsidRDefault="002F5711" w:rsidP="00162AB6">
            <w:pPr>
              <w:pStyle w:val="CasesLegislationAppealFrom"/>
              <w:spacing w:after="60"/>
            </w:pPr>
            <w:r w:rsidRPr="002F5711">
              <w:rPr>
                <w:i/>
              </w:rPr>
              <w:t>Wingate</w:t>
            </w:r>
            <w:r w:rsidRPr="00D92865">
              <w:rPr>
                <w:i/>
              </w:rPr>
              <w:t xml:space="preserve"> Pty Ltd v Levi Strauss &amp; Co</w:t>
            </w:r>
            <w:r w:rsidRPr="00D92865">
              <w:t xml:space="preserve"> </w:t>
            </w:r>
            <w:r>
              <w:t>[</w:t>
            </w:r>
            <w:r w:rsidRPr="00D92865">
              <w:t>1994</w:t>
            </w:r>
            <w:r>
              <w:t>] FCA 163;</w:t>
            </w:r>
            <w:r w:rsidRPr="00D92865">
              <w:t xml:space="preserve"> 49 FCR 89</w:t>
            </w:r>
          </w:p>
          <w:p w14:paraId="1E47154D" w14:textId="0A190E78" w:rsidR="00513FFF" w:rsidRPr="00162AB6" w:rsidRDefault="00386ACB" w:rsidP="00162AB6">
            <w:pPr>
              <w:pStyle w:val="CasesLegislationAppealFrom"/>
              <w:spacing w:after="60"/>
            </w:pPr>
            <w:r w:rsidRPr="004C5049">
              <w:rPr>
                <w:i/>
                <w:iCs/>
              </w:rPr>
              <w:t xml:space="preserve">Yorke v Lucas </w:t>
            </w:r>
            <w:r w:rsidRPr="004C5049">
              <w:t>[1985] HCA 65; 158 CLR 661</w:t>
            </w:r>
            <w:bookmarkEnd w:id="4"/>
          </w:p>
        </w:tc>
      </w:tr>
      <w:tr w:rsidR="003E6446" w14:paraId="5732E3E2" w14:textId="77777777" w:rsidTr="003E6446">
        <w:tc>
          <w:tcPr>
            <w:tcW w:w="3084" w:type="dxa"/>
            <w:shd w:val="clear" w:color="auto" w:fill="auto"/>
          </w:tcPr>
          <w:p w14:paraId="7A640FC1" w14:textId="77777777" w:rsidR="003E6446" w:rsidRDefault="003E6446" w:rsidP="00EE4D06">
            <w:pPr>
              <w:pStyle w:val="Normal1linespace"/>
              <w:widowControl w:val="0"/>
            </w:pPr>
          </w:p>
        </w:tc>
        <w:tc>
          <w:tcPr>
            <w:tcW w:w="5989" w:type="dxa"/>
            <w:shd w:val="clear" w:color="auto" w:fill="auto"/>
          </w:tcPr>
          <w:p w14:paraId="6BBD45FD" w14:textId="77777777" w:rsidR="003E6446" w:rsidRDefault="003E6446" w:rsidP="00EE4D06">
            <w:pPr>
              <w:pStyle w:val="Normal1linespace"/>
              <w:widowControl w:val="0"/>
              <w:jc w:val="left"/>
            </w:pPr>
          </w:p>
        </w:tc>
      </w:tr>
      <w:tr w:rsidR="003E6446" w14:paraId="231F1634" w14:textId="77777777" w:rsidTr="003E6446">
        <w:tc>
          <w:tcPr>
            <w:tcW w:w="3084" w:type="dxa"/>
            <w:shd w:val="clear" w:color="auto" w:fill="auto"/>
          </w:tcPr>
          <w:p w14:paraId="565D415F" w14:textId="77777777" w:rsidR="003E6446" w:rsidRDefault="003E6446" w:rsidP="00501A12">
            <w:pPr>
              <w:pStyle w:val="Normal1linespace"/>
              <w:widowControl w:val="0"/>
            </w:pPr>
            <w:r>
              <w:t>Division:</w:t>
            </w:r>
          </w:p>
        </w:tc>
        <w:tc>
          <w:tcPr>
            <w:tcW w:w="5989" w:type="dxa"/>
            <w:shd w:val="clear" w:color="auto" w:fill="auto"/>
          </w:tcPr>
          <w:p w14:paraId="52A1C568" w14:textId="6BA38810" w:rsidR="003E6446" w:rsidRPr="00F17599" w:rsidRDefault="003E6446" w:rsidP="00501A12">
            <w:pPr>
              <w:pStyle w:val="Normal1linespace"/>
              <w:widowControl w:val="0"/>
              <w:jc w:val="left"/>
            </w:pPr>
            <w:r>
              <w:t>General Division</w:t>
            </w:r>
          </w:p>
        </w:tc>
      </w:tr>
      <w:tr w:rsidR="003E6446" w14:paraId="6B2BB12D" w14:textId="77777777" w:rsidTr="003E6446">
        <w:tc>
          <w:tcPr>
            <w:tcW w:w="3084" w:type="dxa"/>
            <w:shd w:val="clear" w:color="auto" w:fill="auto"/>
          </w:tcPr>
          <w:p w14:paraId="7AA3802F" w14:textId="77777777" w:rsidR="003E6446" w:rsidRDefault="003E6446" w:rsidP="00501A12">
            <w:pPr>
              <w:pStyle w:val="Normal1linespace"/>
              <w:widowControl w:val="0"/>
            </w:pPr>
            <w:bookmarkStart w:id="5" w:name="Registry_rows" w:colFirst="0" w:colLast="1"/>
          </w:p>
        </w:tc>
        <w:tc>
          <w:tcPr>
            <w:tcW w:w="5989" w:type="dxa"/>
            <w:shd w:val="clear" w:color="auto" w:fill="auto"/>
          </w:tcPr>
          <w:p w14:paraId="6D798D39" w14:textId="77777777" w:rsidR="003E6446" w:rsidRDefault="003E6446" w:rsidP="00501A12">
            <w:pPr>
              <w:pStyle w:val="Normal1linespace"/>
              <w:widowControl w:val="0"/>
              <w:jc w:val="left"/>
            </w:pPr>
          </w:p>
        </w:tc>
      </w:tr>
      <w:tr w:rsidR="003E6446" w14:paraId="39E40E39" w14:textId="77777777" w:rsidTr="003E6446">
        <w:tc>
          <w:tcPr>
            <w:tcW w:w="3084" w:type="dxa"/>
            <w:shd w:val="clear" w:color="auto" w:fill="auto"/>
          </w:tcPr>
          <w:p w14:paraId="0638F3BA" w14:textId="77777777" w:rsidR="003E6446" w:rsidRDefault="003E6446" w:rsidP="00501A12">
            <w:pPr>
              <w:pStyle w:val="Normal1linespace"/>
              <w:widowControl w:val="0"/>
            </w:pPr>
            <w:r>
              <w:t>Registry:</w:t>
            </w:r>
          </w:p>
        </w:tc>
        <w:tc>
          <w:tcPr>
            <w:tcW w:w="5989" w:type="dxa"/>
            <w:shd w:val="clear" w:color="auto" w:fill="auto"/>
          </w:tcPr>
          <w:p w14:paraId="51EADB18" w14:textId="15527743" w:rsidR="003E6446" w:rsidRPr="00F17599" w:rsidRDefault="003E6446" w:rsidP="00501A12">
            <w:pPr>
              <w:pStyle w:val="Normal1linespace"/>
              <w:widowControl w:val="0"/>
              <w:jc w:val="left"/>
            </w:pPr>
            <w:r>
              <w:t>New South Wales</w:t>
            </w:r>
          </w:p>
        </w:tc>
      </w:tr>
      <w:tr w:rsidR="003E6446" w14:paraId="4316EDD0" w14:textId="77777777" w:rsidTr="003E6446">
        <w:tc>
          <w:tcPr>
            <w:tcW w:w="3084" w:type="dxa"/>
            <w:shd w:val="clear" w:color="auto" w:fill="auto"/>
          </w:tcPr>
          <w:p w14:paraId="7D0266C3" w14:textId="77777777" w:rsidR="003E6446" w:rsidRDefault="003E6446" w:rsidP="00501A12">
            <w:pPr>
              <w:pStyle w:val="Normal1linespace"/>
              <w:widowControl w:val="0"/>
            </w:pPr>
            <w:bookmarkStart w:id="6" w:name="NPARow" w:colFirst="0" w:colLast="1"/>
            <w:bookmarkEnd w:id="5"/>
          </w:p>
        </w:tc>
        <w:tc>
          <w:tcPr>
            <w:tcW w:w="5989" w:type="dxa"/>
            <w:shd w:val="clear" w:color="auto" w:fill="auto"/>
          </w:tcPr>
          <w:p w14:paraId="602D40AC" w14:textId="77777777" w:rsidR="003E6446" w:rsidRPr="00F17599" w:rsidRDefault="003E6446" w:rsidP="00501A12">
            <w:pPr>
              <w:pStyle w:val="Normal1linespace"/>
              <w:widowControl w:val="0"/>
              <w:jc w:val="left"/>
              <w:rPr>
                <w:b/>
              </w:rPr>
            </w:pPr>
          </w:p>
        </w:tc>
      </w:tr>
      <w:tr w:rsidR="003E6446" w14:paraId="1EF1D9B9" w14:textId="77777777" w:rsidTr="003E6446">
        <w:tc>
          <w:tcPr>
            <w:tcW w:w="3084" w:type="dxa"/>
            <w:shd w:val="clear" w:color="auto" w:fill="auto"/>
          </w:tcPr>
          <w:p w14:paraId="61AE0A8B" w14:textId="77777777" w:rsidR="003E6446" w:rsidRDefault="003E6446" w:rsidP="00501A12">
            <w:pPr>
              <w:pStyle w:val="Normal1linespace"/>
              <w:widowControl w:val="0"/>
            </w:pPr>
            <w:r>
              <w:t>National Practice Area:</w:t>
            </w:r>
          </w:p>
        </w:tc>
        <w:tc>
          <w:tcPr>
            <w:tcW w:w="5989" w:type="dxa"/>
            <w:shd w:val="clear" w:color="auto" w:fill="auto"/>
          </w:tcPr>
          <w:p w14:paraId="6CD7695C" w14:textId="7E9D6940" w:rsidR="003E6446" w:rsidRPr="00F17599" w:rsidRDefault="003E6446" w:rsidP="00EE4D06">
            <w:pPr>
              <w:pStyle w:val="Normal1linespace"/>
              <w:widowControl w:val="0"/>
              <w:jc w:val="left"/>
              <w:rPr>
                <w:b/>
              </w:rPr>
            </w:pPr>
            <w:r>
              <w:t>Intellectual Property</w:t>
            </w:r>
          </w:p>
        </w:tc>
      </w:tr>
      <w:tr w:rsidR="006E2219" w14:paraId="3F488F44" w14:textId="77777777" w:rsidTr="003E6446">
        <w:tc>
          <w:tcPr>
            <w:tcW w:w="3084" w:type="dxa"/>
            <w:shd w:val="clear" w:color="auto" w:fill="auto"/>
          </w:tcPr>
          <w:p w14:paraId="20067FD2" w14:textId="77777777" w:rsidR="006E2219" w:rsidRDefault="006E2219" w:rsidP="00501A12">
            <w:pPr>
              <w:pStyle w:val="Normal1linespace"/>
              <w:widowControl w:val="0"/>
            </w:pPr>
          </w:p>
        </w:tc>
        <w:tc>
          <w:tcPr>
            <w:tcW w:w="5989" w:type="dxa"/>
            <w:shd w:val="clear" w:color="auto" w:fill="auto"/>
          </w:tcPr>
          <w:p w14:paraId="34626EFC" w14:textId="77777777" w:rsidR="006E2219" w:rsidRDefault="006E2219" w:rsidP="00EE4D06">
            <w:pPr>
              <w:pStyle w:val="Normal1linespace"/>
              <w:widowControl w:val="0"/>
              <w:jc w:val="left"/>
            </w:pPr>
          </w:p>
        </w:tc>
      </w:tr>
      <w:tr w:rsidR="006E2219" w14:paraId="6497FC01" w14:textId="77777777" w:rsidTr="003E6446">
        <w:tc>
          <w:tcPr>
            <w:tcW w:w="3084" w:type="dxa"/>
            <w:shd w:val="clear" w:color="auto" w:fill="auto"/>
          </w:tcPr>
          <w:p w14:paraId="24C71CA9" w14:textId="7A5C4316" w:rsidR="006E2219" w:rsidRDefault="006E2219" w:rsidP="00501A12">
            <w:pPr>
              <w:pStyle w:val="Normal1linespace"/>
              <w:widowControl w:val="0"/>
            </w:pPr>
            <w:r>
              <w:t>Sub-area:</w:t>
            </w:r>
          </w:p>
        </w:tc>
        <w:tc>
          <w:tcPr>
            <w:tcW w:w="5989" w:type="dxa"/>
            <w:shd w:val="clear" w:color="auto" w:fill="auto"/>
          </w:tcPr>
          <w:p w14:paraId="05A34B9A" w14:textId="60F7C326" w:rsidR="006E2219" w:rsidRDefault="006E2219" w:rsidP="00EE4D06">
            <w:pPr>
              <w:pStyle w:val="Normal1linespace"/>
              <w:widowControl w:val="0"/>
              <w:jc w:val="left"/>
            </w:pPr>
            <w:r>
              <w:t>Trade Marks</w:t>
            </w:r>
          </w:p>
        </w:tc>
      </w:tr>
      <w:bookmarkEnd w:id="6"/>
      <w:tr w:rsidR="003E6446" w14:paraId="09087C28" w14:textId="77777777" w:rsidTr="003E6446">
        <w:tc>
          <w:tcPr>
            <w:tcW w:w="3084" w:type="dxa"/>
            <w:shd w:val="clear" w:color="auto" w:fill="auto"/>
          </w:tcPr>
          <w:p w14:paraId="3F3A45E1" w14:textId="77777777" w:rsidR="003E6446" w:rsidRDefault="003E6446" w:rsidP="00501A12">
            <w:pPr>
              <w:pStyle w:val="Normal1linespace"/>
              <w:widowControl w:val="0"/>
            </w:pPr>
          </w:p>
        </w:tc>
        <w:tc>
          <w:tcPr>
            <w:tcW w:w="5989" w:type="dxa"/>
            <w:shd w:val="clear" w:color="auto" w:fill="auto"/>
          </w:tcPr>
          <w:p w14:paraId="3997A101" w14:textId="77777777" w:rsidR="003E6446" w:rsidRDefault="003E6446" w:rsidP="00501A12">
            <w:pPr>
              <w:pStyle w:val="Normal1linespace"/>
              <w:widowControl w:val="0"/>
              <w:jc w:val="left"/>
            </w:pPr>
          </w:p>
        </w:tc>
      </w:tr>
      <w:tr w:rsidR="003E6446" w14:paraId="18D7EAC8" w14:textId="77777777" w:rsidTr="003E6446">
        <w:tc>
          <w:tcPr>
            <w:tcW w:w="3084" w:type="dxa"/>
            <w:shd w:val="clear" w:color="auto" w:fill="auto"/>
          </w:tcPr>
          <w:p w14:paraId="258FC760" w14:textId="77777777" w:rsidR="003E6446" w:rsidRDefault="003E6446" w:rsidP="00501A12">
            <w:pPr>
              <w:pStyle w:val="Normal1linespace"/>
              <w:widowControl w:val="0"/>
            </w:pPr>
            <w:r>
              <w:t>Number of paragraphs:</w:t>
            </w:r>
          </w:p>
        </w:tc>
        <w:tc>
          <w:tcPr>
            <w:tcW w:w="5989" w:type="dxa"/>
            <w:shd w:val="clear" w:color="auto" w:fill="auto"/>
          </w:tcPr>
          <w:p w14:paraId="17E0743C" w14:textId="643E5803" w:rsidR="003E6446" w:rsidRDefault="00D73BD8" w:rsidP="00501A12">
            <w:pPr>
              <w:pStyle w:val="Normal1linespace"/>
              <w:widowControl w:val="0"/>
              <w:jc w:val="left"/>
            </w:pPr>
            <w:bookmarkStart w:id="7" w:name="PlaceCategoryParagraphs"/>
            <w:r>
              <w:t>627</w:t>
            </w:r>
            <w:bookmarkEnd w:id="7"/>
          </w:p>
        </w:tc>
      </w:tr>
      <w:tr w:rsidR="003E6446" w14:paraId="3443002A" w14:textId="77777777" w:rsidTr="003E6446">
        <w:tc>
          <w:tcPr>
            <w:tcW w:w="3084" w:type="dxa"/>
            <w:shd w:val="clear" w:color="auto" w:fill="auto"/>
          </w:tcPr>
          <w:p w14:paraId="2E56AAFD" w14:textId="77777777" w:rsidR="003E6446" w:rsidRDefault="003E6446" w:rsidP="003E6446">
            <w:pPr>
              <w:pStyle w:val="Normal1linespace"/>
              <w:widowControl w:val="0"/>
              <w:jc w:val="left"/>
            </w:pPr>
          </w:p>
        </w:tc>
        <w:tc>
          <w:tcPr>
            <w:tcW w:w="5989" w:type="dxa"/>
            <w:shd w:val="clear" w:color="auto" w:fill="auto"/>
          </w:tcPr>
          <w:p w14:paraId="4DEA6574" w14:textId="77777777" w:rsidR="003E6446" w:rsidRDefault="003E6446" w:rsidP="003E6446">
            <w:pPr>
              <w:pStyle w:val="Normal1linespace"/>
              <w:widowControl w:val="0"/>
              <w:jc w:val="left"/>
            </w:pPr>
          </w:p>
        </w:tc>
      </w:tr>
      <w:tr w:rsidR="003E6446" w14:paraId="07D1286A" w14:textId="77777777" w:rsidTr="003E6446">
        <w:tc>
          <w:tcPr>
            <w:tcW w:w="3084" w:type="dxa"/>
            <w:shd w:val="clear" w:color="auto" w:fill="auto"/>
          </w:tcPr>
          <w:p w14:paraId="096A09C0" w14:textId="77777777" w:rsidR="003E6446" w:rsidRDefault="003E6446" w:rsidP="003E6446">
            <w:pPr>
              <w:pStyle w:val="Normal1linespace"/>
              <w:widowControl w:val="0"/>
              <w:jc w:val="left"/>
            </w:pPr>
            <w:bookmarkStart w:id="8" w:name="CounselDate" w:colFirst="0" w:colLast="2"/>
            <w:r w:rsidRPr="006A24E3">
              <w:t>Date of hearing:</w:t>
            </w:r>
          </w:p>
        </w:tc>
        <w:tc>
          <w:tcPr>
            <w:tcW w:w="5989" w:type="dxa"/>
            <w:shd w:val="clear" w:color="auto" w:fill="auto"/>
          </w:tcPr>
          <w:p w14:paraId="4404D0F5" w14:textId="77777777" w:rsidR="003E6446" w:rsidRDefault="003E6446" w:rsidP="003E6446">
            <w:pPr>
              <w:pStyle w:val="Normal1linespace"/>
              <w:widowControl w:val="0"/>
              <w:jc w:val="left"/>
            </w:pPr>
            <w:bookmarkStart w:id="9" w:name="HearingDate"/>
            <w:r w:rsidRPr="003E6446">
              <w:t>3, 4, 5, 6, 12, 13, 14 June 2019</w:t>
            </w:r>
            <w:r>
              <w:t xml:space="preserve"> </w:t>
            </w:r>
            <w:bookmarkEnd w:id="9"/>
          </w:p>
        </w:tc>
      </w:tr>
      <w:tr w:rsidR="003E6446" w14:paraId="5E0F4472" w14:textId="77777777" w:rsidTr="003E6446">
        <w:tc>
          <w:tcPr>
            <w:tcW w:w="3084" w:type="dxa"/>
            <w:shd w:val="clear" w:color="auto" w:fill="auto"/>
          </w:tcPr>
          <w:p w14:paraId="7E082313" w14:textId="77777777" w:rsidR="003E6446" w:rsidRDefault="003E6446" w:rsidP="003E6446">
            <w:pPr>
              <w:pStyle w:val="Normal1linespace"/>
              <w:widowControl w:val="0"/>
              <w:jc w:val="left"/>
            </w:pPr>
          </w:p>
        </w:tc>
        <w:tc>
          <w:tcPr>
            <w:tcW w:w="5989" w:type="dxa"/>
            <w:shd w:val="clear" w:color="auto" w:fill="auto"/>
          </w:tcPr>
          <w:p w14:paraId="1936956D" w14:textId="77777777" w:rsidR="003E6446" w:rsidRDefault="003E6446" w:rsidP="003E6446">
            <w:pPr>
              <w:pStyle w:val="Normal1linespace"/>
              <w:widowControl w:val="0"/>
              <w:jc w:val="left"/>
            </w:pPr>
          </w:p>
        </w:tc>
      </w:tr>
      <w:tr w:rsidR="00EE4D06" w14:paraId="1FEF2D59" w14:textId="77777777" w:rsidTr="00EE4D06">
        <w:tc>
          <w:tcPr>
            <w:tcW w:w="3084" w:type="dxa"/>
            <w:shd w:val="clear" w:color="auto" w:fill="auto"/>
          </w:tcPr>
          <w:p w14:paraId="0AC1BF0E" w14:textId="77777777" w:rsidR="00EE4D06" w:rsidRPr="00EE4D06" w:rsidRDefault="00EE4D06" w:rsidP="00EE4D06">
            <w:pPr>
              <w:pStyle w:val="Normal1linespace"/>
              <w:widowControl w:val="0"/>
              <w:jc w:val="left"/>
              <w:rPr>
                <w:b/>
              </w:rPr>
            </w:pPr>
            <w:r w:rsidRPr="00EE4D06">
              <w:rPr>
                <w:b/>
              </w:rPr>
              <w:t>In NSD 15 of 2017</w:t>
            </w:r>
          </w:p>
        </w:tc>
        <w:tc>
          <w:tcPr>
            <w:tcW w:w="5989" w:type="dxa"/>
            <w:shd w:val="clear" w:color="auto" w:fill="auto"/>
          </w:tcPr>
          <w:p w14:paraId="45CB364E" w14:textId="77777777" w:rsidR="00EE4D06" w:rsidRDefault="00EE4D06" w:rsidP="003E6446">
            <w:pPr>
              <w:pStyle w:val="Normal1linespace"/>
              <w:widowControl w:val="0"/>
              <w:jc w:val="left"/>
            </w:pPr>
          </w:p>
        </w:tc>
      </w:tr>
      <w:tr w:rsidR="00EE4D06" w14:paraId="69E4CA78" w14:textId="77777777" w:rsidTr="00EE4D06">
        <w:tc>
          <w:tcPr>
            <w:tcW w:w="3084" w:type="dxa"/>
            <w:shd w:val="clear" w:color="auto" w:fill="auto"/>
          </w:tcPr>
          <w:p w14:paraId="35AB6F19" w14:textId="77777777" w:rsidR="00EE4D06" w:rsidRDefault="00EE4D06" w:rsidP="00EE4D06">
            <w:pPr>
              <w:pStyle w:val="Normal1linespace"/>
              <w:widowControl w:val="0"/>
              <w:jc w:val="left"/>
            </w:pPr>
          </w:p>
        </w:tc>
        <w:tc>
          <w:tcPr>
            <w:tcW w:w="5989" w:type="dxa"/>
            <w:shd w:val="clear" w:color="auto" w:fill="auto"/>
          </w:tcPr>
          <w:p w14:paraId="0CD1DBAA" w14:textId="77777777" w:rsidR="00EE4D06" w:rsidRDefault="00EE4D06" w:rsidP="003E6446">
            <w:pPr>
              <w:pStyle w:val="Normal1linespace"/>
              <w:widowControl w:val="0"/>
              <w:jc w:val="left"/>
            </w:pPr>
          </w:p>
        </w:tc>
      </w:tr>
      <w:tr w:rsidR="003E6446" w14:paraId="02CB4F4D" w14:textId="77777777" w:rsidTr="00EE4D06">
        <w:tc>
          <w:tcPr>
            <w:tcW w:w="3084" w:type="dxa"/>
            <w:shd w:val="clear" w:color="auto" w:fill="auto"/>
          </w:tcPr>
          <w:p w14:paraId="093842E7" w14:textId="77777777" w:rsidR="003E6446" w:rsidRDefault="003E6446" w:rsidP="00EE4D06">
            <w:pPr>
              <w:pStyle w:val="Normal1linespace"/>
              <w:widowControl w:val="0"/>
              <w:jc w:val="left"/>
            </w:pPr>
            <w:bookmarkStart w:id="10" w:name="Counsel" w:colFirst="0" w:colLast="2"/>
            <w:bookmarkEnd w:id="8"/>
            <w:r>
              <w:t>Counsel for the Applicants</w:t>
            </w:r>
            <w:r w:rsidRPr="003E6446">
              <w:t>/Cross-Respondent:</w:t>
            </w:r>
          </w:p>
        </w:tc>
        <w:tc>
          <w:tcPr>
            <w:tcW w:w="5989" w:type="dxa"/>
            <w:shd w:val="clear" w:color="auto" w:fill="auto"/>
          </w:tcPr>
          <w:p w14:paraId="4E6B3B35" w14:textId="77777777" w:rsidR="003E6446" w:rsidRDefault="003E6446" w:rsidP="003E6446">
            <w:pPr>
              <w:pStyle w:val="Normal1linespace"/>
              <w:widowControl w:val="0"/>
              <w:jc w:val="left"/>
            </w:pPr>
            <w:bookmarkStart w:id="11" w:name="AppCounsel"/>
            <w:bookmarkEnd w:id="11"/>
            <w:r>
              <w:t>SJ Goddard SC with EE Whitby</w:t>
            </w:r>
          </w:p>
        </w:tc>
      </w:tr>
      <w:tr w:rsidR="003E6446" w14:paraId="50ACDE74" w14:textId="77777777" w:rsidTr="00EE4D06">
        <w:tc>
          <w:tcPr>
            <w:tcW w:w="3084" w:type="dxa"/>
            <w:shd w:val="clear" w:color="auto" w:fill="auto"/>
          </w:tcPr>
          <w:p w14:paraId="4CADF7CA" w14:textId="77777777" w:rsidR="003E6446" w:rsidRDefault="003E6446" w:rsidP="003E6446">
            <w:pPr>
              <w:pStyle w:val="Normal1linespace"/>
              <w:widowControl w:val="0"/>
              <w:jc w:val="left"/>
            </w:pPr>
          </w:p>
        </w:tc>
        <w:tc>
          <w:tcPr>
            <w:tcW w:w="5989" w:type="dxa"/>
            <w:shd w:val="clear" w:color="auto" w:fill="auto"/>
          </w:tcPr>
          <w:p w14:paraId="4907F0C7" w14:textId="77777777" w:rsidR="003E6446" w:rsidRDefault="003E6446" w:rsidP="003E6446">
            <w:pPr>
              <w:pStyle w:val="Normal1linespace"/>
              <w:widowControl w:val="0"/>
              <w:jc w:val="left"/>
            </w:pPr>
          </w:p>
        </w:tc>
      </w:tr>
      <w:tr w:rsidR="003E6446" w14:paraId="63CBCE8C" w14:textId="77777777" w:rsidTr="00EE4D06">
        <w:tc>
          <w:tcPr>
            <w:tcW w:w="3084" w:type="dxa"/>
            <w:shd w:val="clear" w:color="auto" w:fill="auto"/>
          </w:tcPr>
          <w:p w14:paraId="12DEF204" w14:textId="77777777" w:rsidR="003E6446" w:rsidRDefault="003E6446" w:rsidP="003E6446">
            <w:pPr>
              <w:pStyle w:val="Normal1linespace"/>
              <w:widowControl w:val="0"/>
              <w:jc w:val="left"/>
            </w:pPr>
            <w:r>
              <w:t>Solicitor for the Applicants</w:t>
            </w:r>
            <w:r w:rsidR="00EE4D06" w:rsidRPr="003E6446">
              <w:t>/Cross-Respondent</w:t>
            </w:r>
            <w:r>
              <w:t>:</w:t>
            </w:r>
          </w:p>
        </w:tc>
        <w:tc>
          <w:tcPr>
            <w:tcW w:w="5989" w:type="dxa"/>
            <w:shd w:val="clear" w:color="auto" w:fill="auto"/>
          </w:tcPr>
          <w:p w14:paraId="0DF7502F" w14:textId="77777777" w:rsidR="003E6446" w:rsidRDefault="003E6446" w:rsidP="003E6446">
            <w:pPr>
              <w:pStyle w:val="Normal1linespace"/>
              <w:widowControl w:val="0"/>
              <w:jc w:val="left"/>
            </w:pPr>
            <w:r>
              <w:t>Griffith Hack Lawyers</w:t>
            </w:r>
          </w:p>
        </w:tc>
      </w:tr>
      <w:tr w:rsidR="003E6446" w14:paraId="5CBD6C5A" w14:textId="77777777" w:rsidTr="00EE4D06">
        <w:tc>
          <w:tcPr>
            <w:tcW w:w="3084" w:type="dxa"/>
            <w:shd w:val="clear" w:color="auto" w:fill="auto"/>
          </w:tcPr>
          <w:p w14:paraId="1CBFC8E6" w14:textId="77777777" w:rsidR="003E6446" w:rsidRDefault="003E6446" w:rsidP="003E6446">
            <w:pPr>
              <w:pStyle w:val="Normal1linespace"/>
              <w:widowControl w:val="0"/>
              <w:jc w:val="left"/>
            </w:pPr>
          </w:p>
        </w:tc>
        <w:tc>
          <w:tcPr>
            <w:tcW w:w="5989" w:type="dxa"/>
            <w:shd w:val="clear" w:color="auto" w:fill="auto"/>
          </w:tcPr>
          <w:p w14:paraId="048AD296" w14:textId="77777777" w:rsidR="003E6446" w:rsidRDefault="003E6446" w:rsidP="003E6446">
            <w:pPr>
              <w:pStyle w:val="Normal1linespace"/>
              <w:widowControl w:val="0"/>
              <w:jc w:val="left"/>
            </w:pPr>
          </w:p>
        </w:tc>
      </w:tr>
      <w:tr w:rsidR="003E6446" w14:paraId="2DCDC404" w14:textId="77777777" w:rsidTr="00EE4D06">
        <w:tc>
          <w:tcPr>
            <w:tcW w:w="3084" w:type="dxa"/>
            <w:shd w:val="clear" w:color="auto" w:fill="auto"/>
          </w:tcPr>
          <w:p w14:paraId="69F2AACF" w14:textId="77777777" w:rsidR="003E6446" w:rsidRDefault="003E6446" w:rsidP="003E6446">
            <w:pPr>
              <w:pStyle w:val="Normal1linespace"/>
              <w:widowControl w:val="0"/>
              <w:jc w:val="left"/>
            </w:pPr>
            <w:r>
              <w:t xml:space="preserve">Counsel for the </w:t>
            </w:r>
            <w:r w:rsidR="00EE4D06">
              <w:t>Respondents/Cross-Claimant</w:t>
            </w:r>
            <w:r>
              <w:t>:</w:t>
            </w:r>
          </w:p>
        </w:tc>
        <w:tc>
          <w:tcPr>
            <w:tcW w:w="5989" w:type="dxa"/>
            <w:shd w:val="clear" w:color="auto" w:fill="auto"/>
          </w:tcPr>
          <w:p w14:paraId="1D8FB98B" w14:textId="77777777" w:rsidR="003E6446" w:rsidRDefault="003E6446" w:rsidP="003E6446">
            <w:pPr>
              <w:pStyle w:val="Normal1linespace"/>
              <w:widowControl w:val="0"/>
              <w:jc w:val="left"/>
            </w:pPr>
            <w:r>
              <w:t>RP Lancaster SC with AR Lang and GS Tsang</w:t>
            </w:r>
          </w:p>
        </w:tc>
      </w:tr>
      <w:tr w:rsidR="003E6446" w14:paraId="1A14E787" w14:textId="77777777" w:rsidTr="00EE4D06">
        <w:tc>
          <w:tcPr>
            <w:tcW w:w="3084" w:type="dxa"/>
            <w:shd w:val="clear" w:color="auto" w:fill="auto"/>
          </w:tcPr>
          <w:p w14:paraId="49E5A1F9" w14:textId="77777777" w:rsidR="003E6446" w:rsidRDefault="003E6446" w:rsidP="003E6446">
            <w:pPr>
              <w:pStyle w:val="Normal1linespace"/>
              <w:widowControl w:val="0"/>
              <w:jc w:val="left"/>
            </w:pPr>
          </w:p>
        </w:tc>
        <w:tc>
          <w:tcPr>
            <w:tcW w:w="5989" w:type="dxa"/>
            <w:shd w:val="clear" w:color="auto" w:fill="auto"/>
          </w:tcPr>
          <w:p w14:paraId="0983A31B" w14:textId="77777777" w:rsidR="003E6446" w:rsidRDefault="003E6446" w:rsidP="003E6446">
            <w:pPr>
              <w:pStyle w:val="Normal1linespace"/>
              <w:widowControl w:val="0"/>
              <w:jc w:val="left"/>
            </w:pPr>
          </w:p>
        </w:tc>
      </w:tr>
      <w:tr w:rsidR="003E6446" w14:paraId="19705B15" w14:textId="77777777" w:rsidTr="00EE4D06">
        <w:tc>
          <w:tcPr>
            <w:tcW w:w="3084" w:type="dxa"/>
            <w:shd w:val="clear" w:color="auto" w:fill="auto"/>
          </w:tcPr>
          <w:p w14:paraId="2F02D9AC" w14:textId="77777777" w:rsidR="003E6446" w:rsidRDefault="003E6446" w:rsidP="003E6446">
            <w:pPr>
              <w:pStyle w:val="Normal1linespace"/>
              <w:widowControl w:val="0"/>
              <w:jc w:val="left"/>
            </w:pPr>
            <w:r>
              <w:t>Solicitor for the Respondents</w:t>
            </w:r>
            <w:r w:rsidR="00EE4D06">
              <w:t>/Cross-Claimant</w:t>
            </w:r>
            <w:r>
              <w:t>:</w:t>
            </w:r>
          </w:p>
        </w:tc>
        <w:tc>
          <w:tcPr>
            <w:tcW w:w="5989" w:type="dxa"/>
            <w:shd w:val="clear" w:color="auto" w:fill="auto"/>
          </w:tcPr>
          <w:p w14:paraId="1B6554BB" w14:textId="77777777" w:rsidR="003E6446" w:rsidRDefault="003E6446" w:rsidP="003E6446">
            <w:pPr>
              <w:pStyle w:val="Normal1linespace"/>
              <w:widowControl w:val="0"/>
              <w:jc w:val="left"/>
            </w:pPr>
            <w:r>
              <w:t>Minter Ellison</w:t>
            </w:r>
          </w:p>
        </w:tc>
      </w:tr>
      <w:tr w:rsidR="00EE4D06" w14:paraId="28EF86F3" w14:textId="77777777" w:rsidTr="00EE4D06">
        <w:tc>
          <w:tcPr>
            <w:tcW w:w="3084" w:type="dxa"/>
            <w:shd w:val="clear" w:color="auto" w:fill="auto"/>
          </w:tcPr>
          <w:p w14:paraId="0663039B" w14:textId="77777777" w:rsidR="00EE4D06" w:rsidRDefault="00EE4D06" w:rsidP="003E6446">
            <w:pPr>
              <w:pStyle w:val="Normal1linespace"/>
              <w:widowControl w:val="0"/>
              <w:jc w:val="left"/>
            </w:pPr>
          </w:p>
        </w:tc>
        <w:tc>
          <w:tcPr>
            <w:tcW w:w="5989" w:type="dxa"/>
            <w:shd w:val="clear" w:color="auto" w:fill="auto"/>
          </w:tcPr>
          <w:p w14:paraId="1F8E1605" w14:textId="77777777" w:rsidR="00EE4D06" w:rsidRDefault="00EE4D06" w:rsidP="003E6446">
            <w:pPr>
              <w:pStyle w:val="Normal1linespace"/>
              <w:widowControl w:val="0"/>
              <w:jc w:val="left"/>
            </w:pPr>
          </w:p>
        </w:tc>
      </w:tr>
      <w:tr w:rsidR="00EE4D06" w14:paraId="515494AA" w14:textId="77777777" w:rsidTr="00EE4D06">
        <w:tc>
          <w:tcPr>
            <w:tcW w:w="3084" w:type="dxa"/>
            <w:shd w:val="clear" w:color="auto" w:fill="auto"/>
          </w:tcPr>
          <w:p w14:paraId="0818D68C" w14:textId="77777777" w:rsidR="00EE4D06" w:rsidRPr="00EE4D06" w:rsidRDefault="00EE4D06" w:rsidP="003E6446">
            <w:pPr>
              <w:pStyle w:val="Normal1linespace"/>
              <w:widowControl w:val="0"/>
              <w:jc w:val="left"/>
              <w:rPr>
                <w:b/>
              </w:rPr>
            </w:pPr>
            <w:r w:rsidRPr="00EE4D06">
              <w:rPr>
                <w:b/>
              </w:rPr>
              <w:t>In NSD 1802 of 2017</w:t>
            </w:r>
          </w:p>
        </w:tc>
        <w:tc>
          <w:tcPr>
            <w:tcW w:w="5989" w:type="dxa"/>
            <w:shd w:val="clear" w:color="auto" w:fill="auto"/>
          </w:tcPr>
          <w:p w14:paraId="3BEB6A2A" w14:textId="77777777" w:rsidR="00EE4D06" w:rsidRDefault="00EE4D06" w:rsidP="003E6446">
            <w:pPr>
              <w:pStyle w:val="Normal1linespace"/>
              <w:widowControl w:val="0"/>
              <w:jc w:val="left"/>
            </w:pPr>
          </w:p>
        </w:tc>
      </w:tr>
      <w:tr w:rsidR="00EE4D06" w14:paraId="49A5F535" w14:textId="77777777" w:rsidTr="00EE4D06">
        <w:tc>
          <w:tcPr>
            <w:tcW w:w="3084" w:type="dxa"/>
            <w:shd w:val="clear" w:color="auto" w:fill="auto"/>
          </w:tcPr>
          <w:p w14:paraId="34D81B92" w14:textId="77777777" w:rsidR="00EE4D06" w:rsidRDefault="00EE4D06" w:rsidP="003E6446">
            <w:pPr>
              <w:pStyle w:val="Normal1linespace"/>
              <w:widowControl w:val="0"/>
              <w:jc w:val="left"/>
            </w:pPr>
          </w:p>
        </w:tc>
        <w:tc>
          <w:tcPr>
            <w:tcW w:w="5989" w:type="dxa"/>
            <w:shd w:val="clear" w:color="auto" w:fill="auto"/>
          </w:tcPr>
          <w:p w14:paraId="61A67366" w14:textId="77777777" w:rsidR="00EE4D06" w:rsidRDefault="00EE4D06" w:rsidP="003E6446">
            <w:pPr>
              <w:pStyle w:val="Normal1linespace"/>
              <w:widowControl w:val="0"/>
              <w:jc w:val="left"/>
            </w:pPr>
          </w:p>
        </w:tc>
      </w:tr>
      <w:tr w:rsidR="00EE4D06" w14:paraId="5AE803B0" w14:textId="77777777" w:rsidTr="00EE4D06">
        <w:tc>
          <w:tcPr>
            <w:tcW w:w="3084" w:type="dxa"/>
            <w:shd w:val="clear" w:color="auto" w:fill="auto"/>
          </w:tcPr>
          <w:p w14:paraId="7EBCD455" w14:textId="5A20A253" w:rsidR="00EE4D06" w:rsidRPr="009B00A0" w:rsidRDefault="00296990" w:rsidP="00EE4D06">
            <w:pPr>
              <w:pStyle w:val="Default"/>
            </w:pPr>
            <w:r>
              <w:t>Counsel for the Appellant</w:t>
            </w:r>
            <w:r w:rsidR="00EE4D06" w:rsidRPr="009B00A0">
              <w:t xml:space="preserve">: </w:t>
            </w:r>
          </w:p>
        </w:tc>
        <w:tc>
          <w:tcPr>
            <w:tcW w:w="5989" w:type="dxa"/>
            <w:shd w:val="clear" w:color="auto" w:fill="auto"/>
          </w:tcPr>
          <w:p w14:paraId="2D2AB82B" w14:textId="77777777" w:rsidR="00EE4D06" w:rsidRPr="009B00A0" w:rsidRDefault="00EE4D06" w:rsidP="003E6446">
            <w:pPr>
              <w:pStyle w:val="Normal1linespace"/>
              <w:widowControl w:val="0"/>
              <w:jc w:val="left"/>
              <w:rPr>
                <w:szCs w:val="24"/>
              </w:rPr>
            </w:pPr>
            <w:r w:rsidRPr="009B00A0">
              <w:rPr>
                <w:szCs w:val="24"/>
              </w:rPr>
              <w:t>SJ Goddard SC with EE Whitby</w:t>
            </w:r>
          </w:p>
        </w:tc>
      </w:tr>
      <w:tr w:rsidR="00EE4D06" w14:paraId="444746EF" w14:textId="77777777" w:rsidTr="00EE4D06">
        <w:tc>
          <w:tcPr>
            <w:tcW w:w="3084" w:type="dxa"/>
            <w:shd w:val="clear" w:color="auto" w:fill="auto"/>
          </w:tcPr>
          <w:p w14:paraId="11E26E60" w14:textId="77777777" w:rsidR="00EE4D06" w:rsidRPr="009B00A0" w:rsidRDefault="00EE4D06" w:rsidP="003E6446">
            <w:pPr>
              <w:pStyle w:val="Normal1linespace"/>
              <w:widowControl w:val="0"/>
              <w:jc w:val="left"/>
              <w:rPr>
                <w:szCs w:val="24"/>
              </w:rPr>
            </w:pPr>
          </w:p>
        </w:tc>
        <w:tc>
          <w:tcPr>
            <w:tcW w:w="5989" w:type="dxa"/>
            <w:shd w:val="clear" w:color="auto" w:fill="auto"/>
          </w:tcPr>
          <w:p w14:paraId="36B120E2" w14:textId="77777777" w:rsidR="00EE4D06" w:rsidRPr="009B00A0" w:rsidRDefault="00EE4D06" w:rsidP="003E6446">
            <w:pPr>
              <w:pStyle w:val="Normal1linespace"/>
              <w:widowControl w:val="0"/>
              <w:jc w:val="left"/>
              <w:rPr>
                <w:szCs w:val="24"/>
              </w:rPr>
            </w:pPr>
          </w:p>
        </w:tc>
      </w:tr>
      <w:tr w:rsidR="00EE4D06" w14:paraId="433E1D6E" w14:textId="77777777" w:rsidTr="00EE4D06">
        <w:tc>
          <w:tcPr>
            <w:tcW w:w="3084" w:type="dxa"/>
            <w:shd w:val="clear" w:color="auto" w:fill="auto"/>
          </w:tcPr>
          <w:p w14:paraId="7D790793" w14:textId="080F6780" w:rsidR="00EE4D06" w:rsidRPr="009B00A0" w:rsidRDefault="00296990" w:rsidP="00EE4D06">
            <w:pPr>
              <w:pStyle w:val="Default"/>
            </w:pPr>
            <w:r>
              <w:t>Solicitor for the Appellant</w:t>
            </w:r>
            <w:r w:rsidR="00EE4D06" w:rsidRPr="009B00A0">
              <w:t xml:space="preserve">: </w:t>
            </w:r>
          </w:p>
        </w:tc>
        <w:tc>
          <w:tcPr>
            <w:tcW w:w="5989" w:type="dxa"/>
            <w:shd w:val="clear" w:color="auto" w:fill="auto"/>
          </w:tcPr>
          <w:p w14:paraId="2724A0EB" w14:textId="77777777" w:rsidR="00EE4D06" w:rsidRPr="009B00A0" w:rsidRDefault="00EE4D06" w:rsidP="00EE4D06">
            <w:pPr>
              <w:pStyle w:val="Default"/>
            </w:pPr>
            <w:r w:rsidRPr="009B00A0">
              <w:t xml:space="preserve">Griffith Hack Lawyers </w:t>
            </w:r>
          </w:p>
        </w:tc>
      </w:tr>
      <w:tr w:rsidR="00EE4D06" w14:paraId="6DA5AC1F" w14:textId="77777777" w:rsidTr="00EE4D06">
        <w:tc>
          <w:tcPr>
            <w:tcW w:w="3084" w:type="dxa"/>
            <w:shd w:val="clear" w:color="auto" w:fill="auto"/>
          </w:tcPr>
          <w:p w14:paraId="40FBD86E" w14:textId="77777777" w:rsidR="00EE4D06" w:rsidRPr="009B00A0" w:rsidRDefault="00EE4D06" w:rsidP="003E6446">
            <w:pPr>
              <w:pStyle w:val="Normal1linespace"/>
              <w:widowControl w:val="0"/>
              <w:jc w:val="left"/>
              <w:rPr>
                <w:szCs w:val="24"/>
              </w:rPr>
            </w:pPr>
          </w:p>
        </w:tc>
        <w:tc>
          <w:tcPr>
            <w:tcW w:w="5989" w:type="dxa"/>
            <w:shd w:val="clear" w:color="auto" w:fill="auto"/>
          </w:tcPr>
          <w:p w14:paraId="18AADB24" w14:textId="77777777" w:rsidR="00EE4D06" w:rsidRPr="009B00A0" w:rsidRDefault="00EE4D06" w:rsidP="003E6446">
            <w:pPr>
              <w:pStyle w:val="Normal1linespace"/>
              <w:widowControl w:val="0"/>
              <w:jc w:val="left"/>
              <w:rPr>
                <w:szCs w:val="24"/>
              </w:rPr>
            </w:pPr>
          </w:p>
        </w:tc>
      </w:tr>
      <w:tr w:rsidR="00EE4D06" w14:paraId="708C6D9C" w14:textId="77777777" w:rsidTr="00EE4D06">
        <w:tc>
          <w:tcPr>
            <w:tcW w:w="3084" w:type="dxa"/>
            <w:shd w:val="clear" w:color="auto" w:fill="auto"/>
          </w:tcPr>
          <w:p w14:paraId="07C91C5F" w14:textId="54C308B3" w:rsidR="00EE4D06" w:rsidRPr="009B00A0" w:rsidRDefault="00EE4D06" w:rsidP="00296990">
            <w:pPr>
              <w:pStyle w:val="Default"/>
            </w:pPr>
            <w:r w:rsidRPr="009B00A0">
              <w:t xml:space="preserve">Counsel for the Respondent </w:t>
            </w:r>
          </w:p>
        </w:tc>
        <w:tc>
          <w:tcPr>
            <w:tcW w:w="5989" w:type="dxa"/>
            <w:shd w:val="clear" w:color="auto" w:fill="auto"/>
          </w:tcPr>
          <w:p w14:paraId="49522CC5" w14:textId="77777777" w:rsidR="00EE4D06" w:rsidRPr="009B00A0" w:rsidRDefault="00EE4D06" w:rsidP="00EE4D06">
            <w:pPr>
              <w:pStyle w:val="Default"/>
            </w:pPr>
            <w:r w:rsidRPr="009B00A0">
              <w:t xml:space="preserve">RP Lancaster SC with AR Lang and GS Tsang </w:t>
            </w:r>
          </w:p>
        </w:tc>
      </w:tr>
      <w:tr w:rsidR="00296990" w14:paraId="3495935C" w14:textId="77777777" w:rsidTr="00EE4D06">
        <w:tc>
          <w:tcPr>
            <w:tcW w:w="3084" w:type="dxa"/>
            <w:shd w:val="clear" w:color="auto" w:fill="auto"/>
          </w:tcPr>
          <w:p w14:paraId="6C4FA7C4" w14:textId="77777777" w:rsidR="00296990" w:rsidRPr="009B00A0" w:rsidRDefault="00296990" w:rsidP="00296990">
            <w:pPr>
              <w:pStyle w:val="Default"/>
            </w:pPr>
          </w:p>
        </w:tc>
        <w:tc>
          <w:tcPr>
            <w:tcW w:w="5989" w:type="dxa"/>
            <w:shd w:val="clear" w:color="auto" w:fill="auto"/>
          </w:tcPr>
          <w:p w14:paraId="46E404B6" w14:textId="77777777" w:rsidR="00296990" w:rsidRPr="009B00A0" w:rsidRDefault="00296990" w:rsidP="00EE4D06">
            <w:pPr>
              <w:pStyle w:val="Default"/>
            </w:pPr>
          </w:p>
        </w:tc>
      </w:tr>
      <w:tr w:rsidR="00EE4D06" w14:paraId="6C27B24D" w14:textId="77777777" w:rsidTr="00EE4D06">
        <w:tc>
          <w:tcPr>
            <w:tcW w:w="3084" w:type="dxa"/>
            <w:shd w:val="clear" w:color="auto" w:fill="auto"/>
          </w:tcPr>
          <w:p w14:paraId="15A49F2A" w14:textId="387A6D71" w:rsidR="00EE4D06" w:rsidRPr="009B00A0" w:rsidRDefault="00EE4D06" w:rsidP="00296990">
            <w:pPr>
              <w:pStyle w:val="Default"/>
            </w:pPr>
            <w:r w:rsidRPr="009B00A0">
              <w:lastRenderedPageBreak/>
              <w:t xml:space="preserve">Solicitor for the Respondent </w:t>
            </w:r>
          </w:p>
        </w:tc>
        <w:tc>
          <w:tcPr>
            <w:tcW w:w="5989" w:type="dxa"/>
            <w:shd w:val="clear" w:color="auto" w:fill="auto"/>
          </w:tcPr>
          <w:p w14:paraId="677AC6C0" w14:textId="77777777" w:rsidR="00EE4D06" w:rsidRPr="009B00A0" w:rsidRDefault="00EE4D06" w:rsidP="00EE4D06">
            <w:pPr>
              <w:pStyle w:val="Default"/>
            </w:pPr>
            <w:r w:rsidRPr="009B00A0">
              <w:t xml:space="preserve">Minter Ellison </w:t>
            </w:r>
          </w:p>
        </w:tc>
      </w:tr>
      <w:bookmarkEnd w:id="10"/>
    </w:tbl>
    <w:p w14:paraId="49F02C28" w14:textId="77777777" w:rsidR="007470BD" w:rsidRDefault="007470BD">
      <w:pPr>
        <w:pStyle w:val="Normal1linespace"/>
      </w:pPr>
    </w:p>
    <w:p w14:paraId="0E1043A9" w14:textId="77777777" w:rsidR="004E5B67" w:rsidRDefault="004E5B67" w:rsidP="00045BB7">
      <w:pPr>
        <w:pStyle w:val="NormalHeadings"/>
        <w:spacing w:line="480" w:lineRule="auto"/>
        <w:jc w:val="center"/>
        <w:rPr>
          <w:sz w:val="28"/>
          <w:szCs w:val="28"/>
        </w:rPr>
      </w:pPr>
    </w:p>
    <w:p w14:paraId="064D8CAB" w14:textId="77777777" w:rsidR="004E5B67" w:rsidRDefault="004E5B67" w:rsidP="00045BB7">
      <w:pPr>
        <w:pStyle w:val="NormalHeadings"/>
        <w:spacing w:line="480" w:lineRule="auto"/>
        <w:jc w:val="center"/>
        <w:rPr>
          <w:sz w:val="28"/>
          <w:szCs w:val="28"/>
        </w:rPr>
      </w:pPr>
    </w:p>
    <w:p w14:paraId="1020156D" w14:textId="77777777" w:rsidR="004E5B67" w:rsidRDefault="004E5B67" w:rsidP="00045BB7">
      <w:pPr>
        <w:pStyle w:val="NormalHeadings"/>
        <w:spacing w:line="480" w:lineRule="auto"/>
        <w:jc w:val="center"/>
        <w:rPr>
          <w:sz w:val="28"/>
          <w:szCs w:val="28"/>
        </w:rPr>
      </w:pPr>
    </w:p>
    <w:p w14:paraId="4223B374" w14:textId="77777777" w:rsidR="004E5B67" w:rsidRDefault="004E5B67" w:rsidP="00045BB7">
      <w:pPr>
        <w:pStyle w:val="NormalHeadings"/>
        <w:spacing w:line="480" w:lineRule="auto"/>
        <w:jc w:val="center"/>
        <w:rPr>
          <w:sz w:val="28"/>
          <w:szCs w:val="28"/>
        </w:rPr>
      </w:pPr>
    </w:p>
    <w:p w14:paraId="3F0621C5" w14:textId="77777777" w:rsidR="004E5B67" w:rsidRDefault="004E5B67" w:rsidP="00045BB7">
      <w:pPr>
        <w:pStyle w:val="NormalHeadings"/>
        <w:spacing w:line="480" w:lineRule="auto"/>
        <w:jc w:val="center"/>
        <w:rPr>
          <w:sz w:val="28"/>
          <w:szCs w:val="28"/>
        </w:rPr>
      </w:pPr>
    </w:p>
    <w:p w14:paraId="39C70502" w14:textId="77777777" w:rsidR="004E5B67" w:rsidRDefault="004E5B67" w:rsidP="00045BB7">
      <w:pPr>
        <w:pStyle w:val="NormalHeadings"/>
        <w:spacing w:line="480" w:lineRule="auto"/>
        <w:jc w:val="center"/>
        <w:rPr>
          <w:sz w:val="28"/>
          <w:szCs w:val="28"/>
        </w:rPr>
      </w:pPr>
    </w:p>
    <w:p w14:paraId="6FDBB649" w14:textId="77777777" w:rsidR="004E5B67" w:rsidRDefault="004E5B67" w:rsidP="00045BB7">
      <w:pPr>
        <w:pStyle w:val="NormalHeadings"/>
        <w:spacing w:line="480" w:lineRule="auto"/>
        <w:jc w:val="center"/>
        <w:rPr>
          <w:sz w:val="28"/>
          <w:szCs w:val="28"/>
        </w:rPr>
      </w:pPr>
    </w:p>
    <w:p w14:paraId="50945B07" w14:textId="77777777" w:rsidR="004E5B67" w:rsidRDefault="004E5B67" w:rsidP="00045BB7">
      <w:pPr>
        <w:pStyle w:val="NormalHeadings"/>
        <w:spacing w:line="480" w:lineRule="auto"/>
        <w:jc w:val="center"/>
        <w:rPr>
          <w:sz w:val="28"/>
          <w:szCs w:val="28"/>
        </w:rPr>
      </w:pPr>
    </w:p>
    <w:p w14:paraId="14501491" w14:textId="77777777" w:rsidR="004E5B67" w:rsidRDefault="004E5B67" w:rsidP="00045BB7">
      <w:pPr>
        <w:pStyle w:val="NormalHeadings"/>
        <w:spacing w:line="480" w:lineRule="auto"/>
        <w:jc w:val="center"/>
        <w:rPr>
          <w:sz w:val="28"/>
          <w:szCs w:val="28"/>
        </w:rPr>
      </w:pPr>
    </w:p>
    <w:p w14:paraId="038E981F" w14:textId="77777777" w:rsidR="004E5B67" w:rsidRDefault="004E5B67" w:rsidP="00045BB7">
      <w:pPr>
        <w:pStyle w:val="NormalHeadings"/>
        <w:spacing w:line="480" w:lineRule="auto"/>
        <w:jc w:val="center"/>
        <w:rPr>
          <w:sz w:val="28"/>
          <w:szCs w:val="28"/>
        </w:rPr>
      </w:pPr>
    </w:p>
    <w:p w14:paraId="527A932F" w14:textId="77777777" w:rsidR="004E5B67" w:rsidRDefault="004E5B67" w:rsidP="00045BB7">
      <w:pPr>
        <w:pStyle w:val="NormalHeadings"/>
        <w:spacing w:line="480" w:lineRule="auto"/>
        <w:jc w:val="center"/>
        <w:rPr>
          <w:sz w:val="28"/>
          <w:szCs w:val="28"/>
        </w:rPr>
      </w:pPr>
    </w:p>
    <w:p w14:paraId="23216F53" w14:textId="77777777" w:rsidR="004E5B67" w:rsidRDefault="004E5B67" w:rsidP="00045BB7">
      <w:pPr>
        <w:pStyle w:val="NormalHeadings"/>
        <w:spacing w:line="480" w:lineRule="auto"/>
        <w:jc w:val="center"/>
        <w:rPr>
          <w:sz w:val="28"/>
          <w:szCs w:val="28"/>
        </w:rPr>
      </w:pPr>
    </w:p>
    <w:p w14:paraId="7B94F8D2" w14:textId="77777777" w:rsidR="004E5B67" w:rsidRDefault="004E5B67" w:rsidP="00045BB7">
      <w:pPr>
        <w:pStyle w:val="NormalHeadings"/>
        <w:spacing w:line="480" w:lineRule="auto"/>
        <w:jc w:val="center"/>
        <w:rPr>
          <w:sz w:val="28"/>
          <w:szCs w:val="28"/>
        </w:rPr>
      </w:pPr>
    </w:p>
    <w:p w14:paraId="6430470E" w14:textId="77777777" w:rsidR="004E5B67" w:rsidRDefault="004E5B67" w:rsidP="00045BB7">
      <w:pPr>
        <w:pStyle w:val="NormalHeadings"/>
        <w:spacing w:line="480" w:lineRule="auto"/>
        <w:jc w:val="center"/>
        <w:rPr>
          <w:sz w:val="28"/>
          <w:szCs w:val="28"/>
        </w:rPr>
      </w:pPr>
    </w:p>
    <w:p w14:paraId="1BC4FB57" w14:textId="77777777" w:rsidR="004E5B67" w:rsidRDefault="004E5B67" w:rsidP="00045BB7">
      <w:pPr>
        <w:pStyle w:val="NormalHeadings"/>
        <w:spacing w:line="480" w:lineRule="auto"/>
        <w:jc w:val="center"/>
        <w:rPr>
          <w:sz w:val="28"/>
          <w:szCs w:val="28"/>
        </w:rPr>
      </w:pPr>
    </w:p>
    <w:p w14:paraId="43B29831" w14:textId="77777777" w:rsidR="004E5B67" w:rsidRDefault="004E5B67" w:rsidP="00045BB7">
      <w:pPr>
        <w:pStyle w:val="NormalHeadings"/>
        <w:spacing w:line="480" w:lineRule="auto"/>
        <w:jc w:val="center"/>
        <w:rPr>
          <w:sz w:val="28"/>
          <w:szCs w:val="28"/>
        </w:rPr>
      </w:pPr>
    </w:p>
    <w:p w14:paraId="5A6F0B25" w14:textId="77777777" w:rsidR="004E5B67" w:rsidRDefault="004E5B67" w:rsidP="00045BB7">
      <w:pPr>
        <w:pStyle w:val="NormalHeadings"/>
        <w:spacing w:line="480" w:lineRule="auto"/>
        <w:jc w:val="center"/>
        <w:rPr>
          <w:sz w:val="28"/>
          <w:szCs w:val="28"/>
        </w:rPr>
      </w:pPr>
    </w:p>
    <w:p w14:paraId="6C2668A8" w14:textId="77777777" w:rsidR="004E5B67" w:rsidRDefault="004E5B67" w:rsidP="00045BB7">
      <w:pPr>
        <w:pStyle w:val="NormalHeadings"/>
        <w:spacing w:line="480" w:lineRule="auto"/>
        <w:jc w:val="center"/>
        <w:rPr>
          <w:sz w:val="28"/>
          <w:szCs w:val="28"/>
        </w:rPr>
      </w:pPr>
    </w:p>
    <w:p w14:paraId="12CC12AD" w14:textId="3FEF594E" w:rsidR="004E5B67" w:rsidRDefault="004E5B67" w:rsidP="00045BB7">
      <w:pPr>
        <w:pStyle w:val="NormalHeadings"/>
        <w:spacing w:line="480" w:lineRule="auto"/>
        <w:jc w:val="center"/>
        <w:rPr>
          <w:sz w:val="28"/>
          <w:szCs w:val="28"/>
        </w:rPr>
      </w:pPr>
    </w:p>
    <w:p w14:paraId="5C41EBFC" w14:textId="77777777" w:rsidR="00296990" w:rsidRDefault="00296990" w:rsidP="00045BB7">
      <w:pPr>
        <w:pStyle w:val="NormalHeadings"/>
        <w:spacing w:line="480" w:lineRule="auto"/>
        <w:jc w:val="center"/>
        <w:rPr>
          <w:sz w:val="28"/>
          <w:szCs w:val="28"/>
        </w:rPr>
      </w:pPr>
    </w:p>
    <w:p w14:paraId="48CA28D9" w14:textId="77777777" w:rsidR="004E5B67" w:rsidRDefault="004E5B67" w:rsidP="00045BB7">
      <w:pPr>
        <w:pStyle w:val="NormalHeadings"/>
        <w:spacing w:line="480" w:lineRule="auto"/>
        <w:jc w:val="center"/>
        <w:rPr>
          <w:sz w:val="28"/>
          <w:szCs w:val="28"/>
        </w:rPr>
      </w:pPr>
    </w:p>
    <w:p w14:paraId="2CD2E2C9" w14:textId="0245BF5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9FD6186" w14:textId="77777777" w:rsidTr="00E81DA6">
        <w:tc>
          <w:tcPr>
            <w:tcW w:w="6912" w:type="dxa"/>
            <w:gridSpan w:val="2"/>
          </w:tcPr>
          <w:p w14:paraId="3152FE08" w14:textId="77777777" w:rsidR="00A46CCC" w:rsidRPr="001765E0" w:rsidRDefault="00A46CCC" w:rsidP="00525A49">
            <w:pPr>
              <w:pStyle w:val="NormalHeadings"/>
            </w:pPr>
          </w:p>
        </w:tc>
        <w:tc>
          <w:tcPr>
            <w:tcW w:w="2330" w:type="dxa"/>
          </w:tcPr>
          <w:p w14:paraId="57E8378C" w14:textId="77777777" w:rsidR="003E6446" w:rsidRDefault="003E6446" w:rsidP="00F92355">
            <w:pPr>
              <w:pStyle w:val="NormalHeadings"/>
              <w:jc w:val="right"/>
            </w:pPr>
            <w:bookmarkStart w:id="12" w:name="FileNo"/>
            <w:r>
              <w:t>NSD 15 of 2017</w:t>
            </w:r>
          </w:p>
          <w:bookmarkEnd w:id="12"/>
          <w:p w14:paraId="02A7CA02" w14:textId="77777777" w:rsidR="00A46CCC" w:rsidRDefault="00A46CCC" w:rsidP="00F92355">
            <w:pPr>
              <w:pStyle w:val="NormalHeadings"/>
              <w:jc w:val="right"/>
            </w:pPr>
          </w:p>
        </w:tc>
      </w:tr>
      <w:tr w:rsidR="00A76C13" w14:paraId="179969B1" w14:textId="77777777" w:rsidTr="00EE4D06">
        <w:tc>
          <w:tcPr>
            <w:tcW w:w="9242" w:type="dxa"/>
            <w:gridSpan w:val="3"/>
          </w:tcPr>
          <w:p w14:paraId="089357BC" w14:textId="77777777" w:rsidR="00A76C13" w:rsidRPr="00A76C13" w:rsidRDefault="003E6446" w:rsidP="003E6446">
            <w:pPr>
              <w:pStyle w:val="NormalHeadings"/>
              <w:jc w:val="left"/>
            </w:pPr>
            <w:bookmarkStart w:id="13" w:name="InTheMatterOf"/>
            <w:r>
              <w:t xml:space="preserve"> </w:t>
            </w:r>
            <w:bookmarkEnd w:id="13"/>
          </w:p>
        </w:tc>
      </w:tr>
      <w:tr w:rsidR="00A46CCC" w14:paraId="0A487B52" w14:textId="77777777" w:rsidTr="00EE4D06">
        <w:trPr>
          <w:trHeight w:val="386"/>
        </w:trPr>
        <w:tc>
          <w:tcPr>
            <w:tcW w:w="2376" w:type="dxa"/>
          </w:tcPr>
          <w:p w14:paraId="73786D16" w14:textId="77777777" w:rsidR="00A46CCC" w:rsidRDefault="00A46CCC" w:rsidP="00EE4D06">
            <w:pPr>
              <w:pStyle w:val="NormalHeadings"/>
              <w:jc w:val="left"/>
              <w:rPr>
                <w:caps/>
                <w:szCs w:val="24"/>
              </w:rPr>
            </w:pPr>
            <w:bookmarkStart w:id="14" w:name="Parties"/>
            <w:r>
              <w:rPr>
                <w:caps/>
                <w:szCs w:val="24"/>
              </w:rPr>
              <w:t>BETWEEN:</w:t>
            </w:r>
          </w:p>
        </w:tc>
        <w:tc>
          <w:tcPr>
            <w:tcW w:w="6866" w:type="dxa"/>
            <w:gridSpan w:val="2"/>
          </w:tcPr>
          <w:p w14:paraId="6DFDD143" w14:textId="77777777" w:rsidR="003E6446" w:rsidRDefault="003E6446" w:rsidP="003E6446">
            <w:pPr>
              <w:pStyle w:val="NormalHeadings"/>
              <w:jc w:val="left"/>
            </w:pPr>
            <w:bookmarkStart w:id="15" w:name="Applicant"/>
            <w:r>
              <w:t>ALLERGAN AUSTRALIA PTY LTD (ACN 000 612 831)</w:t>
            </w:r>
          </w:p>
          <w:p w14:paraId="3D51E350" w14:textId="77777777" w:rsidR="003E6446" w:rsidRDefault="003E6446" w:rsidP="003E6446">
            <w:pPr>
              <w:pStyle w:val="PartyType"/>
            </w:pPr>
            <w:r>
              <w:t>First Applicant</w:t>
            </w:r>
          </w:p>
          <w:p w14:paraId="098A442A" w14:textId="77777777" w:rsidR="003E6446" w:rsidRDefault="003E6446" w:rsidP="00EE4D06">
            <w:pPr>
              <w:pStyle w:val="NormalHeadings"/>
              <w:jc w:val="left"/>
              <w:rPr>
                <w:szCs w:val="24"/>
              </w:rPr>
            </w:pPr>
          </w:p>
          <w:p w14:paraId="1865B968" w14:textId="496FC632" w:rsidR="003E6446" w:rsidRDefault="009B00A0" w:rsidP="003E6446">
            <w:pPr>
              <w:pStyle w:val="NormalHeadings"/>
              <w:jc w:val="left"/>
            </w:pPr>
            <w:r>
              <w:t>ALLERGAN INC</w:t>
            </w:r>
          </w:p>
          <w:p w14:paraId="11867C76" w14:textId="77777777" w:rsidR="003E6446" w:rsidRDefault="003E6446" w:rsidP="003E6446">
            <w:pPr>
              <w:pStyle w:val="PartyType"/>
            </w:pPr>
            <w:r>
              <w:t>Second Applicant</w:t>
            </w:r>
          </w:p>
          <w:bookmarkEnd w:id="15"/>
          <w:p w14:paraId="6F617EC0" w14:textId="77777777" w:rsidR="00A46CCC" w:rsidRPr="006555B4" w:rsidRDefault="00A46CCC" w:rsidP="00EE4D06">
            <w:pPr>
              <w:pStyle w:val="NormalHeadings"/>
              <w:jc w:val="left"/>
            </w:pPr>
          </w:p>
        </w:tc>
      </w:tr>
      <w:tr w:rsidR="00A46CCC" w14:paraId="7C551E0E" w14:textId="77777777" w:rsidTr="00EE4D06">
        <w:trPr>
          <w:trHeight w:val="386"/>
        </w:trPr>
        <w:tc>
          <w:tcPr>
            <w:tcW w:w="2376" w:type="dxa"/>
          </w:tcPr>
          <w:p w14:paraId="19AFBE1A" w14:textId="77777777" w:rsidR="00A46CCC" w:rsidRDefault="00A46CCC" w:rsidP="00EE4D06">
            <w:pPr>
              <w:pStyle w:val="NormalHeadings"/>
              <w:jc w:val="left"/>
              <w:rPr>
                <w:caps/>
                <w:szCs w:val="24"/>
              </w:rPr>
            </w:pPr>
            <w:r>
              <w:rPr>
                <w:caps/>
                <w:szCs w:val="24"/>
              </w:rPr>
              <w:t>AND:</w:t>
            </w:r>
          </w:p>
        </w:tc>
        <w:tc>
          <w:tcPr>
            <w:tcW w:w="6866" w:type="dxa"/>
            <w:gridSpan w:val="2"/>
          </w:tcPr>
          <w:p w14:paraId="061C9F99" w14:textId="77777777" w:rsidR="003E6446" w:rsidRDefault="003E6446" w:rsidP="003E6446">
            <w:pPr>
              <w:pStyle w:val="NormalHeadings"/>
              <w:jc w:val="left"/>
            </w:pPr>
            <w:bookmarkStart w:id="16" w:name="Respondent"/>
            <w:r>
              <w:t>SELF CARE IP HOLDINGS PTY LTD (ACN 134 308 151)</w:t>
            </w:r>
          </w:p>
          <w:p w14:paraId="1323743F" w14:textId="77777777" w:rsidR="003E6446" w:rsidRDefault="003E6446" w:rsidP="003E6446">
            <w:pPr>
              <w:pStyle w:val="PartyType"/>
            </w:pPr>
            <w:r>
              <w:t>First Respondent</w:t>
            </w:r>
          </w:p>
          <w:p w14:paraId="522F4930" w14:textId="77777777" w:rsidR="003E6446" w:rsidRDefault="003E6446" w:rsidP="00EE4D06">
            <w:pPr>
              <w:pStyle w:val="NormalHeadings"/>
              <w:jc w:val="left"/>
              <w:rPr>
                <w:szCs w:val="24"/>
              </w:rPr>
            </w:pPr>
          </w:p>
          <w:p w14:paraId="7B178808" w14:textId="77777777" w:rsidR="003E6446" w:rsidRDefault="003E6446" w:rsidP="003E6446">
            <w:pPr>
              <w:pStyle w:val="NormalHeadings"/>
              <w:jc w:val="left"/>
            </w:pPr>
            <w:r>
              <w:t>SELF CARE CORPORATION PTY LTD (ACN 132 213 113)</w:t>
            </w:r>
          </w:p>
          <w:p w14:paraId="50CA93B1" w14:textId="77777777" w:rsidR="003E6446" w:rsidRDefault="003E6446" w:rsidP="003E6446">
            <w:pPr>
              <w:pStyle w:val="PartyType"/>
            </w:pPr>
            <w:r>
              <w:t>Second Respondent</w:t>
            </w:r>
          </w:p>
          <w:p w14:paraId="0690BFA7" w14:textId="77777777" w:rsidR="003E6446" w:rsidRDefault="003E6446" w:rsidP="00EE4D06">
            <w:pPr>
              <w:pStyle w:val="NormalHeadings"/>
              <w:jc w:val="left"/>
              <w:rPr>
                <w:szCs w:val="24"/>
              </w:rPr>
            </w:pPr>
          </w:p>
          <w:p w14:paraId="7A150EAE" w14:textId="77777777" w:rsidR="003E6446" w:rsidRDefault="003E6446" w:rsidP="003E6446">
            <w:pPr>
              <w:pStyle w:val="NormalHeadings"/>
              <w:jc w:val="left"/>
            </w:pPr>
            <w:r>
              <w:t>MS SONIA AMOROSO</w:t>
            </w:r>
          </w:p>
          <w:p w14:paraId="14E11F13" w14:textId="77777777" w:rsidR="003E6446" w:rsidRDefault="003E6446" w:rsidP="003E6446">
            <w:pPr>
              <w:pStyle w:val="PartyType"/>
            </w:pPr>
            <w:r>
              <w:t>Third Respondent</w:t>
            </w:r>
          </w:p>
          <w:bookmarkEnd w:id="16"/>
          <w:p w14:paraId="1B71EB1B" w14:textId="77777777" w:rsidR="00A46CCC" w:rsidRPr="006555B4" w:rsidRDefault="00A46CCC" w:rsidP="00EE4D06">
            <w:pPr>
              <w:pStyle w:val="NormalHeadings"/>
              <w:jc w:val="left"/>
            </w:pPr>
          </w:p>
        </w:tc>
      </w:tr>
      <w:tr w:rsidR="003E6446" w14:paraId="1BC8CA4A" w14:textId="77777777" w:rsidTr="003E6446">
        <w:trPr>
          <w:trHeight w:val="300"/>
        </w:trPr>
        <w:tc>
          <w:tcPr>
            <w:tcW w:w="2376" w:type="dxa"/>
          </w:tcPr>
          <w:p w14:paraId="686F0894" w14:textId="77777777" w:rsidR="003E6446" w:rsidRDefault="003E6446">
            <w:pPr>
              <w:pStyle w:val="NormalHeadings"/>
              <w:jc w:val="left"/>
              <w:rPr>
                <w:caps/>
                <w:szCs w:val="24"/>
              </w:rPr>
            </w:pPr>
            <w:bookmarkStart w:id="17" w:name="CrossClaimPosition"/>
            <w:bookmarkEnd w:id="14"/>
            <w:bookmarkEnd w:id="17"/>
          </w:p>
        </w:tc>
        <w:tc>
          <w:tcPr>
            <w:tcW w:w="6866" w:type="dxa"/>
            <w:gridSpan w:val="2"/>
          </w:tcPr>
          <w:p w14:paraId="06A8FB99" w14:textId="77777777" w:rsidR="003E6446" w:rsidRDefault="003E6446">
            <w:pPr>
              <w:pStyle w:val="NormalHeadings"/>
              <w:jc w:val="left"/>
              <w:rPr>
                <w:szCs w:val="24"/>
              </w:rPr>
            </w:pPr>
          </w:p>
        </w:tc>
      </w:tr>
      <w:tr w:rsidR="003E6446" w14:paraId="03374363" w14:textId="77777777">
        <w:trPr>
          <w:trHeight w:val="386"/>
        </w:trPr>
        <w:tc>
          <w:tcPr>
            <w:tcW w:w="2376" w:type="dxa"/>
          </w:tcPr>
          <w:p w14:paraId="01054B15" w14:textId="77777777" w:rsidR="003E6446" w:rsidRDefault="003E6446">
            <w:pPr>
              <w:pStyle w:val="NormalHeadings"/>
              <w:jc w:val="left"/>
              <w:rPr>
                <w:caps/>
                <w:szCs w:val="24"/>
              </w:rPr>
            </w:pPr>
            <w:r>
              <w:rPr>
                <w:caps/>
                <w:szCs w:val="24"/>
              </w:rPr>
              <w:t>AND BETWEEN:</w:t>
            </w:r>
          </w:p>
        </w:tc>
        <w:tc>
          <w:tcPr>
            <w:tcW w:w="6866" w:type="dxa"/>
            <w:gridSpan w:val="2"/>
          </w:tcPr>
          <w:p w14:paraId="431E2212" w14:textId="77777777" w:rsidR="003E6446" w:rsidRDefault="003E6446" w:rsidP="003E6446">
            <w:pPr>
              <w:pStyle w:val="NormalHeadings"/>
              <w:jc w:val="left"/>
            </w:pPr>
            <w:bookmarkStart w:id="18" w:name="Cross_Applicant"/>
            <w:r>
              <w:t xml:space="preserve">SELF CARE IP HOLDINGS PTY LTD (ACN 134 308 151) </w:t>
            </w:r>
            <w:r w:rsidRPr="003E6446">
              <w:rPr>
                <w:b w:val="0"/>
              </w:rPr>
              <w:t>(and another named in the Schedule)</w:t>
            </w:r>
          </w:p>
          <w:p w14:paraId="760DE447" w14:textId="77777777" w:rsidR="003E6446" w:rsidRDefault="003E6446" w:rsidP="003E6446">
            <w:pPr>
              <w:pStyle w:val="PartyType"/>
            </w:pPr>
            <w:r>
              <w:t>First Cross-Claimant</w:t>
            </w:r>
          </w:p>
          <w:bookmarkEnd w:id="18"/>
          <w:p w14:paraId="0DFB7800" w14:textId="77777777" w:rsidR="003E6446" w:rsidRDefault="003E6446">
            <w:pPr>
              <w:pStyle w:val="NormalHeadings"/>
              <w:jc w:val="left"/>
              <w:rPr>
                <w:szCs w:val="24"/>
              </w:rPr>
            </w:pPr>
          </w:p>
        </w:tc>
      </w:tr>
      <w:tr w:rsidR="003E6446" w14:paraId="6D332F7C" w14:textId="77777777">
        <w:trPr>
          <w:trHeight w:val="386"/>
        </w:trPr>
        <w:tc>
          <w:tcPr>
            <w:tcW w:w="2376" w:type="dxa"/>
          </w:tcPr>
          <w:p w14:paraId="7A20E6F5" w14:textId="77777777" w:rsidR="003E6446" w:rsidRDefault="003E6446">
            <w:pPr>
              <w:pStyle w:val="NormalHeadings"/>
              <w:jc w:val="left"/>
              <w:rPr>
                <w:caps/>
                <w:szCs w:val="24"/>
              </w:rPr>
            </w:pPr>
            <w:r>
              <w:rPr>
                <w:caps/>
                <w:szCs w:val="24"/>
              </w:rPr>
              <w:t>AND:</w:t>
            </w:r>
          </w:p>
        </w:tc>
        <w:tc>
          <w:tcPr>
            <w:tcW w:w="6866" w:type="dxa"/>
            <w:gridSpan w:val="2"/>
          </w:tcPr>
          <w:p w14:paraId="5B493579" w14:textId="218970F6" w:rsidR="003E6446" w:rsidRDefault="009B00A0" w:rsidP="003E6446">
            <w:pPr>
              <w:pStyle w:val="NormalHeadings"/>
              <w:jc w:val="left"/>
            </w:pPr>
            <w:bookmarkStart w:id="19" w:name="Cross_Respondent"/>
            <w:r>
              <w:t>ALLERGAN INC</w:t>
            </w:r>
            <w:r w:rsidR="003E6446">
              <w:t xml:space="preserve"> </w:t>
            </w:r>
            <w:r w:rsidR="003E6446" w:rsidRPr="003E6446">
              <w:rPr>
                <w:b w:val="0"/>
              </w:rPr>
              <w:t>(and another named in the Schedule)</w:t>
            </w:r>
          </w:p>
          <w:p w14:paraId="22954617" w14:textId="77777777" w:rsidR="003E6446" w:rsidRDefault="003E6446" w:rsidP="003E6446">
            <w:pPr>
              <w:pStyle w:val="PartyType"/>
            </w:pPr>
            <w:r>
              <w:t>First Cross-Respondent</w:t>
            </w:r>
          </w:p>
          <w:bookmarkEnd w:id="19"/>
          <w:p w14:paraId="53AE9FBE" w14:textId="77777777" w:rsidR="003E6446" w:rsidRDefault="003E6446">
            <w:pPr>
              <w:pStyle w:val="NormalHeadings"/>
              <w:jc w:val="left"/>
              <w:rPr>
                <w:szCs w:val="24"/>
              </w:rPr>
            </w:pPr>
          </w:p>
        </w:tc>
      </w:tr>
    </w:tbl>
    <w:p w14:paraId="5FB1A4BA" w14:textId="77777777"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11D4CB53" w14:textId="77777777">
        <w:tc>
          <w:tcPr>
            <w:tcW w:w="2376" w:type="dxa"/>
          </w:tcPr>
          <w:p w14:paraId="3D095700"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2A5B7644" w14:textId="77777777" w:rsidR="00395B24" w:rsidRDefault="003E6446">
            <w:pPr>
              <w:pStyle w:val="NormalHeadings"/>
              <w:jc w:val="left"/>
              <w:rPr>
                <w:caps/>
                <w:szCs w:val="24"/>
              </w:rPr>
            </w:pPr>
            <w:bookmarkStart w:id="21" w:name="Judge"/>
            <w:r>
              <w:rPr>
                <w:caps/>
                <w:szCs w:val="24"/>
              </w:rPr>
              <w:t>STEWART J</w:t>
            </w:r>
            <w:bookmarkEnd w:id="21"/>
          </w:p>
        </w:tc>
      </w:tr>
      <w:tr w:rsidR="00395B24" w14:paraId="2D512F3D" w14:textId="77777777">
        <w:tc>
          <w:tcPr>
            <w:tcW w:w="2376" w:type="dxa"/>
          </w:tcPr>
          <w:p w14:paraId="2B88E09B" w14:textId="77777777" w:rsidR="00395B24" w:rsidRDefault="002C7385">
            <w:pPr>
              <w:pStyle w:val="NormalHeadings"/>
              <w:spacing w:after="120"/>
              <w:jc w:val="left"/>
              <w:rPr>
                <w:caps/>
                <w:szCs w:val="24"/>
              </w:rPr>
            </w:pPr>
            <w:r>
              <w:rPr>
                <w:caps/>
                <w:szCs w:val="24"/>
              </w:rPr>
              <w:t>DATE OF ORDER:</w:t>
            </w:r>
          </w:p>
        </w:tc>
        <w:tc>
          <w:tcPr>
            <w:tcW w:w="6866" w:type="dxa"/>
          </w:tcPr>
          <w:p w14:paraId="3D1D6FA7" w14:textId="36A717E9" w:rsidR="00395B24" w:rsidRDefault="000B25A1">
            <w:pPr>
              <w:pStyle w:val="NormalHeadings"/>
              <w:jc w:val="left"/>
              <w:rPr>
                <w:caps/>
                <w:szCs w:val="24"/>
              </w:rPr>
            </w:pPr>
            <w:r>
              <w:rPr>
                <w:caps/>
                <w:szCs w:val="24"/>
              </w:rPr>
              <w:t>22 October 2020</w:t>
            </w:r>
          </w:p>
        </w:tc>
      </w:tr>
    </w:tbl>
    <w:p w14:paraId="1E8DFB46" w14:textId="77777777" w:rsidR="00395B24" w:rsidRDefault="00395B24">
      <w:pPr>
        <w:pStyle w:val="NormalHeadings"/>
        <w:rPr>
          <w:b w:val="0"/>
        </w:rPr>
      </w:pPr>
    </w:p>
    <w:p w14:paraId="47ED642D" w14:textId="77777777" w:rsidR="008D1617" w:rsidRDefault="008D1617">
      <w:pPr>
        <w:pStyle w:val="NormalHeadings"/>
        <w:rPr>
          <w:b w:val="0"/>
        </w:rPr>
      </w:pPr>
    </w:p>
    <w:p w14:paraId="7928F194" w14:textId="77777777" w:rsidR="00395B24" w:rsidRDefault="002C7385">
      <w:pPr>
        <w:pStyle w:val="NormalHeadings"/>
      </w:pPr>
      <w:r>
        <w:t>THE COURT ORDERS THAT:</w:t>
      </w:r>
    </w:p>
    <w:p w14:paraId="32C8B5CD" w14:textId="77777777" w:rsidR="007F60DF" w:rsidRDefault="007F60DF" w:rsidP="00243E5E">
      <w:pPr>
        <w:pStyle w:val="NormalHeadings"/>
      </w:pPr>
    </w:p>
    <w:p w14:paraId="58F336D6" w14:textId="296ACC60" w:rsidR="001A6C52" w:rsidRDefault="001E3C6B" w:rsidP="001E3C6B">
      <w:pPr>
        <w:pStyle w:val="Order1"/>
        <w:numPr>
          <w:ilvl w:val="0"/>
          <w:numId w:val="0"/>
        </w:numPr>
        <w:tabs>
          <w:tab w:val="left" w:pos="720"/>
        </w:tabs>
        <w:ind w:left="720" w:hanging="720"/>
      </w:pPr>
      <w:r>
        <w:t>1.</w:t>
      </w:r>
      <w:r>
        <w:tab/>
      </w:r>
      <w:r w:rsidR="003D4FBD">
        <w:t>Within 14 days of these orders or such further period as may be allowed, the parties are to confer and bring in:</w:t>
      </w:r>
    </w:p>
    <w:p w14:paraId="058BA6E2" w14:textId="3E6E52C9" w:rsidR="003D4FBD" w:rsidRDefault="001E3C6B" w:rsidP="001E3C6B">
      <w:pPr>
        <w:pStyle w:val="Order2"/>
        <w:numPr>
          <w:ilvl w:val="0"/>
          <w:numId w:val="0"/>
        </w:numPr>
        <w:tabs>
          <w:tab w:val="left" w:pos="1440"/>
        </w:tabs>
        <w:ind w:left="1440" w:hanging="720"/>
      </w:pPr>
      <w:r>
        <w:t>(a)</w:t>
      </w:r>
      <w:r>
        <w:tab/>
      </w:r>
      <w:r w:rsidR="009B00A0">
        <w:t>o</w:t>
      </w:r>
      <w:r w:rsidR="003D4FBD">
        <w:t>rders that dispose of the proceeding and, so far as relevant, deal with its further conduct, in accordance with the reasons published today;</w:t>
      </w:r>
    </w:p>
    <w:p w14:paraId="598DD83C" w14:textId="2F0DC5E9" w:rsidR="003D4FBD" w:rsidRDefault="001E3C6B" w:rsidP="001E3C6B">
      <w:pPr>
        <w:pStyle w:val="Order2"/>
        <w:numPr>
          <w:ilvl w:val="0"/>
          <w:numId w:val="0"/>
        </w:numPr>
        <w:tabs>
          <w:tab w:val="left" w:pos="1440"/>
        </w:tabs>
        <w:ind w:left="1440" w:hanging="720"/>
      </w:pPr>
      <w:r>
        <w:t>(b)</w:t>
      </w:r>
      <w:r>
        <w:tab/>
      </w:r>
      <w:r w:rsidR="009B00A0">
        <w:t>o</w:t>
      </w:r>
      <w:r w:rsidR="003D4FBD">
        <w:t xml:space="preserve">rders that deal with the costs of the proceeding thus far; </w:t>
      </w:r>
    </w:p>
    <w:p w14:paraId="31AD4F1D" w14:textId="49752B5F" w:rsidR="003D4FBD" w:rsidRDefault="001E3C6B" w:rsidP="001E3C6B">
      <w:pPr>
        <w:pStyle w:val="Order2"/>
        <w:numPr>
          <w:ilvl w:val="0"/>
          <w:numId w:val="0"/>
        </w:numPr>
        <w:tabs>
          <w:tab w:val="left" w:pos="1440"/>
        </w:tabs>
        <w:ind w:left="1440" w:hanging="720"/>
      </w:pPr>
      <w:r>
        <w:t>(c)</w:t>
      </w:r>
      <w:r>
        <w:tab/>
      </w:r>
      <w:r w:rsidR="009B00A0">
        <w:t>p</w:t>
      </w:r>
      <w:r w:rsidR="003D4FBD">
        <w:t>roposed redactions of the reasons published today with reference to the suppression orders in the proceeding; and</w:t>
      </w:r>
    </w:p>
    <w:p w14:paraId="60C0D2CA" w14:textId="0CD10338" w:rsidR="003D4FBD" w:rsidRDefault="001E3C6B" w:rsidP="001E3C6B">
      <w:pPr>
        <w:pStyle w:val="Order2"/>
        <w:numPr>
          <w:ilvl w:val="0"/>
          <w:numId w:val="0"/>
        </w:numPr>
        <w:tabs>
          <w:tab w:val="left" w:pos="1440"/>
        </w:tabs>
        <w:ind w:left="1440" w:hanging="720"/>
      </w:pPr>
      <w:r>
        <w:t>(d)</w:t>
      </w:r>
      <w:r>
        <w:tab/>
      </w:r>
      <w:r w:rsidR="009B00A0">
        <w:t>f</w:t>
      </w:r>
      <w:r w:rsidR="003D4FBD">
        <w:t>ailing agreement on the above, competing orders</w:t>
      </w:r>
      <w:r w:rsidR="000C518E">
        <w:t>,</w:t>
      </w:r>
      <w:r w:rsidR="00A31EA1">
        <w:t xml:space="preserve"> </w:t>
      </w:r>
      <w:r w:rsidR="003D4FBD">
        <w:t>redactions</w:t>
      </w:r>
      <w:r w:rsidR="000C518E">
        <w:t xml:space="preserve"> (if necessary)</w:t>
      </w:r>
      <w:r w:rsidR="003D4FBD">
        <w:t xml:space="preserve"> and short submissions in support of their respective positions.</w:t>
      </w:r>
    </w:p>
    <w:p w14:paraId="6063859E" w14:textId="31D9D51A" w:rsidR="003D4FBD" w:rsidRDefault="001E3C6B" w:rsidP="001E3C6B">
      <w:pPr>
        <w:pStyle w:val="Order1"/>
        <w:numPr>
          <w:ilvl w:val="0"/>
          <w:numId w:val="0"/>
        </w:numPr>
        <w:tabs>
          <w:tab w:val="left" w:pos="720"/>
        </w:tabs>
        <w:ind w:left="720" w:hanging="720"/>
      </w:pPr>
      <w:r>
        <w:lastRenderedPageBreak/>
        <w:t>2.</w:t>
      </w:r>
      <w:r>
        <w:tab/>
      </w:r>
      <w:r w:rsidR="003D4FBD">
        <w:t>Until further order, the text of the reasons for judgment published today is to be published and disclosed only to the external lawyers (solicitors and counsel)</w:t>
      </w:r>
      <w:r w:rsidR="000C7F08">
        <w:t>, including foreign lawyers,</w:t>
      </w:r>
      <w:r w:rsidR="003D4FBD">
        <w:t xml:space="preserve"> of the parties who may then disclose the substance of the reasons to their respective clients (the parties) without disclosing any facts or information in the reasons which may be the subject of suppression orders in respect of the evidence in the proceeding from which the facts or information</w:t>
      </w:r>
      <w:r w:rsidR="000C7F08">
        <w:t xml:space="preserve"> is </w:t>
      </w:r>
      <w:r w:rsidR="003D4FBD">
        <w:t>drawn.</w:t>
      </w:r>
    </w:p>
    <w:p w14:paraId="6509F05D" w14:textId="77777777" w:rsidR="001A6C52" w:rsidRDefault="001A6C52" w:rsidP="001A6C52">
      <w:pPr>
        <w:pStyle w:val="BodyText"/>
      </w:pPr>
    </w:p>
    <w:p w14:paraId="49570430" w14:textId="77777777" w:rsidR="00A431E6" w:rsidRDefault="00A431E6" w:rsidP="001A6C52">
      <w:pPr>
        <w:pStyle w:val="BodyText"/>
      </w:pPr>
    </w:p>
    <w:p w14:paraId="2A488E90" w14:textId="77777777" w:rsidR="0050309C" w:rsidRDefault="003E6446"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3C91FE15" w14:textId="77777777" w:rsidR="0092590B" w:rsidRDefault="0092590B" w:rsidP="002B0E91">
      <w:pPr>
        <w:pStyle w:val="BodyText"/>
      </w:pPr>
    </w:p>
    <w:p w14:paraId="47CD4851" w14:textId="77777777" w:rsidR="00395B24" w:rsidRDefault="00395B24">
      <w:pPr>
        <w:pStyle w:val="NormalHeadings"/>
        <w:spacing w:before="240" w:after="120"/>
        <w:rPr>
          <w:b w:val="0"/>
        </w:rPr>
        <w:sectPr w:rsidR="00395B24" w:rsidSect="0092590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295C195A" w14:textId="77777777" w:rsidR="003E6446" w:rsidRPr="00045BB7" w:rsidRDefault="003E6446"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3E6446" w14:paraId="7CBD45AF" w14:textId="77777777" w:rsidTr="00E81DA6">
        <w:tc>
          <w:tcPr>
            <w:tcW w:w="6912" w:type="dxa"/>
            <w:gridSpan w:val="2"/>
          </w:tcPr>
          <w:p w14:paraId="4D4567F0" w14:textId="77777777" w:rsidR="003E6446" w:rsidRPr="001765E0" w:rsidRDefault="003E6446" w:rsidP="00EE4D06">
            <w:pPr>
              <w:pStyle w:val="NormalHeadings"/>
            </w:pPr>
          </w:p>
        </w:tc>
        <w:tc>
          <w:tcPr>
            <w:tcW w:w="2330" w:type="dxa"/>
          </w:tcPr>
          <w:p w14:paraId="7AB13EA5" w14:textId="77777777" w:rsidR="003E6446" w:rsidRDefault="003E6446" w:rsidP="00EE4D06">
            <w:pPr>
              <w:pStyle w:val="NormalHeadings"/>
              <w:jc w:val="right"/>
            </w:pPr>
            <w:r>
              <w:t>NSD 1802 of 2017</w:t>
            </w:r>
          </w:p>
        </w:tc>
      </w:tr>
      <w:tr w:rsidR="003E6446" w14:paraId="73BFB6C7" w14:textId="77777777" w:rsidTr="00EE4D06">
        <w:tc>
          <w:tcPr>
            <w:tcW w:w="9242" w:type="dxa"/>
            <w:gridSpan w:val="3"/>
          </w:tcPr>
          <w:p w14:paraId="0427539F" w14:textId="77777777" w:rsidR="003E6446" w:rsidRPr="00A76C13" w:rsidRDefault="003E6446" w:rsidP="00EE4D06">
            <w:pPr>
              <w:pStyle w:val="NormalHeadings"/>
              <w:jc w:val="left"/>
            </w:pPr>
          </w:p>
        </w:tc>
      </w:tr>
      <w:tr w:rsidR="003E6446" w14:paraId="71C4DACF" w14:textId="77777777" w:rsidTr="00EE4D06">
        <w:trPr>
          <w:trHeight w:val="386"/>
        </w:trPr>
        <w:tc>
          <w:tcPr>
            <w:tcW w:w="2376" w:type="dxa"/>
          </w:tcPr>
          <w:p w14:paraId="1CD3DD17" w14:textId="77777777" w:rsidR="003E6446" w:rsidRPr="009B00A0" w:rsidRDefault="003E6446" w:rsidP="00EE4D06">
            <w:pPr>
              <w:pStyle w:val="NormalHeadings"/>
              <w:jc w:val="left"/>
              <w:rPr>
                <w:caps/>
                <w:szCs w:val="24"/>
              </w:rPr>
            </w:pPr>
            <w:r w:rsidRPr="009B00A0">
              <w:rPr>
                <w:caps/>
                <w:szCs w:val="24"/>
              </w:rPr>
              <w:t>BETWEEN:</w:t>
            </w:r>
          </w:p>
        </w:tc>
        <w:tc>
          <w:tcPr>
            <w:tcW w:w="6866" w:type="dxa"/>
            <w:gridSpan w:val="2"/>
          </w:tcPr>
          <w:p w14:paraId="06D58B4F" w14:textId="182B3BFC" w:rsidR="003E6446" w:rsidRPr="00C23901" w:rsidRDefault="00E571FD" w:rsidP="00C23901">
            <w:pPr>
              <w:pStyle w:val="NormalHeadings"/>
            </w:pPr>
            <w:r w:rsidRPr="00C23901">
              <w:t>ALLERGAN INC</w:t>
            </w:r>
          </w:p>
          <w:p w14:paraId="494E01E8" w14:textId="77777777" w:rsidR="003E6446" w:rsidRPr="009B00A0" w:rsidRDefault="003E6446" w:rsidP="00C23901">
            <w:pPr>
              <w:pStyle w:val="PartyType"/>
            </w:pPr>
            <w:r w:rsidRPr="009B00A0">
              <w:t xml:space="preserve">Appellant </w:t>
            </w:r>
          </w:p>
          <w:p w14:paraId="50AC0190" w14:textId="77777777" w:rsidR="003E6446" w:rsidRPr="009B00A0" w:rsidRDefault="003E6446" w:rsidP="00EE4D06">
            <w:pPr>
              <w:pStyle w:val="NormalHeadings"/>
              <w:rPr>
                <w:szCs w:val="24"/>
              </w:rPr>
            </w:pPr>
          </w:p>
        </w:tc>
      </w:tr>
      <w:tr w:rsidR="003E6446" w14:paraId="50079BC2" w14:textId="77777777" w:rsidTr="00EE4D06">
        <w:trPr>
          <w:trHeight w:val="386"/>
        </w:trPr>
        <w:tc>
          <w:tcPr>
            <w:tcW w:w="2376" w:type="dxa"/>
          </w:tcPr>
          <w:p w14:paraId="280B2DD0" w14:textId="77777777" w:rsidR="003E6446" w:rsidRPr="009B00A0" w:rsidRDefault="003E6446" w:rsidP="00EE4D06">
            <w:pPr>
              <w:pStyle w:val="NormalHeadings"/>
              <w:jc w:val="left"/>
              <w:rPr>
                <w:caps/>
                <w:szCs w:val="24"/>
              </w:rPr>
            </w:pPr>
            <w:r w:rsidRPr="009B00A0">
              <w:rPr>
                <w:caps/>
                <w:szCs w:val="24"/>
              </w:rPr>
              <w:t>AND:</w:t>
            </w:r>
          </w:p>
        </w:tc>
        <w:tc>
          <w:tcPr>
            <w:tcW w:w="6866" w:type="dxa"/>
            <w:gridSpan w:val="2"/>
          </w:tcPr>
          <w:p w14:paraId="4FE94CB8" w14:textId="77777777" w:rsidR="003E6446" w:rsidRPr="009B00A0" w:rsidRDefault="003E6446" w:rsidP="00C23901">
            <w:pPr>
              <w:pStyle w:val="NormalHeadings"/>
            </w:pPr>
            <w:r w:rsidRPr="00C23901">
              <w:t xml:space="preserve">SELF CARE IP HOLDINGS PTY LTD (ACN 134 308 151) </w:t>
            </w:r>
          </w:p>
          <w:p w14:paraId="4431059C" w14:textId="77777777" w:rsidR="003E6446" w:rsidRPr="009B00A0" w:rsidRDefault="003E6446" w:rsidP="003E6446">
            <w:pPr>
              <w:pStyle w:val="PartyType"/>
            </w:pPr>
            <w:r w:rsidRPr="009B00A0">
              <w:t xml:space="preserve">Respondent </w:t>
            </w:r>
          </w:p>
          <w:p w14:paraId="27B1188D" w14:textId="77777777" w:rsidR="003E6446" w:rsidRPr="009B00A0" w:rsidRDefault="003E6446" w:rsidP="00EE4D06">
            <w:pPr>
              <w:pStyle w:val="NormalHeadings"/>
              <w:rPr>
                <w:szCs w:val="24"/>
              </w:rPr>
            </w:pPr>
          </w:p>
        </w:tc>
      </w:tr>
    </w:tbl>
    <w:p w14:paraId="4EEF46B4" w14:textId="77777777" w:rsidR="003E6446" w:rsidRDefault="003E6446">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E6446" w14:paraId="6C434B00" w14:textId="77777777">
        <w:tc>
          <w:tcPr>
            <w:tcW w:w="2376" w:type="dxa"/>
          </w:tcPr>
          <w:p w14:paraId="4C785071" w14:textId="77777777" w:rsidR="003E6446" w:rsidRDefault="003E6446">
            <w:pPr>
              <w:pStyle w:val="NormalHeadings"/>
              <w:spacing w:after="120"/>
              <w:jc w:val="left"/>
              <w:rPr>
                <w:caps/>
                <w:szCs w:val="24"/>
              </w:rPr>
            </w:pPr>
            <w:r>
              <w:rPr>
                <w:caps/>
                <w:szCs w:val="24"/>
              </w:rPr>
              <w:t>order made by:</w:t>
            </w:r>
          </w:p>
        </w:tc>
        <w:tc>
          <w:tcPr>
            <w:tcW w:w="6866" w:type="dxa"/>
          </w:tcPr>
          <w:p w14:paraId="3EB2CBDA" w14:textId="77777777" w:rsidR="003E6446" w:rsidRDefault="003E6446">
            <w:pPr>
              <w:pStyle w:val="NormalHeadings"/>
              <w:jc w:val="left"/>
              <w:rPr>
                <w:caps/>
                <w:szCs w:val="24"/>
              </w:rPr>
            </w:pPr>
            <w:r>
              <w:rPr>
                <w:caps/>
                <w:szCs w:val="24"/>
              </w:rPr>
              <w:t>STEWART J</w:t>
            </w:r>
          </w:p>
        </w:tc>
      </w:tr>
      <w:tr w:rsidR="003E6446" w14:paraId="32CB9A94" w14:textId="77777777">
        <w:tc>
          <w:tcPr>
            <w:tcW w:w="2376" w:type="dxa"/>
          </w:tcPr>
          <w:p w14:paraId="6CA132E9" w14:textId="77777777" w:rsidR="003E6446" w:rsidRDefault="003E6446">
            <w:pPr>
              <w:pStyle w:val="NormalHeadings"/>
              <w:spacing w:after="120"/>
              <w:jc w:val="left"/>
              <w:rPr>
                <w:caps/>
                <w:szCs w:val="24"/>
              </w:rPr>
            </w:pPr>
            <w:r>
              <w:rPr>
                <w:caps/>
                <w:szCs w:val="24"/>
              </w:rPr>
              <w:t>DATE OF ORDER:</w:t>
            </w:r>
          </w:p>
        </w:tc>
        <w:tc>
          <w:tcPr>
            <w:tcW w:w="6866" w:type="dxa"/>
          </w:tcPr>
          <w:p w14:paraId="7F2B14D8" w14:textId="2E334674" w:rsidR="003E6446" w:rsidRDefault="000B25A1">
            <w:pPr>
              <w:pStyle w:val="NormalHeadings"/>
              <w:jc w:val="left"/>
              <w:rPr>
                <w:caps/>
                <w:szCs w:val="24"/>
              </w:rPr>
            </w:pPr>
            <w:r>
              <w:rPr>
                <w:caps/>
                <w:szCs w:val="24"/>
              </w:rPr>
              <w:t>22 October 2020</w:t>
            </w:r>
          </w:p>
        </w:tc>
      </w:tr>
    </w:tbl>
    <w:p w14:paraId="47F60033" w14:textId="77777777" w:rsidR="003E6446" w:rsidRDefault="003E6446">
      <w:pPr>
        <w:pStyle w:val="NormalHeadings"/>
        <w:rPr>
          <w:b w:val="0"/>
        </w:rPr>
      </w:pPr>
    </w:p>
    <w:p w14:paraId="4372759A" w14:textId="77777777" w:rsidR="003E6446" w:rsidRDefault="003E6446">
      <w:pPr>
        <w:pStyle w:val="NormalHeadings"/>
        <w:rPr>
          <w:b w:val="0"/>
        </w:rPr>
      </w:pPr>
    </w:p>
    <w:p w14:paraId="19165CF4" w14:textId="77777777" w:rsidR="003E6446" w:rsidRDefault="003E6446">
      <w:pPr>
        <w:pStyle w:val="NormalHeadings"/>
      </w:pPr>
      <w:r>
        <w:t>THE COURT ORDERS THAT:</w:t>
      </w:r>
    </w:p>
    <w:p w14:paraId="09F8C579" w14:textId="77777777" w:rsidR="003E6446" w:rsidRDefault="003E6446">
      <w:pPr>
        <w:pStyle w:val="NormalHeadings"/>
      </w:pPr>
    </w:p>
    <w:p w14:paraId="27BC7BB7" w14:textId="75D15E86" w:rsidR="003E6446" w:rsidRPr="00BC5AF4" w:rsidRDefault="001E3C6B" w:rsidP="001E3C6B">
      <w:pPr>
        <w:pStyle w:val="Order1"/>
        <w:numPr>
          <w:ilvl w:val="0"/>
          <w:numId w:val="0"/>
        </w:numPr>
        <w:tabs>
          <w:tab w:val="left" w:pos="720"/>
        </w:tabs>
        <w:ind w:left="720" w:hanging="720"/>
      </w:pPr>
      <w:bookmarkStart w:id="23" w:name="Order_Start_Text"/>
      <w:bookmarkEnd w:id="23"/>
      <w:r w:rsidRPr="00BC5AF4">
        <w:t>1.</w:t>
      </w:r>
      <w:r w:rsidRPr="00BC5AF4">
        <w:tab/>
      </w:r>
      <w:r w:rsidR="00841656" w:rsidRPr="00BC5AF4">
        <w:t xml:space="preserve">The appeal be dismissed. </w:t>
      </w:r>
    </w:p>
    <w:p w14:paraId="40C2D3EA" w14:textId="3BCE564B" w:rsidR="000B25A1" w:rsidRDefault="001E3C6B" w:rsidP="001E3C6B">
      <w:pPr>
        <w:pStyle w:val="Order1"/>
        <w:numPr>
          <w:ilvl w:val="0"/>
          <w:numId w:val="0"/>
        </w:numPr>
        <w:tabs>
          <w:tab w:val="left" w:pos="720"/>
        </w:tabs>
        <w:ind w:left="720" w:hanging="720"/>
      </w:pPr>
      <w:r>
        <w:t>2.</w:t>
      </w:r>
      <w:r>
        <w:tab/>
      </w:r>
      <w:r w:rsidR="00841656" w:rsidRPr="00BC5AF4">
        <w:t>The appellant is to pay the respondent’s costs of the appeal as agreed or taxed.</w:t>
      </w:r>
    </w:p>
    <w:p w14:paraId="17299636" w14:textId="27106A64" w:rsidR="00841656" w:rsidRDefault="001E3C6B" w:rsidP="001E3C6B">
      <w:pPr>
        <w:pStyle w:val="Order1"/>
        <w:numPr>
          <w:ilvl w:val="0"/>
          <w:numId w:val="0"/>
        </w:numPr>
        <w:tabs>
          <w:tab w:val="left" w:pos="720"/>
        </w:tabs>
        <w:ind w:left="720" w:hanging="720"/>
      </w:pPr>
      <w:r>
        <w:t>3.</w:t>
      </w:r>
      <w:r>
        <w:tab/>
      </w:r>
      <w:r w:rsidR="000B25A1">
        <w:t xml:space="preserve">In terms of r 36.03(b) of the </w:t>
      </w:r>
      <w:r w:rsidR="000B25A1">
        <w:rPr>
          <w:i/>
        </w:rPr>
        <w:t>Federal Court Rules 2011</w:t>
      </w:r>
      <w:r w:rsidR="000B25A1">
        <w:t>, the time for the filing of a notice of appeal from these orders shall be 28 days after final orders are entered in proceeding NSD15/2017 as contemplated by order 1(a) of the orders in that proceeding made on 22 October 2020.</w:t>
      </w:r>
    </w:p>
    <w:p w14:paraId="04E2DD45" w14:textId="77777777" w:rsidR="003E6446" w:rsidRDefault="003E6446" w:rsidP="002B0E91">
      <w:pPr>
        <w:pStyle w:val="BodyText"/>
      </w:pPr>
    </w:p>
    <w:p w14:paraId="0E4F65FA" w14:textId="77777777" w:rsidR="003E6446" w:rsidRDefault="003E6446" w:rsidP="002B0E91">
      <w:pPr>
        <w:pStyle w:val="BodyText"/>
      </w:pPr>
    </w:p>
    <w:p w14:paraId="1707ED5B" w14:textId="6DBFFFC4" w:rsidR="003E6446" w:rsidRPr="00073D7C" w:rsidRDefault="003E6446" w:rsidP="00EE4D06">
      <w:pPr>
        <w:pStyle w:val="BodyText"/>
        <w:rPr>
          <w:highlight w:val="yellow"/>
        </w:rPr>
      </w:pPr>
      <w:bookmarkStart w:id="24" w:name="OrdersStatementN"/>
      <w:bookmarkEnd w:id="24"/>
      <w:r w:rsidRPr="007F2CAA">
        <w:t>[</w:t>
      </w:r>
      <w:r w:rsidR="00841656">
        <w:t>Note:</w:t>
      </w:r>
      <w:r w:rsidR="00841656">
        <w:tab/>
        <w:t xml:space="preserve">Entry of orders is dealt with in Rule 39.32 of the </w:t>
      </w:r>
      <w:r w:rsidR="00841656">
        <w:rPr>
          <w:i/>
        </w:rPr>
        <w:t>Federal Court Rules 2011</w:t>
      </w:r>
      <w:r w:rsidR="00841656">
        <w:t>.</w:t>
      </w:r>
      <w:r w:rsidRPr="007F2CAA">
        <w:t>]</w:t>
      </w:r>
    </w:p>
    <w:p w14:paraId="2629851E" w14:textId="77777777" w:rsidR="003E6446" w:rsidRDefault="003E6446" w:rsidP="002B0E91">
      <w:pPr>
        <w:pStyle w:val="BodyText"/>
      </w:pPr>
    </w:p>
    <w:p w14:paraId="21E48733" w14:textId="77777777" w:rsidR="003E6446" w:rsidRDefault="003E6446">
      <w:pPr>
        <w:pStyle w:val="NormalHeadings"/>
        <w:spacing w:before="240" w:after="120"/>
        <w:rPr>
          <w:b w:val="0"/>
        </w:rPr>
        <w:sectPr w:rsidR="003E6446" w:rsidSect="00EE4D06">
          <w:headerReference w:type="default" r:id="rId15"/>
          <w:headerReference w:type="first" r:id="rId16"/>
          <w:endnotePr>
            <w:numFmt w:val="decimal"/>
          </w:endnotePr>
          <w:pgSz w:w="11907" w:h="16840" w:code="9"/>
          <w:pgMar w:top="1440" w:right="1440" w:bottom="1440" w:left="1440" w:header="851" w:footer="851" w:gutter="0"/>
          <w:pgNumType w:fmt="lowerRoman"/>
          <w:cols w:space="720"/>
          <w:noEndnote/>
          <w:titlePg/>
        </w:sectPr>
      </w:pPr>
    </w:p>
    <w:p w14:paraId="572364F3" w14:textId="77777777" w:rsidR="00484F6D" w:rsidRPr="00045BB7" w:rsidRDefault="00484F6D" w:rsidP="00045BB7">
      <w:pPr>
        <w:pStyle w:val="NormalHeadings"/>
        <w:spacing w:line="480" w:lineRule="auto"/>
        <w:jc w:val="center"/>
        <w:rPr>
          <w:sz w:val="28"/>
          <w:szCs w:val="28"/>
        </w:rPr>
      </w:pPr>
      <w:bookmarkStart w:id="25" w:name="ReasonsPage"/>
      <w:bookmarkEnd w:id="25"/>
      <w:r w:rsidRPr="00045BB7">
        <w:rPr>
          <w:sz w:val="28"/>
          <w:szCs w:val="28"/>
        </w:rPr>
        <w:lastRenderedPageBreak/>
        <w:t>REASONS FOR JUDGMENT</w:t>
      </w:r>
    </w:p>
    <w:p w14:paraId="03E4ABAD" w14:textId="50AF3836" w:rsidR="00694BEB" w:rsidRDefault="00EE4D06" w:rsidP="005E0510">
      <w:pPr>
        <w:pStyle w:val="NormalHeadings"/>
        <w:spacing w:line="360" w:lineRule="auto"/>
        <w:jc w:val="left"/>
        <w:rPr>
          <w:sz w:val="26"/>
          <w:szCs w:val="26"/>
        </w:rPr>
      </w:pPr>
      <w:r>
        <w:rPr>
          <w:sz w:val="26"/>
          <w:szCs w:val="26"/>
        </w:rPr>
        <w:t>STEWART J:</w:t>
      </w:r>
    </w:p>
    <w:tbl>
      <w:tblPr>
        <w:tblW w:w="9291" w:type="dxa"/>
        <w:tblLook w:val="01E0" w:firstRow="1" w:lastRow="1" w:firstColumn="1" w:lastColumn="1" w:noHBand="0" w:noVBand="0"/>
      </w:tblPr>
      <w:tblGrid>
        <w:gridCol w:w="8291"/>
        <w:gridCol w:w="1000"/>
      </w:tblGrid>
      <w:tr w:rsidR="005B0DD3" w:rsidRPr="00D326DB" w14:paraId="30853123" w14:textId="77777777" w:rsidTr="005B0DD3">
        <w:tc>
          <w:tcPr>
            <w:tcW w:w="8291" w:type="dxa"/>
            <w:shd w:val="clear" w:color="auto" w:fill="auto"/>
          </w:tcPr>
          <w:bookmarkStart w:id="26" w:name="PTOC"/>
          <w:bookmarkStart w:id="27" w:name="_Ref34128797"/>
          <w:p w14:paraId="22C7DB1B" w14:textId="5801C63C"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_Ref54701558 \h </w:instrText>
            </w:r>
            <w:r>
              <w:rPr>
                <w:lang w:eastAsia="en-AU"/>
              </w:rPr>
            </w:r>
            <w:r>
              <w:rPr>
                <w:lang w:eastAsia="en-AU"/>
              </w:rPr>
              <w:fldChar w:fldCharType="separate"/>
            </w:r>
            <w:r w:rsidRPr="007A08C7">
              <w:t>INTRODUCTION</w:t>
            </w:r>
            <w:r>
              <w:rPr>
                <w:lang w:eastAsia="en-AU"/>
              </w:rPr>
              <w:fldChar w:fldCharType="end"/>
            </w:r>
          </w:p>
        </w:tc>
        <w:tc>
          <w:tcPr>
            <w:tcW w:w="1000" w:type="dxa"/>
            <w:shd w:val="clear" w:color="auto" w:fill="auto"/>
            <w:vAlign w:val="bottom"/>
          </w:tcPr>
          <w:p w14:paraId="682D64E9" w14:textId="363DF538" w:rsidR="005B0DD3" w:rsidRDefault="005B0DD3" w:rsidP="00C23901">
            <w:pPr>
              <w:spacing w:before="120" w:after="60" w:line="240" w:lineRule="auto"/>
              <w:jc w:val="right"/>
              <w:rPr>
                <w:szCs w:val="24"/>
              </w:rPr>
            </w:pPr>
            <w:r>
              <w:rPr>
                <w:szCs w:val="24"/>
              </w:rPr>
              <w:t>[1]</w:t>
            </w:r>
          </w:p>
        </w:tc>
      </w:tr>
      <w:tr w:rsidR="005B0DD3" w:rsidRPr="00D326DB" w14:paraId="752F7021" w14:textId="77777777" w:rsidTr="005B0DD3">
        <w:tc>
          <w:tcPr>
            <w:tcW w:w="8291" w:type="dxa"/>
            <w:shd w:val="clear" w:color="auto" w:fill="auto"/>
          </w:tcPr>
          <w:p w14:paraId="10B5DAE4" w14:textId="151C4E4D"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_Ref34128798 \h </w:instrText>
            </w:r>
            <w:r>
              <w:rPr>
                <w:lang w:eastAsia="en-AU"/>
              </w:rPr>
            </w:r>
            <w:r>
              <w:rPr>
                <w:lang w:eastAsia="en-AU"/>
              </w:rPr>
              <w:fldChar w:fldCharType="separate"/>
            </w:r>
            <w:r w:rsidRPr="007A08C7">
              <w:t>Background</w:t>
            </w:r>
            <w:r>
              <w:rPr>
                <w:lang w:eastAsia="en-AU"/>
              </w:rPr>
              <w:fldChar w:fldCharType="end"/>
            </w:r>
          </w:p>
        </w:tc>
        <w:tc>
          <w:tcPr>
            <w:tcW w:w="1000" w:type="dxa"/>
            <w:shd w:val="clear" w:color="auto" w:fill="auto"/>
            <w:vAlign w:val="bottom"/>
          </w:tcPr>
          <w:p w14:paraId="2B9B0584" w14:textId="49659460" w:rsidR="005B0DD3" w:rsidRDefault="005B0DD3" w:rsidP="00C23901">
            <w:pPr>
              <w:spacing w:before="120" w:after="60" w:line="240" w:lineRule="auto"/>
              <w:jc w:val="right"/>
              <w:rPr>
                <w:szCs w:val="24"/>
              </w:rPr>
            </w:pPr>
            <w:r>
              <w:rPr>
                <w:szCs w:val="24"/>
              </w:rPr>
              <w:t>[1]</w:t>
            </w:r>
          </w:p>
        </w:tc>
      </w:tr>
      <w:tr w:rsidR="005B0DD3" w:rsidRPr="00D326DB" w14:paraId="64917486" w14:textId="77777777" w:rsidTr="005B0DD3">
        <w:tc>
          <w:tcPr>
            <w:tcW w:w="8291" w:type="dxa"/>
            <w:shd w:val="clear" w:color="auto" w:fill="auto"/>
          </w:tcPr>
          <w:p w14:paraId="06A2F29C" w14:textId="49662B08"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_Ref54701559 \h </w:instrText>
            </w:r>
            <w:r>
              <w:rPr>
                <w:lang w:eastAsia="en-AU"/>
              </w:rPr>
            </w:r>
            <w:r>
              <w:rPr>
                <w:lang w:eastAsia="en-AU"/>
              </w:rPr>
              <w:fldChar w:fldCharType="separate"/>
            </w:r>
            <w:r w:rsidRPr="007A08C7">
              <w:t>The applicants, their product and their trade marks</w:t>
            </w:r>
            <w:r>
              <w:rPr>
                <w:lang w:eastAsia="en-AU"/>
              </w:rPr>
              <w:fldChar w:fldCharType="end"/>
            </w:r>
          </w:p>
        </w:tc>
        <w:tc>
          <w:tcPr>
            <w:tcW w:w="1000" w:type="dxa"/>
            <w:shd w:val="clear" w:color="auto" w:fill="auto"/>
            <w:vAlign w:val="bottom"/>
          </w:tcPr>
          <w:p w14:paraId="34420A49" w14:textId="32B59EC0" w:rsidR="005B0DD3" w:rsidRDefault="005B0DD3" w:rsidP="00C23901">
            <w:pPr>
              <w:spacing w:before="120" w:after="60" w:line="240" w:lineRule="auto"/>
              <w:jc w:val="right"/>
              <w:rPr>
                <w:szCs w:val="24"/>
              </w:rPr>
            </w:pPr>
            <w:r>
              <w:rPr>
                <w:szCs w:val="24"/>
              </w:rPr>
              <w:t>[5]</w:t>
            </w:r>
          </w:p>
        </w:tc>
      </w:tr>
      <w:tr w:rsidR="005B0DD3" w:rsidRPr="00D326DB" w14:paraId="488C01D3" w14:textId="77777777" w:rsidTr="005B0DD3">
        <w:tc>
          <w:tcPr>
            <w:tcW w:w="8291" w:type="dxa"/>
            <w:shd w:val="clear" w:color="auto" w:fill="auto"/>
          </w:tcPr>
          <w:p w14:paraId="1297A193" w14:textId="3360E245"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_Ref54701560 \h </w:instrText>
            </w:r>
            <w:r>
              <w:rPr>
                <w:lang w:eastAsia="en-AU"/>
              </w:rPr>
            </w:r>
            <w:r>
              <w:rPr>
                <w:lang w:eastAsia="en-AU"/>
              </w:rPr>
              <w:fldChar w:fldCharType="separate"/>
            </w:r>
            <w:r w:rsidRPr="007A08C7">
              <w:t>The respondents, their products and their trade marks</w:t>
            </w:r>
            <w:r>
              <w:rPr>
                <w:lang w:eastAsia="en-AU"/>
              </w:rPr>
              <w:fldChar w:fldCharType="end"/>
            </w:r>
          </w:p>
        </w:tc>
        <w:tc>
          <w:tcPr>
            <w:tcW w:w="1000" w:type="dxa"/>
            <w:shd w:val="clear" w:color="auto" w:fill="auto"/>
            <w:vAlign w:val="bottom"/>
          </w:tcPr>
          <w:p w14:paraId="5E1E3960" w14:textId="4C0BD53F" w:rsidR="005B0DD3" w:rsidRDefault="005B0DD3" w:rsidP="00C23901">
            <w:pPr>
              <w:spacing w:before="120" w:after="60" w:line="240" w:lineRule="auto"/>
              <w:jc w:val="right"/>
              <w:rPr>
                <w:szCs w:val="24"/>
              </w:rPr>
            </w:pPr>
            <w:r>
              <w:rPr>
                <w:szCs w:val="24"/>
              </w:rPr>
              <w:t>[25]</w:t>
            </w:r>
          </w:p>
        </w:tc>
      </w:tr>
      <w:tr w:rsidR="005B0DD3" w:rsidRPr="00D326DB" w14:paraId="04E59DFD" w14:textId="77777777" w:rsidTr="005B0DD3">
        <w:tc>
          <w:tcPr>
            <w:tcW w:w="8291" w:type="dxa"/>
            <w:shd w:val="clear" w:color="auto" w:fill="auto"/>
          </w:tcPr>
          <w:p w14:paraId="4A67FB36" w14:textId="07C792BE"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_Ref34128799 \h </w:instrText>
            </w:r>
            <w:r>
              <w:rPr>
                <w:lang w:eastAsia="en-AU"/>
              </w:rPr>
            </w:r>
            <w:r>
              <w:rPr>
                <w:lang w:eastAsia="en-AU"/>
              </w:rPr>
              <w:fldChar w:fldCharType="separate"/>
            </w:r>
            <w:r w:rsidRPr="007A08C7">
              <w:t>The proceedings</w:t>
            </w:r>
            <w:r>
              <w:rPr>
                <w:lang w:eastAsia="en-AU"/>
              </w:rPr>
              <w:fldChar w:fldCharType="end"/>
            </w:r>
          </w:p>
        </w:tc>
        <w:tc>
          <w:tcPr>
            <w:tcW w:w="1000" w:type="dxa"/>
            <w:shd w:val="clear" w:color="auto" w:fill="auto"/>
            <w:vAlign w:val="bottom"/>
          </w:tcPr>
          <w:p w14:paraId="121D30CB" w14:textId="7595D2C3" w:rsidR="005B0DD3" w:rsidRDefault="005B0DD3" w:rsidP="00C23901">
            <w:pPr>
              <w:spacing w:before="120" w:after="60" w:line="240" w:lineRule="auto"/>
              <w:jc w:val="right"/>
              <w:rPr>
                <w:szCs w:val="24"/>
              </w:rPr>
            </w:pPr>
            <w:r>
              <w:rPr>
                <w:szCs w:val="24"/>
              </w:rPr>
              <w:t>[36]</w:t>
            </w:r>
          </w:p>
        </w:tc>
      </w:tr>
      <w:tr w:rsidR="005B0DD3" w:rsidRPr="00D326DB" w14:paraId="2A0C6885" w14:textId="77777777" w:rsidTr="005B0DD3">
        <w:tc>
          <w:tcPr>
            <w:tcW w:w="8291" w:type="dxa"/>
            <w:shd w:val="clear" w:color="auto" w:fill="auto"/>
          </w:tcPr>
          <w:p w14:paraId="14CFD9CF" w14:textId="020616DD"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_Ref54701561 \h </w:instrText>
            </w:r>
            <w:r>
              <w:rPr>
                <w:lang w:eastAsia="en-AU"/>
              </w:rPr>
            </w:r>
            <w:r>
              <w:rPr>
                <w:lang w:eastAsia="en-AU"/>
              </w:rPr>
              <w:fldChar w:fldCharType="separate"/>
            </w:r>
            <w:r w:rsidRPr="007A08C7">
              <w:t>NSD15/2017</w:t>
            </w:r>
            <w:r>
              <w:rPr>
                <w:lang w:eastAsia="en-AU"/>
              </w:rPr>
              <w:fldChar w:fldCharType="end"/>
            </w:r>
          </w:p>
        </w:tc>
        <w:tc>
          <w:tcPr>
            <w:tcW w:w="1000" w:type="dxa"/>
            <w:shd w:val="clear" w:color="auto" w:fill="auto"/>
            <w:vAlign w:val="bottom"/>
          </w:tcPr>
          <w:p w14:paraId="04E3965F" w14:textId="15F380BD" w:rsidR="005B0DD3" w:rsidRDefault="005B0DD3" w:rsidP="00C23901">
            <w:pPr>
              <w:spacing w:before="120" w:after="60" w:line="240" w:lineRule="auto"/>
              <w:jc w:val="right"/>
              <w:rPr>
                <w:szCs w:val="24"/>
              </w:rPr>
            </w:pPr>
            <w:r>
              <w:rPr>
                <w:szCs w:val="24"/>
              </w:rPr>
              <w:t>[38]</w:t>
            </w:r>
          </w:p>
        </w:tc>
      </w:tr>
      <w:tr w:rsidR="005B0DD3" w:rsidRPr="00D326DB" w14:paraId="62CB5893" w14:textId="77777777" w:rsidTr="005B0DD3">
        <w:tc>
          <w:tcPr>
            <w:tcW w:w="8291" w:type="dxa"/>
            <w:shd w:val="clear" w:color="auto" w:fill="auto"/>
          </w:tcPr>
          <w:p w14:paraId="6A46DB6A" w14:textId="7F048EBB"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_Ref54701562 \h </w:instrText>
            </w:r>
            <w:r>
              <w:rPr>
                <w:lang w:eastAsia="en-AU"/>
              </w:rPr>
            </w:r>
            <w:r>
              <w:rPr>
                <w:lang w:eastAsia="en-AU"/>
              </w:rPr>
              <w:fldChar w:fldCharType="separate"/>
            </w:r>
            <w:r w:rsidRPr="007A08C7">
              <w:t>NSD1802/2017</w:t>
            </w:r>
            <w:r>
              <w:rPr>
                <w:lang w:eastAsia="en-AU"/>
              </w:rPr>
              <w:fldChar w:fldCharType="end"/>
            </w:r>
          </w:p>
        </w:tc>
        <w:tc>
          <w:tcPr>
            <w:tcW w:w="1000" w:type="dxa"/>
            <w:shd w:val="clear" w:color="auto" w:fill="auto"/>
            <w:vAlign w:val="bottom"/>
          </w:tcPr>
          <w:p w14:paraId="3B5C663F" w14:textId="6287C538" w:rsidR="005B0DD3" w:rsidRDefault="005B0DD3" w:rsidP="00C23901">
            <w:pPr>
              <w:spacing w:before="120" w:after="60" w:line="240" w:lineRule="auto"/>
              <w:jc w:val="right"/>
              <w:rPr>
                <w:szCs w:val="24"/>
              </w:rPr>
            </w:pPr>
            <w:r>
              <w:rPr>
                <w:szCs w:val="24"/>
              </w:rPr>
              <w:t>[52]</w:t>
            </w:r>
          </w:p>
        </w:tc>
      </w:tr>
      <w:tr w:rsidR="005B0DD3" w:rsidRPr="00D326DB" w14:paraId="6EABB655" w14:textId="77777777" w:rsidTr="005B0DD3">
        <w:tc>
          <w:tcPr>
            <w:tcW w:w="8291" w:type="dxa"/>
            <w:shd w:val="clear" w:color="auto" w:fill="auto"/>
          </w:tcPr>
          <w:p w14:paraId="32CAD9B5" w14:textId="34B0373A"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_Ref54701563 \h </w:instrText>
            </w:r>
            <w:r>
              <w:rPr>
                <w:lang w:eastAsia="en-AU"/>
              </w:rPr>
            </w:r>
            <w:r>
              <w:rPr>
                <w:lang w:eastAsia="en-AU"/>
              </w:rPr>
              <w:fldChar w:fldCharType="separate"/>
            </w:r>
            <w:r>
              <w:t>SELF CARE’S</w:t>
            </w:r>
            <w:r w:rsidRPr="007A08C7">
              <w:t xml:space="preserve"> </w:t>
            </w:r>
            <w:r>
              <w:t xml:space="preserve">MARKET, </w:t>
            </w:r>
            <w:r w:rsidRPr="007A08C7">
              <w:t>PRODUCTS AND PACKAGING</w:t>
            </w:r>
            <w:r>
              <w:rPr>
                <w:lang w:eastAsia="en-AU"/>
              </w:rPr>
              <w:fldChar w:fldCharType="end"/>
            </w:r>
          </w:p>
        </w:tc>
        <w:tc>
          <w:tcPr>
            <w:tcW w:w="1000" w:type="dxa"/>
            <w:shd w:val="clear" w:color="auto" w:fill="auto"/>
            <w:vAlign w:val="bottom"/>
          </w:tcPr>
          <w:p w14:paraId="2B0EB7BE" w14:textId="2F8AF081" w:rsidR="005B0DD3" w:rsidRDefault="005B0DD3" w:rsidP="00C23901">
            <w:pPr>
              <w:spacing w:before="120" w:after="60" w:line="240" w:lineRule="auto"/>
              <w:jc w:val="right"/>
              <w:rPr>
                <w:szCs w:val="24"/>
              </w:rPr>
            </w:pPr>
            <w:r>
              <w:rPr>
                <w:szCs w:val="24"/>
              </w:rPr>
              <w:t>[54]</w:t>
            </w:r>
          </w:p>
        </w:tc>
      </w:tr>
      <w:tr w:rsidR="005B0DD3" w:rsidRPr="00D326DB" w14:paraId="0A1E07EC" w14:textId="77777777" w:rsidTr="005B0DD3">
        <w:tc>
          <w:tcPr>
            <w:tcW w:w="8291" w:type="dxa"/>
            <w:shd w:val="clear" w:color="auto" w:fill="auto"/>
          </w:tcPr>
          <w:p w14:paraId="6AB8049E" w14:textId="1974425A"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_Ref54701564 \h </w:instrText>
            </w:r>
            <w:r>
              <w:rPr>
                <w:lang w:eastAsia="en-AU"/>
              </w:rPr>
            </w:r>
            <w:r>
              <w:rPr>
                <w:lang w:eastAsia="en-AU"/>
              </w:rPr>
              <w:fldChar w:fldCharType="separate"/>
            </w:r>
            <w:r>
              <w:t>The market</w:t>
            </w:r>
            <w:r>
              <w:rPr>
                <w:lang w:eastAsia="en-AU"/>
              </w:rPr>
              <w:fldChar w:fldCharType="end"/>
            </w:r>
          </w:p>
        </w:tc>
        <w:tc>
          <w:tcPr>
            <w:tcW w:w="1000" w:type="dxa"/>
            <w:shd w:val="clear" w:color="auto" w:fill="auto"/>
            <w:vAlign w:val="bottom"/>
          </w:tcPr>
          <w:p w14:paraId="30961E88" w14:textId="79FFA6CB" w:rsidR="005B0DD3" w:rsidRDefault="005B0DD3" w:rsidP="00C23901">
            <w:pPr>
              <w:spacing w:before="120" w:after="60" w:line="240" w:lineRule="auto"/>
              <w:jc w:val="right"/>
              <w:rPr>
                <w:szCs w:val="24"/>
              </w:rPr>
            </w:pPr>
            <w:r>
              <w:rPr>
                <w:szCs w:val="24"/>
              </w:rPr>
              <w:t>[54]</w:t>
            </w:r>
          </w:p>
        </w:tc>
      </w:tr>
      <w:tr w:rsidR="005B0DD3" w:rsidRPr="00D326DB" w14:paraId="1BBE1755" w14:textId="77777777" w:rsidTr="005B0DD3">
        <w:tc>
          <w:tcPr>
            <w:tcW w:w="8291" w:type="dxa"/>
            <w:shd w:val="clear" w:color="auto" w:fill="auto"/>
          </w:tcPr>
          <w:p w14:paraId="0FE89F6C" w14:textId="0B8314B6"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_Ref54701565 \h </w:instrText>
            </w:r>
            <w:r>
              <w:rPr>
                <w:lang w:eastAsia="en-AU"/>
              </w:rPr>
            </w:r>
            <w:r>
              <w:rPr>
                <w:lang w:eastAsia="en-AU"/>
              </w:rPr>
              <w:fldChar w:fldCharType="separate"/>
            </w:r>
            <w:r w:rsidRPr="007A08C7">
              <w:t>Protox product</w:t>
            </w:r>
            <w:r>
              <w:rPr>
                <w:lang w:eastAsia="en-AU"/>
              </w:rPr>
              <w:fldChar w:fldCharType="end"/>
            </w:r>
          </w:p>
        </w:tc>
        <w:tc>
          <w:tcPr>
            <w:tcW w:w="1000" w:type="dxa"/>
            <w:shd w:val="clear" w:color="auto" w:fill="auto"/>
            <w:vAlign w:val="bottom"/>
          </w:tcPr>
          <w:p w14:paraId="6A38AFD3" w14:textId="66C9A9FE" w:rsidR="005B0DD3" w:rsidRDefault="005B0DD3" w:rsidP="00C23901">
            <w:pPr>
              <w:spacing w:before="120" w:after="60" w:line="240" w:lineRule="auto"/>
              <w:jc w:val="right"/>
              <w:rPr>
                <w:szCs w:val="24"/>
              </w:rPr>
            </w:pPr>
            <w:r>
              <w:rPr>
                <w:szCs w:val="24"/>
              </w:rPr>
              <w:t>[62]</w:t>
            </w:r>
          </w:p>
        </w:tc>
      </w:tr>
      <w:tr w:rsidR="005B0DD3" w:rsidRPr="00D326DB" w14:paraId="596B40D6" w14:textId="77777777" w:rsidTr="005B0DD3">
        <w:tc>
          <w:tcPr>
            <w:tcW w:w="8291" w:type="dxa"/>
            <w:shd w:val="clear" w:color="auto" w:fill="auto"/>
          </w:tcPr>
          <w:p w14:paraId="6FF24BBE" w14:textId="65F8B430"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_Ref54701566 \h </w:instrText>
            </w:r>
            <w:r>
              <w:rPr>
                <w:lang w:eastAsia="en-AU"/>
              </w:rPr>
            </w:r>
            <w:r>
              <w:rPr>
                <w:lang w:eastAsia="en-AU"/>
              </w:rPr>
              <w:fldChar w:fldCharType="separate"/>
            </w:r>
            <w:r w:rsidRPr="007A08C7">
              <w:t>Inhibox product</w:t>
            </w:r>
            <w:r>
              <w:rPr>
                <w:lang w:eastAsia="en-AU"/>
              </w:rPr>
              <w:fldChar w:fldCharType="end"/>
            </w:r>
          </w:p>
        </w:tc>
        <w:tc>
          <w:tcPr>
            <w:tcW w:w="1000" w:type="dxa"/>
            <w:shd w:val="clear" w:color="auto" w:fill="auto"/>
            <w:vAlign w:val="bottom"/>
          </w:tcPr>
          <w:p w14:paraId="3D50A233" w14:textId="4FC92B5A" w:rsidR="005B0DD3" w:rsidRDefault="005B0DD3" w:rsidP="00C23901">
            <w:pPr>
              <w:spacing w:before="120" w:after="60" w:line="240" w:lineRule="auto"/>
              <w:jc w:val="right"/>
              <w:rPr>
                <w:szCs w:val="24"/>
              </w:rPr>
            </w:pPr>
            <w:r>
              <w:rPr>
                <w:szCs w:val="24"/>
              </w:rPr>
              <w:t>[76]</w:t>
            </w:r>
          </w:p>
        </w:tc>
      </w:tr>
      <w:tr w:rsidR="005B0DD3" w:rsidRPr="00D326DB" w14:paraId="13B9FCF3" w14:textId="77777777" w:rsidTr="005B0DD3">
        <w:tc>
          <w:tcPr>
            <w:tcW w:w="8291" w:type="dxa"/>
            <w:shd w:val="clear" w:color="auto" w:fill="auto"/>
          </w:tcPr>
          <w:p w14:paraId="06CF3128" w14:textId="3F492ACC"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_Ref54701567 \h </w:instrText>
            </w:r>
            <w:r>
              <w:rPr>
                <w:lang w:eastAsia="en-AU"/>
              </w:rPr>
            </w:r>
            <w:r>
              <w:rPr>
                <w:lang w:eastAsia="en-AU"/>
              </w:rPr>
              <w:fldChar w:fldCharType="separate"/>
            </w:r>
            <w:r w:rsidRPr="007A08C7">
              <w:t>Night (tube) product</w:t>
            </w:r>
            <w:r>
              <w:rPr>
                <w:lang w:eastAsia="en-AU"/>
              </w:rPr>
              <w:fldChar w:fldCharType="end"/>
            </w:r>
          </w:p>
        </w:tc>
        <w:tc>
          <w:tcPr>
            <w:tcW w:w="1000" w:type="dxa"/>
            <w:shd w:val="clear" w:color="auto" w:fill="auto"/>
            <w:vAlign w:val="bottom"/>
          </w:tcPr>
          <w:p w14:paraId="559D6F0C" w14:textId="3CD93AC0" w:rsidR="005B0DD3" w:rsidRDefault="005B0DD3" w:rsidP="00C23901">
            <w:pPr>
              <w:spacing w:before="120" w:after="60" w:line="240" w:lineRule="auto"/>
              <w:jc w:val="right"/>
              <w:rPr>
                <w:szCs w:val="24"/>
              </w:rPr>
            </w:pPr>
            <w:r>
              <w:rPr>
                <w:szCs w:val="24"/>
              </w:rPr>
              <w:t>[86]</w:t>
            </w:r>
          </w:p>
        </w:tc>
      </w:tr>
      <w:tr w:rsidR="005B0DD3" w:rsidRPr="00D326DB" w14:paraId="0349ADCD" w14:textId="77777777" w:rsidTr="005B0DD3">
        <w:tc>
          <w:tcPr>
            <w:tcW w:w="8291" w:type="dxa"/>
            <w:shd w:val="clear" w:color="auto" w:fill="auto"/>
          </w:tcPr>
          <w:p w14:paraId="332D14A9" w14:textId="4DB374EF"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_Ref54701568 \h </w:instrText>
            </w:r>
            <w:r>
              <w:rPr>
                <w:lang w:eastAsia="en-AU"/>
              </w:rPr>
            </w:r>
            <w:r>
              <w:rPr>
                <w:lang w:eastAsia="en-AU"/>
              </w:rPr>
              <w:fldChar w:fldCharType="separate"/>
            </w:r>
            <w:r w:rsidRPr="007A08C7">
              <w:t>Night (tub) product</w:t>
            </w:r>
            <w:r>
              <w:rPr>
                <w:lang w:eastAsia="en-AU"/>
              </w:rPr>
              <w:fldChar w:fldCharType="end"/>
            </w:r>
          </w:p>
        </w:tc>
        <w:tc>
          <w:tcPr>
            <w:tcW w:w="1000" w:type="dxa"/>
            <w:shd w:val="clear" w:color="auto" w:fill="auto"/>
            <w:vAlign w:val="bottom"/>
          </w:tcPr>
          <w:p w14:paraId="637E6731" w14:textId="64F5DEB3" w:rsidR="005B0DD3" w:rsidRDefault="005B0DD3" w:rsidP="00C23901">
            <w:pPr>
              <w:spacing w:before="120" w:after="60" w:line="240" w:lineRule="auto"/>
              <w:jc w:val="right"/>
              <w:rPr>
                <w:szCs w:val="24"/>
              </w:rPr>
            </w:pPr>
            <w:r>
              <w:rPr>
                <w:szCs w:val="24"/>
              </w:rPr>
              <w:t>[96]</w:t>
            </w:r>
          </w:p>
        </w:tc>
      </w:tr>
      <w:tr w:rsidR="005B0DD3" w:rsidRPr="00D326DB" w14:paraId="58B168E3" w14:textId="77777777" w:rsidTr="005B0DD3">
        <w:tc>
          <w:tcPr>
            <w:tcW w:w="8291" w:type="dxa"/>
            <w:shd w:val="clear" w:color="auto" w:fill="auto"/>
          </w:tcPr>
          <w:p w14:paraId="7A76CEAF" w14:textId="78AD6B08"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_Ref54701569 \h </w:instrText>
            </w:r>
            <w:r>
              <w:rPr>
                <w:lang w:eastAsia="en-AU"/>
              </w:rPr>
            </w:r>
            <w:r>
              <w:rPr>
                <w:lang w:eastAsia="en-AU"/>
              </w:rPr>
              <w:fldChar w:fldCharType="separate"/>
            </w:r>
            <w:r w:rsidRPr="007A08C7">
              <w:t>Boost Product</w:t>
            </w:r>
            <w:r>
              <w:rPr>
                <w:lang w:eastAsia="en-AU"/>
              </w:rPr>
              <w:fldChar w:fldCharType="end"/>
            </w:r>
          </w:p>
        </w:tc>
        <w:tc>
          <w:tcPr>
            <w:tcW w:w="1000" w:type="dxa"/>
            <w:shd w:val="clear" w:color="auto" w:fill="auto"/>
            <w:vAlign w:val="bottom"/>
          </w:tcPr>
          <w:p w14:paraId="3AE40570" w14:textId="4D6A0BE0" w:rsidR="005B0DD3" w:rsidRDefault="005B0DD3" w:rsidP="00C23901">
            <w:pPr>
              <w:spacing w:before="120" w:after="60" w:line="240" w:lineRule="auto"/>
              <w:jc w:val="right"/>
              <w:rPr>
                <w:szCs w:val="24"/>
              </w:rPr>
            </w:pPr>
            <w:r>
              <w:rPr>
                <w:szCs w:val="24"/>
              </w:rPr>
              <w:t>[100]</w:t>
            </w:r>
          </w:p>
        </w:tc>
      </w:tr>
      <w:tr w:rsidR="005B0DD3" w:rsidRPr="00D326DB" w14:paraId="42A6D5B0" w14:textId="77777777" w:rsidTr="005B0DD3">
        <w:tc>
          <w:tcPr>
            <w:tcW w:w="8291" w:type="dxa"/>
            <w:shd w:val="clear" w:color="auto" w:fill="auto"/>
          </w:tcPr>
          <w:p w14:paraId="05CE3C26" w14:textId="42BE6A61"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_Ref54701570 \h </w:instrText>
            </w:r>
            <w:r>
              <w:rPr>
                <w:lang w:eastAsia="en-AU"/>
              </w:rPr>
            </w:r>
            <w:r>
              <w:rPr>
                <w:lang w:eastAsia="en-AU"/>
              </w:rPr>
              <w:fldChar w:fldCharType="separate"/>
            </w:r>
            <w:r>
              <w:t>SELF CARE’S</w:t>
            </w:r>
            <w:r w:rsidRPr="007A08C7">
              <w:t xml:space="preserve"> IMPUGNED STATEMENTS AND ITS UNDERTAKINGS</w:t>
            </w:r>
            <w:r>
              <w:rPr>
                <w:lang w:eastAsia="en-AU"/>
              </w:rPr>
              <w:fldChar w:fldCharType="end"/>
            </w:r>
          </w:p>
        </w:tc>
        <w:tc>
          <w:tcPr>
            <w:tcW w:w="1000" w:type="dxa"/>
            <w:shd w:val="clear" w:color="auto" w:fill="auto"/>
            <w:vAlign w:val="bottom"/>
          </w:tcPr>
          <w:p w14:paraId="53E63C5E" w14:textId="2377D346" w:rsidR="005B0DD3" w:rsidRDefault="005B0DD3" w:rsidP="00C23901">
            <w:pPr>
              <w:spacing w:before="120" w:after="60" w:line="240" w:lineRule="auto"/>
              <w:jc w:val="right"/>
              <w:rPr>
                <w:szCs w:val="24"/>
              </w:rPr>
            </w:pPr>
            <w:r>
              <w:rPr>
                <w:szCs w:val="24"/>
              </w:rPr>
              <w:t>[107]</w:t>
            </w:r>
          </w:p>
        </w:tc>
      </w:tr>
      <w:tr w:rsidR="005B0DD3" w:rsidRPr="00D326DB" w14:paraId="60A7E6A9" w14:textId="77777777" w:rsidTr="005B0DD3">
        <w:tc>
          <w:tcPr>
            <w:tcW w:w="8291" w:type="dxa"/>
            <w:shd w:val="clear" w:color="auto" w:fill="auto"/>
          </w:tcPr>
          <w:p w14:paraId="25F68CA8" w14:textId="189E22DE"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_Ref54701571 \h </w:instrText>
            </w:r>
            <w:r>
              <w:rPr>
                <w:lang w:eastAsia="en-AU"/>
              </w:rPr>
            </w:r>
            <w:r>
              <w:rPr>
                <w:lang w:eastAsia="en-AU"/>
              </w:rPr>
              <w:fldChar w:fldCharType="separate"/>
            </w:r>
            <w:r>
              <w:t>THE REPUTATION OF BOTOX</w:t>
            </w:r>
            <w:r>
              <w:rPr>
                <w:lang w:eastAsia="en-AU"/>
              </w:rPr>
              <w:fldChar w:fldCharType="end"/>
            </w:r>
          </w:p>
        </w:tc>
        <w:tc>
          <w:tcPr>
            <w:tcW w:w="1000" w:type="dxa"/>
            <w:shd w:val="clear" w:color="auto" w:fill="auto"/>
            <w:vAlign w:val="bottom"/>
          </w:tcPr>
          <w:p w14:paraId="7E7EC712" w14:textId="49494625" w:rsidR="005B0DD3" w:rsidRDefault="005B0DD3" w:rsidP="00C23901">
            <w:pPr>
              <w:spacing w:before="120" w:after="60" w:line="240" w:lineRule="auto"/>
              <w:jc w:val="right"/>
              <w:rPr>
                <w:szCs w:val="24"/>
              </w:rPr>
            </w:pPr>
            <w:r>
              <w:rPr>
                <w:szCs w:val="24"/>
              </w:rPr>
              <w:t>[117]</w:t>
            </w:r>
          </w:p>
        </w:tc>
      </w:tr>
      <w:tr w:rsidR="005B0DD3" w:rsidRPr="00D326DB" w14:paraId="3BF8D554" w14:textId="77777777" w:rsidTr="005B0DD3">
        <w:tc>
          <w:tcPr>
            <w:tcW w:w="8291" w:type="dxa"/>
            <w:shd w:val="clear" w:color="auto" w:fill="auto"/>
          </w:tcPr>
          <w:p w14:paraId="22F22F47" w14:textId="50CE5520"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_Ref34128802 \h </w:instrText>
            </w:r>
            <w:r>
              <w:rPr>
                <w:lang w:eastAsia="en-AU"/>
              </w:rPr>
            </w:r>
            <w:r>
              <w:rPr>
                <w:lang w:eastAsia="en-AU"/>
              </w:rPr>
              <w:fldChar w:fldCharType="separate"/>
            </w:r>
            <w:r w:rsidRPr="007A08C7">
              <w:t>TRADE MARK INFRINGEMENT</w:t>
            </w:r>
            <w:r>
              <w:rPr>
                <w:lang w:eastAsia="en-AU"/>
              </w:rPr>
              <w:fldChar w:fldCharType="end"/>
            </w:r>
          </w:p>
        </w:tc>
        <w:tc>
          <w:tcPr>
            <w:tcW w:w="1000" w:type="dxa"/>
            <w:shd w:val="clear" w:color="auto" w:fill="auto"/>
            <w:vAlign w:val="bottom"/>
          </w:tcPr>
          <w:p w14:paraId="400C8937" w14:textId="47C1CD70" w:rsidR="005B0DD3" w:rsidRDefault="005B0DD3" w:rsidP="00C23901">
            <w:pPr>
              <w:spacing w:before="120" w:after="60" w:line="240" w:lineRule="auto"/>
              <w:jc w:val="right"/>
              <w:rPr>
                <w:szCs w:val="24"/>
              </w:rPr>
            </w:pPr>
            <w:r>
              <w:rPr>
                <w:szCs w:val="24"/>
              </w:rPr>
              <w:t>[154]</w:t>
            </w:r>
          </w:p>
        </w:tc>
      </w:tr>
      <w:tr w:rsidR="005B0DD3" w:rsidRPr="00D326DB" w14:paraId="2555B0F4" w14:textId="77777777" w:rsidTr="005B0DD3">
        <w:tc>
          <w:tcPr>
            <w:tcW w:w="8291" w:type="dxa"/>
            <w:shd w:val="clear" w:color="auto" w:fill="auto"/>
          </w:tcPr>
          <w:p w14:paraId="0EA9A52B" w14:textId="19B54DDB"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_Ref54701572 \h </w:instrText>
            </w:r>
            <w:r>
              <w:rPr>
                <w:lang w:eastAsia="en-AU"/>
              </w:rPr>
            </w:r>
            <w:r>
              <w:rPr>
                <w:lang w:eastAsia="en-AU"/>
              </w:rPr>
              <w:fldChar w:fldCharType="separate"/>
            </w:r>
            <w:r w:rsidRPr="007A08C7">
              <w:t>Infringement of BOTOX trade mark under ss 120(1) and 120(2) of TM Act</w:t>
            </w:r>
            <w:r>
              <w:rPr>
                <w:lang w:eastAsia="en-AU"/>
              </w:rPr>
              <w:fldChar w:fldCharType="end"/>
            </w:r>
          </w:p>
        </w:tc>
        <w:tc>
          <w:tcPr>
            <w:tcW w:w="1000" w:type="dxa"/>
            <w:shd w:val="clear" w:color="auto" w:fill="auto"/>
            <w:vAlign w:val="bottom"/>
          </w:tcPr>
          <w:p w14:paraId="1D3214D3" w14:textId="70E017E4" w:rsidR="005B0DD3" w:rsidRDefault="005B0DD3" w:rsidP="00C23901">
            <w:pPr>
              <w:spacing w:before="120" w:after="60" w:line="240" w:lineRule="auto"/>
              <w:jc w:val="right"/>
              <w:rPr>
                <w:szCs w:val="24"/>
              </w:rPr>
            </w:pPr>
            <w:r>
              <w:rPr>
                <w:szCs w:val="24"/>
              </w:rPr>
              <w:t>[154]</w:t>
            </w:r>
          </w:p>
        </w:tc>
      </w:tr>
      <w:tr w:rsidR="005B0DD3" w:rsidRPr="00D326DB" w14:paraId="29DC28D6" w14:textId="77777777" w:rsidTr="005B0DD3">
        <w:tc>
          <w:tcPr>
            <w:tcW w:w="8291" w:type="dxa"/>
            <w:shd w:val="clear" w:color="auto" w:fill="auto"/>
          </w:tcPr>
          <w:p w14:paraId="0FA285AB" w14:textId="62FAA25E"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_Ref54701573 \h </w:instrText>
            </w:r>
            <w:r>
              <w:rPr>
                <w:lang w:eastAsia="en-AU"/>
              </w:rPr>
            </w:r>
            <w:r>
              <w:rPr>
                <w:lang w:eastAsia="en-AU"/>
              </w:rPr>
              <w:fldChar w:fldCharType="separate"/>
            </w:r>
            <w:r w:rsidRPr="007A08C7">
              <w:t>Section 120 of the TM Act</w:t>
            </w:r>
            <w:r>
              <w:rPr>
                <w:lang w:eastAsia="en-AU"/>
              </w:rPr>
              <w:fldChar w:fldCharType="end"/>
            </w:r>
          </w:p>
        </w:tc>
        <w:tc>
          <w:tcPr>
            <w:tcW w:w="1000" w:type="dxa"/>
            <w:shd w:val="clear" w:color="auto" w:fill="auto"/>
            <w:vAlign w:val="bottom"/>
          </w:tcPr>
          <w:p w14:paraId="68EEBD2C" w14:textId="481C7D92" w:rsidR="005B0DD3" w:rsidRDefault="005B0DD3" w:rsidP="00C23901">
            <w:pPr>
              <w:spacing w:before="120" w:after="60" w:line="240" w:lineRule="auto"/>
              <w:jc w:val="right"/>
              <w:rPr>
                <w:szCs w:val="24"/>
              </w:rPr>
            </w:pPr>
            <w:r>
              <w:rPr>
                <w:szCs w:val="24"/>
              </w:rPr>
              <w:t>[155]</w:t>
            </w:r>
          </w:p>
        </w:tc>
      </w:tr>
      <w:tr w:rsidR="005B0DD3" w:rsidRPr="00D326DB" w14:paraId="1CCCBE04" w14:textId="77777777" w:rsidTr="005B0DD3">
        <w:tc>
          <w:tcPr>
            <w:tcW w:w="8291" w:type="dxa"/>
            <w:shd w:val="clear" w:color="auto" w:fill="auto"/>
          </w:tcPr>
          <w:p w14:paraId="567E0104" w14:textId="4A0878FA" w:rsidR="005B0DD3" w:rsidRPr="005B0DD3" w:rsidRDefault="005B0DD3" w:rsidP="005B0DD3">
            <w:pPr>
              <w:pStyle w:val="bTOC3"/>
              <w:tabs>
                <w:tab w:val="clear" w:pos="9071"/>
              </w:tabs>
              <w:rPr>
                <w:lang w:eastAsia="en-AU"/>
              </w:rPr>
            </w:pPr>
            <w:r>
              <w:rPr>
                <w:lang w:eastAsia="en-AU"/>
              </w:rPr>
              <w:t xml:space="preserve">(1)  </w:t>
            </w:r>
            <w:r>
              <w:rPr>
                <w:lang w:eastAsia="en-AU"/>
              </w:rPr>
              <w:fldChar w:fldCharType="begin" w:fldLock="1"/>
            </w:r>
            <w:r>
              <w:rPr>
                <w:lang w:eastAsia="en-AU"/>
              </w:rPr>
              <w:instrText xml:space="preserve"> REF _Ref54701574 \h </w:instrText>
            </w:r>
            <w:r>
              <w:rPr>
                <w:lang w:eastAsia="en-AU"/>
              </w:rPr>
            </w:r>
            <w:r>
              <w:rPr>
                <w:lang w:eastAsia="en-AU"/>
              </w:rPr>
              <w:fldChar w:fldCharType="separate"/>
            </w:r>
            <w:r w:rsidRPr="007A08C7">
              <w:t>Use as a trade mark – principles</w:t>
            </w:r>
            <w:r>
              <w:rPr>
                <w:lang w:eastAsia="en-AU"/>
              </w:rPr>
              <w:fldChar w:fldCharType="end"/>
            </w:r>
          </w:p>
        </w:tc>
        <w:tc>
          <w:tcPr>
            <w:tcW w:w="1000" w:type="dxa"/>
            <w:shd w:val="clear" w:color="auto" w:fill="auto"/>
            <w:vAlign w:val="bottom"/>
          </w:tcPr>
          <w:p w14:paraId="3AF9D0D1" w14:textId="6CECCDFD" w:rsidR="005B0DD3" w:rsidRDefault="005B0DD3" w:rsidP="00C23901">
            <w:pPr>
              <w:spacing w:before="120" w:after="60" w:line="240" w:lineRule="auto"/>
              <w:jc w:val="right"/>
              <w:rPr>
                <w:szCs w:val="24"/>
              </w:rPr>
            </w:pPr>
            <w:r>
              <w:rPr>
                <w:szCs w:val="24"/>
              </w:rPr>
              <w:t>[159]</w:t>
            </w:r>
          </w:p>
        </w:tc>
      </w:tr>
      <w:tr w:rsidR="005B0DD3" w:rsidRPr="00D326DB" w14:paraId="6D6034C8" w14:textId="77777777" w:rsidTr="005B0DD3">
        <w:tc>
          <w:tcPr>
            <w:tcW w:w="8291" w:type="dxa"/>
            <w:shd w:val="clear" w:color="auto" w:fill="auto"/>
          </w:tcPr>
          <w:p w14:paraId="2EF7EF95" w14:textId="216B5AB7" w:rsidR="005B0DD3" w:rsidRPr="005B0DD3" w:rsidRDefault="005B0DD3" w:rsidP="005B0DD3">
            <w:pPr>
              <w:pStyle w:val="bTOC3"/>
              <w:tabs>
                <w:tab w:val="clear" w:pos="9071"/>
              </w:tabs>
              <w:rPr>
                <w:lang w:eastAsia="en-AU"/>
              </w:rPr>
            </w:pPr>
            <w:r>
              <w:rPr>
                <w:lang w:eastAsia="en-AU"/>
              </w:rPr>
              <w:t xml:space="preserve">(2)  </w:t>
            </w:r>
            <w:r>
              <w:rPr>
                <w:lang w:eastAsia="en-AU"/>
              </w:rPr>
              <w:fldChar w:fldCharType="begin" w:fldLock="1"/>
            </w:r>
            <w:r>
              <w:rPr>
                <w:lang w:eastAsia="en-AU"/>
              </w:rPr>
              <w:instrText xml:space="preserve"> REF _Ref54701575 \h </w:instrText>
            </w:r>
            <w:r>
              <w:rPr>
                <w:lang w:eastAsia="en-AU"/>
              </w:rPr>
            </w:r>
            <w:r>
              <w:rPr>
                <w:lang w:eastAsia="en-AU"/>
              </w:rPr>
              <w:fldChar w:fldCharType="separate"/>
            </w:r>
            <w:r w:rsidRPr="007A08C7">
              <w:t>Deceptive similarity – principles</w:t>
            </w:r>
            <w:r>
              <w:rPr>
                <w:lang w:eastAsia="en-AU"/>
              </w:rPr>
              <w:fldChar w:fldCharType="end"/>
            </w:r>
          </w:p>
        </w:tc>
        <w:tc>
          <w:tcPr>
            <w:tcW w:w="1000" w:type="dxa"/>
            <w:shd w:val="clear" w:color="auto" w:fill="auto"/>
            <w:vAlign w:val="bottom"/>
          </w:tcPr>
          <w:p w14:paraId="78AF0503" w14:textId="40D6E0A4" w:rsidR="005B0DD3" w:rsidRDefault="005B0DD3" w:rsidP="00C23901">
            <w:pPr>
              <w:spacing w:before="120" w:after="60" w:line="240" w:lineRule="auto"/>
              <w:jc w:val="right"/>
              <w:rPr>
                <w:szCs w:val="24"/>
              </w:rPr>
            </w:pPr>
            <w:r>
              <w:rPr>
                <w:szCs w:val="24"/>
              </w:rPr>
              <w:t>[164]</w:t>
            </w:r>
          </w:p>
        </w:tc>
      </w:tr>
      <w:tr w:rsidR="005B0DD3" w:rsidRPr="00D326DB" w14:paraId="0D9B11FE" w14:textId="77777777" w:rsidTr="005B0DD3">
        <w:tc>
          <w:tcPr>
            <w:tcW w:w="8291" w:type="dxa"/>
            <w:shd w:val="clear" w:color="auto" w:fill="auto"/>
          </w:tcPr>
          <w:p w14:paraId="7A360F49" w14:textId="36391A78" w:rsidR="005B0DD3" w:rsidRPr="005B0DD3" w:rsidRDefault="005B0DD3" w:rsidP="005B0DD3">
            <w:pPr>
              <w:pStyle w:val="bTOC5"/>
              <w:tabs>
                <w:tab w:val="clear" w:pos="9072"/>
              </w:tabs>
              <w:rPr>
                <w:lang w:eastAsia="en-AU"/>
              </w:rPr>
            </w:pPr>
            <w:r>
              <w:rPr>
                <w:lang w:eastAsia="en-AU"/>
              </w:rPr>
              <w:t xml:space="preserve">               </w:t>
            </w:r>
            <w:r>
              <w:rPr>
                <w:lang w:eastAsia="en-AU"/>
              </w:rPr>
              <w:fldChar w:fldCharType="begin" w:fldLock="1"/>
            </w:r>
            <w:r>
              <w:rPr>
                <w:lang w:eastAsia="en-AU"/>
              </w:rPr>
              <w:instrText xml:space="preserve"> REF _Ref54701576 \w \h </w:instrText>
            </w:r>
            <w:r>
              <w:rPr>
                <w:lang w:eastAsia="en-AU"/>
              </w:rPr>
            </w:r>
            <w:r>
              <w:rPr>
                <w:lang w:eastAsia="en-AU"/>
              </w:rPr>
              <w:fldChar w:fldCharType="separate"/>
            </w:r>
            <w:r>
              <w:rPr>
                <w:lang w:eastAsia="en-AU"/>
              </w:rPr>
              <w:t>1</w:t>
            </w:r>
            <w:r>
              <w:rPr>
                <w:lang w:eastAsia="en-AU"/>
              </w:rPr>
              <w:fldChar w:fldCharType="end"/>
            </w:r>
            <w:r>
              <w:rPr>
                <w:lang w:eastAsia="en-AU"/>
              </w:rPr>
              <w:t>.</w:t>
            </w:r>
            <w:r>
              <w:rPr>
                <w:lang w:eastAsia="en-AU"/>
              </w:rPr>
              <w:tab/>
            </w:r>
            <w:r>
              <w:rPr>
                <w:lang w:eastAsia="en-AU"/>
              </w:rPr>
              <w:fldChar w:fldCharType="begin" w:fldLock="1"/>
            </w:r>
            <w:r>
              <w:rPr>
                <w:lang w:eastAsia="en-AU"/>
              </w:rPr>
              <w:instrText xml:space="preserve"> REF _Ref54701576 \h </w:instrText>
            </w:r>
            <w:r>
              <w:rPr>
                <w:lang w:eastAsia="en-AU"/>
              </w:rPr>
            </w:r>
            <w:r>
              <w:rPr>
                <w:lang w:eastAsia="en-AU"/>
              </w:rPr>
              <w:fldChar w:fldCharType="separate"/>
            </w:r>
            <w:r w:rsidRPr="00444DD0">
              <w:t>Su</w:t>
            </w:r>
            <w:r>
              <w:t>rrounding circumstances</w:t>
            </w:r>
            <w:r>
              <w:rPr>
                <w:lang w:eastAsia="en-AU"/>
              </w:rPr>
              <w:fldChar w:fldCharType="end"/>
            </w:r>
          </w:p>
        </w:tc>
        <w:tc>
          <w:tcPr>
            <w:tcW w:w="1000" w:type="dxa"/>
            <w:shd w:val="clear" w:color="auto" w:fill="auto"/>
            <w:vAlign w:val="bottom"/>
          </w:tcPr>
          <w:p w14:paraId="06F55A6F" w14:textId="6D47A254" w:rsidR="005B0DD3" w:rsidRDefault="005B0DD3" w:rsidP="00C23901">
            <w:pPr>
              <w:spacing w:before="120" w:after="60" w:line="240" w:lineRule="auto"/>
              <w:jc w:val="right"/>
              <w:rPr>
                <w:szCs w:val="24"/>
              </w:rPr>
            </w:pPr>
            <w:r>
              <w:rPr>
                <w:szCs w:val="24"/>
              </w:rPr>
              <w:t>[173]</w:t>
            </w:r>
          </w:p>
        </w:tc>
      </w:tr>
      <w:tr w:rsidR="005B0DD3" w:rsidRPr="00D326DB" w14:paraId="51F79E1E" w14:textId="77777777" w:rsidTr="005B0DD3">
        <w:tc>
          <w:tcPr>
            <w:tcW w:w="8291" w:type="dxa"/>
            <w:shd w:val="clear" w:color="auto" w:fill="auto"/>
          </w:tcPr>
          <w:p w14:paraId="796EFAE6" w14:textId="11AD7CEA" w:rsidR="005B0DD3" w:rsidRPr="005B0DD3" w:rsidRDefault="005B0DD3" w:rsidP="005B0DD3">
            <w:pPr>
              <w:pStyle w:val="bTOC5"/>
              <w:tabs>
                <w:tab w:val="clear" w:pos="9072"/>
              </w:tabs>
              <w:rPr>
                <w:lang w:eastAsia="en-AU"/>
              </w:rPr>
            </w:pPr>
            <w:r>
              <w:rPr>
                <w:lang w:eastAsia="en-AU"/>
              </w:rPr>
              <w:t xml:space="preserve">               </w:t>
            </w:r>
            <w:r>
              <w:rPr>
                <w:lang w:eastAsia="en-AU"/>
              </w:rPr>
              <w:fldChar w:fldCharType="begin" w:fldLock="1"/>
            </w:r>
            <w:r>
              <w:rPr>
                <w:lang w:eastAsia="en-AU"/>
              </w:rPr>
              <w:instrText xml:space="preserve"> REF _Ref54701577 \w \h </w:instrText>
            </w:r>
            <w:r>
              <w:rPr>
                <w:lang w:eastAsia="en-AU"/>
              </w:rPr>
            </w:r>
            <w:r>
              <w:rPr>
                <w:lang w:eastAsia="en-AU"/>
              </w:rPr>
              <w:fldChar w:fldCharType="separate"/>
            </w:r>
            <w:r>
              <w:rPr>
                <w:lang w:eastAsia="en-AU"/>
              </w:rPr>
              <w:t>2</w:t>
            </w:r>
            <w:r>
              <w:rPr>
                <w:lang w:eastAsia="en-AU"/>
              </w:rPr>
              <w:fldChar w:fldCharType="end"/>
            </w:r>
            <w:r>
              <w:rPr>
                <w:lang w:eastAsia="en-AU"/>
              </w:rPr>
              <w:t>.</w:t>
            </w:r>
            <w:r>
              <w:rPr>
                <w:lang w:eastAsia="en-AU"/>
              </w:rPr>
              <w:tab/>
            </w:r>
            <w:r>
              <w:rPr>
                <w:lang w:eastAsia="en-AU"/>
              </w:rPr>
              <w:fldChar w:fldCharType="begin" w:fldLock="1"/>
            </w:r>
            <w:r>
              <w:rPr>
                <w:lang w:eastAsia="en-AU"/>
              </w:rPr>
              <w:instrText xml:space="preserve"> REF _Ref54701577 \h </w:instrText>
            </w:r>
            <w:r>
              <w:rPr>
                <w:lang w:eastAsia="en-AU"/>
              </w:rPr>
            </w:r>
            <w:r>
              <w:rPr>
                <w:lang w:eastAsia="en-AU"/>
              </w:rPr>
              <w:fldChar w:fldCharType="separate"/>
            </w:r>
            <w:r w:rsidRPr="005539D1">
              <w:t>Reputation</w:t>
            </w:r>
            <w:r>
              <w:rPr>
                <w:lang w:eastAsia="en-AU"/>
              </w:rPr>
              <w:fldChar w:fldCharType="end"/>
            </w:r>
          </w:p>
        </w:tc>
        <w:tc>
          <w:tcPr>
            <w:tcW w:w="1000" w:type="dxa"/>
            <w:shd w:val="clear" w:color="auto" w:fill="auto"/>
            <w:vAlign w:val="bottom"/>
          </w:tcPr>
          <w:p w14:paraId="319C3DB2" w14:textId="2A7642FA" w:rsidR="005B0DD3" w:rsidRDefault="005B0DD3" w:rsidP="00C23901">
            <w:pPr>
              <w:spacing w:before="120" w:after="60" w:line="240" w:lineRule="auto"/>
              <w:jc w:val="right"/>
              <w:rPr>
                <w:szCs w:val="24"/>
              </w:rPr>
            </w:pPr>
            <w:r>
              <w:rPr>
                <w:szCs w:val="24"/>
              </w:rPr>
              <w:t>[178]</w:t>
            </w:r>
          </w:p>
        </w:tc>
      </w:tr>
      <w:tr w:rsidR="005B0DD3" w:rsidRPr="00D326DB" w14:paraId="540DE199" w14:textId="77777777" w:rsidTr="005B0DD3">
        <w:tc>
          <w:tcPr>
            <w:tcW w:w="8291" w:type="dxa"/>
            <w:shd w:val="clear" w:color="auto" w:fill="auto"/>
          </w:tcPr>
          <w:p w14:paraId="017CC34E" w14:textId="7AE47D16" w:rsidR="005B0DD3" w:rsidRPr="005B0DD3" w:rsidRDefault="005B0DD3" w:rsidP="005B0DD3">
            <w:pPr>
              <w:pStyle w:val="bTOC5"/>
              <w:tabs>
                <w:tab w:val="clear" w:pos="9072"/>
              </w:tabs>
              <w:rPr>
                <w:lang w:eastAsia="en-AU"/>
              </w:rPr>
            </w:pPr>
            <w:r>
              <w:rPr>
                <w:lang w:eastAsia="en-AU"/>
              </w:rPr>
              <w:t xml:space="preserve">               </w:t>
            </w:r>
            <w:r>
              <w:rPr>
                <w:lang w:eastAsia="en-AU"/>
              </w:rPr>
              <w:fldChar w:fldCharType="begin" w:fldLock="1"/>
            </w:r>
            <w:r>
              <w:rPr>
                <w:lang w:eastAsia="en-AU"/>
              </w:rPr>
              <w:instrText xml:space="preserve"> REF _Ref54701578 \w \h </w:instrText>
            </w:r>
            <w:r>
              <w:rPr>
                <w:lang w:eastAsia="en-AU"/>
              </w:rPr>
            </w:r>
            <w:r>
              <w:rPr>
                <w:lang w:eastAsia="en-AU"/>
              </w:rPr>
              <w:fldChar w:fldCharType="separate"/>
            </w:r>
            <w:r>
              <w:rPr>
                <w:lang w:eastAsia="en-AU"/>
              </w:rPr>
              <w:t>3</w:t>
            </w:r>
            <w:r>
              <w:rPr>
                <w:lang w:eastAsia="en-AU"/>
              </w:rPr>
              <w:fldChar w:fldCharType="end"/>
            </w:r>
            <w:r>
              <w:rPr>
                <w:lang w:eastAsia="en-AU"/>
              </w:rPr>
              <w:t>.</w:t>
            </w:r>
            <w:r>
              <w:rPr>
                <w:lang w:eastAsia="en-AU"/>
              </w:rPr>
              <w:tab/>
            </w:r>
            <w:r>
              <w:rPr>
                <w:lang w:eastAsia="en-AU"/>
              </w:rPr>
              <w:fldChar w:fldCharType="begin" w:fldLock="1"/>
            </w:r>
            <w:r>
              <w:rPr>
                <w:lang w:eastAsia="en-AU"/>
              </w:rPr>
              <w:instrText xml:space="preserve"> REF _Ref54701578 \h </w:instrText>
            </w:r>
            <w:r>
              <w:rPr>
                <w:lang w:eastAsia="en-AU"/>
              </w:rPr>
            </w:r>
            <w:r>
              <w:rPr>
                <w:lang w:eastAsia="en-AU"/>
              </w:rPr>
              <w:fldChar w:fldCharType="separate"/>
            </w:r>
            <w:r>
              <w:t>Section 120(2)</w:t>
            </w:r>
            <w:r>
              <w:rPr>
                <w:lang w:eastAsia="en-AU"/>
              </w:rPr>
              <w:fldChar w:fldCharType="end"/>
            </w:r>
          </w:p>
        </w:tc>
        <w:tc>
          <w:tcPr>
            <w:tcW w:w="1000" w:type="dxa"/>
            <w:shd w:val="clear" w:color="auto" w:fill="auto"/>
            <w:vAlign w:val="bottom"/>
          </w:tcPr>
          <w:p w14:paraId="2A5D302C" w14:textId="2D1A7296" w:rsidR="005B0DD3" w:rsidRDefault="005B0DD3" w:rsidP="00C23901">
            <w:pPr>
              <w:spacing w:before="120" w:after="60" w:line="240" w:lineRule="auto"/>
              <w:jc w:val="right"/>
              <w:rPr>
                <w:szCs w:val="24"/>
              </w:rPr>
            </w:pPr>
            <w:r>
              <w:rPr>
                <w:szCs w:val="24"/>
              </w:rPr>
              <w:t>[183]</w:t>
            </w:r>
          </w:p>
        </w:tc>
      </w:tr>
      <w:tr w:rsidR="005B0DD3" w:rsidRPr="00D326DB" w14:paraId="51247BF3" w14:textId="77777777" w:rsidTr="005B0DD3">
        <w:tc>
          <w:tcPr>
            <w:tcW w:w="8291" w:type="dxa"/>
            <w:shd w:val="clear" w:color="auto" w:fill="auto"/>
          </w:tcPr>
          <w:p w14:paraId="7CA8B5C8" w14:textId="0600DD67" w:rsidR="005B0DD3" w:rsidRPr="005B0DD3" w:rsidRDefault="005B0DD3" w:rsidP="005B0DD3">
            <w:pPr>
              <w:pStyle w:val="bTOC3"/>
              <w:tabs>
                <w:tab w:val="clear" w:pos="9071"/>
              </w:tabs>
              <w:ind w:left="881" w:hanging="399"/>
              <w:rPr>
                <w:lang w:eastAsia="en-AU"/>
              </w:rPr>
            </w:pPr>
            <w:r>
              <w:rPr>
                <w:lang w:eastAsia="en-AU"/>
              </w:rPr>
              <w:t xml:space="preserve">(3)  </w:t>
            </w:r>
            <w:r>
              <w:rPr>
                <w:lang w:eastAsia="en-AU"/>
              </w:rPr>
              <w:fldChar w:fldCharType="begin" w:fldLock="1"/>
            </w:r>
            <w:r>
              <w:rPr>
                <w:lang w:eastAsia="en-AU"/>
              </w:rPr>
              <w:instrText xml:space="preserve"> REF _Ref54701579 \h </w:instrText>
            </w:r>
            <w:r>
              <w:rPr>
                <w:lang w:eastAsia="en-AU"/>
              </w:rPr>
            </w:r>
            <w:r>
              <w:rPr>
                <w:lang w:eastAsia="en-AU"/>
              </w:rPr>
              <w:fldChar w:fldCharType="separate"/>
            </w:r>
            <w:r w:rsidRPr="007A08C7">
              <w:t xml:space="preserve">The </w:t>
            </w:r>
            <w:r>
              <w:t xml:space="preserve">“goods in respect of which the trade mark is </w:t>
            </w:r>
            <w:r w:rsidRPr="007A08C7">
              <w:t>registered</w:t>
            </w:r>
            <w:r>
              <w:t>”</w:t>
            </w:r>
            <w:r w:rsidRPr="007A08C7">
              <w:t xml:space="preserve"> or </w:t>
            </w:r>
            <w:r>
              <w:t>“</w:t>
            </w:r>
            <w:r w:rsidRPr="007A08C7">
              <w:t>goods of the same description</w:t>
            </w:r>
            <w:r>
              <w:t>”</w:t>
            </w:r>
            <w:r w:rsidRPr="007A08C7">
              <w:t xml:space="preserve"> – principles</w:t>
            </w:r>
            <w:r>
              <w:rPr>
                <w:lang w:eastAsia="en-AU"/>
              </w:rPr>
              <w:fldChar w:fldCharType="end"/>
            </w:r>
          </w:p>
        </w:tc>
        <w:tc>
          <w:tcPr>
            <w:tcW w:w="1000" w:type="dxa"/>
            <w:shd w:val="clear" w:color="auto" w:fill="auto"/>
            <w:vAlign w:val="bottom"/>
          </w:tcPr>
          <w:p w14:paraId="6F52A8D9" w14:textId="5C362D5D" w:rsidR="005B0DD3" w:rsidRDefault="005B0DD3" w:rsidP="00C23901">
            <w:pPr>
              <w:spacing w:before="120" w:after="60" w:line="240" w:lineRule="auto"/>
              <w:jc w:val="right"/>
              <w:rPr>
                <w:szCs w:val="24"/>
              </w:rPr>
            </w:pPr>
            <w:r>
              <w:rPr>
                <w:szCs w:val="24"/>
              </w:rPr>
              <w:t>[185]</w:t>
            </w:r>
          </w:p>
        </w:tc>
      </w:tr>
      <w:tr w:rsidR="005B0DD3" w:rsidRPr="00D326DB" w14:paraId="53593B5D" w14:textId="77777777" w:rsidTr="005B0DD3">
        <w:tc>
          <w:tcPr>
            <w:tcW w:w="8291" w:type="dxa"/>
            <w:shd w:val="clear" w:color="auto" w:fill="auto"/>
          </w:tcPr>
          <w:p w14:paraId="7DA7EC4E" w14:textId="08BCC403"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_Ref54701580 \h </w:instrText>
            </w:r>
            <w:r>
              <w:rPr>
                <w:lang w:eastAsia="en-AU"/>
              </w:rPr>
            </w:r>
            <w:r>
              <w:rPr>
                <w:lang w:eastAsia="en-AU"/>
              </w:rPr>
              <w:fldChar w:fldCharType="separate"/>
            </w:r>
            <w:r w:rsidRPr="007A08C7">
              <w:t xml:space="preserve">PROTOX as </w:t>
            </w:r>
            <w:r>
              <w:t xml:space="preserve">a </w:t>
            </w:r>
            <w:r w:rsidRPr="007A08C7">
              <w:t>word mark</w:t>
            </w:r>
            <w:r>
              <w:rPr>
                <w:lang w:eastAsia="en-AU"/>
              </w:rPr>
              <w:fldChar w:fldCharType="end"/>
            </w:r>
          </w:p>
        </w:tc>
        <w:tc>
          <w:tcPr>
            <w:tcW w:w="1000" w:type="dxa"/>
            <w:shd w:val="clear" w:color="auto" w:fill="auto"/>
            <w:vAlign w:val="bottom"/>
          </w:tcPr>
          <w:p w14:paraId="2E216CD7" w14:textId="77B0FFD3" w:rsidR="005B0DD3" w:rsidRDefault="005B0DD3" w:rsidP="00C23901">
            <w:pPr>
              <w:spacing w:before="120" w:after="60" w:line="240" w:lineRule="auto"/>
              <w:jc w:val="right"/>
              <w:rPr>
                <w:szCs w:val="24"/>
              </w:rPr>
            </w:pPr>
            <w:r>
              <w:rPr>
                <w:szCs w:val="24"/>
              </w:rPr>
              <w:t>[190]</w:t>
            </w:r>
          </w:p>
        </w:tc>
      </w:tr>
      <w:tr w:rsidR="005B0DD3" w:rsidRPr="00D326DB" w14:paraId="4BF46031" w14:textId="77777777" w:rsidTr="005B0DD3">
        <w:tc>
          <w:tcPr>
            <w:tcW w:w="8291" w:type="dxa"/>
            <w:shd w:val="clear" w:color="auto" w:fill="auto"/>
          </w:tcPr>
          <w:p w14:paraId="45767682" w14:textId="6FE87217" w:rsidR="005B0DD3" w:rsidRPr="005B0DD3" w:rsidRDefault="005B0DD3" w:rsidP="005B0DD3">
            <w:pPr>
              <w:pStyle w:val="bTOC3"/>
              <w:tabs>
                <w:tab w:val="clear" w:pos="9071"/>
              </w:tabs>
              <w:rPr>
                <w:lang w:eastAsia="en-AU"/>
              </w:rPr>
            </w:pPr>
            <w:r>
              <w:rPr>
                <w:lang w:eastAsia="en-AU"/>
              </w:rPr>
              <w:t xml:space="preserve">(1)  </w:t>
            </w:r>
            <w:r>
              <w:rPr>
                <w:lang w:eastAsia="en-AU"/>
              </w:rPr>
              <w:fldChar w:fldCharType="begin" w:fldLock="1"/>
            </w:r>
            <w:r>
              <w:rPr>
                <w:lang w:eastAsia="en-AU"/>
              </w:rPr>
              <w:instrText xml:space="preserve"> REF _Ref54701581 \h </w:instrText>
            </w:r>
            <w:r>
              <w:rPr>
                <w:lang w:eastAsia="en-AU"/>
              </w:rPr>
            </w:r>
            <w:r>
              <w:rPr>
                <w:lang w:eastAsia="en-AU"/>
              </w:rPr>
              <w:fldChar w:fldCharType="separate"/>
            </w:r>
            <w:r w:rsidRPr="007A08C7">
              <w:t>Use as a trade mark</w:t>
            </w:r>
            <w:r>
              <w:rPr>
                <w:lang w:eastAsia="en-AU"/>
              </w:rPr>
              <w:fldChar w:fldCharType="end"/>
            </w:r>
          </w:p>
        </w:tc>
        <w:tc>
          <w:tcPr>
            <w:tcW w:w="1000" w:type="dxa"/>
            <w:shd w:val="clear" w:color="auto" w:fill="auto"/>
            <w:vAlign w:val="bottom"/>
          </w:tcPr>
          <w:p w14:paraId="6CAD35C3" w14:textId="63C008B1" w:rsidR="005B0DD3" w:rsidRDefault="005B0DD3" w:rsidP="00C23901">
            <w:pPr>
              <w:spacing w:before="120" w:after="60" w:line="240" w:lineRule="auto"/>
              <w:jc w:val="right"/>
              <w:rPr>
                <w:szCs w:val="24"/>
              </w:rPr>
            </w:pPr>
            <w:r>
              <w:rPr>
                <w:szCs w:val="24"/>
              </w:rPr>
              <w:t>[190]</w:t>
            </w:r>
          </w:p>
        </w:tc>
      </w:tr>
      <w:tr w:rsidR="005B0DD3" w:rsidRPr="00D326DB" w14:paraId="090C011F" w14:textId="77777777" w:rsidTr="005B0DD3">
        <w:tc>
          <w:tcPr>
            <w:tcW w:w="8291" w:type="dxa"/>
            <w:shd w:val="clear" w:color="auto" w:fill="auto"/>
          </w:tcPr>
          <w:p w14:paraId="74F2C976" w14:textId="199577BB" w:rsidR="005B0DD3" w:rsidRPr="005B0DD3" w:rsidRDefault="005B0DD3" w:rsidP="005B0DD3">
            <w:pPr>
              <w:pStyle w:val="bTOC3"/>
              <w:tabs>
                <w:tab w:val="clear" w:pos="9071"/>
              </w:tabs>
              <w:rPr>
                <w:lang w:eastAsia="en-AU"/>
              </w:rPr>
            </w:pPr>
            <w:r>
              <w:rPr>
                <w:lang w:eastAsia="en-AU"/>
              </w:rPr>
              <w:lastRenderedPageBreak/>
              <w:t xml:space="preserve">(2)  </w:t>
            </w:r>
            <w:r>
              <w:rPr>
                <w:lang w:eastAsia="en-AU"/>
              </w:rPr>
              <w:fldChar w:fldCharType="begin" w:fldLock="1"/>
            </w:r>
            <w:r>
              <w:rPr>
                <w:lang w:eastAsia="en-AU"/>
              </w:rPr>
              <w:instrText xml:space="preserve"> REF _Ref54701582 \h </w:instrText>
            </w:r>
            <w:r>
              <w:rPr>
                <w:lang w:eastAsia="en-AU"/>
              </w:rPr>
            </w:r>
            <w:r>
              <w:rPr>
                <w:lang w:eastAsia="en-AU"/>
              </w:rPr>
              <w:fldChar w:fldCharType="separate"/>
            </w:r>
            <w:r w:rsidRPr="007A08C7">
              <w:t>Deceptive similarity</w:t>
            </w:r>
            <w:r>
              <w:rPr>
                <w:lang w:eastAsia="en-AU"/>
              </w:rPr>
              <w:fldChar w:fldCharType="end"/>
            </w:r>
          </w:p>
        </w:tc>
        <w:tc>
          <w:tcPr>
            <w:tcW w:w="1000" w:type="dxa"/>
            <w:shd w:val="clear" w:color="auto" w:fill="auto"/>
            <w:vAlign w:val="bottom"/>
          </w:tcPr>
          <w:p w14:paraId="2127A5AF" w14:textId="24C0C850" w:rsidR="005B0DD3" w:rsidRDefault="005B0DD3" w:rsidP="00C23901">
            <w:pPr>
              <w:spacing w:before="120" w:after="60" w:line="240" w:lineRule="auto"/>
              <w:jc w:val="right"/>
              <w:rPr>
                <w:szCs w:val="24"/>
              </w:rPr>
            </w:pPr>
            <w:r>
              <w:rPr>
                <w:szCs w:val="24"/>
              </w:rPr>
              <w:t>[200]</w:t>
            </w:r>
          </w:p>
        </w:tc>
      </w:tr>
      <w:tr w:rsidR="005B0DD3" w:rsidRPr="00D326DB" w14:paraId="19B01959" w14:textId="77777777" w:rsidTr="005B0DD3">
        <w:tc>
          <w:tcPr>
            <w:tcW w:w="8291" w:type="dxa"/>
            <w:shd w:val="clear" w:color="auto" w:fill="auto"/>
          </w:tcPr>
          <w:p w14:paraId="4F7352CB" w14:textId="4A700CF3" w:rsidR="005B0DD3" w:rsidRPr="005B0DD3" w:rsidRDefault="005B0DD3" w:rsidP="005B0DD3">
            <w:pPr>
              <w:pStyle w:val="bTOC3"/>
              <w:tabs>
                <w:tab w:val="clear" w:pos="9071"/>
              </w:tabs>
              <w:rPr>
                <w:lang w:eastAsia="en-AU"/>
              </w:rPr>
            </w:pPr>
            <w:r>
              <w:rPr>
                <w:lang w:eastAsia="en-AU"/>
              </w:rPr>
              <w:t xml:space="preserve">(3)  </w:t>
            </w:r>
            <w:r>
              <w:rPr>
                <w:lang w:eastAsia="en-AU"/>
              </w:rPr>
              <w:fldChar w:fldCharType="begin" w:fldLock="1"/>
            </w:r>
            <w:r>
              <w:rPr>
                <w:lang w:eastAsia="en-AU"/>
              </w:rPr>
              <w:instrText xml:space="preserve"> REF _Ref54701583 \h </w:instrText>
            </w:r>
            <w:r>
              <w:rPr>
                <w:lang w:eastAsia="en-AU"/>
              </w:rPr>
            </w:r>
            <w:r>
              <w:rPr>
                <w:lang w:eastAsia="en-AU"/>
              </w:rPr>
              <w:fldChar w:fldCharType="separate"/>
            </w:r>
            <w:r>
              <w:t>The registered goods or goods of the same description</w:t>
            </w:r>
            <w:r>
              <w:rPr>
                <w:lang w:eastAsia="en-AU"/>
              </w:rPr>
              <w:fldChar w:fldCharType="end"/>
            </w:r>
          </w:p>
        </w:tc>
        <w:tc>
          <w:tcPr>
            <w:tcW w:w="1000" w:type="dxa"/>
            <w:shd w:val="clear" w:color="auto" w:fill="auto"/>
            <w:vAlign w:val="bottom"/>
          </w:tcPr>
          <w:p w14:paraId="163C12F6" w14:textId="65355E1D" w:rsidR="005B0DD3" w:rsidRDefault="005B0DD3" w:rsidP="00C23901">
            <w:pPr>
              <w:spacing w:before="120" w:after="60" w:line="240" w:lineRule="auto"/>
              <w:jc w:val="right"/>
              <w:rPr>
                <w:szCs w:val="24"/>
              </w:rPr>
            </w:pPr>
            <w:r>
              <w:rPr>
                <w:szCs w:val="24"/>
              </w:rPr>
              <w:t>[214]</w:t>
            </w:r>
          </w:p>
        </w:tc>
      </w:tr>
      <w:tr w:rsidR="005B0DD3" w:rsidRPr="00D326DB" w14:paraId="15F10546" w14:textId="77777777" w:rsidTr="005B0DD3">
        <w:tc>
          <w:tcPr>
            <w:tcW w:w="8291" w:type="dxa"/>
            <w:shd w:val="clear" w:color="auto" w:fill="auto"/>
          </w:tcPr>
          <w:p w14:paraId="60326FFC" w14:textId="2A73998F"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_Ref54701584 \h </w:instrText>
            </w:r>
            <w:r>
              <w:rPr>
                <w:lang w:eastAsia="en-AU"/>
              </w:rPr>
            </w:r>
            <w:r>
              <w:rPr>
                <w:lang w:eastAsia="en-AU"/>
              </w:rPr>
              <w:fldChar w:fldCharType="separate"/>
            </w:r>
            <w:r>
              <w:t>(4)  Conclusion: trade mark infringement claim with regard to PROTOX</w:t>
            </w:r>
            <w:r>
              <w:rPr>
                <w:lang w:eastAsia="en-AU"/>
              </w:rPr>
              <w:fldChar w:fldCharType="end"/>
            </w:r>
          </w:p>
        </w:tc>
        <w:tc>
          <w:tcPr>
            <w:tcW w:w="1000" w:type="dxa"/>
            <w:shd w:val="clear" w:color="auto" w:fill="auto"/>
            <w:vAlign w:val="bottom"/>
          </w:tcPr>
          <w:p w14:paraId="09FEFB08" w14:textId="6C9998D8" w:rsidR="005B0DD3" w:rsidRDefault="005B0DD3" w:rsidP="00C23901">
            <w:pPr>
              <w:spacing w:before="120" w:after="60" w:line="240" w:lineRule="auto"/>
              <w:jc w:val="right"/>
              <w:rPr>
                <w:szCs w:val="24"/>
              </w:rPr>
            </w:pPr>
            <w:r>
              <w:rPr>
                <w:szCs w:val="24"/>
              </w:rPr>
              <w:t>[227]</w:t>
            </w:r>
          </w:p>
        </w:tc>
      </w:tr>
      <w:tr w:rsidR="005B0DD3" w:rsidRPr="00D326DB" w14:paraId="409B6554" w14:textId="77777777" w:rsidTr="005B0DD3">
        <w:tc>
          <w:tcPr>
            <w:tcW w:w="8291" w:type="dxa"/>
            <w:shd w:val="clear" w:color="auto" w:fill="auto"/>
          </w:tcPr>
          <w:p w14:paraId="58EAF1C1" w14:textId="564DC678"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_Ref54701585 \h </w:instrText>
            </w:r>
            <w:r>
              <w:rPr>
                <w:lang w:eastAsia="en-AU"/>
              </w:rPr>
            </w:r>
            <w:r>
              <w:rPr>
                <w:lang w:eastAsia="en-AU"/>
              </w:rPr>
              <w:fldChar w:fldCharType="separate"/>
            </w:r>
            <w:r>
              <w:t>BOTOX in composite phrases</w:t>
            </w:r>
            <w:r>
              <w:rPr>
                <w:lang w:eastAsia="en-AU"/>
              </w:rPr>
              <w:fldChar w:fldCharType="end"/>
            </w:r>
          </w:p>
        </w:tc>
        <w:tc>
          <w:tcPr>
            <w:tcW w:w="1000" w:type="dxa"/>
            <w:shd w:val="clear" w:color="auto" w:fill="auto"/>
            <w:vAlign w:val="bottom"/>
          </w:tcPr>
          <w:p w14:paraId="48495700" w14:textId="6EFC5B86" w:rsidR="005B0DD3" w:rsidRDefault="005B0DD3" w:rsidP="00C23901">
            <w:pPr>
              <w:spacing w:before="120" w:after="60" w:line="240" w:lineRule="auto"/>
              <w:jc w:val="right"/>
              <w:rPr>
                <w:szCs w:val="24"/>
              </w:rPr>
            </w:pPr>
            <w:r>
              <w:rPr>
                <w:szCs w:val="24"/>
              </w:rPr>
              <w:t>[228]</w:t>
            </w:r>
          </w:p>
        </w:tc>
      </w:tr>
      <w:tr w:rsidR="005B0DD3" w:rsidRPr="00D326DB" w14:paraId="18E0BFE2" w14:textId="77777777" w:rsidTr="005B0DD3">
        <w:tc>
          <w:tcPr>
            <w:tcW w:w="8291" w:type="dxa"/>
            <w:shd w:val="clear" w:color="auto" w:fill="auto"/>
          </w:tcPr>
          <w:p w14:paraId="3AD49409" w14:textId="57EEC9B7" w:rsidR="005B0DD3" w:rsidRPr="005B0DD3" w:rsidRDefault="005B0DD3" w:rsidP="005B0DD3">
            <w:pPr>
              <w:pStyle w:val="bTOC3"/>
              <w:tabs>
                <w:tab w:val="clear" w:pos="9071"/>
              </w:tabs>
              <w:rPr>
                <w:lang w:eastAsia="en-AU"/>
              </w:rPr>
            </w:pPr>
            <w:r>
              <w:rPr>
                <w:lang w:eastAsia="en-AU"/>
              </w:rPr>
              <w:t xml:space="preserve">(1)  </w:t>
            </w:r>
            <w:r>
              <w:rPr>
                <w:lang w:eastAsia="en-AU"/>
              </w:rPr>
              <w:fldChar w:fldCharType="begin" w:fldLock="1"/>
            </w:r>
            <w:r>
              <w:rPr>
                <w:lang w:eastAsia="en-AU"/>
              </w:rPr>
              <w:instrText xml:space="preserve"> REF _Ref54701581 \h </w:instrText>
            </w:r>
            <w:r>
              <w:rPr>
                <w:lang w:eastAsia="en-AU"/>
              </w:rPr>
            </w:r>
            <w:r>
              <w:rPr>
                <w:lang w:eastAsia="en-AU"/>
              </w:rPr>
              <w:fldChar w:fldCharType="separate"/>
            </w:r>
            <w:r w:rsidRPr="007A08C7">
              <w:t>Use as a trade mark</w:t>
            </w:r>
            <w:r>
              <w:rPr>
                <w:lang w:eastAsia="en-AU"/>
              </w:rPr>
              <w:fldChar w:fldCharType="end"/>
            </w:r>
          </w:p>
        </w:tc>
        <w:tc>
          <w:tcPr>
            <w:tcW w:w="1000" w:type="dxa"/>
            <w:shd w:val="clear" w:color="auto" w:fill="auto"/>
            <w:vAlign w:val="bottom"/>
          </w:tcPr>
          <w:p w14:paraId="083FF683" w14:textId="4C5BC965" w:rsidR="005B0DD3" w:rsidRDefault="005B0DD3" w:rsidP="00C23901">
            <w:pPr>
              <w:spacing w:before="120" w:after="60" w:line="240" w:lineRule="auto"/>
              <w:jc w:val="right"/>
              <w:rPr>
                <w:szCs w:val="24"/>
              </w:rPr>
            </w:pPr>
            <w:r>
              <w:rPr>
                <w:szCs w:val="24"/>
              </w:rPr>
              <w:t>[228]</w:t>
            </w:r>
          </w:p>
        </w:tc>
      </w:tr>
      <w:tr w:rsidR="005B0DD3" w:rsidRPr="00D326DB" w14:paraId="0270D29C" w14:textId="77777777" w:rsidTr="005B0DD3">
        <w:tc>
          <w:tcPr>
            <w:tcW w:w="8291" w:type="dxa"/>
            <w:shd w:val="clear" w:color="auto" w:fill="auto"/>
          </w:tcPr>
          <w:p w14:paraId="77A313A2" w14:textId="109C62D9" w:rsidR="005B0DD3" w:rsidRPr="005B0DD3" w:rsidRDefault="005B0DD3" w:rsidP="005B0DD3">
            <w:pPr>
              <w:pStyle w:val="bTOC3"/>
              <w:tabs>
                <w:tab w:val="clear" w:pos="9071"/>
              </w:tabs>
              <w:rPr>
                <w:lang w:eastAsia="en-AU"/>
              </w:rPr>
            </w:pPr>
            <w:r>
              <w:rPr>
                <w:lang w:eastAsia="en-AU"/>
              </w:rPr>
              <w:t xml:space="preserve">(2)  </w:t>
            </w:r>
            <w:r>
              <w:rPr>
                <w:lang w:eastAsia="en-AU"/>
              </w:rPr>
              <w:fldChar w:fldCharType="begin" w:fldLock="1"/>
            </w:r>
            <w:r>
              <w:rPr>
                <w:lang w:eastAsia="en-AU"/>
              </w:rPr>
              <w:instrText xml:space="preserve"> REF _Ref54701582 \h </w:instrText>
            </w:r>
            <w:r>
              <w:rPr>
                <w:lang w:eastAsia="en-AU"/>
              </w:rPr>
            </w:r>
            <w:r>
              <w:rPr>
                <w:lang w:eastAsia="en-AU"/>
              </w:rPr>
              <w:fldChar w:fldCharType="separate"/>
            </w:r>
            <w:r w:rsidRPr="007A08C7">
              <w:t>Deceptive similarity</w:t>
            </w:r>
            <w:r>
              <w:rPr>
                <w:lang w:eastAsia="en-AU"/>
              </w:rPr>
              <w:fldChar w:fldCharType="end"/>
            </w:r>
          </w:p>
        </w:tc>
        <w:tc>
          <w:tcPr>
            <w:tcW w:w="1000" w:type="dxa"/>
            <w:shd w:val="clear" w:color="auto" w:fill="auto"/>
            <w:vAlign w:val="bottom"/>
          </w:tcPr>
          <w:p w14:paraId="4635364C" w14:textId="6620BE30" w:rsidR="005B0DD3" w:rsidRDefault="005B0DD3" w:rsidP="00C23901">
            <w:pPr>
              <w:spacing w:before="120" w:after="60" w:line="240" w:lineRule="auto"/>
              <w:jc w:val="right"/>
              <w:rPr>
                <w:szCs w:val="24"/>
              </w:rPr>
            </w:pPr>
            <w:r>
              <w:rPr>
                <w:szCs w:val="24"/>
              </w:rPr>
              <w:t>[256]</w:t>
            </w:r>
          </w:p>
        </w:tc>
      </w:tr>
      <w:tr w:rsidR="005B0DD3" w:rsidRPr="00D326DB" w14:paraId="7C7E5150" w14:textId="77777777" w:rsidTr="005B0DD3">
        <w:tc>
          <w:tcPr>
            <w:tcW w:w="8291" w:type="dxa"/>
            <w:shd w:val="clear" w:color="auto" w:fill="auto"/>
          </w:tcPr>
          <w:p w14:paraId="7809A776" w14:textId="73C2E090" w:rsidR="005B0DD3" w:rsidRPr="005B0DD3" w:rsidRDefault="005B0DD3" w:rsidP="005B0DD3">
            <w:pPr>
              <w:pStyle w:val="bTOC3"/>
              <w:tabs>
                <w:tab w:val="clear" w:pos="9071"/>
              </w:tabs>
              <w:rPr>
                <w:lang w:eastAsia="en-AU"/>
              </w:rPr>
            </w:pPr>
            <w:r>
              <w:rPr>
                <w:lang w:eastAsia="en-AU"/>
              </w:rPr>
              <w:t xml:space="preserve">(3)  </w:t>
            </w:r>
            <w:r>
              <w:rPr>
                <w:lang w:eastAsia="en-AU"/>
              </w:rPr>
              <w:fldChar w:fldCharType="begin" w:fldLock="1"/>
            </w:r>
            <w:r>
              <w:rPr>
                <w:lang w:eastAsia="en-AU"/>
              </w:rPr>
              <w:instrText xml:space="preserve"> REF _Ref54701583 \h </w:instrText>
            </w:r>
            <w:r>
              <w:rPr>
                <w:lang w:eastAsia="en-AU"/>
              </w:rPr>
            </w:r>
            <w:r>
              <w:rPr>
                <w:lang w:eastAsia="en-AU"/>
              </w:rPr>
              <w:fldChar w:fldCharType="separate"/>
            </w:r>
            <w:r>
              <w:t>The registered goods or goods of the same description</w:t>
            </w:r>
            <w:r>
              <w:rPr>
                <w:lang w:eastAsia="en-AU"/>
              </w:rPr>
              <w:fldChar w:fldCharType="end"/>
            </w:r>
          </w:p>
        </w:tc>
        <w:tc>
          <w:tcPr>
            <w:tcW w:w="1000" w:type="dxa"/>
            <w:shd w:val="clear" w:color="auto" w:fill="auto"/>
            <w:vAlign w:val="bottom"/>
          </w:tcPr>
          <w:p w14:paraId="256A5CFE" w14:textId="63EEC03F" w:rsidR="005B0DD3" w:rsidRDefault="005B0DD3" w:rsidP="00C23901">
            <w:pPr>
              <w:spacing w:before="120" w:after="60" w:line="240" w:lineRule="auto"/>
              <w:jc w:val="right"/>
              <w:rPr>
                <w:szCs w:val="24"/>
              </w:rPr>
            </w:pPr>
            <w:r>
              <w:rPr>
                <w:szCs w:val="24"/>
              </w:rPr>
              <w:t>[259]</w:t>
            </w:r>
          </w:p>
        </w:tc>
      </w:tr>
      <w:tr w:rsidR="005B0DD3" w:rsidRPr="00D326DB" w14:paraId="047D8C19" w14:textId="77777777" w:rsidTr="005B0DD3">
        <w:tc>
          <w:tcPr>
            <w:tcW w:w="8291" w:type="dxa"/>
            <w:shd w:val="clear" w:color="auto" w:fill="auto"/>
          </w:tcPr>
          <w:p w14:paraId="709FE29F" w14:textId="56C8277A" w:rsidR="005B0DD3" w:rsidRPr="005B0DD3" w:rsidRDefault="005B0DD3" w:rsidP="005B0DD3">
            <w:pPr>
              <w:pStyle w:val="bTOC3"/>
              <w:tabs>
                <w:tab w:val="clear" w:pos="9071"/>
              </w:tabs>
              <w:ind w:left="893" w:hanging="411"/>
              <w:rPr>
                <w:lang w:eastAsia="en-AU"/>
              </w:rPr>
            </w:pPr>
            <w:r>
              <w:rPr>
                <w:lang w:eastAsia="en-AU"/>
              </w:rPr>
              <w:fldChar w:fldCharType="begin" w:fldLock="1"/>
            </w:r>
            <w:r>
              <w:rPr>
                <w:lang w:eastAsia="en-AU"/>
              </w:rPr>
              <w:instrText xml:space="preserve"> REF _Ref54701586 \h </w:instrText>
            </w:r>
            <w:r>
              <w:rPr>
                <w:lang w:eastAsia="en-AU"/>
              </w:rPr>
            </w:r>
            <w:r>
              <w:rPr>
                <w:lang w:eastAsia="en-AU"/>
              </w:rPr>
              <w:fldChar w:fldCharType="separate"/>
            </w:r>
            <w:r>
              <w:t>(4)  Conclusion: trade mark infringement claim with regard to BOTOX phrases</w:t>
            </w:r>
            <w:r>
              <w:rPr>
                <w:lang w:eastAsia="en-AU"/>
              </w:rPr>
              <w:fldChar w:fldCharType="end"/>
            </w:r>
          </w:p>
        </w:tc>
        <w:tc>
          <w:tcPr>
            <w:tcW w:w="1000" w:type="dxa"/>
            <w:shd w:val="clear" w:color="auto" w:fill="auto"/>
            <w:vAlign w:val="bottom"/>
          </w:tcPr>
          <w:p w14:paraId="40C5EF63" w14:textId="1BBA3A71" w:rsidR="005B0DD3" w:rsidRDefault="005B0DD3" w:rsidP="00C23901">
            <w:pPr>
              <w:spacing w:before="120" w:after="60" w:line="240" w:lineRule="auto"/>
              <w:jc w:val="right"/>
              <w:rPr>
                <w:szCs w:val="24"/>
              </w:rPr>
            </w:pPr>
            <w:r>
              <w:rPr>
                <w:szCs w:val="24"/>
              </w:rPr>
              <w:t>[262]</w:t>
            </w:r>
          </w:p>
        </w:tc>
      </w:tr>
      <w:tr w:rsidR="005B0DD3" w:rsidRPr="00D326DB" w14:paraId="7CD110CF" w14:textId="77777777" w:rsidTr="005B0DD3">
        <w:tc>
          <w:tcPr>
            <w:tcW w:w="8291" w:type="dxa"/>
            <w:shd w:val="clear" w:color="auto" w:fill="auto"/>
          </w:tcPr>
          <w:p w14:paraId="095B65B2" w14:textId="482E4A8E"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_Ref54701587 \h </w:instrText>
            </w:r>
            <w:r>
              <w:rPr>
                <w:lang w:eastAsia="en-AU"/>
              </w:rPr>
            </w:r>
            <w:r>
              <w:rPr>
                <w:lang w:eastAsia="en-AU"/>
              </w:rPr>
              <w:fldChar w:fldCharType="separate"/>
            </w:r>
            <w:r>
              <w:t>CROSS-CLAIM: REMOVAL OR CANCELLATION OF TRADE MARKS</w:t>
            </w:r>
            <w:r>
              <w:rPr>
                <w:lang w:eastAsia="en-AU"/>
              </w:rPr>
              <w:fldChar w:fldCharType="end"/>
            </w:r>
          </w:p>
        </w:tc>
        <w:tc>
          <w:tcPr>
            <w:tcW w:w="1000" w:type="dxa"/>
            <w:shd w:val="clear" w:color="auto" w:fill="auto"/>
            <w:vAlign w:val="bottom"/>
          </w:tcPr>
          <w:p w14:paraId="12590993" w14:textId="127BB1B5" w:rsidR="005B0DD3" w:rsidRDefault="005B0DD3" w:rsidP="00C23901">
            <w:pPr>
              <w:spacing w:before="120" w:after="60" w:line="240" w:lineRule="auto"/>
              <w:jc w:val="right"/>
              <w:rPr>
                <w:szCs w:val="24"/>
              </w:rPr>
            </w:pPr>
            <w:r>
              <w:rPr>
                <w:szCs w:val="24"/>
              </w:rPr>
              <w:t>[263]</w:t>
            </w:r>
          </w:p>
        </w:tc>
      </w:tr>
      <w:tr w:rsidR="005B0DD3" w:rsidRPr="00D326DB" w14:paraId="7A058872" w14:textId="77777777" w:rsidTr="005B0DD3">
        <w:tc>
          <w:tcPr>
            <w:tcW w:w="8291" w:type="dxa"/>
            <w:shd w:val="clear" w:color="auto" w:fill="auto"/>
          </w:tcPr>
          <w:p w14:paraId="33F206BB" w14:textId="212A36FA"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_Ref54701588 \h </w:instrText>
            </w:r>
            <w:r>
              <w:rPr>
                <w:lang w:eastAsia="en-AU"/>
              </w:rPr>
            </w:r>
            <w:r>
              <w:rPr>
                <w:lang w:eastAsia="en-AU"/>
              </w:rPr>
              <w:fldChar w:fldCharType="separate"/>
            </w:r>
            <w:r>
              <w:t>Removal of the 655 mark</w:t>
            </w:r>
            <w:r>
              <w:rPr>
                <w:lang w:eastAsia="en-AU"/>
              </w:rPr>
              <w:fldChar w:fldCharType="end"/>
            </w:r>
          </w:p>
        </w:tc>
        <w:tc>
          <w:tcPr>
            <w:tcW w:w="1000" w:type="dxa"/>
            <w:shd w:val="clear" w:color="auto" w:fill="auto"/>
            <w:vAlign w:val="bottom"/>
          </w:tcPr>
          <w:p w14:paraId="66F9036E" w14:textId="6A46A8F3" w:rsidR="005B0DD3" w:rsidRDefault="005B0DD3" w:rsidP="00C23901">
            <w:pPr>
              <w:spacing w:before="120" w:after="60" w:line="240" w:lineRule="auto"/>
              <w:jc w:val="right"/>
              <w:rPr>
                <w:szCs w:val="24"/>
              </w:rPr>
            </w:pPr>
            <w:r>
              <w:rPr>
                <w:szCs w:val="24"/>
              </w:rPr>
              <w:t>[266]</w:t>
            </w:r>
          </w:p>
        </w:tc>
      </w:tr>
      <w:tr w:rsidR="005B0DD3" w:rsidRPr="00D326DB" w14:paraId="4B9C039A" w14:textId="77777777" w:rsidTr="005B0DD3">
        <w:tc>
          <w:tcPr>
            <w:tcW w:w="8291" w:type="dxa"/>
            <w:shd w:val="clear" w:color="auto" w:fill="auto"/>
          </w:tcPr>
          <w:p w14:paraId="2CBA941E" w14:textId="71134364" w:rsidR="005B0DD3" w:rsidRPr="005B0DD3" w:rsidRDefault="00CD2A2C" w:rsidP="005B0DD3">
            <w:pPr>
              <w:pStyle w:val="bTOC3"/>
              <w:tabs>
                <w:tab w:val="clear" w:pos="9071"/>
              </w:tabs>
              <w:rPr>
                <w:lang w:eastAsia="en-AU"/>
              </w:rPr>
            </w:pPr>
            <w:r>
              <w:rPr>
                <w:lang w:eastAsia="en-AU"/>
              </w:rPr>
              <w:t xml:space="preserve">(1)  </w:t>
            </w:r>
            <w:r w:rsidR="005B0DD3">
              <w:rPr>
                <w:lang w:eastAsia="en-AU"/>
              </w:rPr>
              <w:fldChar w:fldCharType="begin" w:fldLock="1"/>
            </w:r>
            <w:r w:rsidR="005B0DD3">
              <w:rPr>
                <w:lang w:eastAsia="en-AU"/>
              </w:rPr>
              <w:instrText xml:space="preserve"> REF _Ref54701589 \h </w:instrText>
            </w:r>
            <w:r w:rsidR="005B0DD3">
              <w:rPr>
                <w:lang w:eastAsia="en-AU"/>
              </w:rPr>
            </w:r>
            <w:r w:rsidR="005B0DD3">
              <w:rPr>
                <w:lang w:eastAsia="en-AU"/>
              </w:rPr>
              <w:fldChar w:fldCharType="separate"/>
            </w:r>
            <w:r w:rsidR="005B0DD3">
              <w:t>The law</w:t>
            </w:r>
            <w:r w:rsidR="005B0DD3">
              <w:rPr>
                <w:lang w:eastAsia="en-AU"/>
              </w:rPr>
              <w:fldChar w:fldCharType="end"/>
            </w:r>
          </w:p>
        </w:tc>
        <w:tc>
          <w:tcPr>
            <w:tcW w:w="1000" w:type="dxa"/>
            <w:shd w:val="clear" w:color="auto" w:fill="auto"/>
            <w:vAlign w:val="bottom"/>
          </w:tcPr>
          <w:p w14:paraId="0CD11194" w14:textId="72D8286E" w:rsidR="005B0DD3" w:rsidRDefault="005B0DD3" w:rsidP="00C23901">
            <w:pPr>
              <w:spacing w:before="120" w:after="60" w:line="240" w:lineRule="auto"/>
              <w:jc w:val="right"/>
              <w:rPr>
                <w:szCs w:val="24"/>
              </w:rPr>
            </w:pPr>
            <w:r>
              <w:rPr>
                <w:szCs w:val="24"/>
              </w:rPr>
              <w:t>[266]</w:t>
            </w:r>
          </w:p>
        </w:tc>
      </w:tr>
      <w:tr w:rsidR="005B0DD3" w:rsidRPr="00D326DB" w14:paraId="1D18E268" w14:textId="77777777" w:rsidTr="005B0DD3">
        <w:tc>
          <w:tcPr>
            <w:tcW w:w="8291" w:type="dxa"/>
            <w:shd w:val="clear" w:color="auto" w:fill="auto"/>
          </w:tcPr>
          <w:p w14:paraId="64D97CF5" w14:textId="4CA2FFCF" w:rsidR="005B0DD3" w:rsidRPr="005B0DD3" w:rsidRDefault="00CD2A2C" w:rsidP="005B0DD3">
            <w:pPr>
              <w:pStyle w:val="bTOC3"/>
              <w:tabs>
                <w:tab w:val="clear" w:pos="9071"/>
              </w:tabs>
              <w:rPr>
                <w:lang w:eastAsia="en-AU"/>
              </w:rPr>
            </w:pPr>
            <w:r>
              <w:rPr>
                <w:lang w:eastAsia="en-AU"/>
              </w:rPr>
              <w:t xml:space="preserve">(2)  </w:t>
            </w:r>
            <w:r w:rsidR="005B0DD3">
              <w:rPr>
                <w:lang w:eastAsia="en-AU"/>
              </w:rPr>
              <w:fldChar w:fldCharType="begin" w:fldLock="1"/>
            </w:r>
            <w:r w:rsidR="005B0DD3">
              <w:rPr>
                <w:lang w:eastAsia="en-AU"/>
              </w:rPr>
              <w:instrText xml:space="preserve"> REF _Ref54701590 \h </w:instrText>
            </w:r>
            <w:r w:rsidR="005B0DD3">
              <w:rPr>
                <w:lang w:eastAsia="en-AU"/>
              </w:rPr>
            </w:r>
            <w:r w:rsidR="005B0DD3">
              <w:rPr>
                <w:lang w:eastAsia="en-AU"/>
              </w:rPr>
              <w:fldChar w:fldCharType="separate"/>
            </w:r>
            <w:r w:rsidR="005B0DD3">
              <w:t>Consideration</w:t>
            </w:r>
            <w:r w:rsidR="005B0DD3">
              <w:rPr>
                <w:lang w:eastAsia="en-AU"/>
              </w:rPr>
              <w:fldChar w:fldCharType="end"/>
            </w:r>
          </w:p>
        </w:tc>
        <w:tc>
          <w:tcPr>
            <w:tcW w:w="1000" w:type="dxa"/>
            <w:shd w:val="clear" w:color="auto" w:fill="auto"/>
            <w:vAlign w:val="bottom"/>
          </w:tcPr>
          <w:p w14:paraId="069BABC2" w14:textId="79D2550A" w:rsidR="005B0DD3" w:rsidRDefault="005B0DD3" w:rsidP="00C23901">
            <w:pPr>
              <w:spacing w:before="120" w:after="60" w:line="240" w:lineRule="auto"/>
              <w:jc w:val="right"/>
              <w:rPr>
                <w:szCs w:val="24"/>
              </w:rPr>
            </w:pPr>
            <w:r>
              <w:rPr>
                <w:szCs w:val="24"/>
              </w:rPr>
              <w:t>[274]</w:t>
            </w:r>
          </w:p>
        </w:tc>
      </w:tr>
      <w:tr w:rsidR="005B0DD3" w:rsidRPr="00D326DB" w14:paraId="1B132E1E" w14:textId="77777777" w:rsidTr="005B0DD3">
        <w:tc>
          <w:tcPr>
            <w:tcW w:w="8291" w:type="dxa"/>
            <w:shd w:val="clear" w:color="auto" w:fill="auto"/>
          </w:tcPr>
          <w:p w14:paraId="1C0B49C7" w14:textId="2BE144EB"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_Ref54701591 \h </w:instrText>
            </w:r>
            <w:r>
              <w:rPr>
                <w:lang w:eastAsia="en-AU"/>
              </w:rPr>
            </w:r>
            <w:r>
              <w:rPr>
                <w:lang w:eastAsia="en-AU"/>
              </w:rPr>
              <w:fldChar w:fldCharType="separate"/>
            </w:r>
            <w:r>
              <w:t>Cancellation of the 426 defensive mark</w:t>
            </w:r>
            <w:r>
              <w:rPr>
                <w:lang w:eastAsia="en-AU"/>
              </w:rPr>
              <w:fldChar w:fldCharType="end"/>
            </w:r>
          </w:p>
        </w:tc>
        <w:tc>
          <w:tcPr>
            <w:tcW w:w="1000" w:type="dxa"/>
            <w:shd w:val="clear" w:color="auto" w:fill="auto"/>
            <w:vAlign w:val="bottom"/>
          </w:tcPr>
          <w:p w14:paraId="781A1136" w14:textId="0B90D6BA" w:rsidR="005B0DD3" w:rsidRDefault="005B0DD3" w:rsidP="00C23901">
            <w:pPr>
              <w:spacing w:before="120" w:after="60" w:line="240" w:lineRule="auto"/>
              <w:jc w:val="right"/>
              <w:rPr>
                <w:szCs w:val="24"/>
              </w:rPr>
            </w:pPr>
            <w:r>
              <w:rPr>
                <w:szCs w:val="24"/>
              </w:rPr>
              <w:t>[293]</w:t>
            </w:r>
          </w:p>
        </w:tc>
      </w:tr>
      <w:tr w:rsidR="005B0DD3" w:rsidRPr="00D326DB" w14:paraId="19895CC9" w14:textId="77777777" w:rsidTr="005B0DD3">
        <w:tc>
          <w:tcPr>
            <w:tcW w:w="8291" w:type="dxa"/>
            <w:shd w:val="clear" w:color="auto" w:fill="auto"/>
          </w:tcPr>
          <w:p w14:paraId="1CE7C142" w14:textId="547D5333" w:rsidR="005B0DD3" w:rsidRPr="005B0DD3" w:rsidRDefault="00CD2A2C" w:rsidP="005B0DD3">
            <w:pPr>
              <w:pStyle w:val="bTOC3"/>
              <w:tabs>
                <w:tab w:val="clear" w:pos="9071"/>
              </w:tabs>
              <w:rPr>
                <w:lang w:eastAsia="en-AU"/>
              </w:rPr>
            </w:pPr>
            <w:r>
              <w:rPr>
                <w:lang w:eastAsia="en-AU"/>
              </w:rPr>
              <w:t xml:space="preserve">(1)  </w:t>
            </w:r>
            <w:r w:rsidR="005B0DD3">
              <w:rPr>
                <w:lang w:eastAsia="en-AU"/>
              </w:rPr>
              <w:fldChar w:fldCharType="begin" w:fldLock="1"/>
            </w:r>
            <w:r w:rsidR="005B0DD3">
              <w:rPr>
                <w:lang w:eastAsia="en-AU"/>
              </w:rPr>
              <w:instrText xml:space="preserve"> REF _Ref54701592 \h </w:instrText>
            </w:r>
            <w:r w:rsidR="005B0DD3">
              <w:rPr>
                <w:lang w:eastAsia="en-AU"/>
              </w:rPr>
            </w:r>
            <w:r w:rsidR="005B0DD3">
              <w:rPr>
                <w:lang w:eastAsia="en-AU"/>
              </w:rPr>
              <w:fldChar w:fldCharType="separate"/>
            </w:r>
            <w:r w:rsidR="005B0DD3">
              <w:t>Introduction</w:t>
            </w:r>
            <w:r w:rsidR="005B0DD3">
              <w:rPr>
                <w:lang w:eastAsia="en-AU"/>
              </w:rPr>
              <w:fldChar w:fldCharType="end"/>
            </w:r>
          </w:p>
        </w:tc>
        <w:tc>
          <w:tcPr>
            <w:tcW w:w="1000" w:type="dxa"/>
            <w:shd w:val="clear" w:color="auto" w:fill="auto"/>
            <w:vAlign w:val="bottom"/>
          </w:tcPr>
          <w:p w14:paraId="01EDC41E" w14:textId="21C7532B" w:rsidR="005B0DD3" w:rsidRDefault="005B0DD3" w:rsidP="00C23901">
            <w:pPr>
              <w:spacing w:before="120" w:after="60" w:line="240" w:lineRule="auto"/>
              <w:jc w:val="right"/>
              <w:rPr>
                <w:szCs w:val="24"/>
              </w:rPr>
            </w:pPr>
            <w:r>
              <w:rPr>
                <w:szCs w:val="24"/>
              </w:rPr>
              <w:t>[293]</w:t>
            </w:r>
          </w:p>
        </w:tc>
      </w:tr>
      <w:tr w:rsidR="005B0DD3" w:rsidRPr="00D326DB" w14:paraId="26C1DEDB" w14:textId="77777777" w:rsidTr="005B0DD3">
        <w:tc>
          <w:tcPr>
            <w:tcW w:w="8291" w:type="dxa"/>
            <w:shd w:val="clear" w:color="auto" w:fill="auto"/>
          </w:tcPr>
          <w:p w14:paraId="1C12BFAF" w14:textId="02235AD9" w:rsidR="005B0DD3" w:rsidRPr="005B0DD3" w:rsidRDefault="00CD2A2C" w:rsidP="005B0DD3">
            <w:pPr>
              <w:pStyle w:val="bTOC3"/>
              <w:tabs>
                <w:tab w:val="clear" w:pos="9071"/>
              </w:tabs>
              <w:rPr>
                <w:lang w:eastAsia="en-AU"/>
              </w:rPr>
            </w:pPr>
            <w:r>
              <w:rPr>
                <w:lang w:eastAsia="en-AU"/>
              </w:rPr>
              <w:t xml:space="preserve">(2)  </w:t>
            </w:r>
            <w:r w:rsidR="005B0DD3">
              <w:rPr>
                <w:lang w:eastAsia="en-AU"/>
              </w:rPr>
              <w:fldChar w:fldCharType="begin" w:fldLock="1"/>
            </w:r>
            <w:r w:rsidR="005B0DD3">
              <w:rPr>
                <w:lang w:eastAsia="en-AU"/>
              </w:rPr>
              <w:instrText xml:space="preserve"> REF _Ref54701593 \h </w:instrText>
            </w:r>
            <w:r w:rsidR="005B0DD3">
              <w:rPr>
                <w:lang w:eastAsia="en-AU"/>
              </w:rPr>
            </w:r>
            <w:r w:rsidR="005B0DD3">
              <w:rPr>
                <w:lang w:eastAsia="en-AU"/>
              </w:rPr>
              <w:fldChar w:fldCharType="separate"/>
            </w:r>
            <w:r w:rsidR="005B0DD3">
              <w:t>The law</w:t>
            </w:r>
            <w:r w:rsidR="005B0DD3">
              <w:rPr>
                <w:lang w:eastAsia="en-AU"/>
              </w:rPr>
              <w:fldChar w:fldCharType="end"/>
            </w:r>
          </w:p>
        </w:tc>
        <w:tc>
          <w:tcPr>
            <w:tcW w:w="1000" w:type="dxa"/>
            <w:shd w:val="clear" w:color="auto" w:fill="auto"/>
            <w:vAlign w:val="bottom"/>
          </w:tcPr>
          <w:p w14:paraId="16506F13" w14:textId="62AC0770" w:rsidR="005B0DD3" w:rsidRDefault="005B0DD3" w:rsidP="00C23901">
            <w:pPr>
              <w:spacing w:before="120" w:after="60" w:line="240" w:lineRule="auto"/>
              <w:jc w:val="right"/>
              <w:rPr>
                <w:szCs w:val="24"/>
              </w:rPr>
            </w:pPr>
            <w:r>
              <w:rPr>
                <w:szCs w:val="24"/>
              </w:rPr>
              <w:t>[296]</w:t>
            </w:r>
          </w:p>
        </w:tc>
      </w:tr>
      <w:tr w:rsidR="005B0DD3" w:rsidRPr="00D326DB" w14:paraId="3BF1AD3E" w14:textId="77777777" w:rsidTr="005B0DD3">
        <w:tc>
          <w:tcPr>
            <w:tcW w:w="8291" w:type="dxa"/>
            <w:shd w:val="clear" w:color="auto" w:fill="auto"/>
          </w:tcPr>
          <w:p w14:paraId="3D430052" w14:textId="6BE5355B" w:rsidR="005B0DD3" w:rsidRPr="005B0DD3" w:rsidRDefault="00CD2A2C" w:rsidP="005B0DD3">
            <w:pPr>
              <w:pStyle w:val="bTOC3"/>
              <w:tabs>
                <w:tab w:val="clear" w:pos="9071"/>
              </w:tabs>
              <w:rPr>
                <w:lang w:eastAsia="en-AU"/>
              </w:rPr>
            </w:pPr>
            <w:r>
              <w:rPr>
                <w:lang w:eastAsia="en-AU"/>
              </w:rPr>
              <w:t xml:space="preserve">(3)  </w:t>
            </w:r>
            <w:r w:rsidR="005B0DD3">
              <w:rPr>
                <w:lang w:eastAsia="en-AU"/>
              </w:rPr>
              <w:fldChar w:fldCharType="begin" w:fldLock="1"/>
            </w:r>
            <w:r w:rsidR="005B0DD3">
              <w:rPr>
                <w:lang w:eastAsia="en-AU"/>
              </w:rPr>
              <w:instrText xml:space="preserve"> REF _Ref54701594 \h </w:instrText>
            </w:r>
            <w:r w:rsidR="005B0DD3">
              <w:rPr>
                <w:lang w:eastAsia="en-AU"/>
              </w:rPr>
            </w:r>
            <w:r w:rsidR="005B0DD3">
              <w:rPr>
                <w:lang w:eastAsia="en-AU"/>
              </w:rPr>
              <w:fldChar w:fldCharType="separate"/>
            </w:r>
            <w:r w:rsidR="005B0DD3">
              <w:t>Submissions</w:t>
            </w:r>
            <w:r w:rsidR="005B0DD3">
              <w:rPr>
                <w:lang w:eastAsia="en-AU"/>
              </w:rPr>
              <w:fldChar w:fldCharType="end"/>
            </w:r>
          </w:p>
        </w:tc>
        <w:tc>
          <w:tcPr>
            <w:tcW w:w="1000" w:type="dxa"/>
            <w:shd w:val="clear" w:color="auto" w:fill="auto"/>
            <w:vAlign w:val="bottom"/>
          </w:tcPr>
          <w:p w14:paraId="4E700EB9" w14:textId="2AB7E87C" w:rsidR="005B0DD3" w:rsidRDefault="005B0DD3" w:rsidP="00C23901">
            <w:pPr>
              <w:spacing w:before="120" w:after="60" w:line="240" w:lineRule="auto"/>
              <w:jc w:val="right"/>
              <w:rPr>
                <w:szCs w:val="24"/>
              </w:rPr>
            </w:pPr>
            <w:r>
              <w:rPr>
                <w:szCs w:val="24"/>
              </w:rPr>
              <w:t>[316]</w:t>
            </w:r>
          </w:p>
        </w:tc>
      </w:tr>
      <w:tr w:rsidR="005B0DD3" w:rsidRPr="00D326DB" w14:paraId="04AD7F46" w14:textId="77777777" w:rsidTr="005B0DD3">
        <w:tc>
          <w:tcPr>
            <w:tcW w:w="8291" w:type="dxa"/>
            <w:shd w:val="clear" w:color="auto" w:fill="auto"/>
          </w:tcPr>
          <w:p w14:paraId="4132B170" w14:textId="02C2744F" w:rsidR="005B0DD3" w:rsidRPr="005B0DD3" w:rsidRDefault="00CD2A2C" w:rsidP="005B0DD3">
            <w:pPr>
              <w:pStyle w:val="bTOC3"/>
              <w:tabs>
                <w:tab w:val="clear" w:pos="9071"/>
              </w:tabs>
              <w:rPr>
                <w:lang w:eastAsia="en-AU"/>
              </w:rPr>
            </w:pPr>
            <w:r>
              <w:rPr>
                <w:lang w:eastAsia="en-AU"/>
              </w:rPr>
              <w:t xml:space="preserve">(4)  </w:t>
            </w:r>
            <w:r w:rsidR="005B0DD3">
              <w:rPr>
                <w:lang w:eastAsia="en-AU"/>
              </w:rPr>
              <w:fldChar w:fldCharType="begin" w:fldLock="1"/>
            </w:r>
            <w:r w:rsidR="005B0DD3">
              <w:rPr>
                <w:lang w:eastAsia="en-AU"/>
              </w:rPr>
              <w:instrText xml:space="preserve"> REF _Ref54701595 \h </w:instrText>
            </w:r>
            <w:r w:rsidR="005B0DD3">
              <w:rPr>
                <w:lang w:eastAsia="en-AU"/>
              </w:rPr>
            </w:r>
            <w:r w:rsidR="005B0DD3">
              <w:rPr>
                <w:lang w:eastAsia="en-AU"/>
              </w:rPr>
              <w:fldChar w:fldCharType="separate"/>
            </w:r>
            <w:r w:rsidR="005B0DD3">
              <w:t>Consideration</w:t>
            </w:r>
            <w:r w:rsidR="005B0DD3">
              <w:rPr>
                <w:lang w:eastAsia="en-AU"/>
              </w:rPr>
              <w:fldChar w:fldCharType="end"/>
            </w:r>
          </w:p>
        </w:tc>
        <w:tc>
          <w:tcPr>
            <w:tcW w:w="1000" w:type="dxa"/>
            <w:shd w:val="clear" w:color="auto" w:fill="auto"/>
            <w:vAlign w:val="bottom"/>
          </w:tcPr>
          <w:p w14:paraId="50CDDD3E" w14:textId="319B7282" w:rsidR="005B0DD3" w:rsidRDefault="005B0DD3" w:rsidP="00C23901">
            <w:pPr>
              <w:spacing w:before="120" w:after="60" w:line="240" w:lineRule="auto"/>
              <w:jc w:val="right"/>
              <w:rPr>
                <w:szCs w:val="24"/>
              </w:rPr>
            </w:pPr>
            <w:r>
              <w:rPr>
                <w:szCs w:val="24"/>
              </w:rPr>
              <w:t>[324]</w:t>
            </w:r>
          </w:p>
        </w:tc>
      </w:tr>
      <w:tr w:rsidR="005B0DD3" w:rsidRPr="00D326DB" w14:paraId="00661F36" w14:textId="77777777" w:rsidTr="005B0DD3">
        <w:tc>
          <w:tcPr>
            <w:tcW w:w="8291" w:type="dxa"/>
            <w:shd w:val="clear" w:color="auto" w:fill="auto"/>
          </w:tcPr>
          <w:p w14:paraId="6048206C" w14:textId="7A5736AE"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_Ref54701596 \h </w:instrText>
            </w:r>
            <w:r>
              <w:rPr>
                <w:lang w:eastAsia="en-AU"/>
              </w:rPr>
            </w:r>
            <w:r>
              <w:rPr>
                <w:lang w:eastAsia="en-AU"/>
              </w:rPr>
              <w:fldChar w:fldCharType="separate"/>
            </w:r>
            <w:r w:rsidRPr="00CC024A">
              <w:t>TRADE MARK OFFICE APPEAL</w:t>
            </w:r>
            <w:r>
              <w:rPr>
                <w:lang w:eastAsia="en-AU"/>
              </w:rPr>
              <w:fldChar w:fldCharType="end"/>
            </w:r>
          </w:p>
        </w:tc>
        <w:tc>
          <w:tcPr>
            <w:tcW w:w="1000" w:type="dxa"/>
            <w:shd w:val="clear" w:color="auto" w:fill="auto"/>
            <w:vAlign w:val="bottom"/>
          </w:tcPr>
          <w:p w14:paraId="4A10C519" w14:textId="3AC73D0A" w:rsidR="005B0DD3" w:rsidRDefault="005B0DD3" w:rsidP="00C23901">
            <w:pPr>
              <w:spacing w:before="120" w:after="60" w:line="240" w:lineRule="auto"/>
              <w:jc w:val="right"/>
              <w:rPr>
                <w:szCs w:val="24"/>
              </w:rPr>
            </w:pPr>
            <w:r>
              <w:rPr>
                <w:szCs w:val="24"/>
              </w:rPr>
              <w:t>[340]</w:t>
            </w:r>
          </w:p>
        </w:tc>
      </w:tr>
      <w:tr w:rsidR="005B0DD3" w:rsidRPr="00D326DB" w14:paraId="36020326" w14:textId="77777777" w:rsidTr="005B0DD3">
        <w:tc>
          <w:tcPr>
            <w:tcW w:w="8291" w:type="dxa"/>
            <w:shd w:val="clear" w:color="auto" w:fill="auto"/>
          </w:tcPr>
          <w:p w14:paraId="3A4BBE82" w14:textId="6379360D"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_Ref54701558 \h </w:instrText>
            </w:r>
            <w:r>
              <w:rPr>
                <w:lang w:eastAsia="en-AU"/>
              </w:rPr>
            </w:r>
            <w:r>
              <w:rPr>
                <w:lang w:eastAsia="en-AU"/>
              </w:rPr>
              <w:fldChar w:fldCharType="separate"/>
            </w:r>
            <w:r w:rsidRPr="007A08C7">
              <w:t>INTRODUCTION</w:t>
            </w:r>
            <w:r>
              <w:rPr>
                <w:lang w:eastAsia="en-AU"/>
              </w:rPr>
              <w:fldChar w:fldCharType="end"/>
            </w:r>
          </w:p>
        </w:tc>
        <w:tc>
          <w:tcPr>
            <w:tcW w:w="1000" w:type="dxa"/>
            <w:shd w:val="clear" w:color="auto" w:fill="auto"/>
            <w:vAlign w:val="bottom"/>
          </w:tcPr>
          <w:p w14:paraId="06D860B0" w14:textId="00B4678E" w:rsidR="005B0DD3" w:rsidRDefault="005B0DD3" w:rsidP="00C23901">
            <w:pPr>
              <w:spacing w:before="120" w:after="60" w:line="240" w:lineRule="auto"/>
              <w:jc w:val="right"/>
              <w:rPr>
                <w:szCs w:val="24"/>
              </w:rPr>
            </w:pPr>
            <w:r>
              <w:rPr>
                <w:szCs w:val="24"/>
              </w:rPr>
              <w:t>[340]</w:t>
            </w:r>
          </w:p>
        </w:tc>
      </w:tr>
      <w:tr w:rsidR="005B0DD3" w:rsidRPr="00D326DB" w14:paraId="4DE125F3" w14:textId="77777777" w:rsidTr="005B0DD3">
        <w:tc>
          <w:tcPr>
            <w:tcW w:w="8291" w:type="dxa"/>
            <w:shd w:val="clear" w:color="auto" w:fill="auto"/>
          </w:tcPr>
          <w:p w14:paraId="6CB898AE" w14:textId="141E43E3"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_Ref54701597 \h </w:instrText>
            </w:r>
            <w:r>
              <w:rPr>
                <w:lang w:eastAsia="en-AU"/>
              </w:rPr>
            </w:r>
            <w:r>
              <w:rPr>
                <w:lang w:eastAsia="en-AU"/>
              </w:rPr>
              <w:fldChar w:fldCharType="separate"/>
            </w:r>
            <w:r w:rsidRPr="00CC024A">
              <w:t>Section 60 – likely to deceive or cause confusion</w:t>
            </w:r>
            <w:r>
              <w:rPr>
                <w:lang w:eastAsia="en-AU"/>
              </w:rPr>
              <w:fldChar w:fldCharType="end"/>
            </w:r>
          </w:p>
        </w:tc>
        <w:tc>
          <w:tcPr>
            <w:tcW w:w="1000" w:type="dxa"/>
            <w:shd w:val="clear" w:color="auto" w:fill="auto"/>
            <w:vAlign w:val="bottom"/>
          </w:tcPr>
          <w:p w14:paraId="00C62E0C" w14:textId="25BA6A5D" w:rsidR="005B0DD3" w:rsidRDefault="005B0DD3" w:rsidP="00C23901">
            <w:pPr>
              <w:spacing w:before="120" w:after="60" w:line="240" w:lineRule="auto"/>
              <w:jc w:val="right"/>
              <w:rPr>
                <w:szCs w:val="24"/>
              </w:rPr>
            </w:pPr>
            <w:r>
              <w:rPr>
                <w:szCs w:val="24"/>
              </w:rPr>
              <w:t>[344]</w:t>
            </w:r>
          </w:p>
        </w:tc>
      </w:tr>
      <w:tr w:rsidR="005B0DD3" w:rsidRPr="00D326DB" w14:paraId="45EA8D13" w14:textId="77777777" w:rsidTr="005B0DD3">
        <w:tc>
          <w:tcPr>
            <w:tcW w:w="8291" w:type="dxa"/>
            <w:shd w:val="clear" w:color="auto" w:fill="auto"/>
          </w:tcPr>
          <w:p w14:paraId="78352AB0" w14:textId="36B794EC"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_Ref54701598 \h </w:instrText>
            </w:r>
            <w:r>
              <w:rPr>
                <w:lang w:eastAsia="en-AU"/>
              </w:rPr>
            </w:r>
            <w:r>
              <w:rPr>
                <w:lang w:eastAsia="en-AU"/>
              </w:rPr>
              <w:fldChar w:fldCharType="separate"/>
            </w:r>
            <w:r w:rsidRPr="00CC024A">
              <w:t>Section 42(b) – contrary to law as misleading and deceptive</w:t>
            </w:r>
            <w:r>
              <w:rPr>
                <w:lang w:eastAsia="en-AU"/>
              </w:rPr>
              <w:fldChar w:fldCharType="end"/>
            </w:r>
          </w:p>
        </w:tc>
        <w:tc>
          <w:tcPr>
            <w:tcW w:w="1000" w:type="dxa"/>
            <w:shd w:val="clear" w:color="auto" w:fill="auto"/>
            <w:vAlign w:val="bottom"/>
          </w:tcPr>
          <w:p w14:paraId="2AB391BB" w14:textId="06094FDD" w:rsidR="005B0DD3" w:rsidRDefault="005B0DD3" w:rsidP="00C23901">
            <w:pPr>
              <w:spacing w:before="120" w:after="60" w:line="240" w:lineRule="auto"/>
              <w:jc w:val="right"/>
              <w:rPr>
                <w:szCs w:val="24"/>
              </w:rPr>
            </w:pPr>
            <w:r>
              <w:rPr>
                <w:szCs w:val="24"/>
              </w:rPr>
              <w:t>[354]</w:t>
            </w:r>
          </w:p>
        </w:tc>
      </w:tr>
      <w:tr w:rsidR="005B0DD3" w:rsidRPr="00D326DB" w14:paraId="7B5AD7CC" w14:textId="77777777" w:rsidTr="005B0DD3">
        <w:tc>
          <w:tcPr>
            <w:tcW w:w="8291" w:type="dxa"/>
            <w:shd w:val="clear" w:color="auto" w:fill="auto"/>
          </w:tcPr>
          <w:p w14:paraId="42815144" w14:textId="00B42C71"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_Ref54701599 \h </w:instrText>
            </w:r>
            <w:r>
              <w:rPr>
                <w:lang w:eastAsia="en-AU"/>
              </w:rPr>
            </w:r>
            <w:r>
              <w:rPr>
                <w:lang w:eastAsia="en-AU"/>
              </w:rPr>
              <w:fldChar w:fldCharType="separate"/>
            </w:r>
            <w:r w:rsidRPr="00CC024A">
              <w:t>Section 44 – deceptively similar in respect of similar goods</w:t>
            </w:r>
            <w:r>
              <w:rPr>
                <w:lang w:eastAsia="en-AU"/>
              </w:rPr>
              <w:fldChar w:fldCharType="end"/>
            </w:r>
          </w:p>
        </w:tc>
        <w:tc>
          <w:tcPr>
            <w:tcW w:w="1000" w:type="dxa"/>
            <w:shd w:val="clear" w:color="auto" w:fill="auto"/>
            <w:vAlign w:val="bottom"/>
          </w:tcPr>
          <w:p w14:paraId="76176A6D" w14:textId="64628C6F" w:rsidR="005B0DD3" w:rsidRDefault="005B0DD3" w:rsidP="00C23901">
            <w:pPr>
              <w:spacing w:before="120" w:after="60" w:line="240" w:lineRule="auto"/>
              <w:jc w:val="right"/>
              <w:rPr>
                <w:szCs w:val="24"/>
              </w:rPr>
            </w:pPr>
            <w:r>
              <w:rPr>
                <w:szCs w:val="24"/>
              </w:rPr>
              <w:t>[355]</w:t>
            </w:r>
          </w:p>
        </w:tc>
      </w:tr>
      <w:tr w:rsidR="005B0DD3" w:rsidRPr="00D326DB" w14:paraId="0C022AD5" w14:textId="77777777" w:rsidTr="005B0DD3">
        <w:tc>
          <w:tcPr>
            <w:tcW w:w="8291" w:type="dxa"/>
            <w:shd w:val="clear" w:color="auto" w:fill="auto"/>
          </w:tcPr>
          <w:p w14:paraId="0AD81143" w14:textId="70E834B1"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_Ref54701600 \h </w:instrText>
            </w:r>
            <w:r>
              <w:rPr>
                <w:lang w:eastAsia="en-AU"/>
              </w:rPr>
            </w:r>
            <w:r>
              <w:rPr>
                <w:lang w:eastAsia="en-AU"/>
              </w:rPr>
              <w:fldChar w:fldCharType="separate"/>
            </w:r>
            <w:r w:rsidRPr="00CC024A">
              <w:t>Section 58 – ownership of the opposed mark</w:t>
            </w:r>
            <w:r>
              <w:rPr>
                <w:lang w:eastAsia="en-AU"/>
              </w:rPr>
              <w:fldChar w:fldCharType="end"/>
            </w:r>
          </w:p>
        </w:tc>
        <w:tc>
          <w:tcPr>
            <w:tcW w:w="1000" w:type="dxa"/>
            <w:shd w:val="clear" w:color="auto" w:fill="auto"/>
            <w:vAlign w:val="bottom"/>
          </w:tcPr>
          <w:p w14:paraId="1E1AFA54" w14:textId="673B0AC5" w:rsidR="005B0DD3" w:rsidRDefault="005B0DD3" w:rsidP="00C23901">
            <w:pPr>
              <w:spacing w:before="120" w:after="60" w:line="240" w:lineRule="auto"/>
              <w:jc w:val="right"/>
              <w:rPr>
                <w:szCs w:val="24"/>
              </w:rPr>
            </w:pPr>
            <w:r>
              <w:rPr>
                <w:szCs w:val="24"/>
              </w:rPr>
              <w:t>[359]</w:t>
            </w:r>
          </w:p>
        </w:tc>
      </w:tr>
      <w:tr w:rsidR="005B0DD3" w:rsidRPr="00D326DB" w14:paraId="55354AD5" w14:textId="77777777" w:rsidTr="005B0DD3">
        <w:tc>
          <w:tcPr>
            <w:tcW w:w="8291" w:type="dxa"/>
            <w:shd w:val="clear" w:color="auto" w:fill="auto"/>
          </w:tcPr>
          <w:p w14:paraId="2E55EE48" w14:textId="6196DD7A"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_Ref54701601 \h </w:instrText>
            </w:r>
            <w:r>
              <w:rPr>
                <w:lang w:eastAsia="en-AU"/>
              </w:rPr>
            </w:r>
            <w:r>
              <w:rPr>
                <w:lang w:eastAsia="en-AU"/>
              </w:rPr>
              <w:fldChar w:fldCharType="separate"/>
            </w:r>
            <w:r w:rsidRPr="00CC024A">
              <w:t>Section 59 – intention to use</w:t>
            </w:r>
            <w:r>
              <w:rPr>
                <w:lang w:eastAsia="en-AU"/>
              </w:rPr>
              <w:fldChar w:fldCharType="end"/>
            </w:r>
          </w:p>
        </w:tc>
        <w:tc>
          <w:tcPr>
            <w:tcW w:w="1000" w:type="dxa"/>
            <w:shd w:val="clear" w:color="auto" w:fill="auto"/>
            <w:vAlign w:val="bottom"/>
          </w:tcPr>
          <w:p w14:paraId="31A2FF9F" w14:textId="703943C5" w:rsidR="005B0DD3" w:rsidRDefault="005B0DD3" w:rsidP="00C23901">
            <w:pPr>
              <w:spacing w:before="120" w:after="60" w:line="240" w:lineRule="auto"/>
              <w:jc w:val="right"/>
              <w:rPr>
                <w:szCs w:val="24"/>
              </w:rPr>
            </w:pPr>
            <w:r>
              <w:rPr>
                <w:szCs w:val="24"/>
              </w:rPr>
              <w:t>[388]</w:t>
            </w:r>
          </w:p>
        </w:tc>
      </w:tr>
      <w:tr w:rsidR="005B0DD3" w:rsidRPr="00D326DB" w14:paraId="56261854" w14:textId="77777777" w:rsidTr="005B0DD3">
        <w:tc>
          <w:tcPr>
            <w:tcW w:w="8291" w:type="dxa"/>
            <w:shd w:val="clear" w:color="auto" w:fill="auto"/>
          </w:tcPr>
          <w:p w14:paraId="60619C3D" w14:textId="0F2F56D9"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_Ref54701602 \h </w:instrText>
            </w:r>
            <w:r>
              <w:rPr>
                <w:lang w:eastAsia="en-AU"/>
              </w:rPr>
            </w:r>
            <w:r>
              <w:rPr>
                <w:lang w:eastAsia="en-AU"/>
              </w:rPr>
              <w:fldChar w:fldCharType="separate"/>
            </w:r>
            <w:r w:rsidRPr="00CC024A">
              <w:t>Section 62A – application made in bad faith</w:t>
            </w:r>
            <w:r>
              <w:rPr>
                <w:lang w:eastAsia="en-AU"/>
              </w:rPr>
              <w:fldChar w:fldCharType="end"/>
            </w:r>
          </w:p>
        </w:tc>
        <w:tc>
          <w:tcPr>
            <w:tcW w:w="1000" w:type="dxa"/>
            <w:shd w:val="clear" w:color="auto" w:fill="auto"/>
            <w:vAlign w:val="bottom"/>
          </w:tcPr>
          <w:p w14:paraId="1BB3A74E" w14:textId="0BA1A952" w:rsidR="005B0DD3" w:rsidRDefault="005B0DD3" w:rsidP="00C23901">
            <w:pPr>
              <w:spacing w:before="120" w:after="60" w:line="240" w:lineRule="auto"/>
              <w:jc w:val="right"/>
              <w:rPr>
                <w:szCs w:val="24"/>
              </w:rPr>
            </w:pPr>
            <w:r>
              <w:rPr>
                <w:szCs w:val="24"/>
              </w:rPr>
              <w:t>[405]</w:t>
            </w:r>
          </w:p>
        </w:tc>
      </w:tr>
      <w:tr w:rsidR="005B0DD3" w:rsidRPr="00D326DB" w14:paraId="074179E5" w14:textId="77777777" w:rsidTr="005B0DD3">
        <w:tc>
          <w:tcPr>
            <w:tcW w:w="8291" w:type="dxa"/>
            <w:shd w:val="clear" w:color="auto" w:fill="auto"/>
          </w:tcPr>
          <w:p w14:paraId="76E4677F" w14:textId="088C5FB2"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_Ref54701603 \h </w:instrText>
            </w:r>
            <w:r>
              <w:rPr>
                <w:lang w:eastAsia="en-AU"/>
              </w:rPr>
            </w:r>
            <w:r>
              <w:rPr>
                <w:lang w:eastAsia="en-AU"/>
              </w:rPr>
              <w:fldChar w:fldCharType="separate"/>
            </w:r>
            <w:r w:rsidRPr="00A274C1">
              <w:t>Conclusion o</w:t>
            </w:r>
            <w:r>
              <w:t>n the Trade Mark Office appeal</w:t>
            </w:r>
            <w:r>
              <w:rPr>
                <w:lang w:eastAsia="en-AU"/>
              </w:rPr>
              <w:fldChar w:fldCharType="end"/>
            </w:r>
          </w:p>
        </w:tc>
        <w:tc>
          <w:tcPr>
            <w:tcW w:w="1000" w:type="dxa"/>
            <w:shd w:val="clear" w:color="auto" w:fill="auto"/>
            <w:vAlign w:val="bottom"/>
          </w:tcPr>
          <w:p w14:paraId="336365B4" w14:textId="3B972B9E" w:rsidR="005B0DD3" w:rsidRDefault="005B0DD3" w:rsidP="00C23901">
            <w:pPr>
              <w:spacing w:before="120" w:after="60" w:line="240" w:lineRule="auto"/>
              <w:jc w:val="right"/>
              <w:rPr>
                <w:szCs w:val="24"/>
              </w:rPr>
            </w:pPr>
            <w:r>
              <w:rPr>
                <w:szCs w:val="24"/>
              </w:rPr>
              <w:t>[413]</w:t>
            </w:r>
          </w:p>
        </w:tc>
      </w:tr>
      <w:tr w:rsidR="005B0DD3" w:rsidRPr="00D326DB" w14:paraId="3C4E5F46" w14:textId="77777777" w:rsidTr="005B0DD3">
        <w:tc>
          <w:tcPr>
            <w:tcW w:w="8291" w:type="dxa"/>
            <w:shd w:val="clear" w:color="auto" w:fill="auto"/>
          </w:tcPr>
          <w:p w14:paraId="48F42059" w14:textId="244C7037"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_Ref54701604 \h </w:instrText>
            </w:r>
            <w:r>
              <w:rPr>
                <w:lang w:eastAsia="en-AU"/>
              </w:rPr>
            </w:r>
            <w:r>
              <w:rPr>
                <w:lang w:eastAsia="en-AU"/>
              </w:rPr>
              <w:fldChar w:fldCharType="separate"/>
            </w:r>
            <w:r>
              <w:t>AUSTRALIAN CONSUMER LAW AND PASSING OFF</w:t>
            </w:r>
            <w:r>
              <w:rPr>
                <w:lang w:eastAsia="en-AU"/>
              </w:rPr>
              <w:fldChar w:fldCharType="end"/>
            </w:r>
          </w:p>
        </w:tc>
        <w:tc>
          <w:tcPr>
            <w:tcW w:w="1000" w:type="dxa"/>
            <w:shd w:val="clear" w:color="auto" w:fill="auto"/>
            <w:vAlign w:val="bottom"/>
          </w:tcPr>
          <w:p w14:paraId="5889DF75" w14:textId="1C3F1433" w:rsidR="005B0DD3" w:rsidRDefault="005B0DD3" w:rsidP="00C23901">
            <w:pPr>
              <w:spacing w:before="120" w:after="60" w:line="240" w:lineRule="auto"/>
              <w:jc w:val="right"/>
              <w:rPr>
                <w:szCs w:val="24"/>
              </w:rPr>
            </w:pPr>
            <w:r>
              <w:rPr>
                <w:szCs w:val="24"/>
              </w:rPr>
              <w:t>[414]</w:t>
            </w:r>
          </w:p>
        </w:tc>
      </w:tr>
      <w:tr w:rsidR="005B0DD3" w:rsidRPr="00D326DB" w14:paraId="0042FF6A" w14:textId="77777777" w:rsidTr="005B0DD3">
        <w:tc>
          <w:tcPr>
            <w:tcW w:w="8291" w:type="dxa"/>
            <w:shd w:val="clear" w:color="auto" w:fill="auto"/>
          </w:tcPr>
          <w:p w14:paraId="6242A499" w14:textId="29BDC6BE"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_Ref54701605 \h </w:instrText>
            </w:r>
            <w:r>
              <w:rPr>
                <w:lang w:eastAsia="en-AU"/>
              </w:rPr>
            </w:r>
            <w:r>
              <w:rPr>
                <w:lang w:eastAsia="en-AU"/>
              </w:rPr>
              <w:fldChar w:fldCharType="separate"/>
            </w:r>
            <w:r>
              <w:t>Framework principles: ACL claims</w:t>
            </w:r>
            <w:r>
              <w:rPr>
                <w:lang w:eastAsia="en-AU"/>
              </w:rPr>
              <w:fldChar w:fldCharType="end"/>
            </w:r>
          </w:p>
        </w:tc>
        <w:tc>
          <w:tcPr>
            <w:tcW w:w="1000" w:type="dxa"/>
            <w:shd w:val="clear" w:color="auto" w:fill="auto"/>
            <w:vAlign w:val="bottom"/>
          </w:tcPr>
          <w:p w14:paraId="31B17785" w14:textId="664027D8" w:rsidR="005B0DD3" w:rsidRDefault="005B0DD3" w:rsidP="00C23901">
            <w:pPr>
              <w:spacing w:before="120" w:after="60" w:line="240" w:lineRule="auto"/>
              <w:jc w:val="right"/>
              <w:rPr>
                <w:szCs w:val="24"/>
              </w:rPr>
            </w:pPr>
            <w:r>
              <w:rPr>
                <w:szCs w:val="24"/>
              </w:rPr>
              <w:t>[416]</w:t>
            </w:r>
          </w:p>
        </w:tc>
      </w:tr>
      <w:tr w:rsidR="005B0DD3" w:rsidRPr="00D326DB" w14:paraId="656498D7" w14:textId="77777777" w:rsidTr="005B0DD3">
        <w:tc>
          <w:tcPr>
            <w:tcW w:w="8291" w:type="dxa"/>
            <w:shd w:val="clear" w:color="auto" w:fill="auto"/>
          </w:tcPr>
          <w:p w14:paraId="5031C126" w14:textId="116F9984"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_Ref54701606 \h </w:instrText>
            </w:r>
            <w:r>
              <w:rPr>
                <w:lang w:eastAsia="en-AU"/>
              </w:rPr>
            </w:r>
            <w:r>
              <w:rPr>
                <w:lang w:eastAsia="en-AU"/>
              </w:rPr>
              <w:fldChar w:fldCharType="separate"/>
            </w:r>
            <w:r>
              <w:t>Generally</w:t>
            </w:r>
            <w:r>
              <w:rPr>
                <w:lang w:eastAsia="en-AU"/>
              </w:rPr>
              <w:fldChar w:fldCharType="end"/>
            </w:r>
          </w:p>
        </w:tc>
        <w:tc>
          <w:tcPr>
            <w:tcW w:w="1000" w:type="dxa"/>
            <w:shd w:val="clear" w:color="auto" w:fill="auto"/>
            <w:vAlign w:val="bottom"/>
          </w:tcPr>
          <w:p w14:paraId="1FCBB828" w14:textId="38B897BD" w:rsidR="005B0DD3" w:rsidRDefault="005B0DD3" w:rsidP="00C23901">
            <w:pPr>
              <w:spacing w:before="120" w:after="60" w:line="240" w:lineRule="auto"/>
              <w:jc w:val="right"/>
              <w:rPr>
                <w:szCs w:val="24"/>
              </w:rPr>
            </w:pPr>
            <w:r>
              <w:rPr>
                <w:szCs w:val="24"/>
              </w:rPr>
              <w:t>[416]</w:t>
            </w:r>
          </w:p>
        </w:tc>
      </w:tr>
      <w:tr w:rsidR="005B0DD3" w:rsidRPr="00D326DB" w14:paraId="7FC58BDE" w14:textId="77777777" w:rsidTr="005B0DD3">
        <w:tc>
          <w:tcPr>
            <w:tcW w:w="8291" w:type="dxa"/>
            <w:shd w:val="clear" w:color="auto" w:fill="auto"/>
          </w:tcPr>
          <w:p w14:paraId="74AA4D69" w14:textId="641CE706"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_Ref54701607 \h </w:instrText>
            </w:r>
            <w:r>
              <w:rPr>
                <w:lang w:eastAsia="en-AU"/>
              </w:rPr>
            </w:r>
            <w:r>
              <w:rPr>
                <w:lang w:eastAsia="en-AU"/>
              </w:rPr>
              <w:fldChar w:fldCharType="separate"/>
            </w:r>
            <w:r>
              <w:t>With regard to efficacy in particular</w:t>
            </w:r>
            <w:r>
              <w:rPr>
                <w:lang w:eastAsia="en-AU"/>
              </w:rPr>
              <w:fldChar w:fldCharType="end"/>
            </w:r>
          </w:p>
        </w:tc>
        <w:tc>
          <w:tcPr>
            <w:tcW w:w="1000" w:type="dxa"/>
            <w:shd w:val="clear" w:color="auto" w:fill="auto"/>
            <w:vAlign w:val="bottom"/>
          </w:tcPr>
          <w:p w14:paraId="4468B3C6" w14:textId="4E7C0F5E" w:rsidR="005B0DD3" w:rsidRDefault="005B0DD3" w:rsidP="00C23901">
            <w:pPr>
              <w:spacing w:before="120" w:after="60" w:line="240" w:lineRule="auto"/>
              <w:jc w:val="right"/>
              <w:rPr>
                <w:szCs w:val="24"/>
              </w:rPr>
            </w:pPr>
            <w:r>
              <w:rPr>
                <w:szCs w:val="24"/>
              </w:rPr>
              <w:t>[435]</w:t>
            </w:r>
          </w:p>
        </w:tc>
      </w:tr>
      <w:tr w:rsidR="005B0DD3" w:rsidRPr="00D326DB" w14:paraId="3F76AD0F" w14:textId="77777777" w:rsidTr="005B0DD3">
        <w:tc>
          <w:tcPr>
            <w:tcW w:w="8291" w:type="dxa"/>
            <w:shd w:val="clear" w:color="auto" w:fill="auto"/>
          </w:tcPr>
          <w:p w14:paraId="7C3DB34D" w14:textId="3A6F5054" w:rsidR="005B0DD3" w:rsidRPr="005B0DD3" w:rsidRDefault="005B0DD3" w:rsidP="005B0DD3">
            <w:pPr>
              <w:pStyle w:val="bTOC2"/>
              <w:tabs>
                <w:tab w:val="clear" w:pos="9071"/>
              </w:tabs>
              <w:rPr>
                <w:lang w:eastAsia="en-AU"/>
              </w:rPr>
            </w:pPr>
            <w:r>
              <w:rPr>
                <w:lang w:eastAsia="en-AU"/>
              </w:rPr>
              <w:lastRenderedPageBreak/>
              <w:fldChar w:fldCharType="begin" w:fldLock="1"/>
            </w:r>
            <w:r>
              <w:rPr>
                <w:lang w:eastAsia="en-AU"/>
              </w:rPr>
              <w:instrText xml:space="preserve"> REF _Ref54701608 \h </w:instrText>
            </w:r>
            <w:r>
              <w:rPr>
                <w:lang w:eastAsia="en-AU"/>
              </w:rPr>
            </w:r>
            <w:r>
              <w:rPr>
                <w:lang w:eastAsia="en-AU"/>
              </w:rPr>
              <w:fldChar w:fldCharType="separate"/>
            </w:r>
            <w:r>
              <w:t>Framework principles: passing off</w:t>
            </w:r>
            <w:r>
              <w:rPr>
                <w:lang w:eastAsia="en-AU"/>
              </w:rPr>
              <w:fldChar w:fldCharType="end"/>
            </w:r>
          </w:p>
        </w:tc>
        <w:tc>
          <w:tcPr>
            <w:tcW w:w="1000" w:type="dxa"/>
            <w:shd w:val="clear" w:color="auto" w:fill="auto"/>
            <w:vAlign w:val="bottom"/>
          </w:tcPr>
          <w:p w14:paraId="66149A77" w14:textId="342AF08D" w:rsidR="005B0DD3" w:rsidRDefault="005B0DD3" w:rsidP="00C23901">
            <w:pPr>
              <w:spacing w:before="120" w:after="60" w:line="240" w:lineRule="auto"/>
              <w:jc w:val="right"/>
              <w:rPr>
                <w:szCs w:val="24"/>
              </w:rPr>
            </w:pPr>
            <w:r>
              <w:rPr>
                <w:szCs w:val="24"/>
              </w:rPr>
              <w:t>[445]</w:t>
            </w:r>
          </w:p>
        </w:tc>
      </w:tr>
      <w:tr w:rsidR="005B0DD3" w:rsidRPr="00D326DB" w14:paraId="035A5B4E" w14:textId="77777777" w:rsidTr="005B0DD3">
        <w:tc>
          <w:tcPr>
            <w:tcW w:w="8291" w:type="dxa"/>
            <w:shd w:val="clear" w:color="auto" w:fill="auto"/>
          </w:tcPr>
          <w:p w14:paraId="1CB986E7" w14:textId="6835179E"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_Ref54701609 \h </w:instrText>
            </w:r>
            <w:r>
              <w:rPr>
                <w:lang w:eastAsia="en-AU"/>
              </w:rPr>
            </w:r>
            <w:r>
              <w:rPr>
                <w:lang w:eastAsia="en-AU"/>
              </w:rPr>
              <w:fldChar w:fldCharType="separate"/>
            </w:r>
            <w:r>
              <w:t>Affiliation representations</w:t>
            </w:r>
            <w:r>
              <w:rPr>
                <w:lang w:eastAsia="en-AU"/>
              </w:rPr>
              <w:fldChar w:fldCharType="end"/>
            </w:r>
          </w:p>
        </w:tc>
        <w:tc>
          <w:tcPr>
            <w:tcW w:w="1000" w:type="dxa"/>
            <w:shd w:val="clear" w:color="auto" w:fill="auto"/>
            <w:vAlign w:val="bottom"/>
          </w:tcPr>
          <w:p w14:paraId="14790FA8" w14:textId="3DF5FFE3" w:rsidR="005B0DD3" w:rsidRDefault="005B0DD3" w:rsidP="00C23901">
            <w:pPr>
              <w:spacing w:before="120" w:after="60" w:line="240" w:lineRule="auto"/>
              <w:jc w:val="right"/>
              <w:rPr>
                <w:szCs w:val="24"/>
              </w:rPr>
            </w:pPr>
            <w:r>
              <w:rPr>
                <w:szCs w:val="24"/>
              </w:rPr>
              <w:t>[454]</w:t>
            </w:r>
          </w:p>
        </w:tc>
      </w:tr>
      <w:tr w:rsidR="005B0DD3" w:rsidRPr="00D326DB" w14:paraId="6A4A08D4" w14:textId="77777777" w:rsidTr="005B0DD3">
        <w:tc>
          <w:tcPr>
            <w:tcW w:w="8291" w:type="dxa"/>
            <w:shd w:val="clear" w:color="auto" w:fill="auto"/>
          </w:tcPr>
          <w:p w14:paraId="02AFD29C" w14:textId="6A7FF4EE"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_Ref54701558 \h </w:instrText>
            </w:r>
            <w:r>
              <w:rPr>
                <w:lang w:eastAsia="en-AU"/>
              </w:rPr>
            </w:r>
            <w:r>
              <w:rPr>
                <w:lang w:eastAsia="en-AU"/>
              </w:rPr>
              <w:fldChar w:fldCharType="separate"/>
            </w:r>
            <w:r w:rsidRPr="007A08C7">
              <w:t>INTRODUCTION</w:t>
            </w:r>
            <w:r>
              <w:rPr>
                <w:lang w:eastAsia="en-AU"/>
              </w:rPr>
              <w:fldChar w:fldCharType="end"/>
            </w:r>
          </w:p>
        </w:tc>
        <w:tc>
          <w:tcPr>
            <w:tcW w:w="1000" w:type="dxa"/>
            <w:shd w:val="clear" w:color="auto" w:fill="auto"/>
            <w:vAlign w:val="bottom"/>
          </w:tcPr>
          <w:p w14:paraId="2E2F5E86" w14:textId="726D454F" w:rsidR="005B0DD3" w:rsidRDefault="005B0DD3" w:rsidP="00C23901">
            <w:pPr>
              <w:spacing w:before="120" w:after="60" w:line="240" w:lineRule="auto"/>
              <w:jc w:val="right"/>
              <w:rPr>
                <w:szCs w:val="24"/>
              </w:rPr>
            </w:pPr>
            <w:r>
              <w:rPr>
                <w:szCs w:val="24"/>
              </w:rPr>
              <w:t>[454]</w:t>
            </w:r>
          </w:p>
        </w:tc>
      </w:tr>
      <w:tr w:rsidR="005B0DD3" w:rsidRPr="00D326DB" w14:paraId="72C50DCB" w14:textId="77777777" w:rsidTr="005B0DD3">
        <w:tc>
          <w:tcPr>
            <w:tcW w:w="8291" w:type="dxa"/>
            <w:shd w:val="clear" w:color="auto" w:fill="auto"/>
          </w:tcPr>
          <w:p w14:paraId="2D8CAE8D" w14:textId="17F18B81"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_Ref54701610 \h </w:instrText>
            </w:r>
            <w:r>
              <w:rPr>
                <w:lang w:eastAsia="en-AU"/>
              </w:rPr>
            </w:r>
            <w:r>
              <w:rPr>
                <w:lang w:eastAsia="en-AU"/>
              </w:rPr>
              <w:fldChar w:fldCharType="separate"/>
            </w:r>
            <w:r>
              <w:t>Consideration</w:t>
            </w:r>
            <w:r>
              <w:rPr>
                <w:lang w:eastAsia="en-AU"/>
              </w:rPr>
              <w:fldChar w:fldCharType="end"/>
            </w:r>
          </w:p>
        </w:tc>
        <w:tc>
          <w:tcPr>
            <w:tcW w:w="1000" w:type="dxa"/>
            <w:shd w:val="clear" w:color="auto" w:fill="auto"/>
            <w:vAlign w:val="bottom"/>
          </w:tcPr>
          <w:p w14:paraId="09112BAC" w14:textId="5B1EA9C2" w:rsidR="005B0DD3" w:rsidRDefault="005B0DD3" w:rsidP="00C23901">
            <w:pPr>
              <w:spacing w:before="120" w:after="60" w:line="240" w:lineRule="auto"/>
              <w:jc w:val="right"/>
              <w:rPr>
                <w:szCs w:val="24"/>
              </w:rPr>
            </w:pPr>
            <w:r>
              <w:rPr>
                <w:szCs w:val="24"/>
              </w:rPr>
              <w:t>[461]</w:t>
            </w:r>
          </w:p>
        </w:tc>
      </w:tr>
      <w:tr w:rsidR="005B0DD3" w:rsidRPr="00D326DB" w14:paraId="42D18480" w14:textId="77777777" w:rsidTr="005B0DD3">
        <w:tc>
          <w:tcPr>
            <w:tcW w:w="8291" w:type="dxa"/>
            <w:shd w:val="clear" w:color="auto" w:fill="auto"/>
          </w:tcPr>
          <w:p w14:paraId="6A263E73" w14:textId="0783B84C" w:rsidR="005B0DD3" w:rsidRPr="005B0DD3" w:rsidRDefault="005B0DD3" w:rsidP="005B0DD3">
            <w:pPr>
              <w:pStyle w:val="bTOC2"/>
              <w:tabs>
                <w:tab w:val="clear" w:pos="9071"/>
              </w:tabs>
              <w:rPr>
                <w:lang w:eastAsia="en-AU"/>
              </w:rPr>
            </w:pPr>
            <w:r>
              <w:rPr>
                <w:lang w:eastAsia="en-AU"/>
              </w:rPr>
              <w:fldChar w:fldCharType="begin" w:fldLock="1"/>
            </w:r>
            <w:r>
              <w:rPr>
                <w:lang w:eastAsia="en-AU"/>
              </w:rPr>
              <w:instrText xml:space="preserve"> REF _Ref54701611 \h </w:instrText>
            </w:r>
            <w:r>
              <w:rPr>
                <w:lang w:eastAsia="en-AU"/>
              </w:rPr>
            </w:r>
            <w:r>
              <w:rPr>
                <w:lang w:eastAsia="en-AU"/>
              </w:rPr>
              <w:fldChar w:fldCharType="separate"/>
            </w:r>
            <w:r>
              <w:t>Efficacy representations</w:t>
            </w:r>
            <w:r>
              <w:rPr>
                <w:lang w:eastAsia="en-AU"/>
              </w:rPr>
              <w:fldChar w:fldCharType="end"/>
            </w:r>
          </w:p>
        </w:tc>
        <w:tc>
          <w:tcPr>
            <w:tcW w:w="1000" w:type="dxa"/>
            <w:shd w:val="clear" w:color="auto" w:fill="auto"/>
            <w:vAlign w:val="bottom"/>
          </w:tcPr>
          <w:p w14:paraId="5836A129" w14:textId="0853A914" w:rsidR="005B0DD3" w:rsidRDefault="005B0DD3" w:rsidP="00C23901">
            <w:pPr>
              <w:spacing w:before="120" w:after="60" w:line="240" w:lineRule="auto"/>
              <w:jc w:val="right"/>
              <w:rPr>
                <w:szCs w:val="24"/>
              </w:rPr>
            </w:pPr>
            <w:r>
              <w:rPr>
                <w:szCs w:val="24"/>
              </w:rPr>
              <w:t>[481]</w:t>
            </w:r>
          </w:p>
        </w:tc>
      </w:tr>
      <w:tr w:rsidR="005B0DD3" w:rsidRPr="00D326DB" w14:paraId="3C40B20A" w14:textId="77777777" w:rsidTr="005B0DD3">
        <w:tc>
          <w:tcPr>
            <w:tcW w:w="8291" w:type="dxa"/>
            <w:shd w:val="clear" w:color="auto" w:fill="auto"/>
          </w:tcPr>
          <w:p w14:paraId="259642E8" w14:textId="10D210EB"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_Ref54701558 \h </w:instrText>
            </w:r>
            <w:r>
              <w:rPr>
                <w:lang w:eastAsia="en-AU"/>
              </w:rPr>
            </w:r>
            <w:r>
              <w:rPr>
                <w:lang w:eastAsia="en-AU"/>
              </w:rPr>
              <w:fldChar w:fldCharType="separate"/>
            </w:r>
            <w:r w:rsidRPr="007A08C7">
              <w:t>INTRODUCTION</w:t>
            </w:r>
            <w:r>
              <w:rPr>
                <w:lang w:eastAsia="en-AU"/>
              </w:rPr>
              <w:fldChar w:fldCharType="end"/>
            </w:r>
          </w:p>
        </w:tc>
        <w:tc>
          <w:tcPr>
            <w:tcW w:w="1000" w:type="dxa"/>
            <w:shd w:val="clear" w:color="auto" w:fill="auto"/>
            <w:vAlign w:val="bottom"/>
          </w:tcPr>
          <w:p w14:paraId="10919653" w14:textId="3B53B9D4" w:rsidR="005B0DD3" w:rsidRDefault="005B0DD3" w:rsidP="00C23901">
            <w:pPr>
              <w:spacing w:before="120" w:after="60" w:line="240" w:lineRule="auto"/>
              <w:jc w:val="right"/>
              <w:rPr>
                <w:szCs w:val="24"/>
              </w:rPr>
            </w:pPr>
            <w:r>
              <w:rPr>
                <w:szCs w:val="24"/>
              </w:rPr>
              <w:t>[481]</w:t>
            </w:r>
          </w:p>
        </w:tc>
      </w:tr>
      <w:tr w:rsidR="005B0DD3" w:rsidRPr="00D326DB" w14:paraId="755EC475" w14:textId="77777777" w:rsidTr="005B0DD3">
        <w:tc>
          <w:tcPr>
            <w:tcW w:w="8291" w:type="dxa"/>
            <w:shd w:val="clear" w:color="auto" w:fill="auto"/>
          </w:tcPr>
          <w:p w14:paraId="605D67FB" w14:textId="0F0DA4FE"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_Ref54701612 \h </w:instrText>
            </w:r>
            <w:r>
              <w:rPr>
                <w:lang w:eastAsia="en-AU"/>
              </w:rPr>
            </w:r>
            <w:r>
              <w:rPr>
                <w:lang w:eastAsia="en-AU"/>
              </w:rPr>
              <w:fldChar w:fldCharType="separate"/>
            </w:r>
            <w:r>
              <w:t>The representations</w:t>
            </w:r>
            <w:r>
              <w:rPr>
                <w:lang w:eastAsia="en-AU"/>
              </w:rPr>
              <w:fldChar w:fldCharType="end"/>
            </w:r>
          </w:p>
        </w:tc>
        <w:tc>
          <w:tcPr>
            <w:tcW w:w="1000" w:type="dxa"/>
            <w:shd w:val="clear" w:color="auto" w:fill="auto"/>
            <w:vAlign w:val="bottom"/>
          </w:tcPr>
          <w:p w14:paraId="7A6AFC52" w14:textId="24D1A42E" w:rsidR="005B0DD3" w:rsidRDefault="005B0DD3" w:rsidP="00C23901">
            <w:pPr>
              <w:spacing w:before="120" w:after="60" w:line="240" w:lineRule="auto"/>
              <w:jc w:val="right"/>
              <w:rPr>
                <w:szCs w:val="24"/>
              </w:rPr>
            </w:pPr>
            <w:r>
              <w:rPr>
                <w:szCs w:val="24"/>
              </w:rPr>
              <w:t>[494]</w:t>
            </w:r>
          </w:p>
        </w:tc>
      </w:tr>
      <w:tr w:rsidR="005B0DD3" w:rsidRPr="00D326DB" w14:paraId="6ED5DFFB" w14:textId="77777777" w:rsidTr="005B0DD3">
        <w:tc>
          <w:tcPr>
            <w:tcW w:w="8291" w:type="dxa"/>
            <w:shd w:val="clear" w:color="auto" w:fill="auto"/>
          </w:tcPr>
          <w:p w14:paraId="385D70BF" w14:textId="63063DF8"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_Ref54701613 \h </w:instrText>
            </w:r>
            <w:r>
              <w:rPr>
                <w:lang w:eastAsia="en-AU"/>
              </w:rPr>
            </w:r>
            <w:r>
              <w:rPr>
                <w:lang w:eastAsia="en-AU"/>
              </w:rPr>
              <w:fldChar w:fldCharType="separate"/>
            </w:r>
            <w:r>
              <w:t>Reasonable grounds?</w:t>
            </w:r>
            <w:r>
              <w:rPr>
                <w:lang w:eastAsia="en-AU"/>
              </w:rPr>
              <w:fldChar w:fldCharType="end"/>
            </w:r>
          </w:p>
        </w:tc>
        <w:tc>
          <w:tcPr>
            <w:tcW w:w="1000" w:type="dxa"/>
            <w:shd w:val="clear" w:color="auto" w:fill="auto"/>
            <w:vAlign w:val="bottom"/>
          </w:tcPr>
          <w:p w14:paraId="73BB2DB8" w14:textId="08DEF117" w:rsidR="005B0DD3" w:rsidRDefault="005B0DD3" w:rsidP="00C23901">
            <w:pPr>
              <w:spacing w:before="120" w:after="60" w:line="240" w:lineRule="auto"/>
              <w:jc w:val="right"/>
              <w:rPr>
                <w:szCs w:val="24"/>
              </w:rPr>
            </w:pPr>
            <w:r>
              <w:rPr>
                <w:szCs w:val="24"/>
              </w:rPr>
              <w:t>[510]</w:t>
            </w:r>
          </w:p>
        </w:tc>
      </w:tr>
      <w:tr w:rsidR="005B0DD3" w:rsidRPr="00D326DB" w14:paraId="6EBD04C1" w14:textId="77777777" w:rsidTr="005B0DD3">
        <w:tc>
          <w:tcPr>
            <w:tcW w:w="8291" w:type="dxa"/>
            <w:shd w:val="clear" w:color="auto" w:fill="auto"/>
          </w:tcPr>
          <w:p w14:paraId="7EA036CC" w14:textId="498708EB" w:rsidR="005B0DD3" w:rsidRPr="005B0DD3" w:rsidRDefault="005B0DD3" w:rsidP="005B0DD3">
            <w:pPr>
              <w:pStyle w:val="bTOC4"/>
              <w:tabs>
                <w:tab w:val="clear" w:pos="9071"/>
              </w:tabs>
              <w:rPr>
                <w:lang w:eastAsia="en-AU"/>
              </w:rPr>
            </w:pPr>
            <w:r>
              <w:rPr>
                <w:lang w:eastAsia="en-AU"/>
              </w:rPr>
              <w:fldChar w:fldCharType="begin" w:fldLock="1"/>
            </w:r>
            <w:r>
              <w:rPr>
                <w:lang w:eastAsia="en-AU"/>
              </w:rPr>
              <w:instrText xml:space="preserve"> REF _Ref54701614 \h </w:instrText>
            </w:r>
            <w:r>
              <w:rPr>
                <w:lang w:eastAsia="en-AU"/>
              </w:rPr>
            </w:r>
            <w:r>
              <w:rPr>
                <w:lang w:eastAsia="en-AU"/>
              </w:rPr>
              <w:fldChar w:fldCharType="separate"/>
            </w:r>
            <w:r>
              <w:t>Formulations, active ingredients and studies</w:t>
            </w:r>
            <w:r>
              <w:rPr>
                <w:lang w:eastAsia="en-AU"/>
              </w:rPr>
              <w:fldChar w:fldCharType="end"/>
            </w:r>
          </w:p>
        </w:tc>
        <w:tc>
          <w:tcPr>
            <w:tcW w:w="1000" w:type="dxa"/>
            <w:shd w:val="clear" w:color="auto" w:fill="auto"/>
            <w:vAlign w:val="bottom"/>
          </w:tcPr>
          <w:p w14:paraId="63632CDD" w14:textId="72332461" w:rsidR="005B0DD3" w:rsidRDefault="005B0DD3" w:rsidP="00C23901">
            <w:pPr>
              <w:spacing w:before="120" w:after="60" w:line="240" w:lineRule="auto"/>
              <w:jc w:val="right"/>
              <w:rPr>
                <w:szCs w:val="24"/>
              </w:rPr>
            </w:pPr>
            <w:r>
              <w:rPr>
                <w:szCs w:val="24"/>
              </w:rPr>
              <w:t>[510]</w:t>
            </w:r>
          </w:p>
        </w:tc>
      </w:tr>
      <w:tr w:rsidR="005B0DD3" w:rsidRPr="00D326DB" w14:paraId="43F49D71" w14:textId="77777777" w:rsidTr="005B0DD3">
        <w:tc>
          <w:tcPr>
            <w:tcW w:w="8291" w:type="dxa"/>
            <w:shd w:val="clear" w:color="auto" w:fill="auto"/>
          </w:tcPr>
          <w:p w14:paraId="27D1C246" w14:textId="2230C77D" w:rsidR="005B0DD3" w:rsidRPr="005B0DD3" w:rsidRDefault="005B0DD3" w:rsidP="005B0DD3">
            <w:pPr>
              <w:pStyle w:val="bTOC4"/>
              <w:tabs>
                <w:tab w:val="clear" w:pos="9071"/>
              </w:tabs>
              <w:rPr>
                <w:lang w:eastAsia="en-AU"/>
              </w:rPr>
            </w:pPr>
            <w:r>
              <w:rPr>
                <w:lang w:eastAsia="en-AU"/>
              </w:rPr>
              <w:fldChar w:fldCharType="begin" w:fldLock="1"/>
            </w:r>
            <w:r>
              <w:rPr>
                <w:lang w:eastAsia="en-AU"/>
              </w:rPr>
              <w:instrText xml:space="preserve"> REF _Ref54701615 \h </w:instrText>
            </w:r>
            <w:r>
              <w:rPr>
                <w:lang w:eastAsia="en-AU"/>
              </w:rPr>
            </w:r>
            <w:r>
              <w:rPr>
                <w:lang w:eastAsia="en-AU"/>
              </w:rPr>
              <w:fldChar w:fldCharType="separate"/>
            </w:r>
            <w:r>
              <w:t>Expert witnesses</w:t>
            </w:r>
            <w:r>
              <w:rPr>
                <w:lang w:eastAsia="en-AU"/>
              </w:rPr>
              <w:fldChar w:fldCharType="end"/>
            </w:r>
          </w:p>
        </w:tc>
        <w:tc>
          <w:tcPr>
            <w:tcW w:w="1000" w:type="dxa"/>
            <w:shd w:val="clear" w:color="auto" w:fill="auto"/>
            <w:vAlign w:val="bottom"/>
          </w:tcPr>
          <w:p w14:paraId="3516BA44" w14:textId="58148AF3" w:rsidR="005B0DD3" w:rsidRDefault="005B0DD3" w:rsidP="00C23901">
            <w:pPr>
              <w:spacing w:before="120" w:after="60" w:line="240" w:lineRule="auto"/>
              <w:jc w:val="right"/>
              <w:rPr>
                <w:szCs w:val="24"/>
              </w:rPr>
            </w:pPr>
            <w:r>
              <w:rPr>
                <w:szCs w:val="24"/>
              </w:rPr>
              <w:t>[513]</w:t>
            </w:r>
          </w:p>
        </w:tc>
      </w:tr>
      <w:tr w:rsidR="005B0DD3" w:rsidRPr="00D326DB" w14:paraId="1B0DCC0C" w14:textId="77777777" w:rsidTr="005B0DD3">
        <w:tc>
          <w:tcPr>
            <w:tcW w:w="8291" w:type="dxa"/>
            <w:shd w:val="clear" w:color="auto" w:fill="auto"/>
          </w:tcPr>
          <w:p w14:paraId="77192A0E" w14:textId="19D52819" w:rsidR="005B0DD3" w:rsidRPr="005B0DD3" w:rsidRDefault="005B0DD3" w:rsidP="005B0DD3">
            <w:pPr>
              <w:pStyle w:val="bTOC4"/>
              <w:tabs>
                <w:tab w:val="clear" w:pos="9071"/>
              </w:tabs>
              <w:rPr>
                <w:lang w:eastAsia="en-AU"/>
              </w:rPr>
            </w:pPr>
            <w:r>
              <w:rPr>
                <w:lang w:eastAsia="en-AU"/>
              </w:rPr>
              <w:fldChar w:fldCharType="begin" w:fldLock="1"/>
            </w:r>
            <w:r>
              <w:rPr>
                <w:lang w:eastAsia="en-AU"/>
              </w:rPr>
              <w:instrText xml:space="preserve"> REF _Ref54701616 \h </w:instrText>
            </w:r>
            <w:r>
              <w:rPr>
                <w:lang w:eastAsia="en-AU"/>
              </w:rPr>
            </w:r>
            <w:r>
              <w:rPr>
                <w:lang w:eastAsia="en-AU"/>
              </w:rPr>
              <w:fldChar w:fldCharType="separate"/>
            </w:r>
            <w:r>
              <w:t>The structure of skin and wrinkles</w:t>
            </w:r>
            <w:r>
              <w:rPr>
                <w:lang w:eastAsia="en-AU"/>
              </w:rPr>
              <w:fldChar w:fldCharType="end"/>
            </w:r>
          </w:p>
        </w:tc>
        <w:tc>
          <w:tcPr>
            <w:tcW w:w="1000" w:type="dxa"/>
            <w:shd w:val="clear" w:color="auto" w:fill="auto"/>
            <w:vAlign w:val="bottom"/>
          </w:tcPr>
          <w:p w14:paraId="1B6F61F6" w14:textId="6F1488E0" w:rsidR="005B0DD3" w:rsidRDefault="005B0DD3" w:rsidP="00C23901">
            <w:pPr>
              <w:spacing w:before="120" w:after="60" w:line="240" w:lineRule="auto"/>
              <w:jc w:val="right"/>
              <w:rPr>
                <w:szCs w:val="24"/>
              </w:rPr>
            </w:pPr>
            <w:r>
              <w:rPr>
                <w:szCs w:val="24"/>
              </w:rPr>
              <w:t>[523]</w:t>
            </w:r>
          </w:p>
        </w:tc>
      </w:tr>
      <w:tr w:rsidR="005B0DD3" w:rsidRPr="00D326DB" w14:paraId="5A635997" w14:textId="77777777" w:rsidTr="005B0DD3">
        <w:tc>
          <w:tcPr>
            <w:tcW w:w="8291" w:type="dxa"/>
            <w:shd w:val="clear" w:color="auto" w:fill="auto"/>
          </w:tcPr>
          <w:p w14:paraId="76B115DA" w14:textId="074E025F" w:rsidR="005B0DD3" w:rsidRPr="005B0DD3" w:rsidRDefault="005B0DD3" w:rsidP="005B0DD3">
            <w:pPr>
              <w:pStyle w:val="bTOC4"/>
              <w:tabs>
                <w:tab w:val="clear" w:pos="9071"/>
              </w:tabs>
              <w:rPr>
                <w:lang w:eastAsia="en-AU"/>
              </w:rPr>
            </w:pPr>
            <w:r>
              <w:rPr>
                <w:lang w:eastAsia="en-AU"/>
              </w:rPr>
              <w:fldChar w:fldCharType="begin" w:fldLock="1"/>
            </w:r>
            <w:r>
              <w:rPr>
                <w:lang w:eastAsia="en-AU"/>
              </w:rPr>
              <w:instrText xml:space="preserve"> REF _Ref54701617 \h </w:instrText>
            </w:r>
            <w:r>
              <w:rPr>
                <w:lang w:eastAsia="en-AU"/>
              </w:rPr>
            </w:r>
            <w:r>
              <w:rPr>
                <w:lang w:eastAsia="en-AU"/>
              </w:rPr>
              <w:fldChar w:fldCharType="separate"/>
            </w:r>
            <w:r>
              <w:t>Self Care’s identified support for the claims</w:t>
            </w:r>
            <w:r>
              <w:rPr>
                <w:lang w:eastAsia="en-AU"/>
              </w:rPr>
              <w:fldChar w:fldCharType="end"/>
            </w:r>
          </w:p>
        </w:tc>
        <w:tc>
          <w:tcPr>
            <w:tcW w:w="1000" w:type="dxa"/>
            <w:shd w:val="clear" w:color="auto" w:fill="auto"/>
            <w:vAlign w:val="bottom"/>
          </w:tcPr>
          <w:p w14:paraId="02A04AD4" w14:textId="750F0D7A" w:rsidR="005B0DD3" w:rsidRDefault="005B0DD3" w:rsidP="00C23901">
            <w:pPr>
              <w:spacing w:before="120" w:after="60" w:line="240" w:lineRule="auto"/>
              <w:jc w:val="right"/>
              <w:rPr>
                <w:szCs w:val="24"/>
              </w:rPr>
            </w:pPr>
            <w:r>
              <w:rPr>
                <w:szCs w:val="24"/>
              </w:rPr>
              <w:t>[529]</w:t>
            </w:r>
          </w:p>
        </w:tc>
      </w:tr>
      <w:tr w:rsidR="005B0DD3" w:rsidRPr="00D326DB" w14:paraId="5963D57B" w14:textId="77777777" w:rsidTr="005B0DD3">
        <w:tc>
          <w:tcPr>
            <w:tcW w:w="8291" w:type="dxa"/>
            <w:shd w:val="clear" w:color="auto" w:fill="auto"/>
          </w:tcPr>
          <w:p w14:paraId="18F36711" w14:textId="4C354E11" w:rsidR="005B0DD3" w:rsidRPr="005B0DD3" w:rsidRDefault="005B0DD3" w:rsidP="005B0DD3">
            <w:pPr>
              <w:pStyle w:val="bTOC4"/>
              <w:tabs>
                <w:tab w:val="clear" w:pos="9071"/>
              </w:tabs>
              <w:rPr>
                <w:lang w:eastAsia="en-AU"/>
              </w:rPr>
            </w:pPr>
            <w:r>
              <w:rPr>
                <w:lang w:eastAsia="en-AU"/>
              </w:rPr>
              <w:fldChar w:fldCharType="begin" w:fldLock="1"/>
            </w:r>
            <w:r>
              <w:rPr>
                <w:lang w:eastAsia="en-AU"/>
              </w:rPr>
              <w:instrText xml:space="preserve"> REF _Ref54701618 \h </w:instrText>
            </w:r>
            <w:r>
              <w:rPr>
                <w:lang w:eastAsia="en-AU"/>
              </w:rPr>
            </w:r>
            <w:r>
              <w:rPr>
                <w:lang w:eastAsia="en-AU"/>
              </w:rPr>
              <w:fldChar w:fldCharType="separate"/>
            </w:r>
            <w:r>
              <w:t>Allergan’s submissions</w:t>
            </w:r>
            <w:r>
              <w:rPr>
                <w:lang w:eastAsia="en-AU"/>
              </w:rPr>
              <w:fldChar w:fldCharType="end"/>
            </w:r>
          </w:p>
        </w:tc>
        <w:tc>
          <w:tcPr>
            <w:tcW w:w="1000" w:type="dxa"/>
            <w:shd w:val="clear" w:color="auto" w:fill="auto"/>
            <w:vAlign w:val="bottom"/>
          </w:tcPr>
          <w:p w14:paraId="4CC5C001" w14:textId="72185F2A" w:rsidR="005B0DD3" w:rsidRDefault="005B0DD3" w:rsidP="00C23901">
            <w:pPr>
              <w:spacing w:before="120" w:after="60" w:line="240" w:lineRule="auto"/>
              <w:jc w:val="right"/>
              <w:rPr>
                <w:szCs w:val="24"/>
              </w:rPr>
            </w:pPr>
            <w:r>
              <w:rPr>
                <w:szCs w:val="24"/>
              </w:rPr>
              <w:t>[539]</w:t>
            </w:r>
          </w:p>
        </w:tc>
      </w:tr>
      <w:tr w:rsidR="005B0DD3" w:rsidRPr="00D326DB" w14:paraId="7F8992F5" w14:textId="77777777" w:rsidTr="005B0DD3">
        <w:tc>
          <w:tcPr>
            <w:tcW w:w="8291" w:type="dxa"/>
            <w:shd w:val="clear" w:color="auto" w:fill="auto"/>
          </w:tcPr>
          <w:p w14:paraId="6B216BF6" w14:textId="7F443381" w:rsidR="005B0DD3" w:rsidRPr="005B0DD3" w:rsidRDefault="005B0DD3" w:rsidP="005B0DD3">
            <w:pPr>
              <w:pStyle w:val="bTOC4"/>
              <w:tabs>
                <w:tab w:val="clear" w:pos="9071"/>
              </w:tabs>
              <w:rPr>
                <w:lang w:eastAsia="en-AU"/>
              </w:rPr>
            </w:pPr>
            <w:r>
              <w:rPr>
                <w:lang w:eastAsia="en-AU"/>
              </w:rPr>
              <w:fldChar w:fldCharType="begin" w:fldLock="1"/>
            </w:r>
            <w:r>
              <w:rPr>
                <w:lang w:eastAsia="en-AU"/>
              </w:rPr>
              <w:instrText xml:space="preserve"> REF _Ref54701619 \h </w:instrText>
            </w:r>
            <w:r>
              <w:rPr>
                <w:lang w:eastAsia="en-AU"/>
              </w:rPr>
            </w:r>
            <w:r>
              <w:rPr>
                <w:lang w:eastAsia="en-AU"/>
              </w:rPr>
              <w:fldChar w:fldCharType="separate"/>
            </w:r>
            <w:r>
              <w:t>Prolonging the effect of Botox specifically</w:t>
            </w:r>
            <w:r>
              <w:rPr>
                <w:lang w:eastAsia="en-AU"/>
              </w:rPr>
              <w:fldChar w:fldCharType="end"/>
            </w:r>
          </w:p>
        </w:tc>
        <w:tc>
          <w:tcPr>
            <w:tcW w:w="1000" w:type="dxa"/>
            <w:shd w:val="clear" w:color="auto" w:fill="auto"/>
            <w:vAlign w:val="bottom"/>
          </w:tcPr>
          <w:p w14:paraId="7C37B0E1" w14:textId="16B34064" w:rsidR="005B0DD3" w:rsidRDefault="005B0DD3" w:rsidP="00C23901">
            <w:pPr>
              <w:spacing w:before="120" w:after="60" w:line="240" w:lineRule="auto"/>
              <w:jc w:val="right"/>
              <w:rPr>
                <w:szCs w:val="24"/>
              </w:rPr>
            </w:pPr>
            <w:r>
              <w:rPr>
                <w:szCs w:val="24"/>
              </w:rPr>
              <w:t>[573]</w:t>
            </w:r>
          </w:p>
        </w:tc>
      </w:tr>
      <w:tr w:rsidR="005B0DD3" w:rsidRPr="00D326DB" w14:paraId="13E61079" w14:textId="77777777" w:rsidTr="005B0DD3">
        <w:tc>
          <w:tcPr>
            <w:tcW w:w="8291" w:type="dxa"/>
            <w:shd w:val="clear" w:color="auto" w:fill="auto"/>
          </w:tcPr>
          <w:p w14:paraId="7BCE1BA5" w14:textId="0474B7C3" w:rsidR="005B0DD3" w:rsidRPr="005B0DD3" w:rsidRDefault="005B0DD3" w:rsidP="005B0DD3">
            <w:pPr>
              <w:pStyle w:val="bTOC3"/>
              <w:tabs>
                <w:tab w:val="clear" w:pos="9071"/>
              </w:tabs>
              <w:rPr>
                <w:lang w:eastAsia="en-AU"/>
              </w:rPr>
            </w:pPr>
            <w:r>
              <w:rPr>
                <w:lang w:eastAsia="en-AU"/>
              </w:rPr>
              <w:fldChar w:fldCharType="begin" w:fldLock="1"/>
            </w:r>
            <w:r>
              <w:rPr>
                <w:lang w:eastAsia="en-AU"/>
              </w:rPr>
              <w:instrText xml:space="preserve"> REF _Ref54701620 \h </w:instrText>
            </w:r>
            <w:r>
              <w:rPr>
                <w:lang w:eastAsia="en-AU"/>
              </w:rPr>
            </w:r>
            <w:r>
              <w:rPr>
                <w:lang w:eastAsia="en-AU"/>
              </w:rPr>
              <w:fldChar w:fldCharType="separate"/>
            </w:r>
            <w:r>
              <w:t>Conclusions on reasonable grounds</w:t>
            </w:r>
            <w:r>
              <w:rPr>
                <w:lang w:eastAsia="en-AU"/>
              </w:rPr>
              <w:fldChar w:fldCharType="end"/>
            </w:r>
          </w:p>
        </w:tc>
        <w:tc>
          <w:tcPr>
            <w:tcW w:w="1000" w:type="dxa"/>
            <w:shd w:val="clear" w:color="auto" w:fill="auto"/>
            <w:vAlign w:val="bottom"/>
          </w:tcPr>
          <w:p w14:paraId="2D0780D4" w14:textId="59212321" w:rsidR="005B0DD3" w:rsidRDefault="005B0DD3" w:rsidP="00C23901">
            <w:pPr>
              <w:spacing w:before="120" w:after="60" w:line="240" w:lineRule="auto"/>
              <w:jc w:val="right"/>
              <w:rPr>
                <w:szCs w:val="24"/>
              </w:rPr>
            </w:pPr>
            <w:r>
              <w:rPr>
                <w:szCs w:val="24"/>
              </w:rPr>
              <w:t>[577]</w:t>
            </w:r>
          </w:p>
        </w:tc>
      </w:tr>
      <w:tr w:rsidR="005B0DD3" w:rsidRPr="00D326DB" w14:paraId="32B403C6" w14:textId="77777777" w:rsidTr="005B0DD3">
        <w:tc>
          <w:tcPr>
            <w:tcW w:w="8291" w:type="dxa"/>
            <w:shd w:val="clear" w:color="auto" w:fill="auto"/>
          </w:tcPr>
          <w:p w14:paraId="32C1BA0A" w14:textId="2D77044F"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_Ref54701621 \h </w:instrText>
            </w:r>
            <w:r>
              <w:rPr>
                <w:lang w:eastAsia="en-AU"/>
              </w:rPr>
            </w:r>
            <w:r>
              <w:rPr>
                <w:lang w:eastAsia="en-AU"/>
              </w:rPr>
              <w:fldChar w:fldCharType="separate"/>
            </w:r>
            <w:r>
              <w:t>LOSS AND DAMAGE</w:t>
            </w:r>
            <w:r>
              <w:rPr>
                <w:lang w:eastAsia="en-AU"/>
              </w:rPr>
              <w:fldChar w:fldCharType="end"/>
            </w:r>
          </w:p>
        </w:tc>
        <w:tc>
          <w:tcPr>
            <w:tcW w:w="1000" w:type="dxa"/>
            <w:shd w:val="clear" w:color="auto" w:fill="auto"/>
            <w:vAlign w:val="bottom"/>
          </w:tcPr>
          <w:p w14:paraId="4D0ACF00" w14:textId="728A78D7" w:rsidR="005B0DD3" w:rsidRDefault="005B0DD3" w:rsidP="00C23901">
            <w:pPr>
              <w:spacing w:before="120" w:after="60" w:line="240" w:lineRule="auto"/>
              <w:jc w:val="right"/>
              <w:rPr>
                <w:szCs w:val="24"/>
              </w:rPr>
            </w:pPr>
            <w:r>
              <w:rPr>
                <w:szCs w:val="24"/>
              </w:rPr>
              <w:t>[581]</w:t>
            </w:r>
          </w:p>
        </w:tc>
      </w:tr>
      <w:tr w:rsidR="005B0DD3" w:rsidRPr="00D326DB" w14:paraId="579A563D" w14:textId="77777777" w:rsidTr="005B0DD3">
        <w:tc>
          <w:tcPr>
            <w:tcW w:w="8291" w:type="dxa"/>
            <w:shd w:val="clear" w:color="auto" w:fill="auto"/>
          </w:tcPr>
          <w:p w14:paraId="6CE45EBE" w14:textId="191D4C9A"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_Ref54701622 \h </w:instrText>
            </w:r>
            <w:r>
              <w:rPr>
                <w:lang w:eastAsia="en-AU"/>
              </w:rPr>
            </w:r>
            <w:r>
              <w:rPr>
                <w:lang w:eastAsia="en-AU"/>
              </w:rPr>
              <w:fldChar w:fldCharType="separate"/>
            </w:r>
            <w:r>
              <w:t>LIABILITY OF MS AMOROSO</w:t>
            </w:r>
            <w:r>
              <w:rPr>
                <w:lang w:eastAsia="en-AU"/>
              </w:rPr>
              <w:fldChar w:fldCharType="end"/>
            </w:r>
          </w:p>
        </w:tc>
        <w:tc>
          <w:tcPr>
            <w:tcW w:w="1000" w:type="dxa"/>
            <w:shd w:val="clear" w:color="auto" w:fill="auto"/>
            <w:vAlign w:val="bottom"/>
          </w:tcPr>
          <w:p w14:paraId="10138322" w14:textId="16ABF779" w:rsidR="005B0DD3" w:rsidRDefault="005B0DD3" w:rsidP="00C23901">
            <w:pPr>
              <w:spacing w:before="120" w:after="60" w:line="240" w:lineRule="auto"/>
              <w:jc w:val="right"/>
              <w:rPr>
                <w:szCs w:val="24"/>
              </w:rPr>
            </w:pPr>
            <w:r>
              <w:rPr>
                <w:szCs w:val="24"/>
              </w:rPr>
              <w:t>[588]</w:t>
            </w:r>
          </w:p>
        </w:tc>
      </w:tr>
      <w:tr w:rsidR="005B0DD3" w:rsidRPr="00D326DB" w14:paraId="2913966F" w14:textId="77777777" w:rsidTr="005B0DD3">
        <w:tc>
          <w:tcPr>
            <w:tcW w:w="8291" w:type="dxa"/>
            <w:shd w:val="clear" w:color="auto" w:fill="auto"/>
          </w:tcPr>
          <w:p w14:paraId="46690339" w14:textId="43D9C98D"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_Ref54701623 \h </w:instrText>
            </w:r>
            <w:r>
              <w:rPr>
                <w:lang w:eastAsia="en-AU"/>
              </w:rPr>
            </w:r>
            <w:r>
              <w:rPr>
                <w:lang w:eastAsia="en-AU"/>
              </w:rPr>
              <w:fldChar w:fldCharType="separate"/>
            </w:r>
            <w:r>
              <w:t>THERAPEUTIC GOODS ACT CLAIM</w:t>
            </w:r>
            <w:r>
              <w:rPr>
                <w:lang w:eastAsia="en-AU"/>
              </w:rPr>
              <w:fldChar w:fldCharType="end"/>
            </w:r>
          </w:p>
        </w:tc>
        <w:tc>
          <w:tcPr>
            <w:tcW w:w="1000" w:type="dxa"/>
            <w:shd w:val="clear" w:color="auto" w:fill="auto"/>
            <w:vAlign w:val="bottom"/>
          </w:tcPr>
          <w:p w14:paraId="45AD6BF6" w14:textId="7A520CBE" w:rsidR="005B0DD3" w:rsidRDefault="005B0DD3" w:rsidP="00C23901">
            <w:pPr>
              <w:spacing w:before="120" w:after="60" w:line="240" w:lineRule="auto"/>
              <w:jc w:val="right"/>
              <w:rPr>
                <w:szCs w:val="24"/>
              </w:rPr>
            </w:pPr>
            <w:r>
              <w:rPr>
                <w:szCs w:val="24"/>
              </w:rPr>
              <w:t>[610]</w:t>
            </w:r>
          </w:p>
        </w:tc>
      </w:tr>
      <w:tr w:rsidR="005B0DD3" w:rsidRPr="00D326DB" w14:paraId="07A93F39" w14:textId="77777777" w:rsidTr="005B0DD3">
        <w:tc>
          <w:tcPr>
            <w:tcW w:w="8291" w:type="dxa"/>
            <w:shd w:val="clear" w:color="auto" w:fill="auto"/>
          </w:tcPr>
          <w:p w14:paraId="30192391" w14:textId="3CD546F4" w:rsidR="005B0DD3" w:rsidRPr="005B0DD3" w:rsidRDefault="005B0DD3" w:rsidP="005B0DD3">
            <w:pPr>
              <w:pStyle w:val="bTOC1"/>
              <w:tabs>
                <w:tab w:val="clear" w:pos="9071"/>
              </w:tabs>
              <w:rPr>
                <w:lang w:eastAsia="en-AU"/>
              </w:rPr>
            </w:pPr>
            <w:r>
              <w:rPr>
                <w:lang w:eastAsia="en-AU"/>
              </w:rPr>
              <w:fldChar w:fldCharType="begin" w:fldLock="1"/>
            </w:r>
            <w:r>
              <w:rPr>
                <w:lang w:eastAsia="en-AU"/>
              </w:rPr>
              <w:instrText xml:space="preserve"> REF _Ref54701624 \h </w:instrText>
            </w:r>
            <w:r>
              <w:rPr>
                <w:lang w:eastAsia="en-AU"/>
              </w:rPr>
            </w:r>
            <w:r>
              <w:rPr>
                <w:lang w:eastAsia="en-AU"/>
              </w:rPr>
              <w:fldChar w:fldCharType="separate"/>
            </w:r>
            <w:r>
              <w:t>CONCLUSION</w:t>
            </w:r>
            <w:r>
              <w:rPr>
                <w:lang w:eastAsia="en-AU"/>
              </w:rPr>
              <w:fldChar w:fldCharType="end"/>
            </w:r>
          </w:p>
        </w:tc>
        <w:tc>
          <w:tcPr>
            <w:tcW w:w="1000" w:type="dxa"/>
            <w:shd w:val="clear" w:color="auto" w:fill="auto"/>
            <w:vAlign w:val="bottom"/>
          </w:tcPr>
          <w:p w14:paraId="4F7647B1" w14:textId="4766753E" w:rsidR="005B0DD3" w:rsidRDefault="005B0DD3" w:rsidP="00C23901">
            <w:pPr>
              <w:spacing w:before="120" w:after="60" w:line="240" w:lineRule="auto"/>
              <w:jc w:val="right"/>
              <w:rPr>
                <w:szCs w:val="24"/>
              </w:rPr>
            </w:pPr>
            <w:r>
              <w:rPr>
                <w:szCs w:val="24"/>
              </w:rPr>
              <w:t>[618]</w:t>
            </w:r>
          </w:p>
        </w:tc>
      </w:tr>
      <w:bookmarkEnd w:id="26"/>
    </w:tbl>
    <w:p w14:paraId="447F6B09" w14:textId="77777777" w:rsidR="00AB76F3" w:rsidRDefault="00AB76F3" w:rsidP="00AB76F3">
      <w:pPr>
        <w:pStyle w:val="NoNum"/>
      </w:pPr>
    </w:p>
    <w:p w14:paraId="769AC6D0" w14:textId="3E86821D" w:rsidR="00EE4D06" w:rsidRPr="007A08C7" w:rsidRDefault="001E3C6B" w:rsidP="00EE4D06">
      <w:pPr>
        <w:pStyle w:val="Heading1"/>
      </w:pPr>
      <w:bookmarkStart w:id="28" w:name="_Ref54701558"/>
      <w:r w:rsidRPr="007A08C7">
        <w:rPr>
          <w:caps w:val="0"/>
        </w:rPr>
        <w:t>INTRODUCTION</w:t>
      </w:r>
      <w:bookmarkEnd w:id="27"/>
      <w:bookmarkEnd w:id="28"/>
    </w:p>
    <w:p w14:paraId="2ACA17E5" w14:textId="77777777" w:rsidR="00EE4D06" w:rsidRPr="007A08C7" w:rsidRDefault="00EE4D06" w:rsidP="00EE4D06">
      <w:pPr>
        <w:pStyle w:val="Heading2"/>
      </w:pPr>
      <w:bookmarkStart w:id="29" w:name="_Ref34128798"/>
      <w:r w:rsidRPr="007A08C7">
        <w:t>Background</w:t>
      </w:r>
      <w:bookmarkEnd w:id="29"/>
    </w:p>
    <w:p w14:paraId="3C5D7F7E" w14:textId="5FE31E5B" w:rsidR="005A4E20" w:rsidRDefault="001E3C6B" w:rsidP="001E3C6B">
      <w:pPr>
        <w:pStyle w:val="ParaNumbering"/>
        <w:numPr>
          <w:ilvl w:val="0"/>
          <w:numId w:val="0"/>
        </w:numPr>
        <w:ind w:hanging="720"/>
      </w:pPr>
      <w:r>
        <w:rPr>
          <w:sz w:val="20"/>
        </w:rPr>
        <w:t>1</w:t>
      </w:r>
      <w:r>
        <w:rPr>
          <w:sz w:val="20"/>
        </w:rPr>
        <w:tab/>
      </w:r>
      <w:r w:rsidR="005A4E20">
        <w:t>The eternal human interest in reducing the appearance of ag</w:t>
      </w:r>
      <w:r w:rsidR="001C329F">
        <w:t>e</w:t>
      </w:r>
      <w:r w:rsidR="005A4E20">
        <w:t xml:space="preserve">ing underlies the disputes in these cases.  The opposing parties have both respectively developed and promoted products with very different </w:t>
      </w:r>
      <w:r w:rsidR="00B14BDB">
        <w:t>modes of action</w:t>
      </w:r>
      <w:r w:rsidR="005A4E20">
        <w:t xml:space="preserve"> to attract customers </w:t>
      </w:r>
      <w:r w:rsidR="00B14BDB">
        <w:t>who have</w:t>
      </w:r>
      <w:r w:rsidR="005A4E20">
        <w:t xml:space="preserve"> this Sisyphean interest.  </w:t>
      </w:r>
    </w:p>
    <w:p w14:paraId="26D3E3EB" w14:textId="1377396F" w:rsidR="005A4E20" w:rsidRDefault="001E3C6B" w:rsidP="001E3C6B">
      <w:pPr>
        <w:pStyle w:val="ParaNumbering"/>
        <w:numPr>
          <w:ilvl w:val="0"/>
          <w:numId w:val="0"/>
        </w:numPr>
        <w:ind w:hanging="720"/>
      </w:pPr>
      <w:r>
        <w:rPr>
          <w:sz w:val="20"/>
        </w:rPr>
        <w:t>2</w:t>
      </w:r>
      <w:r>
        <w:rPr>
          <w:sz w:val="20"/>
        </w:rPr>
        <w:tab/>
      </w:r>
      <w:r w:rsidR="00350521">
        <w:t>This</w:t>
      </w:r>
      <w:r w:rsidR="005A4E20">
        <w:t xml:space="preserve"> litigation has</w:t>
      </w:r>
      <w:r w:rsidR="000C7F08">
        <w:t xml:space="preserve"> spawned </w:t>
      </w:r>
      <w:r w:rsidR="005A4E20">
        <w:t xml:space="preserve">sprawling testimony and documents before the Court.  Standing out amongst the vast number of exhibits are two short segments from the well-known television series and film, </w:t>
      </w:r>
      <w:r w:rsidR="005A4E20" w:rsidRPr="005A4E20">
        <w:rPr>
          <w:i/>
        </w:rPr>
        <w:t xml:space="preserve">Sex </w:t>
      </w:r>
      <w:r w:rsidR="001C329F">
        <w:rPr>
          <w:i/>
        </w:rPr>
        <w:t>and</w:t>
      </w:r>
      <w:r w:rsidR="005A4E20" w:rsidRPr="005A4E20">
        <w:rPr>
          <w:i/>
        </w:rPr>
        <w:t xml:space="preserve"> the City</w:t>
      </w:r>
      <w:r w:rsidR="005A4E20">
        <w:t xml:space="preserve">.  In each, the character Samantha Jones tries to persuade Carrie Bradshaw to submit to treatment with Botox to lessen the appearance of wrinkles on her face </w:t>
      </w:r>
      <w:r w:rsidR="005A4E20">
        <w:lastRenderedPageBreak/>
        <w:t>and thereby to maintain her apparent youth despite her chronological age.  The extracts were tendered as proof of the ubiquitous reputation of Botox.</w:t>
      </w:r>
    </w:p>
    <w:p w14:paraId="6BE9E43D" w14:textId="5DA80FE9" w:rsidR="003A4582" w:rsidRDefault="001E3C6B" w:rsidP="001E3C6B">
      <w:pPr>
        <w:pStyle w:val="ParaNumbering"/>
        <w:numPr>
          <w:ilvl w:val="0"/>
          <w:numId w:val="0"/>
        </w:numPr>
        <w:ind w:hanging="720"/>
      </w:pPr>
      <w:r>
        <w:rPr>
          <w:sz w:val="20"/>
        </w:rPr>
        <w:t>3</w:t>
      </w:r>
      <w:r>
        <w:rPr>
          <w:sz w:val="20"/>
        </w:rPr>
        <w:tab/>
      </w:r>
      <w:r w:rsidR="00EE4D06" w:rsidRPr="007A08C7">
        <w:t>The applicants – who have rights to BOTOX trade marks – contend that the respondents have sought to sell their products by unlawfully leveraging off the reputation of Botox.  That includes by way of trade</w:t>
      </w:r>
      <w:r w:rsidR="006D59B0">
        <w:t xml:space="preserve"> </w:t>
      </w:r>
      <w:r w:rsidR="00EE4D06" w:rsidRPr="007A08C7">
        <w:t xml:space="preserve">mark infringement, misrepresentations in contravention of the </w:t>
      </w:r>
      <w:r w:rsidR="00EE4D06" w:rsidRPr="00B73F46">
        <w:rPr>
          <w:i/>
        </w:rPr>
        <w:t>Australian Consumer Law</w:t>
      </w:r>
      <w:r w:rsidR="00EE4D06" w:rsidRPr="007A08C7">
        <w:t xml:space="preserve"> </w:t>
      </w:r>
      <w:r w:rsidR="006A1B00">
        <w:t>(</w:t>
      </w:r>
      <w:r w:rsidR="006A1B00">
        <w:rPr>
          <w:b/>
        </w:rPr>
        <w:t>ACL</w:t>
      </w:r>
      <w:r w:rsidR="006A1B00" w:rsidRPr="006A1B00">
        <w:t>)</w:t>
      </w:r>
      <w:r w:rsidR="006A1B00">
        <w:rPr>
          <w:b/>
        </w:rPr>
        <w:t xml:space="preserve"> </w:t>
      </w:r>
      <w:r w:rsidR="001C329F">
        <w:t xml:space="preserve">and passing </w:t>
      </w:r>
      <w:r w:rsidR="00EE4D06" w:rsidRPr="007A08C7">
        <w:t xml:space="preserve">off.  The </w:t>
      </w:r>
      <w:r w:rsidR="000C518E">
        <w:t xml:space="preserve">second </w:t>
      </w:r>
      <w:r w:rsidR="00EE4D06" w:rsidRPr="007A08C7">
        <w:t>applicant also appeal</w:t>
      </w:r>
      <w:r w:rsidR="000C518E">
        <w:t>s</w:t>
      </w:r>
      <w:r w:rsidR="00EE4D06" w:rsidRPr="007A08C7">
        <w:t xml:space="preserve"> against a decision of a delegate of the Registrar of Trade Marks to allow one of the respondents</w:t>
      </w:r>
      <w:r w:rsidR="00EE4D06">
        <w:t>’</w:t>
      </w:r>
      <w:r w:rsidR="00EE4D06" w:rsidRPr="007A08C7">
        <w:t xml:space="preserve"> trade marks – which includes the word PROTOX – to proceed to registration.  The respondents, by way of cross-</w:t>
      </w:r>
      <w:r w:rsidR="000C518E">
        <w:t>claim</w:t>
      </w:r>
      <w:r w:rsidR="00EE4D06" w:rsidRPr="007A08C7">
        <w:t>, contend that certain of the applicants</w:t>
      </w:r>
      <w:r w:rsidR="00EE4D06">
        <w:t>’</w:t>
      </w:r>
      <w:r w:rsidR="00EE4D06" w:rsidRPr="007A08C7">
        <w:t xml:space="preserve"> trade marks should be removed from the register or restricted to a smaller class of goods.</w:t>
      </w:r>
    </w:p>
    <w:p w14:paraId="06E5DB25" w14:textId="7FFE6650" w:rsidR="00EE4D06" w:rsidRPr="007A08C7" w:rsidRDefault="001E3C6B" w:rsidP="001E3C6B">
      <w:pPr>
        <w:pStyle w:val="ParaNumbering"/>
        <w:numPr>
          <w:ilvl w:val="0"/>
          <w:numId w:val="0"/>
        </w:numPr>
        <w:ind w:hanging="720"/>
      </w:pPr>
      <w:r w:rsidRPr="007A08C7">
        <w:rPr>
          <w:sz w:val="20"/>
        </w:rPr>
        <w:t>4</w:t>
      </w:r>
      <w:r w:rsidRPr="007A08C7">
        <w:rPr>
          <w:sz w:val="20"/>
        </w:rPr>
        <w:tab/>
      </w:r>
      <w:r w:rsidR="003A4582">
        <w:t xml:space="preserve">It is useful to make a note on nomenclature at the outset.  Where in these reasons reference is made to a word as a trade mark, </w:t>
      </w:r>
      <w:r w:rsidR="00E33F70">
        <w:t>e.g.,</w:t>
      </w:r>
      <w:r w:rsidR="003A4582">
        <w:t xml:space="preserve"> BOTOX and PROTOX, the word is in capital letters.  However, when a word is used </w:t>
      </w:r>
      <w:r w:rsidR="00CA0F64">
        <w:t>as the name of a product</w:t>
      </w:r>
      <w:r w:rsidR="003A4582">
        <w:t xml:space="preserve">, </w:t>
      </w:r>
      <w:r w:rsidR="00CA0F64">
        <w:t>it</w:t>
      </w:r>
      <w:r w:rsidR="003A4582">
        <w:t xml:space="preserve"> is used as a proper noun and hence ha</w:t>
      </w:r>
      <w:r w:rsidR="003F52CA">
        <w:t>s</w:t>
      </w:r>
      <w:r w:rsidR="003A4582">
        <w:t xml:space="preserve"> only the first letter capitalised</w:t>
      </w:r>
      <w:r w:rsidR="003F52CA">
        <w:t>, e.g.</w:t>
      </w:r>
      <w:r w:rsidR="001C329F">
        <w:t>,</w:t>
      </w:r>
      <w:r w:rsidR="003F52CA">
        <w:t xml:space="preserve"> Botox and Protox</w:t>
      </w:r>
      <w:r w:rsidR="003A4582">
        <w:t>.</w:t>
      </w:r>
      <w:r w:rsidR="003F52CA">
        <w:t xml:space="preserve">  </w:t>
      </w:r>
      <w:r w:rsidR="00350521">
        <w:t>That, at least, is the approach that has been sought to be followed.</w:t>
      </w:r>
    </w:p>
    <w:p w14:paraId="3B14CBF8" w14:textId="77777777" w:rsidR="00EE4D06" w:rsidRPr="007A08C7" w:rsidRDefault="00EE4D06" w:rsidP="00EE4D06">
      <w:pPr>
        <w:pStyle w:val="Heading2"/>
      </w:pPr>
      <w:bookmarkStart w:id="30" w:name="_Ref54701559"/>
      <w:r w:rsidRPr="007A08C7">
        <w:t>The applicants, their product and their trade marks</w:t>
      </w:r>
      <w:bookmarkEnd w:id="30"/>
    </w:p>
    <w:p w14:paraId="27E1C568" w14:textId="23AEB264" w:rsidR="00EE4D06" w:rsidRPr="007A08C7" w:rsidRDefault="001E3C6B" w:rsidP="001E3C6B">
      <w:pPr>
        <w:pStyle w:val="ParaNumbering"/>
        <w:numPr>
          <w:ilvl w:val="0"/>
          <w:numId w:val="0"/>
        </w:numPr>
        <w:ind w:hanging="720"/>
      </w:pPr>
      <w:r w:rsidRPr="007A08C7">
        <w:rPr>
          <w:sz w:val="20"/>
        </w:rPr>
        <w:t>5</w:t>
      </w:r>
      <w:r w:rsidRPr="007A08C7">
        <w:rPr>
          <w:sz w:val="20"/>
        </w:rPr>
        <w:tab/>
      </w:r>
      <w:r w:rsidR="00EE4D06" w:rsidRPr="007A08C7">
        <w:rPr>
          <w:b/>
        </w:rPr>
        <w:t>Allergan Inc</w:t>
      </w:r>
      <w:r w:rsidR="00EE4D06" w:rsidRPr="007A08C7">
        <w:t xml:space="preserve"> is the manufacturer of Botox and the owner of trade marks including for the word BOTOX.</w:t>
      </w:r>
      <w:r w:rsidR="00C07F61">
        <w:t xml:space="preserve"> </w:t>
      </w:r>
      <w:r w:rsidR="00EE4D06" w:rsidRPr="007A08C7">
        <w:t xml:space="preserve"> BOTOX is an invented </w:t>
      </w:r>
      <w:r w:rsidR="003B143A">
        <w:t xml:space="preserve">portmanteau </w:t>
      </w:r>
      <w:r w:rsidR="00EE4D06" w:rsidRPr="007A08C7">
        <w:t>word, derived from the active ingredient</w:t>
      </w:r>
      <w:r w:rsidR="00EE4D06">
        <w:t xml:space="preserve"> in Botox</w:t>
      </w:r>
      <w:r w:rsidR="00EE4D06" w:rsidRPr="007A08C7">
        <w:t>,</w:t>
      </w:r>
      <w:r w:rsidR="00EE4D06">
        <w:t xml:space="preserve"> namely</w:t>
      </w:r>
      <w:r w:rsidR="00EE4D06" w:rsidRPr="007A08C7">
        <w:t xml:space="preserve"> </w:t>
      </w:r>
      <w:r w:rsidR="00EE4D06" w:rsidRPr="007A08C7">
        <w:rPr>
          <w:i/>
          <w:u w:val="single"/>
        </w:rPr>
        <w:t>bo</w:t>
      </w:r>
      <w:r w:rsidR="00EE4D06" w:rsidRPr="007A08C7">
        <w:rPr>
          <w:i/>
        </w:rPr>
        <w:t xml:space="preserve">tulinum </w:t>
      </w:r>
      <w:r w:rsidR="00EE4D06" w:rsidRPr="007A08C7">
        <w:rPr>
          <w:i/>
          <w:u w:val="single"/>
        </w:rPr>
        <w:t>tox</w:t>
      </w:r>
      <w:r w:rsidR="00EE4D06" w:rsidRPr="007A08C7">
        <w:rPr>
          <w:i/>
        </w:rPr>
        <w:t>in</w:t>
      </w:r>
      <w:r w:rsidR="00D14FF4">
        <w:t xml:space="preserve">, type A. </w:t>
      </w:r>
      <w:r w:rsidR="00C07F61">
        <w:t xml:space="preserve"> </w:t>
      </w:r>
      <w:r w:rsidR="00EE4D06" w:rsidRPr="007A08C7">
        <w:t xml:space="preserve">It was first registered as a word trade mark in the United States of America in 1990.  </w:t>
      </w:r>
    </w:p>
    <w:p w14:paraId="1B5EF83B" w14:textId="1B18DBA3" w:rsidR="00EE4D06" w:rsidRPr="007A08C7" w:rsidRDefault="001E3C6B" w:rsidP="001E3C6B">
      <w:pPr>
        <w:pStyle w:val="ParaNumbering"/>
        <w:numPr>
          <w:ilvl w:val="0"/>
          <w:numId w:val="0"/>
        </w:numPr>
        <w:ind w:hanging="720"/>
      </w:pPr>
      <w:r w:rsidRPr="007A08C7">
        <w:rPr>
          <w:sz w:val="20"/>
        </w:rPr>
        <w:t>6</w:t>
      </w:r>
      <w:r w:rsidRPr="007A08C7">
        <w:rPr>
          <w:sz w:val="20"/>
        </w:rPr>
        <w:tab/>
      </w:r>
      <w:r w:rsidR="00EE4D06" w:rsidRPr="007A08C7">
        <w:rPr>
          <w:b/>
        </w:rPr>
        <w:t>Allergan Australia</w:t>
      </w:r>
      <w:r w:rsidR="00EE4D06" w:rsidRPr="007A08C7">
        <w:t xml:space="preserve"> Pty Ltd is the Australian subsidiary of Allergan Inc.  It is the sponsor of the Botox products on the </w:t>
      </w:r>
      <w:bookmarkStart w:id="31" w:name="_Toc29797438"/>
      <w:r w:rsidR="00EE4D06" w:rsidRPr="007A08C7">
        <w:rPr>
          <w:bCs/>
        </w:rPr>
        <w:t>Australian Register of Therapeutic Goods</w:t>
      </w:r>
      <w:bookmarkEnd w:id="31"/>
      <w:r w:rsidR="00EE4D06" w:rsidRPr="007A08C7">
        <w:t xml:space="preserve"> and (the applicants contend) </w:t>
      </w:r>
      <w:r w:rsidR="00EE4D06">
        <w:t xml:space="preserve">is </w:t>
      </w:r>
      <w:r w:rsidR="00EE4D06" w:rsidRPr="007A08C7">
        <w:t>the authorised user of the BOTOX marks</w:t>
      </w:r>
      <w:r w:rsidR="00EE4D06">
        <w:t xml:space="preserve"> in Australia</w:t>
      </w:r>
      <w:r w:rsidR="00EE4D06" w:rsidRPr="007A08C7">
        <w:t>.</w:t>
      </w:r>
    </w:p>
    <w:p w14:paraId="2565B3EC" w14:textId="71E28BC4" w:rsidR="00EE4D06" w:rsidRPr="007A08C7" w:rsidRDefault="001E3C6B" w:rsidP="001E3C6B">
      <w:pPr>
        <w:pStyle w:val="ParaNumbering"/>
        <w:numPr>
          <w:ilvl w:val="0"/>
          <w:numId w:val="0"/>
        </w:numPr>
        <w:ind w:hanging="720"/>
      </w:pPr>
      <w:r w:rsidRPr="007A08C7">
        <w:rPr>
          <w:sz w:val="20"/>
        </w:rPr>
        <w:t>7</w:t>
      </w:r>
      <w:r w:rsidRPr="007A08C7">
        <w:rPr>
          <w:sz w:val="20"/>
        </w:rPr>
        <w:tab/>
      </w:r>
      <w:r w:rsidR="00EE4D06" w:rsidRPr="007A08C7">
        <w:t xml:space="preserve">I shall refer to Allergan Inc and Allergan Australia together </w:t>
      </w:r>
      <w:r w:rsidR="00EE4D06">
        <w:t xml:space="preserve">simply </w:t>
      </w:r>
      <w:r w:rsidR="00EE4D06" w:rsidRPr="007A08C7">
        <w:t xml:space="preserve">as </w:t>
      </w:r>
      <w:r w:rsidR="00EE4D06" w:rsidRPr="007A08C7">
        <w:rPr>
          <w:b/>
        </w:rPr>
        <w:t>Allergan</w:t>
      </w:r>
      <w:r w:rsidR="00EE4D06">
        <w:t xml:space="preserve"> save where it is necessary to distinguish between them.</w:t>
      </w:r>
    </w:p>
    <w:p w14:paraId="49B418F6" w14:textId="051781FD" w:rsidR="00EE4D06" w:rsidRDefault="001E3C6B" w:rsidP="001E3C6B">
      <w:pPr>
        <w:pStyle w:val="ParaNumbering"/>
        <w:numPr>
          <w:ilvl w:val="0"/>
          <w:numId w:val="0"/>
        </w:numPr>
        <w:ind w:hanging="720"/>
      </w:pPr>
      <w:r>
        <w:rPr>
          <w:sz w:val="20"/>
        </w:rPr>
        <w:t>8</w:t>
      </w:r>
      <w:r>
        <w:rPr>
          <w:sz w:val="20"/>
        </w:rPr>
        <w:tab/>
      </w:r>
      <w:r w:rsidR="00EE4D06" w:rsidRPr="007A08C7">
        <w:t xml:space="preserve">The Botox product is a particular </w:t>
      </w:r>
      <w:r w:rsidR="00EE4D06" w:rsidRPr="005A4E20">
        <w:t>botulinum toxin</w:t>
      </w:r>
      <w:r w:rsidR="00EE4D06" w:rsidRPr="007A08C7">
        <w:t xml:space="preserve"> type A purified neurotoxin complex, supplied as a powder in vials of 50 ml/units, 100 ml/units and 200 ml/units.  In use, the product is reconstituted with sterile saline for injection, usually intramuscularly.  Botox is used for numerous therapeutic indications (including for the treatment of overactive bladder, cervical dystonia and hyperhidrosis) as well as the following cosmetic indications: temporary improvement in the appearance of upper facial rhytides – glabellar lines (frown lines), lateral </w:t>
      </w:r>
      <w:r w:rsidR="00EE4D06" w:rsidRPr="007A08C7">
        <w:lastRenderedPageBreak/>
        <w:t>canthal lines (crow</w:t>
      </w:r>
      <w:r w:rsidR="00EE4D06">
        <w:t>’</w:t>
      </w:r>
      <w:r w:rsidR="00EE4D06" w:rsidRPr="007A08C7">
        <w:t xml:space="preserve">s feet) and forehead lines in adults.  The present case is concerned with the cosmetic indications.  </w:t>
      </w:r>
    </w:p>
    <w:p w14:paraId="1D2E6000" w14:textId="4DBDCABD" w:rsidR="00EE4D06" w:rsidRDefault="001E3C6B" w:rsidP="001E3C6B">
      <w:pPr>
        <w:pStyle w:val="ParaNumbering"/>
        <w:numPr>
          <w:ilvl w:val="0"/>
          <w:numId w:val="0"/>
        </w:numPr>
        <w:ind w:hanging="720"/>
      </w:pPr>
      <w:r>
        <w:rPr>
          <w:sz w:val="20"/>
        </w:rPr>
        <w:t>9</w:t>
      </w:r>
      <w:r>
        <w:rPr>
          <w:sz w:val="20"/>
        </w:rPr>
        <w:tab/>
      </w:r>
      <w:r w:rsidR="00EE4D06">
        <w:t xml:space="preserve">When Botox is injected into the muscle it is expected that most of the Botox will remain close to the site of injection.  The core neurotoxin is surrounded by accessory proteins which protect it as it enters the body.  The Botox core then dissociates from its accessory protein and enters the nerve cell.  Botox blocks the release of </w:t>
      </w:r>
      <w:r w:rsidR="00C3122F">
        <w:t>acetylcholine</w:t>
      </w:r>
      <w:r w:rsidR="00EE4D06">
        <w:t xml:space="preserve">, which is a chemical released by the nerve cells to send signals to other cells.  When the release of </w:t>
      </w:r>
      <w:r w:rsidR="00C3122F">
        <w:t>acetylcholine</w:t>
      </w:r>
      <w:r w:rsidR="00EE4D06">
        <w:t xml:space="preserve"> is stopped, muscle contraction cannot occur. </w:t>
      </w:r>
    </w:p>
    <w:p w14:paraId="1725902F" w14:textId="17F283FA" w:rsidR="002F6875" w:rsidRDefault="001E3C6B" w:rsidP="001E3C6B">
      <w:pPr>
        <w:pStyle w:val="ParaNumbering"/>
        <w:numPr>
          <w:ilvl w:val="0"/>
          <w:numId w:val="0"/>
        </w:numPr>
        <w:ind w:hanging="720"/>
      </w:pPr>
      <w:r>
        <w:rPr>
          <w:sz w:val="20"/>
        </w:rPr>
        <w:t>10</w:t>
      </w:r>
      <w:r>
        <w:rPr>
          <w:sz w:val="20"/>
        </w:rPr>
        <w:tab/>
      </w:r>
      <w:r w:rsidR="00EE4D06">
        <w:t xml:space="preserve">Once the Botox is injected, it inhibits the nerve and within roughly 50 hours (or about 2-3 days) the Botox is removed from the body by passing urine.  Over time the nerve heals itself and starts releasing </w:t>
      </w:r>
      <w:r w:rsidR="00C3122F">
        <w:t>acetylcholine</w:t>
      </w:r>
      <w:r w:rsidR="00EE4D06">
        <w:t xml:space="preserve"> again.  This gives movement back to the muscle.</w:t>
      </w:r>
    </w:p>
    <w:p w14:paraId="171906AF" w14:textId="7DE366FA" w:rsidR="00EE4D06" w:rsidRDefault="001E3C6B" w:rsidP="001E3C6B">
      <w:pPr>
        <w:pStyle w:val="ParaNumbering"/>
        <w:numPr>
          <w:ilvl w:val="0"/>
          <w:numId w:val="0"/>
        </w:numPr>
        <w:ind w:hanging="720"/>
      </w:pPr>
      <w:r>
        <w:rPr>
          <w:sz w:val="20"/>
        </w:rPr>
        <w:t>11</w:t>
      </w:r>
      <w:r>
        <w:rPr>
          <w:sz w:val="20"/>
        </w:rPr>
        <w:tab/>
      </w:r>
      <w:r w:rsidR="002F6875">
        <w:t>The effects of Botox may take a few days to manifest.  It has effect by relaxing the</w:t>
      </w:r>
      <w:r w:rsidR="000D0359">
        <w:t xml:space="preserve"> </w:t>
      </w:r>
      <w:r w:rsidR="002F6875">
        <w:t>muscles</w:t>
      </w:r>
      <w:r w:rsidR="000D0359">
        <w:t xml:space="preserve"> at the site of injection</w:t>
      </w:r>
      <w:r w:rsidR="002F6875">
        <w:t>.  Full results may take up to 10-14 days to be seen.  The effects will usually last up to four months, then</w:t>
      </w:r>
      <w:r w:rsidR="00E42965">
        <w:t xml:space="preserve"> dramatically </w:t>
      </w:r>
      <w:r w:rsidR="002F6875">
        <w:t>decrease.  Treatment may be r</w:t>
      </w:r>
      <w:r w:rsidR="00C07F61">
        <w:t>epeated every six months.</w:t>
      </w:r>
    </w:p>
    <w:p w14:paraId="3622367A" w14:textId="71379F33" w:rsidR="00AD192E" w:rsidRDefault="001E3C6B" w:rsidP="001E3C6B">
      <w:pPr>
        <w:pStyle w:val="ParaNumbering"/>
        <w:numPr>
          <w:ilvl w:val="0"/>
          <w:numId w:val="0"/>
        </w:numPr>
        <w:ind w:hanging="720"/>
      </w:pPr>
      <w:r>
        <w:rPr>
          <w:sz w:val="20"/>
        </w:rPr>
        <w:t>12</w:t>
      </w:r>
      <w:r>
        <w:rPr>
          <w:sz w:val="20"/>
        </w:rPr>
        <w:tab/>
      </w:r>
      <w:r w:rsidR="00EE4D06">
        <w:t>Botox does not moisturise or tighten the skin.  People who have been treated with Botox may feel that their skin looks smoother, shiny and moisturised after the treatment due to the fact that the underlying muscle has been relaxed and cannot move.  There is</w:t>
      </w:r>
      <w:r w:rsidR="00E33F70">
        <w:t>,</w:t>
      </w:r>
      <w:r w:rsidR="00EE4D06">
        <w:t xml:space="preserve"> however</w:t>
      </w:r>
      <w:r w:rsidR="00E33F70">
        <w:t>,</w:t>
      </w:r>
      <w:r w:rsidR="00EE4D06">
        <w:t xml:space="preserve"> no clinical data to show that Botox has these effects on the skin. </w:t>
      </w:r>
      <w:r w:rsidR="00C07F61">
        <w:t xml:space="preserve"> </w:t>
      </w:r>
      <w:r w:rsidR="007E2775">
        <w:t>Important for present purposes is that Botox has a therapeutic effect, i.e.</w:t>
      </w:r>
      <w:r w:rsidR="001C329F">
        <w:t>,</w:t>
      </w:r>
      <w:r w:rsidR="007E2775">
        <w:t xml:space="preserve"> it has a physiological or pharmacological action.</w:t>
      </w:r>
    </w:p>
    <w:p w14:paraId="5990A40F" w14:textId="771B667C" w:rsidR="00EE4D06" w:rsidRPr="007A08C7" w:rsidRDefault="001E3C6B" w:rsidP="001E3C6B">
      <w:pPr>
        <w:pStyle w:val="ParaNumbering"/>
        <w:numPr>
          <w:ilvl w:val="0"/>
          <w:numId w:val="0"/>
        </w:numPr>
        <w:ind w:hanging="720"/>
      </w:pPr>
      <w:r w:rsidRPr="007A08C7">
        <w:rPr>
          <w:sz w:val="20"/>
        </w:rPr>
        <w:t>13</w:t>
      </w:r>
      <w:r w:rsidRPr="007A08C7">
        <w:rPr>
          <w:sz w:val="20"/>
        </w:rPr>
        <w:tab/>
      </w:r>
      <w:r w:rsidR="00EE4D06" w:rsidRPr="007A08C7">
        <w:t>In Australia, Botox has been supplied for certain therapeutic indications under the BOTOX marks since November 1993 when approval by the Therapeutic Goods Administration (</w:t>
      </w:r>
      <w:r w:rsidR="00EE4D06" w:rsidRPr="00B73F46">
        <w:rPr>
          <w:b/>
        </w:rPr>
        <w:t>TGA</w:t>
      </w:r>
      <w:r w:rsidR="00EE4D06" w:rsidRPr="007A08C7">
        <w:t xml:space="preserve">) was granted.  In 2002, Botox received approval for cosmetic indications and it has been available for sale in Australia for that purpose since about April 2002.  </w:t>
      </w:r>
    </w:p>
    <w:p w14:paraId="1CF2C711" w14:textId="2740AC36" w:rsidR="007870E5" w:rsidRDefault="001E3C6B" w:rsidP="001E3C6B">
      <w:pPr>
        <w:pStyle w:val="ParaNumbering"/>
        <w:numPr>
          <w:ilvl w:val="0"/>
          <w:numId w:val="0"/>
        </w:numPr>
        <w:ind w:hanging="720"/>
      </w:pPr>
      <w:r>
        <w:rPr>
          <w:sz w:val="20"/>
        </w:rPr>
        <w:t>14</w:t>
      </w:r>
      <w:r>
        <w:rPr>
          <w:sz w:val="20"/>
        </w:rPr>
        <w:tab/>
      </w:r>
      <w:r w:rsidR="00EE4D06" w:rsidRPr="007A08C7">
        <w:t>In Australia, Botox must be administered by a registered medical practitioner (or registered nurse under the direction of a registered medical practitioner) or other</w:t>
      </w:r>
      <w:r w:rsidR="00EE4D06">
        <w:t xml:space="preserve"> authorised health professional</w:t>
      </w:r>
      <w:r w:rsidR="00EE4D06" w:rsidRPr="007A08C7">
        <w:t xml:space="preserve"> under the relevant </w:t>
      </w:r>
      <w:r w:rsidR="00A1342F">
        <w:t>s</w:t>
      </w:r>
      <w:r w:rsidR="00EE4D06" w:rsidRPr="007A08C7">
        <w:t xml:space="preserve">tate or </w:t>
      </w:r>
      <w:r w:rsidR="00A1342F">
        <w:t>t</w:t>
      </w:r>
      <w:r w:rsidR="00EE4D06" w:rsidRPr="007A08C7">
        <w:t>erritory legislation.  Allergan supplies Botox to approved medical practitioners and other health professionals</w:t>
      </w:r>
      <w:r w:rsidR="00E45D80">
        <w:t xml:space="preserve"> that hold an account with Allergan Australia</w:t>
      </w:r>
      <w:r w:rsidR="00EE4D06" w:rsidRPr="007A08C7">
        <w:t xml:space="preserve">.  </w:t>
      </w:r>
      <w:r w:rsidR="00EE4D06">
        <w:t xml:space="preserve">Botox is not </w:t>
      </w:r>
      <w:r w:rsidR="007870E5">
        <w:t xml:space="preserve">advertised or supplied </w:t>
      </w:r>
      <w:r w:rsidR="00EE4D06">
        <w:t>directly to retail customers</w:t>
      </w:r>
      <w:r w:rsidR="00E45D80">
        <w:t xml:space="preserve"> as the advertising of therapeutic goods, and poisons, is prohibited</w:t>
      </w:r>
      <w:r w:rsidR="00E27101">
        <w:t>:</w:t>
      </w:r>
      <w:r w:rsidR="00E45D80">
        <w:t xml:space="preserve"> s 42DL, </w:t>
      </w:r>
      <w:r w:rsidR="00A62253" w:rsidRPr="007A08C7">
        <w:rPr>
          <w:i/>
        </w:rPr>
        <w:t xml:space="preserve">Therapeutic Goods Act 1989 </w:t>
      </w:r>
      <w:r w:rsidR="00A62253" w:rsidRPr="007A08C7">
        <w:t>(Cth)</w:t>
      </w:r>
      <w:r w:rsidR="00A62253">
        <w:t xml:space="preserve"> (</w:t>
      </w:r>
      <w:r w:rsidR="00E45D80" w:rsidRPr="00A62253">
        <w:rPr>
          <w:b/>
        </w:rPr>
        <w:t>TG Act</w:t>
      </w:r>
      <w:r w:rsidR="00A62253" w:rsidRPr="00A62253">
        <w:t>)</w:t>
      </w:r>
      <w:r w:rsidR="00EE4D06">
        <w:t xml:space="preserve">. </w:t>
      </w:r>
    </w:p>
    <w:p w14:paraId="28CB9511" w14:textId="4F5266DB" w:rsidR="00EE4D06" w:rsidRPr="007A08C7" w:rsidRDefault="001E3C6B" w:rsidP="001E3C6B">
      <w:pPr>
        <w:pStyle w:val="ParaNumbering"/>
        <w:numPr>
          <w:ilvl w:val="0"/>
          <w:numId w:val="0"/>
        </w:numPr>
        <w:ind w:hanging="720"/>
      </w:pPr>
      <w:r w:rsidRPr="007A08C7">
        <w:rPr>
          <w:sz w:val="20"/>
        </w:rPr>
        <w:lastRenderedPageBreak/>
        <w:t>15</w:t>
      </w:r>
      <w:r w:rsidRPr="007A08C7">
        <w:rPr>
          <w:sz w:val="20"/>
        </w:rPr>
        <w:tab/>
      </w:r>
      <w:r w:rsidR="007870E5" w:rsidRPr="003D4062">
        <w:t>The evidence is that one</w:t>
      </w:r>
      <w:r w:rsidR="00E33F70">
        <w:t xml:space="preserve"> 100 ml</w:t>
      </w:r>
      <w:r w:rsidR="007870E5" w:rsidRPr="003D4062">
        <w:t xml:space="preserve"> vial of Botox is sold for approximately $500</w:t>
      </w:r>
      <w:r w:rsidR="00A31EA1">
        <w:t xml:space="preserve"> (excl. GST)</w:t>
      </w:r>
      <w:r w:rsidR="007870E5" w:rsidRPr="003D4062">
        <w:t>.</w:t>
      </w:r>
      <w:r w:rsidR="007870E5">
        <w:t xml:space="preserve">  As the product is reconstituted in saline, one vial can apparently be used for more than one treatment.  A single treatment, which is to say five or six injections in a single site (e.g.</w:t>
      </w:r>
      <w:r w:rsidR="00E27101">
        <w:t>,</w:t>
      </w:r>
      <w:r w:rsidR="007870E5">
        <w:t xml:space="preserve"> frown lines), including the health professional’s charges</w:t>
      </w:r>
      <w:r w:rsidR="00C07F61">
        <w:t>, is in the range of $200-$720.</w:t>
      </w:r>
    </w:p>
    <w:p w14:paraId="2522885E" w14:textId="76AC6959" w:rsidR="00EE4D06" w:rsidRPr="007A08C7" w:rsidRDefault="001E3C6B" w:rsidP="001E3C6B">
      <w:pPr>
        <w:pStyle w:val="ParaNumbering"/>
        <w:numPr>
          <w:ilvl w:val="0"/>
          <w:numId w:val="0"/>
        </w:numPr>
        <w:ind w:hanging="720"/>
      </w:pPr>
      <w:r w:rsidRPr="007A08C7">
        <w:rPr>
          <w:sz w:val="20"/>
        </w:rPr>
        <w:t>16</w:t>
      </w:r>
      <w:r w:rsidRPr="007A08C7">
        <w:rPr>
          <w:sz w:val="20"/>
        </w:rPr>
        <w:tab/>
      </w:r>
      <w:r w:rsidR="00EE4D06" w:rsidRPr="007A08C7">
        <w:t xml:space="preserve">In Australia, Allergan Inc is the registered proprietor of the following pending or registered Australian trade marks (which I will refer to as </w:t>
      </w:r>
      <w:r w:rsidR="00EE4D06" w:rsidRPr="007A08C7">
        <w:rPr>
          <w:b/>
        </w:rPr>
        <w:t>the BOTOX marks</w:t>
      </w:r>
      <w:r w:rsidR="00EE4D06" w:rsidRPr="007A08C7">
        <w:t>):</w:t>
      </w:r>
    </w:p>
    <w:p w14:paraId="38D633CC" w14:textId="195F437A" w:rsidR="00EE4D06" w:rsidRPr="007A08C7" w:rsidRDefault="001E3C6B" w:rsidP="001E3C6B">
      <w:pPr>
        <w:pStyle w:val="ListNo1"/>
        <w:numPr>
          <w:ilvl w:val="0"/>
          <w:numId w:val="0"/>
        </w:numPr>
        <w:tabs>
          <w:tab w:val="left" w:pos="720"/>
        </w:tabs>
        <w:ind w:left="720" w:hanging="720"/>
      </w:pPr>
      <w:r w:rsidRPr="007A08C7">
        <w:t>(1)</w:t>
      </w:r>
      <w:r w:rsidRPr="007A08C7">
        <w:tab/>
      </w:r>
      <w:r w:rsidR="00EE4D06" w:rsidRPr="007A08C7">
        <w:t>Trade Mark No. 551279, for the word BOTOX, registered (court action pending) in class 5 and having a priority date of 28 February 1991;</w:t>
      </w:r>
    </w:p>
    <w:p w14:paraId="0C8DF50D" w14:textId="389DD0C7" w:rsidR="00EE4D06" w:rsidRPr="007A08C7" w:rsidRDefault="001E3C6B" w:rsidP="001E3C6B">
      <w:pPr>
        <w:pStyle w:val="ListNo1"/>
        <w:numPr>
          <w:ilvl w:val="0"/>
          <w:numId w:val="0"/>
        </w:numPr>
        <w:tabs>
          <w:tab w:val="left" w:pos="720"/>
        </w:tabs>
        <w:ind w:left="720" w:hanging="720"/>
      </w:pPr>
      <w:r w:rsidRPr="007A08C7">
        <w:t>(2)</w:t>
      </w:r>
      <w:r w:rsidRPr="007A08C7">
        <w:tab/>
      </w:r>
      <w:r w:rsidR="00EE4D06" w:rsidRPr="007A08C7">
        <w:t xml:space="preserve">Trade Mark No. 860785 for the composite mark </w:t>
      </w:r>
      <w:r w:rsidR="005427AA">
        <w:rPr>
          <w:noProof/>
          <w:lang w:eastAsia="en-AU"/>
        </w:rPr>
        <w:drawing>
          <wp:inline distT="0" distB="0" distL="0" distR="0" wp14:anchorId="252CDE03" wp14:editId="5E167C32">
            <wp:extent cx="118110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toxmark.jpg"/>
                    <pic:cNvPicPr/>
                  </pic:nvPicPr>
                  <pic:blipFill>
                    <a:blip r:embed="rId17">
                      <a:extLst>
                        <a:ext uri="{28A0092B-C50C-407E-A947-70E740481C1C}">
                          <a14:useLocalDpi xmlns:a14="http://schemas.microsoft.com/office/drawing/2010/main" val="0"/>
                        </a:ext>
                      </a:extLst>
                    </a:blip>
                    <a:stretch>
                      <a:fillRect/>
                    </a:stretch>
                  </pic:blipFill>
                  <pic:spPr>
                    <a:xfrm>
                      <a:off x="0" y="0"/>
                      <a:ext cx="1181100" cy="323850"/>
                    </a:xfrm>
                    <a:prstGeom prst="rect">
                      <a:avLst/>
                    </a:prstGeom>
                  </pic:spPr>
                </pic:pic>
              </a:graphicData>
            </a:graphic>
          </wp:inline>
        </w:drawing>
      </w:r>
      <w:r w:rsidR="00EE4D06" w:rsidRPr="007A08C7">
        <w:t>, registered in class 5 and having a priority date of 14 December 2000</w:t>
      </w:r>
      <w:r w:rsidR="00955F1D">
        <w:t xml:space="preserve"> (</w:t>
      </w:r>
      <w:r w:rsidR="00955F1D">
        <w:rPr>
          <w:b/>
        </w:rPr>
        <w:t>the 785 mark</w:t>
      </w:r>
      <w:r w:rsidR="00955F1D">
        <w:t>)</w:t>
      </w:r>
      <w:r w:rsidR="00EE4D06" w:rsidRPr="007A08C7">
        <w:t>;</w:t>
      </w:r>
    </w:p>
    <w:p w14:paraId="3CFEA254" w14:textId="38C354ED" w:rsidR="00EE4D06" w:rsidRPr="007A08C7" w:rsidRDefault="001E3C6B" w:rsidP="001E3C6B">
      <w:pPr>
        <w:pStyle w:val="ListNo1"/>
        <w:numPr>
          <w:ilvl w:val="0"/>
          <w:numId w:val="0"/>
        </w:numPr>
        <w:tabs>
          <w:tab w:val="left" w:pos="720"/>
        </w:tabs>
        <w:ind w:left="720" w:hanging="720"/>
      </w:pPr>
      <w:r w:rsidRPr="007A08C7">
        <w:t>(3)</w:t>
      </w:r>
      <w:r w:rsidRPr="007A08C7">
        <w:tab/>
      </w:r>
      <w:r w:rsidR="00EE4D06" w:rsidRPr="007A08C7">
        <w:t>Trade Mark No. 860786, for the word BOTOX, registered (court action pending) in class 5 and having a priority date of 14 December 2000</w:t>
      </w:r>
      <w:r w:rsidR="00955F1D">
        <w:t xml:space="preserve"> (</w:t>
      </w:r>
      <w:r w:rsidR="00955F1D">
        <w:rPr>
          <w:b/>
        </w:rPr>
        <w:t>the 786 mark</w:t>
      </w:r>
      <w:r w:rsidR="00955F1D">
        <w:t>)</w:t>
      </w:r>
      <w:r w:rsidR="00EE4D06" w:rsidRPr="007A08C7">
        <w:t>;</w:t>
      </w:r>
    </w:p>
    <w:p w14:paraId="0FA6499C" w14:textId="4C92DA08" w:rsidR="00EE4D06" w:rsidRPr="007A08C7" w:rsidRDefault="001E3C6B" w:rsidP="001E3C6B">
      <w:pPr>
        <w:pStyle w:val="ListNo1"/>
        <w:numPr>
          <w:ilvl w:val="0"/>
          <w:numId w:val="0"/>
        </w:numPr>
        <w:tabs>
          <w:tab w:val="left" w:pos="720"/>
        </w:tabs>
        <w:ind w:left="720" w:hanging="720"/>
      </w:pPr>
      <w:r w:rsidRPr="007A08C7">
        <w:t>(4)</w:t>
      </w:r>
      <w:r w:rsidRPr="007A08C7">
        <w:tab/>
      </w:r>
      <w:r w:rsidR="00EE4D06" w:rsidRPr="007A08C7">
        <w:t>Trade Mark No. 1008655 (International Registration 826203) for the word BOTOX, registered (court action pending) in class 3 and having a priority date of 8 March 2004 (</w:t>
      </w:r>
      <w:r w:rsidR="00EE4D06" w:rsidRPr="007A08C7">
        <w:rPr>
          <w:b/>
        </w:rPr>
        <w:t>the 655 mark</w:t>
      </w:r>
      <w:r w:rsidR="00EE4D06" w:rsidRPr="007A08C7">
        <w:t>); and</w:t>
      </w:r>
    </w:p>
    <w:p w14:paraId="79629805" w14:textId="7C7FC418" w:rsidR="00EE4D06" w:rsidRPr="007A08C7" w:rsidRDefault="001E3C6B" w:rsidP="001E3C6B">
      <w:pPr>
        <w:pStyle w:val="ListNo1"/>
        <w:numPr>
          <w:ilvl w:val="0"/>
          <w:numId w:val="0"/>
        </w:numPr>
        <w:tabs>
          <w:tab w:val="left" w:pos="720"/>
        </w:tabs>
        <w:ind w:left="720" w:hanging="720"/>
      </w:pPr>
      <w:r w:rsidRPr="007A08C7">
        <w:t>(5)</w:t>
      </w:r>
      <w:r w:rsidRPr="007A08C7">
        <w:tab/>
      </w:r>
      <w:r w:rsidR="00EE4D06" w:rsidRPr="007A08C7">
        <w:t>Trade Mark No. 1578426 for the word BOTOX, registered (court action pending) in class</w:t>
      </w:r>
      <w:r w:rsidR="00E33F70">
        <w:t>es</w:t>
      </w:r>
      <w:r w:rsidR="00EE4D06" w:rsidRPr="007A08C7">
        <w:t xml:space="preserve"> 1, 3, 5, 9, 10, 16, 35, 41, 42, 44, and 45 and having a priority date of 4 September 2013 (</w:t>
      </w:r>
      <w:r w:rsidR="00EE4D06" w:rsidRPr="007A08C7">
        <w:rPr>
          <w:b/>
        </w:rPr>
        <w:t>the 426 defensive mark</w:t>
      </w:r>
      <w:r w:rsidR="00EE4D06" w:rsidRPr="007A08C7">
        <w:t>).</w:t>
      </w:r>
    </w:p>
    <w:p w14:paraId="61E16D3D" w14:textId="3D802ABA" w:rsidR="00955F1D" w:rsidRDefault="001E3C6B" w:rsidP="001E3C6B">
      <w:pPr>
        <w:pStyle w:val="ParaNumbering"/>
        <w:numPr>
          <w:ilvl w:val="0"/>
          <w:numId w:val="0"/>
        </w:numPr>
        <w:ind w:hanging="720"/>
      </w:pPr>
      <w:bookmarkStart w:id="32" w:name="_Ref38889614"/>
      <w:r>
        <w:rPr>
          <w:sz w:val="20"/>
        </w:rPr>
        <w:t>17</w:t>
      </w:r>
      <w:r>
        <w:rPr>
          <w:sz w:val="20"/>
        </w:rPr>
        <w:tab/>
      </w:r>
      <w:r w:rsidR="00955F1D">
        <w:t>Each of the class 5 registrations is in respect of pharmaceuticals.  Relevant to the claim for trade mark infringement under s 120(2) of the TM Act is that the 785 and 786 marks include the following goods: “Pharmaceutical preparations for the treatment of … wrinkles …”</w:t>
      </w:r>
      <w:r w:rsidR="00CF4C83">
        <w:t>.</w:t>
      </w:r>
    </w:p>
    <w:p w14:paraId="566EFA6A" w14:textId="14132507" w:rsidR="00EE4D06" w:rsidRDefault="001E3C6B" w:rsidP="001E3C6B">
      <w:pPr>
        <w:pStyle w:val="ParaNumbering"/>
        <w:numPr>
          <w:ilvl w:val="0"/>
          <w:numId w:val="0"/>
        </w:numPr>
        <w:ind w:hanging="720"/>
      </w:pPr>
      <w:r>
        <w:rPr>
          <w:sz w:val="20"/>
        </w:rPr>
        <w:t>18</w:t>
      </w:r>
      <w:r>
        <w:rPr>
          <w:sz w:val="20"/>
        </w:rPr>
        <w:tab/>
      </w:r>
      <w:r w:rsidR="00EE4D06">
        <w:t xml:space="preserve">The class 3 registration in respect of the 655 mark is for “cosmetics, face creams and lotions; skin creams and lotions.” </w:t>
      </w:r>
      <w:bookmarkEnd w:id="32"/>
    </w:p>
    <w:p w14:paraId="7A89A56C" w14:textId="54FBF775" w:rsidR="00EE4D06" w:rsidRDefault="001E3C6B" w:rsidP="001E3C6B">
      <w:pPr>
        <w:pStyle w:val="ParaNumbering"/>
        <w:numPr>
          <w:ilvl w:val="0"/>
          <w:numId w:val="0"/>
        </w:numPr>
        <w:ind w:hanging="720"/>
      </w:pPr>
      <w:bookmarkStart w:id="33" w:name="_Ref38889627"/>
      <w:r>
        <w:rPr>
          <w:sz w:val="20"/>
        </w:rPr>
        <w:t>19</w:t>
      </w:r>
      <w:r>
        <w:rPr>
          <w:sz w:val="20"/>
        </w:rPr>
        <w:tab/>
      </w:r>
      <w:r w:rsidR="00EE4D06">
        <w:t>The class 3 registration in respect of the 426 defensive mark is for the following:</w:t>
      </w:r>
      <w:bookmarkEnd w:id="33"/>
    </w:p>
    <w:p w14:paraId="0D9C162D" w14:textId="77777777" w:rsidR="00EE4D06" w:rsidRDefault="00EE4D06" w:rsidP="0042013A">
      <w:pPr>
        <w:pStyle w:val="Quote1"/>
      </w:pPr>
      <w:r w:rsidRPr="00C958D6">
        <w:t>After sun lotions and preparations; after-shave lotions and creams; anti</w:t>
      </w:r>
      <w:r>
        <w:t>-</w:t>
      </w:r>
      <w:r w:rsidRPr="00C958D6">
        <w:t>ageing</w:t>
      </w:r>
      <w:r>
        <w:t xml:space="preserve"> </w:t>
      </w:r>
      <w:r w:rsidRPr="00C958D6">
        <w:t>creams; anti-wrinkle cream; anti-cellulite preparations; antiperspirant</w:t>
      </w:r>
      <w:r>
        <w:t xml:space="preserve"> </w:t>
      </w:r>
      <w:r w:rsidRPr="00C958D6">
        <w:t>deodorants and preparations; aromatherapy preparations; artificial tanning</w:t>
      </w:r>
      <w:r>
        <w:t xml:space="preserve"> </w:t>
      </w:r>
      <w:r w:rsidRPr="00C958D6">
        <w:t>preparations; astringents for cosmetic purposes; barrier creams and preparations for</w:t>
      </w:r>
      <w:r>
        <w:t xml:space="preserve"> </w:t>
      </w:r>
      <w:r w:rsidRPr="00C958D6">
        <w:t>the skin; bath salts, crystals, oils, lotions and preparations (not medicated); bath</w:t>
      </w:r>
      <w:r>
        <w:t xml:space="preserve"> </w:t>
      </w:r>
      <w:r w:rsidRPr="00C958D6">
        <w:t>soap; beauty care preparations; beauty preparations; beauty care products; beauty</w:t>
      </w:r>
      <w:r>
        <w:t xml:space="preserve"> </w:t>
      </w:r>
      <w:r w:rsidRPr="00C958D6">
        <w:t>products; beauty creams; bleaching preparations (decolourants) for cosmetic</w:t>
      </w:r>
      <w:r>
        <w:t xml:space="preserve"> </w:t>
      </w:r>
      <w:r w:rsidRPr="00C958D6">
        <w:t>purposes; bleaches in the form of creams; bleaching preparations for the hair; body</w:t>
      </w:r>
      <w:r>
        <w:t xml:space="preserve"> </w:t>
      </w:r>
      <w:r w:rsidRPr="00C958D6">
        <w:t>care preparations (non-medicated); body lotions (other than for medical purposes);</w:t>
      </w:r>
      <w:r>
        <w:t xml:space="preserve"> </w:t>
      </w:r>
      <w:r w:rsidRPr="00C958D6">
        <w:t xml:space="preserve">body moisturisers; body scrubs; breath </w:t>
      </w:r>
      <w:r w:rsidRPr="00C958D6">
        <w:lastRenderedPageBreak/>
        <w:t>fresheners; bubble bath preparations; cleaners</w:t>
      </w:r>
      <w:r>
        <w:t xml:space="preserve"> </w:t>
      </w:r>
      <w:r w:rsidRPr="00C958D6">
        <w:t>(preparations) for cleaning surgical instruments; cleaning oils for cosmetic purposes;</w:t>
      </w:r>
      <w:r>
        <w:t xml:space="preserve"> </w:t>
      </w:r>
      <w:r w:rsidRPr="00C958D6">
        <w:t>cleaning preparations; cleaning preparations containing sterilising substances;</w:t>
      </w:r>
      <w:r>
        <w:t xml:space="preserve"> </w:t>
      </w:r>
      <w:r w:rsidRPr="00C958D6">
        <w:t>cleaning preparations for medical and laboratory instruments; cleaning preparations</w:t>
      </w:r>
      <w:r>
        <w:t xml:space="preserve"> </w:t>
      </w:r>
      <w:r w:rsidRPr="00C958D6">
        <w:t>for personal and sanitary use; cleaning preparations for the hands and the skin;</w:t>
      </w:r>
      <w:r>
        <w:t xml:space="preserve"> </w:t>
      </w:r>
      <w:r w:rsidRPr="00C958D6">
        <w:t>cleansers for the face; cleansing facial masks and lotions; cleansing products for</w:t>
      </w:r>
      <w:r>
        <w:t xml:space="preserve"> </w:t>
      </w:r>
      <w:r w:rsidRPr="00C958D6">
        <w:t>removing make-up; collagen preparations for cosmetic application; colouring</w:t>
      </w:r>
      <w:r>
        <w:t xml:space="preserve"> </w:t>
      </w:r>
      <w:r w:rsidRPr="00C958D6">
        <w:t>preparations for cosmetic purposes; conditioners for use on the hair; cosmetic acne</w:t>
      </w:r>
      <w:r>
        <w:t xml:space="preserve"> </w:t>
      </w:r>
      <w:r w:rsidRPr="00C958D6">
        <w:t>creams; cosmetic articles for personal use; cosmetic articles and preparations;</w:t>
      </w:r>
      <w:r>
        <w:t xml:space="preserve"> </w:t>
      </w:r>
      <w:r w:rsidRPr="00C958D6">
        <w:t>cosmetic kits; cosmetic skin care products; cosmetics; deodorant preparations for</w:t>
      </w:r>
      <w:r>
        <w:t xml:space="preserve"> </w:t>
      </w:r>
      <w:r w:rsidRPr="00C958D6">
        <w:t>personal use; deodorants for the body; depilatories; depilatory preparations and</w:t>
      </w:r>
      <w:r>
        <w:t xml:space="preserve"> </w:t>
      </w:r>
      <w:r w:rsidRPr="00C958D6">
        <w:t>products; depilatory wax; dermatological cosmetic preparations; dermatological</w:t>
      </w:r>
      <w:r>
        <w:t xml:space="preserve"> </w:t>
      </w:r>
      <w:r w:rsidRPr="00C958D6">
        <w:t xml:space="preserve">preparations (other than medicated); </w:t>
      </w:r>
      <w:r>
        <w:t xml:space="preserve"> </w:t>
      </w:r>
      <w:r w:rsidRPr="00C958D6">
        <w:t>detergents having anti-bacterial and disinfecting</w:t>
      </w:r>
      <w:r>
        <w:t xml:space="preserve"> </w:t>
      </w:r>
      <w:r w:rsidRPr="00C958D6">
        <w:t>properties (other than for medical use or for use in manufacturing processes);</w:t>
      </w:r>
      <w:r>
        <w:t xml:space="preserve"> </w:t>
      </w:r>
      <w:r w:rsidRPr="00C958D6">
        <w:t>essential oils; essential oils for cosmetic purposes; exfoliants for the care of the skin;</w:t>
      </w:r>
      <w:r>
        <w:t xml:space="preserve"> </w:t>
      </w:r>
      <w:r w:rsidRPr="00C958D6">
        <w:t>eye make-up; eye wrinkle lotions; facial care products (cosmetic); fragrances; hair</w:t>
      </w:r>
      <w:r>
        <w:t xml:space="preserve"> </w:t>
      </w:r>
      <w:r w:rsidRPr="00C958D6">
        <w:t>care products; hair conditioner; hair colouring preparations; hair cosmetics; hair</w:t>
      </w:r>
      <w:r>
        <w:t xml:space="preserve"> </w:t>
      </w:r>
      <w:r w:rsidRPr="00C958D6">
        <w:t>cream and lotions; hair gel and mousse; hair permanent treatments; hair perming</w:t>
      </w:r>
      <w:r>
        <w:t xml:space="preserve"> </w:t>
      </w:r>
      <w:r w:rsidRPr="00C958D6">
        <w:t>products; hair preparations; hair products; hand cream; impregnated cloths for</w:t>
      </w:r>
      <w:r>
        <w:t xml:space="preserve"> </w:t>
      </w:r>
      <w:r w:rsidRPr="00C958D6">
        <w:t>cosmetic use; impregnated pads for removing make-up; lipsticks; lip gloss; lip</w:t>
      </w:r>
      <w:r>
        <w:t xml:space="preserve"> </w:t>
      </w:r>
      <w:r w:rsidRPr="00C958D6">
        <w:t>pencils and liners; make-up; make-up preparations and products; make-up removing</w:t>
      </w:r>
      <w:r>
        <w:t xml:space="preserve"> </w:t>
      </w:r>
      <w:r w:rsidRPr="00C958D6">
        <w:t>preparations; massage oils and creams (not medicated); moisturisers (cosmetics);</w:t>
      </w:r>
      <w:r>
        <w:t xml:space="preserve"> </w:t>
      </w:r>
      <w:r w:rsidRPr="00C958D6">
        <w:t>mouth washes (not for medical purposes); nail care preparations; nail preparations</w:t>
      </w:r>
      <w:r>
        <w:t xml:space="preserve"> </w:t>
      </w:r>
      <w:r w:rsidRPr="00C958D6">
        <w:t>(cosmetics); non-medicated toiletries; perfumes; perfumery preparations and articles;</w:t>
      </w:r>
      <w:r>
        <w:t xml:space="preserve"> </w:t>
      </w:r>
      <w:r w:rsidRPr="00C958D6">
        <w:t>preparations for care of the teeth; products for cleaning; sanitary preparations (other</w:t>
      </w:r>
      <w:r>
        <w:t xml:space="preserve"> </w:t>
      </w:r>
      <w:r w:rsidRPr="00C958D6">
        <w:t>than for medical purposes); serum (cosmetic preparations); shampoos; shaving soap,</w:t>
      </w:r>
      <w:r>
        <w:t xml:space="preserve"> </w:t>
      </w:r>
      <w:r w:rsidRPr="00C958D6">
        <w:t>creams and gels; skin care preparations and creams (cosmetic); skincare cosmetics;</w:t>
      </w:r>
      <w:r>
        <w:t xml:space="preserve"> </w:t>
      </w:r>
      <w:r w:rsidRPr="00C958D6">
        <w:t>soaps; soap products; sun screen preparations (cosmetics); suntan preparations</w:t>
      </w:r>
      <w:r>
        <w:t xml:space="preserve"> </w:t>
      </w:r>
      <w:r w:rsidRPr="00C958D6">
        <w:t>(cosmetics); tanning preparations (cosmetics); toilet preparations; toiletries;</w:t>
      </w:r>
      <w:r>
        <w:t xml:space="preserve"> </w:t>
      </w:r>
      <w:r w:rsidRPr="00C958D6">
        <w:t>toothpaste</w:t>
      </w:r>
    </w:p>
    <w:p w14:paraId="380B6C3A" w14:textId="2E037067" w:rsidR="00EE4D06" w:rsidRPr="004F4E21" w:rsidRDefault="001E3C6B" w:rsidP="001E3C6B">
      <w:pPr>
        <w:pStyle w:val="ParaNumbering"/>
        <w:numPr>
          <w:ilvl w:val="0"/>
          <w:numId w:val="0"/>
        </w:numPr>
        <w:ind w:hanging="720"/>
      </w:pPr>
      <w:r w:rsidRPr="004F4E21">
        <w:rPr>
          <w:sz w:val="20"/>
        </w:rPr>
        <w:t>20</w:t>
      </w:r>
      <w:r w:rsidRPr="004F4E21">
        <w:rPr>
          <w:sz w:val="20"/>
        </w:rPr>
        <w:tab/>
      </w:r>
      <w:r w:rsidR="00EE4D06" w:rsidRPr="004F4E21">
        <w:t xml:space="preserve">The relevance of the details of the class 3 registration, as opposed to all the other classes of registration of the 426 defensive mark, is that </w:t>
      </w:r>
      <w:r w:rsidR="00E27101">
        <w:t>the respondents</w:t>
      </w:r>
      <w:r w:rsidR="00EE4D06">
        <w:t>’</w:t>
      </w:r>
      <w:r w:rsidR="00EE4D06" w:rsidRPr="004F4E21">
        <w:t xml:space="preserve"> challenge to the registration by way of the cross</w:t>
      </w:r>
      <w:r w:rsidR="00E33F70">
        <w:t>-</w:t>
      </w:r>
      <w:r w:rsidR="00EE4D06" w:rsidRPr="004F4E21">
        <w:t>claim is only to class 3.</w:t>
      </w:r>
    </w:p>
    <w:p w14:paraId="2943C989" w14:textId="7121854B" w:rsidR="00EE4D06" w:rsidRPr="007A08C7" w:rsidRDefault="001E3C6B" w:rsidP="001E3C6B">
      <w:pPr>
        <w:pStyle w:val="ParaNumbering"/>
        <w:numPr>
          <w:ilvl w:val="0"/>
          <w:numId w:val="0"/>
        </w:numPr>
        <w:ind w:hanging="720"/>
      </w:pPr>
      <w:r w:rsidRPr="007A08C7">
        <w:rPr>
          <w:sz w:val="20"/>
        </w:rPr>
        <w:t>21</w:t>
      </w:r>
      <w:r w:rsidRPr="007A08C7">
        <w:rPr>
          <w:sz w:val="20"/>
        </w:rPr>
        <w:tab/>
      </w:r>
      <w:r w:rsidR="00E45D80">
        <w:t>As dealt with further at [</w:t>
      </w:r>
      <w:r w:rsidR="007A3C1A">
        <w:fldChar w:fldCharType="begin" w:fldLock="1"/>
      </w:r>
      <w:r w:rsidR="007A3C1A">
        <w:instrText xml:space="preserve"> REF _Ref50380224 \r \h </w:instrText>
      </w:r>
      <w:r w:rsidR="007A3C1A">
        <w:fldChar w:fldCharType="separate"/>
      </w:r>
      <w:r w:rsidR="00756FCE">
        <w:t>117</w:t>
      </w:r>
      <w:r w:rsidR="007A3C1A">
        <w:fldChar w:fldCharType="end"/>
      </w:r>
      <w:r w:rsidR="00E45D80">
        <w:t>]-[</w:t>
      </w:r>
      <w:r w:rsidR="007A3C1A">
        <w:fldChar w:fldCharType="begin" w:fldLock="1"/>
      </w:r>
      <w:r w:rsidR="007A3C1A">
        <w:instrText xml:space="preserve"> REF _Ref50380244 \r \h </w:instrText>
      </w:r>
      <w:r w:rsidR="007A3C1A">
        <w:fldChar w:fldCharType="separate"/>
      </w:r>
      <w:r w:rsidR="00756FCE">
        <w:t>153</w:t>
      </w:r>
      <w:r w:rsidR="007A3C1A">
        <w:fldChar w:fldCharType="end"/>
      </w:r>
      <w:r w:rsidR="00E45D80">
        <w:t>] below, s</w:t>
      </w:r>
      <w:r w:rsidR="00EE4D06" w:rsidRPr="007A08C7">
        <w:t xml:space="preserve">ales of Botox have been considerable and BOTOX has achieved significant success as a trade mark and brand, both internationally and in Australia.  </w:t>
      </w:r>
      <w:r w:rsidR="00EE4D06">
        <w:t>A</w:t>
      </w:r>
      <w:r w:rsidR="00EE4D06" w:rsidRPr="007A08C7">
        <w:t xml:space="preserve">s at the date of commencement of the proceedings, Botox had a significant and valuable reputation amongst consumers in Australia, including as a highly effective </w:t>
      </w:r>
      <w:r w:rsidR="00E45D80">
        <w:t xml:space="preserve">injectable </w:t>
      </w:r>
      <w:r w:rsidR="00EE4D06" w:rsidRPr="007A08C7">
        <w:t xml:space="preserve">product in reducing the appearance of wrinkles. </w:t>
      </w:r>
    </w:p>
    <w:p w14:paraId="289745CB" w14:textId="3ECA4763" w:rsidR="0042130C" w:rsidRDefault="001E3C6B" w:rsidP="001E3C6B">
      <w:pPr>
        <w:pStyle w:val="ParaNumbering"/>
        <w:numPr>
          <w:ilvl w:val="0"/>
          <w:numId w:val="0"/>
        </w:numPr>
        <w:ind w:hanging="720"/>
      </w:pPr>
      <w:r>
        <w:rPr>
          <w:sz w:val="20"/>
        </w:rPr>
        <w:t>22</w:t>
      </w:r>
      <w:r>
        <w:rPr>
          <w:sz w:val="20"/>
        </w:rPr>
        <w:tab/>
      </w:r>
      <w:r w:rsidR="00E45D80">
        <w:t xml:space="preserve">Allergan maintains a distinction in its business model between the use of Botox for medicinal therapeutic indications and for cosmetic indications.  In respect of the cosmetic indications for </w:t>
      </w:r>
      <w:r w:rsidR="00E27101">
        <w:t>the Botox product, Allergan use</w:t>
      </w:r>
      <w:r w:rsidR="00E45D80">
        <w:t xml:space="preserve">s the website </w:t>
      </w:r>
      <w:r w:rsidR="00E45D80" w:rsidRPr="00E45D80">
        <w:rPr>
          <w:u w:val="single"/>
        </w:rPr>
        <w:t>www.botoxcosmetic.com</w:t>
      </w:r>
      <w:r w:rsidR="00E45D80">
        <w:t xml:space="preserve"> which provides information</w:t>
      </w:r>
      <w:r w:rsidR="000D0359">
        <w:t xml:space="preserve"> about </w:t>
      </w:r>
      <w:r w:rsidR="00E45D80">
        <w:t>the product when used for cosmetic purposes.</w:t>
      </w:r>
      <w:r w:rsidR="0042130C">
        <w:t xml:space="preserve">  A different website, </w:t>
      </w:r>
      <w:r w:rsidR="0042130C" w:rsidRPr="0042130C">
        <w:rPr>
          <w:u w:val="single"/>
        </w:rPr>
        <w:t>www.botox.com</w:t>
      </w:r>
      <w:r w:rsidR="0042130C">
        <w:t>, provides information</w:t>
      </w:r>
      <w:r w:rsidR="000D0359">
        <w:t xml:space="preserve"> about </w:t>
      </w:r>
      <w:r w:rsidR="0042130C">
        <w:t>all uses of the Botox product.  That website displays a separate tab to redirect</w:t>
      </w:r>
      <w:r w:rsidR="00350521">
        <w:t xml:space="preserve"> browsers seeking information on its cosmetic uses </w:t>
      </w:r>
      <w:r w:rsidR="0042130C">
        <w:t xml:space="preserve">to the Botox cosmetic website.  </w:t>
      </w:r>
    </w:p>
    <w:p w14:paraId="4E5D38FD" w14:textId="1BB30B6E" w:rsidR="00EE4D06" w:rsidRDefault="001E3C6B" w:rsidP="001E3C6B">
      <w:pPr>
        <w:pStyle w:val="ParaNumbering"/>
        <w:numPr>
          <w:ilvl w:val="0"/>
          <w:numId w:val="0"/>
        </w:numPr>
        <w:ind w:hanging="720"/>
      </w:pPr>
      <w:r>
        <w:rPr>
          <w:sz w:val="20"/>
        </w:rPr>
        <w:lastRenderedPageBreak/>
        <w:t>23</w:t>
      </w:r>
      <w:r>
        <w:rPr>
          <w:sz w:val="20"/>
        </w:rPr>
        <w:tab/>
      </w:r>
      <w:r w:rsidR="0042130C">
        <w:t>Consistent with the distinction between the two principal different uses of Botox, Allergan Australia has different sales teams, marketing strategies and marketing material for the Botox product where it is sold for medicinal therapeutic indications and for cosmetic indications.  Sales and marketing teams for therapeutic indications target medicinal requirements and treatment of disease as opposed to sales and marketing for cosmetics which focus on the</w:t>
      </w:r>
      <w:r w:rsidR="00350521">
        <w:t xml:space="preserve"> desire </w:t>
      </w:r>
      <w:r w:rsidR="0042130C">
        <w:t>for the temporary improvement of appearance.  Allergan Australia keeps its business units, including its lists of account holders and records of sales, for the two principal different uses of Botox separate.</w:t>
      </w:r>
      <w:r w:rsidR="0042130C" w:rsidRPr="0042130C">
        <w:t xml:space="preserve"> </w:t>
      </w:r>
    </w:p>
    <w:p w14:paraId="274EE3D6" w14:textId="051BEF2C" w:rsidR="002F6875" w:rsidRPr="007A08C7" w:rsidRDefault="001E3C6B" w:rsidP="001E3C6B">
      <w:pPr>
        <w:pStyle w:val="ParaNumbering"/>
        <w:numPr>
          <w:ilvl w:val="0"/>
          <w:numId w:val="0"/>
        </w:numPr>
        <w:ind w:hanging="720"/>
      </w:pPr>
      <w:r w:rsidRPr="007A08C7">
        <w:rPr>
          <w:sz w:val="20"/>
        </w:rPr>
        <w:t>24</w:t>
      </w:r>
      <w:r w:rsidRPr="007A08C7">
        <w:rPr>
          <w:sz w:val="20"/>
        </w:rPr>
        <w:tab/>
      </w:r>
      <w:r w:rsidR="002F6875" w:rsidRPr="007A08C7">
        <w:t xml:space="preserve">Other </w:t>
      </w:r>
      <w:r w:rsidR="002F6875" w:rsidRPr="005A4E20">
        <w:t>botulinum toxin</w:t>
      </w:r>
      <w:r w:rsidR="002F6875" w:rsidRPr="007A08C7">
        <w:t xml:space="preserve"> type A products with therapeutic and cosmetic indications similar to Botox are available in Australia (and overseas), including a product sold under the trade mark DYSPORT manufactured by Ipsen Biopharm Ltd and another under the trade mark XEOMIN manufactured by Merz Pharma GmbH &amp; Co.</w:t>
      </w:r>
      <w:r w:rsidR="007A3C1A">
        <w:t xml:space="preserve"> </w:t>
      </w:r>
      <w:r w:rsidR="007A3C1A" w:rsidRPr="007A3C1A">
        <w:t>KGaA</w:t>
      </w:r>
      <w:r w:rsidR="00350521">
        <w:t>.</w:t>
      </w:r>
      <w:r w:rsidR="002F6875" w:rsidRPr="007A08C7">
        <w:t xml:space="preserve"> </w:t>
      </w:r>
    </w:p>
    <w:p w14:paraId="18875C71" w14:textId="77777777" w:rsidR="00EE4D06" w:rsidRPr="007A08C7" w:rsidRDefault="00EE4D06" w:rsidP="00EE4D06">
      <w:pPr>
        <w:pStyle w:val="Heading2"/>
      </w:pPr>
      <w:bookmarkStart w:id="34" w:name="_Ref54701560"/>
      <w:r w:rsidRPr="007A08C7">
        <w:t>The respondents, their products and their trade marks</w:t>
      </w:r>
      <w:bookmarkEnd w:id="34"/>
    </w:p>
    <w:p w14:paraId="1BF20A68" w14:textId="72C18518" w:rsidR="00EE4D06" w:rsidRDefault="001E3C6B" w:rsidP="001E3C6B">
      <w:pPr>
        <w:pStyle w:val="ParaNumbering"/>
        <w:numPr>
          <w:ilvl w:val="0"/>
          <w:numId w:val="0"/>
        </w:numPr>
        <w:ind w:hanging="720"/>
      </w:pPr>
      <w:r>
        <w:rPr>
          <w:sz w:val="20"/>
        </w:rPr>
        <w:t>25</w:t>
      </w:r>
      <w:r>
        <w:rPr>
          <w:sz w:val="20"/>
        </w:rPr>
        <w:tab/>
      </w:r>
      <w:r w:rsidR="00EE4D06" w:rsidRPr="007A08C7">
        <w:rPr>
          <w:b/>
        </w:rPr>
        <w:t>Self Care IP</w:t>
      </w:r>
      <w:r w:rsidR="00EE4D06" w:rsidRPr="007A08C7">
        <w:t xml:space="preserve"> Holdings Pty Ltd and </w:t>
      </w:r>
      <w:r w:rsidR="00EE4D06" w:rsidRPr="007A08C7">
        <w:rPr>
          <w:b/>
        </w:rPr>
        <w:t>Self Care Corp</w:t>
      </w:r>
      <w:r w:rsidR="00EE4D06" w:rsidRPr="007A08C7">
        <w:t xml:space="preserve">oration Pty Ltd are companies incorporated in Australia.  When it is not relevant to distinguish between them, I shall refer to them together </w:t>
      </w:r>
      <w:r w:rsidR="00EE4D06">
        <w:t xml:space="preserve">simply </w:t>
      </w:r>
      <w:r w:rsidR="00EE4D06" w:rsidRPr="007A08C7">
        <w:t xml:space="preserve">as </w:t>
      </w:r>
      <w:r w:rsidR="00EE4D06" w:rsidRPr="007A08C7">
        <w:rPr>
          <w:b/>
        </w:rPr>
        <w:t>Self Care</w:t>
      </w:r>
      <w:r w:rsidR="00EE4D06" w:rsidRPr="007A08C7">
        <w:t>.  Ms Sonia Amoroso, the third respondent, is a citizen and resident of Australia.  Since 24 November 2008, Ms Amoroso has been the sole director and secretary of Self Care IP.  Since 14 July 2008, Ms Amoroso has been the sole director and secretary of Self Care Corp.</w:t>
      </w:r>
      <w:r w:rsidR="00EE4D06">
        <w:t xml:space="preserve"> </w:t>
      </w:r>
    </w:p>
    <w:p w14:paraId="2F8609D4" w14:textId="69155743" w:rsidR="00192AE1" w:rsidRPr="00192AE1" w:rsidRDefault="001E3C6B" w:rsidP="001E3C6B">
      <w:pPr>
        <w:pStyle w:val="ParaNumbering"/>
        <w:numPr>
          <w:ilvl w:val="0"/>
          <w:numId w:val="0"/>
        </w:numPr>
        <w:ind w:hanging="720"/>
      </w:pPr>
      <w:r w:rsidRPr="00192AE1">
        <w:rPr>
          <w:sz w:val="20"/>
        </w:rPr>
        <w:t>26</w:t>
      </w:r>
      <w:r w:rsidRPr="00192AE1">
        <w:rPr>
          <w:sz w:val="20"/>
        </w:rPr>
        <w:tab/>
      </w:r>
      <w:r w:rsidR="00192AE1" w:rsidRPr="00192AE1">
        <w:t>Ms Amoroso</w:t>
      </w:r>
      <w:r w:rsidR="00192AE1">
        <w:t xml:space="preserve"> was Self Care’s principal witness.  She deposed to several affidavits which were read as her evidence in chief, and she was cross-examined for approximately two days.  She was a careful witness, by which I mean she was cautious not to be caught out or to give matters away in cross-examination; she required that the questions put to her be clear and understandable by her.  I did not get the impression that she was trying particularly to assist the Court, but I also did not get the impression that she was dishonest in her answers.  I accept her evidence as honest and, for the most part, as accurately reflecting the facts as they occurred.  Where I have</w:t>
      </w:r>
      <w:r w:rsidR="000D0359">
        <w:t xml:space="preserve"> reservations </w:t>
      </w:r>
      <w:r w:rsidR="00192AE1">
        <w:t>as to the reliability of her evidence, I will address those directly.  I otherwise accept her evidence.</w:t>
      </w:r>
    </w:p>
    <w:p w14:paraId="4433DFE2" w14:textId="151F33DD" w:rsidR="00EE4D06" w:rsidRPr="007A08C7" w:rsidRDefault="001E3C6B" w:rsidP="001E3C6B">
      <w:pPr>
        <w:pStyle w:val="ParaNumbering"/>
        <w:numPr>
          <w:ilvl w:val="0"/>
          <w:numId w:val="0"/>
        </w:numPr>
        <w:ind w:hanging="720"/>
      </w:pPr>
      <w:r w:rsidRPr="007A08C7">
        <w:rPr>
          <w:sz w:val="20"/>
        </w:rPr>
        <w:t>27</w:t>
      </w:r>
      <w:r w:rsidRPr="007A08C7">
        <w:rPr>
          <w:sz w:val="20"/>
        </w:rPr>
        <w:tab/>
      </w:r>
      <w:r w:rsidR="00EE4D06" w:rsidRPr="007A08C7">
        <w:t>Ms Amoroso founded the Self Care business in about 2008.  Self Care supplies cosmetic products, including, in particular, topical anti-wrinkle skincare products under the trade mark FREEZEFRAME.</w:t>
      </w:r>
    </w:p>
    <w:p w14:paraId="1520C116" w14:textId="7F1649EE" w:rsidR="00080EB2" w:rsidRDefault="001E3C6B" w:rsidP="001E3C6B">
      <w:pPr>
        <w:pStyle w:val="ParaNumbering"/>
        <w:numPr>
          <w:ilvl w:val="0"/>
          <w:numId w:val="0"/>
        </w:numPr>
        <w:ind w:hanging="720"/>
      </w:pPr>
      <w:r>
        <w:rPr>
          <w:sz w:val="20"/>
        </w:rPr>
        <w:lastRenderedPageBreak/>
        <w:t>28</w:t>
      </w:r>
      <w:r>
        <w:rPr>
          <w:sz w:val="20"/>
        </w:rPr>
        <w:tab/>
      </w:r>
      <w:r w:rsidR="00226028">
        <w:t xml:space="preserve">Ms Amoroso came up with the FREEZEFRAME brand and decided that it would be used as an umbrella brand and that various products would form part of the brand.  </w:t>
      </w:r>
      <w:r w:rsidR="00080EB2">
        <w:t xml:space="preserve">With the </w:t>
      </w:r>
      <w:r w:rsidR="006359D7">
        <w:t>Freezeframe</w:t>
      </w:r>
      <w:r w:rsidR="00080EB2">
        <w:t xml:space="preserve"> products, Ms Amoroso was interested in developing products that could be used as an alternative to botulinum toxin injections.  </w:t>
      </w:r>
    </w:p>
    <w:p w14:paraId="249C369F" w14:textId="59ED48FF" w:rsidR="00EE4D06" w:rsidRPr="007A08C7" w:rsidRDefault="001E3C6B" w:rsidP="001E3C6B">
      <w:pPr>
        <w:pStyle w:val="ParaNumbering"/>
        <w:numPr>
          <w:ilvl w:val="0"/>
          <w:numId w:val="0"/>
        </w:numPr>
        <w:ind w:hanging="720"/>
      </w:pPr>
      <w:r w:rsidRPr="007A08C7">
        <w:rPr>
          <w:sz w:val="20"/>
        </w:rPr>
        <w:t>29</w:t>
      </w:r>
      <w:r w:rsidRPr="007A08C7">
        <w:rPr>
          <w:sz w:val="20"/>
        </w:rPr>
        <w:tab/>
      </w:r>
      <w:r w:rsidR="00EE4D06" w:rsidRPr="007A08C7">
        <w:t>Self Care</w:t>
      </w:r>
      <w:r w:rsidR="00EE4D06">
        <w:t>’</w:t>
      </w:r>
      <w:r w:rsidR="00EE4D06" w:rsidRPr="007A08C7">
        <w:t xml:space="preserve">s first flagship product was called </w:t>
      </w:r>
      <w:r w:rsidR="006359D7">
        <w:t>Freezeframe w</w:t>
      </w:r>
      <w:r w:rsidR="006359D7" w:rsidRPr="007A08C7">
        <w:t>ith</w:t>
      </w:r>
      <w:r w:rsidR="00EE4D06" w:rsidRPr="007A08C7">
        <w:t xml:space="preserve"> </w:t>
      </w:r>
      <w:r w:rsidR="00BC42A4" w:rsidRPr="007A08C7">
        <w:t>Inhibox</w:t>
      </w:r>
      <w:r w:rsidR="00EE4D06" w:rsidRPr="007A08C7">
        <w:t xml:space="preserve"> which was launched in</w:t>
      </w:r>
      <w:r w:rsidR="00EE4D06">
        <w:t xml:space="preserve"> July 2009. </w:t>
      </w:r>
      <w:r w:rsidR="00C07F61">
        <w:t xml:space="preserve"> </w:t>
      </w:r>
      <w:r w:rsidR="00EE4D06">
        <w:t>The</w:t>
      </w:r>
      <w:r w:rsidR="00EE4D06" w:rsidRPr="007A08C7">
        <w:t xml:space="preserve"> product </w:t>
      </w:r>
      <w:r w:rsidR="00EE4D06">
        <w:t>enjoyed significant retail success</w:t>
      </w:r>
      <w:r w:rsidR="00EE4D06" w:rsidRPr="007A08C7">
        <w:t>.</w:t>
      </w:r>
    </w:p>
    <w:p w14:paraId="17E82C22" w14:textId="55F2AD40" w:rsidR="00EE4D06" w:rsidRPr="007A08C7" w:rsidRDefault="001E3C6B" w:rsidP="001E3C6B">
      <w:pPr>
        <w:pStyle w:val="ParaNumbering"/>
        <w:numPr>
          <w:ilvl w:val="0"/>
          <w:numId w:val="0"/>
        </w:numPr>
        <w:ind w:hanging="720"/>
      </w:pPr>
      <w:r w:rsidRPr="007A08C7">
        <w:rPr>
          <w:sz w:val="20"/>
        </w:rPr>
        <w:t>30</w:t>
      </w:r>
      <w:r w:rsidRPr="007A08C7">
        <w:rPr>
          <w:sz w:val="20"/>
        </w:rPr>
        <w:tab/>
      </w:r>
      <w:r w:rsidR="00EE4D06" w:rsidRPr="007A08C7">
        <w:t>Over</w:t>
      </w:r>
      <w:r w:rsidR="00350521">
        <w:t xml:space="preserve"> </w:t>
      </w:r>
      <w:r w:rsidR="00EE4D06" w:rsidRPr="007A08C7">
        <w:t>subsequent years, Self Care</w:t>
      </w:r>
      <w:r w:rsidR="000D0359">
        <w:t xml:space="preserve"> became </w:t>
      </w:r>
      <w:r w:rsidR="00EE4D06" w:rsidRPr="007A08C7">
        <w:t xml:space="preserve">an award-winning and successful Australian business by reference to the FREEZEFRAME brand.  </w:t>
      </w:r>
      <w:r w:rsidR="00226028">
        <w:t>Over time, more than 30 products were developed and sold under that brand</w:t>
      </w:r>
      <w:r w:rsidR="00EE4D06" w:rsidRPr="007A08C7">
        <w:t>, including five that are the subject of these proceedings.  Each is dealt with in detail below</w:t>
      </w:r>
      <w:r w:rsidR="000D0359">
        <w:t xml:space="preserve"> (at [</w:t>
      </w:r>
      <w:r w:rsidR="000D0359">
        <w:fldChar w:fldCharType="begin" w:fldLock="1"/>
      </w:r>
      <w:r w:rsidR="000D0359">
        <w:instrText xml:space="preserve"> REF _Ref54198678 \r \h </w:instrText>
      </w:r>
      <w:r w:rsidR="000D0359">
        <w:fldChar w:fldCharType="separate"/>
      </w:r>
      <w:r w:rsidR="00756FCE">
        <w:t>62</w:t>
      </w:r>
      <w:r w:rsidR="000D0359">
        <w:fldChar w:fldCharType="end"/>
      </w:r>
      <w:r w:rsidR="000D0359">
        <w:t>]-[</w:t>
      </w:r>
      <w:r w:rsidR="000D0359">
        <w:fldChar w:fldCharType="begin" w:fldLock="1"/>
      </w:r>
      <w:r w:rsidR="000D0359">
        <w:instrText xml:space="preserve"> REF _Ref54198695 \r \h </w:instrText>
      </w:r>
      <w:r w:rsidR="000D0359">
        <w:fldChar w:fldCharType="separate"/>
      </w:r>
      <w:r w:rsidR="00756FCE">
        <w:t>106</w:t>
      </w:r>
      <w:r w:rsidR="000D0359">
        <w:fldChar w:fldCharType="end"/>
      </w:r>
      <w:r w:rsidR="000D0359">
        <w:t>])</w:t>
      </w:r>
      <w:r w:rsidR="00EE4D06" w:rsidRPr="007A08C7">
        <w:t>.</w:t>
      </w:r>
    </w:p>
    <w:p w14:paraId="40F1DAEF" w14:textId="0513716A" w:rsidR="00EE4D06" w:rsidRPr="007A08C7" w:rsidRDefault="001E3C6B" w:rsidP="001E3C6B">
      <w:pPr>
        <w:pStyle w:val="ParaNumbering"/>
        <w:numPr>
          <w:ilvl w:val="0"/>
          <w:numId w:val="0"/>
        </w:numPr>
        <w:ind w:hanging="720"/>
      </w:pPr>
      <w:r w:rsidRPr="007A08C7">
        <w:rPr>
          <w:sz w:val="20"/>
        </w:rPr>
        <w:t>31</w:t>
      </w:r>
      <w:r w:rsidRPr="007A08C7">
        <w:rPr>
          <w:sz w:val="20"/>
        </w:rPr>
        <w:tab/>
      </w:r>
      <w:r w:rsidR="00EE4D06" w:rsidRPr="007A08C7">
        <w:t xml:space="preserve">Since at least October 2014, Self Care Corp has been the registered owner of the domain name </w:t>
      </w:r>
      <w:r w:rsidR="00EE4D06" w:rsidRPr="007A08C7">
        <w:rPr>
          <w:u w:val="single"/>
        </w:rPr>
        <w:t>www.freeze-frame.com.au</w:t>
      </w:r>
      <w:r w:rsidR="00EE4D06" w:rsidRPr="007A08C7">
        <w:t xml:space="preserve"> (</w:t>
      </w:r>
      <w:r w:rsidR="00EE4D06" w:rsidRPr="007A08C7">
        <w:rPr>
          <w:b/>
        </w:rPr>
        <w:t>Freezeframe website</w:t>
      </w:r>
      <w:r w:rsidR="00EE4D06" w:rsidRPr="007A08C7">
        <w:t>), which it use</w:t>
      </w:r>
      <w:r w:rsidR="00EE4D06">
        <w:t>s</w:t>
      </w:r>
      <w:r w:rsidR="00EE4D06" w:rsidRPr="007A08C7">
        <w:t xml:space="preserve"> to promote its Freezeframe range of products. </w:t>
      </w:r>
    </w:p>
    <w:p w14:paraId="1968E0B6" w14:textId="00C79E60" w:rsidR="00EE4D06" w:rsidRPr="007A08C7" w:rsidRDefault="001E3C6B" w:rsidP="001E3C6B">
      <w:pPr>
        <w:pStyle w:val="ParaNumbering"/>
        <w:numPr>
          <w:ilvl w:val="0"/>
          <w:numId w:val="0"/>
        </w:numPr>
        <w:ind w:hanging="720"/>
      </w:pPr>
      <w:r w:rsidRPr="007A08C7">
        <w:rPr>
          <w:sz w:val="20"/>
        </w:rPr>
        <w:t>32</w:t>
      </w:r>
      <w:r w:rsidRPr="007A08C7">
        <w:rPr>
          <w:sz w:val="20"/>
        </w:rPr>
        <w:tab/>
      </w:r>
      <w:r w:rsidR="00EE4D06" w:rsidRPr="007A08C7">
        <w:t xml:space="preserve">Since at least July 2015, Self Care Corp has been the registered owner of the domain name </w:t>
      </w:r>
      <w:r w:rsidR="00EE4D06" w:rsidRPr="007A08C7">
        <w:rPr>
          <w:u w:val="single"/>
        </w:rPr>
        <w:t>www.self-care.net.au</w:t>
      </w:r>
      <w:r w:rsidR="00EE4D06" w:rsidRPr="007A08C7">
        <w:t xml:space="preserve"> (</w:t>
      </w:r>
      <w:r w:rsidR="00EE4D06" w:rsidRPr="007A08C7">
        <w:rPr>
          <w:b/>
        </w:rPr>
        <w:t>Self Care website</w:t>
      </w:r>
      <w:r w:rsidR="00EE4D06" w:rsidRPr="007A08C7">
        <w:t xml:space="preserve">).  Since at least around August 2017, the Self Care website has automatically redirected to the Freezeframe website. </w:t>
      </w:r>
    </w:p>
    <w:p w14:paraId="67817072" w14:textId="55DFAB9E" w:rsidR="00EE4D06" w:rsidRPr="007A08C7" w:rsidRDefault="001E3C6B" w:rsidP="001E3C6B">
      <w:pPr>
        <w:pStyle w:val="ParaNumbering"/>
        <w:numPr>
          <w:ilvl w:val="0"/>
          <w:numId w:val="0"/>
        </w:numPr>
        <w:ind w:hanging="720"/>
      </w:pPr>
      <w:r w:rsidRPr="007A08C7">
        <w:rPr>
          <w:sz w:val="20"/>
        </w:rPr>
        <w:t>33</w:t>
      </w:r>
      <w:r w:rsidRPr="007A08C7">
        <w:rPr>
          <w:sz w:val="20"/>
        </w:rPr>
        <w:tab/>
      </w:r>
      <w:r w:rsidR="00EE4D06" w:rsidRPr="007A08C7">
        <w:t xml:space="preserve">In October 2014, Self Care IP lodged an application to the Australian Trade Marks Office to register the trade mark </w:t>
      </w:r>
      <w:r w:rsidR="00350521">
        <w:t xml:space="preserve">FREEZEFRAME </w:t>
      </w:r>
      <w:r w:rsidR="00EE4D06" w:rsidRPr="007A08C7">
        <w:t xml:space="preserve">PROTOX.  The goods and services in respect of which the </w:t>
      </w:r>
      <w:r w:rsidR="00CA17E5">
        <w:t>FREEZEFRAME</w:t>
      </w:r>
      <w:r w:rsidR="00CA17E5" w:rsidRPr="007A08C7">
        <w:t xml:space="preserve"> </w:t>
      </w:r>
      <w:r w:rsidR="00EE4D06" w:rsidRPr="007A08C7">
        <w:t xml:space="preserve">PROTOX trade mark is applied for are </w:t>
      </w:r>
      <w:r w:rsidR="00EE4D06">
        <w:t>“</w:t>
      </w:r>
      <w:r w:rsidR="00EE4D06" w:rsidRPr="007A08C7">
        <w:t>anti-ageing serum, anti-wrinkle serum</w:t>
      </w:r>
      <w:r w:rsidR="00EE4D06">
        <w:t>”</w:t>
      </w:r>
      <w:r w:rsidR="00EE4D06" w:rsidRPr="007A08C7">
        <w:t xml:space="preserve"> in class 3. </w:t>
      </w:r>
    </w:p>
    <w:p w14:paraId="6BC3A672" w14:textId="3C6A522F" w:rsidR="00EE4D06" w:rsidRDefault="001E3C6B" w:rsidP="001E3C6B">
      <w:pPr>
        <w:pStyle w:val="ParaNumbering"/>
        <w:numPr>
          <w:ilvl w:val="0"/>
          <w:numId w:val="0"/>
        </w:numPr>
        <w:ind w:hanging="720"/>
      </w:pPr>
      <w:r>
        <w:rPr>
          <w:sz w:val="20"/>
        </w:rPr>
        <w:t>34</w:t>
      </w:r>
      <w:r>
        <w:rPr>
          <w:sz w:val="20"/>
        </w:rPr>
        <w:tab/>
      </w:r>
      <w:r w:rsidR="00EE4D06" w:rsidRPr="007A08C7">
        <w:t>Allergan opposed the registration of the mark, but that opposition was dismissed by a decision of a delegate of the Registrar of Trade Marks on 19 September 2017.  That decision is the subject of the appeal in proceeding NSD1802/2017 referred to below</w:t>
      </w:r>
      <w:r w:rsidR="000D0359">
        <w:t xml:space="preserve"> (at [</w:t>
      </w:r>
      <w:r w:rsidR="000D0359">
        <w:fldChar w:fldCharType="begin" w:fldLock="1"/>
      </w:r>
      <w:r w:rsidR="000D0359">
        <w:instrText xml:space="preserve"> REF _Ref54198748 \r \h </w:instrText>
      </w:r>
      <w:r w:rsidR="000D0359">
        <w:fldChar w:fldCharType="separate"/>
      </w:r>
      <w:r w:rsidR="00756FCE">
        <w:t>340</w:t>
      </w:r>
      <w:r w:rsidR="000D0359">
        <w:fldChar w:fldCharType="end"/>
      </w:r>
      <w:r w:rsidR="000D0359">
        <w:t>]-[</w:t>
      </w:r>
      <w:r w:rsidR="000D0359">
        <w:fldChar w:fldCharType="begin" w:fldLock="1"/>
      </w:r>
      <w:r w:rsidR="000D0359">
        <w:instrText xml:space="preserve"> REF _Ref54198761 \r \h </w:instrText>
      </w:r>
      <w:r w:rsidR="000D0359">
        <w:fldChar w:fldCharType="separate"/>
      </w:r>
      <w:r w:rsidR="00756FCE">
        <w:t>413</w:t>
      </w:r>
      <w:r w:rsidR="000D0359">
        <w:fldChar w:fldCharType="end"/>
      </w:r>
      <w:r w:rsidR="000D0359">
        <w:t>])</w:t>
      </w:r>
      <w:r w:rsidR="00EE4D06" w:rsidRPr="007A08C7">
        <w:t>.</w:t>
      </w:r>
    </w:p>
    <w:p w14:paraId="4BD545DF" w14:textId="5A5650E5" w:rsidR="00EE4D06" w:rsidRPr="007A08C7" w:rsidRDefault="001E3C6B" w:rsidP="001E3C6B">
      <w:pPr>
        <w:pStyle w:val="ParaNumbering"/>
        <w:numPr>
          <w:ilvl w:val="0"/>
          <w:numId w:val="0"/>
        </w:numPr>
        <w:ind w:hanging="720"/>
      </w:pPr>
      <w:r w:rsidRPr="007A08C7">
        <w:rPr>
          <w:sz w:val="20"/>
        </w:rPr>
        <w:t>35</w:t>
      </w:r>
      <w:r w:rsidRPr="007A08C7">
        <w:rPr>
          <w:sz w:val="20"/>
        </w:rPr>
        <w:tab/>
      </w:r>
      <w:r w:rsidR="00EE4D06">
        <w:t xml:space="preserve">Self Care has a number of other trade marks that are either registered or pending registration, each of which has the word </w:t>
      </w:r>
      <w:r w:rsidR="00350521">
        <w:t>FREEZEFRAME</w:t>
      </w:r>
      <w:r w:rsidR="00EE4D06">
        <w:t xml:space="preserve"> followed by a particular product name.  These trade</w:t>
      </w:r>
      <w:r w:rsidR="006A1B00">
        <w:t xml:space="preserve"> </w:t>
      </w:r>
      <w:r w:rsidR="00EE4D06">
        <w:t xml:space="preserve">marks thus, relevantly, include </w:t>
      </w:r>
      <w:r w:rsidR="00350521">
        <w:t xml:space="preserve">FREEZEFRAME </w:t>
      </w:r>
      <w:r w:rsidR="00EE4D06">
        <w:t xml:space="preserve">NIGHT and </w:t>
      </w:r>
      <w:r w:rsidR="00350521">
        <w:t xml:space="preserve">FREEZEFRAME </w:t>
      </w:r>
      <w:r w:rsidR="00EE4D06">
        <w:t>BOOST.</w:t>
      </w:r>
    </w:p>
    <w:p w14:paraId="4FE64990" w14:textId="77777777" w:rsidR="00EE4D06" w:rsidRPr="007A08C7" w:rsidRDefault="00EE4D06" w:rsidP="00EE4D06">
      <w:pPr>
        <w:pStyle w:val="Heading2"/>
      </w:pPr>
      <w:bookmarkStart w:id="35" w:name="_Ref34128799"/>
      <w:r w:rsidRPr="007A08C7">
        <w:t>The proceedings</w:t>
      </w:r>
      <w:bookmarkEnd w:id="35"/>
    </w:p>
    <w:p w14:paraId="50A0F313" w14:textId="69937E04" w:rsidR="00EE4D06" w:rsidRPr="007A08C7" w:rsidRDefault="001E3C6B" w:rsidP="001E3C6B">
      <w:pPr>
        <w:pStyle w:val="ParaNumbering"/>
        <w:numPr>
          <w:ilvl w:val="0"/>
          <w:numId w:val="0"/>
        </w:numPr>
        <w:ind w:hanging="720"/>
      </w:pPr>
      <w:r w:rsidRPr="007A08C7">
        <w:rPr>
          <w:sz w:val="20"/>
        </w:rPr>
        <w:t>36</w:t>
      </w:r>
      <w:r w:rsidRPr="007A08C7">
        <w:rPr>
          <w:sz w:val="20"/>
        </w:rPr>
        <w:tab/>
      </w:r>
      <w:r w:rsidR="00EE4D06" w:rsidRPr="007A08C7">
        <w:t xml:space="preserve">There are two proceedings that were heard together.  There were orders that the evidence in one proceeding </w:t>
      </w:r>
      <w:r w:rsidR="00A31EA1">
        <w:t>is</w:t>
      </w:r>
      <w:r w:rsidR="00EE4D06" w:rsidRPr="007A08C7">
        <w:t xml:space="preserve"> evidence in the other.</w:t>
      </w:r>
    </w:p>
    <w:p w14:paraId="499A10F8" w14:textId="029A03E1" w:rsidR="00EE4D06" w:rsidRPr="007A08C7" w:rsidRDefault="001E3C6B" w:rsidP="001E3C6B">
      <w:pPr>
        <w:pStyle w:val="ParaNumbering"/>
        <w:numPr>
          <w:ilvl w:val="0"/>
          <w:numId w:val="0"/>
        </w:numPr>
        <w:ind w:hanging="720"/>
      </w:pPr>
      <w:r w:rsidRPr="007A08C7">
        <w:rPr>
          <w:sz w:val="20"/>
        </w:rPr>
        <w:lastRenderedPageBreak/>
        <w:t>37</w:t>
      </w:r>
      <w:r w:rsidRPr="007A08C7">
        <w:rPr>
          <w:sz w:val="20"/>
        </w:rPr>
        <w:tab/>
      </w:r>
      <w:r w:rsidR="00EE4D06" w:rsidRPr="007A08C7">
        <w:t>The parties helpfully agreed a detailed statement of facts which constitutes a substratum of common ground facts which has to be</w:t>
      </w:r>
      <w:r w:rsidR="00EE4D06">
        <w:t xml:space="preserve"> supplemented </w:t>
      </w:r>
      <w:r w:rsidR="00EE4D06" w:rsidRPr="007A08C7">
        <w:t xml:space="preserve">by factual findings.  In that respect, four factual witnesses were cross-examined and two expert witnesses gave evidence concurrently during the course of which they were also cross-examined.  </w:t>
      </w:r>
      <w:r w:rsidR="00EE4D06" w:rsidRPr="006A1B00">
        <w:t>There was evidence from several other witnesses, by way of affidavit, who were not required for cross-examination.</w:t>
      </w:r>
    </w:p>
    <w:p w14:paraId="3689D79B" w14:textId="77777777" w:rsidR="00EE4D06" w:rsidRPr="007A08C7" w:rsidRDefault="00EE4D06" w:rsidP="00EE4D06">
      <w:pPr>
        <w:pStyle w:val="Heading3"/>
      </w:pPr>
      <w:bookmarkStart w:id="36" w:name="_Ref54701561"/>
      <w:r w:rsidRPr="007A08C7">
        <w:t>NSD15/2017</w:t>
      </w:r>
      <w:bookmarkEnd w:id="36"/>
    </w:p>
    <w:p w14:paraId="61212328" w14:textId="1BFAE118" w:rsidR="00EE4D06" w:rsidRPr="007A08C7" w:rsidRDefault="001E3C6B" w:rsidP="001E3C6B">
      <w:pPr>
        <w:pStyle w:val="ParaNumbering"/>
        <w:numPr>
          <w:ilvl w:val="0"/>
          <w:numId w:val="0"/>
        </w:numPr>
        <w:ind w:hanging="720"/>
      </w:pPr>
      <w:r w:rsidRPr="007A08C7">
        <w:rPr>
          <w:sz w:val="20"/>
        </w:rPr>
        <w:t>38</w:t>
      </w:r>
      <w:r w:rsidRPr="007A08C7">
        <w:rPr>
          <w:sz w:val="20"/>
        </w:rPr>
        <w:tab/>
      </w:r>
      <w:r w:rsidR="00EE4D06" w:rsidRPr="007A08C7">
        <w:t>In proceeding NSD15/2017, Allergan Australia is the first applicant and Allergan Inc is the second applicant.  Self Care IP is the first respondent, Self Care Corp is the second respondent, and Ms Amoroso is the third respondent.</w:t>
      </w:r>
    </w:p>
    <w:p w14:paraId="4F4EAB2B" w14:textId="3788F3B9" w:rsidR="00EE4D06" w:rsidRPr="007A08C7" w:rsidRDefault="001E3C6B" w:rsidP="001E3C6B">
      <w:pPr>
        <w:pStyle w:val="ParaNumbering"/>
        <w:numPr>
          <w:ilvl w:val="0"/>
          <w:numId w:val="0"/>
        </w:numPr>
        <w:ind w:hanging="720"/>
      </w:pPr>
      <w:r w:rsidRPr="007A08C7">
        <w:rPr>
          <w:sz w:val="20"/>
        </w:rPr>
        <w:t>39</w:t>
      </w:r>
      <w:r w:rsidRPr="007A08C7">
        <w:rPr>
          <w:sz w:val="20"/>
        </w:rPr>
        <w:tab/>
      </w:r>
      <w:r w:rsidR="00EE4D06" w:rsidRPr="007A08C7">
        <w:t xml:space="preserve">Allergan claims that Self Care: </w:t>
      </w:r>
    </w:p>
    <w:p w14:paraId="18097135" w14:textId="4D00ECCB" w:rsidR="00EE4D06" w:rsidRPr="007A08C7" w:rsidRDefault="001E3C6B" w:rsidP="001E3C6B">
      <w:pPr>
        <w:pStyle w:val="ListNo1"/>
        <w:numPr>
          <w:ilvl w:val="0"/>
          <w:numId w:val="0"/>
        </w:numPr>
        <w:tabs>
          <w:tab w:val="left" w:pos="720"/>
        </w:tabs>
        <w:ind w:left="720" w:hanging="720"/>
      </w:pPr>
      <w:r w:rsidRPr="007A08C7">
        <w:t>(1)</w:t>
      </w:r>
      <w:r w:rsidRPr="007A08C7">
        <w:tab/>
      </w:r>
      <w:r w:rsidR="00EE4D06" w:rsidRPr="007A08C7">
        <w:t>has infringed the BOTOX registered trade marks by use of the word BOTOX in various forms (including, e.g.</w:t>
      </w:r>
      <w:r w:rsidR="00E27101">
        <w:t>,</w:t>
      </w:r>
      <w:r w:rsidR="00EE4D06" w:rsidRPr="007A08C7">
        <w:t xml:space="preserve"> </w:t>
      </w:r>
      <w:r w:rsidR="00EE4D06">
        <w:t>“</w:t>
      </w:r>
      <w:r w:rsidR="00EE4D06" w:rsidRPr="007A08C7">
        <w:t xml:space="preserve">instant </w:t>
      </w:r>
      <w:r w:rsidR="00E27101" w:rsidRPr="007A08C7">
        <w:t>Botox</w:t>
      </w:r>
      <w:r w:rsidR="00EE4D06" w:rsidRPr="007A08C7">
        <w:t xml:space="preserve"> alternative</w:t>
      </w:r>
      <w:r w:rsidR="00EE4D06">
        <w:t>”</w:t>
      </w:r>
      <w:r w:rsidR="00EE4D06" w:rsidRPr="007A08C7">
        <w:t xml:space="preserve">, </w:t>
      </w:r>
      <w:r w:rsidR="00EE4D06">
        <w:t>“</w:t>
      </w:r>
      <w:r w:rsidR="00EE4D06" w:rsidRPr="007A08C7">
        <w:t xml:space="preserve">overnight </w:t>
      </w:r>
      <w:r w:rsidR="00E27101" w:rsidRPr="007A08C7">
        <w:t>Botox</w:t>
      </w:r>
      <w:r w:rsidR="00EE4D06" w:rsidRPr="007A08C7">
        <w:t xml:space="preserve"> alternative</w:t>
      </w:r>
      <w:r w:rsidR="00EE4D06">
        <w:t>”</w:t>
      </w:r>
      <w:r w:rsidR="00EE4D06" w:rsidRPr="007A08C7">
        <w:t xml:space="preserve"> and </w:t>
      </w:r>
      <w:r w:rsidR="00EE4D06">
        <w:t>“</w:t>
      </w:r>
      <w:r w:rsidR="00EE4D06" w:rsidRPr="007A08C7">
        <w:t xml:space="preserve">long term </w:t>
      </w:r>
      <w:r w:rsidR="00E27101" w:rsidRPr="007A08C7">
        <w:t>Botox</w:t>
      </w:r>
      <w:r w:rsidR="00EE4D06" w:rsidRPr="007A08C7">
        <w:t xml:space="preserve"> alternative</w:t>
      </w:r>
      <w:r w:rsidR="00EE4D06">
        <w:t>”</w:t>
      </w:r>
      <w:r w:rsidR="00EE4D06" w:rsidRPr="007A08C7">
        <w:t xml:space="preserve">) on the Freezeframe products and packaging, as well as in promotion and advertising contrary to the </w:t>
      </w:r>
      <w:r w:rsidR="00EE4D06" w:rsidRPr="007A08C7">
        <w:rPr>
          <w:i/>
          <w:iCs/>
        </w:rPr>
        <w:t xml:space="preserve">Trade Marks Act 1995 </w:t>
      </w:r>
      <w:r w:rsidR="00EE4D06" w:rsidRPr="007A08C7">
        <w:t>(Cth) (</w:t>
      </w:r>
      <w:r w:rsidR="00EE4D06" w:rsidRPr="007A08C7">
        <w:rPr>
          <w:b/>
          <w:bCs/>
        </w:rPr>
        <w:t>TM Act</w:t>
      </w:r>
      <w:r w:rsidR="00EE4D06" w:rsidRPr="007A08C7">
        <w:t>)</w:t>
      </w:r>
      <w:r w:rsidR="00157C19">
        <w:t xml:space="preserve">.  It also claims that use of the trade mark PROTOX </w:t>
      </w:r>
      <w:r w:rsidR="00A31EA1">
        <w:t xml:space="preserve">is deceptively similar to and </w:t>
      </w:r>
      <w:r w:rsidR="00157C19">
        <w:t>infringes the BOTOX mark</w:t>
      </w:r>
      <w:r w:rsidR="00EE4D06" w:rsidRPr="007A08C7">
        <w:t xml:space="preserve">; </w:t>
      </w:r>
    </w:p>
    <w:p w14:paraId="3D48B6E6" w14:textId="56F34091" w:rsidR="00EE4D06" w:rsidRPr="007A08C7" w:rsidRDefault="001E3C6B" w:rsidP="001E3C6B">
      <w:pPr>
        <w:pStyle w:val="ListNo1"/>
        <w:numPr>
          <w:ilvl w:val="0"/>
          <w:numId w:val="0"/>
        </w:numPr>
        <w:tabs>
          <w:tab w:val="left" w:pos="720"/>
        </w:tabs>
        <w:ind w:left="720" w:hanging="720"/>
      </w:pPr>
      <w:r w:rsidRPr="007A08C7">
        <w:t>(2)</w:t>
      </w:r>
      <w:r w:rsidRPr="007A08C7">
        <w:tab/>
      </w:r>
      <w:r w:rsidR="00EE4D06" w:rsidRPr="007A08C7">
        <w:t xml:space="preserve">has contravened the </w:t>
      </w:r>
      <w:r w:rsidR="00EE4D06" w:rsidRPr="00C23901">
        <w:rPr>
          <w:bCs/>
        </w:rPr>
        <w:t>ACL</w:t>
      </w:r>
      <w:r w:rsidR="00EE4D06" w:rsidRPr="007A08C7">
        <w:t xml:space="preserve"> by making representations of affiliation with the applicants or their Botox product (</w:t>
      </w:r>
      <w:r w:rsidR="00EE4D06" w:rsidRPr="00C23901">
        <w:rPr>
          <w:b/>
        </w:rPr>
        <w:t>the affiliation representations</w:t>
      </w:r>
      <w:r w:rsidR="00EE4D06" w:rsidRPr="007A08C7">
        <w:t>) and representations concerning the efficacy of the respondents</w:t>
      </w:r>
      <w:r w:rsidR="00EE4D06">
        <w:t>’</w:t>
      </w:r>
      <w:r w:rsidR="00EE4D06" w:rsidRPr="007A08C7">
        <w:t xml:space="preserve"> products (</w:t>
      </w:r>
      <w:r w:rsidR="00EE4D06" w:rsidRPr="00C23901">
        <w:rPr>
          <w:b/>
        </w:rPr>
        <w:t>the efficacy representations</w:t>
      </w:r>
      <w:r w:rsidR="00EE4D06" w:rsidRPr="007A08C7">
        <w:t xml:space="preserve">); </w:t>
      </w:r>
    </w:p>
    <w:p w14:paraId="299D7BAF" w14:textId="4B996638" w:rsidR="00EE4D06" w:rsidRPr="007A08C7" w:rsidRDefault="001E3C6B" w:rsidP="001E3C6B">
      <w:pPr>
        <w:pStyle w:val="ListNo1"/>
        <w:numPr>
          <w:ilvl w:val="0"/>
          <w:numId w:val="0"/>
        </w:numPr>
        <w:tabs>
          <w:tab w:val="left" w:pos="720"/>
        </w:tabs>
        <w:ind w:left="720" w:hanging="720"/>
      </w:pPr>
      <w:r w:rsidRPr="007A08C7">
        <w:t>(3)</w:t>
      </w:r>
      <w:r w:rsidRPr="007A08C7">
        <w:tab/>
      </w:r>
      <w:r w:rsidR="00EE4D06" w:rsidRPr="007A08C7">
        <w:t>has engaged in passing off; and</w:t>
      </w:r>
    </w:p>
    <w:p w14:paraId="199EB228" w14:textId="4E69CAE4" w:rsidR="00EE4D06" w:rsidRPr="007A08C7" w:rsidRDefault="001E3C6B" w:rsidP="001E3C6B">
      <w:pPr>
        <w:pStyle w:val="ListNo1"/>
        <w:numPr>
          <w:ilvl w:val="0"/>
          <w:numId w:val="0"/>
        </w:numPr>
        <w:tabs>
          <w:tab w:val="left" w:pos="720"/>
        </w:tabs>
        <w:ind w:left="720" w:hanging="720"/>
      </w:pPr>
      <w:r w:rsidRPr="007A08C7">
        <w:t>(4)</w:t>
      </w:r>
      <w:r w:rsidRPr="007A08C7">
        <w:tab/>
      </w:r>
      <w:r w:rsidR="00EE4D06" w:rsidRPr="007A08C7">
        <w:t xml:space="preserve">has infringed various sections of the </w:t>
      </w:r>
      <w:r w:rsidR="00EE4D06" w:rsidRPr="00A62253">
        <w:t>TG Act</w:t>
      </w:r>
      <w:r w:rsidR="00EE4D06" w:rsidRPr="007A08C7">
        <w:t xml:space="preserve">.  </w:t>
      </w:r>
    </w:p>
    <w:p w14:paraId="78256A3E" w14:textId="7A2DE9A8" w:rsidR="00EE4D06" w:rsidRPr="007A08C7" w:rsidRDefault="001E3C6B" w:rsidP="001E3C6B">
      <w:pPr>
        <w:pStyle w:val="ParaNumbering"/>
        <w:numPr>
          <w:ilvl w:val="0"/>
          <w:numId w:val="0"/>
        </w:numPr>
        <w:ind w:hanging="720"/>
      </w:pPr>
      <w:r w:rsidRPr="007A08C7">
        <w:rPr>
          <w:sz w:val="20"/>
        </w:rPr>
        <w:t>40</w:t>
      </w:r>
      <w:r w:rsidRPr="007A08C7">
        <w:rPr>
          <w:sz w:val="20"/>
        </w:rPr>
        <w:tab/>
      </w:r>
      <w:r w:rsidR="00EE4D06">
        <w:t>Allergan</w:t>
      </w:r>
      <w:r w:rsidR="00EE4D06" w:rsidRPr="007A08C7">
        <w:t xml:space="preserve"> contend</w:t>
      </w:r>
      <w:r w:rsidR="00EE4D06">
        <w:t>s</w:t>
      </w:r>
      <w:r w:rsidR="00EE4D06" w:rsidRPr="007A08C7">
        <w:t xml:space="preserve"> that Ms Amoroso authorised the infringements of the BOTOX marks, procured or entered into a common design as a joint tortfeasor with Self Care to infringe the BOTOX marks and to engage in passing off, and aided, abetted, counselled, or procured Self Care</w:t>
      </w:r>
      <w:r w:rsidR="00EE4D06">
        <w:t>’</w:t>
      </w:r>
      <w:r w:rsidR="00EE4D06" w:rsidRPr="007A08C7">
        <w:t xml:space="preserve">s conduct in contravention of the ACL.  </w:t>
      </w:r>
      <w:r w:rsidR="00EE4D06">
        <w:t>Allergan relies</w:t>
      </w:r>
      <w:r w:rsidR="00EE4D06" w:rsidRPr="007A08C7">
        <w:t xml:space="preserve"> on Ms Amoroso</w:t>
      </w:r>
      <w:r w:rsidR="00EE4D06">
        <w:t>’</w:t>
      </w:r>
      <w:r w:rsidR="00EE4D06" w:rsidRPr="007A08C7">
        <w:t>s close involvement in the creation, promotion, sale and offer for sale of Self Care</w:t>
      </w:r>
      <w:r w:rsidR="00EE4D06">
        <w:t>’</w:t>
      </w:r>
      <w:r w:rsidR="00EE4D06" w:rsidRPr="007A08C7">
        <w:t xml:space="preserve">s products.  </w:t>
      </w:r>
    </w:p>
    <w:p w14:paraId="4E69B1D3" w14:textId="15ABC840" w:rsidR="00EE4D06" w:rsidRPr="007A08C7" w:rsidRDefault="001E3C6B" w:rsidP="001E3C6B">
      <w:pPr>
        <w:pStyle w:val="ParaNumbering"/>
        <w:numPr>
          <w:ilvl w:val="0"/>
          <w:numId w:val="0"/>
        </w:numPr>
        <w:ind w:hanging="720"/>
      </w:pPr>
      <w:r w:rsidRPr="007A08C7">
        <w:rPr>
          <w:sz w:val="20"/>
        </w:rPr>
        <w:t>41</w:t>
      </w:r>
      <w:r w:rsidRPr="007A08C7">
        <w:rPr>
          <w:sz w:val="20"/>
        </w:rPr>
        <w:tab/>
      </w:r>
      <w:r w:rsidR="00EE4D06" w:rsidRPr="007A08C7">
        <w:t>In respect of the trade</w:t>
      </w:r>
      <w:r w:rsidR="006A1B00">
        <w:t xml:space="preserve"> </w:t>
      </w:r>
      <w:r w:rsidR="00EE4D06" w:rsidRPr="007A08C7">
        <w:t>mark infringement, ACL and passing</w:t>
      </w:r>
      <w:r w:rsidR="00E27101">
        <w:t xml:space="preserve"> </w:t>
      </w:r>
      <w:r w:rsidR="00EE4D06" w:rsidRPr="007A08C7">
        <w:t xml:space="preserve">off claims, </w:t>
      </w:r>
      <w:r w:rsidR="00EE4D06">
        <w:t>Allergan</w:t>
      </w:r>
      <w:r w:rsidR="00EE4D06" w:rsidRPr="007A08C7">
        <w:t xml:space="preserve"> seek</w:t>
      </w:r>
      <w:r w:rsidR="00EE4D06">
        <w:t>s</w:t>
      </w:r>
      <w:r w:rsidR="00EE4D06" w:rsidRPr="007A08C7">
        <w:t xml:space="preserve"> declarations, injunctions</w:t>
      </w:r>
      <w:r w:rsidR="002B6576">
        <w:t>, equitable compensation</w:t>
      </w:r>
      <w:r w:rsidR="00EE4D06" w:rsidRPr="007A08C7">
        <w:t xml:space="preserve"> and damages</w:t>
      </w:r>
      <w:r w:rsidR="002B6576">
        <w:t>, including exemplary damages,</w:t>
      </w:r>
      <w:r w:rsidR="00EE4D06" w:rsidRPr="007A08C7">
        <w:t xml:space="preserve"> or an account of profits.  In respect of the trade</w:t>
      </w:r>
      <w:r w:rsidR="006A1B00">
        <w:t xml:space="preserve"> </w:t>
      </w:r>
      <w:r w:rsidR="00EE4D06" w:rsidRPr="007A08C7">
        <w:t xml:space="preserve">mark infringement claim, </w:t>
      </w:r>
      <w:r w:rsidR="00EE4D06">
        <w:t>Allergan</w:t>
      </w:r>
      <w:r w:rsidR="00EE4D06" w:rsidRPr="007A08C7">
        <w:t xml:space="preserve"> also seek</w:t>
      </w:r>
      <w:r w:rsidR="00EE4D06">
        <w:t>s</w:t>
      </w:r>
      <w:r w:rsidR="00EE4D06" w:rsidRPr="007A08C7">
        <w:t xml:space="preserve"> delivery up of the relevant stock of products, packaging and promotional and advertising material.  In respect of the TG Act claim, </w:t>
      </w:r>
      <w:r w:rsidR="00EE4D06">
        <w:t>Allergan</w:t>
      </w:r>
      <w:r w:rsidR="00EE4D06" w:rsidRPr="007A08C7">
        <w:t xml:space="preserve"> seek</w:t>
      </w:r>
      <w:r w:rsidR="00EE4D06">
        <w:t>s</w:t>
      </w:r>
      <w:r w:rsidR="00EE4D06" w:rsidRPr="007A08C7">
        <w:t xml:space="preserve"> injunctions.  </w:t>
      </w:r>
    </w:p>
    <w:p w14:paraId="47D7DBAC" w14:textId="333C8F62" w:rsidR="00EE4D06" w:rsidRPr="007A08C7" w:rsidRDefault="001E3C6B" w:rsidP="001E3C6B">
      <w:pPr>
        <w:pStyle w:val="ParaNumbering"/>
        <w:numPr>
          <w:ilvl w:val="0"/>
          <w:numId w:val="0"/>
        </w:numPr>
        <w:ind w:hanging="720"/>
      </w:pPr>
      <w:bookmarkStart w:id="37" w:name="_Ref52373200"/>
      <w:r w:rsidRPr="007A08C7">
        <w:rPr>
          <w:sz w:val="20"/>
        </w:rPr>
        <w:lastRenderedPageBreak/>
        <w:t>42</w:t>
      </w:r>
      <w:r w:rsidRPr="007A08C7">
        <w:rPr>
          <w:sz w:val="20"/>
        </w:rPr>
        <w:tab/>
      </w:r>
      <w:r w:rsidR="00EE4D06" w:rsidRPr="007A08C7">
        <w:t xml:space="preserve">In December 2017, </w:t>
      </w:r>
      <w:r w:rsidR="00EE4D06">
        <w:t>it was</w:t>
      </w:r>
      <w:r w:rsidR="00EE4D06" w:rsidRPr="007A08C7">
        <w:t xml:space="preserve"> ordered that the quantification of the loss and damage suffered by </w:t>
      </w:r>
      <w:r w:rsidR="00EE4D06">
        <w:t>Allergan</w:t>
      </w:r>
      <w:r w:rsidR="00EE4D06" w:rsidRPr="007A08C7">
        <w:t xml:space="preserve"> be heard separately from and after all questions of liability.  The questions of liability were identified as including:</w:t>
      </w:r>
      <w:bookmarkEnd w:id="37"/>
    </w:p>
    <w:p w14:paraId="3F131E2A" w14:textId="3BF7F9F2" w:rsidR="00EE4D06" w:rsidRPr="007A08C7" w:rsidRDefault="001E3C6B" w:rsidP="001E3C6B">
      <w:pPr>
        <w:pStyle w:val="ListNo1"/>
        <w:numPr>
          <w:ilvl w:val="0"/>
          <w:numId w:val="0"/>
        </w:numPr>
        <w:tabs>
          <w:tab w:val="left" w:pos="720"/>
        </w:tabs>
        <w:ind w:left="720" w:hanging="720"/>
      </w:pPr>
      <w:r w:rsidRPr="007A08C7">
        <w:t>(1)</w:t>
      </w:r>
      <w:r w:rsidRPr="007A08C7">
        <w:tab/>
      </w:r>
      <w:r w:rsidR="00EE4D06">
        <w:t>Self Care’s</w:t>
      </w:r>
      <w:r w:rsidR="00EE4D06" w:rsidRPr="007A08C7">
        <w:t xml:space="preserve"> liability, if any, for particular heads of loss or damage, the burden falling on </w:t>
      </w:r>
      <w:r w:rsidR="00EE4D06">
        <w:t>Allergan</w:t>
      </w:r>
      <w:r w:rsidR="00EE4D06" w:rsidRPr="007A08C7">
        <w:t xml:space="preserve"> to prove at least one instance of the loss or damage claimed; and</w:t>
      </w:r>
    </w:p>
    <w:p w14:paraId="5B791270" w14:textId="3EF44496" w:rsidR="00EE4D06" w:rsidRPr="007A08C7" w:rsidRDefault="001E3C6B" w:rsidP="001E3C6B">
      <w:pPr>
        <w:pStyle w:val="ListNo1"/>
        <w:numPr>
          <w:ilvl w:val="0"/>
          <w:numId w:val="0"/>
        </w:numPr>
        <w:tabs>
          <w:tab w:val="left" w:pos="720"/>
        </w:tabs>
        <w:ind w:left="720" w:hanging="720"/>
      </w:pPr>
      <w:r w:rsidRPr="007A08C7">
        <w:t>(2)</w:t>
      </w:r>
      <w:r w:rsidRPr="007A08C7">
        <w:tab/>
      </w:r>
      <w:r w:rsidR="00EE4D06">
        <w:t>Self Care’s</w:t>
      </w:r>
      <w:r w:rsidR="00EE4D06" w:rsidRPr="007A08C7">
        <w:t xml:space="preserve"> liability, if any, for additional damages.</w:t>
      </w:r>
    </w:p>
    <w:p w14:paraId="4EC54314" w14:textId="7BE5EE4F" w:rsidR="00EE4D06" w:rsidRPr="007A08C7" w:rsidRDefault="001E3C6B" w:rsidP="001E3C6B">
      <w:pPr>
        <w:pStyle w:val="ParaNumbering"/>
        <w:numPr>
          <w:ilvl w:val="0"/>
          <w:numId w:val="0"/>
        </w:numPr>
        <w:ind w:hanging="720"/>
      </w:pPr>
      <w:r w:rsidRPr="007A08C7">
        <w:rPr>
          <w:sz w:val="20"/>
        </w:rPr>
        <w:t>43</w:t>
      </w:r>
      <w:r w:rsidRPr="007A08C7">
        <w:rPr>
          <w:sz w:val="20"/>
        </w:rPr>
        <w:tab/>
      </w:r>
      <w:r w:rsidR="00EE4D06" w:rsidRPr="007A08C7">
        <w:t xml:space="preserve">In summary, </w:t>
      </w:r>
      <w:r w:rsidR="00EE4D06">
        <w:t>Self Care</w:t>
      </w:r>
      <w:r w:rsidR="00EE4D06" w:rsidRPr="007A08C7">
        <w:t xml:space="preserve"> say</w:t>
      </w:r>
      <w:r w:rsidR="00EE4D06">
        <w:t>s</w:t>
      </w:r>
      <w:r w:rsidR="00EE4D06" w:rsidRPr="007A08C7">
        <w:t xml:space="preserve"> the following with respect to the claims.</w:t>
      </w:r>
    </w:p>
    <w:p w14:paraId="3F723CEC" w14:textId="09722AF0" w:rsidR="00BC42A4" w:rsidRPr="007A08C7" w:rsidRDefault="001E3C6B" w:rsidP="001E3C6B">
      <w:pPr>
        <w:pStyle w:val="ParaNumbering"/>
        <w:numPr>
          <w:ilvl w:val="0"/>
          <w:numId w:val="0"/>
        </w:numPr>
        <w:ind w:hanging="720"/>
      </w:pPr>
      <w:r w:rsidRPr="007A08C7">
        <w:rPr>
          <w:sz w:val="20"/>
        </w:rPr>
        <w:t>44</w:t>
      </w:r>
      <w:r w:rsidRPr="007A08C7">
        <w:rPr>
          <w:sz w:val="20"/>
        </w:rPr>
        <w:tab/>
      </w:r>
      <w:r w:rsidR="00EE4D06" w:rsidRPr="007A08C7">
        <w:t>With regard to the trade</w:t>
      </w:r>
      <w:r w:rsidR="001147CF">
        <w:t xml:space="preserve"> </w:t>
      </w:r>
      <w:r w:rsidR="00EE4D06" w:rsidRPr="007A08C7">
        <w:t xml:space="preserve">mark infringement claims, </w:t>
      </w:r>
      <w:r w:rsidR="00EE4D06">
        <w:t>it says</w:t>
      </w:r>
      <w:r w:rsidR="00EE4D06" w:rsidRPr="007A08C7">
        <w:t xml:space="preserve"> that there has been no infringement of Allergan</w:t>
      </w:r>
      <w:r w:rsidR="00EE4D06">
        <w:t>’</w:t>
      </w:r>
      <w:r w:rsidR="00EE4D06" w:rsidRPr="007A08C7">
        <w:t>s BOTOX trade</w:t>
      </w:r>
      <w:r w:rsidR="00AB2CC5">
        <w:t xml:space="preserve"> </w:t>
      </w:r>
      <w:r w:rsidR="00EE4D06" w:rsidRPr="007A08C7">
        <w:t>mark because Self Care</w:t>
      </w:r>
      <w:r w:rsidR="00EE4D06">
        <w:t>’</w:t>
      </w:r>
      <w:r w:rsidR="00EE4D06" w:rsidRPr="007A08C7">
        <w:t xml:space="preserve">s use of that word on its products is not use </w:t>
      </w:r>
      <w:r w:rsidR="00EE4D06">
        <w:t>“</w:t>
      </w:r>
      <w:r w:rsidR="00EE4D06" w:rsidRPr="007A08C7">
        <w:t>as a trade mark</w:t>
      </w:r>
      <w:r w:rsidR="00EE4D06">
        <w:t>”</w:t>
      </w:r>
      <w:r w:rsidR="00EE4D06" w:rsidRPr="007A08C7">
        <w:t xml:space="preserve"> within the meaning of s 120 of the TM Act.  </w:t>
      </w:r>
      <w:r w:rsidR="00EE4D06">
        <w:t>It says</w:t>
      </w:r>
      <w:r w:rsidR="00EE4D06" w:rsidRPr="007A08C7">
        <w:t xml:space="preserve"> that the function of the word BOTOX on the packaging or in the advertising of Self Care</w:t>
      </w:r>
      <w:r w:rsidR="00EE4D06">
        <w:t>’</w:t>
      </w:r>
      <w:r w:rsidR="00EE4D06" w:rsidRPr="007A08C7">
        <w:t xml:space="preserve">s creams is to say what the </w:t>
      </w:r>
      <w:r w:rsidR="00EE4D06">
        <w:t>product is not – it is not Botox</w:t>
      </w:r>
      <w:r w:rsidR="00EE4D06" w:rsidRPr="007A08C7">
        <w:t xml:space="preserve">, but an alternative to Botox; it is not an expensive injectable you receive from your medical practitioner, but a modestly priced self-administered cream.  </w:t>
      </w:r>
      <w:r w:rsidR="00EE4D06">
        <w:t>It</w:t>
      </w:r>
      <w:r w:rsidR="00EE4D06" w:rsidRPr="007A08C7">
        <w:t xml:space="preserve"> say</w:t>
      </w:r>
      <w:r w:rsidR="00EE4D06">
        <w:t>s</w:t>
      </w:r>
      <w:r w:rsidR="00EE4D06" w:rsidRPr="007A08C7">
        <w:t xml:space="preserve"> that Self Care</w:t>
      </w:r>
      <w:r w:rsidR="00EE4D06">
        <w:t>’</w:t>
      </w:r>
      <w:r w:rsidR="00EE4D06" w:rsidRPr="007A08C7">
        <w:t xml:space="preserve">s branding shows the origin of the goods to be Self Care.  </w:t>
      </w:r>
      <w:r w:rsidR="00EE4D06">
        <w:t>It</w:t>
      </w:r>
      <w:r w:rsidR="00EE4D06" w:rsidRPr="007A08C7">
        <w:t xml:space="preserve"> say</w:t>
      </w:r>
      <w:r w:rsidR="00EE4D06">
        <w:t>s</w:t>
      </w:r>
      <w:r w:rsidR="00EE4D06" w:rsidRPr="007A08C7">
        <w:t xml:space="preserve"> that the function of the use of the word BOTOX is to compare and contrast </w:t>
      </w:r>
      <w:r w:rsidR="00EE4D06">
        <w:t>its</w:t>
      </w:r>
      <w:r w:rsidR="00EE4D06" w:rsidRPr="007A08C7">
        <w:t xml:space="preserve"> goods to the goods of another trader, which contrast is magnified by the use of the ® symbol with the word BOTOX.</w:t>
      </w:r>
      <w:r w:rsidR="00CF4C83">
        <w:t xml:space="preserve">  Self Care also says that PROTOX is not used “as a trade mark” and is not deceptively similar to BOTOX because the mark is used only in combination with the word FREEZEFRAME.</w:t>
      </w:r>
    </w:p>
    <w:p w14:paraId="4507AEF6" w14:textId="2A869E43" w:rsidR="00EE4D06" w:rsidRPr="007A08C7" w:rsidRDefault="001E3C6B" w:rsidP="001E3C6B">
      <w:pPr>
        <w:pStyle w:val="ParaNumbering"/>
        <w:numPr>
          <w:ilvl w:val="0"/>
          <w:numId w:val="0"/>
        </w:numPr>
        <w:ind w:hanging="720"/>
      </w:pPr>
      <w:r w:rsidRPr="007A08C7">
        <w:rPr>
          <w:sz w:val="20"/>
        </w:rPr>
        <w:t>45</w:t>
      </w:r>
      <w:r w:rsidRPr="007A08C7">
        <w:rPr>
          <w:sz w:val="20"/>
        </w:rPr>
        <w:tab/>
      </w:r>
      <w:r w:rsidR="00EE4D06" w:rsidRPr="007A08C7">
        <w:t>With regard to the ACL claims alleging affiliation</w:t>
      </w:r>
      <w:r w:rsidR="00CF4C83">
        <w:t xml:space="preserve"> </w:t>
      </w:r>
      <w:r w:rsidR="00BC42A4">
        <w:t>and</w:t>
      </w:r>
      <w:r w:rsidR="00EE4D06" w:rsidRPr="007A08C7">
        <w:t xml:space="preserve"> passing off, </w:t>
      </w:r>
      <w:r w:rsidR="00EE4D06">
        <w:t>Self Care</w:t>
      </w:r>
      <w:r w:rsidR="00EE4D06" w:rsidRPr="007A08C7">
        <w:t xml:space="preserve"> say</w:t>
      </w:r>
      <w:r w:rsidR="00EE4D06">
        <w:t>s</w:t>
      </w:r>
      <w:r w:rsidR="00EE4D06" w:rsidRPr="007A08C7">
        <w:t xml:space="preserve"> that there is no doubt that consumers associate the word BOTOX with an injectable product used to reduce the appearance of wrinkles.  </w:t>
      </w:r>
      <w:r w:rsidR="00EE4D06">
        <w:t>It</w:t>
      </w:r>
      <w:r w:rsidR="00EE4D06" w:rsidRPr="007A08C7">
        <w:t xml:space="preserve"> say</w:t>
      </w:r>
      <w:r w:rsidR="00EE4D06">
        <w:t>s</w:t>
      </w:r>
      <w:r w:rsidR="00EE4D06" w:rsidRPr="007A08C7">
        <w:t xml:space="preserve"> that Self Care</w:t>
      </w:r>
      <w:r w:rsidR="00EE4D06">
        <w:t>’</w:t>
      </w:r>
      <w:r w:rsidR="00EE4D06" w:rsidRPr="007A08C7">
        <w:t xml:space="preserve">s creams/serums are presented as products that reduce the appearance of wrinkles, but explicitly as a </w:t>
      </w:r>
      <w:r w:rsidR="00EE4D06">
        <w:t>“</w:t>
      </w:r>
      <w:r w:rsidR="00EE4D06" w:rsidRPr="007A08C7">
        <w:t>Botox alternative</w:t>
      </w:r>
      <w:r w:rsidR="00EE4D06">
        <w:t>”</w:t>
      </w:r>
      <w:r w:rsidR="00EE4D06" w:rsidRPr="007A08C7">
        <w:t xml:space="preserve">.  </w:t>
      </w:r>
      <w:r w:rsidR="00EE4D06">
        <w:t>It</w:t>
      </w:r>
      <w:r w:rsidR="00EE4D06" w:rsidRPr="007A08C7">
        <w:t xml:space="preserve"> say</w:t>
      </w:r>
      <w:r w:rsidR="00EE4D06">
        <w:t>s</w:t>
      </w:r>
      <w:r w:rsidR="00EE4D06" w:rsidRPr="007A08C7">
        <w:t xml:space="preserve"> that the word </w:t>
      </w:r>
      <w:r w:rsidR="00EE4D06">
        <w:t>“</w:t>
      </w:r>
      <w:r w:rsidR="00EE4D06" w:rsidRPr="007A08C7">
        <w:t>alternative</w:t>
      </w:r>
      <w:r w:rsidR="00EE4D06">
        <w:t>”</w:t>
      </w:r>
      <w:r w:rsidR="00EE4D06" w:rsidRPr="007A08C7">
        <w:t xml:space="preserve"> is powerful enough in itself to tell all reasonable consumers that the products are not Botox and </w:t>
      </w:r>
      <w:r w:rsidR="00EE4D06">
        <w:t xml:space="preserve">are </w:t>
      </w:r>
      <w:r w:rsidR="00EE4D06" w:rsidRPr="007A08C7">
        <w:t xml:space="preserve">distinct from Botox and the makers of Botox. </w:t>
      </w:r>
    </w:p>
    <w:p w14:paraId="52CFDF45" w14:textId="469057D7" w:rsidR="00EE4D06" w:rsidRPr="007A08C7" w:rsidRDefault="001E3C6B" w:rsidP="001E3C6B">
      <w:pPr>
        <w:pStyle w:val="ParaNumbering"/>
        <w:numPr>
          <w:ilvl w:val="0"/>
          <w:numId w:val="0"/>
        </w:numPr>
        <w:ind w:hanging="720"/>
      </w:pPr>
      <w:r w:rsidRPr="007A08C7">
        <w:rPr>
          <w:sz w:val="20"/>
        </w:rPr>
        <w:t>46</w:t>
      </w:r>
      <w:r w:rsidRPr="007A08C7">
        <w:rPr>
          <w:sz w:val="20"/>
        </w:rPr>
        <w:tab/>
      </w:r>
      <w:r w:rsidR="00EE4D06">
        <w:t>Self Care</w:t>
      </w:r>
      <w:r w:rsidR="00EE4D06" w:rsidRPr="007A08C7">
        <w:t xml:space="preserve"> say</w:t>
      </w:r>
      <w:r w:rsidR="00EE4D06">
        <w:t>s</w:t>
      </w:r>
      <w:r w:rsidR="00EE4D06" w:rsidRPr="007A08C7">
        <w:t xml:space="preserve"> that that distinction from Botox and the makers of Botox is reinforced by other aspects of the context, including Self Care</w:t>
      </w:r>
      <w:r w:rsidR="00EE4D06">
        <w:t>’</w:t>
      </w:r>
      <w:r w:rsidR="00EE4D06" w:rsidRPr="007A08C7">
        <w:t>s own branding on its creams and in its advertising (in which FREEZEFRAME is always prominent), the character of the goods as creams rather than a formulation to be injected, the method of administration being by the consumer themselves rather than by a medical practitioner, and a substantial difference in price.  They say that a consumer could not reasonably think that Self Care</w:t>
      </w:r>
      <w:r w:rsidR="00EE4D06">
        <w:t>’</w:t>
      </w:r>
      <w:r w:rsidR="00EE4D06" w:rsidRPr="007A08C7">
        <w:t>s products were affiliated with the makers of Botox, or that the products were in fact Allergan</w:t>
      </w:r>
      <w:r w:rsidR="00EE4D06">
        <w:t>’</w:t>
      </w:r>
      <w:r w:rsidR="00EE4D06" w:rsidRPr="007A08C7">
        <w:t xml:space="preserve">s goods. </w:t>
      </w:r>
    </w:p>
    <w:p w14:paraId="0BB53F73" w14:textId="735CB4C8" w:rsidR="00EE4D06" w:rsidRPr="007A08C7" w:rsidRDefault="001E3C6B" w:rsidP="001E3C6B">
      <w:pPr>
        <w:pStyle w:val="ParaNumbering"/>
        <w:numPr>
          <w:ilvl w:val="0"/>
          <w:numId w:val="0"/>
        </w:numPr>
        <w:ind w:hanging="720"/>
      </w:pPr>
      <w:r w:rsidRPr="007A08C7">
        <w:rPr>
          <w:sz w:val="20"/>
        </w:rPr>
        <w:lastRenderedPageBreak/>
        <w:t>47</w:t>
      </w:r>
      <w:r w:rsidRPr="007A08C7">
        <w:rPr>
          <w:sz w:val="20"/>
        </w:rPr>
        <w:tab/>
      </w:r>
      <w:r w:rsidR="00EE4D06" w:rsidRPr="007A08C7">
        <w:t>With regard to the ACL claims alleging misleading representations about the efficacy of Self Care</w:t>
      </w:r>
      <w:r w:rsidR="00EE4D06">
        <w:t>’</w:t>
      </w:r>
      <w:r w:rsidR="00EE4D06" w:rsidRPr="007A08C7">
        <w:t xml:space="preserve">s creams, </w:t>
      </w:r>
      <w:r w:rsidR="00EE4D06">
        <w:t>Self Care</w:t>
      </w:r>
      <w:r w:rsidR="00EE4D06" w:rsidRPr="007A08C7">
        <w:t xml:space="preserve"> say</w:t>
      </w:r>
      <w:r w:rsidR="00EE4D06">
        <w:t>s</w:t>
      </w:r>
      <w:r w:rsidR="00EE4D06" w:rsidRPr="007A08C7">
        <w:t xml:space="preserve"> that there is a problematic lack of clarity in Allergan</w:t>
      </w:r>
      <w:r w:rsidR="00EE4D06">
        <w:t>’</w:t>
      </w:r>
      <w:r w:rsidR="00EE4D06" w:rsidRPr="007A08C7">
        <w:t xml:space="preserve">s case in this respect.  </w:t>
      </w:r>
      <w:r w:rsidR="00EE4D06">
        <w:t>It</w:t>
      </w:r>
      <w:r w:rsidR="00EE4D06" w:rsidRPr="007A08C7">
        <w:t xml:space="preserve"> say</w:t>
      </w:r>
      <w:r w:rsidR="00EE4D06">
        <w:t>s</w:t>
      </w:r>
      <w:r w:rsidR="00EE4D06" w:rsidRPr="007A08C7">
        <w:t xml:space="preserve"> that the claims should be rejected either because the alleged representations are not conveyed by the product packaging or the advertising, or because such representations as were conveyed are not misleading and there were reasonable grounds to make them.  In particular, </w:t>
      </w:r>
      <w:r w:rsidR="00EE4D06">
        <w:t>it</w:t>
      </w:r>
      <w:r w:rsidR="00EE4D06" w:rsidRPr="007A08C7">
        <w:t xml:space="preserve"> rel</w:t>
      </w:r>
      <w:r w:rsidR="00EE4D06">
        <w:t>ies</w:t>
      </w:r>
      <w:r w:rsidR="00EE4D06" w:rsidRPr="007A08C7">
        <w:t xml:space="preserve"> on a number of in vivo studies which, </w:t>
      </w:r>
      <w:r w:rsidR="00EE4D06">
        <w:t>it</w:t>
      </w:r>
      <w:r w:rsidR="00EE4D06" w:rsidRPr="007A08C7">
        <w:t xml:space="preserve"> say</w:t>
      </w:r>
      <w:r w:rsidR="00EE4D06">
        <w:t>s</w:t>
      </w:r>
      <w:r w:rsidR="00EE4D06" w:rsidRPr="007A08C7">
        <w:t>, demonstrate that Self Care</w:t>
      </w:r>
      <w:r w:rsidR="00EE4D06">
        <w:t>’</w:t>
      </w:r>
      <w:r w:rsidR="00EE4D06" w:rsidRPr="007A08C7">
        <w:t xml:space="preserve">s creams reduce the appearance of wrinkles, which is the central message about efficacy. </w:t>
      </w:r>
    </w:p>
    <w:p w14:paraId="434FC909" w14:textId="1E02FAD0" w:rsidR="00EE4D06" w:rsidRPr="007A08C7" w:rsidRDefault="001E3C6B" w:rsidP="001E3C6B">
      <w:pPr>
        <w:pStyle w:val="ParaNumbering"/>
        <w:numPr>
          <w:ilvl w:val="0"/>
          <w:numId w:val="0"/>
        </w:numPr>
        <w:ind w:hanging="720"/>
      </w:pPr>
      <w:r w:rsidRPr="007A08C7">
        <w:rPr>
          <w:sz w:val="20"/>
        </w:rPr>
        <w:t>48</w:t>
      </w:r>
      <w:r w:rsidRPr="007A08C7">
        <w:rPr>
          <w:sz w:val="20"/>
        </w:rPr>
        <w:tab/>
      </w:r>
      <w:r w:rsidR="00EE4D06" w:rsidRPr="007A08C7">
        <w:t>With regard to the claims</w:t>
      </w:r>
      <w:r w:rsidR="00BC42A4">
        <w:t xml:space="preserve"> seeking injunctions against</w:t>
      </w:r>
      <w:r w:rsidR="00EE4D06" w:rsidRPr="007A08C7">
        <w:t xml:space="preserve"> </w:t>
      </w:r>
      <w:r w:rsidR="00A1342F">
        <w:t xml:space="preserve">the </w:t>
      </w:r>
      <w:r w:rsidR="00EE4D06" w:rsidRPr="007A08C7">
        <w:t>alleg</w:t>
      </w:r>
      <w:r w:rsidR="00BC42A4">
        <w:t>ed</w:t>
      </w:r>
      <w:r w:rsidR="00EE4D06" w:rsidRPr="007A08C7">
        <w:t xml:space="preserve"> commission of offences under the TG Act, </w:t>
      </w:r>
      <w:r w:rsidR="00EE4D06">
        <w:t>Self Care</w:t>
      </w:r>
      <w:r w:rsidR="00EE4D06" w:rsidRPr="007A08C7">
        <w:t xml:space="preserve"> say</w:t>
      </w:r>
      <w:r w:rsidR="00EE4D06">
        <w:t>s</w:t>
      </w:r>
      <w:r w:rsidR="00EE4D06" w:rsidRPr="007A08C7">
        <w:t xml:space="preserve"> that Allergan has no standing to prosecute criminal offence proceedings or civil p</w:t>
      </w:r>
      <w:r w:rsidR="00EE4D06">
        <w:t>enalty proceedings under the TG</w:t>
      </w:r>
      <w:r w:rsidR="00EE4D06" w:rsidRPr="007A08C7">
        <w:t xml:space="preserve"> Act, and that it has not done so.  </w:t>
      </w:r>
      <w:r w:rsidR="00EE4D06">
        <w:t>It</w:t>
      </w:r>
      <w:r w:rsidR="00EE4D06" w:rsidRPr="007A08C7">
        <w:t xml:space="preserve"> say</w:t>
      </w:r>
      <w:r w:rsidR="00EE4D06">
        <w:t>s</w:t>
      </w:r>
      <w:r w:rsidR="00EE4D06" w:rsidRPr="007A08C7">
        <w:t xml:space="preserve"> that Allergan</w:t>
      </w:r>
      <w:r w:rsidR="00EE4D06">
        <w:t>’</w:t>
      </w:r>
      <w:r w:rsidR="00EE4D06" w:rsidRPr="007A08C7">
        <w:t xml:space="preserve">s invocation of the exceptional jurisdiction of a civil court to restrain by injunction the commission of an offence should be rejected, including because Allergan has no standing to seek such an injunction and, in any event, there is no contravention of the TG Act because Self Care is not advertising therapeutic goods. </w:t>
      </w:r>
    </w:p>
    <w:p w14:paraId="66E04931" w14:textId="090849C7" w:rsidR="00EE4D06" w:rsidRPr="007A08C7" w:rsidRDefault="001E3C6B" w:rsidP="001E3C6B">
      <w:pPr>
        <w:pStyle w:val="ParaNumbering"/>
        <w:numPr>
          <w:ilvl w:val="0"/>
          <w:numId w:val="0"/>
        </w:numPr>
        <w:ind w:hanging="720"/>
      </w:pPr>
      <w:r w:rsidRPr="007A08C7">
        <w:rPr>
          <w:sz w:val="20"/>
        </w:rPr>
        <w:t>49</w:t>
      </w:r>
      <w:r w:rsidRPr="007A08C7">
        <w:rPr>
          <w:sz w:val="20"/>
        </w:rPr>
        <w:tab/>
      </w:r>
      <w:r w:rsidR="00EE4D06" w:rsidRPr="007A08C7">
        <w:t>Self Care IP and Self Care Corp, as cross</w:t>
      </w:r>
      <w:r w:rsidR="003D7BA6">
        <w:t>-</w:t>
      </w:r>
      <w:r w:rsidR="00EE4D06" w:rsidRPr="007A08C7">
        <w:t>claimants, allege that Allergan has sought to extend its trade mark rights beyond the field of actual use of the trade mark in relation to injectable anti-wrinkle products, to a different and broader field of skin-care creams by way of the class 3 goods specified for the 655 mark and the 426 defensive mark</w:t>
      </w:r>
      <w:r w:rsidR="00EE4D06">
        <w:t xml:space="preserve"> (see [</w:t>
      </w:r>
      <w:r w:rsidR="00DC63C7">
        <w:fldChar w:fldCharType="begin" w:fldLock="1"/>
      </w:r>
      <w:r w:rsidR="00DC63C7">
        <w:instrText xml:space="preserve"> REF _Ref38889614 \r \h </w:instrText>
      </w:r>
      <w:r w:rsidR="00DC63C7">
        <w:fldChar w:fldCharType="separate"/>
      </w:r>
      <w:r w:rsidR="00756FCE">
        <w:t>17</w:t>
      </w:r>
      <w:r w:rsidR="00DC63C7">
        <w:fldChar w:fldCharType="end"/>
      </w:r>
      <w:r w:rsidR="00EE4D06">
        <w:t>]-[</w:t>
      </w:r>
      <w:r w:rsidR="00DC63C7">
        <w:fldChar w:fldCharType="begin" w:fldLock="1"/>
      </w:r>
      <w:r w:rsidR="00DC63C7">
        <w:instrText xml:space="preserve"> REF _Ref38889627 \r \h </w:instrText>
      </w:r>
      <w:r w:rsidR="00DC63C7">
        <w:fldChar w:fldCharType="separate"/>
      </w:r>
      <w:r w:rsidR="00756FCE">
        <w:t>19</w:t>
      </w:r>
      <w:r w:rsidR="00DC63C7">
        <w:fldChar w:fldCharType="end"/>
      </w:r>
      <w:r w:rsidR="00EE4D06">
        <w:t>] above for the relevant specified goods)</w:t>
      </w:r>
      <w:r w:rsidR="00EE4D06" w:rsidRPr="007A08C7">
        <w:t>.  It is claimed that those specifications are not valid.  It is accordingly sought</w:t>
      </w:r>
      <w:r w:rsidR="00CA17E5">
        <w:t xml:space="preserve"> by Self Care that </w:t>
      </w:r>
      <w:r w:rsidR="00EE4D06" w:rsidRPr="007A08C7">
        <w:t xml:space="preserve">the 655 mark in relation to those goods </w:t>
      </w:r>
      <w:r w:rsidR="00CA17E5">
        <w:t xml:space="preserve">be removed </w:t>
      </w:r>
      <w:r w:rsidR="00EE4D06" w:rsidRPr="007A08C7">
        <w:t xml:space="preserve">and for the 426 defensive mark to be cancelled. </w:t>
      </w:r>
    </w:p>
    <w:p w14:paraId="4564BE5B" w14:textId="664891A5" w:rsidR="00EE4D06" w:rsidRPr="007A08C7" w:rsidRDefault="001E3C6B" w:rsidP="001E3C6B">
      <w:pPr>
        <w:pStyle w:val="ParaNumbering"/>
        <w:numPr>
          <w:ilvl w:val="0"/>
          <w:numId w:val="0"/>
        </w:numPr>
        <w:ind w:hanging="720"/>
      </w:pPr>
      <w:r w:rsidRPr="007A08C7">
        <w:rPr>
          <w:sz w:val="20"/>
        </w:rPr>
        <w:t>50</w:t>
      </w:r>
      <w:r w:rsidRPr="007A08C7">
        <w:rPr>
          <w:sz w:val="20"/>
        </w:rPr>
        <w:tab/>
      </w:r>
      <w:r w:rsidR="00EE4D06" w:rsidRPr="007A08C7">
        <w:t>With regard to the claims against Ms Amoroso, she says that her actions relevant to the proceeding are squarely within her roles as director and officer of Self Care.  She says that they involve, in particular, making and participating in decisions concerning the marketing of Self Care</w:t>
      </w:r>
      <w:r w:rsidR="00EE4D06">
        <w:t>’</w:t>
      </w:r>
      <w:r w:rsidR="00EE4D06" w:rsidRPr="007A08C7">
        <w:t>s products and the claims made about them in marketing materials.  Ms Amoroso accepts that her role involves having ultimate responsibility over the operations of Self Care, including over what goes out to consumers and the public, although she is n</w:t>
      </w:r>
      <w:r w:rsidR="00C07F61">
        <w:t>ot involved in every decision.</w:t>
      </w:r>
    </w:p>
    <w:p w14:paraId="44E795EE" w14:textId="586643EC" w:rsidR="00EE4D06" w:rsidRPr="007A08C7" w:rsidRDefault="001E3C6B" w:rsidP="001E3C6B">
      <w:pPr>
        <w:pStyle w:val="ParaNumbering"/>
        <w:numPr>
          <w:ilvl w:val="0"/>
          <w:numId w:val="0"/>
        </w:numPr>
        <w:ind w:hanging="720"/>
      </w:pPr>
      <w:r w:rsidRPr="007A08C7">
        <w:rPr>
          <w:sz w:val="20"/>
        </w:rPr>
        <w:t>51</w:t>
      </w:r>
      <w:r w:rsidRPr="007A08C7">
        <w:rPr>
          <w:sz w:val="20"/>
        </w:rPr>
        <w:tab/>
      </w:r>
      <w:r w:rsidR="00EE4D06" w:rsidRPr="007A08C7">
        <w:t>Ms Amoroso says that the activities of Self Care of which Allergan complains are squarely activities within the ordinary course of Self Care</w:t>
      </w:r>
      <w:r w:rsidR="00EE4D06">
        <w:t>’</w:t>
      </w:r>
      <w:r w:rsidR="00EE4D06" w:rsidRPr="007A08C7">
        <w:t xml:space="preserve">s business, which is the supply to the Australian market of topical cosmetics.  She says that this is not a case in which she caused Self Care to divert from the usual course of its business. </w:t>
      </w:r>
    </w:p>
    <w:p w14:paraId="036FA262" w14:textId="77777777" w:rsidR="00EE4D06" w:rsidRPr="007A08C7" w:rsidRDefault="00EE4D06" w:rsidP="00EE4D06">
      <w:pPr>
        <w:pStyle w:val="Heading3"/>
      </w:pPr>
      <w:bookmarkStart w:id="38" w:name="_Ref54701562"/>
      <w:r w:rsidRPr="007A08C7">
        <w:lastRenderedPageBreak/>
        <w:t>NSD1802/2017</w:t>
      </w:r>
      <w:bookmarkEnd w:id="38"/>
    </w:p>
    <w:p w14:paraId="6CB531B0" w14:textId="0D2ED321" w:rsidR="00EE4D06" w:rsidRPr="007A08C7" w:rsidRDefault="001E3C6B" w:rsidP="001E3C6B">
      <w:pPr>
        <w:pStyle w:val="ParaNumbering"/>
        <w:numPr>
          <w:ilvl w:val="0"/>
          <w:numId w:val="0"/>
        </w:numPr>
        <w:ind w:hanging="720"/>
      </w:pPr>
      <w:r w:rsidRPr="007A08C7">
        <w:rPr>
          <w:sz w:val="20"/>
        </w:rPr>
        <w:t>52</w:t>
      </w:r>
      <w:r w:rsidRPr="007A08C7">
        <w:rPr>
          <w:sz w:val="20"/>
        </w:rPr>
        <w:tab/>
      </w:r>
      <w:r w:rsidR="00EE4D06" w:rsidRPr="007A08C7">
        <w:t>In proceeding NSD1802/2017, Allergan Inc, as appellant, appeals from a decision of a delegate of the Registrar of Trade Marks to allow Self Care IP</w:t>
      </w:r>
      <w:r w:rsidR="00EE4D06">
        <w:t>’</w:t>
      </w:r>
      <w:r w:rsidR="00EE4D06" w:rsidRPr="007A08C7">
        <w:t xml:space="preserve">s Trade Mark Application No. 1653383 for the words </w:t>
      </w:r>
      <w:r w:rsidR="00DC63C7">
        <w:t xml:space="preserve">FREEZEFRAME </w:t>
      </w:r>
      <w:r w:rsidR="00EE4D06" w:rsidRPr="007A08C7">
        <w:t>PROTOX to proceed to registration in respect of goods in class 3 (being anti-aging serum and anti-wrinkle serum).  Allergan Inc raises ss 42(b), 44, 58, 59</w:t>
      </w:r>
      <w:r w:rsidR="00CA17E5">
        <w:t xml:space="preserve">, </w:t>
      </w:r>
      <w:r w:rsidR="00CA17E5" w:rsidRPr="007A08C7">
        <w:t>60</w:t>
      </w:r>
      <w:r w:rsidR="00EE4D06" w:rsidRPr="007A08C7">
        <w:t xml:space="preserve"> and 62A of the TM Act as grounds of opposition.</w:t>
      </w:r>
    </w:p>
    <w:p w14:paraId="7E400D97" w14:textId="7BD3F36F" w:rsidR="00EE4D06" w:rsidRDefault="001E3C6B" w:rsidP="001E3C6B">
      <w:pPr>
        <w:pStyle w:val="ParaNumbering"/>
        <w:numPr>
          <w:ilvl w:val="0"/>
          <w:numId w:val="0"/>
        </w:numPr>
        <w:ind w:hanging="720"/>
      </w:pPr>
      <w:r>
        <w:rPr>
          <w:sz w:val="20"/>
        </w:rPr>
        <w:t>53</w:t>
      </w:r>
      <w:r>
        <w:rPr>
          <w:sz w:val="20"/>
        </w:rPr>
        <w:tab/>
      </w:r>
      <w:r w:rsidR="00EE4D06" w:rsidRPr="007A08C7">
        <w:t xml:space="preserve">In summary, </w:t>
      </w:r>
      <w:r w:rsidR="00EE4D06">
        <w:t>Self Care</w:t>
      </w:r>
      <w:r w:rsidR="00EE4D06" w:rsidRPr="007A08C7">
        <w:t xml:space="preserve"> say</w:t>
      </w:r>
      <w:r w:rsidR="00EE4D06">
        <w:t>s</w:t>
      </w:r>
      <w:r w:rsidR="00EE4D06" w:rsidRPr="007A08C7">
        <w:t xml:space="preserve"> that each of the numerous grounds on which Allergan </w:t>
      </w:r>
      <w:r w:rsidR="00EE4D06">
        <w:t>opposes</w:t>
      </w:r>
      <w:r w:rsidR="00EE4D06" w:rsidRPr="007A08C7">
        <w:t xml:space="preserve"> the registra</w:t>
      </w:r>
      <w:r w:rsidR="00EE4D06">
        <w:t>tion</w:t>
      </w:r>
      <w:r w:rsidR="00EE4D06" w:rsidRPr="007A08C7">
        <w:t xml:space="preserve"> of FREEZEFRAME PROTOX ought to be rejected, including because </w:t>
      </w:r>
      <w:r w:rsidR="00EE4D06">
        <w:t>its</w:t>
      </w:r>
      <w:r w:rsidR="00EE4D06" w:rsidRPr="007A08C7">
        <w:t xml:space="preserve"> trade</w:t>
      </w:r>
      <w:r w:rsidR="005F1761">
        <w:t xml:space="preserve"> </w:t>
      </w:r>
      <w:r w:rsidR="00EE4D06" w:rsidRPr="007A08C7">
        <w:t>mark is not misleadi</w:t>
      </w:r>
      <w:r w:rsidR="00C07F61">
        <w:t>ngly similar to the word BOTOX.</w:t>
      </w:r>
    </w:p>
    <w:p w14:paraId="7A566658" w14:textId="41E0F26B" w:rsidR="00226028" w:rsidRPr="007A08C7" w:rsidRDefault="001E3C6B" w:rsidP="00226028">
      <w:pPr>
        <w:pStyle w:val="Heading1"/>
      </w:pPr>
      <w:bookmarkStart w:id="39" w:name="_Ref54701563"/>
      <w:r>
        <w:rPr>
          <w:caps w:val="0"/>
        </w:rPr>
        <w:t>SELF CARE’S</w:t>
      </w:r>
      <w:r w:rsidRPr="007A08C7">
        <w:rPr>
          <w:caps w:val="0"/>
        </w:rPr>
        <w:t xml:space="preserve"> </w:t>
      </w:r>
      <w:r>
        <w:rPr>
          <w:caps w:val="0"/>
        </w:rPr>
        <w:t xml:space="preserve">MARKET, </w:t>
      </w:r>
      <w:r w:rsidRPr="007A08C7">
        <w:rPr>
          <w:caps w:val="0"/>
        </w:rPr>
        <w:t>PRODUCTS AND PACKAGING</w:t>
      </w:r>
      <w:bookmarkEnd w:id="39"/>
    </w:p>
    <w:p w14:paraId="5FA12DFC" w14:textId="77777777" w:rsidR="00080EB2" w:rsidRDefault="00080EB2" w:rsidP="00080EB2">
      <w:pPr>
        <w:pStyle w:val="Heading2"/>
      </w:pPr>
      <w:bookmarkStart w:id="40" w:name="_Ref54701564"/>
      <w:r>
        <w:t>The market</w:t>
      </w:r>
      <w:bookmarkEnd w:id="40"/>
    </w:p>
    <w:p w14:paraId="456E0BAA" w14:textId="00FCC310" w:rsidR="00080EB2" w:rsidRDefault="001E3C6B" w:rsidP="001E3C6B">
      <w:pPr>
        <w:pStyle w:val="ParaNumbering"/>
        <w:numPr>
          <w:ilvl w:val="0"/>
          <w:numId w:val="0"/>
        </w:numPr>
        <w:ind w:hanging="720"/>
      </w:pPr>
      <w:r>
        <w:rPr>
          <w:sz w:val="20"/>
        </w:rPr>
        <w:t>54</w:t>
      </w:r>
      <w:r>
        <w:rPr>
          <w:sz w:val="20"/>
        </w:rPr>
        <w:tab/>
      </w:r>
      <w:r w:rsidR="00080EB2">
        <w:t>Ms Amoroso gave evidence that in her experience people who are concerned to reduce the appearance of wrinkles fall into two separate markets, those who are prepared to undergo procedures such as injections which may be painful, invasive and involve the risk of potentially serious side-effects, and those who are interested in the use of anti-wrinkle creams and lotions.  Obviously, there are people in the first category who will also use products of interest to the second category.</w:t>
      </w:r>
    </w:p>
    <w:p w14:paraId="29C260E9" w14:textId="0AE4A78F" w:rsidR="00080EB2" w:rsidRDefault="001E3C6B" w:rsidP="001E3C6B">
      <w:pPr>
        <w:pStyle w:val="ParaNumbering"/>
        <w:numPr>
          <w:ilvl w:val="0"/>
          <w:numId w:val="0"/>
        </w:numPr>
        <w:ind w:hanging="720"/>
      </w:pPr>
      <w:r>
        <w:rPr>
          <w:sz w:val="20"/>
        </w:rPr>
        <w:t>55</w:t>
      </w:r>
      <w:r>
        <w:rPr>
          <w:sz w:val="20"/>
        </w:rPr>
        <w:tab/>
      </w:r>
      <w:r w:rsidR="00080EB2">
        <w:t>Ms Amoroso also accepted in cross</w:t>
      </w:r>
      <w:r w:rsidR="003D7BA6">
        <w:t>-</w:t>
      </w:r>
      <w:r w:rsidR="00080EB2">
        <w:t>examination that the market can be split in three ways, namely those who use injectables such as Botox, those who are undecided about whether they will use injectables and those who wi</w:t>
      </w:r>
      <w:r w:rsidR="00126FE8">
        <w:t xml:space="preserve">ll not use injectables.  </w:t>
      </w:r>
    </w:p>
    <w:p w14:paraId="210C908E" w14:textId="4656CC33" w:rsidR="00080EB2" w:rsidRDefault="001E3C6B" w:rsidP="001E3C6B">
      <w:pPr>
        <w:pStyle w:val="ParaNumbering"/>
        <w:numPr>
          <w:ilvl w:val="0"/>
          <w:numId w:val="0"/>
        </w:numPr>
        <w:ind w:hanging="720"/>
      </w:pPr>
      <w:r>
        <w:rPr>
          <w:sz w:val="20"/>
        </w:rPr>
        <w:t>56</w:t>
      </w:r>
      <w:r>
        <w:rPr>
          <w:sz w:val="20"/>
        </w:rPr>
        <w:tab/>
      </w:r>
      <w:r w:rsidR="00080EB2">
        <w:t>In Ms Amoroso’s experience, the term Botox (or botox) is most frequently used to refer to any brand of botulinum toxin injection and not necessarily</w:t>
      </w:r>
      <w:r w:rsidR="000D0359">
        <w:t xml:space="preserve"> the </w:t>
      </w:r>
      <w:r w:rsidR="00080EB2">
        <w:t xml:space="preserve">particular product traded by Allergan under the BOTOX name.  Thus, people refer to </w:t>
      </w:r>
      <w:r w:rsidR="00415CEB">
        <w:t>“</w:t>
      </w:r>
      <w:r w:rsidR="00080EB2">
        <w:t>having Botox</w:t>
      </w:r>
      <w:r w:rsidR="00415CEB">
        <w:t>”</w:t>
      </w:r>
      <w:r w:rsidR="00080EB2">
        <w:t xml:space="preserve"> even when they are having a different brand of botulinum toxin injection.  </w:t>
      </w:r>
      <w:r w:rsidR="003D7BA6">
        <w:t>BOTOX</w:t>
      </w:r>
      <w:r w:rsidR="00080EB2">
        <w:t xml:space="preserve"> is to a significant degree like marks such as </w:t>
      </w:r>
      <w:r w:rsidR="003D7BA6">
        <w:t>HOOVER</w:t>
      </w:r>
      <w:r w:rsidR="00415CEB">
        <w:t xml:space="preserve">, </w:t>
      </w:r>
      <w:r w:rsidR="003D7BA6">
        <w:t>XEROX</w:t>
      </w:r>
      <w:r w:rsidR="00080EB2">
        <w:t xml:space="preserve"> or </w:t>
      </w:r>
      <w:r w:rsidR="003D7BA6">
        <w:t>BAND-AID</w:t>
      </w:r>
      <w:r w:rsidR="00080EB2">
        <w:t xml:space="preserve"> which have gained use to describe a whole category of product rather than specifically a particular brand within the category.  M</w:t>
      </w:r>
      <w:r w:rsidR="00C07F61">
        <w:t>s</w:t>
      </w:r>
      <w:r w:rsidR="00080EB2">
        <w:t xml:space="preserve"> Amoroso was not challenged on this evidence, and I accept it.</w:t>
      </w:r>
    </w:p>
    <w:p w14:paraId="7A125D1E" w14:textId="408B9819" w:rsidR="00080EB2" w:rsidRDefault="001E3C6B" w:rsidP="001E3C6B">
      <w:pPr>
        <w:pStyle w:val="ParaNumbering"/>
        <w:numPr>
          <w:ilvl w:val="0"/>
          <w:numId w:val="0"/>
        </w:numPr>
        <w:ind w:hanging="720"/>
      </w:pPr>
      <w:r>
        <w:rPr>
          <w:sz w:val="20"/>
        </w:rPr>
        <w:t>57</w:t>
      </w:r>
      <w:r>
        <w:rPr>
          <w:sz w:val="20"/>
        </w:rPr>
        <w:tab/>
      </w:r>
      <w:r w:rsidR="00226028">
        <w:t xml:space="preserve">The </w:t>
      </w:r>
      <w:r w:rsidR="005F1761">
        <w:t>Freezeframe</w:t>
      </w:r>
      <w:r w:rsidR="00226028">
        <w:t xml:space="preserve"> range of products </w:t>
      </w:r>
      <w:r w:rsidR="00126FE8">
        <w:t xml:space="preserve">has been </w:t>
      </w:r>
      <w:r w:rsidR="00226028">
        <w:t xml:space="preserve">sold to retail outlets such as department stores Myer and David Jones and retail chemists such as Priceline, Terry White Chemists, My Chemist and Chemist Warehouse, and to some online stores such as Adore Beauty and AMCAL Pharmacy Online.  </w:t>
      </w:r>
    </w:p>
    <w:p w14:paraId="2D8B3751" w14:textId="3C165A1B" w:rsidR="00080EB2" w:rsidRDefault="001E3C6B" w:rsidP="001E3C6B">
      <w:pPr>
        <w:pStyle w:val="ParaNumbering"/>
        <w:numPr>
          <w:ilvl w:val="0"/>
          <w:numId w:val="0"/>
        </w:numPr>
        <w:ind w:hanging="720"/>
      </w:pPr>
      <w:r>
        <w:rPr>
          <w:sz w:val="20"/>
        </w:rPr>
        <w:lastRenderedPageBreak/>
        <w:t>58</w:t>
      </w:r>
      <w:r>
        <w:rPr>
          <w:sz w:val="20"/>
        </w:rPr>
        <w:tab/>
      </w:r>
      <w:r w:rsidR="00080EB2">
        <w:t xml:space="preserve">Self Care’s </w:t>
      </w:r>
      <w:r w:rsidR="00E01C60">
        <w:t xml:space="preserve">FREEZEFRAME </w:t>
      </w:r>
      <w:r w:rsidR="00080EB2">
        <w:t xml:space="preserve">brand has many competitors in the skincare market.  The competitors specialise in cosmetic creams and lotions.  They do not manufacture or distribute anti-wrinkle injections.  There is no brand which has a skincare product such as skin creams or lotions as well as botulinum toxin injections.  </w:t>
      </w:r>
    </w:p>
    <w:p w14:paraId="50D5FC29" w14:textId="656DB06E" w:rsidR="00226028" w:rsidRDefault="001E3C6B" w:rsidP="001E3C6B">
      <w:pPr>
        <w:pStyle w:val="ParaNumbering"/>
        <w:numPr>
          <w:ilvl w:val="0"/>
          <w:numId w:val="0"/>
        </w:numPr>
        <w:ind w:hanging="720"/>
      </w:pPr>
      <w:r>
        <w:rPr>
          <w:sz w:val="20"/>
        </w:rPr>
        <w:t>59</w:t>
      </w:r>
      <w:r>
        <w:rPr>
          <w:sz w:val="20"/>
        </w:rPr>
        <w:tab/>
      </w:r>
      <w:r w:rsidR="00226028">
        <w:t xml:space="preserve">Ms Amoroso exhibited photographs of typical in-store displays for the sale of </w:t>
      </w:r>
      <w:r w:rsidR="006359D7">
        <w:t>Freezeframe</w:t>
      </w:r>
      <w:r w:rsidR="00226028">
        <w:t xml:space="preserve"> products.  These show the whole range of </w:t>
      </w:r>
      <w:r w:rsidR="006359D7">
        <w:t>Freezeframe</w:t>
      </w:r>
      <w:r w:rsidR="00226028">
        <w:t xml:space="preserve"> products being displayed together where the common branding is obvious.  The same is true of the sale of the products on the </w:t>
      </w:r>
      <w:r w:rsidR="006359D7">
        <w:t>Freezeframe</w:t>
      </w:r>
      <w:r w:rsidR="00226028">
        <w:t xml:space="preserve"> website – although each product has its own name, some more obviously incorporating the name </w:t>
      </w:r>
      <w:r w:rsidR="003D7BA6">
        <w:t>FREEZEFRAME</w:t>
      </w:r>
      <w:r w:rsidR="00226028">
        <w:t xml:space="preserve"> than others, all appear clearly and unmistakably within the </w:t>
      </w:r>
      <w:r w:rsidR="006359D7">
        <w:t>Freezeframe</w:t>
      </w:r>
      <w:r w:rsidR="00226028">
        <w:t xml:space="preserve"> range.  Similarly, products available for sale on the Priceline website are all clearly indicated as being </w:t>
      </w:r>
      <w:r w:rsidR="006359D7">
        <w:t>Freezeframe</w:t>
      </w:r>
      <w:r w:rsidR="00226028">
        <w:t xml:space="preserve"> products. </w:t>
      </w:r>
    </w:p>
    <w:p w14:paraId="3C3793A7" w14:textId="09E65C40" w:rsidR="00080EB2" w:rsidRDefault="001E3C6B" w:rsidP="001E3C6B">
      <w:pPr>
        <w:pStyle w:val="ParaNumbering"/>
        <w:numPr>
          <w:ilvl w:val="0"/>
          <w:numId w:val="0"/>
        </w:numPr>
        <w:ind w:hanging="720"/>
      </w:pPr>
      <w:r>
        <w:rPr>
          <w:sz w:val="20"/>
        </w:rPr>
        <w:t>60</w:t>
      </w:r>
      <w:r>
        <w:rPr>
          <w:sz w:val="20"/>
        </w:rPr>
        <w:tab/>
      </w:r>
      <w:r w:rsidR="00080EB2">
        <w:t xml:space="preserve">Ms Amoroso accepted that some clinics that provide medical treatments also provide cosmetic moisturising products.  But, she said that FREEZEFRAME </w:t>
      </w:r>
      <w:r w:rsidR="00126FE8">
        <w:t>branded</w:t>
      </w:r>
      <w:r w:rsidR="00080EB2">
        <w:t xml:space="preserve"> products a</w:t>
      </w:r>
      <w:r w:rsidR="00A05FF9">
        <w:t xml:space="preserve">re not sold at such clinics.  </w:t>
      </w:r>
      <w:r w:rsidR="00080EB2">
        <w:t>She was not challenged on that evidence, and I accept it.</w:t>
      </w:r>
    </w:p>
    <w:p w14:paraId="5DE542DC" w14:textId="7D142BEF" w:rsidR="002B6576" w:rsidRDefault="001E3C6B" w:rsidP="001E3C6B">
      <w:pPr>
        <w:pStyle w:val="ParaNumbering"/>
        <w:numPr>
          <w:ilvl w:val="0"/>
          <w:numId w:val="0"/>
        </w:numPr>
        <w:ind w:hanging="720"/>
      </w:pPr>
      <w:r>
        <w:rPr>
          <w:sz w:val="20"/>
        </w:rPr>
        <w:t>61</w:t>
      </w:r>
      <w:r>
        <w:rPr>
          <w:sz w:val="20"/>
        </w:rPr>
        <w:tab/>
      </w:r>
      <w:r w:rsidR="002B6576" w:rsidRPr="002B6576">
        <w:t xml:space="preserve">The Freezeframe range of products has been extremely successful – both in terms of annual revenue and in product units sold.  It has been particularly successful at Priceline, which is one of the biggest beauty retailers in Australia.  </w:t>
      </w:r>
    </w:p>
    <w:p w14:paraId="0FDC7F7A" w14:textId="77777777" w:rsidR="00EE4D06" w:rsidRPr="007A08C7" w:rsidRDefault="00EE4D06" w:rsidP="00EE4D06">
      <w:pPr>
        <w:pStyle w:val="Heading2"/>
      </w:pPr>
      <w:bookmarkStart w:id="41" w:name="_Ref54701565"/>
      <w:r w:rsidRPr="007A08C7">
        <w:t>Protox product</w:t>
      </w:r>
      <w:bookmarkEnd w:id="41"/>
    </w:p>
    <w:p w14:paraId="19131967" w14:textId="042668C6" w:rsidR="00EE4D06" w:rsidRPr="007A08C7" w:rsidRDefault="001E3C6B" w:rsidP="001E3C6B">
      <w:pPr>
        <w:pStyle w:val="ParaNumbering"/>
        <w:numPr>
          <w:ilvl w:val="0"/>
          <w:numId w:val="0"/>
        </w:numPr>
        <w:ind w:hanging="720"/>
      </w:pPr>
      <w:bookmarkStart w:id="42" w:name="_Ref54198678"/>
      <w:r w:rsidRPr="007A08C7">
        <w:rPr>
          <w:sz w:val="20"/>
        </w:rPr>
        <w:t>62</w:t>
      </w:r>
      <w:r w:rsidRPr="007A08C7">
        <w:rPr>
          <w:sz w:val="20"/>
        </w:rPr>
        <w:tab/>
      </w:r>
      <w:r w:rsidR="00EE4D06" w:rsidRPr="007A08C7">
        <w:t xml:space="preserve">Since the second half of 2014, Self Care has caused to be manufactured and sold in Australia a skincare product which I will refer to as the Protox product.  It is sold in a 20 ml tube which is packaged in an elongated box.  The packaging includes the word PROTOX prominently on its own, as well as the word </w:t>
      </w:r>
      <w:r w:rsidR="00DC63C7">
        <w:t>FREEZEFRAME</w:t>
      </w:r>
      <w:r w:rsidR="00EE4D06" w:rsidRPr="007A08C7">
        <w:t xml:space="preserve">® prominently on its own.  It also includes the phrases </w:t>
      </w:r>
      <w:r w:rsidR="00EE4D06">
        <w:t>“</w:t>
      </w:r>
      <w:r w:rsidR="00EE4D06" w:rsidRPr="007A08C7">
        <w:t>prolong the look of Botox®</w:t>
      </w:r>
      <w:r w:rsidR="00EE4D06">
        <w:t>”</w:t>
      </w:r>
      <w:r w:rsidR="00EE4D06" w:rsidRPr="007A08C7">
        <w:t xml:space="preserve"> and </w:t>
      </w:r>
      <w:r w:rsidR="00EE4D06">
        <w:t>“</w:t>
      </w:r>
      <w:r w:rsidR="00EE4D06" w:rsidRPr="007A08C7">
        <w:t>clinically proven to prolong the effect of Botox®</w:t>
      </w:r>
      <w:r w:rsidR="00EE4D06">
        <w:t>”</w:t>
      </w:r>
      <w:r w:rsidR="00EE4D06" w:rsidRPr="007A08C7">
        <w:t>.</w:t>
      </w:r>
      <w:bookmarkEnd w:id="42"/>
    </w:p>
    <w:p w14:paraId="0CC25319" w14:textId="2B726A3E" w:rsidR="00EE4D06" w:rsidRPr="007A08C7" w:rsidRDefault="001E3C6B" w:rsidP="001E3C6B">
      <w:pPr>
        <w:pStyle w:val="ParaNumbering"/>
        <w:numPr>
          <w:ilvl w:val="0"/>
          <w:numId w:val="0"/>
        </w:numPr>
        <w:ind w:hanging="720"/>
      </w:pPr>
      <w:bookmarkStart w:id="43" w:name="_Ref36025615"/>
      <w:r w:rsidRPr="007A08C7">
        <w:rPr>
          <w:sz w:val="20"/>
        </w:rPr>
        <w:t>63</w:t>
      </w:r>
      <w:r w:rsidRPr="007A08C7">
        <w:rPr>
          <w:sz w:val="20"/>
        </w:rPr>
        <w:tab/>
      </w:r>
      <w:r w:rsidR="00EE4D06" w:rsidRPr="007A08C7">
        <w:t>The packaging relevantly looks like this:</w:t>
      </w:r>
      <w:bookmarkEnd w:id="43"/>
    </w:p>
    <w:p w14:paraId="15FA8EEC" w14:textId="75AB6026" w:rsidR="00EE4D06" w:rsidRPr="00E91ECB" w:rsidRDefault="003D7BA6" w:rsidP="00015F2E">
      <w:pPr>
        <w:pStyle w:val="NoNum"/>
        <w:rPr>
          <w:highlight w:val="yellow"/>
        </w:rPr>
      </w:pPr>
      <w:r w:rsidRPr="00015F2E">
        <w:rPr>
          <w:noProof/>
          <w:lang w:eastAsia="en-AU"/>
        </w:rPr>
        <w:lastRenderedPageBreak/>
        <w:drawing>
          <wp:inline distT="0" distB="0" distL="0" distR="0" wp14:anchorId="02CDE26D" wp14:editId="2F74136A">
            <wp:extent cx="987425" cy="278551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87425" cy="2785513"/>
                    </a:xfrm>
                    <a:prstGeom prst="rect">
                      <a:avLst/>
                    </a:prstGeom>
                    <a:noFill/>
                  </pic:spPr>
                </pic:pic>
              </a:graphicData>
            </a:graphic>
          </wp:inline>
        </w:drawing>
      </w:r>
      <w:r w:rsidRPr="00E91ECB">
        <w:rPr>
          <w:noProof/>
          <w:highlight w:val="yellow"/>
          <w:lang w:eastAsia="en-AU"/>
        </w:rPr>
        <w:drawing>
          <wp:inline distT="0" distB="0" distL="0" distR="0" wp14:anchorId="4A949813" wp14:editId="419AFDEC">
            <wp:extent cx="1566545" cy="2767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566545" cy="2767359"/>
                    </a:xfrm>
                    <a:prstGeom prst="rect">
                      <a:avLst/>
                    </a:prstGeom>
                    <a:noFill/>
                  </pic:spPr>
                </pic:pic>
              </a:graphicData>
            </a:graphic>
          </wp:inline>
        </w:drawing>
      </w:r>
    </w:p>
    <w:p w14:paraId="4849A6FC" w14:textId="0B7F3DCC" w:rsidR="00EE4D06" w:rsidRPr="007A08C7" w:rsidRDefault="001E3C6B" w:rsidP="001E3C6B">
      <w:pPr>
        <w:pStyle w:val="ParaNumbering"/>
        <w:numPr>
          <w:ilvl w:val="0"/>
          <w:numId w:val="0"/>
        </w:numPr>
        <w:ind w:hanging="720"/>
      </w:pPr>
      <w:r w:rsidRPr="007A08C7">
        <w:rPr>
          <w:sz w:val="20"/>
        </w:rPr>
        <w:t>64</w:t>
      </w:r>
      <w:r w:rsidRPr="007A08C7">
        <w:rPr>
          <w:sz w:val="20"/>
        </w:rPr>
        <w:tab/>
      </w:r>
      <w:r w:rsidR="00EE4D06" w:rsidRPr="007A08C7">
        <w:t xml:space="preserve">The tube itself has the words PROTOX and </w:t>
      </w:r>
      <w:r w:rsidR="00DC63C7">
        <w:t>FREEZEFRAME</w:t>
      </w:r>
      <w:r w:rsidR="00EE4D06" w:rsidRPr="007A08C7">
        <w:t xml:space="preserve">® in close proximity and the phrase </w:t>
      </w:r>
      <w:r w:rsidR="00EE4D06">
        <w:t>“</w:t>
      </w:r>
      <w:r w:rsidR="00EE4D06" w:rsidRPr="007A08C7">
        <w:t>prolongs the skin smoothing effect of Botox® injections</w:t>
      </w:r>
      <w:r w:rsidR="00EE4D06">
        <w:t>”</w:t>
      </w:r>
      <w:r w:rsidR="00EE4D06" w:rsidRPr="007A08C7">
        <w:t>.</w:t>
      </w:r>
    </w:p>
    <w:p w14:paraId="4C97F4AD" w14:textId="54924C20" w:rsidR="00EE4D06" w:rsidRPr="007A08C7" w:rsidRDefault="001E3C6B" w:rsidP="001E3C6B">
      <w:pPr>
        <w:pStyle w:val="ParaNumbering"/>
        <w:numPr>
          <w:ilvl w:val="0"/>
          <w:numId w:val="0"/>
        </w:numPr>
        <w:ind w:hanging="720"/>
      </w:pPr>
      <w:r w:rsidRPr="007A08C7">
        <w:rPr>
          <w:sz w:val="20"/>
        </w:rPr>
        <w:t>65</w:t>
      </w:r>
      <w:r w:rsidRPr="007A08C7">
        <w:rPr>
          <w:sz w:val="20"/>
        </w:rPr>
        <w:tab/>
      </w:r>
      <w:r w:rsidR="00EE4D06" w:rsidRPr="007A08C7">
        <w:t>Inside the Protox product packaging is a product information sheet which contains information about several of Self Care</w:t>
      </w:r>
      <w:r w:rsidR="00EE4D06">
        <w:t>’</w:t>
      </w:r>
      <w:r w:rsidR="00EE4D06" w:rsidRPr="007A08C7">
        <w:t xml:space="preserve">s products, including the Protox product.  Generally, the information sheet prominently displays the word </w:t>
      </w:r>
      <w:r w:rsidR="00DC63C7">
        <w:t xml:space="preserve">FREEZEFRAME </w:t>
      </w:r>
      <w:r w:rsidR="00EE4D06" w:rsidRPr="007A08C7">
        <w:t xml:space="preserve">and the phrase </w:t>
      </w:r>
      <w:r w:rsidR="00EE4D06">
        <w:t>“</w:t>
      </w:r>
      <w:r w:rsidR="00EE4D06" w:rsidRPr="007A08C7">
        <w:t>injection free alternatives</w:t>
      </w:r>
      <w:r w:rsidR="00EE4D06">
        <w:t>”</w:t>
      </w:r>
      <w:r w:rsidR="00EE4D06" w:rsidRPr="007A08C7">
        <w:t xml:space="preserve">.  </w:t>
      </w:r>
    </w:p>
    <w:p w14:paraId="7C927699" w14:textId="1B5CDCE0" w:rsidR="00EE4D06" w:rsidRPr="007A08C7" w:rsidRDefault="001E3C6B" w:rsidP="001E3C6B">
      <w:pPr>
        <w:pStyle w:val="ParaNumbering"/>
        <w:numPr>
          <w:ilvl w:val="0"/>
          <w:numId w:val="0"/>
        </w:numPr>
        <w:ind w:hanging="720"/>
      </w:pPr>
      <w:r w:rsidRPr="007A08C7">
        <w:rPr>
          <w:sz w:val="20"/>
        </w:rPr>
        <w:t>66</w:t>
      </w:r>
      <w:r w:rsidRPr="007A08C7">
        <w:rPr>
          <w:sz w:val="20"/>
        </w:rPr>
        <w:tab/>
      </w:r>
      <w:r w:rsidR="00EE4D06" w:rsidRPr="007A08C7">
        <w:t>At various times since October 2014, Self Care has sold the Protox product in Australia to various retail outlets and selected pharmacies, as well as through the Freezeframe website.  The recommended retail price of the Protox product is around $69.00, including GST.</w:t>
      </w:r>
    </w:p>
    <w:p w14:paraId="19DCBF0D" w14:textId="28AABF8C" w:rsidR="00EE4D06" w:rsidRPr="007A08C7" w:rsidRDefault="001E3C6B" w:rsidP="001E3C6B">
      <w:pPr>
        <w:pStyle w:val="ParaNumbering"/>
        <w:numPr>
          <w:ilvl w:val="0"/>
          <w:numId w:val="0"/>
        </w:numPr>
        <w:ind w:hanging="720"/>
      </w:pPr>
      <w:bookmarkStart w:id="44" w:name="_Ref49871108"/>
      <w:r w:rsidRPr="007A08C7">
        <w:rPr>
          <w:sz w:val="20"/>
        </w:rPr>
        <w:t>67</w:t>
      </w:r>
      <w:r w:rsidRPr="007A08C7">
        <w:rPr>
          <w:sz w:val="20"/>
        </w:rPr>
        <w:tab/>
      </w:r>
      <w:r w:rsidR="00EE4D06" w:rsidRPr="007A08C7">
        <w:t>Since April 2015, advertisements</w:t>
      </w:r>
      <w:r w:rsidR="00B225EF">
        <w:t xml:space="preserve"> </w:t>
      </w:r>
      <w:r w:rsidR="00EE4D06" w:rsidRPr="007A08C7">
        <w:t xml:space="preserve">that included the Protox product appeared in publications such as the </w:t>
      </w:r>
      <w:r w:rsidR="00C81499" w:rsidRPr="003B1259">
        <w:rPr>
          <w:i/>
        </w:rPr>
        <w:t xml:space="preserve">Body+Soul </w:t>
      </w:r>
      <w:r w:rsidR="002F736E">
        <w:t>s</w:t>
      </w:r>
      <w:r w:rsidR="00C81499" w:rsidRPr="00C81499">
        <w:t>upplement</w:t>
      </w:r>
      <w:r w:rsidR="00EE4D06" w:rsidRPr="007A08C7">
        <w:t xml:space="preserve">, </w:t>
      </w:r>
      <w:r w:rsidR="00EE4D06" w:rsidRPr="003B1259">
        <w:rPr>
          <w:i/>
        </w:rPr>
        <w:t>Woman</w:t>
      </w:r>
      <w:r w:rsidR="00B225EF" w:rsidRPr="003B1259">
        <w:rPr>
          <w:i/>
        </w:rPr>
        <w:t>’</w:t>
      </w:r>
      <w:r w:rsidR="00EE4D06" w:rsidRPr="003B1259">
        <w:rPr>
          <w:i/>
        </w:rPr>
        <w:t>s Day</w:t>
      </w:r>
      <w:r w:rsidR="00EE4D06" w:rsidRPr="007A08C7">
        <w:t xml:space="preserve"> and </w:t>
      </w:r>
      <w:r w:rsidR="00EE4D06" w:rsidRPr="003B1259">
        <w:rPr>
          <w:i/>
        </w:rPr>
        <w:t>Marie Claire</w:t>
      </w:r>
      <w:r w:rsidR="00EE4D06" w:rsidRPr="007A08C7">
        <w:t>.</w:t>
      </w:r>
      <w:r w:rsidR="00B225EF">
        <w:t xml:space="preserve">  Also, </w:t>
      </w:r>
      <w:r w:rsidR="003B1259">
        <w:t xml:space="preserve">an article or editorial discussing “cosmeceuticals” with accompanying mini-features of select products in the form of panel advertisements was published </w:t>
      </w:r>
      <w:r w:rsidR="00B225EF">
        <w:t xml:space="preserve">in </w:t>
      </w:r>
      <w:r w:rsidR="00FF56E1" w:rsidRPr="003B1259">
        <w:rPr>
          <w:i/>
        </w:rPr>
        <w:t>Body</w:t>
      </w:r>
      <w:r w:rsidR="00B225EF" w:rsidRPr="003B1259">
        <w:rPr>
          <w:i/>
        </w:rPr>
        <w:t xml:space="preserve">+Soul </w:t>
      </w:r>
      <w:r w:rsidR="002F736E">
        <w:t>s</w:t>
      </w:r>
      <w:r w:rsidR="00B225EF" w:rsidRPr="00C81499">
        <w:t>upplement</w:t>
      </w:r>
      <w:r w:rsidR="00FF56E1" w:rsidRPr="00C81499">
        <w:t>s</w:t>
      </w:r>
      <w:r w:rsidR="00B225EF">
        <w:t xml:space="preserve"> that </w:t>
      </w:r>
      <w:r w:rsidR="00FF56E1">
        <w:t>were</w:t>
      </w:r>
      <w:r w:rsidR="00B225EF">
        <w:t xml:space="preserve"> included in a number of newspapers in the period between November 2014 and October 2016</w:t>
      </w:r>
      <w:r w:rsidR="003B1259">
        <w:t>.  The mini-features, or advertisements, on Protox</w:t>
      </w:r>
      <w:r w:rsidR="00B225EF">
        <w:t xml:space="preserve"> </w:t>
      </w:r>
      <w:r w:rsidR="00EE4D06" w:rsidRPr="007A08C7">
        <w:t>included the following statements:</w:t>
      </w:r>
      <w:bookmarkEnd w:id="44"/>
    </w:p>
    <w:p w14:paraId="449A05C0" w14:textId="5B38AF52" w:rsidR="00EE4D06" w:rsidRPr="007A08C7" w:rsidRDefault="001E3C6B" w:rsidP="001E3C6B">
      <w:pPr>
        <w:pStyle w:val="ListNo1"/>
        <w:numPr>
          <w:ilvl w:val="0"/>
          <w:numId w:val="0"/>
        </w:numPr>
        <w:tabs>
          <w:tab w:val="left" w:pos="720"/>
        </w:tabs>
        <w:ind w:left="720" w:hanging="720"/>
      </w:pPr>
      <w:r w:rsidRPr="007A08C7">
        <w:t>(1)</w:t>
      </w:r>
      <w:r w:rsidRPr="007A08C7">
        <w:tab/>
      </w:r>
      <w:r w:rsidR="00EE4D06">
        <w:t>“</w:t>
      </w:r>
      <w:r w:rsidR="00EE4D06" w:rsidRPr="007A08C7">
        <w:t>Freezeframe Protox ($69, 1800 662 686), can make Botox last longer, and reduce wrinkles even if you haven</w:t>
      </w:r>
      <w:r w:rsidR="00EE4D06">
        <w:t>’</w:t>
      </w:r>
      <w:r w:rsidR="00EE4D06" w:rsidRPr="007A08C7">
        <w:t>t had injections</w:t>
      </w:r>
      <w:r w:rsidR="00EE4D06">
        <w:t>”</w:t>
      </w:r>
    </w:p>
    <w:p w14:paraId="63DB8125" w14:textId="14B4128F" w:rsidR="00EE4D06" w:rsidRPr="007A08C7" w:rsidRDefault="001E3C6B" w:rsidP="001E3C6B">
      <w:pPr>
        <w:pStyle w:val="ListNo1"/>
        <w:numPr>
          <w:ilvl w:val="0"/>
          <w:numId w:val="0"/>
        </w:numPr>
        <w:tabs>
          <w:tab w:val="left" w:pos="720"/>
        </w:tabs>
        <w:ind w:left="720" w:hanging="720"/>
      </w:pPr>
      <w:r w:rsidRPr="007A08C7">
        <w:t>(2)</w:t>
      </w:r>
      <w:r w:rsidRPr="007A08C7">
        <w:tab/>
      </w:r>
      <w:r w:rsidR="00EE4D06">
        <w:t>“</w:t>
      </w:r>
      <w:r w:rsidR="00EE4D06" w:rsidRPr="007A08C7">
        <w:t>Get smoother skin without Botox</w:t>
      </w:r>
      <w:r w:rsidR="00EE4D06">
        <w:t>”</w:t>
      </w:r>
      <w:r w:rsidR="00EE4D06" w:rsidRPr="007A08C7">
        <w:t xml:space="preserve"> </w:t>
      </w:r>
    </w:p>
    <w:p w14:paraId="76F665F1" w14:textId="710CD77F" w:rsidR="00EE4D06" w:rsidRPr="007A08C7" w:rsidRDefault="001E3C6B" w:rsidP="001E3C6B">
      <w:pPr>
        <w:pStyle w:val="ListNo1"/>
        <w:numPr>
          <w:ilvl w:val="0"/>
          <w:numId w:val="0"/>
        </w:numPr>
        <w:tabs>
          <w:tab w:val="left" w:pos="720"/>
        </w:tabs>
        <w:ind w:left="720" w:hanging="720"/>
      </w:pPr>
      <w:r w:rsidRPr="007A08C7">
        <w:t>(3)</w:t>
      </w:r>
      <w:r w:rsidRPr="007A08C7">
        <w:tab/>
      </w:r>
      <w:r w:rsidR="00EE4D06">
        <w:t>“</w:t>
      </w:r>
      <w:r w:rsidR="00EE4D06" w:rsidRPr="007A08C7">
        <w:t>IMAGINE A SERUM THAT MAKES BOTOX LAST LONGER</w:t>
      </w:r>
    </w:p>
    <w:p w14:paraId="65B1D844" w14:textId="77777777" w:rsidR="00EE4D06" w:rsidRPr="007A08C7" w:rsidRDefault="00EE4D06" w:rsidP="00EE4D06">
      <w:pPr>
        <w:pStyle w:val="ListNo1"/>
        <w:numPr>
          <w:ilvl w:val="0"/>
          <w:numId w:val="0"/>
        </w:numPr>
        <w:ind w:left="720"/>
      </w:pPr>
      <w:r w:rsidRPr="007A08C7">
        <w:lastRenderedPageBreak/>
        <w:t xml:space="preserve">Introducing freezeframe Protox, the anti-aging serum so powerful, it not only gives you a dramatic skin smoothing without the use of Botox, it can actually make the visual effects of Botox last up to three times longer. See smoother, fresher, younger-looking skin in as little as two-to-four weeks. Call 1800 662 686 or visit freeze-frame.com </w:t>
      </w:r>
    </w:p>
    <w:p w14:paraId="72C2A382" w14:textId="77777777" w:rsidR="00EE4D06" w:rsidRPr="007A08C7" w:rsidRDefault="00EE4D06" w:rsidP="00EE4D06">
      <w:pPr>
        <w:pStyle w:val="ListNo1"/>
        <w:numPr>
          <w:ilvl w:val="0"/>
          <w:numId w:val="0"/>
        </w:numPr>
        <w:ind w:left="720"/>
      </w:pPr>
      <w:r w:rsidRPr="007A08C7">
        <w:t>*Botox is a registered trademark of Allergan, Inc.</w:t>
      </w:r>
      <w:r>
        <w:t>”</w:t>
      </w:r>
    </w:p>
    <w:p w14:paraId="3007A744" w14:textId="3CAA6C63" w:rsidR="00EE4D06" w:rsidRPr="007A08C7" w:rsidRDefault="001E3C6B" w:rsidP="001E3C6B">
      <w:pPr>
        <w:pStyle w:val="ListNo1"/>
        <w:numPr>
          <w:ilvl w:val="0"/>
          <w:numId w:val="0"/>
        </w:numPr>
        <w:tabs>
          <w:tab w:val="left" w:pos="720"/>
        </w:tabs>
        <w:ind w:left="720" w:hanging="720"/>
      </w:pPr>
      <w:r w:rsidRPr="007A08C7">
        <w:t>(4)</w:t>
      </w:r>
      <w:r w:rsidRPr="007A08C7">
        <w:tab/>
      </w:r>
      <w:r w:rsidR="00EE4D06">
        <w:t>“</w:t>
      </w:r>
      <w:r w:rsidR="00EE4D06" w:rsidRPr="007A08C7">
        <w:t>MAKE BOTOX LAST Imagine a serum that makes Botox® last longer</w:t>
      </w:r>
      <w:r w:rsidR="00EE4D06">
        <w:t>”</w:t>
      </w:r>
    </w:p>
    <w:p w14:paraId="30A8AB0E" w14:textId="23D1A4C2" w:rsidR="00EE4D06" w:rsidRPr="007A08C7" w:rsidRDefault="001E3C6B" w:rsidP="001E3C6B">
      <w:pPr>
        <w:pStyle w:val="ListNo1"/>
        <w:numPr>
          <w:ilvl w:val="0"/>
          <w:numId w:val="0"/>
        </w:numPr>
        <w:tabs>
          <w:tab w:val="left" w:pos="720"/>
        </w:tabs>
        <w:ind w:left="720" w:hanging="720"/>
      </w:pPr>
      <w:r w:rsidRPr="007A08C7">
        <w:t>(5)</w:t>
      </w:r>
      <w:r w:rsidRPr="007A08C7">
        <w:tab/>
      </w:r>
      <w:r w:rsidR="00EE4D06">
        <w:t>“</w:t>
      </w:r>
      <w:r w:rsidR="00EE4D06" w:rsidRPr="007A08C7">
        <w:t>Better without Botox Freezeframe Protox is clinically proven to make Botox look better and last up to three times longer, but it</w:t>
      </w:r>
      <w:r w:rsidR="00EE4D06">
        <w:t>’</w:t>
      </w:r>
      <w:r w:rsidR="00EE4D06" w:rsidRPr="007A08C7">
        <w:t>s the dramatic results this power serum can produce without Botox that has everyone talking. On its own, Freezeframe Protox has a strong Botox-like effect and is proven to reduce deep wrinkles and smooth skin in just 15 days</w:t>
      </w:r>
      <w:r w:rsidR="00EE4D06">
        <w:t>”</w:t>
      </w:r>
      <w:r w:rsidR="00EE4D06" w:rsidRPr="007A08C7">
        <w:t>.</w:t>
      </w:r>
    </w:p>
    <w:p w14:paraId="51B6F946" w14:textId="40554F57" w:rsidR="00EE4D06" w:rsidRPr="007A08C7" w:rsidRDefault="001E3C6B" w:rsidP="001E3C6B">
      <w:pPr>
        <w:pStyle w:val="ParaNumbering"/>
        <w:numPr>
          <w:ilvl w:val="0"/>
          <w:numId w:val="0"/>
        </w:numPr>
        <w:ind w:hanging="720"/>
      </w:pPr>
      <w:r w:rsidRPr="007A08C7">
        <w:rPr>
          <w:sz w:val="20"/>
        </w:rPr>
        <w:t>68</w:t>
      </w:r>
      <w:r w:rsidRPr="007A08C7">
        <w:rPr>
          <w:sz w:val="20"/>
        </w:rPr>
        <w:tab/>
      </w:r>
      <w:r w:rsidR="00EE4D06" w:rsidRPr="007A08C7">
        <w:t>From about October 2014, the Protox product together with the statements below have been included on the Freezeframe website at various times, for various periods of time:</w:t>
      </w:r>
    </w:p>
    <w:p w14:paraId="7385CD51" w14:textId="366E4B8E" w:rsidR="00EE4D06" w:rsidRPr="007A08C7" w:rsidRDefault="001E3C6B" w:rsidP="001E3C6B">
      <w:pPr>
        <w:pStyle w:val="ListNo1"/>
        <w:numPr>
          <w:ilvl w:val="0"/>
          <w:numId w:val="0"/>
        </w:numPr>
        <w:tabs>
          <w:tab w:val="left" w:pos="720"/>
        </w:tabs>
        <w:ind w:left="720" w:hanging="720"/>
      </w:pPr>
      <w:r w:rsidRPr="007A08C7">
        <w:t>(1)</w:t>
      </w:r>
      <w:r w:rsidRPr="007A08C7">
        <w:tab/>
      </w:r>
      <w:r w:rsidR="00EE4D06">
        <w:t>“</w:t>
      </w:r>
      <w:r w:rsidR="00EE4D06" w:rsidRPr="007A08C7">
        <w:t>At Last! A serum that can prolong the look of Botox®</w:t>
      </w:r>
      <w:r w:rsidR="00EE4D06">
        <w:t>”</w:t>
      </w:r>
    </w:p>
    <w:p w14:paraId="6F2282ED" w14:textId="7B70EE2E" w:rsidR="00EE4D06" w:rsidRPr="007A08C7" w:rsidRDefault="001E3C6B" w:rsidP="001E3C6B">
      <w:pPr>
        <w:pStyle w:val="ListNo1"/>
        <w:numPr>
          <w:ilvl w:val="0"/>
          <w:numId w:val="0"/>
        </w:numPr>
        <w:tabs>
          <w:tab w:val="left" w:pos="720"/>
        </w:tabs>
        <w:ind w:left="720" w:hanging="720"/>
      </w:pPr>
      <w:r w:rsidRPr="007A08C7">
        <w:t>(2)</w:t>
      </w:r>
      <w:r w:rsidRPr="007A08C7">
        <w:tab/>
      </w:r>
      <w:r w:rsidR="00EE4D06">
        <w:t>“</w:t>
      </w:r>
      <w:r w:rsidR="00EE4D06" w:rsidRPr="007A08C7">
        <w:t>THE MOST POWERFUL BOTOX® ALTERNATIVE EVER DISCOVERED</w:t>
      </w:r>
      <w:r w:rsidR="00EE4D06">
        <w:t>”</w:t>
      </w:r>
    </w:p>
    <w:p w14:paraId="1A05AA86" w14:textId="5EF5169A" w:rsidR="00EE4D06" w:rsidRPr="007A08C7" w:rsidRDefault="001E3C6B" w:rsidP="001E3C6B">
      <w:pPr>
        <w:pStyle w:val="ListNo1"/>
        <w:numPr>
          <w:ilvl w:val="0"/>
          <w:numId w:val="0"/>
        </w:numPr>
        <w:tabs>
          <w:tab w:val="left" w:pos="720"/>
        </w:tabs>
        <w:ind w:left="720" w:hanging="720"/>
      </w:pPr>
      <w:r w:rsidRPr="007A08C7">
        <w:t>(3)</w:t>
      </w:r>
      <w:r w:rsidRPr="007A08C7">
        <w:tab/>
      </w:r>
      <w:r w:rsidR="00EE4D06">
        <w:t>“</w:t>
      </w:r>
      <w:r w:rsidR="00EE4D06" w:rsidRPr="007A08C7">
        <w:t>Introducing freezeframe PROTOX, the anti-aging serum so powerful, it not only gives you dramatic skin smoothing without the use of Botox, it can actually make the visual effect of Botox injections last up to 3 times longer!</w:t>
      </w:r>
      <w:r w:rsidR="00EE4D06">
        <w:t>”</w:t>
      </w:r>
    </w:p>
    <w:p w14:paraId="666B83DC" w14:textId="7833313E" w:rsidR="00EE4D06" w:rsidRPr="007A08C7" w:rsidRDefault="001E3C6B" w:rsidP="001E3C6B">
      <w:pPr>
        <w:pStyle w:val="ListNo1"/>
        <w:numPr>
          <w:ilvl w:val="0"/>
          <w:numId w:val="0"/>
        </w:numPr>
        <w:tabs>
          <w:tab w:val="left" w:pos="720"/>
        </w:tabs>
        <w:ind w:left="720" w:hanging="720"/>
      </w:pPr>
      <w:r w:rsidRPr="007A08C7">
        <w:t>(4)</w:t>
      </w:r>
      <w:r w:rsidRPr="007A08C7">
        <w:tab/>
      </w:r>
      <w:r w:rsidR="00EE4D06">
        <w:t>“</w:t>
      </w:r>
      <w:r w:rsidR="00EE4D06" w:rsidRPr="007A08C7">
        <w:t>The Accidental Botox Alternative</w:t>
      </w:r>
      <w:r w:rsidR="00EE4D06">
        <w:t>”</w:t>
      </w:r>
    </w:p>
    <w:p w14:paraId="45AE7D11" w14:textId="32F4E648" w:rsidR="00EE4D06" w:rsidRPr="007A08C7" w:rsidRDefault="001E3C6B" w:rsidP="001E3C6B">
      <w:pPr>
        <w:pStyle w:val="ListNo1"/>
        <w:numPr>
          <w:ilvl w:val="0"/>
          <w:numId w:val="0"/>
        </w:numPr>
        <w:tabs>
          <w:tab w:val="left" w:pos="720"/>
        </w:tabs>
        <w:ind w:left="720" w:hanging="720"/>
      </w:pPr>
      <w:r w:rsidRPr="007A08C7">
        <w:t>(5)</w:t>
      </w:r>
      <w:r w:rsidRPr="007A08C7">
        <w:tab/>
      </w:r>
      <w:r w:rsidR="00EE4D06">
        <w:t>“</w:t>
      </w:r>
      <w:r w:rsidR="00EE4D06" w:rsidRPr="007A08C7">
        <w:t>which could produce a Botox-like visual effect when applied topically to the skin</w:t>
      </w:r>
      <w:r w:rsidR="00EE4D06">
        <w:t>”</w:t>
      </w:r>
    </w:p>
    <w:p w14:paraId="5200CF77" w14:textId="5F5AA18F" w:rsidR="00EE4D06" w:rsidRPr="007A08C7" w:rsidRDefault="001E3C6B" w:rsidP="001E3C6B">
      <w:pPr>
        <w:pStyle w:val="ListNo1"/>
        <w:numPr>
          <w:ilvl w:val="0"/>
          <w:numId w:val="0"/>
        </w:numPr>
        <w:tabs>
          <w:tab w:val="left" w:pos="720"/>
        </w:tabs>
        <w:ind w:left="720" w:hanging="720"/>
      </w:pPr>
      <w:r w:rsidRPr="007A08C7">
        <w:t>(6)</w:t>
      </w:r>
      <w:r w:rsidRPr="007A08C7">
        <w:tab/>
      </w:r>
      <w:r w:rsidR="00EE4D06">
        <w:t>“</w:t>
      </w:r>
      <w:r w:rsidR="00EE4D06" w:rsidRPr="007A08C7">
        <w:t>for the first time ever cosmetic ingredients were tested to see what effects they had on skin that has been administered Botox injections</w:t>
      </w:r>
      <w:r w:rsidR="00EE4D06">
        <w:t>”</w:t>
      </w:r>
    </w:p>
    <w:p w14:paraId="0423DD5A" w14:textId="13A94221" w:rsidR="00EE4D06" w:rsidRPr="007A08C7" w:rsidRDefault="001E3C6B" w:rsidP="001E3C6B">
      <w:pPr>
        <w:pStyle w:val="ListNo1"/>
        <w:numPr>
          <w:ilvl w:val="0"/>
          <w:numId w:val="0"/>
        </w:numPr>
        <w:tabs>
          <w:tab w:val="left" w:pos="720"/>
        </w:tabs>
        <w:ind w:left="720" w:hanging="720"/>
      </w:pPr>
      <w:r w:rsidRPr="007A08C7">
        <w:t>(7)</w:t>
      </w:r>
      <w:r w:rsidRPr="007A08C7">
        <w:tab/>
      </w:r>
      <w:r w:rsidR="00EE4D06">
        <w:t>“</w:t>
      </w:r>
      <w:r w:rsidR="00EE4D06" w:rsidRPr="007A08C7">
        <w:t>freezeframe PROTOX</w:t>
      </w:r>
      <w:r w:rsidR="00EE4D06">
        <w:t>’</w:t>
      </w:r>
      <w:r w:rsidR="00EE4D06" w:rsidRPr="007A08C7">
        <w:t>s peptide complex was proven to make the visual skin smoothing effect achieved from Botox injections last up to 3 times longer than they would on their own!</w:t>
      </w:r>
      <w:r w:rsidR="00EE4D06">
        <w:t>”</w:t>
      </w:r>
    </w:p>
    <w:p w14:paraId="6EEF865B" w14:textId="7527D1D1" w:rsidR="00EE4D06" w:rsidRPr="007A08C7" w:rsidRDefault="001E3C6B" w:rsidP="001E3C6B">
      <w:pPr>
        <w:pStyle w:val="ListNo1"/>
        <w:numPr>
          <w:ilvl w:val="0"/>
          <w:numId w:val="0"/>
        </w:numPr>
        <w:tabs>
          <w:tab w:val="left" w:pos="720"/>
        </w:tabs>
        <w:ind w:left="720" w:hanging="720"/>
      </w:pPr>
      <w:r w:rsidRPr="007A08C7">
        <w:t>(8)</w:t>
      </w:r>
      <w:r w:rsidRPr="007A08C7">
        <w:tab/>
      </w:r>
      <w:r w:rsidR="00EE4D06">
        <w:t>“</w:t>
      </w:r>
      <w:r w:rsidR="00EE4D06" w:rsidRPr="007A08C7">
        <w:t>it actually made the visual effect, that lovely smooth skin look achieved with Botox, look even more dramatic than injections alone</w:t>
      </w:r>
      <w:r w:rsidR="00EE4D06">
        <w:t>”</w:t>
      </w:r>
    </w:p>
    <w:p w14:paraId="760247E4" w14:textId="4FE73D4F" w:rsidR="00EE4D06" w:rsidRPr="007A08C7" w:rsidRDefault="001E3C6B" w:rsidP="001E3C6B">
      <w:pPr>
        <w:pStyle w:val="ListNo1"/>
        <w:numPr>
          <w:ilvl w:val="0"/>
          <w:numId w:val="0"/>
        </w:numPr>
        <w:tabs>
          <w:tab w:val="left" w:pos="720"/>
        </w:tabs>
        <w:ind w:left="720" w:hanging="720"/>
      </w:pPr>
      <w:r w:rsidRPr="007A08C7">
        <w:t>(9)</w:t>
      </w:r>
      <w:r w:rsidRPr="007A08C7">
        <w:tab/>
      </w:r>
      <w:r w:rsidR="00EE4D06">
        <w:t>“</w:t>
      </w:r>
      <w:r w:rsidR="00EE4D06" w:rsidRPr="007A08C7">
        <w:t>In fact, skin looked better 6 months after injections than at 2 months, when Botox injections are still at their peak. Botox injections alone would have worn off by then</w:t>
      </w:r>
      <w:r w:rsidR="00EE4D06">
        <w:t>”</w:t>
      </w:r>
    </w:p>
    <w:p w14:paraId="508CF954" w14:textId="44536F72" w:rsidR="00EE4D06" w:rsidRPr="007A08C7" w:rsidRDefault="001E3C6B" w:rsidP="001E3C6B">
      <w:pPr>
        <w:pStyle w:val="ListNo1"/>
        <w:numPr>
          <w:ilvl w:val="0"/>
          <w:numId w:val="0"/>
        </w:numPr>
        <w:tabs>
          <w:tab w:val="left" w:pos="720"/>
        </w:tabs>
        <w:ind w:left="720" w:hanging="720"/>
      </w:pPr>
      <w:r w:rsidRPr="007A08C7">
        <w:t>(10)</w:t>
      </w:r>
      <w:r w:rsidRPr="007A08C7">
        <w:tab/>
      </w:r>
      <w:r w:rsidR="00EE4D06">
        <w:t>“</w:t>
      </w:r>
      <w:r w:rsidR="00EE4D06" w:rsidRPr="007A08C7">
        <w:t>Look better without Botox, or make Botox look better for longer – the power is now in your hands!</w:t>
      </w:r>
      <w:r w:rsidR="00EE4D06">
        <w:t>”</w:t>
      </w:r>
    </w:p>
    <w:p w14:paraId="4B45DCF6" w14:textId="72D0838B" w:rsidR="00EE4D06" w:rsidRPr="007A08C7" w:rsidRDefault="001E3C6B" w:rsidP="001E3C6B">
      <w:pPr>
        <w:pStyle w:val="ListNo1"/>
        <w:numPr>
          <w:ilvl w:val="0"/>
          <w:numId w:val="0"/>
        </w:numPr>
        <w:tabs>
          <w:tab w:val="left" w:pos="720"/>
        </w:tabs>
        <w:ind w:left="720" w:hanging="720"/>
      </w:pPr>
      <w:r w:rsidRPr="007A08C7">
        <w:lastRenderedPageBreak/>
        <w:t>(11)</w:t>
      </w:r>
      <w:r w:rsidRPr="007A08C7">
        <w:tab/>
      </w:r>
      <w:r w:rsidR="00EE4D06">
        <w:t>“</w:t>
      </w:r>
      <w:r w:rsidR="00EE4D06" w:rsidRPr="007A08C7">
        <w:t>the ultimate proof: freezeframe PROTOX is so powerful, it can even make Botox look better</w:t>
      </w:r>
      <w:r w:rsidR="00EE4D06">
        <w:t>”</w:t>
      </w:r>
    </w:p>
    <w:p w14:paraId="523AB437" w14:textId="15E44FA7" w:rsidR="00EE4D06" w:rsidRDefault="001E3C6B" w:rsidP="001E3C6B">
      <w:pPr>
        <w:pStyle w:val="ListNo1"/>
        <w:numPr>
          <w:ilvl w:val="0"/>
          <w:numId w:val="0"/>
        </w:numPr>
        <w:tabs>
          <w:tab w:val="left" w:pos="720"/>
        </w:tabs>
        <w:ind w:left="720" w:hanging="720"/>
      </w:pPr>
      <w:r>
        <w:t>(12)</w:t>
      </w:r>
      <w:r>
        <w:tab/>
      </w:r>
      <w:r w:rsidR="00EE4D06">
        <w:t>“</w:t>
      </w:r>
      <w:r w:rsidR="00EE4D06" w:rsidRPr="007A08C7">
        <w:t>freezeframe PROTOX intensified the skin smoothing look achieved by Botox, and had prolonged it even after 6 months.</w:t>
      </w:r>
      <w:r w:rsidR="00EE4D06">
        <w:t>”</w:t>
      </w:r>
    </w:p>
    <w:p w14:paraId="31207C92" w14:textId="43AE6EFA" w:rsidR="00271550" w:rsidRDefault="001E3C6B" w:rsidP="001E3C6B">
      <w:pPr>
        <w:pStyle w:val="ParaNumbering"/>
        <w:numPr>
          <w:ilvl w:val="0"/>
          <w:numId w:val="0"/>
        </w:numPr>
        <w:ind w:hanging="720"/>
      </w:pPr>
      <w:r>
        <w:rPr>
          <w:sz w:val="20"/>
        </w:rPr>
        <w:t>69</w:t>
      </w:r>
      <w:r>
        <w:rPr>
          <w:sz w:val="20"/>
        </w:rPr>
        <w:tab/>
      </w:r>
      <w:r w:rsidR="00656177">
        <w:t xml:space="preserve">Ms Amoroso came up with the word PROTOX.  She intended it to be a play on words, where PRO refers to prolonging and TOX refers to botulinum toxin.  She intended the product to be part of the </w:t>
      </w:r>
      <w:r w:rsidR="00DC63C7">
        <w:t>Freezeframe</w:t>
      </w:r>
      <w:r w:rsidR="00656177">
        <w:t xml:space="preserve"> range of products and to be referred to as </w:t>
      </w:r>
      <w:r w:rsidR="00C81499">
        <w:t>FREEZEFRAME PROTOX</w:t>
      </w:r>
      <w:r w:rsidR="00656177">
        <w:t xml:space="preserve">.  She expressly disputed that the play on words was intended to reference Allergan’s product Botox, as opposed to the generic understanding of </w:t>
      </w:r>
      <w:r w:rsidR="00AF00A7">
        <w:t>“</w:t>
      </w:r>
      <w:r w:rsidR="00656177">
        <w:t>botox</w:t>
      </w:r>
      <w:r w:rsidR="00AF00A7">
        <w:t>”</w:t>
      </w:r>
      <w:r w:rsidR="00656177">
        <w:t xml:space="preserve">, </w:t>
      </w:r>
      <w:r w:rsidR="00C07F61">
        <w:t>namely botulinum toxin.</w:t>
      </w:r>
    </w:p>
    <w:p w14:paraId="4657B7AB" w14:textId="41AA7745" w:rsidR="00271550" w:rsidRDefault="001E3C6B" w:rsidP="001E3C6B">
      <w:pPr>
        <w:pStyle w:val="ParaNumbering"/>
        <w:numPr>
          <w:ilvl w:val="0"/>
          <w:numId w:val="0"/>
        </w:numPr>
        <w:ind w:hanging="720"/>
      </w:pPr>
      <w:r>
        <w:rPr>
          <w:sz w:val="20"/>
        </w:rPr>
        <w:t>70</w:t>
      </w:r>
      <w:r>
        <w:rPr>
          <w:sz w:val="20"/>
        </w:rPr>
        <w:tab/>
      </w:r>
      <w:r w:rsidR="00271550">
        <w:t xml:space="preserve">Ms Amoroso </w:t>
      </w:r>
      <w:r w:rsidR="00DC63C7">
        <w:t xml:space="preserve">said that she </w:t>
      </w:r>
      <w:r w:rsidR="00271550">
        <w:t>decided to use a capital B for Botox in the packaging and advertising to acknowledge the trade mark owner, Allergan, and to avoid the issues that she had had with Allergan during her time at Cat Media</w:t>
      </w:r>
      <w:r w:rsidR="00C81499">
        <w:t xml:space="preserve"> Pty Ltd (</w:t>
      </w:r>
      <w:r w:rsidR="00C81499">
        <w:rPr>
          <w:b/>
        </w:rPr>
        <w:t>Cat Media</w:t>
      </w:r>
      <w:r w:rsidR="00C81499">
        <w:t>)</w:t>
      </w:r>
      <w:r w:rsidR="00C07F61">
        <w:t>.</w:t>
      </w:r>
      <w:r w:rsidR="000D0359">
        <w:t xml:space="preserve">  She was the founder of Cat Media and its managing director from March 1997 until December 2006 when she sold her interest in it.</w:t>
      </w:r>
    </w:p>
    <w:p w14:paraId="2E2DF1AA" w14:textId="35661E75" w:rsidR="00271550" w:rsidRDefault="001E3C6B" w:rsidP="001E3C6B">
      <w:pPr>
        <w:pStyle w:val="ParaNumbering"/>
        <w:numPr>
          <w:ilvl w:val="0"/>
          <w:numId w:val="0"/>
        </w:numPr>
        <w:ind w:hanging="720"/>
      </w:pPr>
      <w:bookmarkStart w:id="45" w:name="_Ref53911452"/>
      <w:r>
        <w:rPr>
          <w:sz w:val="20"/>
        </w:rPr>
        <w:t>71</w:t>
      </w:r>
      <w:r>
        <w:rPr>
          <w:sz w:val="20"/>
        </w:rPr>
        <w:tab/>
      </w:r>
      <w:r w:rsidR="00271550">
        <w:t xml:space="preserve">Ms Amoroso denied that she had chosen names like </w:t>
      </w:r>
      <w:r w:rsidR="00E01C60">
        <w:t xml:space="preserve">BITOX </w:t>
      </w:r>
      <w:r w:rsidR="00271550">
        <w:t xml:space="preserve">(when she was at Cat Media), </w:t>
      </w:r>
      <w:r w:rsidR="00AB5791">
        <w:t>PROTOX</w:t>
      </w:r>
      <w:r w:rsidR="00271550">
        <w:t xml:space="preserve"> and </w:t>
      </w:r>
      <w:r w:rsidR="00AB5791">
        <w:t>INHIBOX</w:t>
      </w:r>
      <w:r w:rsidR="00271550">
        <w:t xml:space="preserve"> because of the closeness to the </w:t>
      </w:r>
      <w:r w:rsidR="00AB5791">
        <w:t>BOTOX</w:t>
      </w:r>
      <w:r w:rsidR="00271550">
        <w:t xml:space="preserve"> mark or to play on the name </w:t>
      </w:r>
      <w:r w:rsidR="00AB5791">
        <w:t>BOTOX</w:t>
      </w:r>
      <w:r w:rsidR="00E01C60">
        <w:t xml:space="preserve">.  </w:t>
      </w:r>
      <w:r w:rsidR="00271550">
        <w:t>She said that in choosing those names she was interested in communicating an alternative to botulinum toxin, but not that her product had any</w:t>
      </w:r>
      <w:r w:rsidR="00E01C60">
        <w:t xml:space="preserve"> connection with Botox.  </w:t>
      </w:r>
      <w:r w:rsidR="00271550">
        <w:t xml:space="preserve">She said that the </w:t>
      </w:r>
      <w:r w:rsidR="00AB5791">
        <w:t>PROTOX</w:t>
      </w:r>
      <w:r w:rsidR="00271550">
        <w:t xml:space="preserve"> name was intended to convey that the product prolongs the effect of botulinum toxin. </w:t>
      </w:r>
      <w:bookmarkEnd w:id="45"/>
    </w:p>
    <w:p w14:paraId="339CD8BB" w14:textId="797C6CC8" w:rsidR="00656177" w:rsidRDefault="001E3C6B" w:rsidP="001E3C6B">
      <w:pPr>
        <w:pStyle w:val="ParaNumbering"/>
        <w:numPr>
          <w:ilvl w:val="0"/>
          <w:numId w:val="0"/>
        </w:numPr>
        <w:ind w:hanging="720"/>
      </w:pPr>
      <w:r>
        <w:rPr>
          <w:sz w:val="20"/>
        </w:rPr>
        <w:t>72</w:t>
      </w:r>
      <w:r>
        <w:rPr>
          <w:sz w:val="20"/>
        </w:rPr>
        <w:tab/>
      </w:r>
      <w:r w:rsidR="00656177">
        <w:t>It might be thought that that is rather undermined by the use of the ® symbol and the recorda</w:t>
      </w:r>
      <w:r w:rsidR="00DC63C7">
        <w:t>l</w:t>
      </w:r>
      <w:r w:rsidR="00656177">
        <w:t xml:space="preserve"> that B</w:t>
      </w:r>
      <w:r w:rsidR="00AF00A7">
        <w:t>OTOX</w:t>
      </w:r>
      <w:r w:rsidR="00656177">
        <w:t xml:space="preserve"> is the registered trade</w:t>
      </w:r>
      <w:r w:rsidR="006D59B0">
        <w:t xml:space="preserve"> </w:t>
      </w:r>
      <w:r w:rsidR="00656177">
        <w:t xml:space="preserve">mark of Allergan on the product packaging and in some of the advertising.  However, in view of the general understanding </w:t>
      </w:r>
      <w:r w:rsidR="00C81499">
        <w:t xml:space="preserve">in the market that “botox” refers to anti-wrinkle injections that are not necessarily Allergan’s product, and Ms Amoroso’s prior experience of Allergan complaining of Cat Media having appropriated its BOTOX mark, </w:t>
      </w:r>
      <w:r w:rsidR="00656177">
        <w:t xml:space="preserve">she </w:t>
      </w:r>
      <w:r w:rsidR="000C7F08">
        <w:t xml:space="preserve">could </w:t>
      </w:r>
      <w:r w:rsidR="00656177">
        <w:t>have had the intention to refer to bot</w:t>
      </w:r>
      <w:r w:rsidR="00AB5791">
        <w:t>ulinum toxin</w:t>
      </w:r>
      <w:r w:rsidR="00656177">
        <w:t xml:space="preserve"> injections generically and to wish to take the precaution </w:t>
      </w:r>
      <w:r w:rsidR="00BD0A58">
        <w:t xml:space="preserve">to </w:t>
      </w:r>
      <w:r w:rsidR="00656177">
        <w:t>specifically acknowledge that BOTOX is Allergan’s tr</w:t>
      </w:r>
      <w:r w:rsidR="00271550">
        <w:t>a</w:t>
      </w:r>
      <w:r w:rsidR="00656177">
        <w:t>de mark.</w:t>
      </w:r>
    </w:p>
    <w:p w14:paraId="23334CD6" w14:textId="2EC11C79" w:rsidR="00271550" w:rsidRDefault="001E3C6B" w:rsidP="001E3C6B">
      <w:pPr>
        <w:pStyle w:val="ParaNumbering"/>
        <w:numPr>
          <w:ilvl w:val="0"/>
          <w:numId w:val="0"/>
        </w:numPr>
        <w:ind w:hanging="720"/>
      </w:pPr>
      <w:bookmarkStart w:id="46" w:name="_Ref53911463"/>
      <w:r>
        <w:rPr>
          <w:sz w:val="20"/>
        </w:rPr>
        <w:t>73</w:t>
      </w:r>
      <w:r>
        <w:rPr>
          <w:sz w:val="20"/>
        </w:rPr>
        <w:tab/>
      </w:r>
      <w:r w:rsidR="00271550">
        <w:t xml:space="preserve">In </w:t>
      </w:r>
      <w:r w:rsidR="00AB5791">
        <w:t xml:space="preserve">email </w:t>
      </w:r>
      <w:r w:rsidR="00271550">
        <w:t xml:space="preserve">correspondence with people making a video commercial in 2009 when </w:t>
      </w:r>
      <w:r w:rsidR="00E01C60">
        <w:t>Self Care’s</w:t>
      </w:r>
      <w:r w:rsidR="00271550">
        <w:t xml:space="preserve"> first product, </w:t>
      </w:r>
      <w:r w:rsidR="00271550" w:rsidRPr="00EA7C32">
        <w:t>Freeze</w:t>
      </w:r>
      <w:r w:rsidR="00BD0A58" w:rsidRPr="00EA7C32">
        <w:t>f</w:t>
      </w:r>
      <w:r w:rsidR="00271550" w:rsidRPr="000E03CC">
        <w:t>rame with Inhibox, was launched Ms Am</w:t>
      </w:r>
      <w:r w:rsidR="00BD0A58" w:rsidRPr="000E03CC">
        <w:t>o</w:t>
      </w:r>
      <w:r w:rsidR="00271550" w:rsidRPr="000E03CC">
        <w:t>roso sai</w:t>
      </w:r>
      <w:r w:rsidR="00271550" w:rsidRPr="00EA7C32">
        <w:t>d that “box” or “ox” in the name</w:t>
      </w:r>
      <w:r w:rsidR="00271550">
        <w:t xml:space="preserve"> was a play on “botox” and that she thought that the target market would get the inference.  </w:t>
      </w:r>
      <w:r w:rsidR="000C7F08">
        <w:t xml:space="preserve">She says that by </w:t>
      </w:r>
      <w:r w:rsidR="00271550">
        <w:t xml:space="preserve">“botox” she meant botulinum toxin, not the mark BOTOX, which, </w:t>
      </w:r>
      <w:r w:rsidR="00271550">
        <w:lastRenderedPageBreak/>
        <w:t xml:space="preserve">she says, is shown by the fact that she did not use capital letters.  </w:t>
      </w:r>
      <w:r w:rsidR="000C7F08">
        <w:t>I do not accept that evidence.  It strikes me as a convenient reconstruction</w:t>
      </w:r>
      <w:r w:rsidR="00271550">
        <w:t>.</w:t>
      </w:r>
      <w:r w:rsidR="00E01C60">
        <w:t xml:space="preserve">  </w:t>
      </w:r>
      <w:r w:rsidR="000C7F08">
        <w:t>G</w:t>
      </w:r>
      <w:r w:rsidR="00E01C60">
        <w:t>iven the fame of BOTOX, the intention was obviously to leverage off that fame by the reference.</w:t>
      </w:r>
      <w:bookmarkEnd w:id="46"/>
      <w:r w:rsidR="000D0359">
        <w:t xml:space="preserve">  That is the inference that the target market would “get”.</w:t>
      </w:r>
    </w:p>
    <w:p w14:paraId="02176B7D" w14:textId="613AFB21" w:rsidR="00656177" w:rsidRDefault="001E3C6B" w:rsidP="001E3C6B">
      <w:pPr>
        <w:pStyle w:val="ParaNumbering"/>
        <w:numPr>
          <w:ilvl w:val="0"/>
          <w:numId w:val="0"/>
        </w:numPr>
        <w:ind w:hanging="720"/>
      </w:pPr>
      <w:r>
        <w:rPr>
          <w:sz w:val="20"/>
        </w:rPr>
        <w:t>74</w:t>
      </w:r>
      <w:r>
        <w:rPr>
          <w:sz w:val="20"/>
        </w:rPr>
        <w:tab/>
      </w:r>
      <w:r w:rsidR="00271550">
        <w:t>As recorded above</w:t>
      </w:r>
      <w:r w:rsidR="00656177">
        <w:t xml:space="preserve">, the </w:t>
      </w:r>
      <w:r w:rsidR="00271550">
        <w:t xml:space="preserve">Protox </w:t>
      </w:r>
      <w:r w:rsidR="00656177">
        <w:t xml:space="preserve">product was </w:t>
      </w:r>
      <w:r w:rsidR="00271550">
        <w:t xml:space="preserve">initially </w:t>
      </w:r>
      <w:r w:rsidR="00656177">
        <w:t xml:space="preserve">advertised and promoted under the lead message that it could be used to prolong the effect of Botox.  </w:t>
      </w:r>
      <w:r w:rsidR="00271550">
        <w:t>T</w:t>
      </w:r>
      <w:r w:rsidR="00656177">
        <w:t>hat was found to be unsuccessful because, on Ms Amoroso’s understanding and assessment, Self Care’s customers do not as a rule use Botox and were accordingly not interested in a product for prolonging its effects.  Therefore, the lead messaging was switched to P</w:t>
      </w:r>
      <w:r w:rsidR="000E03CC">
        <w:t>rotox</w:t>
      </w:r>
      <w:r w:rsidR="00656177">
        <w:t xml:space="preserve"> </w:t>
      </w:r>
      <w:r w:rsidR="00031110">
        <w:t>being an alternative to Botox.</w:t>
      </w:r>
    </w:p>
    <w:p w14:paraId="616CE4DD" w14:textId="6257E6B8" w:rsidR="00271550" w:rsidRPr="007A08C7" w:rsidRDefault="001E3C6B" w:rsidP="001E3C6B">
      <w:pPr>
        <w:pStyle w:val="ParaNumbering"/>
        <w:numPr>
          <w:ilvl w:val="0"/>
          <w:numId w:val="0"/>
        </w:numPr>
        <w:ind w:hanging="720"/>
      </w:pPr>
      <w:r w:rsidRPr="007A08C7">
        <w:rPr>
          <w:sz w:val="20"/>
        </w:rPr>
        <w:t>75</w:t>
      </w:r>
      <w:r w:rsidRPr="007A08C7">
        <w:rPr>
          <w:sz w:val="20"/>
        </w:rPr>
        <w:tab/>
      </w:r>
      <w:r w:rsidR="0028713F">
        <w:t xml:space="preserve">Where the term “Botox alternative” is used in a statement, Ms Amoroso’s understanding and intention in relation to the meaning of that term was that the product is something that the customer would use themselves instead of using Botox.  That is, it is a product which does not involve </w:t>
      </w:r>
      <w:r w:rsidR="00031110">
        <w:t>injections of botulinum toxin.</w:t>
      </w:r>
    </w:p>
    <w:p w14:paraId="2994E47A" w14:textId="77777777" w:rsidR="00EE4D06" w:rsidRPr="007A08C7" w:rsidRDefault="00EE4D06" w:rsidP="00EE4D06">
      <w:pPr>
        <w:pStyle w:val="Heading2"/>
      </w:pPr>
      <w:bookmarkStart w:id="47" w:name="_Ref54701566"/>
      <w:r w:rsidRPr="007A08C7">
        <w:t>Inhibox product</w:t>
      </w:r>
      <w:bookmarkEnd w:id="47"/>
    </w:p>
    <w:p w14:paraId="500DEF44" w14:textId="1589CBB0" w:rsidR="00EE4D06" w:rsidRPr="007A08C7" w:rsidRDefault="001E3C6B" w:rsidP="001E3C6B">
      <w:pPr>
        <w:pStyle w:val="ParaNumbering"/>
        <w:numPr>
          <w:ilvl w:val="0"/>
          <w:numId w:val="0"/>
        </w:numPr>
        <w:ind w:hanging="720"/>
      </w:pPr>
      <w:r w:rsidRPr="007A08C7">
        <w:rPr>
          <w:sz w:val="20"/>
        </w:rPr>
        <w:t>76</w:t>
      </w:r>
      <w:r w:rsidRPr="007A08C7">
        <w:rPr>
          <w:sz w:val="20"/>
        </w:rPr>
        <w:tab/>
      </w:r>
      <w:r w:rsidR="00EE4D06" w:rsidRPr="007A08C7">
        <w:t>Since around July 2009, Self Care has promoted, sold or offered for sale, in Australia a skincare product which I will refer to as the Inhibox product.  It is sold in 10 ml units in a hard plastic syringe-like applicator.</w:t>
      </w:r>
    </w:p>
    <w:p w14:paraId="41A0E077" w14:textId="5F748E73" w:rsidR="00EE4D06" w:rsidRPr="007A08C7" w:rsidRDefault="001E3C6B" w:rsidP="001E3C6B">
      <w:pPr>
        <w:pStyle w:val="ParaNumbering"/>
        <w:numPr>
          <w:ilvl w:val="0"/>
          <w:numId w:val="0"/>
        </w:numPr>
        <w:ind w:hanging="720"/>
      </w:pPr>
      <w:r w:rsidRPr="007A08C7">
        <w:rPr>
          <w:sz w:val="20"/>
        </w:rPr>
        <w:t>77</w:t>
      </w:r>
      <w:r w:rsidRPr="007A08C7">
        <w:rPr>
          <w:sz w:val="20"/>
        </w:rPr>
        <w:tab/>
      </w:r>
      <w:r w:rsidR="00EE4D06" w:rsidRPr="007A08C7">
        <w:t xml:space="preserve">Until about February 2017, the applicator was packaged in a box containing a clear plastic window through which one can see the syringe-like applicator.  The packaging included the words </w:t>
      </w:r>
      <w:r w:rsidR="00DC63C7">
        <w:t xml:space="preserve">FREEZEFRAME </w:t>
      </w:r>
      <w:r w:rsidR="00EE4D06" w:rsidRPr="007A08C7">
        <w:t xml:space="preserve">and </w:t>
      </w:r>
      <w:r w:rsidR="00DC63C7">
        <w:t>WITH INHIBOX</w:t>
      </w:r>
      <w:r w:rsidR="00EE4D06" w:rsidRPr="007A08C7">
        <w:t xml:space="preserve"> appearing separately as well as together.  It also included the phrases </w:t>
      </w:r>
      <w:r w:rsidR="00EE4D06">
        <w:t>“</w:t>
      </w:r>
      <w:r w:rsidR="00EE4D06" w:rsidRPr="007A08C7">
        <w:t>instant Botox® alternative</w:t>
      </w:r>
      <w:r w:rsidR="00EE4D06">
        <w:t>”</w:t>
      </w:r>
      <w:r w:rsidR="00EE4D06" w:rsidRPr="007A08C7">
        <w:t xml:space="preserve">, </w:t>
      </w:r>
      <w:r w:rsidR="00EE4D06">
        <w:t>“</w:t>
      </w:r>
      <w:r w:rsidR="00EE4D06" w:rsidRPr="007A08C7">
        <w:t>Clinically proven to erase wrinkle appearance in 5 minutes</w:t>
      </w:r>
      <w:r w:rsidR="00EE4D06">
        <w:t>”</w:t>
      </w:r>
      <w:r w:rsidR="00EE4D06" w:rsidRPr="007A08C7">
        <w:t xml:space="preserve"> and </w:t>
      </w:r>
      <w:r w:rsidR="00EE4D06">
        <w:t>“</w:t>
      </w:r>
      <w:r w:rsidR="00EE4D06" w:rsidRPr="007A08C7">
        <w:t>The world</w:t>
      </w:r>
      <w:r w:rsidR="00EE4D06">
        <w:t>’</w:t>
      </w:r>
      <w:r w:rsidR="00EE4D06" w:rsidRPr="007A08C7">
        <w:t>s first Instant and Long Term Botox® Alternative</w:t>
      </w:r>
      <w:r w:rsidR="00EE4D06">
        <w:t>”</w:t>
      </w:r>
      <w:r w:rsidR="00EE4D06" w:rsidRPr="007A08C7">
        <w:t>.</w:t>
      </w:r>
    </w:p>
    <w:p w14:paraId="53D00A20" w14:textId="6F16F9A8" w:rsidR="00EE4D06" w:rsidRPr="007A08C7" w:rsidRDefault="001E3C6B" w:rsidP="001E3C6B">
      <w:pPr>
        <w:pStyle w:val="ParaNumbering"/>
        <w:numPr>
          <w:ilvl w:val="0"/>
          <w:numId w:val="0"/>
        </w:numPr>
        <w:ind w:hanging="720"/>
      </w:pPr>
      <w:r w:rsidRPr="007A08C7">
        <w:rPr>
          <w:sz w:val="20"/>
        </w:rPr>
        <w:t>78</w:t>
      </w:r>
      <w:r w:rsidRPr="007A08C7">
        <w:rPr>
          <w:sz w:val="20"/>
        </w:rPr>
        <w:tab/>
      </w:r>
      <w:r w:rsidR="00EE4D06" w:rsidRPr="007A08C7">
        <w:t xml:space="preserve">Since about </w:t>
      </w:r>
      <w:r w:rsidR="00C81499" w:rsidRPr="007A08C7">
        <w:t xml:space="preserve">September 2016 </w:t>
      </w:r>
      <w:r w:rsidR="00EE4D06" w:rsidRPr="007A08C7">
        <w:t xml:space="preserve">to date, the applicator has </w:t>
      </w:r>
      <w:r w:rsidR="00E01C60">
        <w:t xml:space="preserve">also </w:t>
      </w:r>
      <w:r w:rsidR="00EE4D06" w:rsidRPr="007A08C7">
        <w:t xml:space="preserve">been packaged in a different box without a window.  The box prominently displays the words </w:t>
      </w:r>
      <w:r w:rsidR="00DC63C7">
        <w:t xml:space="preserve">FREEZEFRAME </w:t>
      </w:r>
      <w:r w:rsidR="00EE4D06" w:rsidRPr="007A08C7">
        <w:t xml:space="preserve">and </w:t>
      </w:r>
      <w:r w:rsidR="00DC63C7">
        <w:t>INHIBOX</w:t>
      </w:r>
      <w:r w:rsidR="00EE4D06" w:rsidRPr="007A08C7">
        <w:t xml:space="preserve">.  It also includes the phrases </w:t>
      </w:r>
      <w:r w:rsidR="00EE4D06">
        <w:t>“</w:t>
      </w:r>
      <w:r w:rsidR="00EE4D06" w:rsidRPr="007A08C7">
        <w:t>instant Botox® alternative</w:t>
      </w:r>
      <w:r w:rsidR="00EE4D06">
        <w:t>”</w:t>
      </w:r>
      <w:r w:rsidR="00EE4D06" w:rsidRPr="007A08C7">
        <w:t xml:space="preserve">, </w:t>
      </w:r>
      <w:r w:rsidR="00EE4D06">
        <w:t>“</w:t>
      </w:r>
      <w:r w:rsidR="00EE4D06" w:rsidRPr="007A08C7">
        <w:t>clinically proven to erase eye wrinkles &amp; puffiness in 5 minutes</w:t>
      </w:r>
      <w:r w:rsidR="00EE4D06">
        <w:t>”</w:t>
      </w:r>
      <w:r w:rsidR="00EE4D06" w:rsidRPr="007A08C7">
        <w:t xml:space="preserve"> and </w:t>
      </w:r>
      <w:r w:rsidR="00EE4D06">
        <w:t>“</w:t>
      </w:r>
      <w:r w:rsidR="00EE4D06" w:rsidRPr="007A08C7">
        <w:t>The original instant and long-term Botox® alternative</w:t>
      </w:r>
      <w:r w:rsidR="00EE4D06">
        <w:t>”</w:t>
      </w:r>
      <w:r w:rsidR="00EE4D06" w:rsidRPr="007A08C7">
        <w:t>.</w:t>
      </w:r>
    </w:p>
    <w:p w14:paraId="6F213FBE" w14:textId="6E55DD48" w:rsidR="00EE4D06" w:rsidRPr="007A08C7" w:rsidRDefault="001E3C6B" w:rsidP="001E3C6B">
      <w:pPr>
        <w:pStyle w:val="ParaNumbering"/>
        <w:numPr>
          <w:ilvl w:val="0"/>
          <w:numId w:val="0"/>
        </w:numPr>
        <w:ind w:hanging="720"/>
      </w:pPr>
      <w:r w:rsidRPr="007A08C7">
        <w:rPr>
          <w:sz w:val="20"/>
        </w:rPr>
        <w:t>79</w:t>
      </w:r>
      <w:r w:rsidRPr="007A08C7">
        <w:rPr>
          <w:sz w:val="20"/>
        </w:rPr>
        <w:tab/>
      </w:r>
      <w:r w:rsidR="00EE4D06" w:rsidRPr="007A08C7">
        <w:t>The current packaging relevantly looks like this:</w:t>
      </w:r>
    </w:p>
    <w:p w14:paraId="69975F38" w14:textId="636E9C15" w:rsidR="00EE4D06" w:rsidRPr="00E91ECB" w:rsidRDefault="00C81499" w:rsidP="00015F2E">
      <w:pPr>
        <w:pStyle w:val="NoNum"/>
        <w:rPr>
          <w:highlight w:val="yellow"/>
        </w:rPr>
      </w:pPr>
      <w:r w:rsidRPr="00015F2E">
        <w:rPr>
          <w:noProof/>
          <w:lang w:eastAsia="en-AU"/>
        </w:rPr>
        <w:lastRenderedPageBreak/>
        <w:drawing>
          <wp:inline distT="0" distB="0" distL="0" distR="0" wp14:anchorId="2566D01C" wp14:editId="744A8D06">
            <wp:extent cx="2719070" cy="3670134"/>
            <wp:effectExtent l="0" t="0" r="508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19070" cy="3670134"/>
                    </a:xfrm>
                    <a:prstGeom prst="rect">
                      <a:avLst/>
                    </a:prstGeom>
                    <a:noFill/>
                  </pic:spPr>
                </pic:pic>
              </a:graphicData>
            </a:graphic>
          </wp:inline>
        </w:drawing>
      </w:r>
    </w:p>
    <w:p w14:paraId="6F2CE9A4" w14:textId="15B57BAA" w:rsidR="00EE4D06" w:rsidRPr="007A08C7" w:rsidRDefault="001E3C6B" w:rsidP="001E3C6B">
      <w:pPr>
        <w:pStyle w:val="ParaNumbering"/>
        <w:numPr>
          <w:ilvl w:val="0"/>
          <w:numId w:val="0"/>
        </w:numPr>
        <w:ind w:hanging="720"/>
      </w:pPr>
      <w:r w:rsidRPr="007A08C7">
        <w:rPr>
          <w:sz w:val="20"/>
        </w:rPr>
        <w:t>80</w:t>
      </w:r>
      <w:r w:rsidRPr="007A08C7">
        <w:rPr>
          <w:sz w:val="20"/>
        </w:rPr>
        <w:tab/>
      </w:r>
      <w:r w:rsidR="00EE4D06" w:rsidRPr="007A08C7">
        <w:t>Included in the old and the new packaging is a product information sheet which appears to be the same in each case and the same as the product information sheet for the Protox product.</w:t>
      </w:r>
    </w:p>
    <w:p w14:paraId="290C33E9" w14:textId="2BCDEACD" w:rsidR="00EE4D06" w:rsidRPr="007A08C7" w:rsidRDefault="001E3C6B" w:rsidP="001E3C6B">
      <w:pPr>
        <w:pStyle w:val="ParaNumbering"/>
        <w:numPr>
          <w:ilvl w:val="0"/>
          <w:numId w:val="0"/>
        </w:numPr>
        <w:ind w:hanging="720"/>
      </w:pPr>
      <w:r w:rsidRPr="007A08C7">
        <w:rPr>
          <w:sz w:val="20"/>
        </w:rPr>
        <w:t>81</w:t>
      </w:r>
      <w:r w:rsidRPr="007A08C7">
        <w:rPr>
          <w:sz w:val="20"/>
        </w:rPr>
        <w:tab/>
      </w:r>
      <w:r w:rsidR="00EE4D06" w:rsidRPr="007A08C7">
        <w:t>Self Care has sold and offered for sale the Inhibox product in Australia to various retail outlets and pharmacies.  The recommended retail price is about $89.00 including GST.</w:t>
      </w:r>
    </w:p>
    <w:p w14:paraId="54304AE2" w14:textId="26948C0F" w:rsidR="00EE4D06" w:rsidRPr="007A08C7" w:rsidRDefault="001E3C6B" w:rsidP="001E3C6B">
      <w:pPr>
        <w:pStyle w:val="ParaNumbering"/>
        <w:numPr>
          <w:ilvl w:val="0"/>
          <w:numId w:val="0"/>
        </w:numPr>
        <w:ind w:hanging="720"/>
      </w:pPr>
      <w:r w:rsidRPr="007A08C7">
        <w:rPr>
          <w:sz w:val="20"/>
        </w:rPr>
        <w:t>82</w:t>
      </w:r>
      <w:r w:rsidRPr="007A08C7">
        <w:rPr>
          <w:sz w:val="20"/>
        </w:rPr>
        <w:tab/>
      </w:r>
      <w:r w:rsidR="00EE4D06" w:rsidRPr="007A08C7">
        <w:t>From at least October 2012 to date, the Inhibox product has been promoted and sold from the Freezeframe website.</w:t>
      </w:r>
    </w:p>
    <w:p w14:paraId="5BB5A6C1" w14:textId="7087D8C9" w:rsidR="00EE4D06" w:rsidRPr="007A08C7" w:rsidRDefault="001E3C6B" w:rsidP="001E3C6B">
      <w:pPr>
        <w:pStyle w:val="ParaNumbering"/>
        <w:numPr>
          <w:ilvl w:val="0"/>
          <w:numId w:val="0"/>
        </w:numPr>
        <w:ind w:hanging="720"/>
      </w:pPr>
      <w:r w:rsidRPr="007A08C7">
        <w:rPr>
          <w:sz w:val="20"/>
        </w:rPr>
        <w:t>83</w:t>
      </w:r>
      <w:r w:rsidRPr="007A08C7">
        <w:rPr>
          <w:sz w:val="20"/>
        </w:rPr>
        <w:tab/>
      </w:r>
      <w:r w:rsidR="00EE4D06" w:rsidRPr="007A08C7">
        <w:t>From about October 2012, the Inhibox product together with the statements below have been included on the Freezeframe website at various times, for various periods of time:</w:t>
      </w:r>
    </w:p>
    <w:p w14:paraId="62CB0E1B" w14:textId="5AD32038" w:rsidR="00EE4D06" w:rsidRPr="007A08C7" w:rsidRDefault="001E3C6B" w:rsidP="001E3C6B">
      <w:pPr>
        <w:pStyle w:val="ListNo1"/>
        <w:numPr>
          <w:ilvl w:val="0"/>
          <w:numId w:val="0"/>
        </w:numPr>
        <w:tabs>
          <w:tab w:val="left" w:pos="720"/>
        </w:tabs>
        <w:ind w:left="720" w:hanging="720"/>
      </w:pPr>
      <w:r w:rsidRPr="007A08C7">
        <w:t>(1)</w:t>
      </w:r>
      <w:r w:rsidRPr="007A08C7">
        <w:tab/>
      </w:r>
      <w:r w:rsidR="00EE4D06">
        <w:t>“</w:t>
      </w:r>
      <w:r w:rsidR="00EE4D06" w:rsidRPr="007A08C7">
        <w:t>CLINICALLY PROVEN</w:t>
      </w:r>
    </w:p>
    <w:p w14:paraId="22E91367" w14:textId="77777777" w:rsidR="00EE4D06" w:rsidRPr="007A08C7" w:rsidRDefault="00EE4D06" w:rsidP="00EE4D06">
      <w:pPr>
        <w:pStyle w:val="ListNo1"/>
        <w:numPr>
          <w:ilvl w:val="0"/>
          <w:numId w:val="0"/>
        </w:numPr>
        <w:ind w:left="720"/>
      </w:pPr>
      <w:r w:rsidRPr="007A08C7">
        <w:t xml:space="preserve">INSTANT BOTOX® ALTERNATIVE </w:t>
      </w:r>
    </w:p>
    <w:p w14:paraId="629A17FA" w14:textId="77777777" w:rsidR="00EE4D06" w:rsidRPr="007A08C7" w:rsidRDefault="00EE4D06" w:rsidP="00EE4D06">
      <w:pPr>
        <w:pStyle w:val="ListNo1"/>
        <w:numPr>
          <w:ilvl w:val="0"/>
          <w:numId w:val="0"/>
        </w:numPr>
        <w:ind w:left="720"/>
      </w:pPr>
      <w:r w:rsidRPr="007A08C7">
        <w:t xml:space="preserve">FREEZES WRINKLES INSTANTLY </w:t>
      </w:r>
    </w:p>
    <w:p w14:paraId="4C96CF8D" w14:textId="77777777" w:rsidR="00EE4D06" w:rsidRPr="007A08C7" w:rsidRDefault="00EE4D06" w:rsidP="00EE4D06">
      <w:pPr>
        <w:pStyle w:val="ListNo1"/>
        <w:numPr>
          <w:ilvl w:val="0"/>
          <w:numId w:val="0"/>
        </w:numPr>
        <w:ind w:left="720"/>
      </w:pPr>
      <w:r w:rsidRPr="007A08C7">
        <w:t>REDUCES WRINKLES LONG TERM</w:t>
      </w:r>
      <w:r>
        <w:t>”</w:t>
      </w:r>
    </w:p>
    <w:p w14:paraId="50A5261E" w14:textId="16D3EA60" w:rsidR="00EE4D06" w:rsidRPr="007A08C7" w:rsidRDefault="001E3C6B" w:rsidP="001E3C6B">
      <w:pPr>
        <w:pStyle w:val="ListNo1"/>
        <w:numPr>
          <w:ilvl w:val="0"/>
          <w:numId w:val="0"/>
        </w:numPr>
        <w:tabs>
          <w:tab w:val="left" w:pos="720"/>
        </w:tabs>
        <w:ind w:left="720" w:hanging="720"/>
      </w:pPr>
      <w:r w:rsidRPr="007A08C7">
        <w:t>(2)</w:t>
      </w:r>
      <w:r w:rsidRPr="007A08C7">
        <w:tab/>
      </w:r>
      <w:r w:rsidR="00EE4D06">
        <w:t>“</w:t>
      </w:r>
      <w:r w:rsidR="00EE4D06" w:rsidRPr="007A08C7">
        <w:t>Freezeframe with INHIBOX is the original Instant Botox® Alternative, clinically proven to erase wrinkle appearance under the eyes and on the forehead in just 5 minutes, whilst delivering up to 63.23% reduction invisible</w:t>
      </w:r>
      <w:r w:rsidR="00E20F15">
        <w:t xml:space="preserve"> [sic]</w:t>
      </w:r>
      <w:r w:rsidR="00EE4D06" w:rsidRPr="007A08C7">
        <w:t xml:space="preserve"> wrinkles in just 28 days</w:t>
      </w:r>
      <w:r w:rsidR="00EE4D06">
        <w:t>”</w:t>
      </w:r>
    </w:p>
    <w:p w14:paraId="6AB43B31" w14:textId="535FA1ED" w:rsidR="00EE4D06" w:rsidRPr="007A08C7" w:rsidRDefault="001E3C6B" w:rsidP="001E3C6B">
      <w:pPr>
        <w:pStyle w:val="ListNo1"/>
        <w:numPr>
          <w:ilvl w:val="0"/>
          <w:numId w:val="0"/>
        </w:numPr>
        <w:tabs>
          <w:tab w:val="left" w:pos="720"/>
        </w:tabs>
        <w:ind w:left="720" w:hanging="720"/>
      </w:pPr>
      <w:r w:rsidRPr="007A08C7">
        <w:t>(3)</w:t>
      </w:r>
      <w:r w:rsidRPr="007A08C7">
        <w:tab/>
      </w:r>
      <w:r w:rsidR="00EE4D06">
        <w:t>“</w:t>
      </w:r>
      <w:r w:rsidR="00EE4D06" w:rsidRPr="007A08C7">
        <w:t>a topical alternative to Botox® injections</w:t>
      </w:r>
      <w:r w:rsidR="00EE4D06">
        <w:t>”</w:t>
      </w:r>
    </w:p>
    <w:p w14:paraId="1F4FAF07" w14:textId="1FE5F11D" w:rsidR="00EE4D06" w:rsidRDefault="001E3C6B" w:rsidP="001E3C6B">
      <w:pPr>
        <w:pStyle w:val="ListNo1"/>
        <w:numPr>
          <w:ilvl w:val="0"/>
          <w:numId w:val="0"/>
        </w:numPr>
        <w:tabs>
          <w:tab w:val="left" w:pos="720"/>
        </w:tabs>
        <w:ind w:left="720" w:hanging="720"/>
      </w:pPr>
      <w:r>
        <w:lastRenderedPageBreak/>
        <w:t>(4)</w:t>
      </w:r>
      <w:r>
        <w:tab/>
      </w:r>
      <w:r w:rsidR="00EE4D06">
        <w:t>“</w:t>
      </w:r>
      <w:r w:rsidR="00EE4D06" w:rsidRPr="007A08C7">
        <w:t>The original Instant Botox® Alternative, freezeframe</w:t>
      </w:r>
      <w:r w:rsidR="00E20F15">
        <w:t xml:space="preserve"> with</w:t>
      </w:r>
      <w:r w:rsidR="00EE4D06" w:rsidRPr="007A08C7">
        <w:t xml:space="preserve"> INHIBOX has been a number 1 seller all over the world</w:t>
      </w:r>
      <w:r w:rsidR="00EE4D06">
        <w:t>”</w:t>
      </w:r>
      <w:r w:rsidR="00EE4D06" w:rsidRPr="007A08C7">
        <w:t>.</w:t>
      </w:r>
    </w:p>
    <w:p w14:paraId="4EFA6C6B" w14:textId="30D96AE0" w:rsidR="00271550" w:rsidRDefault="001E3C6B" w:rsidP="001E3C6B">
      <w:pPr>
        <w:pStyle w:val="ParaNumbering"/>
        <w:numPr>
          <w:ilvl w:val="0"/>
          <w:numId w:val="0"/>
        </w:numPr>
        <w:ind w:hanging="720"/>
      </w:pPr>
      <w:r>
        <w:rPr>
          <w:sz w:val="20"/>
        </w:rPr>
        <w:t>84</w:t>
      </w:r>
      <w:r>
        <w:rPr>
          <w:sz w:val="20"/>
        </w:rPr>
        <w:tab/>
      </w:r>
      <w:r w:rsidR="00271550">
        <w:t>The original Freeze</w:t>
      </w:r>
      <w:r w:rsidR="00E20F15">
        <w:t>f</w:t>
      </w:r>
      <w:r w:rsidR="00271550">
        <w:t>rame with Inhibox packaging (Ex</w:t>
      </w:r>
      <w:r w:rsidR="002A51DB">
        <w:t>hibit</w:t>
      </w:r>
      <w:r w:rsidR="00271550">
        <w:t xml:space="preserve"> A) includes the phrase “Stop Time – </w:t>
      </w:r>
      <w:r w:rsidR="00E20F15">
        <w:t>f</w:t>
      </w:r>
      <w:r w:rsidR="00271550">
        <w:t>reeze</w:t>
      </w:r>
      <w:r w:rsidR="00E20F15">
        <w:t>f</w:t>
      </w:r>
      <w:r w:rsidR="00271550">
        <w:t xml:space="preserve">rame”.  Ms Amoroso did not agree that the intention of that phrase was to depict the idea of stopping the passage of time or stopping the ageing process.  She said that </w:t>
      </w:r>
      <w:r w:rsidR="002816A4">
        <w:t>FREEZEFRAME</w:t>
      </w:r>
      <w:r w:rsidR="00271550">
        <w:t xml:space="preserve"> as a word was intended to give people the impression of being able to capture a point in time.  That is because it is an instant product and is not a treatment as such; it does not have long</w:t>
      </w:r>
      <w:r w:rsidR="00A1342F">
        <w:t>-</w:t>
      </w:r>
      <w:r w:rsidR="00271550">
        <w:t>lasting effects.  Ms Amoroso denied that the intention with Freeze</w:t>
      </w:r>
      <w:r w:rsidR="00E20F15">
        <w:t>f</w:t>
      </w:r>
      <w:r w:rsidR="00271550">
        <w:t xml:space="preserve">rame was to evoke Botox in the sense of “freezing wrinkles”.  </w:t>
      </w:r>
    </w:p>
    <w:p w14:paraId="38A3A5BC" w14:textId="774518E8" w:rsidR="00271550" w:rsidRPr="007A08C7" w:rsidRDefault="001E3C6B" w:rsidP="001E3C6B">
      <w:pPr>
        <w:pStyle w:val="ParaNumbering"/>
        <w:numPr>
          <w:ilvl w:val="0"/>
          <w:numId w:val="0"/>
        </w:numPr>
        <w:ind w:hanging="720"/>
      </w:pPr>
      <w:r w:rsidRPr="007A08C7">
        <w:rPr>
          <w:sz w:val="20"/>
        </w:rPr>
        <w:t>85</w:t>
      </w:r>
      <w:r w:rsidRPr="007A08C7">
        <w:rPr>
          <w:sz w:val="20"/>
        </w:rPr>
        <w:tab/>
      </w:r>
      <w:r w:rsidR="00271550">
        <w:t>Ms Amoroso accepted that the syringe-like applicator for the Inhibox product had the intended implication that it is an alternative to a syringe</w:t>
      </w:r>
      <w:r w:rsidR="002A51DB">
        <w:t>:</w:t>
      </w:r>
      <w:r w:rsidR="00271550">
        <w:t xml:space="preserve"> “a playful, novelty way of not associating with </w:t>
      </w:r>
      <w:r w:rsidR="00E20F15">
        <w:t>B</w:t>
      </w:r>
      <w:r w:rsidR="00271550">
        <w:t>otox but associating with an alternative to anti-wrinkle injections in a</w:t>
      </w:r>
      <w:r w:rsidR="00E20F15">
        <w:t xml:space="preserve"> very</w:t>
      </w:r>
      <w:r w:rsidR="00271550">
        <w:t xml:space="preserve"> playful and</w:t>
      </w:r>
      <w:r w:rsidR="00DC63C7">
        <w:t xml:space="preserve"> non-invasive way”.  </w:t>
      </w:r>
    </w:p>
    <w:p w14:paraId="7919F76F" w14:textId="77777777" w:rsidR="00EE4D06" w:rsidRPr="007A08C7" w:rsidRDefault="00EE4D06" w:rsidP="00EE4D06">
      <w:pPr>
        <w:pStyle w:val="Heading2"/>
      </w:pPr>
      <w:bookmarkStart w:id="48" w:name="_Ref54701567"/>
      <w:r w:rsidRPr="007A08C7">
        <w:t>Night (tube) product</w:t>
      </w:r>
      <w:bookmarkEnd w:id="48"/>
    </w:p>
    <w:p w14:paraId="74364ADE" w14:textId="4674509B" w:rsidR="00EE4D06" w:rsidRPr="007A08C7" w:rsidRDefault="001E3C6B" w:rsidP="001E3C6B">
      <w:pPr>
        <w:pStyle w:val="ParaNumbering"/>
        <w:numPr>
          <w:ilvl w:val="0"/>
          <w:numId w:val="0"/>
        </w:numPr>
        <w:ind w:hanging="720"/>
      </w:pPr>
      <w:r w:rsidRPr="007A08C7">
        <w:rPr>
          <w:sz w:val="20"/>
        </w:rPr>
        <w:t>86</w:t>
      </w:r>
      <w:r w:rsidRPr="007A08C7">
        <w:rPr>
          <w:sz w:val="20"/>
        </w:rPr>
        <w:tab/>
      </w:r>
      <w:r w:rsidR="00EE4D06" w:rsidRPr="007A08C7">
        <w:t xml:space="preserve">From about February 2017 to date, Self Care has sold or offered for sale a skincare product in Australia which I will refer to as the Night (tube) product.  This is to distinguish it from the Night (tub) product which is dealt with next.  The Night (tube) product is sold in a 30 ml tube which is packaged in an elongated box.  The packaging includes the word NIGHT prominently on its own, as well as the word </w:t>
      </w:r>
      <w:r w:rsidR="00DC63C7">
        <w:t>FREEZEFRAME</w:t>
      </w:r>
      <w:r w:rsidR="00EE4D06" w:rsidRPr="007A08C7">
        <w:t xml:space="preserve">® prominently on its own.  </w:t>
      </w:r>
    </w:p>
    <w:p w14:paraId="61E31611" w14:textId="2818474E" w:rsidR="00EE4D06" w:rsidRPr="007A08C7" w:rsidRDefault="001E3C6B" w:rsidP="001E3C6B">
      <w:pPr>
        <w:pStyle w:val="ParaNumbering"/>
        <w:numPr>
          <w:ilvl w:val="0"/>
          <w:numId w:val="0"/>
        </w:numPr>
        <w:ind w:hanging="720"/>
      </w:pPr>
      <w:r w:rsidRPr="007A08C7">
        <w:rPr>
          <w:sz w:val="20"/>
        </w:rPr>
        <w:t>87</w:t>
      </w:r>
      <w:r w:rsidRPr="007A08C7">
        <w:rPr>
          <w:sz w:val="20"/>
        </w:rPr>
        <w:tab/>
      </w:r>
      <w:r w:rsidR="00EE4D06" w:rsidRPr="007A08C7">
        <w:t xml:space="preserve">The packaging also includes the phrases </w:t>
      </w:r>
      <w:r w:rsidR="00EE4D06">
        <w:t>“</w:t>
      </w:r>
      <w:r w:rsidR="00EE4D06" w:rsidRPr="007A08C7">
        <w:t>No Needle Topical Micro Injection</w:t>
      </w:r>
      <w:r w:rsidR="00EE4D06">
        <w:t>”</w:t>
      </w:r>
      <w:r w:rsidR="00EE4D06" w:rsidRPr="007A08C7">
        <w:t xml:space="preserve"> and </w:t>
      </w:r>
      <w:r w:rsidR="00EE4D06">
        <w:t>“</w:t>
      </w:r>
      <w:r w:rsidR="00EE4D06" w:rsidRPr="007A08C7">
        <w:t>overnight Collagen and Botox Alternative for advanced line filling and wrinkle relaxing</w:t>
      </w:r>
      <w:r w:rsidR="00EE4D06">
        <w:t>”</w:t>
      </w:r>
      <w:r w:rsidR="00EE4D06" w:rsidRPr="007A08C7">
        <w:t xml:space="preserve"> on the front and side of the box</w:t>
      </w:r>
      <w:r w:rsidR="00801703">
        <w:t xml:space="preserve"> respectively</w:t>
      </w:r>
      <w:r w:rsidR="00EE4D06" w:rsidRPr="007A08C7">
        <w:t>.</w:t>
      </w:r>
    </w:p>
    <w:p w14:paraId="5FD267E9" w14:textId="3BE3AAB2" w:rsidR="00EE4D06" w:rsidRPr="007A08C7" w:rsidRDefault="001E3C6B" w:rsidP="001E3C6B">
      <w:pPr>
        <w:pStyle w:val="ParaNumbering"/>
        <w:numPr>
          <w:ilvl w:val="0"/>
          <w:numId w:val="0"/>
        </w:numPr>
        <w:ind w:hanging="720"/>
      </w:pPr>
      <w:r w:rsidRPr="007A08C7">
        <w:rPr>
          <w:sz w:val="20"/>
        </w:rPr>
        <w:t>88</w:t>
      </w:r>
      <w:r w:rsidRPr="007A08C7">
        <w:rPr>
          <w:sz w:val="20"/>
        </w:rPr>
        <w:tab/>
      </w:r>
      <w:r w:rsidR="00EE4D06" w:rsidRPr="007A08C7">
        <w:t>On the back of the box, the following statements are included:</w:t>
      </w:r>
    </w:p>
    <w:p w14:paraId="25E93867" w14:textId="379A7768" w:rsidR="00EE4D06" w:rsidRPr="007A08C7" w:rsidRDefault="001E3C6B" w:rsidP="001E3C6B">
      <w:pPr>
        <w:pStyle w:val="ListNo1"/>
        <w:numPr>
          <w:ilvl w:val="0"/>
          <w:numId w:val="0"/>
        </w:numPr>
        <w:tabs>
          <w:tab w:val="left" w:pos="720"/>
        </w:tabs>
        <w:ind w:left="720" w:hanging="720"/>
      </w:pPr>
      <w:r w:rsidRPr="007A08C7">
        <w:t>(1)</w:t>
      </w:r>
      <w:r w:rsidRPr="007A08C7">
        <w:tab/>
      </w:r>
      <w:r w:rsidR="00EE4D06">
        <w:t>“</w:t>
      </w:r>
      <w:r w:rsidR="00EE4D06" w:rsidRPr="007A08C7">
        <w:t>Delivers the results of a collagen injection in 5 sleeps, and a Botox injection in 4 weeks!</w:t>
      </w:r>
      <w:r w:rsidR="00EE4D06">
        <w:t>”</w:t>
      </w:r>
    </w:p>
    <w:p w14:paraId="7F258A53" w14:textId="30047F75" w:rsidR="00EE4D06" w:rsidRPr="007A08C7" w:rsidRDefault="001E3C6B" w:rsidP="001E3C6B">
      <w:pPr>
        <w:pStyle w:val="ListNo1"/>
        <w:numPr>
          <w:ilvl w:val="0"/>
          <w:numId w:val="0"/>
        </w:numPr>
        <w:tabs>
          <w:tab w:val="left" w:pos="720"/>
        </w:tabs>
        <w:ind w:left="720" w:hanging="720"/>
      </w:pPr>
      <w:r w:rsidRPr="007A08C7">
        <w:t>(2)</w:t>
      </w:r>
      <w:r w:rsidRPr="007A08C7">
        <w:tab/>
      </w:r>
      <w:r w:rsidR="00EE4D06">
        <w:t>“</w:t>
      </w:r>
      <w:r w:rsidR="00EE4D06" w:rsidRPr="007A08C7">
        <w:t>Our famous NIGHT cream now includes 2 alternatives to doctor administered injections, with results clinically proven to visually match those of injections – topical line filling equivalent to a collagen injection* and topical wrinkle freezing with visible results rivalling Botox injections…</w:t>
      </w:r>
    </w:p>
    <w:p w14:paraId="5E389A38" w14:textId="77777777" w:rsidR="00EE4D06" w:rsidRPr="007A08C7" w:rsidRDefault="00EE4D06" w:rsidP="00EE4D06">
      <w:pPr>
        <w:pStyle w:val="ListNo1"/>
        <w:numPr>
          <w:ilvl w:val="0"/>
          <w:numId w:val="0"/>
        </w:numPr>
        <w:ind w:left="720"/>
      </w:pPr>
      <w:r w:rsidRPr="007A08C7">
        <w:t xml:space="preserve">*American Society of Plastic Surgeons </w:t>
      </w:r>
    </w:p>
    <w:p w14:paraId="3C815127" w14:textId="77777777" w:rsidR="00EE4D06" w:rsidRPr="007A08C7" w:rsidRDefault="00EE4D06" w:rsidP="00EE4D06">
      <w:pPr>
        <w:pStyle w:val="ListNo1"/>
        <w:numPr>
          <w:ilvl w:val="0"/>
          <w:numId w:val="0"/>
        </w:numPr>
        <w:ind w:left="720"/>
      </w:pPr>
      <w:r w:rsidRPr="007A08C7">
        <w:lastRenderedPageBreak/>
        <w:t>Botox® is a Registered trademark of Allergan Inc.</w:t>
      </w:r>
      <w:r>
        <w:t>”</w:t>
      </w:r>
    </w:p>
    <w:p w14:paraId="481313D8" w14:textId="6E117D65" w:rsidR="00EE4D06" w:rsidRPr="007A08C7" w:rsidRDefault="001E3C6B" w:rsidP="001E3C6B">
      <w:pPr>
        <w:pStyle w:val="ListNo1"/>
        <w:numPr>
          <w:ilvl w:val="0"/>
          <w:numId w:val="0"/>
        </w:numPr>
        <w:tabs>
          <w:tab w:val="left" w:pos="720"/>
        </w:tabs>
        <w:ind w:left="720" w:hanging="720"/>
      </w:pPr>
      <w:r w:rsidRPr="007A08C7">
        <w:t>(3)</w:t>
      </w:r>
      <w:r w:rsidRPr="007A08C7">
        <w:tab/>
      </w:r>
      <w:r w:rsidR="00EE4D06">
        <w:t>“</w:t>
      </w:r>
      <w:r w:rsidR="00EE4D06" w:rsidRPr="007A08C7">
        <w:t>See results equivalent to ... A Botox Injection in 28 days</w:t>
      </w:r>
      <w:r w:rsidR="00EE4D06">
        <w:t>”</w:t>
      </w:r>
      <w:r w:rsidR="00801703">
        <w:t>.</w:t>
      </w:r>
    </w:p>
    <w:p w14:paraId="1EED14AC" w14:textId="3DFB55A5" w:rsidR="00EE4D06" w:rsidRPr="007A08C7" w:rsidRDefault="001E3C6B" w:rsidP="001E3C6B">
      <w:pPr>
        <w:pStyle w:val="ListNo1"/>
        <w:numPr>
          <w:ilvl w:val="0"/>
          <w:numId w:val="0"/>
        </w:numPr>
        <w:tabs>
          <w:tab w:val="left" w:pos="720"/>
        </w:tabs>
        <w:ind w:left="720" w:hanging="720"/>
      </w:pPr>
      <w:r w:rsidRPr="007A08C7">
        <w:t>(4)</w:t>
      </w:r>
      <w:r w:rsidRPr="007A08C7">
        <w:tab/>
      </w:r>
      <w:r w:rsidR="00EE4D06">
        <w:t>“</w:t>
      </w:r>
      <w:r w:rsidR="00EE4D06" w:rsidRPr="007A08C7">
        <w:t>Better than injections? With the visual benefits of both a collagen injection and a Botox injection, our multi action formula works in 3 ways to freeze and fill wrinkles, as well as lift skin for a dramatically younger appearance – without needles or invasive procedures</w:t>
      </w:r>
      <w:r w:rsidR="00801703">
        <w:t>.</w:t>
      </w:r>
      <w:r w:rsidR="00EE4D06">
        <w:t>”</w:t>
      </w:r>
    </w:p>
    <w:p w14:paraId="083EBDBD" w14:textId="2DDE2342" w:rsidR="00EE4D06" w:rsidRPr="007A08C7" w:rsidRDefault="001E3C6B" w:rsidP="001E3C6B">
      <w:pPr>
        <w:pStyle w:val="ListNo1"/>
        <w:numPr>
          <w:ilvl w:val="0"/>
          <w:numId w:val="0"/>
        </w:numPr>
        <w:tabs>
          <w:tab w:val="left" w:pos="720"/>
        </w:tabs>
        <w:ind w:left="720" w:hanging="720"/>
      </w:pPr>
      <w:r w:rsidRPr="007A08C7">
        <w:t>(5)</w:t>
      </w:r>
      <w:r w:rsidRPr="007A08C7">
        <w:tab/>
      </w:r>
      <w:r w:rsidR="00EE4D06">
        <w:t>“</w:t>
      </w:r>
      <w:r w:rsidR="00EE4D06" w:rsidRPr="007A08C7">
        <w:t>Our Topical Botox Alternative now delivers up to 94% wrinkle reduction in just 4 weeks</w:t>
      </w:r>
      <w:r w:rsidR="00801703">
        <w:t>!</w:t>
      </w:r>
      <w:r w:rsidR="00EE4D06">
        <w:t>”</w:t>
      </w:r>
    </w:p>
    <w:p w14:paraId="6A01B86D" w14:textId="3B6BB3D1" w:rsidR="00EE4D06" w:rsidRPr="007A08C7" w:rsidRDefault="001E3C6B" w:rsidP="001E3C6B">
      <w:pPr>
        <w:pStyle w:val="ParaNumbering"/>
        <w:numPr>
          <w:ilvl w:val="0"/>
          <w:numId w:val="0"/>
        </w:numPr>
        <w:ind w:hanging="720"/>
      </w:pPr>
      <w:r w:rsidRPr="007A08C7">
        <w:rPr>
          <w:sz w:val="20"/>
        </w:rPr>
        <w:t>89</w:t>
      </w:r>
      <w:r w:rsidRPr="007A08C7">
        <w:rPr>
          <w:sz w:val="20"/>
        </w:rPr>
        <w:tab/>
      </w:r>
      <w:r w:rsidR="00EE4D06" w:rsidRPr="007A08C7">
        <w:t>The packaging relevantly looks like this:</w:t>
      </w:r>
    </w:p>
    <w:p w14:paraId="5F0D1359" w14:textId="08D5E34B" w:rsidR="00EE4D06" w:rsidRPr="00E91ECB" w:rsidRDefault="004C43BF" w:rsidP="00015F2E">
      <w:pPr>
        <w:pStyle w:val="NoNum"/>
        <w:rPr>
          <w:highlight w:val="yellow"/>
        </w:rPr>
      </w:pPr>
      <w:r w:rsidRPr="00015F2E">
        <w:rPr>
          <w:noProof/>
          <w:lang w:eastAsia="en-AU"/>
        </w:rPr>
        <w:drawing>
          <wp:inline distT="0" distB="0" distL="0" distR="0" wp14:anchorId="6884FCF5" wp14:editId="50E93618">
            <wp:extent cx="3261360" cy="34625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261360" cy="3462528"/>
                    </a:xfrm>
                    <a:prstGeom prst="rect">
                      <a:avLst/>
                    </a:prstGeom>
                    <a:noFill/>
                  </pic:spPr>
                </pic:pic>
              </a:graphicData>
            </a:graphic>
          </wp:inline>
        </w:drawing>
      </w:r>
    </w:p>
    <w:p w14:paraId="13AC30CD" w14:textId="099F32C7" w:rsidR="00EE4D06" w:rsidRPr="007A08C7" w:rsidRDefault="001E3C6B" w:rsidP="001E3C6B">
      <w:pPr>
        <w:pStyle w:val="ParaNumbering"/>
        <w:numPr>
          <w:ilvl w:val="0"/>
          <w:numId w:val="0"/>
        </w:numPr>
        <w:ind w:hanging="720"/>
      </w:pPr>
      <w:r w:rsidRPr="007A08C7">
        <w:rPr>
          <w:sz w:val="20"/>
        </w:rPr>
        <w:t>90</w:t>
      </w:r>
      <w:r w:rsidRPr="007A08C7">
        <w:rPr>
          <w:sz w:val="20"/>
        </w:rPr>
        <w:tab/>
      </w:r>
      <w:r w:rsidR="00EE4D06" w:rsidRPr="007A08C7">
        <w:t xml:space="preserve">The tube itself has the words NIGHT and </w:t>
      </w:r>
      <w:r w:rsidR="00DC63C7">
        <w:t>FREEZEFRAME</w:t>
      </w:r>
      <w:r w:rsidR="00EE4D06" w:rsidRPr="007A08C7">
        <w:t xml:space="preserve">® in close proximity and the phrase </w:t>
      </w:r>
      <w:r w:rsidR="00EE4D06">
        <w:t>“</w:t>
      </w:r>
      <w:r w:rsidR="00EE4D06" w:rsidRPr="007A08C7">
        <w:t>Discover the overnight Botox® Alternative which relaxes wrinkles and rejuvenates skin whilst you sleep!</w:t>
      </w:r>
      <w:r w:rsidR="00EE4D06">
        <w:t>”</w:t>
      </w:r>
    </w:p>
    <w:p w14:paraId="4FD8D86D" w14:textId="3398D7E5" w:rsidR="00EE4D06" w:rsidRPr="007A08C7" w:rsidRDefault="001E3C6B" w:rsidP="001E3C6B">
      <w:pPr>
        <w:pStyle w:val="ParaNumbering"/>
        <w:numPr>
          <w:ilvl w:val="0"/>
          <w:numId w:val="0"/>
        </w:numPr>
        <w:ind w:hanging="720"/>
      </w:pPr>
      <w:r w:rsidRPr="007A08C7">
        <w:rPr>
          <w:sz w:val="20"/>
        </w:rPr>
        <w:t>91</w:t>
      </w:r>
      <w:r w:rsidRPr="007A08C7">
        <w:rPr>
          <w:sz w:val="20"/>
        </w:rPr>
        <w:tab/>
      </w:r>
      <w:r w:rsidR="00EE4D06" w:rsidRPr="007A08C7">
        <w:t xml:space="preserve">Inside the </w:t>
      </w:r>
      <w:r w:rsidR="00801703" w:rsidRPr="007A08C7">
        <w:t>Night</w:t>
      </w:r>
      <w:r w:rsidR="00EE4D06" w:rsidRPr="007A08C7">
        <w:t xml:space="preserve"> (tube) product packaging is a product information sheet which includes the following statements:</w:t>
      </w:r>
    </w:p>
    <w:p w14:paraId="4CF3B107" w14:textId="585AEF3D" w:rsidR="00EE4D06" w:rsidRPr="007A08C7" w:rsidRDefault="001E3C6B" w:rsidP="001E3C6B">
      <w:pPr>
        <w:pStyle w:val="ListNo1"/>
        <w:numPr>
          <w:ilvl w:val="0"/>
          <w:numId w:val="0"/>
        </w:numPr>
        <w:tabs>
          <w:tab w:val="left" w:pos="720"/>
        </w:tabs>
        <w:ind w:left="720" w:hanging="720"/>
      </w:pPr>
      <w:r w:rsidRPr="007A08C7">
        <w:t>(1)</w:t>
      </w:r>
      <w:r w:rsidRPr="007A08C7">
        <w:tab/>
      </w:r>
      <w:r w:rsidR="00EE4D06">
        <w:t>“</w:t>
      </w:r>
      <w:r w:rsidR="00EE4D06" w:rsidRPr="007A08C7">
        <w:t>Overnight Collagen and Botox Alternative for advanced line filling and wrinkle relaxing.</w:t>
      </w:r>
      <w:r w:rsidR="00EE4D06">
        <w:t>”</w:t>
      </w:r>
    </w:p>
    <w:p w14:paraId="3BDB34CE" w14:textId="6D9DC351" w:rsidR="00EE4D06" w:rsidRPr="007A08C7" w:rsidRDefault="001E3C6B" w:rsidP="001E3C6B">
      <w:pPr>
        <w:pStyle w:val="ListNo1"/>
        <w:numPr>
          <w:ilvl w:val="0"/>
          <w:numId w:val="0"/>
        </w:numPr>
        <w:tabs>
          <w:tab w:val="left" w:pos="720"/>
        </w:tabs>
        <w:ind w:left="720" w:hanging="720"/>
      </w:pPr>
      <w:r w:rsidRPr="007A08C7">
        <w:lastRenderedPageBreak/>
        <w:t>(2)</w:t>
      </w:r>
      <w:r w:rsidRPr="007A08C7">
        <w:tab/>
      </w:r>
      <w:r w:rsidR="00EE4D06">
        <w:t>“</w:t>
      </w:r>
      <w:r w:rsidR="00EE4D06" w:rsidRPr="007A08C7">
        <w:t>Our famous NIGHT cream has been reinvented to include not 1, but 2 alternatives to doctor administered injections, with results clinically proven to visually match those of injections – topical line filling equivalent to a collagen injection and topical wrinkle freezing with visible results rivalling Botox injections ... American Society of Plastic Surgeons Botox® is a Registered trademark of Allergan Inc.</w:t>
      </w:r>
      <w:r w:rsidR="00EE4D06">
        <w:t>”</w:t>
      </w:r>
    </w:p>
    <w:p w14:paraId="6385A5D0" w14:textId="4C4E2993" w:rsidR="00EE4D06" w:rsidRPr="007A08C7" w:rsidRDefault="001E3C6B" w:rsidP="001E3C6B">
      <w:pPr>
        <w:pStyle w:val="ListNo1"/>
        <w:numPr>
          <w:ilvl w:val="0"/>
          <w:numId w:val="0"/>
        </w:numPr>
        <w:tabs>
          <w:tab w:val="left" w:pos="720"/>
        </w:tabs>
        <w:ind w:left="720" w:hanging="720"/>
      </w:pPr>
      <w:r w:rsidRPr="007A08C7">
        <w:t>(3)</w:t>
      </w:r>
      <w:r w:rsidRPr="007A08C7">
        <w:tab/>
      </w:r>
      <w:r w:rsidR="00EE4D06">
        <w:t>“</w:t>
      </w:r>
      <w:r w:rsidR="00EE4D06" w:rsidRPr="007A08C7">
        <w:t>See results equivalent to... A Botox Injection in 28 days</w:t>
      </w:r>
      <w:r w:rsidR="00EE4D06">
        <w:t>”</w:t>
      </w:r>
      <w:r w:rsidR="00781894">
        <w:t>.</w:t>
      </w:r>
    </w:p>
    <w:p w14:paraId="19371ABF" w14:textId="2B0A7C45" w:rsidR="00EE4D06" w:rsidRPr="007A08C7" w:rsidRDefault="001E3C6B" w:rsidP="001E3C6B">
      <w:pPr>
        <w:pStyle w:val="ListNo1"/>
        <w:numPr>
          <w:ilvl w:val="0"/>
          <w:numId w:val="0"/>
        </w:numPr>
        <w:tabs>
          <w:tab w:val="left" w:pos="720"/>
        </w:tabs>
        <w:ind w:left="720" w:hanging="720"/>
      </w:pPr>
      <w:r w:rsidRPr="007A08C7">
        <w:t>(4)</w:t>
      </w:r>
      <w:r w:rsidRPr="007A08C7">
        <w:tab/>
      </w:r>
      <w:r w:rsidR="00EE4D06">
        <w:t>“</w:t>
      </w:r>
      <w:r w:rsidR="00EE4D06" w:rsidRPr="007A08C7">
        <w:t>Better than injections? With the visual benefits of both a collagen injection and a Botox injection, our multi action formula works in 3 ways to freeze and fill wrinkles, as well as lift skin for a dramatically younger appearance – without invasive procedures</w:t>
      </w:r>
      <w:r w:rsidR="00EE4D06">
        <w:t>”</w:t>
      </w:r>
    </w:p>
    <w:p w14:paraId="7209C05D" w14:textId="383A2E2E" w:rsidR="00EE4D06" w:rsidRPr="007A08C7" w:rsidRDefault="001E3C6B" w:rsidP="001E3C6B">
      <w:pPr>
        <w:pStyle w:val="ListNo1"/>
        <w:numPr>
          <w:ilvl w:val="0"/>
          <w:numId w:val="0"/>
        </w:numPr>
        <w:tabs>
          <w:tab w:val="left" w:pos="720"/>
        </w:tabs>
        <w:ind w:left="720" w:hanging="720"/>
      </w:pPr>
      <w:r w:rsidRPr="007A08C7">
        <w:t>(5)</w:t>
      </w:r>
      <w:r w:rsidRPr="007A08C7">
        <w:tab/>
      </w:r>
      <w:r w:rsidR="00EE4D06">
        <w:t>“</w:t>
      </w:r>
      <w:r w:rsidR="00EE4D06" w:rsidRPr="007A08C7">
        <w:t>Our Topical Botox Alternative now delivers up to 94% wrinkle reduction in just 4 weeks!</w:t>
      </w:r>
      <w:r w:rsidR="00EE4D06">
        <w:t>”</w:t>
      </w:r>
    </w:p>
    <w:p w14:paraId="7B25ABB7" w14:textId="22EEA4EF" w:rsidR="00EE4D06" w:rsidRPr="007A08C7" w:rsidRDefault="001E3C6B" w:rsidP="001E3C6B">
      <w:pPr>
        <w:pStyle w:val="ListNo1"/>
        <w:numPr>
          <w:ilvl w:val="0"/>
          <w:numId w:val="0"/>
        </w:numPr>
        <w:tabs>
          <w:tab w:val="left" w:pos="720"/>
        </w:tabs>
        <w:ind w:left="720" w:hanging="720"/>
      </w:pPr>
      <w:r w:rsidRPr="007A08C7">
        <w:t>(6)</w:t>
      </w:r>
      <w:r w:rsidRPr="007A08C7">
        <w:tab/>
      </w:r>
      <w:r w:rsidR="00EE4D06">
        <w:t>“</w:t>
      </w:r>
      <w:r w:rsidR="00EE4D06" w:rsidRPr="007A08C7">
        <w:t>Delivers the results of a collagen injection in 5 sleeps, and a Botox injection in 4 weeks!</w:t>
      </w:r>
      <w:r w:rsidR="00EE4D06">
        <w:t>”</w:t>
      </w:r>
    </w:p>
    <w:p w14:paraId="6F39761A" w14:textId="00539E5A" w:rsidR="00EE4D06" w:rsidRPr="007A08C7" w:rsidRDefault="001E3C6B" w:rsidP="001E3C6B">
      <w:pPr>
        <w:pStyle w:val="ParaNumbering"/>
        <w:numPr>
          <w:ilvl w:val="0"/>
          <w:numId w:val="0"/>
        </w:numPr>
        <w:ind w:hanging="720"/>
      </w:pPr>
      <w:r w:rsidRPr="007A08C7">
        <w:rPr>
          <w:sz w:val="20"/>
        </w:rPr>
        <w:t>92</w:t>
      </w:r>
      <w:r w:rsidRPr="007A08C7">
        <w:rPr>
          <w:sz w:val="20"/>
        </w:rPr>
        <w:tab/>
      </w:r>
      <w:r w:rsidR="00EE4D06" w:rsidRPr="007A08C7">
        <w:t>Since about February 2017 to date, Self Care sold or offered the Night (tube) product for sale at pharmacy retail outlets and on the Freezeframe website.  The recommended retail price of the Night (tube) product is around $79.00, including GST.</w:t>
      </w:r>
    </w:p>
    <w:p w14:paraId="0A74AF92" w14:textId="68C24811" w:rsidR="00EE4D06" w:rsidRPr="007A08C7" w:rsidRDefault="001E3C6B" w:rsidP="001E3C6B">
      <w:pPr>
        <w:pStyle w:val="ParaNumbering"/>
        <w:numPr>
          <w:ilvl w:val="0"/>
          <w:numId w:val="0"/>
        </w:numPr>
        <w:ind w:hanging="720"/>
      </w:pPr>
      <w:r w:rsidRPr="007A08C7">
        <w:rPr>
          <w:sz w:val="20"/>
        </w:rPr>
        <w:t>93</w:t>
      </w:r>
      <w:r w:rsidRPr="007A08C7">
        <w:rPr>
          <w:sz w:val="20"/>
        </w:rPr>
        <w:tab/>
      </w:r>
      <w:r w:rsidR="00EE4D06" w:rsidRPr="007A08C7">
        <w:t>From about February 2017, the Night (tube) product together with the statements below have been included on the Freezeframe website at various times, for various periods of time:</w:t>
      </w:r>
    </w:p>
    <w:p w14:paraId="39802BB6" w14:textId="752D5FD4" w:rsidR="00EE4D06" w:rsidRPr="007A08C7" w:rsidRDefault="001E3C6B" w:rsidP="001E3C6B">
      <w:pPr>
        <w:pStyle w:val="ListNo1"/>
        <w:numPr>
          <w:ilvl w:val="0"/>
          <w:numId w:val="0"/>
        </w:numPr>
        <w:tabs>
          <w:tab w:val="left" w:pos="720"/>
        </w:tabs>
        <w:ind w:left="720" w:hanging="720"/>
      </w:pPr>
      <w:r w:rsidRPr="007A08C7">
        <w:t>(1)</w:t>
      </w:r>
      <w:r w:rsidRPr="007A08C7">
        <w:tab/>
      </w:r>
      <w:r w:rsidR="00EE4D06" w:rsidRPr="007A08C7">
        <w:t>On the website banner:</w:t>
      </w:r>
    </w:p>
    <w:p w14:paraId="0519BD63" w14:textId="259235F9" w:rsidR="00EE4D06" w:rsidRPr="007A08C7" w:rsidRDefault="001E3C6B" w:rsidP="001E3C6B">
      <w:pPr>
        <w:pStyle w:val="ListNo2"/>
        <w:numPr>
          <w:ilvl w:val="0"/>
          <w:numId w:val="0"/>
        </w:numPr>
        <w:tabs>
          <w:tab w:val="left" w:pos="1440"/>
        </w:tabs>
        <w:ind w:left="1440" w:hanging="720"/>
      </w:pPr>
      <w:r w:rsidRPr="007A08C7">
        <w:t>(a)</w:t>
      </w:r>
      <w:r w:rsidRPr="007A08C7">
        <w:tab/>
      </w:r>
      <w:r w:rsidR="00EE4D06">
        <w:t>“</w:t>
      </w:r>
      <w:r w:rsidR="00EE4D06" w:rsidRPr="007A08C7">
        <w:t>The same visible results of a COLLAGEN INJECTION 15 NIGHTS And a BOTOX® INJECTION 4 WEEKS</w:t>
      </w:r>
      <w:r w:rsidR="00EE4D06">
        <w:t>”</w:t>
      </w:r>
    </w:p>
    <w:p w14:paraId="47833164" w14:textId="26D71D77" w:rsidR="00EE4D06" w:rsidRPr="007A08C7" w:rsidRDefault="001E3C6B" w:rsidP="001E3C6B">
      <w:pPr>
        <w:pStyle w:val="ListNo2"/>
        <w:numPr>
          <w:ilvl w:val="0"/>
          <w:numId w:val="0"/>
        </w:numPr>
        <w:tabs>
          <w:tab w:val="left" w:pos="1440"/>
        </w:tabs>
        <w:ind w:left="1440" w:hanging="720"/>
      </w:pPr>
      <w:r w:rsidRPr="007A08C7">
        <w:t>(b)</w:t>
      </w:r>
      <w:r w:rsidRPr="007A08C7">
        <w:tab/>
      </w:r>
      <w:r w:rsidR="00EE4D06">
        <w:t>“</w:t>
      </w:r>
      <w:r w:rsidR="00EE4D06" w:rsidRPr="007A08C7">
        <w:t xml:space="preserve">Collagen Injection 15 DAYS  </w:t>
      </w:r>
    </w:p>
    <w:p w14:paraId="0F0AAC89" w14:textId="77777777" w:rsidR="00EE4D06" w:rsidRPr="007A08C7" w:rsidRDefault="00EE4D06" w:rsidP="00EE4D06">
      <w:pPr>
        <w:pStyle w:val="ListNo2"/>
        <w:numPr>
          <w:ilvl w:val="0"/>
          <w:numId w:val="0"/>
        </w:numPr>
        <w:ind w:left="1440"/>
      </w:pPr>
      <w:r w:rsidRPr="007A08C7">
        <w:t xml:space="preserve">Botox Injection 28 DAYS </w:t>
      </w:r>
    </w:p>
    <w:p w14:paraId="2789CA21" w14:textId="77777777" w:rsidR="00EE4D06" w:rsidRPr="007A08C7" w:rsidRDefault="00EE4D06" w:rsidP="00EE4D06">
      <w:pPr>
        <w:pStyle w:val="ListNo2"/>
        <w:numPr>
          <w:ilvl w:val="0"/>
          <w:numId w:val="0"/>
        </w:numPr>
        <w:ind w:left="1440"/>
      </w:pPr>
      <w:r w:rsidRPr="007A08C7">
        <w:t>Mini Face Lift 84 DAYS</w:t>
      </w:r>
    </w:p>
    <w:p w14:paraId="6C1C1CF7" w14:textId="77777777" w:rsidR="00EE4D06" w:rsidRPr="007A08C7" w:rsidRDefault="00EE4D06" w:rsidP="00EE4D06">
      <w:pPr>
        <w:pStyle w:val="ListNo2"/>
        <w:numPr>
          <w:ilvl w:val="0"/>
          <w:numId w:val="0"/>
        </w:numPr>
        <w:ind w:left="1440"/>
      </w:pPr>
      <w:r w:rsidRPr="007A08C7">
        <w:t>2 x TOPICAL MICRO INJECTORS</w:t>
      </w:r>
      <w:r>
        <w:t>”</w:t>
      </w:r>
    </w:p>
    <w:p w14:paraId="0D902CCA" w14:textId="54D913BD" w:rsidR="00EE4D06" w:rsidRPr="007A08C7" w:rsidRDefault="001E3C6B" w:rsidP="001E3C6B">
      <w:pPr>
        <w:pStyle w:val="ListNo1"/>
        <w:numPr>
          <w:ilvl w:val="0"/>
          <w:numId w:val="0"/>
        </w:numPr>
        <w:tabs>
          <w:tab w:val="left" w:pos="720"/>
        </w:tabs>
        <w:ind w:left="720" w:hanging="720"/>
      </w:pPr>
      <w:r w:rsidRPr="007A08C7">
        <w:t>(2)</w:t>
      </w:r>
      <w:r w:rsidRPr="007A08C7">
        <w:tab/>
      </w:r>
      <w:r w:rsidR="00EE4D06" w:rsidRPr="007A08C7">
        <w:t>On the website:</w:t>
      </w:r>
    </w:p>
    <w:p w14:paraId="6F12FB00" w14:textId="513AB907" w:rsidR="00EE4D06" w:rsidRPr="007A08C7" w:rsidRDefault="001E3C6B" w:rsidP="001E3C6B">
      <w:pPr>
        <w:pStyle w:val="ListNo2"/>
        <w:numPr>
          <w:ilvl w:val="0"/>
          <w:numId w:val="0"/>
        </w:numPr>
        <w:tabs>
          <w:tab w:val="left" w:pos="1440"/>
        </w:tabs>
        <w:ind w:left="1440" w:hanging="720"/>
      </w:pPr>
      <w:r w:rsidRPr="007A08C7">
        <w:t>(a)</w:t>
      </w:r>
      <w:r w:rsidRPr="007A08C7">
        <w:tab/>
      </w:r>
      <w:r w:rsidR="00EE4D06">
        <w:t>“</w:t>
      </w:r>
      <w:r w:rsidR="00EE4D06" w:rsidRPr="007A08C7">
        <w:t xml:space="preserve">Imagine ... the same visible results of a collagen injection in just 15 sleeps*, and a Botox® injection in 4 weeks*! ... </w:t>
      </w:r>
    </w:p>
    <w:p w14:paraId="463422FD" w14:textId="77777777" w:rsidR="00EE4D06" w:rsidRPr="007A08C7" w:rsidRDefault="00EE4D06" w:rsidP="00EE4D06">
      <w:pPr>
        <w:pStyle w:val="ListNo2"/>
        <w:numPr>
          <w:ilvl w:val="0"/>
          <w:numId w:val="0"/>
        </w:numPr>
        <w:ind w:left="1440"/>
      </w:pPr>
      <w:r w:rsidRPr="007A08C7">
        <w:t>*American society of plastic surgeons confirms results ...</w:t>
      </w:r>
    </w:p>
    <w:p w14:paraId="592F24A4" w14:textId="77777777" w:rsidR="00EE4D06" w:rsidRPr="007A08C7" w:rsidRDefault="00EE4D06" w:rsidP="00EE4D06">
      <w:pPr>
        <w:pStyle w:val="ListNo2"/>
        <w:numPr>
          <w:ilvl w:val="0"/>
          <w:numId w:val="0"/>
        </w:numPr>
        <w:ind w:left="1440"/>
      </w:pPr>
      <w:r w:rsidRPr="007A08C7">
        <w:lastRenderedPageBreak/>
        <w:t>*Results may vary. Botox® is a registered trade mark of Allergan Inc. freezeframe NIGHT has no association with any anti-wrinkle injection brand</w:t>
      </w:r>
      <w:r>
        <w:t>”</w:t>
      </w:r>
    </w:p>
    <w:p w14:paraId="009D9487" w14:textId="22E89F79" w:rsidR="00EE4D06" w:rsidRPr="007A08C7" w:rsidRDefault="001E3C6B" w:rsidP="001E3C6B">
      <w:pPr>
        <w:pStyle w:val="ListNo2"/>
        <w:numPr>
          <w:ilvl w:val="0"/>
          <w:numId w:val="0"/>
        </w:numPr>
        <w:tabs>
          <w:tab w:val="left" w:pos="1440"/>
        </w:tabs>
        <w:ind w:left="1440" w:hanging="720"/>
      </w:pPr>
      <w:r w:rsidRPr="007A08C7">
        <w:t>(b)</w:t>
      </w:r>
      <w:r w:rsidRPr="007A08C7">
        <w:tab/>
      </w:r>
      <w:r w:rsidR="00EE4D06">
        <w:t>“</w:t>
      </w:r>
      <w:r w:rsidR="00EE4D06" w:rsidRPr="007A08C7">
        <w:t>New freezeframe NIGHT contains 2 Topical Micro Injection technologies, both clinically proven to visually match those of injections – topical line filling equivalent to a collagen injection and topical wrinkle freezing with visible results rivaling Botox Injections</w:t>
      </w:r>
      <w:r w:rsidR="00EE4D06">
        <w:t>”</w:t>
      </w:r>
    </w:p>
    <w:p w14:paraId="3857B691" w14:textId="5D911BE9" w:rsidR="00EE4D06" w:rsidRPr="007A08C7" w:rsidRDefault="001E3C6B" w:rsidP="001E3C6B">
      <w:pPr>
        <w:pStyle w:val="ListNo2"/>
        <w:numPr>
          <w:ilvl w:val="0"/>
          <w:numId w:val="0"/>
        </w:numPr>
        <w:tabs>
          <w:tab w:val="left" w:pos="1440"/>
        </w:tabs>
        <w:ind w:left="1440" w:hanging="720"/>
      </w:pPr>
      <w:r w:rsidRPr="007A08C7">
        <w:t>(c)</w:t>
      </w:r>
      <w:r w:rsidRPr="007A08C7">
        <w:tab/>
      </w:r>
      <w:r w:rsidR="00EE4D06">
        <w:t>“</w:t>
      </w:r>
      <w:r w:rsidR="00EE4D06" w:rsidRPr="007A08C7">
        <w:t>What</w:t>
      </w:r>
      <w:r w:rsidR="00EE4D06">
        <w:t>’</w:t>
      </w:r>
      <w:r w:rsidR="00EE4D06" w:rsidRPr="007A08C7">
        <w:t>s better than a topical alternative to wrinkle fillers? One formula that includes both an alternative to fillers and alternative to Botox Injections!</w:t>
      </w:r>
      <w:r w:rsidR="00EE4D06">
        <w:t>”</w:t>
      </w:r>
    </w:p>
    <w:p w14:paraId="58D27807" w14:textId="3080F058" w:rsidR="00254AAD" w:rsidRDefault="001E3C6B" w:rsidP="001E3C6B">
      <w:pPr>
        <w:pStyle w:val="ListNo2"/>
        <w:numPr>
          <w:ilvl w:val="0"/>
          <w:numId w:val="0"/>
        </w:numPr>
        <w:tabs>
          <w:tab w:val="left" w:pos="1440"/>
        </w:tabs>
        <w:ind w:left="1440" w:hanging="720"/>
      </w:pPr>
      <w:r>
        <w:t>(d)</w:t>
      </w:r>
      <w:r>
        <w:tab/>
      </w:r>
      <w:r w:rsidR="00EE4D06">
        <w:t>“</w:t>
      </w:r>
      <w:r w:rsidR="00EE4D06" w:rsidRPr="007A08C7">
        <w:t xml:space="preserve">The same visible results of a COLLAGEN INJECTION 15 NIGHTS And a BOTOX® INJECTION 4 WEEKS </w:t>
      </w:r>
    </w:p>
    <w:p w14:paraId="1803A302" w14:textId="79111BEA" w:rsidR="00EE4D06" w:rsidRPr="007A08C7" w:rsidRDefault="00EE4D06" w:rsidP="00254AAD">
      <w:pPr>
        <w:pStyle w:val="ListNo2"/>
        <w:numPr>
          <w:ilvl w:val="0"/>
          <w:numId w:val="0"/>
        </w:numPr>
        <w:ind w:left="1440"/>
      </w:pPr>
      <w:r w:rsidRPr="007A08C7">
        <w:t>Reduces wrinkle appearance by as much as 94% in 28 days!</w:t>
      </w:r>
      <w:r>
        <w:t>”</w:t>
      </w:r>
    </w:p>
    <w:p w14:paraId="5E9149DC" w14:textId="0464F7BE" w:rsidR="00EE4D06" w:rsidRPr="007A08C7" w:rsidRDefault="001E3C6B" w:rsidP="001E3C6B">
      <w:pPr>
        <w:pStyle w:val="ParaNumbering"/>
        <w:numPr>
          <w:ilvl w:val="0"/>
          <w:numId w:val="0"/>
        </w:numPr>
        <w:ind w:hanging="720"/>
      </w:pPr>
      <w:r w:rsidRPr="007A08C7">
        <w:rPr>
          <w:sz w:val="20"/>
        </w:rPr>
        <w:t>94</w:t>
      </w:r>
      <w:r w:rsidRPr="007A08C7">
        <w:rPr>
          <w:sz w:val="20"/>
        </w:rPr>
        <w:tab/>
      </w:r>
      <w:r w:rsidR="00EE4D06" w:rsidRPr="007A08C7">
        <w:t>Advertisements for the Night (tube) product featured in print advertising in 2017 which included the following statements:</w:t>
      </w:r>
    </w:p>
    <w:p w14:paraId="06CB575D" w14:textId="6A7ACF06" w:rsidR="00EE4D06" w:rsidRPr="007A08C7" w:rsidRDefault="001E3C6B" w:rsidP="001E3C6B">
      <w:pPr>
        <w:pStyle w:val="ListNo1"/>
        <w:numPr>
          <w:ilvl w:val="0"/>
          <w:numId w:val="0"/>
        </w:numPr>
        <w:tabs>
          <w:tab w:val="left" w:pos="720"/>
        </w:tabs>
        <w:ind w:left="720" w:hanging="720"/>
      </w:pPr>
      <w:r w:rsidRPr="007A08C7">
        <w:t>(1)</w:t>
      </w:r>
      <w:r w:rsidRPr="007A08C7">
        <w:tab/>
      </w:r>
      <w:r w:rsidR="00EE4D06">
        <w:t>“</w:t>
      </w:r>
      <w:r w:rsidR="00EE4D06" w:rsidRPr="007A08C7">
        <w:t>Imagine...</w:t>
      </w:r>
      <w:r w:rsidR="00254AAD">
        <w:t xml:space="preserve"> </w:t>
      </w:r>
      <w:r w:rsidR="00EE4D06" w:rsidRPr="007A08C7">
        <w:t xml:space="preserve">the same visible results of a collagen injection in just 15 sleeps*, and a Botox® injection in 4 weeks*! </w:t>
      </w:r>
      <w:r w:rsidR="002A51DB">
        <w:t>…</w:t>
      </w:r>
    </w:p>
    <w:p w14:paraId="41E3477A" w14:textId="77777777" w:rsidR="00EE4D06" w:rsidRPr="007A08C7" w:rsidRDefault="00EE4D06" w:rsidP="00EE4D06">
      <w:pPr>
        <w:pStyle w:val="ListNo1"/>
        <w:numPr>
          <w:ilvl w:val="0"/>
          <w:numId w:val="0"/>
        </w:numPr>
        <w:ind w:left="720"/>
      </w:pPr>
      <w:r w:rsidRPr="007A08C7">
        <w:t xml:space="preserve">*American Society of Plastic Surgeons – collagen injections deliver a 15% wrinkle reduction </w:t>
      </w:r>
    </w:p>
    <w:p w14:paraId="4739F21B" w14:textId="77777777" w:rsidR="00EE4D06" w:rsidRPr="007A08C7" w:rsidRDefault="00EE4D06" w:rsidP="00EE4D06">
      <w:pPr>
        <w:pStyle w:val="ListNo1"/>
        <w:numPr>
          <w:ilvl w:val="0"/>
          <w:numId w:val="0"/>
        </w:numPr>
        <w:ind w:left="720"/>
      </w:pPr>
      <w:r w:rsidRPr="007A08C7">
        <w:t xml:space="preserve">*Botox is a Registered trademark of Allergan Inc. </w:t>
      </w:r>
    </w:p>
    <w:p w14:paraId="1509C709" w14:textId="77777777" w:rsidR="00EE4D06" w:rsidRPr="007A08C7" w:rsidRDefault="00EE4D06" w:rsidP="00EE4D06">
      <w:pPr>
        <w:pStyle w:val="ListNo1"/>
        <w:numPr>
          <w:ilvl w:val="0"/>
          <w:numId w:val="0"/>
        </w:numPr>
        <w:ind w:left="720"/>
      </w:pPr>
      <w:r w:rsidRPr="007A08C7">
        <w:t>*NIGHT actives can reduce the appearance of wrinkles by up to 96% as compared to 84% in one Botox study. Data on file. Refers only to the visible effects on skin surface</w:t>
      </w:r>
      <w:r>
        <w:t>”</w:t>
      </w:r>
    </w:p>
    <w:p w14:paraId="332553DA" w14:textId="4C62198B" w:rsidR="00EE4D06" w:rsidRPr="007A08C7" w:rsidRDefault="001E3C6B" w:rsidP="001E3C6B">
      <w:pPr>
        <w:pStyle w:val="ListNo1"/>
        <w:numPr>
          <w:ilvl w:val="0"/>
          <w:numId w:val="0"/>
        </w:numPr>
        <w:tabs>
          <w:tab w:val="left" w:pos="720"/>
        </w:tabs>
        <w:ind w:left="720" w:hanging="720"/>
      </w:pPr>
      <w:r w:rsidRPr="007A08C7">
        <w:t>(2)</w:t>
      </w:r>
      <w:r w:rsidRPr="007A08C7">
        <w:tab/>
      </w:r>
      <w:r w:rsidR="00EE4D06">
        <w:t>“</w:t>
      </w:r>
      <w:r w:rsidR="00EE4D06" w:rsidRPr="007A08C7">
        <w:t>2 x TOPICAL MICRO INJECTORS Collagen Injection 15 DAYS Bot</w:t>
      </w:r>
      <w:r w:rsidR="002C5383">
        <w:t>ox Injection 28 DAYS Mini Facel</w:t>
      </w:r>
      <w:r w:rsidR="00EE4D06" w:rsidRPr="007A08C7">
        <w:t>ift 84 DAYS</w:t>
      </w:r>
      <w:r w:rsidR="00EE4D06">
        <w:t>”</w:t>
      </w:r>
    </w:p>
    <w:p w14:paraId="3A0E92C9" w14:textId="0E32C2A6" w:rsidR="00EE4D06" w:rsidRPr="007A08C7" w:rsidRDefault="001E3C6B" w:rsidP="001E3C6B">
      <w:pPr>
        <w:pStyle w:val="ListNo1"/>
        <w:numPr>
          <w:ilvl w:val="0"/>
          <w:numId w:val="0"/>
        </w:numPr>
        <w:tabs>
          <w:tab w:val="left" w:pos="720"/>
        </w:tabs>
        <w:ind w:left="720" w:hanging="720"/>
      </w:pPr>
      <w:r w:rsidRPr="007A08C7">
        <w:t>(3)</w:t>
      </w:r>
      <w:r w:rsidRPr="007A08C7">
        <w:tab/>
      </w:r>
      <w:r w:rsidR="00EE4D06">
        <w:t>“</w:t>
      </w:r>
      <w:r w:rsidR="00EE4D06" w:rsidRPr="007A08C7">
        <w:t>New freezeframe NIGHT contains 2 Topical Micro Injection technologies, both clinically proven to visually match those of injections – topical line filling equivalent to a collagen injection and topical wrinkle freezing with visible results rivaling Botox Injections. But it</w:t>
      </w:r>
      <w:r w:rsidR="00EE4D06">
        <w:t>’</w:t>
      </w:r>
      <w:r w:rsidR="00EE4D06" w:rsidRPr="007A08C7">
        <w:t>s the dramatic face lifting effects that have astounded customers and experts alike, with skin structure brought back to baby</w:t>
      </w:r>
      <w:r w:rsidR="00EE4D06">
        <w:t>’</w:t>
      </w:r>
      <w:r w:rsidR="00EE4D06" w:rsidRPr="007A08C7">
        <w:t>s skin in less than 3 months.</w:t>
      </w:r>
      <w:r w:rsidR="00EE4D06">
        <w:t>”</w:t>
      </w:r>
    </w:p>
    <w:p w14:paraId="5C21F286" w14:textId="5DE3FB76" w:rsidR="00EE4D06" w:rsidRDefault="001E3C6B" w:rsidP="001E3C6B">
      <w:pPr>
        <w:pStyle w:val="ListNo1"/>
        <w:numPr>
          <w:ilvl w:val="0"/>
          <w:numId w:val="0"/>
        </w:numPr>
        <w:tabs>
          <w:tab w:val="left" w:pos="720"/>
        </w:tabs>
        <w:ind w:left="720" w:hanging="720"/>
      </w:pPr>
      <w:r>
        <w:t>(4)</w:t>
      </w:r>
      <w:r>
        <w:tab/>
      </w:r>
      <w:r w:rsidR="00EE4D06">
        <w:t>“</w:t>
      </w:r>
      <w:r w:rsidR="00EE4D06" w:rsidRPr="007A08C7">
        <w:t>What</w:t>
      </w:r>
      <w:r w:rsidR="00EE4D06">
        <w:t>’</w:t>
      </w:r>
      <w:r w:rsidR="00EE4D06" w:rsidRPr="007A08C7">
        <w:t>s better than a topical alternative to wrinkle fillers? One formula that includes both an alternative to fillers and alternative to Botox Injections!</w:t>
      </w:r>
      <w:r w:rsidR="00EE4D06">
        <w:t>”</w:t>
      </w:r>
    </w:p>
    <w:p w14:paraId="4ED30B71" w14:textId="506F6E36" w:rsidR="0028713F" w:rsidRPr="007A08C7" w:rsidRDefault="001E3C6B" w:rsidP="001E3C6B">
      <w:pPr>
        <w:pStyle w:val="ParaNumbering"/>
        <w:numPr>
          <w:ilvl w:val="0"/>
          <w:numId w:val="0"/>
        </w:numPr>
        <w:ind w:hanging="720"/>
      </w:pPr>
      <w:r w:rsidRPr="007A08C7">
        <w:rPr>
          <w:sz w:val="20"/>
        </w:rPr>
        <w:lastRenderedPageBreak/>
        <w:t>95</w:t>
      </w:r>
      <w:r w:rsidRPr="007A08C7">
        <w:rPr>
          <w:sz w:val="20"/>
        </w:rPr>
        <w:tab/>
      </w:r>
      <w:r w:rsidR="0028713F">
        <w:t>In respect of the Night</w:t>
      </w:r>
      <w:r w:rsidR="008A20DF">
        <w:t xml:space="preserve"> (tube)</w:t>
      </w:r>
      <w:r w:rsidR="0028713F">
        <w:t xml:space="preserve"> product, Ms Amoroso denied that her intention was to convey that the product would do as well as Botox; her intention was to convey that</w:t>
      </w:r>
      <w:r w:rsidR="00DC63C7">
        <w:t xml:space="preserve"> the </w:t>
      </w:r>
      <w:r w:rsidR="0028713F">
        <w:t>product achieves a very high level of wrinkle smoothing</w:t>
      </w:r>
      <w:r w:rsidR="00031110">
        <w:t xml:space="preserve"> which is comparable to Botox.</w:t>
      </w:r>
    </w:p>
    <w:p w14:paraId="116ADDB2" w14:textId="77777777" w:rsidR="00EE4D06" w:rsidRPr="007A08C7" w:rsidRDefault="00EE4D06" w:rsidP="00EE4D06">
      <w:pPr>
        <w:pStyle w:val="Heading2"/>
      </w:pPr>
      <w:bookmarkStart w:id="49" w:name="_Ref54701568"/>
      <w:r w:rsidRPr="007A08C7">
        <w:t>Night (tub) product</w:t>
      </w:r>
      <w:bookmarkEnd w:id="49"/>
    </w:p>
    <w:p w14:paraId="4BC7C1DE" w14:textId="0B86E0EC" w:rsidR="00EE4D06" w:rsidRPr="007A08C7" w:rsidRDefault="001E3C6B" w:rsidP="001E3C6B">
      <w:pPr>
        <w:pStyle w:val="ParaNumbering"/>
        <w:numPr>
          <w:ilvl w:val="0"/>
          <w:numId w:val="0"/>
        </w:numPr>
        <w:ind w:hanging="720"/>
      </w:pPr>
      <w:r w:rsidRPr="007A08C7">
        <w:rPr>
          <w:sz w:val="20"/>
        </w:rPr>
        <w:t>96</w:t>
      </w:r>
      <w:r w:rsidRPr="007A08C7">
        <w:rPr>
          <w:sz w:val="20"/>
        </w:rPr>
        <w:tab/>
      </w:r>
      <w:r w:rsidR="00EE4D06" w:rsidRPr="007A08C7">
        <w:t>In or around 2009, Self Care developed a skincare product which I will refer to as the Night (tub) product.  From about October 2012 to about March 2017, Self Care sold or offered for sale the Night (tub) product in a 30 ml g</w:t>
      </w:r>
      <w:r w:rsidR="004C43BF">
        <w:t>lass jar/tub packaged in a cube-</w:t>
      </w:r>
      <w:r w:rsidR="00EE4D06" w:rsidRPr="007A08C7">
        <w:t>shaped box.</w:t>
      </w:r>
    </w:p>
    <w:p w14:paraId="49653112" w14:textId="2BC6FA8E" w:rsidR="00EE4D06" w:rsidRPr="007A08C7" w:rsidRDefault="001E3C6B" w:rsidP="001E3C6B">
      <w:pPr>
        <w:pStyle w:val="ParaNumbering"/>
        <w:numPr>
          <w:ilvl w:val="0"/>
          <w:numId w:val="0"/>
        </w:numPr>
        <w:ind w:hanging="720"/>
      </w:pPr>
      <w:r w:rsidRPr="007A08C7">
        <w:rPr>
          <w:sz w:val="20"/>
        </w:rPr>
        <w:t>97</w:t>
      </w:r>
      <w:r w:rsidRPr="007A08C7">
        <w:rPr>
          <w:sz w:val="20"/>
        </w:rPr>
        <w:tab/>
      </w:r>
      <w:r w:rsidR="00EE4D06" w:rsidRPr="007A08C7">
        <w:t xml:space="preserve">Inside the Night (tub) product packaging was a product information sheet. </w:t>
      </w:r>
    </w:p>
    <w:p w14:paraId="4A186E0F" w14:textId="519A6950" w:rsidR="00EE4D06" w:rsidRPr="007A08C7" w:rsidRDefault="001E3C6B" w:rsidP="001E3C6B">
      <w:pPr>
        <w:pStyle w:val="ParaNumbering"/>
        <w:numPr>
          <w:ilvl w:val="0"/>
          <w:numId w:val="0"/>
        </w:numPr>
        <w:ind w:hanging="720"/>
      </w:pPr>
      <w:r w:rsidRPr="007A08C7">
        <w:rPr>
          <w:sz w:val="20"/>
        </w:rPr>
        <w:t>98</w:t>
      </w:r>
      <w:r w:rsidRPr="007A08C7">
        <w:rPr>
          <w:sz w:val="20"/>
        </w:rPr>
        <w:tab/>
      </w:r>
      <w:r w:rsidR="00EE4D06" w:rsidRPr="007A08C7">
        <w:t>Self Care sold the Night (tub) product in Australia to certain retail outlets and pharmacies.  The recommended retail price was around $79.00, including GST.</w:t>
      </w:r>
    </w:p>
    <w:p w14:paraId="26430C38" w14:textId="3E9768C0" w:rsidR="00EE4D06" w:rsidRPr="007A08C7" w:rsidRDefault="001E3C6B" w:rsidP="001E3C6B">
      <w:pPr>
        <w:pStyle w:val="ParaNumbering"/>
        <w:numPr>
          <w:ilvl w:val="0"/>
          <w:numId w:val="0"/>
        </w:numPr>
        <w:ind w:hanging="720"/>
      </w:pPr>
      <w:r w:rsidRPr="007A08C7">
        <w:rPr>
          <w:sz w:val="20"/>
        </w:rPr>
        <w:t>99</w:t>
      </w:r>
      <w:r w:rsidRPr="007A08C7">
        <w:rPr>
          <w:sz w:val="20"/>
        </w:rPr>
        <w:tab/>
      </w:r>
      <w:r w:rsidR="00EE4D06" w:rsidRPr="007A08C7">
        <w:t>Self Care promoted, sold or offered for sale the Night (tub) product in Australia on the Freezeframe website where the following statements were made at various times and for various periods of time:</w:t>
      </w:r>
    </w:p>
    <w:p w14:paraId="753880DB" w14:textId="68632536" w:rsidR="00EE4D06" w:rsidRPr="007A08C7" w:rsidRDefault="001E3C6B" w:rsidP="001E3C6B">
      <w:pPr>
        <w:pStyle w:val="ListNo1"/>
        <w:numPr>
          <w:ilvl w:val="0"/>
          <w:numId w:val="0"/>
        </w:numPr>
        <w:tabs>
          <w:tab w:val="left" w:pos="720"/>
        </w:tabs>
        <w:ind w:left="720" w:hanging="720"/>
      </w:pPr>
      <w:r w:rsidRPr="007A08C7">
        <w:t>(1)</w:t>
      </w:r>
      <w:r w:rsidRPr="007A08C7">
        <w:tab/>
      </w:r>
      <w:r w:rsidR="00EE4D06">
        <w:t>“</w:t>
      </w:r>
      <w:r w:rsidR="00EE4D06" w:rsidRPr="007A08C7">
        <w:t xml:space="preserve">Overnight Botox® </w:t>
      </w:r>
      <w:r w:rsidR="001A3FD8" w:rsidRPr="007A08C7">
        <w:t>ALTERNATIVE</w:t>
      </w:r>
      <w:r w:rsidR="00EE4D06" w:rsidRPr="007A08C7">
        <w:t>!</w:t>
      </w:r>
      <w:r w:rsidR="00EE4D06">
        <w:t>”</w:t>
      </w:r>
    </w:p>
    <w:p w14:paraId="13B43A76" w14:textId="6D9AD826" w:rsidR="00EE4D06" w:rsidRPr="007A08C7" w:rsidRDefault="001E3C6B" w:rsidP="001E3C6B">
      <w:pPr>
        <w:pStyle w:val="ListNo1"/>
        <w:numPr>
          <w:ilvl w:val="0"/>
          <w:numId w:val="0"/>
        </w:numPr>
        <w:tabs>
          <w:tab w:val="left" w:pos="720"/>
        </w:tabs>
        <w:ind w:left="720" w:hanging="720"/>
      </w:pPr>
      <w:r w:rsidRPr="007A08C7">
        <w:t>(2)</w:t>
      </w:r>
      <w:r w:rsidRPr="007A08C7">
        <w:tab/>
      </w:r>
      <w:r w:rsidR="00EE4D06">
        <w:t>“</w:t>
      </w:r>
      <w:r w:rsidR="001A3FD8" w:rsidRPr="007A08C7">
        <w:t>LONG TERM</w:t>
      </w:r>
      <w:r w:rsidR="00EE4D06" w:rsidRPr="007A08C7">
        <w:t xml:space="preserve"> BOTOX® </w:t>
      </w:r>
      <w:r w:rsidR="001A3FD8" w:rsidRPr="007A08C7">
        <w:t>ALTERNATIVE</w:t>
      </w:r>
      <w:r w:rsidR="00EE4D06">
        <w:t>”</w:t>
      </w:r>
      <w:r w:rsidR="00EE4D06" w:rsidRPr="007A08C7">
        <w:t xml:space="preserve">  </w:t>
      </w:r>
    </w:p>
    <w:p w14:paraId="04337FBC" w14:textId="72CAEAB3" w:rsidR="00EE4D06" w:rsidRPr="007A08C7" w:rsidRDefault="001E3C6B" w:rsidP="001E3C6B">
      <w:pPr>
        <w:pStyle w:val="ListNo1"/>
        <w:numPr>
          <w:ilvl w:val="0"/>
          <w:numId w:val="0"/>
        </w:numPr>
        <w:tabs>
          <w:tab w:val="left" w:pos="720"/>
        </w:tabs>
        <w:ind w:left="720" w:hanging="720"/>
      </w:pPr>
      <w:r w:rsidRPr="007A08C7">
        <w:t>(3)</w:t>
      </w:r>
      <w:r w:rsidRPr="007A08C7">
        <w:tab/>
      </w:r>
      <w:r w:rsidR="00EE4D06">
        <w:t>“</w:t>
      </w:r>
      <w:r w:rsidR="00EE4D06" w:rsidRPr="007A08C7">
        <w:t>This luxurious cream is clinically proven to relax facial expressions and reduce the appearance of wrinkles by up to 63.23% in just 28 days, providing a long term alternative to Botox® injections</w:t>
      </w:r>
      <w:r w:rsidR="00EE4D06">
        <w:t>”</w:t>
      </w:r>
      <w:r w:rsidR="00EE4D06" w:rsidRPr="007A08C7">
        <w:t>.</w:t>
      </w:r>
    </w:p>
    <w:p w14:paraId="46B811FC" w14:textId="77777777" w:rsidR="00EE4D06" w:rsidRPr="007A08C7" w:rsidRDefault="00EE4D06" w:rsidP="00EE4D06">
      <w:pPr>
        <w:pStyle w:val="Heading2"/>
      </w:pPr>
      <w:bookmarkStart w:id="50" w:name="_Ref54701569"/>
      <w:r w:rsidRPr="007A08C7">
        <w:t>Boost Product</w:t>
      </w:r>
      <w:bookmarkEnd w:id="50"/>
    </w:p>
    <w:p w14:paraId="1E96BD5A" w14:textId="5AF136A9" w:rsidR="00EE4D06" w:rsidRPr="007A08C7" w:rsidRDefault="001E3C6B" w:rsidP="001E3C6B">
      <w:pPr>
        <w:pStyle w:val="ParaNumbering"/>
        <w:numPr>
          <w:ilvl w:val="0"/>
          <w:numId w:val="0"/>
        </w:numPr>
        <w:ind w:hanging="720"/>
      </w:pPr>
      <w:r w:rsidRPr="007A08C7">
        <w:rPr>
          <w:sz w:val="20"/>
        </w:rPr>
        <w:t>100</w:t>
      </w:r>
      <w:r w:rsidRPr="007A08C7">
        <w:rPr>
          <w:sz w:val="20"/>
        </w:rPr>
        <w:tab/>
      </w:r>
      <w:r w:rsidR="00EE4D06" w:rsidRPr="007A08C7">
        <w:t>From about March 2017 to date, Self Care has sold or offered for sale a skincare product in Australia which I will refer to as the Boost product.  The product is sold in a 12 ml tube with a combined pump/rollerball applicator which is packaged in an elongated box.</w:t>
      </w:r>
    </w:p>
    <w:p w14:paraId="17EAE024" w14:textId="1DEAFCCE" w:rsidR="00EE4D06" w:rsidRPr="007A08C7" w:rsidRDefault="001E3C6B" w:rsidP="001E3C6B">
      <w:pPr>
        <w:pStyle w:val="ParaNumbering"/>
        <w:numPr>
          <w:ilvl w:val="0"/>
          <w:numId w:val="0"/>
        </w:numPr>
        <w:ind w:hanging="720"/>
      </w:pPr>
      <w:r w:rsidRPr="007A08C7">
        <w:rPr>
          <w:sz w:val="20"/>
        </w:rPr>
        <w:t>101</w:t>
      </w:r>
      <w:r w:rsidRPr="007A08C7">
        <w:rPr>
          <w:sz w:val="20"/>
        </w:rPr>
        <w:tab/>
      </w:r>
      <w:r w:rsidR="00EE4D06" w:rsidRPr="007A08C7">
        <w:t xml:space="preserve">The Boost product packaging prominently displays the words </w:t>
      </w:r>
      <w:r w:rsidR="00EE4D06" w:rsidRPr="007A08C7">
        <w:rPr>
          <w:sz w:val="22"/>
        </w:rPr>
        <w:t xml:space="preserve">FREEZEFRAME </w:t>
      </w:r>
      <w:r w:rsidR="00EE4D06" w:rsidRPr="007A08C7">
        <w:t xml:space="preserve">and BOOST SERUM and contains the statement </w:t>
      </w:r>
      <w:r w:rsidR="00EE4D06">
        <w:t>“</w:t>
      </w:r>
      <w:r w:rsidR="00EE4D06" w:rsidRPr="007A08C7">
        <w:t>Botox® alternative peptides provide targeted results on even the deepest wrinkles.</w:t>
      </w:r>
      <w:r w:rsidR="00EE4D06">
        <w:t>”</w:t>
      </w:r>
    </w:p>
    <w:p w14:paraId="28A592A1" w14:textId="1C164893" w:rsidR="00EE4D06" w:rsidRPr="007A08C7" w:rsidRDefault="001E3C6B" w:rsidP="001E3C6B">
      <w:pPr>
        <w:pStyle w:val="ParaNumbering"/>
        <w:numPr>
          <w:ilvl w:val="0"/>
          <w:numId w:val="0"/>
        </w:numPr>
        <w:ind w:hanging="720"/>
      </w:pPr>
      <w:r w:rsidRPr="007A08C7">
        <w:rPr>
          <w:sz w:val="20"/>
        </w:rPr>
        <w:t>102</w:t>
      </w:r>
      <w:r w:rsidRPr="007A08C7">
        <w:rPr>
          <w:sz w:val="20"/>
        </w:rPr>
        <w:tab/>
      </w:r>
      <w:r w:rsidR="00EE4D06" w:rsidRPr="007A08C7">
        <w:t>The packaging relevantly looks like this:</w:t>
      </w:r>
    </w:p>
    <w:p w14:paraId="72F70440" w14:textId="0154B409" w:rsidR="00EE4D06" w:rsidRPr="00E91ECB" w:rsidRDefault="00D94578" w:rsidP="00701720">
      <w:pPr>
        <w:pStyle w:val="NoNum"/>
        <w:rPr>
          <w:highlight w:val="yellow"/>
        </w:rPr>
      </w:pPr>
      <w:r w:rsidRPr="00E91ECB">
        <w:rPr>
          <w:noProof/>
          <w:highlight w:val="yellow"/>
          <w:lang w:eastAsia="en-AU"/>
        </w:rPr>
        <w:lastRenderedPageBreak/>
        <w:drawing>
          <wp:inline distT="0" distB="0" distL="0" distR="0" wp14:anchorId="298B6E93" wp14:editId="651DC4CF">
            <wp:extent cx="2724912" cy="3535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724912" cy="3535680"/>
                    </a:xfrm>
                    <a:prstGeom prst="rect">
                      <a:avLst/>
                    </a:prstGeom>
                    <a:noFill/>
                  </pic:spPr>
                </pic:pic>
              </a:graphicData>
            </a:graphic>
          </wp:inline>
        </w:drawing>
      </w:r>
    </w:p>
    <w:p w14:paraId="096AFC52" w14:textId="725AAFC7" w:rsidR="00EE4D06" w:rsidRPr="007A08C7" w:rsidRDefault="001E3C6B" w:rsidP="001E3C6B">
      <w:pPr>
        <w:pStyle w:val="ParaNumbering"/>
        <w:numPr>
          <w:ilvl w:val="0"/>
          <w:numId w:val="0"/>
        </w:numPr>
        <w:ind w:hanging="720"/>
      </w:pPr>
      <w:r w:rsidRPr="007A08C7">
        <w:rPr>
          <w:sz w:val="20"/>
        </w:rPr>
        <w:t>103</w:t>
      </w:r>
      <w:r w:rsidRPr="007A08C7">
        <w:rPr>
          <w:sz w:val="20"/>
        </w:rPr>
        <w:tab/>
      </w:r>
      <w:r w:rsidR="00EE4D06" w:rsidRPr="007A08C7">
        <w:t xml:space="preserve">The product information inside the Boost product packaging contains the statement </w:t>
      </w:r>
      <w:r w:rsidR="00EE4D06">
        <w:t>“</w:t>
      </w:r>
      <w:r w:rsidR="00EE4D06" w:rsidRPr="007A08C7">
        <w:t>Botox® alternativ</w:t>
      </w:r>
      <w:r w:rsidR="001A3FD8">
        <w:t xml:space="preserve">e peptides also add to the anti </w:t>
      </w:r>
      <w:r w:rsidR="00EE4D06" w:rsidRPr="007A08C7">
        <w:t>aging cocktail for dramatic, targeted results on even the deepest wrinkles</w:t>
      </w:r>
      <w:r w:rsidR="00EE4D06">
        <w:t>”</w:t>
      </w:r>
      <w:r w:rsidR="00EE4D06" w:rsidRPr="007A08C7">
        <w:t>.</w:t>
      </w:r>
    </w:p>
    <w:p w14:paraId="685E8D02" w14:textId="5E9E1A10" w:rsidR="00EE4D06" w:rsidRPr="007A08C7" w:rsidRDefault="001E3C6B" w:rsidP="001E3C6B">
      <w:pPr>
        <w:pStyle w:val="ParaNumbering"/>
        <w:numPr>
          <w:ilvl w:val="0"/>
          <w:numId w:val="0"/>
        </w:numPr>
        <w:ind w:hanging="720"/>
      </w:pPr>
      <w:r w:rsidRPr="007A08C7">
        <w:rPr>
          <w:sz w:val="20"/>
        </w:rPr>
        <w:t>104</w:t>
      </w:r>
      <w:r w:rsidRPr="007A08C7">
        <w:rPr>
          <w:sz w:val="20"/>
        </w:rPr>
        <w:tab/>
      </w:r>
      <w:r w:rsidR="00EE4D06" w:rsidRPr="007A08C7">
        <w:t>Self Care has promoted, sold or offered for sale the Boost product in Australia on the Freezeframe website and sold it in Australia to the retail outlet Priceline.  The recommended retail price is around $59.00, including GST.</w:t>
      </w:r>
    </w:p>
    <w:p w14:paraId="0E5480E9" w14:textId="054FB9F8" w:rsidR="00EE4D06" w:rsidRPr="007A08C7" w:rsidRDefault="001E3C6B" w:rsidP="001E3C6B">
      <w:pPr>
        <w:pStyle w:val="ParaNumbering"/>
        <w:numPr>
          <w:ilvl w:val="0"/>
          <w:numId w:val="0"/>
        </w:numPr>
        <w:ind w:hanging="720"/>
      </w:pPr>
      <w:r w:rsidRPr="007A08C7">
        <w:rPr>
          <w:sz w:val="20"/>
        </w:rPr>
        <w:t>105</w:t>
      </w:r>
      <w:r w:rsidRPr="007A08C7">
        <w:rPr>
          <w:sz w:val="20"/>
        </w:rPr>
        <w:tab/>
      </w:r>
      <w:r w:rsidR="00EE4D06" w:rsidRPr="007A08C7">
        <w:t xml:space="preserve">From March 2017, the Boost product was included on the Freezeframe website with the following statement at various times, for various periods of time: </w:t>
      </w:r>
      <w:r w:rsidR="00EE4D06">
        <w:t>“</w:t>
      </w:r>
      <w:r w:rsidR="00EE4D06" w:rsidRPr="007A08C7">
        <w:t>Botox® alternative peptides also add to the anti</w:t>
      </w:r>
      <w:r w:rsidR="001A3FD8">
        <w:t xml:space="preserve"> </w:t>
      </w:r>
      <w:r w:rsidR="00EE4D06" w:rsidRPr="007A08C7">
        <w:t>aging cocktail for dramatic, targeted results on even the deepest wrinkles</w:t>
      </w:r>
      <w:r w:rsidR="00EE4D06">
        <w:t>”</w:t>
      </w:r>
      <w:r w:rsidR="00EE4D06" w:rsidRPr="007A08C7">
        <w:t>.</w:t>
      </w:r>
    </w:p>
    <w:p w14:paraId="5AE235CC" w14:textId="54E0632C" w:rsidR="00EE4D06" w:rsidRPr="007A08C7" w:rsidRDefault="001E3C6B" w:rsidP="001E3C6B">
      <w:pPr>
        <w:pStyle w:val="ParaNumbering"/>
        <w:numPr>
          <w:ilvl w:val="0"/>
          <w:numId w:val="0"/>
        </w:numPr>
        <w:ind w:hanging="720"/>
      </w:pPr>
      <w:bookmarkStart w:id="51" w:name="_Ref54198695"/>
      <w:r w:rsidRPr="007A08C7">
        <w:rPr>
          <w:sz w:val="20"/>
        </w:rPr>
        <w:t>106</w:t>
      </w:r>
      <w:r w:rsidRPr="007A08C7">
        <w:rPr>
          <w:sz w:val="20"/>
        </w:rPr>
        <w:tab/>
      </w:r>
      <w:r w:rsidR="00EE4D06" w:rsidRPr="007A08C7">
        <w:t xml:space="preserve">Since at least October 2012, the Boost Product was included on the Freezeframe website with the following statement at various times, for various periods of time: </w:t>
      </w:r>
      <w:r w:rsidR="00EE4D06">
        <w:t>“</w:t>
      </w:r>
      <w:r w:rsidR="00EE4D06" w:rsidRPr="007A08C7">
        <w:t>LONG TERM BOTOX® ALTERNATIVE</w:t>
      </w:r>
      <w:r w:rsidR="00EE4D06">
        <w:t>”</w:t>
      </w:r>
      <w:r w:rsidR="00EE4D06" w:rsidRPr="007A08C7">
        <w:t>.</w:t>
      </w:r>
      <w:bookmarkEnd w:id="51"/>
    </w:p>
    <w:p w14:paraId="3336B411" w14:textId="294201B9" w:rsidR="00EE4D06" w:rsidRPr="007A08C7" w:rsidRDefault="001E3C6B" w:rsidP="00EE4D06">
      <w:pPr>
        <w:pStyle w:val="Heading1"/>
      </w:pPr>
      <w:bookmarkStart w:id="52" w:name="_Ref54701570"/>
      <w:r>
        <w:rPr>
          <w:caps w:val="0"/>
        </w:rPr>
        <w:t>SELF CARE’S</w:t>
      </w:r>
      <w:r w:rsidRPr="007A08C7">
        <w:rPr>
          <w:caps w:val="0"/>
        </w:rPr>
        <w:t xml:space="preserve"> IMPUGNED STATEMENTS AND ITS UNDERTAKINGS</w:t>
      </w:r>
      <w:bookmarkEnd w:id="52"/>
    </w:p>
    <w:p w14:paraId="54A6CBAA" w14:textId="31EC64B6" w:rsidR="00EE4D06" w:rsidRPr="007A08C7" w:rsidRDefault="001E3C6B" w:rsidP="001E3C6B">
      <w:pPr>
        <w:pStyle w:val="ParaNumbering"/>
        <w:numPr>
          <w:ilvl w:val="0"/>
          <w:numId w:val="0"/>
        </w:numPr>
        <w:ind w:hanging="720"/>
      </w:pPr>
      <w:r w:rsidRPr="007A08C7">
        <w:rPr>
          <w:sz w:val="20"/>
        </w:rPr>
        <w:t>107</w:t>
      </w:r>
      <w:r w:rsidRPr="007A08C7">
        <w:rPr>
          <w:sz w:val="20"/>
        </w:rPr>
        <w:tab/>
      </w:r>
      <w:r w:rsidR="00EE4D06" w:rsidRPr="007A08C7">
        <w:t>On 18 February 2019, after the filing of</w:t>
      </w:r>
      <w:r w:rsidR="00EE4D06">
        <w:t xml:space="preserve"> Allergan’s </w:t>
      </w:r>
      <w:r w:rsidR="00EE4D06" w:rsidRPr="007A08C7">
        <w:t>further amended statement of claim, and with reference to that pleading, Self Care made a</w:t>
      </w:r>
      <w:r w:rsidR="00DC63C7">
        <w:t xml:space="preserve"> number </w:t>
      </w:r>
      <w:r w:rsidR="00EE4D06" w:rsidRPr="007A08C7">
        <w:t>of undertakings to the Court.  The undertakings were expressly made without admission</w:t>
      </w:r>
      <w:r w:rsidR="00E42C6D">
        <w:t>,</w:t>
      </w:r>
      <w:r w:rsidR="00EE4D06" w:rsidRPr="007A08C7">
        <w:t xml:space="preserve"> in order t</w:t>
      </w:r>
      <w:r w:rsidR="00031110">
        <w:t>o narrow the issues in dispute.</w:t>
      </w:r>
    </w:p>
    <w:p w14:paraId="1DE00A48" w14:textId="6DFA2F10" w:rsidR="00EE4D06" w:rsidRPr="007A08C7" w:rsidRDefault="001E3C6B" w:rsidP="001E3C6B">
      <w:pPr>
        <w:pStyle w:val="ParaNumbering"/>
        <w:numPr>
          <w:ilvl w:val="0"/>
          <w:numId w:val="0"/>
        </w:numPr>
        <w:ind w:hanging="720"/>
      </w:pPr>
      <w:r w:rsidRPr="007A08C7">
        <w:rPr>
          <w:sz w:val="20"/>
        </w:rPr>
        <w:lastRenderedPageBreak/>
        <w:t>108</w:t>
      </w:r>
      <w:r w:rsidRPr="007A08C7">
        <w:rPr>
          <w:sz w:val="20"/>
        </w:rPr>
        <w:tab/>
      </w:r>
      <w:r w:rsidR="00EE4D06" w:rsidRPr="007A08C7">
        <w:t xml:space="preserve">The undertakings were that Self Care will not make certain of the statements of which Allergan has complained.  Self Care nevertheless </w:t>
      </w:r>
      <w:r w:rsidR="00EE4D06">
        <w:t xml:space="preserve">stated that it </w:t>
      </w:r>
      <w:r w:rsidR="00EE4D06" w:rsidRPr="007A08C7">
        <w:t xml:space="preserve">intends to, and considers that it is entitled to, continue to make a number of statements, including various statements to the effect that the Self Care products are </w:t>
      </w:r>
      <w:r w:rsidR="00EE4D06">
        <w:t>“</w:t>
      </w:r>
      <w:r w:rsidR="00EE4D06" w:rsidRPr="007A08C7">
        <w:t>Botox alternatives</w:t>
      </w:r>
      <w:r w:rsidR="00EE4D06">
        <w:t>”</w:t>
      </w:r>
      <w:r w:rsidR="00EE4D06" w:rsidRPr="007A08C7">
        <w:t>.</w:t>
      </w:r>
    </w:p>
    <w:p w14:paraId="36F7379C" w14:textId="35252B48" w:rsidR="00EE4D06" w:rsidRPr="007A08C7" w:rsidRDefault="001E3C6B" w:rsidP="001E3C6B">
      <w:pPr>
        <w:pStyle w:val="ParaNumbering"/>
        <w:numPr>
          <w:ilvl w:val="0"/>
          <w:numId w:val="0"/>
        </w:numPr>
        <w:ind w:hanging="720"/>
      </w:pPr>
      <w:r w:rsidRPr="007A08C7">
        <w:rPr>
          <w:sz w:val="20"/>
        </w:rPr>
        <w:t>109</w:t>
      </w:r>
      <w:r w:rsidRPr="007A08C7">
        <w:rPr>
          <w:sz w:val="20"/>
        </w:rPr>
        <w:tab/>
      </w:r>
      <w:r w:rsidR="00EE4D06" w:rsidRPr="007A08C7">
        <w:t>As indicated,</w:t>
      </w:r>
      <w:r w:rsidR="00EE4D06">
        <w:t xml:space="preserve"> Allergan </w:t>
      </w:r>
      <w:r w:rsidR="00EE4D06" w:rsidRPr="007A08C7">
        <w:t>complain</w:t>
      </w:r>
      <w:r w:rsidR="00EE4D06">
        <w:t>s</w:t>
      </w:r>
      <w:r w:rsidR="00EE4D06" w:rsidRPr="007A08C7">
        <w:t xml:space="preserve"> of statements by the respondents in </w:t>
      </w:r>
      <w:r w:rsidR="002A51DB">
        <w:t>four</w:t>
      </w:r>
      <w:r w:rsidR="00EE4D06" w:rsidRPr="007A08C7">
        <w:t xml:space="preserve"> ways, </w:t>
      </w:r>
      <w:r w:rsidR="00EE4D06">
        <w:t xml:space="preserve">namely </w:t>
      </w:r>
      <w:r w:rsidR="00EE4D06" w:rsidRPr="007A08C7">
        <w:t>as trade mark infringements, as affiliation representations</w:t>
      </w:r>
      <w:r w:rsidR="002A51DB">
        <w:t xml:space="preserve">, </w:t>
      </w:r>
      <w:r w:rsidR="00EE4D06" w:rsidRPr="007A08C7">
        <w:t>as efficacy representations</w:t>
      </w:r>
      <w:r w:rsidR="002A51DB">
        <w:t xml:space="preserve"> and as contraventions of the TG Act</w:t>
      </w:r>
      <w:r w:rsidR="00EE4D06" w:rsidRPr="007A08C7">
        <w:t>.</w:t>
      </w:r>
    </w:p>
    <w:p w14:paraId="451D3224" w14:textId="1E2CBB96" w:rsidR="00EE4D06" w:rsidRPr="007A08C7" w:rsidRDefault="001E3C6B" w:rsidP="001E3C6B">
      <w:pPr>
        <w:pStyle w:val="ParaNumbering"/>
        <w:numPr>
          <w:ilvl w:val="0"/>
          <w:numId w:val="0"/>
        </w:numPr>
        <w:ind w:hanging="720"/>
      </w:pPr>
      <w:r w:rsidRPr="007A08C7">
        <w:rPr>
          <w:sz w:val="20"/>
        </w:rPr>
        <w:t>110</w:t>
      </w:r>
      <w:r w:rsidRPr="007A08C7">
        <w:rPr>
          <w:sz w:val="20"/>
        </w:rPr>
        <w:tab/>
      </w:r>
      <w:r w:rsidR="00EE4D06" w:rsidRPr="007A08C7">
        <w:t>The tables below, in respect of each product, reflect the statements that</w:t>
      </w:r>
      <w:r w:rsidR="00EE4D06">
        <w:t xml:space="preserve"> Allergan </w:t>
      </w:r>
      <w:r w:rsidR="00EE4D06" w:rsidRPr="007A08C7">
        <w:t>complain</w:t>
      </w:r>
      <w:r w:rsidR="00EE4D06">
        <w:t>s</w:t>
      </w:r>
      <w:r w:rsidR="00EE4D06" w:rsidRPr="007A08C7">
        <w:t xml:space="preserve"> of, the ground for the complaint in each case (trade mark infringement, affiliation representation</w:t>
      </w:r>
      <w:r w:rsidR="00AC70BF">
        <w:t xml:space="preserve">, </w:t>
      </w:r>
      <w:r w:rsidR="00EE4D06" w:rsidRPr="007A08C7">
        <w:t>efficacy representation</w:t>
      </w:r>
      <w:r w:rsidR="00AC70BF">
        <w:t xml:space="preserve"> and TG Act</w:t>
      </w:r>
      <w:r w:rsidR="00EE4D06" w:rsidRPr="007A08C7">
        <w:t xml:space="preserve">), and whether </w:t>
      </w:r>
      <w:r w:rsidR="00EE4D06">
        <w:t>Self Care has</w:t>
      </w:r>
      <w:r w:rsidR="00EE4D06" w:rsidRPr="007A08C7">
        <w:t xml:space="preserve"> undertaken not to make the statements anymore.</w:t>
      </w:r>
      <w:r w:rsidR="00D07BB6">
        <w:t xml:space="preserve"> These tables are prepared from Schs A, B and C to Allergan’s closing submissions.</w:t>
      </w:r>
    </w:p>
    <w:p w14:paraId="0C195A16" w14:textId="67DB572C" w:rsidR="00EE4D06" w:rsidRPr="007A08C7" w:rsidRDefault="001E3C6B" w:rsidP="001E3C6B">
      <w:pPr>
        <w:pStyle w:val="ParaNumbering"/>
        <w:numPr>
          <w:ilvl w:val="0"/>
          <w:numId w:val="0"/>
        </w:numPr>
        <w:ind w:hanging="720"/>
      </w:pPr>
      <w:bookmarkStart w:id="53" w:name="_Ref39572582"/>
      <w:r w:rsidRPr="007A08C7">
        <w:rPr>
          <w:sz w:val="20"/>
        </w:rPr>
        <w:t>111</w:t>
      </w:r>
      <w:r w:rsidRPr="007A08C7">
        <w:rPr>
          <w:sz w:val="20"/>
        </w:rPr>
        <w:tab/>
      </w:r>
      <w:r w:rsidR="00EE4D06" w:rsidRPr="007A08C7">
        <w:t>Protox product:</w:t>
      </w:r>
      <w:bookmarkEnd w:id="53"/>
    </w:p>
    <w:tbl>
      <w:tblPr>
        <w:tblStyle w:val="TableGrid"/>
        <w:tblW w:w="0" w:type="auto"/>
        <w:tblLook w:val="04A0" w:firstRow="1" w:lastRow="0" w:firstColumn="1" w:lastColumn="0" w:noHBand="0" w:noVBand="1"/>
      </w:tblPr>
      <w:tblGrid>
        <w:gridCol w:w="541"/>
        <w:gridCol w:w="4768"/>
        <w:gridCol w:w="670"/>
        <w:gridCol w:w="671"/>
        <w:gridCol w:w="669"/>
        <w:gridCol w:w="668"/>
        <w:gridCol w:w="1030"/>
      </w:tblGrid>
      <w:tr w:rsidR="00AC70BF" w:rsidRPr="00B57F84" w14:paraId="11654C40" w14:textId="77777777" w:rsidTr="00093278">
        <w:trPr>
          <w:trHeight w:val="492"/>
        </w:trPr>
        <w:tc>
          <w:tcPr>
            <w:tcW w:w="0" w:type="auto"/>
            <w:hideMark/>
          </w:tcPr>
          <w:p w14:paraId="43A1AAA6" w14:textId="77777777" w:rsidR="00AC70BF" w:rsidRPr="00B57F84" w:rsidRDefault="00AC70BF" w:rsidP="00EE4D06">
            <w:pPr>
              <w:spacing w:beforeLines="60" w:before="144" w:afterLines="60" w:after="144" w:line="240" w:lineRule="auto"/>
              <w:rPr>
                <w:sz w:val="22"/>
                <w:szCs w:val="22"/>
              </w:rPr>
            </w:pPr>
            <w:r w:rsidRPr="00B57F84">
              <w:rPr>
                <w:sz w:val="22"/>
                <w:szCs w:val="22"/>
              </w:rPr>
              <w:t>No.</w:t>
            </w:r>
          </w:p>
        </w:tc>
        <w:tc>
          <w:tcPr>
            <w:tcW w:w="0" w:type="auto"/>
            <w:hideMark/>
          </w:tcPr>
          <w:p w14:paraId="2C1C8609" w14:textId="77777777" w:rsidR="00AC70BF" w:rsidRPr="00B57F84" w:rsidRDefault="00AC70BF" w:rsidP="00EE4D06">
            <w:pPr>
              <w:spacing w:beforeLines="60" w:before="144" w:afterLines="60" w:after="144" w:line="240" w:lineRule="auto"/>
              <w:rPr>
                <w:sz w:val="22"/>
                <w:szCs w:val="22"/>
              </w:rPr>
            </w:pPr>
            <w:r w:rsidRPr="00B57F84">
              <w:rPr>
                <w:sz w:val="22"/>
                <w:szCs w:val="22"/>
              </w:rPr>
              <w:t>Statement</w:t>
            </w:r>
          </w:p>
        </w:tc>
        <w:tc>
          <w:tcPr>
            <w:tcW w:w="0" w:type="auto"/>
          </w:tcPr>
          <w:p w14:paraId="5D4ED80A" w14:textId="77777777" w:rsidR="00AC70BF" w:rsidRPr="00B57F84" w:rsidRDefault="00AC70BF" w:rsidP="00EE4D06">
            <w:pPr>
              <w:spacing w:beforeLines="60" w:before="144" w:afterLines="60" w:after="144" w:line="240" w:lineRule="auto"/>
              <w:rPr>
                <w:sz w:val="22"/>
                <w:szCs w:val="22"/>
              </w:rPr>
            </w:pPr>
            <w:r w:rsidRPr="00B57F84">
              <w:rPr>
                <w:sz w:val="22"/>
                <w:szCs w:val="22"/>
              </w:rPr>
              <w:t>TM inf. Y/N</w:t>
            </w:r>
          </w:p>
        </w:tc>
        <w:tc>
          <w:tcPr>
            <w:tcW w:w="0" w:type="auto"/>
          </w:tcPr>
          <w:p w14:paraId="34C2F07E" w14:textId="77777777" w:rsidR="00AC70BF" w:rsidRPr="00B57F84" w:rsidRDefault="00AC70BF" w:rsidP="00EE4D06">
            <w:pPr>
              <w:spacing w:beforeLines="60" w:before="144" w:afterLines="60" w:after="144" w:line="240" w:lineRule="auto"/>
              <w:rPr>
                <w:sz w:val="22"/>
                <w:szCs w:val="22"/>
              </w:rPr>
            </w:pPr>
            <w:r w:rsidRPr="00B57F84">
              <w:rPr>
                <w:sz w:val="22"/>
                <w:szCs w:val="22"/>
              </w:rPr>
              <w:t>Aff. rep Y/N</w:t>
            </w:r>
          </w:p>
        </w:tc>
        <w:tc>
          <w:tcPr>
            <w:tcW w:w="0" w:type="auto"/>
          </w:tcPr>
          <w:p w14:paraId="3590EB17" w14:textId="77777777" w:rsidR="00AC70BF" w:rsidRPr="00B57F84" w:rsidRDefault="00AC70BF" w:rsidP="00EE4D06">
            <w:pPr>
              <w:spacing w:beforeLines="60" w:before="144" w:afterLines="60" w:after="144" w:line="240" w:lineRule="auto"/>
              <w:rPr>
                <w:sz w:val="22"/>
                <w:szCs w:val="22"/>
              </w:rPr>
            </w:pPr>
            <w:r w:rsidRPr="00B57F84">
              <w:rPr>
                <w:sz w:val="22"/>
                <w:szCs w:val="22"/>
              </w:rPr>
              <w:t>Eff. rep Y/N</w:t>
            </w:r>
          </w:p>
        </w:tc>
        <w:tc>
          <w:tcPr>
            <w:tcW w:w="0" w:type="auto"/>
          </w:tcPr>
          <w:p w14:paraId="1397989E" w14:textId="77777777" w:rsidR="00AC70BF" w:rsidRPr="00B57F84" w:rsidRDefault="00AC70BF" w:rsidP="00EE4D06">
            <w:pPr>
              <w:spacing w:beforeLines="60" w:before="144" w:afterLines="60" w:after="144" w:line="240" w:lineRule="auto"/>
              <w:rPr>
                <w:sz w:val="22"/>
                <w:szCs w:val="22"/>
              </w:rPr>
            </w:pPr>
            <w:r w:rsidRPr="00B57F84">
              <w:rPr>
                <w:sz w:val="22"/>
                <w:szCs w:val="22"/>
              </w:rPr>
              <w:t>TG Act Y/N</w:t>
            </w:r>
          </w:p>
        </w:tc>
        <w:tc>
          <w:tcPr>
            <w:tcW w:w="0" w:type="auto"/>
            <w:hideMark/>
          </w:tcPr>
          <w:p w14:paraId="39C68EE9" w14:textId="77777777" w:rsidR="00AC70BF" w:rsidRPr="00B57F84" w:rsidRDefault="00AC70BF" w:rsidP="00EE4D06">
            <w:pPr>
              <w:spacing w:beforeLines="60" w:before="144" w:afterLines="60" w:after="144" w:line="240" w:lineRule="auto"/>
              <w:rPr>
                <w:sz w:val="22"/>
                <w:szCs w:val="22"/>
              </w:rPr>
            </w:pPr>
            <w:r w:rsidRPr="00B57F84">
              <w:rPr>
                <w:sz w:val="22"/>
                <w:szCs w:val="22"/>
              </w:rPr>
              <w:t>U/taking Y/N</w:t>
            </w:r>
          </w:p>
        </w:tc>
      </w:tr>
      <w:tr w:rsidR="00AC70BF" w:rsidRPr="00B57F84" w14:paraId="0FB101BB" w14:textId="77777777" w:rsidTr="00093278">
        <w:trPr>
          <w:trHeight w:val="509"/>
        </w:trPr>
        <w:tc>
          <w:tcPr>
            <w:tcW w:w="0" w:type="auto"/>
          </w:tcPr>
          <w:p w14:paraId="762AF14A" w14:textId="77777777" w:rsidR="00AC70BF" w:rsidRPr="00B57F84" w:rsidRDefault="00AC70BF" w:rsidP="00EE4D06">
            <w:pPr>
              <w:spacing w:beforeLines="60" w:before="144" w:afterLines="60" w:after="144" w:line="240" w:lineRule="auto"/>
              <w:rPr>
                <w:sz w:val="22"/>
                <w:szCs w:val="22"/>
              </w:rPr>
            </w:pPr>
            <w:r w:rsidRPr="00B57F84">
              <w:rPr>
                <w:sz w:val="22"/>
                <w:szCs w:val="22"/>
              </w:rPr>
              <w:t>1</w:t>
            </w:r>
          </w:p>
        </w:tc>
        <w:tc>
          <w:tcPr>
            <w:tcW w:w="0" w:type="auto"/>
          </w:tcPr>
          <w:p w14:paraId="68778D01" w14:textId="77777777" w:rsidR="00AC70BF" w:rsidRPr="00B57F84" w:rsidRDefault="00AC70BF" w:rsidP="00EE4D06">
            <w:pPr>
              <w:spacing w:beforeLines="60" w:before="144" w:afterLines="60" w:after="144" w:line="240" w:lineRule="auto"/>
              <w:rPr>
                <w:sz w:val="22"/>
                <w:szCs w:val="22"/>
              </w:rPr>
            </w:pPr>
            <w:r w:rsidRPr="00B57F84">
              <w:rPr>
                <w:sz w:val="22"/>
                <w:szCs w:val="22"/>
              </w:rPr>
              <w:t>Use of the words “PROTOX” and “FREEZEFRAME PROTOX”</w:t>
            </w:r>
          </w:p>
        </w:tc>
        <w:tc>
          <w:tcPr>
            <w:tcW w:w="0" w:type="auto"/>
          </w:tcPr>
          <w:p w14:paraId="4D695992"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D9E19B1"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154C8B79"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348F5136"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792B5D8E"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624019D6" w14:textId="77777777" w:rsidTr="00093278">
        <w:trPr>
          <w:trHeight w:val="598"/>
        </w:trPr>
        <w:tc>
          <w:tcPr>
            <w:tcW w:w="0" w:type="auto"/>
          </w:tcPr>
          <w:p w14:paraId="149C2134" w14:textId="77777777" w:rsidR="00AC70BF" w:rsidRPr="00B57F84" w:rsidRDefault="00AC70BF" w:rsidP="00EE4D06">
            <w:pPr>
              <w:spacing w:beforeLines="60" w:before="144" w:afterLines="60" w:after="144" w:line="240" w:lineRule="auto"/>
              <w:rPr>
                <w:sz w:val="22"/>
                <w:szCs w:val="22"/>
              </w:rPr>
            </w:pPr>
            <w:r w:rsidRPr="00B57F84">
              <w:rPr>
                <w:sz w:val="22"/>
                <w:szCs w:val="22"/>
              </w:rPr>
              <w:t>2</w:t>
            </w:r>
          </w:p>
        </w:tc>
        <w:tc>
          <w:tcPr>
            <w:tcW w:w="0" w:type="auto"/>
          </w:tcPr>
          <w:p w14:paraId="44B27932" w14:textId="77777777" w:rsidR="00AC70BF" w:rsidRPr="00B57F84" w:rsidRDefault="00AC70BF" w:rsidP="00EE4D06">
            <w:pPr>
              <w:spacing w:beforeLines="60" w:before="144" w:afterLines="60" w:after="144" w:line="240" w:lineRule="auto"/>
              <w:rPr>
                <w:sz w:val="22"/>
                <w:szCs w:val="22"/>
              </w:rPr>
            </w:pPr>
            <w:r w:rsidRPr="00B57F84">
              <w:rPr>
                <w:sz w:val="22"/>
                <w:szCs w:val="22"/>
              </w:rPr>
              <w:t>“</w:t>
            </w:r>
            <w:r w:rsidRPr="00B57F84">
              <w:rPr>
                <w:iCs/>
                <w:sz w:val="22"/>
                <w:szCs w:val="22"/>
              </w:rPr>
              <w:t>Clinically proven to prolong the effect of Botox®</w:t>
            </w:r>
            <w:r w:rsidRPr="00B57F84">
              <w:rPr>
                <w:sz w:val="22"/>
                <w:szCs w:val="22"/>
              </w:rPr>
              <w:t>”</w:t>
            </w:r>
          </w:p>
        </w:tc>
        <w:tc>
          <w:tcPr>
            <w:tcW w:w="0" w:type="auto"/>
          </w:tcPr>
          <w:p w14:paraId="0DE03A9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E33D0D9"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4DFFE8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03572D1"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0D827E9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AC70BF" w:rsidRPr="00B57F84" w14:paraId="6DEC06A0" w14:textId="77777777" w:rsidTr="00093278">
        <w:trPr>
          <w:trHeight w:val="844"/>
        </w:trPr>
        <w:tc>
          <w:tcPr>
            <w:tcW w:w="0" w:type="auto"/>
          </w:tcPr>
          <w:p w14:paraId="502C078D" w14:textId="77777777" w:rsidR="00AC70BF" w:rsidRPr="00B57F84" w:rsidRDefault="00AC70BF" w:rsidP="00EE4D06">
            <w:pPr>
              <w:spacing w:beforeLines="60" w:before="144" w:afterLines="60" w:after="144" w:line="240" w:lineRule="auto"/>
              <w:rPr>
                <w:sz w:val="22"/>
                <w:szCs w:val="22"/>
              </w:rPr>
            </w:pPr>
            <w:r w:rsidRPr="00B57F84">
              <w:rPr>
                <w:sz w:val="22"/>
                <w:szCs w:val="22"/>
              </w:rPr>
              <w:t>3</w:t>
            </w:r>
          </w:p>
        </w:tc>
        <w:tc>
          <w:tcPr>
            <w:tcW w:w="0" w:type="auto"/>
          </w:tcPr>
          <w:p w14:paraId="442A79C6" w14:textId="77777777" w:rsidR="00AC70BF" w:rsidRPr="00B57F84" w:rsidRDefault="00AC70BF" w:rsidP="00EE4D06">
            <w:pPr>
              <w:spacing w:beforeLines="60" w:before="144" w:afterLines="60" w:after="144" w:line="240" w:lineRule="auto"/>
              <w:rPr>
                <w:sz w:val="22"/>
                <w:szCs w:val="22"/>
              </w:rPr>
            </w:pPr>
            <w:r w:rsidRPr="00B57F84">
              <w:rPr>
                <w:sz w:val="22"/>
                <w:szCs w:val="22"/>
              </w:rPr>
              <w:t>“</w:t>
            </w:r>
            <w:r w:rsidRPr="00B57F84">
              <w:rPr>
                <w:iCs/>
                <w:sz w:val="22"/>
                <w:szCs w:val="22"/>
              </w:rPr>
              <w:t>PROTOX prolongs the skin smoothing effect of Botox® injections</w:t>
            </w:r>
            <w:r w:rsidRPr="00B57F84">
              <w:rPr>
                <w:sz w:val="22"/>
                <w:szCs w:val="22"/>
              </w:rPr>
              <w:t>”</w:t>
            </w:r>
          </w:p>
        </w:tc>
        <w:tc>
          <w:tcPr>
            <w:tcW w:w="0" w:type="auto"/>
          </w:tcPr>
          <w:p w14:paraId="2C8E7AB2"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105C95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60AF8AA"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DF2393E"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008AF52A"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AC70BF" w:rsidRPr="00B57F84" w14:paraId="1148C93D" w14:textId="77777777" w:rsidTr="00093278">
        <w:trPr>
          <w:trHeight w:val="697"/>
        </w:trPr>
        <w:tc>
          <w:tcPr>
            <w:tcW w:w="0" w:type="auto"/>
          </w:tcPr>
          <w:p w14:paraId="12C71513" w14:textId="77777777" w:rsidR="00AC70BF" w:rsidRPr="00B57F84" w:rsidRDefault="00AC70BF" w:rsidP="00EE4D06">
            <w:pPr>
              <w:spacing w:beforeLines="60" w:before="144" w:afterLines="60" w:after="144" w:line="240" w:lineRule="auto"/>
              <w:rPr>
                <w:sz w:val="22"/>
                <w:szCs w:val="22"/>
              </w:rPr>
            </w:pPr>
            <w:r w:rsidRPr="00B57F84">
              <w:rPr>
                <w:sz w:val="22"/>
                <w:szCs w:val="22"/>
              </w:rPr>
              <w:t>4</w:t>
            </w:r>
          </w:p>
        </w:tc>
        <w:tc>
          <w:tcPr>
            <w:tcW w:w="0" w:type="auto"/>
          </w:tcPr>
          <w:p w14:paraId="7A803CF6" w14:textId="77777777" w:rsidR="00AC70BF" w:rsidRPr="00B57F84" w:rsidRDefault="00AC70BF" w:rsidP="00EE4D06">
            <w:pPr>
              <w:spacing w:beforeLines="60" w:before="144" w:afterLines="60" w:after="144" w:line="240" w:lineRule="auto"/>
              <w:rPr>
                <w:sz w:val="22"/>
                <w:szCs w:val="22"/>
              </w:rPr>
            </w:pPr>
            <w:r w:rsidRPr="00B57F84">
              <w:rPr>
                <w:sz w:val="22"/>
                <w:szCs w:val="22"/>
              </w:rPr>
              <w:t>“</w:t>
            </w:r>
            <w:r w:rsidRPr="00B57F84">
              <w:rPr>
                <w:iCs/>
                <w:sz w:val="22"/>
                <w:szCs w:val="22"/>
              </w:rPr>
              <w:t>At Last! A serum that can prolong the look of Botox®</w:t>
            </w:r>
            <w:r w:rsidRPr="00B57F84">
              <w:rPr>
                <w:sz w:val="22"/>
                <w:szCs w:val="22"/>
              </w:rPr>
              <w:t>”</w:t>
            </w:r>
          </w:p>
        </w:tc>
        <w:tc>
          <w:tcPr>
            <w:tcW w:w="0" w:type="auto"/>
          </w:tcPr>
          <w:p w14:paraId="24AF990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F8DD470"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F1BD068"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9173292"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39FBF091"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AC70BF" w:rsidRPr="00B57F84" w14:paraId="094B705A" w14:textId="77777777" w:rsidTr="00093278">
        <w:trPr>
          <w:trHeight w:val="750"/>
        </w:trPr>
        <w:tc>
          <w:tcPr>
            <w:tcW w:w="0" w:type="auto"/>
          </w:tcPr>
          <w:p w14:paraId="305CE57B" w14:textId="77777777" w:rsidR="00AC70BF" w:rsidRPr="00B57F84" w:rsidRDefault="00AC70BF" w:rsidP="00EE4D06">
            <w:pPr>
              <w:spacing w:beforeLines="60" w:before="144" w:afterLines="60" w:after="144" w:line="240" w:lineRule="auto"/>
              <w:rPr>
                <w:sz w:val="22"/>
                <w:szCs w:val="22"/>
              </w:rPr>
            </w:pPr>
            <w:r w:rsidRPr="00B57F84">
              <w:rPr>
                <w:sz w:val="22"/>
                <w:szCs w:val="22"/>
              </w:rPr>
              <w:t>5</w:t>
            </w:r>
          </w:p>
        </w:tc>
        <w:tc>
          <w:tcPr>
            <w:tcW w:w="0" w:type="auto"/>
          </w:tcPr>
          <w:p w14:paraId="76DC5BA0" w14:textId="77777777" w:rsidR="00AC70BF" w:rsidRPr="00B57F84" w:rsidRDefault="00AC70BF" w:rsidP="00EE4D06">
            <w:pPr>
              <w:spacing w:beforeLines="60" w:before="144" w:afterLines="60" w:after="144" w:line="240" w:lineRule="auto"/>
              <w:rPr>
                <w:sz w:val="22"/>
                <w:szCs w:val="22"/>
              </w:rPr>
            </w:pPr>
            <w:r w:rsidRPr="00B57F84">
              <w:rPr>
                <w:sz w:val="22"/>
                <w:szCs w:val="22"/>
              </w:rPr>
              <w:t>“</w:t>
            </w:r>
            <w:r w:rsidRPr="00B57F84">
              <w:rPr>
                <w:iCs/>
                <w:sz w:val="22"/>
                <w:szCs w:val="22"/>
              </w:rPr>
              <w:t>The most powerful BOTOX® alternative ever discovered</w:t>
            </w:r>
            <w:r w:rsidRPr="00B57F84">
              <w:rPr>
                <w:sz w:val="22"/>
                <w:szCs w:val="22"/>
              </w:rPr>
              <w:t>”</w:t>
            </w:r>
          </w:p>
        </w:tc>
        <w:tc>
          <w:tcPr>
            <w:tcW w:w="0" w:type="auto"/>
          </w:tcPr>
          <w:p w14:paraId="7EB3EEF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7E2DAC9"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4F02A4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C920CA0"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09FB507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AC70BF" w:rsidRPr="00B57F84" w14:paraId="1D1CD45B" w14:textId="77777777" w:rsidTr="00093278">
        <w:trPr>
          <w:trHeight w:val="648"/>
        </w:trPr>
        <w:tc>
          <w:tcPr>
            <w:tcW w:w="0" w:type="auto"/>
          </w:tcPr>
          <w:p w14:paraId="2E21F53A" w14:textId="77777777" w:rsidR="00AC70BF" w:rsidRPr="00B57F84" w:rsidRDefault="00AC70BF" w:rsidP="00EE4D06">
            <w:pPr>
              <w:spacing w:beforeLines="60" w:before="144" w:afterLines="60" w:after="144" w:line="240" w:lineRule="auto"/>
              <w:rPr>
                <w:sz w:val="22"/>
                <w:szCs w:val="22"/>
              </w:rPr>
            </w:pPr>
            <w:r w:rsidRPr="00B57F84">
              <w:rPr>
                <w:sz w:val="22"/>
                <w:szCs w:val="22"/>
              </w:rPr>
              <w:t>6</w:t>
            </w:r>
          </w:p>
        </w:tc>
        <w:tc>
          <w:tcPr>
            <w:tcW w:w="0" w:type="auto"/>
          </w:tcPr>
          <w:p w14:paraId="67C98550" w14:textId="77777777" w:rsidR="00AC70BF" w:rsidRPr="00B57F84" w:rsidRDefault="00AC70BF" w:rsidP="00EE4D06">
            <w:pPr>
              <w:spacing w:beforeLines="60" w:before="144" w:afterLines="60" w:after="144" w:line="240" w:lineRule="auto"/>
              <w:rPr>
                <w:sz w:val="22"/>
                <w:szCs w:val="22"/>
              </w:rPr>
            </w:pPr>
            <w:r w:rsidRPr="00B57F84">
              <w:rPr>
                <w:sz w:val="22"/>
                <w:szCs w:val="22"/>
              </w:rPr>
              <w:t>“</w:t>
            </w:r>
            <w:r w:rsidRPr="00B57F84">
              <w:rPr>
                <w:iCs/>
                <w:sz w:val="22"/>
                <w:szCs w:val="22"/>
              </w:rPr>
              <w:t>The accidental Botox Alternative</w:t>
            </w:r>
            <w:r w:rsidRPr="00B57F84">
              <w:rPr>
                <w:sz w:val="22"/>
                <w:szCs w:val="22"/>
              </w:rPr>
              <w:t>”</w:t>
            </w:r>
          </w:p>
        </w:tc>
        <w:tc>
          <w:tcPr>
            <w:tcW w:w="0" w:type="auto"/>
          </w:tcPr>
          <w:p w14:paraId="390C46B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7010570"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D3A6D4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5803E72"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53E89805"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AC70BF" w:rsidRPr="00B57F84" w14:paraId="7EEEF2B5" w14:textId="77777777" w:rsidTr="00093278">
        <w:trPr>
          <w:trHeight w:val="1125"/>
        </w:trPr>
        <w:tc>
          <w:tcPr>
            <w:tcW w:w="0" w:type="auto"/>
          </w:tcPr>
          <w:p w14:paraId="760B670B" w14:textId="77777777" w:rsidR="00AC70BF" w:rsidRPr="00B57F84" w:rsidRDefault="00AC70BF" w:rsidP="00EE4D06">
            <w:pPr>
              <w:spacing w:beforeLines="60" w:before="144" w:afterLines="60" w:after="144" w:line="240" w:lineRule="auto"/>
              <w:rPr>
                <w:sz w:val="22"/>
                <w:szCs w:val="22"/>
              </w:rPr>
            </w:pPr>
            <w:r w:rsidRPr="00B57F84">
              <w:rPr>
                <w:sz w:val="22"/>
                <w:szCs w:val="22"/>
              </w:rPr>
              <w:t>7</w:t>
            </w:r>
          </w:p>
        </w:tc>
        <w:tc>
          <w:tcPr>
            <w:tcW w:w="0" w:type="auto"/>
            <w:shd w:val="clear" w:color="auto" w:fill="F2F2F2" w:themeFill="background1" w:themeFillShade="F2"/>
          </w:tcPr>
          <w:p w14:paraId="2E7D15D8" w14:textId="77777777" w:rsidR="00AC70BF" w:rsidRPr="00B57F84" w:rsidRDefault="00AC70BF" w:rsidP="00EE4D06">
            <w:pPr>
              <w:spacing w:beforeLines="60" w:before="144" w:afterLines="60" w:after="144" w:line="240" w:lineRule="auto"/>
              <w:rPr>
                <w:sz w:val="22"/>
                <w:szCs w:val="22"/>
              </w:rPr>
            </w:pPr>
            <w:r w:rsidRPr="00B57F84">
              <w:rPr>
                <w:sz w:val="22"/>
                <w:szCs w:val="22"/>
              </w:rPr>
              <w:t>“…Freezeframe Protox ($69, 1800 662 686), can make Botox last longer, and reduce wrinkles even if you haven’t had injections”</w:t>
            </w:r>
          </w:p>
        </w:tc>
        <w:tc>
          <w:tcPr>
            <w:tcW w:w="0" w:type="auto"/>
          </w:tcPr>
          <w:p w14:paraId="0FBBDB42"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4D73A02"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FD9400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C7B576B"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72D560C9"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AC70BF" w:rsidRPr="00B57F84" w14:paraId="21FD3731" w14:textId="77777777" w:rsidTr="00093278">
        <w:trPr>
          <w:trHeight w:val="702"/>
        </w:trPr>
        <w:tc>
          <w:tcPr>
            <w:tcW w:w="0" w:type="auto"/>
          </w:tcPr>
          <w:p w14:paraId="2FE1F4FA" w14:textId="77777777" w:rsidR="00AC70BF" w:rsidRPr="00B57F84" w:rsidRDefault="00AC70BF" w:rsidP="00EE4D06">
            <w:pPr>
              <w:spacing w:beforeLines="60" w:before="144" w:afterLines="60" w:after="144" w:line="240" w:lineRule="auto"/>
              <w:rPr>
                <w:sz w:val="22"/>
                <w:szCs w:val="22"/>
              </w:rPr>
            </w:pPr>
            <w:r w:rsidRPr="00B57F84">
              <w:rPr>
                <w:sz w:val="22"/>
                <w:szCs w:val="22"/>
              </w:rPr>
              <w:t>8</w:t>
            </w:r>
          </w:p>
        </w:tc>
        <w:tc>
          <w:tcPr>
            <w:tcW w:w="0" w:type="auto"/>
            <w:shd w:val="clear" w:color="auto" w:fill="F2F2F2" w:themeFill="background1" w:themeFillShade="F2"/>
          </w:tcPr>
          <w:p w14:paraId="0A7FF1F7" w14:textId="77777777" w:rsidR="00AC70BF" w:rsidRPr="00B57F84" w:rsidRDefault="00AC70BF" w:rsidP="00EE4D06">
            <w:pPr>
              <w:spacing w:beforeLines="60" w:before="144" w:afterLines="60" w:after="144" w:line="240" w:lineRule="auto"/>
              <w:rPr>
                <w:sz w:val="22"/>
                <w:szCs w:val="22"/>
              </w:rPr>
            </w:pPr>
            <w:r w:rsidRPr="00B57F84">
              <w:rPr>
                <w:sz w:val="22"/>
                <w:szCs w:val="22"/>
              </w:rPr>
              <w:t>“IMAGINE A SERUM THAT MAKES BOTOX LAST LONGER”</w:t>
            </w:r>
          </w:p>
        </w:tc>
        <w:tc>
          <w:tcPr>
            <w:tcW w:w="0" w:type="auto"/>
          </w:tcPr>
          <w:p w14:paraId="69724DB8"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11C8680"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1E60C39B"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13CC264"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12FA28D5"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093278" w:rsidRPr="00B57F84" w14:paraId="21C0F672" w14:textId="77777777" w:rsidTr="00093278">
        <w:trPr>
          <w:trHeight w:val="742"/>
        </w:trPr>
        <w:tc>
          <w:tcPr>
            <w:tcW w:w="0" w:type="auto"/>
          </w:tcPr>
          <w:p w14:paraId="4D71E58F" w14:textId="55167AA4" w:rsidR="00093278" w:rsidRPr="00B57F84" w:rsidRDefault="00093278" w:rsidP="00093278">
            <w:pPr>
              <w:spacing w:beforeLines="60" w:before="144" w:afterLines="60" w:after="144" w:line="240" w:lineRule="auto"/>
              <w:rPr>
                <w:sz w:val="22"/>
                <w:szCs w:val="22"/>
              </w:rPr>
            </w:pPr>
            <w:r w:rsidRPr="00B57F84">
              <w:rPr>
                <w:sz w:val="22"/>
                <w:szCs w:val="22"/>
              </w:rPr>
              <w:lastRenderedPageBreak/>
              <w:t>No.</w:t>
            </w:r>
          </w:p>
        </w:tc>
        <w:tc>
          <w:tcPr>
            <w:tcW w:w="0" w:type="auto"/>
            <w:shd w:val="clear" w:color="auto" w:fill="F2F2F2" w:themeFill="background1" w:themeFillShade="F2"/>
          </w:tcPr>
          <w:p w14:paraId="258079FD" w14:textId="5A6BC33D" w:rsidR="00093278" w:rsidRPr="00B57F84" w:rsidRDefault="00093278" w:rsidP="00093278">
            <w:pPr>
              <w:spacing w:beforeLines="60" w:before="144" w:afterLines="60" w:after="144" w:line="240" w:lineRule="auto"/>
              <w:rPr>
                <w:sz w:val="22"/>
                <w:szCs w:val="22"/>
              </w:rPr>
            </w:pPr>
            <w:r w:rsidRPr="00B57F84">
              <w:rPr>
                <w:sz w:val="22"/>
                <w:szCs w:val="22"/>
              </w:rPr>
              <w:t>Statement</w:t>
            </w:r>
          </w:p>
        </w:tc>
        <w:tc>
          <w:tcPr>
            <w:tcW w:w="0" w:type="auto"/>
          </w:tcPr>
          <w:p w14:paraId="4CD4ACFC" w14:textId="732DD6F2" w:rsidR="00093278" w:rsidRPr="00B57F84" w:rsidRDefault="00093278" w:rsidP="00093278">
            <w:pPr>
              <w:spacing w:beforeLines="60" w:before="144" w:afterLines="60" w:after="144" w:line="240" w:lineRule="auto"/>
              <w:rPr>
                <w:sz w:val="22"/>
                <w:szCs w:val="22"/>
              </w:rPr>
            </w:pPr>
            <w:r w:rsidRPr="00B57F84">
              <w:rPr>
                <w:sz w:val="22"/>
                <w:szCs w:val="22"/>
              </w:rPr>
              <w:t>TM inf. Y/N</w:t>
            </w:r>
          </w:p>
        </w:tc>
        <w:tc>
          <w:tcPr>
            <w:tcW w:w="0" w:type="auto"/>
          </w:tcPr>
          <w:p w14:paraId="15FD23BB" w14:textId="409BEF4F" w:rsidR="00093278" w:rsidRPr="00B57F84" w:rsidRDefault="00093278" w:rsidP="00093278">
            <w:pPr>
              <w:spacing w:beforeLines="60" w:before="144" w:afterLines="60" w:after="144" w:line="240" w:lineRule="auto"/>
              <w:rPr>
                <w:sz w:val="22"/>
                <w:szCs w:val="22"/>
              </w:rPr>
            </w:pPr>
            <w:r w:rsidRPr="00B57F84">
              <w:rPr>
                <w:sz w:val="22"/>
                <w:szCs w:val="22"/>
              </w:rPr>
              <w:t>Aff. rep Y/N</w:t>
            </w:r>
          </w:p>
        </w:tc>
        <w:tc>
          <w:tcPr>
            <w:tcW w:w="0" w:type="auto"/>
          </w:tcPr>
          <w:p w14:paraId="2B506ACB" w14:textId="39388B08" w:rsidR="00093278" w:rsidRPr="00B57F84" w:rsidRDefault="00093278" w:rsidP="00093278">
            <w:pPr>
              <w:spacing w:beforeLines="60" w:before="144" w:afterLines="60" w:after="144" w:line="240" w:lineRule="auto"/>
              <w:rPr>
                <w:sz w:val="22"/>
                <w:szCs w:val="22"/>
              </w:rPr>
            </w:pPr>
            <w:r w:rsidRPr="00B57F84">
              <w:rPr>
                <w:sz w:val="22"/>
                <w:szCs w:val="22"/>
              </w:rPr>
              <w:t>Eff. rep Y/N</w:t>
            </w:r>
          </w:p>
        </w:tc>
        <w:tc>
          <w:tcPr>
            <w:tcW w:w="0" w:type="auto"/>
          </w:tcPr>
          <w:p w14:paraId="471DA784" w14:textId="493A89DF" w:rsidR="00093278" w:rsidRPr="00B57F84" w:rsidRDefault="00093278" w:rsidP="00093278">
            <w:pPr>
              <w:spacing w:beforeLines="60" w:before="144" w:afterLines="60" w:after="144" w:line="240" w:lineRule="auto"/>
              <w:rPr>
                <w:sz w:val="22"/>
                <w:szCs w:val="22"/>
              </w:rPr>
            </w:pPr>
            <w:r w:rsidRPr="00B57F84">
              <w:rPr>
                <w:sz w:val="22"/>
                <w:szCs w:val="22"/>
              </w:rPr>
              <w:t>TG Act Y/N</w:t>
            </w:r>
          </w:p>
        </w:tc>
        <w:tc>
          <w:tcPr>
            <w:tcW w:w="0" w:type="auto"/>
          </w:tcPr>
          <w:p w14:paraId="57B04E84" w14:textId="65C8134A" w:rsidR="00093278" w:rsidRPr="00B57F84" w:rsidRDefault="00093278" w:rsidP="00093278">
            <w:pPr>
              <w:spacing w:beforeLines="60" w:before="144" w:afterLines="60" w:after="144" w:line="240" w:lineRule="auto"/>
              <w:rPr>
                <w:sz w:val="22"/>
                <w:szCs w:val="22"/>
              </w:rPr>
            </w:pPr>
            <w:r w:rsidRPr="00B57F84">
              <w:rPr>
                <w:sz w:val="22"/>
                <w:szCs w:val="22"/>
              </w:rPr>
              <w:t>U/taking Y/N</w:t>
            </w:r>
          </w:p>
        </w:tc>
      </w:tr>
      <w:tr w:rsidR="00AC70BF" w:rsidRPr="00B57F84" w14:paraId="34205415" w14:textId="77777777" w:rsidTr="00093278">
        <w:trPr>
          <w:trHeight w:val="742"/>
        </w:trPr>
        <w:tc>
          <w:tcPr>
            <w:tcW w:w="0" w:type="auto"/>
          </w:tcPr>
          <w:p w14:paraId="0A3B208B" w14:textId="77777777" w:rsidR="00AC70BF" w:rsidRPr="00B57F84" w:rsidRDefault="00AC70BF" w:rsidP="00EE4D06">
            <w:pPr>
              <w:spacing w:beforeLines="60" w:before="144" w:afterLines="60" w:after="144" w:line="240" w:lineRule="auto"/>
              <w:rPr>
                <w:sz w:val="22"/>
                <w:szCs w:val="22"/>
              </w:rPr>
            </w:pPr>
            <w:r w:rsidRPr="00B57F84">
              <w:rPr>
                <w:sz w:val="22"/>
                <w:szCs w:val="22"/>
              </w:rPr>
              <w:t>9</w:t>
            </w:r>
          </w:p>
        </w:tc>
        <w:tc>
          <w:tcPr>
            <w:tcW w:w="0" w:type="auto"/>
            <w:shd w:val="clear" w:color="auto" w:fill="F2F2F2" w:themeFill="background1" w:themeFillShade="F2"/>
          </w:tcPr>
          <w:p w14:paraId="195C2624" w14:textId="77777777" w:rsidR="00AC70BF" w:rsidRPr="00B57F84" w:rsidRDefault="00AC70BF" w:rsidP="00EE4D06">
            <w:pPr>
              <w:spacing w:beforeLines="60" w:before="144" w:afterLines="60" w:after="144" w:line="240" w:lineRule="auto"/>
              <w:rPr>
                <w:sz w:val="22"/>
                <w:szCs w:val="22"/>
              </w:rPr>
            </w:pPr>
            <w:r w:rsidRPr="00B57F84">
              <w:rPr>
                <w:sz w:val="22"/>
                <w:szCs w:val="22"/>
              </w:rPr>
              <w:t>“MAKE BOTOX LAST Imagine a serum that makes Botox® last longer”</w:t>
            </w:r>
          </w:p>
        </w:tc>
        <w:tc>
          <w:tcPr>
            <w:tcW w:w="0" w:type="auto"/>
          </w:tcPr>
          <w:p w14:paraId="7F2FE04B"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ABCA20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1A1DE9B"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19E5D340"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20E60A28"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AC70BF" w:rsidRPr="00B57F84" w14:paraId="08502F7C" w14:textId="77777777" w:rsidTr="00093278">
        <w:trPr>
          <w:trHeight w:val="1079"/>
        </w:trPr>
        <w:tc>
          <w:tcPr>
            <w:tcW w:w="0" w:type="auto"/>
          </w:tcPr>
          <w:p w14:paraId="57468245" w14:textId="77777777" w:rsidR="00AC70BF" w:rsidRPr="00B57F84" w:rsidRDefault="00AC70BF" w:rsidP="00EE4D06">
            <w:pPr>
              <w:spacing w:beforeLines="60" w:before="144" w:afterLines="60" w:after="144" w:line="240" w:lineRule="auto"/>
              <w:rPr>
                <w:sz w:val="22"/>
                <w:szCs w:val="22"/>
              </w:rPr>
            </w:pPr>
            <w:r w:rsidRPr="00B57F84">
              <w:rPr>
                <w:sz w:val="22"/>
                <w:szCs w:val="22"/>
              </w:rPr>
              <w:t>10</w:t>
            </w:r>
          </w:p>
        </w:tc>
        <w:tc>
          <w:tcPr>
            <w:tcW w:w="0" w:type="auto"/>
            <w:shd w:val="clear" w:color="auto" w:fill="F2F2F2" w:themeFill="background1" w:themeFillShade="F2"/>
          </w:tcPr>
          <w:p w14:paraId="47006656" w14:textId="77777777" w:rsidR="00AC70BF" w:rsidRPr="00B57F84" w:rsidRDefault="00AC70BF" w:rsidP="00EE4D06">
            <w:pPr>
              <w:spacing w:beforeLines="60" w:before="144" w:afterLines="60" w:after="144" w:line="240" w:lineRule="auto"/>
              <w:rPr>
                <w:sz w:val="22"/>
                <w:szCs w:val="22"/>
              </w:rPr>
            </w:pPr>
            <w:r w:rsidRPr="00B57F84">
              <w:rPr>
                <w:sz w:val="22"/>
                <w:szCs w:val="22"/>
              </w:rPr>
              <w:t>“Better without Botox Freezeframe Protox is clinically proven to make Botox look better and last up to three times longer, …”</w:t>
            </w:r>
          </w:p>
        </w:tc>
        <w:tc>
          <w:tcPr>
            <w:tcW w:w="0" w:type="auto"/>
          </w:tcPr>
          <w:p w14:paraId="7562BFD7"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86689B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0BD75C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F5B9C98"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38935C7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AC70BF" w:rsidRPr="00B57F84" w14:paraId="108F66F0" w14:textId="77777777" w:rsidTr="00093278">
        <w:trPr>
          <w:trHeight w:val="474"/>
        </w:trPr>
        <w:tc>
          <w:tcPr>
            <w:tcW w:w="0" w:type="auto"/>
          </w:tcPr>
          <w:p w14:paraId="073A5622" w14:textId="77777777" w:rsidR="00AC70BF" w:rsidRPr="00B57F84" w:rsidRDefault="00AC70BF" w:rsidP="00EE4D06">
            <w:pPr>
              <w:spacing w:beforeLines="60" w:before="144" w:afterLines="60" w:after="144" w:line="240" w:lineRule="auto"/>
              <w:rPr>
                <w:sz w:val="22"/>
                <w:szCs w:val="22"/>
              </w:rPr>
            </w:pPr>
            <w:r w:rsidRPr="00B57F84">
              <w:rPr>
                <w:sz w:val="22"/>
                <w:szCs w:val="22"/>
              </w:rPr>
              <w:t>11</w:t>
            </w:r>
          </w:p>
        </w:tc>
        <w:tc>
          <w:tcPr>
            <w:tcW w:w="0" w:type="auto"/>
          </w:tcPr>
          <w:p w14:paraId="6406FEA9" w14:textId="77777777" w:rsidR="00AC70BF" w:rsidRPr="00B57F84" w:rsidRDefault="00AC70BF" w:rsidP="00EE4D06">
            <w:pPr>
              <w:spacing w:beforeLines="60" w:before="144" w:afterLines="60" w:after="144" w:line="240" w:lineRule="auto"/>
              <w:rPr>
                <w:sz w:val="22"/>
                <w:szCs w:val="22"/>
              </w:rPr>
            </w:pPr>
            <w:r w:rsidRPr="00B57F84">
              <w:rPr>
                <w:sz w:val="22"/>
                <w:szCs w:val="22"/>
              </w:rPr>
              <w:t>“Introducing freezeframe PROTOX, the anti-aging serum so powerful, it not only gives you dramatic skin smoothing without the use of Botox, it can actually make the visual effect of Botox injections last up to 3 times longer!”</w:t>
            </w:r>
          </w:p>
        </w:tc>
        <w:tc>
          <w:tcPr>
            <w:tcW w:w="0" w:type="auto"/>
          </w:tcPr>
          <w:p w14:paraId="7B648EF4"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5BCD269E"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684F5E87"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7EA46CC"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01AACD37"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2890AEEE" w14:textId="77777777" w:rsidTr="00093278">
        <w:trPr>
          <w:trHeight w:val="474"/>
        </w:trPr>
        <w:tc>
          <w:tcPr>
            <w:tcW w:w="0" w:type="auto"/>
          </w:tcPr>
          <w:p w14:paraId="686CC241" w14:textId="77777777" w:rsidR="00AC70BF" w:rsidRPr="00B57F84" w:rsidRDefault="00AC70BF" w:rsidP="00EE4D06">
            <w:pPr>
              <w:spacing w:beforeLines="60" w:before="144" w:afterLines="60" w:after="144" w:line="240" w:lineRule="auto"/>
              <w:rPr>
                <w:sz w:val="22"/>
                <w:szCs w:val="22"/>
              </w:rPr>
            </w:pPr>
            <w:r w:rsidRPr="00B57F84">
              <w:rPr>
                <w:sz w:val="22"/>
                <w:szCs w:val="22"/>
              </w:rPr>
              <w:t>12</w:t>
            </w:r>
          </w:p>
        </w:tc>
        <w:tc>
          <w:tcPr>
            <w:tcW w:w="0" w:type="auto"/>
          </w:tcPr>
          <w:p w14:paraId="2F6529E1" w14:textId="77777777" w:rsidR="00AC70BF" w:rsidRPr="00B57F84" w:rsidRDefault="00AC70BF" w:rsidP="00EE4D06">
            <w:pPr>
              <w:spacing w:beforeLines="60" w:before="144" w:afterLines="60" w:after="144" w:line="240" w:lineRule="auto"/>
              <w:rPr>
                <w:sz w:val="22"/>
                <w:szCs w:val="22"/>
              </w:rPr>
            </w:pPr>
            <w:r w:rsidRPr="00B57F84">
              <w:rPr>
                <w:sz w:val="22"/>
                <w:szCs w:val="22"/>
              </w:rPr>
              <w:t>“…which could produce a Botox-like visual effect when applied topically to the skin”</w:t>
            </w:r>
          </w:p>
        </w:tc>
        <w:tc>
          <w:tcPr>
            <w:tcW w:w="0" w:type="auto"/>
          </w:tcPr>
          <w:p w14:paraId="570476A7"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6148BD4E"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3E9354F8"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52F7CB2"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79CF80E4"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1B51D8C2" w14:textId="77777777" w:rsidTr="00093278">
        <w:trPr>
          <w:trHeight w:val="1313"/>
        </w:trPr>
        <w:tc>
          <w:tcPr>
            <w:tcW w:w="0" w:type="auto"/>
          </w:tcPr>
          <w:p w14:paraId="51939CED" w14:textId="77777777" w:rsidR="00AC70BF" w:rsidRPr="00B57F84" w:rsidRDefault="00AC70BF" w:rsidP="00EE4D06">
            <w:pPr>
              <w:spacing w:beforeLines="60" w:before="144" w:afterLines="60" w:after="144" w:line="240" w:lineRule="auto"/>
              <w:rPr>
                <w:sz w:val="22"/>
                <w:szCs w:val="22"/>
              </w:rPr>
            </w:pPr>
            <w:r w:rsidRPr="00B57F84">
              <w:rPr>
                <w:sz w:val="22"/>
                <w:szCs w:val="22"/>
              </w:rPr>
              <w:t>13</w:t>
            </w:r>
          </w:p>
        </w:tc>
        <w:tc>
          <w:tcPr>
            <w:tcW w:w="0" w:type="auto"/>
          </w:tcPr>
          <w:p w14:paraId="26F82058" w14:textId="77777777" w:rsidR="00AC70BF" w:rsidRPr="00B57F84" w:rsidRDefault="00AC70BF" w:rsidP="00EE4D06">
            <w:pPr>
              <w:spacing w:beforeLines="60" w:before="144" w:afterLines="60" w:after="144" w:line="240" w:lineRule="auto"/>
              <w:rPr>
                <w:sz w:val="22"/>
                <w:szCs w:val="22"/>
              </w:rPr>
            </w:pPr>
            <w:r w:rsidRPr="00B57F84">
              <w:rPr>
                <w:sz w:val="22"/>
                <w:szCs w:val="22"/>
              </w:rPr>
              <w:t>“freezeframe PROTOX’s peptide complex was proven to make the visual skin smoothing effect achieved from Botox injections last up to 3 times longer than they would on their own!”</w:t>
            </w:r>
          </w:p>
        </w:tc>
        <w:tc>
          <w:tcPr>
            <w:tcW w:w="0" w:type="auto"/>
          </w:tcPr>
          <w:p w14:paraId="17FD8732"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7438379E"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2BBA99EB"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0AF870B"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58DC6D16"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295F66B6" w14:textId="77777777" w:rsidTr="00093278">
        <w:trPr>
          <w:trHeight w:val="978"/>
        </w:trPr>
        <w:tc>
          <w:tcPr>
            <w:tcW w:w="0" w:type="auto"/>
          </w:tcPr>
          <w:p w14:paraId="2DF5564E" w14:textId="77777777" w:rsidR="00AC70BF" w:rsidRPr="00B57F84" w:rsidRDefault="00AC70BF" w:rsidP="00EE4D06">
            <w:pPr>
              <w:spacing w:beforeLines="60" w:before="144" w:afterLines="60" w:after="144" w:line="240" w:lineRule="auto"/>
              <w:rPr>
                <w:sz w:val="22"/>
                <w:szCs w:val="22"/>
              </w:rPr>
            </w:pPr>
            <w:r w:rsidRPr="00B57F84">
              <w:rPr>
                <w:sz w:val="22"/>
                <w:szCs w:val="22"/>
              </w:rPr>
              <w:t>14</w:t>
            </w:r>
          </w:p>
        </w:tc>
        <w:tc>
          <w:tcPr>
            <w:tcW w:w="0" w:type="auto"/>
          </w:tcPr>
          <w:p w14:paraId="37FCC148" w14:textId="77777777" w:rsidR="00AC70BF" w:rsidRPr="00B57F84" w:rsidRDefault="00AC70BF" w:rsidP="00EE4D06">
            <w:pPr>
              <w:spacing w:beforeLines="60" w:before="144" w:afterLines="60" w:after="144" w:line="240" w:lineRule="auto"/>
              <w:rPr>
                <w:sz w:val="22"/>
                <w:szCs w:val="22"/>
              </w:rPr>
            </w:pPr>
            <w:r w:rsidRPr="00B57F84">
              <w:rPr>
                <w:sz w:val="22"/>
                <w:szCs w:val="22"/>
              </w:rPr>
              <w:t>“…it actually made the visual effect, that lovely smooth skin look achieved with Botox, look even more dramatic than injections alone”</w:t>
            </w:r>
          </w:p>
        </w:tc>
        <w:tc>
          <w:tcPr>
            <w:tcW w:w="0" w:type="auto"/>
          </w:tcPr>
          <w:p w14:paraId="768FC3EA"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045BE345"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542A79E6"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C93505B"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3A7EB12A"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392B7D15" w14:textId="77777777" w:rsidTr="00093278">
        <w:trPr>
          <w:trHeight w:val="699"/>
        </w:trPr>
        <w:tc>
          <w:tcPr>
            <w:tcW w:w="0" w:type="auto"/>
          </w:tcPr>
          <w:p w14:paraId="4BF40E69" w14:textId="77777777" w:rsidR="00AC70BF" w:rsidRPr="00B57F84" w:rsidRDefault="00AC70BF" w:rsidP="00EE4D06">
            <w:pPr>
              <w:spacing w:beforeLines="60" w:before="144" w:afterLines="60" w:after="144" w:line="240" w:lineRule="auto"/>
              <w:rPr>
                <w:sz w:val="22"/>
                <w:szCs w:val="22"/>
              </w:rPr>
            </w:pPr>
            <w:r w:rsidRPr="00B57F84">
              <w:rPr>
                <w:sz w:val="22"/>
                <w:szCs w:val="22"/>
              </w:rPr>
              <w:t>15</w:t>
            </w:r>
          </w:p>
        </w:tc>
        <w:tc>
          <w:tcPr>
            <w:tcW w:w="0" w:type="auto"/>
          </w:tcPr>
          <w:p w14:paraId="6CD9B81F" w14:textId="77777777" w:rsidR="00AC70BF" w:rsidRPr="00B57F84" w:rsidRDefault="00AC70BF" w:rsidP="00EE4D06">
            <w:pPr>
              <w:spacing w:beforeLines="60" w:before="144" w:afterLines="60" w:after="144" w:line="240" w:lineRule="auto"/>
              <w:rPr>
                <w:sz w:val="22"/>
                <w:szCs w:val="22"/>
              </w:rPr>
            </w:pPr>
            <w:r w:rsidRPr="00B57F84">
              <w:rPr>
                <w:sz w:val="22"/>
                <w:szCs w:val="22"/>
              </w:rPr>
              <w:t xml:space="preserve">“In fact, skin looked better 6 months after injections than at 2 months, when Botox injections are still at their peak.  Botox injections alone would have worn off by then” </w:t>
            </w:r>
          </w:p>
        </w:tc>
        <w:tc>
          <w:tcPr>
            <w:tcW w:w="0" w:type="auto"/>
          </w:tcPr>
          <w:p w14:paraId="77795F44"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0648A406"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2BC93872"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1874514"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1D71FE0A"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08CF8C37" w14:textId="77777777" w:rsidTr="00093278">
        <w:trPr>
          <w:trHeight w:val="841"/>
        </w:trPr>
        <w:tc>
          <w:tcPr>
            <w:tcW w:w="0" w:type="auto"/>
          </w:tcPr>
          <w:p w14:paraId="546A51FD" w14:textId="77777777" w:rsidR="00AC70BF" w:rsidRPr="00B57F84" w:rsidRDefault="00AC70BF" w:rsidP="00EE4D06">
            <w:pPr>
              <w:spacing w:beforeLines="60" w:before="144" w:afterLines="60" w:after="144" w:line="240" w:lineRule="auto"/>
              <w:rPr>
                <w:sz w:val="22"/>
                <w:szCs w:val="22"/>
              </w:rPr>
            </w:pPr>
            <w:r w:rsidRPr="00B57F84">
              <w:rPr>
                <w:sz w:val="22"/>
                <w:szCs w:val="22"/>
              </w:rPr>
              <w:t>16</w:t>
            </w:r>
          </w:p>
        </w:tc>
        <w:tc>
          <w:tcPr>
            <w:tcW w:w="0" w:type="auto"/>
          </w:tcPr>
          <w:p w14:paraId="0DD83C11" w14:textId="77777777" w:rsidR="00AC70BF" w:rsidRPr="00B57F84" w:rsidRDefault="00AC70BF" w:rsidP="00EE4D06">
            <w:pPr>
              <w:spacing w:beforeLines="60" w:before="144" w:afterLines="60" w:after="144" w:line="240" w:lineRule="auto"/>
              <w:rPr>
                <w:sz w:val="22"/>
                <w:szCs w:val="22"/>
              </w:rPr>
            </w:pPr>
            <w:r w:rsidRPr="00B57F84">
              <w:rPr>
                <w:sz w:val="22"/>
                <w:szCs w:val="22"/>
              </w:rPr>
              <w:t>“Look better without Botox, or make Botox look better for longer – the power is now in your hands!”</w:t>
            </w:r>
          </w:p>
        </w:tc>
        <w:tc>
          <w:tcPr>
            <w:tcW w:w="0" w:type="auto"/>
          </w:tcPr>
          <w:p w14:paraId="3B8513E5"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7B59091C"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21BF7DF8"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A50643E"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09226D80"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72AD6105" w14:textId="77777777" w:rsidTr="00093278">
        <w:trPr>
          <w:trHeight w:val="697"/>
        </w:trPr>
        <w:tc>
          <w:tcPr>
            <w:tcW w:w="0" w:type="auto"/>
          </w:tcPr>
          <w:p w14:paraId="1D42BCC0" w14:textId="77777777" w:rsidR="00AC70BF" w:rsidRPr="00B57F84" w:rsidRDefault="00AC70BF" w:rsidP="00EE4D06">
            <w:pPr>
              <w:spacing w:beforeLines="60" w:before="144" w:afterLines="60" w:after="144" w:line="240" w:lineRule="auto"/>
              <w:rPr>
                <w:sz w:val="22"/>
                <w:szCs w:val="22"/>
              </w:rPr>
            </w:pPr>
            <w:r w:rsidRPr="00B57F84">
              <w:rPr>
                <w:sz w:val="22"/>
                <w:szCs w:val="22"/>
              </w:rPr>
              <w:t>17</w:t>
            </w:r>
          </w:p>
        </w:tc>
        <w:tc>
          <w:tcPr>
            <w:tcW w:w="0" w:type="auto"/>
          </w:tcPr>
          <w:p w14:paraId="244FD004" w14:textId="77777777" w:rsidR="00AC70BF" w:rsidRPr="00B57F84" w:rsidRDefault="00AC70BF" w:rsidP="00EE4D06">
            <w:pPr>
              <w:spacing w:beforeLines="60" w:before="144" w:afterLines="60" w:after="144" w:line="240" w:lineRule="auto"/>
              <w:rPr>
                <w:sz w:val="22"/>
                <w:szCs w:val="22"/>
              </w:rPr>
            </w:pPr>
            <w:r w:rsidRPr="00B57F84">
              <w:rPr>
                <w:sz w:val="22"/>
                <w:szCs w:val="22"/>
              </w:rPr>
              <w:t>“the ultimate proof: freezeframe PROTOX is so powerful, it can even make Botox look better”</w:t>
            </w:r>
          </w:p>
        </w:tc>
        <w:tc>
          <w:tcPr>
            <w:tcW w:w="0" w:type="auto"/>
          </w:tcPr>
          <w:p w14:paraId="24EC011F"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0CF3C9AC"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7F8C82E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C87CE2F"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10FDC64E"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2E4268E2" w14:textId="77777777" w:rsidTr="00093278">
        <w:trPr>
          <w:trHeight w:val="1034"/>
        </w:trPr>
        <w:tc>
          <w:tcPr>
            <w:tcW w:w="0" w:type="auto"/>
          </w:tcPr>
          <w:p w14:paraId="006FEFFC" w14:textId="77777777" w:rsidR="00AC70BF" w:rsidRPr="00B57F84" w:rsidRDefault="00AC70BF" w:rsidP="00EE4D06">
            <w:pPr>
              <w:spacing w:beforeLines="60" w:before="144" w:afterLines="60" w:after="144" w:line="240" w:lineRule="auto"/>
              <w:rPr>
                <w:sz w:val="22"/>
                <w:szCs w:val="22"/>
              </w:rPr>
            </w:pPr>
            <w:r w:rsidRPr="00B57F84">
              <w:rPr>
                <w:sz w:val="22"/>
                <w:szCs w:val="22"/>
              </w:rPr>
              <w:t>18</w:t>
            </w:r>
          </w:p>
        </w:tc>
        <w:tc>
          <w:tcPr>
            <w:tcW w:w="0" w:type="auto"/>
          </w:tcPr>
          <w:p w14:paraId="61565110" w14:textId="77777777" w:rsidR="00AC70BF" w:rsidRPr="00B57F84" w:rsidRDefault="00AC70BF" w:rsidP="004F7EDC">
            <w:pPr>
              <w:spacing w:beforeLines="60" w:before="144" w:afterLines="60" w:after="144" w:line="240" w:lineRule="auto"/>
              <w:rPr>
                <w:sz w:val="22"/>
                <w:szCs w:val="22"/>
              </w:rPr>
            </w:pPr>
            <w:r w:rsidRPr="00B57F84">
              <w:rPr>
                <w:sz w:val="22"/>
                <w:szCs w:val="22"/>
              </w:rPr>
              <w:t>“freezeframe PROTOX intensified the skin smoothing look achieved by Botox, and had prolonged it even after 6 months”</w:t>
            </w:r>
          </w:p>
        </w:tc>
        <w:tc>
          <w:tcPr>
            <w:tcW w:w="0" w:type="auto"/>
          </w:tcPr>
          <w:p w14:paraId="4770CDB2"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4D9006C5"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29609CF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A73858D"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3CD764CA"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73B135F9" w14:textId="77777777" w:rsidTr="00093278">
        <w:trPr>
          <w:trHeight w:val="699"/>
        </w:trPr>
        <w:tc>
          <w:tcPr>
            <w:tcW w:w="0" w:type="auto"/>
          </w:tcPr>
          <w:p w14:paraId="44BE753A" w14:textId="77777777" w:rsidR="00AC70BF" w:rsidRPr="00B57F84" w:rsidRDefault="00AC70BF" w:rsidP="00EE4D06">
            <w:pPr>
              <w:spacing w:beforeLines="60" w:before="144" w:afterLines="60" w:after="144" w:line="240" w:lineRule="auto"/>
              <w:rPr>
                <w:sz w:val="22"/>
                <w:szCs w:val="22"/>
              </w:rPr>
            </w:pPr>
            <w:r w:rsidRPr="00B57F84">
              <w:rPr>
                <w:sz w:val="22"/>
                <w:szCs w:val="22"/>
              </w:rPr>
              <w:t>19</w:t>
            </w:r>
          </w:p>
        </w:tc>
        <w:tc>
          <w:tcPr>
            <w:tcW w:w="0" w:type="auto"/>
            <w:shd w:val="clear" w:color="auto" w:fill="F2F2F2" w:themeFill="background1" w:themeFillShade="F2"/>
          </w:tcPr>
          <w:p w14:paraId="59A404B7" w14:textId="77777777" w:rsidR="00AC70BF" w:rsidRPr="00B57F84" w:rsidRDefault="00AC70BF" w:rsidP="00EE4D06">
            <w:pPr>
              <w:spacing w:beforeLines="60" w:before="144" w:afterLines="60" w:after="144" w:line="240" w:lineRule="auto"/>
              <w:rPr>
                <w:sz w:val="22"/>
                <w:szCs w:val="22"/>
              </w:rPr>
            </w:pPr>
            <w:r w:rsidRPr="00B57F84">
              <w:rPr>
                <w:sz w:val="22"/>
                <w:szCs w:val="22"/>
              </w:rPr>
              <w:t xml:space="preserve">“Introducing freezeframe Protox, the anti-aging serum so powerful, it not only gives you a dramatic skin smoothing without the use of Botox, it can actually make the visual effects of Botox last up to three times longer. See smoother, fresher, younger-looking skin in as little as two-to-four weeks.  Call 1800 662 686 or visit freeze-frame.com  </w:t>
            </w:r>
          </w:p>
          <w:p w14:paraId="0455C7BC" w14:textId="77777777" w:rsidR="00AC70BF" w:rsidRPr="00B57F84" w:rsidRDefault="00AC70BF" w:rsidP="00EE4D06">
            <w:pPr>
              <w:spacing w:beforeLines="60" w:before="144" w:afterLines="60" w:after="144" w:line="240" w:lineRule="auto"/>
              <w:rPr>
                <w:sz w:val="22"/>
                <w:szCs w:val="22"/>
              </w:rPr>
            </w:pPr>
            <w:r w:rsidRPr="00B57F84">
              <w:rPr>
                <w:sz w:val="22"/>
                <w:szCs w:val="22"/>
              </w:rPr>
              <w:lastRenderedPageBreak/>
              <w:t>*Botox is a registered trademark of Allergan, Inc.”</w:t>
            </w:r>
          </w:p>
        </w:tc>
        <w:tc>
          <w:tcPr>
            <w:tcW w:w="0" w:type="auto"/>
          </w:tcPr>
          <w:p w14:paraId="69DC364F" w14:textId="77777777" w:rsidR="00AC70BF" w:rsidRPr="00B57F84" w:rsidRDefault="00AC70BF" w:rsidP="00EE4D06">
            <w:pPr>
              <w:spacing w:beforeLines="60" w:before="144" w:afterLines="60" w:after="144" w:line="240" w:lineRule="auto"/>
              <w:rPr>
                <w:sz w:val="22"/>
                <w:szCs w:val="22"/>
              </w:rPr>
            </w:pPr>
            <w:r w:rsidRPr="00B57F84">
              <w:rPr>
                <w:sz w:val="22"/>
                <w:szCs w:val="22"/>
              </w:rPr>
              <w:lastRenderedPageBreak/>
              <w:t>N</w:t>
            </w:r>
          </w:p>
        </w:tc>
        <w:tc>
          <w:tcPr>
            <w:tcW w:w="0" w:type="auto"/>
          </w:tcPr>
          <w:p w14:paraId="401C6BB0"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1D5C0380"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DFF00B1"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6ACA732B"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bl>
    <w:p w14:paraId="70708D50" w14:textId="1644C8E3" w:rsidR="00FF56E1" w:rsidRDefault="001E3C6B" w:rsidP="001E3C6B">
      <w:pPr>
        <w:pStyle w:val="ParaNumbering"/>
        <w:numPr>
          <w:ilvl w:val="0"/>
          <w:numId w:val="0"/>
        </w:numPr>
        <w:ind w:hanging="720"/>
      </w:pPr>
      <w:r>
        <w:rPr>
          <w:sz w:val="20"/>
        </w:rPr>
        <w:t>112</w:t>
      </w:r>
      <w:r>
        <w:rPr>
          <w:sz w:val="20"/>
        </w:rPr>
        <w:tab/>
      </w:r>
      <w:r w:rsidR="00B225EF">
        <w:t xml:space="preserve">It should be noted that the Protox product statements in the table above that are </w:t>
      </w:r>
      <w:r w:rsidR="00CD1A27" w:rsidRPr="00CD1A27">
        <w:t>shaded</w:t>
      </w:r>
      <w:r w:rsidR="00CD1A27">
        <w:t xml:space="preserve"> and </w:t>
      </w:r>
      <w:r w:rsidR="00B225EF">
        <w:t xml:space="preserve">numbered 7-10 </w:t>
      </w:r>
      <w:r w:rsidR="00737AA7">
        <w:t xml:space="preserve">and 19 </w:t>
      </w:r>
      <w:r w:rsidR="00B225EF">
        <w:t xml:space="preserve">appeared in the </w:t>
      </w:r>
      <w:r w:rsidR="00B225EF" w:rsidRPr="00737AA7">
        <w:rPr>
          <w:i/>
        </w:rPr>
        <w:t xml:space="preserve">Body+Soul </w:t>
      </w:r>
      <w:r w:rsidR="002F736E">
        <w:t>s</w:t>
      </w:r>
      <w:r w:rsidR="00B225EF" w:rsidRPr="00E42C6D">
        <w:t xml:space="preserve">upplement </w:t>
      </w:r>
      <w:r w:rsidR="00737AA7">
        <w:t>mini-features</w:t>
      </w:r>
      <w:r w:rsidR="00FF56E1">
        <w:t xml:space="preserve"> </w:t>
      </w:r>
      <w:r w:rsidR="00B225EF">
        <w:t>referred to at [</w:t>
      </w:r>
      <w:r w:rsidR="00B225EF">
        <w:fldChar w:fldCharType="begin" w:fldLock="1"/>
      </w:r>
      <w:r w:rsidR="00B225EF">
        <w:instrText xml:space="preserve"> REF _Ref49871108 \r \h </w:instrText>
      </w:r>
      <w:r w:rsidR="00B225EF">
        <w:fldChar w:fldCharType="separate"/>
      </w:r>
      <w:r w:rsidR="00756FCE">
        <w:t>67</w:t>
      </w:r>
      <w:r w:rsidR="00B225EF">
        <w:fldChar w:fldCharType="end"/>
      </w:r>
      <w:r w:rsidR="00B225EF">
        <w:t xml:space="preserve">] above.  </w:t>
      </w:r>
      <w:r w:rsidR="00FF56E1">
        <w:t>That is recorded in the parties’ statement of agreed facts.  In Sch A to its closing submissions, Allergan gave various references to the court book as evidence of the statements having been made by Self Care.  Some of the references are to pages of the Freeze</w:t>
      </w:r>
      <w:r w:rsidR="002643F9">
        <w:t>f</w:t>
      </w:r>
      <w:r w:rsidR="00FF56E1">
        <w:t>rame website but the</w:t>
      </w:r>
      <w:r w:rsidR="00C5449B">
        <w:t xml:space="preserve"> shaded</w:t>
      </w:r>
      <w:r w:rsidR="00FF56E1">
        <w:t xml:space="preserve"> impugned statements do not appear there.  The other references are to the </w:t>
      </w:r>
      <w:r w:rsidR="00FF56E1" w:rsidRPr="00737AA7">
        <w:rPr>
          <w:i/>
        </w:rPr>
        <w:t>Body+Soul</w:t>
      </w:r>
      <w:r w:rsidR="00FF56E1">
        <w:t xml:space="preserve"> </w:t>
      </w:r>
      <w:r w:rsidR="00737AA7">
        <w:t>mini-features</w:t>
      </w:r>
      <w:r w:rsidR="00FF56E1">
        <w:t>.</w:t>
      </w:r>
    </w:p>
    <w:p w14:paraId="28EA19A5" w14:textId="463FBD0F" w:rsidR="00B225EF" w:rsidRDefault="001E3C6B" w:rsidP="001E3C6B">
      <w:pPr>
        <w:pStyle w:val="ParaNumbering"/>
        <w:numPr>
          <w:ilvl w:val="0"/>
          <w:numId w:val="0"/>
        </w:numPr>
        <w:ind w:hanging="720"/>
      </w:pPr>
      <w:r>
        <w:rPr>
          <w:sz w:val="20"/>
        </w:rPr>
        <w:t>113</w:t>
      </w:r>
      <w:r>
        <w:rPr>
          <w:sz w:val="20"/>
        </w:rPr>
        <w:tab/>
      </w:r>
      <w:r w:rsidR="00B225EF">
        <w:t xml:space="preserve">Ms Amoroso’s evidence, which was not challenged, was that the </w:t>
      </w:r>
      <w:r w:rsidR="00FF56E1">
        <w:t xml:space="preserve">content of the </w:t>
      </w:r>
      <w:r w:rsidR="00737AA7">
        <w:t>mini-features</w:t>
      </w:r>
      <w:r w:rsidR="00B225EF">
        <w:t xml:space="preserve"> in which the statements appeared were controlled by the publishers</w:t>
      </w:r>
      <w:r w:rsidR="00E42C6D">
        <w:t xml:space="preserve"> of </w:t>
      </w:r>
      <w:r w:rsidR="00E42C6D" w:rsidRPr="00E42C6D">
        <w:rPr>
          <w:i/>
        </w:rPr>
        <w:t>Body + Soul</w:t>
      </w:r>
      <w:r w:rsidR="00B225EF">
        <w:t xml:space="preserve"> and that Self Care had no control over the content. </w:t>
      </w:r>
      <w:r w:rsidR="00031110">
        <w:t xml:space="preserve"> </w:t>
      </w:r>
      <w:r w:rsidR="00B225EF">
        <w:t>On that basis, I am not able to find that Self Care made the statements, or adopted them or that the statements are otherwise attributable to Self Care.</w:t>
      </w:r>
      <w:r w:rsidR="000D0359">
        <w:t xml:space="preserve">  For that reason</w:t>
      </w:r>
      <w:r w:rsidR="00B225EF">
        <w:t xml:space="preserve">, those statements </w:t>
      </w:r>
      <w:r w:rsidR="00DC63C7">
        <w:t>are</w:t>
      </w:r>
      <w:r w:rsidR="00B225EF">
        <w:t xml:space="preserve"> left out of account in what follows.</w:t>
      </w:r>
    </w:p>
    <w:p w14:paraId="37E691DA" w14:textId="3159347F" w:rsidR="00EE4D06" w:rsidRPr="007A08C7" w:rsidRDefault="001E3C6B" w:rsidP="001E3C6B">
      <w:pPr>
        <w:pStyle w:val="ParaNumbering"/>
        <w:numPr>
          <w:ilvl w:val="0"/>
          <w:numId w:val="0"/>
        </w:numPr>
        <w:ind w:hanging="720"/>
      </w:pPr>
      <w:r w:rsidRPr="007A08C7">
        <w:rPr>
          <w:sz w:val="20"/>
        </w:rPr>
        <w:t>114</w:t>
      </w:r>
      <w:r w:rsidRPr="007A08C7">
        <w:rPr>
          <w:sz w:val="20"/>
        </w:rPr>
        <w:tab/>
      </w:r>
      <w:r w:rsidR="00EE4D06" w:rsidRPr="007A08C7">
        <w:t>Inhibox product:</w:t>
      </w:r>
    </w:p>
    <w:tbl>
      <w:tblPr>
        <w:tblStyle w:val="TableGrid"/>
        <w:tblW w:w="0" w:type="auto"/>
        <w:tblLook w:val="04A0" w:firstRow="1" w:lastRow="0" w:firstColumn="1" w:lastColumn="0" w:noHBand="0" w:noVBand="1"/>
      </w:tblPr>
      <w:tblGrid>
        <w:gridCol w:w="541"/>
        <w:gridCol w:w="2999"/>
        <w:gridCol w:w="595"/>
        <w:gridCol w:w="725"/>
        <w:gridCol w:w="721"/>
        <w:gridCol w:w="1752"/>
        <w:gridCol w:w="1684"/>
      </w:tblGrid>
      <w:tr w:rsidR="00AC70BF" w:rsidRPr="00B57F84" w14:paraId="0166B33C" w14:textId="77777777" w:rsidTr="0002213D">
        <w:trPr>
          <w:trHeight w:val="489"/>
        </w:trPr>
        <w:tc>
          <w:tcPr>
            <w:tcW w:w="0" w:type="auto"/>
            <w:hideMark/>
          </w:tcPr>
          <w:p w14:paraId="237639E7" w14:textId="77777777" w:rsidR="00AC70BF" w:rsidRPr="00B57F84" w:rsidRDefault="00AC70BF" w:rsidP="00EE4D06">
            <w:pPr>
              <w:spacing w:beforeLines="60" w:before="144" w:afterLines="60" w:after="144" w:line="240" w:lineRule="auto"/>
              <w:rPr>
                <w:sz w:val="22"/>
                <w:szCs w:val="22"/>
              </w:rPr>
            </w:pPr>
            <w:r w:rsidRPr="00B57F84">
              <w:rPr>
                <w:sz w:val="22"/>
                <w:szCs w:val="22"/>
              </w:rPr>
              <w:t>No.</w:t>
            </w:r>
          </w:p>
        </w:tc>
        <w:tc>
          <w:tcPr>
            <w:tcW w:w="2999" w:type="dxa"/>
            <w:hideMark/>
          </w:tcPr>
          <w:p w14:paraId="0998275E" w14:textId="77777777" w:rsidR="00AC70BF" w:rsidRPr="00B57F84" w:rsidRDefault="00AC70BF" w:rsidP="00EE4D06">
            <w:pPr>
              <w:spacing w:beforeLines="60" w:before="144" w:afterLines="60" w:after="144" w:line="240" w:lineRule="auto"/>
              <w:rPr>
                <w:sz w:val="22"/>
                <w:szCs w:val="22"/>
              </w:rPr>
            </w:pPr>
            <w:r w:rsidRPr="00B57F84">
              <w:rPr>
                <w:sz w:val="22"/>
                <w:szCs w:val="22"/>
              </w:rPr>
              <w:t>Statement</w:t>
            </w:r>
          </w:p>
        </w:tc>
        <w:tc>
          <w:tcPr>
            <w:tcW w:w="312" w:type="dxa"/>
          </w:tcPr>
          <w:p w14:paraId="2D2AE976" w14:textId="77777777" w:rsidR="00AC70BF" w:rsidRPr="00B57F84" w:rsidRDefault="00AC70BF" w:rsidP="00EE4D06">
            <w:pPr>
              <w:spacing w:beforeLines="60" w:before="144" w:afterLines="60" w:after="144" w:line="240" w:lineRule="auto"/>
              <w:rPr>
                <w:sz w:val="22"/>
                <w:szCs w:val="22"/>
              </w:rPr>
            </w:pPr>
            <w:r w:rsidRPr="00B57F84">
              <w:rPr>
                <w:sz w:val="22"/>
                <w:szCs w:val="22"/>
              </w:rPr>
              <w:t>TM inf. Y/N</w:t>
            </w:r>
          </w:p>
        </w:tc>
        <w:tc>
          <w:tcPr>
            <w:tcW w:w="0" w:type="auto"/>
          </w:tcPr>
          <w:p w14:paraId="624B2311" w14:textId="77777777" w:rsidR="00AC70BF" w:rsidRPr="00B57F84" w:rsidRDefault="00AC70BF" w:rsidP="00EE4D06">
            <w:pPr>
              <w:spacing w:beforeLines="60" w:before="144" w:afterLines="60" w:after="144" w:line="240" w:lineRule="auto"/>
              <w:rPr>
                <w:sz w:val="22"/>
                <w:szCs w:val="22"/>
              </w:rPr>
            </w:pPr>
            <w:r w:rsidRPr="00B57F84">
              <w:rPr>
                <w:sz w:val="22"/>
                <w:szCs w:val="22"/>
              </w:rPr>
              <w:t>Aff. rep Y/N</w:t>
            </w:r>
          </w:p>
        </w:tc>
        <w:tc>
          <w:tcPr>
            <w:tcW w:w="0" w:type="auto"/>
          </w:tcPr>
          <w:p w14:paraId="778D1CC9" w14:textId="77777777" w:rsidR="00AC70BF" w:rsidRPr="00B57F84" w:rsidRDefault="00AC70BF" w:rsidP="00EE4D06">
            <w:pPr>
              <w:spacing w:beforeLines="60" w:before="144" w:afterLines="60" w:after="144" w:line="240" w:lineRule="auto"/>
              <w:rPr>
                <w:sz w:val="22"/>
                <w:szCs w:val="22"/>
              </w:rPr>
            </w:pPr>
            <w:r w:rsidRPr="00B57F84">
              <w:rPr>
                <w:sz w:val="22"/>
                <w:szCs w:val="22"/>
              </w:rPr>
              <w:t>Eff. rep Y/N</w:t>
            </w:r>
          </w:p>
        </w:tc>
        <w:tc>
          <w:tcPr>
            <w:tcW w:w="0" w:type="auto"/>
          </w:tcPr>
          <w:p w14:paraId="7B965482" w14:textId="77777777" w:rsidR="00AC70BF" w:rsidRPr="00B57F84" w:rsidRDefault="00AC70BF" w:rsidP="00EE4D06">
            <w:pPr>
              <w:spacing w:beforeLines="60" w:before="144" w:afterLines="60" w:after="144" w:line="240" w:lineRule="auto"/>
              <w:rPr>
                <w:sz w:val="22"/>
                <w:szCs w:val="22"/>
              </w:rPr>
            </w:pPr>
            <w:r w:rsidRPr="00B57F84">
              <w:rPr>
                <w:sz w:val="22"/>
                <w:szCs w:val="22"/>
              </w:rPr>
              <w:t>TG Act</w:t>
            </w:r>
          </w:p>
          <w:p w14:paraId="51350B6B" w14:textId="77777777" w:rsidR="00AC70BF" w:rsidRPr="00B57F84" w:rsidRDefault="00AC70BF" w:rsidP="00EE4D06">
            <w:pPr>
              <w:spacing w:beforeLines="60" w:before="144" w:afterLines="60" w:after="144" w:line="240" w:lineRule="auto"/>
              <w:rPr>
                <w:sz w:val="22"/>
                <w:szCs w:val="22"/>
              </w:rPr>
            </w:pPr>
            <w:r w:rsidRPr="00B57F84">
              <w:rPr>
                <w:sz w:val="22"/>
                <w:szCs w:val="22"/>
              </w:rPr>
              <w:t>Y/N</w:t>
            </w:r>
          </w:p>
        </w:tc>
        <w:tc>
          <w:tcPr>
            <w:tcW w:w="0" w:type="auto"/>
            <w:hideMark/>
          </w:tcPr>
          <w:p w14:paraId="7B03DC03" w14:textId="77777777" w:rsidR="00AC70BF" w:rsidRPr="00B57F84" w:rsidRDefault="00AC70BF" w:rsidP="00EE4D06">
            <w:pPr>
              <w:spacing w:beforeLines="60" w:before="144" w:afterLines="60" w:after="144" w:line="240" w:lineRule="auto"/>
              <w:rPr>
                <w:sz w:val="22"/>
                <w:szCs w:val="22"/>
              </w:rPr>
            </w:pPr>
            <w:r w:rsidRPr="00B57F84">
              <w:rPr>
                <w:sz w:val="22"/>
                <w:szCs w:val="22"/>
              </w:rPr>
              <w:t xml:space="preserve">U/taking </w:t>
            </w:r>
          </w:p>
          <w:p w14:paraId="5E1C5E9E" w14:textId="77777777" w:rsidR="00AC70BF" w:rsidRPr="00B57F84" w:rsidRDefault="00AC70BF" w:rsidP="00EE4D06">
            <w:pPr>
              <w:spacing w:beforeLines="60" w:before="144" w:afterLines="60" w:after="144" w:line="240" w:lineRule="auto"/>
              <w:rPr>
                <w:sz w:val="22"/>
                <w:szCs w:val="22"/>
              </w:rPr>
            </w:pPr>
            <w:r w:rsidRPr="00B57F84">
              <w:rPr>
                <w:sz w:val="22"/>
                <w:szCs w:val="22"/>
              </w:rPr>
              <w:t>Y/N</w:t>
            </w:r>
          </w:p>
        </w:tc>
      </w:tr>
      <w:tr w:rsidR="00AC70BF" w:rsidRPr="00B57F84" w14:paraId="7123FC4C" w14:textId="77777777" w:rsidTr="0002213D">
        <w:trPr>
          <w:trHeight w:val="46"/>
        </w:trPr>
        <w:tc>
          <w:tcPr>
            <w:tcW w:w="0" w:type="auto"/>
          </w:tcPr>
          <w:p w14:paraId="5BF6C47C" w14:textId="77777777" w:rsidR="00AC70BF" w:rsidRPr="00B57F84" w:rsidRDefault="00AC70BF" w:rsidP="00EE4D06">
            <w:pPr>
              <w:spacing w:beforeLines="60" w:before="144" w:afterLines="60" w:after="144" w:line="240" w:lineRule="auto"/>
              <w:rPr>
                <w:sz w:val="22"/>
                <w:szCs w:val="22"/>
              </w:rPr>
            </w:pPr>
            <w:r w:rsidRPr="00B57F84">
              <w:rPr>
                <w:sz w:val="22"/>
                <w:szCs w:val="22"/>
              </w:rPr>
              <w:t>1</w:t>
            </w:r>
          </w:p>
        </w:tc>
        <w:tc>
          <w:tcPr>
            <w:tcW w:w="2999" w:type="dxa"/>
          </w:tcPr>
          <w:p w14:paraId="24DCB206" w14:textId="2B3AAA0B" w:rsidR="00AC70BF" w:rsidRPr="00B57F84" w:rsidRDefault="00AC70BF" w:rsidP="0002213D">
            <w:pPr>
              <w:spacing w:beforeLines="60" w:before="144" w:afterLines="60" w:after="144" w:line="240" w:lineRule="auto"/>
              <w:rPr>
                <w:sz w:val="22"/>
                <w:szCs w:val="22"/>
              </w:rPr>
            </w:pPr>
            <w:r w:rsidRPr="00B57F84">
              <w:rPr>
                <w:sz w:val="22"/>
                <w:szCs w:val="22"/>
              </w:rPr>
              <w:t>“Instant</w:t>
            </w:r>
            <w:r w:rsidR="0002213D">
              <w:rPr>
                <w:sz w:val="22"/>
                <w:szCs w:val="22"/>
              </w:rPr>
              <w:t xml:space="preserve"> </w:t>
            </w:r>
            <w:r w:rsidRPr="00B57F84">
              <w:rPr>
                <w:sz w:val="22"/>
                <w:szCs w:val="22"/>
              </w:rPr>
              <w:t>BOTOX® alternative”</w:t>
            </w:r>
          </w:p>
        </w:tc>
        <w:tc>
          <w:tcPr>
            <w:tcW w:w="312" w:type="dxa"/>
          </w:tcPr>
          <w:p w14:paraId="41A6617A"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6F6623C"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523544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7647E95"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558F7B6"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02551370" w14:textId="77777777" w:rsidTr="0002213D">
        <w:trPr>
          <w:trHeight w:val="1087"/>
        </w:trPr>
        <w:tc>
          <w:tcPr>
            <w:tcW w:w="0" w:type="auto"/>
          </w:tcPr>
          <w:p w14:paraId="0C92E121" w14:textId="77777777" w:rsidR="00AC70BF" w:rsidRPr="00B57F84" w:rsidRDefault="00AC70BF" w:rsidP="00EE4D06">
            <w:pPr>
              <w:spacing w:beforeLines="60" w:before="144" w:afterLines="60" w:after="144" w:line="240" w:lineRule="auto"/>
              <w:rPr>
                <w:sz w:val="22"/>
                <w:szCs w:val="22"/>
              </w:rPr>
            </w:pPr>
            <w:r w:rsidRPr="00B57F84">
              <w:rPr>
                <w:sz w:val="22"/>
                <w:szCs w:val="22"/>
              </w:rPr>
              <w:t>2</w:t>
            </w:r>
          </w:p>
        </w:tc>
        <w:tc>
          <w:tcPr>
            <w:tcW w:w="2999" w:type="dxa"/>
          </w:tcPr>
          <w:p w14:paraId="79D369A7" w14:textId="1C8C2562" w:rsidR="00AC70BF" w:rsidRPr="00B57F84" w:rsidRDefault="00AC70BF" w:rsidP="00EE4D06">
            <w:pPr>
              <w:spacing w:beforeLines="60" w:before="144" w:afterLines="60" w:after="144" w:line="240" w:lineRule="auto"/>
              <w:rPr>
                <w:sz w:val="22"/>
                <w:szCs w:val="22"/>
              </w:rPr>
            </w:pPr>
            <w:r w:rsidRPr="00B57F84">
              <w:rPr>
                <w:sz w:val="22"/>
                <w:szCs w:val="22"/>
              </w:rPr>
              <w:t>“The World’s first Instant and Long Term Botox</w:t>
            </w:r>
            <w:r w:rsidR="00575C17" w:rsidRPr="00B57F84">
              <w:rPr>
                <w:sz w:val="22"/>
                <w:szCs w:val="22"/>
              </w:rPr>
              <w:t>®</w:t>
            </w:r>
            <w:r w:rsidRPr="00B57F84">
              <w:rPr>
                <w:sz w:val="22"/>
                <w:szCs w:val="22"/>
              </w:rPr>
              <w:t xml:space="preserve"> Alternative”</w:t>
            </w:r>
          </w:p>
        </w:tc>
        <w:tc>
          <w:tcPr>
            <w:tcW w:w="312" w:type="dxa"/>
          </w:tcPr>
          <w:p w14:paraId="3E89347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0AF6CF6"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4F3F321"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DC32A0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3313899" w14:textId="77777777" w:rsidR="00AC70BF" w:rsidRPr="00B57F84" w:rsidRDefault="00AC70BF" w:rsidP="00EE4D06">
            <w:pPr>
              <w:spacing w:beforeLines="60" w:before="144" w:afterLines="60" w:after="144" w:line="240" w:lineRule="auto"/>
              <w:rPr>
                <w:sz w:val="22"/>
                <w:szCs w:val="22"/>
              </w:rPr>
            </w:pPr>
            <w:r w:rsidRPr="00B57F84">
              <w:rPr>
                <w:sz w:val="22"/>
                <w:szCs w:val="22"/>
              </w:rPr>
              <w:t>Y re “Long term Botox alternative” only</w:t>
            </w:r>
          </w:p>
        </w:tc>
      </w:tr>
      <w:tr w:rsidR="00AC70BF" w:rsidRPr="00B57F84" w14:paraId="5135440C" w14:textId="77777777" w:rsidTr="0002213D">
        <w:trPr>
          <w:trHeight w:val="1027"/>
        </w:trPr>
        <w:tc>
          <w:tcPr>
            <w:tcW w:w="0" w:type="auto"/>
          </w:tcPr>
          <w:p w14:paraId="14D7589A" w14:textId="77777777" w:rsidR="00AC70BF" w:rsidRPr="00B57F84" w:rsidRDefault="00AC70BF" w:rsidP="00EE4D06">
            <w:pPr>
              <w:spacing w:beforeLines="60" w:before="144" w:afterLines="60" w:after="144" w:line="240" w:lineRule="auto"/>
              <w:rPr>
                <w:sz w:val="22"/>
                <w:szCs w:val="22"/>
              </w:rPr>
            </w:pPr>
            <w:r w:rsidRPr="00B57F84">
              <w:rPr>
                <w:sz w:val="22"/>
                <w:szCs w:val="22"/>
              </w:rPr>
              <w:t>3</w:t>
            </w:r>
          </w:p>
        </w:tc>
        <w:tc>
          <w:tcPr>
            <w:tcW w:w="2999" w:type="dxa"/>
          </w:tcPr>
          <w:p w14:paraId="246EC62B" w14:textId="77777777" w:rsidR="00AC70BF" w:rsidRPr="00B57F84" w:rsidRDefault="00AC70BF" w:rsidP="00EE4D06">
            <w:pPr>
              <w:spacing w:beforeLines="60" w:before="144" w:afterLines="60" w:after="144" w:line="240" w:lineRule="auto"/>
              <w:rPr>
                <w:sz w:val="22"/>
                <w:szCs w:val="22"/>
              </w:rPr>
            </w:pPr>
            <w:r w:rsidRPr="00B57F84">
              <w:rPr>
                <w:sz w:val="22"/>
                <w:szCs w:val="22"/>
              </w:rPr>
              <w:t>“The original instant and long term Botox® alternative”</w:t>
            </w:r>
          </w:p>
        </w:tc>
        <w:tc>
          <w:tcPr>
            <w:tcW w:w="312" w:type="dxa"/>
          </w:tcPr>
          <w:p w14:paraId="48B52F45"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9E34720"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F2C8764"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A52EF5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AB447D9" w14:textId="77777777" w:rsidR="00AC70BF" w:rsidRPr="00B57F84" w:rsidRDefault="00AC70BF" w:rsidP="00EE4D06">
            <w:pPr>
              <w:spacing w:beforeLines="60" w:before="144" w:afterLines="60" w:after="144" w:line="240" w:lineRule="auto"/>
              <w:rPr>
                <w:sz w:val="22"/>
                <w:szCs w:val="22"/>
              </w:rPr>
            </w:pPr>
            <w:r w:rsidRPr="00B57F84">
              <w:rPr>
                <w:sz w:val="22"/>
                <w:szCs w:val="22"/>
              </w:rPr>
              <w:t>Y re “Long term Botox alternative” only</w:t>
            </w:r>
          </w:p>
        </w:tc>
      </w:tr>
      <w:tr w:rsidR="00AC70BF" w:rsidRPr="00B57F84" w14:paraId="2C2B126F" w14:textId="77777777" w:rsidTr="0002213D">
        <w:trPr>
          <w:trHeight w:val="909"/>
        </w:trPr>
        <w:tc>
          <w:tcPr>
            <w:tcW w:w="0" w:type="auto"/>
          </w:tcPr>
          <w:p w14:paraId="03804FA3" w14:textId="77777777" w:rsidR="00AC70BF" w:rsidRPr="00B57F84" w:rsidRDefault="00AC70BF" w:rsidP="00EE4D06">
            <w:pPr>
              <w:spacing w:beforeLines="60" w:before="144" w:afterLines="60" w:after="144" w:line="240" w:lineRule="auto"/>
              <w:rPr>
                <w:sz w:val="22"/>
                <w:szCs w:val="22"/>
              </w:rPr>
            </w:pPr>
            <w:r w:rsidRPr="00B57F84">
              <w:rPr>
                <w:sz w:val="22"/>
                <w:szCs w:val="22"/>
              </w:rPr>
              <w:t>4</w:t>
            </w:r>
          </w:p>
        </w:tc>
        <w:tc>
          <w:tcPr>
            <w:tcW w:w="2999" w:type="dxa"/>
          </w:tcPr>
          <w:p w14:paraId="6C7BDA6F" w14:textId="77777777" w:rsidR="00AC70BF" w:rsidRPr="00B57F84" w:rsidRDefault="00AC70BF" w:rsidP="0002213D">
            <w:pPr>
              <w:spacing w:beforeLines="60" w:before="144" w:afterLines="60" w:after="144" w:line="240" w:lineRule="auto"/>
              <w:rPr>
                <w:sz w:val="22"/>
                <w:szCs w:val="22"/>
              </w:rPr>
            </w:pPr>
            <w:r w:rsidRPr="00B57F84">
              <w:rPr>
                <w:sz w:val="22"/>
                <w:szCs w:val="22"/>
              </w:rPr>
              <w:t>“Clinically Proven, Instant Botox® Alternative”</w:t>
            </w:r>
          </w:p>
        </w:tc>
        <w:tc>
          <w:tcPr>
            <w:tcW w:w="312" w:type="dxa"/>
          </w:tcPr>
          <w:p w14:paraId="6677B355"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1927AA02"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1B1D84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EC41069" w14:textId="77777777" w:rsidR="00AC70BF" w:rsidRPr="00B57F84" w:rsidRDefault="00AC70BF" w:rsidP="00EE4D06">
            <w:pPr>
              <w:spacing w:beforeLines="60" w:before="144" w:afterLines="60" w:after="144" w:line="240" w:lineRule="auto"/>
              <w:rPr>
                <w:sz w:val="22"/>
                <w:szCs w:val="22"/>
              </w:rPr>
            </w:pPr>
            <w:r w:rsidRPr="00B57F84">
              <w:rPr>
                <w:sz w:val="22"/>
                <w:szCs w:val="22"/>
              </w:rPr>
              <w:t>Y plus “freezes wrinkles instantly”</w:t>
            </w:r>
          </w:p>
        </w:tc>
        <w:tc>
          <w:tcPr>
            <w:tcW w:w="0" w:type="auto"/>
          </w:tcPr>
          <w:p w14:paraId="02B67174"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50CF64E1" w14:textId="77777777" w:rsidTr="0002213D">
        <w:trPr>
          <w:trHeight w:val="856"/>
        </w:trPr>
        <w:tc>
          <w:tcPr>
            <w:tcW w:w="0" w:type="auto"/>
          </w:tcPr>
          <w:p w14:paraId="0B6EF503" w14:textId="77777777" w:rsidR="00AC70BF" w:rsidRPr="00B57F84" w:rsidRDefault="00AC70BF" w:rsidP="00EE4D06">
            <w:pPr>
              <w:spacing w:beforeLines="60" w:before="144" w:afterLines="60" w:after="144" w:line="240" w:lineRule="auto"/>
              <w:rPr>
                <w:sz w:val="22"/>
                <w:szCs w:val="22"/>
              </w:rPr>
            </w:pPr>
            <w:r w:rsidRPr="00B57F84">
              <w:rPr>
                <w:sz w:val="22"/>
                <w:szCs w:val="22"/>
              </w:rPr>
              <w:t>5</w:t>
            </w:r>
          </w:p>
        </w:tc>
        <w:tc>
          <w:tcPr>
            <w:tcW w:w="2999" w:type="dxa"/>
          </w:tcPr>
          <w:p w14:paraId="3ABA1F8D" w14:textId="77777777" w:rsidR="00AC70BF" w:rsidRPr="00B57F84" w:rsidRDefault="00AC70BF" w:rsidP="00EE4D06">
            <w:pPr>
              <w:spacing w:beforeLines="60" w:before="144" w:afterLines="60" w:after="144" w:line="240" w:lineRule="auto"/>
              <w:rPr>
                <w:sz w:val="22"/>
                <w:szCs w:val="22"/>
              </w:rPr>
            </w:pPr>
            <w:r w:rsidRPr="00B57F84">
              <w:rPr>
                <w:sz w:val="22"/>
                <w:szCs w:val="22"/>
              </w:rPr>
              <w:t>“Freezeframe with INHIBOX is the original Instant Botox® Alternative”</w:t>
            </w:r>
          </w:p>
        </w:tc>
        <w:tc>
          <w:tcPr>
            <w:tcW w:w="312" w:type="dxa"/>
          </w:tcPr>
          <w:p w14:paraId="11592530"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3F4686C"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7256C3BC"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59FEE99"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3911B40"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69A1399F" w14:textId="77777777" w:rsidTr="0002213D">
        <w:trPr>
          <w:trHeight w:val="612"/>
        </w:trPr>
        <w:tc>
          <w:tcPr>
            <w:tcW w:w="0" w:type="auto"/>
          </w:tcPr>
          <w:p w14:paraId="3F5DE487" w14:textId="77777777" w:rsidR="00AC70BF" w:rsidRPr="00B57F84" w:rsidRDefault="00AC70BF" w:rsidP="00EE4D06">
            <w:pPr>
              <w:spacing w:beforeLines="60" w:before="144" w:afterLines="60" w:after="144" w:line="240" w:lineRule="auto"/>
              <w:rPr>
                <w:sz w:val="22"/>
                <w:szCs w:val="22"/>
              </w:rPr>
            </w:pPr>
            <w:r w:rsidRPr="00B57F84">
              <w:rPr>
                <w:sz w:val="22"/>
                <w:szCs w:val="22"/>
              </w:rPr>
              <w:t>6</w:t>
            </w:r>
          </w:p>
        </w:tc>
        <w:tc>
          <w:tcPr>
            <w:tcW w:w="2999" w:type="dxa"/>
          </w:tcPr>
          <w:p w14:paraId="1014F240" w14:textId="77777777" w:rsidR="00AC70BF" w:rsidRPr="00B57F84" w:rsidRDefault="00AC70BF" w:rsidP="00EE4D06">
            <w:pPr>
              <w:spacing w:beforeLines="60" w:before="144" w:afterLines="60" w:after="144" w:line="240" w:lineRule="auto"/>
              <w:rPr>
                <w:sz w:val="22"/>
                <w:szCs w:val="22"/>
              </w:rPr>
            </w:pPr>
            <w:r w:rsidRPr="00B57F84">
              <w:rPr>
                <w:sz w:val="22"/>
                <w:szCs w:val="22"/>
              </w:rPr>
              <w:t>“…a topical alternative to Botox® injections…”</w:t>
            </w:r>
          </w:p>
        </w:tc>
        <w:tc>
          <w:tcPr>
            <w:tcW w:w="312" w:type="dxa"/>
          </w:tcPr>
          <w:p w14:paraId="0E9E479C"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92DF4A6"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30F815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4E28655"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148318A"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77E94938" w14:textId="77777777" w:rsidTr="0002213D">
        <w:trPr>
          <w:trHeight w:val="595"/>
        </w:trPr>
        <w:tc>
          <w:tcPr>
            <w:tcW w:w="0" w:type="auto"/>
          </w:tcPr>
          <w:p w14:paraId="692C7555" w14:textId="77777777" w:rsidR="00AC70BF" w:rsidRPr="00B57F84" w:rsidRDefault="00AC70BF" w:rsidP="00EE4D06">
            <w:pPr>
              <w:spacing w:beforeLines="60" w:before="144" w:afterLines="60" w:after="144" w:line="240" w:lineRule="auto"/>
              <w:rPr>
                <w:sz w:val="22"/>
                <w:szCs w:val="22"/>
              </w:rPr>
            </w:pPr>
            <w:r w:rsidRPr="00B57F84">
              <w:rPr>
                <w:sz w:val="22"/>
                <w:szCs w:val="22"/>
              </w:rPr>
              <w:lastRenderedPageBreak/>
              <w:t>7</w:t>
            </w:r>
          </w:p>
        </w:tc>
        <w:tc>
          <w:tcPr>
            <w:tcW w:w="2999" w:type="dxa"/>
          </w:tcPr>
          <w:p w14:paraId="699E1F49" w14:textId="77777777" w:rsidR="00AC70BF" w:rsidRPr="00B57F84" w:rsidRDefault="00AC70BF" w:rsidP="00EE4D06">
            <w:pPr>
              <w:spacing w:beforeLines="60" w:before="144" w:afterLines="60" w:after="144" w:line="240" w:lineRule="auto"/>
              <w:rPr>
                <w:iCs/>
                <w:sz w:val="22"/>
                <w:szCs w:val="22"/>
              </w:rPr>
            </w:pPr>
            <w:r w:rsidRPr="00B57F84">
              <w:rPr>
                <w:sz w:val="22"/>
                <w:szCs w:val="22"/>
              </w:rPr>
              <w:t>“The original Instant Botox® Alternative”</w:t>
            </w:r>
          </w:p>
        </w:tc>
        <w:tc>
          <w:tcPr>
            <w:tcW w:w="312" w:type="dxa"/>
          </w:tcPr>
          <w:p w14:paraId="7223127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687CB4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28F16D2"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66B6BEE" w14:textId="77777777" w:rsidR="00AC70BF" w:rsidRPr="00B57F84" w:rsidRDefault="00AC70BF" w:rsidP="00EE4D06">
            <w:pPr>
              <w:spacing w:beforeLines="60" w:before="144" w:afterLines="60" w:after="144" w:line="240" w:lineRule="auto"/>
              <w:rPr>
                <w:sz w:val="22"/>
                <w:szCs w:val="22"/>
              </w:rPr>
            </w:pPr>
            <w:r w:rsidRPr="00B57F84">
              <w:rPr>
                <w:sz w:val="22"/>
                <w:szCs w:val="22"/>
              </w:rPr>
              <w:t>Y plus “has been a number 1 seller all over the world”</w:t>
            </w:r>
          </w:p>
        </w:tc>
        <w:tc>
          <w:tcPr>
            <w:tcW w:w="0" w:type="auto"/>
          </w:tcPr>
          <w:p w14:paraId="021843AF"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bl>
    <w:p w14:paraId="4BAACF79" w14:textId="075A6173" w:rsidR="00EE4D06" w:rsidRPr="007A08C7" w:rsidRDefault="001E3C6B" w:rsidP="001E3C6B">
      <w:pPr>
        <w:pStyle w:val="ParaNumbering"/>
        <w:numPr>
          <w:ilvl w:val="0"/>
          <w:numId w:val="0"/>
        </w:numPr>
        <w:ind w:hanging="720"/>
      </w:pPr>
      <w:r w:rsidRPr="007A08C7">
        <w:rPr>
          <w:sz w:val="20"/>
        </w:rPr>
        <w:t>115</w:t>
      </w:r>
      <w:r w:rsidRPr="007A08C7">
        <w:rPr>
          <w:sz w:val="20"/>
        </w:rPr>
        <w:tab/>
      </w:r>
      <w:r w:rsidR="00EE4D06" w:rsidRPr="007A08C7">
        <w:t>Night product</w:t>
      </w:r>
      <w:r w:rsidR="00463290">
        <w:t>s</w:t>
      </w:r>
      <w:r w:rsidR="00EE4D06" w:rsidRPr="007A08C7">
        <w:t xml:space="preserve"> (tube and tub):</w:t>
      </w:r>
    </w:p>
    <w:tbl>
      <w:tblPr>
        <w:tblStyle w:val="TableGrid"/>
        <w:tblW w:w="0" w:type="auto"/>
        <w:tblLook w:val="04A0" w:firstRow="1" w:lastRow="0" w:firstColumn="1" w:lastColumn="0" w:noHBand="0" w:noVBand="1"/>
      </w:tblPr>
      <w:tblGrid>
        <w:gridCol w:w="540"/>
        <w:gridCol w:w="4044"/>
        <w:gridCol w:w="829"/>
        <w:gridCol w:w="833"/>
        <w:gridCol w:w="825"/>
        <w:gridCol w:w="823"/>
        <w:gridCol w:w="1123"/>
      </w:tblGrid>
      <w:tr w:rsidR="00B57F84" w:rsidRPr="00B57F84" w14:paraId="44C5C338" w14:textId="77777777" w:rsidTr="00B57F84">
        <w:trPr>
          <w:trHeight w:val="321"/>
        </w:trPr>
        <w:tc>
          <w:tcPr>
            <w:tcW w:w="0" w:type="auto"/>
            <w:hideMark/>
          </w:tcPr>
          <w:p w14:paraId="72E63589" w14:textId="77777777" w:rsidR="00AC70BF" w:rsidRPr="00B57F84" w:rsidRDefault="00AC70BF" w:rsidP="00EE4D06">
            <w:pPr>
              <w:spacing w:beforeLines="60" w:before="144" w:afterLines="60" w:after="144" w:line="240" w:lineRule="auto"/>
              <w:rPr>
                <w:sz w:val="22"/>
                <w:szCs w:val="22"/>
              </w:rPr>
            </w:pPr>
            <w:r w:rsidRPr="00B57F84">
              <w:rPr>
                <w:sz w:val="22"/>
                <w:szCs w:val="22"/>
              </w:rPr>
              <w:t>No.</w:t>
            </w:r>
          </w:p>
        </w:tc>
        <w:tc>
          <w:tcPr>
            <w:tcW w:w="0" w:type="auto"/>
            <w:hideMark/>
          </w:tcPr>
          <w:p w14:paraId="04A0CE25" w14:textId="77777777" w:rsidR="00AC70BF" w:rsidRPr="00B57F84" w:rsidRDefault="00AC70BF" w:rsidP="00EE4D06">
            <w:pPr>
              <w:spacing w:beforeLines="60" w:before="144" w:afterLines="60" w:after="144" w:line="240" w:lineRule="auto"/>
              <w:rPr>
                <w:sz w:val="22"/>
                <w:szCs w:val="22"/>
              </w:rPr>
            </w:pPr>
            <w:r w:rsidRPr="00B57F84">
              <w:rPr>
                <w:sz w:val="22"/>
                <w:szCs w:val="22"/>
              </w:rPr>
              <w:t>Statement</w:t>
            </w:r>
          </w:p>
        </w:tc>
        <w:tc>
          <w:tcPr>
            <w:tcW w:w="0" w:type="auto"/>
          </w:tcPr>
          <w:p w14:paraId="28112135" w14:textId="77777777" w:rsidR="00AC70BF" w:rsidRPr="00B57F84" w:rsidRDefault="00AC70BF" w:rsidP="00EE4D06">
            <w:pPr>
              <w:spacing w:beforeLines="60" w:before="144" w:afterLines="60" w:after="144" w:line="240" w:lineRule="auto"/>
              <w:rPr>
                <w:sz w:val="22"/>
                <w:szCs w:val="22"/>
              </w:rPr>
            </w:pPr>
            <w:r w:rsidRPr="00B57F84">
              <w:rPr>
                <w:sz w:val="22"/>
                <w:szCs w:val="22"/>
              </w:rPr>
              <w:t>TM inf. Y/N</w:t>
            </w:r>
          </w:p>
        </w:tc>
        <w:tc>
          <w:tcPr>
            <w:tcW w:w="0" w:type="auto"/>
          </w:tcPr>
          <w:p w14:paraId="3433B7D6" w14:textId="77777777" w:rsidR="00AC70BF" w:rsidRPr="00B57F84" w:rsidRDefault="00AC70BF" w:rsidP="00EE4D06">
            <w:pPr>
              <w:spacing w:beforeLines="60" w:before="144" w:afterLines="60" w:after="144" w:line="240" w:lineRule="auto"/>
              <w:rPr>
                <w:sz w:val="22"/>
                <w:szCs w:val="22"/>
              </w:rPr>
            </w:pPr>
            <w:r w:rsidRPr="00B57F84">
              <w:rPr>
                <w:sz w:val="22"/>
                <w:szCs w:val="22"/>
              </w:rPr>
              <w:t>Aff. rep Y/N</w:t>
            </w:r>
          </w:p>
        </w:tc>
        <w:tc>
          <w:tcPr>
            <w:tcW w:w="0" w:type="auto"/>
          </w:tcPr>
          <w:p w14:paraId="3F204E74" w14:textId="77777777" w:rsidR="00AC70BF" w:rsidRPr="00B57F84" w:rsidRDefault="00AC70BF" w:rsidP="00EE4D06">
            <w:pPr>
              <w:spacing w:beforeLines="60" w:before="144" w:afterLines="60" w:after="144" w:line="240" w:lineRule="auto"/>
              <w:rPr>
                <w:sz w:val="22"/>
                <w:szCs w:val="22"/>
              </w:rPr>
            </w:pPr>
            <w:r w:rsidRPr="00B57F84">
              <w:rPr>
                <w:sz w:val="22"/>
                <w:szCs w:val="22"/>
              </w:rPr>
              <w:t>Eff. rep Y/N</w:t>
            </w:r>
          </w:p>
        </w:tc>
        <w:tc>
          <w:tcPr>
            <w:tcW w:w="0" w:type="auto"/>
          </w:tcPr>
          <w:p w14:paraId="556E9D71" w14:textId="77777777" w:rsidR="00AC70BF" w:rsidRPr="00B57F84" w:rsidRDefault="00AC70BF" w:rsidP="00EE4D06">
            <w:pPr>
              <w:spacing w:beforeLines="60" w:before="144" w:afterLines="60" w:after="144" w:line="240" w:lineRule="auto"/>
              <w:rPr>
                <w:sz w:val="22"/>
                <w:szCs w:val="22"/>
              </w:rPr>
            </w:pPr>
            <w:r w:rsidRPr="00B57F84">
              <w:rPr>
                <w:sz w:val="22"/>
                <w:szCs w:val="22"/>
              </w:rPr>
              <w:t>TG Act Y/N</w:t>
            </w:r>
          </w:p>
        </w:tc>
        <w:tc>
          <w:tcPr>
            <w:tcW w:w="0" w:type="auto"/>
            <w:hideMark/>
          </w:tcPr>
          <w:p w14:paraId="0F9AE812" w14:textId="77777777" w:rsidR="00AC70BF" w:rsidRPr="00B57F84" w:rsidRDefault="00AC70BF" w:rsidP="00EE4D06">
            <w:pPr>
              <w:spacing w:beforeLines="60" w:before="144" w:afterLines="60" w:after="144" w:line="240" w:lineRule="auto"/>
              <w:rPr>
                <w:sz w:val="22"/>
                <w:szCs w:val="22"/>
              </w:rPr>
            </w:pPr>
            <w:r w:rsidRPr="00B57F84">
              <w:rPr>
                <w:sz w:val="22"/>
                <w:szCs w:val="22"/>
              </w:rPr>
              <w:t>U/taking Y/N</w:t>
            </w:r>
          </w:p>
        </w:tc>
      </w:tr>
      <w:tr w:rsidR="00B57F84" w:rsidRPr="00B57F84" w14:paraId="63469DB9" w14:textId="77777777" w:rsidTr="00B57F84">
        <w:trPr>
          <w:trHeight w:val="402"/>
        </w:trPr>
        <w:tc>
          <w:tcPr>
            <w:tcW w:w="0" w:type="auto"/>
          </w:tcPr>
          <w:p w14:paraId="71DF1C86" w14:textId="77777777" w:rsidR="00AC70BF" w:rsidRPr="00B57F84" w:rsidRDefault="00AC70BF" w:rsidP="00EE4D06">
            <w:pPr>
              <w:spacing w:beforeLines="60" w:before="144" w:afterLines="60" w:after="144" w:line="240" w:lineRule="auto"/>
              <w:rPr>
                <w:sz w:val="22"/>
                <w:szCs w:val="22"/>
              </w:rPr>
            </w:pPr>
            <w:r w:rsidRPr="00B57F84">
              <w:rPr>
                <w:sz w:val="22"/>
                <w:szCs w:val="22"/>
              </w:rPr>
              <w:t>1</w:t>
            </w:r>
          </w:p>
        </w:tc>
        <w:tc>
          <w:tcPr>
            <w:tcW w:w="0" w:type="auto"/>
          </w:tcPr>
          <w:p w14:paraId="17563113" w14:textId="77777777" w:rsidR="00AC70BF" w:rsidRPr="00B57F84" w:rsidRDefault="00AC70BF" w:rsidP="00EE4D06">
            <w:pPr>
              <w:spacing w:beforeLines="60" w:before="144" w:afterLines="60" w:after="144" w:line="240" w:lineRule="auto"/>
              <w:rPr>
                <w:sz w:val="22"/>
                <w:szCs w:val="22"/>
              </w:rPr>
            </w:pPr>
            <w:r w:rsidRPr="00B57F84">
              <w:rPr>
                <w:sz w:val="22"/>
                <w:szCs w:val="22"/>
              </w:rPr>
              <w:t>“Discover the overnight BOTOX® Alternative which relaxes wrinkles and rejuvenates skin while you sleep!”</w:t>
            </w:r>
          </w:p>
        </w:tc>
        <w:tc>
          <w:tcPr>
            <w:tcW w:w="0" w:type="auto"/>
          </w:tcPr>
          <w:p w14:paraId="60A56B0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5091164"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7ECF53C"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888B259"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1F2ED8F9"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B57F84" w:rsidRPr="00B57F84" w14:paraId="67E8C11E" w14:textId="77777777" w:rsidTr="00B57F84">
        <w:trPr>
          <w:trHeight w:val="915"/>
        </w:trPr>
        <w:tc>
          <w:tcPr>
            <w:tcW w:w="0" w:type="auto"/>
          </w:tcPr>
          <w:p w14:paraId="271DB72C" w14:textId="77777777" w:rsidR="00AC70BF" w:rsidRPr="00B57F84" w:rsidRDefault="00AC70BF" w:rsidP="00EE4D06">
            <w:pPr>
              <w:spacing w:beforeLines="60" w:before="144" w:afterLines="60" w:after="144" w:line="240" w:lineRule="auto"/>
              <w:rPr>
                <w:sz w:val="22"/>
                <w:szCs w:val="22"/>
              </w:rPr>
            </w:pPr>
            <w:r w:rsidRPr="00B57F84">
              <w:rPr>
                <w:sz w:val="22"/>
                <w:szCs w:val="22"/>
              </w:rPr>
              <w:t>2</w:t>
            </w:r>
          </w:p>
        </w:tc>
        <w:tc>
          <w:tcPr>
            <w:tcW w:w="0" w:type="auto"/>
          </w:tcPr>
          <w:p w14:paraId="3A08DB37" w14:textId="77777777" w:rsidR="00AC70BF" w:rsidRPr="00B57F84" w:rsidRDefault="00AC70BF" w:rsidP="00EE4D06">
            <w:pPr>
              <w:spacing w:beforeLines="60" w:before="144" w:afterLines="60" w:after="144" w:line="240" w:lineRule="auto"/>
              <w:rPr>
                <w:sz w:val="22"/>
                <w:szCs w:val="22"/>
              </w:rPr>
            </w:pPr>
            <w:r w:rsidRPr="00B57F84">
              <w:rPr>
                <w:sz w:val="22"/>
                <w:szCs w:val="22"/>
              </w:rPr>
              <w:t>“Overnight Collagen and Botox Alternative for advanced line filling and wrinkle relaxing”</w:t>
            </w:r>
          </w:p>
        </w:tc>
        <w:tc>
          <w:tcPr>
            <w:tcW w:w="0" w:type="auto"/>
          </w:tcPr>
          <w:p w14:paraId="00CEAAB8"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1378113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03A1414"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F20E3B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BCDF97B"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B57F84" w:rsidRPr="00B57F84" w14:paraId="56541BFE" w14:textId="77777777" w:rsidTr="00B57F84">
        <w:trPr>
          <w:trHeight w:val="402"/>
        </w:trPr>
        <w:tc>
          <w:tcPr>
            <w:tcW w:w="0" w:type="auto"/>
          </w:tcPr>
          <w:p w14:paraId="67458924" w14:textId="77777777" w:rsidR="00AC70BF" w:rsidRPr="00B57F84" w:rsidRDefault="00AC70BF" w:rsidP="00EE4D06">
            <w:pPr>
              <w:spacing w:beforeLines="60" w:before="144" w:afterLines="60" w:after="144" w:line="240" w:lineRule="auto"/>
              <w:rPr>
                <w:sz w:val="22"/>
                <w:szCs w:val="22"/>
              </w:rPr>
            </w:pPr>
            <w:r w:rsidRPr="00B57F84">
              <w:rPr>
                <w:sz w:val="22"/>
                <w:szCs w:val="22"/>
              </w:rPr>
              <w:t>3</w:t>
            </w:r>
          </w:p>
        </w:tc>
        <w:tc>
          <w:tcPr>
            <w:tcW w:w="0" w:type="auto"/>
          </w:tcPr>
          <w:p w14:paraId="71AB23D5" w14:textId="77777777" w:rsidR="00AC70BF" w:rsidRPr="00B57F84" w:rsidRDefault="00AC70BF" w:rsidP="00EE4D06">
            <w:pPr>
              <w:spacing w:beforeLines="60" w:before="144" w:afterLines="60" w:after="144" w:line="240" w:lineRule="auto"/>
              <w:rPr>
                <w:iCs/>
                <w:sz w:val="22"/>
                <w:szCs w:val="22"/>
              </w:rPr>
            </w:pPr>
            <w:r w:rsidRPr="00B57F84">
              <w:rPr>
                <w:iCs/>
                <w:sz w:val="22"/>
                <w:szCs w:val="22"/>
              </w:rPr>
              <w:t>“Delivers the results of a collagen injection in 5 sleeps, and a Botox injection in 4 weeks”</w:t>
            </w:r>
          </w:p>
        </w:tc>
        <w:tc>
          <w:tcPr>
            <w:tcW w:w="0" w:type="auto"/>
          </w:tcPr>
          <w:p w14:paraId="4D8AA8F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B8054C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5425D91"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E0C71BF"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7E747FB4"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r>
      <w:tr w:rsidR="00B57F84" w:rsidRPr="00B57F84" w14:paraId="22DE0460" w14:textId="77777777" w:rsidTr="00B57F84">
        <w:trPr>
          <w:trHeight w:val="390"/>
        </w:trPr>
        <w:tc>
          <w:tcPr>
            <w:tcW w:w="0" w:type="auto"/>
          </w:tcPr>
          <w:p w14:paraId="73C2C5FF" w14:textId="77777777" w:rsidR="00AC70BF" w:rsidRPr="00B57F84" w:rsidRDefault="00AC70BF" w:rsidP="00EE4D06">
            <w:pPr>
              <w:spacing w:beforeLines="60" w:before="144" w:afterLines="60" w:after="144" w:line="240" w:lineRule="auto"/>
              <w:rPr>
                <w:sz w:val="22"/>
                <w:szCs w:val="22"/>
              </w:rPr>
            </w:pPr>
            <w:r w:rsidRPr="00B57F84">
              <w:rPr>
                <w:sz w:val="22"/>
                <w:szCs w:val="22"/>
              </w:rPr>
              <w:t>4</w:t>
            </w:r>
          </w:p>
        </w:tc>
        <w:tc>
          <w:tcPr>
            <w:tcW w:w="0" w:type="auto"/>
          </w:tcPr>
          <w:p w14:paraId="1232C8F7" w14:textId="77777777" w:rsidR="00AC70BF" w:rsidRPr="00B57F84" w:rsidRDefault="00AC70BF" w:rsidP="00EE4D06">
            <w:pPr>
              <w:spacing w:beforeLines="60" w:before="144" w:afterLines="60" w:after="144" w:line="240" w:lineRule="auto"/>
              <w:rPr>
                <w:sz w:val="22"/>
                <w:szCs w:val="22"/>
              </w:rPr>
            </w:pPr>
            <w:r w:rsidRPr="00B57F84">
              <w:rPr>
                <w:sz w:val="22"/>
                <w:szCs w:val="22"/>
              </w:rPr>
              <w:t>“Our Topical Botox Alternative now delivers up to 94% wrinkle reduction in just 4 weeks”</w:t>
            </w:r>
          </w:p>
        </w:tc>
        <w:tc>
          <w:tcPr>
            <w:tcW w:w="0" w:type="auto"/>
          </w:tcPr>
          <w:p w14:paraId="415472F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FCC23C8"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585A1A0"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296352A"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7827562"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B57F84" w:rsidRPr="00B57F84" w14:paraId="26183A8D" w14:textId="77777777" w:rsidTr="00B57F84">
        <w:trPr>
          <w:trHeight w:val="838"/>
        </w:trPr>
        <w:tc>
          <w:tcPr>
            <w:tcW w:w="0" w:type="auto"/>
          </w:tcPr>
          <w:p w14:paraId="3A5A8D33" w14:textId="77777777" w:rsidR="00AC70BF" w:rsidRPr="00B57F84" w:rsidRDefault="00AC70BF" w:rsidP="00EE4D06">
            <w:pPr>
              <w:spacing w:beforeLines="60" w:before="144" w:afterLines="60" w:after="144" w:line="240" w:lineRule="auto"/>
              <w:rPr>
                <w:sz w:val="22"/>
                <w:szCs w:val="22"/>
              </w:rPr>
            </w:pPr>
            <w:r w:rsidRPr="00B57F84">
              <w:rPr>
                <w:sz w:val="22"/>
                <w:szCs w:val="22"/>
              </w:rPr>
              <w:t>5</w:t>
            </w:r>
          </w:p>
        </w:tc>
        <w:tc>
          <w:tcPr>
            <w:tcW w:w="0" w:type="auto"/>
          </w:tcPr>
          <w:p w14:paraId="3EE7AB74" w14:textId="77777777" w:rsidR="00AC70BF" w:rsidRPr="00B57F84" w:rsidRDefault="00AC70BF" w:rsidP="00EE4D06">
            <w:pPr>
              <w:spacing w:beforeLines="60" w:before="144" w:afterLines="60" w:after="144" w:line="240" w:lineRule="auto"/>
              <w:rPr>
                <w:sz w:val="22"/>
                <w:szCs w:val="22"/>
              </w:rPr>
            </w:pPr>
            <w:r w:rsidRPr="00B57F84">
              <w:rPr>
                <w:iCs/>
                <w:sz w:val="22"/>
                <w:szCs w:val="22"/>
              </w:rPr>
              <w:t xml:space="preserve">“Overnight </w:t>
            </w:r>
            <w:r w:rsidRPr="00B57F84">
              <w:rPr>
                <w:sz w:val="22"/>
                <w:szCs w:val="22"/>
              </w:rPr>
              <w:t>Botox® alternative”</w:t>
            </w:r>
          </w:p>
          <w:p w14:paraId="58A95762" w14:textId="77777777" w:rsidR="00AC70BF" w:rsidRPr="00B57F84" w:rsidRDefault="00AC70BF" w:rsidP="00EE4D06">
            <w:pPr>
              <w:spacing w:beforeLines="60" w:before="144" w:afterLines="60" w:after="144" w:line="240" w:lineRule="auto"/>
              <w:rPr>
                <w:sz w:val="22"/>
                <w:szCs w:val="22"/>
              </w:rPr>
            </w:pPr>
            <w:r w:rsidRPr="00B57F84">
              <w:rPr>
                <w:iCs/>
                <w:sz w:val="22"/>
                <w:szCs w:val="22"/>
              </w:rPr>
              <w:t xml:space="preserve">“Long term </w:t>
            </w:r>
            <w:r w:rsidRPr="00B57F84">
              <w:rPr>
                <w:sz w:val="22"/>
                <w:szCs w:val="22"/>
              </w:rPr>
              <w:t>BOTOX® Alternative”</w:t>
            </w:r>
          </w:p>
        </w:tc>
        <w:tc>
          <w:tcPr>
            <w:tcW w:w="0" w:type="auto"/>
          </w:tcPr>
          <w:p w14:paraId="738A270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1609703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32210D9"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CED10C6"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72A98DA5" w14:textId="77777777" w:rsidR="00AC70BF" w:rsidRDefault="00AC70BF" w:rsidP="00EE4D06">
            <w:pPr>
              <w:spacing w:beforeLines="60" w:before="144" w:afterLines="60" w:after="144" w:line="240" w:lineRule="auto"/>
              <w:rPr>
                <w:sz w:val="22"/>
                <w:szCs w:val="22"/>
              </w:rPr>
            </w:pPr>
            <w:r w:rsidRPr="00B57F84">
              <w:rPr>
                <w:sz w:val="22"/>
                <w:szCs w:val="22"/>
              </w:rPr>
              <w:t>Y</w:t>
            </w:r>
            <w:r w:rsidR="003E719C">
              <w:rPr>
                <w:sz w:val="22"/>
                <w:szCs w:val="22"/>
              </w:rPr>
              <w:t xml:space="preserve"> (tub)</w:t>
            </w:r>
          </w:p>
          <w:p w14:paraId="3DA961C3" w14:textId="401E2410" w:rsidR="003E719C" w:rsidRPr="00B57F84" w:rsidRDefault="003E719C" w:rsidP="00EE4D06">
            <w:pPr>
              <w:spacing w:beforeLines="60" w:before="144" w:afterLines="60" w:after="144" w:line="240" w:lineRule="auto"/>
              <w:rPr>
                <w:sz w:val="22"/>
                <w:szCs w:val="22"/>
              </w:rPr>
            </w:pPr>
            <w:r>
              <w:rPr>
                <w:sz w:val="22"/>
                <w:szCs w:val="22"/>
              </w:rPr>
              <w:t>N (tube)</w:t>
            </w:r>
          </w:p>
        </w:tc>
      </w:tr>
      <w:tr w:rsidR="00B57F84" w:rsidRPr="00B57F84" w14:paraId="6BA8BBEB" w14:textId="77777777" w:rsidTr="00B57F84">
        <w:trPr>
          <w:trHeight w:val="1033"/>
        </w:trPr>
        <w:tc>
          <w:tcPr>
            <w:tcW w:w="0" w:type="auto"/>
          </w:tcPr>
          <w:p w14:paraId="0A8AFC5B" w14:textId="77777777" w:rsidR="00AC70BF" w:rsidRPr="00B57F84" w:rsidRDefault="00AC70BF" w:rsidP="00EE4D06">
            <w:pPr>
              <w:spacing w:beforeLines="60" w:before="144" w:afterLines="60" w:after="144" w:line="240" w:lineRule="auto"/>
              <w:rPr>
                <w:sz w:val="22"/>
                <w:szCs w:val="22"/>
              </w:rPr>
            </w:pPr>
            <w:r w:rsidRPr="00B57F84">
              <w:rPr>
                <w:sz w:val="22"/>
                <w:szCs w:val="22"/>
              </w:rPr>
              <w:t>6</w:t>
            </w:r>
          </w:p>
        </w:tc>
        <w:tc>
          <w:tcPr>
            <w:tcW w:w="0" w:type="auto"/>
          </w:tcPr>
          <w:p w14:paraId="10FFED54" w14:textId="77777777" w:rsidR="00AC70BF" w:rsidRPr="00B57F84" w:rsidRDefault="00AC70BF" w:rsidP="00EE4D06">
            <w:pPr>
              <w:spacing w:beforeLines="60" w:before="144" w:afterLines="60" w:after="144" w:line="240" w:lineRule="auto"/>
              <w:rPr>
                <w:iCs/>
                <w:sz w:val="22"/>
                <w:szCs w:val="22"/>
              </w:rPr>
            </w:pPr>
            <w:r w:rsidRPr="00B57F84">
              <w:rPr>
                <w:iCs/>
                <w:sz w:val="22"/>
                <w:szCs w:val="22"/>
              </w:rPr>
              <w:t>“Botox Injection in 4 weeks</w:t>
            </w:r>
          </w:p>
          <w:p w14:paraId="454060D2" w14:textId="77777777" w:rsidR="00AC70BF" w:rsidRPr="00B57F84" w:rsidRDefault="00AC70BF" w:rsidP="00EE4D06">
            <w:pPr>
              <w:spacing w:beforeLines="60" w:before="144" w:afterLines="60" w:after="144" w:line="240" w:lineRule="auto"/>
              <w:rPr>
                <w:iCs/>
                <w:sz w:val="22"/>
                <w:szCs w:val="22"/>
              </w:rPr>
            </w:pPr>
            <w:r w:rsidRPr="00B57F84">
              <w:rPr>
                <w:iCs/>
                <w:sz w:val="22"/>
                <w:szCs w:val="22"/>
              </w:rPr>
              <w:t>Botox Injection in 28 days</w:t>
            </w:r>
          </w:p>
          <w:p w14:paraId="51CF1FB2" w14:textId="77777777" w:rsidR="00AC70BF" w:rsidRPr="00B57F84" w:rsidRDefault="00AC70BF" w:rsidP="00EE4D06">
            <w:pPr>
              <w:spacing w:beforeLines="60" w:before="144" w:afterLines="60" w:after="144" w:line="240" w:lineRule="auto"/>
              <w:rPr>
                <w:iCs/>
                <w:sz w:val="22"/>
                <w:szCs w:val="22"/>
              </w:rPr>
            </w:pPr>
            <w:r w:rsidRPr="00B57F84">
              <w:rPr>
                <w:iCs/>
                <w:sz w:val="22"/>
                <w:szCs w:val="22"/>
              </w:rPr>
              <w:t xml:space="preserve">BOTOX® INJECTION 4 WEEKS </w:t>
            </w:r>
          </w:p>
          <w:p w14:paraId="11FFCD7A" w14:textId="77777777" w:rsidR="00AC70BF" w:rsidRPr="00B57F84" w:rsidRDefault="00AC70BF" w:rsidP="00EE4D06">
            <w:pPr>
              <w:spacing w:beforeLines="60" w:before="144" w:afterLines="60" w:after="144" w:line="240" w:lineRule="auto"/>
              <w:rPr>
                <w:iCs/>
                <w:sz w:val="22"/>
                <w:szCs w:val="22"/>
              </w:rPr>
            </w:pPr>
            <w:r w:rsidRPr="00B57F84">
              <w:rPr>
                <w:iCs/>
                <w:sz w:val="22"/>
                <w:szCs w:val="22"/>
              </w:rPr>
              <w:t>Botox Injection 28 DAYS”</w:t>
            </w:r>
          </w:p>
        </w:tc>
        <w:tc>
          <w:tcPr>
            <w:tcW w:w="0" w:type="auto"/>
          </w:tcPr>
          <w:p w14:paraId="1D7A84A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040EC5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55B88DDE"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24274E93"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c>
          <w:tcPr>
            <w:tcW w:w="0" w:type="auto"/>
          </w:tcPr>
          <w:p w14:paraId="12FE25DC"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p w14:paraId="3AFF3533" w14:textId="77777777" w:rsidR="00AC70BF" w:rsidRPr="00B57F84" w:rsidRDefault="00AC70BF" w:rsidP="00EE4D06">
            <w:pPr>
              <w:spacing w:beforeLines="60" w:before="144" w:afterLines="60" w:after="144" w:line="240" w:lineRule="auto"/>
              <w:rPr>
                <w:sz w:val="22"/>
                <w:szCs w:val="22"/>
              </w:rPr>
            </w:pPr>
          </w:p>
        </w:tc>
      </w:tr>
    </w:tbl>
    <w:p w14:paraId="433E10C5" w14:textId="473CD4A1" w:rsidR="00EE4D06" w:rsidRPr="007A08C7" w:rsidRDefault="001E3C6B" w:rsidP="001E3C6B">
      <w:pPr>
        <w:pStyle w:val="ParaNumbering"/>
        <w:numPr>
          <w:ilvl w:val="0"/>
          <w:numId w:val="0"/>
        </w:numPr>
        <w:ind w:hanging="720"/>
      </w:pPr>
      <w:bookmarkStart w:id="54" w:name="_Ref39572602"/>
      <w:r w:rsidRPr="007A08C7">
        <w:rPr>
          <w:sz w:val="20"/>
        </w:rPr>
        <w:t>116</w:t>
      </w:r>
      <w:r w:rsidRPr="007A08C7">
        <w:rPr>
          <w:sz w:val="20"/>
        </w:rPr>
        <w:tab/>
      </w:r>
      <w:r w:rsidR="00EE4D06" w:rsidRPr="007A08C7">
        <w:t>Boost product:</w:t>
      </w:r>
      <w:bookmarkEnd w:id="54"/>
    </w:p>
    <w:tbl>
      <w:tblPr>
        <w:tblStyle w:val="TableGrid"/>
        <w:tblW w:w="0" w:type="auto"/>
        <w:tblLook w:val="04A0" w:firstRow="1" w:lastRow="0" w:firstColumn="1" w:lastColumn="0" w:noHBand="0" w:noVBand="1"/>
      </w:tblPr>
      <w:tblGrid>
        <w:gridCol w:w="540"/>
        <w:gridCol w:w="4123"/>
        <w:gridCol w:w="812"/>
        <w:gridCol w:w="815"/>
        <w:gridCol w:w="808"/>
        <w:gridCol w:w="806"/>
        <w:gridCol w:w="1113"/>
      </w:tblGrid>
      <w:tr w:rsidR="00AC70BF" w:rsidRPr="00B57F84" w14:paraId="2D2EE335" w14:textId="77777777" w:rsidTr="00B57F84">
        <w:trPr>
          <w:trHeight w:val="475"/>
        </w:trPr>
        <w:tc>
          <w:tcPr>
            <w:tcW w:w="0" w:type="auto"/>
            <w:hideMark/>
          </w:tcPr>
          <w:p w14:paraId="3F162CB5" w14:textId="77777777" w:rsidR="00AC70BF" w:rsidRPr="00B57F84" w:rsidRDefault="00AC70BF" w:rsidP="00EE4D06">
            <w:pPr>
              <w:spacing w:beforeLines="60" w:before="144" w:afterLines="60" w:after="144" w:line="240" w:lineRule="auto"/>
              <w:rPr>
                <w:sz w:val="22"/>
                <w:szCs w:val="22"/>
              </w:rPr>
            </w:pPr>
            <w:r w:rsidRPr="00B57F84">
              <w:rPr>
                <w:sz w:val="22"/>
                <w:szCs w:val="22"/>
              </w:rPr>
              <w:t>No.</w:t>
            </w:r>
          </w:p>
        </w:tc>
        <w:tc>
          <w:tcPr>
            <w:tcW w:w="0" w:type="auto"/>
            <w:hideMark/>
          </w:tcPr>
          <w:p w14:paraId="50BDFF1C" w14:textId="77777777" w:rsidR="00AC70BF" w:rsidRPr="00B57F84" w:rsidRDefault="00AC70BF" w:rsidP="00EE4D06">
            <w:pPr>
              <w:spacing w:beforeLines="60" w:before="144" w:afterLines="60" w:after="144" w:line="240" w:lineRule="auto"/>
              <w:rPr>
                <w:sz w:val="22"/>
                <w:szCs w:val="22"/>
              </w:rPr>
            </w:pPr>
            <w:r w:rsidRPr="00B57F84">
              <w:rPr>
                <w:sz w:val="22"/>
                <w:szCs w:val="22"/>
              </w:rPr>
              <w:t>Statement</w:t>
            </w:r>
          </w:p>
        </w:tc>
        <w:tc>
          <w:tcPr>
            <w:tcW w:w="0" w:type="auto"/>
          </w:tcPr>
          <w:p w14:paraId="23F0A978" w14:textId="77777777" w:rsidR="00AC70BF" w:rsidRPr="00B57F84" w:rsidRDefault="00AC70BF" w:rsidP="00EE4D06">
            <w:pPr>
              <w:spacing w:beforeLines="60" w:before="144" w:afterLines="60" w:after="144" w:line="240" w:lineRule="auto"/>
              <w:rPr>
                <w:sz w:val="22"/>
                <w:szCs w:val="22"/>
              </w:rPr>
            </w:pPr>
            <w:r w:rsidRPr="00B57F84">
              <w:rPr>
                <w:sz w:val="22"/>
                <w:szCs w:val="22"/>
              </w:rPr>
              <w:t>TM inf. Y/N</w:t>
            </w:r>
          </w:p>
        </w:tc>
        <w:tc>
          <w:tcPr>
            <w:tcW w:w="0" w:type="auto"/>
          </w:tcPr>
          <w:p w14:paraId="62A22154" w14:textId="77777777" w:rsidR="00AC70BF" w:rsidRPr="00B57F84" w:rsidRDefault="00AC70BF" w:rsidP="00EE4D06">
            <w:pPr>
              <w:spacing w:beforeLines="60" w:before="144" w:afterLines="60" w:after="144" w:line="240" w:lineRule="auto"/>
              <w:rPr>
                <w:sz w:val="22"/>
                <w:szCs w:val="22"/>
              </w:rPr>
            </w:pPr>
            <w:r w:rsidRPr="00B57F84">
              <w:rPr>
                <w:sz w:val="22"/>
                <w:szCs w:val="22"/>
              </w:rPr>
              <w:t>Aff. rep Y/N</w:t>
            </w:r>
          </w:p>
        </w:tc>
        <w:tc>
          <w:tcPr>
            <w:tcW w:w="0" w:type="auto"/>
          </w:tcPr>
          <w:p w14:paraId="00E59153" w14:textId="77777777" w:rsidR="00AC70BF" w:rsidRPr="00B57F84" w:rsidRDefault="00AC70BF" w:rsidP="00EE4D06">
            <w:pPr>
              <w:spacing w:beforeLines="60" w:before="144" w:afterLines="60" w:after="144" w:line="240" w:lineRule="auto"/>
              <w:rPr>
                <w:sz w:val="22"/>
                <w:szCs w:val="22"/>
              </w:rPr>
            </w:pPr>
            <w:r w:rsidRPr="00B57F84">
              <w:rPr>
                <w:sz w:val="22"/>
                <w:szCs w:val="22"/>
              </w:rPr>
              <w:t>Eff. rep Y/N</w:t>
            </w:r>
          </w:p>
        </w:tc>
        <w:tc>
          <w:tcPr>
            <w:tcW w:w="0" w:type="auto"/>
          </w:tcPr>
          <w:p w14:paraId="0204CFA8" w14:textId="77777777" w:rsidR="00AC70BF" w:rsidRPr="00B57F84" w:rsidRDefault="00AC70BF" w:rsidP="00EE4D06">
            <w:pPr>
              <w:spacing w:beforeLines="60" w:before="144" w:afterLines="60" w:after="144" w:line="240" w:lineRule="auto"/>
              <w:rPr>
                <w:sz w:val="22"/>
                <w:szCs w:val="22"/>
              </w:rPr>
            </w:pPr>
            <w:r w:rsidRPr="00B57F84">
              <w:rPr>
                <w:sz w:val="22"/>
                <w:szCs w:val="22"/>
              </w:rPr>
              <w:t>TG Act Y/N</w:t>
            </w:r>
          </w:p>
        </w:tc>
        <w:tc>
          <w:tcPr>
            <w:tcW w:w="0" w:type="auto"/>
            <w:hideMark/>
          </w:tcPr>
          <w:p w14:paraId="0D9F23D9" w14:textId="77777777" w:rsidR="00AC70BF" w:rsidRPr="00B57F84" w:rsidRDefault="00AC70BF" w:rsidP="00EE4D06">
            <w:pPr>
              <w:spacing w:beforeLines="60" w:before="144" w:afterLines="60" w:after="144" w:line="240" w:lineRule="auto"/>
              <w:rPr>
                <w:sz w:val="22"/>
                <w:szCs w:val="22"/>
              </w:rPr>
            </w:pPr>
            <w:r w:rsidRPr="00B57F84">
              <w:rPr>
                <w:sz w:val="22"/>
                <w:szCs w:val="22"/>
              </w:rPr>
              <w:t>U/taking Y/N</w:t>
            </w:r>
          </w:p>
        </w:tc>
      </w:tr>
      <w:tr w:rsidR="00AC70BF" w:rsidRPr="00B57F84" w14:paraId="46C3D118" w14:textId="77777777" w:rsidTr="00B57F84">
        <w:trPr>
          <w:trHeight w:val="593"/>
        </w:trPr>
        <w:tc>
          <w:tcPr>
            <w:tcW w:w="0" w:type="auto"/>
          </w:tcPr>
          <w:p w14:paraId="7ACF2940" w14:textId="77777777" w:rsidR="00AC70BF" w:rsidRPr="00B57F84" w:rsidRDefault="00AC70BF" w:rsidP="00EE4D06">
            <w:pPr>
              <w:spacing w:beforeLines="60" w:before="144" w:afterLines="60" w:after="144" w:line="240" w:lineRule="auto"/>
              <w:rPr>
                <w:sz w:val="22"/>
                <w:szCs w:val="22"/>
              </w:rPr>
            </w:pPr>
            <w:r w:rsidRPr="00B57F84">
              <w:rPr>
                <w:sz w:val="22"/>
                <w:szCs w:val="22"/>
              </w:rPr>
              <w:t>1</w:t>
            </w:r>
          </w:p>
        </w:tc>
        <w:tc>
          <w:tcPr>
            <w:tcW w:w="0" w:type="auto"/>
          </w:tcPr>
          <w:p w14:paraId="786E7F42" w14:textId="77777777" w:rsidR="00AC70BF" w:rsidRPr="00B57F84" w:rsidRDefault="00AC70BF" w:rsidP="00EE4D06">
            <w:pPr>
              <w:spacing w:beforeLines="60" w:before="144" w:afterLines="60" w:after="144" w:line="240" w:lineRule="auto"/>
              <w:rPr>
                <w:sz w:val="22"/>
                <w:szCs w:val="22"/>
              </w:rPr>
            </w:pPr>
            <w:r w:rsidRPr="00B57F84">
              <w:rPr>
                <w:sz w:val="22"/>
                <w:szCs w:val="22"/>
              </w:rPr>
              <w:t>“…Botox® alternative peptides provide targeted results on even the deepest wrinkles”</w:t>
            </w:r>
          </w:p>
        </w:tc>
        <w:tc>
          <w:tcPr>
            <w:tcW w:w="0" w:type="auto"/>
          </w:tcPr>
          <w:p w14:paraId="42150B1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C56BABC"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646882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AE303E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321ABCA5"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117350D6" w14:textId="77777777" w:rsidTr="00B57F84">
        <w:trPr>
          <w:trHeight w:val="830"/>
        </w:trPr>
        <w:tc>
          <w:tcPr>
            <w:tcW w:w="0" w:type="auto"/>
          </w:tcPr>
          <w:p w14:paraId="613966AD" w14:textId="77777777" w:rsidR="00AC70BF" w:rsidRPr="00B57F84" w:rsidRDefault="00AC70BF" w:rsidP="00EE4D06">
            <w:pPr>
              <w:spacing w:beforeLines="60" w:before="144" w:afterLines="60" w:after="144" w:line="240" w:lineRule="auto"/>
              <w:rPr>
                <w:sz w:val="22"/>
                <w:szCs w:val="22"/>
              </w:rPr>
            </w:pPr>
            <w:r w:rsidRPr="00B57F84">
              <w:rPr>
                <w:sz w:val="22"/>
                <w:szCs w:val="22"/>
              </w:rPr>
              <w:t>2</w:t>
            </w:r>
          </w:p>
        </w:tc>
        <w:tc>
          <w:tcPr>
            <w:tcW w:w="0" w:type="auto"/>
          </w:tcPr>
          <w:p w14:paraId="7224D655" w14:textId="51871CF3" w:rsidR="00AC70BF" w:rsidRPr="00B57F84" w:rsidRDefault="00AC70BF" w:rsidP="00EE4D06">
            <w:pPr>
              <w:spacing w:beforeLines="60" w:before="144" w:afterLines="60" w:after="144" w:line="240" w:lineRule="auto"/>
              <w:rPr>
                <w:sz w:val="22"/>
                <w:szCs w:val="22"/>
              </w:rPr>
            </w:pPr>
            <w:r w:rsidRPr="00B57F84">
              <w:rPr>
                <w:sz w:val="22"/>
                <w:szCs w:val="22"/>
              </w:rPr>
              <w:t>“Botox® alternative peptides also add to the anti</w:t>
            </w:r>
            <w:r w:rsidR="00575C17">
              <w:rPr>
                <w:sz w:val="22"/>
                <w:szCs w:val="22"/>
              </w:rPr>
              <w:t xml:space="preserve"> </w:t>
            </w:r>
            <w:r w:rsidRPr="00B57F84">
              <w:rPr>
                <w:sz w:val="22"/>
                <w:szCs w:val="22"/>
              </w:rPr>
              <w:t xml:space="preserve">aging cocktail for dramatic, targeted </w:t>
            </w:r>
            <w:r w:rsidRPr="00B57F84">
              <w:rPr>
                <w:sz w:val="22"/>
                <w:szCs w:val="22"/>
              </w:rPr>
              <w:lastRenderedPageBreak/>
              <w:t>results on even the deepest wrinkles”</w:t>
            </w:r>
          </w:p>
        </w:tc>
        <w:tc>
          <w:tcPr>
            <w:tcW w:w="0" w:type="auto"/>
          </w:tcPr>
          <w:p w14:paraId="0A3F72C5" w14:textId="77777777" w:rsidR="00AC70BF" w:rsidRPr="00B57F84" w:rsidRDefault="00AC70BF" w:rsidP="00EE4D06">
            <w:pPr>
              <w:spacing w:beforeLines="60" w:before="144" w:afterLines="60" w:after="144" w:line="240" w:lineRule="auto"/>
              <w:rPr>
                <w:sz w:val="22"/>
                <w:szCs w:val="22"/>
              </w:rPr>
            </w:pPr>
            <w:r w:rsidRPr="00B57F84">
              <w:rPr>
                <w:sz w:val="22"/>
                <w:szCs w:val="22"/>
              </w:rPr>
              <w:lastRenderedPageBreak/>
              <w:t>Y</w:t>
            </w:r>
          </w:p>
        </w:tc>
        <w:tc>
          <w:tcPr>
            <w:tcW w:w="0" w:type="auto"/>
          </w:tcPr>
          <w:p w14:paraId="3F2294A8"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CADC780"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1CB4481"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0E0FDBE3"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1415374F" w14:textId="77777777" w:rsidTr="00B57F84">
        <w:trPr>
          <w:trHeight w:val="339"/>
        </w:trPr>
        <w:tc>
          <w:tcPr>
            <w:tcW w:w="0" w:type="auto"/>
          </w:tcPr>
          <w:p w14:paraId="0FF0CC28" w14:textId="77777777" w:rsidR="00AC70BF" w:rsidRPr="00B57F84" w:rsidRDefault="00AC70BF" w:rsidP="00EE4D06">
            <w:pPr>
              <w:spacing w:beforeLines="60" w:before="144" w:afterLines="60" w:after="144" w:line="240" w:lineRule="auto"/>
              <w:rPr>
                <w:sz w:val="22"/>
                <w:szCs w:val="22"/>
              </w:rPr>
            </w:pPr>
            <w:r w:rsidRPr="00B57F84">
              <w:rPr>
                <w:sz w:val="22"/>
                <w:szCs w:val="22"/>
              </w:rPr>
              <w:t>3</w:t>
            </w:r>
          </w:p>
        </w:tc>
        <w:tc>
          <w:tcPr>
            <w:tcW w:w="0" w:type="auto"/>
          </w:tcPr>
          <w:p w14:paraId="23D4C6AB" w14:textId="77777777" w:rsidR="00AC70BF" w:rsidRPr="00B57F84" w:rsidRDefault="00AC70BF" w:rsidP="00EE4D06">
            <w:pPr>
              <w:spacing w:beforeLines="60" w:before="144" w:afterLines="60" w:after="144" w:line="240" w:lineRule="auto"/>
              <w:rPr>
                <w:sz w:val="22"/>
                <w:szCs w:val="22"/>
              </w:rPr>
            </w:pPr>
            <w:r w:rsidRPr="00B57F84">
              <w:rPr>
                <w:sz w:val="22"/>
                <w:szCs w:val="22"/>
              </w:rPr>
              <w:t>“Long term BOTOX® alternative”</w:t>
            </w:r>
          </w:p>
        </w:tc>
        <w:tc>
          <w:tcPr>
            <w:tcW w:w="0" w:type="auto"/>
          </w:tcPr>
          <w:p w14:paraId="34D64113"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1A8B3D29"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AB61DC4"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67A0DA2B"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0DE8807"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r w:rsidR="00AC70BF" w:rsidRPr="00B57F84" w14:paraId="57E14653" w14:textId="77777777" w:rsidTr="00B57F84">
        <w:trPr>
          <w:trHeight w:val="576"/>
        </w:trPr>
        <w:tc>
          <w:tcPr>
            <w:tcW w:w="0" w:type="auto"/>
          </w:tcPr>
          <w:p w14:paraId="0CF77F1C" w14:textId="77777777" w:rsidR="00AC70BF" w:rsidRPr="00B57F84" w:rsidRDefault="00AC70BF" w:rsidP="00EE4D06">
            <w:pPr>
              <w:spacing w:beforeLines="60" w:before="144" w:afterLines="60" w:after="144" w:line="240" w:lineRule="auto"/>
              <w:rPr>
                <w:sz w:val="22"/>
                <w:szCs w:val="22"/>
              </w:rPr>
            </w:pPr>
            <w:r w:rsidRPr="00B57F84">
              <w:rPr>
                <w:sz w:val="22"/>
                <w:szCs w:val="22"/>
              </w:rPr>
              <w:t>4</w:t>
            </w:r>
          </w:p>
        </w:tc>
        <w:tc>
          <w:tcPr>
            <w:tcW w:w="0" w:type="auto"/>
          </w:tcPr>
          <w:p w14:paraId="0DD40B80" w14:textId="77777777" w:rsidR="00AC70BF" w:rsidRPr="00B57F84" w:rsidRDefault="00AC70BF" w:rsidP="00EE4D06">
            <w:pPr>
              <w:spacing w:beforeLines="60" w:before="144" w:afterLines="60" w:after="144" w:line="240" w:lineRule="auto"/>
              <w:rPr>
                <w:sz w:val="22"/>
                <w:szCs w:val="22"/>
              </w:rPr>
            </w:pPr>
            <w:r w:rsidRPr="00B57F84">
              <w:rPr>
                <w:sz w:val="22"/>
                <w:szCs w:val="22"/>
              </w:rPr>
              <w:t>“Wrinkle relaxing eye-roller for a long term BOTOX® alternative”</w:t>
            </w:r>
          </w:p>
        </w:tc>
        <w:tc>
          <w:tcPr>
            <w:tcW w:w="0" w:type="auto"/>
          </w:tcPr>
          <w:p w14:paraId="1AC9D511"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4BFF9D0E"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838FE8D"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D8A203F" w14:textId="77777777" w:rsidR="00AC70BF" w:rsidRPr="00B57F84" w:rsidRDefault="00AC70BF" w:rsidP="00EE4D06">
            <w:pPr>
              <w:spacing w:beforeLines="60" w:before="144" w:afterLines="60" w:after="144" w:line="240" w:lineRule="auto"/>
              <w:rPr>
                <w:sz w:val="22"/>
                <w:szCs w:val="22"/>
              </w:rPr>
            </w:pPr>
            <w:r w:rsidRPr="00B57F84">
              <w:rPr>
                <w:sz w:val="22"/>
                <w:szCs w:val="22"/>
              </w:rPr>
              <w:t>Y</w:t>
            </w:r>
          </w:p>
        </w:tc>
        <w:tc>
          <w:tcPr>
            <w:tcW w:w="0" w:type="auto"/>
          </w:tcPr>
          <w:p w14:paraId="2703CD22" w14:textId="77777777" w:rsidR="00AC70BF" w:rsidRPr="00B57F84" w:rsidRDefault="00AC70BF" w:rsidP="00EE4D06">
            <w:pPr>
              <w:spacing w:beforeLines="60" w:before="144" w:afterLines="60" w:after="144" w:line="240" w:lineRule="auto"/>
              <w:rPr>
                <w:sz w:val="22"/>
                <w:szCs w:val="22"/>
              </w:rPr>
            </w:pPr>
            <w:r w:rsidRPr="00B57F84">
              <w:rPr>
                <w:sz w:val="22"/>
                <w:szCs w:val="22"/>
              </w:rPr>
              <w:t>N</w:t>
            </w:r>
          </w:p>
        </w:tc>
      </w:tr>
    </w:tbl>
    <w:p w14:paraId="7853C819" w14:textId="77777777" w:rsidR="00B225EF" w:rsidRDefault="00B225EF" w:rsidP="00D6670F">
      <w:pPr>
        <w:pStyle w:val="NoNum"/>
      </w:pPr>
    </w:p>
    <w:p w14:paraId="41306124" w14:textId="53B70BCA" w:rsidR="00EE4D06" w:rsidRDefault="001E3C6B" w:rsidP="00EE4D06">
      <w:pPr>
        <w:pStyle w:val="Heading1"/>
      </w:pPr>
      <w:bookmarkStart w:id="55" w:name="_Ref54701571"/>
      <w:r>
        <w:rPr>
          <w:caps w:val="0"/>
        </w:rPr>
        <w:t>THE REPUTATION OF BOTOX</w:t>
      </w:r>
      <w:bookmarkEnd w:id="55"/>
    </w:p>
    <w:p w14:paraId="780B77DE" w14:textId="6FE453BD" w:rsidR="00EE4D06" w:rsidRDefault="001E3C6B" w:rsidP="001E3C6B">
      <w:pPr>
        <w:pStyle w:val="ParaNumbering"/>
        <w:numPr>
          <w:ilvl w:val="0"/>
          <w:numId w:val="0"/>
        </w:numPr>
        <w:ind w:hanging="720"/>
      </w:pPr>
      <w:bookmarkStart w:id="56" w:name="_Ref50380224"/>
      <w:r>
        <w:rPr>
          <w:sz w:val="20"/>
        </w:rPr>
        <w:t>117</w:t>
      </w:r>
      <w:r>
        <w:rPr>
          <w:sz w:val="20"/>
        </w:rPr>
        <w:tab/>
      </w:r>
      <w:r w:rsidR="00EE4D06">
        <w:t>The reputation of the BOTOX word mark is relevant to a number of the claims that fall to be decided.  It is thus convenient to consider the reputation of BOTOX as a separate issue.  That is undertaken in this section.</w:t>
      </w:r>
      <w:bookmarkEnd w:id="56"/>
    </w:p>
    <w:p w14:paraId="6B027F06" w14:textId="0FD81683" w:rsidR="00EE4D06" w:rsidRDefault="001E3C6B" w:rsidP="001E3C6B">
      <w:pPr>
        <w:pStyle w:val="ParaNumbering"/>
        <w:numPr>
          <w:ilvl w:val="0"/>
          <w:numId w:val="0"/>
        </w:numPr>
        <w:ind w:hanging="720"/>
      </w:pPr>
      <w:r>
        <w:rPr>
          <w:sz w:val="20"/>
        </w:rPr>
        <w:t>118</w:t>
      </w:r>
      <w:r>
        <w:rPr>
          <w:sz w:val="20"/>
        </w:rPr>
        <w:tab/>
      </w:r>
      <w:r w:rsidR="00E42C6D">
        <w:t xml:space="preserve">Ms </w:t>
      </w:r>
      <w:r w:rsidR="00EE4D06">
        <w:t>Dawn Judith De Cruz, the Associate Director, Legal &amp; Compliance</w:t>
      </w:r>
      <w:r w:rsidR="00575C17">
        <w:t xml:space="preserve"> – Australia &amp; New Zealand</w:t>
      </w:r>
      <w:r w:rsidR="00EE4D06">
        <w:t xml:space="preserve"> of Allergan Australia gave evidence.  Ms De Cruz testified that in Australia there is coverage of the Botox product by journalists and that Allergan’s overseas marketing material</w:t>
      </w:r>
      <w:r w:rsidR="00FE1E98">
        <w:t xml:space="preserve"> is </w:t>
      </w:r>
      <w:r w:rsidR="00EE4D06">
        <w:t>reproduced or mentioned by third parties in publications circulating in Australia.  She annexed to her affidavit internet Google search results for the word B</w:t>
      </w:r>
      <w:r w:rsidR="00A1342F">
        <w:t>OTOX</w:t>
      </w:r>
      <w:r w:rsidR="00EE4D06">
        <w:t xml:space="preserve"> and publications that were linked to the search results.  The search was conducted on 20 November 2017.</w:t>
      </w:r>
    </w:p>
    <w:p w14:paraId="59D0014A" w14:textId="3280BCCF" w:rsidR="00EE4D06" w:rsidRDefault="001E3C6B" w:rsidP="001E3C6B">
      <w:pPr>
        <w:pStyle w:val="ParaNumbering"/>
        <w:numPr>
          <w:ilvl w:val="0"/>
          <w:numId w:val="0"/>
        </w:numPr>
        <w:ind w:hanging="720"/>
      </w:pPr>
      <w:r>
        <w:rPr>
          <w:sz w:val="20"/>
        </w:rPr>
        <w:t>119</w:t>
      </w:r>
      <w:r>
        <w:rPr>
          <w:sz w:val="20"/>
        </w:rPr>
        <w:tab/>
      </w:r>
      <w:r w:rsidR="00EE4D06">
        <w:t>Most of the search results, even in their summary forms as appearing on</w:t>
      </w:r>
      <w:r w:rsidR="00A629CF">
        <w:t xml:space="preserve"> </w:t>
      </w:r>
      <w:r w:rsidR="00EE4D06">
        <w:t>Google</w:t>
      </w:r>
      <w:r w:rsidR="00A629CF">
        <w:t>’s search engine results page</w:t>
      </w:r>
      <w:r w:rsidR="00EE4D06">
        <w:t>, refer to Botox as being an “anti-wrinkle injection”.  Also, the</w:t>
      </w:r>
      <w:r w:rsidR="00A629CF">
        <w:t xml:space="preserve"> knowledge panel (right-hand panel) </w:t>
      </w:r>
      <w:r w:rsidR="00EE4D06">
        <w:t>identi</w:t>
      </w:r>
      <w:r w:rsidR="00031110">
        <w:t>fies Botox as botulinum toxin.</w:t>
      </w:r>
    </w:p>
    <w:p w14:paraId="1BCE5451" w14:textId="36C80551" w:rsidR="00EE4D06" w:rsidRDefault="001E3C6B" w:rsidP="001E3C6B">
      <w:pPr>
        <w:pStyle w:val="ParaNumbering"/>
        <w:numPr>
          <w:ilvl w:val="0"/>
          <w:numId w:val="0"/>
        </w:numPr>
        <w:ind w:hanging="720"/>
      </w:pPr>
      <w:r>
        <w:rPr>
          <w:sz w:val="20"/>
        </w:rPr>
        <w:t>120</w:t>
      </w:r>
      <w:r>
        <w:rPr>
          <w:sz w:val="20"/>
        </w:rPr>
        <w:tab/>
      </w:r>
      <w:r w:rsidR="00EE4D06">
        <w:t>The media articles id</w:t>
      </w:r>
      <w:r w:rsidR="00183EC1">
        <w:t>entified by Ms De Cruz discuss</w:t>
      </w:r>
      <w:r w:rsidR="00EE4D06">
        <w:t xml:space="preserve"> Botox injections, including their cost and the pain associated with their administration.</w:t>
      </w:r>
    </w:p>
    <w:p w14:paraId="5585787F" w14:textId="5A923A00" w:rsidR="00EE4D06" w:rsidRDefault="001E3C6B" w:rsidP="001E3C6B">
      <w:pPr>
        <w:pStyle w:val="ParaNumbering"/>
        <w:numPr>
          <w:ilvl w:val="0"/>
          <w:numId w:val="0"/>
        </w:numPr>
        <w:ind w:hanging="720"/>
      </w:pPr>
      <w:r>
        <w:rPr>
          <w:sz w:val="20"/>
        </w:rPr>
        <w:t>121</w:t>
      </w:r>
      <w:r>
        <w:rPr>
          <w:sz w:val="20"/>
        </w:rPr>
        <w:tab/>
      </w:r>
      <w:r w:rsidR="00B77189">
        <w:t xml:space="preserve">As recorded above, </w:t>
      </w:r>
      <w:r w:rsidR="00EE4D06">
        <w:t xml:space="preserve">Ms De Cruz explained that for the purposes of selling, marketing and promoting Botox, Allergan makes a distinction in its business model between the use of Botox for the purpose of medicinal therapeutic indications and its use for cosmetic indications.  </w:t>
      </w:r>
    </w:p>
    <w:p w14:paraId="7C6C8E81" w14:textId="6A40FF62" w:rsidR="00EE4D06" w:rsidRDefault="001E3C6B" w:rsidP="001E3C6B">
      <w:pPr>
        <w:pStyle w:val="ParaNumbering"/>
        <w:numPr>
          <w:ilvl w:val="0"/>
          <w:numId w:val="0"/>
        </w:numPr>
        <w:ind w:hanging="720"/>
      </w:pPr>
      <w:r>
        <w:rPr>
          <w:sz w:val="20"/>
        </w:rPr>
        <w:t>122</w:t>
      </w:r>
      <w:r>
        <w:rPr>
          <w:sz w:val="20"/>
        </w:rPr>
        <w:tab/>
      </w:r>
      <w:r w:rsidR="00EE4D06">
        <w:t xml:space="preserve">Ms De Cruz explained that Allergan engaged the company Edelman Australia to provide public relations and media communications related services to Allergan.  Edelman regularly monitors Australian media coverage for and on behalf of Allergan in relation to the mark BOTOX.  Edelman provided a media audit report on the media coverage of Botox in Australia for the period June 2016 to July 2017.  The report shows that there were 1,054 mentions of Botox in </w:t>
      </w:r>
      <w:r w:rsidR="00EE4D06">
        <w:lastRenderedPageBreak/>
        <w:t xml:space="preserve">the media surveyed in that period, which covered both positive and negative sentiment for Botox.  </w:t>
      </w:r>
    </w:p>
    <w:p w14:paraId="6BA3DA0E" w14:textId="36FEDBBF" w:rsidR="00EE4D06" w:rsidRDefault="001E3C6B" w:rsidP="001E3C6B">
      <w:pPr>
        <w:pStyle w:val="ParaNumbering"/>
        <w:numPr>
          <w:ilvl w:val="0"/>
          <w:numId w:val="0"/>
        </w:numPr>
        <w:ind w:hanging="720"/>
      </w:pPr>
      <w:r>
        <w:rPr>
          <w:sz w:val="20"/>
        </w:rPr>
        <w:t>123</w:t>
      </w:r>
      <w:r>
        <w:rPr>
          <w:sz w:val="20"/>
        </w:rPr>
        <w:tab/>
      </w:r>
      <w:r w:rsidR="00EE4D06">
        <w:t xml:space="preserve">Edelman concluded that most often </w:t>
      </w:r>
      <w:r w:rsidR="00E42C6D">
        <w:t>BOTOX</w:t>
      </w:r>
      <w:r w:rsidR="00EE4D06">
        <w:t xml:space="preserve"> is used as a category term rather than as a brand which, Edelman said, would be used for familiarity with their audience over “anti-wrinkle treatment” or “anti wrinkle injections”.  However, given that Edelman’s methodology for reaching that conclusion was not revealed, and it obviously involved some level of judg</w:t>
      </w:r>
      <w:r w:rsidR="00A629CF">
        <w:t>e</w:t>
      </w:r>
      <w:r w:rsidR="00EE4D06">
        <w:t>ment and hence opinion, I am not able to give much weight to that conclusion.</w:t>
      </w:r>
    </w:p>
    <w:p w14:paraId="07F13A35" w14:textId="52AFA2A1" w:rsidR="00EE4D06" w:rsidRDefault="001E3C6B" w:rsidP="001E3C6B">
      <w:pPr>
        <w:pStyle w:val="ParaNumbering"/>
        <w:numPr>
          <w:ilvl w:val="0"/>
          <w:numId w:val="0"/>
        </w:numPr>
        <w:ind w:hanging="720"/>
      </w:pPr>
      <w:r>
        <w:rPr>
          <w:sz w:val="20"/>
        </w:rPr>
        <w:t>124</w:t>
      </w:r>
      <w:r>
        <w:rPr>
          <w:sz w:val="20"/>
        </w:rPr>
        <w:tab/>
      </w:r>
      <w:r w:rsidR="00EE4D06">
        <w:t xml:space="preserve">In the “anti-wrinkle” category of this survey, Edelman found that in every month in the survey </w:t>
      </w:r>
      <w:r w:rsidR="00DA065B">
        <w:t xml:space="preserve">BOTOX </w:t>
      </w:r>
      <w:r w:rsidR="00EE4D06">
        <w:t xml:space="preserve">had overwhelmingly more mentions than any of the other </w:t>
      </w:r>
      <w:r w:rsidR="00575C17">
        <w:t xml:space="preserve">13 </w:t>
      </w:r>
      <w:r w:rsidR="00031110">
        <w:t>brands surveyed.</w:t>
      </w:r>
    </w:p>
    <w:p w14:paraId="4C52C51E" w14:textId="4FBE4D7D" w:rsidR="00EE4D06" w:rsidRDefault="001E3C6B" w:rsidP="001E3C6B">
      <w:pPr>
        <w:pStyle w:val="ParaNumbering"/>
        <w:numPr>
          <w:ilvl w:val="0"/>
          <w:numId w:val="0"/>
        </w:numPr>
        <w:ind w:hanging="720"/>
      </w:pPr>
      <w:r>
        <w:rPr>
          <w:sz w:val="20"/>
        </w:rPr>
        <w:t>125</w:t>
      </w:r>
      <w:r>
        <w:rPr>
          <w:sz w:val="20"/>
        </w:rPr>
        <w:tab/>
      </w:r>
      <w:r w:rsidR="00EE4D06">
        <w:t>Ms De Cruz exhibited to her affidavit more than 200 articles from the media that mentioned Botox in the period 2003 to 2017.  I reviewed the articles.  Almost all of the articles refer to Botox being administered by way of injection and many of them refer to Botox being a toxin.  Frequently Botox was referred to in the context of cosmetic surgeries.</w:t>
      </w:r>
      <w:r w:rsidR="00B77189">
        <w:t xml:space="preserve">  None of the articles suggests</w:t>
      </w:r>
      <w:r w:rsidR="00EE4D06">
        <w:t xml:space="preserve"> that </w:t>
      </w:r>
      <w:r w:rsidR="00031110">
        <w:t>Botox can be topically applied.</w:t>
      </w:r>
    </w:p>
    <w:p w14:paraId="1E60DCC7" w14:textId="4D5236C3" w:rsidR="00EE4D06" w:rsidRDefault="001E3C6B" w:rsidP="001E3C6B">
      <w:pPr>
        <w:pStyle w:val="ParaNumbering"/>
        <w:numPr>
          <w:ilvl w:val="0"/>
          <w:numId w:val="0"/>
        </w:numPr>
        <w:ind w:hanging="720"/>
      </w:pPr>
      <w:bookmarkStart w:id="57" w:name="_Ref50566984"/>
      <w:r>
        <w:rPr>
          <w:sz w:val="20"/>
        </w:rPr>
        <w:t>126</w:t>
      </w:r>
      <w:r>
        <w:rPr>
          <w:sz w:val="20"/>
        </w:rPr>
        <w:tab/>
      </w:r>
      <w:r w:rsidR="00EE4D06" w:rsidRPr="00D83FA1">
        <w:t>Ms De Cruz also exhibited rep</w:t>
      </w:r>
      <w:r w:rsidR="00EE4D06">
        <w:t>orts of surveys conducted for Allergan by AC Nielsen in relation to brand awareness.  Twice in 2004 and then once in each of the following years through to and including 2008, AC Nielsen conducted surveys of more than 400 female respondents over the age of 25 in Australian capital cities.  Each survey showed that more than 80%, and in later years more than 90%, of respondents were aware of Botox a</w:t>
      </w:r>
      <w:r w:rsidR="00183EC1">
        <w:t>nd more than 20% were aware of b</w:t>
      </w:r>
      <w:r w:rsidR="00EE4D06">
        <w:t>otulinum toxin therapy.  I do not think that t</w:t>
      </w:r>
      <w:r w:rsidR="00183EC1">
        <w:t>he relatively low awareness of b</w:t>
      </w:r>
      <w:r w:rsidR="00EE4D06">
        <w:t xml:space="preserve">otulinum toxin therapy is indicative of a low awareness that Botox is an injectable product that is only administered by healthcare professionals.  All it indicates is that most of the respondents who were aware of Botox were not aware that Botox </w:t>
      </w:r>
      <w:r w:rsidR="00183EC1">
        <w:t xml:space="preserve">is </w:t>
      </w:r>
      <w:r w:rsidR="00EE4D06">
        <w:t>constitute</w:t>
      </w:r>
      <w:r w:rsidR="00183EC1">
        <w:t>d by</w:t>
      </w:r>
      <w:r w:rsidR="00EE4D06">
        <w:t xml:space="preserve"> botulinum t</w:t>
      </w:r>
      <w:r w:rsidR="00E45D80">
        <w:t>oxin</w:t>
      </w:r>
      <w:r w:rsidR="00EE4D06">
        <w:t>.</w:t>
      </w:r>
      <w:bookmarkEnd w:id="57"/>
    </w:p>
    <w:p w14:paraId="05027FB6" w14:textId="012D98F9" w:rsidR="00EE4D06" w:rsidRDefault="001E3C6B" w:rsidP="001E3C6B">
      <w:pPr>
        <w:pStyle w:val="ParaNumbering"/>
        <w:numPr>
          <w:ilvl w:val="0"/>
          <w:numId w:val="0"/>
        </w:numPr>
        <w:ind w:hanging="720"/>
      </w:pPr>
      <w:r>
        <w:rPr>
          <w:sz w:val="20"/>
        </w:rPr>
        <w:t>127</w:t>
      </w:r>
      <w:r>
        <w:rPr>
          <w:sz w:val="20"/>
        </w:rPr>
        <w:tab/>
      </w:r>
      <w:r w:rsidR="00EE4D06">
        <w:t>Ms De Cruz testified that the survey reports also show that the mark BOTOX had the highest brand awareness for “wrinkle removal procedures” in Australian women aged 25-54.  That can be accepted, it being significant that it is “procedures” rather than treatments for which Botox is known.</w:t>
      </w:r>
    </w:p>
    <w:p w14:paraId="4BEA0C2F" w14:textId="2FE50CEC" w:rsidR="00EE4D06" w:rsidRDefault="001E3C6B" w:rsidP="001E3C6B">
      <w:pPr>
        <w:pStyle w:val="ParaNumbering"/>
        <w:numPr>
          <w:ilvl w:val="0"/>
          <w:numId w:val="0"/>
        </w:numPr>
        <w:ind w:hanging="720"/>
      </w:pPr>
      <w:r>
        <w:rPr>
          <w:sz w:val="20"/>
        </w:rPr>
        <w:t>128</w:t>
      </w:r>
      <w:r>
        <w:rPr>
          <w:sz w:val="20"/>
        </w:rPr>
        <w:tab/>
      </w:r>
      <w:r w:rsidR="00EE4D06">
        <w:t xml:space="preserve">Ms De Cruz also cited mainstream media and television </w:t>
      </w:r>
      <w:r w:rsidR="00415CEB">
        <w:t>program</w:t>
      </w:r>
      <w:r w:rsidR="00EE4D06">
        <w:t xml:space="preserve">s that frequently referred to Botox.  One of those, as I have already mentioned, </w:t>
      </w:r>
      <w:r w:rsidR="00183EC1">
        <w:t xml:space="preserve">is </w:t>
      </w:r>
      <w:r w:rsidR="00EE4D06">
        <w:t xml:space="preserve">the </w:t>
      </w:r>
      <w:r w:rsidR="007870E5">
        <w:t>film</w:t>
      </w:r>
      <w:r w:rsidR="00EE4D06">
        <w:t xml:space="preserve"> </w:t>
      </w:r>
      <w:r w:rsidR="00EE4D06" w:rsidRPr="007870E5">
        <w:rPr>
          <w:i/>
        </w:rPr>
        <w:t>Sex and the City</w:t>
      </w:r>
      <w:r w:rsidR="00EE4D06">
        <w:t>.  That</w:t>
      </w:r>
      <w:r w:rsidR="00B77189">
        <w:t xml:space="preserve"> film </w:t>
      </w:r>
      <w:r w:rsidR="00EE4D06">
        <w:t xml:space="preserve">was released in Australia in June 2008 and box office sales for the period June to September 2008 </w:t>
      </w:r>
      <w:r w:rsidR="00EE4D06">
        <w:lastRenderedPageBreak/>
        <w:t>grossed more than US$25 million.  I take that to indicate that a large number of people watched the</w:t>
      </w:r>
      <w:r w:rsidR="00B77189">
        <w:t xml:space="preserve"> film</w:t>
      </w:r>
      <w:r w:rsidR="00EE4D06">
        <w:t>.</w:t>
      </w:r>
    </w:p>
    <w:p w14:paraId="6CE24136" w14:textId="281E5D11" w:rsidR="00EE4D06" w:rsidRDefault="001E3C6B" w:rsidP="001E3C6B">
      <w:pPr>
        <w:pStyle w:val="ParaNumbering"/>
        <w:numPr>
          <w:ilvl w:val="0"/>
          <w:numId w:val="0"/>
        </w:numPr>
        <w:ind w:hanging="720"/>
      </w:pPr>
      <w:r>
        <w:rPr>
          <w:sz w:val="20"/>
        </w:rPr>
        <w:t>129</w:t>
      </w:r>
      <w:r>
        <w:rPr>
          <w:sz w:val="20"/>
        </w:rPr>
        <w:tab/>
      </w:r>
      <w:r w:rsidR="00EE4D06">
        <w:t xml:space="preserve">An episode of the television series </w:t>
      </w:r>
      <w:r w:rsidR="00EE4D06" w:rsidRPr="007870E5">
        <w:rPr>
          <w:i/>
        </w:rPr>
        <w:t>Sex and the City</w:t>
      </w:r>
      <w:r w:rsidR="00EE4D06">
        <w:t xml:space="preserve">, in season </w:t>
      </w:r>
      <w:r w:rsidR="00E42C6D">
        <w:t>five</w:t>
      </w:r>
      <w:r w:rsidR="00EE4D06">
        <w:t>, included a scene mentioning Botox.  Se</w:t>
      </w:r>
      <w:r w:rsidR="00A1342F">
        <w:t>ason</w:t>
      </w:r>
      <w:r w:rsidR="00EE4D06">
        <w:t xml:space="preserve"> </w:t>
      </w:r>
      <w:r w:rsidR="00E42C6D">
        <w:t>five</w:t>
      </w:r>
      <w:r w:rsidR="00EE4D06">
        <w:t xml:space="preserve"> apparently premiered to nearly </w:t>
      </w:r>
      <w:r w:rsidR="00E42C6D">
        <w:t>eight</w:t>
      </w:r>
      <w:r w:rsidR="00EE4D06">
        <w:t xml:space="preserve"> million viewers, as reported in August 2017, although the evidence does not show when season </w:t>
      </w:r>
      <w:r w:rsidR="00E42C6D">
        <w:t>five</w:t>
      </w:r>
      <w:r w:rsidR="00031110">
        <w:t xml:space="preserve"> aired in Australia.</w:t>
      </w:r>
    </w:p>
    <w:p w14:paraId="3EECA22A" w14:textId="3D560584" w:rsidR="00EE4D06" w:rsidRDefault="001E3C6B" w:rsidP="001E3C6B">
      <w:pPr>
        <w:pStyle w:val="ParaNumbering"/>
        <w:numPr>
          <w:ilvl w:val="0"/>
          <w:numId w:val="0"/>
        </w:numPr>
        <w:ind w:hanging="720"/>
      </w:pPr>
      <w:r>
        <w:rPr>
          <w:sz w:val="20"/>
        </w:rPr>
        <w:t>130</w:t>
      </w:r>
      <w:r>
        <w:rPr>
          <w:sz w:val="20"/>
        </w:rPr>
        <w:tab/>
      </w:r>
      <w:r w:rsidR="00EE4D06">
        <w:t xml:space="preserve">I have reviewed the scenes in the movie and in the episode in season </w:t>
      </w:r>
      <w:r w:rsidR="00E42C6D">
        <w:t>five</w:t>
      </w:r>
      <w:r w:rsidR="00EE4D06">
        <w:t xml:space="preserve"> that mentioned Botox.  There is nothing in those scenes to suggest that Botox is topically applied, and in one scene “having Botox” is associated with pain implying widespread knowledge that Botox is an injectable.</w:t>
      </w:r>
    </w:p>
    <w:p w14:paraId="1715EE51" w14:textId="74F6DBAA" w:rsidR="00EE4D06" w:rsidRDefault="001E3C6B" w:rsidP="001E3C6B">
      <w:pPr>
        <w:pStyle w:val="ParaNumbering"/>
        <w:numPr>
          <w:ilvl w:val="0"/>
          <w:numId w:val="0"/>
        </w:numPr>
        <w:ind w:hanging="720"/>
      </w:pPr>
      <w:r>
        <w:rPr>
          <w:sz w:val="20"/>
        </w:rPr>
        <w:t>131</w:t>
      </w:r>
      <w:r>
        <w:rPr>
          <w:sz w:val="20"/>
        </w:rPr>
        <w:tab/>
      </w:r>
      <w:r w:rsidR="00EE4D06">
        <w:t>Ms De Cruz also referred to several other popular</w:t>
      </w:r>
      <w:r w:rsidR="007870E5">
        <w:t xml:space="preserve"> television </w:t>
      </w:r>
      <w:r w:rsidR="00415CEB">
        <w:t>program</w:t>
      </w:r>
      <w:r w:rsidR="00EE4D06">
        <w:t xml:space="preserve">s that mentioned Botox.  </w:t>
      </w:r>
      <w:r w:rsidR="00EE4D06" w:rsidRPr="00AA4EF3">
        <w:t>One of those is</w:t>
      </w:r>
      <w:r w:rsidR="00AA4EF3">
        <w:t xml:space="preserve"> an episode called “Skin Deep” on</w:t>
      </w:r>
      <w:r w:rsidR="00EE4D06" w:rsidRPr="00AA4EF3">
        <w:t xml:space="preserve"> </w:t>
      </w:r>
      <w:r w:rsidR="00EE4D06" w:rsidRPr="00AA4EF3">
        <w:rPr>
          <w:i/>
        </w:rPr>
        <w:t>Catalyst</w:t>
      </w:r>
      <w:r w:rsidR="00A629CF">
        <w:rPr>
          <w:i/>
        </w:rPr>
        <w:t>,</w:t>
      </w:r>
      <w:r w:rsidR="00415CEB">
        <w:t xml:space="preserve"> </w:t>
      </w:r>
      <w:r w:rsidR="00AA4EF3">
        <w:t xml:space="preserve">a </w:t>
      </w:r>
      <w:r w:rsidR="00415CEB">
        <w:t>television program</w:t>
      </w:r>
      <w:r w:rsidR="00EE4D06">
        <w:t xml:space="preserve"> that aired</w:t>
      </w:r>
      <w:r w:rsidR="00AA4EF3">
        <w:t xml:space="preserve"> on ABC</w:t>
      </w:r>
      <w:r w:rsidR="00EE4D06">
        <w:t xml:space="preserve"> in September 2012 to approximately 800,000 vie</w:t>
      </w:r>
      <w:r w:rsidR="00415CEB">
        <w:t>wers in Australia.  The program</w:t>
      </w:r>
      <w:r w:rsidR="00EE4D06">
        <w:t xml:space="preserve"> discussed, amongst other things, the use of Botox as an injectable</w:t>
      </w:r>
      <w:r w:rsidR="0028713F">
        <w:t xml:space="preserve"> that is required to be administered by a healthcare professional</w:t>
      </w:r>
      <w:r w:rsidR="00415CEB">
        <w:t xml:space="preserve">.  </w:t>
      </w:r>
      <w:r w:rsidR="004C7615">
        <w:t xml:space="preserve">The program also made a distinction between Botox and its active ingredient botulinum toxin, however referred throughout to </w:t>
      </w:r>
      <w:r w:rsidR="002B6576">
        <w:t>“b</w:t>
      </w:r>
      <w:r w:rsidR="004C7615">
        <w:t>otox</w:t>
      </w:r>
      <w:r w:rsidR="002B6576">
        <w:t>”</w:t>
      </w:r>
      <w:r w:rsidR="004C7615">
        <w:t xml:space="preserve"> as short hand for anti-wrinkle injections.  </w:t>
      </w:r>
      <w:r w:rsidR="00415CEB">
        <w:t>Other program</w:t>
      </w:r>
      <w:r w:rsidR="00EE4D06">
        <w:t xml:space="preserve">s include </w:t>
      </w:r>
      <w:r w:rsidR="00EE4D06" w:rsidRPr="007870E5">
        <w:rPr>
          <w:i/>
        </w:rPr>
        <w:t>Real Housewives of Sydney</w:t>
      </w:r>
      <w:r w:rsidR="00EE4D06">
        <w:t xml:space="preserve"> and </w:t>
      </w:r>
      <w:r w:rsidR="00EE4D06" w:rsidRPr="007870E5">
        <w:rPr>
          <w:i/>
        </w:rPr>
        <w:t>The Bachelorette</w:t>
      </w:r>
      <w:r w:rsidR="00EE4D06">
        <w:t>.  The submission is that Botox occupies a place in Australian popular culture.</w:t>
      </w:r>
      <w:r w:rsidR="00031110">
        <w:t xml:space="preserve"> </w:t>
      </w:r>
      <w:r w:rsidR="00EE4D06">
        <w:t xml:space="preserve"> That can be accepted.</w:t>
      </w:r>
    </w:p>
    <w:p w14:paraId="3F6450B9" w14:textId="0F2E0EB4" w:rsidR="00EE4D06" w:rsidRDefault="001E3C6B" w:rsidP="001E3C6B">
      <w:pPr>
        <w:pStyle w:val="ParaNumbering"/>
        <w:numPr>
          <w:ilvl w:val="0"/>
          <w:numId w:val="0"/>
        </w:numPr>
        <w:ind w:hanging="720"/>
      </w:pPr>
      <w:r>
        <w:rPr>
          <w:sz w:val="20"/>
        </w:rPr>
        <w:t>132</w:t>
      </w:r>
      <w:r>
        <w:rPr>
          <w:sz w:val="20"/>
        </w:rPr>
        <w:tab/>
      </w:r>
      <w:r w:rsidR="00EE4D06">
        <w:t>As one would expect, Allergan regularly publishes press releases to the media, although the evidence does not reveal the extent to which the press releases are picked up by the media and reported on.  Allergan also has websites, both internationally and in Australia, where Botox is promoted.  The Australian website for Allergan reflects that the active ingredient in Botox is botulinum toxin and that Botox is a</w:t>
      </w:r>
      <w:r w:rsidR="00031110">
        <w:t>vailable only by prescription.</w:t>
      </w:r>
    </w:p>
    <w:p w14:paraId="0679A4FF" w14:textId="07DB9D4C" w:rsidR="00EE4D06" w:rsidRDefault="001E3C6B" w:rsidP="001E3C6B">
      <w:pPr>
        <w:pStyle w:val="ParaNumbering"/>
        <w:numPr>
          <w:ilvl w:val="0"/>
          <w:numId w:val="0"/>
        </w:numPr>
        <w:ind w:hanging="720"/>
      </w:pPr>
      <w:r>
        <w:rPr>
          <w:sz w:val="20"/>
        </w:rPr>
        <w:t>133</w:t>
      </w:r>
      <w:r>
        <w:rPr>
          <w:sz w:val="20"/>
        </w:rPr>
        <w:tab/>
      </w:r>
      <w:r w:rsidR="00EE4D06">
        <w:t>Ms De Cruz also gave evidence as to Allergan’s global revenue from sales of the Botox product.  That rose from a little under US$1 billion in 2006 to US$2.7 billion in 2016.  As at 30 September 2017, Allergan’s revenue for sales of the Botox product for the calendar</w:t>
      </w:r>
      <w:r w:rsidR="00031110">
        <w:t xml:space="preserve"> year 2017 was US$2.3 billion. </w:t>
      </w:r>
    </w:p>
    <w:p w14:paraId="03BB91AC" w14:textId="7D3F7E42" w:rsidR="00EE4D06" w:rsidRPr="00F93B14" w:rsidRDefault="001E3C6B" w:rsidP="001E3C6B">
      <w:pPr>
        <w:pStyle w:val="ParaNumbering"/>
        <w:numPr>
          <w:ilvl w:val="0"/>
          <w:numId w:val="0"/>
        </w:numPr>
        <w:ind w:hanging="720"/>
      </w:pPr>
      <w:r w:rsidRPr="00F93B14">
        <w:rPr>
          <w:sz w:val="20"/>
        </w:rPr>
        <w:t>134</w:t>
      </w:r>
      <w:r w:rsidRPr="00F93B14">
        <w:rPr>
          <w:sz w:val="20"/>
        </w:rPr>
        <w:tab/>
      </w:r>
      <w:r w:rsidR="00EE4D06" w:rsidRPr="00F93B14">
        <w:t>With regard to the sales of Botox in Australia for cosmetic uses, the evidence is that annual sales in 2016 were about 44% higher than they were in 2009.  The annual sales for cosmetic uses have, since 2014, increased year on year by more than 9%.  By October 2017, the growth rate for the calendar year 2017 w</w:t>
      </w:r>
      <w:r w:rsidR="00031110">
        <w:t>as already reflected at 10.7%.</w:t>
      </w:r>
      <w:r w:rsidR="00EE4D06" w:rsidRPr="00F93B14">
        <w:t xml:space="preserve">  </w:t>
      </w:r>
    </w:p>
    <w:p w14:paraId="4DD02E74" w14:textId="12024C8D" w:rsidR="00EE4D06" w:rsidRDefault="001E3C6B" w:rsidP="001E3C6B">
      <w:pPr>
        <w:pStyle w:val="ParaNumbering"/>
        <w:numPr>
          <w:ilvl w:val="0"/>
          <w:numId w:val="0"/>
        </w:numPr>
        <w:ind w:hanging="720"/>
      </w:pPr>
      <w:r>
        <w:rPr>
          <w:sz w:val="20"/>
        </w:rPr>
        <w:lastRenderedPageBreak/>
        <w:t>135</w:t>
      </w:r>
      <w:r>
        <w:rPr>
          <w:sz w:val="20"/>
        </w:rPr>
        <w:tab/>
      </w:r>
      <w:r w:rsidR="00EE4D06">
        <w:t xml:space="preserve">With regard to the sale of Botox </w:t>
      </w:r>
      <w:r w:rsidR="00EE4D06" w:rsidRPr="001B3CE8">
        <w:t>for cosmetic uses in Australia</w:t>
      </w:r>
      <w:r w:rsidR="00EE4D06">
        <w:t xml:space="preserve">, Ms De Cruz referred to a confidential exhibit showing such sales to be worth </w:t>
      </w:r>
      <w:r w:rsidR="002B6576">
        <w:t>very substantial amounts</w:t>
      </w:r>
      <w:r w:rsidR="00EE4D06">
        <w:t xml:space="preserve"> each year for the period 2003 to 2017.  The strong growth and high net value of sales are indicative of a strong brand awareness.</w:t>
      </w:r>
    </w:p>
    <w:p w14:paraId="4692F01B" w14:textId="1284F6F2" w:rsidR="00EE4D06" w:rsidRDefault="001E3C6B" w:rsidP="001E3C6B">
      <w:pPr>
        <w:pStyle w:val="ParaNumbering"/>
        <w:numPr>
          <w:ilvl w:val="0"/>
          <w:numId w:val="0"/>
        </w:numPr>
        <w:ind w:hanging="720"/>
      </w:pPr>
      <w:r>
        <w:rPr>
          <w:sz w:val="20"/>
        </w:rPr>
        <w:t>136</w:t>
      </w:r>
      <w:r>
        <w:rPr>
          <w:sz w:val="20"/>
        </w:rPr>
        <w:tab/>
      </w:r>
      <w:r w:rsidR="00EE4D06">
        <w:t>Ms De Cruz gave evidence, the details of which are the subject of a suppression order due to their commercial confidentiality, of the amount spent by Allergan in Australia on promoting the Botox product for cosmetic uses.  For present purposes, it is sufficient to observe that the annual spend is</w:t>
      </w:r>
      <w:r w:rsidR="002B6576">
        <w:t>, by any measure, very substantial</w:t>
      </w:r>
      <w:r w:rsidR="00EE4D06">
        <w:t>.  It can be taken that that spend contributes to widespread brand awareness.</w:t>
      </w:r>
    </w:p>
    <w:p w14:paraId="0E121F18" w14:textId="4C73D37B" w:rsidR="00EE4D06" w:rsidRDefault="001E3C6B" w:rsidP="001E3C6B">
      <w:pPr>
        <w:pStyle w:val="ParaNumbering"/>
        <w:numPr>
          <w:ilvl w:val="0"/>
          <w:numId w:val="0"/>
        </w:numPr>
        <w:ind w:hanging="720"/>
      </w:pPr>
      <w:r>
        <w:rPr>
          <w:sz w:val="20"/>
        </w:rPr>
        <w:t>137</w:t>
      </w:r>
      <w:r>
        <w:rPr>
          <w:sz w:val="20"/>
        </w:rPr>
        <w:tab/>
      </w:r>
      <w:r w:rsidR="00E42C6D">
        <w:t xml:space="preserve">Mr </w:t>
      </w:r>
      <w:r w:rsidR="00EE4D06">
        <w:t>Franky Prochilo, Allergan Australia’s Associate Director of Marketing, Facial Aesthetics – Australia &amp; New Zealand, gave evidence.  Mr Prochilo testified that Botox has been on the market for almost 30 years, and in Australia for cosmetic indic</w:t>
      </w:r>
      <w:r w:rsidR="00031110">
        <w:t>ations for more than 15 years.</w:t>
      </w:r>
    </w:p>
    <w:p w14:paraId="683F82AE" w14:textId="5447401F" w:rsidR="00EE4D06" w:rsidRDefault="001E3C6B" w:rsidP="001E3C6B">
      <w:pPr>
        <w:pStyle w:val="ParaNumbering"/>
        <w:numPr>
          <w:ilvl w:val="0"/>
          <w:numId w:val="0"/>
        </w:numPr>
        <w:ind w:hanging="720"/>
      </w:pPr>
      <w:r>
        <w:rPr>
          <w:sz w:val="20"/>
        </w:rPr>
        <w:t>138</w:t>
      </w:r>
      <w:r>
        <w:rPr>
          <w:sz w:val="20"/>
        </w:rPr>
        <w:tab/>
      </w:r>
      <w:r w:rsidR="00EE4D06">
        <w:t>Mr Prochilo said that Allergan provides clinical literature to healthcare professionals, and he refers them to information published by Allergan to help them understand the Botox product and to enable them to provide information to consumers about the product and the procedure for its administration.  That information, as would be expected, includes that Botox is a regulated toxin administere</w:t>
      </w:r>
      <w:r w:rsidR="00031110">
        <w:t>d by way of injection.</w:t>
      </w:r>
    </w:p>
    <w:p w14:paraId="6785386E" w14:textId="7B8FBCB4" w:rsidR="00EE4D06" w:rsidRDefault="001E3C6B" w:rsidP="001E3C6B">
      <w:pPr>
        <w:pStyle w:val="ParaNumbering"/>
        <w:numPr>
          <w:ilvl w:val="0"/>
          <w:numId w:val="0"/>
        </w:numPr>
        <w:ind w:hanging="720"/>
      </w:pPr>
      <w:r>
        <w:rPr>
          <w:sz w:val="20"/>
        </w:rPr>
        <w:t>139</w:t>
      </w:r>
      <w:r>
        <w:rPr>
          <w:sz w:val="20"/>
        </w:rPr>
        <w:tab/>
      </w:r>
      <w:r w:rsidR="00EE4D06">
        <w:t>An information brochure published by Allergan for healthcare professionals to provide to their patients distinguishes between three types of treatment</w:t>
      </w:r>
      <w:r w:rsidR="00F66BB3">
        <w:t xml:space="preserve"> for facial aging</w:t>
      </w:r>
      <w:r w:rsidR="00EE4D06">
        <w:t xml:space="preserve">, namely skin treatments that correct texture and pigmentation issues, treatments that can enhance and replace facial volume, and Botox treatments that can relax wrinkle-causing </w:t>
      </w:r>
      <w:r w:rsidR="00183EC1">
        <w:t xml:space="preserve">facial muscles.  </w:t>
      </w:r>
      <w:r w:rsidR="00EE4D06">
        <w:t>Mr Prochilo accepted in cross-examination, with reference to that information, that Allergan was not putting itself forward as p</w:t>
      </w:r>
      <w:r w:rsidR="00031110">
        <w:t>roviding any skincare products.</w:t>
      </w:r>
    </w:p>
    <w:p w14:paraId="7CD2D163" w14:textId="2C20A612" w:rsidR="00EE4D06" w:rsidRDefault="001E3C6B" w:rsidP="001E3C6B">
      <w:pPr>
        <w:pStyle w:val="ParaNumbering"/>
        <w:numPr>
          <w:ilvl w:val="0"/>
          <w:numId w:val="0"/>
        </w:numPr>
        <w:ind w:hanging="720"/>
      </w:pPr>
      <w:r>
        <w:rPr>
          <w:sz w:val="20"/>
        </w:rPr>
        <w:t>140</w:t>
      </w:r>
      <w:r>
        <w:rPr>
          <w:sz w:val="20"/>
        </w:rPr>
        <w:tab/>
      </w:r>
      <w:r w:rsidR="00EE4D06">
        <w:t>A similar brochure also directed to the patients of healthcare professionals identifies different skin treatments amongst which is Botox</w:t>
      </w:r>
      <w:r w:rsidR="00E42C6D">
        <w:t>,</w:t>
      </w:r>
      <w:r w:rsidR="00EE4D06">
        <w:t xml:space="preserve"> which is described as a prescription medicine that should be administered only by trained medical professio</w:t>
      </w:r>
      <w:r w:rsidR="00031110">
        <w:t>nals.</w:t>
      </w:r>
    </w:p>
    <w:p w14:paraId="3EB7C5B7" w14:textId="2417478D" w:rsidR="00EE4D06" w:rsidRDefault="001E3C6B" w:rsidP="001E3C6B">
      <w:pPr>
        <w:pStyle w:val="ParaNumbering"/>
        <w:numPr>
          <w:ilvl w:val="0"/>
          <w:numId w:val="0"/>
        </w:numPr>
        <w:ind w:hanging="720"/>
      </w:pPr>
      <w:r>
        <w:rPr>
          <w:sz w:val="20"/>
        </w:rPr>
        <w:t>141</w:t>
      </w:r>
      <w:r>
        <w:rPr>
          <w:sz w:val="20"/>
        </w:rPr>
        <w:tab/>
      </w:r>
      <w:r w:rsidR="00EE4D06">
        <w:t>Mr Prochilo also referred to information that is widely available on the internet which includes that Botox is a regulated toxin administered by way of injection and that Botox therapy is only available on prescription from a doctor.</w:t>
      </w:r>
    </w:p>
    <w:p w14:paraId="2B28D5F9" w14:textId="688DD452" w:rsidR="00EE4D06" w:rsidRDefault="001E3C6B" w:rsidP="001E3C6B">
      <w:pPr>
        <w:pStyle w:val="ParaNumbering"/>
        <w:numPr>
          <w:ilvl w:val="0"/>
          <w:numId w:val="0"/>
        </w:numPr>
        <w:ind w:hanging="720"/>
      </w:pPr>
      <w:r>
        <w:rPr>
          <w:sz w:val="20"/>
        </w:rPr>
        <w:t>142</w:t>
      </w:r>
      <w:r>
        <w:rPr>
          <w:sz w:val="20"/>
        </w:rPr>
        <w:tab/>
      </w:r>
      <w:r w:rsidR="00EE4D06">
        <w:t xml:space="preserve">Mr Prochilo gave evidence with regard to the promotional and advertising material produced by Allergan and distributed in Australia.  That includes information booklets on how Botox is </w:t>
      </w:r>
      <w:r w:rsidR="00EE4D06">
        <w:lastRenderedPageBreak/>
        <w:t>used for cosmetic purposes, flip charts and consumer brochures containing information for doctors and patients regarding the cosmetic use of Botox, notepads featuring the B</w:t>
      </w:r>
      <w:r w:rsidR="00C34748">
        <w:t>OTOX</w:t>
      </w:r>
      <w:r w:rsidR="00EE4D06">
        <w:t xml:space="preserve"> trade marks, anatomical charts of facial muscles featuring the B</w:t>
      </w:r>
      <w:r w:rsidR="00C34748">
        <w:t>OTOX</w:t>
      </w:r>
      <w:r w:rsidR="00EE4D06">
        <w:t xml:space="preserve"> trade marks and other selling aids, and sticky notes featuring the B</w:t>
      </w:r>
      <w:r w:rsidR="00C34748">
        <w:t>OTOX</w:t>
      </w:r>
      <w:r w:rsidR="00EE4D06">
        <w:t xml:space="preserve"> trade marks.  As expected, the consumer information booklets</w:t>
      </w:r>
      <w:r w:rsidR="00E42C6D">
        <w:t>,</w:t>
      </w:r>
      <w:r w:rsidR="00EE4D06">
        <w:t xml:space="preserve"> website material and other promotional materials explain that Botox is a </w:t>
      </w:r>
      <w:r w:rsidR="00FE2FFF">
        <w:t>neuro</w:t>
      </w:r>
      <w:r w:rsidR="00EE4D06">
        <w:t>toxin that is administered by way of injection by medical practitioners o</w:t>
      </w:r>
      <w:r w:rsidR="00FE2FFF">
        <w:t>n</w:t>
      </w:r>
      <w:r w:rsidR="00EE4D06">
        <w:t xml:space="preserve"> </w:t>
      </w:r>
      <w:r w:rsidR="00FE2FFF">
        <w:t xml:space="preserve">a </w:t>
      </w:r>
      <w:r w:rsidR="00EE4D06">
        <w:t>prescription</w:t>
      </w:r>
      <w:r w:rsidR="00FE2FFF">
        <w:t xml:space="preserve"> basis only</w:t>
      </w:r>
      <w:r w:rsidR="00EE4D06">
        <w:t>.</w:t>
      </w:r>
    </w:p>
    <w:p w14:paraId="58A578CA" w14:textId="086D6A25" w:rsidR="00B77189" w:rsidRDefault="001E3C6B" w:rsidP="001E3C6B">
      <w:pPr>
        <w:pStyle w:val="ParaNumbering"/>
        <w:numPr>
          <w:ilvl w:val="0"/>
          <w:numId w:val="0"/>
        </w:numPr>
        <w:ind w:hanging="720"/>
      </w:pPr>
      <w:r>
        <w:rPr>
          <w:sz w:val="20"/>
        </w:rPr>
        <w:t>143</w:t>
      </w:r>
      <w:r>
        <w:rPr>
          <w:sz w:val="20"/>
        </w:rPr>
        <w:tab/>
      </w:r>
      <w:r w:rsidR="00EE4D06">
        <w:t xml:space="preserve">Mr Prochilo explained that Allergan Australia also produces marketing materials which advertise that Allergan has available injectable muscle relaxants or anti-wrinkle injections, or which provide information about the cosmetic indications and the types of products available </w:t>
      </w:r>
      <w:r w:rsidR="00E42C6D">
        <w:t xml:space="preserve">for </w:t>
      </w:r>
      <w:r w:rsidR="00EE4D06">
        <w:t>treat</w:t>
      </w:r>
      <w:r w:rsidR="00E42C6D">
        <w:t>ment</w:t>
      </w:r>
      <w:r w:rsidR="00EE4D06">
        <w:t xml:space="preserve"> </w:t>
      </w:r>
      <w:r w:rsidR="00E42C6D">
        <w:t>indications.</w:t>
      </w:r>
      <w:r w:rsidR="00EE4D06">
        <w:t xml:space="preserve">  This advertising material refers to the products generally using words such as “injectable muscle relaxants” or “anti-wrinkle injections” without reference to the B</w:t>
      </w:r>
      <w:r w:rsidR="00C34748">
        <w:t>OTOX</w:t>
      </w:r>
      <w:r w:rsidR="00EE4D06">
        <w:t xml:space="preserve"> trade mark due to TG Act regulatory requirements.  That type of advertising is designed to promote non-bra</w:t>
      </w:r>
      <w:r w:rsidR="00031110">
        <w:t>nd product category awareness.</w:t>
      </w:r>
    </w:p>
    <w:p w14:paraId="5F17B439" w14:textId="60F3EA39" w:rsidR="00183EC1" w:rsidRDefault="001E3C6B" w:rsidP="001E3C6B">
      <w:pPr>
        <w:pStyle w:val="ParaNumbering"/>
        <w:numPr>
          <w:ilvl w:val="0"/>
          <w:numId w:val="0"/>
        </w:numPr>
        <w:ind w:hanging="720"/>
      </w:pPr>
      <w:r>
        <w:rPr>
          <w:sz w:val="20"/>
        </w:rPr>
        <w:t>144</w:t>
      </w:r>
      <w:r>
        <w:rPr>
          <w:sz w:val="20"/>
        </w:rPr>
        <w:tab/>
      </w:r>
      <w:r w:rsidR="00183EC1">
        <w:t>Allergan’s information and marketing material that it publishes about Botox includes descriptions as to what Botox achieves in its cosmetic applications.  This includes descriptions such as “improvement in the severity of [frown] lines”, “improvement in the severity of [</w:t>
      </w:r>
      <w:r w:rsidR="000777FC">
        <w:t>c</w:t>
      </w:r>
      <w:r w:rsidR="00183EC1">
        <w:t xml:space="preserve">row’s </w:t>
      </w:r>
      <w:r w:rsidR="000777FC">
        <w:t>f</w:t>
      </w:r>
      <w:r w:rsidR="00183EC1">
        <w:t>eet] lines”, “relaxes wrinkle-causing muscles, creating an improved appearance”</w:t>
      </w:r>
      <w:r w:rsidR="00DD1172">
        <w:t>, “improvement after BOTOX® treatment for glabellar lines”, “improvement in crow’s feet”, “enhance and rejuvenate your facial appearance with natural looking results” and “create a rejuvenated appearance”.  Thus, as would be expected in respect of the cosmetic applications for Botox, Allergan emphasises the wrinkle-reducing enhancement in the appearance of patients after treatment.</w:t>
      </w:r>
    </w:p>
    <w:p w14:paraId="2B69DC8E" w14:textId="78F8196A" w:rsidR="00EE4D06" w:rsidRDefault="001E3C6B" w:rsidP="001E3C6B">
      <w:pPr>
        <w:pStyle w:val="ParaNumbering"/>
        <w:numPr>
          <w:ilvl w:val="0"/>
          <w:numId w:val="0"/>
        </w:numPr>
        <w:ind w:hanging="720"/>
      </w:pPr>
      <w:r>
        <w:rPr>
          <w:sz w:val="20"/>
        </w:rPr>
        <w:t>145</w:t>
      </w:r>
      <w:r>
        <w:rPr>
          <w:sz w:val="20"/>
        </w:rPr>
        <w:tab/>
      </w:r>
      <w:r w:rsidR="00B77189">
        <w:t xml:space="preserve">The information available on the </w:t>
      </w:r>
      <w:r w:rsidR="00B77189" w:rsidRPr="00B77189">
        <w:rPr>
          <w:u w:val="single"/>
        </w:rPr>
        <w:t>www.botoxcosmetic.com</w:t>
      </w:r>
      <w:r w:rsidR="00B77189">
        <w:t xml:space="preserve"> website that is maintained by Allergan is consistent with that in the information brochures referred to by Mr Prochilo.  The home page of the website opens with a warning that Botox may cause serious side effects that can be life</w:t>
      </w:r>
      <w:r w:rsidR="00A1342F">
        <w:t>-</w:t>
      </w:r>
      <w:r w:rsidR="00B77189">
        <w:t xml:space="preserve">threatening and directs that medical help should be sought right away if any side-effects are experienced at any time “after injection of BOTOX”.  The message that Botox </w:t>
      </w:r>
      <w:r w:rsidR="0020566F">
        <w:t xml:space="preserve">is </w:t>
      </w:r>
      <w:r w:rsidR="00B77189">
        <w:t>administered by injection is front and centre.</w:t>
      </w:r>
      <w:r w:rsidR="002F6875">
        <w:t xml:space="preserve"> </w:t>
      </w:r>
    </w:p>
    <w:p w14:paraId="173EF201" w14:textId="714ED96D" w:rsidR="00EE4D06" w:rsidRDefault="001E3C6B" w:rsidP="001E3C6B">
      <w:pPr>
        <w:pStyle w:val="ParaNumbering"/>
        <w:numPr>
          <w:ilvl w:val="0"/>
          <w:numId w:val="0"/>
        </w:numPr>
        <w:ind w:hanging="720"/>
      </w:pPr>
      <w:r>
        <w:rPr>
          <w:sz w:val="20"/>
        </w:rPr>
        <w:t>146</w:t>
      </w:r>
      <w:r>
        <w:rPr>
          <w:sz w:val="20"/>
        </w:rPr>
        <w:tab/>
      </w:r>
      <w:r w:rsidR="00EE4D06">
        <w:t xml:space="preserve">In submissions, Allergan </w:t>
      </w:r>
      <w:r w:rsidR="00350521">
        <w:t>relies</w:t>
      </w:r>
      <w:r w:rsidR="00EE4D06">
        <w:t xml:space="preserve"> on the judgment of Stone J in </w:t>
      </w:r>
      <w:r w:rsidR="00EE4D06" w:rsidRPr="00162AB6">
        <w:rPr>
          <w:i/>
        </w:rPr>
        <w:t>Allergan Inc v Di Giacomo</w:t>
      </w:r>
      <w:r w:rsidR="00EE4D06" w:rsidRPr="00162AB6">
        <w:t xml:space="preserve"> [2011] FCA 1540; 199 FCR 126</w:t>
      </w:r>
      <w:r w:rsidR="00EE4D06">
        <w:t xml:space="preserve"> in support of the proposition that at least by 2008 Allergan Inc had acquired a significant reputation in the B</w:t>
      </w:r>
      <w:r w:rsidR="00A1342F">
        <w:t>OTOX</w:t>
      </w:r>
      <w:r w:rsidR="00EE4D06">
        <w:t xml:space="preserve"> marks in respect of a general cosmetic product </w:t>
      </w:r>
      <w:r w:rsidR="00EE4D06">
        <w:lastRenderedPageBreak/>
        <w:t>or procedure for the treatment of facial lines, rather than one specifically involving the use of botulinum toxin.  There are, however, a number of reasons why that judgment is not good authority</w:t>
      </w:r>
      <w:r w:rsidR="00200631">
        <w:t>, or evidence,</w:t>
      </w:r>
      <w:r w:rsidR="00EE4D06">
        <w:t xml:space="preserve"> for that proposition.</w:t>
      </w:r>
    </w:p>
    <w:p w14:paraId="64D6CF9A" w14:textId="3A5F33B1" w:rsidR="00EE4D06" w:rsidRDefault="001E3C6B" w:rsidP="001E3C6B">
      <w:pPr>
        <w:pStyle w:val="ParaNumbering"/>
        <w:numPr>
          <w:ilvl w:val="0"/>
          <w:numId w:val="0"/>
        </w:numPr>
        <w:ind w:hanging="720"/>
      </w:pPr>
      <w:r>
        <w:rPr>
          <w:sz w:val="20"/>
        </w:rPr>
        <w:t>147</w:t>
      </w:r>
      <w:r>
        <w:rPr>
          <w:sz w:val="20"/>
        </w:rPr>
        <w:tab/>
      </w:r>
      <w:r w:rsidR="00EE4D06">
        <w:t xml:space="preserve">First, and foremost, under s 91 of the </w:t>
      </w:r>
      <w:r w:rsidR="00EE4D06" w:rsidRPr="003513FF">
        <w:rPr>
          <w:i/>
        </w:rPr>
        <w:t xml:space="preserve">Evidence Act </w:t>
      </w:r>
      <w:r w:rsidR="002D54D1">
        <w:rPr>
          <w:i/>
        </w:rPr>
        <w:t>1995</w:t>
      </w:r>
      <w:r w:rsidR="00EE4D06">
        <w:t xml:space="preserve"> (Cth) a finding of fact in an Australian proceeding is not admissible to prove the existence of a fact that </w:t>
      </w:r>
      <w:r w:rsidR="000B25A1">
        <w:t>was</w:t>
      </w:r>
      <w:r w:rsidR="00EE4D06">
        <w:t xml:space="preserve"> in issue in that proceeding.  The judgment is therefore not admissible to prove </w:t>
      </w:r>
      <w:r w:rsidR="008A20DF">
        <w:t xml:space="preserve">the </w:t>
      </w:r>
      <w:r w:rsidR="000B25A1">
        <w:t xml:space="preserve">nature of the </w:t>
      </w:r>
      <w:r w:rsidR="008A20DF">
        <w:t>reputation of the BOTOX mark</w:t>
      </w:r>
      <w:r w:rsidR="000B25A1">
        <w:t>s</w:t>
      </w:r>
      <w:r w:rsidR="00EE4D06">
        <w:t>.</w:t>
      </w:r>
    </w:p>
    <w:p w14:paraId="1FE72C7A" w14:textId="0DDB8A8E" w:rsidR="00EE4D06" w:rsidRDefault="001E3C6B" w:rsidP="001E3C6B">
      <w:pPr>
        <w:pStyle w:val="ParaNumbering"/>
        <w:numPr>
          <w:ilvl w:val="0"/>
          <w:numId w:val="0"/>
        </w:numPr>
        <w:ind w:hanging="720"/>
      </w:pPr>
      <w:r>
        <w:rPr>
          <w:sz w:val="20"/>
        </w:rPr>
        <w:t>148</w:t>
      </w:r>
      <w:r>
        <w:rPr>
          <w:sz w:val="20"/>
        </w:rPr>
        <w:tab/>
      </w:r>
      <w:r w:rsidR="00EE4D06">
        <w:t>Second, that proceeding was undefended with the result that the evidence was unchallenged and no evidence in opposition was adduced.</w:t>
      </w:r>
    </w:p>
    <w:p w14:paraId="1B6136A3" w14:textId="717E1AEB" w:rsidR="00EE4D06" w:rsidRDefault="001E3C6B" w:rsidP="001E3C6B">
      <w:pPr>
        <w:pStyle w:val="ParaNumbering"/>
        <w:numPr>
          <w:ilvl w:val="0"/>
          <w:numId w:val="0"/>
        </w:numPr>
        <w:ind w:hanging="720"/>
      </w:pPr>
      <w:r>
        <w:rPr>
          <w:sz w:val="20"/>
        </w:rPr>
        <w:t>149</w:t>
      </w:r>
      <w:r>
        <w:rPr>
          <w:sz w:val="20"/>
        </w:rPr>
        <w:tab/>
      </w:r>
      <w:r w:rsidR="00EE4D06">
        <w:t xml:space="preserve">On the basis of the evidence, Allergan </w:t>
      </w:r>
      <w:r w:rsidR="00350521">
        <w:t>submits</w:t>
      </w:r>
      <w:r w:rsidR="00EE4D06">
        <w:t xml:space="preserve"> that the reputation of Allergan in the </w:t>
      </w:r>
      <w:r w:rsidR="00A629CF">
        <w:t xml:space="preserve">BOTOX </w:t>
      </w:r>
      <w:r w:rsidR="00EE4D06">
        <w:t>marks in Australia is in connection with a general cosmetic product or procedure for the treatment of facial lines, rather than one specifically involving the use of botulinum</w:t>
      </w:r>
      <w:r w:rsidR="00A629CF">
        <w:t xml:space="preserve"> toxin</w:t>
      </w:r>
      <w:r w:rsidR="00031110">
        <w:t>.</w:t>
      </w:r>
    </w:p>
    <w:p w14:paraId="7B79C728" w14:textId="79E56C71" w:rsidR="00EE4D06" w:rsidRDefault="001E3C6B" w:rsidP="001E3C6B">
      <w:pPr>
        <w:pStyle w:val="ParaNumbering"/>
        <w:numPr>
          <w:ilvl w:val="0"/>
          <w:numId w:val="0"/>
        </w:numPr>
        <w:ind w:hanging="720"/>
      </w:pPr>
      <w:r>
        <w:rPr>
          <w:sz w:val="20"/>
        </w:rPr>
        <w:t>150</w:t>
      </w:r>
      <w:r>
        <w:rPr>
          <w:sz w:val="20"/>
        </w:rPr>
        <w:tab/>
      </w:r>
      <w:r w:rsidR="00EE4D06">
        <w:t xml:space="preserve">Against that, Self Care </w:t>
      </w:r>
      <w:r w:rsidR="00350521">
        <w:t>submits</w:t>
      </w:r>
      <w:r w:rsidR="00EE4D06">
        <w:t xml:space="preserve"> that the reputation of the mark </w:t>
      </w:r>
      <w:r w:rsidR="00A629CF">
        <w:t xml:space="preserve">BOTOX </w:t>
      </w:r>
      <w:r w:rsidR="00EE4D06">
        <w:t xml:space="preserve">is confined to an injectable anti-wrinkle product. </w:t>
      </w:r>
      <w:r w:rsidR="00031110">
        <w:t xml:space="preserve"> </w:t>
      </w:r>
      <w:r w:rsidR="00EE4D06">
        <w:t>This is because the word B</w:t>
      </w:r>
      <w:r w:rsidR="00A1342F">
        <w:t>OTOX</w:t>
      </w:r>
      <w:r w:rsidR="00EE4D06">
        <w:t xml:space="preserve"> has only been used in relation to an injectable anti-wrinkle product which must be prescribed by a medical practitioner; it is a focused reputation.  Self Care submits that the reputation of </w:t>
      </w:r>
      <w:r w:rsidR="00A629CF">
        <w:t xml:space="preserve">BOTOX </w:t>
      </w:r>
      <w:r w:rsidR="00EE4D06">
        <w:t xml:space="preserve">does not extend to topical cosmetic products rather than </w:t>
      </w:r>
      <w:r w:rsidR="00031110">
        <w:t>an injectable product.</w:t>
      </w:r>
    </w:p>
    <w:p w14:paraId="09DA465E" w14:textId="5E338796" w:rsidR="00EE4D06" w:rsidRDefault="001E3C6B" w:rsidP="001E3C6B">
      <w:pPr>
        <w:pStyle w:val="ParaNumbering"/>
        <w:numPr>
          <w:ilvl w:val="0"/>
          <w:numId w:val="0"/>
        </w:numPr>
        <w:ind w:hanging="720"/>
      </w:pPr>
      <w:r>
        <w:rPr>
          <w:sz w:val="20"/>
        </w:rPr>
        <w:t>151</w:t>
      </w:r>
      <w:r>
        <w:rPr>
          <w:sz w:val="20"/>
        </w:rPr>
        <w:tab/>
      </w:r>
      <w:r w:rsidR="00EE4D06">
        <w:t xml:space="preserve">There can be no doubt on the evidence, which is accepted by Self Care, that </w:t>
      </w:r>
      <w:r w:rsidR="00A629CF">
        <w:t xml:space="preserve">BOTOX </w:t>
      </w:r>
      <w:r w:rsidR="00EE4D06">
        <w:t xml:space="preserve">has a strong and widespread market reputation.  </w:t>
      </w:r>
      <w:r w:rsidR="00A629CF">
        <w:t xml:space="preserve">BOTOX </w:t>
      </w:r>
      <w:r w:rsidR="00EE4D06">
        <w:t>is widely known of, frequently referenced in popular culture, and</w:t>
      </w:r>
      <w:r w:rsidR="00A629CF">
        <w:t xml:space="preserve"> the product by that name </w:t>
      </w:r>
      <w:r w:rsidR="00EE4D06">
        <w:t>has strong sales and</w:t>
      </w:r>
      <w:r w:rsidR="007870E5">
        <w:t xml:space="preserve"> substantial </w:t>
      </w:r>
      <w:r w:rsidR="00EE4D06">
        <w:t>advertising</w:t>
      </w:r>
      <w:r w:rsidR="007870E5">
        <w:t xml:space="preserve"> spend</w:t>
      </w:r>
      <w:r w:rsidR="00EE4D06">
        <w:t>.</w:t>
      </w:r>
    </w:p>
    <w:p w14:paraId="15CA28F1" w14:textId="4C6873E9" w:rsidR="00EE4D06" w:rsidRDefault="001E3C6B" w:rsidP="001E3C6B">
      <w:pPr>
        <w:pStyle w:val="ParaNumbering"/>
        <w:numPr>
          <w:ilvl w:val="0"/>
          <w:numId w:val="0"/>
        </w:numPr>
        <w:ind w:hanging="720"/>
      </w:pPr>
      <w:r>
        <w:rPr>
          <w:sz w:val="20"/>
        </w:rPr>
        <w:t>152</w:t>
      </w:r>
      <w:r>
        <w:rPr>
          <w:sz w:val="20"/>
        </w:rPr>
        <w:tab/>
      </w:r>
      <w:r w:rsidR="00EE4D06">
        <w:t xml:space="preserve">As to the nature of that reputation, in my view the evidence, the relevant aspects of which I have sought to identify above, overwhelmingly supports the conclusion that the reputation of Botox is as an injectable anti-wrinkle product administered by healthcare professionals.  There is no reputation in the mark </w:t>
      </w:r>
      <w:r w:rsidR="00183EC1">
        <w:t xml:space="preserve">BOTOX </w:t>
      </w:r>
      <w:r w:rsidR="00EE4D06">
        <w:t>that extends to topically applied cosmetics or general cosmetic products or treatments.  The reputation whilst widespread and strong, is in its nature specific.</w:t>
      </w:r>
    </w:p>
    <w:p w14:paraId="07916026" w14:textId="77EF1A99" w:rsidR="00EE4D06" w:rsidRPr="007A08C7" w:rsidRDefault="001E3C6B" w:rsidP="001E3C6B">
      <w:pPr>
        <w:pStyle w:val="ParaNumbering"/>
        <w:numPr>
          <w:ilvl w:val="0"/>
          <w:numId w:val="0"/>
        </w:numPr>
        <w:ind w:hanging="720"/>
      </w:pPr>
      <w:bookmarkStart w:id="58" w:name="_Ref50380244"/>
      <w:r w:rsidRPr="007A08C7">
        <w:rPr>
          <w:sz w:val="20"/>
        </w:rPr>
        <w:t>153</w:t>
      </w:r>
      <w:r w:rsidRPr="007A08C7">
        <w:rPr>
          <w:sz w:val="20"/>
        </w:rPr>
        <w:tab/>
      </w:r>
      <w:r w:rsidR="00415CEB">
        <w:t xml:space="preserve">As already identified, I accept that the general understanding of the use of the word </w:t>
      </w:r>
      <w:r w:rsidR="00A629CF">
        <w:t>BOTOX</w:t>
      </w:r>
      <w:r w:rsidR="00415CEB">
        <w:t xml:space="preserve"> is not necessarily as a reference to Allergan’s product which is branded BOTOX, but is rather understood in a generic sense as referring to an anti-wrinkle injection which could be </w:t>
      </w:r>
      <w:bookmarkEnd w:id="58"/>
      <w:r w:rsidR="000777FC">
        <w:t>Allergan’s product or one of the other botulinum toxin products on the market.</w:t>
      </w:r>
    </w:p>
    <w:p w14:paraId="6F2246ED" w14:textId="6248DFD0" w:rsidR="00EE4D06" w:rsidRPr="007A08C7" w:rsidRDefault="001E3C6B" w:rsidP="00EE4D06">
      <w:pPr>
        <w:pStyle w:val="Heading1"/>
      </w:pPr>
      <w:bookmarkStart w:id="59" w:name="_Ref34128802"/>
      <w:r w:rsidRPr="007A08C7">
        <w:rPr>
          <w:caps w:val="0"/>
        </w:rPr>
        <w:lastRenderedPageBreak/>
        <w:t>TRADE MARK INFRINGEMENT</w:t>
      </w:r>
      <w:bookmarkEnd w:id="59"/>
      <w:r w:rsidRPr="007A08C7">
        <w:rPr>
          <w:caps w:val="0"/>
        </w:rPr>
        <w:t xml:space="preserve"> </w:t>
      </w:r>
    </w:p>
    <w:p w14:paraId="1107E9FC" w14:textId="77777777" w:rsidR="00EE4D06" w:rsidRPr="007A08C7" w:rsidRDefault="00EE4D06" w:rsidP="00EE4D06">
      <w:pPr>
        <w:pStyle w:val="Heading2"/>
      </w:pPr>
      <w:bookmarkStart w:id="60" w:name="_Ref54701572"/>
      <w:r w:rsidRPr="007A08C7">
        <w:t>Infringement of BOTOX trade mark under ss 120(1) and 120(2) of TM Act</w:t>
      </w:r>
      <w:bookmarkEnd w:id="60"/>
    </w:p>
    <w:p w14:paraId="77A833FF" w14:textId="3BA30477" w:rsidR="00EE4D06" w:rsidRPr="007A08C7" w:rsidRDefault="001E3C6B" w:rsidP="001E3C6B">
      <w:pPr>
        <w:pStyle w:val="ParaNumbering"/>
        <w:numPr>
          <w:ilvl w:val="0"/>
          <w:numId w:val="0"/>
        </w:numPr>
        <w:ind w:hanging="720"/>
      </w:pPr>
      <w:r w:rsidRPr="007A08C7">
        <w:rPr>
          <w:sz w:val="20"/>
        </w:rPr>
        <w:t>154</w:t>
      </w:r>
      <w:r w:rsidRPr="007A08C7">
        <w:rPr>
          <w:sz w:val="20"/>
        </w:rPr>
        <w:tab/>
      </w:r>
      <w:r w:rsidR="00EE4D06" w:rsidRPr="004262AB">
        <w:t>Allergan provided the following summary of</w:t>
      </w:r>
      <w:r w:rsidR="00EE4D06" w:rsidRPr="007A08C7">
        <w:t xml:space="preserve"> the issues for determinati</w:t>
      </w:r>
      <w:r w:rsidR="00031110">
        <w:t>on in this part of their claim:</w:t>
      </w:r>
    </w:p>
    <w:p w14:paraId="0ADFBA79" w14:textId="1C7B2765" w:rsidR="00EE4D06" w:rsidRPr="007A08C7" w:rsidRDefault="001E3C6B" w:rsidP="001E3C6B">
      <w:pPr>
        <w:pStyle w:val="ListNo1"/>
        <w:numPr>
          <w:ilvl w:val="0"/>
          <w:numId w:val="0"/>
        </w:numPr>
        <w:tabs>
          <w:tab w:val="left" w:pos="720"/>
        </w:tabs>
        <w:ind w:left="720" w:hanging="720"/>
      </w:pPr>
      <w:r w:rsidRPr="007A08C7">
        <w:t>(1)</w:t>
      </w:r>
      <w:r w:rsidRPr="007A08C7">
        <w:tab/>
      </w:r>
      <w:r w:rsidR="00EE4D06" w:rsidRPr="007A08C7">
        <w:t xml:space="preserve">PROTOX as a word mark: </w:t>
      </w:r>
    </w:p>
    <w:p w14:paraId="440158BF" w14:textId="4BA0D336" w:rsidR="00EE4D06" w:rsidRPr="007A08C7" w:rsidRDefault="00EE4D06" w:rsidP="00EE4D06">
      <w:pPr>
        <w:pStyle w:val="ListNo1"/>
        <w:numPr>
          <w:ilvl w:val="0"/>
          <w:numId w:val="0"/>
        </w:numPr>
        <w:ind w:left="720"/>
      </w:pPr>
      <w:r>
        <w:t>Allergan</w:t>
      </w:r>
      <w:r w:rsidRPr="007A08C7">
        <w:t xml:space="preserve"> submit</w:t>
      </w:r>
      <w:r>
        <w:t>s</w:t>
      </w:r>
      <w:r w:rsidRPr="007A08C7">
        <w:t xml:space="preserve"> that the use by Self Care of the word PROTOX is an infringement because it is used as a trade mark and it is deceptively similar to BOTOX.  Self Care has undertaken to permanently refrain from making what is defined as the </w:t>
      </w:r>
      <w:r>
        <w:t>“</w:t>
      </w:r>
      <w:r w:rsidRPr="007A08C7">
        <w:t>Freezeframe PROTOX statements</w:t>
      </w:r>
      <w:r>
        <w:t>”</w:t>
      </w:r>
      <w:r w:rsidRPr="007A08C7">
        <w:t xml:space="preserve">, none of which involves the use of PROTOX independently of </w:t>
      </w:r>
      <w:r w:rsidR="00A629CF">
        <w:t>FREEZEFRAME</w:t>
      </w:r>
      <w:r w:rsidR="004262AB">
        <w:t>.</w:t>
      </w:r>
      <w:r w:rsidRPr="007A08C7">
        <w:t xml:space="preserve"> </w:t>
      </w:r>
      <w:r w:rsidR="004262AB">
        <w:t xml:space="preserve"> </w:t>
      </w:r>
      <w:r w:rsidRPr="007A08C7">
        <w:t xml:space="preserve">Ms Amoroso </w:t>
      </w:r>
      <w:r w:rsidR="004262AB">
        <w:t xml:space="preserve">also </w:t>
      </w:r>
      <w:r w:rsidRPr="007A08C7">
        <w:t>gave evidence that Self Care does not use PROTOX independently</w:t>
      </w:r>
      <w:r w:rsidR="004262AB">
        <w:t xml:space="preserve">. </w:t>
      </w:r>
      <w:r w:rsidRPr="007A08C7">
        <w:t xml:space="preserve"> </w:t>
      </w:r>
      <w:r w:rsidR="004262AB">
        <w:t xml:space="preserve">Nevertheless, </w:t>
      </w:r>
      <w:r>
        <w:t>Allergan</w:t>
      </w:r>
      <w:r w:rsidRPr="007A08C7">
        <w:t xml:space="preserve"> submit</w:t>
      </w:r>
      <w:r>
        <w:t>s</w:t>
      </w:r>
      <w:r w:rsidRPr="007A08C7">
        <w:t xml:space="preserve"> that an infringement of their trade marks by past and possible future use</w:t>
      </w:r>
      <w:r w:rsidR="00031110">
        <w:t>s of PROTOX is still in issue.</w:t>
      </w:r>
    </w:p>
    <w:p w14:paraId="02B67859" w14:textId="7B80EFC4" w:rsidR="00EE4D06" w:rsidRPr="007A08C7" w:rsidRDefault="001E3C6B" w:rsidP="001E3C6B">
      <w:pPr>
        <w:pStyle w:val="ListNo1"/>
        <w:numPr>
          <w:ilvl w:val="0"/>
          <w:numId w:val="0"/>
        </w:numPr>
        <w:tabs>
          <w:tab w:val="left" w:pos="720"/>
        </w:tabs>
        <w:ind w:left="720" w:hanging="720"/>
      </w:pPr>
      <w:r w:rsidRPr="007A08C7">
        <w:t>(2)</w:t>
      </w:r>
      <w:r w:rsidRPr="007A08C7">
        <w:tab/>
      </w:r>
      <w:r w:rsidR="00EE4D06" w:rsidRPr="007A08C7">
        <w:t xml:space="preserve">Uses of BOTOX in composite phrases – Inhibox: </w:t>
      </w:r>
    </w:p>
    <w:p w14:paraId="2D33A375" w14:textId="72936E87" w:rsidR="00EE4D06" w:rsidRPr="007A08C7" w:rsidRDefault="00EE4D06" w:rsidP="00EE4D06">
      <w:pPr>
        <w:pStyle w:val="ListNo1"/>
        <w:numPr>
          <w:ilvl w:val="0"/>
          <w:numId w:val="0"/>
        </w:numPr>
        <w:ind w:left="720"/>
      </w:pPr>
      <w:r w:rsidRPr="007A08C7">
        <w:t xml:space="preserve">This refers to the use of phrases such as </w:t>
      </w:r>
      <w:r>
        <w:t>“</w:t>
      </w:r>
      <w:r w:rsidRPr="007A08C7">
        <w:t>Instant Botox® alternative</w:t>
      </w:r>
      <w:r>
        <w:t>”</w:t>
      </w:r>
      <w:r w:rsidRPr="007A08C7">
        <w:t xml:space="preserve"> and </w:t>
      </w:r>
      <w:r>
        <w:t>“</w:t>
      </w:r>
      <w:r w:rsidRPr="007A08C7">
        <w:t>The World</w:t>
      </w:r>
      <w:r>
        <w:t>’</w:t>
      </w:r>
      <w:r w:rsidRPr="007A08C7">
        <w:t>s first Instant and Long Term Botox® Alternative</w:t>
      </w:r>
      <w:r>
        <w:t>”</w:t>
      </w:r>
      <w:r w:rsidRPr="007A08C7">
        <w:t xml:space="preserve"> in relation to the Inhibox product.  </w:t>
      </w:r>
      <w:r>
        <w:t>Self Care has</w:t>
      </w:r>
      <w:r w:rsidRPr="007A08C7">
        <w:t xml:space="preserve"> undertaken not to use the phrase </w:t>
      </w:r>
      <w:r>
        <w:t>“</w:t>
      </w:r>
      <w:r w:rsidRPr="007A08C7">
        <w:t>Long Term Botox® alternative</w:t>
      </w:r>
      <w:r>
        <w:t>”</w:t>
      </w:r>
      <w:r w:rsidRPr="007A08C7">
        <w:t xml:space="preserve"> but do</w:t>
      </w:r>
      <w:r>
        <w:t>es</w:t>
      </w:r>
      <w:r w:rsidRPr="007A08C7">
        <w:t xml:space="preserve"> not consent to declarations and pecuniary relief for past uses, and expressly do</w:t>
      </w:r>
      <w:r>
        <w:t>es</w:t>
      </w:r>
      <w:r w:rsidRPr="007A08C7">
        <w:t xml:space="preserve"> not give an undertaking not to use the statement </w:t>
      </w:r>
      <w:r>
        <w:t>“</w:t>
      </w:r>
      <w:r w:rsidRPr="007A08C7">
        <w:t xml:space="preserve">Botox </w:t>
      </w:r>
      <w:r w:rsidR="002A1407" w:rsidRPr="007A08C7">
        <w:t>A</w:t>
      </w:r>
      <w:r w:rsidRPr="007A08C7">
        <w:t>lternative</w:t>
      </w:r>
      <w:r>
        <w:t>”</w:t>
      </w:r>
      <w:r w:rsidRPr="007A08C7">
        <w:t xml:space="preserve">.  </w:t>
      </w:r>
      <w:r>
        <w:t>It</w:t>
      </w:r>
      <w:r w:rsidRPr="007A08C7">
        <w:t xml:space="preserve"> also do</w:t>
      </w:r>
      <w:r>
        <w:t>es</w:t>
      </w:r>
      <w:r w:rsidRPr="007A08C7">
        <w:t xml:space="preserve"> not undertake not to use </w:t>
      </w:r>
      <w:r>
        <w:t>“</w:t>
      </w:r>
      <w:r w:rsidRPr="007A08C7">
        <w:t>Instant Botox® Alternative</w:t>
      </w:r>
      <w:r>
        <w:t>”</w:t>
      </w:r>
      <w:r w:rsidRPr="007A08C7">
        <w:t xml:space="preserve">.  Thus, </w:t>
      </w:r>
      <w:r>
        <w:t>Allergan</w:t>
      </w:r>
      <w:r w:rsidRPr="007A08C7">
        <w:t xml:space="preserve"> say</w:t>
      </w:r>
      <w:r>
        <w:t>s</w:t>
      </w:r>
      <w:r w:rsidRPr="007A08C7">
        <w:t xml:space="preserve"> that infringement and threatened infringement by uses of the phrases in the manner used by </w:t>
      </w:r>
      <w:r>
        <w:t xml:space="preserve">Self Care </w:t>
      </w:r>
      <w:r w:rsidRPr="007A08C7">
        <w:t>is in issue</w:t>
      </w:r>
      <w:r w:rsidR="000777FC">
        <w:t>,</w:t>
      </w:r>
      <w:r w:rsidRPr="007A08C7">
        <w:t xml:space="preserve"> but that infringement by </w:t>
      </w:r>
      <w:r>
        <w:t>“</w:t>
      </w:r>
      <w:r w:rsidRPr="007A08C7">
        <w:t>Botox Alternative</w:t>
      </w:r>
      <w:r>
        <w:t>”</w:t>
      </w:r>
      <w:r w:rsidRPr="007A08C7">
        <w:t xml:space="preserve"> </w:t>
      </w:r>
      <w:r w:rsidR="002A1407">
        <w:t>s</w:t>
      </w:r>
      <w:r w:rsidRPr="007A08C7">
        <w:t>implicit</w:t>
      </w:r>
      <w:r w:rsidR="002A1407">
        <w:t>er</w:t>
      </w:r>
      <w:r w:rsidRPr="007A08C7">
        <w:t xml:space="preserve"> is not </w:t>
      </w:r>
      <w:r w:rsidR="00575C17">
        <w:t>in</w:t>
      </w:r>
      <w:r w:rsidR="00575C17" w:rsidRPr="007A08C7">
        <w:t xml:space="preserve"> </w:t>
      </w:r>
      <w:r w:rsidRPr="007A08C7">
        <w:t>issue</w:t>
      </w:r>
      <w:r w:rsidR="000777FC">
        <w:t>,</w:t>
      </w:r>
      <w:r w:rsidRPr="007A08C7">
        <w:t xml:space="preserve"> and that there are no such uses p</w:t>
      </w:r>
      <w:r w:rsidR="00031110">
        <w:t>ut in evidence by either party.</w:t>
      </w:r>
    </w:p>
    <w:p w14:paraId="31129108" w14:textId="3DFBAF4D" w:rsidR="00EE4D06" w:rsidRPr="007A08C7" w:rsidRDefault="001E3C6B" w:rsidP="001E3C6B">
      <w:pPr>
        <w:pStyle w:val="ListNo1"/>
        <w:numPr>
          <w:ilvl w:val="0"/>
          <w:numId w:val="0"/>
        </w:numPr>
        <w:tabs>
          <w:tab w:val="left" w:pos="720"/>
        </w:tabs>
        <w:ind w:left="720" w:hanging="720"/>
      </w:pPr>
      <w:r w:rsidRPr="007A08C7">
        <w:t>(3)</w:t>
      </w:r>
      <w:r w:rsidRPr="007A08C7">
        <w:tab/>
      </w:r>
      <w:r w:rsidR="00EE4D06" w:rsidRPr="007A08C7">
        <w:t xml:space="preserve">Uses of BOTOX in composite phrases – Night (tube): </w:t>
      </w:r>
    </w:p>
    <w:p w14:paraId="30529C00" w14:textId="62825420" w:rsidR="00EE4D06" w:rsidRPr="007A08C7" w:rsidRDefault="00EE4D06" w:rsidP="00EE4D06">
      <w:pPr>
        <w:pStyle w:val="ListNo1"/>
        <w:numPr>
          <w:ilvl w:val="0"/>
          <w:numId w:val="0"/>
        </w:numPr>
        <w:ind w:left="720"/>
      </w:pPr>
      <w:r w:rsidRPr="007A08C7">
        <w:t xml:space="preserve">This refers to the use of phrases such as </w:t>
      </w:r>
      <w:r>
        <w:t>“</w:t>
      </w:r>
      <w:r w:rsidRPr="007A08C7">
        <w:t>overnight Collagen and Botox Alternative</w:t>
      </w:r>
      <w:r>
        <w:t>”</w:t>
      </w:r>
      <w:r w:rsidRPr="007A08C7">
        <w:t xml:space="preserve">, </w:t>
      </w:r>
      <w:r>
        <w:t>“</w:t>
      </w:r>
      <w:r w:rsidRPr="007A08C7">
        <w:t>Discover the overnight BOTOX® Alternative</w:t>
      </w:r>
      <w:r>
        <w:t>”</w:t>
      </w:r>
      <w:r w:rsidRPr="007A08C7">
        <w:t xml:space="preserve">, </w:t>
      </w:r>
      <w:r>
        <w:t>“</w:t>
      </w:r>
      <w:r w:rsidR="002A1407" w:rsidRPr="007A08C7">
        <w:t>D</w:t>
      </w:r>
      <w:r w:rsidRPr="007A08C7">
        <w:t>elivers the results of a collagen injection in 5 weeks and a Botox injection in 4 weeks!</w:t>
      </w:r>
      <w:r>
        <w:t>”</w:t>
      </w:r>
      <w:r w:rsidRPr="007A08C7">
        <w:t xml:space="preserve">, and similar phrases.  </w:t>
      </w:r>
      <w:r>
        <w:t>Self Care</w:t>
      </w:r>
      <w:r w:rsidRPr="007A08C7">
        <w:t xml:space="preserve"> ha</w:t>
      </w:r>
      <w:r>
        <w:t>s</w:t>
      </w:r>
      <w:r w:rsidRPr="007A08C7">
        <w:t xml:space="preserve"> undertaken not to use the </w:t>
      </w:r>
      <w:r>
        <w:t>“</w:t>
      </w:r>
      <w:r w:rsidRPr="007A08C7">
        <w:t>Delivers the results of a</w:t>
      </w:r>
      <w:r w:rsidR="00200631">
        <w:t xml:space="preserve"> </w:t>
      </w:r>
      <w:r w:rsidRPr="007A08C7">
        <w:t>… Botox injection in 4 weeks</w:t>
      </w:r>
      <w:r>
        <w:t>”</w:t>
      </w:r>
      <w:r w:rsidR="00D15B57">
        <w:t xml:space="preserve"> phrases</w:t>
      </w:r>
      <w:r w:rsidRPr="007A08C7">
        <w:t xml:space="preserve">, but expressly </w:t>
      </w:r>
      <w:r w:rsidR="00D15B57">
        <w:t xml:space="preserve">states that it </w:t>
      </w:r>
      <w:r w:rsidRPr="007A08C7">
        <w:t>do</w:t>
      </w:r>
      <w:r>
        <w:t>es</w:t>
      </w:r>
      <w:r w:rsidRPr="007A08C7">
        <w:t xml:space="preserve"> not undertake not to make the statement </w:t>
      </w:r>
      <w:r>
        <w:t>“</w:t>
      </w:r>
      <w:r w:rsidRPr="007A08C7">
        <w:t>provides an alternative to a Botox injection</w:t>
      </w:r>
      <w:r>
        <w:t>”</w:t>
      </w:r>
      <w:r w:rsidRPr="007A08C7">
        <w:t>.</w:t>
      </w:r>
      <w:r w:rsidR="00D15B57">
        <w:t xml:space="preserve">  Self Care does not undertake not to use the “</w:t>
      </w:r>
      <w:r w:rsidR="00D15B57" w:rsidRPr="007A08C7">
        <w:t>overnight Botox Alternative</w:t>
      </w:r>
      <w:r w:rsidR="00D15B57">
        <w:t>” phrases.</w:t>
      </w:r>
    </w:p>
    <w:p w14:paraId="6C377966" w14:textId="0B0445F0" w:rsidR="00EE4D06" w:rsidRPr="007A08C7" w:rsidRDefault="001E3C6B" w:rsidP="001E3C6B">
      <w:pPr>
        <w:pStyle w:val="ListNo1"/>
        <w:numPr>
          <w:ilvl w:val="0"/>
          <w:numId w:val="0"/>
        </w:numPr>
        <w:tabs>
          <w:tab w:val="left" w:pos="720"/>
        </w:tabs>
        <w:ind w:left="720" w:hanging="720"/>
      </w:pPr>
      <w:r w:rsidRPr="007A08C7">
        <w:t>(4)</w:t>
      </w:r>
      <w:r w:rsidRPr="007A08C7">
        <w:tab/>
      </w:r>
      <w:r w:rsidR="00EE4D06" w:rsidRPr="007A08C7">
        <w:t xml:space="preserve">Uses </w:t>
      </w:r>
      <w:r w:rsidR="00EE4D06" w:rsidRPr="002332F2">
        <w:t>of BOTOX in composite phrases – Night (tub</w:t>
      </w:r>
      <w:r w:rsidR="00EE4D06" w:rsidRPr="007A08C7">
        <w:t>):</w:t>
      </w:r>
    </w:p>
    <w:p w14:paraId="2739303F" w14:textId="4C1223A7" w:rsidR="00EE4D06" w:rsidRPr="007A08C7" w:rsidRDefault="00EE4D06" w:rsidP="00EE4D06">
      <w:pPr>
        <w:pStyle w:val="ListNo1"/>
        <w:numPr>
          <w:ilvl w:val="0"/>
          <w:numId w:val="0"/>
        </w:numPr>
        <w:ind w:left="720"/>
      </w:pPr>
      <w:r w:rsidRPr="007A08C7">
        <w:lastRenderedPageBreak/>
        <w:t xml:space="preserve">This refers to the use of phrases such as </w:t>
      </w:r>
      <w:r>
        <w:t>“</w:t>
      </w:r>
      <w:r w:rsidRPr="007A08C7">
        <w:t>Overnight Botox® Alternative</w:t>
      </w:r>
      <w:r>
        <w:t>”</w:t>
      </w:r>
      <w:r w:rsidRPr="007A08C7">
        <w:t xml:space="preserve"> and </w:t>
      </w:r>
      <w:r>
        <w:t>“</w:t>
      </w:r>
      <w:r w:rsidRPr="007A08C7">
        <w:t>Long term BOTOX® alternative</w:t>
      </w:r>
      <w:r>
        <w:t>”</w:t>
      </w:r>
      <w:r w:rsidRPr="007A08C7">
        <w:t xml:space="preserve">.  </w:t>
      </w:r>
      <w:r>
        <w:t>Self Care has</w:t>
      </w:r>
      <w:r w:rsidRPr="007A08C7">
        <w:t xml:space="preserve"> undertaken not to use these phrases but </w:t>
      </w:r>
      <w:r>
        <w:t>it does</w:t>
      </w:r>
      <w:r w:rsidRPr="007A08C7">
        <w:t xml:space="preserve"> not consent to declarations and pecuniary relief for past uses.  </w:t>
      </w:r>
      <w:r>
        <w:t>It</w:t>
      </w:r>
      <w:r w:rsidRPr="007A08C7">
        <w:t xml:space="preserve"> also make</w:t>
      </w:r>
      <w:r>
        <w:t>s</w:t>
      </w:r>
      <w:r w:rsidRPr="007A08C7">
        <w:t xml:space="preserve"> it explicit that </w:t>
      </w:r>
      <w:r>
        <w:t xml:space="preserve">it does </w:t>
      </w:r>
      <w:r w:rsidRPr="007A08C7">
        <w:t xml:space="preserve">not undertake not to make the statement </w:t>
      </w:r>
      <w:r>
        <w:t>“</w:t>
      </w:r>
      <w:r w:rsidRPr="007A08C7">
        <w:t>Botox Alternative</w:t>
      </w:r>
      <w:r>
        <w:t>”</w:t>
      </w:r>
      <w:r w:rsidRPr="007A08C7">
        <w:t xml:space="preserve"> or </w:t>
      </w:r>
      <w:r>
        <w:t>“</w:t>
      </w:r>
      <w:r w:rsidRPr="007A08C7">
        <w:t>alternative to Botox injections</w:t>
      </w:r>
      <w:r>
        <w:t>”</w:t>
      </w:r>
      <w:r w:rsidRPr="007A08C7">
        <w:t>.</w:t>
      </w:r>
    </w:p>
    <w:p w14:paraId="57FCB3D5" w14:textId="580676B1" w:rsidR="00EE4D06" w:rsidRPr="007A08C7" w:rsidRDefault="001E3C6B" w:rsidP="001E3C6B">
      <w:pPr>
        <w:pStyle w:val="ListNo1"/>
        <w:numPr>
          <w:ilvl w:val="0"/>
          <w:numId w:val="0"/>
        </w:numPr>
        <w:tabs>
          <w:tab w:val="left" w:pos="720"/>
        </w:tabs>
        <w:ind w:left="720" w:hanging="720"/>
      </w:pPr>
      <w:r w:rsidRPr="007A08C7">
        <w:t>(5)</w:t>
      </w:r>
      <w:r w:rsidRPr="007A08C7">
        <w:tab/>
      </w:r>
      <w:r w:rsidR="00EE4D06" w:rsidRPr="007A08C7">
        <w:t>Uses of BOTOX in composite phrases – Boost:</w:t>
      </w:r>
    </w:p>
    <w:p w14:paraId="148BCF25" w14:textId="30DD9E52" w:rsidR="00EE4D06" w:rsidRPr="007A08C7" w:rsidRDefault="00EE4D06" w:rsidP="00EE4D06">
      <w:pPr>
        <w:pStyle w:val="ListNo1"/>
        <w:numPr>
          <w:ilvl w:val="0"/>
          <w:numId w:val="0"/>
        </w:numPr>
        <w:ind w:left="720"/>
      </w:pPr>
      <w:r w:rsidRPr="007A08C7">
        <w:t xml:space="preserve">This refers to the use of phrases such as </w:t>
      </w:r>
      <w:r>
        <w:t>“</w:t>
      </w:r>
      <w:r w:rsidRPr="007A08C7">
        <w:t>Long term BOTOX® alternative</w:t>
      </w:r>
      <w:r>
        <w:t>”</w:t>
      </w:r>
      <w:r w:rsidRPr="007A08C7">
        <w:t xml:space="preserve"> and </w:t>
      </w:r>
      <w:r>
        <w:t>“</w:t>
      </w:r>
      <w:r w:rsidRPr="007A08C7">
        <w:t>Botox® alternative peptides</w:t>
      </w:r>
      <w:r>
        <w:t>”</w:t>
      </w:r>
      <w:r w:rsidRPr="007A08C7">
        <w:t xml:space="preserve">.  </w:t>
      </w:r>
      <w:r>
        <w:t>Self Care has</w:t>
      </w:r>
      <w:r w:rsidRPr="007A08C7">
        <w:t xml:space="preserve"> not undertaken not to use these phrases.  Infringement and threatened infringement by the use of these phrases is</w:t>
      </w:r>
      <w:r w:rsidR="00031110">
        <w:t xml:space="preserve"> thus in issue.</w:t>
      </w:r>
    </w:p>
    <w:p w14:paraId="52966CF9" w14:textId="7FA0D489" w:rsidR="00EE4D06" w:rsidRPr="007A08C7" w:rsidRDefault="001E3C6B" w:rsidP="001E3C6B">
      <w:pPr>
        <w:pStyle w:val="ListNo1"/>
        <w:numPr>
          <w:ilvl w:val="0"/>
          <w:numId w:val="0"/>
        </w:numPr>
        <w:tabs>
          <w:tab w:val="left" w:pos="720"/>
        </w:tabs>
        <w:ind w:left="720" w:hanging="720"/>
      </w:pPr>
      <w:r w:rsidRPr="007A08C7">
        <w:t>(6)</w:t>
      </w:r>
      <w:r w:rsidRPr="007A08C7">
        <w:tab/>
      </w:r>
      <w:r w:rsidR="00EE4D06" w:rsidRPr="007A08C7">
        <w:t xml:space="preserve">Use of BOTOX in composite phrases – </w:t>
      </w:r>
      <w:r w:rsidR="008A20DF" w:rsidRPr="007A08C7">
        <w:t>Protox</w:t>
      </w:r>
      <w:r w:rsidR="00EE4D06" w:rsidRPr="007A08C7">
        <w:t>:</w:t>
      </w:r>
    </w:p>
    <w:p w14:paraId="6FDF5E93" w14:textId="321B38BB" w:rsidR="00EE4D06" w:rsidRPr="007A08C7" w:rsidRDefault="00EE4D06" w:rsidP="00EE4D06">
      <w:pPr>
        <w:pStyle w:val="ListNo1"/>
        <w:numPr>
          <w:ilvl w:val="0"/>
          <w:numId w:val="0"/>
        </w:numPr>
        <w:ind w:left="720"/>
      </w:pPr>
      <w:r w:rsidRPr="007A08C7">
        <w:t xml:space="preserve">This refers to the use of the phrase </w:t>
      </w:r>
      <w:r>
        <w:t>“</w:t>
      </w:r>
      <w:r w:rsidRPr="007A08C7">
        <w:t>prolong the look of BOTOX®</w:t>
      </w:r>
      <w:r>
        <w:t>”</w:t>
      </w:r>
      <w:r w:rsidRPr="007A08C7">
        <w:t xml:space="preserve">.  </w:t>
      </w:r>
      <w:r>
        <w:t>Self Care has</w:t>
      </w:r>
      <w:r w:rsidRPr="007A08C7">
        <w:t xml:space="preserve"> undertaken not to use this phrase, but </w:t>
      </w:r>
      <w:r>
        <w:t>it does</w:t>
      </w:r>
      <w:r w:rsidRPr="007A08C7">
        <w:t xml:space="preserve"> not consent to declarations and pecuniary relief.  Infringement by past use of the phrase is thus in issue.  </w:t>
      </w:r>
      <w:r>
        <w:t>It</w:t>
      </w:r>
      <w:r w:rsidRPr="007A08C7">
        <w:t xml:space="preserve"> also make</w:t>
      </w:r>
      <w:r>
        <w:t>s</w:t>
      </w:r>
      <w:r w:rsidRPr="007A08C7">
        <w:t xml:space="preserve"> express that </w:t>
      </w:r>
      <w:r>
        <w:t>it does</w:t>
      </w:r>
      <w:r w:rsidRPr="007A08C7">
        <w:t xml:space="preserve"> not undertake not to make the statement </w:t>
      </w:r>
      <w:r>
        <w:t>“</w:t>
      </w:r>
      <w:r w:rsidRPr="007A08C7">
        <w:t>Botox alternative</w:t>
      </w:r>
      <w:r>
        <w:t>”</w:t>
      </w:r>
      <w:r w:rsidR="00031110">
        <w:t>.</w:t>
      </w:r>
    </w:p>
    <w:p w14:paraId="673C309A" w14:textId="77777777" w:rsidR="00EE4D06" w:rsidRPr="007A08C7" w:rsidRDefault="00EE4D06" w:rsidP="00EE4D06">
      <w:pPr>
        <w:pStyle w:val="Heading2"/>
      </w:pPr>
      <w:bookmarkStart w:id="61" w:name="_Ref54701573"/>
      <w:r w:rsidRPr="007A08C7">
        <w:t>Section 120 of the TM Act</w:t>
      </w:r>
      <w:bookmarkEnd w:id="61"/>
    </w:p>
    <w:p w14:paraId="0B215FE3" w14:textId="57B2C0F1" w:rsidR="00EE4D06" w:rsidRPr="007A08C7" w:rsidRDefault="001E3C6B" w:rsidP="001E3C6B">
      <w:pPr>
        <w:pStyle w:val="ParaNumbering"/>
        <w:numPr>
          <w:ilvl w:val="0"/>
          <w:numId w:val="0"/>
        </w:numPr>
        <w:ind w:hanging="720"/>
      </w:pPr>
      <w:r w:rsidRPr="007A08C7">
        <w:rPr>
          <w:sz w:val="20"/>
        </w:rPr>
        <w:t>155</w:t>
      </w:r>
      <w:r w:rsidRPr="007A08C7">
        <w:rPr>
          <w:sz w:val="20"/>
        </w:rPr>
        <w:tab/>
      </w:r>
      <w:r w:rsidR="00EE4D06" w:rsidRPr="007A08C7">
        <w:t>It is convenient to commence with s</w:t>
      </w:r>
      <w:r w:rsidR="00EE4D06">
        <w:t xml:space="preserve">s 120(1) and </w:t>
      </w:r>
      <w:r w:rsidR="00EE4D06" w:rsidRPr="007A08C7">
        <w:t>120(2) of the TM Act which provide:</w:t>
      </w:r>
    </w:p>
    <w:p w14:paraId="1A683613" w14:textId="77777777" w:rsidR="00EE4D06" w:rsidRPr="007A08C7" w:rsidRDefault="00EE4D06" w:rsidP="00EE4D06">
      <w:pPr>
        <w:pStyle w:val="Quote1"/>
        <w:tabs>
          <w:tab w:val="left" w:pos="1276"/>
        </w:tabs>
        <w:ind w:left="1276" w:hanging="567"/>
        <w:rPr>
          <w:b/>
        </w:rPr>
      </w:pPr>
      <w:bookmarkStart w:id="62" w:name="_Toc1725332"/>
      <w:r w:rsidRPr="007A08C7">
        <w:rPr>
          <w:b/>
        </w:rPr>
        <w:t>120 </w:t>
      </w:r>
      <w:r w:rsidRPr="007A08C7">
        <w:rPr>
          <w:b/>
        </w:rPr>
        <w:tab/>
        <w:t>When is a registered trade mark infringed?</w:t>
      </w:r>
      <w:bookmarkEnd w:id="62"/>
    </w:p>
    <w:p w14:paraId="2AEF29A1" w14:textId="77777777" w:rsidR="00EE4D06" w:rsidRPr="007A08C7" w:rsidRDefault="00EE4D06" w:rsidP="00EE4D06">
      <w:pPr>
        <w:pStyle w:val="Quote1"/>
        <w:tabs>
          <w:tab w:val="left" w:pos="1276"/>
        </w:tabs>
        <w:ind w:left="1276" w:hanging="567"/>
        <w:rPr>
          <w:iCs/>
        </w:rPr>
      </w:pPr>
      <w:r w:rsidRPr="007A08C7">
        <w:rPr>
          <w:iCs/>
        </w:rPr>
        <w:t xml:space="preserve">(1) </w:t>
      </w:r>
      <w:r w:rsidRPr="007A08C7">
        <w:rPr>
          <w:iCs/>
        </w:rPr>
        <w:tab/>
        <w:t xml:space="preserve">A person infringes a registered trade mark if the person </w:t>
      </w:r>
      <w:r w:rsidRPr="007A08C7">
        <w:rPr>
          <w:bCs/>
          <w:iCs/>
        </w:rPr>
        <w:t>uses as a trade mark</w:t>
      </w:r>
      <w:r w:rsidRPr="007A08C7">
        <w:rPr>
          <w:b/>
          <w:bCs/>
          <w:iCs/>
        </w:rPr>
        <w:t xml:space="preserve"> </w:t>
      </w:r>
      <w:r w:rsidRPr="007A08C7">
        <w:rPr>
          <w:iCs/>
        </w:rPr>
        <w:t>a sign that is substantially identical with, or deceptively similar to, the trade mark in relation to goods or services in respect of which the trade mark is registered.</w:t>
      </w:r>
    </w:p>
    <w:p w14:paraId="341CDE34" w14:textId="77777777" w:rsidR="00EE4D06" w:rsidRPr="007A08C7" w:rsidRDefault="00EE4D06" w:rsidP="00EE4D06">
      <w:pPr>
        <w:pStyle w:val="Quote1"/>
        <w:tabs>
          <w:tab w:val="left" w:pos="1276"/>
        </w:tabs>
        <w:ind w:left="1276" w:hanging="567"/>
        <w:rPr>
          <w:iCs/>
        </w:rPr>
      </w:pPr>
      <w:r w:rsidRPr="007A08C7">
        <w:rPr>
          <w:iCs/>
        </w:rPr>
        <w:t>(2)</w:t>
      </w:r>
      <w:r w:rsidRPr="007A08C7">
        <w:t xml:space="preserve"> </w:t>
      </w:r>
      <w:r w:rsidRPr="007A08C7">
        <w:tab/>
      </w:r>
      <w:r w:rsidRPr="007A08C7">
        <w:rPr>
          <w:iCs/>
        </w:rPr>
        <w:t>A person infringes a registered trade mark if the person uses as a trade mark a sign that is substantially identical with, or deceptively similar to, the trade mark in relation to:</w:t>
      </w:r>
    </w:p>
    <w:p w14:paraId="52854D20" w14:textId="77777777" w:rsidR="00EE4D06" w:rsidRPr="007A08C7" w:rsidRDefault="00EE4D06" w:rsidP="000777FC">
      <w:pPr>
        <w:pStyle w:val="Quote2"/>
        <w:ind w:left="2160" w:hanging="720"/>
      </w:pPr>
      <w:r w:rsidRPr="007A08C7">
        <w:t xml:space="preserve">(a)  </w:t>
      </w:r>
      <w:r w:rsidRPr="007A08C7">
        <w:tab/>
        <w:t>goods of the same description as that of goods (</w:t>
      </w:r>
      <w:r w:rsidRPr="007A08C7">
        <w:rPr>
          <w:b/>
          <w:bCs/>
        </w:rPr>
        <w:t>registered goods</w:t>
      </w:r>
      <w:r w:rsidRPr="007A08C7">
        <w:t>) in respect of which the trade mark is registered; or</w:t>
      </w:r>
    </w:p>
    <w:p w14:paraId="5EECB577" w14:textId="77777777" w:rsidR="00EE4D06" w:rsidRPr="007A08C7" w:rsidRDefault="00EE4D06" w:rsidP="000777FC">
      <w:pPr>
        <w:pStyle w:val="Quote2"/>
      </w:pPr>
      <w:r w:rsidRPr="007A08C7">
        <w:t xml:space="preserve">(b)  </w:t>
      </w:r>
      <w:r w:rsidRPr="007A08C7">
        <w:tab/>
        <w:t>services that are closely related to registered goods; or</w:t>
      </w:r>
    </w:p>
    <w:p w14:paraId="39FA8533" w14:textId="77777777" w:rsidR="00EE4D06" w:rsidRPr="007A08C7" w:rsidRDefault="00EE4D06" w:rsidP="000777FC">
      <w:pPr>
        <w:pStyle w:val="Quote2"/>
        <w:ind w:left="2160" w:hanging="720"/>
      </w:pPr>
      <w:r w:rsidRPr="007A08C7">
        <w:t xml:space="preserve">(c)  </w:t>
      </w:r>
      <w:r w:rsidRPr="007A08C7">
        <w:tab/>
        <w:t>services of the same description as that of services (</w:t>
      </w:r>
      <w:r w:rsidRPr="007A08C7">
        <w:rPr>
          <w:b/>
          <w:bCs/>
        </w:rPr>
        <w:t>registered services</w:t>
      </w:r>
      <w:r w:rsidRPr="007A08C7">
        <w:t>) in respect of which the trade mark is registered; or</w:t>
      </w:r>
    </w:p>
    <w:p w14:paraId="5AD4CFBD" w14:textId="77777777" w:rsidR="00EE4D06" w:rsidRPr="007A08C7" w:rsidRDefault="00EE4D06" w:rsidP="000777FC">
      <w:pPr>
        <w:pStyle w:val="Quote2"/>
      </w:pPr>
      <w:r w:rsidRPr="007A08C7">
        <w:t xml:space="preserve">(d)  </w:t>
      </w:r>
      <w:r w:rsidRPr="007A08C7">
        <w:tab/>
        <w:t>goods that are closely related to registered services.</w:t>
      </w:r>
    </w:p>
    <w:p w14:paraId="31327A2D" w14:textId="77777777" w:rsidR="00EE4D06" w:rsidRPr="007A08C7" w:rsidRDefault="00EE4D06" w:rsidP="00EE4D06">
      <w:pPr>
        <w:pStyle w:val="Quote1"/>
        <w:tabs>
          <w:tab w:val="left" w:pos="1276"/>
        </w:tabs>
        <w:ind w:left="1276" w:hanging="567"/>
        <w:rPr>
          <w:iCs/>
        </w:rPr>
      </w:pPr>
      <w:r w:rsidRPr="007A08C7">
        <w:rPr>
          <w:iCs/>
        </w:rPr>
        <w:tab/>
        <w:t>However, the person is not taken to have infringed the trade mark if the person establishes that using the sign as the person did is not likely to deceive or cause confusion.</w:t>
      </w:r>
    </w:p>
    <w:p w14:paraId="7885D521" w14:textId="36B84EC6" w:rsidR="00EE4D06" w:rsidRPr="007A08C7" w:rsidRDefault="001E3C6B" w:rsidP="001E3C6B">
      <w:pPr>
        <w:pStyle w:val="ParaNumbering"/>
        <w:numPr>
          <w:ilvl w:val="0"/>
          <w:numId w:val="0"/>
        </w:numPr>
        <w:ind w:hanging="720"/>
      </w:pPr>
      <w:r w:rsidRPr="007A08C7">
        <w:rPr>
          <w:sz w:val="20"/>
        </w:rPr>
        <w:t>156</w:t>
      </w:r>
      <w:r w:rsidRPr="007A08C7">
        <w:rPr>
          <w:sz w:val="20"/>
        </w:rPr>
        <w:tab/>
      </w:r>
      <w:r w:rsidR="00EE4D06" w:rsidRPr="007A08C7">
        <w:t xml:space="preserve">By s 17, </w:t>
      </w:r>
      <w:r w:rsidR="00EE4D06">
        <w:t>“</w:t>
      </w:r>
      <w:r w:rsidR="00EE4D06" w:rsidRPr="007A08C7">
        <w:t>a trade mark is a sign used, or intended to be used, to distinguish goods or services dealt with or provided in the course of trade by a person from goods or services so dealt with or provided by any other person.</w:t>
      </w:r>
      <w:r w:rsidR="00EE4D06">
        <w:t>”</w:t>
      </w:r>
      <w:r w:rsidR="00EE4D06" w:rsidRPr="007A08C7">
        <w:t xml:space="preserve">  A sign includes any word or combination of words</w:t>
      </w:r>
      <w:r w:rsidR="00F01AC0">
        <w:t>:</w:t>
      </w:r>
      <w:r w:rsidR="00EE4D06" w:rsidRPr="007A08C7">
        <w:t xml:space="preserve"> s 6.</w:t>
      </w:r>
    </w:p>
    <w:p w14:paraId="414E4973" w14:textId="6B22F25A" w:rsidR="00EE4D06" w:rsidRPr="007A08C7" w:rsidRDefault="001E3C6B" w:rsidP="001E3C6B">
      <w:pPr>
        <w:pStyle w:val="ParaNumbering"/>
        <w:numPr>
          <w:ilvl w:val="0"/>
          <w:numId w:val="0"/>
        </w:numPr>
        <w:ind w:hanging="720"/>
      </w:pPr>
      <w:r w:rsidRPr="007A08C7">
        <w:rPr>
          <w:sz w:val="20"/>
        </w:rPr>
        <w:lastRenderedPageBreak/>
        <w:t>157</w:t>
      </w:r>
      <w:r w:rsidRPr="007A08C7">
        <w:rPr>
          <w:sz w:val="20"/>
        </w:rPr>
        <w:tab/>
      </w:r>
      <w:r w:rsidR="00EE4D06" w:rsidRPr="007A08C7">
        <w:t>There are three main elements to be established for infringement under s 120(1)</w:t>
      </w:r>
      <w:r w:rsidR="00D601DE">
        <w:t xml:space="preserve"> or (2)</w:t>
      </w:r>
      <w:r w:rsidR="00EE4D06" w:rsidRPr="007A08C7">
        <w:t xml:space="preserve">, namely: (1) the impugned sign must be used </w:t>
      </w:r>
      <w:r w:rsidR="00EE4D06">
        <w:t>“</w:t>
      </w:r>
      <w:r w:rsidR="00EE4D06" w:rsidRPr="007A08C7">
        <w:t>as a trade mark</w:t>
      </w:r>
      <w:r w:rsidR="00EE4D06">
        <w:t>”</w:t>
      </w:r>
      <w:r w:rsidR="00EE4D06" w:rsidRPr="007A08C7">
        <w:t>; (2) it must be substantially identical with or deceptively similar to the registered trade</w:t>
      </w:r>
      <w:r w:rsidR="006D59B0">
        <w:t xml:space="preserve"> </w:t>
      </w:r>
      <w:r w:rsidR="00EE4D06" w:rsidRPr="007A08C7">
        <w:t xml:space="preserve">mark; and (3) it must be used in relation to the registered goods (s 120(1)) or goods of the same description </w:t>
      </w:r>
      <w:r w:rsidR="00D601DE">
        <w:t xml:space="preserve">as the registered goods </w:t>
      </w:r>
      <w:r w:rsidR="00EE4D06" w:rsidRPr="007A08C7">
        <w:t xml:space="preserve">(s 120(2)(a)).  </w:t>
      </w:r>
    </w:p>
    <w:p w14:paraId="7364A15B" w14:textId="4E6DF37D" w:rsidR="00EE4D06" w:rsidRPr="007A08C7" w:rsidRDefault="001E3C6B" w:rsidP="001E3C6B">
      <w:pPr>
        <w:pStyle w:val="ParaNumbering"/>
        <w:numPr>
          <w:ilvl w:val="0"/>
          <w:numId w:val="0"/>
        </w:numPr>
        <w:ind w:hanging="720"/>
      </w:pPr>
      <w:r w:rsidRPr="007A08C7">
        <w:rPr>
          <w:sz w:val="20"/>
        </w:rPr>
        <w:t>158</w:t>
      </w:r>
      <w:r w:rsidRPr="007A08C7">
        <w:rPr>
          <w:sz w:val="20"/>
        </w:rPr>
        <w:tab/>
      </w:r>
      <w:r w:rsidR="00EE4D06" w:rsidRPr="007A08C7">
        <w:t>In this case, all three elements are in issue in relation to different parts of the claim.</w:t>
      </w:r>
    </w:p>
    <w:p w14:paraId="768F256E" w14:textId="358817EE" w:rsidR="00EE4D06" w:rsidRPr="007A08C7" w:rsidRDefault="001E3C6B" w:rsidP="001E3C6B">
      <w:pPr>
        <w:pStyle w:val="Heading3"/>
        <w:ind w:left="426" w:hanging="360"/>
      </w:pPr>
      <w:bookmarkStart w:id="63" w:name="_Ref54701574"/>
      <w:r w:rsidRPr="007A08C7">
        <w:t>(1)</w:t>
      </w:r>
      <w:r w:rsidRPr="007A08C7">
        <w:tab/>
      </w:r>
      <w:r w:rsidR="00EE4D06" w:rsidRPr="007A08C7">
        <w:t>Use as a trade mark – principles</w:t>
      </w:r>
      <w:bookmarkEnd w:id="63"/>
    </w:p>
    <w:p w14:paraId="6C9BD316" w14:textId="4E5E751F" w:rsidR="00EE4D06" w:rsidRPr="003301D7" w:rsidRDefault="001E3C6B" w:rsidP="001E3C6B">
      <w:pPr>
        <w:pStyle w:val="ParaNumbering"/>
        <w:numPr>
          <w:ilvl w:val="0"/>
          <w:numId w:val="0"/>
        </w:numPr>
        <w:ind w:hanging="720"/>
      </w:pPr>
      <w:bookmarkStart w:id="64" w:name="_Ref39563777"/>
      <w:r w:rsidRPr="003301D7">
        <w:rPr>
          <w:sz w:val="20"/>
        </w:rPr>
        <w:t>159</w:t>
      </w:r>
      <w:r w:rsidRPr="003301D7">
        <w:rPr>
          <w:sz w:val="20"/>
        </w:rPr>
        <w:tab/>
      </w:r>
      <w:r w:rsidR="00EE4D06" w:rsidRPr="007A08C7">
        <w:rPr>
          <w:iCs/>
        </w:rPr>
        <w:t xml:space="preserve">Use of a mark </w:t>
      </w:r>
      <w:r w:rsidR="00EE4D06">
        <w:rPr>
          <w:iCs/>
        </w:rPr>
        <w:t>“</w:t>
      </w:r>
      <w:r w:rsidR="00EE4D06" w:rsidRPr="007A08C7">
        <w:rPr>
          <w:iCs/>
        </w:rPr>
        <w:t>as a trade mark</w:t>
      </w:r>
      <w:r w:rsidR="00EE4D06">
        <w:rPr>
          <w:iCs/>
        </w:rPr>
        <w:t>”</w:t>
      </w:r>
      <w:r w:rsidR="00EE4D06" w:rsidRPr="007A08C7">
        <w:rPr>
          <w:iCs/>
        </w:rPr>
        <w:t xml:space="preserve"> is use of the mark as a </w:t>
      </w:r>
      <w:r w:rsidR="00EE4D06">
        <w:rPr>
          <w:iCs/>
        </w:rPr>
        <w:t>“</w:t>
      </w:r>
      <w:r w:rsidR="00EE4D06" w:rsidRPr="007A08C7">
        <w:rPr>
          <w:iCs/>
        </w:rPr>
        <w:t>badge of origin</w:t>
      </w:r>
      <w:r w:rsidR="00EE4D06">
        <w:rPr>
          <w:iCs/>
        </w:rPr>
        <w:t>”</w:t>
      </w:r>
      <w:r w:rsidR="00EE4D06" w:rsidRPr="007A08C7">
        <w:rPr>
          <w:iCs/>
        </w:rPr>
        <w:t xml:space="preserve"> in the sense that it indicates a connection in the course of trade between goods and the person who applies the mark to the goods. </w:t>
      </w:r>
      <w:r w:rsidR="00A1342F">
        <w:rPr>
          <w:iCs/>
        </w:rPr>
        <w:t xml:space="preserve"> </w:t>
      </w:r>
      <w:r w:rsidR="00EE4D06" w:rsidRPr="007A08C7">
        <w:rPr>
          <w:iCs/>
        </w:rPr>
        <w:t xml:space="preserve">That is the concept embodied in the definition of </w:t>
      </w:r>
      <w:r w:rsidR="00EE4D06">
        <w:rPr>
          <w:iCs/>
        </w:rPr>
        <w:t>“</w:t>
      </w:r>
      <w:r w:rsidR="00EE4D06" w:rsidRPr="007A08C7">
        <w:rPr>
          <w:iCs/>
        </w:rPr>
        <w:t>trade</w:t>
      </w:r>
      <w:r w:rsidR="006D59B0">
        <w:rPr>
          <w:iCs/>
        </w:rPr>
        <w:t xml:space="preserve"> </w:t>
      </w:r>
      <w:r w:rsidR="00EE4D06" w:rsidRPr="007A08C7">
        <w:rPr>
          <w:iCs/>
        </w:rPr>
        <w:t>mark</w:t>
      </w:r>
      <w:r w:rsidR="00EE4D06">
        <w:rPr>
          <w:iCs/>
        </w:rPr>
        <w:t>”</w:t>
      </w:r>
      <w:r w:rsidR="00EE4D06" w:rsidRPr="007A08C7">
        <w:rPr>
          <w:iCs/>
        </w:rPr>
        <w:t xml:space="preserve"> in s 17 – a sign used to distinguish goods dealt with in the course of trade by a person from goods so dealt with by someone else.  See </w:t>
      </w:r>
      <w:r w:rsidR="00EE4D06" w:rsidRPr="00162AB6">
        <w:rPr>
          <w:i/>
          <w:iCs/>
        </w:rPr>
        <w:t>E &amp; J Gallo Winery v Lion Nathan Australia Pty Ltd</w:t>
      </w:r>
      <w:r w:rsidR="00EE4D06" w:rsidRPr="00162AB6">
        <w:rPr>
          <w:iCs/>
        </w:rPr>
        <w:t xml:space="preserve"> [2010] HCA 15; </w:t>
      </w:r>
      <w:r w:rsidR="00EE4D06" w:rsidRPr="00162AB6">
        <w:rPr>
          <w:bCs/>
          <w:iCs/>
        </w:rPr>
        <w:t>241 CLR 144</w:t>
      </w:r>
      <w:r w:rsidR="00EE4D06" w:rsidRPr="007A08C7">
        <w:rPr>
          <w:bCs/>
          <w:iCs/>
        </w:rPr>
        <w:t xml:space="preserve"> at [43]</w:t>
      </w:r>
      <w:r w:rsidR="00B665A8">
        <w:rPr>
          <w:bCs/>
          <w:iCs/>
        </w:rPr>
        <w:t xml:space="preserve"> per</w:t>
      </w:r>
      <w:r w:rsidR="00EE4D06" w:rsidRPr="007A08C7">
        <w:rPr>
          <w:bCs/>
          <w:iCs/>
        </w:rPr>
        <w:t xml:space="preserve"> French CJ, Gummow, Crennan and Bell JJ, and</w:t>
      </w:r>
      <w:r w:rsidR="00B665A8">
        <w:rPr>
          <w:bCs/>
          <w:iCs/>
        </w:rPr>
        <w:t xml:space="preserve"> [87] per</w:t>
      </w:r>
      <w:r w:rsidR="00EE4D06" w:rsidRPr="007A08C7">
        <w:rPr>
          <w:bCs/>
          <w:iCs/>
        </w:rPr>
        <w:t xml:space="preserve"> Heydon J, approving the statement in </w:t>
      </w:r>
      <w:r w:rsidR="00EE4D06" w:rsidRPr="00162AB6">
        <w:rPr>
          <w:b/>
          <w:bCs/>
          <w:i/>
          <w:iCs/>
        </w:rPr>
        <w:t>Coca-Cola</w:t>
      </w:r>
      <w:r w:rsidR="00EE4D06" w:rsidRPr="00162AB6">
        <w:rPr>
          <w:bCs/>
          <w:i/>
          <w:iCs/>
        </w:rPr>
        <w:t xml:space="preserve"> Company v All-Fect Distributors Ltd</w:t>
      </w:r>
      <w:r w:rsidR="00EE4D06" w:rsidRPr="00162AB6">
        <w:rPr>
          <w:bCs/>
          <w:iCs/>
        </w:rPr>
        <w:t xml:space="preserve"> [1999] FCA 1721; 96 FCR 107</w:t>
      </w:r>
      <w:r w:rsidR="00EE4D06" w:rsidRPr="007A08C7">
        <w:rPr>
          <w:bCs/>
          <w:iCs/>
        </w:rPr>
        <w:t xml:space="preserve"> at [19] per Black CJ, Sundberg and Finkelstein JJ.</w:t>
      </w:r>
      <w:bookmarkEnd w:id="64"/>
    </w:p>
    <w:p w14:paraId="30FDE303" w14:textId="16517767" w:rsidR="00EE4D06" w:rsidRPr="007A08C7" w:rsidRDefault="001E3C6B" w:rsidP="001E3C6B">
      <w:pPr>
        <w:pStyle w:val="ParaNumbering"/>
        <w:numPr>
          <w:ilvl w:val="0"/>
          <w:numId w:val="0"/>
        </w:numPr>
        <w:ind w:hanging="720"/>
      </w:pPr>
      <w:r w:rsidRPr="007A08C7">
        <w:rPr>
          <w:sz w:val="20"/>
        </w:rPr>
        <w:t>160</w:t>
      </w:r>
      <w:r w:rsidRPr="007A08C7">
        <w:rPr>
          <w:sz w:val="20"/>
        </w:rPr>
        <w:tab/>
      </w:r>
      <w:r w:rsidR="00EE4D06">
        <w:rPr>
          <w:bCs/>
          <w:iCs/>
        </w:rPr>
        <w:t xml:space="preserve">In </w:t>
      </w:r>
      <w:r w:rsidR="00EE4D06">
        <w:rPr>
          <w:bCs/>
          <w:i/>
          <w:iCs/>
        </w:rPr>
        <w:t>Coca-Cola</w:t>
      </w:r>
      <w:r w:rsidR="00EE4D06">
        <w:rPr>
          <w:bCs/>
          <w:iCs/>
        </w:rPr>
        <w:t xml:space="preserve"> (at [20]) it was concluded that the authorities provide no support for the view that in determining whether a sign is used as a trade mark one asks whether the sign indicates a connection between the alleged infringer’s goods and those of the registered owner.  The question is whether the sign used indicates origin of goods in the user of the sign; whether there is a connection in the course of trade between the goods and the user of the sign.</w:t>
      </w:r>
    </w:p>
    <w:p w14:paraId="16FAB2D9" w14:textId="76D9A30F" w:rsidR="00EE4D06" w:rsidRPr="007A08C7" w:rsidRDefault="001E3C6B" w:rsidP="001E3C6B">
      <w:pPr>
        <w:pStyle w:val="ParaNumbering"/>
        <w:numPr>
          <w:ilvl w:val="0"/>
          <w:numId w:val="0"/>
        </w:numPr>
        <w:ind w:hanging="720"/>
      </w:pPr>
      <w:r w:rsidRPr="007A08C7">
        <w:rPr>
          <w:sz w:val="20"/>
        </w:rPr>
        <w:t>161</w:t>
      </w:r>
      <w:r w:rsidRPr="007A08C7">
        <w:rPr>
          <w:sz w:val="20"/>
        </w:rPr>
        <w:tab/>
      </w:r>
      <w:r w:rsidR="00EE4D06" w:rsidRPr="007A08C7">
        <w:t>To determine whether the use of a mark constitute</w:t>
      </w:r>
      <w:r w:rsidR="00FE1E98">
        <w:t>s</w:t>
      </w:r>
      <w:r w:rsidR="00EE4D06" w:rsidRPr="007A08C7">
        <w:t xml:space="preserve"> use as a trade mark, the </w:t>
      </w:r>
      <w:r w:rsidR="00EE4D06">
        <w:t>“</w:t>
      </w:r>
      <w:r w:rsidR="00EE4D06" w:rsidRPr="007A08C7">
        <w:t>purpose and nature</w:t>
      </w:r>
      <w:r w:rsidR="00EE4D06">
        <w:t>”</w:t>
      </w:r>
      <w:r w:rsidR="00EE4D06" w:rsidRPr="007A08C7">
        <w:t xml:space="preserve"> of the impugned use must be understood: </w:t>
      </w:r>
      <w:r w:rsidR="00EE4D06" w:rsidRPr="00162AB6">
        <w:rPr>
          <w:b/>
          <w:i/>
        </w:rPr>
        <w:t>Shell Company</w:t>
      </w:r>
      <w:r w:rsidR="00EE4D06" w:rsidRPr="00162AB6">
        <w:rPr>
          <w:i/>
        </w:rPr>
        <w:t xml:space="preserve"> of Australia Ltd v Esso Standard Oil (Australia) Ltd</w:t>
      </w:r>
      <w:r w:rsidR="00EE4D06" w:rsidRPr="00162AB6">
        <w:t xml:space="preserve"> [1963] HCA 66; 109 CLR 407</w:t>
      </w:r>
      <w:r w:rsidR="00EE4D06" w:rsidRPr="007A08C7">
        <w:t xml:space="preserve"> at 426 per Kitto J</w:t>
      </w:r>
      <w:r w:rsidR="005D3599">
        <w:t xml:space="preserve"> </w:t>
      </w:r>
      <w:r w:rsidR="008346B8">
        <w:t>(</w:t>
      </w:r>
      <w:r w:rsidR="00EE4D06" w:rsidRPr="007A08C7">
        <w:t>Dixon CJ, Taylor and Owen JJ agreeing</w:t>
      </w:r>
      <w:r w:rsidR="008346B8">
        <w:t>)</w:t>
      </w:r>
      <w:r w:rsidR="00EE4D06" w:rsidRPr="007A08C7">
        <w:t xml:space="preserve">.  The purpose and nature of the use must be assessed by reference to the context, including the way in which the words have been displayed: </w:t>
      </w:r>
      <w:r w:rsidR="00EE4D06" w:rsidRPr="00162AB6">
        <w:rPr>
          <w:b/>
          <w:i/>
        </w:rPr>
        <w:t>PepsiCo</w:t>
      </w:r>
      <w:r w:rsidR="00EE4D06" w:rsidRPr="00162AB6">
        <w:rPr>
          <w:i/>
        </w:rPr>
        <w:t xml:space="preserve"> Australia Pty Ltd v Kettle Chip Co Pty Ltd</w:t>
      </w:r>
      <w:r w:rsidR="00EE4D06" w:rsidRPr="00162AB6">
        <w:t xml:space="preserve"> </w:t>
      </w:r>
      <w:r w:rsidR="008346B8">
        <w:t>[</w:t>
      </w:r>
      <w:r w:rsidR="00EE4D06" w:rsidRPr="00162AB6">
        <w:t>1996</w:t>
      </w:r>
      <w:r w:rsidR="008346B8">
        <w:t xml:space="preserve">] </w:t>
      </w:r>
      <w:r w:rsidR="008346B8" w:rsidRPr="008346B8">
        <w:t>FCA 48</w:t>
      </w:r>
      <w:r w:rsidR="008346B8">
        <w:t>;</w:t>
      </w:r>
      <w:r w:rsidR="00EE4D06" w:rsidRPr="00162AB6">
        <w:t xml:space="preserve"> 135 ALR 192</w:t>
      </w:r>
      <w:r w:rsidR="00EE4D06" w:rsidRPr="007A08C7">
        <w:t xml:space="preserve"> at </w:t>
      </w:r>
      <w:r w:rsidR="008346B8">
        <w:t>211-</w:t>
      </w:r>
      <w:r w:rsidR="00EE4D06" w:rsidRPr="007A08C7">
        <w:t>212 per Sackville J</w:t>
      </w:r>
      <w:r w:rsidR="008346B8">
        <w:t xml:space="preserve"> (Lockhart</w:t>
      </w:r>
      <w:r w:rsidR="00284946">
        <w:t xml:space="preserve"> and Sheppard</w:t>
      </w:r>
      <w:r w:rsidR="008346B8">
        <w:t xml:space="preserve"> J</w:t>
      </w:r>
      <w:r w:rsidR="00284946">
        <w:t>J</w:t>
      </w:r>
      <w:r w:rsidR="008346B8">
        <w:t xml:space="preserve"> agreeing)</w:t>
      </w:r>
      <w:r w:rsidR="00EE4D06" w:rsidRPr="007A08C7">
        <w:t xml:space="preserve">.  </w:t>
      </w:r>
    </w:p>
    <w:p w14:paraId="2AABF09F" w14:textId="534AC7A3" w:rsidR="00EE4D06" w:rsidRPr="007A08C7" w:rsidRDefault="001E3C6B" w:rsidP="001E3C6B">
      <w:pPr>
        <w:pStyle w:val="ParaNumbering"/>
        <w:numPr>
          <w:ilvl w:val="0"/>
          <w:numId w:val="0"/>
        </w:numPr>
        <w:ind w:hanging="720"/>
      </w:pPr>
      <w:r w:rsidRPr="007A08C7">
        <w:rPr>
          <w:sz w:val="20"/>
        </w:rPr>
        <w:t>162</w:t>
      </w:r>
      <w:r w:rsidRPr="007A08C7">
        <w:rPr>
          <w:sz w:val="20"/>
        </w:rPr>
        <w:tab/>
      </w:r>
      <w:r w:rsidR="00EE4D06" w:rsidRPr="007A08C7">
        <w:t xml:space="preserve">It is unhelpful to assess the objectives or intention that was sought to be achieved by the use of the mark because whether or not it was used as a trade mark is to be determined by considering the words as they present themselves to the persons who are to read them and form a view about what they are meant to connote: </w:t>
      </w:r>
      <w:r w:rsidR="00EE4D06" w:rsidRPr="007A08C7">
        <w:rPr>
          <w:i/>
        </w:rPr>
        <w:t>PepsiCo</w:t>
      </w:r>
      <w:r w:rsidR="00EE4D06" w:rsidRPr="007A08C7">
        <w:t xml:space="preserve"> at 218 per Sackville J</w:t>
      </w:r>
      <w:r w:rsidR="002F5711">
        <w:t>;</w:t>
      </w:r>
      <w:r w:rsidR="00EE4D06" w:rsidRPr="007A08C7">
        <w:t xml:space="preserve"> </w:t>
      </w:r>
      <w:r w:rsidR="00EE4D06" w:rsidRPr="00162AB6">
        <w:rPr>
          <w:b/>
          <w:i/>
        </w:rPr>
        <w:t>Anheuser Busch</w:t>
      </w:r>
      <w:r w:rsidR="00EE4D06" w:rsidRPr="00162AB6">
        <w:rPr>
          <w:i/>
        </w:rPr>
        <w:t xml:space="preserve"> v </w:t>
      </w:r>
      <w:r w:rsidR="00EE4D06" w:rsidRPr="00162AB6">
        <w:rPr>
          <w:i/>
        </w:rPr>
        <w:lastRenderedPageBreak/>
        <w:t>Budejovick</w:t>
      </w:r>
      <w:r w:rsidR="00284946" w:rsidRPr="00284946">
        <w:rPr>
          <w:i/>
        </w:rPr>
        <w:t>ý</w:t>
      </w:r>
      <w:r w:rsidR="00EE4D06" w:rsidRPr="00162AB6">
        <w:rPr>
          <w:i/>
        </w:rPr>
        <w:t xml:space="preserve"> Budvar N</w:t>
      </w:r>
      <w:r w:rsidR="00284946" w:rsidRPr="00284946">
        <w:rPr>
          <w:i/>
        </w:rPr>
        <w:t>á</w:t>
      </w:r>
      <w:r w:rsidR="00284946">
        <w:rPr>
          <w:i/>
        </w:rPr>
        <w:t>rodn</w:t>
      </w:r>
      <w:r w:rsidR="00284946" w:rsidRPr="00284946">
        <w:rPr>
          <w:i/>
        </w:rPr>
        <w:t>í</w:t>
      </w:r>
      <w:r w:rsidR="00EE4D06" w:rsidRPr="00162AB6">
        <w:rPr>
          <w:i/>
        </w:rPr>
        <w:t xml:space="preserve"> Podnik</w:t>
      </w:r>
      <w:r w:rsidR="00EE4D06" w:rsidRPr="00162AB6">
        <w:t xml:space="preserve"> [2002] FCA 390; 56 IPR 182</w:t>
      </w:r>
      <w:r w:rsidR="00284946">
        <w:t xml:space="preserve"> at [186</w:t>
      </w:r>
      <w:r w:rsidR="00EE4D06" w:rsidRPr="007A08C7">
        <w:t xml:space="preserve">] per Allsop J.  The task is to examine the way the words are used in their context, including the totality of the packaging, to assess their nature and purpose in order to see whether they are used to distinguish the goods from goods of others: </w:t>
      </w:r>
      <w:r w:rsidR="00EE4D06" w:rsidRPr="007A08C7">
        <w:rPr>
          <w:i/>
        </w:rPr>
        <w:t xml:space="preserve">Anheuser Busch </w:t>
      </w:r>
      <w:r w:rsidR="00EE4D06" w:rsidRPr="007A08C7">
        <w:t xml:space="preserve">at [185] per Allsop J, citing </w:t>
      </w:r>
      <w:r w:rsidR="00EE4D06" w:rsidRPr="007A08C7">
        <w:rPr>
          <w:i/>
        </w:rPr>
        <w:t>Shell Company</w:t>
      </w:r>
      <w:r w:rsidR="00EE4D06" w:rsidRPr="007A08C7">
        <w:t xml:space="preserve"> at 425 per Kitto J and </w:t>
      </w:r>
      <w:r w:rsidR="00EE4D06" w:rsidRPr="00A322D3">
        <w:rPr>
          <w:b/>
          <w:i/>
        </w:rPr>
        <w:t>Johnson &amp; Johnson</w:t>
      </w:r>
      <w:r w:rsidR="00EE4D06" w:rsidRPr="00162AB6">
        <w:rPr>
          <w:i/>
        </w:rPr>
        <w:t xml:space="preserve"> Australia Pty Ltd v Sterling Pharmaceuticals Pty Ltd</w:t>
      </w:r>
      <w:r w:rsidR="00EE4D06" w:rsidRPr="00162AB6">
        <w:t xml:space="preserve"> [1991] FCA </w:t>
      </w:r>
      <w:r w:rsidR="00A322D3">
        <w:t>402</w:t>
      </w:r>
      <w:r w:rsidR="00EE4D06" w:rsidRPr="00162AB6">
        <w:t>; 30 FCR 326</w:t>
      </w:r>
      <w:r w:rsidR="00EE4D06" w:rsidRPr="007A08C7">
        <w:t xml:space="preserve"> at 347 per Gummow J.</w:t>
      </w:r>
    </w:p>
    <w:p w14:paraId="213AC9AC" w14:textId="3F305639" w:rsidR="00EE4D06" w:rsidRPr="007A08C7" w:rsidRDefault="001E3C6B" w:rsidP="001E3C6B">
      <w:pPr>
        <w:pStyle w:val="ParaNumbering"/>
        <w:numPr>
          <w:ilvl w:val="0"/>
          <w:numId w:val="0"/>
        </w:numPr>
        <w:ind w:hanging="720"/>
      </w:pPr>
      <w:bookmarkStart w:id="65" w:name="_Ref39563789"/>
      <w:r w:rsidRPr="007A08C7">
        <w:rPr>
          <w:sz w:val="20"/>
        </w:rPr>
        <w:t>163</w:t>
      </w:r>
      <w:r w:rsidRPr="007A08C7">
        <w:rPr>
          <w:sz w:val="20"/>
        </w:rPr>
        <w:tab/>
      </w:r>
      <w:r w:rsidR="00EE4D06" w:rsidRPr="007A08C7">
        <w:t xml:space="preserve">The decision of the House of Lords in </w:t>
      </w:r>
      <w:r w:rsidR="00EE4D06" w:rsidRPr="00162AB6">
        <w:rPr>
          <w:i/>
          <w:iCs/>
        </w:rPr>
        <w:t xml:space="preserve">Irving’s </w:t>
      </w:r>
      <w:r w:rsidR="00EE4D06" w:rsidRPr="00162AB6">
        <w:rPr>
          <w:b/>
          <w:i/>
          <w:iCs/>
        </w:rPr>
        <w:t>Yeast-Vite</w:t>
      </w:r>
      <w:r w:rsidR="00EE4D06" w:rsidRPr="00162AB6">
        <w:rPr>
          <w:i/>
          <w:iCs/>
        </w:rPr>
        <w:t xml:space="preserve"> Ltd v Horsenail </w:t>
      </w:r>
      <w:r w:rsidR="00EE4D06" w:rsidRPr="00162AB6">
        <w:t xml:space="preserve">(1934) 51 RPC </w:t>
      </w:r>
      <w:r w:rsidR="00CC4C21">
        <w:t>110</w:t>
      </w:r>
      <w:r w:rsidR="00EE4D06" w:rsidRPr="00162AB6">
        <w:t xml:space="preserve"> </w:t>
      </w:r>
      <w:r w:rsidR="00EE4D06" w:rsidRPr="007A08C7">
        <w:t>is particularly</w:t>
      </w:r>
      <w:r w:rsidR="00EE4D06">
        <w:t xml:space="preserve"> pertinent </w:t>
      </w:r>
      <w:r w:rsidR="00EE4D06" w:rsidRPr="007A08C7">
        <w:t>in the present context.  Irving complained that Horsenail infringed its YEAST-VITE trade</w:t>
      </w:r>
      <w:r w:rsidR="006D59B0">
        <w:t xml:space="preserve"> </w:t>
      </w:r>
      <w:r w:rsidR="00EE4D06" w:rsidRPr="007A08C7">
        <w:t xml:space="preserve">mark by using the phrase </w:t>
      </w:r>
      <w:r w:rsidR="00EE4D06">
        <w:t>“</w:t>
      </w:r>
      <w:r w:rsidR="00EE4D06" w:rsidRPr="007A08C7">
        <w:t xml:space="preserve">Yeast </w:t>
      </w:r>
      <w:r w:rsidR="002363EE">
        <w:t>T</w:t>
      </w:r>
      <w:r w:rsidR="00EE4D06" w:rsidRPr="007A08C7">
        <w:t>ablets</w:t>
      </w:r>
      <w:r w:rsidR="00B15305">
        <w:t>,</w:t>
      </w:r>
      <w:r w:rsidR="00EE4D06" w:rsidRPr="007A08C7">
        <w:t xml:space="preserve"> </w:t>
      </w:r>
      <w:r w:rsidR="00B15305">
        <w:t>a</w:t>
      </w:r>
      <w:r w:rsidR="00EE4D06" w:rsidRPr="007A08C7">
        <w:t xml:space="preserve"> substitute for Yeast-Vite</w:t>
      </w:r>
      <w:r w:rsidR="00EE4D06">
        <w:t>”</w:t>
      </w:r>
      <w:r w:rsidR="00EE4D06" w:rsidRPr="007A08C7">
        <w:t xml:space="preserve"> in relation to the produ</w:t>
      </w:r>
      <w:r w:rsidR="002F5711">
        <w:t>ct.  It was held</w:t>
      </w:r>
      <w:r w:rsidR="00EE4D06" w:rsidRPr="007A08C7">
        <w:t xml:space="preserve"> that the impugned use was to distingui</w:t>
      </w:r>
      <w:r w:rsidR="00B15305">
        <w:t>sh the products from each other:</w:t>
      </w:r>
      <w:r w:rsidR="00EE4D06" w:rsidRPr="007A08C7">
        <w:t xml:space="preserve">  </w:t>
      </w:r>
      <w:r w:rsidR="00EE4D06">
        <w:t>“</w:t>
      </w:r>
      <w:r w:rsidR="00EE4D06" w:rsidRPr="007A08C7">
        <w:t xml:space="preserve">It is not a use of the word as a trade mark, that is, to indicate the origin of the goods in the </w:t>
      </w:r>
      <w:r w:rsidR="00B15305" w:rsidRPr="007A08C7">
        <w:t>R</w:t>
      </w:r>
      <w:r w:rsidR="00EE4D06" w:rsidRPr="007A08C7">
        <w:t>espondent by virtue of manufacture, selection, certification, dealing with or offering for sale</w:t>
      </w:r>
      <w:r w:rsidR="00EE4D06">
        <w:t>”</w:t>
      </w:r>
      <w:bookmarkEnd w:id="65"/>
      <w:r w:rsidR="002F5711">
        <w:t xml:space="preserve"> </w:t>
      </w:r>
      <w:r w:rsidR="00FE1E98">
        <w:t>(</w:t>
      </w:r>
      <w:r w:rsidR="002F5711" w:rsidRPr="007A08C7">
        <w:t>at 115</w:t>
      </w:r>
      <w:r w:rsidR="002F5711">
        <w:t xml:space="preserve"> per Lord Tomlin</w:t>
      </w:r>
      <w:r w:rsidR="00FE1E98">
        <w:t>)</w:t>
      </w:r>
      <w:r w:rsidR="002F5711">
        <w:t>.</w:t>
      </w:r>
    </w:p>
    <w:p w14:paraId="67579104" w14:textId="6BC3EBA8" w:rsidR="00EE4D06" w:rsidRPr="007A08C7" w:rsidRDefault="001E3C6B" w:rsidP="001E3C6B">
      <w:pPr>
        <w:pStyle w:val="Heading3"/>
        <w:ind w:left="426" w:hanging="360"/>
      </w:pPr>
      <w:bookmarkStart w:id="66" w:name="_Ref54701575"/>
      <w:r w:rsidRPr="007A08C7">
        <w:t>(2)</w:t>
      </w:r>
      <w:r w:rsidRPr="007A08C7">
        <w:tab/>
      </w:r>
      <w:r w:rsidR="00EE4D06" w:rsidRPr="007A08C7">
        <w:t>Deceptive similarity – principles</w:t>
      </w:r>
      <w:bookmarkEnd w:id="66"/>
    </w:p>
    <w:p w14:paraId="256335E0" w14:textId="6E7DD0E6" w:rsidR="00EE4D06" w:rsidRPr="007A08C7" w:rsidRDefault="001E3C6B" w:rsidP="001E3C6B">
      <w:pPr>
        <w:pStyle w:val="ParaNumbering"/>
        <w:numPr>
          <w:ilvl w:val="0"/>
          <w:numId w:val="0"/>
        </w:numPr>
        <w:ind w:hanging="720"/>
      </w:pPr>
      <w:r w:rsidRPr="007A08C7">
        <w:rPr>
          <w:sz w:val="20"/>
        </w:rPr>
        <w:t>164</w:t>
      </w:r>
      <w:r w:rsidRPr="007A08C7">
        <w:rPr>
          <w:sz w:val="20"/>
        </w:rPr>
        <w:tab/>
      </w:r>
      <w:r w:rsidR="00EE4D06" w:rsidRPr="007A08C7">
        <w:t>The approach to determining whether two marks are substantially identical and whether they are deceptively similar is different.</w:t>
      </w:r>
    </w:p>
    <w:p w14:paraId="6A1689AB" w14:textId="2BE0EA00" w:rsidR="00EE4D06" w:rsidRPr="007A08C7" w:rsidRDefault="001E3C6B" w:rsidP="001E3C6B">
      <w:pPr>
        <w:pStyle w:val="ParaNumbering"/>
        <w:numPr>
          <w:ilvl w:val="0"/>
          <w:numId w:val="0"/>
        </w:numPr>
        <w:ind w:hanging="720"/>
      </w:pPr>
      <w:r w:rsidRPr="007A08C7">
        <w:rPr>
          <w:sz w:val="20"/>
        </w:rPr>
        <w:t>165</w:t>
      </w:r>
      <w:r w:rsidRPr="007A08C7">
        <w:rPr>
          <w:sz w:val="20"/>
        </w:rPr>
        <w:tab/>
      </w:r>
      <w:r w:rsidR="00EE4D06" w:rsidRPr="007A08C7">
        <w:t xml:space="preserve">In considering whether marks are substantially identical they should be compared side by side, their similarities and differences noted and the importance of these assessed having regard to the essential features of the registered mark and the total impression of resemblance or dissimilarity that emerges from the comparison; whether there is substantial identity is a question of fact.  See </w:t>
      </w:r>
      <w:r w:rsidR="00EE4D06" w:rsidRPr="00EE1C44">
        <w:rPr>
          <w:i/>
        </w:rPr>
        <w:t>Shell Company</w:t>
      </w:r>
      <w:r w:rsidR="00770949">
        <w:t xml:space="preserve"> </w:t>
      </w:r>
      <w:r w:rsidR="00EE4D06" w:rsidRPr="007A08C7">
        <w:t>at 414 per Windeyer J.</w:t>
      </w:r>
    </w:p>
    <w:p w14:paraId="7DAC6745" w14:textId="6B941B1C" w:rsidR="00EE4D06" w:rsidRPr="007A08C7" w:rsidRDefault="001E3C6B" w:rsidP="001E3C6B">
      <w:pPr>
        <w:pStyle w:val="ParaNumbering"/>
        <w:numPr>
          <w:ilvl w:val="0"/>
          <w:numId w:val="0"/>
        </w:numPr>
        <w:ind w:hanging="720"/>
      </w:pPr>
      <w:r w:rsidRPr="007A08C7">
        <w:rPr>
          <w:sz w:val="20"/>
        </w:rPr>
        <w:t>166</w:t>
      </w:r>
      <w:r w:rsidRPr="007A08C7">
        <w:rPr>
          <w:sz w:val="20"/>
        </w:rPr>
        <w:tab/>
      </w:r>
      <w:r w:rsidR="00EE4D06" w:rsidRPr="007A08C7">
        <w:t>As will be seen,</w:t>
      </w:r>
      <w:r w:rsidR="00EE4D06">
        <w:t xml:space="preserve"> Allergan does </w:t>
      </w:r>
      <w:r w:rsidR="00EE4D06" w:rsidRPr="007A08C7">
        <w:t>not rely on substantial identi</w:t>
      </w:r>
      <w:r w:rsidR="001D3EFE">
        <w:t>t</w:t>
      </w:r>
      <w:r w:rsidR="00EE4D06" w:rsidRPr="007A08C7">
        <w:t>y;</w:t>
      </w:r>
      <w:r w:rsidR="00A629CF">
        <w:t xml:space="preserve"> it </w:t>
      </w:r>
      <w:r w:rsidR="00EE4D06" w:rsidRPr="007A08C7">
        <w:t>confine</w:t>
      </w:r>
      <w:r w:rsidR="00197078">
        <w:t>s</w:t>
      </w:r>
      <w:r w:rsidR="00A629CF">
        <w:t xml:space="preserve"> its </w:t>
      </w:r>
      <w:r w:rsidR="00EE4D06" w:rsidRPr="007A08C7">
        <w:t>case to deceptive similarity.</w:t>
      </w:r>
    </w:p>
    <w:p w14:paraId="5A02AF76" w14:textId="030ED87E" w:rsidR="00EE4D06" w:rsidRDefault="001E3C6B" w:rsidP="001E3C6B">
      <w:pPr>
        <w:pStyle w:val="ParaNumbering"/>
        <w:numPr>
          <w:ilvl w:val="0"/>
          <w:numId w:val="0"/>
        </w:numPr>
        <w:ind w:hanging="720"/>
      </w:pPr>
      <w:r>
        <w:rPr>
          <w:sz w:val="20"/>
        </w:rPr>
        <w:t>167</w:t>
      </w:r>
      <w:r>
        <w:rPr>
          <w:sz w:val="20"/>
        </w:rPr>
        <w:tab/>
      </w:r>
      <w:r w:rsidR="00EE4D06" w:rsidRPr="007A08C7">
        <w:t>On the question of deceptive similarity, the marks are not to be looked at side by side. The comparison is between, on the one hand, the impression based on recollection of the applicants</w:t>
      </w:r>
      <w:r w:rsidR="00EE4D06">
        <w:t>’</w:t>
      </w:r>
      <w:r w:rsidR="00EE4D06" w:rsidRPr="007A08C7">
        <w:t xml:space="preserve"> mark that persons of ordinary intelligence and memory would have; and, on the other hand, the impressions that such persons would get from the respondents</w:t>
      </w:r>
      <w:r w:rsidR="00EE4D06">
        <w:t>’</w:t>
      </w:r>
      <w:r w:rsidR="00EE4D06" w:rsidRPr="007A08C7">
        <w:t xml:space="preserve"> mark or sign;</w:t>
      </w:r>
      <w:r w:rsidR="00EE4D06" w:rsidRPr="007A08C7">
        <w:rPr>
          <w:rFonts w:asciiTheme="minorHAnsi" w:eastAsiaTheme="minorHAnsi" w:hAnsiTheme="minorHAnsi" w:cstheme="minorBidi"/>
          <w:sz w:val="22"/>
          <w:szCs w:val="22"/>
        </w:rPr>
        <w:t xml:space="preserve"> </w:t>
      </w:r>
      <w:r w:rsidR="00EE4D06" w:rsidRPr="007A08C7">
        <w:t xml:space="preserve">marks are remembered by general impressions or by some significant detail rather than by any photographic </w:t>
      </w:r>
      <w:r w:rsidR="002F5711">
        <w:t>recollection of the whole.  See</w:t>
      </w:r>
      <w:r w:rsidR="00EE4D06" w:rsidRPr="007A08C7">
        <w:rPr>
          <w:i/>
        </w:rPr>
        <w:t xml:space="preserve"> Shell Company</w:t>
      </w:r>
      <w:r w:rsidR="00EE4D06" w:rsidRPr="007A08C7">
        <w:t xml:space="preserve"> at 415 per Windeyer J.</w:t>
      </w:r>
    </w:p>
    <w:p w14:paraId="0E061181" w14:textId="46CEB552" w:rsidR="00197078" w:rsidRPr="001A3D46" w:rsidRDefault="001E3C6B" w:rsidP="001E3C6B">
      <w:pPr>
        <w:pStyle w:val="ParaNumbering"/>
        <w:numPr>
          <w:ilvl w:val="0"/>
          <w:numId w:val="0"/>
        </w:numPr>
        <w:ind w:hanging="720"/>
      </w:pPr>
      <w:r w:rsidRPr="001A3D46">
        <w:rPr>
          <w:sz w:val="20"/>
        </w:rPr>
        <w:t>168</w:t>
      </w:r>
      <w:r w:rsidRPr="001A3D46">
        <w:rPr>
          <w:sz w:val="20"/>
        </w:rPr>
        <w:tab/>
      </w:r>
      <w:r w:rsidR="00197078" w:rsidRPr="001A3D46">
        <w:t xml:space="preserve">In </w:t>
      </w:r>
      <w:r w:rsidR="00197078" w:rsidRPr="00CF4C83">
        <w:rPr>
          <w:b/>
          <w:i/>
          <w:iCs/>
        </w:rPr>
        <w:t>Australian Woollen Mills</w:t>
      </w:r>
      <w:r w:rsidR="00197078" w:rsidRPr="001A3D46">
        <w:rPr>
          <w:i/>
          <w:iCs/>
        </w:rPr>
        <w:t xml:space="preserve"> Ltd v F S Walton &amp; Co Ltd </w:t>
      </w:r>
      <w:r w:rsidR="00EA3033" w:rsidRPr="00162AB6">
        <w:t>[1937] HCA 51</w:t>
      </w:r>
      <w:r w:rsidR="00EA3033">
        <w:t>;</w:t>
      </w:r>
      <w:r w:rsidR="00197078" w:rsidRPr="001A3D46">
        <w:t xml:space="preserve"> 58 CLR 641, </w:t>
      </w:r>
      <w:r w:rsidR="00197078">
        <w:t xml:space="preserve">an infringement case, </w:t>
      </w:r>
      <w:r w:rsidR="00197078" w:rsidRPr="001A3D46">
        <w:t>Dixon and McTiernan JJ (at 658</w:t>
      </w:r>
      <w:r w:rsidR="00EA3033">
        <w:t>-659</w:t>
      </w:r>
      <w:r w:rsidR="00197078" w:rsidRPr="001A3D46">
        <w:t>) explained the exercise as follows:</w:t>
      </w:r>
    </w:p>
    <w:p w14:paraId="19DA3CAF" w14:textId="77777777" w:rsidR="00197078" w:rsidRPr="001A3D46" w:rsidRDefault="00197078" w:rsidP="006233E5">
      <w:pPr>
        <w:pStyle w:val="Quote1"/>
      </w:pPr>
      <w:r w:rsidRPr="001A3D46">
        <w:lastRenderedPageBreak/>
        <w:t>But, in the end, it becomes a question of fact for the court to decide whether in fact there is such a reasonable probability of deception or confusion that the use of the new mark and title should be restrained.</w:t>
      </w:r>
    </w:p>
    <w:p w14:paraId="6456CF9A" w14:textId="77777777" w:rsidR="00197078" w:rsidRPr="001A3D46" w:rsidRDefault="00197078" w:rsidP="00EC5A12">
      <w:pPr>
        <w:pStyle w:val="Quote1"/>
      </w:pPr>
      <w:r w:rsidRPr="001A3D46">
        <w:t xml:space="preserve">In deciding this question, the marks ought not, of course, to be compared side by side. </w:t>
      </w:r>
      <w:r>
        <w:t xml:space="preserve"> </w:t>
      </w:r>
      <w:r w:rsidRPr="001A3D46">
        <w:t xml:space="preserve">An attempt should be made to estimate the effect or impression produced on the mind of the potential customers by the mark or device for which the protection of an injunction is sought. </w:t>
      </w:r>
      <w:r>
        <w:t xml:space="preserve"> </w:t>
      </w:r>
      <w:r w:rsidRPr="001A3D46">
        <w:t xml:space="preserve">The impression or recollection which is carried away and retained is necessarily the basis of any mistaken belief that the challenged mark or device is the same. </w:t>
      </w:r>
      <w:r>
        <w:t xml:space="preserve"> </w:t>
      </w:r>
      <w:r w:rsidRPr="001A3D46">
        <w:t xml:space="preserve">The effect of spoken description must be considered. </w:t>
      </w:r>
      <w:r>
        <w:t xml:space="preserve"> </w:t>
      </w:r>
      <w:r w:rsidRPr="001A3D46">
        <w:t xml:space="preserve">If a mark is in fact or from its nature likely to be the source of some name or verbal description by which buyers will express their desire to have the goods, then similarities both of sound and of meaning may play an important part. </w:t>
      </w:r>
      <w:r>
        <w:t xml:space="preserve"> </w:t>
      </w:r>
      <w:r w:rsidRPr="001A3D46">
        <w:t xml:space="preserve">The usual manner in which ordinary people behave must be the test of what confusion or deception may be expected. </w:t>
      </w:r>
      <w:r>
        <w:t xml:space="preserve"> </w:t>
      </w:r>
      <w:r w:rsidRPr="001A3D46">
        <w:t xml:space="preserve">Potential buyers of goods are not to be credited with any high perception or habitual caution. </w:t>
      </w:r>
      <w:r>
        <w:t xml:space="preserve"> </w:t>
      </w:r>
      <w:r w:rsidRPr="001A3D46">
        <w:t xml:space="preserve">On the other hand, exceptional carelessness or stupidity may be disregarded. </w:t>
      </w:r>
      <w:r>
        <w:t xml:space="preserve"> </w:t>
      </w:r>
      <w:r w:rsidRPr="001A3D46">
        <w:t>The course of business and the way in which the particular class of goods are sold gives, it may be said, the setting, and the habits and observation of men considered in the mass affords the standard. Evidence of actual cases of deception, if forthcoming, is of great weight.</w:t>
      </w:r>
    </w:p>
    <w:p w14:paraId="71673277" w14:textId="77777777" w:rsidR="00197078" w:rsidRPr="001A3D46" w:rsidRDefault="00197078" w:rsidP="00EC5A12">
      <w:pPr>
        <w:pStyle w:val="Quote1"/>
      </w:pPr>
      <w:r w:rsidRPr="001A3D46">
        <w:t>…</w:t>
      </w:r>
    </w:p>
    <w:p w14:paraId="1F07F22C" w14:textId="77777777" w:rsidR="00197078" w:rsidRDefault="00197078" w:rsidP="00EC5A12">
      <w:pPr>
        <w:pStyle w:val="Quote1"/>
        <w:rPr>
          <w:szCs w:val="24"/>
        </w:rPr>
      </w:pPr>
      <w:r w:rsidRPr="001A3D46">
        <w:t>It depends on a combination of visual impression and judicial estimation of the effect likely to be produced in the course of the ordinary conduct of affairs.</w:t>
      </w:r>
    </w:p>
    <w:p w14:paraId="34122333" w14:textId="72A1DE01" w:rsidR="00EE4D06" w:rsidRPr="007A08C7" w:rsidRDefault="001E3C6B" w:rsidP="001E3C6B">
      <w:pPr>
        <w:pStyle w:val="ParaNumbering"/>
        <w:numPr>
          <w:ilvl w:val="0"/>
          <w:numId w:val="0"/>
        </w:numPr>
        <w:ind w:hanging="720"/>
      </w:pPr>
      <w:r w:rsidRPr="007A08C7">
        <w:rPr>
          <w:sz w:val="20"/>
        </w:rPr>
        <w:t>169</w:t>
      </w:r>
      <w:r w:rsidRPr="007A08C7">
        <w:rPr>
          <w:sz w:val="20"/>
        </w:rPr>
        <w:tab/>
      </w:r>
      <w:r w:rsidR="00EE4D06" w:rsidRPr="007A08C7">
        <w:t xml:space="preserve">It is sufficient if persons who only know one of the marks and have perhaps an imperfect recollection of it are likely to be deceived: </w:t>
      </w:r>
      <w:r w:rsidR="00EE4D06" w:rsidRPr="00162AB6">
        <w:rPr>
          <w:i/>
        </w:rPr>
        <w:t>Cooper Engineering Co Pty Ltd v Sigmund Pumps Ltd</w:t>
      </w:r>
      <w:r w:rsidR="00EE4D06" w:rsidRPr="00162AB6">
        <w:t xml:space="preserve"> [1952] HCA 15; 86 CLR 536</w:t>
      </w:r>
      <w:r w:rsidR="00EE4D06" w:rsidRPr="007A08C7">
        <w:t xml:space="preserve"> at 538 per Dixon, Williams and Kitto JJ.  A mere possibility of confusion is not enough; there must be a real, tangible danger of its occurring: </w:t>
      </w:r>
      <w:r w:rsidR="00EE4D06" w:rsidRPr="001D3EFE">
        <w:rPr>
          <w:b/>
          <w:i/>
        </w:rPr>
        <w:t>Southern Cross</w:t>
      </w:r>
      <w:r w:rsidR="00EE4D06" w:rsidRPr="00162AB6">
        <w:rPr>
          <w:i/>
        </w:rPr>
        <w:t xml:space="preserve"> Refrigerating Co v Toowo</w:t>
      </w:r>
      <w:r w:rsidR="005F7609">
        <w:rPr>
          <w:i/>
        </w:rPr>
        <w:t>o</w:t>
      </w:r>
      <w:r w:rsidR="00EE4D06" w:rsidRPr="00162AB6">
        <w:rPr>
          <w:i/>
        </w:rPr>
        <w:t>mba Foundry Pty Ltd</w:t>
      </w:r>
      <w:r w:rsidR="00EE4D06" w:rsidRPr="00162AB6">
        <w:t xml:space="preserve"> [1954] HCA 82; 91 CLR 592</w:t>
      </w:r>
      <w:r w:rsidR="00EE4D06" w:rsidRPr="007A08C7">
        <w:t xml:space="preserve"> at 595 per Kitto J (adopted on appeal at 608 per Dixon CJ, McTiernan, Webb, Fullagar and Taylor JJ).</w:t>
      </w:r>
    </w:p>
    <w:p w14:paraId="36DD337E" w14:textId="159E3D49" w:rsidR="00EE4D06" w:rsidRDefault="001E3C6B" w:rsidP="001E3C6B">
      <w:pPr>
        <w:pStyle w:val="ParaNumbering"/>
        <w:numPr>
          <w:ilvl w:val="0"/>
          <w:numId w:val="0"/>
        </w:numPr>
        <w:ind w:hanging="720"/>
      </w:pPr>
      <w:r>
        <w:rPr>
          <w:sz w:val="20"/>
        </w:rPr>
        <w:t>170</w:t>
      </w:r>
      <w:r>
        <w:rPr>
          <w:sz w:val="20"/>
        </w:rPr>
        <w:tab/>
      </w:r>
      <w:r w:rsidR="00EE4D06" w:rsidRPr="007A08C7">
        <w:t xml:space="preserve">By s 10 of the TM Act, </w:t>
      </w:r>
      <w:r w:rsidR="00EE4D06">
        <w:t>“</w:t>
      </w:r>
      <w:r w:rsidR="00EE4D06" w:rsidRPr="007A08C7">
        <w:t xml:space="preserve">a trade mark is taken to be </w:t>
      </w:r>
      <w:r w:rsidR="00EE4D06" w:rsidRPr="007A08C7">
        <w:rPr>
          <w:i/>
        </w:rPr>
        <w:t>deceptively similar</w:t>
      </w:r>
      <w:r w:rsidR="00EE4D06" w:rsidRPr="007A08C7">
        <w:t xml:space="preserve"> to another trade mark if it so nearly resembles that other trade mark that it is likely to deceive or cause confusion.</w:t>
      </w:r>
      <w:r w:rsidR="00EE4D06">
        <w:t>”</w:t>
      </w:r>
    </w:p>
    <w:p w14:paraId="34A904BB" w14:textId="0059F1CF" w:rsidR="009149DB" w:rsidRDefault="001E3C6B" w:rsidP="001E3C6B">
      <w:pPr>
        <w:pStyle w:val="ParaNumbering"/>
        <w:numPr>
          <w:ilvl w:val="0"/>
          <w:numId w:val="0"/>
        </w:numPr>
        <w:ind w:hanging="720"/>
      </w:pPr>
      <w:r>
        <w:rPr>
          <w:sz w:val="20"/>
        </w:rPr>
        <w:t>171</w:t>
      </w:r>
      <w:r>
        <w:rPr>
          <w:sz w:val="20"/>
        </w:rPr>
        <w:tab/>
      </w:r>
      <w:r w:rsidR="009149DB" w:rsidRPr="00D92865">
        <w:t>In the present case, important issue</w:t>
      </w:r>
      <w:r w:rsidR="009149DB">
        <w:t>s</w:t>
      </w:r>
      <w:r w:rsidR="009149DB" w:rsidRPr="00D92865">
        <w:t xml:space="preserve"> arise as to</w:t>
      </w:r>
      <w:r w:rsidR="008A20DF">
        <w:t xml:space="preserve"> whether the following can be taken into account in assessing whether the PROTOX mark is deceptively similar to the BOTOX mark</w:t>
      </w:r>
      <w:r w:rsidR="002F5711">
        <w:t>:</w:t>
      </w:r>
      <w:r w:rsidR="009149DB" w:rsidRPr="00D92865">
        <w:t xml:space="preserve"> </w:t>
      </w:r>
      <w:r w:rsidR="009149DB">
        <w:t xml:space="preserve">(1) </w:t>
      </w:r>
      <w:r w:rsidR="009149DB" w:rsidRPr="00D92865">
        <w:t>the nature and reputation of the BOTOX mark</w:t>
      </w:r>
      <w:r w:rsidR="000A1FF4">
        <w:t>,</w:t>
      </w:r>
      <w:r w:rsidR="009149DB" w:rsidRPr="00D92865">
        <w:t xml:space="preserve"> and </w:t>
      </w:r>
      <w:r w:rsidR="009149DB">
        <w:t xml:space="preserve">(2) </w:t>
      </w:r>
      <w:r w:rsidR="009149DB" w:rsidRPr="00D92865">
        <w:t>the manner of use of the PROTOX mark.  The issue</w:t>
      </w:r>
      <w:r w:rsidR="009149DB">
        <w:t>s</w:t>
      </w:r>
      <w:r w:rsidR="009149DB" w:rsidRPr="00D92865">
        <w:t xml:space="preserve"> arise in part from the statement by Kitto J in </w:t>
      </w:r>
      <w:r w:rsidR="009149DB" w:rsidRPr="00D92865">
        <w:rPr>
          <w:i/>
        </w:rPr>
        <w:t>Southern Cross</w:t>
      </w:r>
      <w:r w:rsidR="009149DB" w:rsidRPr="00D92865">
        <w:t xml:space="preserve"> (at 595) that: </w:t>
      </w:r>
    </w:p>
    <w:p w14:paraId="61978B76" w14:textId="0F8FEF3F" w:rsidR="009149DB" w:rsidRDefault="009149DB" w:rsidP="005F7609">
      <w:pPr>
        <w:pStyle w:val="Quote1"/>
      </w:pPr>
      <w:r w:rsidRPr="00D92865">
        <w:t xml:space="preserve">In considering the probability of deception, all the surrounding circumstances have to be taken into consideration.  (This includes the circumstances in which the marks will be used, the circumstances in which the goods will be bought and sold, and the character of the probable purchasers of the goods: </w:t>
      </w:r>
      <w:r w:rsidRPr="00D92865">
        <w:rPr>
          <w:i/>
        </w:rPr>
        <w:t>Jafferjee v Scarlett</w:t>
      </w:r>
      <w:r>
        <w:t xml:space="preserve"> [(1937) 57 CLR 115 at 120].)</w:t>
      </w:r>
      <w:r w:rsidRPr="00D92865">
        <w:t xml:space="preserve"> </w:t>
      </w:r>
    </w:p>
    <w:p w14:paraId="0B9C462B" w14:textId="75BD75B7" w:rsidR="009149DB" w:rsidRDefault="001E3C6B" w:rsidP="001E3C6B">
      <w:pPr>
        <w:pStyle w:val="ParaNumbering"/>
        <w:numPr>
          <w:ilvl w:val="0"/>
          <w:numId w:val="0"/>
        </w:numPr>
        <w:ind w:hanging="720"/>
      </w:pPr>
      <w:r>
        <w:rPr>
          <w:sz w:val="20"/>
        </w:rPr>
        <w:lastRenderedPageBreak/>
        <w:t>172</w:t>
      </w:r>
      <w:r>
        <w:rPr>
          <w:sz w:val="20"/>
        </w:rPr>
        <w:tab/>
      </w:r>
      <w:r w:rsidR="009149DB" w:rsidRPr="00D92865">
        <w:t xml:space="preserve">However, </w:t>
      </w:r>
      <w:r w:rsidR="009149DB" w:rsidRPr="00D92865">
        <w:rPr>
          <w:i/>
        </w:rPr>
        <w:t>Southern Cross</w:t>
      </w:r>
      <w:r w:rsidR="009149DB" w:rsidRPr="00D92865">
        <w:t xml:space="preserve"> and </w:t>
      </w:r>
      <w:r w:rsidR="009149DB" w:rsidRPr="005F7609">
        <w:rPr>
          <w:b/>
          <w:i/>
        </w:rPr>
        <w:t>Jafferjee v Scarlett</w:t>
      </w:r>
      <w:r w:rsidR="005F7609">
        <w:rPr>
          <w:i/>
        </w:rPr>
        <w:t xml:space="preserve"> </w:t>
      </w:r>
      <w:r w:rsidR="005F7609" w:rsidRPr="00162AB6">
        <w:t>[19</w:t>
      </w:r>
      <w:r w:rsidR="005F7609">
        <w:t>3</w:t>
      </w:r>
      <w:r w:rsidR="005F7609" w:rsidRPr="00162AB6">
        <w:t>7] HCA 36; 57 CLR 115</w:t>
      </w:r>
      <w:r w:rsidR="009149DB" w:rsidRPr="00D92865">
        <w:t xml:space="preserve"> concerned deceptive similarity in the context of opposition to registration rather than in the context of infringement.  It is necessary to consider infringement separately.</w:t>
      </w:r>
    </w:p>
    <w:p w14:paraId="053C9473" w14:textId="45A4B8ED" w:rsidR="009149DB" w:rsidRPr="00444DD0" w:rsidRDefault="001E3C6B" w:rsidP="001E3C6B">
      <w:pPr>
        <w:pStyle w:val="Heading5"/>
        <w:numPr>
          <w:ilvl w:val="0"/>
          <w:numId w:val="0"/>
        </w:numPr>
        <w:tabs>
          <w:tab w:val="left" w:pos="1134"/>
        </w:tabs>
        <w:ind w:left="1134" w:hanging="1134"/>
      </w:pPr>
      <w:bookmarkStart w:id="67" w:name="_Ref54701576"/>
      <w:r w:rsidRPr="00444DD0">
        <w:t>1.</w:t>
      </w:r>
      <w:r w:rsidRPr="00444DD0">
        <w:tab/>
      </w:r>
      <w:r w:rsidR="009149DB" w:rsidRPr="00444DD0">
        <w:t>Su</w:t>
      </w:r>
      <w:r w:rsidR="009149DB">
        <w:t>rrounding circumstances</w:t>
      </w:r>
      <w:bookmarkEnd w:id="67"/>
    </w:p>
    <w:p w14:paraId="0017B56E" w14:textId="51019B04" w:rsidR="009149DB" w:rsidRPr="00D92865" w:rsidRDefault="001E3C6B" w:rsidP="001E3C6B">
      <w:pPr>
        <w:pStyle w:val="ParaNumbering"/>
        <w:numPr>
          <w:ilvl w:val="0"/>
          <w:numId w:val="0"/>
        </w:numPr>
        <w:ind w:hanging="720"/>
      </w:pPr>
      <w:r w:rsidRPr="00D92865">
        <w:rPr>
          <w:sz w:val="20"/>
        </w:rPr>
        <w:t>173</w:t>
      </w:r>
      <w:r w:rsidRPr="00D92865">
        <w:rPr>
          <w:sz w:val="20"/>
        </w:rPr>
        <w:tab/>
      </w:r>
      <w:r w:rsidR="009149DB" w:rsidRPr="00D92865">
        <w:t xml:space="preserve">As Gummow J explained in </w:t>
      </w:r>
      <w:r w:rsidR="009149DB" w:rsidRPr="002F5711">
        <w:rPr>
          <w:b/>
          <w:i/>
        </w:rPr>
        <w:t>Wingate</w:t>
      </w:r>
      <w:r w:rsidR="009149DB" w:rsidRPr="00D92865">
        <w:rPr>
          <w:i/>
        </w:rPr>
        <w:t xml:space="preserve"> Pty Ltd v Levi Strauss &amp; Co</w:t>
      </w:r>
      <w:r w:rsidR="009149DB" w:rsidRPr="00D92865">
        <w:t xml:space="preserve"> </w:t>
      </w:r>
      <w:r w:rsidR="00CD279D">
        <w:t>[</w:t>
      </w:r>
      <w:r w:rsidR="009149DB" w:rsidRPr="00D92865">
        <w:t>1994</w:t>
      </w:r>
      <w:r w:rsidR="00CD279D">
        <w:t>] FCA 163;</w:t>
      </w:r>
      <w:r w:rsidR="009149DB" w:rsidRPr="00D92865">
        <w:t xml:space="preserve"> 49 FCR 89 at 128, where the comparison of the marks is necessary to determine whether that of the defendant is deceptively similar to the registered mark of the plaintiff, who sues for infringement, the primary comparison must be between </w:t>
      </w:r>
      <w:r w:rsidR="006233E5">
        <w:t xml:space="preserve">any normal use of </w:t>
      </w:r>
      <w:r w:rsidR="009149DB" w:rsidRPr="00D92865">
        <w:t xml:space="preserve">the registered mark on the one hand and the mark </w:t>
      </w:r>
      <w:r w:rsidR="009149DB" w:rsidRPr="00D92865">
        <w:rPr>
          <w:i/>
        </w:rPr>
        <w:t>as used</w:t>
      </w:r>
      <w:r w:rsidR="009149DB" w:rsidRPr="00D92865">
        <w:t xml:space="preserve"> by the defendant on the other.  The reason for the difference is that in order to give effect to the plaintiff’s monopoly arising from the registration of its mark, protection must be given even if </w:t>
      </w:r>
      <w:r w:rsidR="00CD279D">
        <w:t xml:space="preserve">its </w:t>
      </w:r>
      <w:r w:rsidR="009149DB" w:rsidRPr="00D92865">
        <w:t xml:space="preserve">mark has not been used or, if it has, also in respect of designated goods and services in respect of which it has not been used.  Thus it is any normal use of the plaintiff’s mark comprised within the registration that must be considered.  On the other hand, it is the infringement by the defendant which is constituted by the actual use of that mark that must be considered.  See </w:t>
      </w:r>
      <w:r w:rsidR="009149DB" w:rsidRPr="009149DB">
        <w:rPr>
          <w:b/>
          <w:i/>
        </w:rPr>
        <w:t>MID Sydney</w:t>
      </w:r>
      <w:r w:rsidR="009149DB" w:rsidRPr="00D92865">
        <w:rPr>
          <w:i/>
        </w:rPr>
        <w:t xml:space="preserve"> Pty Ltd v Australian Tourism Co Ltd</w:t>
      </w:r>
      <w:r w:rsidR="009149DB" w:rsidRPr="00D92865">
        <w:t xml:space="preserve"> [1998] FCA 1616; 90 FCR 236 at 245</w:t>
      </w:r>
      <w:r w:rsidR="00CD279D">
        <w:t xml:space="preserve"> </w:t>
      </w:r>
      <w:r w:rsidR="00CD279D" w:rsidRPr="007A08C7">
        <w:rPr>
          <w:bCs/>
        </w:rPr>
        <w:t>per Burchett, Sackville and Lehane JJ</w:t>
      </w:r>
      <w:r w:rsidR="009149DB" w:rsidRPr="00D92865">
        <w:t>.</w:t>
      </w:r>
    </w:p>
    <w:p w14:paraId="2897F289" w14:textId="1AEEAA22" w:rsidR="009149DB" w:rsidRPr="00D92865" w:rsidRDefault="001E3C6B" w:rsidP="001E3C6B">
      <w:pPr>
        <w:pStyle w:val="ParaNumbering"/>
        <w:numPr>
          <w:ilvl w:val="0"/>
          <w:numId w:val="0"/>
        </w:numPr>
        <w:ind w:hanging="720"/>
      </w:pPr>
      <w:r w:rsidRPr="00D92865">
        <w:rPr>
          <w:sz w:val="20"/>
        </w:rPr>
        <w:t>174</w:t>
      </w:r>
      <w:r w:rsidRPr="00D92865">
        <w:rPr>
          <w:sz w:val="20"/>
        </w:rPr>
        <w:tab/>
      </w:r>
      <w:r w:rsidR="009149DB" w:rsidRPr="00D92865">
        <w:t>Nevertheless, there are circumstances in which matters relevant to the plaintiff’s mark that are broader than the mark itself might be taken into consideration.  Section 219 of the TM Act provides that “evidence is admissible of the usage of the trade concerned and of any relevant trade</w:t>
      </w:r>
      <w:r w:rsidR="00280024">
        <w:t xml:space="preserve"> </w:t>
      </w:r>
      <w:r w:rsidR="009149DB" w:rsidRPr="00D92865">
        <w:t>mark, trade</w:t>
      </w:r>
      <w:r w:rsidR="009149DB">
        <w:t xml:space="preserve"> </w:t>
      </w:r>
      <w:r w:rsidR="009149DB" w:rsidRPr="00D92865">
        <w:t xml:space="preserve">name or get-up legitimately used by other persons.”  In the context of s 66 of the previous Act, which was in the same terms, in </w:t>
      </w:r>
      <w:r w:rsidR="009149DB" w:rsidRPr="00D92865">
        <w:rPr>
          <w:i/>
        </w:rPr>
        <w:t>Mond Staffordshire Refining Co Ltd v Harlem</w:t>
      </w:r>
      <w:r w:rsidR="009149DB" w:rsidRPr="00D92865">
        <w:t xml:space="preserve"> </w:t>
      </w:r>
      <w:r w:rsidR="00280024">
        <w:t>[</w:t>
      </w:r>
      <w:r w:rsidR="009149DB" w:rsidRPr="00D92865">
        <w:t>1929</w:t>
      </w:r>
      <w:r w:rsidR="00280024">
        <w:t>] HCA 6;</w:t>
      </w:r>
      <w:r w:rsidR="009149DB" w:rsidRPr="00D92865">
        <w:t xml:space="preserve"> 41 CLR 475 it was concluded that the registered trade mark MONSOL was not infringed by the use of MULSOL on the basis of evidence of a number of marks used for pharmaceutical products, such as those with which that case was concerned, which ended with –SOL</w:t>
      </w:r>
      <w:r w:rsidR="008C2CD0">
        <w:t xml:space="preserve"> or </w:t>
      </w:r>
      <w:r w:rsidR="008C2CD0" w:rsidRPr="00D92865">
        <w:t>–</w:t>
      </w:r>
      <w:r w:rsidR="008C2CD0">
        <w:t>OL</w:t>
      </w:r>
      <w:r w:rsidR="009B7AD7">
        <w:t>: a</w:t>
      </w:r>
      <w:r w:rsidR="008C2CD0">
        <w:t>t 47</w:t>
      </w:r>
      <w:r w:rsidR="006233E5">
        <w:t>7</w:t>
      </w:r>
      <w:r w:rsidR="008C2CD0">
        <w:t>-47</w:t>
      </w:r>
      <w:r w:rsidR="006233E5">
        <w:t>8</w:t>
      </w:r>
      <w:r w:rsidR="008C2CD0">
        <w:t xml:space="preserve"> per Knox CJ, Gavan Duffy and Starke JJ</w:t>
      </w:r>
      <w:r w:rsidR="009149DB" w:rsidRPr="00D92865">
        <w:t xml:space="preserve">.  See </w:t>
      </w:r>
      <w:r w:rsidR="009149DB" w:rsidRPr="00D92865">
        <w:rPr>
          <w:i/>
        </w:rPr>
        <w:t>Wingate</w:t>
      </w:r>
      <w:r w:rsidR="009149DB" w:rsidRPr="00D92865">
        <w:t xml:space="preserve"> at 127.</w:t>
      </w:r>
    </w:p>
    <w:p w14:paraId="684046BD" w14:textId="08A772E0" w:rsidR="009149DB" w:rsidRPr="000D51E7" w:rsidRDefault="001E3C6B" w:rsidP="001E3C6B">
      <w:pPr>
        <w:pStyle w:val="ParaNumbering"/>
        <w:numPr>
          <w:ilvl w:val="0"/>
          <w:numId w:val="0"/>
        </w:numPr>
        <w:ind w:hanging="720"/>
      </w:pPr>
      <w:r w:rsidRPr="000D51E7">
        <w:rPr>
          <w:sz w:val="20"/>
        </w:rPr>
        <w:t>175</w:t>
      </w:r>
      <w:r w:rsidRPr="000D51E7">
        <w:rPr>
          <w:sz w:val="20"/>
        </w:rPr>
        <w:tab/>
      </w:r>
      <w:r w:rsidR="009149DB" w:rsidRPr="00D92865">
        <w:t xml:space="preserve">In </w:t>
      </w:r>
      <w:r w:rsidR="009149DB" w:rsidRPr="00D92865">
        <w:rPr>
          <w:i/>
        </w:rPr>
        <w:t>MID Sydney</w:t>
      </w:r>
      <w:r w:rsidR="009149DB" w:rsidRPr="00D92865">
        <w:t xml:space="preserve"> (at 245) it was recognised that there are cases, of which that was one, in which it is appropriate to take into account the use, or proposed use, by the alleged infringer and also the character of the registered mark itself.  </w:t>
      </w:r>
      <w:r w:rsidR="009149DB" w:rsidRPr="00C03C54">
        <w:t xml:space="preserve">The judgment of Gummow J in </w:t>
      </w:r>
      <w:r w:rsidR="009149DB" w:rsidRPr="00C03C54">
        <w:rPr>
          <w:i/>
        </w:rPr>
        <w:t>New South Wales Dairy Corporation v Murray Goulburn Co-op Co Ltd (No 1)</w:t>
      </w:r>
      <w:r w:rsidR="009149DB" w:rsidRPr="00C03C54">
        <w:t xml:space="preserve"> </w:t>
      </w:r>
      <w:r w:rsidR="00DF2CFA" w:rsidRPr="00C03C54">
        <w:t>[</w:t>
      </w:r>
      <w:r w:rsidR="009149DB" w:rsidRPr="00C03C54">
        <w:t>1989</w:t>
      </w:r>
      <w:r w:rsidR="00DF2CFA" w:rsidRPr="00C03C54">
        <w:t>] FCA 124;</w:t>
      </w:r>
      <w:r w:rsidR="009149DB" w:rsidRPr="00C03C54">
        <w:t xml:space="preserve"> 14 IPR 26 was cited where it was said (at 67) that in determining the issue of deceptive similarity in the context of infringement it is permissible to have regard to the actual use by the alleged infring</w:t>
      </w:r>
      <w:r w:rsidR="009149DB" w:rsidRPr="004E606B">
        <w:t xml:space="preserve">er.  In </w:t>
      </w:r>
      <w:r w:rsidR="009149DB" w:rsidRPr="00B41E6E">
        <w:rPr>
          <w:i/>
        </w:rPr>
        <w:t>MID Sydney</w:t>
      </w:r>
      <w:r w:rsidR="009149DB" w:rsidRPr="000D51E7">
        <w:t xml:space="preserve"> (at 246) that included two elements of the character of the mark CHIFLEY, </w:t>
      </w:r>
      <w:r w:rsidR="009149DB" w:rsidRPr="000D51E7">
        <w:lastRenderedPageBreak/>
        <w:t>namely that it is familiar not only as the name of a former Prime Minister but also, as the evidence showed, from its use in a number of geographic and other contexts.</w:t>
      </w:r>
    </w:p>
    <w:p w14:paraId="1FB05BEE" w14:textId="44A1A799" w:rsidR="009149DB" w:rsidRDefault="001E3C6B" w:rsidP="001E3C6B">
      <w:pPr>
        <w:pStyle w:val="ParaNumbering"/>
        <w:numPr>
          <w:ilvl w:val="0"/>
          <w:numId w:val="0"/>
        </w:numPr>
        <w:ind w:hanging="720"/>
      </w:pPr>
      <w:r>
        <w:rPr>
          <w:sz w:val="20"/>
        </w:rPr>
        <w:t>176</w:t>
      </w:r>
      <w:r>
        <w:rPr>
          <w:sz w:val="20"/>
        </w:rPr>
        <w:tab/>
      </w:r>
      <w:r w:rsidR="009149DB">
        <w:t xml:space="preserve">In </w:t>
      </w:r>
      <w:r w:rsidR="009149DB" w:rsidRPr="00D92865">
        <w:rPr>
          <w:i/>
        </w:rPr>
        <w:t xml:space="preserve">Anheuser-Busch </w:t>
      </w:r>
      <w:r w:rsidR="009149DB">
        <w:t xml:space="preserve">Allsop J considered whether the use of the mark </w:t>
      </w:r>
      <w:r w:rsidR="009149DB" w:rsidRPr="00D92865">
        <w:t>BUDEJOVICKÝ</w:t>
      </w:r>
      <w:r w:rsidR="009149DB">
        <w:t xml:space="preserve"> BUDVAR infringed the marks BUDWEISER and BUD.  That turned in part on whether the former was deceptively similar to the latter.  His Honour held (at [153]) that the setting or surrounding circumstances were relevant for the comparison and that they included, relevantly, how the product would be sold and promoted.  Relevant also was where and how the allegedly infringing mark was used on the labels on beer bottles: </w:t>
      </w:r>
      <w:r w:rsidR="00A1342F">
        <w:t xml:space="preserve">at </w:t>
      </w:r>
      <w:r w:rsidR="009149DB">
        <w:t>[181].</w:t>
      </w:r>
    </w:p>
    <w:p w14:paraId="4BC38091" w14:textId="4A62A004" w:rsidR="009149DB" w:rsidRDefault="001E3C6B" w:rsidP="001E3C6B">
      <w:pPr>
        <w:pStyle w:val="ParaNumbering"/>
        <w:numPr>
          <w:ilvl w:val="0"/>
          <w:numId w:val="0"/>
        </w:numPr>
        <w:ind w:hanging="720"/>
      </w:pPr>
      <w:r>
        <w:rPr>
          <w:sz w:val="20"/>
        </w:rPr>
        <w:t>177</w:t>
      </w:r>
      <w:r>
        <w:rPr>
          <w:sz w:val="20"/>
        </w:rPr>
        <w:tab/>
      </w:r>
      <w:r w:rsidR="009149DB">
        <w:t xml:space="preserve">The Full Court in </w:t>
      </w:r>
      <w:r w:rsidR="009149DB" w:rsidRPr="00CB0EBF">
        <w:rPr>
          <w:i/>
        </w:rPr>
        <w:t>Melbourne Chinese Press Pty Ltd v Australian Chinese Newspapers Pty Ltd</w:t>
      </w:r>
      <w:r w:rsidR="009149DB" w:rsidRPr="00CB0EBF">
        <w:t xml:space="preserve"> [2004] FCAFC 201</w:t>
      </w:r>
      <w:r w:rsidR="009149DB">
        <w:t>;</w:t>
      </w:r>
      <w:r w:rsidR="009149DB" w:rsidRPr="00CB0EBF">
        <w:t xml:space="preserve"> 63 IPR 38</w:t>
      </w:r>
      <w:r w:rsidR="009149DB">
        <w:t>, an infringement case, confirmed that the following must be considered: the look and the sound of the words, the goods to which they are to be applied, the nature and kind of customer who would be likely to buy those goods, and “all the surrounding circumstances”</w:t>
      </w:r>
      <w:r w:rsidR="00A1342F">
        <w:t xml:space="preserve"> </w:t>
      </w:r>
      <w:r w:rsidR="00EF4588">
        <w:t>(</w:t>
      </w:r>
      <w:r w:rsidR="00A1342F">
        <w:t xml:space="preserve">at [16] per </w:t>
      </w:r>
      <w:r w:rsidR="00A1342F" w:rsidRPr="00CB0EBF">
        <w:rPr>
          <w:bCs/>
        </w:rPr>
        <w:t xml:space="preserve">Wilcox, Kiefel </w:t>
      </w:r>
      <w:r w:rsidR="00A1342F">
        <w:rPr>
          <w:bCs/>
        </w:rPr>
        <w:t>and</w:t>
      </w:r>
      <w:r w:rsidR="00A1342F" w:rsidRPr="00CB0EBF">
        <w:rPr>
          <w:bCs/>
        </w:rPr>
        <w:t xml:space="preserve"> Bennett JJ</w:t>
      </w:r>
      <w:r w:rsidR="00A1342F">
        <w:t xml:space="preserve">, citing </w:t>
      </w:r>
      <w:r w:rsidR="00A1342F" w:rsidRPr="00CB0EBF">
        <w:rPr>
          <w:i/>
          <w:iCs/>
        </w:rPr>
        <w:t>Re Application by Pianotist Co Ltd </w:t>
      </w:r>
      <w:r w:rsidR="00A1342F" w:rsidRPr="00CB0EBF">
        <w:t>(1906) 23 RPC 774 at 777</w:t>
      </w:r>
      <w:r w:rsidR="00A1342F">
        <w:t xml:space="preserve"> per Parker J</w:t>
      </w:r>
      <w:r w:rsidR="00EF4588">
        <w:t>)</w:t>
      </w:r>
      <w:r w:rsidR="00A1342F">
        <w:t>.</w:t>
      </w:r>
      <w:r w:rsidR="00B14BDB">
        <w:t xml:space="preserve">  I understand this to be the approach that I am bound to follow.</w:t>
      </w:r>
    </w:p>
    <w:p w14:paraId="262822FA" w14:textId="0D2FDF81" w:rsidR="009149DB" w:rsidRPr="005539D1" w:rsidRDefault="001E3C6B" w:rsidP="001E3C6B">
      <w:pPr>
        <w:pStyle w:val="Heading5"/>
        <w:numPr>
          <w:ilvl w:val="0"/>
          <w:numId w:val="0"/>
        </w:numPr>
        <w:tabs>
          <w:tab w:val="left" w:pos="1134"/>
        </w:tabs>
        <w:ind w:left="1134" w:hanging="1134"/>
      </w:pPr>
      <w:bookmarkStart w:id="68" w:name="_Ref54701577"/>
      <w:r w:rsidRPr="005539D1">
        <w:t>2.</w:t>
      </w:r>
      <w:r w:rsidRPr="005539D1">
        <w:tab/>
      </w:r>
      <w:r w:rsidR="009149DB" w:rsidRPr="005539D1">
        <w:t>Reputation</w:t>
      </w:r>
      <w:bookmarkEnd w:id="68"/>
    </w:p>
    <w:p w14:paraId="3C821BE8" w14:textId="4584A80D" w:rsidR="0055251C" w:rsidRDefault="001E3C6B" w:rsidP="001E3C6B">
      <w:pPr>
        <w:pStyle w:val="ParaNumbering"/>
        <w:numPr>
          <w:ilvl w:val="0"/>
          <w:numId w:val="0"/>
        </w:numPr>
        <w:ind w:hanging="720"/>
      </w:pPr>
      <w:r>
        <w:rPr>
          <w:sz w:val="20"/>
        </w:rPr>
        <w:t>178</w:t>
      </w:r>
      <w:r>
        <w:rPr>
          <w:sz w:val="20"/>
        </w:rPr>
        <w:tab/>
      </w:r>
      <w:r w:rsidR="0055251C">
        <w:t xml:space="preserve">In </w:t>
      </w:r>
      <w:r w:rsidR="0055251C" w:rsidRPr="004E5C39">
        <w:rPr>
          <w:i/>
        </w:rPr>
        <w:t>Registrar of Trad</w:t>
      </w:r>
      <w:r w:rsidR="004E5C39" w:rsidRPr="004E5C39">
        <w:rPr>
          <w:i/>
        </w:rPr>
        <w:t>e M</w:t>
      </w:r>
      <w:r w:rsidR="0055251C" w:rsidRPr="004E5C39">
        <w:rPr>
          <w:i/>
        </w:rPr>
        <w:t xml:space="preserve">arks v </w:t>
      </w:r>
      <w:r w:rsidR="0055251C" w:rsidRPr="00CF4C83">
        <w:rPr>
          <w:b/>
          <w:i/>
        </w:rPr>
        <w:t>Woolworths</w:t>
      </w:r>
      <w:r w:rsidR="0055251C" w:rsidRPr="004E5C39">
        <w:rPr>
          <w:i/>
        </w:rPr>
        <w:t xml:space="preserve"> Ltd</w:t>
      </w:r>
      <w:r w:rsidR="004E5C39">
        <w:t xml:space="preserve"> [1999] FCA 1020; 93 FCR 365, a majority of the Full Court (French and Tamberlin JJ, Branson J dissenting) held that the trial judge’s reference to the familiarity of the name WOOLWORTHS in Australia was appropriate when considering opposition to the registration of the name WOOLWORTHS METRO on the ground that it would be confusing as being deceptively similar to the mark METRO.  It was reasoned that “w</w:t>
      </w:r>
      <w:r w:rsidR="004E5C39" w:rsidRPr="004E5C39">
        <w:t>here an element of a trade mark has a degree of</w:t>
      </w:r>
      <w:r w:rsidR="004E5C39">
        <w:t xml:space="preserve"> </w:t>
      </w:r>
      <w:r w:rsidR="004E5C39" w:rsidRPr="004E5C39">
        <w:t xml:space="preserve">notoriety or familiarity of which judicial notice can be taken, </w:t>
      </w:r>
      <w:r w:rsidR="004E5C39">
        <w:t>…</w:t>
      </w:r>
      <w:r w:rsidR="004E5C39" w:rsidRPr="004E5C39">
        <w:t xml:space="preserve"> it would be artificial to separate out the physical features of the mark from</w:t>
      </w:r>
      <w:r w:rsidR="004E5C39">
        <w:t xml:space="preserve"> the viewer’</w:t>
      </w:r>
      <w:r w:rsidR="001A5252">
        <w:t>s perception of them</w:t>
      </w:r>
      <w:r w:rsidR="004E5C39">
        <w:t>”</w:t>
      </w:r>
      <w:r w:rsidR="001A5252">
        <w:t>: at [61].</w:t>
      </w:r>
    </w:p>
    <w:p w14:paraId="6CD2A4AA" w14:textId="57E9F5B9" w:rsidR="009149DB" w:rsidRDefault="001E3C6B" w:rsidP="001E3C6B">
      <w:pPr>
        <w:pStyle w:val="ParaNumbering"/>
        <w:numPr>
          <w:ilvl w:val="0"/>
          <w:numId w:val="0"/>
        </w:numPr>
        <w:ind w:hanging="720"/>
      </w:pPr>
      <w:r>
        <w:rPr>
          <w:sz w:val="20"/>
        </w:rPr>
        <w:t>179</w:t>
      </w:r>
      <w:r>
        <w:rPr>
          <w:sz w:val="20"/>
        </w:rPr>
        <w:tab/>
      </w:r>
      <w:r w:rsidR="009149DB">
        <w:t xml:space="preserve">In </w:t>
      </w:r>
      <w:r w:rsidR="009149DB" w:rsidRPr="003D32D4">
        <w:rPr>
          <w:i/>
          <w:iCs/>
        </w:rPr>
        <w:t>Coca-Cola</w:t>
      </w:r>
      <w:r w:rsidR="009149DB">
        <w:t xml:space="preserve">, the appellant’s registered mark that was said to be infringed was a contour drawing of the glass bottle in which the soft drink Coca-Cola was traditionally sold.  The respondent was a confectionery wholesaler which imported and distributed a cola-flavoured confectionery which was shaped like the contour bottle and which had the word COLA inscribed on it.  One of the factors listed by the Full Court (at [42] per </w:t>
      </w:r>
      <w:r w:rsidR="009149DB" w:rsidRPr="007469FC">
        <w:t>Black</w:t>
      </w:r>
      <w:r w:rsidR="009149DB">
        <w:t xml:space="preserve"> CJ, Sundberg and Finkelstein JJ) as leading to the conclusion that the features of the confectionery were likely to cause confusion in consumers, i.e.</w:t>
      </w:r>
      <w:r w:rsidR="00A1388B">
        <w:t>,</w:t>
      </w:r>
      <w:r w:rsidR="009149DB">
        <w:t xml:space="preserve"> to cause them to wonder whether it might be the case that </w:t>
      </w:r>
      <w:r w:rsidR="009149DB">
        <w:lastRenderedPageBreak/>
        <w:t>the confectionery came from the same source as Coca-Cola, was that the contour bottle is extremely well-known.</w:t>
      </w:r>
    </w:p>
    <w:p w14:paraId="6803F169" w14:textId="69F51E4A" w:rsidR="009149DB" w:rsidRDefault="001E3C6B" w:rsidP="001E3C6B">
      <w:pPr>
        <w:pStyle w:val="ParaNumbering"/>
        <w:numPr>
          <w:ilvl w:val="0"/>
          <w:numId w:val="0"/>
        </w:numPr>
        <w:ind w:hanging="720"/>
        <w:rPr>
          <w:bCs/>
        </w:rPr>
      </w:pPr>
      <w:bookmarkStart w:id="69" w:name="_Ref54199365"/>
      <w:r>
        <w:rPr>
          <w:bCs/>
          <w:sz w:val="20"/>
        </w:rPr>
        <w:t>180</w:t>
      </w:r>
      <w:r>
        <w:rPr>
          <w:bCs/>
          <w:sz w:val="20"/>
        </w:rPr>
        <w:tab/>
      </w:r>
      <w:r w:rsidR="009149DB">
        <w:t xml:space="preserve">In </w:t>
      </w:r>
      <w:r w:rsidR="009149DB" w:rsidRPr="00CF4C83">
        <w:rPr>
          <w:b/>
          <w:i/>
        </w:rPr>
        <w:t>CA Henschke</w:t>
      </w:r>
      <w:r w:rsidR="009149DB" w:rsidRPr="003D32D4">
        <w:rPr>
          <w:i/>
        </w:rPr>
        <w:t xml:space="preserve"> &amp; Co v Rosemount Estates Pty Ltd</w:t>
      </w:r>
      <w:r w:rsidR="009149DB">
        <w:t xml:space="preserve"> [2000] FCA 1539; 52 IPR 42, an infringement case, the Full Court directly addressed the relevance of the reputation of the plaintiff’s mark in considering whether the defendant’s allegedly infringing mark is deceptively similar to the former mark.  </w:t>
      </w:r>
      <w:r w:rsidR="009149DB" w:rsidRPr="003D32D4">
        <w:rPr>
          <w:bCs/>
        </w:rPr>
        <w:t>Ryan, Branson and Lehane JJ</w:t>
      </w:r>
      <w:r w:rsidR="009149DB">
        <w:rPr>
          <w:bCs/>
        </w:rPr>
        <w:t xml:space="preserve"> reasoned (at [46]) that what is to be considered is the significance of a particular word or phrase among traders and consumers in a particular market.  If among those persons particular words have come to mean exclusively the goods of a proprietor of a registered mark, the registered mark being or including those words or as a “fancy word” composed of them and, when pronounced, sounding virtually the same, then use by another trader of those words in relation to goods in the class for which the mark is registered will infringe because, necessarily in the circumstances, use of the words by that trader is likely to cause confusion.</w:t>
      </w:r>
      <w:bookmarkEnd w:id="69"/>
    </w:p>
    <w:p w14:paraId="7A513975" w14:textId="6C6E991F" w:rsidR="009149DB" w:rsidRDefault="001E3C6B" w:rsidP="001E3C6B">
      <w:pPr>
        <w:pStyle w:val="ParaNumbering"/>
        <w:numPr>
          <w:ilvl w:val="0"/>
          <w:numId w:val="0"/>
        </w:numPr>
        <w:ind w:hanging="720"/>
      </w:pPr>
      <w:r>
        <w:rPr>
          <w:sz w:val="20"/>
        </w:rPr>
        <w:t>181</w:t>
      </w:r>
      <w:r>
        <w:rPr>
          <w:sz w:val="20"/>
        </w:rPr>
        <w:tab/>
      </w:r>
      <w:r w:rsidR="009149DB">
        <w:t>It was reasoned</w:t>
      </w:r>
      <w:r w:rsidR="00A15A8A">
        <w:t xml:space="preserve"> by the Full Court in </w:t>
      </w:r>
      <w:r w:rsidR="00A15A8A">
        <w:rPr>
          <w:i/>
        </w:rPr>
        <w:t>CA Henschke</w:t>
      </w:r>
      <w:r w:rsidR="009149DB">
        <w:t xml:space="preserve"> (at [50]) that despite reliance on the contour bottle being extremely well-known, the Full Court in </w:t>
      </w:r>
      <w:r w:rsidR="009149DB" w:rsidRPr="007469FC">
        <w:rPr>
          <w:i/>
        </w:rPr>
        <w:t>Coca-Cola</w:t>
      </w:r>
      <w:r w:rsidR="009149DB">
        <w:t xml:space="preserve"> is not to be taken to have decided that reputation evidence of the kind which is undoubtedly relevant in a passing off action is generally relevant to a question of deceptive similarity.  It was held (at [52]) that </w:t>
      </w:r>
      <w:r w:rsidR="009149DB" w:rsidRPr="005539D1">
        <w:rPr>
          <w:i/>
        </w:rPr>
        <w:t>Woolworths</w:t>
      </w:r>
      <w:r w:rsidR="009149DB">
        <w:t xml:space="preserve"> suggests, and other authorities support, that in assessing the nature of a consumer’s imperfect recollection of a mark, the fact that the mark, or perhaps an important element of it, is notoriously so ubiquitous and of such long-standing that consumers generally must be taken to be familiar with it and with its use in relation to particular goods or services, is a relevant consideration.</w:t>
      </w:r>
    </w:p>
    <w:p w14:paraId="1916486C" w14:textId="4A18560A" w:rsidR="009149DB" w:rsidRDefault="001E3C6B" w:rsidP="001E3C6B">
      <w:pPr>
        <w:pStyle w:val="ParaNumbering"/>
        <w:numPr>
          <w:ilvl w:val="0"/>
          <w:numId w:val="0"/>
        </w:numPr>
        <w:ind w:hanging="720"/>
      </w:pPr>
      <w:bookmarkStart w:id="70" w:name="_Ref54199374"/>
      <w:r>
        <w:rPr>
          <w:sz w:val="20"/>
        </w:rPr>
        <w:t>182</w:t>
      </w:r>
      <w:r>
        <w:rPr>
          <w:sz w:val="20"/>
        </w:rPr>
        <w:tab/>
      </w:r>
      <w:r w:rsidR="009149DB">
        <w:t xml:space="preserve">The approach to the question of reputation in </w:t>
      </w:r>
      <w:r w:rsidR="009149DB">
        <w:rPr>
          <w:i/>
        </w:rPr>
        <w:t>CA Hensc</w:t>
      </w:r>
      <w:r w:rsidR="005607E0">
        <w:rPr>
          <w:i/>
        </w:rPr>
        <w:t>h</w:t>
      </w:r>
      <w:r w:rsidR="009149DB">
        <w:rPr>
          <w:i/>
        </w:rPr>
        <w:t>ke</w:t>
      </w:r>
      <w:r w:rsidR="009149DB">
        <w:t xml:space="preserve"> was followed by the Full Court in </w:t>
      </w:r>
      <w:r w:rsidR="009149DB" w:rsidRPr="00911C5A">
        <w:rPr>
          <w:b/>
          <w:i/>
        </w:rPr>
        <w:t xml:space="preserve">Australian Meat </w:t>
      </w:r>
      <w:r w:rsidR="009149DB" w:rsidRPr="005539D1">
        <w:rPr>
          <w:i/>
        </w:rPr>
        <w:t xml:space="preserve">Group Pty Ltd v JBS Australia Pty </w:t>
      </w:r>
      <w:r w:rsidR="009149DB">
        <w:rPr>
          <w:i/>
        </w:rPr>
        <w:t>Ltd</w:t>
      </w:r>
      <w:r w:rsidR="009149DB" w:rsidRPr="005539D1">
        <w:t xml:space="preserve"> [2018] FCAFC 207</w:t>
      </w:r>
      <w:r w:rsidR="009149DB">
        <w:t xml:space="preserve">; </w:t>
      </w:r>
      <w:r w:rsidR="004C516D">
        <w:t>268 FCR 624</w:t>
      </w:r>
      <w:r w:rsidR="009149DB">
        <w:t xml:space="preserve">.  It was held (at [41] per Allsop CJ, Besanko and Yates JJ) that the limited proposition which the Court accepted </w:t>
      </w:r>
      <w:r w:rsidR="009149DB" w:rsidRPr="005539D1">
        <w:rPr>
          <w:i/>
        </w:rPr>
        <w:t>Woolworths</w:t>
      </w:r>
      <w:r w:rsidR="009149DB">
        <w:t xml:space="preserve"> stood for was not that reputation is relevant generally to deceptive similarity.  That proposition was rejected.  It was the proposition that deceptive similarity from imperfect recollection might be countered by showing the well-known nature of the registered mark and the lessened likelihood of imperfect recollection.</w:t>
      </w:r>
      <w:bookmarkEnd w:id="70"/>
      <w:r w:rsidR="00B14BDB" w:rsidRPr="00B14BDB">
        <w:t xml:space="preserve"> </w:t>
      </w:r>
      <w:r w:rsidR="00B14BDB">
        <w:t xml:space="preserve"> I understand this to be the approach that I am bound to follow.</w:t>
      </w:r>
    </w:p>
    <w:p w14:paraId="662BDE8A" w14:textId="2475DA8B" w:rsidR="009149DB" w:rsidRPr="007A08C7" w:rsidRDefault="001E3C6B" w:rsidP="001E3C6B">
      <w:pPr>
        <w:pStyle w:val="Heading5"/>
        <w:numPr>
          <w:ilvl w:val="0"/>
          <w:numId w:val="0"/>
        </w:numPr>
        <w:tabs>
          <w:tab w:val="left" w:pos="1134"/>
        </w:tabs>
        <w:ind w:left="1134" w:hanging="1134"/>
      </w:pPr>
      <w:bookmarkStart w:id="71" w:name="_Ref54701578"/>
      <w:r w:rsidRPr="007A08C7">
        <w:lastRenderedPageBreak/>
        <w:t>3.</w:t>
      </w:r>
      <w:r w:rsidRPr="007A08C7">
        <w:tab/>
      </w:r>
      <w:r w:rsidR="009149DB">
        <w:t>Section 120(2)</w:t>
      </w:r>
      <w:bookmarkEnd w:id="71"/>
    </w:p>
    <w:p w14:paraId="5F0D4C0D" w14:textId="52BFD5B1" w:rsidR="00EE4D06" w:rsidRPr="007A08C7" w:rsidRDefault="001E3C6B" w:rsidP="001E3C6B">
      <w:pPr>
        <w:pStyle w:val="ParaNumbering"/>
        <w:numPr>
          <w:ilvl w:val="0"/>
          <w:numId w:val="0"/>
        </w:numPr>
        <w:ind w:hanging="720"/>
      </w:pPr>
      <w:r w:rsidRPr="007A08C7">
        <w:rPr>
          <w:sz w:val="20"/>
        </w:rPr>
        <w:t>183</w:t>
      </w:r>
      <w:r w:rsidRPr="007A08C7">
        <w:rPr>
          <w:sz w:val="20"/>
        </w:rPr>
        <w:tab/>
      </w:r>
      <w:r w:rsidR="00EE4D06" w:rsidRPr="007A08C7">
        <w:t>The n</w:t>
      </w:r>
      <w:r w:rsidR="00EE4D06" w:rsidRPr="000166DA">
        <w:t>otion of whether the impugned mark is likely to deceive or cause confusion comes</w:t>
      </w:r>
      <w:r w:rsidR="00EE4D06" w:rsidRPr="007A08C7">
        <w:t xml:space="preserve"> into s 120(2) at two places.  The first is in the chapeau, within the concept of </w:t>
      </w:r>
      <w:r w:rsidR="00EE4D06">
        <w:t>“</w:t>
      </w:r>
      <w:r w:rsidR="00EE4D06" w:rsidRPr="007A08C7">
        <w:t>deceptively similar</w:t>
      </w:r>
      <w:r w:rsidR="00EE4D06">
        <w:t>”</w:t>
      </w:r>
      <w:r w:rsidR="00EE4D06" w:rsidRPr="007A08C7">
        <w:t xml:space="preserve"> as defined, and the second is in the </w:t>
      </w:r>
      <w:r w:rsidR="00A629CF">
        <w:t>chaus</w:t>
      </w:r>
      <w:r w:rsidR="00211278">
        <w:t>s</w:t>
      </w:r>
      <w:r w:rsidR="00A629CF">
        <w:t xml:space="preserve">ette (the </w:t>
      </w:r>
      <w:r w:rsidR="00EE4D06" w:rsidRPr="007A08C7">
        <w:t>closing words of the subsection</w:t>
      </w:r>
      <w:r w:rsidR="00A629CF">
        <w:t xml:space="preserve"> as referred to by Perram J in </w:t>
      </w:r>
      <w:r w:rsidR="00A629CF" w:rsidRPr="00A629CF">
        <w:rPr>
          <w:b/>
          <w:i/>
        </w:rPr>
        <w:t>SMA Solar Technology</w:t>
      </w:r>
      <w:r w:rsidR="00A629CF" w:rsidRPr="00A629CF">
        <w:rPr>
          <w:i/>
        </w:rPr>
        <w:t xml:space="preserve"> AG v Beyond Building Systems Pty Ltd (</w:t>
      </w:r>
      <w:r w:rsidR="00211278" w:rsidRPr="00A629CF">
        <w:rPr>
          <w:i/>
        </w:rPr>
        <w:t>N</w:t>
      </w:r>
      <w:r w:rsidR="00211278">
        <w:rPr>
          <w:i/>
        </w:rPr>
        <w:t>o</w:t>
      </w:r>
      <w:r w:rsidR="00A629CF" w:rsidRPr="00A629CF">
        <w:rPr>
          <w:i/>
        </w:rPr>
        <w:t xml:space="preserve"> 5)</w:t>
      </w:r>
      <w:r w:rsidR="00A629CF">
        <w:t xml:space="preserve"> [2012] FCA 1483 at [79])</w:t>
      </w:r>
      <w:r w:rsidR="00EE4D06" w:rsidRPr="007A08C7">
        <w:t>, viz</w:t>
      </w:r>
      <w:r w:rsidR="00911C5A">
        <w:t>.,</w:t>
      </w:r>
      <w:r w:rsidR="00EE4D06" w:rsidRPr="007A08C7">
        <w:t xml:space="preserve"> </w:t>
      </w:r>
      <w:r w:rsidR="00EE4D06">
        <w:t>“</w:t>
      </w:r>
      <w:r w:rsidR="00EE4D06" w:rsidRPr="007A08C7">
        <w:t>However, the person is not taken to have infringed the trade</w:t>
      </w:r>
      <w:r w:rsidR="006D59B0">
        <w:t xml:space="preserve"> </w:t>
      </w:r>
      <w:r w:rsidR="00EE4D06" w:rsidRPr="007A08C7">
        <w:t>mark if the person e</w:t>
      </w:r>
      <w:r w:rsidR="000166DA">
        <w:t>stablishes that using the sign a</w:t>
      </w:r>
      <w:r w:rsidR="00EE4D06" w:rsidRPr="007A08C7">
        <w:t>s the person did is not likely to deceive or cause confusion.</w:t>
      </w:r>
      <w:r w:rsidR="00EE4D06">
        <w:t>”</w:t>
      </w:r>
    </w:p>
    <w:p w14:paraId="1C2B826A" w14:textId="63B5DBD8" w:rsidR="00EE4D06" w:rsidRPr="007A08C7" w:rsidRDefault="001E3C6B" w:rsidP="001E3C6B">
      <w:pPr>
        <w:pStyle w:val="ParaNumbering"/>
        <w:numPr>
          <w:ilvl w:val="0"/>
          <w:numId w:val="0"/>
        </w:numPr>
        <w:ind w:hanging="720"/>
      </w:pPr>
      <w:r w:rsidRPr="007A08C7">
        <w:rPr>
          <w:sz w:val="20"/>
        </w:rPr>
        <w:t>184</w:t>
      </w:r>
      <w:r w:rsidRPr="007A08C7">
        <w:rPr>
          <w:sz w:val="20"/>
        </w:rPr>
        <w:tab/>
      </w:r>
      <w:r w:rsidR="00EE4D06" w:rsidRPr="007A08C7">
        <w:t xml:space="preserve">The words </w:t>
      </w:r>
      <w:r w:rsidR="00EE4D06">
        <w:t>“</w:t>
      </w:r>
      <w:r w:rsidR="00EE4D06" w:rsidRPr="007A08C7">
        <w:t>as the person did</w:t>
      </w:r>
      <w:r w:rsidR="00EE4D06">
        <w:t>”</w:t>
      </w:r>
      <w:r w:rsidR="00EE4D06" w:rsidRPr="007A08C7">
        <w:t xml:space="preserve"> in the </w:t>
      </w:r>
      <w:r w:rsidR="00A629CF">
        <w:t>chau</w:t>
      </w:r>
      <w:r w:rsidR="00211278">
        <w:t>s</w:t>
      </w:r>
      <w:r w:rsidR="00A629CF">
        <w:t>sette to</w:t>
      </w:r>
      <w:r w:rsidR="00EE4D06" w:rsidRPr="007A08C7">
        <w:t xml:space="preserve"> s 120(2) direct attention to the way in which, as a matter of fact, the alleged infringer has used the allegedly infringing trade mark.  These concluding words pose a different question to that raised by the </w:t>
      </w:r>
      <w:r w:rsidR="00A629CF">
        <w:t>chapeau</w:t>
      </w:r>
      <w:r w:rsidR="00EE4D06" w:rsidRPr="007A08C7">
        <w:t xml:space="preserve"> of the subsection which, in the context of deceptive similarity, direct</w:t>
      </w:r>
      <w:r w:rsidR="00FE1E98">
        <w:t>s</w:t>
      </w:r>
      <w:r w:rsidR="00EE4D06" w:rsidRPr="007A08C7">
        <w:t xml:space="preserve"> attention only to a comparison of the marks in the way discussed above.  However, any conclusion about deceptive similarity would usually inform the consideration of whether the actual use was likely to deceive or cause confusion.  In a sense, an affirmative answer to the question of whether the alleged infringing mark is deceptively similar would be the starting point.  If it was, then it would, in many instances, render it more likely (though not inevitable) that the actual use of the allegedly infringing mark was likely to deceive or cause confusion.  Also relevant would be the matters considered in determining whether the alleged infringer</w:t>
      </w:r>
      <w:r w:rsidR="00EE4D06">
        <w:t>’</w:t>
      </w:r>
      <w:r w:rsidR="00EE4D06" w:rsidRPr="007A08C7">
        <w:t xml:space="preserve">s goods are of the same description of the goods in respect of which the registered mark is registered.  See </w:t>
      </w:r>
      <w:r w:rsidR="00AD061C" w:rsidRPr="00162AB6">
        <w:rPr>
          <w:b/>
          <w:bCs/>
          <w:i/>
          <w:iCs/>
        </w:rPr>
        <w:t>E &amp; J Gallo </w:t>
      </w:r>
      <w:r w:rsidR="00AD061C" w:rsidRPr="00162AB6">
        <w:rPr>
          <w:bCs/>
          <w:i/>
          <w:iCs/>
        </w:rPr>
        <w:t>Winery v Lion Nathan Australia Pty Ltd</w:t>
      </w:r>
      <w:r w:rsidR="00AD061C" w:rsidRPr="00162AB6">
        <w:rPr>
          <w:bCs/>
        </w:rPr>
        <w:t> [2009] FCAFC 27; 175 FCR 386</w:t>
      </w:r>
      <w:r w:rsidR="00EE4D06" w:rsidRPr="007A08C7">
        <w:t xml:space="preserve"> at [76].</w:t>
      </w:r>
    </w:p>
    <w:p w14:paraId="4C36E15E" w14:textId="564E99B6" w:rsidR="00EE4D06" w:rsidRPr="007A08C7" w:rsidRDefault="001E3C6B" w:rsidP="001E3C6B">
      <w:pPr>
        <w:pStyle w:val="Heading3"/>
        <w:ind w:left="426" w:hanging="360"/>
      </w:pPr>
      <w:bookmarkStart w:id="72" w:name="_Ref54701579"/>
      <w:r w:rsidRPr="007A08C7">
        <w:t>(3)</w:t>
      </w:r>
      <w:r w:rsidRPr="007A08C7">
        <w:tab/>
      </w:r>
      <w:r w:rsidR="00EE4D06" w:rsidRPr="007A08C7">
        <w:t xml:space="preserve">The </w:t>
      </w:r>
      <w:r w:rsidR="00A629CF">
        <w:t xml:space="preserve">“goods in respect of which the trade mark is </w:t>
      </w:r>
      <w:r w:rsidR="00EE4D06" w:rsidRPr="007A08C7">
        <w:t>registered</w:t>
      </w:r>
      <w:r w:rsidR="00A629CF">
        <w:t>”</w:t>
      </w:r>
      <w:r w:rsidR="00EE4D06" w:rsidRPr="007A08C7">
        <w:t xml:space="preserve"> or </w:t>
      </w:r>
      <w:r w:rsidR="00A629CF">
        <w:t>“</w:t>
      </w:r>
      <w:r w:rsidR="00EE4D06" w:rsidRPr="007A08C7">
        <w:t>goods of the same description</w:t>
      </w:r>
      <w:r w:rsidR="00A629CF">
        <w:t>”</w:t>
      </w:r>
      <w:r w:rsidR="00EE4D06" w:rsidRPr="007A08C7">
        <w:t xml:space="preserve"> – principles</w:t>
      </w:r>
      <w:bookmarkEnd w:id="72"/>
    </w:p>
    <w:p w14:paraId="7332A331" w14:textId="5902AA5D" w:rsidR="00A629CF" w:rsidRDefault="001E3C6B" w:rsidP="001E3C6B">
      <w:pPr>
        <w:pStyle w:val="ParaNumbering"/>
        <w:numPr>
          <w:ilvl w:val="0"/>
          <w:numId w:val="0"/>
        </w:numPr>
        <w:ind w:hanging="720"/>
      </w:pPr>
      <w:r>
        <w:rPr>
          <w:sz w:val="20"/>
        </w:rPr>
        <w:t>185</w:t>
      </w:r>
      <w:r>
        <w:rPr>
          <w:sz w:val="20"/>
        </w:rPr>
        <w:tab/>
      </w:r>
      <w:r w:rsidR="00A629CF">
        <w:t xml:space="preserve">In respect of s 120(1), the inquiry is whether the goods in respect of which the allegedly infringing mark is used </w:t>
      </w:r>
      <w:r w:rsidR="009149DB">
        <w:t xml:space="preserve">are </w:t>
      </w:r>
      <w:r w:rsidR="00A629CF">
        <w:t>the same as the goods in respect of which the allegedly infring</w:t>
      </w:r>
      <w:r w:rsidR="0055251C">
        <w:t>ed</w:t>
      </w:r>
      <w:r w:rsidR="00A629CF">
        <w:t xml:space="preserve"> mark is registered.  </w:t>
      </w:r>
      <w:r w:rsidR="006F4DE3">
        <w:t xml:space="preserve">That involves considering the allegedly infringing goods, and asking whether they are covered by the goods listed in the registration of the allegedly infringed mark.  </w:t>
      </w:r>
      <w:r w:rsidR="00A629CF">
        <w:t xml:space="preserve">See </w:t>
      </w:r>
      <w:r w:rsidR="00A629CF" w:rsidRPr="006233E5">
        <w:rPr>
          <w:i/>
          <w:iCs/>
        </w:rPr>
        <w:t>MID Sydney</w:t>
      </w:r>
      <w:r w:rsidR="00A629CF" w:rsidRPr="00162AB6">
        <w:rPr>
          <w:i/>
          <w:iCs/>
        </w:rPr>
        <w:t xml:space="preserve"> </w:t>
      </w:r>
      <w:r w:rsidR="00A629CF" w:rsidRPr="007A08C7">
        <w:rPr>
          <w:bCs/>
        </w:rPr>
        <w:t>at 24</w:t>
      </w:r>
      <w:r w:rsidR="00A629CF">
        <w:rPr>
          <w:bCs/>
        </w:rPr>
        <w:t xml:space="preserve">1; </w:t>
      </w:r>
      <w:r w:rsidR="00A629CF">
        <w:rPr>
          <w:bCs/>
          <w:i/>
        </w:rPr>
        <w:t>Bing! Software Pty Ltd v Bing Technologies Pty Ltd (No 1)</w:t>
      </w:r>
      <w:r w:rsidR="00A629CF">
        <w:rPr>
          <w:bCs/>
        </w:rPr>
        <w:t xml:space="preserve"> [2008] FCA 1760; 79 IPR 454 at [47] per Collier J.</w:t>
      </w:r>
    </w:p>
    <w:p w14:paraId="7070AA36" w14:textId="04B2C380" w:rsidR="00EE4D06" w:rsidRPr="007A08C7" w:rsidRDefault="001E3C6B" w:rsidP="001E3C6B">
      <w:pPr>
        <w:pStyle w:val="ParaNumbering"/>
        <w:numPr>
          <w:ilvl w:val="0"/>
          <w:numId w:val="0"/>
        </w:numPr>
        <w:ind w:hanging="720"/>
      </w:pPr>
      <w:r w:rsidRPr="007A08C7">
        <w:rPr>
          <w:sz w:val="20"/>
        </w:rPr>
        <w:t>186</w:t>
      </w:r>
      <w:r w:rsidRPr="007A08C7">
        <w:rPr>
          <w:sz w:val="20"/>
        </w:rPr>
        <w:tab/>
      </w:r>
      <w:r w:rsidR="00EE4D06" w:rsidRPr="007A08C7">
        <w:t xml:space="preserve">In considering whether the impugned mark is used on goods </w:t>
      </w:r>
      <w:r w:rsidR="006F4DE3">
        <w:t>“</w:t>
      </w:r>
      <w:r w:rsidR="00EE4D06" w:rsidRPr="007A08C7">
        <w:t>of the same description</w:t>
      </w:r>
      <w:r w:rsidR="006F4DE3">
        <w:t>”</w:t>
      </w:r>
      <w:r w:rsidR="00EE4D06" w:rsidRPr="007A08C7">
        <w:t xml:space="preserve"> as the goods in respect of which the mark that is said to be infringed is registered</w:t>
      </w:r>
      <w:r w:rsidR="00A629CF">
        <w:t xml:space="preserve"> (i.e.</w:t>
      </w:r>
      <w:r w:rsidR="00B665A8">
        <w:t>,</w:t>
      </w:r>
      <w:r w:rsidR="00A629CF">
        <w:t xml:space="preserve"> s 120(2)(a))</w:t>
      </w:r>
      <w:r w:rsidR="00EE4D06" w:rsidRPr="007A08C7">
        <w:t xml:space="preserve">, </w:t>
      </w:r>
      <w:r w:rsidR="006F4DE3">
        <w:t xml:space="preserve">the inquiry is broader.  The allegedly infringing goods may not be listed in the registration of </w:t>
      </w:r>
      <w:r w:rsidR="006F4DE3">
        <w:lastRenderedPageBreak/>
        <w:t>the allegedly infringed mark, but they may nevertheless be goods of the same description.  T</w:t>
      </w:r>
      <w:r w:rsidR="00EE4D06" w:rsidRPr="007A08C7">
        <w:t xml:space="preserve">here may be many matters to be considered apart from the inherent character of the goods.  These can be classified as the nature of the goods, the uses of the goods, and the trade channels through which they are bought and sold.  No single consideration is conclusive in itself, and the classifications in the schedules for the registration of trade marks are not a decisive criterion as to whether or not two sets of goods are </w:t>
      </w:r>
      <w:r w:rsidR="00EE4D06">
        <w:t>“</w:t>
      </w:r>
      <w:r w:rsidR="00EE4D06" w:rsidRPr="007A08C7">
        <w:t>of the same description</w:t>
      </w:r>
      <w:r w:rsidR="00EE4D06">
        <w:t>”</w:t>
      </w:r>
      <w:r w:rsidR="00EE4D06" w:rsidRPr="007A08C7">
        <w:t xml:space="preserve">.  See </w:t>
      </w:r>
      <w:r w:rsidR="00EE4D06" w:rsidRPr="00162AB6">
        <w:rPr>
          <w:i/>
          <w:iCs/>
        </w:rPr>
        <w:t xml:space="preserve">Southern Cross </w:t>
      </w:r>
      <w:r w:rsidR="00EE4D06" w:rsidRPr="007A08C7">
        <w:t>at 606 per Dixon CJ, McTiernan, Webb, Fullagar and Taylor JJ.</w:t>
      </w:r>
    </w:p>
    <w:p w14:paraId="2D3EDC5E" w14:textId="5B0FB580" w:rsidR="00EE4D06" w:rsidRPr="007A08C7" w:rsidRDefault="001E3C6B" w:rsidP="001E3C6B">
      <w:pPr>
        <w:pStyle w:val="ParaNumbering"/>
        <w:numPr>
          <w:ilvl w:val="0"/>
          <w:numId w:val="0"/>
        </w:numPr>
        <w:ind w:hanging="720"/>
      </w:pPr>
      <w:r w:rsidRPr="007A08C7">
        <w:rPr>
          <w:sz w:val="20"/>
        </w:rPr>
        <w:t>187</w:t>
      </w:r>
      <w:r w:rsidRPr="007A08C7">
        <w:rPr>
          <w:sz w:val="20"/>
        </w:rPr>
        <w:tab/>
      </w:r>
      <w:r w:rsidR="00EE4D06" w:rsidRPr="007A08C7">
        <w:t xml:space="preserve">The English Court of Appeal in </w:t>
      </w:r>
      <w:r w:rsidR="00EE4D06" w:rsidRPr="007A08C7">
        <w:rPr>
          <w:i/>
          <w:iCs/>
        </w:rPr>
        <w:t xml:space="preserve">J </w:t>
      </w:r>
      <w:r w:rsidR="00EE4D06" w:rsidRPr="00162AB6">
        <w:rPr>
          <w:i/>
          <w:iCs/>
        </w:rPr>
        <w:t xml:space="preserve">Lyons &amp; Co Ltd’s Application </w:t>
      </w:r>
      <w:r w:rsidR="00EE4D06" w:rsidRPr="00162AB6">
        <w:t>[1959] RPC 120</w:t>
      </w:r>
      <w:r w:rsidR="00EE4D06" w:rsidRPr="007A08C7">
        <w:t xml:space="preserve"> </w:t>
      </w:r>
      <w:r w:rsidR="00911C5A">
        <w:t>at 128 per Lord Evershed MR</w:t>
      </w:r>
      <w:r w:rsidR="00EE4D06" w:rsidRPr="007A08C7">
        <w:t xml:space="preserve"> adopted the same tripartite classification of considerations (i.e.</w:t>
      </w:r>
      <w:r w:rsidR="00A1388B">
        <w:t>,</w:t>
      </w:r>
      <w:r w:rsidR="00EE4D06" w:rsidRPr="007A08C7">
        <w:t xml:space="preserve"> </w:t>
      </w:r>
      <w:r w:rsidR="00EE4D06">
        <w:t>“</w:t>
      </w:r>
      <w:r w:rsidR="00EE4D06" w:rsidRPr="007A08C7">
        <w:t xml:space="preserve">the nature and composition of the goods, </w:t>
      </w:r>
      <w:r w:rsidR="0022628D">
        <w:t xml:space="preserve">to </w:t>
      </w:r>
      <w:r w:rsidR="00EE4D06" w:rsidRPr="007A08C7">
        <w:t>their respective uses and functions, and</w:t>
      </w:r>
      <w:r w:rsidR="0022628D">
        <w:t xml:space="preserve"> to</w:t>
      </w:r>
      <w:r w:rsidR="00EE4D06" w:rsidRPr="007A08C7">
        <w:t xml:space="preserve"> the trade channels through which respectively they are marketed or sold</w:t>
      </w:r>
      <w:r w:rsidR="00EE4D06">
        <w:t>”</w:t>
      </w:r>
      <w:r w:rsidR="00EE4D06" w:rsidRPr="007A08C7">
        <w:t xml:space="preserve">).  The Court also held that the phrase </w:t>
      </w:r>
      <w:r w:rsidR="00EE4D06">
        <w:t>“</w:t>
      </w:r>
      <w:r w:rsidR="00EE4D06" w:rsidRPr="007A08C7">
        <w:t>goods of the same description</w:t>
      </w:r>
      <w:r w:rsidR="00EE4D06">
        <w:t>”</w:t>
      </w:r>
      <w:r w:rsidR="00EE4D06" w:rsidRPr="007A08C7">
        <w:t xml:space="preserve"> ought not to be given too restrictive a construction – </w:t>
      </w:r>
      <w:r w:rsidR="00EE4D06">
        <w:t>“</w:t>
      </w:r>
      <w:r w:rsidR="00EE4D06" w:rsidRPr="007A08C7">
        <w:t>not, at all events, so as to be limited to goods substantially analogous in kind, or commonly used as mere substitutes or alt</w:t>
      </w:r>
      <w:r w:rsidR="00911C5A">
        <w:t>ernatives the one for the other</w:t>
      </w:r>
      <w:r w:rsidR="00EE4D06">
        <w:t>”</w:t>
      </w:r>
      <w:r w:rsidR="00911C5A">
        <w:t>: at 128.</w:t>
      </w:r>
      <w:r w:rsidR="00EE4D06" w:rsidRPr="007A08C7">
        <w:t xml:space="preserve">  That was adopted by the Full Court of this Court in </w:t>
      </w:r>
      <w:r w:rsidR="00EE4D06" w:rsidRPr="0041666D">
        <w:rPr>
          <w:i/>
          <w:iCs/>
        </w:rPr>
        <w:t>MID Sydney</w:t>
      </w:r>
      <w:r w:rsidR="00EE4D06" w:rsidRPr="00162AB6">
        <w:rPr>
          <w:i/>
          <w:iCs/>
        </w:rPr>
        <w:t xml:space="preserve"> </w:t>
      </w:r>
      <w:r w:rsidR="00EE4D06" w:rsidRPr="007A08C7">
        <w:rPr>
          <w:bCs/>
        </w:rPr>
        <w:t xml:space="preserve">at 244.  See also </w:t>
      </w:r>
      <w:r w:rsidR="00EE4D06" w:rsidRPr="00162AB6">
        <w:rPr>
          <w:b/>
          <w:bCs/>
          <w:i/>
          <w:iCs/>
        </w:rPr>
        <w:t>Polo Textile</w:t>
      </w:r>
      <w:r w:rsidR="00EE4D06" w:rsidRPr="00162AB6">
        <w:rPr>
          <w:bCs/>
          <w:i/>
          <w:iCs/>
        </w:rPr>
        <w:t xml:space="preserve"> Industries Pty Ltd v Domestic Textile Corp Pty Ltd </w:t>
      </w:r>
      <w:r w:rsidR="00EE4D06" w:rsidRPr="00162AB6">
        <w:rPr>
          <w:bCs/>
        </w:rPr>
        <w:t xml:space="preserve">[1993] FCA </w:t>
      </w:r>
      <w:r w:rsidR="00722617">
        <w:rPr>
          <w:bCs/>
        </w:rPr>
        <w:t>265</w:t>
      </w:r>
      <w:r w:rsidR="00EE4D06" w:rsidRPr="00162AB6">
        <w:rPr>
          <w:bCs/>
        </w:rPr>
        <w:t>; 42 FCR 227</w:t>
      </w:r>
      <w:r w:rsidR="00EE4D06" w:rsidRPr="007A08C7">
        <w:rPr>
          <w:bCs/>
        </w:rPr>
        <w:t xml:space="preserve"> at 240 per Burchett J.  Although </w:t>
      </w:r>
      <w:r w:rsidR="00EE4D06" w:rsidRPr="007A08C7">
        <w:rPr>
          <w:bCs/>
          <w:i/>
          <w:iCs/>
        </w:rPr>
        <w:t>MID Sydney</w:t>
      </w:r>
      <w:r w:rsidR="00EE4D06" w:rsidRPr="007A08C7">
        <w:rPr>
          <w:bCs/>
        </w:rPr>
        <w:t> dealt with services rather than goods, its reasoning applies equally to goods: </w:t>
      </w:r>
      <w:r w:rsidR="00EE4D06" w:rsidRPr="00AD061C">
        <w:rPr>
          <w:bCs/>
          <w:i/>
          <w:iCs/>
        </w:rPr>
        <w:t>E &amp; J Gallo</w:t>
      </w:r>
      <w:r w:rsidR="00AD061C">
        <w:rPr>
          <w:b/>
          <w:bCs/>
          <w:i/>
          <w:iCs/>
        </w:rPr>
        <w:t xml:space="preserve"> </w:t>
      </w:r>
      <w:r w:rsidR="00EE4D06" w:rsidRPr="007A08C7">
        <w:rPr>
          <w:bCs/>
        </w:rPr>
        <w:t>at [70].</w:t>
      </w:r>
    </w:p>
    <w:p w14:paraId="5F98DAA3" w14:textId="56FA4AAD" w:rsidR="00EE4D06" w:rsidRPr="007A08C7" w:rsidRDefault="001E3C6B" w:rsidP="001E3C6B">
      <w:pPr>
        <w:pStyle w:val="ParaNumbering"/>
        <w:numPr>
          <w:ilvl w:val="0"/>
          <w:numId w:val="0"/>
        </w:numPr>
        <w:ind w:hanging="720"/>
      </w:pPr>
      <w:r w:rsidRPr="007A08C7">
        <w:rPr>
          <w:sz w:val="20"/>
        </w:rPr>
        <w:t>188</w:t>
      </w:r>
      <w:r w:rsidRPr="007A08C7">
        <w:rPr>
          <w:sz w:val="20"/>
        </w:rPr>
        <w:tab/>
      </w:r>
      <w:r w:rsidR="00EE4D06" w:rsidRPr="007A08C7">
        <w:t xml:space="preserve">The expression </w:t>
      </w:r>
      <w:r w:rsidR="00EE4D06">
        <w:t>“</w:t>
      </w:r>
      <w:r w:rsidR="00EE4D06" w:rsidRPr="007A08C7">
        <w:t>goods of the same description</w:t>
      </w:r>
      <w:r w:rsidR="00EE4D06">
        <w:t>”</w:t>
      </w:r>
      <w:r w:rsidR="00EE4D06" w:rsidRPr="007A08C7">
        <w:t xml:space="preserve"> is generally to be understood in such a sense that, if two different items are held not to fall within the expression, their sale under the same mark by different companies is not likely to lead to confusion or deception: </w:t>
      </w:r>
      <w:r w:rsidR="00EE4D06" w:rsidRPr="007A08C7">
        <w:rPr>
          <w:i/>
        </w:rPr>
        <w:t>Polo Textile</w:t>
      </w:r>
      <w:r w:rsidR="00EE4D06" w:rsidRPr="007A08C7">
        <w:t xml:space="preserve"> at 240</w:t>
      </w:r>
      <w:r w:rsidR="00A1342F">
        <w:t>,</w:t>
      </w:r>
      <w:r w:rsidR="00EE4D06" w:rsidRPr="007A08C7">
        <w:t xml:space="preserve"> adopted in </w:t>
      </w:r>
      <w:r w:rsidR="00EE4D06" w:rsidRPr="007A08C7">
        <w:rPr>
          <w:i/>
        </w:rPr>
        <w:t>E &amp; J Gallo</w:t>
      </w:r>
      <w:r w:rsidR="00EE4D06" w:rsidRPr="00053E3C">
        <w:rPr>
          <w:i/>
          <w:sz w:val="28"/>
        </w:rPr>
        <w:t xml:space="preserve"> </w:t>
      </w:r>
      <w:r w:rsidR="00EE4D06" w:rsidRPr="00053E3C">
        <w:rPr>
          <w:szCs w:val="22"/>
        </w:rPr>
        <w:t>at</w:t>
      </w:r>
      <w:r w:rsidR="00EE4D06" w:rsidRPr="00053E3C">
        <w:rPr>
          <w:szCs w:val="24"/>
        </w:rPr>
        <w:t xml:space="preserve"> [71] pe</w:t>
      </w:r>
      <w:r w:rsidR="00EE4D06" w:rsidRPr="007A08C7">
        <w:t xml:space="preserve">r Moore, Edmonds and Gilmour JJ, not disturbed on appeal in </w:t>
      </w:r>
      <w:r w:rsidR="002F736E" w:rsidRPr="00162AB6">
        <w:rPr>
          <w:i/>
        </w:rPr>
        <w:t>E &amp; J Gallo Winery v Lion Nathan Australia Pty Ltd</w:t>
      </w:r>
      <w:r w:rsidR="002F736E" w:rsidRPr="00162AB6">
        <w:t xml:space="preserve"> [2010] HCA 15; 241 CLR 144</w:t>
      </w:r>
      <w:r w:rsidR="00EE4D06" w:rsidRPr="007A08C7">
        <w:t>.</w:t>
      </w:r>
    </w:p>
    <w:p w14:paraId="06088CEA" w14:textId="589B4030" w:rsidR="00EE4D06" w:rsidRPr="007A08C7" w:rsidRDefault="001E3C6B" w:rsidP="001E3C6B">
      <w:pPr>
        <w:pStyle w:val="ParaNumbering"/>
        <w:numPr>
          <w:ilvl w:val="0"/>
          <w:numId w:val="0"/>
        </w:numPr>
        <w:ind w:hanging="720"/>
      </w:pPr>
      <w:r w:rsidRPr="007A08C7">
        <w:rPr>
          <w:sz w:val="20"/>
        </w:rPr>
        <w:t>189</w:t>
      </w:r>
      <w:r w:rsidRPr="007A08C7">
        <w:rPr>
          <w:sz w:val="20"/>
        </w:rPr>
        <w:tab/>
      </w:r>
      <w:r w:rsidR="00EE4D06" w:rsidRPr="007A08C7">
        <w:t>Product substitutability is one of several factors which may be taken into account, but it is by no means determinative of itself: </w:t>
      </w:r>
      <w:r w:rsidR="00EE4D06" w:rsidRPr="00162AB6">
        <w:rPr>
          <w:i/>
          <w:iCs/>
        </w:rPr>
        <w:t>SMA</w:t>
      </w:r>
      <w:r w:rsidR="00EE4D06" w:rsidRPr="00162AB6">
        <w:t> </w:t>
      </w:r>
      <w:r w:rsidR="00EE4D06" w:rsidRPr="00162AB6">
        <w:rPr>
          <w:i/>
          <w:iCs/>
        </w:rPr>
        <w:t>Solar Technology</w:t>
      </w:r>
      <w:r w:rsidR="00EE4D06" w:rsidRPr="007A08C7">
        <w:t> at [75].</w:t>
      </w:r>
    </w:p>
    <w:p w14:paraId="11129D7D" w14:textId="77777777" w:rsidR="00EE4D06" w:rsidRPr="007A08C7" w:rsidRDefault="00EE4D06" w:rsidP="00EE4D06">
      <w:pPr>
        <w:pStyle w:val="Heading2"/>
      </w:pPr>
      <w:bookmarkStart w:id="73" w:name="_Ref54701580"/>
      <w:r w:rsidRPr="007A08C7">
        <w:t xml:space="preserve">PROTOX as </w:t>
      </w:r>
      <w:r>
        <w:t xml:space="preserve">a </w:t>
      </w:r>
      <w:r w:rsidRPr="007A08C7">
        <w:t>word mark</w:t>
      </w:r>
      <w:bookmarkEnd w:id="73"/>
    </w:p>
    <w:p w14:paraId="12308BE5" w14:textId="4B21A34E" w:rsidR="00EE4D06" w:rsidRPr="007A08C7" w:rsidRDefault="001E3C6B" w:rsidP="001E3C6B">
      <w:pPr>
        <w:pStyle w:val="Heading3"/>
        <w:ind w:left="426" w:hanging="360"/>
      </w:pPr>
      <w:bookmarkStart w:id="74" w:name="_Ref54701581"/>
      <w:r w:rsidRPr="007A08C7">
        <w:t>(1)</w:t>
      </w:r>
      <w:r w:rsidRPr="007A08C7">
        <w:tab/>
      </w:r>
      <w:r w:rsidR="00EE4D06" w:rsidRPr="007A08C7">
        <w:t>Use as a trade mark</w:t>
      </w:r>
      <w:bookmarkEnd w:id="74"/>
    </w:p>
    <w:p w14:paraId="6B738E9B" w14:textId="0E4D6B7F" w:rsidR="00EE4D06" w:rsidRPr="007A08C7" w:rsidRDefault="001E3C6B" w:rsidP="001E3C6B">
      <w:pPr>
        <w:pStyle w:val="ParaNumbering"/>
        <w:numPr>
          <w:ilvl w:val="0"/>
          <w:numId w:val="0"/>
        </w:numPr>
        <w:ind w:hanging="720"/>
      </w:pPr>
      <w:r w:rsidRPr="007A08C7">
        <w:rPr>
          <w:sz w:val="20"/>
        </w:rPr>
        <w:t>190</w:t>
      </w:r>
      <w:r w:rsidRPr="007A08C7">
        <w:rPr>
          <w:sz w:val="20"/>
        </w:rPr>
        <w:tab/>
      </w:r>
      <w:r w:rsidR="00EE4D06" w:rsidRPr="007A08C7">
        <w:t>Self Care submit</w:t>
      </w:r>
      <w:r w:rsidR="00EE4D06">
        <w:t>s</w:t>
      </w:r>
      <w:r w:rsidR="00EE4D06" w:rsidRPr="007A08C7">
        <w:t xml:space="preserve"> that </w:t>
      </w:r>
      <w:r w:rsidR="00EE4D06">
        <w:t>it</w:t>
      </w:r>
      <w:r w:rsidR="00EE4D06" w:rsidRPr="007A08C7">
        <w:t xml:space="preserve"> </w:t>
      </w:r>
      <w:r w:rsidR="000B25A1">
        <w:t>almost always</w:t>
      </w:r>
      <w:r w:rsidR="000B25A1" w:rsidRPr="007A08C7">
        <w:t xml:space="preserve"> </w:t>
      </w:r>
      <w:r w:rsidR="00EE4D06" w:rsidRPr="007A08C7">
        <w:t>use</w:t>
      </w:r>
      <w:r w:rsidR="00EE4D06">
        <w:t>s</w:t>
      </w:r>
      <w:r w:rsidR="00EE4D06" w:rsidRPr="007A08C7">
        <w:t xml:space="preserve"> PROTOX </w:t>
      </w:r>
      <w:r w:rsidR="00463290">
        <w:t>in</w:t>
      </w:r>
      <w:r w:rsidR="00EE4D06" w:rsidRPr="007A08C7">
        <w:t xml:space="preserve"> combination with FREEZEFRAME – that FREEZEFRAME is the umbrella brand and PROTOX denotes a product within the range under the umbrella.  </w:t>
      </w:r>
      <w:r w:rsidR="00EE4D06">
        <w:t>It</w:t>
      </w:r>
      <w:r w:rsidR="00EE4D06" w:rsidRPr="007A08C7">
        <w:t xml:space="preserve"> submit</w:t>
      </w:r>
      <w:r w:rsidR="00EE4D06">
        <w:t>s</w:t>
      </w:r>
      <w:r w:rsidR="00EE4D06" w:rsidRPr="007A08C7">
        <w:t xml:space="preserve"> that it is PROTOX in combination with FREEZEFRAME that </w:t>
      </w:r>
      <w:r w:rsidR="00EE4D06" w:rsidRPr="007A08C7">
        <w:lastRenderedPageBreak/>
        <w:t xml:space="preserve">does the work of indicating the origin of the product known as Protox – PROTOX does not work alone in this respect. </w:t>
      </w:r>
    </w:p>
    <w:p w14:paraId="4B32B5E9" w14:textId="0B66BAA0" w:rsidR="00EE4D06" w:rsidRDefault="001E3C6B" w:rsidP="001E3C6B">
      <w:pPr>
        <w:pStyle w:val="ParaNumbering"/>
        <w:numPr>
          <w:ilvl w:val="0"/>
          <w:numId w:val="0"/>
        </w:numPr>
        <w:ind w:hanging="720"/>
      </w:pPr>
      <w:bookmarkStart w:id="75" w:name="_Ref38881410"/>
      <w:r>
        <w:rPr>
          <w:sz w:val="20"/>
        </w:rPr>
        <w:t>191</w:t>
      </w:r>
      <w:r>
        <w:rPr>
          <w:sz w:val="20"/>
        </w:rPr>
        <w:tab/>
      </w:r>
      <w:r w:rsidR="00EE4D06">
        <w:t xml:space="preserve">I do not accept that PROTOX is </w:t>
      </w:r>
      <w:r w:rsidR="000B25A1">
        <w:t xml:space="preserve">almost always </w:t>
      </w:r>
      <w:r w:rsidR="00EE4D06">
        <w:t xml:space="preserve">used in combination with FREEZEFRAME.  I find that </w:t>
      </w:r>
      <w:r w:rsidR="00EE4D06" w:rsidRPr="007A08C7">
        <w:t xml:space="preserve">PROTOX is </w:t>
      </w:r>
      <w:r w:rsidR="00EE4D06">
        <w:t xml:space="preserve">usually </w:t>
      </w:r>
      <w:r w:rsidR="00EE4D06" w:rsidRPr="007A08C7">
        <w:t xml:space="preserve">used in combination with FREEZEFRAME, but </w:t>
      </w:r>
      <w:r w:rsidR="00EE4D06">
        <w:t xml:space="preserve">even when that is so </w:t>
      </w:r>
      <w:r w:rsidR="00EE4D06" w:rsidRPr="007A08C7">
        <w:t>the spatial relationship between those words is not consistent.</w:t>
      </w:r>
      <w:bookmarkEnd w:id="75"/>
      <w:r w:rsidR="00EE4D06" w:rsidRPr="007A08C7">
        <w:t xml:space="preserve">  </w:t>
      </w:r>
    </w:p>
    <w:p w14:paraId="7379912B" w14:textId="2AE76DA9" w:rsidR="00EE4D06" w:rsidRDefault="001E3C6B" w:rsidP="001E3C6B">
      <w:pPr>
        <w:pStyle w:val="ParaNumbering"/>
        <w:numPr>
          <w:ilvl w:val="0"/>
          <w:numId w:val="0"/>
        </w:numPr>
        <w:ind w:hanging="720"/>
      </w:pPr>
      <w:r>
        <w:rPr>
          <w:sz w:val="20"/>
        </w:rPr>
        <w:t>192</w:t>
      </w:r>
      <w:r>
        <w:rPr>
          <w:sz w:val="20"/>
        </w:rPr>
        <w:tab/>
      </w:r>
      <w:r w:rsidR="00EE4D06" w:rsidRPr="007A08C7">
        <w:t xml:space="preserve">For example, the lid of the elongated box in which the product is packaged has the word PROTOX on its own with no other writing at all, whereas the face and side have the word PROTOX but between them there is a cutaway </w:t>
      </w:r>
      <w:r w:rsidR="00B14BDB">
        <w:t>“</w:t>
      </w:r>
      <w:r w:rsidR="00EE4D06" w:rsidRPr="007A08C7">
        <w:t>surfboard</w:t>
      </w:r>
      <w:r w:rsidR="00B14BDB">
        <w:t>”</w:t>
      </w:r>
      <w:r w:rsidR="00EE4D06" w:rsidRPr="007A08C7">
        <w:t xml:space="preserve"> with the word FREEZEFRAME.  </w:t>
      </w:r>
      <w:r w:rsidR="00EE4D06">
        <w:t>The other side panel of the box has FREEZEFRAME without PROTOX, and the back of the box has PROTOX without FREEZFRAME.  Much of this</w:t>
      </w:r>
      <w:r w:rsidR="00EE4D06" w:rsidRPr="007A08C7">
        <w:t xml:space="preserve"> is evident from the image</w:t>
      </w:r>
      <w:r w:rsidR="00EE4D06">
        <w:t>s</w:t>
      </w:r>
      <w:r w:rsidR="00EE4D06" w:rsidRPr="007A08C7">
        <w:t xml:space="preserve"> at [</w:t>
      </w:r>
      <w:r w:rsidR="00913CDB">
        <w:fldChar w:fldCharType="begin" w:fldLock="1"/>
      </w:r>
      <w:r w:rsidR="00913CDB">
        <w:instrText xml:space="preserve"> REF _Ref36025615 \r \h </w:instrText>
      </w:r>
      <w:r w:rsidR="00913CDB">
        <w:fldChar w:fldCharType="separate"/>
      </w:r>
      <w:r w:rsidR="00756FCE">
        <w:t>63</w:t>
      </w:r>
      <w:r w:rsidR="00913CDB">
        <w:fldChar w:fldCharType="end"/>
      </w:r>
      <w:r w:rsidR="00EE4D06" w:rsidRPr="007A08C7">
        <w:t>] above.</w:t>
      </w:r>
    </w:p>
    <w:p w14:paraId="19C3238C" w14:textId="0DD4770A" w:rsidR="00EE4D06" w:rsidRPr="007A08C7" w:rsidRDefault="001E3C6B" w:rsidP="001E3C6B">
      <w:pPr>
        <w:pStyle w:val="ParaNumbering"/>
        <w:numPr>
          <w:ilvl w:val="0"/>
          <w:numId w:val="0"/>
        </w:numPr>
        <w:ind w:hanging="720"/>
      </w:pPr>
      <w:r w:rsidRPr="007A08C7">
        <w:rPr>
          <w:sz w:val="20"/>
        </w:rPr>
        <w:t>193</w:t>
      </w:r>
      <w:r w:rsidRPr="007A08C7">
        <w:rPr>
          <w:sz w:val="20"/>
        </w:rPr>
        <w:tab/>
      </w:r>
      <w:r w:rsidR="00EE4D06">
        <w:t>The package insert for the Protox product is a composite insert for a number of Freeze</w:t>
      </w:r>
      <w:r w:rsidR="007A728E">
        <w:t>f</w:t>
      </w:r>
      <w:r w:rsidR="00EE4D06">
        <w:t xml:space="preserve">rame products.  It links the products to the brand FREEZEFRAME, but each product is given its own independent name separately from FREEZEFRAME.  Thus, PROTOX appears as the prominent heading and thus name for the Protox product, not </w:t>
      </w:r>
      <w:r w:rsidR="00913CDB">
        <w:t xml:space="preserve">FREEZEFRAME </w:t>
      </w:r>
      <w:r w:rsidR="00031110">
        <w:t>PROTOX.</w:t>
      </w:r>
    </w:p>
    <w:p w14:paraId="6E376E53" w14:textId="308F8B01" w:rsidR="00EE4D06" w:rsidRDefault="001E3C6B" w:rsidP="001E3C6B">
      <w:pPr>
        <w:pStyle w:val="ParaNumbering"/>
        <w:numPr>
          <w:ilvl w:val="0"/>
          <w:numId w:val="0"/>
        </w:numPr>
        <w:ind w:hanging="720"/>
      </w:pPr>
      <w:r>
        <w:rPr>
          <w:sz w:val="20"/>
        </w:rPr>
        <w:t>194</w:t>
      </w:r>
      <w:r>
        <w:rPr>
          <w:sz w:val="20"/>
        </w:rPr>
        <w:tab/>
      </w:r>
      <w:r w:rsidR="00EE4D06">
        <w:t xml:space="preserve">Many examples of the promotion and advertising of Protox were tendered in evidence.  For example, many ‘advertorial’-type advertisements for Protox appearing in the health and beauty supplement </w:t>
      </w:r>
      <w:r w:rsidR="00EE4D06" w:rsidRPr="002F736E">
        <w:rPr>
          <w:i/>
        </w:rPr>
        <w:t>Body + Soul</w:t>
      </w:r>
      <w:r w:rsidR="00EE4D06">
        <w:t xml:space="preserve"> in the period November 2014 to October 2016 were tendered.  These depict the product tube with the word PROTOX prominently displayed and “freezeframe” below it in smaller, markedly less prominent writing.  Adjacent to the depiction of the product tube is a paragraph of copy that refers to the product as “</w:t>
      </w:r>
      <w:r w:rsidR="006E0430">
        <w:t>f</w:t>
      </w:r>
      <w:r w:rsidR="00EE4D06">
        <w:t>reezeframe Protox”.</w:t>
      </w:r>
    </w:p>
    <w:p w14:paraId="5F905665" w14:textId="3CEECF32" w:rsidR="00EE4D06" w:rsidRDefault="001E3C6B" w:rsidP="001E3C6B">
      <w:pPr>
        <w:pStyle w:val="ParaNumbering"/>
        <w:numPr>
          <w:ilvl w:val="0"/>
          <w:numId w:val="0"/>
        </w:numPr>
        <w:ind w:hanging="720"/>
      </w:pPr>
      <w:r>
        <w:rPr>
          <w:sz w:val="20"/>
        </w:rPr>
        <w:t>195</w:t>
      </w:r>
      <w:r>
        <w:rPr>
          <w:sz w:val="20"/>
        </w:rPr>
        <w:tab/>
      </w:r>
      <w:r w:rsidR="00EE4D06">
        <w:t xml:space="preserve">Other advertisements in </w:t>
      </w:r>
      <w:r w:rsidR="00EE4D06" w:rsidRPr="002F736E">
        <w:rPr>
          <w:i/>
        </w:rPr>
        <w:t>Body + Soul</w:t>
      </w:r>
      <w:r w:rsidR="00EE4D06">
        <w:t xml:space="preserve"> in October and December 2014 were tendered which reflect the Protox product being referred to as PROTOX on its own and also in the combination “PROTOX </w:t>
      </w:r>
      <w:r w:rsidR="003E1388">
        <w:t>f</w:t>
      </w:r>
      <w:r w:rsidR="00EE4D06">
        <w:t>reeze</w:t>
      </w:r>
      <w:r w:rsidR="003E1388">
        <w:t>fr</w:t>
      </w:r>
      <w:r w:rsidR="00EE4D06">
        <w:t>ame”.</w:t>
      </w:r>
      <w:r w:rsidR="00031110">
        <w:t xml:space="preserve"> </w:t>
      </w:r>
      <w:r w:rsidR="00EE4D06">
        <w:t xml:space="preserve"> An advertisement in </w:t>
      </w:r>
      <w:r w:rsidR="00EE4D06" w:rsidRPr="002F736E">
        <w:rPr>
          <w:i/>
        </w:rPr>
        <w:t>Marie Claire</w:t>
      </w:r>
      <w:r w:rsidR="00EE4D06">
        <w:t xml:space="preserve"> in May 2015 refers to the product as “</w:t>
      </w:r>
      <w:r w:rsidR="003E1388">
        <w:t>f</w:t>
      </w:r>
      <w:r w:rsidR="00EE4D06">
        <w:t>reeze</w:t>
      </w:r>
      <w:r w:rsidR="003E1388">
        <w:t>f</w:t>
      </w:r>
      <w:r w:rsidR="00EE4D06">
        <w:t xml:space="preserve">rame PROTOX” and “PROTOX by </w:t>
      </w:r>
      <w:r w:rsidR="003E1388">
        <w:t>freezef</w:t>
      </w:r>
      <w:r w:rsidR="00031110">
        <w:t>rame”.</w:t>
      </w:r>
    </w:p>
    <w:p w14:paraId="3F4F3E6D" w14:textId="79BC03E8" w:rsidR="00EE4D06" w:rsidRDefault="001E3C6B" w:rsidP="001E3C6B">
      <w:pPr>
        <w:pStyle w:val="ParaNumbering"/>
        <w:numPr>
          <w:ilvl w:val="0"/>
          <w:numId w:val="0"/>
        </w:numPr>
        <w:ind w:hanging="720"/>
      </w:pPr>
      <w:r>
        <w:rPr>
          <w:sz w:val="20"/>
        </w:rPr>
        <w:t>196</w:t>
      </w:r>
      <w:r>
        <w:rPr>
          <w:sz w:val="20"/>
        </w:rPr>
        <w:tab/>
      </w:r>
      <w:r w:rsidR="00EE4D06">
        <w:t>Several downloads of pages from the Freeze</w:t>
      </w:r>
      <w:r w:rsidR="002643F9">
        <w:t>f</w:t>
      </w:r>
      <w:r w:rsidR="00EE4D06">
        <w:t>rame website in the period October 2014 to November 2017 were tendered.  Although being on the Freeze</w:t>
      </w:r>
      <w:r w:rsidR="002643F9">
        <w:t>f</w:t>
      </w:r>
      <w:r w:rsidR="00EE4D06">
        <w:t xml:space="preserve">rame website, and in that sense linked to </w:t>
      </w:r>
      <w:r w:rsidR="00913CDB">
        <w:t>FREEZEFRAME</w:t>
      </w:r>
      <w:r w:rsidR="00EE4D06">
        <w:t>, the pages depict the PROTOX name and m</w:t>
      </w:r>
      <w:r w:rsidR="00EE4D06" w:rsidRPr="00F94AAF">
        <w:t xml:space="preserve">ark being used independently of </w:t>
      </w:r>
      <w:r w:rsidR="00913CDB">
        <w:t>FREEZEFRAME</w:t>
      </w:r>
      <w:r w:rsidR="00EE4D06" w:rsidRPr="00F94AAF">
        <w:t>, including in banner headings.</w:t>
      </w:r>
      <w:r w:rsidR="00761A77">
        <w:t xml:space="preserve"> </w:t>
      </w:r>
      <w:r w:rsidR="00EE4D06" w:rsidRPr="00F94AAF">
        <w:t xml:space="preserve"> </w:t>
      </w:r>
      <w:r w:rsidR="00EE4D06" w:rsidRPr="00BA1855">
        <w:t xml:space="preserve">Within the time period referred to, the more recent examples tend to show more consistent use of PROTOX in </w:t>
      </w:r>
      <w:r w:rsidR="00EE4D06" w:rsidRPr="00BA1855">
        <w:lastRenderedPageBreak/>
        <w:t xml:space="preserve">immediate proximity to </w:t>
      </w:r>
      <w:r w:rsidR="00913CDB">
        <w:t xml:space="preserve">FREEZEFRAME </w:t>
      </w:r>
      <w:r w:rsidR="00EE4D06" w:rsidRPr="00BA1855">
        <w:t>in describing the produ</w:t>
      </w:r>
      <w:r w:rsidR="00EE4D06" w:rsidRPr="00FF0EFB">
        <w:t xml:space="preserve">ct as </w:t>
      </w:r>
      <w:r w:rsidR="00913CDB">
        <w:t xml:space="preserve">FREEZEFRAME </w:t>
      </w:r>
      <w:r w:rsidR="00EE4D06" w:rsidRPr="00066369">
        <w:t>PROTOX.  That change appears to ha</w:t>
      </w:r>
      <w:r w:rsidR="00EE4D06">
        <w:t xml:space="preserve">ve taken place </w:t>
      </w:r>
      <w:r w:rsidR="00761A77">
        <w:t>in about July 2015.</w:t>
      </w:r>
    </w:p>
    <w:p w14:paraId="5E1ABE5A" w14:textId="5914F87C" w:rsidR="00EE4D06" w:rsidRDefault="001E3C6B" w:rsidP="001E3C6B">
      <w:pPr>
        <w:pStyle w:val="ParaNumbering"/>
        <w:numPr>
          <w:ilvl w:val="0"/>
          <w:numId w:val="0"/>
        </w:numPr>
        <w:ind w:hanging="720"/>
      </w:pPr>
      <w:bookmarkStart w:id="76" w:name="_Ref38881422"/>
      <w:r>
        <w:rPr>
          <w:sz w:val="20"/>
        </w:rPr>
        <w:t>197</w:t>
      </w:r>
      <w:r>
        <w:rPr>
          <w:sz w:val="20"/>
        </w:rPr>
        <w:tab/>
      </w:r>
      <w:r w:rsidR="00EE4D06">
        <w:t xml:space="preserve">Examples of advertisements for </w:t>
      </w:r>
      <w:r w:rsidR="00913CDB">
        <w:t xml:space="preserve">Protox </w:t>
      </w:r>
      <w:r w:rsidR="00EE4D06">
        <w:t xml:space="preserve">in the </w:t>
      </w:r>
      <w:r w:rsidR="00EE4D06" w:rsidRPr="00EF4588">
        <w:rPr>
          <w:i/>
        </w:rPr>
        <w:t>Herald Sun</w:t>
      </w:r>
      <w:r w:rsidR="00EE4D06">
        <w:t xml:space="preserve"> newspaper on 14 June 2015 and in various weekend newspapers on 9 August 2015 refer to the product as </w:t>
      </w:r>
      <w:r w:rsidR="00913CDB">
        <w:t xml:space="preserve">FREEZEFRAME </w:t>
      </w:r>
      <w:r w:rsidR="00EE4D06">
        <w:t>PROTOX.</w:t>
      </w:r>
      <w:bookmarkEnd w:id="76"/>
    </w:p>
    <w:p w14:paraId="43056BF8" w14:textId="295C682B" w:rsidR="00EE4D06" w:rsidRDefault="001E3C6B" w:rsidP="001E3C6B">
      <w:pPr>
        <w:pStyle w:val="ParaNumbering"/>
        <w:numPr>
          <w:ilvl w:val="0"/>
          <w:numId w:val="0"/>
        </w:numPr>
        <w:ind w:hanging="720"/>
      </w:pPr>
      <w:r>
        <w:rPr>
          <w:sz w:val="20"/>
        </w:rPr>
        <w:t>198</w:t>
      </w:r>
      <w:r>
        <w:rPr>
          <w:sz w:val="20"/>
        </w:rPr>
        <w:tab/>
      </w:r>
      <w:r w:rsidR="00EE4D06">
        <w:t>In my view it is quite clear that PROTOX is used as a trade</w:t>
      </w:r>
      <w:r w:rsidR="006D59B0">
        <w:t xml:space="preserve"> </w:t>
      </w:r>
      <w:r w:rsidR="00EE4D06">
        <w:t xml:space="preserve">mark.  It badges the goods to which it applies; it gives those goods a name; it is indicative of trade origin by linking the goods to Self Care which applied the mark.  The fact that FREEZEFRAME is the umbrella brand and that PROTOX denotes a product within the </w:t>
      </w:r>
      <w:r w:rsidR="00DC5D22">
        <w:t xml:space="preserve">Freezeframe </w:t>
      </w:r>
      <w:r w:rsidR="00EE4D06">
        <w:t>range does not detract from the use of PROTOX as a trade mark in respect of the Protox product.</w:t>
      </w:r>
    </w:p>
    <w:p w14:paraId="420BEACD" w14:textId="73629E36" w:rsidR="00EE4D06" w:rsidRDefault="001E3C6B" w:rsidP="001E3C6B">
      <w:pPr>
        <w:pStyle w:val="ParaNumbering"/>
        <w:numPr>
          <w:ilvl w:val="0"/>
          <w:numId w:val="0"/>
        </w:numPr>
        <w:ind w:hanging="720"/>
      </w:pPr>
      <w:r>
        <w:rPr>
          <w:sz w:val="20"/>
        </w:rPr>
        <w:t>199</w:t>
      </w:r>
      <w:r>
        <w:rPr>
          <w:sz w:val="20"/>
        </w:rPr>
        <w:tab/>
      </w:r>
      <w:r w:rsidR="00EE4D06" w:rsidRPr="007A08C7">
        <w:t xml:space="preserve">The real issue here is not whether the word PROTOX is used as a trade mark – it clearly is, albeit not </w:t>
      </w:r>
      <w:r w:rsidR="00EE4D06">
        <w:t xml:space="preserve">generally </w:t>
      </w:r>
      <w:r w:rsidR="00EE4D06" w:rsidRPr="007A08C7">
        <w:t>on its own or in isolation.  The</w:t>
      </w:r>
      <w:r w:rsidR="00EE4D06">
        <w:t xml:space="preserve"> real</w:t>
      </w:r>
      <w:r w:rsidR="00EE4D06" w:rsidRPr="007A08C7">
        <w:t xml:space="preserve"> issue is whether PROTOX is deceptively similar to BOTOX and, if it is, whether PROTOX as used (i.e.</w:t>
      </w:r>
      <w:r w:rsidR="002F736E">
        <w:t>,</w:t>
      </w:r>
      <w:r w:rsidR="00EE4D06" w:rsidRPr="007A08C7">
        <w:t xml:space="preserve"> including the way in which it is used with FREEZEFRAME) is not likely to deceive or cause confusion.</w:t>
      </w:r>
    </w:p>
    <w:p w14:paraId="5E3B8EEA" w14:textId="0A2A3267" w:rsidR="00EE4D06" w:rsidRPr="007A08C7" w:rsidRDefault="001E3C6B" w:rsidP="001E3C6B">
      <w:pPr>
        <w:pStyle w:val="Heading3"/>
        <w:ind w:left="426" w:hanging="360"/>
      </w:pPr>
      <w:bookmarkStart w:id="77" w:name="_Ref54701582"/>
      <w:r w:rsidRPr="007A08C7">
        <w:t>(2)</w:t>
      </w:r>
      <w:r w:rsidRPr="007A08C7">
        <w:tab/>
      </w:r>
      <w:r w:rsidR="00EE4D06" w:rsidRPr="007A08C7">
        <w:t>Deceptive similarity</w:t>
      </w:r>
      <w:bookmarkEnd w:id="77"/>
    </w:p>
    <w:p w14:paraId="2DE69C0C" w14:textId="4B3D4FC6" w:rsidR="00EE4D06" w:rsidRPr="007A08C7" w:rsidRDefault="001E3C6B" w:rsidP="001E3C6B">
      <w:pPr>
        <w:pStyle w:val="ParaNumbering"/>
        <w:numPr>
          <w:ilvl w:val="0"/>
          <w:numId w:val="0"/>
        </w:numPr>
        <w:ind w:hanging="720"/>
      </w:pPr>
      <w:r w:rsidRPr="007A08C7">
        <w:rPr>
          <w:sz w:val="20"/>
        </w:rPr>
        <w:t>200</w:t>
      </w:r>
      <w:r w:rsidRPr="007A08C7">
        <w:rPr>
          <w:sz w:val="20"/>
        </w:rPr>
        <w:tab/>
      </w:r>
      <w:r w:rsidR="00EE4D06">
        <w:t>Allergan relies</w:t>
      </w:r>
      <w:r w:rsidR="00EE4D06" w:rsidRPr="007A08C7">
        <w:t xml:space="preserve"> on the following features in support of the conclusion that </w:t>
      </w:r>
      <w:r w:rsidR="00EE4D06">
        <w:t>it</w:t>
      </w:r>
      <w:r w:rsidR="00EE4D06" w:rsidRPr="007A08C7">
        <w:t xml:space="preserve"> contend</w:t>
      </w:r>
      <w:r w:rsidR="00EE4D06">
        <w:t>s</w:t>
      </w:r>
      <w:r w:rsidR="00EE4D06" w:rsidRPr="007A08C7">
        <w:t xml:space="preserve"> for that PROTOX is deceptively similar to e</w:t>
      </w:r>
      <w:r w:rsidR="00BA1855">
        <w:t>ach of the BOTOX marks.</w:t>
      </w:r>
    </w:p>
    <w:p w14:paraId="02FD4790" w14:textId="642DC722" w:rsidR="00EE4D06" w:rsidRPr="007A08C7" w:rsidRDefault="001E3C6B" w:rsidP="001E3C6B">
      <w:pPr>
        <w:pStyle w:val="ParaNumbering"/>
        <w:numPr>
          <w:ilvl w:val="0"/>
          <w:numId w:val="0"/>
        </w:numPr>
        <w:ind w:hanging="720"/>
      </w:pPr>
      <w:r w:rsidRPr="007A08C7">
        <w:rPr>
          <w:sz w:val="20"/>
        </w:rPr>
        <w:t>201</w:t>
      </w:r>
      <w:r w:rsidRPr="007A08C7">
        <w:rPr>
          <w:sz w:val="20"/>
        </w:rPr>
        <w:tab/>
      </w:r>
      <w:r w:rsidR="00EE4D06" w:rsidRPr="00EE1C44">
        <w:t>First</w:t>
      </w:r>
      <w:r w:rsidR="00EE4D06" w:rsidRPr="007A08C7">
        <w:t xml:space="preserve">, </w:t>
      </w:r>
      <w:r w:rsidR="00EE4D06">
        <w:t>Allergan</w:t>
      </w:r>
      <w:r w:rsidR="00EE4D06" w:rsidRPr="007A08C7">
        <w:t xml:space="preserve"> submit</w:t>
      </w:r>
      <w:r w:rsidR="00EE4D06">
        <w:t>s</w:t>
      </w:r>
      <w:r w:rsidR="00EE4D06" w:rsidRPr="007A08C7">
        <w:t xml:space="preserve"> that the dominant feature of PROTOX is -OTOX, both visually and aurally.  </w:t>
      </w:r>
      <w:r w:rsidR="00EE4D06">
        <w:t>It</w:t>
      </w:r>
      <w:r w:rsidR="00EE4D06" w:rsidRPr="007A08C7">
        <w:t xml:space="preserve"> submit</w:t>
      </w:r>
      <w:r w:rsidR="00EE4D06">
        <w:t>s</w:t>
      </w:r>
      <w:r w:rsidR="00EE4D06" w:rsidRPr="007A08C7">
        <w:t xml:space="preserve"> that in referring to PROTOX, consumers are likely to recall this feature first and that PROTOX is likely to be understood as containing an essent</w:t>
      </w:r>
      <w:r w:rsidR="00761A77">
        <w:t>ial feature of the BOTOX marks.</w:t>
      </w:r>
    </w:p>
    <w:p w14:paraId="49AF1290" w14:textId="52C4D50A" w:rsidR="00EE4D06" w:rsidRPr="007A08C7" w:rsidRDefault="001E3C6B" w:rsidP="001E3C6B">
      <w:pPr>
        <w:pStyle w:val="ParaNumbering"/>
        <w:numPr>
          <w:ilvl w:val="0"/>
          <w:numId w:val="0"/>
        </w:numPr>
        <w:ind w:hanging="720"/>
      </w:pPr>
      <w:r w:rsidRPr="007A08C7">
        <w:rPr>
          <w:sz w:val="20"/>
        </w:rPr>
        <w:t>202</w:t>
      </w:r>
      <w:r w:rsidRPr="007A08C7">
        <w:rPr>
          <w:sz w:val="20"/>
        </w:rPr>
        <w:tab/>
      </w:r>
      <w:r w:rsidR="00EE4D06" w:rsidRPr="00EE1C44">
        <w:t>Secondly</w:t>
      </w:r>
      <w:r w:rsidR="00EE4D06" w:rsidRPr="007A08C7">
        <w:t xml:space="preserve">, </w:t>
      </w:r>
      <w:r w:rsidR="00EE4D06">
        <w:t>Allergan</w:t>
      </w:r>
      <w:r w:rsidR="00EE4D06" w:rsidRPr="007A08C7">
        <w:t xml:space="preserve"> submit</w:t>
      </w:r>
      <w:r w:rsidR="00EE4D06">
        <w:t>s</w:t>
      </w:r>
      <w:r w:rsidR="00EE4D06" w:rsidRPr="007A08C7">
        <w:t xml:space="preserve"> that the sign PROTOX has a high degree of similarity as a cue that consumers would ordinarily associate with the Botox product.  The </w:t>
      </w:r>
      <w:r w:rsidR="00EE4D06">
        <w:t>cue</w:t>
      </w:r>
      <w:r w:rsidR="00EE4D06" w:rsidRPr="007A08C7">
        <w:t xml:space="preserve"> that is common to both signs is the two syllables </w:t>
      </w:r>
      <w:r w:rsidR="00EE4D06">
        <w:t>“</w:t>
      </w:r>
      <w:r w:rsidR="00EE4D06" w:rsidRPr="007A08C7">
        <w:t>oh</w:t>
      </w:r>
      <w:r w:rsidR="00EE4D06">
        <w:t>”</w:t>
      </w:r>
      <w:r w:rsidR="00EE4D06" w:rsidRPr="007A08C7">
        <w:t xml:space="preserve"> and </w:t>
      </w:r>
      <w:r w:rsidR="00EE4D06">
        <w:t>“</w:t>
      </w:r>
      <w:r w:rsidR="00EE4D06" w:rsidRPr="007A08C7">
        <w:t>tox</w:t>
      </w:r>
      <w:r w:rsidR="00EE4D06">
        <w:t>”</w:t>
      </w:r>
      <w:r w:rsidR="00EE4D06" w:rsidRPr="007A08C7">
        <w:t xml:space="preserve"> (-OTOX).  </w:t>
      </w:r>
      <w:r w:rsidR="00EE4D06">
        <w:t>Allergan</w:t>
      </w:r>
      <w:r w:rsidR="00EE4D06" w:rsidRPr="007A08C7">
        <w:t xml:space="preserve"> submit</w:t>
      </w:r>
      <w:r w:rsidR="00EE4D06">
        <w:t>s</w:t>
      </w:r>
      <w:r w:rsidR="00EE4D06" w:rsidRPr="007A08C7">
        <w:t xml:space="preserve"> that upon seeing </w:t>
      </w:r>
      <w:r w:rsidR="00911C5A">
        <w:t xml:space="preserve">or hearing </w:t>
      </w:r>
      <w:r w:rsidR="00EE4D06" w:rsidRPr="007A08C7">
        <w:t xml:space="preserve">these, the consumer assumes that the products are, or are in some way, associated with BOTOX.  </w:t>
      </w:r>
      <w:r w:rsidR="00EE4D06">
        <w:t>It</w:t>
      </w:r>
      <w:r w:rsidR="00EE4D06" w:rsidRPr="007A08C7">
        <w:t xml:space="preserve"> submit</w:t>
      </w:r>
      <w:r w:rsidR="00EE4D06">
        <w:t>s</w:t>
      </w:r>
      <w:r w:rsidR="00EE4D06" w:rsidRPr="007A08C7">
        <w:t xml:space="preserve"> that the use of the PR- is unlikely to dispel a consumer</w:t>
      </w:r>
      <w:r w:rsidR="00EE4D06">
        <w:t>’</w:t>
      </w:r>
      <w:r w:rsidR="00EE4D06" w:rsidRPr="007A08C7">
        <w:t xml:space="preserve">s recollection of the brand BOTOX.  </w:t>
      </w:r>
      <w:r w:rsidR="00EE4D06">
        <w:t>It says</w:t>
      </w:r>
      <w:r w:rsidR="00EE4D06" w:rsidRPr="007A08C7">
        <w:t xml:space="preserve"> that this is particularly the case for consumers who have heard about Botox products, but who have not, or who have barely, seen them and their packaging.</w:t>
      </w:r>
    </w:p>
    <w:p w14:paraId="5C680172" w14:textId="5E829617" w:rsidR="00EE4D06" w:rsidRPr="007A08C7" w:rsidRDefault="001E3C6B" w:rsidP="001E3C6B">
      <w:pPr>
        <w:pStyle w:val="ParaNumbering"/>
        <w:numPr>
          <w:ilvl w:val="0"/>
          <w:numId w:val="0"/>
        </w:numPr>
        <w:ind w:hanging="720"/>
      </w:pPr>
      <w:r w:rsidRPr="007A08C7">
        <w:rPr>
          <w:sz w:val="20"/>
        </w:rPr>
        <w:t>203</w:t>
      </w:r>
      <w:r w:rsidRPr="007A08C7">
        <w:rPr>
          <w:sz w:val="20"/>
        </w:rPr>
        <w:tab/>
      </w:r>
      <w:r w:rsidR="00EE4D06" w:rsidRPr="00EE1C44">
        <w:t>Thirdly</w:t>
      </w:r>
      <w:r w:rsidR="00EE4D06" w:rsidRPr="007A08C7">
        <w:t xml:space="preserve">, </w:t>
      </w:r>
      <w:r w:rsidR="00EE4D06">
        <w:t>Allergan</w:t>
      </w:r>
      <w:r w:rsidR="00EE4D06" w:rsidRPr="007A08C7">
        <w:t xml:space="preserve"> submit</w:t>
      </w:r>
      <w:r w:rsidR="00EE4D06">
        <w:t>s</w:t>
      </w:r>
      <w:r w:rsidR="00EE4D06" w:rsidRPr="007A08C7">
        <w:t xml:space="preserve"> that the evidence supports a finding that in adopting the name PROTOX, </w:t>
      </w:r>
      <w:r w:rsidR="00EE4D06">
        <w:t>Self Care</w:t>
      </w:r>
      <w:r w:rsidR="00EE4D06" w:rsidRPr="007A08C7">
        <w:t xml:space="preserve"> intended to trade off the reputation of the brand BOTOX.  If so, </w:t>
      </w:r>
      <w:r w:rsidR="00EE4D06">
        <w:t>it</w:t>
      </w:r>
      <w:r w:rsidR="00EE4D06" w:rsidRPr="007A08C7">
        <w:t xml:space="preserve"> submit</w:t>
      </w:r>
      <w:r w:rsidR="00EE4D06">
        <w:t>s</w:t>
      </w:r>
      <w:r w:rsidR="00EE4D06" w:rsidRPr="007A08C7">
        <w:t xml:space="preserve"> </w:t>
      </w:r>
      <w:r w:rsidR="00EE4D06" w:rsidRPr="007A08C7">
        <w:lastRenderedPageBreak/>
        <w:t xml:space="preserve">that the use of the mark PROTOX should be presumed to be fit for the </w:t>
      </w:r>
      <w:r w:rsidR="00EE4D06">
        <w:t xml:space="preserve">intended </w:t>
      </w:r>
      <w:r w:rsidR="00EE4D06" w:rsidRPr="007A08C7">
        <w:t xml:space="preserve">purpose and thus likely to deceive in reliance on </w:t>
      </w:r>
      <w:r w:rsidR="00EE4D06" w:rsidRPr="00162AB6">
        <w:rPr>
          <w:i/>
          <w:iCs/>
        </w:rPr>
        <w:t xml:space="preserve">Australian Woollen Mills </w:t>
      </w:r>
      <w:r w:rsidR="00EE4D06" w:rsidRPr="007A08C7">
        <w:t>at 657 – that is that proof of the respondent</w:t>
      </w:r>
      <w:r w:rsidR="00EE4D06">
        <w:t>’</w:t>
      </w:r>
      <w:r w:rsidR="00EE4D06" w:rsidRPr="007A08C7">
        <w:t>s intention to appropriate part of the trade</w:t>
      </w:r>
      <w:r w:rsidR="006D59B0">
        <w:t xml:space="preserve"> </w:t>
      </w:r>
      <w:r w:rsidR="00EE4D06" w:rsidRPr="007A08C7">
        <w:t xml:space="preserve">mark or reputation of a rival may be sufficient in a borderline case to </w:t>
      </w:r>
      <w:r w:rsidR="00761A77">
        <w:t>establish deceptive similarity.</w:t>
      </w:r>
    </w:p>
    <w:p w14:paraId="1D0C48CF" w14:textId="17E8F16D" w:rsidR="00EE4D06" w:rsidRPr="007A08C7" w:rsidRDefault="001E3C6B" w:rsidP="001E3C6B">
      <w:pPr>
        <w:pStyle w:val="ParaNumbering"/>
        <w:numPr>
          <w:ilvl w:val="0"/>
          <w:numId w:val="0"/>
        </w:numPr>
        <w:ind w:hanging="720"/>
      </w:pPr>
      <w:r w:rsidRPr="007A08C7">
        <w:rPr>
          <w:sz w:val="20"/>
        </w:rPr>
        <w:t>204</w:t>
      </w:r>
      <w:r w:rsidRPr="007A08C7">
        <w:rPr>
          <w:sz w:val="20"/>
        </w:rPr>
        <w:tab/>
      </w:r>
      <w:r w:rsidR="00EE4D06" w:rsidRPr="007A08C7">
        <w:t xml:space="preserve">In my view, the way in which the relevant words are most commonly and easily spoken breaks up the syllables as follows, BO·TOX and PRO·TOX.  </w:t>
      </w:r>
      <w:r w:rsidR="00913CDB">
        <w:t xml:space="preserve"> The first syllable of each word is similar, having the ‘oh’ sound</w:t>
      </w:r>
      <w:r w:rsidR="00EE4D06" w:rsidRPr="007A08C7">
        <w:t>.  The words obviously have the second syllable in common, namely TOX.  That might readily be understood as a reference to toxin</w:t>
      </w:r>
      <w:r w:rsidR="00415CEB">
        <w:t xml:space="preserve"> or toxicology</w:t>
      </w:r>
      <w:r w:rsidR="00EE4D06" w:rsidRPr="007A08C7">
        <w:t xml:space="preserve">, but not necessarily so.  </w:t>
      </w:r>
      <w:r w:rsidR="00415CEB">
        <w:t>It is nevertheless a familiar and common syllable.</w:t>
      </w:r>
    </w:p>
    <w:p w14:paraId="7B51F13B" w14:textId="00FD7E75" w:rsidR="00EE4D06" w:rsidRPr="007A08C7" w:rsidRDefault="001E3C6B" w:rsidP="001E3C6B">
      <w:pPr>
        <w:pStyle w:val="ParaNumbering"/>
        <w:numPr>
          <w:ilvl w:val="0"/>
          <w:numId w:val="0"/>
        </w:numPr>
        <w:ind w:hanging="720"/>
      </w:pPr>
      <w:r w:rsidRPr="007A08C7">
        <w:rPr>
          <w:sz w:val="20"/>
        </w:rPr>
        <w:t>205</w:t>
      </w:r>
      <w:r w:rsidRPr="007A08C7">
        <w:rPr>
          <w:sz w:val="20"/>
        </w:rPr>
        <w:tab/>
      </w:r>
      <w:r w:rsidR="00EE4D06" w:rsidRPr="007A08C7">
        <w:t>The words are distinguished by the first syllable in each case, namely BO and PRO.  BO has no ready meaning or reference on its own, although well-informed consumers might understand that BO is derived from botulinum.  Botulinum is not a common word and knowledge of it would not be widespread.</w:t>
      </w:r>
    </w:p>
    <w:p w14:paraId="11A061F1" w14:textId="000CAAB4" w:rsidR="00EE4D06" w:rsidRPr="007A08C7" w:rsidRDefault="001E3C6B" w:rsidP="001E3C6B">
      <w:pPr>
        <w:pStyle w:val="ParaNumbering"/>
        <w:numPr>
          <w:ilvl w:val="0"/>
          <w:numId w:val="0"/>
        </w:numPr>
        <w:ind w:hanging="720"/>
      </w:pPr>
      <w:r w:rsidRPr="007A08C7">
        <w:rPr>
          <w:sz w:val="20"/>
        </w:rPr>
        <w:t>206</w:t>
      </w:r>
      <w:r w:rsidRPr="007A08C7">
        <w:rPr>
          <w:sz w:val="20"/>
        </w:rPr>
        <w:tab/>
      </w:r>
      <w:r w:rsidR="00EE4D06" w:rsidRPr="007A08C7">
        <w:t xml:space="preserve">In contrast, PRO is readily understood as meaning </w:t>
      </w:r>
      <w:r w:rsidR="00EE4D06">
        <w:t>“</w:t>
      </w:r>
      <w:r w:rsidR="00EE4D06" w:rsidRPr="007A08C7">
        <w:t>in favour of</w:t>
      </w:r>
      <w:r w:rsidR="00EE4D06">
        <w:t>”</w:t>
      </w:r>
      <w:r w:rsidR="00EE4D06" w:rsidRPr="007A08C7">
        <w:t xml:space="preserve">, favouring or advantageous, although it can also be a colloquialism for professional: </w:t>
      </w:r>
      <w:r w:rsidR="00EE4D06" w:rsidRPr="007A08C7">
        <w:rPr>
          <w:i/>
        </w:rPr>
        <w:t>Macquarie Online Dictionary</w:t>
      </w:r>
      <w:r w:rsidR="00EE4D06" w:rsidRPr="007A08C7">
        <w:t>.  Ms Amoroso apparently intended to</w:t>
      </w:r>
      <w:r w:rsidR="00C84B57">
        <w:t xml:space="preserve"> make a </w:t>
      </w:r>
      <w:r w:rsidR="00C84B57" w:rsidRPr="00C84B57">
        <w:t>portmanteau</w:t>
      </w:r>
      <w:r w:rsidR="00EE4D06" w:rsidRPr="007A08C7">
        <w:t xml:space="preserve"> reference</w:t>
      </w:r>
      <w:r w:rsidR="003B143A">
        <w:t xml:space="preserve"> to</w:t>
      </w:r>
      <w:r w:rsidR="00EE4D06" w:rsidRPr="007A08C7">
        <w:t xml:space="preserve"> </w:t>
      </w:r>
      <w:r w:rsidR="00EE4D06">
        <w:t>“</w:t>
      </w:r>
      <w:r w:rsidR="00EE4D06" w:rsidRPr="007A08C7">
        <w:t>prolonging</w:t>
      </w:r>
      <w:r w:rsidR="00EE4D06">
        <w:t>”</w:t>
      </w:r>
      <w:r w:rsidR="003B143A">
        <w:t xml:space="preserve"> and “botulinum toxin”</w:t>
      </w:r>
      <w:r w:rsidR="00EE4D06" w:rsidRPr="007A08C7">
        <w:t xml:space="preserve">.  Other than in the specific context of that word used in association with PROTOX, such as in the phrase </w:t>
      </w:r>
      <w:r w:rsidR="00EE4D06">
        <w:t>“</w:t>
      </w:r>
      <w:r w:rsidR="00EE4D06" w:rsidRPr="007A08C7">
        <w:t>prolong the use of Botox with PROTOX</w:t>
      </w:r>
      <w:r w:rsidR="00EE4D06">
        <w:t>”</w:t>
      </w:r>
      <w:r w:rsidR="00EE4D06" w:rsidRPr="007A08C7">
        <w:t>, I do not consider that it would readily be understood in that way.</w:t>
      </w:r>
    </w:p>
    <w:p w14:paraId="5FD6E29F" w14:textId="706C2678" w:rsidR="00913CDB" w:rsidRDefault="001E3C6B" w:rsidP="001E3C6B">
      <w:pPr>
        <w:pStyle w:val="ParaNumbering"/>
        <w:numPr>
          <w:ilvl w:val="0"/>
          <w:numId w:val="0"/>
        </w:numPr>
        <w:ind w:hanging="720"/>
      </w:pPr>
      <w:r>
        <w:rPr>
          <w:sz w:val="20"/>
        </w:rPr>
        <w:t>207</w:t>
      </w:r>
      <w:r>
        <w:rPr>
          <w:sz w:val="20"/>
        </w:rPr>
        <w:tab/>
      </w:r>
      <w:r w:rsidR="00EE4D06" w:rsidRPr="007A08C7">
        <w:t>Nevertheless, PRO is a familiar and recognisable element and it has meaning, whereas BO is unfamiliar and does not have a readily recognisable meaning.</w:t>
      </w:r>
      <w:r w:rsidR="00415CEB">
        <w:t xml:space="preserve">  Also, because the common element, TOX, is readily familiar, I consider that attention is more readily directed to the prefix syllables in each case, i.e.</w:t>
      </w:r>
      <w:r w:rsidR="00A1388B">
        <w:t>,</w:t>
      </w:r>
      <w:r w:rsidR="00415CEB">
        <w:t xml:space="preserve"> PRO and BO.</w:t>
      </w:r>
      <w:r w:rsidR="00913CDB">
        <w:t xml:space="preserve">  </w:t>
      </w:r>
      <w:r w:rsidR="005607E0">
        <w:t>In any event, the point is that although the words are very similar in look and in sound, they are less so in any idea or meaning conveyed by them.</w:t>
      </w:r>
    </w:p>
    <w:p w14:paraId="6677913E" w14:textId="519C3362" w:rsidR="00913CDB" w:rsidRDefault="001E3C6B" w:rsidP="001E3C6B">
      <w:pPr>
        <w:pStyle w:val="ParaNumbering"/>
        <w:numPr>
          <w:ilvl w:val="0"/>
          <w:numId w:val="0"/>
        </w:numPr>
        <w:ind w:hanging="720"/>
      </w:pPr>
      <w:r>
        <w:rPr>
          <w:sz w:val="20"/>
        </w:rPr>
        <w:t>208</w:t>
      </w:r>
      <w:r>
        <w:rPr>
          <w:sz w:val="20"/>
        </w:rPr>
        <w:tab/>
      </w:r>
      <w:r w:rsidR="00913CDB" w:rsidRPr="00913CDB">
        <w:t xml:space="preserve">I </w:t>
      </w:r>
      <w:r w:rsidR="00913CDB">
        <w:t>do not accept</w:t>
      </w:r>
      <w:r w:rsidR="00913CDB" w:rsidRPr="00913CDB">
        <w:t xml:space="preserve"> </w:t>
      </w:r>
      <w:r w:rsidR="00913CDB">
        <w:t xml:space="preserve">Ms Amoroso’s evidence that the </w:t>
      </w:r>
      <w:r w:rsidR="00913CDB" w:rsidRPr="00913CDB">
        <w:t>TOX part of the</w:t>
      </w:r>
      <w:r w:rsidR="00913CDB">
        <w:t xml:space="preserve"> word </w:t>
      </w:r>
      <w:r w:rsidR="00913CDB" w:rsidRPr="00913CDB">
        <w:t>refers to botulinum toxin rather than Botox</w:t>
      </w:r>
      <w:r w:rsidR="00911C5A">
        <w:t>, or more specifically the word BOTOX</w:t>
      </w:r>
      <w:r w:rsidR="00913CDB" w:rsidRPr="00913CDB">
        <w:t xml:space="preserve">.  </w:t>
      </w:r>
      <w:r w:rsidR="00913CDB">
        <w:t>Having regard to Ms Amoroso’s statement that it is a play on words and her reference in contemporaneous correspondence to people understanding the reference, in my view it was</w:t>
      </w:r>
      <w:r w:rsidR="00913CDB" w:rsidRPr="00913CDB">
        <w:t xml:space="preserve"> clearly </w:t>
      </w:r>
      <w:r w:rsidR="00913CDB">
        <w:t xml:space="preserve">intended to be </w:t>
      </w:r>
      <w:r w:rsidR="00913CDB" w:rsidRPr="00913CDB">
        <w:t>a</w:t>
      </w:r>
      <w:r w:rsidR="005607E0">
        <w:t>n</w:t>
      </w:r>
      <w:r w:rsidR="00913CDB" w:rsidRPr="00913CDB">
        <w:t xml:space="preserve"> </w:t>
      </w:r>
      <w:r w:rsidR="009F0F42">
        <w:t>allusion</w:t>
      </w:r>
      <w:r w:rsidR="009F0F42" w:rsidRPr="00913CDB">
        <w:t xml:space="preserve"> </w:t>
      </w:r>
      <w:r w:rsidR="00913CDB" w:rsidRPr="00913CDB">
        <w:t>to Botox</w:t>
      </w:r>
      <w:r w:rsidR="00A67D40">
        <w:t xml:space="preserve"> (see [</w:t>
      </w:r>
      <w:r w:rsidR="00A67D40">
        <w:fldChar w:fldCharType="begin" w:fldLock="1"/>
      </w:r>
      <w:r w:rsidR="00A67D40">
        <w:instrText xml:space="preserve"> REF _Ref53911452 \r \h </w:instrText>
      </w:r>
      <w:r w:rsidR="00A67D40">
        <w:fldChar w:fldCharType="separate"/>
      </w:r>
      <w:r w:rsidR="00756FCE">
        <w:t>71</w:t>
      </w:r>
      <w:r w:rsidR="00A67D40">
        <w:fldChar w:fldCharType="end"/>
      </w:r>
      <w:r w:rsidR="00A67D40">
        <w:t>]-[</w:t>
      </w:r>
      <w:r w:rsidR="00A67D40">
        <w:fldChar w:fldCharType="begin" w:fldLock="1"/>
      </w:r>
      <w:r w:rsidR="00A67D40">
        <w:instrText xml:space="preserve"> REF _Ref53911463 \r \h </w:instrText>
      </w:r>
      <w:r w:rsidR="00A67D40">
        <w:fldChar w:fldCharType="separate"/>
      </w:r>
      <w:r w:rsidR="00756FCE">
        <w:t>73</w:t>
      </w:r>
      <w:r w:rsidR="00A67D40">
        <w:fldChar w:fldCharType="end"/>
      </w:r>
      <w:r w:rsidR="00A67D40">
        <w:t>] above)</w:t>
      </w:r>
      <w:r w:rsidR="00913CDB">
        <w:t>.  However,</w:t>
      </w:r>
      <w:r w:rsidR="00913CDB" w:rsidRPr="00913CDB">
        <w:t xml:space="preserve"> given my acceptance above that the general understanding of the word in the public domain is as an </w:t>
      </w:r>
      <w:r w:rsidR="00913CDB">
        <w:t>anti-wrinkle injection (see [</w:t>
      </w:r>
      <w:r w:rsidR="00913CDB">
        <w:fldChar w:fldCharType="begin" w:fldLock="1"/>
      </w:r>
      <w:r w:rsidR="00913CDB">
        <w:instrText xml:space="preserve"> REF _Ref50380244 \r \h </w:instrText>
      </w:r>
      <w:r w:rsidR="00913CDB">
        <w:fldChar w:fldCharType="separate"/>
      </w:r>
      <w:r w:rsidR="00756FCE">
        <w:t>153</w:t>
      </w:r>
      <w:r w:rsidR="00913CDB">
        <w:fldChar w:fldCharType="end"/>
      </w:r>
      <w:r w:rsidR="00913CDB" w:rsidRPr="00913CDB">
        <w:t>])</w:t>
      </w:r>
      <w:r w:rsidR="009F0F42">
        <w:t>,</w:t>
      </w:r>
      <w:r w:rsidR="00913CDB" w:rsidRPr="00913CDB">
        <w:t xml:space="preserve"> I do not think that this use demonstrates an intention to</w:t>
      </w:r>
      <w:r w:rsidR="00913CDB">
        <w:t xml:space="preserve"> appropriate the trade or </w:t>
      </w:r>
      <w:r w:rsidR="00913CDB" w:rsidRPr="00913CDB">
        <w:t xml:space="preserve">reputation of the </w:t>
      </w:r>
      <w:r w:rsidR="00913CDB" w:rsidRPr="00913CDB">
        <w:lastRenderedPageBreak/>
        <w:t>brand BOTOX</w:t>
      </w:r>
      <w:r w:rsidR="00913CDB">
        <w:t>, but rather as a play on BOTOX and to differentiate from it.  The intention was not, in my assessment, to say to the public “this is BOTOX”, but to say the opposite – “this is not BOTOX”.</w:t>
      </w:r>
    </w:p>
    <w:p w14:paraId="32AD291F" w14:textId="7385084C" w:rsidR="009F0F42" w:rsidRDefault="001E3C6B" w:rsidP="001E3C6B">
      <w:pPr>
        <w:pStyle w:val="ParaNumbering"/>
        <w:numPr>
          <w:ilvl w:val="0"/>
          <w:numId w:val="0"/>
        </w:numPr>
        <w:ind w:hanging="720"/>
      </w:pPr>
      <w:r>
        <w:rPr>
          <w:sz w:val="20"/>
        </w:rPr>
        <w:t>209</w:t>
      </w:r>
      <w:r>
        <w:rPr>
          <w:sz w:val="20"/>
        </w:rPr>
        <w:tab/>
      </w:r>
      <w:r w:rsidR="009F0F42">
        <w:t xml:space="preserve">An important factor, in my assessment, is the ubiquitous reputation of BOTOX.  As I have found, the word is very widely known, and to such a degree that it has become in ordinary usage a common noun, not only a proper noun.  Thus, and within the authority of </w:t>
      </w:r>
      <w:r w:rsidR="009F0F42">
        <w:rPr>
          <w:i/>
        </w:rPr>
        <w:t>CA Hensc</w:t>
      </w:r>
      <w:r w:rsidR="005607E0">
        <w:rPr>
          <w:i/>
        </w:rPr>
        <w:t>h</w:t>
      </w:r>
      <w:r w:rsidR="009F0F42">
        <w:rPr>
          <w:i/>
        </w:rPr>
        <w:t>ke</w:t>
      </w:r>
      <w:r w:rsidR="009F0F42">
        <w:t xml:space="preserve"> and </w:t>
      </w:r>
      <w:r w:rsidR="009F0F42">
        <w:rPr>
          <w:i/>
        </w:rPr>
        <w:t>Australian Meat</w:t>
      </w:r>
      <w:r w:rsidR="009F0F42">
        <w:t xml:space="preserve"> referred to above</w:t>
      </w:r>
      <w:r w:rsidR="00523981">
        <w:t xml:space="preserve"> (at [</w:t>
      </w:r>
      <w:r w:rsidR="00523981">
        <w:fldChar w:fldCharType="begin" w:fldLock="1"/>
      </w:r>
      <w:r w:rsidR="00523981">
        <w:instrText xml:space="preserve"> REF _Ref54199365 \r \h </w:instrText>
      </w:r>
      <w:r w:rsidR="00523981">
        <w:fldChar w:fldCharType="separate"/>
      </w:r>
      <w:r w:rsidR="00756FCE">
        <w:t>180</w:t>
      </w:r>
      <w:r w:rsidR="00523981">
        <w:fldChar w:fldCharType="end"/>
      </w:r>
      <w:r w:rsidR="00523981">
        <w:t>]-[</w:t>
      </w:r>
      <w:r w:rsidR="00523981">
        <w:fldChar w:fldCharType="begin" w:fldLock="1"/>
      </w:r>
      <w:r w:rsidR="00523981">
        <w:instrText xml:space="preserve"> REF _Ref54199374 \r \h </w:instrText>
      </w:r>
      <w:r w:rsidR="00523981">
        <w:fldChar w:fldCharType="separate"/>
      </w:r>
      <w:r w:rsidR="00756FCE">
        <w:t>182</w:t>
      </w:r>
      <w:r w:rsidR="00523981">
        <w:fldChar w:fldCharType="end"/>
      </w:r>
      <w:r w:rsidR="00523981">
        <w:t>])</w:t>
      </w:r>
      <w:r w:rsidR="009F0F42">
        <w:t xml:space="preserve">, and as in </w:t>
      </w:r>
      <w:r w:rsidR="009F0F42">
        <w:rPr>
          <w:i/>
        </w:rPr>
        <w:t>Mars Australia Pty Ltd v Sweet Rewards Pty Ltd</w:t>
      </w:r>
      <w:r w:rsidR="009F0F42">
        <w:t xml:space="preserve"> [2009] FCA 606; 81 IPR 354 at [97] per Perram J, the fame of the mark is such as to impact on a consumer’s imperfect recollection of the mark.  First, there is not likely to be an imperfect recollection of the mark and, second, even if there is, </w:t>
      </w:r>
      <w:r w:rsidR="002424E0">
        <w:t>such a consumer is not on seeing or hearing PROTOX</w:t>
      </w:r>
      <w:r w:rsidR="00523981">
        <w:t xml:space="preserve"> likely </w:t>
      </w:r>
      <w:r w:rsidR="002424E0">
        <w:t>to mistake it for BOTOX; they are more likely to be reminded of BOTOX</w:t>
      </w:r>
      <w:r w:rsidR="009F0F42">
        <w:t>.</w:t>
      </w:r>
    </w:p>
    <w:p w14:paraId="746448A8" w14:textId="34491A5C" w:rsidR="009F0F42" w:rsidRDefault="001E3C6B" w:rsidP="001E3C6B">
      <w:pPr>
        <w:pStyle w:val="ParaNumbering"/>
        <w:numPr>
          <w:ilvl w:val="0"/>
          <w:numId w:val="0"/>
        </w:numPr>
        <w:ind w:hanging="720"/>
      </w:pPr>
      <w:r>
        <w:rPr>
          <w:sz w:val="20"/>
        </w:rPr>
        <w:t>210</w:t>
      </w:r>
      <w:r>
        <w:rPr>
          <w:sz w:val="20"/>
        </w:rPr>
        <w:tab/>
      </w:r>
      <w:r w:rsidR="009F0F42">
        <w:t>That conclusion is reinforced by consideration of relevant surrounding circumstances.  These include that the PROTOX mark is almost always used in proximity to the FREEZEFRAME mark which identifies a range of products that include marks having no similarity at all with the BOTOX mark.</w:t>
      </w:r>
    </w:p>
    <w:p w14:paraId="50DA179E" w14:textId="33C5548B" w:rsidR="005B37E0" w:rsidRPr="005B37E0" w:rsidRDefault="001E3C6B" w:rsidP="001E3C6B">
      <w:pPr>
        <w:pStyle w:val="ParaNumbering"/>
        <w:numPr>
          <w:ilvl w:val="0"/>
          <w:numId w:val="0"/>
        </w:numPr>
        <w:ind w:hanging="720"/>
      </w:pPr>
      <w:r w:rsidRPr="005B37E0">
        <w:rPr>
          <w:sz w:val="20"/>
        </w:rPr>
        <w:t>211</w:t>
      </w:r>
      <w:r w:rsidRPr="005B37E0">
        <w:rPr>
          <w:sz w:val="20"/>
        </w:rPr>
        <w:tab/>
      </w:r>
      <w:r w:rsidR="009F0F42">
        <w:t xml:space="preserve">The result is that although the marks are undoubtedly </w:t>
      </w:r>
      <w:r w:rsidR="002424E0">
        <w:t xml:space="preserve">very </w:t>
      </w:r>
      <w:r w:rsidR="009F0F42">
        <w:t>similar</w:t>
      </w:r>
      <w:r w:rsidR="002424E0">
        <w:t xml:space="preserve"> in look and sound</w:t>
      </w:r>
      <w:r w:rsidR="009F0F42">
        <w:t>, they</w:t>
      </w:r>
      <w:r w:rsidR="009F0F42" w:rsidRPr="005B37E0">
        <w:t xml:space="preserve"> </w:t>
      </w:r>
      <w:r w:rsidR="005B37E0" w:rsidRPr="005B37E0">
        <w:t>are sufficiently distinctive that, in my view, persons of ordinary intelligence and memory are not likely to confuse them.  The PROTOX mark does not so nearly resemble the BOTOX mark that it is likely to deceive or cause confusion.  Put differently, in my view, a person with even an imperfect recollection of the BOTOX mark is not likely to be deceived by the PROTOX mark</w:t>
      </w:r>
      <w:r w:rsidR="005A0B04">
        <w:t>, or even the general impression left by that mark</w:t>
      </w:r>
      <w:r w:rsidR="005B37E0" w:rsidRPr="005B37E0">
        <w:t>; there is no real, tangible danger of that occurring.</w:t>
      </w:r>
      <w:r w:rsidR="00A67D40">
        <w:t xml:space="preserve">  There is also no evidence of actual confusion</w:t>
      </w:r>
      <w:r w:rsidR="00463290">
        <w:t xml:space="preserve">, which </w:t>
      </w:r>
      <w:r w:rsidR="001224B3">
        <w:t>offers some support to that conclusion</w:t>
      </w:r>
      <w:r w:rsidR="00A67D40">
        <w:t>.</w:t>
      </w:r>
    </w:p>
    <w:p w14:paraId="4F5213B1" w14:textId="7FF34C5C" w:rsidR="00EE4D06" w:rsidRDefault="001E3C6B" w:rsidP="001E3C6B">
      <w:pPr>
        <w:pStyle w:val="ParaNumbering"/>
        <w:numPr>
          <w:ilvl w:val="0"/>
          <w:numId w:val="0"/>
        </w:numPr>
        <w:ind w:hanging="720"/>
      </w:pPr>
      <w:r>
        <w:rPr>
          <w:sz w:val="20"/>
        </w:rPr>
        <w:t>212</w:t>
      </w:r>
      <w:r>
        <w:rPr>
          <w:sz w:val="20"/>
        </w:rPr>
        <w:tab/>
      </w:r>
      <w:r w:rsidR="005B37E0" w:rsidRPr="005B37E0">
        <w:t xml:space="preserve">In relation to </w:t>
      </w:r>
      <w:r w:rsidR="00913CDB">
        <w:t xml:space="preserve">the chaussette to </w:t>
      </w:r>
      <w:r w:rsidR="005B37E0" w:rsidRPr="005B37E0">
        <w:t xml:space="preserve">s 120(2) of the TM Act, the PROTOX mark is used in relation to quite different goods, usually in circumstances where it is distinguished from the BOTOX mark because both marks are mentioned and the goods are distinguished by one </w:t>
      </w:r>
      <w:r w:rsidR="00911C5A">
        <w:t>being</w:t>
      </w:r>
      <w:r w:rsidR="00911C5A" w:rsidRPr="005B37E0">
        <w:t xml:space="preserve"> </w:t>
      </w:r>
      <w:r w:rsidR="005B37E0" w:rsidRPr="005B37E0">
        <w:t>described as an alternative to the other, and the PROTOX mark is usually used in combination with or in proximity to the FREEZEFRAME mark.</w:t>
      </w:r>
      <w:r w:rsidR="00913CDB">
        <w:t xml:space="preserve">  </w:t>
      </w:r>
      <w:r w:rsidR="005B37E0" w:rsidRPr="000B3818">
        <w:t xml:space="preserve">In those circumstances, </w:t>
      </w:r>
      <w:r w:rsidR="00913CDB">
        <w:t>the use</w:t>
      </w:r>
      <w:r w:rsidR="005B37E0" w:rsidRPr="000B3818">
        <w:t xml:space="preserve"> of PROTOX by Self Care in the manner in which it does is not likely to deceive or cause confusion</w:t>
      </w:r>
      <w:r w:rsidR="005B37E0">
        <w:t xml:space="preserve"> within the meaning of s 120(2)</w:t>
      </w:r>
      <w:r w:rsidR="005B37E0" w:rsidRPr="000B3818">
        <w:t>.</w:t>
      </w:r>
      <w:r w:rsidR="00094887">
        <w:t xml:space="preserve">  </w:t>
      </w:r>
      <w:r w:rsidR="00EE4D06">
        <w:t>Allergan’s claim of trade mark infringement</w:t>
      </w:r>
      <w:r w:rsidR="00911C5A">
        <w:t xml:space="preserve"> under s 120(2)</w:t>
      </w:r>
      <w:r w:rsidR="00EE4D06">
        <w:t xml:space="preserve"> in respect of Self Care’s use of PROTOX must accordingly fail.</w:t>
      </w:r>
    </w:p>
    <w:p w14:paraId="1ACA42A6" w14:textId="42B04928" w:rsidR="00EE4D06" w:rsidRDefault="001E3C6B" w:rsidP="001E3C6B">
      <w:pPr>
        <w:pStyle w:val="ParaNumbering"/>
        <w:numPr>
          <w:ilvl w:val="0"/>
          <w:numId w:val="0"/>
        </w:numPr>
        <w:ind w:hanging="720"/>
      </w:pPr>
      <w:r>
        <w:rPr>
          <w:sz w:val="20"/>
        </w:rPr>
        <w:lastRenderedPageBreak/>
        <w:t>213</w:t>
      </w:r>
      <w:r>
        <w:rPr>
          <w:sz w:val="20"/>
        </w:rPr>
        <w:tab/>
      </w:r>
      <w:r w:rsidR="00EE4D06">
        <w:t xml:space="preserve">Self Care submits that the mark that is really used is FREEZEFRAME PROTOX which, because of the combination of PROTOX with FREEZEFRAME, is clearly not deceptively similar to BOTOX.  Given my conclusion with regard to PROTOX on its own not being deceptively similar it is not necessary for me to make any finding on this submission.  However, in case it should be relevant, the evidence does not support a finding that PROTOX is always used in sufficient proximity to FREEZEFRAME such that the relevant mark is FREEZEFRAME PROTOX.  I have identified that evidence above </w:t>
      </w:r>
      <w:r w:rsidR="00523981">
        <w:t>(</w:t>
      </w:r>
      <w:r w:rsidR="00EE4D06">
        <w:t>at [</w:t>
      </w:r>
      <w:r w:rsidR="00962137">
        <w:fldChar w:fldCharType="begin" w:fldLock="1"/>
      </w:r>
      <w:r w:rsidR="00962137">
        <w:instrText xml:space="preserve"> REF _Ref38881410 \r \h </w:instrText>
      </w:r>
      <w:r w:rsidR="00962137">
        <w:fldChar w:fldCharType="separate"/>
      </w:r>
      <w:r w:rsidR="00756FCE">
        <w:t>191</w:t>
      </w:r>
      <w:r w:rsidR="00962137">
        <w:fldChar w:fldCharType="end"/>
      </w:r>
      <w:r w:rsidR="00EE4D06">
        <w:t>]-[</w:t>
      </w:r>
      <w:r w:rsidR="00962137">
        <w:fldChar w:fldCharType="begin" w:fldLock="1"/>
      </w:r>
      <w:r w:rsidR="00962137">
        <w:instrText xml:space="preserve"> REF _Ref38881422 \r \h </w:instrText>
      </w:r>
      <w:r w:rsidR="00962137">
        <w:fldChar w:fldCharType="separate"/>
      </w:r>
      <w:r w:rsidR="00756FCE">
        <w:t>197</w:t>
      </w:r>
      <w:r w:rsidR="00962137">
        <w:fldChar w:fldCharType="end"/>
      </w:r>
      <w:r w:rsidR="00EE4D06">
        <w:t>]</w:t>
      </w:r>
      <w:r w:rsidR="00523981">
        <w:t>)</w:t>
      </w:r>
      <w:r w:rsidR="00EE4D06">
        <w:t>.</w:t>
      </w:r>
    </w:p>
    <w:p w14:paraId="5C6B8982" w14:textId="05199039" w:rsidR="00EE4D06" w:rsidRDefault="001E3C6B" w:rsidP="001E3C6B">
      <w:pPr>
        <w:pStyle w:val="Heading3"/>
        <w:ind w:left="426" w:hanging="360"/>
      </w:pPr>
      <w:bookmarkStart w:id="78" w:name="_Ref54701583"/>
      <w:r>
        <w:t>(3)</w:t>
      </w:r>
      <w:r>
        <w:tab/>
      </w:r>
      <w:r w:rsidR="00EE4D06">
        <w:t>The registered goods or goods of the same description</w:t>
      </w:r>
      <w:bookmarkEnd w:id="78"/>
    </w:p>
    <w:p w14:paraId="24872AB4" w14:textId="7ECFCDDD" w:rsidR="00EE4D06" w:rsidRDefault="001E3C6B" w:rsidP="001E3C6B">
      <w:pPr>
        <w:pStyle w:val="ParaNumbering"/>
        <w:numPr>
          <w:ilvl w:val="0"/>
          <w:numId w:val="0"/>
        </w:numPr>
        <w:ind w:hanging="720"/>
      </w:pPr>
      <w:r>
        <w:rPr>
          <w:sz w:val="20"/>
        </w:rPr>
        <w:t>214</w:t>
      </w:r>
      <w:r>
        <w:rPr>
          <w:sz w:val="20"/>
        </w:rPr>
        <w:tab/>
      </w:r>
      <w:r w:rsidR="00EE4D06">
        <w:t>Allergan’s primary contention is that each of Self Care’s products, including Protox, is a good in class 3 in respect of which Allergan’s class 3 marks are registered, i.e.</w:t>
      </w:r>
      <w:r w:rsidR="002F736E">
        <w:t>,</w:t>
      </w:r>
      <w:r w:rsidR="00EE4D06">
        <w:t xml:space="preserve"> the 655 mark and the 426 defensive mark.  Self Care accepts that, save that it contends by its cross-claim that Allergan’s class 3 registrations should be removed from the register under s 92(4)(b) of the TM Act, in respect of the 655 mark, or cancelled in respect of the goods specified in its registration pursuant to s 88(2)(a) read with s 187(d) of the TM Act, in respect of the 426 defensive mark.  Thus, if the cross-claim succeeds then the claim for trade</w:t>
      </w:r>
      <w:r w:rsidR="006D59B0">
        <w:t xml:space="preserve"> </w:t>
      </w:r>
      <w:r w:rsidR="00EE4D06">
        <w:t>mark infringement under s 120(1), i.e.</w:t>
      </w:r>
      <w:r w:rsidR="002F736E">
        <w:t>,</w:t>
      </w:r>
      <w:r w:rsidR="00EE4D06">
        <w:t xml:space="preserve"> in relation to goods in respect of which the trade</w:t>
      </w:r>
      <w:r w:rsidR="00761A77">
        <w:t xml:space="preserve"> mark is registered, must fail.</w:t>
      </w:r>
    </w:p>
    <w:p w14:paraId="707DF322" w14:textId="2B5BE0E7" w:rsidR="002643F9" w:rsidRPr="002643F9" w:rsidRDefault="001E3C6B" w:rsidP="001E3C6B">
      <w:pPr>
        <w:pStyle w:val="ParaNumbering"/>
        <w:numPr>
          <w:ilvl w:val="0"/>
          <w:numId w:val="0"/>
        </w:numPr>
        <w:ind w:hanging="720"/>
      </w:pPr>
      <w:r w:rsidRPr="002643F9">
        <w:rPr>
          <w:sz w:val="20"/>
        </w:rPr>
        <w:t>215</w:t>
      </w:r>
      <w:r w:rsidRPr="002643F9">
        <w:rPr>
          <w:sz w:val="20"/>
        </w:rPr>
        <w:tab/>
      </w:r>
      <w:r w:rsidR="002643F9" w:rsidRPr="002643F9">
        <w:t>As will be seen, on the cross-claim I have concluded that the BOTOX 655 mark should be removed on account of non-use but that the BOTOX 426 defensive mark should not be cancelled because it has not been shown or established by Self Care that the use of the BOTOX mark in relation to the goods in class 3</w:t>
      </w:r>
      <w:r w:rsidR="002F736E">
        <w:t>,</w:t>
      </w:r>
      <w:r w:rsidR="002643F9" w:rsidRPr="002643F9">
        <w:t xml:space="preserve"> in respect of which that mark is registered</w:t>
      </w:r>
      <w:r w:rsidR="002F736E">
        <w:t>,</w:t>
      </w:r>
      <w:r w:rsidR="002643F9" w:rsidRPr="002643F9">
        <w:t xml:space="preserve"> would not be likely to indicate that there is a connection between those goods and the registered owner of the </w:t>
      </w:r>
      <w:r w:rsidR="00427B83">
        <w:t>BOTOX</w:t>
      </w:r>
      <w:r w:rsidR="002643F9" w:rsidRPr="002643F9">
        <w:t xml:space="preserve"> mark.</w:t>
      </w:r>
    </w:p>
    <w:p w14:paraId="2AE564F3" w14:textId="7A63933F" w:rsidR="002643F9" w:rsidRDefault="001E3C6B" w:rsidP="001E3C6B">
      <w:pPr>
        <w:pStyle w:val="ParaNumbering"/>
        <w:numPr>
          <w:ilvl w:val="0"/>
          <w:numId w:val="0"/>
        </w:numPr>
        <w:ind w:hanging="720"/>
      </w:pPr>
      <w:bookmarkStart w:id="79" w:name="_Ref54200128"/>
      <w:r>
        <w:rPr>
          <w:sz w:val="20"/>
        </w:rPr>
        <w:t>216</w:t>
      </w:r>
      <w:r>
        <w:rPr>
          <w:sz w:val="20"/>
        </w:rPr>
        <w:tab/>
      </w:r>
      <w:r w:rsidR="002643F9" w:rsidRPr="002643F9">
        <w:t xml:space="preserve">The BOTOX 426 defensive mark includes goods </w:t>
      </w:r>
      <w:r w:rsidR="00523981">
        <w:t xml:space="preserve">in class 3 </w:t>
      </w:r>
      <w:r w:rsidR="002643F9" w:rsidRPr="002643F9">
        <w:t>such as “anti-ageing creams; anti-wrinkle cream; beauty care preparations; beauty preparations; beauty care products; … eye wrinkle lotions; … skin care preparations and creams (cosmetic); skincare cosmetics;</w:t>
      </w:r>
      <w:r w:rsidR="002F736E">
        <w:t xml:space="preserve"> </w:t>
      </w:r>
      <w:r w:rsidR="002643F9" w:rsidRPr="002643F9">
        <w:t xml:space="preserve">…”.  Ms Amoroso described the </w:t>
      </w:r>
      <w:r w:rsidR="0091071B" w:rsidRPr="002643F9">
        <w:t>Protox</w:t>
      </w:r>
      <w:r w:rsidR="002643F9" w:rsidRPr="002643F9">
        <w:t xml:space="preserve"> product as “an anti-ageing and anti-wrinkle balm serum”.  There can be little doubt that that product is </w:t>
      </w:r>
      <w:r w:rsidR="002424E0">
        <w:t>the same</w:t>
      </w:r>
      <w:r w:rsidR="002424E0" w:rsidRPr="002643F9">
        <w:t xml:space="preserve"> </w:t>
      </w:r>
      <w:r w:rsidR="002643F9" w:rsidRPr="002643F9">
        <w:t>product as some of the products in respect of which the BOTOX 426 defensive mark is registered.</w:t>
      </w:r>
      <w:r w:rsidR="002424E0">
        <w:t xml:space="preserve">  Thus, although the s 120(1) infringement claim fails at the requirement of deceptive similarity, the requirement of “the same goods” is met.</w:t>
      </w:r>
      <w:bookmarkEnd w:id="79"/>
    </w:p>
    <w:p w14:paraId="7ED37895" w14:textId="0A68968D" w:rsidR="002424E0" w:rsidRPr="002643F9" w:rsidRDefault="001E3C6B" w:rsidP="001E3C6B">
      <w:pPr>
        <w:pStyle w:val="ParaNumbering"/>
        <w:numPr>
          <w:ilvl w:val="0"/>
          <w:numId w:val="0"/>
        </w:numPr>
        <w:ind w:hanging="720"/>
      </w:pPr>
      <w:bookmarkStart w:id="80" w:name="_Ref54200138"/>
      <w:r w:rsidRPr="002643F9">
        <w:rPr>
          <w:sz w:val="20"/>
        </w:rPr>
        <w:t>217</w:t>
      </w:r>
      <w:r w:rsidRPr="002643F9">
        <w:rPr>
          <w:sz w:val="20"/>
        </w:rPr>
        <w:tab/>
      </w:r>
      <w:r w:rsidR="002424E0">
        <w:t>It necessarily follows that the requirement in s 120(2)(a) of “goods of the same description” is also met in respect of the</w:t>
      </w:r>
      <w:r w:rsidR="00523981">
        <w:t xml:space="preserve"> </w:t>
      </w:r>
      <w:r w:rsidR="002424E0">
        <w:t xml:space="preserve">BOTOX 426 defensive mark </w:t>
      </w:r>
      <w:r w:rsidR="00955F1D">
        <w:t xml:space="preserve">class 3 </w:t>
      </w:r>
      <w:r w:rsidR="002424E0">
        <w:t>goods.</w:t>
      </w:r>
      <w:bookmarkEnd w:id="80"/>
    </w:p>
    <w:p w14:paraId="3D5E9306" w14:textId="585D3289" w:rsidR="00EE4D06" w:rsidRDefault="001E3C6B" w:rsidP="001E3C6B">
      <w:pPr>
        <w:pStyle w:val="ParaNumbering"/>
        <w:numPr>
          <w:ilvl w:val="0"/>
          <w:numId w:val="0"/>
        </w:numPr>
        <w:ind w:hanging="720"/>
      </w:pPr>
      <w:r>
        <w:rPr>
          <w:sz w:val="20"/>
        </w:rPr>
        <w:lastRenderedPageBreak/>
        <w:t>218</w:t>
      </w:r>
      <w:r>
        <w:rPr>
          <w:sz w:val="20"/>
        </w:rPr>
        <w:tab/>
      </w:r>
      <w:r w:rsidR="00EE4D06">
        <w:t>Allergan also submits that Protox is a good of the same description as some of the goods in class 5 in relation to which the B</w:t>
      </w:r>
      <w:r w:rsidR="00A1342F">
        <w:t>OTOX</w:t>
      </w:r>
      <w:r w:rsidR="00EE4D06">
        <w:t xml:space="preserve"> marks are registered.  </w:t>
      </w:r>
      <w:r w:rsidR="002424E0">
        <w:t xml:space="preserve">This would only be relevant if I </w:t>
      </w:r>
      <w:r w:rsidR="00955F1D">
        <w:t>am</w:t>
      </w:r>
      <w:r w:rsidR="002424E0">
        <w:t xml:space="preserve"> wrong in my conclusions that the BOTOX and PROTOX marks are not deceptively similar and that the 426 defensive mark </w:t>
      </w:r>
      <w:r w:rsidR="00955F1D">
        <w:t xml:space="preserve">class 3 registration </w:t>
      </w:r>
      <w:r w:rsidR="002424E0">
        <w:t>should not be cancelled</w:t>
      </w:r>
      <w:r w:rsidR="00EE4D06">
        <w:t xml:space="preserve">. </w:t>
      </w:r>
    </w:p>
    <w:p w14:paraId="703B115D" w14:textId="3BAF8A66" w:rsidR="00EE4D06" w:rsidRDefault="001E3C6B" w:rsidP="001E3C6B">
      <w:pPr>
        <w:pStyle w:val="ParaNumbering"/>
        <w:numPr>
          <w:ilvl w:val="0"/>
          <w:numId w:val="0"/>
        </w:numPr>
        <w:ind w:hanging="720"/>
      </w:pPr>
      <w:r>
        <w:rPr>
          <w:sz w:val="20"/>
        </w:rPr>
        <w:t>219</w:t>
      </w:r>
      <w:r>
        <w:rPr>
          <w:sz w:val="20"/>
        </w:rPr>
        <w:tab/>
      </w:r>
      <w:r w:rsidR="00EE4D06">
        <w:t>Allergan relies on the following factors in submitting that Protox is a good of the same description as Botox</w:t>
      </w:r>
      <w:r w:rsidR="00955F1D">
        <w:t xml:space="preserve"> – by which I take the submission to be that Protox is a good of the same description as the goods in respect of which the BOTOX 785 and 786 marks are registered in class 5</w:t>
      </w:r>
      <w:r w:rsidR="00EE4D06">
        <w:t xml:space="preserve">: </w:t>
      </w:r>
    </w:p>
    <w:p w14:paraId="251601DE" w14:textId="0A856CE7" w:rsidR="00EE4D06" w:rsidRDefault="001E3C6B" w:rsidP="001E3C6B">
      <w:pPr>
        <w:pStyle w:val="ListNo1"/>
        <w:numPr>
          <w:ilvl w:val="0"/>
          <w:numId w:val="0"/>
        </w:numPr>
        <w:tabs>
          <w:tab w:val="left" w:pos="720"/>
        </w:tabs>
        <w:ind w:left="720" w:hanging="720"/>
      </w:pPr>
      <w:r>
        <w:t>(1)</w:t>
      </w:r>
      <w:r>
        <w:tab/>
      </w:r>
      <w:r w:rsidR="00EE4D06">
        <w:t xml:space="preserve">Self Care has promoted Protox with reference to the product Botox including as </w:t>
      </w:r>
      <w:r w:rsidR="006D0DC0">
        <w:t>“</w:t>
      </w:r>
      <w:r w:rsidR="00EE4D06">
        <w:t>Instant Botox® Alternative</w:t>
      </w:r>
      <w:r w:rsidR="006D0DC0">
        <w:t>”</w:t>
      </w:r>
      <w:r w:rsidR="00EE4D06">
        <w:t xml:space="preserve">, </w:t>
      </w:r>
      <w:r w:rsidR="006D0DC0">
        <w:t>“</w:t>
      </w:r>
      <w:r w:rsidR="00EE4D06">
        <w:t>Overnight Botox® Alternative</w:t>
      </w:r>
      <w:r w:rsidR="006D0DC0">
        <w:t>”</w:t>
      </w:r>
      <w:r w:rsidR="00EE4D06">
        <w:t xml:space="preserve"> and </w:t>
      </w:r>
      <w:r w:rsidR="006D0DC0">
        <w:t>“</w:t>
      </w:r>
      <w:r w:rsidR="00EE4D06">
        <w:t>Long Term Botox® Alternative</w:t>
      </w:r>
      <w:r w:rsidR="006D0DC0">
        <w:t>”</w:t>
      </w:r>
      <w:r w:rsidR="00EE4D06">
        <w:t>.</w:t>
      </w:r>
    </w:p>
    <w:p w14:paraId="58525679" w14:textId="5CD5A0C4" w:rsidR="00EE4D06" w:rsidRDefault="001E3C6B" w:rsidP="001E3C6B">
      <w:pPr>
        <w:pStyle w:val="ListNo1"/>
        <w:numPr>
          <w:ilvl w:val="0"/>
          <w:numId w:val="0"/>
        </w:numPr>
        <w:tabs>
          <w:tab w:val="left" w:pos="720"/>
        </w:tabs>
        <w:ind w:left="720" w:hanging="720"/>
      </w:pPr>
      <w:r>
        <w:t>(2)</w:t>
      </w:r>
      <w:r>
        <w:tab/>
      </w:r>
      <w:r w:rsidR="00EE4D06">
        <w:t>Although Botox is administered as an injection by a registered medical practitioner, the evidence shows that skincare goods are sold at the same point of sale where Botox is administered.</w:t>
      </w:r>
    </w:p>
    <w:p w14:paraId="69CC3BF7" w14:textId="5573F6F3" w:rsidR="00EE4D06" w:rsidRDefault="001E3C6B" w:rsidP="001E3C6B">
      <w:pPr>
        <w:pStyle w:val="ListNo1"/>
        <w:numPr>
          <w:ilvl w:val="0"/>
          <w:numId w:val="0"/>
        </w:numPr>
        <w:tabs>
          <w:tab w:val="left" w:pos="720"/>
        </w:tabs>
        <w:ind w:left="720" w:hanging="720"/>
      </w:pPr>
      <w:r>
        <w:t>(3)</w:t>
      </w:r>
      <w:r>
        <w:tab/>
      </w:r>
      <w:r w:rsidR="00EE4D06">
        <w:t>The respective products are sold to the same class of customers, namely those customers who are seeking to improve the appearance of facial wrinkles.</w:t>
      </w:r>
    </w:p>
    <w:p w14:paraId="32E6D2F6" w14:textId="6F2ABBCF" w:rsidR="00955F1D" w:rsidRDefault="001E3C6B" w:rsidP="001E3C6B">
      <w:pPr>
        <w:pStyle w:val="ParaNumbering"/>
        <w:numPr>
          <w:ilvl w:val="0"/>
          <w:numId w:val="0"/>
        </w:numPr>
        <w:ind w:hanging="720"/>
      </w:pPr>
      <w:r>
        <w:rPr>
          <w:sz w:val="20"/>
        </w:rPr>
        <w:t>220</w:t>
      </w:r>
      <w:r>
        <w:rPr>
          <w:sz w:val="20"/>
        </w:rPr>
        <w:tab/>
      </w:r>
      <w:r w:rsidR="00955F1D">
        <w:t>It will be recalled that the relevant goods in class 5 are “Pharmaceutical preparations for the treatment of … wrinkles.”  Botox is clearly such a good.</w:t>
      </w:r>
    </w:p>
    <w:p w14:paraId="5B257508" w14:textId="47F3CDCB" w:rsidR="00EE4D06" w:rsidRDefault="001E3C6B" w:rsidP="001E3C6B">
      <w:pPr>
        <w:pStyle w:val="ParaNumbering"/>
        <w:numPr>
          <w:ilvl w:val="0"/>
          <w:numId w:val="0"/>
        </w:numPr>
        <w:ind w:hanging="720"/>
      </w:pPr>
      <w:r>
        <w:rPr>
          <w:sz w:val="20"/>
        </w:rPr>
        <w:t>221</w:t>
      </w:r>
      <w:r>
        <w:rPr>
          <w:sz w:val="20"/>
        </w:rPr>
        <w:tab/>
      </w:r>
      <w:r w:rsidR="00EE4D06">
        <w:t xml:space="preserve">In my view, Protox is not a good of the same description as </w:t>
      </w:r>
      <w:r w:rsidR="002424E0">
        <w:t xml:space="preserve">the BOTOX class 5 registered goods </w:t>
      </w:r>
      <w:r w:rsidR="00EE4D06">
        <w:t>within the meaning of s 120(2)</w:t>
      </w:r>
      <w:r w:rsidR="002424E0">
        <w:t>(a)</w:t>
      </w:r>
      <w:r w:rsidR="00EE4D06">
        <w:t>.  There are a number of reasons for that.</w:t>
      </w:r>
    </w:p>
    <w:p w14:paraId="470788E0" w14:textId="25D6FAC8" w:rsidR="00EE4D06" w:rsidRDefault="001E3C6B" w:rsidP="001E3C6B">
      <w:pPr>
        <w:pStyle w:val="ParaNumbering"/>
        <w:numPr>
          <w:ilvl w:val="0"/>
          <w:numId w:val="0"/>
        </w:numPr>
        <w:ind w:hanging="720"/>
      </w:pPr>
      <w:bookmarkStart w:id="81" w:name="_Ref51141861"/>
      <w:r>
        <w:rPr>
          <w:sz w:val="20"/>
        </w:rPr>
        <w:t>222</w:t>
      </w:r>
      <w:r>
        <w:rPr>
          <w:sz w:val="20"/>
        </w:rPr>
        <w:tab/>
      </w:r>
      <w:r w:rsidR="00EE4D06" w:rsidRPr="00427B83">
        <w:t>First</w:t>
      </w:r>
      <w:r w:rsidR="00EE4D06" w:rsidRPr="0091071B">
        <w:t>,</w:t>
      </w:r>
      <w:r w:rsidR="00EE4D06">
        <w:t xml:space="preserve"> with regard to the products themselves, Botox is a </w:t>
      </w:r>
      <w:r w:rsidR="006F221D">
        <w:t xml:space="preserve">therapeutic product </w:t>
      </w:r>
      <w:r w:rsidR="00EE4D06">
        <w:t>that is supplied only to</w:t>
      </w:r>
      <w:r w:rsidR="007870E5">
        <w:t xml:space="preserve"> healthcare professionals </w:t>
      </w:r>
      <w:r w:rsidR="00EE4D06">
        <w:t>and can be administered only by</w:t>
      </w:r>
      <w:r w:rsidR="007870E5">
        <w:t xml:space="preserve"> healthcare professionals</w:t>
      </w:r>
      <w:r w:rsidR="00EE4D06">
        <w:t>.  In stark contrast, Protox is a topical cream that is rightly classified as a cosmetic that is sold directly to retail customers and applied by them.  To put the matter differently, Botox is a highly toxic poison that is distributed, supplied and administered in a highly regulated manner, whereas Protox is a widely available and easily purchased and applied harmless cosmetic.</w:t>
      </w:r>
      <w:bookmarkEnd w:id="81"/>
    </w:p>
    <w:p w14:paraId="071AD278" w14:textId="6DCDE0BA" w:rsidR="00EE4D06" w:rsidRDefault="001E3C6B" w:rsidP="001E3C6B">
      <w:pPr>
        <w:pStyle w:val="ParaNumbering"/>
        <w:numPr>
          <w:ilvl w:val="0"/>
          <w:numId w:val="0"/>
        </w:numPr>
        <w:ind w:hanging="720"/>
      </w:pPr>
      <w:bookmarkStart w:id="82" w:name="_Ref51141894"/>
      <w:r>
        <w:rPr>
          <w:sz w:val="20"/>
        </w:rPr>
        <w:t>223</w:t>
      </w:r>
      <w:r>
        <w:rPr>
          <w:sz w:val="20"/>
        </w:rPr>
        <w:tab/>
      </w:r>
      <w:r w:rsidR="00EE4D06" w:rsidRPr="00427B83">
        <w:t>Second</w:t>
      </w:r>
      <w:r w:rsidR="00EE4D06">
        <w:t>, with regard to the demand side of the market, the evidence is that there are some skincare clinics that sell skincare products and that also offer injectable products such as Botox.  The skincare products include skin cleansers, peels, serums, toners, masks, exfoliants, moisturisers, creams and sun creams.  However, the fact of these common outlets is not significant considering that what is sold is, on the one hand, a product such as Protox</w:t>
      </w:r>
      <w:r w:rsidR="006F221D">
        <w:t xml:space="preserve"> (although </w:t>
      </w:r>
      <w:r w:rsidR="006F221D">
        <w:lastRenderedPageBreak/>
        <w:t>not actually Protox)</w:t>
      </w:r>
      <w:r w:rsidR="00EE4D06">
        <w:t xml:space="preserve"> and, on the other, a service being the administration of intramuscular injections.  There is little to no risk that they will each be seen as having a common trade origin because they are available at the same place.</w:t>
      </w:r>
      <w:bookmarkEnd w:id="82"/>
    </w:p>
    <w:p w14:paraId="2B08F7F2" w14:textId="35D867B6" w:rsidR="00EE4D06" w:rsidRDefault="001E3C6B" w:rsidP="001E3C6B">
      <w:pPr>
        <w:pStyle w:val="ParaNumbering"/>
        <w:numPr>
          <w:ilvl w:val="0"/>
          <w:numId w:val="0"/>
        </w:numPr>
        <w:ind w:hanging="720"/>
      </w:pPr>
      <w:bookmarkStart w:id="83" w:name="_Ref54199909"/>
      <w:r>
        <w:rPr>
          <w:sz w:val="20"/>
        </w:rPr>
        <w:t>224</w:t>
      </w:r>
      <w:r>
        <w:rPr>
          <w:sz w:val="20"/>
        </w:rPr>
        <w:tab/>
      </w:r>
      <w:r w:rsidR="00EE4D06" w:rsidRPr="00427B83">
        <w:t>Third</w:t>
      </w:r>
      <w:r w:rsidR="00EE4D06">
        <w:t>, with reference to the supply side of the market, pharmaceutical manufacture and supply is a quite different business from topical cosmetic product manufacture and supply.  There is no evidence of any entity which engages in both.  Neither Allergan nor Self Care does both.</w:t>
      </w:r>
      <w:bookmarkEnd w:id="83"/>
    </w:p>
    <w:p w14:paraId="121CDB27" w14:textId="6D461D21" w:rsidR="00EE4D06" w:rsidRDefault="001E3C6B" w:rsidP="001E3C6B">
      <w:pPr>
        <w:pStyle w:val="ParaNumbering"/>
        <w:numPr>
          <w:ilvl w:val="0"/>
          <w:numId w:val="0"/>
        </w:numPr>
        <w:ind w:hanging="720"/>
      </w:pPr>
      <w:r>
        <w:rPr>
          <w:sz w:val="20"/>
        </w:rPr>
        <w:t>225</w:t>
      </w:r>
      <w:r>
        <w:rPr>
          <w:sz w:val="20"/>
        </w:rPr>
        <w:tab/>
      </w:r>
      <w:r w:rsidR="00EE4D06" w:rsidRPr="00427B83">
        <w:t>Fourth</w:t>
      </w:r>
      <w:r w:rsidR="00EE4D06">
        <w:t>, Allergan’s reliance on Self Care describing Protox as an “alternative” to Botox</w:t>
      </w:r>
      <w:r w:rsidR="00B26FEF">
        <w:t xml:space="preserve"> adopts an incorrect meaning of alternative.</w:t>
      </w:r>
      <w:r w:rsidR="00B74018">
        <w:t xml:space="preserve">  </w:t>
      </w:r>
      <w:r w:rsidR="0086164F">
        <w:t xml:space="preserve">Protox </w:t>
      </w:r>
      <w:r w:rsidR="00B74018">
        <w:t>is an alternative to Botox not in the sense of being a substitute for it, but in the sense of being quite different from it.  Allergan’s focus is too much on the common purpose or outcome of reducing the appearance of wrinkles whilst overlooking the very different nature, mode of action and underlying effect of the different products</w:t>
      </w:r>
      <w:r w:rsidR="00EE4D06">
        <w:t>.  There is nothing in the marketing and presentation of Protox which suggests that it is a substitute for Botox</w:t>
      </w:r>
      <w:r w:rsidR="00911C5A">
        <w:t xml:space="preserve"> (in the sense that Pepsi is a substitute for Coca-Cola)</w:t>
      </w:r>
      <w:r w:rsidR="00EE4D06">
        <w:t xml:space="preserve">.  They are different in every way, including price, application, associated pain or bodily invasion and length of action – the effect of Botox is measured in months and that of Protox in hours.  The only similarity between them is that they are both directed at </w:t>
      </w:r>
      <w:r w:rsidR="006F221D">
        <w:t>reducing the appearance</w:t>
      </w:r>
      <w:r w:rsidR="00EE4D06">
        <w:t xml:space="preserve"> of wrinkle</w:t>
      </w:r>
      <w:r w:rsidR="006F221D">
        <w:t>s</w:t>
      </w:r>
      <w:r w:rsidR="00EE4D06">
        <w:t>.</w:t>
      </w:r>
    </w:p>
    <w:p w14:paraId="5E99B2F8" w14:textId="581308D1" w:rsidR="00955F1D" w:rsidRDefault="001E3C6B" w:rsidP="001E3C6B">
      <w:pPr>
        <w:pStyle w:val="ParaNumbering"/>
        <w:numPr>
          <w:ilvl w:val="0"/>
          <w:numId w:val="0"/>
        </w:numPr>
        <w:ind w:hanging="720"/>
      </w:pPr>
      <w:r>
        <w:rPr>
          <w:sz w:val="20"/>
        </w:rPr>
        <w:t>226</w:t>
      </w:r>
      <w:r>
        <w:rPr>
          <w:sz w:val="20"/>
        </w:rPr>
        <w:tab/>
      </w:r>
      <w:r w:rsidR="00955F1D">
        <w:t>In the result, Protox is not a good of the same description, within the meaning of s 120(2), as a pharmaceutical preparation for the treatment of wrinkles.</w:t>
      </w:r>
    </w:p>
    <w:p w14:paraId="781031A5" w14:textId="10091DF2" w:rsidR="00EE4D06" w:rsidRDefault="00EE4D06" w:rsidP="00EE4D06">
      <w:pPr>
        <w:pStyle w:val="Heading3"/>
        <w:ind w:left="426" w:hanging="284"/>
      </w:pPr>
      <w:bookmarkStart w:id="84" w:name="_Ref54701584"/>
      <w:r>
        <w:t>(4) Conclusion: trade</w:t>
      </w:r>
      <w:r w:rsidR="006D59B0">
        <w:t xml:space="preserve"> </w:t>
      </w:r>
      <w:r>
        <w:t>mark infringement claim with regard to PROTOX</w:t>
      </w:r>
      <w:bookmarkEnd w:id="84"/>
    </w:p>
    <w:p w14:paraId="204D75EA" w14:textId="398901B3" w:rsidR="00EE4D06" w:rsidRDefault="001E3C6B" w:rsidP="001E3C6B">
      <w:pPr>
        <w:pStyle w:val="ParaNumbering"/>
        <w:numPr>
          <w:ilvl w:val="0"/>
          <w:numId w:val="0"/>
        </w:numPr>
        <w:ind w:hanging="720"/>
      </w:pPr>
      <w:r>
        <w:rPr>
          <w:sz w:val="20"/>
        </w:rPr>
        <w:t>227</w:t>
      </w:r>
      <w:r>
        <w:rPr>
          <w:sz w:val="20"/>
        </w:rPr>
        <w:tab/>
      </w:r>
      <w:r w:rsidR="00EE4D06">
        <w:t>For those reasons, Allergan’s claim against Self Care for trade</w:t>
      </w:r>
      <w:r w:rsidR="006D59B0">
        <w:t xml:space="preserve"> </w:t>
      </w:r>
      <w:r w:rsidR="00EE4D06">
        <w:t>mark infringement for use of its word mark PROTOX must fail.</w:t>
      </w:r>
    </w:p>
    <w:p w14:paraId="56B145EF" w14:textId="77777777" w:rsidR="00EE4D06" w:rsidRDefault="00EE4D06" w:rsidP="00EE4D06">
      <w:pPr>
        <w:pStyle w:val="Heading2"/>
      </w:pPr>
      <w:bookmarkStart w:id="85" w:name="_Ref54701585"/>
      <w:r>
        <w:t>BOTOX in composite phrases</w:t>
      </w:r>
      <w:bookmarkEnd w:id="85"/>
    </w:p>
    <w:p w14:paraId="69D4B6F1" w14:textId="77777777" w:rsidR="00EE4D06" w:rsidRDefault="00EE4D06" w:rsidP="00EE4D06">
      <w:pPr>
        <w:pStyle w:val="Heading3"/>
      </w:pPr>
      <w:r>
        <w:t>(1) Use as a trade mark</w:t>
      </w:r>
    </w:p>
    <w:p w14:paraId="207B2294" w14:textId="44277A3B" w:rsidR="00EE4D06" w:rsidRDefault="001E3C6B" w:rsidP="001E3C6B">
      <w:pPr>
        <w:pStyle w:val="ParaNumbering"/>
        <w:numPr>
          <w:ilvl w:val="0"/>
          <w:numId w:val="0"/>
        </w:numPr>
        <w:ind w:hanging="720"/>
      </w:pPr>
      <w:r>
        <w:rPr>
          <w:sz w:val="20"/>
        </w:rPr>
        <w:t>228</w:t>
      </w:r>
      <w:r>
        <w:rPr>
          <w:sz w:val="20"/>
        </w:rPr>
        <w:tab/>
      </w:r>
      <w:r w:rsidR="00EE4D06">
        <w:t xml:space="preserve">The first question is whether the way in which Self Care uses the word BOTOX in its various composite phrases constitutes use of that word as a trade mark.  The various uses that are complained of are identified in columns headed “TM inf. Y/N” in the </w:t>
      </w:r>
      <w:r w:rsidR="006F221D">
        <w:t xml:space="preserve">tables </w:t>
      </w:r>
      <w:r w:rsidR="00EE4D06">
        <w:t xml:space="preserve">at </w:t>
      </w:r>
      <w:r w:rsidR="00EE4D06" w:rsidRPr="00962137">
        <w:t>[</w:t>
      </w:r>
      <w:r w:rsidR="00962137">
        <w:fldChar w:fldCharType="begin" w:fldLock="1"/>
      </w:r>
      <w:r w:rsidR="00962137">
        <w:instrText xml:space="preserve"> REF _Ref39572582 \r \h </w:instrText>
      </w:r>
      <w:r w:rsidR="00962137">
        <w:fldChar w:fldCharType="separate"/>
      </w:r>
      <w:r w:rsidR="00756FCE">
        <w:t>111</w:t>
      </w:r>
      <w:r w:rsidR="00962137">
        <w:fldChar w:fldCharType="end"/>
      </w:r>
      <w:r w:rsidR="00EE4D06" w:rsidRPr="00962137">
        <w:t>]-[</w:t>
      </w:r>
      <w:r w:rsidR="00962137">
        <w:fldChar w:fldCharType="begin" w:fldLock="1"/>
      </w:r>
      <w:r w:rsidR="00962137">
        <w:instrText xml:space="preserve"> REF _Ref39572602 \r \h </w:instrText>
      </w:r>
      <w:r w:rsidR="00962137">
        <w:fldChar w:fldCharType="separate"/>
      </w:r>
      <w:r w:rsidR="00756FCE">
        <w:t>116</w:t>
      </w:r>
      <w:r w:rsidR="00962137">
        <w:fldChar w:fldCharType="end"/>
      </w:r>
      <w:r w:rsidR="00EE4D06" w:rsidRPr="00962137">
        <w:t>]</w:t>
      </w:r>
      <w:r w:rsidR="00EE4D06">
        <w:t xml:space="preserve"> above.</w:t>
      </w:r>
    </w:p>
    <w:p w14:paraId="2EEA583D" w14:textId="4D40A5DA" w:rsidR="00EE4D06" w:rsidRDefault="001E3C6B" w:rsidP="001E3C6B">
      <w:pPr>
        <w:pStyle w:val="ParaNumbering"/>
        <w:numPr>
          <w:ilvl w:val="0"/>
          <w:numId w:val="0"/>
        </w:numPr>
        <w:ind w:hanging="720"/>
      </w:pPr>
      <w:r>
        <w:rPr>
          <w:sz w:val="20"/>
        </w:rPr>
        <w:t>229</w:t>
      </w:r>
      <w:r>
        <w:rPr>
          <w:sz w:val="20"/>
        </w:rPr>
        <w:tab/>
      </w:r>
      <w:r w:rsidR="00EE4D06">
        <w:t>Those uses can conveniently be categorised as follows:</w:t>
      </w:r>
    </w:p>
    <w:p w14:paraId="6F47F925" w14:textId="345C1FE7" w:rsidR="00EE4D06" w:rsidRDefault="001E3C6B" w:rsidP="001E3C6B">
      <w:pPr>
        <w:pStyle w:val="ListNo1"/>
        <w:numPr>
          <w:ilvl w:val="0"/>
          <w:numId w:val="0"/>
        </w:numPr>
        <w:tabs>
          <w:tab w:val="left" w:pos="720"/>
        </w:tabs>
        <w:ind w:left="720" w:hanging="720"/>
      </w:pPr>
      <w:r>
        <w:t>(1)</w:t>
      </w:r>
      <w:r>
        <w:tab/>
      </w:r>
      <w:r w:rsidR="00EE4D06">
        <w:t xml:space="preserve">Phrases including the word “alternative” in relation to Botox, as in “the accidental Botox Alternative”:  in respect of the Protox product that is the phrases numbered 5 and </w:t>
      </w:r>
      <w:r w:rsidR="00EE4D06">
        <w:lastRenderedPageBreak/>
        <w:t xml:space="preserve">6, the Inhibox product phrases numbered </w:t>
      </w:r>
      <w:r w:rsidR="001909A3">
        <w:t>1-</w:t>
      </w:r>
      <w:r w:rsidR="00EE4D06">
        <w:t>7, the Night product</w:t>
      </w:r>
      <w:r w:rsidR="00463290">
        <w:t>s</w:t>
      </w:r>
      <w:r w:rsidR="00EE4D06">
        <w:t xml:space="preserve"> phrases numbered 1, 2, 4 and 5 and the Boost product phrases numbered 1</w:t>
      </w:r>
      <w:r w:rsidR="009D517B">
        <w:t>-</w:t>
      </w:r>
      <w:r w:rsidR="00EE4D06">
        <w:t>4.</w:t>
      </w:r>
    </w:p>
    <w:p w14:paraId="372DEA3E" w14:textId="128FDE9E" w:rsidR="00EE4D06" w:rsidRDefault="001E3C6B" w:rsidP="001E3C6B">
      <w:pPr>
        <w:pStyle w:val="ListNo1"/>
        <w:numPr>
          <w:ilvl w:val="0"/>
          <w:numId w:val="0"/>
        </w:numPr>
        <w:tabs>
          <w:tab w:val="left" w:pos="720"/>
        </w:tabs>
        <w:ind w:left="720" w:hanging="720"/>
      </w:pPr>
      <w:r>
        <w:t>(2)</w:t>
      </w:r>
      <w:r>
        <w:tab/>
      </w:r>
      <w:r w:rsidR="00EE4D06">
        <w:t xml:space="preserve">Phrases </w:t>
      </w:r>
      <w:r w:rsidR="005A0B04">
        <w:t xml:space="preserve">referring to increasing the time </w:t>
      </w:r>
      <w:r w:rsidR="0033477D">
        <w:t xml:space="preserve">for which </w:t>
      </w:r>
      <w:r w:rsidR="005A0B04">
        <w:t xml:space="preserve">Botox </w:t>
      </w:r>
      <w:r w:rsidR="0033477D">
        <w:t>is effective</w:t>
      </w:r>
      <w:r w:rsidR="005A0B04">
        <w:t xml:space="preserve">, sometimes </w:t>
      </w:r>
      <w:r w:rsidR="00EE4D06">
        <w:t>including the word “prolongs” or “prolong” in relation to Botox, as in “clinically proven to prolong the effect of Botox®”:  in respect of the Protox product that includes the phrases in the relevant schedule numbered 2, 3</w:t>
      </w:r>
      <w:r w:rsidR="0082451A">
        <w:t xml:space="preserve">, </w:t>
      </w:r>
      <w:r w:rsidR="00EE4D06">
        <w:t>4</w:t>
      </w:r>
      <w:r w:rsidR="00B74018">
        <w:t>, 7, 9, 10, 11, 13, 16</w:t>
      </w:r>
      <w:r w:rsidR="0082451A">
        <w:t xml:space="preserve"> and 18</w:t>
      </w:r>
      <w:r w:rsidR="00EE4D06">
        <w:t>.</w:t>
      </w:r>
    </w:p>
    <w:p w14:paraId="44717A58" w14:textId="391C6D0A" w:rsidR="00EE4D06" w:rsidRDefault="001E3C6B" w:rsidP="001E3C6B">
      <w:pPr>
        <w:pStyle w:val="ListNo1"/>
        <w:numPr>
          <w:ilvl w:val="0"/>
          <w:numId w:val="0"/>
        </w:numPr>
        <w:tabs>
          <w:tab w:val="left" w:pos="720"/>
        </w:tabs>
        <w:ind w:left="720" w:hanging="720"/>
      </w:pPr>
      <w:r>
        <w:t>(3)</w:t>
      </w:r>
      <w:r>
        <w:tab/>
      </w:r>
      <w:r w:rsidR="00B74018" w:rsidRPr="00B74018">
        <w:t>The phrases “a collagen injection in 5 sleeps, and a Botox injection in 4 weeks”</w:t>
      </w:r>
      <w:r w:rsidR="00B74018">
        <w:t>,</w:t>
      </w:r>
      <w:r w:rsidR="00B74018" w:rsidRPr="00B74018">
        <w:t xml:space="preserve"> “Botox Injection in 4 weeks”, “Botox Injection in 28 days”, “BOTOX® INJECTION 4 WEEKS” and “Botox Injection 28 DAYS”: Night product</w:t>
      </w:r>
      <w:r w:rsidR="00463290">
        <w:t>s</w:t>
      </w:r>
      <w:r w:rsidR="00B74018" w:rsidRPr="00B74018">
        <w:t xml:space="preserve"> 3, 6</w:t>
      </w:r>
      <w:r w:rsidR="00B74018">
        <w:t>.</w:t>
      </w:r>
      <w:r w:rsidR="00B74018" w:rsidDel="00B74018">
        <w:t xml:space="preserve"> </w:t>
      </w:r>
    </w:p>
    <w:p w14:paraId="506F6CD1" w14:textId="323F152F" w:rsidR="00EE4D06" w:rsidRDefault="001E3C6B" w:rsidP="001E3C6B">
      <w:pPr>
        <w:pStyle w:val="ParaNumbering"/>
        <w:numPr>
          <w:ilvl w:val="0"/>
          <w:numId w:val="0"/>
        </w:numPr>
        <w:ind w:hanging="720"/>
      </w:pPr>
      <w:r>
        <w:rPr>
          <w:sz w:val="20"/>
        </w:rPr>
        <w:t>230</w:t>
      </w:r>
      <w:r>
        <w:rPr>
          <w:sz w:val="20"/>
        </w:rPr>
        <w:tab/>
      </w:r>
      <w:r w:rsidR="00EE4D06">
        <w:t xml:space="preserve">An evaluation of the manner in which Self Care uses the word BOTOX in the phrases that are complained of, including the purpose and nature of the use and the context of the use including the totality of the packaging, leads to the conclusion that those phrases are not themselves used as trade marks within the principles outlined at </w:t>
      </w:r>
      <w:r w:rsidR="00EE4D06" w:rsidRPr="00962137">
        <w:t>[</w:t>
      </w:r>
      <w:r w:rsidR="009732E0">
        <w:fldChar w:fldCharType="begin" w:fldLock="1"/>
      </w:r>
      <w:r w:rsidR="009732E0">
        <w:instrText xml:space="preserve"> REF _Ref39563777 \r \h </w:instrText>
      </w:r>
      <w:r w:rsidR="009732E0">
        <w:fldChar w:fldCharType="separate"/>
      </w:r>
      <w:r w:rsidR="00756FCE">
        <w:t>159</w:t>
      </w:r>
      <w:r w:rsidR="009732E0">
        <w:fldChar w:fldCharType="end"/>
      </w:r>
      <w:r w:rsidR="00EE4D06" w:rsidRPr="00962137">
        <w:t>]-[</w:t>
      </w:r>
      <w:r w:rsidR="009732E0">
        <w:fldChar w:fldCharType="begin" w:fldLock="1"/>
      </w:r>
      <w:r w:rsidR="009732E0">
        <w:instrText xml:space="preserve"> REF _Ref39563789 \r \h </w:instrText>
      </w:r>
      <w:r w:rsidR="009732E0">
        <w:fldChar w:fldCharType="separate"/>
      </w:r>
      <w:r w:rsidR="00756FCE">
        <w:t>163</w:t>
      </w:r>
      <w:r w:rsidR="009732E0">
        <w:fldChar w:fldCharType="end"/>
      </w:r>
      <w:r w:rsidR="00EE4D06" w:rsidRPr="00962137">
        <w:t>]</w:t>
      </w:r>
      <w:r w:rsidR="00EE4D06">
        <w:t xml:space="preserve"> above.  There are a number of considerations that lead me to this conclusion.</w:t>
      </w:r>
    </w:p>
    <w:p w14:paraId="5DAE6883" w14:textId="7BF2F21C" w:rsidR="00EE4D06" w:rsidRDefault="001E3C6B" w:rsidP="001E3C6B">
      <w:pPr>
        <w:pStyle w:val="ParaNumbering"/>
        <w:numPr>
          <w:ilvl w:val="0"/>
          <w:numId w:val="0"/>
        </w:numPr>
        <w:ind w:hanging="720"/>
      </w:pPr>
      <w:r>
        <w:rPr>
          <w:sz w:val="20"/>
        </w:rPr>
        <w:t>231</w:t>
      </w:r>
      <w:r>
        <w:rPr>
          <w:sz w:val="20"/>
        </w:rPr>
        <w:tab/>
      </w:r>
      <w:r w:rsidR="00EE4D06">
        <w:t>In my view, none of the phrases is itself used as a badge of origin.  Most of the phrases are narrative or descriptive phrases that include within them badges of origin such as PROTOX, FREEZEFRAME and BOTOX.  For the most part, the inclusion of such clearly identifiable badges of origin within the narrative or descriptive phrases counts decisively against the phrases themselves being, or being used as, trade marks.</w:t>
      </w:r>
    </w:p>
    <w:p w14:paraId="06EC5A96" w14:textId="2FD0E521" w:rsidR="00EE4D06" w:rsidRDefault="001E3C6B" w:rsidP="001E3C6B">
      <w:pPr>
        <w:pStyle w:val="ParaNumbering"/>
        <w:numPr>
          <w:ilvl w:val="0"/>
          <w:numId w:val="0"/>
        </w:numPr>
        <w:ind w:hanging="720"/>
      </w:pPr>
      <w:r>
        <w:rPr>
          <w:sz w:val="20"/>
        </w:rPr>
        <w:t>232</w:t>
      </w:r>
      <w:r>
        <w:rPr>
          <w:sz w:val="20"/>
        </w:rPr>
        <w:tab/>
      </w:r>
      <w:r w:rsidR="00EE4D06">
        <w:t>For example, the phrase “clinically proven to prolong the effect of Botox®” describes the product to which it relates and makes a claim about its efficacy, but it does not itself serve to say anything about its origin or about trade connection.</w:t>
      </w:r>
      <w:r w:rsidR="006F221D">
        <w:t xml:space="preserve">  Neither does it badge or name the product.</w:t>
      </w:r>
    </w:p>
    <w:p w14:paraId="345BDCAC" w14:textId="5BD5B014" w:rsidR="00EE4D06" w:rsidRDefault="001E3C6B" w:rsidP="001E3C6B">
      <w:pPr>
        <w:pStyle w:val="ParaNumbering"/>
        <w:numPr>
          <w:ilvl w:val="0"/>
          <w:numId w:val="0"/>
        </w:numPr>
        <w:ind w:hanging="720"/>
      </w:pPr>
      <w:r>
        <w:rPr>
          <w:sz w:val="20"/>
        </w:rPr>
        <w:t>233</w:t>
      </w:r>
      <w:r>
        <w:rPr>
          <w:sz w:val="20"/>
        </w:rPr>
        <w:tab/>
      </w:r>
      <w:r w:rsidR="00EE4D06">
        <w:t>Essentially the phrases that are complained of amount to ‘ad-speak’ to spruik the relevant product, most often by either contrasting it to Botox or by saying that it can be used to improve the results of Botox such as by prolonging its effectiveness.  They are not used as trade marks.</w:t>
      </w:r>
    </w:p>
    <w:p w14:paraId="432D8475" w14:textId="4BE64444" w:rsidR="00EE4D06" w:rsidRDefault="001E3C6B" w:rsidP="001E3C6B">
      <w:pPr>
        <w:pStyle w:val="ParaNumbering"/>
        <w:numPr>
          <w:ilvl w:val="0"/>
          <w:numId w:val="0"/>
        </w:numPr>
        <w:ind w:hanging="720"/>
      </w:pPr>
      <w:r>
        <w:rPr>
          <w:sz w:val="20"/>
        </w:rPr>
        <w:t>234</w:t>
      </w:r>
      <w:r>
        <w:rPr>
          <w:sz w:val="20"/>
        </w:rPr>
        <w:tab/>
      </w:r>
      <w:r w:rsidR="00EE4D06">
        <w:t xml:space="preserve">The only phrases that cause some hesitation with regard to whether or not they can themselves amount to trade marks or be used as trade marks are those without verbs such as “the accidental Botox Alternative”, “Instant BOTOX® alternative”, “Overnight Botox® alternative” and “Long term BOTOX® Alternative”.  These phrases have the quality of being sufficiently short </w:t>
      </w:r>
      <w:r w:rsidR="00EE4D06">
        <w:lastRenderedPageBreak/>
        <w:t xml:space="preserve">and catchy such as to possibly amount to labels for products and as such serve to </w:t>
      </w:r>
      <w:r w:rsidR="002659E3">
        <w:t xml:space="preserve">distinguish </w:t>
      </w:r>
      <w:r w:rsidR="00EE4D06">
        <w:t xml:space="preserve">them.  </w:t>
      </w:r>
    </w:p>
    <w:p w14:paraId="443F4B67" w14:textId="47FCE4E7" w:rsidR="00EE4D06" w:rsidRDefault="001E3C6B" w:rsidP="001E3C6B">
      <w:pPr>
        <w:pStyle w:val="ParaNumbering"/>
        <w:numPr>
          <w:ilvl w:val="0"/>
          <w:numId w:val="0"/>
        </w:numPr>
        <w:ind w:hanging="720"/>
      </w:pPr>
      <w:r>
        <w:rPr>
          <w:sz w:val="20"/>
        </w:rPr>
        <w:t>235</w:t>
      </w:r>
      <w:r>
        <w:rPr>
          <w:sz w:val="20"/>
        </w:rPr>
        <w:tab/>
      </w:r>
      <w:r w:rsidR="00EE4D06">
        <w:t xml:space="preserve">Each is descriptive of the product to which it is attached as an alternative to the well-known Botox product which is identified by name, but that quality of being descriptive does not necessarily mean that it is not used as a trade mark.  A sign can both describe a product and serve as a badge of origin: </w:t>
      </w:r>
      <w:r w:rsidR="00EE4D06" w:rsidRPr="00162AB6">
        <w:rPr>
          <w:i/>
        </w:rPr>
        <w:t xml:space="preserve">Johnson &amp; Johnson </w:t>
      </w:r>
      <w:r w:rsidR="00EE4D06">
        <w:t>at 339 per Lockhart J and 347 per Gummow J.</w:t>
      </w:r>
    </w:p>
    <w:p w14:paraId="4B3C9286" w14:textId="60D0DEB6" w:rsidR="00EE4D06" w:rsidRDefault="001E3C6B" w:rsidP="001E3C6B">
      <w:pPr>
        <w:pStyle w:val="ParaNumbering"/>
        <w:numPr>
          <w:ilvl w:val="0"/>
          <w:numId w:val="0"/>
        </w:numPr>
        <w:ind w:hanging="720"/>
      </w:pPr>
      <w:r>
        <w:rPr>
          <w:sz w:val="20"/>
        </w:rPr>
        <w:t>236</w:t>
      </w:r>
      <w:r>
        <w:rPr>
          <w:sz w:val="20"/>
        </w:rPr>
        <w:tab/>
      </w:r>
      <w:r w:rsidR="00EE4D06">
        <w:t>Allergan submits that the use of capital letters for the first letter of several words in some of the phrases, or even in the spatial arrangement of the words such as one above the other, is indicative of the phrase being used as a label – essentially as a proper noun.  I do not find that to be compelling.  Capitalisation and spatial arrangement of the words are weak indicators and in any event are used inconsistently.</w:t>
      </w:r>
    </w:p>
    <w:p w14:paraId="6DCDEBEE" w14:textId="455173B6" w:rsidR="00EE4D06" w:rsidRDefault="001E3C6B" w:rsidP="001E3C6B">
      <w:pPr>
        <w:pStyle w:val="ParaNumbering"/>
        <w:numPr>
          <w:ilvl w:val="0"/>
          <w:numId w:val="0"/>
        </w:numPr>
        <w:ind w:hanging="720"/>
      </w:pPr>
      <w:r>
        <w:rPr>
          <w:sz w:val="20"/>
        </w:rPr>
        <w:t>237</w:t>
      </w:r>
      <w:r>
        <w:rPr>
          <w:sz w:val="20"/>
        </w:rPr>
        <w:tab/>
      </w:r>
      <w:r w:rsidR="00EE4D06">
        <w:t xml:space="preserve">With regard to the phrase “Instant Botox® Alternative”, Allergan relies in particular on </w:t>
      </w:r>
      <w:r w:rsidR="00D11648">
        <w:t>the following:</w:t>
      </w:r>
    </w:p>
    <w:p w14:paraId="0FE0EDB8" w14:textId="7027E38C" w:rsidR="00EE4D06" w:rsidRDefault="001E3C6B" w:rsidP="001E3C6B">
      <w:pPr>
        <w:pStyle w:val="ListNo1"/>
        <w:numPr>
          <w:ilvl w:val="0"/>
          <w:numId w:val="0"/>
        </w:numPr>
        <w:tabs>
          <w:tab w:val="left" w:pos="720"/>
        </w:tabs>
        <w:ind w:left="720" w:hanging="720"/>
      </w:pPr>
      <w:r>
        <w:t>(1)</w:t>
      </w:r>
      <w:r>
        <w:tab/>
      </w:r>
      <w:r w:rsidR="00EE4D06">
        <w:t>In 2009, Self Care conducted a week-long promotion of its Inhibox product in a large Myer retail department store which included erecting large banners with the phrase “Instant Botox® Alternative” prominently displayed.  The banners were estimated by Ms Am</w:t>
      </w:r>
      <w:r w:rsidR="00BD0A58">
        <w:t>o</w:t>
      </w:r>
      <w:r w:rsidR="00EE4D06">
        <w:t xml:space="preserve">roso to be about </w:t>
      </w:r>
      <w:r w:rsidR="006D0DC0">
        <w:t>two</w:t>
      </w:r>
      <w:r w:rsidR="00EE4D06">
        <w:t xml:space="preserve"> metres tall and the phrase took up about a third of the banner.  In some of the banners the phrase was the only writing, whereas in other banners – referred to as tower toppers – there was a subsidiary phrase “freeze wrinkles instantly &amp; long term”. </w:t>
      </w:r>
      <w:r w:rsidR="00415CEB">
        <w:t xml:space="preserve"> The display is also apparent in </w:t>
      </w:r>
      <w:r w:rsidR="00245F37">
        <w:t>a promotional</w:t>
      </w:r>
      <w:r w:rsidR="00415CEB">
        <w:t xml:space="preserve"> segment from the television program, </w:t>
      </w:r>
      <w:r w:rsidR="00415CEB" w:rsidRPr="00415CEB">
        <w:rPr>
          <w:i/>
        </w:rPr>
        <w:t>A Current Affair</w:t>
      </w:r>
      <w:r w:rsidR="00415CEB">
        <w:t>.  From the segment it can be seen that the FREEZEFRAME branding is also prominent.</w:t>
      </w:r>
    </w:p>
    <w:p w14:paraId="430C60D1" w14:textId="53AEB378" w:rsidR="00EE4D06" w:rsidRDefault="001E3C6B" w:rsidP="001E3C6B">
      <w:pPr>
        <w:pStyle w:val="ListNo1"/>
        <w:numPr>
          <w:ilvl w:val="0"/>
          <w:numId w:val="0"/>
        </w:numPr>
        <w:tabs>
          <w:tab w:val="left" w:pos="720"/>
        </w:tabs>
        <w:ind w:left="720" w:hanging="720"/>
      </w:pPr>
      <w:r>
        <w:t>(2)</w:t>
      </w:r>
      <w:r>
        <w:tab/>
      </w:r>
      <w:r w:rsidR="00EE4D06">
        <w:t>In August 2016, the Freeze</w:t>
      </w:r>
      <w:r w:rsidR="002643F9">
        <w:t>f</w:t>
      </w:r>
      <w:r w:rsidR="00EE4D06">
        <w:t>rame website sales catalogue page for the same product labelled it as “</w:t>
      </w:r>
      <w:r w:rsidR="00EE4D06" w:rsidRPr="00FC0B14">
        <w:t>Instant Botox® Alternative</w:t>
      </w:r>
      <w:r w:rsidR="00EE4D06">
        <w:t>”.</w:t>
      </w:r>
    </w:p>
    <w:p w14:paraId="4CEB1BE0" w14:textId="6AB24284" w:rsidR="00EE4D06" w:rsidRDefault="001E3C6B" w:rsidP="001E3C6B">
      <w:pPr>
        <w:pStyle w:val="ListNo1"/>
        <w:numPr>
          <w:ilvl w:val="0"/>
          <w:numId w:val="0"/>
        </w:numPr>
        <w:tabs>
          <w:tab w:val="left" w:pos="720"/>
        </w:tabs>
        <w:ind w:left="720" w:hanging="720"/>
      </w:pPr>
      <w:r>
        <w:t>(3)</w:t>
      </w:r>
      <w:r>
        <w:tab/>
      </w:r>
      <w:r w:rsidR="00EE4D06">
        <w:t>In August 2018, advertising of the Inhibox product on the Freeze</w:t>
      </w:r>
      <w:r w:rsidR="002643F9">
        <w:t>f</w:t>
      </w:r>
      <w:r w:rsidR="00EE4D06">
        <w:t>rame website again prominently labelled it as “Instant Botox® Alternative”.</w:t>
      </w:r>
    </w:p>
    <w:p w14:paraId="72993411" w14:textId="7C58834E" w:rsidR="00EE4D06" w:rsidRDefault="001E3C6B" w:rsidP="001E3C6B">
      <w:pPr>
        <w:pStyle w:val="ParaNumbering"/>
        <w:numPr>
          <w:ilvl w:val="0"/>
          <w:numId w:val="0"/>
        </w:numPr>
        <w:ind w:hanging="720"/>
      </w:pPr>
      <w:r>
        <w:rPr>
          <w:sz w:val="20"/>
        </w:rPr>
        <w:t>238</w:t>
      </w:r>
      <w:r>
        <w:rPr>
          <w:sz w:val="20"/>
        </w:rPr>
        <w:tab/>
      </w:r>
      <w:r w:rsidR="00EE4D06">
        <w:t>There are also other examples of the use of the “Instant Botox® Alternative” phrase in relation to the Inhibox product.  As indicated above, it is recorded on the box of the product.  There was also evidence of it in other advertising and promotion on the Freeze</w:t>
      </w:r>
      <w:r w:rsidR="002643F9">
        <w:t>f</w:t>
      </w:r>
      <w:r w:rsidR="00EE4D06">
        <w:t>rame website.  There was also evidence of the use of the phrase in relation to the product on the Priceline retail pharmacy’s website at the time of the hearing in this case indicating its continued use.</w:t>
      </w:r>
    </w:p>
    <w:p w14:paraId="7A6F6C41" w14:textId="0E0F4F0E" w:rsidR="00EE4D06" w:rsidRDefault="001E3C6B" w:rsidP="001E3C6B">
      <w:pPr>
        <w:pStyle w:val="ParaNumbering"/>
        <w:numPr>
          <w:ilvl w:val="0"/>
          <w:numId w:val="0"/>
        </w:numPr>
        <w:ind w:hanging="720"/>
      </w:pPr>
      <w:r>
        <w:rPr>
          <w:sz w:val="20"/>
        </w:rPr>
        <w:lastRenderedPageBreak/>
        <w:t>239</w:t>
      </w:r>
      <w:r>
        <w:rPr>
          <w:sz w:val="20"/>
        </w:rPr>
        <w:tab/>
      </w:r>
      <w:r w:rsidR="00EE4D06">
        <w:t>Allergan asks that I consider the different types of uses of the phrases in question separately, i.e.</w:t>
      </w:r>
      <w:r w:rsidR="006D0DC0">
        <w:t>,</w:t>
      </w:r>
      <w:r w:rsidR="00EE4D06">
        <w:t xml:space="preserve"> the in-store promotion, on the packaging, on the Freeze</w:t>
      </w:r>
      <w:r w:rsidR="002643F9">
        <w:t>f</w:t>
      </w:r>
      <w:r w:rsidR="00EE4D06">
        <w:t>rame website, on the Priceline website, and so on.  However, in my view none of the uses amounts to use as a trade mark.  With the exception of the in-store promotion, the relevant context is a plethora of different messages about the relevant product.  It includes the umbrella brand, FREEZEFRAME, and the name of the relevant product to which it speaks which is itself clearly a badge of origin.  There are invariably many other phrases that are also used to describe the product or to otherwise say something about it.  The context is confusing – capitalisation is inconsistent, punctuation is inconsistent, messaging is inconsistent.  In that confusion, the particular short phrases do not stand out as badges of origin.</w:t>
      </w:r>
    </w:p>
    <w:p w14:paraId="1F98F206" w14:textId="6AE27E2C" w:rsidR="00EE4D06" w:rsidRDefault="001E3C6B" w:rsidP="001E3C6B">
      <w:pPr>
        <w:pStyle w:val="ParaNumbering"/>
        <w:numPr>
          <w:ilvl w:val="0"/>
          <w:numId w:val="0"/>
        </w:numPr>
        <w:ind w:hanging="720"/>
      </w:pPr>
      <w:r>
        <w:rPr>
          <w:sz w:val="20"/>
        </w:rPr>
        <w:t>240</w:t>
      </w:r>
      <w:r>
        <w:rPr>
          <w:sz w:val="20"/>
        </w:rPr>
        <w:tab/>
      </w:r>
      <w:r w:rsidR="00EE4D06">
        <w:t xml:space="preserve">The in-store promotion is </w:t>
      </w:r>
      <w:r w:rsidR="006F221D">
        <w:t xml:space="preserve">perhaps </w:t>
      </w:r>
      <w:r w:rsidR="00EE4D06">
        <w:t xml:space="preserve">a little different.  Although the evidence is scanty, and it may be that other messaging was also present, in my assessment the particularly prominent – outstanding even – use of the catchy phrase “Instant Botox® Alternative” could amount to a badging of the product.  It could be understood as saying not only what the product is, but </w:t>
      </w:r>
      <w:r w:rsidR="00F27A63">
        <w:t>also distinguishing it from other goods on the market</w:t>
      </w:r>
      <w:r w:rsidR="004E33C0">
        <w:t xml:space="preserve"> and suggesting a connection to Self Care</w:t>
      </w:r>
      <w:r w:rsidR="00EE4D06">
        <w:t>.</w:t>
      </w:r>
    </w:p>
    <w:p w14:paraId="4989A61F" w14:textId="61ADFD7D" w:rsidR="00EE4D06" w:rsidRDefault="001E3C6B" w:rsidP="001E3C6B">
      <w:pPr>
        <w:pStyle w:val="ParaNumbering"/>
        <w:numPr>
          <w:ilvl w:val="0"/>
          <w:numId w:val="0"/>
        </w:numPr>
        <w:ind w:hanging="720"/>
      </w:pPr>
      <w:r>
        <w:rPr>
          <w:sz w:val="20"/>
        </w:rPr>
        <w:t>241</w:t>
      </w:r>
      <w:r>
        <w:rPr>
          <w:sz w:val="20"/>
        </w:rPr>
        <w:tab/>
      </w:r>
      <w:r w:rsidR="00EE4D06">
        <w:t xml:space="preserve">Against that, Self Care refers to a number of other traders of products that are similar to its products that use similar short comparative phrases with reference to Botox.  For example, </w:t>
      </w:r>
      <w:r w:rsidR="00F27A63">
        <w:t xml:space="preserve">Dermallure, </w:t>
      </w:r>
      <w:r w:rsidR="00EE4D06">
        <w:t xml:space="preserve">Celleral, Dermal Meds, Auralei and truvisage all use the phrase “BETTER THAN BOTOX”.  Argireline uses the phrase “Botox in the bottle” and “The liquid Botox Alternative”.  Heaven Skincare uses “The natural alternative to Botox” in respect of its product Bee Venom Mask.  Skin Deva uses “BOTOX ALTERNATIVE”.  Natox uses “New Organic Botox Alternative”, “Brand New Natox Anti Ageing Cream Botox Alternative” and “a </w:t>
      </w:r>
      <w:r w:rsidR="00F27A63">
        <w:t>N</w:t>
      </w:r>
      <w:r w:rsidR="00EE4D06">
        <w:t xml:space="preserve">ew Botox Alternative”.  Cosima uses “Natural Botox® Alternative”. </w:t>
      </w:r>
      <w:r w:rsidR="006D0DC0">
        <w:t xml:space="preserve"> </w:t>
      </w:r>
      <w:r w:rsidR="00EE4D06">
        <w:t>Xara and StriVectin use “Better than Botox”.  Lapureté uses “NATURE’S BOTOX® ALTERN</w:t>
      </w:r>
      <w:r w:rsidR="00D11648">
        <w:t>ATIVE”.</w:t>
      </w:r>
    </w:p>
    <w:p w14:paraId="40B6DA37" w14:textId="309510B0" w:rsidR="00EE4D06" w:rsidRDefault="001E3C6B" w:rsidP="001E3C6B">
      <w:pPr>
        <w:pStyle w:val="ParaNumbering"/>
        <w:numPr>
          <w:ilvl w:val="0"/>
          <w:numId w:val="0"/>
        </w:numPr>
        <w:ind w:hanging="720"/>
      </w:pPr>
      <w:r>
        <w:rPr>
          <w:sz w:val="20"/>
        </w:rPr>
        <w:t>242</w:t>
      </w:r>
      <w:r>
        <w:rPr>
          <w:sz w:val="20"/>
        </w:rPr>
        <w:tab/>
      </w:r>
      <w:r w:rsidR="00EE4D06">
        <w:t>Ms Amoroso’s evidence was that the products referred to in the previous paragraph are “currently” on the market.  That was said in April 2018.  There was no evidence of how widespread the marketing of those products is or what “market” she was referring to.  Many of the products appear to be marketed in other countries and may not be marketed in Australia.  Nevertheless, her evidence on this point was not challenged and I take from it that there are at least a number of other products in the Australian market in respect of which traders use phrases of the nature recorded in the previous paragraph which are similar to the kinds of phrases used by Self Care about which Allergan complains in this proceeding.</w:t>
      </w:r>
    </w:p>
    <w:p w14:paraId="41DE397C" w14:textId="6E182D77" w:rsidR="00EE4D06" w:rsidRDefault="001E3C6B" w:rsidP="001E3C6B">
      <w:pPr>
        <w:pStyle w:val="ParaNumbering"/>
        <w:numPr>
          <w:ilvl w:val="0"/>
          <w:numId w:val="0"/>
        </w:numPr>
        <w:ind w:hanging="720"/>
      </w:pPr>
      <w:r>
        <w:rPr>
          <w:sz w:val="20"/>
        </w:rPr>
        <w:lastRenderedPageBreak/>
        <w:t>243</w:t>
      </w:r>
      <w:r>
        <w:rPr>
          <w:sz w:val="20"/>
        </w:rPr>
        <w:tab/>
      </w:r>
      <w:r w:rsidR="00EE4D06">
        <w:t xml:space="preserve">From this, Self Care submits that it has never put itself forward as the only “Botox alternative” on the market or, to adapt the words of Kitto J in </w:t>
      </w:r>
      <w:r w:rsidR="00EE4D06" w:rsidRPr="000C6335">
        <w:rPr>
          <w:i/>
        </w:rPr>
        <w:t>Shell</w:t>
      </w:r>
      <w:r w:rsidR="004E33C0">
        <w:rPr>
          <w:i/>
        </w:rPr>
        <w:t xml:space="preserve"> Company</w:t>
      </w:r>
      <w:r w:rsidR="002F10A6">
        <w:t xml:space="preserve"> at 42</w:t>
      </w:r>
      <w:r w:rsidR="004E33C0">
        <w:t>5</w:t>
      </w:r>
      <w:r w:rsidR="00EE4D06">
        <w:t>, it has never attempted to suggest to consumers that where they see those words they are thereby to recognise the goods of Self Care.</w:t>
      </w:r>
    </w:p>
    <w:p w14:paraId="05502B28" w14:textId="655AF93B" w:rsidR="00EE4D06" w:rsidRDefault="001E3C6B" w:rsidP="001E3C6B">
      <w:pPr>
        <w:pStyle w:val="ParaNumbering"/>
        <w:numPr>
          <w:ilvl w:val="0"/>
          <w:numId w:val="0"/>
        </w:numPr>
        <w:ind w:hanging="720"/>
      </w:pPr>
      <w:r>
        <w:rPr>
          <w:sz w:val="20"/>
        </w:rPr>
        <w:t>244</w:t>
      </w:r>
      <w:r>
        <w:rPr>
          <w:sz w:val="20"/>
        </w:rPr>
        <w:tab/>
      </w:r>
      <w:r w:rsidR="00EE4D06">
        <w:t>Whilst that can be accepted, I am not sure that it takes the matter all that far.  In any event, all that I am considering at this stage is the use of “Instant Botox® Alternative” at the week-long in-store promotion in 2014.  Whether or not Self Care put itself forward as the only Botox alternative, or whether or not consumers on seeing the marketing material at the promotion would have been conscious of there being other products that also promote themselves as alternatives to Botox, does not really answer the question whether the relevant phrase was used as a trade mark in that promotion.</w:t>
      </w:r>
    </w:p>
    <w:p w14:paraId="6F946097" w14:textId="73036C34" w:rsidR="00EE4D06" w:rsidRDefault="001E3C6B" w:rsidP="001E3C6B">
      <w:pPr>
        <w:pStyle w:val="ParaNumbering"/>
        <w:numPr>
          <w:ilvl w:val="0"/>
          <w:numId w:val="0"/>
        </w:numPr>
        <w:ind w:hanging="720"/>
      </w:pPr>
      <w:r>
        <w:rPr>
          <w:sz w:val="20"/>
        </w:rPr>
        <w:t>245</w:t>
      </w:r>
      <w:r>
        <w:rPr>
          <w:sz w:val="20"/>
        </w:rPr>
        <w:tab/>
      </w:r>
      <w:r w:rsidR="00EE4D06">
        <w:t xml:space="preserve">Whilst the answer is by no means clear cut, and I am conscious of the conclusion that I have reached </w:t>
      </w:r>
      <w:r w:rsidR="00796CBF">
        <w:t>(</w:t>
      </w:r>
      <w:r w:rsidR="00EE4D06">
        <w:t>which is set out further below</w:t>
      </w:r>
      <w:r w:rsidR="00796CBF">
        <w:t>)</w:t>
      </w:r>
      <w:r w:rsidR="00EE4D06">
        <w:t xml:space="preserve"> that the phrase is in any event not deceptively similar to any of the </w:t>
      </w:r>
      <w:r w:rsidR="00240C8E">
        <w:t xml:space="preserve">BOTOX </w:t>
      </w:r>
      <w:r w:rsidR="00EE4D06">
        <w:t>marks, I do not consider that use of the phrase in a single in-store promotion for one week amounts to sufficient use or identification to constitute use as a trade mark.</w:t>
      </w:r>
    </w:p>
    <w:p w14:paraId="2A4A7080" w14:textId="397FB304" w:rsidR="00EE4D06" w:rsidRDefault="001E3C6B" w:rsidP="001E3C6B">
      <w:pPr>
        <w:pStyle w:val="ParaNumbering"/>
        <w:numPr>
          <w:ilvl w:val="0"/>
          <w:numId w:val="0"/>
        </w:numPr>
        <w:ind w:hanging="720"/>
      </w:pPr>
      <w:r>
        <w:rPr>
          <w:sz w:val="20"/>
        </w:rPr>
        <w:t>246</w:t>
      </w:r>
      <w:r>
        <w:rPr>
          <w:sz w:val="20"/>
        </w:rPr>
        <w:tab/>
      </w:r>
      <w:r w:rsidR="006F221D">
        <w:t xml:space="preserve">That deals with the composite phrases that include BOTOX and whether the phrases are used as trade marks.  </w:t>
      </w:r>
      <w:r w:rsidR="00EE4D06">
        <w:t>It remains to consider whether Self Care uses the word BOTOX itself as a trade mark in its use of that word in the phrases that are complained of.  There are a number of considerations which lead to the conclusion that Self Care does not use BOTOX as a trade mark.</w:t>
      </w:r>
    </w:p>
    <w:p w14:paraId="04CAAADB" w14:textId="67015751" w:rsidR="00EE4D06" w:rsidRDefault="001E3C6B" w:rsidP="001E3C6B">
      <w:pPr>
        <w:pStyle w:val="ParaNumbering"/>
        <w:numPr>
          <w:ilvl w:val="0"/>
          <w:numId w:val="0"/>
        </w:numPr>
        <w:ind w:hanging="720"/>
      </w:pPr>
      <w:r>
        <w:rPr>
          <w:sz w:val="20"/>
        </w:rPr>
        <w:t>247</w:t>
      </w:r>
      <w:r>
        <w:rPr>
          <w:sz w:val="20"/>
        </w:rPr>
        <w:tab/>
      </w:r>
      <w:r w:rsidR="00EE4D06" w:rsidRPr="00145939">
        <w:t>First</w:t>
      </w:r>
      <w:r w:rsidR="00EE4D06">
        <w:t xml:space="preserve">, Self Care uses BOTOX in a manner which distinguishes Botox from Self Care’s own products.  For example, many of the relevant phrases use the word “alternative”, such as “the most powerful BOTOX® alternative”.  That is a meaning that conveys the products to be different which suggests also that they have different origins.  </w:t>
      </w:r>
    </w:p>
    <w:p w14:paraId="6E094A8E" w14:textId="19E0FAC7" w:rsidR="00EE4D06" w:rsidRDefault="001E3C6B" w:rsidP="001E3C6B">
      <w:pPr>
        <w:pStyle w:val="ParaNumbering"/>
        <w:numPr>
          <w:ilvl w:val="0"/>
          <w:numId w:val="0"/>
        </w:numPr>
        <w:ind w:hanging="720"/>
      </w:pPr>
      <w:r>
        <w:rPr>
          <w:sz w:val="20"/>
        </w:rPr>
        <w:t>248</w:t>
      </w:r>
      <w:r>
        <w:rPr>
          <w:sz w:val="20"/>
        </w:rPr>
        <w:tab/>
      </w:r>
      <w:r w:rsidR="00EE4D06">
        <w:t>Similarly, phrases such as those indicating that Self Care’s relevant product “prolongs” the effect of Botox, or makes Botox “last longer”, or reduces wrinkles even without injections, or which makes Botox look better or can produce a Botox-like visual effect, or produce better results than Botox, all serve to distinguish between Self Care’s products and Botox.</w:t>
      </w:r>
    </w:p>
    <w:p w14:paraId="757E0FDC" w14:textId="7336D6F2" w:rsidR="00EE4D06" w:rsidRPr="00015F2E" w:rsidRDefault="001E3C6B" w:rsidP="001E3C6B">
      <w:pPr>
        <w:pStyle w:val="ParaNumbering"/>
        <w:numPr>
          <w:ilvl w:val="0"/>
          <w:numId w:val="0"/>
        </w:numPr>
        <w:ind w:hanging="720"/>
      </w:pPr>
      <w:r w:rsidRPr="00015F2E">
        <w:rPr>
          <w:sz w:val="20"/>
        </w:rPr>
        <w:t>249</w:t>
      </w:r>
      <w:r w:rsidRPr="00015F2E">
        <w:rPr>
          <w:sz w:val="20"/>
        </w:rPr>
        <w:tab/>
      </w:r>
      <w:r w:rsidR="00EE4D06" w:rsidRPr="00015F2E">
        <w:t xml:space="preserve">The </w:t>
      </w:r>
      <w:r w:rsidR="00EE4D06" w:rsidRPr="00015F2E">
        <w:rPr>
          <w:i/>
        </w:rPr>
        <w:t>Yeast-Vite</w:t>
      </w:r>
      <w:r w:rsidR="00EE4D06" w:rsidRPr="00015F2E">
        <w:t xml:space="preserve"> case, discussed above at [</w:t>
      </w:r>
      <w:r w:rsidR="009732E0" w:rsidRPr="00015F2E">
        <w:fldChar w:fldCharType="begin" w:fldLock="1"/>
      </w:r>
      <w:r w:rsidR="009732E0" w:rsidRPr="00015F2E">
        <w:instrText xml:space="preserve"> REF _Ref39563789 \r \h </w:instrText>
      </w:r>
      <w:r w:rsidR="009732E0" w:rsidRPr="00015F2E">
        <w:fldChar w:fldCharType="separate"/>
      </w:r>
      <w:r w:rsidR="00756FCE">
        <w:t>163</w:t>
      </w:r>
      <w:r w:rsidR="009732E0" w:rsidRPr="00015F2E">
        <w:fldChar w:fldCharType="end"/>
      </w:r>
      <w:r w:rsidR="00EE4D06" w:rsidRPr="00015F2E">
        <w:t>]</w:t>
      </w:r>
      <w:r w:rsidR="00523981">
        <w:t xml:space="preserve"> above</w:t>
      </w:r>
      <w:r w:rsidR="00EE4D06" w:rsidRPr="00015F2E">
        <w:t xml:space="preserve">, is a good illustration of why Self Care’s use of the BOTOX mark does not constitute use of it as a trade mark.  There, the one product </w:t>
      </w:r>
      <w:r w:rsidR="00EE4D06" w:rsidRPr="00015F2E">
        <w:lastRenderedPageBreak/>
        <w:t>was described as a “substitute” of the other.  Describing one product as an “alternative” to another is not materially different.  It serves to emphasise that the one is not the other.</w:t>
      </w:r>
      <w:r w:rsidR="006F221D" w:rsidRPr="00015F2E">
        <w:t xml:space="preserve">  That was not use as a trade mark. </w:t>
      </w:r>
    </w:p>
    <w:p w14:paraId="003368E1" w14:textId="2C19C211" w:rsidR="00EE4D06" w:rsidRPr="007A08C7" w:rsidRDefault="001E3C6B" w:rsidP="001E3C6B">
      <w:pPr>
        <w:pStyle w:val="ParaNumbering"/>
        <w:numPr>
          <w:ilvl w:val="0"/>
          <w:numId w:val="0"/>
        </w:numPr>
        <w:ind w:hanging="720"/>
      </w:pPr>
      <w:r w:rsidRPr="007A08C7">
        <w:rPr>
          <w:sz w:val="20"/>
        </w:rPr>
        <w:t>250</w:t>
      </w:r>
      <w:r w:rsidRPr="007A08C7">
        <w:rPr>
          <w:sz w:val="20"/>
        </w:rPr>
        <w:tab/>
      </w:r>
      <w:r w:rsidR="00EE4D06">
        <w:t>Thus,</w:t>
      </w:r>
      <w:r w:rsidR="00EE4D06" w:rsidRPr="00EC7940">
        <w:t xml:space="preserve"> </w:t>
      </w:r>
      <w:r w:rsidR="00EE4D06">
        <w:t>BOTOX is not used by Self Care as its own badge of origin, i.e.</w:t>
      </w:r>
      <w:r w:rsidR="00796CBF">
        <w:t>,</w:t>
      </w:r>
      <w:r w:rsidR="00EE4D06">
        <w:t xml:space="preserve"> indicating that the product identified by that name originates from Self Care.  Indeed, the opposite is true.</w:t>
      </w:r>
    </w:p>
    <w:p w14:paraId="4F4B4040" w14:textId="38D7064E" w:rsidR="00EE4D06" w:rsidRDefault="001E3C6B" w:rsidP="001E3C6B">
      <w:pPr>
        <w:pStyle w:val="ParaNumbering"/>
        <w:numPr>
          <w:ilvl w:val="0"/>
          <w:numId w:val="0"/>
        </w:numPr>
        <w:ind w:hanging="720"/>
      </w:pPr>
      <w:r>
        <w:rPr>
          <w:sz w:val="20"/>
        </w:rPr>
        <w:t>251</w:t>
      </w:r>
      <w:r>
        <w:rPr>
          <w:sz w:val="20"/>
        </w:rPr>
        <w:tab/>
      </w:r>
      <w:r w:rsidR="00EE4D06" w:rsidRPr="00145939">
        <w:t>Second,</w:t>
      </w:r>
      <w:r w:rsidR="00EE4D06">
        <w:t xml:space="preserve"> the use of the ® (registered trade</w:t>
      </w:r>
      <w:r w:rsidR="006D59B0">
        <w:t xml:space="preserve"> </w:t>
      </w:r>
      <w:r w:rsidR="00EE4D06">
        <w:t>mark) sign adjacent to BOTOX, where that is done, acknowledges that BOTOX is a badge of origin for the well-known product of that name.  It does not serve to indicate that it is Self Care’s product.  In many instances, it is expressly recorded on the relevant packaging or in the relevant marketing material that BOTOX is a registered trade</w:t>
      </w:r>
      <w:r w:rsidR="006D59B0">
        <w:t xml:space="preserve"> </w:t>
      </w:r>
      <w:r w:rsidR="00EE4D06">
        <w:t>mark of Allergan Inc.  That serves to make it particularly clear that Botox is not Self Care’s product, i.e.</w:t>
      </w:r>
      <w:r w:rsidR="00A1388B">
        <w:t>,</w:t>
      </w:r>
      <w:r w:rsidR="00EE4D06">
        <w:t xml:space="preserve"> BOTOX is a brand of origin and the origin is Allergan, not Self Care.</w:t>
      </w:r>
    </w:p>
    <w:p w14:paraId="14ECC027" w14:textId="4EF219DD" w:rsidR="00EE4D06" w:rsidRDefault="001E3C6B" w:rsidP="001E3C6B">
      <w:pPr>
        <w:pStyle w:val="ParaNumbering"/>
        <w:numPr>
          <w:ilvl w:val="0"/>
          <w:numId w:val="0"/>
        </w:numPr>
        <w:ind w:hanging="720"/>
      </w:pPr>
      <w:r>
        <w:rPr>
          <w:sz w:val="20"/>
        </w:rPr>
        <w:t>252</w:t>
      </w:r>
      <w:r>
        <w:rPr>
          <w:sz w:val="20"/>
        </w:rPr>
        <w:tab/>
      </w:r>
      <w:r w:rsidR="00EE4D06" w:rsidRPr="00145939">
        <w:t>Third,</w:t>
      </w:r>
      <w:r w:rsidR="00EE4D06">
        <w:t xml:space="preserve"> </w:t>
      </w:r>
      <w:r w:rsidR="00EE4D06" w:rsidRPr="007F026E">
        <w:t>Self Care’s products are branded</w:t>
      </w:r>
      <w:r w:rsidR="00EE4D06">
        <w:t xml:space="preserve"> and marketed under the umbrella brand FREEZEFRAME.  As already indicated in relation to the PROTOX mark, the use of the umbrella brand and the product name is not always consistent – the name of the umbrella brand and the product name are not always used in the same spatial relationship.  Nevertheless, as a general proposition each product within the range is also branded with the umbrella brand, FREEZEFRAME.  In that regard the evidence includes the following:</w:t>
      </w:r>
    </w:p>
    <w:p w14:paraId="5994656B" w14:textId="42E4648C" w:rsidR="00EE4D06" w:rsidRDefault="001E3C6B" w:rsidP="001E3C6B">
      <w:pPr>
        <w:pStyle w:val="ListNo1"/>
        <w:numPr>
          <w:ilvl w:val="0"/>
          <w:numId w:val="0"/>
        </w:numPr>
        <w:tabs>
          <w:tab w:val="left" w:pos="720"/>
        </w:tabs>
        <w:ind w:left="720" w:hanging="720"/>
      </w:pPr>
      <w:r>
        <w:t>(1)</w:t>
      </w:r>
      <w:r>
        <w:tab/>
      </w:r>
      <w:r w:rsidR="00796CBF">
        <w:t>Ms Amoroso in cross-</w:t>
      </w:r>
      <w:r w:rsidR="00EE4D06">
        <w:t xml:space="preserve">examination insisted that the name of each product includes the umbrella brand.  For example, she said that the product is FREEZEFRAME INHIBOX and not the product INHIBOX within the </w:t>
      </w:r>
      <w:r w:rsidR="00DC5D22">
        <w:t xml:space="preserve">Freezeframe </w:t>
      </w:r>
      <w:r w:rsidR="00EE4D06">
        <w:t>range.</w:t>
      </w:r>
    </w:p>
    <w:p w14:paraId="2D039E20" w14:textId="12863D25" w:rsidR="00EE4D06" w:rsidRDefault="001E3C6B" w:rsidP="001E3C6B">
      <w:pPr>
        <w:pStyle w:val="ListNo1"/>
        <w:numPr>
          <w:ilvl w:val="0"/>
          <w:numId w:val="0"/>
        </w:numPr>
        <w:tabs>
          <w:tab w:val="left" w:pos="720"/>
        </w:tabs>
        <w:ind w:left="720" w:hanging="720"/>
      </w:pPr>
      <w:r>
        <w:t>(2)</w:t>
      </w:r>
      <w:r>
        <w:tab/>
      </w:r>
      <w:r w:rsidR="00EE4D06">
        <w:t xml:space="preserve">Although that is reflected in Self Care’s </w:t>
      </w:r>
      <w:r w:rsidR="00523981">
        <w:t xml:space="preserve">registered </w:t>
      </w:r>
      <w:r w:rsidR="00EE4D06">
        <w:t>trade</w:t>
      </w:r>
      <w:r w:rsidR="006D59B0">
        <w:t xml:space="preserve"> </w:t>
      </w:r>
      <w:r w:rsidR="00EE4D06">
        <w:t>marks, the way in which the words are presented on the packaging and in relevant advertising material has the result that FREEZEFRAME and the independent product name have independent uses.  For example, the Freeze</w:t>
      </w:r>
      <w:r w:rsidR="002643F9">
        <w:t>f</w:t>
      </w:r>
      <w:r w:rsidR="00EE4D06">
        <w:t xml:space="preserve">rame website tends to list the products under their individual product names independently of the word FREEZEFRAME, although the range of products is clearly identified as being the </w:t>
      </w:r>
      <w:r w:rsidR="00DC5D22">
        <w:t xml:space="preserve">Freezeframe </w:t>
      </w:r>
      <w:r w:rsidR="00EE4D06">
        <w:t>range.</w:t>
      </w:r>
    </w:p>
    <w:p w14:paraId="7ED60CCF" w14:textId="2A0EBD70" w:rsidR="00EE4D06" w:rsidRPr="00EF4531" w:rsidRDefault="001E3C6B" w:rsidP="001E3C6B">
      <w:pPr>
        <w:pStyle w:val="ParaNumbering"/>
        <w:numPr>
          <w:ilvl w:val="0"/>
          <w:numId w:val="0"/>
        </w:numPr>
        <w:ind w:hanging="720"/>
      </w:pPr>
      <w:r w:rsidRPr="00EF4531">
        <w:rPr>
          <w:sz w:val="20"/>
        </w:rPr>
        <w:t>253</w:t>
      </w:r>
      <w:r w:rsidRPr="00EF4531">
        <w:rPr>
          <w:sz w:val="20"/>
        </w:rPr>
        <w:tab/>
      </w:r>
      <w:r w:rsidR="00EE4D06">
        <w:t>The result is that one is left with the impression that each product has two prominent brands with which it is associated, the umbrella brand and the product name – the latter sometimes reflected as “</w:t>
      </w:r>
      <w:r w:rsidR="007F026E">
        <w:t>f</w:t>
      </w:r>
      <w:r w:rsidR="00EE4D06">
        <w:t>reeze</w:t>
      </w:r>
      <w:r w:rsidR="007F026E">
        <w:t xml:space="preserve">frame </w:t>
      </w:r>
      <w:r w:rsidR="00EE4D06">
        <w:t xml:space="preserve">[PRODUCT]” and other times only as the product name.  The descriptive phrases that are also used in relation to the products, such as those that are </w:t>
      </w:r>
      <w:r w:rsidR="00EE4D06">
        <w:lastRenderedPageBreak/>
        <w:t>complained of, have less prominence and serve less to identify the products and do not as a consequence tend to badge or brand the products.</w:t>
      </w:r>
    </w:p>
    <w:p w14:paraId="74B66392" w14:textId="75D5E713" w:rsidR="00EE4D06" w:rsidRDefault="001E3C6B" w:rsidP="001E3C6B">
      <w:pPr>
        <w:pStyle w:val="ParaNumbering"/>
        <w:numPr>
          <w:ilvl w:val="0"/>
          <w:numId w:val="0"/>
        </w:numPr>
        <w:ind w:hanging="720"/>
      </w:pPr>
      <w:r>
        <w:rPr>
          <w:sz w:val="20"/>
        </w:rPr>
        <w:t>254</w:t>
      </w:r>
      <w:r>
        <w:rPr>
          <w:sz w:val="20"/>
        </w:rPr>
        <w:tab/>
      </w:r>
      <w:r w:rsidR="00EE4D06" w:rsidRPr="00523981">
        <w:t>Fourth</w:t>
      </w:r>
      <w:r w:rsidR="00EE4D06">
        <w:t>, Self Care’s use of the BOTOX mark does not indicate a connection in the course of trade between Self Care and BOTOX.  It does the opposite.  By describing Self Care’s products as alternatives or enhancers, comparing and contrasting, attaching the ® symbol and citing Allergan as the owner of that registered trade mark – as identified above – the point is made that there is no connection in the course of trade between BOTOX and Self Care.</w:t>
      </w:r>
    </w:p>
    <w:p w14:paraId="1416DA58" w14:textId="1BBB270D" w:rsidR="00EE4D06" w:rsidRDefault="001E3C6B" w:rsidP="001E3C6B">
      <w:pPr>
        <w:pStyle w:val="ParaNumbering"/>
        <w:numPr>
          <w:ilvl w:val="0"/>
          <w:numId w:val="0"/>
        </w:numPr>
        <w:ind w:hanging="720"/>
      </w:pPr>
      <w:r>
        <w:rPr>
          <w:sz w:val="20"/>
        </w:rPr>
        <w:t>255</w:t>
      </w:r>
      <w:r>
        <w:rPr>
          <w:sz w:val="20"/>
        </w:rPr>
        <w:tab/>
      </w:r>
      <w:r w:rsidR="00EE4D06">
        <w:t>Thus, in my view Allergan’s trade</w:t>
      </w:r>
      <w:r w:rsidR="006D59B0">
        <w:t xml:space="preserve"> </w:t>
      </w:r>
      <w:r w:rsidR="00EE4D06">
        <w:t>mark infringement complaint with regard to the various phrases that use the word BOTOX fails at the first hurdle; neither the phrases nor the word BOTOX are used by Self Care in these contexts as trade marks.  The single possible exception is the use of “Instant Botox® Alternative” in the in-store promotion in Myer for one week in 2014, but even in respect of that use I have concluded that the phrase was not used as a trade mark.</w:t>
      </w:r>
    </w:p>
    <w:p w14:paraId="4BC310A6" w14:textId="77777777" w:rsidR="00EE4D06" w:rsidRDefault="00EE4D06" w:rsidP="00EE4D06">
      <w:pPr>
        <w:pStyle w:val="Heading3"/>
      </w:pPr>
      <w:r>
        <w:t>(2) Deceptive similarity</w:t>
      </w:r>
    </w:p>
    <w:p w14:paraId="1562905E" w14:textId="3EBE0B0F" w:rsidR="00EE4D06" w:rsidRDefault="001E3C6B" w:rsidP="001E3C6B">
      <w:pPr>
        <w:pStyle w:val="ParaNumbering"/>
        <w:numPr>
          <w:ilvl w:val="0"/>
          <w:numId w:val="0"/>
        </w:numPr>
        <w:ind w:hanging="720"/>
      </w:pPr>
      <w:r>
        <w:rPr>
          <w:sz w:val="20"/>
        </w:rPr>
        <w:t>256</w:t>
      </w:r>
      <w:r>
        <w:rPr>
          <w:sz w:val="20"/>
        </w:rPr>
        <w:tab/>
      </w:r>
      <w:r w:rsidR="00EE4D06">
        <w:t>Fairly obviously, the phrases are not in any way similar to the BOTOX marks.  For all the reasons already given with regard to why those phrases are not used as trade marks, they cannot be mistaken for any of the BOTOX marks – they serve principally to compare, contrast and distinguish the product to which they are affixed from the product traded under the BOTOX marks that is named Botox.  There simply is no deceptive similarity.</w:t>
      </w:r>
    </w:p>
    <w:p w14:paraId="01491462" w14:textId="126B7040" w:rsidR="00EE4D06" w:rsidRDefault="001E3C6B" w:rsidP="001E3C6B">
      <w:pPr>
        <w:pStyle w:val="ParaNumbering"/>
        <w:numPr>
          <w:ilvl w:val="0"/>
          <w:numId w:val="0"/>
        </w:numPr>
        <w:ind w:hanging="720"/>
      </w:pPr>
      <w:r>
        <w:rPr>
          <w:sz w:val="20"/>
        </w:rPr>
        <w:t>257</w:t>
      </w:r>
      <w:r>
        <w:rPr>
          <w:sz w:val="20"/>
        </w:rPr>
        <w:tab/>
      </w:r>
      <w:r w:rsidR="00EE4D06">
        <w:t xml:space="preserve">That conclusion includes the use of the phrase “Instant Botox® Alternative” in respect of </w:t>
      </w:r>
      <w:r w:rsidR="006F221D">
        <w:t>its use in the in-store promotion in Myer discussed above</w:t>
      </w:r>
      <w:r w:rsidR="00EE4D06">
        <w:t>.  There is nothing about the phrase that might cause it to be confused with any of the BOTOX marks, aside from the fact that it includes the word BOTOX within it.  However, the use of “alternative” serves the function of demonstrating that it is not the same as</w:t>
      </w:r>
      <w:r w:rsidR="00FB3851">
        <w:t>,</w:t>
      </w:r>
      <w:r w:rsidR="00EE4D06">
        <w:t xml:space="preserve"> or linked to, but is quite different from, the </w:t>
      </w:r>
      <w:r w:rsidR="00D51669">
        <w:t xml:space="preserve">BOTOX </w:t>
      </w:r>
      <w:r w:rsidR="00EE4D06">
        <w:t>marks and thus their origin.</w:t>
      </w:r>
      <w:r w:rsidR="006F221D">
        <w:t xml:space="preserve">  Indeed, the point of the promotion, and its central message, was to distinguish the product in question from Botox. </w:t>
      </w:r>
    </w:p>
    <w:p w14:paraId="6B9FA9D9" w14:textId="39587ACA" w:rsidR="00EE4D06" w:rsidRDefault="001E3C6B" w:rsidP="001E3C6B">
      <w:pPr>
        <w:pStyle w:val="ParaNumbering"/>
        <w:numPr>
          <w:ilvl w:val="0"/>
          <w:numId w:val="0"/>
        </w:numPr>
        <w:ind w:hanging="720"/>
      </w:pPr>
      <w:r>
        <w:rPr>
          <w:sz w:val="20"/>
        </w:rPr>
        <w:t>258</w:t>
      </w:r>
      <w:r>
        <w:rPr>
          <w:sz w:val="20"/>
        </w:rPr>
        <w:tab/>
      </w:r>
      <w:r w:rsidR="00EE4D06">
        <w:t>Of course, the use of the word BOTOX is quite different.  It is identical to most of the BOTOX marks, and substantially identical to the BOTOX mark that is a composite mark.  Allergan thus satisfies the “similarity” requirement in respect of Self Care’s use of this word, although, as I have concluded, it is not used by Self Care as a trade mark.</w:t>
      </w:r>
    </w:p>
    <w:p w14:paraId="6743D727" w14:textId="5BEA3783" w:rsidR="00EE4D06" w:rsidRDefault="00EE4D06" w:rsidP="00EE4D06">
      <w:pPr>
        <w:pStyle w:val="Heading3"/>
      </w:pPr>
      <w:r>
        <w:lastRenderedPageBreak/>
        <w:t>(3) The registered goods</w:t>
      </w:r>
      <w:r w:rsidR="006F221D">
        <w:t xml:space="preserve"> or goods of the same description</w:t>
      </w:r>
    </w:p>
    <w:p w14:paraId="30A1D926" w14:textId="36A0292D" w:rsidR="00EE4D06" w:rsidRDefault="001E3C6B" w:rsidP="001E3C6B">
      <w:pPr>
        <w:pStyle w:val="ParaNumbering"/>
        <w:numPr>
          <w:ilvl w:val="0"/>
          <w:numId w:val="0"/>
        </w:numPr>
        <w:ind w:hanging="720"/>
      </w:pPr>
      <w:r>
        <w:rPr>
          <w:sz w:val="20"/>
        </w:rPr>
        <w:t>259</w:t>
      </w:r>
      <w:r>
        <w:rPr>
          <w:sz w:val="20"/>
        </w:rPr>
        <w:tab/>
      </w:r>
      <w:r w:rsidR="00EE4D06">
        <w:t xml:space="preserve">For much the same reasons as already concluded with regard to the </w:t>
      </w:r>
      <w:r w:rsidR="006F221D">
        <w:t xml:space="preserve">Protox </w:t>
      </w:r>
      <w:r w:rsidR="00EE4D06">
        <w:t>product, each of Self Care’s other relevant products is the same as goods in respect of which Botox is registered</w:t>
      </w:r>
      <w:r w:rsidR="006F221D">
        <w:t xml:space="preserve"> under the 426 defensive mark. </w:t>
      </w:r>
      <w:r w:rsidR="00427B83">
        <w:t xml:space="preserve"> </w:t>
      </w:r>
    </w:p>
    <w:p w14:paraId="67ABF745" w14:textId="3FABA32F" w:rsidR="001837A4" w:rsidRDefault="001E3C6B" w:rsidP="001E3C6B">
      <w:pPr>
        <w:pStyle w:val="ParaNumbering"/>
        <w:numPr>
          <w:ilvl w:val="0"/>
          <w:numId w:val="0"/>
        </w:numPr>
        <w:ind w:hanging="720"/>
      </w:pPr>
      <w:r>
        <w:rPr>
          <w:sz w:val="20"/>
        </w:rPr>
        <w:t>260</w:t>
      </w:r>
      <w:r>
        <w:rPr>
          <w:sz w:val="20"/>
        </w:rPr>
        <w:tab/>
      </w:r>
      <w:r w:rsidR="001837A4" w:rsidRPr="001837A4">
        <w:t>In</w:t>
      </w:r>
      <w:r w:rsidR="00B74018">
        <w:t xml:space="preserve"> that </w:t>
      </w:r>
      <w:r w:rsidR="001837A4" w:rsidRPr="001837A4">
        <w:t>regard, Ms Amoroso described the products as follows.  The Inhibox product is an anti-wrinkle product that contains a tensing agent that forms a film over the skin which, as it dries, shrinks and pulls the skin outwards smoothing and lifting the skin.  The Night (</w:t>
      </w:r>
      <w:r w:rsidR="002C5383">
        <w:t>t</w:t>
      </w:r>
      <w:r w:rsidR="001837A4" w:rsidRPr="001837A4">
        <w:t>ub) product was developed to reduce the appearan</w:t>
      </w:r>
      <w:r w:rsidR="00796CBF">
        <w:t>ce of wrinkles and is a wrinkle-</w:t>
      </w:r>
      <w:r w:rsidR="001837A4" w:rsidRPr="001837A4">
        <w:t>relaxing c</w:t>
      </w:r>
      <w:r w:rsidR="00796CBF">
        <w:t>ream or a skin-</w:t>
      </w:r>
      <w:r w:rsidR="006C6178">
        <w:t xml:space="preserve">relaxing cream.  </w:t>
      </w:r>
      <w:r w:rsidR="001837A4" w:rsidRPr="001837A4">
        <w:t>The Night</w:t>
      </w:r>
      <w:r w:rsidR="00796CBF">
        <w:t xml:space="preserve"> (tube) product provides a skin-</w:t>
      </w:r>
      <w:r w:rsidR="001837A4" w:rsidRPr="001837A4">
        <w:t>smoothing action by a combination of intense moisturisation and relaxing the surface of the skin, boosting collagen, lifting and re-densification of the skin.  The Boost product is a multifunction serum that increases oxygen uptake in the skin, lifting and smoo</w:t>
      </w:r>
      <w:r w:rsidR="00D11648">
        <w:t>thing the skin in the process.</w:t>
      </w:r>
    </w:p>
    <w:p w14:paraId="13BD8DC5" w14:textId="66FAD433" w:rsidR="00B74018" w:rsidRDefault="001E3C6B" w:rsidP="001E3C6B">
      <w:pPr>
        <w:pStyle w:val="ParaNumbering"/>
        <w:numPr>
          <w:ilvl w:val="0"/>
          <w:numId w:val="0"/>
        </w:numPr>
        <w:ind w:hanging="720"/>
      </w:pPr>
      <w:r>
        <w:rPr>
          <w:sz w:val="20"/>
        </w:rPr>
        <w:t>261</w:t>
      </w:r>
      <w:r>
        <w:rPr>
          <w:sz w:val="20"/>
        </w:rPr>
        <w:tab/>
      </w:r>
      <w:r w:rsidR="00B74018">
        <w:t>However, they are not goods of the same description as Botox</w:t>
      </w:r>
      <w:r w:rsidR="00FB3851">
        <w:t xml:space="preserve"> or the other goods in its class 5 registration</w:t>
      </w:r>
      <w:r w:rsidR="00B74018">
        <w:t>.  In particular, the following distinctions make that clear: cosmetics versus pharmaceuticals, very different trade channels, very different systems of application</w:t>
      </w:r>
      <w:r w:rsidR="00FB3851">
        <w:t xml:space="preserve"> and</w:t>
      </w:r>
      <w:r w:rsidR="00B74018">
        <w:t xml:space="preserve"> very different prices.</w:t>
      </w:r>
    </w:p>
    <w:p w14:paraId="4C144272" w14:textId="79E8EA6F" w:rsidR="00EE4D06" w:rsidRDefault="00EE4D06" w:rsidP="00EE4D06">
      <w:pPr>
        <w:pStyle w:val="Heading3"/>
      </w:pPr>
      <w:bookmarkStart w:id="86" w:name="_Ref54701586"/>
      <w:r>
        <w:t>(4) Conclusion: trade</w:t>
      </w:r>
      <w:r w:rsidR="006D59B0">
        <w:t xml:space="preserve"> </w:t>
      </w:r>
      <w:r>
        <w:t>mark infringement claim with regard to BOTOX phrases</w:t>
      </w:r>
      <w:bookmarkEnd w:id="86"/>
    </w:p>
    <w:p w14:paraId="4045FFBB" w14:textId="1D5BD4AE" w:rsidR="00EE4D06" w:rsidRDefault="001E3C6B" w:rsidP="001E3C6B">
      <w:pPr>
        <w:pStyle w:val="ParaNumbering"/>
        <w:numPr>
          <w:ilvl w:val="0"/>
          <w:numId w:val="0"/>
        </w:numPr>
        <w:ind w:hanging="720"/>
      </w:pPr>
      <w:r>
        <w:rPr>
          <w:sz w:val="20"/>
        </w:rPr>
        <w:t>262</w:t>
      </w:r>
      <w:r>
        <w:rPr>
          <w:sz w:val="20"/>
        </w:rPr>
        <w:tab/>
      </w:r>
      <w:r w:rsidR="00EE4D06">
        <w:t>It follows that in my view Allergan’s trade</w:t>
      </w:r>
      <w:r w:rsidR="006D59B0">
        <w:t xml:space="preserve"> </w:t>
      </w:r>
      <w:r w:rsidR="00EE4D06">
        <w:t>mark infringement claim with regard to Self Care’s use of the various phrases including the word B</w:t>
      </w:r>
      <w:r w:rsidR="0086164F">
        <w:t>OTOX</w:t>
      </w:r>
      <w:r w:rsidR="00EE4D06">
        <w:t xml:space="preserve">, </w:t>
      </w:r>
      <w:r w:rsidR="006F221D">
        <w:t>and</w:t>
      </w:r>
      <w:r w:rsidR="00EE4D06">
        <w:t xml:space="preserve"> the use of the word B</w:t>
      </w:r>
      <w:r w:rsidR="0086164F">
        <w:t>OTOX</w:t>
      </w:r>
      <w:r w:rsidR="00EE4D06">
        <w:t xml:space="preserve"> itself</w:t>
      </w:r>
      <w:r w:rsidR="006F221D">
        <w:t>,</w:t>
      </w:r>
      <w:r w:rsidR="00EE4D06">
        <w:t xml:space="preserve"> must fail.</w:t>
      </w:r>
    </w:p>
    <w:p w14:paraId="58708D7C" w14:textId="0569C43C" w:rsidR="00EE4D06" w:rsidRDefault="001E3C6B" w:rsidP="00EE4D06">
      <w:pPr>
        <w:pStyle w:val="Heading1"/>
      </w:pPr>
      <w:bookmarkStart w:id="87" w:name="_Ref54701587"/>
      <w:r>
        <w:rPr>
          <w:caps w:val="0"/>
        </w:rPr>
        <w:t>CROSS-CLAIM: REMOVAL OR CANCELLATION OF TRADE MARKS</w:t>
      </w:r>
      <w:bookmarkEnd w:id="87"/>
    </w:p>
    <w:p w14:paraId="70F0C51B" w14:textId="26E0E91D" w:rsidR="00EE4D06" w:rsidRDefault="001E3C6B" w:rsidP="001E3C6B">
      <w:pPr>
        <w:pStyle w:val="ParaNumbering"/>
        <w:numPr>
          <w:ilvl w:val="0"/>
          <w:numId w:val="0"/>
        </w:numPr>
        <w:ind w:hanging="720"/>
      </w:pPr>
      <w:r>
        <w:rPr>
          <w:sz w:val="20"/>
        </w:rPr>
        <w:t>263</w:t>
      </w:r>
      <w:r>
        <w:rPr>
          <w:sz w:val="20"/>
        </w:rPr>
        <w:tab/>
      </w:r>
      <w:r w:rsidR="00EE4D06">
        <w:t>Self Care’s cross-claim seeks:</w:t>
      </w:r>
    </w:p>
    <w:p w14:paraId="5FC68EB3" w14:textId="089DC024" w:rsidR="00EE4D06" w:rsidRDefault="001E3C6B" w:rsidP="001E3C6B">
      <w:pPr>
        <w:pStyle w:val="ListNo1"/>
        <w:numPr>
          <w:ilvl w:val="0"/>
          <w:numId w:val="0"/>
        </w:numPr>
        <w:tabs>
          <w:tab w:val="left" w:pos="720"/>
        </w:tabs>
        <w:ind w:left="720" w:hanging="720"/>
      </w:pPr>
      <w:r>
        <w:t>(1)</w:t>
      </w:r>
      <w:r>
        <w:tab/>
      </w:r>
      <w:r w:rsidR="00EE4D06">
        <w:t>Removal (including cessation of protection)</w:t>
      </w:r>
      <w:r w:rsidR="00145939">
        <w:t xml:space="preserve"> from the r</w:t>
      </w:r>
      <w:r w:rsidR="00CD3C1B">
        <w:t>egister</w:t>
      </w:r>
      <w:r w:rsidR="00EE4D06">
        <w:t xml:space="preserve"> of the word mark BOTOX in class 3 of the 655 mark for non-use pursuant to s 92(4)(b) of the TM Act and reg </w:t>
      </w:r>
      <w:r w:rsidR="00EE4D06" w:rsidRPr="00162AB6">
        <w:t xml:space="preserve">17A.48D of the </w:t>
      </w:r>
      <w:r w:rsidR="00EE4D06" w:rsidRPr="00162AB6">
        <w:rPr>
          <w:i/>
        </w:rPr>
        <w:t>Trade Mark Regulations 1995</w:t>
      </w:r>
      <w:r w:rsidR="00EE4D06" w:rsidRPr="00162AB6">
        <w:t xml:space="preserve"> (Cth)</w:t>
      </w:r>
      <w:r w:rsidR="00EE4D06">
        <w:t xml:space="preserve"> in respect of all goods covered by the registration, i.e.</w:t>
      </w:r>
      <w:r w:rsidR="00796CBF">
        <w:t>,</w:t>
      </w:r>
      <w:r w:rsidR="00EE4D06">
        <w:t xml:space="preserve"> “cosmetics, face creams and lotions; skin creams and lotions”; and</w:t>
      </w:r>
    </w:p>
    <w:p w14:paraId="5F5D4676" w14:textId="535896CB" w:rsidR="00EE4D06" w:rsidRDefault="001E3C6B" w:rsidP="001E3C6B">
      <w:pPr>
        <w:pStyle w:val="ListNo1"/>
        <w:numPr>
          <w:ilvl w:val="0"/>
          <w:numId w:val="0"/>
        </w:numPr>
        <w:tabs>
          <w:tab w:val="left" w:pos="720"/>
        </w:tabs>
        <w:ind w:left="720" w:hanging="720"/>
      </w:pPr>
      <w:r>
        <w:t>(2)</w:t>
      </w:r>
      <w:r>
        <w:tab/>
      </w:r>
      <w:r w:rsidR="00EE4D06">
        <w:t>Cancellation of the BOTOX 426 defensive mark pursuant to s</w:t>
      </w:r>
      <w:r w:rsidR="00C3368D">
        <w:t>s</w:t>
      </w:r>
      <w:r w:rsidR="00EE4D06">
        <w:t xml:space="preserve"> 88(2)(a) </w:t>
      </w:r>
      <w:r w:rsidR="00C3368D">
        <w:t xml:space="preserve">and </w:t>
      </w:r>
      <w:r w:rsidR="00EE4D06">
        <w:t>187(d) of the TM Act in respect of all the class 3 goods, and such other goods as are relied on by Allergan in their claims of trade</w:t>
      </w:r>
      <w:r w:rsidR="005F1761">
        <w:t xml:space="preserve"> </w:t>
      </w:r>
      <w:r w:rsidR="00D11648">
        <w:t>mark infringement.</w:t>
      </w:r>
    </w:p>
    <w:p w14:paraId="18650A1E" w14:textId="7536D364" w:rsidR="00EE4D06" w:rsidRDefault="001E3C6B" w:rsidP="001E3C6B">
      <w:pPr>
        <w:pStyle w:val="ParaNumbering"/>
        <w:numPr>
          <w:ilvl w:val="0"/>
          <w:numId w:val="0"/>
        </w:numPr>
        <w:ind w:hanging="720"/>
      </w:pPr>
      <w:r>
        <w:rPr>
          <w:sz w:val="20"/>
        </w:rPr>
        <w:lastRenderedPageBreak/>
        <w:t>264</w:t>
      </w:r>
      <w:r>
        <w:rPr>
          <w:sz w:val="20"/>
        </w:rPr>
        <w:tab/>
      </w:r>
      <w:r w:rsidR="00EE4D06">
        <w:t>It is apparent from paras [30] and [33C] of Allergan’s second further amended statement of claim that its reliance on the 426 defensive mark in its s 120(1) infringement claim against Self Care is limited to the goods in class 3.  In a footnote (fn 47) to its closing submissions at trial, Allergan states that it relies on all the goods in respect of which the 426 defensive mark is registered.  The result is that Self Care’s challenge to the registration of the 426 defensive mark is limited to the goods in class 3.</w:t>
      </w:r>
    </w:p>
    <w:p w14:paraId="7741CDED" w14:textId="056B01F5" w:rsidR="00EE4D06" w:rsidRDefault="001E3C6B" w:rsidP="001E3C6B">
      <w:pPr>
        <w:pStyle w:val="ParaNumbering"/>
        <w:numPr>
          <w:ilvl w:val="0"/>
          <w:numId w:val="0"/>
        </w:numPr>
        <w:ind w:hanging="720"/>
      </w:pPr>
      <w:r>
        <w:rPr>
          <w:sz w:val="20"/>
        </w:rPr>
        <w:t>265</w:t>
      </w:r>
      <w:r>
        <w:rPr>
          <w:sz w:val="20"/>
        </w:rPr>
        <w:tab/>
      </w:r>
      <w:r w:rsidR="00EE4D06">
        <w:t>It is convenient to deal with each part of the cross-claim in turn.</w:t>
      </w:r>
    </w:p>
    <w:p w14:paraId="328603AC" w14:textId="77777777" w:rsidR="00EE4D06" w:rsidRDefault="00EE4D06" w:rsidP="00EE4D06">
      <w:pPr>
        <w:pStyle w:val="Heading2"/>
      </w:pPr>
      <w:bookmarkStart w:id="88" w:name="_Ref54701588"/>
      <w:r>
        <w:t>Removal of the 655 mark</w:t>
      </w:r>
      <w:bookmarkEnd w:id="88"/>
    </w:p>
    <w:p w14:paraId="5A4799A7" w14:textId="06F550F4" w:rsidR="00EE4D06" w:rsidRDefault="001E3C6B" w:rsidP="001E3C6B">
      <w:pPr>
        <w:pStyle w:val="Heading3"/>
        <w:ind w:left="720" w:hanging="360"/>
      </w:pPr>
      <w:bookmarkStart w:id="89" w:name="_Ref54701589"/>
      <w:r>
        <w:t>(1)</w:t>
      </w:r>
      <w:r>
        <w:tab/>
      </w:r>
      <w:r w:rsidR="00EE4D06">
        <w:t>The law</w:t>
      </w:r>
      <w:bookmarkEnd w:id="89"/>
    </w:p>
    <w:p w14:paraId="07DE700A" w14:textId="2F811AFE" w:rsidR="00EE4D06" w:rsidRDefault="001E3C6B" w:rsidP="001E3C6B">
      <w:pPr>
        <w:pStyle w:val="ParaNumbering"/>
        <w:numPr>
          <w:ilvl w:val="0"/>
          <w:numId w:val="0"/>
        </w:numPr>
        <w:ind w:hanging="720"/>
      </w:pPr>
      <w:r>
        <w:rPr>
          <w:sz w:val="20"/>
        </w:rPr>
        <w:t>266</w:t>
      </w:r>
      <w:r>
        <w:rPr>
          <w:sz w:val="20"/>
        </w:rPr>
        <w:tab/>
      </w:r>
      <w:r w:rsidR="00EE4D06">
        <w:t>Section 92 of the TM Act relevantly provides as follows:</w:t>
      </w:r>
    </w:p>
    <w:p w14:paraId="7B7CF756" w14:textId="77777777" w:rsidR="00EE4D06" w:rsidRPr="00D31BA5" w:rsidRDefault="00EE4D06" w:rsidP="00EE4D06">
      <w:pPr>
        <w:pStyle w:val="Quote1"/>
        <w:rPr>
          <w:b/>
          <w:lang w:eastAsia="en-AU"/>
        </w:rPr>
      </w:pPr>
      <w:r w:rsidRPr="00D31BA5">
        <w:rPr>
          <w:b/>
          <w:lang w:eastAsia="en-AU"/>
        </w:rPr>
        <w:t xml:space="preserve">92 Application for removal of trade mark from Register etc. </w:t>
      </w:r>
    </w:p>
    <w:p w14:paraId="042997EE" w14:textId="77777777" w:rsidR="00EE4D06" w:rsidRPr="00D31BA5" w:rsidRDefault="00EE4D06" w:rsidP="00EE4D06">
      <w:pPr>
        <w:pStyle w:val="Quote1"/>
        <w:tabs>
          <w:tab w:val="left" w:pos="1276"/>
        </w:tabs>
        <w:ind w:left="1276" w:hanging="567"/>
        <w:rPr>
          <w:szCs w:val="22"/>
          <w:lang w:eastAsia="en-AU"/>
        </w:rPr>
      </w:pPr>
      <w:r w:rsidRPr="00D31BA5">
        <w:rPr>
          <w:szCs w:val="22"/>
          <w:lang w:eastAsia="en-AU"/>
        </w:rPr>
        <w:t xml:space="preserve">(1) </w:t>
      </w:r>
      <w:r>
        <w:rPr>
          <w:szCs w:val="22"/>
          <w:lang w:eastAsia="en-AU"/>
        </w:rPr>
        <w:tab/>
      </w:r>
      <w:r w:rsidRPr="00D31BA5">
        <w:rPr>
          <w:szCs w:val="22"/>
          <w:lang w:eastAsia="en-AU"/>
        </w:rPr>
        <w:t xml:space="preserve">Subject to subsection (3), a person may apply to the Registrar to have a trade mark that is or may be registered removed from the Register. </w:t>
      </w:r>
    </w:p>
    <w:p w14:paraId="4AB63856" w14:textId="77777777" w:rsidR="00EE4D06" w:rsidRPr="00D31BA5" w:rsidRDefault="00EE4D06" w:rsidP="00EE4D06">
      <w:pPr>
        <w:pStyle w:val="Quote1"/>
        <w:tabs>
          <w:tab w:val="left" w:pos="1276"/>
        </w:tabs>
        <w:ind w:left="1276" w:hanging="567"/>
        <w:rPr>
          <w:szCs w:val="22"/>
          <w:lang w:eastAsia="en-AU"/>
        </w:rPr>
      </w:pPr>
      <w:r w:rsidRPr="00D31BA5">
        <w:rPr>
          <w:szCs w:val="22"/>
          <w:lang w:eastAsia="en-AU"/>
        </w:rPr>
        <w:t xml:space="preserve">(2) </w:t>
      </w:r>
      <w:r>
        <w:rPr>
          <w:szCs w:val="22"/>
          <w:lang w:eastAsia="en-AU"/>
        </w:rPr>
        <w:tab/>
      </w:r>
      <w:r w:rsidRPr="00D31BA5">
        <w:rPr>
          <w:szCs w:val="22"/>
          <w:lang w:eastAsia="en-AU"/>
        </w:rPr>
        <w:t xml:space="preserve">The application: </w:t>
      </w:r>
    </w:p>
    <w:p w14:paraId="4B9C21E5" w14:textId="77777777" w:rsidR="00EE4D06" w:rsidRPr="00D31BA5" w:rsidRDefault="00EE4D06" w:rsidP="00961B7C">
      <w:pPr>
        <w:pStyle w:val="Quote2"/>
        <w:ind w:left="1276"/>
        <w:rPr>
          <w:lang w:eastAsia="en-AU"/>
        </w:rPr>
      </w:pPr>
      <w:r w:rsidRPr="00D31BA5">
        <w:rPr>
          <w:lang w:eastAsia="en-AU"/>
        </w:rPr>
        <w:t xml:space="preserve">(a) </w:t>
      </w:r>
      <w:r>
        <w:rPr>
          <w:lang w:eastAsia="en-AU"/>
        </w:rPr>
        <w:tab/>
      </w:r>
      <w:r w:rsidRPr="00D31BA5">
        <w:rPr>
          <w:lang w:eastAsia="en-AU"/>
        </w:rPr>
        <w:t xml:space="preserve">must be in accordance with the regulations; and </w:t>
      </w:r>
    </w:p>
    <w:p w14:paraId="3FCD2230" w14:textId="77777777" w:rsidR="00EE4D06" w:rsidRPr="00D31BA5" w:rsidRDefault="00EE4D06" w:rsidP="00961B7C">
      <w:pPr>
        <w:pStyle w:val="Quote2"/>
        <w:ind w:left="2160" w:hanging="884"/>
        <w:rPr>
          <w:lang w:eastAsia="en-AU"/>
        </w:rPr>
      </w:pPr>
      <w:r w:rsidRPr="00D31BA5">
        <w:rPr>
          <w:lang w:eastAsia="en-AU"/>
        </w:rPr>
        <w:t xml:space="preserve">(b) </w:t>
      </w:r>
      <w:r>
        <w:rPr>
          <w:lang w:eastAsia="en-AU"/>
        </w:rPr>
        <w:tab/>
      </w:r>
      <w:r w:rsidRPr="00D31BA5">
        <w:rPr>
          <w:lang w:eastAsia="en-AU"/>
        </w:rPr>
        <w:t xml:space="preserve">may be made in respect of any or all of the goods and/or services in respect of which the trade mark may be, or is, registered. </w:t>
      </w:r>
    </w:p>
    <w:p w14:paraId="3BA556AB" w14:textId="77777777" w:rsidR="00EE4D06" w:rsidRPr="00D31BA5" w:rsidRDefault="00EE4D06" w:rsidP="00EE4D06">
      <w:pPr>
        <w:pStyle w:val="Quote1"/>
        <w:rPr>
          <w:sz w:val="18"/>
          <w:szCs w:val="18"/>
          <w:lang w:eastAsia="en-AU"/>
        </w:rPr>
      </w:pPr>
      <w:r>
        <w:rPr>
          <w:szCs w:val="22"/>
          <w:lang w:eastAsia="en-AU"/>
        </w:rPr>
        <w:t>…</w:t>
      </w:r>
    </w:p>
    <w:p w14:paraId="50FA9FAF" w14:textId="77777777" w:rsidR="00EE4D06" w:rsidRPr="00D31BA5" w:rsidRDefault="00EE4D06" w:rsidP="00EE4D06">
      <w:pPr>
        <w:pStyle w:val="Quote1"/>
        <w:tabs>
          <w:tab w:val="left" w:pos="1276"/>
        </w:tabs>
        <w:ind w:left="1276" w:hanging="567"/>
        <w:rPr>
          <w:szCs w:val="22"/>
          <w:lang w:eastAsia="en-AU"/>
        </w:rPr>
      </w:pPr>
      <w:r w:rsidRPr="00D31BA5">
        <w:rPr>
          <w:szCs w:val="22"/>
          <w:lang w:eastAsia="en-AU"/>
        </w:rPr>
        <w:t xml:space="preserve">(4) </w:t>
      </w:r>
      <w:r>
        <w:rPr>
          <w:szCs w:val="22"/>
          <w:lang w:eastAsia="en-AU"/>
        </w:rPr>
        <w:tab/>
      </w:r>
      <w:r w:rsidRPr="00D31BA5">
        <w:rPr>
          <w:szCs w:val="22"/>
          <w:lang w:eastAsia="en-AU"/>
        </w:rPr>
        <w:t xml:space="preserve">An application under subsection (1) </w:t>
      </w:r>
      <w:r>
        <w:rPr>
          <w:szCs w:val="22"/>
          <w:lang w:eastAsia="en-AU"/>
        </w:rPr>
        <w:t>…</w:t>
      </w:r>
      <w:r w:rsidRPr="00D31BA5">
        <w:rPr>
          <w:szCs w:val="22"/>
          <w:lang w:eastAsia="en-AU"/>
        </w:rPr>
        <w:t xml:space="preserve"> (non-use application) may be made on either or both of the following grounds, and on no other grounds: </w:t>
      </w:r>
    </w:p>
    <w:p w14:paraId="39CCD3F1" w14:textId="77777777" w:rsidR="00EE4D06" w:rsidRDefault="00EE4D06" w:rsidP="00EE4D06">
      <w:pPr>
        <w:pStyle w:val="Quote1"/>
        <w:rPr>
          <w:szCs w:val="22"/>
          <w:lang w:eastAsia="en-AU"/>
        </w:rPr>
      </w:pPr>
      <w:r>
        <w:rPr>
          <w:szCs w:val="22"/>
          <w:lang w:eastAsia="en-AU"/>
        </w:rPr>
        <w:t>…</w:t>
      </w:r>
    </w:p>
    <w:p w14:paraId="01EB9674" w14:textId="32741C7D" w:rsidR="00EE4D06" w:rsidRPr="00D31BA5" w:rsidRDefault="00EE4D06" w:rsidP="00961B7C">
      <w:pPr>
        <w:pStyle w:val="Quote2"/>
        <w:ind w:left="2160" w:hanging="884"/>
        <w:rPr>
          <w:lang w:eastAsia="en-AU"/>
        </w:rPr>
      </w:pPr>
      <w:r w:rsidRPr="00D31BA5">
        <w:rPr>
          <w:lang w:eastAsia="en-AU"/>
        </w:rPr>
        <w:t xml:space="preserve">(b) </w:t>
      </w:r>
      <w:r>
        <w:rPr>
          <w:lang w:eastAsia="en-AU"/>
        </w:rPr>
        <w:tab/>
      </w:r>
      <w:r w:rsidRPr="00D31BA5">
        <w:rPr>
          <w:lang w:eastAsia="en-AU"/>
        </w:rPr>
        <w:t xml:space="preserve">that the trade mark has remained registered for a continuous period of 3 years ending one month before the day on which the non-use application is filed, and, at no time during that period, the person who was then the registered owner: </w:t>
      </w:r>
    </w:p>
    <w:p w14:paraId="45F781B5" w14:textId="3832A2C9" w:rsidR="00EE4D06" w:rsidRPr="00D31BA5" w:rsidRDefault="005E1F32" w:rsidP="00D95B24">
      <w:pPr>
        <w:pStyle w:val="Quote3"/>
        <w:tabs>
          <w:tab w:val="left" w:pos="2552"/>
        </w:tabs>
        <w:ind w:hanging="317"/>
        <w:rPr>
          <w:lang w:eastAsia="en-AU"/>
        </w:rPr>
      </w:pPr>
      <w:r>
        <w:rPr>
          <w:lang w:eastAsia="en-AU"/>
        </w:rPr>
        <w:tab/>
      </w:r>
      <w:r w:rsidR="00EE4D06" w:rsidRPr="00D31BA5">
        <w:rPr>
          <w:lang w:eastAsia="en-AU"/>
        </w:rPr>
        <w:t xml:space="preserve">(i) </w:t>
      </w:r>
      <w:r w:rsidR="00EE4D06">
        <w:rPr>
          <w:lang w:eastAsia="en-AU"/>
        </w:rPr>
        <w:tab/>
      </w:r>
      <w:r w:rsidR="00D95B24">
        <w:rPr>
          <w:lang w:eastAsia="en-AU"/>
        </w:rPr>
        <w:tab/>
      </w:r>
      <w:r w:rsidR="00EE4D06" w:rsidRPr="00D31BA5">
        <w:rPr>
          <w:lang w:eastAsia="en-AU"/>
        </w:rPr>
        <w:t xml:space="preserve">used the trade mark in Australia; or </w:t>
      </w:r>
    </w:p>
    <w:p w14:paraId="4337E4FB" w14:textId="709A0486" w:rsidR="00EE4D06" w:rsidRPr="00D31BA5" w:rsidRDefault="005E1F32" w:rsidP="00D95B24">
      <w:pPr>
        <w:pStyle w:val="Quote3"/>
        <w:tabs>
          <w:tab w:val="left" w:pos="2552"/>
        </w:tabs>
        <w:ind w:hanging="317"/>
        <w:rPr>
          <w:lang w:eastAsia="en-AU"/>
        </w:rPr>
      </w:pPr>
      <w:r>
        <w:rPr>
          <w:lang w:eastAsia="en-AU"/>
        </w:rPr>
        <w:tab/>
      </w:r>
      <w:r w:rsidR="00EE4D06" w:rsidRPr="00D31BA5">
        <w:rPr>
          <w:lang w:eastAsia="en-AU"/>
        </w:rPr>
        <w:t xml:space="preserve">(ii) </w:t>
      </w:r>
      <w:r w:rsidR="00D95B24">
        <w:rPr>
          <w:lang w:eastAsia="en-AU"/>
        </w:rPr>
        <w:tab/>
      </w:r>
      <w:r>
        <w:rPr>
          <w:lang w:eastAsia="en-AU"/>
        </w:rPr>
        <w:tab/>
      </w:r>
      <w:r w:rsidR="00EE4D06" w:rsidRPr="00D31BA5">
        <w:rPr>
          <w:lang w:eastAsia="en-AU"/>
        </w:rPr>
        <w:t xml:space="preserve">used the trade mark in good faith in Australia; </w:t>
      </w:r>
    </w:p>
    <w:p w14:paraId="52585510" w14:textId="77777777" w:rsidR="00EE4D06" w:rsidRPr="00D31BA5" w:rsidRDefault="00EE4D06" w:rsidP="005E1F32">
      <w:pPr>
        <w:pStyle w:val="Quote1"/>
        <w:ind w:firstLine="703"/>
        <w:rPr>
          <w:szCs w:val="22"/>
          <w:lang w:eastAsia="en-AU"/>
        </w:rPr>
      </w:pPr>
      <w:r w:rsidRPr="00D31BA5">
        <w:rPr>
          <w:szCs w:val="22"/>
          <w:lang w:eastAsia="en-AU"/>
        </w:rPr>
        <w:t xml:space="preserve">in relation to the goods and/or services to which the application relates. </w:t>
      </w:r>
    </w:p>
    <w:p w14:paraId="21C42586" w14:textId="77777777" w:rsidR="00EE4D06" w:rsidRPr="00D31BA5" w:rsidRDefault="00EE4D06" w:rsidP="00EE4D06">
      <w:pPr>
        <w:pStyle w:val="Quote1"/>
        <w:rPr>
          <w:sz w:val="18"/>
          <w:szCs w:val="18"/>
          <w:lang w:eastAsia="en-AU"/>
        </w:rPr>
      </w:pPr>
      <w:r w:rsidRPr="00D31BA5">
        <w:rPr>
          <w:sz w:val="18"/>
          <w:szCs w:val="18"/>
          <w:lang w:eastAsia="en-AU"/>
        </w:rPr>
        <w:t xml:space="preserve">Note 1: For </w:t>
      </w:r>
      <w:r w:rsidRPr="00D31BA5">
        <w:rPr>
          <w:i/>
          <w:iCs/>
          <w:sz w:val="18"/>
          <w:szCs w:val="18"/>
          <w:lang w:eastAsia="en-AU"/>
        </w:rPr>
        <w:t xml:space="preserve">file </w:t>
      </w:r>
      <w:r w:rsidRPr="00D31BA5">
        <w:rPr>
          <w:sz w:val="18"/>
          <w:szCs w:val="18"/>
          <w:lang w:eastAsia="en-AU"/>
        </w:rPr>
        <w:t xml:space="preserve">and </w:t>
      </w:r>
      <w:r w:rsidRPr="00D31BA5">
        <w:rPr>
          <w:i/>
          <w:iCs/>
          <w:sz w:val="18"/>
          <w:szCs w:val="18"/>
          <w:lang w:eastAsia="en-AU"/>
        </w:rPr>
        <w:t xml:space="preserve">month </w:t>
      </w:r>
      <w:r w:rsidRPr="00D31BA5">
        <w:rPr>
          <w:sz w:val="18"/>
          <w:szCs w:val="18"/>
          <w:lang w:eastAsia="en-AU"/>
        </w:rPr>
        <w:t xml:space="preserve">see section 6. </w:t>
      </w:r>
    </w:p>
    <w:p w14:paraId="7CE04FEE" w14:textId="77777777" w:rsidR="00EE4D06" w:rsidRPr="00D31BA5" w:rsidRDefault="00EE4D06" w:rsidP="00EE4D06">
      <w:pPr>
        <w:pStyle w:val="Quote1"/>
        <w:rPr>
          <w:sz w:val="18"/>
          <w:szCs w:val="18"/>
          <w:lang w:eastAsia="en-AU"/>
        </w:rPr>
      </w:pPr>
      <w:r w:rsidRPr="00D31BA5">
        <w:rPr>
          <w:sz w:val="18"/>
          <w:szCs w:val="18"/>
          <w:lang w:eastAsia="en-AU"/>
        </w:rPr>
        <w:t xml:space="preserve">Note 2: If non-use of a trade mark has been established in a particular place or export market, then instead of the trade mark being removed from the Register, conditions or limitations may be imposed under section 102 on the registration of the trade mark so that its registration does not extend to that place or export market. </w:t>
      </w:r>
    </w:p>
    <w:p w14:paraId="44675DE3" w14:textId="77777777" w:rsidR="00EE4D06" w:rsidRDefault="00EE4D06" w:rsidP="00EE4D06">
      <w:pPr>
        <w:pStyle w:val="Quote1"/>
      </w:pPr>
      <w:r w:rsidRPr="00D31BA5">
        <w:rPr>
          <w:sz w:val="18"/>
          <w:szCs w:val="18"/>
          <w:lang w:eastAsia="en-AU"/>
        </w:rPr>
        <w:t>Note 3: For when the registration of a trade mark is taken to have effect, see sections 72 and 239A.</w:t>
      </w:r>
    </w:p>
    <w:p w14:paraId="4C89B431" w14:textId="593A5FFC" w:rsidR="00EE4D06" w:rsidRDefault="001E3C6B" w:rsidP="001E3C6B">
      <w:pPr>
        <w:pStyle w:val="ParaNumbering"/>
        <w:numPr>
          <w:ilvl w:val="0"/>
          <w:numId w:val="0"/>
        </w:numPr>
        <w:ind w:hanging="720"/>
      </w:pPr>
      <w:r>
        <w:rPr>
          <w:sz w:val="20"/>
        </w:rPr>
        <w:lastRenderedPageBreak/>
        <w:t>267</w:t>
      </w:r>
      <w:r>
        <w:rPr>
          <w:sz w:val="20"/>
        </w:rPr>
        <w:tab/>
      </w:r>
      <w:r w:rsidR="00EE4D06">
        <w:t>In terms of s 100(1)(c) of the TM Act, in any proceeding relating to an opposed application (for removal for non-use), it is for the opponent to rebut any allegation made under s 92(4)(b) that the trade mark has not, at any time before the period of one month ending on the day on which the opposed application was filed, been used, or been used in good faith, by its registered owner in relation to the relevant goods.  Relevantly, in terms of s 100(3)(a), the opponent is taken to have rebutted the allegation that the trade mark has not, at any time during the period referred to, been used, or been used in good faith, by its registered owner in relation to the relevant goods if the opponent has established that the trade</w:t>
      </w:r>
      <w:r w:rsidR="005F1761">
        <w:t xml:space="preserve"> </w:t>
      </w:r>
      <w:r w:rsidR="00EE4D06">
        <w:t>mark was used in good faith by the registered owner in relation to those goods.</w:t>
      </w:r>
    </w:p>
    <w:p w14:paraId="59D296C3" w14:textId="48F424F3" w:rsidR="00EE4D06" w:rsidRDefault="001E3C6B" w:rsidP="001E3C6B">
      <w:pPr>
        <w:pStyle w:val="ParaNumbering"/>
        <w:numPr>
          <w:ilvl w:val="0"/>
          <w:numId w:val="0"/>
        </w:numPr>
        <w:ind w:hanging="720"/>
      </w:pPr>
      <w:r>
        <w:rPr>
          <w:sz w:val="20"/>
        </w:rPr>
        <w:t>268</w:t>
      </w:r>
      <w:r>
        <w:rPr>
          <w:sz w:val="20"/>
        </w:rPr>
        <w:tab/>
      </w:r>
      <w:r w:rsidR="00EE4D06">
        <w:t xml:space="preserve">In </w:t>
      </w:r>
      <w:r w:rsidR="00EE4D06" w:rsidRPr="00427B83">
        <w:rPr>
          <w:b/>
          <w:i/>
        </w:rPr>
        <w:t>Lodestar</w:t>
      </w:r>
      <w:r w:rsidR="00EE4D06" w:rsidRPr="00162AB6">
        <w:rPr>
          <w:i/>
        </w:rPr>
        <w:t xml:space="preserve"> Anstalt v Campari America LLC</w:t>
      </w:r>
      <w:r w:rsidR="00EE4D06" w:rsidRPr="00162AB6">
        <w:t xml:space="preserve"> [2016] FCAFC 92; 244 FCR 557</w:t>
      </w:r>
      <w:r w:rsidR="00EE4D06">
        <w:t xml:space="preserve"> at [35] </w:t>
      </w:r>
      <w:r w:rsidR="0001412F">
        <w:t xml:space="preserve">per </w:t>
      </w:r>
      <w:r w:rsidR="00EE4D06">
        <w:t xml:space="preserve">Besanko J </w:t>
      </w:r>
      <w:r w:rsidR="0001412F">
        <w:t>(</w:t>
      </w:r>
      <w:r w:rsidR="00EE4D06">
        <w:t>with whose reasons Allsop CJ, Greenwood and Nicholas JJ agreed) and</w:t>
      </w:r>
      <w:r w:rsidR="0001412F">
        <w:t xml:space="preserve"> at</w:t>
      </w:r>
      <w:r w:rsidR="00EE4D06">
        <w:t xml:space="preserve"> [119]</w:t>
      </w:r>
      <w:r w:rsidR="0001412F">
        <w:t xml:space="preserve"> per </w:t>
      </w:r>
      <w:r w:rsidR="00EE4D06">
        <w:t xml:space="preserve">Nicholas J </w:t>
      </w:r>
      <w:r w:rsidR="0001412F">
        <w:t>(</w:t>
      </w:r>
      <w:r w:rsidR="00EE4D06">
        <w:t>with whose reasons Allsop CJ agreed) it was held with reference to s 100(1)(c) that in an application under s 92(4)(b) the registered owner bears the onus of proof.  Thus, Allergan bears the onus of proving use, in good faith, of the 655 mark in relation to “cosmetics, face creams and lotions; skin creams and lotions.”</w:t>
      </w:r>
    </w:p>
    <w:p w14:paraId="7EEEA44E" w14:textId="16DD7592" w:rsidR="00EE4D06" w:rsidRDefault="001E3C6B" w:rsidP="001E3C6B">
      <w:pPr>
        <w:pStyle w:val="ParaNumbering"/>
        <w:numPr>
          <w:ilvl w:val="0"/>
          <w:numId w:val="0"/>
        </w:numPr>
        <w:ind w:hanging="720"/>
      </w:pPr>
      <w:r>
        <w:rPr>
          <w:sz w:val="20"/>
        </w:rPr>
        <w:t>269</w:t>
      </w:r>
      <w:r>
        <w:rPr>
          <w:sz w:val="20"/>
        </w:rPr>
        <w:tab/>
      </w:r>
      <w:r w:rsidR="00EE4D06">
        <w:t xml:space="preserve">Allergan contends, in the alternative, that if </w:t>
      </w:r>
      <w:r w:rsidR="0004500E">
        <w:t xml:space="preserve">it is concluded that there was </w:t>
      </w:r>
      <w:r w:rsidR="00EE4D06">
        <w:t>non-use of the 655 mark in relation to cosmetics, there should in any event not be removal of that mark in relation to any of the goods in respect of which it is registered as an exercise of the court’s discretion provided for in s 101(3) of the TM Act.  In that regard, s 101 relevantly provides as follows:</w:t>
      </w:r>
    </w:p>
    <w:p w14:paraId="24225300" w14:textId="77777777" w:rsidR="00EE4D06" w:rsidRPr="00094C49" w:rsidRDefault="00EE4D06" w:rsidP="00EE4D06">
      <w:pPr>
        <w:pStyle w:val="Quote1"/>
        <w:rPr>
          <w:b/>
          <w:lang w:eastAsia="en-AU"/>
        </w:rPr>
      </w:pPr>
      <w:r w:rsidRPr="00094C49">
        <w:rPr>
          <w:b/>
          <w:lang w:eastAsia="en-AU"/>
        </w:rPr>
        <w:t xml:space="preserve">101 Determination of opposed application—general </w:t>
      </w:r>
    </w:p>
    <w:p w14:paraId="53D6FAD8" w14:textId="77777777" w:rsidR="00EE4D06" w:rsidRPr="00094C49" w:rsidRDefault="00EE4D06" w:rsidP="00407BA6">
      <w:pPr>
        <w:pStyle w:val="Quote1"/>
        <w:rPr>
          <w:szCs w:val="22"/>
          <w:lang w:eastAsia="en-AU"/>
        </w:rPr>
      </w:pPr>
      <w:r>
        <w:rPr>
          <w:szCs w:val="22"/>
          <w:lang w:eastAsia="en-AU"/>
        </w:rPr>
        <w:t>…</w:t>
      </w:r>
      <w:r w:rsidRPr="00094C49">
        <w:rPr>
          <w:szCs w:val="22"/>
          <w:lang w:eastAsia="en-AU"/>
        </w:rPr>
        <w:t xml:space="preserve"> </w:t>
      </w:r>
    </w:p>
    <w:p w14:paraId="7962141F" w14:textId="77777777" w:rsidR="00EE4D06" w:rsidRPr="00094C49" w:rsidRDefault="00EE4D06" w:rsidP="00EE4D06">
      <w:pPr>
        <w:pStyle w:val="Quote1"/>
        <w:tabs>
          <w:tab w:val="left" w:pos="1276"/>
        </w:tabs>
        <w:ind w:left="1276" w:hanging="567"/>
        <w:rPr>
          <w:szCs w:val="22"/>
          <w:lang w:eastAsia="en-AU"/>
        </w:rPr>
      </w:pPr>
      <w:r w:rsidRPr="00094C49">
        <w:rPr>
          <w:szCs w:val="22"/>
          <w:lang w:eastAsia="en-AU"/>
        </w:rPr>
        <w:t xml:space="preserve">(2) </w:t>
      </w:r>
      <w:r>
        <w:rPr>
          <w:szCs w:val="22"/>
          <w:lang w:eastAsia="en-AU"/>
        </w:rPr>
        <w:tab/>
      </w:r>
      <w:r w:rsidRPr="00094C49">
        <w:rPr>
          <w:szCs w:val="22"/>
          <w:lang w:eastAsia="en-AU"/>
        </w:rPr>
        <w:t xml:space="preserve">Subject to subsection (3) and to section 102, if, at the end of the proceedings relating to an opposed application, the court is satisfied that the grounds on which the application was made have been established, the court may order the Registrar to remove the trade mark from the Register in respect of any or all of the goods and/or services to which the application relates. </w:t>
      </w:r>
    </w:p>
    <w:p w14:paraId="42AAD96E" w14:textId="77777777" w:rsidR="00EE4D06" w:rsidRPr="00094C49" w:rsidRDefault="00EE4D06" w:rsidP="00EE4D06">
      <w:pPr>
        <w:pStyle w:val="Quote1"/>
        <w:tabs>
          <w:tab w:val="left" w:pos="1276"/>
        </w:tabs>
        <w:ind w:left="1276" w:hanging="567"/>
        <w:rPr>
          <w:szCs w:val="22"/>
          <w:lang w:eastAsia="en-AU"/>
        </w:rPr>
      </w:pPr>
      <w:r w:rsidRPr="00094C49">
        <w:rPr>
          <w:szCs w:val="22"/>
          <w:lang w:eastAsia="en-AU"/>
        </w:rPr>
        <w:t xml:space="preserve">(3) </w:t>
      </w:r>
      <w:r>
        <w:rPr>
          <w:szCs w:val="22"/>
          <w:lang w:eastAsia="en-AU"/>
        </w:rPr>
        <w:tab/>
      </w:r>
      <w:r w:rsidRPr="00094C49">
        <w:rPr>
          <w:szCs w:val="22"/>
          <w:lang w:eastAsia="en-AU"/>
        </w:rPr>
        <w:t xml:space="preserve">If satisfied that it is reasonable to do so, the Registrar or the court may decide that the trade mark should not be removed from the Register even if the grounds on which the application was made have been established. </w:t>
      </w:r>
    </w:p>
    <w:p w14:paraId="2F6427A8" w14:textId="77777777" w:rsidR="00EE4D06" w:rsidRPr="00094C49" w:rsidRDefault="00EE4D06" w:rsidP="00EE4D06">
      <w:pPr>
        <w:pStyle w:val="Quote1"/>
        <w:tabs>
          <w:tab w:val="left" w:pos="1276"/>
        </w:tabs>
        <w:ind w:left="1276" w:hanging="567"/>
        <w:rPr>
          <w:szCs w:val="22"/>
          <w:lang w:eastAsia="en-AU"/>
        </w:rPr>
      </w:pPr>
      <w:r w:rsidRPr="00094C49">
        <w:rPr>
          <w:szCs w:val="22"/>
          <w:lang w:eastAsia="en-AU"/>
        </w:rPr>
        <w:t xml:space="preserve">(4) </w:t>
      </w:r>
      <w:r>
        <w:rPr>
          <w:szCs w:val="22"/>
          <w:lang w:eastAsia="en-AU"/>
        </w:rPr>
        <w:tab/>
      </w:r>
      <w:r w:rsidRPr="00094C49">
        <w:rPr>
          <w:szCs w:val="22"/>
          <w:lang w:eastAsia="en-AU"/>
        </w:rPr>
        <w:t xml:space="preserve">Without limiting the matters the Registrar may take into account in deciding under subsection (3) not to remove a trade mark from the Register, the Registrar may take into account whether the trade mark has been used by its registered owner in respect of: </w:t>
      </w:r>
    </w:p>
    <w:p w14:paraId="30521194" w14:textId="638B63D2" w:rsidR="00EE4D06" w:rsidRPr="00094C49" w:rsidRDefault="00EE4D06" w:rsidP="00F7627B">
      <w:pPr>
        <w:pStyle w:val="Quote2"/>
        <w:tabs>
          <w:tab w:val="left" w:pos="1843"/>
        </w:tabs>
        <w:ind w:left="1276"/>
        <w:rPr>
          <w:lang w:eastAsia="en-AU"/>
        </w:rPr>
      </w:pPr>
      <w:r w:rsidRPr="00094C49">
        <w:rPr>
          <w:lang w:eastAsia="en-AU"/>
        </w:rPr>
        <w:t xml:space="preserve">(a) </w:t>
      </w:r>
      <w:r w:rsidR="00961B7C">
        <w:rPr>
          <w:lang w:eastAsia="en-AU"/>
        </w:rPr>
        <w:t xml:space="preserve"> </w:t>
      </w:r>
      <w:r w:rsidR="00F7627B">
        <w:rPr>
          <w:lang w:eastAsia="en-AU"/>
        </w:rPr>
        <w:tab/>
      </w:r>
      <w:r w:rsidR="00F7627B">
        <w:rPr>
          <w:lang w:eastAsia="en-AU"/>
        </w:rPr>
        <w:tab/>
      </w:r>
      <w:r w:rsidRPr="00094C49">
        <w:rPr>
          <w:lang w:eastAsia="en-AU"/>
        </w:rPr>
        <w:t xml:space="preserve">similar goods or closely related services; or </w:t>
      </w:r>
    </w:p>
    <w:p w14:paraId="5779216C" w14:textId="76A1DC8E" w:rsidR="00EE4D06" w:rsidRPr="00094C49" w:rsidRDefault="00EE4D06" w:rsidP="00F7627B">
      <w:pPr>
        <w:pStyle w:val="Quote2"/>
        <w:tabs>
          <w:tab w:val="left" w:pos="1843"/>
        </w:tabs>
        <w:ind w:left="1276"/>
        <w:rPr>
          <w:lang w:eastAsia="en-AU"/>
        </w:rPr>
      </w:pPr>
      <w:r w:rsidRPr="00094C49">
        <w:rPr>
          <w:lang w:eastAsia="en-AU"/>
        </w:rPr>
        <w:t xml:space="preserve">(b) </w:t>
      </w:r>
      <w:r w:rsidR="00961B7C">
        <w:rPr>
          <w:lang w:eastAsia="en-AU"/>
        </w:rPr>
        <w:t xml:space="preserve"> </w:t>
      </w:r>
      <w:r w:rsidR="00F7627B">
        <w:rPr>
          <w:lang w:eastAsia="en-AU"/>
        </w:rPr>
        <w:t xml:space="preserve">    </w:t>
      </w:r>
      <w:r w:rsidR="00F7627B">
        <w:rPr>
          <w:lang w:eastAsia="en-AU"/>
        </w:rPr>
        <w:tab/>
      </w:r>
      <w:r w:rsidRPr="00094C49">
        <w:rPr>
          <w:lang w:eastAsia="en-AU"/>
        </w:rPr>
        <w:t xml:space="preserve">similar services or closely related goods; </w:t>
      </w:r>
    </w:p>
    <w:p w14:paraId="5D041116" w14:textId="77777777" w:rsidR="00EE4D06" w:rsidRPr="00094C49" w:rsidRDefault="00EE4D06" w:rsidP="00EE4D06">
      <w:pPr>
        <w:pStyle w:val="Quote1"/>
        <w:ind w:left="1276"/>
        <w:rPr>
          <w:szCs w:val="22"/>
          <w:lang w:eastAsia="en-AU"/>
        </w:rPr>
      </w:pPr>
      <w:r w:rsidRPr="00094C49">
        <w:rPr>
          <w:szCs w:val="22"/>
          <w:lang w:eastAsia="en-AU"/>
        </w:rPr>
        <w:lastRenderedPageBreak/>
        <w:t xml:space="preserve">to those to which the application relates. </w:t>
      </w:r>
    </w:p>
    <w:p w14:paraId="00106591" w14:textId="062A1111" w:rsidR="00EE4D06" w:rsidRDefault="001E3C6B" w:rsidP="001E3C6B">
      <w:pPr>
        <w:pStyle w:val="ParaNumbering"/>
        <w:numPr>
          <w:ilvl w:val="0"/>
          <w:numId w:val="0"/>
        </w:numPr>
        <w:ind w:hanging="720"/>
      </w:pPr>
      <w:r>
        <w:rPr>
          <w:sz w:val="20"/>
        </w:rPr>
        <w:t>270</w:t>
      </w:r>
      <w:r>
        <w:rPr>
          <w:sz w:val="20"/>
        </w:rPr>
        <w:tab/>
      </w:r>
      <w:r w:rsidR="00EE4D06">
        <w:t>Section 102 of the TM Act, referred to in s 101(2), is not presently relevant.</w:t>
      </w:r>
    </w:p>
    <w:p w14:paraId="101526B9" w14:textId="1115A365" w:rsidR="00EE4D06" w:rsidRDefault="001E3C6B" w:rsidP="001E3C6B">
      <w:pPr>
        <w:pStyle w:val="ParaNumbering"/>
        <w:numPr>
          <w:ilvl w:val="0"/>
          <w:numId w:val="0"/>
        </w:numPr>
        <w:ind w:hanging="720"/>
      </w:pPr>
      <w:r>
        <w:rPr>
          <w:sz w:val="20"/>
        </w:rPr>
        <w:t>271</w:t>
      </w:r>
      <w:r>
        <w:rPr>
          <w:sz w:val="20"/>
        </w:rPr>
        <w:tab/>
      </w:r>
      <w:r w:rsidR="00EE4D06">
        <w:t xml:space="preserve">The court may exercise its discretion under s 101(3) to narrow the scope of the registration where it is established that a ground exists in relation to only some of the goods to which the application relates.  The subsection assumes that the court may be left in circumstances where some of the grounds have been established in relation to some of the goods but not all and it empowers the court in the exercise of its discretion to remove the trade mark from the register in respect of any or all of the goods to which the application relates.  See </w:t>
      </w:r>
      <w:r w:rsidR="00EE4D06" w:rsidRPr="00162AB6">
        <w:rPr>
          <w:i/>
        </w:rPr>
        <w:t>Hills Industries Ltd v Bitek Pty Ltd</w:t>
      </w:r>
      <w:r w:rsidR="00EE4D06" w:rsidRPr="00162AB6">
        <w:t xml:space="preserve"> [2011] FCA 94; 214 FCR 396</w:t>
      </w:r>
      <w:r w:rsidR="00EE4D06">
        <w:t xml:space="preserve"> at [296] and [305] per Lander J.</w:t>
      </w:r>
    </w:p>
    <w:p w14:paraId="167B3FC8" w14:textId="05B5233E" w:rsidR="00EE4D06" w:rsidRPr="00FF0340" w:rsidRDefault="001E3C6B" w:rsidP="001E3C6B">
      <w:pPr>
        <w:pStyle w:val="ParaNumbering"/>
        <w:numPr>
          <w:ilvl w:val="0"/>
          <w:numId w:val="0"/>
        </w:numPr>
        <w:ind w:hanging="720"/>
      </w:pPr>
      <w:r w:rsidRPr="00FF0340">
        <w:rPr>
          <w:sz w:val="20"/>
        </w:rPr>
        <w:t>272</w:t>
      </w:r>
      <w:r w:rsidRPr="00FF0340">
        <w:rPr>
          <w:sz w:val="20"/>
        </w:rPr>
        <w:tab/>
      </w:r>
      <w:r w:rsidR="00EE4D06">
        <w:t xml:space="preserve">The discretion under s 101(3) is said to be broad and without internal limitation: </w:t>
      </w:r>
      <w:r w:rsidR="00EE4D06" w:rsidRPr="00162AB6">
        <w:rPr>
          <w:b/>
          <w:i/>
        </w:rPr>
        <w:t>Pioneer</w:t>
      </w:r>
      <w:r w:rsidR="00EE4D06" w:rsidRPr="00162AB6">
        <w:rPr>
          <w:i/>
        </w:rPr>
        <w:t xml:space="preserve"> Computers Australia Pty Ltd v Pioneer KK</w:t>
      </w:r>
      <w:r w:rsidR="00EE4D06" w:rsidRPr="00162AB6">
        <w:t xml:space="preserve"> [2009] FCA 135; 176 FCR 300</w:t>
      </w:r>
      <w:r w:rsidR="00EE4D06">
        <w:t xml:space="preserve"> at [167] and [172] per </w:t>
      </w:r>
      <w:r w:rsidR="00EE4D06" w:rsidRPr="00BC2117">
        <w:t>Bennett J</w:t>
      </w:r>
      <w:r w:rsidR="00EE4D06">
        <w:t xml:space="preserve">.  Amongst other things, account may be taken of use of the trade mark on closely related goods: </w:t>
      </w:r>
      <w:r w:rsidR="00EE4D06" w:rsidRPr="00BC2117">
        <w:rPr>
          <w:i/>
        </w:rPr>
        <w:t>Pioneer</w:t>
      </w:r>
      <w:r w:rsidR="00EE4D06">
        <w:t xml:space="preserve"> at [173].  There is no requirement to establish exceptional circumstances before the discretion can be exercised: </w:t>
      </w:r>
      <w:r w:rsidR="00EE4D06" w:rsidRPr="00EF53F0">
        <w:rPr>
          <w:i/>
          <w:iCs/>
          <w:lang w:val="pt-BR"/>
        </w:rPr>
        <w:t xml:space="preserve">Kowa Company Ltd v NV Organon </w:t>
      </w:r>
      <w:r w:rsidR="00EE4D06" w:rsidRPr="00EF53F0">
        <w:rPr>
          <w:lang w:val="pt-BR"/>
        </w:rPr>
        <w:t>[2005] FCA 1282;</w:t>
      </w:r>
      <w:r w:rsidR="00EE4D06" w:rsidRPr="00162AB6">
        <w:rPr>
          <w:lang w:val="pt-BR"/>
        </w:rPr>
        <w:t xml:space="preserve"> </w:t>
      </w:r>
      <w:r w:rsidR="00EE4D06" w:rsidRPr="00162AB6">
        <w:rPr>
          <w:bCs/>
          <w:lang w:val="pt-BR"/>
        </w:rPr>
        <w:t>223 ALR 27</w:t>
      </w:r>
      <w:r w:rsidR="00EE4D06">
        <w:rPr>
          <w:bCs/>
          <w:lang w:val="pt-BR"/>
        </w:rPr>
        <w:t xml:space="preserve"> at [98] per Lander J; </w:t>
      </w:r>
      <w:r w:rsidR="00EE4D06" w:rsidRPr="00BC2117">
        <w:rPr>
          <w:bCs/>
          <w:i/>
          <w:iCs/>
          <w:lang w:val="pt-BR"/>
        </w:rPr>
        <w:t xml:space="preserve">E &amp; J Gallo Winery v Lion Nathan Australia Pty Ltd </w:t>
      </w:r>
      <w:r w:rsidR="00EE4D06" w:rsidRPr="00BC2117">
        <w:rPr>
          <w:bCs/>
          <w:lang w:val="pt-BR"/>
        </w:rPr>
        <w:t>[2008] FCA 934; 77 IPR 69</w:t>
      </w:r>
      <w:r w:rsidR="00EE4D06">
        <w:rPr>
          <w:bCs/>
          <w:lang w:val="pt-BR"/>
        </w:rPr>
        <w:t xml:space="preserve"> </w:t>
      </w:r>
      <w:r w:rsidR="00EE4D06" w:rsidRPr="00BC2117">
        <w:rPr>
          <w:bCs/>
          <w:lang w:val="pt-BR"/>
        </w:rPr>
        <w:t>at [198]</w:t>
      </w:r>
      <w:r w:rsidR="00EE4D06">
        <w:rPr>
          <w:bCs/>
          <w:lang w:val="pt-BR"/>
        </w:rPr>
        <w:t xml:space="preserve"> per Flick J; </w:t>
      </w:r>
      <w:r w:rsidR="00EE4D06" w:rsidRPr="00BC2117">
        <w:rPr>
          <w:bCs/>
          <w:i/>
          <w:lang w:val="pt-BR"/>
        </w:rPr>
        <w:t>Pioneer</w:t>
      </w:r>
      <w:r w:rsidR="00EE4D06">
        <w:rPr>
          <w:bCs/>
          <w:lang w:val="pt-BR"/>
        </w:rPr>
        <w:t xml:space="preserve"> at [168].</w:t>
      </w:r>
    </w:p>
    <w:p w14:paraId="114AA21C" w14:textId="206CB6FF" w:rsidR="00EE4D06" w:rsidRDefault="001E3C6B" w:rsidP="001E3C6B">
      <w:pPr>
        <w:pStyle w:val="ParaNumbering"/>
        <w:numPr>
          <w:ilvl w:val="0"/>
          <w:numId w:val="0"/>
        </w:numPr>
        <w:ind w:hanging="720"/>
      </w:pPr>
      <w:r>
        <w:rPr>
          <w:sz w:val="20"/>
        </w:rPr>
        <w:t>273</w:t>
      </w:r>
      <w:r>
        <w:rPr>
          <w:sz w:val="20"/>
        </w:rPr>
        <w:tab/>
      </w:r>
      <w:r w:rsidR="00EE4D06">
        <w:t xml:space="preserve">In construing the specification of goods in a trade mark registration, the </w:t>
      </w:r>
      <w:r w:rsidR="00F755CB">
        <w:t>c</w:t>
      </w:r>
      <w:r w:rsidR="00EE4D06">
        <w:t xml:space="preserve">lass number is relevant.  The internationally agreed Nice Classification System, although designed for administrative purposes, sets out a useful taxonomy which is a crucial part of the context within which the individual descriptors in the specification of goods are chosen.  See </w:t>
      </w:r>
      <w:r w:rsidR="00EE4D06" w:rsidRPr="00162AB6">
        <w:rPr>
          <w:i/>
        </w:rPr>
        <w:t>Reliance Water Controls Ltd v Altecnic Ltd</w:t>
      </w:r>
      <w:r w:rsidR="00EE4D06" w:rsidRPr="00162AB6">
        <w:t xml:space="preserve"> [2001] EWCA Civ 1928</w:t>
      </w:r>
      <w:r w:rsidR="00EE4D06" w:rsidRPr="00FF0340">
        <w:t xml:space="preserve"> at [42] per Mummery LJ </w:t>
      </w:r>
      <w:r w:rsidR="00FB3851">
        <w:t>(</w:t>
      </w:r>
      <w:r w:rsidR="00EE4D06" w:rsidRPr="00FF0340">
        <w:t>Sedly and Kennedy LJJ agreeing</w:t>
      </w:r>
      <w:r w:rsidR="00FB3851">
        <w:t>)</w:t>
      </w:r>
      <w:r w:rsidR="00EE4D06">
        <w:t>.</w:t>
      </w:r>
    </w:p>
    <w:p w14:paraId="7739D445" w14:textId="635EE499" w:rsidR="00EE4D06" w:rsidRDefault="001E3C6B" w:rsidP="001E3C6B">
      <w:pPr>
        <w:pStyle w:val="Heading3"/>
        <w:ind w:left="720" w:hanging="360"/>
      </w:pPr>
      <w:bookmarkStart w:id="90" w:name="_Ref54701590"/>
      <w:r>
        <w:t>(2)</w:t>
      </w:r>
      <w:r>
        <w:tab/>
      </w:r>
      <w:r w:rsidR="00EE4D06">
        <w:t>Consideration</w:t>
      </w:r>
      <w:bookmarkEnd w:id="90"/>
      <w:r w:rsidR="00EE4D06">
        <w:t xml:space="preserve"> </w:t>
      </w:r>
    </w:p>
    <w:p w14:paraId="00914962" w14:textId="2BA13AF0" w:rsidR="00EE4D06" w:rsidRDefault="001E3C6B" w:rsidP="001E3C6B">
      <w:pPr>
        <w:pStyle w:val="ParaNumbering"/>
        <w:numPr>
          <w:ilvl w:val="0"/>
          <w:numId w:val="0"/>
        </w:numPr>
        <w:ind w:hanging="720"/>
      </w:pPr>
      <w:r>
        <w:rPr>
          <w:sz w:val="20"/>
        </w:rPr>
        <w:t>274</w:t>
      </w:r>
      <w:r>
        <w:rPr>
          <w:sz w:val="20"/>
        </w:rPr>
        <w:tab/>
      </w:r>
      <w:r w:rsidR="00EE4D06">
        <w:t xml:space="preserve">The cross-claim was filed on 1 December 2017.  The relevant non-use period is therefore </w:t>
      </w:r>
      <w:r w:rsidR="005949F5">
        <w:t xml:space="preserve">2 </w:t>
      </w:r>
      <w:r w:rsidR="00EE4D06">
        <w:t xml:space="preserve">November 2014 to 1 November 2017 – that is because the one-month period before the day on which the non-use application is filed includes the day on which it was filed: </w:t>
      </w:r>
      <w:r w:rsidR="00EE4D06" w:rsidRPr="00162AB6">
        <w:rPr>
          <w:i/>
        </w:rPr>
        <w:t>Acts Interpretation Act 1901</w:t>
      </w:r>
      <w:r w:rsidR="00EE4D06" w:rsidRPr="00162AB6">
        <w:t xml:space="preserve"> (Cth)</w:t>
      </w:r>
      <w:r w:rsidR="0004500E">
        <w:t>,</w:t>
      </w:r>
      <w:r w:rsidR="00EE4D06" w:rsidRPr="00162AB6">
        <w:t xml:space="preserve"> s</w:t>
      </w:r>
      <w:r w:rsidR="00FF6DFF">
        <w:t>s 2G and</w:t>
      </w:r>
      <w:r w:rsidR="00EE4D06" w:rsidRPr="00162AB6">
        <w:t xml:space="preserve"> 36(1)</w:t>
      </w:r>
      <w:r w:rsidR="00EE4D06">
        <w:t xml:space="preserve"> item 4.  Section 6A of the TM Act does not appear to have application in the case, such as this, of a period ending before the identified event rather than after the identified event.  Be that as it may, in this case nothing turns on a day or two at either end of the period.</w:t>
      </w:r>
    </w:p>
    <w:p w14:paraId="60B8EEAB" w14:textId="4318DB48" w:rsidR="00EE4D06" w:rsidRDefault="001E3C6B" w:rsidP="001E3C6B">
      <w:pPr>
        <w:pStyle w:val="ParaNumbering"/>
        <w:numPr>
          <w:ilvl w:val="0"/>
          <w:numId w:val="0"/>
        </w:numPr>
        <w:ind w:hanging="720"/>
      </w:pPr>
      <w:r>
        <w:rPr>
          <w:sz w:val="20"/>
        </w:rPr>
        <w:lastRenderedPageBreak/>
        <w:t>275</w:t>
      </w:r>
      <w:r>
        <w:rPr>
          <w:sz w:val="20"/>
        </w:rPr>
        <w:tab/>
      </w:r>
      <w:r w:rsidR="00EE4D06">
        <w:t>The evidence was, and Allergan accepted, that the 655 mark had only been used in relation to the product Botox.  There was no suggestion that that product might be classified or described as “face creams and lotions; skin creams and lotions”.  Thus there was no use in that category.</w:t>
      </w:r>
      <w:r w:rsidR="00D11648">
        <w:t xml:space="preserve">  </w:t>
      </w:r>
      <w:r w:rsidR="00EE4D06">
        <w:t>In the circumstances, Allergan focused its opposition on the category “cosmetics”, contending that Botox is a cosmetic within the meaning of that word as used in the trade mark registration.</w:t>
      </w:r>
    </w:p>
    <w:p w14:paraId="31A90D8F" w14:textId="7D1C55EA" w:rsidR="00EE4D06" w:rsidRDefault="001E3C6B" w:rsidP="001E3C6B">
      <w:pPr>
        <w:pStyle w:val="ParaNumbering"/>
        <w:numPr>
          <w:ilvl w:val="0"/>
          <w:numId w:val="0"/>
        </w:numPr>
        <w:ind w:hanging="720"/>
      </w:pPr>
      <w:r>
        <w:rPr>
          <w:sz w:val="20"/>
        </w:rPr>
        <w:t>276</w:t>
      </w:r>
      <w:r>
        <w:rPr>
          <w:sz w:val="20"/>
        </w:rPr>
        <w:tab/>
      </w:r>
      <w:r w:rsidR="00EE4D06">
        <w:t xml:space="preserve">The </w:t>
      </w:r>
      <w:r w:rsidR="00EE4D06" w:rsidRPr="00EF4588">
        <w:rPr>
          <w:i/>
        </w:rPr>
        <w:t xml:space="preserve">Macquarie </w:t>
      </w:r>
      <w:r w:rsidR="00FB3851" w:rsidRPr="00EF4588">
        <w:rPr>
          <w:i/>
        </w:rPr>
        <w:t xml:space="preserve">Online </w:t>
      </w:r>
      <w:r w:rsidR="00EE4D06" w:rsidRPr="00EF4588">
        <w:rPr>
          <w:i/>
        </w:rPr>
        <w:t>Dictionary</w:t>
      </w:r>
      <w:r w:rsidR="00EE4D06">
        <w:t xml:space="preserve"> defines “cosmetics” when used as a noun as “a preparation for beautifying the complexion, skin, etc.” It also offers the definitions</w:t>
      </w:r>
      <w:r w:rsidR="00A96D62">
        <w:t xml:space="preserve"> “</w:t>
      </w:r>
      <w:r w:rsidR="00A96D62" w:rsidRPr="00A96D62">
        <w:t>serving to beautify; imparting or improving beauty, especially of the complexion</w:t>
      </w:r>
      <w:r w:rsidR="00A96D62">
        <w:t>”,</w:t>
      </w:r>
      <w:r w:rsidR="00EE4D06">
        <w:t xml:space="preserve"> “designed to effect a superficial alteration while keeping the basis unchanged” and “intended for show; superficial.”</w:t>
      </w:r>
    </w:p>
    <w:p w14:paraId="3D79FA6B" w14:textId="313C9B3E" w:rsidR="00EE4D06" w:rsidRDefault="001E3C6B" w:rsidP="001E3C6B">
      <w:pPr>
        <w:pStyle w:val="ParaNumbering"/>
        <w:numPr>
          <w:ilvl w:val="0"/>
          <w:numId w:val="0"/>
        </w:numPr>
        <w:ind w:hanging="720"/>
      </w:pPr>
      <w:r>
        <w:rPr>
          <w:sz w:val="20"/>
        </w:rPr>
        <w:t>277</w:t>
      </w:r>
      <w:r>
        <w:rPr>
          <w:sz w:val="20"/>
        </w:rPr>
        <w:tab/>
      </w:r>
      <w:r w:rsidR="00EE4D06">
        <w:t>Botox is not comfortably regarded as covered by these definitions</w:t>
      </w:r>
      <w:r w:rsidR="00A96D62">
        <w:t xml:space="preserve"> when read together as I consider that they should be</w:t>
      </w:r>
      <w:r w:rsidR="00EE4D06">
        <w:t>.  As recorded at the outset, Botox affects the nerves in the muscle underlying the skin which in turn then affects the muscle.  It is thus not “designed to effect a superficial alteration while keeping the basis unchanged”.</w:t>
      </w:r>
      <w:r w:rsidR="00A93178">
        <w:t xml:space="preserve">   </w:t>
      </w:r>
    </w:p>
    <w:p w14:paraId="0B88C20D" w14:textId="53A9B975" w:rsidR="00EE4D06" w:rsidRPr="00015F2E" w:rsidRDefault="001E3C6B" w:rsidP="001E3C6B">
      <w:pPr>
        <w:pStyle w:val="ParaNumbering"/>
        <w:numPr>
          <w:ilvl w:val="0"/>
          <w:numId w:val="0"/>
        </w:numPr>
        <w:ind w:hanging="720"/>
      </w:pPr>
      <w:r w:rsidRPr="00015F2E">
        <w:rPr>
          <w:sz w:val="20"/>
        </w:rPr>
        <w:t>278</w:t>
      </w:r>
      <w:r w:rsidRPr="00015F2E">
        <w:rPr>
          <w:sz w:val="20"/>
        </w:rPr>
        <w:tab/>
      </w:r>
      <w:r w:rsidR="00EE4D06" w:rsidRPr="00015F2E">
        <w:t xml:space="preserve">It was put to Self Care’s expert, Mr Williams, by counsel for Allergan that the term cosmetics is used for products that are applied topically to the skin and not to products that are intended to modify or otherwise inhibit physiological processes, to which he agreed.  Mr Williams’s qualifications and experience are dealt with </w:t>
      </w:r>
      <w:r w:rsidR="00523981">
        <w:t>below (</w:t>
      </w:r>
      <w:r w:rsidR="002F7176" w:rsidRPr="00015F2E">
        <w:t>at [</w:t>
      </w:r>
      <w:r w:rsidR="002F7176" w:rsidRPr="00015F2E">
        <w:fldChar w:fldCharType="begin" w:fldLock="1"/>
      </w:r>
      <w:r w:rsidR="002F7176" w:rsidRPr="00015F2E">
        <w:instrText xml:space="preserve"> REF _Ref50990157 \r \h </w:instrText>
      </w:r>
      <w:r w:rsidR="005949F5" w:rsidRPr="00015F2E">
        <w:instrText xml:space="preserve"> \* MERGEFORMAT </w:instrText>
      </w:r>
      <w:r w:rsidR="002F7176" w:rsidRPr="00015F2E">
        <w:fldChar w:fldCharType="separate"/>
      </w:r>
      <w:r w:rsidR="00756FCE">
        <w:t>516</w:t>
      </w:r>
      <w:r w:rsidR="002F7176" w:rsidRPr="00015F2E">
        <w:fldChar w:fldCharType="end"/>
      </w:r>
      <w:r w:rsidR="002F7176" w:rsidRPr="00015F2E">
        <w:t>]-[</w:t>
      </w:r>
      <w:r w:rsidR="002F7176" w:rsidRPr="00015F2E">
        <w:fldChar w:fldCharType="begin" w:fldLock="1"/>
      </w:r>
      <w:r w:rsidR="002F7176" w:rsidRPr="00015F2E">
        <w:instrText xml:space="preserve"> REF _Ref50990178 \r \h </w:instrText>
      </w:r>
      <w:r w:rsidR="005949F5" w:rsidRPr="00015F2E">
        <w:instrText xml:space="preserve"> \* MERGEFORMAT </w:instrText>
      </w:r>
      <w:r w:rsidR="002F7176" w:rsidRPr="00015F2E">
        <w:fldChar w:fldCharType="separate"/>
      </w:r>
      <w:r w:rsidR="00756FCE">
        <w:t>518</w:t>
      </w:r>
      <w:r w:rsidR="002F7176" w:rsidRPr="00015F2E">
        <w:fldChar w:fldCharType="end"/>
      </w:r>
      <w:r w:rsidR="002F7176" w:rsidRPr="00015F2E">
        <w:t>]</w:t>
      </w:r>
      <w:r w:rsidR="00523981">
        <w:t>)</w:t>
      </w:r>
      <w:r w:rsidR="00EE4D06" w:rsidRPr="00015F2E">
        <w:t>.  Whilst I would not regard his view of the meaning of cosmetic as definitive, I nevertheless give it some weight.  That is in particular because of his long experience in the industry of formulating cosmetic products.  It is also not insignificant that, through counsel, Allergan adopted that meaning.</w:t>
      </w:r>
    </w:p>
    <w:p w14:paraId="188924C6" w14:textId="7C6BEE81" w:rsidR="00EE4D06" w:rsidRDefault="001E3C6B" w:rsidP="001E3C6B">
      <w:pPr>
        <w:pStyle w:val="ParaNumbering"/>
        <w:numPr>
          <w:ilvl w:val="0"/>
          <w:numId w:val="0"/>
        </w:numPr>
        <w:ind w:hanging="720"/>
      </w:pPr>
      <w:r>
        <w:rPr>
          <w:sz w:val="20"/>
        </w:rPr>
        <w:t>279</w:t>
      </w:r>
      <w:r>
        <w:rPr>
          <w:sz w:val="20"/>
        </w:rPr>
        <w:tab/>
      </w:r>
      <w:r w:rsidR="00EE4D06">
        <w:t xml:space="preserve">Further, the relevant class headings for </w:t>
      </w:r>
      <w:r w:rsidR="00F755CB">
        <w:t>c</w:t>
      </w:r>
      <w:r w:rsidR="00EE4D06">
        <w:t xml:space="preserve">lass 3 in the </w:t>
      </w:r>
      <w:r w:rsidR="00EE4D06" w:rsidRPr="003A1F27">
        <w:rPr>
          <w:i/>
        </w:rPr>
        <w:t>Nice Classification</w:t>
      </w:r>
      <w:r w:rsidR="00EE4D06">
        <w:t xml:space="preserve"> (11</w:t>
      </w:r>
      <w:r w:rsidR="00EE4D06" w:rsidRPr="003A1F27">
        <w:rPr>
          <w:vertAlign w:val="superscript"/>
        </w:rPr>
        <w:t>th</w:t>
      </w:r>
      <w:r w:rsidR="00EE4D06">
        <w:t xml:space="preserve"> ed., 2019) are “non-medicated cosmetics and toiletry preparations; non-medicated dentifrices; perfumery, essential oils.”  In the </w:t>
      </w:r>
      <w:r w:rsidR="00EE4D06" w:rsidRPr="003A1F27">
        <w:rPr>
          <w:i/>
        </w:rPr>
        <w:t>Nice Classification</w:t>
      </w:r>
      <w:r w:rsidR="00EE4D06">
        <w:t xml:space="preserve"> (8</w:t>
      </w:r>
      <w:r w:rsidR="00EE4D06" w:rsidRPr="003A1F27">
        <w:rPr>
          <w:vertAlign w:val="superscript"/>
        </w:rPr>
        <w:t>th</w:t>
      </w:r>
      <w:r w:rsidR="00EE4D06">
        <w:t xml:space="preserve"> ed., 2002) applicable at the time of the registration of the 655 mark, i.e.</w:t>
      </w:r>
      <w:r w:rsidR="00A1388B">
        <w:t>,</w:t>
      </w:r>
      <w:r w:rsidR="00EE4D06">
        <w:t xml:space="preserve"> 2004, the applicable class headings for </w:t>
      </w:r>
      <w:r w:rsidR="00F755CB">
        <w:t>c</w:t>
      </w:r>
      <w:r w:rsidR="00EE4D06">
        <w:t xml:space="preserve">lass 3 were not materially different.  They were “soaps; perfumery, </w:t>
      </w:r>
      <w:r w:rsidR="00EE4D06" w:rsidRPr="003A1F27">
        <w:t>essential oils, cosmetics, hair lotions; dentifrices</w:t>
      </w:r>
      <w:r w:rsidR="00EE4D06">
        <w:t xml:space="preserve">.”  This suggests that “cosmetics” within </w:t>
      </w:r>
      <w:r w:rsidR="00F755CB">
        <w:t>c</w:t>
      </w:r>
      <w:r w:rsidR="00EE4D06">
        <w:t>lass 3 accords with the meanings given above to that term, which is to say substances that are superficially applied with a view to a particular cosmetic outcome and not pharmaceutical</w:t>
      </w:r>
      <w:r w:rsidR="0004500E">
        <w:t xml:space="preserve"> or therapeutic</w:t>
      </w:r>
      <w:r w:rsidR="00EE4D06">
        <w:t xml:space="preserve"> substances that are injected into the muscle causing physiological change and which can only be administered by registered medical professionals.</w:t>
      </w:r>
    </w:p>
    <w:p w14:paraId="60546E4F" w14:textId="117CD109" w:rsidR="00EE4D06" w:rsidRDefault="001E3C6B" w:rsidP="001E3C6B">
      <w:pPr>
        <w:pStyle w:val="ParaNumbering"/>
        <w:numPr>
          <w:ilvl w:val="0"/>
          <w:numId w:val="0"/>
        </w:numPr>
        <w:ind w:hanging="720"/>
      </w:pPr>
      <w:r>
        <w:rPr>
          <w:sz w:val="20"/>
        </w:rPr>
        <w:lastRenderedPageBreak/>
        <w:t>280</w:t>
      </w:r>
      <w:r>
        <w:rPr>
          <w:sz w:val="20"/>
        </w:rPr>
        <w:tab/>
      </w:r>
      <w:r w:rsidR="00EE4D06">
        <w:t xml:space="preserve">Allergan’s first three BOTOX mark registrations, between 1991 and 2000, were all only in </w:t>
      </w:r>
      <w:r w:rsidR="00F755CB">
        <w:t>c</w:t>
      </w:r>
      <w:r w:rsidR="00EE4D06">
        <w:t xml:space="preserve">lass 5.  The current </w:t>
      </w:r>
      <w:r w:rsidR="00F755CB">
        <w:t>c</w:t>
      </w:r>
      <w:r w:rsidR="00EE4D06">
        <w:t xml:space="preserve">lass heading for </w:t>
      </w:r>
      <w:r w:rsidR="00F755CB">
        <w:t>c</w:t>
      </w:r>
      <w:r w:rsidR="00EE4D06">
        <w:t>lass 5 includes “</w:t>
      </w:r>
      <w:r w:rsidR="00EE4D06" w:rsidRPr="003A1F27">
        <w:t>Pharmaceuticals, medical and veterinary preparations; sanitary preparations for medical purposes; dietetic food and substances</w:t>
      </w:r>
      <w:r w:rsidR="00EE4D06">
        <w:t xml:space="preserve"> </w:t>
      </w:r>
      <w:r w:rsidR="00EE4D06" w:rsidRPr="003A1F27">
        <w:t>adapted for medical or veterinary use, food for babies</w:t>
      </w:r>
      <w:r w:rsidR="00523981">
        <w:t>.</w:t>
      </w:r>
      <w:r w:rsidR="00EE4D06">
        <w:t xml:space="preserve">”  Within that </w:t>
      </w:r>
      <w:r w:rsidR="00F755CB">
        <w:t>c</w:t>
      </w:r>
      <w:r w:rsidR="00EE4D06">
        <w:t>lass the goods and services in respect of which the marks were registered included “pharmaceuticals for the therapeutic treatment of neurological disorders, muscle dystonias, smooth muscle disorders, autonomic nerve disorders, headaches, wrinkles, …</w:t>
      </w:r>
      <w:r w:rsidR="00523981">
        <w:t xml:space="preserve"> .</w:t>
      </w:r>
      <w:r w:rsidR="00EE4D06">
        <w:t xml:space="preserve">” Class 5 is obviously the most appropriate class for the BOTOX marks.  That also serves to indicate that “cosmetics” in </w:t>
      </w:r>
      <w:r w:rsidR="00F755CB">
        <w:t>c</w:t>
      </w:r>
      <w:r w:rsidR="00EE4D06">
        <w:t>lass 3 may not be a proper descriptor of Botox.</w:t>
      </w:r>
    </w:p>
    <w:p w14:paraId="2218B740" w14:textId="04E648A0" w:rsidR="00EE4D06" w:rsidRDefault="001E3C6B" w:rsidP="001E3C6B">
      <w:pPr>
        <w:pStyle w:val="ParaNumbering"/>
        <w:numPr>
          <w:ilvl w:val="0"/>
          <w:numId w:val="0"/>
        </w:numPr>
        <w:ind w:hanging="720"/>
      </w:pPr>
      <w:r>
        <w:rPr>
          <w:sz w:val="20"/>
        </w:rPr>
        <w:t>281</w:t>
      </w:r>
      <w:r>
        <w:rPr>
          <w:sz w:val="20"/>
        </w:rPr>
        <w:tab/>
      </w:r>
      <w:r w:rsidR="00EE4D06">
        <w:t xml:space="preserve">Whilst it might be said that Botox is aimed at achieving a particular cosmetic outcome, it cannot in my view ordinarily be described as a cosmetic.  By its nature – a Sch 4 poison and a registered medicine on the Australian Register of Therapeutic Goods that </w:t>
      </w:r>
      <w:r w:rsidR="00A93178">
        <w:t>causes</w:t>
      </w:r>
      <w:r w:rsidR="00EE4D06">
        <w:t xml:space="preserve"> physiological change and requires to be administered by </w:t>
      </w:r>
      <w:r w:rsidR="00FB3851">
        <w:t xml:space="preserve">a </w:t>
      </w:r>
      <w:r w:rsidR="00EE4D06">
        <w:t>registered medical practitioner or health professional – it is a pharmaceutical and a toxin.  It is not a cosmetic.</w:t>
      </w:r>
    </w:p>
    <w:p w14:paraId="293AD0F7" w14:textId="4F5EDA37" w:rsidR="00EE4D06" w:rsidRDefault="001E3C6B" w:rsidP="001E3C6B">
      <w:pPr>
        <w:pStyle w:val="ParaNumbering"/>
        <w:numPr>
          <w:ilvl w:val="0"/>
          <w:numId w:val="0"/>
        </w:numPr>
        <w:ind w:hanging="720"/>
      </w:pPr>
      <w:r>
        <w:rPr>
          <w:sz w:val="20"/>
        </w:rPr>
        <w:t>282</w:t>
      </w:r>
      <w:r>
        <w:rPr>
          <w:sz w:val="20"/>
        </w:rPr>
        <w:tab/>
      </w:r>
      <w:r w:rsidR="00EE4D06">
        <w:t>Allergan submits that although Botox is an injectable product, not a cream topically applied to the skin, it is used for cosmetic applications; it is sold and administered in doctors’ surgeries and beauty clinics where skin cosmetics are sold; and it has both cosmetic and therapeutic effect.  In that regard, Allergan points to the distinction in its own business between the sale of Botox for therapeutic and for cosmetic purposes – it has separate websites, sales teams, marketing strategies and accounting.</w:t>
      </w:r>
    </w:p>
    <w:p w14:paraId="506F6ED8" w14:textId="1769C2B2" w:rsidR="00EE4D06" w:rsidRDefault="001E3C6B" w:rsidP="001E3C6B">
      <w:pPr>
        <w:pStyle w:val="ParaNumbering"/>
        <w:numPr>
          <w:ilvl w:val="0"/>
          <w:numId w:val="0"/>
        </w:numPr>
        <w:ind w:hanging="720"/>
      </w:pPr>
      <w:r>
        <w:rPr>
          <w:sz w:val="20"/>
        </w:rPr>
        <w:t>283</w:t>
      </w:r>
      <w:r>
        <w:rPr>
          <w:sz w:val="20"/>
        </w:rPr>
        <w:tab/>
      </w:r>
      <w:r w:rsidR="00EE4D06">
        <w:t>I am not satisfied that the considerations raised by Allergan establish Botox as a cosmetic.  As I have said, relevantly Botox is aimed at a cosmetic</w:t>
      </w:r>
      <w:r w:rsidR="0004500E">
        <w:t xml:space="preserve"> or aesthetic</w:t>
      </w:r>
      <w:r w:rsidR="00EE4D06">
        <w:t xml:space="preserve"> outcome, but it remains a pharmaceutical.  To call it a cosmetic is too far a stretch.</w:t>
      </w:r>
    </w:p>
    <w:p w14:paraId="5DFC2983" w14:textId="2B8E9152" w:rsidR="00EE4D06" w:rsidRDefault="001E3C6B" w:rsidP="001E3C6B">
      <w:pPr>
        <w:pStyle w:val="ParaNumbering"/>
        <w:numPr>
          <w:ilvl w:val="0"/>
          <w:numId w:val="0"/>
        </w:numPr>
        <w:ind w:hanging="720"/>
      </w:pPr>
      <w:r>
        <w:rPr>
          <w:sz w:val="20"/>
        </w:rPr>
        <w:t>284</w:t>
      </w:r>
      <w:r>
        <w:rPr>
          <w:sz w:val="20"/>
        </w:rPr>
        <w:tab/>
      </w:r>
      <w:r w:rsidR="00EE4D06">
        <w:t>In those circumstances, I conclude that Allergan has not used the 655 mark in respect of any of the goods covered by the registration and, subject to the possible exercise of the Court’s discretion to the contrary, all of them therefore fall to be removed.</w:t>
      </w:r>
    </w:p>
    <w:p w14:paraId="2DD166A6" w14:textId="58074FD5" w:rsidR="00EE4D06" w:rsidRDefault="001E3C6B" w:rsidP="001E3C6B">
      <w:pPr>
        <w:pStyle w:val="ParaNumbering"/>
        <w:numPr>
          <w:ilvl w:val="0"/>
          <w:numId w:val="0"/>
        </w:numPr>
        <w:ind w:hanging="720"/>
      </w:pPr>
      <w:r>
        <w:rPr>
          <w:sz w:val="20"/>
        </w:rPr>
        <w:t>285</w:t>
      </w:r>
      <w:r>
        <w:rPr>
          <w:sz w:val="20"/>
        </w:rPr>
        <w:tab/>
      </w:r>
      <w:r w:rsidR="00EE4D06">
        <w:t>Insofar as the discretion is concerned, Allergan submits that on the basis of there apparently being a market for “cosmeceuticals”, I should exercise the</w:t>
      </w:r>
      <w:r w:rsidR="00FB3851">
        <w:t xml:space="preserve"> discretion under</w:t>
      </w:r>
      <w:r w:rsidR="00EE4D06">
        <w:t xml:space="preserve"> s 101(3) </w:t>
      </w:r>
      <w:r w:rsidR="00FB3851">
        <w:t xml:space="preserve">of the TM Act </w:t>
      </w:r>
      <w:r w:rsidR="00EE4D06">
        <w:t>not to remove the</w:t>
      </w:r>
      <w:r w:rsidR="00D11648">
        <w:t xml:space="preserve"> registration of the 655 mark.</w:t>
      </w:r>
    </w:p>
    <w:p w14:paraId="555BC2E6" w14:textId="1E8B1091" w:rsidR="00EE4D06" w:rsidRDefault="001E3C6B" w:rsidP="001E3C6B">
      <w:pPr>
        <w:pStyle w:val="ParaNumbering"/>
        <w:numPr>
          <w:ilvl w:val="0"/>
          <w:numId w:val="0"/>
        </w:numPr>
        <w:ind w:hanging="720"/>
      </w:pPr>
      <w:r>
        <w:rPr>
          <w:sz w:val="20"/>
        </w:rPr>
        <w:t>286</w:t>
      </w:r>
      <w:r>
        <w:rPr>
          <w:sz w:val="20"/>
        </w:rPr>
        <w:tab/>
      </w:r>
      <w:r w:rsidR="00EE4D06">
        <w:t xml:space="preserve">Allergan’s expert witness, Dr Graeme Haley, explained that he understood a cosmeceutical to be a cosmetic product which has or claims to have a therapeutic use.  However, in the context </w:t>
      </w:r>
      <w:r w:rsidR="00EE4D06">
        <w:lastRenderedPageBreak/>
        <w:t>of Australian regulation there is no recognised category of goods called “cosmeceuticals”.</w:t>
      </w:r>
      <w:r w:rsidR="00D11648">
        <w:t xml:space="preserve"> </w:t>
      </w:r>
      <w:r w:rsidR="00EE4D06">
        <w:t xml:space="preserve"> Ms Amoroso said that cosmeceuticals are applied topically as creams, lotions, balms and serums etc</w:t>
      </w:r>
      <w:r w:rsidR="00FB3851">
        <w:t>.,</w:t>
      </w:r>
      <w:r w:rsidR="00EE4D06">
        <w:t xml:space="preserve"> and are often understood amongst consumers to be anti-ageing products.  She explained that during the 1990s she saw </w:t>
      </w:r>
      <w:r w:rsidR="00463290">
        <w:t xml:space="preserve">the idea of </w:t>
      </w:r>
      <w:r w:rsidR="00EE4D06">
        <w:t>cosmeceutical</w:t>
      </w:r>
      <w:r w:rsidR="00523981">
        <w:t>s</w:t>
      </w:r>
      <w:r w:rsidR="00EE4D06">
        <w:t xml:space="preserve"> as a market opportunity and started researc</w:t>
      </w:r>
      <w:r w:rsidR="00D11648">
        <w:t>hing products and ingredients.</w:t>
      </w:r>
    </w:p>
    <w:p w14:paraId="3C50CE2B" w14:textId="7DD2E43E" w:rsidR="00EE4D06" w:rsidRDefault="001E3C6B" w:rsidP="001E3C6B">
      <w:pPr>
        <w:pStyle w:val="ParaNumbering"/>
        <w:numPr>
          <w:ilvl w:val="0"/>
          <w:numId w:val="0"/>
        </w:numPr>
        <w:ind w:hanging="720"/>
      </w:pPr>
      <w:r>
        <w:rPr>
          <w:sz w:val="20"/>
        </w:rPr>
        <w:t>287</w:t>
      </w:r>
      <w:r>
        <w:rPr>
          <w:sz w:val="20"/>
        </w:rPr>
        <w:tab/>
      </w:r>
      <w:r w:rsidR="00EE4D06">
        <w:t>A brochure produced by Allergan for healthcare professionals to supply to customers describes cosmeceuticals as topical skincare products that contain ingredients that help in the treatment of ageing and photodamaged skin.  These, as skin products, are distinguished from products that have an effect on the contours and volume of the face, as another category, and products such as Botox that act on the underlying muscles, as yet another category.  Allergan’s witnesses Mr Prochilo and Ms C</w:t>
      </w:r>
      <w:r w:rsidR="00D11648">
        <w:t>ain accepted those definitions.</w:t>
      </w:r>
    </w:p>
    <w:p w14:paraId="03020E95" w14:textId="5ED072D9" w:rsidR="00EE4D06" w:rsidRDefault="001E3C6B" w:rsidP="001E3C6B">
      <w:pPr>
        <w:pStyle w:val="ParaNumbering"/>
        <w:numPr>
          <w:ilvl w:val="0"/>
          <w:numId w:val="0"/>
        </w:numPr>
        <w:ind w:hanging="720"/>
      </w:pPr>
      <w:r>
        <w:rPr>
          <w:sz w:val="20"/>
        </w:rPr>
        <w:t>288</w:t>
      </w:r>
      <w:r>
        <w:rPr>
          <w:sz w:val="20"/>
        </w:rPr>
        <w:tab/>
      </w:r>
      <w:r w:rsidR="00EE4D06">
        <w:t xml:space="preserve">The word cosmeceutical is </w:t>
      </w:r>
      <w:r w:rsidR="00B55ABF">
        <w:t xml:space="preserve">another </w:t>
      </w:r>
      <w:r w:rsidR="00B55ABF" w:rsidRPr="00B55ABF">
        <w:t>portmanteau </w:t>
      </w:r>
      <w:r w:rsidR="00EE4D06">
        <w:t xml:space="preserve">obviously derived from the words cosmetic and pharmaceutical.  </w:t>
      </w:r>
      <w:r w:rsidR="00FB3851">
        <w:t>C</w:t>
      </w:r>
      <w:r w:rsidR="00EE4D06">
        <w:t>learly enough the meaning it conveys is a cosmetic that has or claims to have curative properties (</w:t>
      </w:r>
      <w:r w:rsidR="00EE4D06" w:rsidRPr="00DC22C6">
        <w:rPr>
          <w:i/>
        </w:rPr>
        <w:t>OED</w:t>
      </w:r>
      <w:r w:rsidR="00EE4D06">
        <w:t xml:space="preserve">) or a </w:t>
      </w:r>
      <w:r w:rsidR="00AC261A">
        <w:t xml:space="preserve">cosmetic </w:t>
      </w:r>
      <w:r w:rsidR="00EE4D06">
        <w:t xml:space="preserve">product which has </w:t>
      </w:r>
      <w:r w:rsidR="00AC261A">
        <w:t xml:space="preserve">or claims to have pharmaceutical </w:t>
      </w:r>
      <w:r w:rsidR="00EE4D06">
        <w:t>benefits (</w:t>
      </w:r>
      <w:r w:rsidR="00EE4D06" w:rsidRPr="00DC22C6">
        <w:rPr>
          <w:i/>
        </w:rPr>
        <w:t>Macquarie</w:t>
      </w:r>
      <w:r w:rsidR="00FB3851">
        <w:rPr>
          <w:i/>
        </w:rPr>
        <w:t xml:space="preserve"> Online Dictionary</w:t>
      </w:r>
      <w:r w:rsidR="00EE4D06">
        <w:t>).  However, on the evidence in this case I am not satisfied that there is any identifiable market of cosmeceuticals as opposed to cosmetics.  The word cosmeceutical appears to be used to give the impression that particular cosmetic products have some additional curative or pharmaceutical benefit, but that would appear to be more in the realm of advertising and marketing then reality.  A simple moisturising lotion has a cosmetic effect and also a moisturising effect.  That does not make the lotion any less a cosmetic or any more a pharmaceutical.</w:t>
      </w:r>
    </w:p>
    <w:p w14:paraId="00F61E22" w14:textId="5B301632" w:rsidR="00EE4D06" w:rsidRDefault="001E3C6B" w:rsidP="001E3C6B">
      <w:pPr>
        <w:pStyle w:val="ParaNumbering"/>
        <w:numPr>
          <w:ilvl w:val="0"/>
          <w:numId w:val="0"/>
        </w:numPr>
        <w:ind w:hanging="720"/>
      </w:pPr>
      <w:r>
        <w:rPr>
          <w:sz w:val="20"/>
        </w:rPr>
        <w:t>289</w:t>
      </w:r>
      <w:r>
        <w:rPr>
          <w:sz w:val="20"/>
        </w:rPr>
        <w:tab/>
      </w:r>
      <w:r w:rsidR="00EE4D06">
        <w:t>In any event, in the absence of any evidence of an identifiable market of cosmeceuticals as such, I cannot accept Allergan’s submission.</w:t>
      </w:r>
    </w:p>
    <w:p w14:paraId="7CEEB413" w14:textId="34BD3F3F" w:rsidR="00EE4D06" w:rsidRDefault="001E3C6B" w:rsidP="001E3C6B">
      <w:pPr>
        <w:pStyle w:val="ParaNumbering"/>
        <w:numPr>
          <w:ilvl w:val="0"/>
          <w:numId w:val="0"/>
        </w:numPr>
        <w:ind w:hanging="720"/>
      </w:pPr>
      <w:r>
        <w:rPr>
          <w:sz w:val="20"/>
        </w:rPr>
        <w:t>290</w:t>
      </w:r>
      <w:r>
        <w:rPr>
          <w:sz w:val="20"/>
        </w:rPr>
        <w:tab/>
      </w:r>
      <w:r w:rsidR="00EE4D06">
        <w:t>Allergan refers in particular to s 101(4)(a) and submits that it has used the 655 mark in respect of “similar goods or closely related services”.  It submits that Botox and the service of providing cosmetic procedures that use Botox are addressed to the same market of consumers of cosmetics and often in the same place</w:t>
      </w:r>
      <w:r w:rsidR="0004500E">
        <w:t xml:space="preserve"> as cosmetics</w:t>
      </w:r>
      <w:r w:rsidR="00EE4D06">
        <w:t xml:space="preserve"> are offered for sale.  That overlap, it submits, should influence the Court to exercise the discretio</w:t>
      </w:r>
      <w:r w:rsidR="00D11648">
        <w:t>n not to remove the trade mark.</w:t>
      </w:r>
    </w:p>
    <w:p w14:paraId="6C7F36CD" w14:textId="0D2DE52A" w:rsidR="00EE4D06" w:rsidRDefault="001E3C6B" w:rsidP="001E3C6B">
      <w:pPr>
        <w:pStyle w:val="ParaNumbering"/>
        <w:numPr>
          <w:ilvl w:val="0"/>
          <w:numId w:val="0"/>
        </w:numPr>
        <w:ind w:hanging="720"/>
      </w:pPr>
      <w:r>
        <w:rPr>
          <w:sz w:val="20"/>
        </w:rPr>
        <w:t>291</w:t>
      </w:r>
      <w:r>
        <w:rPr>
          <w:sz w:val="20"/>
        </w:rPr>
        <w:tab/>
      </w:r>
      <w:r w:rsidR="00EE4D06">
        <w:t xml:space="preserve">There is no evidence that Allergan has used the 655 mark, or indeed any other </w:t>
      </w:r>
      <w:r w:rsidR="00D51669">
        <w:t xml:space="preserve">BOTOX </w:t>
      </w:r>
      <w:r w:rsidR="00EE4D06">
        <w:t xml:space="preserve">mark, in respect of “closely related services”.  The service of administering Botox injections is offered by others, not by Allergan.  The question is whether Botox is a closely related good such as to </w:t>
      </w:r>
      <w:r w:rsidR="00EE4D06">
        <w:lastRenderedPageBreak/>
        <w:t>justify the exercise of the discretion.  I am not persuaded that it is.  That is for the same reasons that distinguish Botox as a pharmaceutical and not as a cosmetic.</w:t>
      </w:r>
    </w:p>
    <w:p w14:paraId="676657DF" w14:textId="313D0678" w:rsidR="00EE4D06" w:rsidRDefault="001E3C6B" w:rsidP="001E3C6B">
      <w:pPr>
        <w:pStyle w:val="ParaNumbering"/>
        <w:numPr>
          <w:ilvl w:val="0"/>
          <w:numId w:val="0"/>
        </w:numPr>
        <w:ind w:hanging="720"/>
      </w:pPr>
      <w:r>
        <w:rPr>
          <w:sz w:val="20"/>
        </w:rPr>
        <w:t>292</w:t>
      </w:r>
      <w:r>
        <w:rPr>
          <w:sz w:val="20"/>
        </w:rPr>
        <w:tab/>
      </w:r>
      <w:r w:rsidR="00EE4D06">
        <w:t>I am therefore not persuaded that there is any justification for the exercise of the discretion.</w:t>
      </w:r>
      <w:r w:rsidR="00523981">
        <w:t xml:space="preserve">  The class 3 registration of the 655 mark should accordingly be removed for non-use.</w:t>
      </w:r>
    </w:p>
    <w:p w14:paraId="5C45FA86" w14:textId="77777777" w:rsidR="00EE4D06" w:rsidRDefault="00EE4D06" w:rsidP="00EE4D06">
      <w:pPr>
        <w:pStyle w:val="Heading2"/>
      </w:pPr>
      <w:bookmarkStart w:id="91" w:name="_Ref54701591"/>
      <w:r>
        <w:t>Cancellation of the 426 defensive mark</w:t>
      </w:r>
      <w:bookmarkEnd w:id="91"/>
    </w:p>
    <w:p w14:paraId="03A8D1D5" w14:textId="6D637A0B" w:rsidR="00EE4D06" w:rsidRDefault="001E3C6B" w:rsidP="001E3C6B">
      <w:pPr>
        <w:pStyle w:val="Heading3"/>
        <w:ind w:left="720" w:hanging="360"/>
      </w:pPr>
      <w:bookmarkStart w:id="92" w:name="_Ref54701592"/>
      <w:r>
        <w:t>(1)</w:t>
      </w:r>
      <w:r>
        <w:tab/>
      </w:r>
      <w:r w:rsidR="00EE4D06">
        <w:t>Introduction</w:t>
      </w:r>
      <w:bookmarkEnd w:id="92"/>
    </w:p>
    <w:p w14:paraId="7E86821C" w14:textId="07AC05B4" w:rsidR="00EE4D06" w:rsidRDefault="001E3C6B" w:rsidP="001E3C6B">
      <w:pPr>
        <w:pStyle w:val="ParaNumbering"/>
        <w:numPr>
          <w:ilvl w:val="0"/>
          <w:numId w:val="0"/>
        </w:numPr>
        <w:ind w:hanging="720"/>
      </w:pPr>
      <w:r>
        <w:rPr>
          <w:sz w:val="20"/>
        </w:rPr>
        <w:t>293</w:t>
      </w:r>
      <w:r>
        <w:rPr>
          <w:sz w:val="20"/>
        </w:rPr>
        <w:tab/>
      </w:r>
      <w:r w:rsidR="00EE4D06">
        <w:t xml:space="preserve">The 426 defensive mark was registered by Allergan as a defensive mark within the meaning of s 185 of the TM Act.  It claims a priority date of 4 September 2013.  </w:t>
      </w:r>
    </w:p>
    <w:p w14:paraId="093A730C" w14:textId="350E7BB1" w:rsidR="00EE4D06" w:rsidRDefault="001E3C6B" w:rsidP="001E3C6B">
      <w:pPr>
        <w:pStyle w:val="ParaNumbering"/>
        <w:numPr>
          <w:ilvl w:val="0"/>
          <w:numId w:val="0"/>
        </w:numPr>
        <w:ind w:hanging="720"/>
      </w:pPr>
      <w:r>
        <w:rPr>
          <w:sz w:val="20"/>
        </w:rPr>
        <w:t>294</w:t>
      </w:r>
      <w:r>
        <w:rPr>
          <w:sz w:val="20"/>
        </w:rPr>
        <w:tab/>
      </w:r>
      <w:r w:rsidR="00EE4D06">
        <w:t>The cross-claim seeks cancellation of the 426 defensive mark in respect of</w:t>
      </w:r>
      <w:r w:rsidR="00FB3851">
        <w:t>:</w:t>
      </w:r>
      <w:r w:rsidR="00EE4D06">
        <w:t xml:space="preserve"> (1) each and all of the goods referred to in the specification in respect of class 3, and (2) such other goods and services referred to in the specification as are relied upon by Allergan in asserting infringement of the 426 defensive mark by Self Care.  The ground relied on is that the use of the word mark BOTOX in relation to those goods or services is not likely to be taken to indicate that there is a connection between those goods or ser</w:t>
      </w:r>
      <w:r w:rsidR="00D11648">
        <w:t>vices and the registered owner.</w:t>
      </w:r>
    </w:p>
    <w:p w14:paraId="225C450A" w14:textId="651A17C3" w:rsidR="00EE4D06" w:rsidRDefault="001E3C6B" w:rsidP="001E3C6B">
      <w:pPr>
        <w:pStyle w:val="ParaNumbering"/>
        <w:numPr>
          <w:ilvl w:val="0"/>
          <w:numId w:val="0"/>
        </w:numPr>
        <w:ind w:hanging="720"/>
      </w:pPr>
      <w:r>
        <w:rPr>
          <w:sz w:val="20"/>
        </w:rPr>
        <w:t>295</w:t>
      </w:r>
      <w:r>
        <w:rPr>
          <w:sz w:val="20"/>
        </w:rPr>
        <w:tab/>
      </w:r>
      <w:r w:rsidR="00EE4D06">
        <w:t>I shall refer to the goods in respect of which the 426 defensive mark is registered (listed at [</w:t>
      </w:r>
      <w:r w:rsidR="00523981">
        <w:fldChar w:fldCharType="begin" w:fldLock="1"/>
      </w:r>
      <w:r w:rsidR="00523981">
        <w:instrText xml:space="preserve"> REF _Ref38889627 \r \h </w:instrText>
      </w:r>
      <w:r w:rsidR="00523981">
        <w:fldChar w:fldCharType="separate"/>
      </w:r>
      <w:r w:rsidR="00756FCE">
        <w:t>19</w:t>
      </w:r>
      <w:r w:rsidR="00523981">
        <w:fldChar w:fldCharType="end"/>
      </w:r>
      <w:r w:rsidR="00EE4D06">
        <w:t>] above) as the class 3 goods.</w:t>
      </w:r>
    </w:p>
    <w:p w14:paraId="48D15485" w14:textId="6676DC78" w:rsidR="00EE4D06" w:rsidRDefault="001E3C6B" w:rsidP="001E3C6B">
      <w:pPr>
        <w:pStyle w:val="Heading3"/>
        <w:ind w:left="720" w:hanging="360"/>
      </w:pPr>
      <w:bookmarkStart w:id="93" w:name="_Ref54701593"/>
      <w:r>
        <w:t>(2)</w:t>
      </w:r>
      <w:r>
        <w:tab/>
      </w:r>
      <w:r w:rsidR="00EE4D06">
        <w:t>The law</w:t>
      </w:r>
      <w:bookmarkEnd w:id="93"/>
    </w:p>
    <w:p w14:paraId="21A43B86" w14:textId="5465F50D" w:rsidR="00EE4D06" w:rsidRDefault="001E3C6B" w:rsidP="001E3C6B">
      <w:pPr>
        <w:pStyle w:val="ParaNumbering"/>
        <w:numPr>
          <w:ilvl w:val="0"/>
          <w:numId w:val="0"/>
        </w:numPr>
        <w:ind w:hanging="720"/>
      </w:pPr>
      <w:r>
        <w:rPr>
          <w:sz w:val="20"/>
        </w:rPr>
        <w:t>296</w:t>
      </w:r>
      <w:r>
        <w:rPr>
          <w:sz w:val="20"/>
        </w:rPr>
        <w:tab/>
      </w:r>
      <w:r w:rsidR="00EE4D06">
        <w:t xml:space="preserve">Registration as a defensive mark is intended to give better protection to marks that have been used to such an extent for certain goods or services that their unauthorised use for quite different goods or services would be likely to mislead the public: </w:t>
      </w:r>
      <w:r w:rsidR="00FB3851">
        <w:t xml:space="preserve">Davidson and Horak, </w:t>
      </w:r>
      <w:r w:rsidR="00EE4D06" w:rsidRPr="00427B83">
        <w:rPr>
          <w:b/>
          <w:i/>
        </w:rPr>
        <w:t>Shanahan’s</w:t>
      </w:r>
      <w:r w:rsidR="000F752B">
        <w:rPr>
          <w:i/>
        </w:rPr>
        <w:t xml:space="preserve"> </w:t>
      </w:r>
      <w:r w:rsidR="000F752B" w:rsidRPr="000F752B">
        <w:rPr>
          <w:i/>
        </w:rPr>
        <w:t xml:space="preserve">Australian Law of Trade Marks &amp; Passing Off </w:t>
      </w:r>
      <w:r w:rsidR="000F752B" w:rsidRPr="000F752B">
        <w:t>(Thomson Reuters, 6th ed</w:t>
      </w:r>
      <w:r w:rsidR="000F752B">
        <w:t>.</w:t>
      </w:r>
      <w:r w:rsidR="000F752B" w:rsidRPr="000F752B">
        <w:t>, 2016)</w:t>
      </w:r>
      <w:r w:rsidR="000F752B" w:rsidRPr="000F752B">
        <w:rPr>
          <w:i/>
        </w:rPr>
        <w:t> </w:t>
      </w:r>
      <w:r w:rsidR="000F752B">
        <w:t>at</w:t>
      </w:r>
      <w:r w:rsidR="00EE4D06">
        <w:t xml:space="preserve"> </w:t>
      </w:r>
      <w:r w:rsidR="000F752B">
        <w:t>[60.05]</w:t>
      </w:r>
      <w:r w:rsidR="00EE4D06">
        <w:t>.  Thus, the issue with regard to whether the registration of a defensive mark is maintainable does not concern whether the mark has been, or is intended to be, used in the class in respect of which it is challenged.  Rather, it is whether, relevantly, it is likely that the use of the mark by someone else in relation to that class of goods or services will be taken to indicate that there is a connection between those goods or services and the registered owner of the defensive mark.</w:t>
      </w:r>
    </w:p>
    <w:p w14:paraId="348C48EA" w14:textId="09B08834" w:rsidR="00EE4D06" w:rsidRDefault="001E3C6B" w:rsidP="001E3C6B">
      <w:pPr>
        <w:pStyle w:val="ParaNumbering"/>
        <w:numPr>
          <w:ilvl w:val="0"/>
          <w:numId w:val="0"/>
        </w:numPr>
        <w:ind w:hanging="720"/>
      </w:pPr>
      <w:r>
        <w:rPr>
          <w:sz w:val="20"/>
        </w:rPr>
        <w:t>297</w:t>
      </w:r>
      <w:r>
        <w:rPr>
          <w:sz w:val="20"/>
        </w:rPr>
        <w:tab/>
      </w:r>
      <w:r w:rsidR="00EE4D06">
        <w:t xml:space="preserve">Pursuant to s 88(1) of the TM Act, the court may, on the application of an aggrieved person, order that the </w:t>
      </w:r>
      <w:r w:rsidR="00145939">
        <w:t>r</w:t>
      </w:r>
      <w:r w:rsidR="00EE4D06">
        <w:t xml:space="preserve">egister be rectified by cancelling the registration of a trade mark.  Such an application may be made, inter alia, on any of the grounds on which the registration of the trade mark could have been opposed: s 88(2)(a) </w:t>
      </w:r>
      <w:r w:rsidR="002E38CE">
        <w:t xml:space="preserve">of the </w:t>
      </w:r>
      <w:r w:rsidR="00EF4588">
        <w:t xml:space="preserve">TM </w:t>
      </w:r>
      <w:r w:rsidR="00EE4D06">
        <w:t xml:space="preserve">Act.  </w:t>
      </w:r>
    </w:p>
    <w:p w14:paraId="04D60C8F" w14:textId="27FF56C5" w:rsidR="00EE4D06" w:rsidRDefault="001E3C6B" w:rsidP="001E3C6B">
      <w:pPr>
        <w:pStyle w:val="ParaNumbering"/>
        <w:numPr>
          <w:ilvl w:val="0"/>
          <w:numId w:val="0"/>
        </w:numPr>
        <w:ind w:hanging="720"/>
      </w:pPr>
      <w:r>
        <w:rPr>
          <w:sz w:val="20"/>
        </w:rPr>
        <w:lastRenderedPageBreak/>
        <w:t>298</w:t>
      </w:r>
      <w:r>
        <w:rPr>
          <w:sz w:val="20"/>
        </w:rPr>
        <w:tab/>
      </w:r>
      <w:r w:rsidR="00EE4D06">
        <w:t>Self Care</w:t>
      </w:r>
      <w:r w:rsidR="009211F9">
        <w:t>, as a trade rival of Allergan’s,</w:t>
      </w:r>
      <w:r w:rsidR="00EE4D06">
        <w:t xml:space="preserve"> is an </w:t>
      </w:r>
      <w:r w:rsidR="005949F5">
        <w:t>“</w:t>
      </w:r>
      <w:r w:rsidR="00EE4D06">
        <w:t>aggrieved person</w:t>
      </w:r>
      <w:r w:rsidR="005949F5">
        <w:t>”</w:t>
      </w:r>
      <w:r w:rsidR="00EE4D06">
        <w:t xml:space="preserve">: see </w:t>
      </w:r>
      <w:r w:rsidR="00EE4D06" w:rsidRPr="00162AB6">
        <w:rPr>
          <w:b/>
          <w:i/>
          <w:iCs/>
        </w:rPr>
        <w:t>Health World</w:t>
      </w:r>
      <w:r w:rsidR="00EE4D06" w:rsidRPr="00162AB6">
        <w:rPr>
          <w:i/>
          <w:iCs/>
        </w:rPr>
        <w:t xml:space="preserve"> Ltd v Shin-Sun Aust</w:t>
      </w:r>
      <w:r w:rsidR="00165764">
        <w:rPr>
          <w:i/>
          <w:iCs/>
        </w:rPr>
        <w:t>ralia</w:t>
      </w:r>
      <w:r w:rsidR="00EE4D06" w:rsidRPr="00162AB6">
        <w:rPr>
          <w:i/>
          <w:iCs/>
        </w:rPr>
        <w:t xml:space="preserve"> Pty Ltd </w:t>
      </w:r>
      <w:r w:rsidR="00EE4D06" w:rsidRPr="00162AB6">
        <w:t>[2010] HCA 13; 240 CLR 590</w:t>
      </w:r>
      <w:r w:rsidR="00EE4D06">
        <w:t xml:space="preserve"> at [43]-[45]</w:t>
      </w:r>
      <w:r w:rsidR="00CA7C48">
        <w:t xml:space="preserve"> per </w:t>
      </w:r>
      <w:r w:rsidR="00CA7C48" w:rsidRPr="00CA7C48">
        <w:t>French CJ, Gummow, Heydon and Bell JJ</w:t>
      </w:r>
      <w:r w:rsidR="00EE4D06">
        <w:t xml:space="preserve">.  </w:t>
      </w:r>
    </w:p>
    <w:p w14:paraId="22AC6B5F" w14:textId="4A974358" w:rsidR="00EE4D06" w:rsidRDefault="001E3C6B" w:rsidP="001E3C6B">
      <w:pPr>
        <w:pStyle w:val="ParaNumbering"/>
        <w:numPr>
          <w:ilvl w:val="0"/>
          <w:numId w:val="0"/>
        </w:numPr>
        <w:ind w:hanging="720"/>
      </w:pPr>
      <w:r>
        <w:rPr>
          <w:sz w:val="20"/>
        </w:rPr>
        <w:t>299</w:t>
      </w:r>
      <w:r>
        <w:rPr>
          <w:sz w:val="20"/>
        </w:rPr>
        <w:tab/>
      </w:r>
      <w:r w:rsidR="00EE4D06" w:rsidRPr="00763EEE">
        <w:t>The relevant date for determining the parties</w:t>
      </w:r>
      <w:r w:rsidR="00EE4D06">
        <w:t>’</w:t>
      </w:r>
      <w:r w:rsidR="00EE4D06" w:rsidRPr="00763EEE">
        <w:t xml:space="preserve"> rights under </w:t>
      </w:r>
      <w:r w:rsidR="00EE4D06">
        <w:t>s</w:t>
      </w:r>
      <w:r w:rsidR="00EE4D06" w:rsidRPr="00763EEE">
        <w:t xml:space="preserve"> 88(2)(a) is the priority date: </w:t>
      </w:r>
      <w:r w:rsidR="00EE4D06" w:rsidRPr="00162AB6">
        <w:rPr>
          <w:i/>
        </w:rPr>
        <w:t xml:space="preserve">Tivo Inc v Vivo International Corporation Pty Ltd </w:t>
      </w:r>
      <w:r w:rsidR="00EE4D06" w:rsidRPr="00162AB6">
        <w:t>[2012] FCA 252</w:t>
      </w:r>
      <w:r w:rsidR="00EE4D06" w:rsidRPr="00763EEE">
        <w:t xml:space="preserve"> at [445]</w:t>
      </w:r>
      <w:r w:rsidR="00EE4D06">
        <w:t xml:space="preserve"> per Dodds-Streeton J</w:t>
      </w:r>
      <w:r w:rsidR="00EE4D06" w:rsidRPr="00763EEE">
        <w:t>.</w:t>
      </w:r>
    </w:p>
    <w:p w14:paraId="4B9FCF70" w14:textId="77A9DD2F" w:rsidR="00EE4D06" w:rsidRDefault="001E3C6B" w:rsidP="001E3C6B">
      <w:pPr>
        <w:pStyle w:val="ParaNumbering"/>
        <w:numPr>
          <w:ilvl w:val="0"/>
          <w:numId w:val="0"/>
        </w:numPr>
        <w:ind w:hanging="720"/>
      </w:pPr>
      <w:r>
        <w:rPr>
          <w:sz w:val="20"/>
        </w:rPr>
        <w:t>300</w:t>
      </w:r>
      <w:r>
        <w:rPr>
          <w:sz w:val="20"/>
        </w:rPr>
        <w:tab/>
      </w:r>
      <w:r w:rsidR="00EE4D06">
        <w:t xml:space="preserve">Section 185 of the TM Act relevantly provides: </w:t>
      </w:r>
    </w:p>
    <w:p w14:paraId="4CE5D0CE" w14:textId="77777777" w:rsidR="00EE4D06" w:rsidRPr="00B65079" w:rsidRDefault="00EE4D06" w:rsidP="00EE4D06">
      <w:pPr>
        <w:pStyle w:val="Quote1"/>
        <w:rPr>
          <w:b/>
          <w:lang w:eastAsia="en-AU"/>
        </w:rPr>
      </w:pPr>
      <w:r w:rsidRPr="00B65079">
        <w:rPr>
          <w:b/>
          <w:lang w:eastAsia="en-AU"/>
        </w:rPr>
        <w:t xml:space="preserve">185 Defensive trade marks </w:t>
      </w:r>
    </w:p>
    <w:p w14:paraId="278855DD" w14:textId="77777777" w:rsidR="00EE4D06" w:rsidRDefault="00EE4D06" w:rsidP="00EE4D06">
      <w:pPr>
        <w:pStyle w:val="Quote1"/>
        <w:ind w:left="1276" w:hanging="567"/>
      </w:pPr>
      <w:r w:rsidRPr="00B65079">
        <w:rPr>
          <w:szCs w:val="22"/>
          <w:lang w:eastAsia="en-AU"/>
        </w:rPr>
        <w:t xml:space="preserve">(1) </w:t>
      </w:r>
      <w:r>
        <w:rPr>
          <w:szCs w:val="22"/>
          <w:lang w:eastAsia="en-AU"/>
        </w:rPr>
        <w:tab/>
      </w:r>
      <w:r w:rsidRPr="00B65079">
        <w:rPr>
          <w:szCs w:val="22"/>
          <w:lang w:eastAsia="en-AU"/>
        </w:rPr>
        <w:t xml:space="preserve">If, because of the extent to which a registered trade mark has been used in relation to all or any of the goods or services in respect of which it is registered, it is likely that its use in relation to other goods or services will be taken to indicate that there is a connection between those other goods or services and the registered owner of the trade mark, the trade mark may, on the application of the registered owner, be registered as a </w:t>
      </w:r>
      <w:r w:rsidRPr="00B65079">
        <w:rPr>
          <w:b/>
          <w:i/>
          <w:iCs/>
          <w:szCs w:val="22"/>
          <w:lang w:eastAsia="en-AU"/>
        </w:rPr>
        <w:t>defensive trade mark</w:t>
      </w:r>
      <w:r w:rsidRPr="00B65079">
        <w:rPr>
          <w:i/>
          <w:iCs/>
          <w:szCs w:val="22"/>
          <w:lang w:eastAsia="en-AU"/>
        </w:rPr>
        <w:t xml:space="preserve"> </w:t>
      </w:r>
      <w:r w:rsidRPr="00B65079">
        <w:rPr>
          <w:szCs w:val="22"/>
          <w:lang w:eastAsia="en-AU"/>
        </w:rPr>
        <w:t>in respect of any or all of those other goods or services.</w:t>
      </w:r>
    </w:p>
    <w:p w14:paraId="3452CFC2" w14:textId="6835EBF4" w:rsidR="00EE4D06" w:rsidRDefault="001E3C6B" w:rsidP="001E3C6B">
      <w:pPr>
        <w:pStyle w:val="ParaNumbering"/>
        <w:numPr>
          <w:ilvl w:val="0"/>
          <w:numId w:val="0"/>
        </w:numPr>
        <w:ind w:hanging="720"/>
      </w:pPr>
      <w:r>
        <w:rPr>
          <w:sz w:val="20"/>
        </w:rPr>
        <w:t>301</w:t>
      </w:r>
      <w:r>
        <w:rPr>
          <w:sz w:val="20"/>
        </w:rPr>
        <w:tab/>
      </w:r>
      <w:r w:rsidR="00EE4D06">
        <w:t>Section 187 of the TM Act relevantly provides:</w:t>
      </w:r>
    </w:p>
    <w:p w14:paraId="67F92276" w14:textId="77777777" w:rsidR="00EE4D06" w:rsidRPr="00B65079" w:rsidRDefault="00EE4D06" w:rsidP="00EE4D06">
      <w:pPr>
        <w:pStyle w:val="Quote1"/>
        <w:rPr>
          <w:b/>
          <w:lang w:eastAsia="en-AU"/>
        </w:rPr>
      </w:pPr>
      <w:r w:rsidRPr="00B65079">
        <w:rPr>
          <w:b/>
          <w:lang w:eastAsia="en-AU"/>
        </w:rPr>
        <w:t xml:space="preserve">187 Additional grounds for rejecting application for registration or opposing registration </w:t>
      </w:r>
    </w:p>
    <w:p w14:paraId="5BABF2AA" w14:textId="77777777" w:rsidR="00EE4D06" w:rsidRPr="00B65079" w:rsidRDefault="00EE4D06" w:rsidP="00EE4D06">
      <w:pPr>
        <w:pStyle w:val="Quote1"/>
        <w:rPr>
          <w:szCs w:val="22"/>
          <w:lang w:eastAsia="en-AU"/>
        </w:rPr>
      </w:pPr>
      <w:r w:rsidRPr="00B65079">
        <w:rPr>
          <w:szCs w:val="22"/>
          <w:lang w:eastAsia="en-AU"/>
        </w:rPr>
        <w:t xml:space="preserve">In addition to any other ground on which: </w:t>
      </w:r>
    </w:p>
    <w:p w14:paraId="6E894FE0" w14:textId="77777777" w:rsidR="00EE4D06" w:rsidRPr="00B65079" w:rsidRDefault="00EE4D06" w:rsidP="00EE4D06">
      <w:pPr>
        <w:pStyle w:val="Quote1"/>
        <w:tabs>
          <w:tab w:val="left" w:pos="1276"/>
        </w:tabs>
        <w:ind w:left="1276" w:hanging="567"/>
        <w:rPr>
          <w:szCs w:val="22"/>
          <w:lang w:eastAsia="en-AU"/>
        </w:rPr>
      </w:pPr>
      <w:r w:rsidRPr="00B65079">
        <w:rPr>
          <w:szCs w:val="22"/>
          <w:lang w:eastAsia="en-AU"/>
        </w:rPr>
        <w:t xml:space="preserve">(a) </w:t>
      </w:r>
      <w:r>
        <w:rPr>
          <w:szCs w:val="22"/>
          <w:lang w:eastAsia="en-AU"/>
        </w:rPr>
        <w:tab/>
      </w:r>
      <w:r w:rsidRPr="00B65079">
        <w:rPr>
          <w:szCs w:val="22"/>
          <w:lang w:eastAsia="en-AU"/>
        </w:rPr>
        <w:t xml:space="preserve">an application for the registration of a trade mark as a defensive trade mark may be rejected; or </w:t>
      </w:r>
    </w:p>
    <w:p w14:paraId="24CA48B3" w14:textId="77777777" w:rsidR="00EE4D06" w:rsidRPr="00B65079" w:rsidRDefault="00EE4D06" w:rsidP="00EE4D06">
      <w:pPr>
        <w:pStyle w:val="Quote1"/>
        <w:tabs>
          <w:tab w:val="left" w:pos="1276"/>
        </w:tabs>
        <w:ind w:left="1276" w:hanging="567"/>
        <w:rPr>
          <w:szCs w:val="22"/>
          <w:lang w:eastAsia="en-AU"/>
        </w:rPr>
      </w:pPr>
      <w:r w:rsidRPr="00B65079">
        <w:rPr>
          <w:szCs w:val="22"/>
          <w:lang w:eastAsia="en-AU"/>
        </w:rPr>
        <w:t xml:space="preserve">(b) </w:t>
      </w:r>
      <w:r>
        <w:rPr>
          <w:szCs w:val="22"/>
          <w:lang w:eastAsia="en-AU"/>
        </w:rPr>
        <w:tab/>
      </w:r>
      <w:r w:rsidRPr="00B65079">
        <w:rPr>
          <w:szCs w:val="22"/>
          <w:lang w:eastAsia="en-AU"/>
        </w:rPr>
        <w:t xml:space="preserve">the registration of a trade mark as a defensive trade mark may be opposed; </w:t>
      </w:r>
    </w:p>
    <w:p w14:paraId="7F53CC79" w14:textId="77777777" w:rsidR="00EE4D06" w:rsidRPr="00B65079" w:rsidRDefault="00EE4D06" w:rsidP="00EE4D06">
      <w:pPr>
        <w:pStyle w:val="Quote1"/>
        <w:tabs>
          <w:tab w:val="left" w:pos="1276"/>
        </w:tabs>
        <w:ind w:left="1276" w:hanging="567"/>
        <w:rPr>
          <w:szCs w:val="22"/>
          <w:lang w:eastAsia="en-AU"/>
        </w:rPr>
      </w:pPr>
      <w:r w:rsidRPr="00B65079">
        <w:rPr>
          <w:szCs w:val="22"/>
          <w:lang w:eastAsia="en-AU"/>
        </w:rPr>
        <w:t xml:space="preserve">the application must be rejected or the registration may be opposed: </w:t>
      </w:r>
    </w:p>
    <w:p w14:paraId="4CD828CE" w14:textId="77777777" w:rsidR="00EE4D06" w:rsidRPr="00B65079" w:rsidRDefault="00EE4D06" w:rsidP="00EE4D06">
      <w:pPr>
        <w:pStyle w:val="Quote1"/>
        <w:tabs>
          <w:tab w:val="left" w:pos="1276"/>
        </w:tabs>
        <w:ind w:left="1276" w:hanging="567"/>
        <w:rPr>
          <w:szCs w:val="22"/>
          <w:lang w:eastAsia="en-AU"/>
        </w:rPr>
      </w:pPr>
      <w:r w:rsidRPr="00B65079">
        <w:rPr>
          <w:szCs w:val="22"/>
          <w:lang w:eastAsia="en-AU"/>
        </w:rPr>
        <w:t xml:space="preserve">(c) </w:t>
      </w:r>
      <w:r>
        <w:rPr>
          <w:szCs w:val="22"/>
          <w:lang w:eastAsia="en-AU"/>
        </w:rPr>
        <w:tab/>
        <w:t>…</w:t>
      </w:r>
      <w:r w:rsidRPr="00B65079">
        <w:rPr>
          <w:szCs w:val="22"/>
          <w:lang w:eastAsia="en-AU"/>
        </w:rPr>
        <w:t xml:space="preserve">; or </w:t>
      </w:r>
    </w:p>
    <w:p w14:paraId="1BA24194" w14:textId="77777777" w:rsidR="00EE4D06" w:rsidRPr="00B65079" w:rsidRDefault="00EE4D06" w:rsidP="00EE4D06">
      <w:pPr>
        <w:pStyle w:val="Quote1"/>
        <w:tabs>
          <w:tab w:val="left" w:pos="1276"/>
        </w:tabs>
        <w:ind w:left="1276" w:hanging="567"/>
        <w:rPr>
          <w:szCs w:val="22"/>
          <w:lang w:eastAsia="en-AU"/>
        </w:rPr>
      </w:pPr>
      <w:r w:rsidRPr="00B65079">
        <w:rPr>
          <w:szCs w:val="22"/>
          <w:lang w:eastAsia="en-AU"/>
        </w:rPr>
        <w:t xml:space="preserve">(d) </w:t>
      </w:r>
      <w:r>
        <w:rPr>
          <w:szCs w:val="22"/>
          <w:lang w:eastAsia="en-AU"/>
        </w:rPr>
        <w:tab/>
      </w:r>
      <w:r w:rsidRPr="00B65079">
        <w:rPr>
          <w:szCs w:val="22"/>
          <w:lang w:eastAsia="en-AU"/>
        </w:rPr>
        <w:t xml:space="preserve">in the case of a registered trade mark—if it is not likely that the use of the trade mark in relation to the goods or services in respect of which its registration as a defensive trade mark is sought will be taken to indicate that there is a connection between those goods or services and the registered owner. </w:t>
      </w:r>
    </w:p>
    <w:p w14:paraId="3ABA7CF8" w14:textId="77777777" w:rsidR="00EE4D06" w:rsidRDefault="00EE4D06" w:rsidP="00EE4D06">
      <w:pPr>
        <w:pStyle w:val="Quote1"/>
      </w:pPr>
      <w:r w:rsidRPr="00B65079">
        <w:rPr>
          <w:sz w:val="18"/>
          <w:szCs w:val="18"/>
          <w:lang w:eastAsia="en-AU"/>
        </w:rPr>
        <w:t>Note: Division 2 of Part 4 sets out the main grounds for rejecting an application but section 41 does not apply to defensive trade marks (see section 186). Division 2 of Part 5 sets out the main grounds for opposing registration.</w:t>
      </w:r>
    </w:p>
    <w:p w14:paraId="1F590465" w14:textId="38607A05" w:rsidR="00EE4D06" w:rsidRDefault="001E3C6B" w:rsidP="001E3C6B">
      <w:pPr>
        <w:pStyle w:val="ParaNumbering"/>
        <w:numPr>
          <w:ilvl w:val="0"/>
          <w:numId w:val="0"/>
        </w:numPr>
        <w:ind w:hanging="720"/>
      </w:pPr>
      <w:r>
        <w:rPr>
          <w:sz w:val="20"/>
        </w:rPr>
        <w:t>302</w:t>
      </w:r>
      <w:r>
        <w:rPr>
          <w:sz w:val="20"/>
        </w:rPr>
        <w:tab/>
      </w:r>
      <w:r w:rsidR="00EE4D06" w:rsidRPr="00763EEE">
        <w:rPr>
          <w:lang w:val="en-US"/>
        </w:rPr>
        <w:t xml:space="preserve">In </w:t>
      </w:r>
      <w:r w:rsidR="00EE4D06" w:rsidRPr="00DA24C1">
        <w:rPr>
          <w:lang w:val="en-US"/>
        </w:rPr>
        <w:t xml:space="preserve">respect of a defensive registration, it is more difficult to gain registration if the word is not invented: </w:t>
      </w:r>
      <w:r w:rsidR="00EE4D06" w:rsidRPr="00740B4A">
        <w:rPr>
          <w:i/>
          <w:iCs/>
          <w:lang w:val="en-US"/>
        </w:rPr>
        <w:t>Re</w:t>
      </w:r>
      <w:r w:rsidR="00EE4D06" w:rsidRPr="00740B4A">
        <w:rPr>
          <w:lang w:val="en-US"/>
        </w:rPr>
        <w:t xml:space="preserve"> </w:t>
      </w:r>
      <w:r w:rsidR="00EE4D06" w:rsidRPr="00740B4A">
        <w:rPr>
          <w:i/>
          <w:iCs/>
          <w:lang w:val="en-US"/>
        </w:rPr>
        <w:t>Applications by Mobile Oil Corp</w:t>
      </w:r>
      <w:r w:rsidR="00EE4D06" w:rsidRPr="00740B4A">
        <w:rPr>
          <w:lang w:val="en-US"/>
        </w:rPr>
        <w:t xml:space="preserve"> (1995) 32 IPR 535 at 537 and 543.</w:t>
      </w:r>
      <w:r w:rsidR="00EE4D06">
        <w:rPr>
          <w:lang w:val="en-US"/>
        </w:rPr>
        <w:t xml:space="preserve">  It may thus be of some assistance to Allergan in resisting cancellation of its defensive mark that BOTOX is an invented word.</w:t>
      </w:r>
    </w:p>
    <w:p w14:paraId="350A696A" w14:textId="7A415B82" w:rsidR="00EE4D06" w:rsidRDefault="001E3C6B" w:rsidP="001E3C6B">
      <w:pPr>
        <w:pStyle w:val="ParaNumbering"/>
        <w:numPr>
          <w:ilvl w:val="0"/>
          <w:numId w:val="0"/>
        </w:numPr>
        <w:ind w:hanging="720"/>
      </w:pPr>
      <w:r>
        <w:rPr>
          <w:sz w:val="20"/>
        </w:rPr>
        <w:t>303</w:t>
      </w:r>
      <w:r>
        <w:rPr>
          <w:sz w:val="20"/>
        </w:rPr>
        <w:tab/>
      </w:r>
      <w:r w:rsidR="005949F5">
        <w:t xml:space="preserve">Apart from some passing references, there </w:t>
      </w:r>
      <w:r w:rsidR="00EE4D06" w:rsidRPr="00E125EB">
        <w:t>is apparently no previous judicial consideration of ss 185(1) and 187(d).  For that reason, some background is of assistance.</w:t>
      </w:r>
    </w:p>
    <w:p w14:paraId="6B7ACF5D" w14:textId="11580EED" w:rsidR="00EE4D06" w:rsidRDefault="001E3C6B" w:rsidP="001E3C6B">
      <w:pPr>
        <w:pStyle w:val="ParaNumbering"/>
        <w:numPr>
          <w:ilvl w:val="0"/>
          <w:numId w:val="0"/>
        </w:numPr>
        <w:ind w:hanging="720"/>
      </w:pPr>
      <w:r>
        <w:rPr>
          <w:sz w:val="20"/>
        </w:rPr>
        <w:lastRenderedPageBreak/>
        <w:t>304</w:t>
      </w:r>
      <w:r>
        <w:rPr>
          <w:sz w:val="20"/>
        </w:rPr>
        <w:tab/>
      </w:r>
      <w:r w:rsidR="00EE4D06">
        <w:t xml:space="preserve">Section 185(1) of the </w:t>
      </w:r>
      <w:r w:rsidR="00E125EB">
        <w:t xml:space="preserve">TM </w:t>
      </w:r>
      <w:r w:rsidR="00EE4D06">
        <w:t>Act is relevantly identical to s 93(1) of the</w:t>
      </w:r>
      <w:r w:rsidR="00E125EB">
        <w:t xml:space="preserve"> </w:t>
      </w:r>
      <w:r w:rsidR="00E125EB">
        <w:rPr>
          <w:i/>
        </w:rPr>
        <w:t>Trade Marks Act</w:t>
      </w:r>
      <w:r w:rsidR="00EE4D06">
        <w:t xml:space="preserve"> 1955</w:t>
      </w:r>
      <w:r w:rsidR="00E125EB">
        <w:t xml:space="preserve"> (Cth)</w:t>
      </w:r>
      <w:r w:rsidR="00EE4D06">
        <w:t xml:space="preserve"> which in turn was modelled, albeit with important differences, on s</w:t>
      </w:r>
      <w:r w:rsidR="00EE4D06" w:rsidRPr="00162AB6">
        <w:t xml:space="preserve"> 27(1) of the </w:t>
      </w:r>
      <w:r w:rsidR="00EE4D06" w:rsidRPr="00162AB6">
        <w:rPr>
          <w:i/>
        </w:rPr>
        <w:t>Trade Marks Act 1938</w:t>
      </w:r>
      <w:r w:rsidR="00EE4D06" w:rsidRPr="00162AB6">
        <w:t xml:space="preserve"> (UK)</w:t>
      </w:r>
      <w:r w:rsidR="00EE4D06">
        <w:t>.  The latter provision was in the following terms:</w:t>
      </w:r>
    </w:p>
    <w:p w14:paraId="6172040A" w14:textId="77777777" w:rsidR="00EE4D06" w:rsidRDefault="00EE4D06" w:rsidP="00EE4D06">
      <w:pPr>
        <w:pStyle w:val="Quote1"/>
        <w:spacing w:after="240"/>
      </w:pPr>
      <w:r w:rsidRPr="00FA787A">
        <w:rPr>
          <w:shd w:val="clear" w:color="auto" w:fill="FFFFFF" w:themeFill="background1"/>
        </w:rPr>
        <w:t>Where a trade mark consisting of an invented word or invented words has become so well known as respects any goods in respect of which it is registered and in relation to which it has been used that the use thereof in relation to other goods would be likely to be taken as indicating a connexion in the course of trade between those goods and a person entitled to use the trade mark in relation to the first-mentioned goods, then, notwithstanding that the proprietor registered in respect of the first-mentioned goods does not use or propose to use the trade mark in relation to those other goods and notwithstanding anything in the last foregoing section, the trade mark may, on the application in the prescribed manner of the proprietor registered in respect of the first-mentioned goods, be registered in his name in respect of those other goods as a defensive trade mark and, while so registered, shall not be liable to be taken off the register in respect of those goods under the last foregoing section.</w:t>
      </w:r>
    </w:p>
    <w:p w14:paraId="6E11EB24" w14:textId="7B6CA08C" w:rsidR="00EE4D06" w:rsidRDefault="001E3C6B" w:rsidP="001E3C6B">
      <w:pPr>
        <w:pStyle w:val="ParaNumbering"/>
        <w:numPr>
          <w:ilvl w:val="0"/>
          <w:numId w:val="0"/>
        </w:numPr>
        <w:ind w:hanging="720"/>
      </w:pPr>
      <w:r>
        <w:rPr>
          <w:sz w:val="20"/>
        </w:rPr>
        <w:t>305</w:t>
      </w:r>
      <w:r>
        <w:rPr>
          <w:sz w:val="20"/>
        </w:rPr>
        <w:tab/>
      </w:r>
      <w:r w:rsidR="00EE4D06">
        <w:t xml:space="preserve">There are at least two important differences between that provision and s 185(1) of the </w:t>
      </w:r>
      <w:r w:rsidR="00E125EB">
        <w:t xml:space="preserve">TM </w:t>
      </w:r>
      <w:r w:rsidR="00EE4D06">
        <w:t xml:space="preserve">Act.  </w:t>
      </w:r>
      <w:r w:rsidR="00EE4D06" w:rsidRPr="00427B83">
        <w:t>First</w:t>
      </w:r>
      <w:r w:rsidR="00EE4D06">
        <w:t xml:space="preserve">, s 185(1) requires that the mark be “used” to such an “extent” as opposed to it being “so well-known”.  By focusing attention on the extent of the mark’s use as opposed to its fame serves to avoid the inference that defensive registration is available only to “famous” marks: </w:t>
      </w:r>
      <w:r w:rsidR="00EE4D06" w:rsidRPr="00FA787A">
        <w:rPr>
          <w:i/>
        </w:rPr>
        <w:t>Shanahan</w:t>
      </w:r>
      <w:r w:rsidR="00EE4D06">
        <w:rPr>
          <w:i/>
        </w:rPr>
        <w:t>’</w:t>
      </w:r>
      <w:r w:rsidR="00EE4D06" w:rsidRPr="00FA787A">
        <w:rPr>
          <w:i/>
        </w:rPr>
        <w:t>s</w:t>
      </w:r>
      <w:r w:rsidR="00D10EF9">
        <w:t xml:space="preserve"> at</w:t>
      </w:r>
      <w:r w:rsidR="00EE4D06">
        <w:t xml:space="preserve"> </w:t>
      </w:r>
      <w:r w:rsidR="00E125EB">
        <w:t>[60.515]</w:t>
      </w:r>
      <w:r w:rsidR="00EE4D06">
        <w:t xml:space="preserve">.  </w:t>
      </w:r>
      <w:r w:rsidR="00EE4D06" w:rsidRPr="00427B83">
        <w:t>Second</w:t>
      </w:r>
      <w:r w:rsidR="00EE4D06">
        <w:t>, s 185(1) requires connection between the goods and the registered proprietor of the mark, as opposed to “conne</w:t>
      </w:r>
      <w:r w:rsidR="00463290">
        <w:t>x</w:t>
      </w:r>
      <w:r w:rsidR="00EE4D06">
        <w:t>ion in the course of trade”.  That would appear to be a less stringent requirement for registration of the defensive mark.</w:t>
      </w:r>
    </w:p>
    <w:p w14:paraId="4076B96B" w14:textId="4A7B68B4" w:rsidR="00EE4D06" w:rsidRDefault="001E3C6B" w:rsidP="001E3C6B">
      <w:pPr>
        <w:pStyle w:val="ParaNumbering"/>
        <w:numPr>
          <w:ilvl w:val="0"/>
          <w:numId w:val="0"/>
        </w:numPr>
        <w:ind w:hanging="720"/>
      </w:pPr>
      <w:r>
        <w:rPr>
          <w:sz w:val="20"/>
        </w:rPr>
        <w:t>306</w:t>
      </w:r>
      <w:r>
        <w:rPr>
          <w:sz w:val="20"/>
        </w:rPr>
        <w:tab/>
      </w:r>
      <w:r w:rsidR="00EE4D06">
        <w:t xml:space="preserve">Section 27(1) of the </w:t>
      </w:r>
      <w:r w:rsidR="00E125EB" w:rsidRPr="00162AB6">
        <w:rPr>
          <w:i/>
        </w:rPr>
        <w:t>Trade Marks Act 1938</w:t>
      </w:r>
      <w:r w:rsidR="00E125EB" w:rsidRPr="00162AB6">
        <w:t xml:space="preserve"> (UK)</w:t>
      </w:r>
      <w:r w:rsidR="00EE4D06">
        <w:t xml:space="preserve"> first arose for judicial consideration in </w:t>
      </w:r>
      <w:r w:rsidR="00EE4D06" w:rsidRPr="00162AB6">
        <w:rPr>
          <w:i/>
        </w:rPr>
        <w:t xml:space="preserve">Re </w:t>
      </w:r>
      <w:r w:rsidR="00EE4D06" w:rsidRPr="00162AB6">
        <w:rPr>
          <w:b/>
          <w:i/>
        </w:rPr>
        <w:t>Ferodo</w:t>
      </w:r>
      <w:r w:rsidR="00EE4D06" w:rsidRPr="00162AB6">
        <w:rPr>
          <w:i/>
        </w:rPr>
        <w:t xml:space="preserve"> Ltd</w:t>
      </w:r>
      <w:r w:rsidR="00EE4D06" w:rsidRPr="00162AB6">
        <w:t xml:space="preserve"> [1945] Ch 334; 62 RPC 111</w:t>
      </w:r>
      <w:r w:rsidR="00EE4D06">
        <w:t>.  FERODO, an invented word, had been applied continuously and on an increasing scale for nearly 40 years to brake and clutch blocks and linings and similar articles for use on machines of various kinds, including motor cars, but also to a few more domestic articles, namely stair and step trea</w:t>
      </w:r>
      <w:r w:rsidR="0004500E">
        <w:t>d</w:t>
      </w:r>
      <w:r w:rsidR="00EE4D06">
        <w:t>s and covers.  The applicant sought its defensive registration in respect of all the goods comprised in class 5 (Pharmaceutical substances) and class 34 (Tobacco … smokers’ articles and matches).</w:t>
      </w:r>
    </w:p>
    <w:p w14:paraId="25B402BB" w14:textId="46DDEA89" w:rsidR="00EE4D06" w:rsidRDefault="001E3C6B" w:rsidP="001E3C6B">
      <w:pPr>
        <w:pStyle w:val="ParaNumbering"/>
        <w:numPr>
          <w:ilvl w:val="0"/>
          <w:numId w:val="0"/>
        </w:numPr>
        <w:ind w:hanging="720"/>
      </w:pPr>
      <w:r>
        <w:rPr>
          <w:sz w:val="20"/>
        </w:rPr>
        <w:t>307</w:t>
      </w:r>
      <w:r>
        <w:rPr>
          <w:sz w:val="20"/>
        </w:rPr>
        <w:tab/>
      </w:r>
      <w:r w:rsidR="00EE4D06">
        <w:t>Evershed J held that the phrase “as respects any goods etc”, which has its equivalen</w:t>
      </w:r>
      <w:r w:rsidR="00302CE6">
        <w:t>t</w:t>
      </w:r>
      <w:r w:rsidR="00EE4D06">
        <w:t xml:space="preserve"> in s</w:t>
      </w:r>
      <w:r w:rsidR="00302CE6">
        <w:t>s</w:t>
      </w:r>
      <w:r w:rsidR="00523981">
        <w:t> </w:t>
      </w:r>
      <w:r w:rsidR="00EE4D06">
        <w:t>185(1) and 187(d) of the</w:t>
      </w:r>
      <w:r w:rsidR="0004500E">
        <w:t xml:space="preserve"> TM</w:t>
      </w:r>
      <w:r w:rsidR="00EE4D06">
        <w:t xml:space="preserve"> Act the phrase “in relation to the goods”, requires that the knowledge of the mark should be knowledge of it in its application to goods of a specific kind; the conclusion to be reached to justify the defensive registration “must be the inference, in the light of all the known facts, including the general knowledge of the word in its application to the specific goods mentioned, that persons seeing the mark</w:t>
      </w:r>
      <w:r w:rsidR="000D0359">
        <w:t xml:space="preserve"> attached</w:t>
      </w:r>
      <w:r w:rsidR="00EE4D06">
        <w:t xml:space="preserve"> to the new class of goods </w:t>
      </w:r>
      <w:r w:rsidR="00EE4D06">
        <w:lastRenderedPageBreak/>
        <w:t>would assume that they originated from the proprietor of the mark or a registered user”</w:t>
      </w:r>
      <w:r w:rsidR="00FB3851">
        <w:t>: at 337-338</w:t>
      </w:r>
      <w:r w:rsidR="00EE4D06">
        <w:t>.</w:t>
      </w:r>
    </w:p>
    <w:p w14:paraId="5A920B2A" w14:textId="1CF03996" w:rsidR="00190158" w:rsidRDefault="001E3C6B" w:rsidP="001E3C6B">
      <w:pPr>
        <w:pStyle w:val="ParaNumbering"/>
        <w:numPr>
          <w:ilvl w:val="0"/>
          <w:numId w:val="0"/>
        </w:numPr>
        <w:ind w:hanging="720"/>
      </w:pPr>
      <w:r>
        <w:rPr>
          <w:sz w:val="20"/>
        </w:rPr>
        <w:t>308</w:t>
      </w:r>
      <w:r>
        <w:rPr>
          <w:sz w:val="20"/>
        </w:rPr>
        <w:tab/>
      </w:r>
      <w:r w:rsidR="00FB3851">
        <w:t xml:space="preserve">His Lordship held </w:t>
      </w:r>
      <w:r w:rsidR="00EE4D06">
        <w:t>at 338 that in that case</w:t>
      </w:r>
      <w:r w:rsidR="00190158">
        <w:t xml:space="preserve"> it was:</w:t>
      </w:r>
    </w:p>
    <w:p w14:paraId="4EC948EC" w14:textId="6309414C" w:rsidR="00190158" w:rsidRDefault="00EE4D06" w:rsidP="00190158">
      <w:pPr>
        <w:pStyle w:val="Quote1"/>
      </w:pPr>
      <w:r>
        <w:t xml:space="preserve">necessary to show that the word </w:t>
      </w:r>
      <w:r w:rsidR="00A22B41">
        <w:t>[</w:t>
      </w:r>
      <w:r>
        <w:t>FERODO had] become so well-known in its application to goods of a specific kind, that is, brake and clutch linings and the like</w:t>
      </w:r>
      <w:r w:rsidR="008A482C">
        <w:t xml:space="preserve"> </w:t>
      </w:r>
      <w:r>
        <w:t>…, that its use in relation to ‘other goods’ in classes 5 and 34 – for example, when applied to a bottle of aspirin tablets or a packet of cigarettes – would be likely to lead persons buying or observing those ‘other goods’ – for example, the aspirin tablets or the cigarettes – to suppose that they too originated from the same persons who made and marketed F</w:t>
      </w:r>
      <w:r w:rsidR="00A2578B">
        <w:t>e</w:t>
      </w:r>
      <w:r>
        <w:t>rodo brake and clutch blocks and li</w:t>
      </w:r>
      <w:r w:rsidR="00190158">
        <w:t>nings, namely, the applicants.</w:t>
      </w:r>
      <w:r>
        <w:t xml:space="preserve"> </w:t>
      </w:r>
    </w:p>
    <w:p w14:paraId="05D99701" w14:textId="6DFB869B" w:rsidR="00EE4D06" w:rsidRDefault="00A2578B" w:rsidP="00A2578B">
      <w:pPr>
        <w:pStyle w:val="Quote1"/>
      </w:pPr>
      <w:r>
        <w:t xml:space="preserve">… [Thus] </w:t>
      </w:r>
      <w:r w:rsidR="00EE4D06">
        <w:t>the nature of the goods ‘in respect of which’ the trade</w:t>
      </w:r>
      <w:r w:rsidR="005F1761">
        <w:t xml:space="preserve"> </w:t>
      </w:r>
      <w:r w:rsidR="00EE4D06">
        <w:t>mark ‘is registered … and used’ is an important factor, for generally speaking the more special in character those goods are, and the more limited their market, the less likely will be the inference required by the sub</w:t>
      </w:r>
      <w:r w:rsidR="00EE4D06" w:rsidRPr="0004500E">
        <w:t>-</w:t>
      </w:r>
      <w:r w:rsidR="00EE4D06">
        <w:t>section to be drawn in relation to the goods of a very special kind.</w:t>
      </w:r>
    </w:p>
    <w:p w14:paraId="0782B764" w14:textId="30A74AE0" w:rsidR="00EE4D06" w:rsidRDefault="001E3C6B" w:rsidP="001E3C6B">
      <w:pPr>
        <w:pStyle w:val="ParaNumbering"/>
        <w:numPr>
          <w:ilvl w:val="0"/>
          <w:numId w:val="0"/>
        </w:numPr>
        <w:ind w:hanging="720"/>
      </w:pPr>
      <w:r>
        <w:rPr>
          <w:sz w:val="20"/>
        </w:rPr>
        <w:t>309</w:t>
      </w:r>
      <w:r>
        <w:rPr>
          <w:sz w:val="20"/>
        </w:rPr>
        <w:tab/>
      </w:r>
      <w:r w:rsidR="00EE4D06">
        <w:t>It was suggested in argument</w:t>
      </w:r>
      <w:r w:rsidR="006C231C">
        <w:t xml:space="preserve"> in that case</w:t>
      </w:r>
      <w:r w:rsidR="00EE4D06">
        <w:t xml:space="preserve"> that some trade marks, with </w:t>
      </w:r>
      <w:r w:rsidR="00A2578B">
        <w:t xml:space="preserve">BOVRIL </w:t>
      </w:r>
      <w:r w:rsidR="00EE4D06">
        <w:t xml:space="preserve">and </w:t>
      </w:r>
      <w:r w:rsidR="00A2578B">
        <w:t>KODAK</w:t>
      </w:r>
      <w:r w:rsidR="00EE4D06">
        <w:t xml:space="preserve"> being given as examples, are so well-known in one particular field that the use by any person other than the proprietor in respect of any goods whatsoever would prima facie suggest an association of such goods with the proprietors of the marks.  His Lordship was not satisfied with the soundness </w:t>
      </w:r>
      <w:r w:rsidR="00FB3851">
        <w:t xml:space="preserve">of that proposition, reasoning </w:t>
      </w:r>
      <w:r w:rsidR="00EE4D06">
        <w:t>at 338</w:t>
      </w:r>
      <w:r w:rsidR="006C231C">
        <w:t>-339</w:t>
      </w:r>
      <w:r w:rsidR="00EE4D06">
        <w:t xml:space="preserve"> as follows:</w:t>
      </w:r>
    </w:p>
    <w:p w14:paraId="3CC22961" w14:textId="11290144" w:rsidR="00EE4D06" w:rsidRDefault="00EE4D06" w:rsidP="00EE4D06">
      <w:pPr>
        <w:pStyle w:val="Quote1"/>
      </w:pPr>
      <w:r>
        <w:t>Words do not become known as words without any significance or without appreciation of the things for which they indicate, and so far as trade marks are concerned it may well be that the better</w:t>
      </w:r>
      <w:r w:rsidR="006C231C">
        <w:t xml:space="preserve"> </w:t>
      </w:r>
      <w:r>
        <w:t xml:space="preserve">known the words become the more closely </w:t>
      </w:r>
      <w:r w:rsidR="006C231C">
        <w:t xml:space="preserve">are </w:t>
      </w:r>
      <w:r>
        <w:t>they associated in the public mind with the class of articles to which they are in the course of trade applied. … if, for example, Bovril is well</w:t>
      </w:r>
      <w:r w:rsidR="006C231C">
        <w:t xml:space="preserve"> </w:t>
      </w:r>
      <w:r>
        <w:t>known to the great majority of the population of this island, and if it is so known as indicating a particular kind of foodstuff, then, on that very ground, the application of the word to, say, a typewriting machine, might well be held not to be in the least degree likely to lead to the indication referred to in the sub-section.</w:t>
      </w:r>
    </w:p>
    <w:p w14:paraId="7FBA54F6" w14:textId="403AF3C9" w:rsidR="00EE4D06" w:rsidRPr="008E0B8E" w:rsidRDefault="001E3C6B" w:rsidP="001E3C6B">
      <w:pPr>
        <w:pStyle w:val="ParaNumbering"/>
        <w:numPr>
          <w:ilvl w:val="0"/>
          <w:numId w:val="0"/>
        </w:numPr>
        <w:ind w:hanging="720"/>
      </w:pPr>
      <w:r w:rsidRPr="008E0B8E">
        <w:rPr>
          <w:sz w:val="20"/>
        </w:rPr>
        <w:t>310</w:t>
      </w:r>
      <w:r w:rsidRPr="008E0B8E">
        <w:rPr>
          <w:sz w:val="20"/>
        </w:rPr>
        <w:tab/>
      </w:r>
      <w:r w:rsidR="00EE4D06">
        <w:t>In the particular case, his Lordship held that “the somewhat narrow and special field of manufacture to which the mark [FERODO] has been applied and become known increases the difficulty of establishing, as a matter of fact, that the adoption of the word ‘in relation to’ goods of a widely different character would be likely, according to the standard of common sense, t</w:t>
      </w:r>
      <w:r w:rsidR="00EE4D06" w:rsidRPr="008E0B8E">
        <w:t>o lead t</w:t>
      </w:r>
      <w:r w:rsidR="00FB3851">
        <w:t>o an inference of common origin</w:t>
      </w:r>
      <w:r w:rsidR="00EE4D06" w:rsidRPr="008E0B8E">
        <w:t>”</w:t>
      </w:r>
      <w:r w:rsidR="00FB3851">
        <w:t>: at 339.</w:t>
      </w:r>
    </w:p>
    <w:p w14:paraId="2A5A62B2" w14:textId="4F27AD94" w:rsidR="00EE4D06" w:rsidRDefault="001E3C6B" w:rsidP="001E3C6B">
      <w:pPr>
        <w:pStyle w:val="ParaNumbering"/>
        <w:numPr>
          <w:ilvl w:val="0"/>
          <w:numId w:val="0"/>
        </w:numPr>
        <w:ind w:hanging="720"/>
      </w:pPr>
      <w:r>
        <w:rPr>
          <w:sz w:val="20"/>
        </w:rPr>
        <w:t>311</w:t>
      </w:r>
      <w:r>
        <w:rPr>
          <w:sz w:val="20"/>
        </w:rPr>
        <w:tab/>
      </w:r>
      <w:r w:rsidR="00EE4D06" w:rsidRPr="008E0B8E">
        <w:t>Although, as I have indicated, the section under which that case was decided had two important differences to the relevant Australian provisions, the reasoning of his Lor</w:t>
      </w:r>
      <w:r w:rsidR="00EE4D06">
        <w:t>dship in relation to the importance of the connection between the mark in question and the particular goods in respect of which it is used and registered is equally apposite in the present context.</w:t>
      </w:r>
    </w:p>
    <w:p w14:paraId="68890DEB" w14:textId="0960519D" w:rsidR="00EE4D06" w:rsidRDefault="001E3C6B" w:rsidP="001E3C6B">
      <w:pPr>
        <w:pStyle w:val="ParaNumbering"/>
        <w:numPr>
          <w:ilvl w:val="0"/>
          <w:numId w:val="0"/>
        </w:numPr>
        <w:ind w:hanging="720"/>
      </w:pPr>
      <w:r>
        <w:rPr>
          <w:sz w:val="20"/>
        </w:rPr>
        <w:lastRenderedPageBreak/>
        <w:t>312</w:t>
      </w:r>
      <w:r>
        <w:rPr>
          <w:sz w:val="20"/>
        </w:rPr>
        <w:tab/>
      </w:r>
      <w:r w:rsidR="00EE4D06">
        <w:t>Although the registered defensive mark does not have to be famous, a</w:t>
      </w:r>
      <w:r w:rsidR="00240C8E">
        <w:t>nd neither s 185(1) nor s </w:t>
      </w:r>
      <w:r w:rsidR="00EE4D06">
        <w:t xml:space="preserve">187 uses the word reputation, it is obvious that the mark must have </w:t>
      </w:r>
      <w:r w:rsidR="000B25A1">
        <w:t>some</w:t>
      </w:r>
      <w:r w:rsidR="00EE4D06">
        <w:t xml:space="preserve"> reputation in relation to all or some of the goods and services in respect of which it is </w:t>
      </w:r>
      <w:r w:rsidR="005949F5">
        <w:t xml:space="preserve">non-defensively </w:t>
      </w:r>
      <w:r w:rsidR="00EE4D06">
        <w:t>registered.  That is because without</w:t>
      </w:r>
      <w:r w:rsidR="000C15DE">
        <w:t xml:space="preserve"> that reputation the (unauthoris</w:t>
      </w:r>
      <w:r w:rsidR="00EE4D06">
        <w:t>ed) use of the mark in relation to other goods or services would not be likely to suggest a connection with the owner of the registered mark.</w:t>
      </w:r>
    </w:p>
    <w:p w14:paraId="6CE7E69B" w14:textId="608C81E6" w:rsidR="00EE4D06" w:rsidRDefault="001E3C6B" w:rsidP="001E3C6B">
      <w:pPr>
        <w:pStyle w:val="ParaNumbering"/>
        <w:numPr>
          <w:ilvl w:val="0"/>
          <w:numId w:val="0"/>
        </w:numPr>
        <w:ind w:hanging="720"/>
      </w:pPr>
      <w:r>
        <w:rPr>
          <w:sz w:val="20"/>
        </w:rPr>
        <w:t>313</w:t>
      </w:r>
      <w:r>
        <w:rPr>
          <w:sz w:val="20"/>
        </w:rPr>
        <w:tab/>
      </w:r>
      <w:r w:rsidR="00EE4D06">
        <w:t xml:space="preserve">The question arises as to the onus of proof.  In </w:t>
      </w:r>
      <w:r w:rsidR="00EE4D06" w:rsidRPr="00A44BD7">
        <w:rPr>
          <w:i/>
        </w:rPr>
        <w:t>Health World</w:t>
      </w:r>
      <w:r w:rsidR="00EE4D06">
        <w:t xml:space="preserve"> (at [23]-[26]) it was explained that if an application is made to have a mark registered there are two opportunities for registration to be prevented and, if a mark has been registered, there is a further opportunity to have the </w:t>
      </w:r>
      <w:r w:rsidR="0004500E">
        <w:t xml:space="preserve">register </w:t>
      </w:r>
      <w:r w:rsidR="00EE4D06">
        <w:t xml:space="preserve">adjusted.  </w:t>
      </w:r>
      <w:r w:rsidR="008157B7">
        <w:t xml:space="preserve">The first opportunity is when the application is lodged.  </w:t>
      </w:r>
      <w:r w:rsidR="00EE4D06">
        <w:t>The second opportunity referred to is if the application for registration is accepted, a party who wishes to oppose registration can do so pursuant to s 52 of the TM Act.  The third opportunity is that a person who is “aggrieved” by the registration of a mark can have recourse under s 88 or s 92 to have a mark amended, cancelled or removed.</w:t>
      </w:r>
    </w:p>
    <w:p w14:paraId="1786BA47" w14:textId="514BB5DB" w:rsidR="00EE4D06" w:rsidRDefault="001E3C6B" w:rsidP="001E3C6B">
      <w:pPr>
        <w:pStyle w:val="ParaNumbering"/>
        <w:numPr>
          <w:ilvl w:val="0"/>
          <w:numId w:val="0"/>
        </w:numPr>
        <w:ind w:hanging="720"/>
      </w:pPr>
      <w:r>
        <w:rPr>
          <w:sz w:val="20"/>
        </w:rPr>
        <w:t>314</w:t>
      </w:r>
      <w:r>
        <w:rPr>
          <w:sz w:val="20"/>
        </w:rPr>
        <w:tab/>
      </w:r>
      <w:r w:rsidR="00EE4D06">
        <w:t xml:space="preserve">In respect of the second opportunity, opposition, it was held in </w:t>
      </w:r>
      <w:r w:rsidR="00EE4D06" w:rsidRPr="000D4550">
        <w:rPr>
          <w:b/>
          <w:i/>
        </w:rPr>
        <w:t>Food Channel</w:t>
      </w:r>
      <w:r w:rsidR="00EE4D06" w:rsidRPr="00162AB6">
        <w:rPr>
          <w:i/>
        </w:rPr>
        <w:t xml:space="preserve"> Network Pty Ltd v Television Food Network GP</w:t>
      </w:r>
      <w:r w:rsidR="00EE4D06" w:rsidRPr="00162AB6">
        <w:t xml:space="preserve"> [2010] FCAFC 58; 185 FCR 9</w:t>
      </w:r>
      <w:r w:rsidR="00EE4D06">
        <w:t xml:space="preserve"> (at [14]-[40]</w:t>
      </w:r>
      <w:r w:rsidR="005B5254">
        <w:t xml:space="preserve"> per </w:t>
      </w:r>
      <w:r w:rsidR="005B5254" w:rsidRPr="005B5254">
        <w:t>Keane CJ, Stone and Jagot JJ</w:t>
      </w:r>
      <w:r w:rsidR="00EE4D06">
        <w:t>) that the onus of proof lies on the opposing party to prove the ground of opposition relied on.  That reasoning applies equally to an application for amendment or cancellation.  Thus, the party applying for cancellation of a defensive mark under s 88(2)(a) on one of the grounds on which the registration of the trade mark as a defensive mark could have been opposed under the TM Act bears the onus of establishing that ground of opposition.  That must be so because otherwise such a party would be in a better position applying to cancel a mark than it would have been in had it opposed the registration of the mark.  That would be illogical.</w:t>
      </w:r>
    </w:p>
    <w:p w14:paraId="26A4F3E9" w14:textId="3E7CB580" w:rsidR="00EE4D06" w:rsidRDefault="001E3C6B" w:rsidP="001E3C6B">
      <w:pPr>
        <w:pStyle w:val="ParaNumbering"/>
        <w:numPr>
          <w:ilvl w:val="0"/>
          <w:numId w:val="0"/>
        </w:numPr>
        <w:ind w:hanging="720"/>
      </w:pPr>
      <w:r>
        <w:rPr>
          <w:sz w:val="20"/>
        </w:rPr>
        <w:t>315</w:t>
      </w:r>
      <w:r>
        <w:rPr>
          <w:sz w:val="20"/>
        </w:rPr>
        <w:tab/>
      </w:r>
      <w:r w:rsidR="00EE4D06">
        <w:t>Thus, in the present case, it is Self Care that bears the onus of establishing that it is not likely that the use of the trade</w:t>
      </w:r>
      <w:r w:rsidR="005F1761">
        <w:t xml:space="preserve"> </w:t>
      </w:r>
      <w:r w:rsidR="00EE4D06">
        <w:t>mark B</w:t>
      </w:r>
      <w:r w:rsidR="00792F6D">
        <w:t>OTOX</w:t>
      </w:r>
      <w:r w:rsidR="00EE4D06">
        <w:t xml:space="preserve"> in relation to the goods in respect of which it is registered as a defensive mark will be taken to indicate that there is a connection between those goods or services and the registered owner.</w:t>
      </w:r>
    </w:p>
    <w:p w14:paraId="212DFB60" w14:textId="1377549F" w:rsidR="00EE4D06" w:rsidRDefault="001E3C6B" w:rsidP="001E3C6B">
      <w:pPr>
        <w:pStyle w:val="Heading3"/>
        <w:ind w:left="720" w:hanging="360"/>
      </w:pPr>
      <w:bookmarkStart w:id="94" w:name="_Ref54701594"/>
      <w:r>
        <w:t>(3)</w:t>
      </w:r>
      <w:r>
        <w:tab/>
      </w:r>
      <w:r w:rsidR="00EE4D06">
        <w:t>Submissions</w:t>
      </w:r>
      <w:bookmarkEnd w:id="94"/>
    </w:p>
    <w:p w14:paraId="7C116185" w14:textId="59830C2F" w:rsidR="00EE4D06" w:rsidRDefault="001E3C6B" w:rsidP="001E3C6B">
      <w:pPr>
        <w:pStyle w:val="ParaNumbering"/>
        <w:numPr>
          <w:ilvl w:val="0"/>
          <w:numId w:val="0"/>
        </w:numPr>
        <w:ind w:hanging="720"/>
      </w:pPr>
      <w:r>
        <w:rPr>
          <w:sz w:val="20"/>
        </w:rPr>
        <w:t>316</w:t>
      </w:r>
      <w:r>
        <w:rPr>
          <w:sz w:val="20"/>
        </w:rPr>
        <w:tab/>
      </w:r>
      <w:r w:rsidR="00EE4D06">
        <w:t>Self Care submits that use of the word BOTOX in relation to any of the class 3 goods is not likely to be taken to indicate a connection between those goods and Allergan.  It makes the following submissions in that regard.</w:t>
      </w:r>
    </w:p>
    <w:p w14:paraId="41D72EBE" w14:textId="30DE417C" w:rsidR="00EE4D06" w:rsidRDefault="001E3C6B" w:rsidP="001E3C6B">
      <w:pPr>
        <w:pStyle w:val="ParaNumbering"/>
        <w:numPr>
          <w:ilvl w:val="0"/>
          <w:numId w:val="0"/>
        </w:numPr>
        <w:ind w:hanging="720"/>
      </w:pPr>
      <w:r>
        <w:rPr>
          <w:sz w:val="20"/>
        </w:rPr>
        <w:lastRenderedPageBreak/>
        <w:t>317</w:t>
      </w:r>
      <w:r>
        <w:rPr>
          <w:sz w:val="20"/>
        </w:rPr>
        <w:tab/>
      </w:r>
      <w:r w:rsidR="00EE4D06" w:rsidRPr="00427B83">
        <w:t>First</w:t>
      </w:r>
      <w:r w:rsidR="00EE4D06" w:rsidRPr="00161FFE">
        <w:t>,</w:t>
      </w:r>
      <w:r w:rsidR="00EE4D06">
        <w:t xml:space="preserve"> it submits that the various </w:t>
      </w:r>
      <w:r w:rsidR="0004500E">
        <w:t>c</w:t>
      </w:r>
      <w:r w:rsidR="00EE4D06">
        <w:t>lass 3 topical cosmetic products do not ordinarily share a common trade source with injectable products such as Botox. It submits that Allergan’s evidence does not demonstrate a single example of a brand of injectable product that is also a brand of topical cosmetic product.  It also points to evidence that Allergan’s marketing materials make it clear that Allergan is not in the business of providing skincare products and that consumers should seek advice elsewhere if they wish to know what products they should use.</w:t>
      </w:r>
    </w:p>
    <w:p w14:paraId="7728F993" w14:textId="4469FB66" w:rsidR="00EE4D06" w:rsidRDefault="001E3C6B" w:rsidP="001E3C6B">
      <w:pPr>
        <w:pStyle w:val="ParaNumbering"/>
        <w:numPr>
          <w:ilvl w:val="0"/>
          <w:numId w:val="0"/>
        </w:numPr>
        <w:ind w:hanging="720"/>
      </w:pPr>
      <w:r>
        <w:rPr>
          <w:sz w:val="20"/>
        </w:rPr>
        <w:t>318</w:t>
      </w:r>
      <w:r>
        <w:rPr>
          <w:sz w:val="20"/>
        </w:rPr>
        <w:tab/>
      </w:r>
      <w:r w:rsidR="00EE4D06" w:rsidRPr="00427B83">
        <w:t>Second</w:t>
      </w:r>
      <w:r w:rsidR="00EE4D06" w:rsidRPr="00161FFE">
        <w:t>,</w:t>
      </w:r>
      <w:r w:rsidR="00EE4D06">
        <w:t xml:space="preserve"> Self Care submits that the manner in which, and the persons to whom, the goods are supplied (which is to say the trade channels) are different in kind.  It submits that Self Care’s products are sold to a consumer market in retail stores whereas injectable products such as Botox are sold only to medical practitioners in highly regulated circumstances and at high cost.  Self Care submits that these differences in the sources and trade channels of the respective product types reflect the underlying fact that the two forms of business are very different and involve different kn</w:t>
      </w:r>
      <w:r w:rsidR="00D11648">
        <w:t>ow-how and expertise.</w:t>
      </w:r>
    </w:p>
    <w:p w14:paraId="79FB7256" w14:textId="3BC30A2C" w:rsidR="00EE4D06" w:rsidRDefault="001E3C6B" w:rsidP="001E3C6B">
      <w:pPr>
        <w:pStyle w:val="ParaNumbering"/>
        <w:numPr>
          <w:ilvl w:val="0"/>
          <w:numId w:val="0"/>
        </w:numPr>
        <w:ind w:hanging="720"/>
      </w:pPr>
      <w:r>
        <w:rPr>
          <w:sz w:val="20"/>
        </w:rPr>
        <w:t>319</w:t>
      </w:r>
      <w:r>
        <w:rPr>
          <w:sz w:val="20"/>
        </w:rPr>
        <w:tab/>
      </w:r>
      <w:r w:rsidR="00EE4D06" w:rsidRPr="00427B83">
        <w:t>Third</w:t>
      </w:r>
      <w:r w:rsidR="00EE4D06" w:rsidRPr="00161FFE">
        <w:t>,</w:t>
      </w:r>
      <w:r w:rsidR="00EE4D06">
        <w:t xml:space="preserve"> Self Care submits that it is relevant that amongst ordinary reasonable consumers the word </w:t>
      </w:r>
      <w:r w:rsidR="000C15DE">
        <w:t>BOTOX</w:t>
      </w:r>
      <w:r w:rsidR="00EE4D06">
        <w:t xml:space="preserve"> is frequently used in a general sense to refer to a category of product, being anti-wrinkle injections, rather than a brand.  It submits that the existence of that general meaning of the word makes it less likely that a consumer would draw from it a connection of trade association between topical cosmetic pr</w:t>
      </w:r>
      <w:r w:rsidR="00D11648">
        <w:t>oducts and injectable products.</w:t>
      </w:r>
    </w:p>
    <w:p w14:paraId="3E5E49D9" w14:textId="513D67C6" w:rsidR="00EE4D06" w:rsidRDefault="001E3C6B" w:rsidP="001E3C6B">
      <w:pPr>
        <w:pStyle w:val="ParaNumbering"/>
        <w:numPr>
          <w:ilvl w:val="0"/>
          <w:numId w:val="0"/>
        </w:numPr>
        <w:ind w:hanging="720"/>
      </w:pPr>
      <w:r>
        <w:rPr>
          <w:sz w:val="20"/>
        </w:rPr>
        <w:t>320</w:t>
      </w:r>
      <w:r>
        <w:rPr>
          <w:sz w:val="20"/>
        </w:rPr>
        <w:tab/>
      </w:r>
      <w:r w:rsidR="00EE4D06">
        <w:t>Allergan submits that the class 3 goods are related in the sense that they include products for cosmetic use such as anti-ageing creams, cosmetics, serums, and so on.  Implicit in this submission is the contention that Botox is a similar type of product.  Allergan also points to an apparent paradox in Self Care’s case, namely that by using phrases such as “instant Botox alternative” it seeks to associate its products, which are class 3 products, with Botox, but at the same time contends that the products are so different that if they had the same name they would not be thought to be connected in the course of trade.</w:t>
      </w:r>
    </w:p>
    <w:p w14:paraId="4243E65E" w14:textId="0C73CAF2" w:rsidR="00EE4D06" w:rsidRDefault="001E3C6B" w:rsidP="001E3C6B">
      <w:pPr>
        <w:pStyle w:val="ParaNumbering"/>
        <w:numPr>
          <w:ilvl w:val="0"/>
          <w:numId w:val="0"/>
        </w:numPr>
        <w:ind w:hanging="720"/>
      </w:pPr>
      <w:r>
        <w:rPr>
          <w:sz w:val="20"/>
        </w:rPr>
        <w:t>321</w:t>
      </w:r>
      <w:r>
        <w:rPr>
          <w:sz w:val="20"/>
        </w:rPr>
        <w:tab/>
      </w:r>
      <w:r w:rsidR="00EE4D06">
        <w:t xml:space="preserve">Allergan also relies on BOTOX being an invented word and Self Care’s use of “Botox®” which, it submits, is not a use referring to botulinum toxin injections but rather </w:t>
      </w:r>
      <w:r w:rsidR="0004500E">
        <w:t>draws</w:t>
      </w:r>
      <w:r w:rsidR="00EE4D06">
        <w:t xml:space="preserve"> a connection between Self Care’s</w:t>
      </w:r>
      <w:r w:rsidR="00D11648">
        <w:t xml:space="preserve"> products and the BOTOX </w:t>
      </w:r>
      <w:r w:rsidR="000D0359">
        <w:t>mark</w:t>
      </w:r>
      <w:r w:rsidR="00D11648">
        <w:t>.</w:t>
      </w:r>
    </w:p>
    <w:p w14:paraId="41E98A80" w14:textId="70A887EF" w:rsidR="00EE4D06" w:rsidRDefault="001E3C6B" w:rsidP="001E3C6B">
      <w:pPr>
        <w:pStyle w:val="ParaNumbering"/>
        <w:numPr>
          <w:ilvl w:val="0"/>
          <w:numId w:val="0"/>
        </w:numPr>
        <w:ind w:hanging="720"/>
      </w:pPr>
      <w:r>
        <w:rPr>
          <w:sz w:val="20"/>
        </w:rPr>
        <w:lastRenderedPageBreak/>
        <w:t>322</w:t>
      </w:r>
      <w:r>
        <w:rPr>
          <w:sz w:val="20"/>
        </w:rPr>
        <w:tab/>
      </w:r>
      <w:r w:rsidR="00EE4D06">
        <w:t xml:space="preserve">Allergan relies on the extensive reputation of </w:t>
      </w:r>
      <w:r w:rsidR="00240C8E">
        <w:t xml:space="preserve">BOTOX </w:t>
      </w:r>
      <w:r w:rsidR="00EE4D06">
        <w:t>and submits that Self Care’s attack on the 426 defensive mark falls well short of est</w:t>
      </w:r>
      <w:r w:rsidR="00240C8E">
        <w:t>ablishing what is required by s </w:t>
      </w:r>
      <w:r w:rsidR="00EE4D06">
        <w:t>187(d)</w:t>
      </w:r>
      <w:r w:rsidR="00FB3851">
        <w:t xml:space="preserve"> of the TM Act</w:t>
      </w:r>
      <w:r w:rsidR="00D11648">
        <w:t>.</w:t>
      </w:r>
    </w:p>
    <w:p w14:paraId="37732EFC" w14:textId="769942E7" w:rsidR="00EE4D06" w:rsidRDefault="001E3C6B" w:rsidP="001E3C6B">
      <w:pPr>
        <w:pStyle w:val="ParaNumbering"/>
        <w:numPr>
          <w:ilvl w:val="0"/>
          <w:numId w:val="0"/>
        </w:numPr>
        <w:ind w:hanging="720"/>
      </w:pPr>
      <w:r>
        <w:rPr>
          <w:sz w:val="20"/>
        </w:rPr>
        <w:t>323</w:t>
      </w:r>
      <w:r>
        <w:rPr>
          <w:sz w:val="20"/>
        </w:rPr>
        <w:tab/>
      </w:r>
      <w:r w:rsidR="00EE4D06">
        <w:t>Allergan submits that it is not a particularly far stretch to go from a trade mark used in respect of a product which is for use in “a cosmetic minimally invasive procedure” (being Botox) to use in respect of cosmeti</w:t>
      </w:r>
      <w:r w:rsidR="00EE4D06" w:rsidRPr="004F5424">
        <w:t>c products themselves (being the class 3 goods).  It submits that whilst the products are in one sense quite different, they are nevertheless aimed at the same cosmetic outcome and have the same or sub</w:t>
      </w:r>
      <w:r w:rsidR="00D11648">
        <w:t>stantially overlapping markets.</w:t>
      </w:r>
    </w:p>
    <w:p w14:paraId="58DE5542" w14:textId="48DBF8B3" w:rsidR="00EE4D06" w:rsidRDefault="001E3C6B" w:rsidP="001E3C6B">
      <w:pPr>
        <w:pStyle w:val="Heading3"/>
        <w:ind w:left="720" w:hanging="360"/>
      </w:pPr>
      <w:bookmarkStart w:id="95" w:name="_Ref54701595"/>
      <w:r>
        <w:t>(4)</w:t>
      </w:r>
      <w:r>
        <w:tab/>
      </w:r>
      <w:r w:rsidR="00EE4D06">
        <w:t>Consideration</w:t>
      </w:r>
      <w:bookmarkEnd w:id="95"/>
    </w:p>
    <w:p w14:paraId="6479AB67" w14:textId="4286CFBA" w:rsidR="00EE4D06" w:rsidRDefault="001E3C6B" w:rsidP="001E3C6B">
      <w:pPr>
        <w:pStyle w:val="ParaNumbering"/>
        <w:numPr>
          <w:ilvl w:val="0"/>
          <w:numId w:val="0"/>
        </w:numPr>
        <w:ind w:hanging="720"/>
      </w:pPr>
      <w:r>
        <w:rPr>
          <w:sz w:val="20"/>
        </w:rPr>
        <w:t>324</w:t>
      </w:r>
      <w:r>
        <w:rPr>
          <w:sz w:val="20"/>
        </w:rPr>
        <w:tab/>
      </w:r>
      <w:r w:rsidR="00EE4D06">
        <w:t xml:space="preserve">As indicated, the registration of the 426 defensive mark is in relation to a long list of goods in </w:t>
      </w:r>
      <w:r w:rsidR="0004500E">
        <w:t xml:space="preserve">class </w:t>
      </w:r>
      <w:r w:rsidR="00EE4D06">
        <w:t xml:space="preserve">3.  The </w:t>
      </w:r>
      <w:r w:rsidR="00EE4D06" w:rsidRPr="00C22BE7">
        <w:rPr>
          <w:i/>
        </w:rPr>
        <w:t>Nice Classification</w:t>
      </w:r>
      <w:r w:rsidR="00EE4D06">
        <w:t xml:space="preserve"> (10</w:t>
      </w:r>
      <w:r w:rsidR="00EE4D06" w:rsidRPr="00C22BE7">
        <w:rPr>
          <w:vertAlign w:val="superscript"/>
        </w:rPr>
        <w:t>th</w:t>
      </w:r>
      <w:r w:rsidR="00EE4D06">
        <w:t xml:space="preserve"> ed</w:t>
      </w:r>
      <w:r w:rsidR="000C15DE">
        <w:t>.</w:t>
      </w:r>
      <w:r w:rsidR="00EE4D06">
        <w:t xml:space="preserve">, 2011) applied as at the priority date.  The class heading for </w:t>
      </w:r>
      <w:r w:rsidR="0004500E">
        <w:t>c</w:t>
      </w:r>
      <w:r w:rsidR="00EE4D06">
        <w:t>lass 3 was “</w:t>
      </w:r>
      <w:r w:rsidR="00EE4D06" w:rsidRPr="00C22BE7">
        <w:t>Bleaching preparations and other substances for laundry use; cleaning, polishing,</w:t>
      </w:r>
      <w:r w:rsidR="00EE4D06">
        <w:t xml:space="preserve"> </w:t>
      </w:r>
      <w:r w:rsidR="00EE4D06" w:rsidRPr="00C22BE7">
        <w:t>scouring and abrasive preparations; soaps; perfumery, essential oils, cosmetics,</w:t>
      </w:r>
      <w:r w:rsidR="00EE4D06">
        <w:t xml:space="preserve"> </w:t>
      </w:r>
      <w:r w:rsidR="00EE4D06" w:rsidRPr="00C22BE7">
        <w:t>hair lotions; dentifrices</w:t>
      </w:r>
      <w:r w:rsidR="00EE4D06">
        <w:t xml:space="preserve">.”  With reference to the list of goods in the registration, it is apparent that the subheadings “soaps; perfumery, essential oils, cosmetics, hair lotions” are the ones within which </w:t>
      </w:r>
      <w:r w:rsidR="001F1183">
        <w:t>Self Care</w:t>
      </w:r>
      <w:r w:rsidR="0004500E">
        <w:t xml:space="preserve">’s class 3 </w:t>
      </w:r>
      <w:r w:rsidR="00EE4D06">
        <w:t>goods would be classified.</w:t>
      </w:r>
    </w:p>
    <w:p w14:paraId="2AB173DF" w14:textId="7FE65639" w:rsidR="00EE4D06" w:rsidRDefault="001E3C6B" w:rsidP="001E3C6B">
      <w:pPr>
        <w:pStyle w:val="ParaNumbering"/>
        <w:numPr>
          <w:ilvl w:val="0"/>
          <w:numId w:val="0"/>
        </w:numPr>
        <w:ind w:hanging="720"/>
      </w:pPr>
      <w:r>
        <w:rPr>
          <w:sz w:val="20"/>
        </w:rPr>
        <w:t>325</w:t>
      </w:r>
      <w:r>
        <w:rPr>
          <w:sz w:val="20"/>
        </w:rPr>
        <w:tab/>
      </w:r>
      <w:r w:rsidR="00EE4D06">
        <w:t>The question is thus whether it is likely that the use of the trade mark BOTOX in relation to any of the class 3 goods would be taken to indicate that there is a connection between those goods and Allergan, being the registered owner of the BOTOX trade mark.</w:t>
      </w:r>
    </w:p>
    <w:p w14:paraId="74B7099A" w14:textId="294CBC73" w:rsidR="00EE4D06" w:rsidRDefault="001E3C6B" w:rsidP="001E3C6B">
      <w:pPr>
        <w:pStyle w:val="ParaNumbering"/>
        <w:numPr>
          <w:ilvl w:val="0"/>
          <w:numId w:val="0"/>
        </w:numPr>
        <w:ind w:hanging="720"/>
      </w:pPr>
      <w:r>
        <w:rPr>
          <w:sz w:val="20"/>
        </w:rPr>
        <w:t>326</w:t>
      </w:r>
      <w:r>
        <w:rPr>
          <w:sz w:val="20"/>
        </w:rPr>
        <w:tab/>
      </w:r>
      <w:r w:rsidR="00EE4D06">
        <w:t>The evidence of the ubiquitou</w:t>
      </w:r>
      <w:r w:rsidR="00EE4D06" w:rsidRPr="0071790B">
        <w:t>s reputation of BOTOX is overwhelming</w:t>
      </w:r>
      <w:r w:rsidR="009C37C8">
        <w:t>.  T</w:t>
      </w:r>
      <w:r w:rsidR="00EE4D06" w:rsidRPr="0071790B">
        <w:t>hat reputation is not contested.  Indeed, Self Care’s own attempts a</w:t>
      </w:r>
      <w:r w:rsidR="00FB3851">
        <w:t>t</w:t>
      </w:r>
      <w:r w:rsidR="00EE4D06" w:rsidRPr="0071790B">
        <w:t xml:space="preserve"> differentiating its products from B</w:t>
      </w:r>
      <w:r w:rsidR="00792F6D">
        <w:t>otox</w:t>
      </w:r>
      <w:r w:rsidR="00EE4D06" w:rsidRPr="0071790B">
        <w:t xml:space="preserve"> as evidenced by the various phrases about whi</w:t>
      </w:r>
      <w:r w:rsidR="00EE4D06" w:rsidRPr="00A44CB8">
        <w:t>ch Allergan complains is itself indicative of the widespread reputation of BOTOX – if BOTOX did not have that reputatio</w:t>
      </w:r>
      <w:r w:rsidR="00EE4D06">
        <w:t>n no purpose would be served by comparing and contrasting Self Care’s products with Botox.</w:t>
      </w:r>
    </w:p>
    <w:p w14:paraId="2CF83FC0" w14:textId="20D51328" w:rsidR="00EE4D06" w:rsidRDefault="001E3C6B" w:rsidP="001E3C6B">
      <w:pPr>
        <w:pStyle w:val="ParaNumbering"/>
        <w:numPr>
          <w:ilvl w:val="0"/>
          <w:numId w:val="0"/>
        </w:numPr>
        <w:ind w:hanging="720"/>
      </w:pPr>
      <w:r>
        <w:rPr>
          <w:sz w:val="20"/>
        </w:rPr>
        <w:t>327</w:t>
      </w:r>
      <w:r>
        <w:rPr>
          <w:sz w:val="20"/>
        </w:rPr>
        <w:tab/>
      </w:r>
      <w:r w:rsidR="00EE4D06">
        <w:t xml:space="preserve">However, as in </w:t>
      </w:r>
      <w:r w:rsidR="00EE4D06">
        <w:rPr>
          <w:i/>
        </w:rPr>
        <w:t>Ferodo</w:t>
      </w:r>
      <w:r w:rsidR="00EE4D06">
        <w:t xml:space="preserve">, the reputation of </w:t>
      </w:r>
      <w:r w:rsidR="009C37C8">
        <w:t xml:space="preserve">BOTOX </w:t>
      </w:r>
      <w:r w:rsidR="00EE4D06">
        <w:t xml:space="preserve">is in relation to a very particular type of product.  As discussed above </w:t>
      </w:r>
      <w:r w:rsidR="0071790B">
        <w:t>(at [</w:t>
      </w:r>
      <w:r w:rsidR="0071790B">
        <w:fldChar w:fldCharType="begin" w:fldLock="1"/>
      </w:r>
      <w:r w:rsidR="0071790B">
        <w:instrText xml:space="preserve"> REF _Ref51141861 \r \h </w:instrText>
      </w:r>
      <w:r w:rsidR="0071790B">
        <w:fldChar w:fldCharType="separate"/>
      </w:r>
      <w:r w:rsidR="00756FCE">
        <w:t>222</w:t>
      </w:r>
      <w:r w:rsidR="0071790B">
        <w:fldChar w:fldCharType="end"/>
      </w:r>
      <w:r w:rsidR="0071790B">
        <w:t xml:space="preserve">]) </w:t>
      </w:r>
      <w:r w:rsidR="00EE4D06">
        <w:t xml:space="preserve">in relation to why Protox is not a good of the same description as Botox, Botox is a pharmaceutical that is supplied only to medical practitioners </w:t>
      </w:r>
      <w:r w:rsidR="009C37C8">
        <w:t xml:space="preserve">and healthcare professionals </w:t>
      </w:r>
      <w:r w:rsidR="00EE4D06">
        <w:t xml:space="preserve">and can be administered only by </w:t>
      </w:r>
      <w:r w:rsidR="009C37C8">
        <w:t>them</w:t>
      </w:r>
      <w:r w:rsidR="00EE4D06">
        <w:t xml:space="preserve">.  It is a highly toxic poison that is distributed, supplied and administered in a highly regulated </w:t>
      </w:r>
      <w:r w:rsidR="009C37C8">
        <w:t>environment</w:t>
      </w:r>
      <w:r w:rsidR="00EE4D06">
        <w:t xml:space="preserve">, whereas the goods listed in the 426 defensive mark registration are essentially unregulated topical creams, lotions and cleansers.  </w:t>
      </w:r>
    </w:p>
    <w:p w14:paraId="4AB26451" w14:textId="22C2A8DE" w:rsidR="00EE4D06" w:rsidRDefault="001E3C6B" w:rsidP="001E3C6B">
      <w:pPr>
        <w:pStyle w:val="ParaNumbering"/>
        <w:numPr>
          <w:ilvl w:val="0"/>
          <w:numId w:val="0"/>
        </w:numPr>
        <w:ind w:hanging="720"/>
      </w:pPr>
      <w:r>
        <w:rPr>
          <w:sz w:val="20"/>
        </w:rPr>
        <w:lastRenderedPageBreak/>
        <w:t>328</w:t>
      </w:r>
      <w:r>
        <w:rPr>
          <w:sz w:val="20"/>
        </w:rPr>
        <w:tab/>
      </w:r>
      <w:r w:rsidR="00EE4D06">
        <w:t xml:space="preserve">That said, the reputation of </w:t>
      </w:r>
      <w:r w:rsidR="009C37C8">
        <w:t xml:space="preserve">BOTOX </w:t>
      </w:r>
      <w:r w:rsidR="00EE4D06">
        <w:t>is in the same broadly defined or conceptualised area of beauty or appearance treatments as some of the class 3 goods.  The types of treatment are very different, as I have explained, but, as Allergan puts it, they are in “the same universe of discourse”.  If the reputation of BOTOX was as use as a mark for engine oil, for example, Self Care would not use the word BOTOX on its packaging and in its advertising and product promotions.</w:t>
      </w:r>
    </w:p>
    <w:p w14:paraId="38BF60C7" w14:textId="1775F19C" w:rsidR="00EE4D06" w:rsidRDefault="001E3C6B" w:rsidP="001E3C6B">
      <w:pPr>
        <w:pStyle w:val="ParaNumbering"/>
        <w:numPr>
          <w:ilvl w:val="0"/>
          <w:numId w:val="0"/>
        </w:numPr>
        <w:ind w:hanging="720"/>
      </w:pPr>
      <w:r>
        <w:rPr>
          <w:sz w:val="20"/>
        </w:rPr>
        <w:t>329</w:t>
      </w:r>
      <w:r>
        <w:rPr>
          <w:sz w:val="20"/>
        </w:rPr>
        <w:tab/>
      </w:r>
      <w:r w:rsidR="00EE4D06">
        <w:t>As dealt with above (a</w:t>
      </w:r>
      <w:r w:rsidR="00EE4D06" w:rsidRPr="006070B5">
        <w:t>t [</w:t>
      </w:r>
      <w:r w:rsidR="0071790B" w:rsidRPr="006070B5">
        <w:fldChar w:fldCharType="begin" w:fldLock="1"/>
      </w:r>
      <w:r w:rsidR="0071790B" w:rsidRPr="006070B5">
        <w:instrText xml:space="preserve"> REF _Ref51141894 \r \h </w:instrText>
      </w:r>
      <w:r w:rsidR="005949F5" w:rsidRPr="006070B5">
        <w:instrText xml:space="preserve"> \* MERGEFORMAT </w:instrText>
      </w:r>
      <w:r w:rsidR="0071790B" w:rsidRPr="006070B5">
        <w:fldChar w:fldCharType="separate"/>
      </w:r>
      <w:r w:rsidR="00756FCE">
        <w:t>223</w:t>
      </w:r>
      <w:r w:rsidR="0071790B" w:rsidRPr="006070B5">
        <w:fldChar w:fldCharType="end"/>
      </w:r>
      <w:r w:rsidR="00EE4D06" w:rsidRPr="006070B5">
        <w:t>]) i</w:t>
      </w:r>
      <w:r w:rsidR="00EE4D06">
        <w:t>n relation to Protox and</w:t>
      </w:r>
      <w:r w:rsidR="00FB3851">
        <w:t xml:space="preserve"> the goods in </w:t>
      </w:r>
      <w:r w:rsidR="009C37C8">
        <w:t xml:space="preserve">respect of </w:t>
      </w:r>
      <w:r w:rsidR="00FB3851">
        <w:t>which</w:t>
      </w:r>
      <w:r w:rsidR="00EE4D06">
        <w:t xml:space="preserve"> </w:t>
      </w:r>
      <w:r w:rsidR="009C37C8">
        <w:t xml:space="preserve">BOTOX </w:t>
      </w:r>
      <w:r w:rsidR="00FB3851">
        <w:t>is registered</w:t>
      </w:r>
      <w:r w:rsidR="00EE4D06">
        <w:t xml:space="preserve"> not being goods of the same description, the trade channels for Botox are quite different from most of the goods listed in class 3.  The class 3 goods are essentially cosmetics that are sold as retail products directly to the public.  None is a pharmaceutical or a therapeutic good.  Also, the trade sources of cosmetics (and cosmeceuticals) </w:t>
      </w:r>
      <w:r w:rsidR="0004500E">
        <w:t xml:space="preserve">are </w:t>
      </w:r>
      <w:r w:rsidR="00EE4D06">
        <w:t>separate from the producers of pharmaceutical treatments for skin ageing and wrinkling such as Botox</w:t>
      </w:r>
      <w:r w:rsidR="00523981">
        <w:t xml:space="preserve"> (see [</w:t>
      </w:r>
      <w:r w:rsidR="00523981">
        <w:fldChar w:fldCharType="begin" w:fldLock="1"/>
      </w:r>
      <w:r w:rsidR="00523981">
        <w:instrText xml:space="preserve"> REF _Ref54199909 \r \h </w:instrText>
      </w:r>
      <w:r w:rsidR="00523981">
        <w:fldChar w:fldCharType="separate"/>
      </w:r>
      <w:r w:rsidR="00756FCE">
        <w:t>224</w:t>
      </w:r>
      <w:r w:rsidR="00523981">
        <w:fldChar w:fldCharType="end"/>
      </w:r>
      <w:r w:rsidR="00523981">
        <w:t>] above)</w:t>
      </w:r>
      <w:r w:rsidR="00EE4D06">
        <w:t>.</w:t>
      </w:r>
    </w:p>
    <w:p w14:paraId="20F0749B" w14:textId="5817787B" w:rsidR="00EE4D06" w:rsidRDefault="001E3C6B" w:rsidP="001E3C6B">
      <w:pPr>
        <w:pStyle w:val="ParaNumbering"/>
        <w:numPr>
          <w:ilvl w:val="0"/>
          <w:numId w:val="0"/>
        </w:numPr>
        <w:ind w:hanging="720"/>
      </w:pPr>
      <w:r>
        <w:rPr>
          <w:sz w:val="20"/>
        </w:rPr>
        <w:t>330</w:t>
      </w:r>
      <w:r>
        <w:rPr>
          <w:sz w:val="20"/>
        </w:rPr>
        <w:tab/>
      </w:r>
      <w:r w:rsidR="00EE4D06">
        <w:t>However, the class 3 goods and pharmaceutical treatments for skin ageing and wrinkling such as Botox share a substantially common market.  Moreover, there is ample evidence of complementary use of certain skin care products and pharmaceuticals.  Indeed, as will be dealt with in more detail with regard to the affiliation and efficacy representations, it is part of Self Care’s case that its products complement the use of Botox.</w:t>
      </w:r>
    </w:p>
    <w:p w14:paraId="43B62EA2" w14:textId="7A77918B" w:rsidR="00EE4D06" w:rsidRDefault="001E3C6B" w:rsidP="001E3C6B">
      <w:pPr>
        <w:pStyle w:val="ParaNumbering"/>
        <w:numPr>
          <w:ilvl w:val="0"/>
          <w:numId w:val="0"/>
        </w:numPr>
        <w:ind w:hanging="720"/>
      </w:pPr>
      <w:r>
        <w:rPr>
          <w:sz w:val="20"/>
        </w:rPr>
        <w:t>331</w:t>
      </w:r>
      <w:r>
        <w:rPr>
          <w:sz w:val="20"/>
        </w:rPr>
        <w:tab/>
      </w:r>
      <w:r w:rsidR="00EE4D06">
        <w:t xml:space="preserve">Further in that regard, brochures produced by Allergan for healthcare professionals to supply to their customers explain that three treatment types provide results to restore and enhance youthful features, especially when they are used in combination.  The three different types are skin treatments that correct texture and pigmentation issues, treatments that can enhance and replace facial volume and treatments that can relax wrinkle-causing facial muscles.  The first type </w:t>
      </w:r>
      <w:r w:rsidR="0004500E">
        <w:t xml:space="preserve">uses </w:t>
      </w:r>
      <w:r w:rsidR="00EE4D06">
        <w:t>cosmetics covering the class 3 goods and the third type is goods such as Botox.</w:t>
      </w:r>
    </w:p>
    <w:p w14:paraId="3F27CBE7" w14:textId="2A82E428" w:rsidR="00EE4D06" w:rsidRDefault="001E3C6B" w:rsidP="001E3C6B">
      <w:pPr>
        <w:pStyle w:val="ParaNumbering"/>
        <w:numPr>
          <w:ilvl w:val="0"/>
          <w:numId w:val="0"/>
        </w:numPr>
        <w:ind w:hanging="720"/>
      </w:pPr>
      <w:r>
        <w:rPr>
          <w:sz w:val="20"/>
        </w:rPr>
        <w:t>332</w:t>
      </w:r>
      <w:r>
        <w:rPr>
          <w:sz w:val="20"/>
        </w:rPr>
        <w:tab/>
      </w:r>
      <w:r w:rsidR="00EE4D06">
        <w:t>The brochures explain that combining the benefits of the three treatments can enhance and rejuvenate facial appearance with natural-looking results.  Consumers are urged to consult their c</w:t>
      </w:r>
      <w:r w:rsidR="00D11648">
        <w:t>linician about treatment plans.</w:t>
      </w:r>
    </w:p>
    <w:p w14:paraId="74C62898" w14:textId="53457413" w:rsidR="00EE4D06" w:rsidRDefault="001E3C6B" w:rsidP="001E3C6B">
      <w:pPr>
        <w:pStyle w:val="ParaNumbering"/>
        <w:numPr>
          <w:ilvl w:val="0"/>
          <w:numId w:val="0"/>
        </w:numPr>
        <w:ind w:hanging="720"/>
      </w:pPr>
      <w:r>
        <w:rPr>
          <w:sz w:val="20"/>
        </w:rPr>
        <w:t>333</w:t>
      </w:r>
      <w:r>
        <w:rPr>
          <w:sz w:val="20"/>
        </w:rPr>
        <w:tab/>
      </w:r>
      <w:r w:rsidR="00EE4D06">
        <w:t xml:space="preserve">I do not consider that the submissions made by Self Care in relation to different trade sources and trade channels, albeit based on facts I have found established, change matters particularly.  The mere fact that injectable products such as Botox do not ordinarily share a common trade source with topical cosmetic products, and that Allergan has not up until now itself traded </w:t>
      </w:r>
      <w:r w:rsidR="00EE4D06">
        <w:lastRenderedPageBreak/>
        <w:t>topical cosmetic products, is insufficient to displace a connection that is otherwise likely to be drawn between topical cosmetic products and the owner of the BOTOX mark if that mark was used in relation to such products.  Insofar as trade channels are concerned, the fact that typically such channels are different is equally insufficient to displace the connection.</w:t>
      </w:r>
      <w:r w:rsidR="00F12183">
        <w:t xml:space="preserve"> </w:t>
      </w:r>
    </w:p>
    <w:p w14:paraId="71103A97" w14:textId="3D3C7446" w:rsidR="00EE4D06" w:rsidRDefault="001E3C6B" w:rsidP="001E3C6B">
      <w:pPr>
        <w:pStyle w:val="ParaNumbering"/>
        <w:numPr>
          <w:ilvl w:val="0"/>
          <w:numId w:val="0"/>
        </w:numPr>
        <w:ind w:hanging="720"/>
      </w:pPr>
      <w:r>
        <w:rPr>
          <w:sz w:val="20"/>
        </w:rPr>
        <w:t>334</w:t>
      </w:r>
      <w:r>
        <w:rPr>
          <w:sz w:val="20"/>
        </w:rPr>
        <w:tab/>
      </w:r>
      <w:r w:rsidR="00EE4D06">
        <w:t>Insofar as Self Care’s third submission is concerned, I accept that amongst ordinary reasonable consumers the word BOTOX is frequently used in a general sense to refer to a category of product, being anti-wrinkle injections, rather than a brand.  There is evidence to support this as referred to by Self Care.  However, BOTOX is nevertheless a powerful brand with a widespread reputation.  If it was applied to a topical cosmetic product, i.e.</w:t>
      </w:r>
      <w:r w:rsidR="000C15DE">
        <w:t>,</w:t>
      </w:r>
      <w:r w:rsidR="00EE4D06">
        <w:t xml:space="preserve"> a product that is not an anti-wrinkle injection, I consider that it is likely that ordinary reasonable consumers would draw a connection between the product and the owner of the trade</w:t>
      </w:r>
      <w:r w:rsidR="005F1761">
        <w:t xml:space="preserve"> </w:t>
      </w:r>
      <w:r w:rsidR="00EE4D06">
        <w:t>mark BOTOX; it is not likely that ordinary reasonable consumers would consider that the topical cosmetic product is in fact an anti-wrinkle injection</w:t>
      </w:r>
      <w:r w:rsidR="00992258">
        <w:t xml:space="preserve">; nor is it likely that ordinary reasonable consumers would conclude that the product had a different trade source because it was not an injectable. </w:t>
      </w:r>
    </w:p>
    <w:p w14:paraId="16A497F0" w14:textId="5190DB5E" w:rsidR="00EE4D06" w:rsidRDefault="001E3C6B" w:rsidP="001E3C6B">
      <w:pPr>
        <w:pStyle w:val="ParaNumbering"/>
        <w:numPr>
          <w:ilvl w:val="0"/>
          <w:numId w:val="0"/>
        </w:numPr>
        <w:ind w:hanging="720"/>
      </w:pPr>
      <w:r>
        <w:rPr>
          <w:sz w:val="20"/>
        </w:rPr>
        <w:t>335</w:t>
      </w:r>
      <w:r>
        <w:rPr>
          <w:sz w:val="20"/>
        </w:rPr>
        <w:tab/>
      </w:r>
      <w:r w:rsidR="00EE4D06">
        <w:t>The point is, simply, that even though the word BOTOX might frequently be used in a general sense to refer to a particular category of product, if it is applied to a product that is not in that category then it will not be being used or understood in that general sense; it will be understood to be a brand</w:t>
      </w:r>
      <w:r w:rsidR="00992258">
        <w:t xml:space="preserve"> for the product</w:t>
      </w:r>
      <w:r w:rsidR="00EE4D06">
        <w:t>.</w:t>
      </w:r>
    </w:p>
    <w:p w14:paraId="43658703" w14:textId="12BC0177" w:rsidR="00EE4D06" w:rsidRDefault="001E3C6B" w:rsidP="001E3C6B">
      <w:pPr>
        <w:pStyle w:val="ParaNumbering"/>
        <w:numPr>
          <w:ilvl w:val="0"/>
          <w:numId w:val="0"/>
        </w:numPr>
        <w:ind w:hanging="720"/>
      </w:pPr>
      <w:r>
        <w:rPr>
          <w:sz w:val="20"/>
        </w:rPr>
        <w:t>336</w:t>
      </w:r>
      <w:r>
        <w:rPr>
          <w:sz w:val="20"/>
        </w:rPr>
        <w:tab/>
      </w:r>
      <w:r w:rsidR="00EE4D06">
        <w:t>Turning to the list of goods in the registration, in my view several of them are products of a type not so dissimilar from Botox that it is not likely that the use of the mark BOTOX in relation to them would not be taken to indicate that there is a connection between them and Allergan.  The products that I have in mind in the list include “anti-ageing creams; anti-wrinkle cream; … collagen preparations for cosmetic application; … dermatological cosmetic preparations; … eye wrinkle lotions; …</w:t>
      </w:r>
      <w:r w:rsidR="00DC5D22">
        <w:t xml:space="preserve"> </w:t>
      </w:r>
      <w:r w:rsidR="00EE4D06">
        <w:t>skin care preparations and creams (cosmetic); skincare cosmetics; …”.  In my assessment, if the mark BOTOX was to be used in relation to any such products it is likely that that would be taken to indicate a connection between those goods and the registered owner of the mark.</w:t>
      </w:r>
    </w:p>
    <w:p w14:paraId="28F95A1B" w14:textId="23D3E319" w:rsidR="00EE4D06" w:rsidRDefault="001E3C6B" w:rsidP="001E3C6B">
      <w:pPr>
        <w:pStyle w:val="ParaNumbering"/>
        <w:numPr>
          <w:ilvl w:val="0"/>
          <w:numId w:val="0"/>
        </w:numPr>
        <w:ind w:hanging="720"/>
      </w:pPr>
      <w:r>
        <w:rPr>
          <w:sz w:val="20"/>
        </w:rPr>
        <w:t>337</w:t>
      </w:r>
      <w:r>
        <w:rPr>
          <w:sz w:val="20"/>
        </w:rPr>
        <w:tab/>
      </w:r>
      <w:r w:rsidR="00EE4D06">
        <w:t xml:space="preserve">There are other goods in the list in respect of which one would be less confident that it was likely that such a connection would be made.  For example “cleaners (preparations) for cleaning surgical instruments; … cleaning preparations for medical and laboratory instruments; … detergents having anti-bacterial and disinfecting properties (other than for medical use or for use in manufacturing processes); … products for cleaning; …”.  Those products are all very </w:t>
      </w:r>
      <w:r w:rsidR="00EE4D06">
        <w:lastRenderedPageBreak/>
        <w:t xml:space="preserve">different from Botox and are apparently unrelated to cosmetic or beauty treatments and anti-ageing or anti-wrinkle solutions.  </w:t>
      </w:r>
    </w:p>
    <w:p w14:paraId="01027363" w14:textId="38B8C7C0" w:rsidR="00EE4D06" w:rsidRDefault="001E3C6B" w:rsidP="001E3C6B">
      <w:pPr>
        <w:pStyle w:val="ParaNumbering"/>
        <w:numPr>
          <w:ilvl w:val="0"/>
          <w:numId w:val="0"/>
        </w:numPr>
        <w:ind w:hanging="720"/>
      </w:pPr>
      <w:r>
        <w:rPr>
          <w:sz w:val="20"/>
        </w:rPr>
        <w:t>338</w:t>
      </w:r>
      <w:r>
        <w:rPr>
          <w:sz w:val="20"/>
        </w:rPr>
        <w:tab/>
      </w:r>
      <w:r w:rsidR="00EE4D06">
        <w:t>In respect of those products and the remaining products in the list, which lie somewhere in between, I am not able to conclude that it is not likely that the relevant connection will be drawn.  As Self Care bears the onus on this point, as discussed above, the case for the cancellation of the registration of the defensive mark in respect of these products is not made out.</w:t>
      </w:r>
    </w:p>
    <w:p w14:paraId="56114B92" w14:textId="6CDB6B85" w:rsidR="00EE4D06" w:rsidRDefault="001E3C6B" w:rsidP="001E3C6B">
      <w:pPr>
        <w:pStyle w:val="ParaNumbering"/>
        <w:numPr>
          <w:ilvl w:val="0"/>
          <w:numId w:val="0"/>
        </w:numPr>
        <w:ind w:hanging="720"/>
      </w:pPr>
      <w:r>
        <w:rPr>
          <w:sz w:val="20"/>
        </w:rPr>
        <w:t>339</w:t>
      </w:r>
      <w:r>
        <w:rPr>
          <w:sz w:val="20"/>
        </w:rPr>
        <w:tab/>
      </w:r>
      <w:r w:rsidR="00EE4D06">
        <w:t xml:space="preserve">In those circumstances, it has not been established by Self Care that it is not likely that the use of the trade mark BOTOX in relation to the goods or services in respect of which it is registered in </w:t>
      </w:r>
      <w:r w:rsidR="00F755CB">
        <w:t>c</w:t>
      </w:r>
      <w:r w:rsidR="00EE4D06">
        <w:t>lass 3 will be taken to indicate that there is a connection between those goods or services and Allergan.  The cross-claim challenging the registration of the 426 defensive mark must accordingly be dismissed.</w:t>
      </w:r>
    </w:p>
    <w:p w14:paraId="708CF921" w14:textId="25167AFE" w:rsidR="00EE4D06" w:rsidRPr="00CC024A" w:rsidRDefault="001E3C6B" w:rsidP="00EE4D06">
      <w:pPr>
        <w:pStyle w:val="Heading1"/>
      </w:pPr>
      <w:bookmarkStart w:id="96" w:name="_Ref54701596"/>
      <w:r w:rsidRPr="00CC024A">
        <w:rPr>
          <w:caps w:val="0"/>
        </w:rPr>
        <w:t>TRADE MARK OFFICE APPEAL</w:t>
      </w:r>
      <w:bookmarkEnd w:id="96"/>
    </w:p>
    <w:p w14:paraId="6B3E4B2A" w14:textId="77777777" w:rsidR="00EE4D06" w:rsidRPr="00CC024A" w:rsidRDefault="00EE4D06" w:rsidP="00EE4D06">
      <w:pPr>
        <w:pStyle w:val="Heading2"/>
      </w:pPr>
      <w:r w:rsidRPr="00CC024A">
        <w:t>Introduction</w:t>
      </w:r>
    </w:p>
    <w:p w14:paraId="4FD684EA" w14:textId="1B595227" w:rsidR="00EE4D06" w:rsidRPr="00CC024A" w:rsidRDefault="001E3C6B" w:rsidP="001E3C6B">
      <w:pPr>
        <w:pStyle w:val="ParaNumbering"/>
        <w:numPr>
          <w:ilvl w:val="0"/>
          <w:numId w:val="0"/>
        </w:numPr>
        <w:ind w:hanging="720"/>
      </w:pPr>
      <w:bookmarkStart w:id="97" w:name="_Ref54198748"/>
      <w:r w:rsidRPr="00CC024A">
        <w:rPr>
          <w:sz w:val="20"/>
        </w:rPr>
        <w:t>340</w:t>
      </w:r>
      <w:r w:rsidRPr="00CC024A">
        <w:rPr>
          <w:sz w:val="20"/>
        </w:rPr>
        <w:tab/>
      </w:r>
      <w:r w:rsidR="00EE4D06" w:rsidRPr="00CC024A">
        <w:t xml:space="preserve">By reasons dated 19 September 2017, a delegate of the Registrar of Trade Marks allowed Self Care IP’s application for the registration of the mark </w:t>
      </w:r>
      <w:r w:rsidR="005949F5">
        <w:t xml:space="preserve">FREEZEFRAME </w:t>
      </w:r>
      <w:r w:rsidR="00EE4D06" w:rsidRPr="00CC024A">
        <w:t xml:space="preserve">PROTOX in class 3 in respect of the goods “anti-ageing serum, anti-wrinkle serum” with a priority date of 20 October 2014: </w:t>
      </w:r>
      <w:r w:rsidR="00EE4D06" w:rsidRPr="00162AB6">
        <w:rPr>
          <w:i/>
        </w:rPr>
        <w:t>Allergan Inc v Self Care IP Holdings Pty Ltd</w:t>
      </w:r>
      <w:r w:rsidR="00EE4D06" w:rsidRPr="00162AB6">
        <w:t xml:space="preserve"> [2017] ATMO 102</w:t>
      </w:r>
      <w:r w:rsidR="00EE4D06" w:rsidRPr="00CC024A">
        <w:t>.  Allergan</w:t>
      </w:r>
      <w:r w:rsidR="00D11648">
        <w:t xml:space="preserve"> </w:t>
      </w:r>
      <w:r w:rsidR="00523981">
        <w:t xml:space="preserve">Inc </w:t>
      </w:r>
      <w:r w:rsidR="00D11648">
        <w:t>had opposed the registration.</w:t>
      </w:r>
      <w:bookmarkEnd w:id="97"/>
    </w:p>
    <w:p w14:paraId="73B5EC2E" w14:textId="55AAFA83" w:rsidR="00EE4D06" w:rsidRPr="00CC024A" w:rsidRDefault="001E3C6B" w:rsidP="001E3C6B">
      <w:pPr>
        <w:pStyle w:val="ParaNumbering"/>
        <w:numPr>
          <w:ilvl w:val="0"/>
          <w:numId w:val="0"/>
        </w:numPr>
        <w:ind w:hanging="720"/>
      </w:pPr>
      <w:r w:rsidRPr="00CC024A">
        <w:rPr>
          <w:sz w:val="20"/>
        </w:rPr>
        <w:t>341</w:t>
      </w:r>
      <w:r w:rsidRPr="00CC024A">
        <w:rPr>
          <w:sz w:val="20"/>
        </w:rPr>
        <w:tab/>
      </w:r>
      <w:r w:rsidR="00EE4D06" w:rsidRPr="00CC024A">
        <w:t xml:space="preserve">As indicated above, in proceeding NSD1802/2017 Allergan </w:t>
      </w:r>
      <w:r w:rsidR="00523981">
        <w:t xml:space="preserve">Inc </w:t>
      </w:r>
      <w:r w:rsidR="00EE4D06" w:rsidRPr="00CC024A">
        <w:t xml:space="preserve">appeals from the decision of the delegate under s 56 of the TM Act.  The appeal hearing is a hearing de novo: </w:t>
      </w:r>
      <w:r w:rsidR="00EE4D06" w:rsidRPr="00162AB6">
        <w:rPr>
          <w:i/>
        </w:rPr>
        <w:t>Jaffer</w:t>
      </w:r>
      <w:r w:rsidR="0046749A">
        <w:rPr>
          <w:i/>
        </w:rPr>
        <w:t>j</w:t>
      </w:r>
      <w:r w:rsidR="00EE4D06" w:rsidRPr="00162AB6">
        <w:rPr>
          <w:i/>
        </w:rPr>
        <w:t>ee v Scarlett</w:t>
      </w:r>
      <w:r w:rsidR="00EE4D06" w:rsidRPr="00162AB6">
        <w:t xml:space="preserve"> </w:t>
      </w:r>
      <w:r w:rsidR="00EE4D06" w:rsidRPr="00CC024A">
        <w:t xml:space="preserve"> at 119</w:t>
      </w:r>
      <w:r w:rsidR="005F7609">
        <w:t xml:space="preserve"> per Latham CJ</w:t>
      </w:r>
      <w:r w:rsidR="00EE4D06" w:rsidRPr="00CC024A">
        <w:t xml:space="preserve">; </w:t>
      </w:r>
      <w:r w:rsidR="00EE4D06" w:rsidRPr="00162AB6">
        <w:rPr>
          <w:i/>
          <w:iCs/>
        </w:rPr>
        <w:t xml:space="preserve">Woolworths </w:t>
      </w:r>
      <w:r w:rsidR="000862AF">
        <w:t>at [32] per French J</w:t>
      </w:r>
      <w:r w:rsidR="00EE4D06" w:rsidRPr="00CC024A">
        <w:t xml:space="preserve"> </w:t>
      </w:r>
      <w:r w:rsidR="000862AF">
        <w:t>(</w:t>
      </w:r>
      <w:r w:rsidR="00EE4D06" w:rsidRPr="00CC024A">
        <w:t>Tamberlin J agreeing</w:t>
      </w:r>
      <w:r w:rsidR="000862AF">
        <w:t>)</w:t>
      </w:r>
      <w:r w:rsidR="00EE4D06" w:rsidRPr="00CC024A">
        <w:t xml:space="preserve">. </w:t>
      </w:r>
    </w:p>
    <w:p w14:paraId="2532A57C" w14:textId="36E3A12D" w:rsidR="00EE4D06" w:rsidRPr="00CC024A" w:rsidRDefault="001E3C6B" w:rsidP="001E3C6B">
      <w:pPr>
        <w:pStyle w:val="ParaNumbering"/>
        <w:numPr>
          <w:ilvl w:val="0"/>
          <w:numId w:val="0"/>
        </w:numPr>
        <w:ind w:hanging="720"/>
      </w:pPr>
      <w:r w:rsidRPr="00CC024A">
        <w:rPr>
          <w:sz w:val="20"/>
        </w:rPr>
        <w:t>342</w:t>
      </w:r>
      <w:r w:rsidRPr="00CC024A">
        <w:rPr>
          <w:sz w:val="20"/>
        </w:rPr>
        <w:tab/>
      </w:r>
      <w:r w:rsidR="00EE4D06" w:rsidRPr="00CC024A">
        <w:t xml:space="preserve">Allergan </w:t>
      </w:r>
      <w:r w:rsidR="00523981">
        <w:t xml:space="preserve">Inc </w:t>
      </w:r>
      <w:r w:rsidR="00EE4D06" w:rsidRPr="00CC024A">
        <w:t xml:space="preserve">raises the following grounds of opposition to the registration of the </w:t>
      </w:r>
      <w:r w:rsidR="005949F5">
        <w:t xml:space="preserve">FREEZEFRAME </w:t>
      </w:r>
      <w:r w:rsidR="00EE4D06" w:rsidRPr="00CC024A">
        <w:t>PROTOX mark in the appeal:</w:t>
      </w:r>
    </w:p>
    <w:p w14:paraId="23035ACB" w14:textId="35C08CBB" w:rsidR="00EE4D06" w:rsidRPr="00CC024A" w:rsidRDefault="001E3C6B" w:rsidP="001E3C6B">
      <w:pPr>
        <w:pStyle w:val="ListNo1"/>
        <w:numPr>
          <w:ilvl w:val="0"/>
          <w:numId w:val="0"/>
        </w:numPr>
        <w:tabs>
          <w:tab w:val="left" w:pos="720"/>
        </w:tabs>
        <w:ind w:left="720" w:hanging="720"/>
      </w:pPr>
      <w:r w:rsidRPr="00CC024A">
        <w:t>(1)</w:t>
      </w:r>
      <w:r w:rsidRPr="00CC024A">
        <w:tab/>
      </w:r>
      <w:r w:rsidR="00EE4D06" w:rsidRPr="00CC024A">
        <w:t xml:space="preserve">Section 60: Allergan </w:t>
      </w:r>
      <w:r w:rsidR="00523981">
        <w:t xml:space="preserve">Inc </w:t>
      </w:r>
      <w:r w:rsidR="00EE4D06" w:rsidRPr="00CC024A">
        <w:t xml:space="preserve">contends that </w:t>
      </w:r>
      <w:r w:rsidR="00EE4D06" w:rsidRPr="006D2BAC">
        <w:t xml:space="preserve">its mark BOTOX had, before the priority date, acquired a reputation in Australia and that because of that reputation the use of the mark </w:t>
      </w:r>
      <w:r w:rsidR="005949F5">
        <w:t xml:space="preserve">FREEZEFRAME </w:t>
      </w:r>
      <w:r w:rsidR="00EE4D06" w:rsidRPr="006D2BAC">
        <w:t>PROTOX would be likely to deceive or cause confusion.</w:t>
      </w:r>
    </w:p>
    <w:p w14:paraId="52BEE1EE" w14:textId="0B7F8290" w:rsidR="00EE4D06" w:rsidRPr="00CC024A" w:rsidRDefault="001E3C6B" w:rsidP="001E3C6B">
      <w:pPr>
        <w:pStyle w:val="ListNo1"/>
        <w:numPr>
          <w:ilvl w:val="0"/>
          <w:numId w:val="0"/>
        </w:numPr>
        <w:tabs>
          <w:tab w:val="left" w:pos="720"/>
        </w:tabs>
        <w:ind w:left="720" w:hanging="720"/>
      </w:pPr>
      <w:r w:rsidRPr="00CC024A">
        <w:t>(2)</w:t>
      </w:r>
      <w:r w:rsidRPr="00CC024A">
        <w:tab/>
      </w:r>
      <w:r w:rsidR="00EE4D06" w:rsidRPr="00CC024A">
        <w:t xml:space="preserve">Section 42(b): Allergan </w:t>
      </w:r>
      <w:r w:rsidR="00523981">
        <w:t xml:space="preserve">Inc </w:t>
      </w:r>
      <w:r w:rsidR="00EE4D06" w:rsidRPr="00CC024A">
        <w:t xml:space="preserve">contends that the use of the </w:t>
      </w:r>
      <w:r w:rsidR="005949F5">
        <w:t xml:space="preserve">FREEZEFRAME </w:t>
      </w:r>
      <w:r w:rsidR="00EE4D06" w:rsidRPr="00CC024A">
        <w:t xml:space="preserve">PROTOX mark would be contrary to law on the ground that it would be misleading or deceptive, or is likely to mislead or deceive, in breach of ss 18 and 29 of the </w:t>
      </w:r>
      <w:r w:rsidR="006D2BAC">
        <w:t>ACL</w:t>
      </w:r>
      <w:r w:rsidR="00EE4D06" w:rsidRPr="00CC024A">
        <w:t xml:space="preserve">, including by </w:t>
      </w:r>
      <w:r w:rsidR="00EE4D06" w:rsidRPr="00CC024A">
        <w:lastRenderedPageBreak/>
        <w:t>falsely suggesting that Self Care IP’s goods are those of Allergan</w:t>
      </w:r>
      <w:r w:rsidR="006D2BAC">
        <w:t>’s</w:t>
      </w:r>
      <w:r w:rsidR="00EE4D06" w:rsidRPr="00CC024A">
        <w:t>, or that Self Care IP or its goods are sponsored, approved, affil</w:t>
      </w:r>
      <w:r w:rsidR="00D11648">
        <w:t xml:space="preserve">iated or licensed by Allergan. </w:t>
      </w:r>
    </w:p>
    <w:p w14:paraId="7FEE4C89" w14:textId="6EB75D34" w:rsidR="00EE4D06" w:rsidRPr="00CC024A" w:rsidRDefault="001E3C6B" w:rsidP="001E3C6B">
      <w:pPr>
        <w:pStyle w:val="ListNo1"/>
        <w:numPr>
          <w:ilvl w:val="0"/>
          <w:numId w:val="0"/>
        </w:numPr>
        <w:tabs>
          <w:tab w:val="left" w:pos="720"/>
        </w:tabs>
        <w:ind w:left="720" w:hanging="720"/>
      </w:pPr>
      <w:r w:rsidRPr="00CC024A">
        <w:t>(3)</w:t>
      </w:r>
      <w:r w:rsidRPr="00CC024A">
        <w:tab/>
      </w:r>
      <w:r w:rsidR="00EE4D06" w:rsidRPr="00CC024A">
        <w:t xml:space="preserve">Section 44: Allergan </w:t>
      </w:r>
      <w:r w:rsidR="00523981">
        <w:t xml:space="preserve">Inc </w:t>
      </w:r>
      <w:r w:rsidR="00EE4D06" w:rsidRPr="00CC024A">
        <w:t xml:space="preserve">contends that the </w:t>
      </w:r>
      <w:r w:rsidR="005949F5">
        <w:t xml:space="preserve">FREEZEFRAME </w:t>
      </w:r>
      <w:r w:rsidR="00EE4D06" w:rsidRPr="00CC024A">
        <w:t>PROTOX mark is deceptively similar to the B</w:t>
      </w:r>
      <w:r w:rsidR="00D51669">
        <w:t>OTOX</w:t>
      </w:r>
      <w:r w:rsidR="00EE4D06" w:rsidRPr="00CC024A">
        <w:t xml:space="preserve"> marks and that th</w:t>
      </w:r>
      <w:r w:rsidR="00D11648">
        <w:t>e marks cover “similar goods”.</w:t>
      </w:r>
    </w:p>
    <w:p w14:paraId="73FB253E" w14:textId="09BB3A47" w:rsidR="00EE4D06" w:rsidRPr="00CC024A" w:rsidRDefault="001E3C6B" w:rsidP="001E3C6B">
      <w:pPr>
        <w:pStyle w:val="ListNo1"/>
        <w:numPr>
          <w:ilvl w:val="0"/>
          <w:numId w:val="0"/>
        </w:numPr>
        <w:tabs>
          <w:tab w:val="left" w:pos="720"/>
        </w:tabs>
        <w:ind w:left="720" w:hanging="720"/>
      </w:pPr>
      <w:r w:rsidRPr="00CC024A">
        <w:t>(4)</w:t>
      </w:r>
      <w:r w:rsidRPr="00CC024A">
        <w:tab/>
      </w:r>
      <w:r w:rsidR="00EE4D06" w:rsidRPr="00CC024A">
        <w:t xml:space="preserve">Section 58: Allergan </w:t>
      </w:r>
      <w:r w:rsidR="00523981">
        <w:t xml:space="preserve">Inc </w:t>
      </w:r>
      <w:r w:rsidR="00EE4D06" w:rsidRPr="00CC024A">
        <w:t>contends that Self Care</w:t>
      </w:r>
      <w:r w:rsidR="00523981">
        <w:t xml:space="preserve"> Corp</w:t>
      </w:r>
      <w:r w:rsidR="00EE4D06" w:rsidRPr="00CC024A">
        <w:t xml:space="preserve">, and not Self Care IP, is the owner of the </w:t>
      </w:r>
      <w:r w:rsidR="005949F5">
        <w:t xml:space="preserve">FREEZEFRAME </w:t>
      </w:r>
      <w:r w:rsidR="00EE4D06" w:rsidRPr="00CC024A">
        <w:t>PROTOX mark for the purposes of s 58 of the TM Act.</w:t>
      </w:r>
    </w:p>
    <w:p w14:paraId="04D0B6EF" w14:textId="102C2CB1" w:rsidR="00EE4D06" w:rsidRPr="00CC024A" w:rsidRDefault="001E3C6B" w:rsidP="001E3C6B">
      <w:pPr>
        <w:pStyle w:val="ListNo1"/>
        <w:numPr>
          <w:ilvl w:val="0"/>
          <w:numId w:val="0"/>
        </w:numPr>
        <w:tabs>
          <w:tab w:val="left" w:pos="720"/>
        </w:tabs>
        <w:ind w:left="720" w:hanging="720"/>
      </w:pPr>
      <w:r w:rsidRPr="00CC024A">
        <w:t>(5)</w:t>
      </w:r>
      <w:r w:rsidRPr="00CC024A">
        <w:tab/>
      </w:r>
      <w:r w:rsidR="00EE4D06" w:rsidRPr="00CC024A">
        <w:t xml:space="preserve">Section 59: Allergan </w:t>
      </w:r>
      <w:r w:rsidR="00523981">
        <w:t xml:space="preserve">Inc </w:t>
      </w:r>
      <w:r w:rsidR="00EE4D06" w:rsidRPr="00CC024A">
        <w:t xml:space="preserve">contends that Self Care IP did not, as at the priority date, intend to use the </w:t>
      </w:r>
      <w:r w:rsidR="005949F5">
        <w:t xml:space="preserve">FREEZEFRAME </w:t>
      </w:r>
      <w:r w:rsidR="00EE4D06" w:rsidRPr="00CC024A">
        <w:t xml:space="preserve">PROTOX mark.  The contention is that the intention with respect to the use of the mark was to use </w:t>
      </w:r>
      <w:r w:rsidR="005949F5">
        <w:t xml:space="preserve">FREEZEFRAME </w:t>
      </w:r>
      <w:r w:rsidR="00EE4D06" w:rsidRPr="00CC024A">
        <w:t xml:space="preserve">and PROTOX separately rather than the composite mark </w:t>
      </w:r>
      <w:r w:rsidR="005949F5">
        <w:t xml:space="preserve">FREEZEFRAME </w:t>
      </w:r>
      <w:r w:rsidR="00D11648">
        <w:t>PROTOX.</w:t>
      </w:r>
    </w:p>
    <w:p w14:paraId="5606A898" w14:textId="03E8AC71" w:rsidR="00EE4D06" w:rsidRPr="00CC024A" w:rsidRDefault="001E3C6B" w:rsidP="001E3C6B">
      <w:pPr>
        <w:pStyle w:val="ListNo1"/>
        <w:numPr>
          <w:ilvl w:val="0"/>
          <w:numId w:val="0"/>
        </w:numPr>
        <w:tabs>
          <w:tab w:val="left" w:pos="720"/>
        </w:tabs>
        <w:ind w:left="720" w:hanging="720"/>
      </w:pPr>
      <w:r w:rsidRPr="00CC024A">
        <w:t>(6)</w:t>
      </w:r>
      <w:r w:rsidRPr="00CC024A">
        <w:tab/>
      </w:r>
      <w:r w:rsidR="00EE4D06" w:rsidRPr="00CC024A">
        <w:t xml:space="preserve">Section 62A:  Allergan </w:t>
      </w:r>
      <w:r w:rsidR="00523981">
        <w:t xml:space="preserve">Inc </w:t>
      </w:r>
      <w:r w:rsidR="00EE4D06" w:rsidRPr="00CC024A">
        <w:t xml:space="preserve">contends that the application for the registration of the </w:t>
      </w:r>
      <w:r w:rsidR="005949F5">
        <w:t xml:space="preserve">FREEZEFRAME </w:t>
      </w:r>
      <w:r w:rsidR="00EE4D06" w:rsidRPr="00CC024A">
        <w:t>PROTOX mark was made in bad faith.</w:t>
      </w:r>
    </w:p>
    <w:p w14:paraId="587EAAC8" w14:textId="417A179D" w:rsidR="00EE4D06" w:rsidRPr="00CC024A" w:rsidRDefault="001E3C6B" w:rsidP="001E3C6B">
      <w:pPr>
        <w:pStyle w:val="ParaNumbering"/>
        <w:numPr>
          <w:ilvl w:val="0"/>
          <w:numId w:val="0"/>
        </w:numPr>
        <w:ind w:hanging="720"/>
      </w:pPr>
      <w:r w:rsidRPr="00CC024A">
        <w:rPr>
          <w:sz w:val="20"/>
        </w:rPr>
        <w:t>343</w:t>
      </w:r>
      <w:r w:rsidRPr="00CC024A">
        <w:rPr>
          <w:sz w:val="20"/>
        </w:rPr>
        <w:tab/>
      </w:r>
      <w:r w:rsidR="00EE4D06" w:rsidRPr="00CC024A">
        <w:t xml:space="preserve">In respect of the ss 60 and 44 grounds, Allergan </w:t>
      </w:r>
      <w:r w:rsidR="00523981">
        <w:t xml:space="preserve">Inc </w:t>
      </w:r>
      <w:r w:rsidR="00EE4D06" w:rsidRPr="00CC024A">
        <w:t>relies on the following marks:</w:t>
      </w:r>
    </w:p>
    <w:p w14:paraId="0E6A9326" w14:textId="58B8B810" w:rsidR="00EE4D06" w:rsidRPr="00CC024A" w:rsidRDefault="001E3C6B" w:rsidP="001E3C6B">
      <w:pPr>
        <w:pStyle w:val="ListNo1"/>
        <w:numPr>
          <w:ilvl w:val="0"/>
          <w:numId w:val="0"/>
        </w:numPr>
        <w:tabs>
          <w:tab w:val="left" w:pos="720"/>
        </w:tabs>
        <w:ind w:left="720" w:hanging="720"/>
      </w:pPr>
      <w:r w:rsidRPr="00CC024A">
        <w:t>(1)</w:t>
      </w:r>
      <w:r w:rsidRPr="00CC024A">
        <w:tab/>
      </w:r>
      <w:r w:rsidR="002F15DD" w:rsidRPr="00CC024A">
        <w:t>t</w:t>
      </w:r>
      <w:r w:rsidR="00EE4D06" w:rsidRPr="00CC024A">
        <w:t>he 655 mark for Botox in class 3 in respect of the goods “cosmetics, face creams and lotions; skin creams and lotions”;</w:t>
      </w:r>
    </w:p>
    <w:p w14:paraId="299BE023" w14:textId="010C878C" w:rsidR="00EE4D06" w:rsidRPr="00CC024A" w:rsidRDefault="001E3C6B" w:rsidP="001E3C6B">
      <w:pPr>
        <w:pStyle w:val="ListNo1"/>
        <w:numPr>
          <w:ilvl w:val="0"/>
          <w:numId w:val="0"/>
        </w:numPr>
        <w:tabs>
          <w:tab w:val="left" w:pos="720"/>
        </w:tabs>
        <w:ind w:left="720" w:hanging="720"/>
        <w:rPr>
          <w:lang w:val="en-US"/>
        </w:rPr>
      </w:pPr>
      <w:r w:rsidRPr="00CC024A">
        <w:rPr>
          <w:lang w:val="en-US"/>
        </w:rPr>
        <w:t>(2)</w:t>
      </w:r>
      <w:r w:rsidRPr="00CC024A">
        <w:rPr>
          <w:lang w:val="en-US"/>
        </w:rPr>
        <w:tab/>
      </w:r>
      <w:r w:rsidR="002F15DD" w:rsidRPr="00CC024A">
        <w:t>t</w:t>
      </w:r>
      <w:r w:rsidR="00EE4D06" w:rsidRPr="00CC024A">
        <w:t>he 426 defensive mark for Botox in class 3 in respect of the goods “</w:t>
      </w:r>
      <w:r w:rsidR="00EE4D06" w:rsidRPr="00CC024A">
        <w:rPr>
          <w:lang w:val="en-US"/>
        </w:rPr>
        <w:t xml:space="preserve">… anti-ageing creams; anti-wrinkle cream; … preparations for the skin; … beauty care preparations; beauty preparations; beauty care products; beauty products; beauty creams; … cosmetic articles for personal use; cosmetic </w:t>
      </w:r>
      <w:r w:rsidR="00EE4D06" w:rsidRPr="00CC024A">
        <w:t>articles</w:t>
      </w:r>
      <w:r w:rsidR="00EE4D06" w:rsidRPr="00CC024A">
        <w:rPr>
          <w:lang w:val="en-US"/>
        </w:rPr>
        <w:t xml:space="preserve"> and preparations; … cosmetic skin care products; </w:t>
      </w:r>
      <w:r w:rsidR="00EE4D06" w:rsidRPr="009C37C8">
        <w:rPr>
          <w:bCs/>
          <w:lang w:val="en-US"/>
        </w:rPr>
        <w:t>cosmetics; … serum (cosmetic preparations</w:t>
      </w:r>
      <w:r w:rsidR="00EE4D06" w:rsidRPr="00CC024A">
        <w:rPr>
          <w:lang w:val="en-US"/>
        </w:rPr>
        <w:t>); … skin care preparations and creams (cosmetic); skincare cosmetics”;</w:t>
      </w:r>
      <w:r w:rsidR="002F15DD">
        <w:rPr>
          <w:lang w:val="en-US"/>
        </w:rPr>
        <w:t xml:space="preserve"> and</w:t>
      </w:r>
    </w:p>
    <w:p w14:paraId="5BF2758E" w14:textId="00EC3727" w:rsidR="00EE4D06" w:rsidRPr="00CC024A" w:rsidRDefault="001E3C6B" w:rsidP="001E3C6B">
      <w:pPr>
        <w:pStyle w:val="ListNo1"/>
        <w:numPr>
          <w:ilvl w:val="0"/>
          <w:numId w:val="0"/>
        </w:numPr>
        <w:tabs>
          <w:tab w:val="left" w:pos="720"/>
        </w:tabs>
        <w:ind w:left="720" w:hanging="720"/>
      </w:pPr>
      <w:r w:rsidRPr="00CC024A">
        <w:t>(3)</w:t>
      </w:r>
      <w:r w:rsidRPr="00CC024A">
        <w:tab/>
      </w:r>
      <w:r w:rsidR="002F15DD" w:rsidRPr="00CC024A">
        <w:t>t</w:t>
      </w:r>
      <w:r w:rsidR="00EE4D06" w:rsidRPr="00CC024A">
        <w:t>he 426 defensive mark for Botox in class 5 in respect of the goods “</w:t>
      </w:r>
      <w:r w:rsidR="00EE4D06" w:rsidRPr="00CC024A">
        <w:rPr>
          <w:lang w:val="en-US"/>
        </w:rPr>
        <w:t>… body care preparations (medicated); chemical preparations and products for medical, veterinary and pharmaceutical purposes … dermatological creams and preparations (medicated) … medicated creams and lotions; medicated facial care preparations; medicated skin care preparations … moisturizers and moisturising preparations (pharmaceutical) … pharmaceutical products and creams … preparations for the skin (medicated) …”.</w:t>
      </w:r>
    </w:p>
    <w:p w14:paraId="7F94B66D" w14:textId="77777777" w:rsidR="00EE4D06" w:rsidRPr="00CC024A" w:rsidRDefault="00EE4D06" w:rsidP="00EE4D06">
      <w:pPr>
        <w:pStyle w:val="Heading2"/>
      </w:pPr>
      <w:bookmarkStart w:id="98" w:name="_Ref54701597"/>
      <w:r w:rsidRPr="00CC024A">
        <w:t>Section 60 – likely to deceive or cause confusion</w:t>
      </w:r>
      <w:bookmarkEnd w:id="98"/>
    </w:p>
    <w:p w14:paraId="07277EBE" w14:textId="10936090" w:rsidR="00EE4D06" w:rsidRPr="00CC024A" w:rsidRDefault="001E3C6B" w:rsidP="001E3C6B">
      <w:pPr>
        <w:pStyle w:val="ParaNumbering"/>
        <w:numPr>
          <w:ilvl w:val="0"/>
          <w:numId w:val="0"/>
        </w:numPr>
        <w:ind w:hanging="720"/>
      </w:pPr>
      <w:r w:rsidRPr="00CC024A">
        <w:rPr>
          <w:sz w:val="20"/>
        </w:rPr>
        <w:t>344</w:t>
      </w:r>
      <w:r w:rsidRPr="00CC024A">
        <w:rPr>
          <w:sz w:val="20"/>
        </w:rPr>
        <w:tab/>
      </w:r>
      <w:r w:rsidR="00EE4D06" w:rsidRPr="00CC024A">
        <w:t>Section 60 of the TM Act is in the following terms:</w:t>
      </w:r>
    </w:p>
    <w:p w14:paraId="283B66F6" w14:textId="40A52C9F" w:rsidR="00A44CB8" w:rsidRPr="00523981" w:rsidRDefault="00A44CB8" w:rsidP="00A44CB8">
      <w:pPr>
        <w:pStyle w:val="Quote1"/>
        <w:rPr>
          <w:b/>
        </w:rPr>
      </w:pPr>
      <w:r w:rsidRPr="00523981">
        <w:rPr>
          <w:b/>
        </w:rPr>
        <w:t>60 Trade mark similar to trade mark that has acquired a reputation in Australia</w:t>
      </w:r>
    </w:p>
    <w:p w14:paraId="677EBC97" w14:textId="181E028A" w:rsidR="00A44CB8" w:rsidRDefault="00A44CB8" w:rsidP="00A44CB8">
      <w:pPr>
        <w:pStyle w:val="Quote1"/>
      </w:pPr>
      <w:r>
        <w:t xml:space="preserve">The registration of a trade mark in respect of particular goods or services may be </w:t>
      </w:r>
      <w:r>
        <w:lastRenderedPageBreak/>
        <w:t>opposed on the ground that:</w:t>
      </w:r>
    </w:p>
    <w:p w14:paraId="5385800D" w14:textId="73CDA43D" w:rsidR="00A44CB8" w:rsidRDefault="00A44CB8" w:rsidP="00D95B24">
      <w:pPr>
        <w:pStyle w:val="Quote2"/>
        <w:ind w:left="1418" w:hanging="709"/>
      </w:pPr>
      <w:r>
        <w:t>(a)</w:t>
      </w:r>
      <w:r>
        <w:tab/>
        <w:t>another trade mark had, before the priority date for the registration of the first‑mentioned trade mark in respect of those goods or services, acquired a reputation in Australia; and</w:t>
      </w:r>
    </w:p>
    <w:p w14:paraId="43DCF057" w14:textId="5CCC18DC" w:rsidR="00A44CB8" w:rsidRDefault="00A44CB8" w:rsidP="00D95B24">
      <w:pPr>
        <w:pStyle w:val="Quote2"/>
        <w:ind w:left="1418" w:hanging="709"/>
      </w:pPr>
      <w:r>
        <w:t xml:space="preserve">(b)  </w:t>
      </w:r>
      <w:r>
        <w:tab/>
        <w:t>because of the reputation of that other trade mark, the use of the first‑mentioned trade mark would be likely to deceive or cause confusion.</w:t>
      </w:r>
    </w:p>
    <w:p w14:paraId="1135FE57" w14:textId="56CB472A" w:rsidR="00EE4D06" w:rsidRPr="00E91ECB" w:rsidRDefault="00A44CB8" w:rsidP="00A44CB8">
      <w:pPr>
        <w:pStyle w:val="Quote1"/>
        <w:rPr>
          <w:highlight w:val="yellow"/>
        </w:rPr>
      </w:pPr>
      <w:r>
        <w:t>Note:</w:t>
      </w:r>
      <w:r>
        <w:tab/>
        <w:t xml:space="preserve">For </w:t>
      </w:r>
      <w:r w:rsidRPr="00A44CB8">
        <w:rPr>
          <w:b/>
          <w:i/>
        </w:rPr>
        <w:t>priority date</w:t>
      </w:r>
      <w:r>
        <w:t xml:space="preserve"> see section 12.</w:t>
      </w:r>
    </w:p>
    <w:p w14:paraId="5F6B15BD" w14:textId="4D354B37" w:rsidR="00EE4D06" w:rsidRPr="00CC024A" w:rsidRDefault="001E3C6B" w:rsidP="001E3C6B">
      <w:pPr>
        <w:pStyle w:val="ParaNumbering"/>
        <w:numPr>
          <w:ilvl w:val="0"/>
          <w:numId w:val="0"/>
        </w:numPr>
        <w:ind w:hanging="720"/>
      </w:pPr>
      <w:r w:rsidRPr="00CC024A">
        <w:rPr>
          <w:sz w:val="20"/>
        </w:rPr>
        <w:t>345</w:t>
      </w:r>
      <w:r w:rsidRPr="00CC024A">
        <w:rPr>
          <w:sz w:val="20"/>
        </w:rPr>
        <w:tab/>
      </w:r>
      <w:r w:rsidR="00EE4D06" w:rsidRPr="00CC024A">
        <w:t xml:space="preserve">There is no issue in the case that the BOTOX mark had acquired a reputation in Australia before the priority date for the registration of the </w:t>
      </w:r>
      <w:r w:rsidR="005949F5">
        <w:t xml:space="preserve">FREEZEFRAME </w:t>
      </w:r>
      <w:r w:rsidR="00EE4D06" w:rsidRPr="00CC024A">
        <w:t>PROTOX mark, i.e.</w:t>
      </w:r>
      <w:r w:rsidR="00B14BDB">
        <w:t>,</w:t>
      </w:r>
      <w:r w:rsidR="00EE4D06" w:rsidRPr="00CC024A">
        <w:t xml:space="preserve"> 20 October 2014.  The issue, then, is whether because of the reputation of the BOTOX mark, the use of the </w:t>
      </w:r>
      <w:r w:rsidR="005949F5">
        <w:t xml:space="preserve">FREEZEFRAME </w:t>
      </w:r>
      <w:r w:rsidR="00EE4D06" w:rsidRPr="00CC024A">
        <w:t>PROTOX mark would be likely to deceive or cause confusion.  That will turn, at least in part, on the nature of the reputation that the BOTOX mark had acquired.</w:t>
      </w:r>
    </w:p>
    <w:p w14:paraId="2A2DCE1A" w14:textId="041C4FFD" w:rsidR="00EE4D06" w:rsidRPr="00CC024A" w:rsidRDefault="001E3C6B" w:rsidP="001E3C6B">
      <w:pPr>
        <w:pStyle w:val="ParaNumbering"/>
        <w:numPr>
          <w:ilvl w:val="0"/>
          <w:numId w:val="0"/>
        </w:numPr>
        <w:ind w:hanging="720"/>
      </w:pPr>
      <w:r w:rsidRPr="00CC024A">
        <w:rPr>
          <w:sz w:val="20"/>
        </w:rPr>
        <w:t>346</w:t>
      </w:r>
      <w:r w:rsidRPr="00CC024A">
        <w:rPr>
          <w:sz w:val="20"/>
        </w:rPr>
        <w:tab/>
      </w:r>
      <w:r w:rsidR="00EE4D06" w:rsidRPr="00CC024A">
        <w:t>I have already concluded that the reputation of the BOTOX mark is in relation to an injectable anti-wrinkle product administered by healthcare professionals.  There is no reputation in the mark BOTOX that extends to topically applied cosmetics or general cosmetic products or treatments.  Although that conclusion was reached, in particular, in relation to evidence up to and including late 2017, there is no suggestion in the evidence that the reputation was materially different as at October 2014.</w:t>
      </w:r>
      <w:r w:rsidR="005949F5">
        <w:t xml:space="preserve">  </w:t>
      </w:r>
    </w:p>
    <w:p w14:paraId="3A487823" w14:textId="38DCA7C0" w:rsidR="00EE4D06" w:rsidRPr="00CC024A" w:rsidRDefault="001E3C6B" w:rsidP="001E3C6B">
      <w:pPr>
        <w:pStyle w:val="ParaNumbering"/>
        <w:numPr>
          <w:ilvl w:val="0"/>
          <w:numId w:val="0"/>
        </w:numPr>
        <w:ind w:hanging="720"/>
      </w:pPr>
      <w:r w:rsidRPr="00CC024A">
        <w:rPr>
          <w:sz w:val="20"/>
        </w:rPr>
        <w:t>347</w:t>
      </w:r>
      <w:r w:rsidRPr="00CC024A">
        <w:rPr>
          <w:sz w:val="20"/>
        </w:rPr>
        <w:tab/>
      </w:r>
      <w:r w:rsidR="00EE4D06" w:rsidRPr="00CC024A">
        <w:t xml:space="preserve">Allergan </w:t>
      </w:r>
      <w:r w:rsidR="00523981">
        <w:t xml:space="preserve">Inc </w:t>
      </w:r>
      <w:r w:rsidR="00EE4D06" w:rsidRPr="00CC024A">
        <w:t xml:space="preserve">relies on essentially the same submissions in support of the contention that as a result of the reputation of the BOTOX mark the </w:t>
      </w:r>
      <w:r w:rsidR="005949F5">
        <w:t xml:space="preserve">FREEZEFRAME </w:t>
      </w:r>
      <w:r w:rsidR="00EE4D06" w:rsidRPr="00CC024A">
        <w:t xml:space="preserve">PROTOX mark is likely to deceive or cause confusion as it did in support of the contention that the mark PROTOX is deceptively similar to each of the </w:t>
      </w:r>
      <w:r w:rsidR="00EF2FDC" w:rsidRPr="00CC024A">
        <w:t>BOTOX</w:t>
      </w:r>
      <w:r w:rsidR="00EE4D06" w:rsidRPr="00CC024A">
        <w:t xml:space="preserve"> trade marks.</w:t>
      </w:r>
    </w:p>
    <w:p w14:paraId="0935B581" w14:textId="22C69F5E" w:rsidR="00EE4D06" w:rsidRPr="00CC024A" w:rsidRDefault="001E3C6B" w:rsidP="001E3C6B">
      <w:pPr>
        <w:pStyle w:val="ParaNumbering"/>
        <w:numPr>
          <w:ilvl w:val="0"/>
          <w:numId w:val="0"/>
        </w:numPr>
        <w:ind w:hanging="720"/>
      </w:pPr>
      <w:r w:rsidRPr="00CC024A">
        <w:rPr>
          <w:sz w:val="20"/>
        </w:rPr>
        <w:t>348</w:t>
      </w:r>
      <w:r w:rsidRPr="00CC024A">
        <w:rPr>
          <w:sz w:val="20"/>
        </w:rPr>
        <w:tab/>
      </w:r>
      <w:r w:rsidR="00EE4D06" w:rsidRPr="00CC024A">
        <w:t xml:space="preserve">For the same reasons as dealt with in relation to why the mark PROTOX is not deceptively similar to the mark BOTOX, in my view the mark </w:t>
      </w:r>
      <w:r w:rsidR="005949F5">
        <w:t xml:space="preserve">FREEZEFRAME </w:t>
      </w:r>
      <w:r w:rsidR="00EE4D06" w:rsidRPr="00CC024A">
        <w:t>PROTOX is not likely to deceive or cause confusion.  That is all the more so when</w:t>
      </w:r>
      <w:r w:rsidR="005949F5">
        <w:t>, as here, the word FREEZEFRAME is added so as to precede the word PROTOX.  The marks are barely similar at all, and certainly not deceptively similar</w:t>
      </w:r>
      <w:r w:rsidR="00EE4D06" w:rsidRPr="00CC024A">
        <w:t>.</w:t>
      </w:r>
    </w:p>
    <w:p w14:paraId="6C80C0B8" w14:textId="033EFEEE" w:rsidR="00EE4D06" w:rsidRPr="00CC024A" w:rsidRDefault="001E3C6B" w:rsidP="001E3C6B">
      <w:pPr>
        <w:pStyle w:val="ParaNumbering"/>
        <w:numPr>
          <w:ilvl w:val="0"/>
          <w:numId w:val="0"/>
        </w:numPr>
        <w:ind w:hanging="720"/>
      </w:pPr>
      <w:r w:rsidRPr="00CC024A">
        <w:rPr>
          <w:sz w:val="20"/>
        </w:rPr>
        <w:t>349</w:t>
      </w:r>
      <w:r w:rsidRPr="00CC024A">
        <w:rPr>
          <w:sz w:val="20"/>
        </w:rPr>
        <w:tab/>
      </w:r>
      <w:r w:rsidR="00EE4D06" w:rsidRPr="00CC024A">
        <w:t xml:space="preserve">Allergan </w:t>
      </w:r>
      <w:r w:rsidR="00523981">
        <w:t xml:space="preserve">Inc </w:t>
      </w:r>
      <w:r w:rsidR="00350521">
        <w:t>submits</w:t>
      </w:r>
      <w:r w:rsidR="00EE4D06" w:rsidRPr="00CC024A">
        <w:t xml:space="preserve"> that the fact that one product is a pharmaceutical and the other is a cosmetic is not determinative.  It bases that submission on a finding that it contends for, namely that the pervasive reputation of </w:t>
      </w:r>
      <w:r w:rsidR="00EF4588" w:rsidRPr="00CC024A">
        <w:t xml:space="preserve">BOTOX </w:t>
      </w:r>
      <w:r w:rsidR="00EE4D06" w:rsidRPr="00CC024A">
        <w:t>is such that a consumer would draw an association between topical creams, such as the Protox products, and injectables, such as Botox.  I have already concluded that that is not the nature of the reputation of BOTOX.</w:t>
      </w:r>
    </w:p>
    <w:p w14:paraId="226E4F27" w14:textId="5434A8DD" w:rsidR="00EE4D06" w:rsidRPr="00015F2E" w:rsidRDefault="001E3C6B" w:rsidP="001E3C6B">
      <w:pPr>
        <w:pStyle w:val="ParaNumbering"/>
        <w:numPr>
          <w:ilvl w:val="0"/>
          <w:numId w:val="0"/>
        </w:numPr>
        <w:ind w:hanging="720"/>
      </w:pPr>
      <w:r w:rsidRPr="00015F2E">
        <w:rPr>
          <w:sz w:val="20"/>
        </w:rPr>
        <w:lastRenderedPageBreak/>
        <w:t>350</w:t>
      </w:r>
      <w:r w:rsidRPr="00015F2E">
        <w:rPr>
          <w:sz w:val="20"/>
        </w:rPr>
        <w:tab/>
      </w:r>
      <w:r w:rsidR="00EE4D06" w:rsidRPr="00CC024A">
        <w:t xml:space="preserve">Allergan refers to </w:t>
      </w:r>
      <w:r w:rsidR="00EE4D06" w:rsidRPr="00162AB6">
        <w:rPr>
          <w:i/>
        </w:rPr>
        <w:t>Pfizer v Karam</w:t>
      </w:r>
      <w:r w:rsidR="00EE4D06" w:rsidRPr="00162AB6">
        <w:t xml:space="preserve"> [2006] FCA 1663; </w:t>
      </w:r>
      <w:r w:rsidR="00B90AE0">
        <w:t>219</w:t>
      </w:r>
      <w:r w:rsidR="00B90AE0" w:rsidRPr="00162AB6">
        <w:t xml:space="preserve"> </w:t>
      </w:r>
      <w:r w:rsidR="00B90AE0">
        <w:t>FCR 585</w:t>
      </w:r>
      <w:r w:rsidR="00EE4D06" w:rsidRPr="00CC024A">
        <w:t xml:space="preserve"> (</w:t>
      </w:r>
      <w:r w:rsidR="00EE4D06" w:rsidRPr="00CC024A">
        <w:rPr>
          <w:b/>
          <w:i/>
        </w:rPr>
        <w:t>Viagra</w:t>
      </w:r>
      <w:r w:rsidR="00EF2FDC">
        <w:t>) at [47]</w:t>
      </w:r>
      <w:r w:rsidR="00EE4D06" w:rsidRPr="00CC024A">
        <w:t xml:space="preserve"> where Gyles J found that there was a risk of consumer confusion between the respective marks for a pharmaceutical (VIAGRA) and non-pharmaceutical herbal or alternative prod</w:t>
      </w:r>
      <w:r w:rsidR="00EE4D06" w:rsidRPr="00015F2E">
        <w:t>ucts (HERBAGRA).  However, there are important distinguishing features of that case.</w:t>
      </w:r>
    </w:p>
    <w:p w14:paraId="1D6CFADB" w14:textId="3D53D58F" w:rsidR="00EE4D06" w:rsidRPr="00CC024A" w:rsidRDefault="001E3C6B" w:rsidP="001E3C6B">
      <w:pPr>
        <w:pStyle w:val="ParaNumbering"/>
        <w:numPr>
          <w:ilvl w:val="0"/>
          <w:numId w:val="0"/>
        </w:numPr>
        <w:ind w:hanging="720"/>
      </w:pPr>
      <w:r w:rsidRPr="00CC024A">
        <w:rPr>
          <w:sz w:val="20"/>
        </w:rPr>
        <w:t>351</w:t>
      </w:r>
      <w:r w:rsidRPr="00CC024A">
        <w:rPr>
          <w:sz w:val="20"/>
        </w:rPr>
        <w:tab/>
      </w:r>
      <w:r w:rsidR="00EE2442" w:rsidRPr="00015F2E">
        <w:t>I</w:t>
      </w:r>
      <w:r w:rsidR="00EE4D06" w:rsidRPr="00015F2E">
        <w:t xml:space="preserve">n </w:t>
      </w:r>
      <w:r w:rsidR="00EE4D06" w:rsidRPr="00015F2E">
        <w:rPr>
          <w:i/>
        </w:rPr>
        <w:t>Viagra</w:t>
      </w:r>
      <w:r w:rsidR="00EE4D06" w:rsidRPr="00015F2E">
        <w:t xml:space="preserve"> it was concluded (at [31]) that the trade mark VIAGRA is associated with a substance taken orally for enhancement of penile erection f</w:t>
      </w:r>
      <w:r w:rsidR="00EE4D06" w:rsidRPr="00CC024A">
        <w:t>or the improvement of sexual performance as well as curing of penile dysfunction, and not that it was only available on prescription.  That meant that there was a close similarity between the goods, which together with the similarity between the marks led to the conclusion (at [38]) that a substantial number of members of the public would identify herbal medicines used to aid health, vitality and sexuality marketed under the name HERBAGRA to be a herbal version of VIAGRA.  On that basis, deception or confusion was established.</w:t>
      </w:r>
    </w:p>
    <w:p w14:paraId="78E05A54" w14:textId="15FA45C8" w:rsidR="00EE4D06" w:rsidRPr="00CC024A" w:rsidRDefault="001E3C6B" w:rsidP="001E3C6B">
      <w:pPr>
        <w:pStyle w:val="ParaNumbering"/>
        <w:numPr>
          <w:ilvl w:val="0"/>
          <w:numId w:val="0"/>
        </w:numPr>
        <w:ind w:hanging="720"/>
      </w:pPr>
      <w:r w:rsidRPr="00CC024A">
        <w:rPr>
          <w:sz w:val="20"/>
        </w:rPr>
        <w:t>352</w:t>
      </w:r>
      <w:r w:rsidRPr="00CC024A">
        <w:rPr>
          <w:sz w:val="20"/>
        </w:rPr>
        <w:tab/>
      </w:r>
      <w:r w:rsidR="00EE4D06" w:rsidRPr="00CC024A">
        <w:t xml:space="preserve">In the present case, the reputation of BOTOX does not overlap with the goods for which the </w:t>
      </w:r>
      <w:r w:rsidR="005949F5">
        <w:t xml:space="preserve">FREEZEFRAME </w:t>
      </w:r>
      <w:r w:rsidR="00EE4D06" w:rsidRPr="00CC024A">
        <w:t xml:space="preserve">PROTOX mark is sought to be registered, and the </w:t>
      </w:r>
      <w:r w:rsidR="005949F5">
        <w:t xml:space="preserve">FREEZEFRAME </w:t>
      </w:r>
      <w:r w:rsidR="00EE4D06" w:rsidRPr="00CC024A">
        <w:t>PROTOX mark is very different from the BOTOX marks.</w:t>
      </w:r>
    </w:p>
    <w:p w14:paraId="51F64040" w14:textId="099AE2C5" w:rsidR="00EE4D06" w:rsidRPr="00CC024A" w:rsidRDefault="001E3C6B" w:rsidP="001E3C6B">
      <w:pPr>
        <w:pStyle w:val="ParaNumbering"/>
        <w:numPr>
          <w:ilvl w:val="0"/>
          <w:numId w:val="0"/>
        </w:numPr>
        <w:ind w:hanging="720"/>
      </w:pPr>
      <w:r w:rsidRPr="00CC024A">
        <w:rPr>
          <w:sz w:val="20"/>
        </w:rPr>
        <w:t>353</w:t>
      </w:r>
      <w:r w:rsidRPr="00CC024A">
        <w:rPr>
          <w:sz w:val="20"/>
        </w:rPr>
        <w:tab/>
      </w:r>
      <w:r w:rsidR="00EE4D06" w:rsidRPr="00CC024A">
        <w:t>In the circumstances, the ground of opposition based on s 60 of the TM Act has not been established.</w:t>
      </w:r>
    </w:p>
    <w:p w14:paraId="6F0BBB47" w14:textId="77777777" w:rsidR="00EE4D06" w:rsidRPr="00CC024A" w:rsidRDefault="00EE4D06" w:rsidP="00EE4D06">
      <w:pPr>
        <w:pStyle w:val="Heading2"/>
      </w:pPr>
      <w:bookmarkStart w:id="99" w:name="_Ref54701598"/>
      <w:r w:rsidRPr="00CC024A">
        <w:t>Section 42(b) – contrary to law as misleading and deceptive</w:t>
      </w:r>
      <w:bookmarkEnd w:id="99"/>
    </w:p>
    <w:p w14:paraId="301C7F71" w14:textId="43CC2456" w:rsidR="00EE4D06" w:rsidRPr="00CC024A" w:rsidRDefault="001E3C6B" w:rsidP="001E3C6B">
      <w:pPr>
        <w:pStyle w:val="ParaNumbering"/>
        <w:numPr>
          <w:ilvl w:val="0"/>
          <w:numId w:val="0"/>
        </w:numPr>
        <w:ind w:hanging="720"/>
      </w:pPr>
      <w:r w:rsidRPr="00CC024A">
        <w:rPr>
          <w:sz w:val="20"/>
        </w:rPr>
        <w:t>354</w:t>
      </w:r>
      <w:r w:rsidRPr="00CC024A">
        <w:rPr>
          <w:sz w:val="20"/>
        </w:rPr>
        <w:tab/>
      </w:r>
      <w:r w:rsidR="00EE4D06" w:rsidRPr="00CC024A">
        <w:t>This ground of opposition essentially duplicates the ACL case based on the affiliation representations.  For the reasons given in relation to that case, the ground of opposition has not been established.</w:t>
      </w:r>
    </w:p>
    <w:p w14:paraId="5051D436" w14:textId="77777777" w:rsidR="00EE4D06" w:rsidRPr="00CC024A" w:rsidRDefault="00EE4D06" w:rsidP="00EE4D06">
      <w:pPr>
        <w:pStyle w:val="Heading2"/>
      </w:pPr>
      <w:bookmarkStart w:id="100" w:name="_Ref54701599"/>
      <w:r w:rsidRPr="00CC024A">
        <w:t>Section 44 – deceptively similar in respect of similar goods</w:t>
      </w:r>
      <w:bookmarkEnd w:id="100"/>
    </w:p>
    <w:p w14:paraId="6E47045D" w14:textId="2C86A09B" w:rsidR="00EE4D06" w:rsidRPr="00CC024A" w:rsidRDefault="001E3C6B" w:rsidP="001E3C6B">
      <w:pPr>
        <w:pStyle w:val="ParaNumbering"/>
        <w:numPr>
          <w:ilvl w:val="0"/>
          <w:numId w:val="0"/>
        </w:numPr>
        <w:ind w:hanging="720"/>
      </w:pPr>
      <w:r w:rsidRPr="00CC024A">
        <w:rPr>
          <w:sz w:val="20"/>
        </w:rPr>
        <w:t>355</w:t>
      </w:r>
      <w:r w:rsidRPr="00CC024A">
        <w:rPr>
          <w:sz w:val="20"/>
        </w:rPr>
        <w:tab/>
      </w:r>
      <w:r w:rsidR="00EE4D06" w:rsidRPr="00CC024A">
        <w:t xml:space="preserve">Allergan </w:t>
      </w:r>
      <w:r w:rsidR="00523981">
        <w:t xml:space="preserve">Inc </w:t>
      </w:r>
      <w:r w:rsidR="00EE4D06" w:rsidRPr="00CC024A">
        <w:t xml:space="preserve">contends that the </w:t>
      </w:r>
      <w:r w:rsidR="005949F5">
        <w:t xml:space="preserve">FREEZEFRAME </w:t>
      </w:r>
      <w:r w:rsidR="00EE4D06" w:rsidRPr="00CC024A">
        <w:t>PROTOX mark is deceptively similar to Allergan’s prior registered BOTOX mark and covers “similar goods”.</w:t>
      </w:r>
    </w:p>
    <w:p w14:paraId="357F6171" w14:textId="15B06E5D" w:rsidR="00EE4D06" w:rsidRPr="00CC024A" w:rsidRDefault="001E3C6B" w:rsidP="001E3C6B">
      <w:pPr>
        <w:pStyle w:val="ParaNumbering"/>
        <w:numPr>
          <w:ilvl w:val="0"/>
          <w:numId w:val="0"/>
        </w:numPr>
        <w:ind w:hanging="720"/>
      </w:pPr>
      <w:r w:rsidRPr="00CC024A">
        <w:rPr>
          <w:sz w:val="20"/>
        </w:rPr>
        <w:t>356</w:t>
      </w:r>
      <w:r w:rsidRPr="00CC024A">
        <w:rPr>
          <w:sz w:val="20"/>
        </w:rPr>
        <w:tab/>
      </w:r>
      <w:r w:rsidR="00EE4D06" w:rsidRPr="00CC024A">
        <w:t xml:space="preserve">Allergan </w:t>
      </w:r>
      <w:r w:rsidR="00523981">
        <w:t xml:space="preserve">Inc </w:t>
      </w:r>
      <w:r w:rsidR="00350521">
        <w:t>submits</w:t>
      </w:r>
      <w:r w:rsidR="00EE4D06" w:rsidRPr="00CC024A">
        <w:t xml:space="preserve"> that the addition of the word </w:t>
      </w:r>
      <w:r w:rsidR="005949F5">
        <w:t>FREEZEFRAME</w:t>
      </w:r>
      <w:r w:rsidR="00EE4D06" w:rsidRPr="00CC024A">
        <w:t xml:space="preserve"> is insufficient to distinguish or differentiate the </w:t>
      </w:r>
      <w:r w:rsidR="005949F5">
        <w:t xml:space="preserve">FREEZEFRAME </w:t>
      </w:r>
      <w:r w:rsidR="00EE4D06" w:rsidRPr="00CC024A">
        <w:t xml:space="preserve">PROTOX mark.  It </w:t>
      </w:r>
      <w:r w:rsidR="00350521">
        <w:t>submits</w:t>
      </w:r>
      <w:r w:rsidR="00EE4D06" w:rsidRPr="00CC024A">
        <w:t xml:space="preserve"> that PROTOX is the distinctive and essential element of the mark for the purposes of assessing substantial identity and deceptive similarity with the BOTOX marks.  On that basis it submits that the </w:t>
      </w:r>
      <w:r w:rsidR="005949F5">
        <w:t xml:space="preserve">FREEZEFRAME </w:t>
      </w:r>
      <w:r w:rsidR="00EE4D06" w:rsidRPr="00CC024A">
        <w:t xml:space="preserve">PROTOX mark is deceptively similar to the </w:t>
      </w:r>
      <w:r w:rsidR="005949F5">
        <w:t xml:space="preserve">BOTOX </w:t>
      </w:r>
      <w:r w:rsidR="00D11648">
        <w:t>marks.</w:t>
      </w:r>
    </w:p>
    <w:p w14:paraId="72C9F70D" w14:textId="2C92C586" w:rsidR="00EE4D06" w:rsidRPr="00CC024A" w:rsidRDefault="001E3C6B" w:rsidP="001E3C6B">
      <w:pPr>
        <w:pStyle w:val="ParaNumbering"/>
        <w:numPr>
          <w:ilvl w:val="0"/>
          <w:numId w:val="0"/>
        </w:numPr>
        <w:ind w:hanging="720"/>
      </w:pPr>
      <w:r w:rsidRPr="00CC024A">
        <w:rPr>
          <w:sz w:val="20"/>
        </w:rPr>
        <w:lastRenderedPageBreak/>
        <w:t>357</w:t>
      </w:r>
      <w:r w:rsidRPr="00CC024A">
        <w:rPr>
          <w:sz w:val="20"/>
        </w:rPr>
        <w:tab/>
      </w:r>
      <w:r w:rsidR="00EE4D06" w:rsidRPr="00CC024A">
        <w:t xml:space="preserve">I have already concluded that PROTOX as a word mark separately from </w:t>
      </w:r>
      <w:r w:rsidR="005949F5">
        <w:t xml:space="preserve">FREEZEFRAME </w:t>
      </w:r>
      <w:r w:rsidR="00EE4D06" w:rsidRPr="00CC024A">
        <w:t>is not deceptively similar to BOTOX.  Th</w:t>
      </w:r>
      <w:r w:rsidR="00EE4D06" w:rsidRPr="00B60D61">
        <w:t xml:space="preserve">e composite mark </w:t>
      </w:r>
      <w:r w:rsidR="005949F5">
        <w:t xml:space="preserve">FREEZEFRAME </w:t>
      </w:r>
      <w:r w:rsidR="00EE4D06" w:rsidRPr="00FF7EE1">
        <w:t xml:space="preserve">PROTOX raises even less possibility of deceptive similarity.  That is because in undertaking the comparison, the trade marks are to be considered as a whole: </w:t>
      </w:r>
      <w:r w:rsidR="00EE4D06" w:rsidRPr="006A303E">
        <w:rPr>
          <w:i/>
        </w:rPr>
        <w:t>Food Channel</w:t>
      </w:r>
      <w:r w:rsidR="00EE4D06" w:rsidRPr="006A303E">
        <w:t xml:space="preserve"> at [92].  The </w:t>
      </w:r>
      <w:r w:rsidR="005949F5">
        <w:t xml:space="preserve">FREEZEFRAME </w:t>
      </w:r>
      <w:r w:rsidR="00EE4D06" w:rsidRPr="006A303E">
        <w:t>comp</w:t>
      </w:r>
      <w:r w:rsidR="00EE4D06" w:rsidRPr="00CC024A">
        <w:t>onent of the combined mark is highly distinctive and serves to clearly distinguish it from the BOTOX mark.</w:t>
      </w:r>
    </w:p>
    <w:p w14:paraId="4917A71B" w14:textId="47C6B176" w:rsidR="00EE4D06" w:rsidRPr="00CC024A" w:rsidRDefault="001E3C6B" w:rsidP="001E3C6B">
      <w:pPr>
        <w:pStyle w:val="ParaNumbering"/>
        <w:numPr>
          <w:ilvl w:val="0"/>
          <w:numId w:val="0"/>
        </w:numPr>
        <w:ind w:hanging="720"/>
      </w:pPr>
      <w:r w:rsidRPr="00CC024A">
        <w:rPr>
          <w:sz w:val="20"/>
        </w:rPr>
        <w:t>358</w:t>
      </w:r>
      <w:r w:rsidRPr="00CC024A">
        <w:rPr>
          <w:sz w:val="20"/>
        </w:rPr>
        <w:tab/>
      </w:r>
      <w:r w:rsidR="00EE4D06" w:rsidRPr="00CC024A">
        <w:t xml:space="preserve">With regard to whether the marks are “in respect of similar goods”, </w:t>
      </w:r>
      <w:r w:rsidR="005949F5">
        <w:t>once again this involves consideration of a range of factors including the nature and characteristics of the goods, the uses of the goods and the trade channels.  For the reasons given previously</w:t>
      </w:r>
      <w:r w:rsidR="00523981">
        <w:t xml:space="preserve"> (at [</w:t>
      </w:r>
      <w:r w:rsidR="00523981">
        <w:fldChar w:fldCharType="begin" w:fldLock="1"/>
      </w:r>
      <w:r w:rsidR="00523981">
        <w:instrText xml:space="preserve"> REF _Ref54200128 \r \h </w:instrText>
      </w:r>
      <w:r w:rsidR="00523981">
        <w:fldChar w:fldCharType="separate"/>
      </w:r>
      <w:r w:rsidR="00756FCE">
        <w:t>216</w:t>
      </w:r>
      <w:r w:rsidR="00523981">
        <w:fldChar w:fldCharType="end"/>
      </w:r>
      <w:r w:rsidR="00523981">
        <w:t>]-[</w:t>
      </w:r>
      <w:r w:rsidR="00523981">
        <w:fldChar w:fldCharType="begin" w:fldLock="1"/>
      </w:r>
      <w:r w:rsidR="00523981">
        <w:instrText xml:space="preserve"> REF _Ref54200138 \r \h </w:instrText>
      </w:r>
      <w:r w:rsidR="00523981">
        <w:fldChar w:fldCharType="separate"/>
      </w:r>
      <w:r w:rsidR="00756FCE">
        <w:t>217</w:t>
      </w:r>
      <w:r w:rsidR="00523981">
        <w:fldChar w:fldCharType="end"/>
      </w:r>
      <w:r w:rsidR="00523981">
        <w:t>]) with regard to Protox being a good of the same description as goods in respect of which BOTOX is registered</w:t>
      </w:r>
      <w:r w:rsidR="005949F5">
        <w:t xml:space="preserve">, the goods in respect of which the FREEZEFRAME PROTOX registration is sought are similar to </w:t>
      </w:r>
      <w:r w:rsidR="00785FB6">
        <w:t xml:space="preserve">the goods in </w:t>
      </w:r>
      <w:r w:rsidR="00523981">
        <w:t xml:space="preserve">respect of </w:t>
      </w:r>
      <w:r w:rsidR="00785FB6">
        <w:t xml:space="preserve">which </w:t>
      </w:r>
      <w:r w:rsidR="005949F5">
        <w:t>B</w:t>
      </w:r>
      <w:r w:rsidR="000E46F7">
        <w:t>OTOX</w:t>
      </w:r>
      <w:r w:rsidR="00785FB6">
        <w:t xml:space="preserve"> is registered</w:t>
      </w:r>
      <w:r w:rsidR="00523981">
        <w:t xml:space="preserve"> in class 3</w:t>
      </w:r>
      <w:r w:rsidR="005949F5">
        <w:t xml:space="preserve">.  </w:t>
      </w:r>
    </w:p>
    <w:p w14:paraId="2B729A8A" w14:textId="77777777" w:rsidR="00EE4D06" w:rsidRPr="00CC024A" w:rsidRDefault="00EE4D06" w:rsidP="00EE4D06">
      <w:pPr>
        <w:pStyle w:val="Heading2"/>
      </w:pPr>
      <w:bookmarkStart w:id="101" w:name="_Ref54701600"/>
      <w:r w:rsidRPr="00CC024A">
        <w:t>Section 58 – ownership of the opposed mark</w:t>
      </w:r>
      <w:bookmarkEnd w:id="101"/>
    </w:p>
    <w:p w14:paraId="669F70E7" w14:textId="1A36EA49" w:rsidR="00EE4D06" w:rsidRPr="00CC024A" w:rsidRDefault="001E3C6B" w:rsidP="001E3C6B">
      <w:pPr>
        <w:pStyle w:val="ParaNumbering"/>
        <w:numPr>
          <w:ilvl w:val="0"/>
          <w:numId w:val="0"/>
        </w:numPr>
        <w:ind w:hanging="720"/>
      </w:pPr>
      <w:r w:rsidRPr="00CC024A">
        <w:rPr>
          <w:sz w:val="20"/>
        </w:rPr>
        <w:t>359</w:t>
      </w:r>
      <w:r w:rsidRPr="00CC024A">
        <w:rPr>
          <w:sz w:val="20"/>
        </w:rPr>
        <w:tab/>
      </w:r>
      <w:r w:rsidR="00EE4D06" w:rsidRPr="00CC024A">
        <w:t>Section 58 of the TM Act provides that the registration of a trade mark may be opposed on the ground that the applicant is not the owner of the trade mark.  In s 6, “applicant” in relation to an application is defined to mean the person in whose name the application is for the time being proceeding.</w:t>
      </w:r>
    </w:p>
    <w:p w14:paraId="0DBB46C8" w14:textId="16B0DDBA" w:rsidR="00EE4D06" w:rsidRPr="00CC024A" w:rsidRDefault="001E3C6B" w:rsidP="001E3C6B">
      <w:pPr>
        <w:pStyle w:val="ParaNumbering"/>
        <w:numPr>
          <w:ilvl w:val="0"/>
          <w:numId w:val="0"/>
        </w:numPr>
        <w:ind w:hanging="720"/>
      </w:pPr>
      <w:r w:rsidRPr="00CC024A">
        <w:rPr>
          <w:sz w:val="20"/>
        </w:rPr>
        <w:t>360</w:t>
      </w:r>
      <w:r w:rsidRPr="00CC024A">
        <w:rPr>
          <w:sz w:val="20"/>
        </w:rPr>
        <w:tab/>
      </w:r>
      <w:r w:rsidR="00EE4D06" w:rsidRPr="00CC024A">
        <w:t>Section 27(1) of the TM Act provides as follows:</w:t>
      </w:r>
    </w:p>
    <w:p w14:paraId="00B197CD" w14:textId="192B4B0E" w:rsidR="006A303E" w:rsidRDefault="00D95B24" w:rsidP="00D95B24">
      <w:pPr>
        <w:pStyle w:val="Quote1"/>
        <w:ind w:left="1418" w:hanging="567"/>
        <w:rPr>
          <w:lang w:eastAsia="en-AU"/>
        </w:rPr>
      </w:pPr>
      <w:r>
        <w:t>(1)</w:t>
      </w:r>
      <w:r>
        <w:tab/>
      </w:r>
      <w:r w:rsidR="006A303E">
        <w:t>A person may apply for the registration of a trade mark in respect of goods and/or services if:</w:t>
      </w:r>
    </w:p>
    <w:p w14:paraId="38194095" w14:textId="7E79D25B" w:rsidR="006A303E" w:rsidRDefault="006A303E" w:rsidP="006A303E">
      <w:pPr>
        <w:pStyle w:val="Quote2"/>
      </w:pPr>
      <w:r>
        <w:t xml:space="preserve">(a)  </w:t>
      </w:r>
      <w:r w:rsidR="00C52BDA">
        <w:tab/>
      </w:r>
      <w:r>
        <w:t>the person claims to be the owner of the trade mark; and</w:t>
      </w:r>
    </w:p>
    <w:p w14:paraId="3BCF54F2" w14:textId="44728743" w:rsidR="006A303E" w:rsidRDefault="006A303E" w:rsidP="006A303E">
      <w:pPr>
        <w:pStyle w:val="Quote2"/>
      </w:pPr>
      <w:r>
        <w:t xml:space="preserve">(b)  </w:t>
      </w:r>
      <w:r w:rsidR="00C52BDA">
        <w:tab/>
      </w:r>
      <w:r>
        <w:t>one of the following applies:</w:t>
      </w:r>
    </w:p>
    <w:p w14:paraId="1BFA8B6D" w14:textId="1055E3CA" w:rsidR="006A303E" w:rsidRDefault="006A303E" w:rsidP="001B3177">
      <w:pPr>
        <w:pStyle w:val="Quote3"/>
        <w:ind w:left="2694" w:hanging="534"/>
      </w:pPr>
      <w:r>
        <w:t xml:space="preserve">(i)  </w:t>
      </w:r>
      <w:r w:rsidR="001B3177">
        <w:tab/>
      </w:r>
      <w:r>
        <w:t>the person is using or intends to use the trade mark in relation to the goods and/or services;</w:t>
      </w:r>
    </w:p>
    <w:p w14:paraId="75C3A152" w14:textId="30C78AF0" w:rsidR="006A303E" w:rsidRDefault="006A303E" w:rsidP="001B3177">
      <w:pPr>
        <w:pStyle w:val="Quote3"/>
        <w:ind w:left="2694" w:hanging="534"/>
      </w:pPr>
      <w:r>
        <w:t xml:space="preserve">(ii)  </w:t>
      </w:r>
      <w:r w:rsidR="001B3177">
        <w:tab/>
      </w:r>
      <w:r>
        <w:t>the person has authorised or intends to authorise another person to use the trade mark in relation to the goods and/or services;</w:t>
      </w:r>
    </w:p>
    <w:p w14:paraId="6D10C6FD" w14:textId="30831DDB" w:rsidR="006A303E" w:rsidRDefault="006A303E" w:rsidP="001B3177">
      <w:pPr>
        <w:pStyle w:val="Quote3"/>
        <w:ind w:left="2694" w:hanging="534"/>
      </w:pPr>
      <w:r>
        <w:t xml:space="preserve">(iii)  </w:t>
      </w:r>
      <w:r w:rsidR="001B3177">
        <w:tab/>
      </w:r>
      <w:r>
        <w:t>the person intends to assign the trade mark to a body corporate that is about to be constituted with a view to the use by the body corporate of the trade mark in relation to the goods and/or services.</w:t>
      </w:r>
    </w:p>
    <w:p w14:paraId="37AED005" w14:textId="77777777" w:rsidR="006A303E" w:rsidRDefault="006A303E" w:rsidP="006A303E">
      <w:pPr>
        <w:pStyle w:val="Quote1"/>
      </w:pPr>
      <w:r>
        <w:t>Note:          For </w:t>
      </w:r>
      <w:r>
        <w:rPr>
          <w:b/>
          <w:bCs/>
          <w:i/>
          <w:iCs/>
        </w:rPr>
        <w:t>use</w:t>
      </w:r>
      <w:r>
        <w:t> see section 7.</w:t>
      </w:r>
    </w:p>
    <w:p w14:paraId="13BE3CEF" w14:textId="2CF03869" w:rsidR="00EE4D06" w:rsidRPr="00CC024A" w:rsidRDefault="001E3C6B" w:rsidP="001E3C6B">
      <w:pPr>
        <w:pStyle w:val="ParaNumbering"/>
        <w:numPr>
          <w:ilvl w:val="0"/>
          <w:numId w:val="0"/>
        </w:numPr>
        <w:ind w:hanging="720"/>
      </w:pPr>
      <w:r w:rsidRPr="00CC024A">
        <w:rPr>
          <w:sz w:val="20"/>
        </w:rPr>
        <w:lastRenderedPageBreak/>
        <w:t>361</w:t>
      </w:r>
      <w:r w:rsidRPr="00CC024A">
        <w:rPr>
          <w:sz w:val="20"/>
        </w:rPr>
        <w:tab/>
      </w:r>
      <w:r w:rsidR="00EE4D06" w:rsidRPr="00CC024A">
        <w:t xml:space="preserve">It will be recalled that Self Care IP made the application, and was hence the applicant, for the registration of the </w:t>
      </w:r>
      <w:r w:rsidR="005949F5">
        <w:t xml:space="preserve">FREEZEFRAME </w:t>
      </w:r>
      <w:r w:rsidR="00EE4D06" w:rsidRPr="00CC024A">
        <w:t xml:space="preserve">PROTOX mark.  Allergan </w:t>
      </w:r>
      <w:r w:rsidR="00523981">
        <w:t xml:space="preserve">Inc </w:t>
      </w:r>
      <w:r w:rsidR="00350521">
        <w:t>submits</w:t>
      </w:r>
      <w:r w:rsidR="00EE4D06" w:rsidRPr="00CC024A">
        <w:t xml:space="preserve"> that Self Care Corp, and not Self Care</w:t>
      </w:r>
      <w:r w:rsidR="00D11648">
        <w:t xml:space="preserve"> IP, is the owner of the mark.</w:t>
      </w:r>
    </w:p>
    <w:p w14:paraId="04344657" w14:textId="05DDE6E9" w:rsidR="00EE4D06" w:rsidRPr="00CC024A" w:rsidRDefault="001E3C6B" w:rsidP="001E3C6B">
      <w:pPr>
        <w:pStyle w:val="ParaNumbering"/>
        <w:numPr>
          <w:ilvl w:val="0"/>
          <w:numId w:val="0"/>
        </w:numPr>
        <w:ind w:hanging="720"/>
      </w:pPr>
      <w:r w:rsidRPr="00CC024A">
        <w:rPr>
          <w:sz w:val="20"/>
        </w:rPr>
        <w:t>362</w:t>
      </w:r>
      <w:r w:rsidRPr="00CC024A">
        <w:rPr>
          <w:sz w:val="20"/>
        </w:rPr>
        <w:tab/>
      </w:r>
      <w:r w:rsidR="00EE4D06" w:rsidRPr="00CC024A">
        <w:t xml:space="preserve">As will be seen, it is Self Care’s case that Self Care IP claims to have been the owner of the </w:t>
      </w:r>
      <w:r w:rsidR="005949F5">
        <w:t xml:space="preserve">FREEZEFRAME </w:t>
      </w:r>
      <w:r w:rsidR="00EE4D06" w:rsidRPr="00CC024A">
        <w:t>PROTOX mark at the time of the application for registration and to have authorised or intended to authorise Self Care Corp to use the mark.</w:t>
      </w:r>
    </w:p>
    <w:p w14:paraId="647B1CD8" w14:textId="31041D1E" w:rsidR="00EE4D06" w:rsidRPr="00CC024A" w:rsidRDefault="001E3C6B" w:rsidP="001E3C6B">
      <w:pPr>
        <w:pStyle w:val="ParaNumbering"/>
        <w:numPr>
          <w:ilvl w:val="0"/>
          <w:numId w:val="0"/>
        </w:numPr>
        <w:ind w:hanging="720"/>
      </w:pPr>
      <w:r w:rsidRPr="00CC024A">
        <w:rPr>
          <w:sz w:val="20"/>
        </w:rPr>
        <w:t>363</w:t>
      </w:r>
      <w:r w:rsidRPr="00CC024A">
        <w:rPr>
          <w:sz w:val="20"/>
        </w:rPr>
        <w:tab/>
      </w:r>
      <w:r w:rsidR="00EE4D06" w:rsidRPr="00CC024A">
        <w:t xml:space="preserve">Ownership of a trade mark is established either by authorship and prior use, or by the combination of authorship, the filing of the application and an intention to use or an intention to authorise use: </w:t>
      </w:r>
      <w:r w:rsidR="00EE4D06" w:rsidRPr="00162AB6">
        <w:rPr>
          <w:i/>
        </w:rPr>
        <w:t>Pham Global Pty Ltd v Insight Clinical Imaging Pty Ltd</w:t>
      </w:r>
      <w:r w:rsidR="00EE4D06" w:rsidRPr="00162AB6">
        <w:t xml:space="preserve"> [2017] FCAFC 83; 251 FCR 379</w:t>
      </w:r>
      <w:r w:rsidR="00EE4D06" w:rsidRPr="00CC024A">
        <w:t xml:space="preserve"> at [18]-[19] and [25]</w:t>
      </w:r>
      <w:r w:rsidR="00071710">
        <w:t xml:space="preserve"> per Greenwood, Jagot and Beach JJ</w:t>
      </w:r>
      <w:r w:rsidR="00EE4D06" w:rsidRPr="00CC024A">
        <w:t>.  The relevant time is at the time of the application, i.e.</w:t>
      </w:r>
      <w:r w:rsidR="00243FE9">
        <w:t>,</w:t>
      </w:r>
      <w:r w:rsidR="00EE4D06" w:rsidRPr="00CC024A">
        <w:t xml:space="preserve"> 20 October 2014.</w:t>
      </w:r>
    </w:p>
    <w:p w14:paraId="620E6EDF" w14:textId="1448341E" w:rsidR="00EE4D06" w:rsidRPr="00CC024A" w:rsidRDefault="001E3C6B" w:rsidP="001E3C6B">
      <w:pPr>
        <w:pStyle w:val="ParaNumbering"/>
        <w:numPr>
          <w:ilvl w:val="0"/>
          <w:numId w:val="0"/>
        </w:numPr>
        <w:ind w:hanging="720"/>
      </w:pPr>
      <w:r w:rsidRPr="00CC024A">
        <w:rPr>
          <w:sz w:val="20"/>
        </w:rPr>
        <w:t>364</w:t>
      </w:r>
      <w:r w:rsidRPr="00CC024A">
        <w:rPr>
          <w:sz w:val="20"/>
        </w:rPr>
        <w:tab/>
      </w:r>
      <w:r w:rsidR="00EE4D06" w:rsidRPr="00CC024A">
        <w:t xml:space="preserve">On the question of authorisation of use, s 8(1) of the TM Act provides that a person is an authorised user of a trade mark if the person uses the trade mark in relation to goods or services under the control of the owner of the trade mark.  The nature of “control” referred to is control that is exercised in fact, rather than merely legal control exercised through the provisions of a contract: </w:t>
      </w:r>
      <w:r w:rsidR="00EE4D06" w:rsidRPr="00162AB6">
        <w:rPr>
          <w:i/>
        </w:rPr>
        <w:t xml:space="preserve">Lodestar </w:t>
      </w:r>
      <w:r w:rsidR="00EE4D06" w:rsidRPr="00CC024A">
        <w:t>at [97].</w:t>
      </w:r>
    </w:p>
    <w:p w14:paraId="5EC04A22" w14:textId="7EB22BD3" w:rsidR="00EE4D06" w:rsidRPr="00CC024A" w:rsidRDefault="001E3C6B" w:rsidP="001E3C6B">
      <w:pPr>
        <w:pStyle w:val="ParaNumbering"/>
        <w:numPr>
          <w:ilvl w:val="0"/>
          <w:numId w:val="0"/>
        </w:numPr>
        <w:ind w:hanging="720"/>
      </w:pPr>
      <w:r w:rsidRPr="00CC024A">
        <w:rPr>
          <w:sz w:val="20"/>
        </w:rPr>
        <w:t>365</w:t>
      </w:r>
      <w:r w:rsidRPr="00CC024A">
        <w:rPr>
          <w:sz w:val="20"/>
        </w:rPr>
        <w:tab/>
      </w:r>
      <w:r w:rsidR="00EE4D06" w:rsidRPr="00CC024A">
        <w:t>The parties made extensive references to the evidence in support of their competing contentions on the question of ownership of the opposed mark.  In the circumstances, identifying the evidence in some detail cannot be avoided.</w:t>
      </w:r>
    </w:p>
    <w:p w14:paraId="11E8F47D" w14:textId="48EB1C86" w:rsidR="00EE4D06" w:rsidRPr="00CC024A" w:rsidRDefault="001E3C6B" w:rsidP="001E3C6B">
      <w:pPr>
        <w:pStyle w:val="ParaNumbering"/>
        <w:numPr>
          <w:ilvl w:val="0"/>
          <w:numId w:val="0"/>
        </w:numPr>
        <w:ind w:hanging="720"/>
      </w:pPr>
      <w:r w:rsidRPr="00CC024A">
        <w:rPr>
          <w:sz w:val="20"/>
        </w:rPr>
        <w:t>366</w:t>
      </w:r>
      <w:r w:rsidRPr="00CC024A">
        <w:rPr>
          <w:sz w:val="20"/>
        </w:rPr>
        <w:tab/>
      </w:r>
      <w:r w:rsidR="00EE4D06" w:rsidRPr="00CC024A">
        <w:t>It will be recalled that both the Self Care companies have Ms Amoroso as the sole director and secretary.  Both companies were incorporated and registered in 2008.  The shares in both the companies are held on trust by a company of which Ms Amoroso is the sole director, secretary and shareholder, and has been since 15 May 2007.  Ms Amoroso had control of decision-making in both companies in relation to product development, branding, marketing and trade marks.  These are matters that Allergan not only did not seek to dispute, but sought to confirm in c</w:t>
      </w:r>
      <w:r w:rsidR="008E0D70">
        <w:t>ross-examination of Ms Amoroso.</w:t>
      </w:r>
    </w:p>
    <w:p w14:paraId="30F815BC" w14:textId="51C9E1E0" w:rsidR="00EE4D06" w:rsidRPr="00CC024A" w:rsidRDefault="001E3C6B" w:rsidP="001E3C6B">
      <w:pPr>
        <w:pStyle w:val="ParaNumbering"/>
        <w:numPr>
          <w:ilvl w:val="0"/>
          <w:numId w:val="0"/>
        </w:numPr>
        <w:ind w:hanging="720"/>
      </w:pPr>
      <w:r w:rsidRPr="00CC024A">
        <w:rPr>
          <w:sz w:val="20"/>
        </w:rPr>
        <w:t>367</w:t>
      </w:r>
      <w:r w:rsidRPr="00CC024A">
        <w:rPr>
          <w:sz w:val="20"/>
        </w:rPr>
        <w:tab/>
      </w:r>
      <w:r w:rsidR="00EE4D06" w:rsidRPr="00CC024A">
        <w:t xml:space="preserve">Ms Amoroso’s evidence was that Self Care IP was originally incorporated under the name </w:t>
      </w:r>
      <w:r w:rsidR="00EE4D06" w:rsidRPr="00CC024A">
        <w:rPr>
          <w:b/>
        </w:rPr>
        <w:t>The Brand Bank</w:t>
      </w:r>
      <w:r w:rsidR="00EE4D06" w:rsidRPr="00CC024A">
        <w:t xml:space="preserve"> Pty Ltd but changed its name in April 2016 to Self Care IP.  Ms Amoroso’s purpose in incorporating the company was for it to own some of the intellectual property, including trade marks, used by the </w:t>
      </w:r>
      <w:r w:rsidR="00523981">
        <w:t xml:space="preserve">Self Care </w:t>
      </w:r>
      <w:r w:rsidR="00EE4D06" w:rsidRPr="00CC024A">
        <w:t>companies and to license that intellectu</w:t>
      </w:r>
      <w:r w:rsidR="008E0D70">
        <w:t>al property to Self Care Corp.</w:t>
      </w:r>
    </w:p>
    <w:p w14:paraId="38669B39" w14:textId="190E39BE" w:rsidR="00EE4D06" w:rsidRPr="00CC024A" w:rsidRDefault="001E3C6B" w:rsidP="001E3C6B">
      <w:pPr>
        <w:pStyle w:val="ParaNumbering"/>
        <w:numPr>
          <w:ilvl w:val="0"/>
          <w:numId w:val="0"/>
        </w:numPr>
        <w:ind w:hanging="720"/>
      </w:pPr>
      <w:r w:rsidRPr="00CC024A">
        <w:rPr>
          <w:sz w:val="20"/>
        </w:rPr>
        <w:lastRenderedPageBreak/>
        <w:t>368</w:t>
      </w:r>
      <w:r w:rsidRPr="00CC024A">
        <w:rPr>
          <w:sz w:val="20"/>
        </w:rPr>
        <w:tab/>
      </w:r>
      <w:r w:rsidR="00EE4D06" w:rsidRPr="00CC024A">
        <w:t>Ms Amoroso originally chose the name The Brand Bank because Self Care Corp was having problems with competitors copying its products, including its product names.  She had hoped that by not using the words “Self Care” in the company name, competitors would not be given advance notice of the trade</w:t>
      </w:r>
      <w:r w:rsidR="005F1761">
        <w:t xml:space="preserve"> </w:t>
      </w:r>
      <w:r w:rsidR="00EE4D06" w:rsidRPr="00CC024A">
        <w:t>marks which were intended to be used by Self Care in the future but that were not yet in the marketplace.  After it appeared that competitors had cottoned on to The Brand Bank being a Self Care company, Ms Amoroso decided to change the name to Self Care IP so that it was clear that the company was a Self Care company.  The letters “IP” in the company name are plainly an</w:t>
      </w:r>
      <w:r w:rsidR="005949F5">
        <w:t xml:space="preserve"> initialism </w:t>
      </w:r>
      <w:r w:rsidR="00EE4D06" w:rsidRPr="00CC024A">
        <w:t>of “intellectual property”.  That, and the previous name The Brand Bank, corroborate Ms Amoroso’s stated intention that that company would own Self Care’s trade</w:t>
      </w:r>
      <w:r w:rsidR="005F1761">
        <w:t xml:space="preserve"> </w:t>
      </w:r>
      <w:r w:rsidR="00EE4D06" w:rsidRPr="00CC024A">
        <w:t>marks.</w:t>
      </w:r>
    </w:p>
    <w:p w14:paraId="535DAFF3" w14:textId="4AED9F89" w:rsidR="00EE4D06" w:rsidRPr="00CC024A" w:rsidRDefault="001E3C6B" w:rsidP="001E3C6B">
      <w:pPr>
        <w:pStyle w:val="ParaNumbering"/>
        <w:numPr>
          <w:ilvl w:val="0"/>
          <w:numId w:val="0"/>
        </w:numPr>
        <w:ind w:hanging="720"/>
      </w:pPr>
      <w:r w:rsidRPr="00CC024A">
        <w:rPr>
          <w:sz w:val="20"/>
        </w:rPr>
        <w:t>369</w:t>
      </w:r>
      <w:r w:rsidRPr="00CC024A">
        <w:rPr>
          <w:sz w:val="20"/>
        </w:rPr>
        <w:tab/>
      </w:r>
      <w:r w:rsidR="00EE4D06" w:rsidRPr="00CC024A">
        <w:t>Ms Amoroso said that in her role as director of Self Care IP she decided whether ownership of a particular trade mark used by the companies would be held by Self Care IP or by Self Care</w:t>
      </w:r>
      <w:r w:rsidR="00243FE9">
        <w:t xml:space="preserve"> Corp</w:t>
      </w:r>
      <w:r w:rsidR="00EE4D06" w:rsidRPr="00CC024A">
        <w:t>.  She said that in circumstances where the mark was owned by Self Care IP it would be licensed to Self Care Corp to use.  This arrangement was formalised on 17 August 2013 when Self Care Corp and Self Care IP (then still known as The Brand Bank) en</w:t>
      </w:r>
      <w:r w:rsidR="008E0D70">
        <w:t>tered into a license agreement.</w:t>
      </w:r>
    </w:p>
    <w:p w14:paraId="4C33D9BD" w14:textId="0948DA5C" w:rsidR="00EE4D06" w:rsidRPr="00CC024A" w:rsidRDefault="001E3C6B" w:rsidP="001E3C6B">
      <w:pPr>
        <w:pStyle w:val="ParaNumbering"/>
        <w:numPr>
          <w:ilvl w:val="0"/>
          <w:numId w:val="0"/>
        </w:numPr>
        <w:ind w:hanging="720"/>
      </w:pPr>
      <w:r w:rsidRPr="00CC024A">
        <w:rPr>
          <w:sz w:val="20"/>
        </w:rPr>
        <w:t>370</w:t>
      </w:r>
      <w:r w:rsidRPr="00CC024A">
        <w:rPr>
          <w:sz w:val="20"/>
        </w:rPr>
        <w:tab/>
      </w:r>
      <w:r w:rsidR="00EE4D06" w:rsidRPr="00CC024A">
        <w:t>The license agreement records that the licensor, i.e.</w:t>
      </w:r>
      <w:r w:rsidR="00243FE9">
        <w:t>,</w:t>
      </w:r>
      <w:r w:rsidR="00EE4D06" w:rsidRPr="00CC024A">
        <w:t xml:space="preserve"> Self Care IP, owns, amongst other things, certain trade</w:t>
      </w:r>
      <w:r w:rsidR="005F1761">
        <w:t xml:space="preserve"> </w:t>
      </w:r>
      <w:r w:rsidR="00EE4D06" w:rsidRPr="00CC024A">
        <w:t>marks and that the licensee, i.e.</w:t>
      </w:r>
      <w:r w:rsidR="00243FE9">
        <w:t>,</w:t>
      </w:r>
      <w:r w:rsidR="00EE4D06" w:rsidRPr="00CC024A">
        <w:t xml:space="preserve"> Self Care Corp, is engaged in the business of the manufacture, sale, distribution and provision of various goods.  By its operative clause, Self Care IP granted to Self Care</w:t>
      </w:r>
      <w:r w:rsidR="004B66FE">
        <w:t xml:space="preserve"> Corp</w:t>
      </w:r>
      <w:r w:rsidR="00EE4D06" w:rsidRPr="00CC024A">
        <w:t xml:space="preserve"> “the non-exclusive, non-transferable right and license to use and make use of”, amongst other things, the trade marks.  The license agreement is in the nature of an “umbrella” agreement under which, or with reference to which, existing and future trade marks could be licensed.  </w:t>
      </w:r>
    </w:p>
    <w:p w14:paraId="7C35070A" w14:textId="5C2818B6" w:rsidR="00EE4D06" w:rsidRPr="00CC024A" w:rsidRDefault="001E3C6B" w:rsidP="001E3C6B">
      <w:pPr>
        <w:pStyle w:val="ParaNumbering"/>
        <w:numPr>
          <w:ilvl w:val="0"/>
          <w:numId w:val="0"/>
        </w:numPr>
        <w:ind w:hanging="720"/>
      </w:pPr>
      <w:r w:rsidRPr="00CC024A">
        <w:rPr>
          <w:sz w:val="20"/>
        </w:rPr>
        <w:t>371</w:t>
      </w:r>
      <w:r w:rsidRPr="00CC024A">
        <w:rPr>
          <w:sz w:val="20"/>
        </w:rPr>
        <w:tab/>
      </w:r>
      <w:r w:rsidR="00EE4D06" w:rsidRPr="00CC024A">
        <w:t xml:space="preserve">Ms Amoroso’s evidence was that Self Care Corp developed the Protox product that became branded as </w:t>
      </w:r>
      <w:r w:rsidR="005949F5">
        <w:t xml:space="preserve">FREEZEFRAME </w:t>
      </w:r>
      <w:r w:rsidR="004E15C0">
        <w:t xml:space="preserve">PROTOX.  </w:t>
      </w:r>
      <w:r w:rsidR="00EE4D06" w:rsidRPr="00CC024A">
        <w:t xml:space="preserve">She said that she came up with the name </w:t>
      </w:r>
      <w:r w:rsidR="00523981">
        <w:t>Protox</w:t>
      </w:r>
      <w:r w:rsidR="00EE4D06" w:rsidRPr="00CC024A">
        <w:t xml:space="preserve"> and that she intended the product to be part of the Freeze</w:t>
      </w:r>
      <w:r w:rsidR="004E15C0" w:rsidRPr="00CC024A">
        <w:t>f</w:t>
      </w:r>
      <w:r w:rsidR="00EE4D06" w:rsidRPr="00CC024A">
        <w:t xml:space="preserve">rame range of products and to be referred to as </w:t>
      </w:r>
      <w:r w:rsidR="005949F5">
        <w:t xml:space="preserve">FREEZEFRAME </w:t>
      </w:r>
      <w:r w:rsidR="00EE4D06" w:rsidRPr="00CC024A">
        <w:t xml:space="preserve">PROTOX.  At that time, she made the decision that </w:t>
      </w:r>
      <w:r w:rsidR="00243FE9" w:rsidRPr="00CC024A">
        <w:t>Self Care IP (then still known as The Brand Bank)</w:t>
      </w:r>
      <w:r w:rsidR="00EE4D06" w:rsidRPr="00CC024A">
        <w:t xml:space="preserve"> would own the mark and license its use to Self Care Corp under the terms of the license agreement </w:t>
      </w:r>
      <w:r w:rsidR="008E0D70">
        <w:t>for the reasons set out above.</w:t>
      </w:r>
    </w:p>
    <w:p w14:paraId="195C139B" w14:textId="4172620B" w:rsidR="00EE4D06" w:rsidRDefault="001E3C6B" w:rsidP="001E3C6B">
      <w:pPr>
        <w:pStyle w:val="ParaNumbering"/>
        <w:numPr>
          <w:ilvl w:val="0"/>
          <w:numId w:val="0"/>
        </w:numPr>
        <w:ind w:hanging="720"/>
      </w:pPr>
      <w:r>
        <w:rPr>
          <w:sz w:val="20"/>
        </w:rPr>
        <w:t>372</w:t>
      </w:r>
      <w:r>
        <w:rPr>
          <w:sz w:val="20"/>
        </w:rPr>
        <w:tab/>
      </w:r>
      <w:r w:rsidR="00EE4D06" w:rsidRPr="00CC024A">
        <w:t xml:space="preserve">Even if by failing to record the identity of the particular mark in question the license of its use under the licence agreement failed, as identified above, authorised use is determined by reference to factual control.  On the evidence of Ms Amoroso, Self Care </w:t>
      </w:r>
      <w:r w:rsidR="00523981">
        <w:t xml:space="preserve">Corp </w:t>
      </w:r>
      <w:r w:rsidR="00EE4D06" w:rsidRPr="00CC024A">
        <w:t xml:space="preserve">used the opposed </w:t>
      </w:r>
      <w:r w:rsidR="00EE4D06" w:rsidRPr="00CC024A">
        <w:lastRenderedPageBreak/>
        <w:t>mark in relation to the Protox product under the control of Self Care IP.  That is what she said that she decided, in her capacities controlling both companies, and she was not challenged on that.  The license agreement, even if ineffective, serves, as a matter of fact, to confirm that it was Ms Amoroso’s actual intention that Self Care IP would own trade marks and license their use to Self Care Corp.</w:t>
      </w:r>
    </w:p>
    <w:p w14:paraId="7C68D648" w14:textId="60DAB584" w:rsidR="00415CEB" w:rsidRPr="00CC024A" w:rsidRDefault="001E3C6B" w:rsidP="001E3C6B">
      <w:pPr>
        <w:pStyle w:val="ParaNumbering"/>
        <w:numPr>
          <w:ilvl w:val="0"/>
          <w:numId w:val="0"/>
        </w:numPr>
        <w:ind w:hanging="720"/>
      </w:pPr>
      <w:r w:rsidRPr="00CC024A">
        <w:rPr>
          <w:sz w:val="20"/>
        </w:rPr>
        <w:t>373</w:t>
      </w:r>
      <w:r w:rsidRPr="00CC024A">
        <w:rPr>
          <w:sz w:val="20"/>
        </w:rPr>
        <w:tab/>
      </w:r>
      <w:r w:rsidR="00243FE9">
        <w:t>A document referred to as “The Launch Commandments” confirms the intention of the business to register trade marks in the name of Self Care IP in 2014</w:t>
      </w:r>
      <w:r w:rsidR="00415CEB">
        <w:t xml:space="preserve">.  </w:t>
      </w:r>
      <w:r w:rsidR="00243FE9">
        <w:t>That document</w:t>
      </w:r>
      <w:r w:rsidR="00415CEB">
        <w:t xml:space="preserve"> set out Self Care’s instructions about launching a new product.  Although the document tendered in evidence is dated 2016, it</w:t>
      </w:r>
      <w:r w:rsidR="00796CBF">
        <w:t xml:space="preserve"> was put to Ms Amoroso in cross-</w:t>
      </w:r>
      <w:r w:rsidR="00415CEB">
        <w:t xml:space="preserve">examination, and she accepted, that the document, or an earlier version of it, was current when the </w:t>
      </w:r>
      <w:r w:rsidR="005949F5">
        <w:t xml:space="preserve">Protox </w:t>
      </w:r>
      <w:r w:rsidR="00415CEB">
        <w:t>product was launched.</w:t>
      </w:r>
      <w:r w:rsidR="00F41CC0">
        <w:t xml:space="preserve">  The document has as one of its “Commandments” that trade marks for new product</w:t>
      </w:r>
      <w:r w:rsidR="00523981">
        <w:t>s</w:t>
      </w:r>
      <w:r w:rsidR="00F41CC0">
        <w:t xml:space="preserve"> must be registere</w:t>
      </w:r>
      <w:r w:rsidR="008E0D70">
        <w:t>d in the name of Self Care IP.</w:t>
      </w:r>
    </w:p>
    <w:p w14:paraId="5CF1721A" w14:textId="47ECC1FC" w:rsidR="00EE4D06" w:rsidRPr="00CC024A" w:rsidRDefault="001E3C6B" w:rsidP="001E3C6B">
      <w:pPr>
        <w:pStyle w:val="ParaNumbering"/>
        <w:numPr>
          <w:ilvl w:val="0"/>
          <w:numId w:val="0"/>
        </w:numPr>
        <w:ind w:hanging="720"/>
      </w:pPr>
      <w:r w:rsidRPr="00CC024A">
        <w:rPr>
          <w:sz w:val="20"/>
        </w:rPr>
        <w:t>374</w:t>
      </w:r>
      <w:r w:rsidRPr="00CC024A">
        <w:rPr>
          <w:sz w:val="20"/>
        </w:rPr>
        <w:tab/>
      </w:r>
      <w:r w:rsidR="00EE4D06" w:rsidRPr="00CC024A">
        <w:t xml:space="preserve">It was thus that, on 26 June 2014, Self Care IP lodged an application to the Australian Trade Marks Office to register the mark PROTOX and, on 20 October 2014, it lodged an application to register the mark </w:t>
      </w:r>
      <w:r w:rsidR="005949F5">
        <w:t xml:space="preserve">FREEZEFRAME </w:t>
      </w:r>
      <w:r w:rsidR="008E0D70">
        <w:t>PROTOX.</w:t>
      </w:r>
    </w:p>
    <w:p w14:paraId="35B349A8" w14:textId="506B857C" w:rsidR="00EE4D06" w:rsidRPr="00CC024A" w:rsidRDefault="001E3C6B" w:rsidP="001E3C6B">
      <w:pPr>
        <w:pStyle w:val="ParaNumbering"/>
        <w:numPr>
          <w:ilvl w:val="0"/>
          <w:numId w:val="0"/>
        </w:numPr>
        <w:ind w:hanging="720"/>
      </w:pPr>
      <w:r w:rsidRPr="00CC024A">
        <w:rPr>
          <w:sz w:val="20"/>
        </w:rPr>
        <w:t>375</w:t>
      </w:r>
      <w:r w:rsidRPr="00CC024A">
        <w:rPr>
          <w:sz w:val="20"/>
        </w:rPr>
        <w:tab/>
      </w:r>
      <w:r w:rsidR="00EE4D06" w:rsidRPr="00CC024A">
        <w:t>The results of Aus</w:t>
      </w:r>
      <w:r w:rsidR="00427B83">
        <w:t>tralian Trade Mark Searches</w:t>
      </w:r>
      <w:r w:rsidR="00EE4D06" w:rsidRPr="00CC024A">
        <w:t xml:space="preserve"> with IP Australia, which were tendered by the parties, show that there were at least seven trade mark applications lodged in the name of Self Care IP as trade mark owner in the period 2010 to 2015 with </w:t>
      </w:r>
      <w:r w:rsidR="005949F5">
        <w:t>FREEZEFRAME</w:t>
      </w:r>
      <w:r w:rsidR="00EE4D06" w:rsidRPr="00CC024A">
        <w:t xml:space="preserve"> in the name of the mark sought to be registered.  One of those is the </w:t>
      </w:r>
      <w:r w:rsidR="005949F5">
        <w:t xml:space="preserve">FREEZEFRAME </w:t>
      </w:r>
      <w:r w:rsidR="00EE4D06" w:rsidRPr="00CC024A">
        <w:t>PROTOX mark presently at issue.  In contrast, in 2009, i.e.</w:t>
      </w:r>
      <w:r w:rsidR="003A36A1">
        <w:t>,</w:t>
      </w:r>
      <w:r w:rsidR="00EE4D06" w:rsidRPr="00CC024A">
        <w:t xml:space="preserve"> before the period referred to in relation to Self Care IP, application</w:t>
      </w:r>
      <w:r w:rsidR="004F573B">
        <w:t>s</w:t>
      </w:r>
      <w:r w:rsidR="00EE4D06" w:rsidRPr="00CC024A">
        <w:t xml:space="preserve"> for the registration of the word mark FREEZE FRAME</w:t>
      </w:r>
      <w:r w:rsidR="004F573B">
        <w:t xml:space="preserve"> and one fancy mark for the Inhibox product </w:t>
      </w:r>
      <w:r w:rsidR="00EE4D06" w:rsidRPr="00CC024A">
        <w:t>w</w:t>
      </w:r>
      <w:r w:rsidR="004F573B">
        <w:t>ere</w:t>
      </w:r>
      <w:r w:rsidR="00EE4D06" w:rsidRPr="00CC024A">
        <w:t xml:space="preserve"> lodged in the name of Self Care Corp.  All other applications for the registration of marks incorporating the word </w:t>
      </w:r>
      <w:r w:rsidR="005949F5">
        <w:t>FREEZEFRAME</w:t>
      </w:r>
      <w:r w:rsidR="00EE4D06" w:rsidRPr="00CC024A">
        <w:t xml:space="preserve"> in the name of Self Care</w:t>
      </w:r>
      <w:r w:rsidR="004B66FE">
        <w:t xml:space="preserve"> Corp</w:t>
      </w:r>
      <w:r w:rsidR="00EE4D06" w:rsidRPr="00CC024A">
        <w:t xml:space="preserve"> were lodged in 2016, i.e.</w:t>
      </w:r>
      <w:r w:rsidR="003A36A1">
        <w:t>,</w:t>
      </w:r>
      <w:r w:rsidR="00EE4D06" w:rsidRPr="00CC024A">
        <w:t xml:space="preserve"> after the period referred to in relation to Self Care IP, except the one in 2013.  The apparent temporal pattern with respect to the companies in whose names the applications were lodged, and the one exception to the pattern in 2013, was not explored in evidence.  However, there is nothing inconsistent between that pattern and the evidence of Ms Amoroso with regard to ownership of the respective marks and, where relevant, their use being licensed by Self Care IP to Self Care Corp.</w:t>
      </w:r>
    </w:p>
    <w:p w14:paraId="3A1D6F53" w14:textId="7A3EA5CC" w:rsidR="00EE4D06" w:rsidRPr="00CC024A" w:rsidRDefault="001E3C6B" w:rsidP="001E3C6B">
      <w:pPr>
        <w:pStyle w:val="ParaNumbering"/>
        <w:numPr>
          <w:ilvl w:val="0"/>
          <w:numId w:val="0"/>
        </w:numPr>
        <w:ind w:hanging="720"/>
      </w:pPr>
      <w:r w:rsidRPr="00CC024A">
        <w:rPr>
          <w:sz w:val="20"/>
        </w:rPr>
        <w:t>376</w:t>
      </w:r>
      <w:r w:rsidRPr="00CC024A">
        <w:rPr>
          <w:sz w:val="20"/>
        </w:rPr>
        <w:tab/>
      </w:r>
      <w:r w:rsidR="00EE4D06" w:rsidRPr="00CC024A">
        <w:t xml:space="preserve">Allergan </w:t>
      </w:r>
      <w:r w:rsidR="00523981">
        <w:t xml:space="preserve">Inc </w:t>
      </w:r>
      <w:r w:rsidR="00350521">
        <w:t>submits</w:t>
      </w:r>
      <w:r w:rsidR="00EE4D06" w:rsidRPr="00CC024A">
        <w:t xml:space="preserve"> that the idea for the word PROTOX came to Ms Amoroso in her capacity as director of Self Care Corp, and not in her personal capacity.</w:t>
      </w:r>
      <w:r w:rsidR="008E0D70">
        <w:t xml:space="preserve"> </w:t>
      </w:r>
      <w:r w:rsidR="00EE4D06" w:rsidRPr="00CC024A">
        <w:t xml:space="preserve"> It was accepted by Self Care that it was not in her personal capacity, but there is no evidence to support the contention that </w:t>
      </w:r>
      <w:r w:rsidR="00EE4D06" w:rsidRPr="00CC024A">
        <w:lastRenderedPageBreak/>
        <w:t>the name came to her in her capacity as director of Self Care Corp rather than as director of Self Care IP.  The fact that it was Self Care Corp that was developing the product says nothing about who would own the trade mark.  But in any event, it does not matter.</w:t>
      </w:r>
      <w:r w:rsidR="00523981">
        <w:t xml:space="preserve">  </w:t>
      </w:r>
      <w:r w:rsidR="00EE4D06" w:rsidRPr="00CC024A">
        <w:t xml:space="preserve">Ms Amoroso was the controlling mind of both companies and had it within her capacity to decide which company would own the intellectual property, and she decided that in the case of the mark </w:t>
      </w:r>
      <w:r w:rsidR="005949F5">
        <w:t xml:space="preserve">FREEZEFRAME </w:t>
      </w:r>
      <w:r w:rsidR="00EE4D06" w:rsidRPr="00CC024A">
        <w:t>PROTOX it would be Self Care IP.  There is nothing in the evidence to gainsay that, and Ms Amoroso was not challenged on it in cross-examination.</w:t>
      </w:r>
    </w:p>
    <w:p w14:paraId="16448CF6" w14:textId="118D7142" w:rsidR="00EE4D06" w:rsidRPr="00CC024A" w:rsidRDefault="001E3C6B" w:rsidP="001E3C6B">
      <w:pPr>
        <w:pStyle w:val="ParaNumbering"/>
        <w:numPr>
          <w:ilvl w:val="0"/>
          <w:numId w:val="0"/>
        </w:numPr>
        <w:ind w:hanging="720"/>
      </w:pPr>
      <w:r w:rsidRPr="00CC024A">
        <w:rPr>
          <w:sz w:val="20"/>
        </w:rPr>
        <w:t>377</w:t>
      </w:r>
      <w:r w:rsidRPr="00CC024A">
        <w:rPr>
          <w:sz w:val="20"/>
        </w:rPr>
        <w:tab/>
      </w:r>
      <w:r w:rsidR="00EE4D06" w:rsidRPr="00CC024A">
        <w:t xml:space="preserve">Allergan </w:t>
      </w:r>
      <w:r w:rsidR="00523981">
        <w:t xml:space="preserve">Inc </w:t>
      </w:r>
      <w:r w:rsidR="00350521">
        <w:t>submits</w:t>
      </w:r>
      <w:r w:rsidR="00EE4D06" w:rsidRPr="00CC024A">
        <w:t xml:space="preserve"> that Self Care IP admitted that it did not create or author the mark </w:t>
      </w:r>
      <w:r w:rsidR="005949F5">
        <w:t xml:space="preserve">FREEZEFRAME </w:t>
      </w:r>
      <w:r w:rsidR="00EE4D06" w:rsidRPr="00CC024A">
        <w:t>PROTOX.  In support of that submission it referred to a notice to admit and a response to the notice to admit.  The notice to admit, under r 22.01 of the</w:t>
      </w:r>
      <w:r w:rsidR="00AA2D56">
        <w:t xml:space="preserve"> </w:t>
      </w:r>
      <w:r w:rsidR="00AA2D56">
        <w:rPr>
          <w:i/>
        </w:rPr>
        <w:t xml:space="preserve">Federal Court </w:t>
      </w:r>
      <w:r w:rsidR="00EE4D06" w:rsidRPr="00AA2D56">
        <w:rPr>
          <w:i/>
        </w:rPr>
        <w:t>Rules</w:t>
      </w:r>
      <w:r w:rsidR="00AA2D56">
        <w:rPr>
          <w:i/>
        </w:rPr>
        <w:t xml:space="preserve"> 2011 </w:t>
      </w:r>
      <w:r w:rsidR="00AA2D56">
        <w:t>(Cth)</w:t>
      </w:r>
      <w:r w:rsidR="00EE4D06" w:rsidRPr="00CC024A">
        <w:t xml:space="preserve">, was directed to Self Care IP.  Amongst other things, it called for the admission that Self Care IP did not create or author the mark </w:t>
      </w:r>
      <w:r w:rsidR="005949F5">
        <w:t xml:space="preserve">FREEZEFRAME </w:t>
      </w:r>
      <w:r w:rsidR="00EE4D06" w:rsidRPr="00CC024A">
        <w:t xml:space="preserve">and that it was aware that another person or entity had used the mark </w:t>
      </w:r>
      <w:r w:rsidR="005949F5">
        <w:t xml:space="preserve">FREEZEFRAME </w:t>
      </w:r>
      <w:r w:rsidR="00EE4D06" w:rsidRPr="00CC024A">
        <w:t>in respect of the Protox product prior to the priority date.  Self Care IP made those admissions although it disputed many other fa</w:t>
      </w:r>
      <w:r w:rsidR="008E0D70">
        <w:t>cts that it was asked to admit.</w:t>
      </w:r>
    </w:p>
    <w:p w14:paraId="5EE0699F" w14:textId="2474026A" w:rsidR="00EE4D06" w:rsidRPr="00CC024A" w:rsidRDefault="001E3C6B" w:rsidP="001E3C6B">
      <w:pPr>
        <w:pStyle w:val="ParaNumbering"/>
        <w:numPr>
          <w:ilvl w:val="0"/>
          <w:numId w:val="0"/>
        </w:numPr>
        <w:ind w:hanging="720"/>
      </w:pPr>
      <w:r w:rsidRPr="00CC024A">
        <w:rPr>
          <w:sz w:val="20"/>
        </w:rPr>
        <w:t>378</w:t>
      </w:r>
      <w:r w:rsidRPr="00CC024A">
        <w:rPr>
          <w:sz w:val="20"/>
        </w:rPr>
        <w:tab/>
      </w:r>
      <w:r w:rsidR="00EE4D06" w:rsidRPr="00CC024A">
        <w:t xml:space="preserve">It is apparent both from what was asked to be admitted and what was then admitted, that Self Care IP did not admit that it did not author the mark </w:t>
      </w:r>
      <w:r w:rsidR="00CC0E5B" w:rsidRPr="00CC024A">
        <w:t xml:space="preserve">FREEZEFRAME </w:t>
      </w:r>
      <w:r w:rsidR="00EE4D06" w:rsidRPr="00CC024A">
        <w:t xml:space="preserve">PROTOX.  It was not asked about the authorship of that combined mark, or of the use of that mark in respect of the Protox product.  It was asked to and made admissions about the mark FREEZEFRAME and not the mark </w:t>
      </w:r>
      <w:r w:rsidR="00CC0E5B" w:rsidRPr="00CC024A">
        <w:t>FREEZEFRAME</w:t>
      </w:r>
      <w:r w:rsidR="00EE4D06" w:rsidRPr="00CC024A">
        <w:t xml:space="preserve"> PROTOX.  There is therefore no justification or support for the submission that Self Care IP admitted that it did not author the mark </w:t>
      </w:r>
      <w:r w:rsidR="00CC0E5B" w:rsidRPr="00CC024A">
        <w:t>FREEZEFRAME</w:t>
      </w:r>
      <w:r w:rsidR="00EE4D06" w:rsidRPr="00CC024A">
        <w:t xml:space="preserve"> PROTOX which is the mark that is the subject of opposition and the ownership of which is disputed with reference to s 58.</w:t>
      </w:r>
    </w:p>
    <w:p w14:paraId="6240D1B3" w14:textId="01AB51F6" w:rsidR="00EE4D06" w:rsidRPr="00CC024A" w:rsidRDefault="001E3C6B" w:rsidP="001E3C6B">
      <w:pPr>
        <w:pStyle w:val="ParaNumbering"/>
        <w:numPr>
          <w:ilvl w:val="0"/>
          <w:numId w:val="0"/>
        </w:numPr>
        <w:ind w:hanging="720"/>
      </w:pPr>
      <w:r w:rsidRPr="00CC024A">
        <w:rPr>
          <w:sz w:val="20"/>
        </w:rPr>
        <w:t>379</w:t>
      </w:r>
      <w:r w:rsidRPr="00CC024A">
        <w:rPr>
          <w:sz w:val="20"/>
        </w:rPr>
        <w:tab/>
      </w:r>
      <w:r w:rsidR="00EE4D06" w:rsidRPr="00CC024A">
        <w:t xml:space="preserve">Allergan </w:t>
      </w:r>
      <w:r w:rsidR="00523981">
        <w:t xml:space="preserve">Inc </w:t>
      </w:r>
      <w:r w:rsidR="00EE4D06" w:rsidRPr="00CC024A">
        <w:t>also</w:t>
      </w:r>
      <w:r w:rsidR="005949F5">
        <w:t xml:space="preserve"> seeks </w:t>
      </w:r>
      <w:r w:rsidR="00EE4D06" w:rsidRPr="00CC024A">
        <w:t>to rely on the fact that the respondents in proceeding NSD15/2017, i.e.</w:t>
      </w:r>
      <w:r w:rsidR="003A36A1">
        <w:t>,</w:t>
      </w:r>
      <w:r w:rsidR="00EE4D06" w:rsidRPr="00CC024A">
        <w:t xml:space="preserve"> the Self Care companies, denied in their defence that Self Care IP advertised, promoted, exhibited, offered for sale, distributed and/or sold in Australia the Protox product under or by reference to the mark PROTOX, or the mark </w:t>
      </w:r>
      <w:r w:rsidR="00CC0E5B" w:rsidRPr="00CC024A">
        <w:t>FREEZEFRAME</w:t>
      </w:r>
      <w:r w:rsidR="00EE4D06" w:rsidRPr="00CC024A">
        <w:t xml:space="preserve"> together with the mark PROTOX, or authorised that conduct.  Allergan </w:t>
      </w:r>
      <w:r w:rsidR="00523981">
        <w:t xml:space="preserve">Inc </w:t>
      </w:r>
      <w:r w:rsidR="00350521">
        <w:t>submits</w:t>
      </w:r>
      <w:r w:rsidR="00EE4D06" w:rsidRPr="00CC024A">
        <w:t xml:space="preserve"> that this is consistent with the mark </w:t>
      </w:r>
      <w:r w:rsidR="005949F5">
        <w:t xml:space="preserve">FREEZEFRAME </w:t>
      </w:r>
      <w:r w:rsidR="00EE4D06" w:rsidRPr="00CC024A">
        <w:t>and the mark PROTOX being owned and used by Self Care</w:t>
      </w:r>
      <w:r w:rsidR="004B66FE">
        <w:t xml:space="preserve"> Corp</w:t>
      </w:r>
      <w:r w:rsidR="00EE4D06" w:rsidRPr="00CC024A">
        <w:t xml:space="preserve"> at the time of the launch of the </w:t>
      </w:r>
      <w:r w:rsidR="003A36A1" w:rsidRPr="00CC024A">
        <w:t>Protox</w:t>
      </w:r>
      <w:r w:rsidR="00EE4D06" w:rsidRPr="00CC024A">
        <w:t xml:space="preserve"> product on or about 12 October 2014 and at the time of filing the a</w:t>
      </w:r>
      <w:r w:rsidR="008E0D70">
        <w:t>pplication on 20 October 2014.</w:t>
      </w:r>
    </w:p>
    <w:p w14:paraId="6BB9B12B" w14:textId="2992D969" w:rsidR="00EE4D06" w:rsidRPr="00CC024A" w:rsidRDefault="001E3C6B" w:rsidP="001E3C6B">
      <w:pPr>
        <w:pStyle w:val="ParaNumbering"/>
        <w:numPr>
          <w:ilvl w:val="0"/>
          <w:numId w:val="0"/>
        </w:numPr>
        <w:ind w:hanging="720"/>
      </w:pPr>
      <w:r w:rsidRPr="00CC024A">
        <w:rPr>
          <w:sz w:val="20"/>
        </w:rPr>
        <w:lastRenderedPageBreak/>
        <w:t>380</w:t>
      </w:r>
      <w:r w:rsidRPr="00CC024A">
        <w:rPr>
          <w:sz w:val="20"/>
        </w:rPr>
        <w:tab/>
      </w:r>
      <w:r w:rsidR="00EE4D06" w:rsidRPr="00CC024A">
        <w:t xml:space="preserve">Paragraph </w:t>
      </w:r>
      <w:r w:rsidR="00862D03">
        <w:t>[</w:t>
      </w:r>
      <w:r w:rsidR="00EE4D06" w:rsidRPr="00CC024A">
        <w:t>20</w:t>
      </w:r>
      <w:r w:rsidR="00862D03">
        <w:t>]</w:t>
      </w:r>
      <w:r w:rsidR="00EE4D06" w:rsidRPr="00CC024A">
        <w:t xml:space="preserve"> of Allergan’s second further amended </w:t>
      </w:r>
      <w:r w:rsidR="00EE4D06" w:rsidRPr="00CC024A">
        <w:rPr>
          <w:b/>
        </w:rPr>
        <w:t>statement of claim</w:t>
      </w:r>
      <w:r w:rsidR="00EE4D06" w:rsidRPr="00CC024A">
        <w:t xml:space="preserve"> pleaded the following:</w:t>
      </w:r>
    </w:p>
    <w:p w14:paraId="4DCEA319" w14:textId="31710467" w:rsidR="00EE4D06" w:rsidRPr="00CC024A" w:rsidRDefault="00EE4D06" w:rsidP="00EE4D06">
      <w:pPr>
        <w:pStyle w:val="Quote1"/>
      </w:pPr>
      <w:r w:rsidRPr="00CC024A">
        <w:t>From a date unknown to the Applicants but since at least 7 October 2014, Self Care IP and Self Care Corporation have each manufactured or caused to be manufactured, advertised, promoted, exhibited, offered for sale, distributed and/or sold in Australia a skincare product under the brand name “Protox”, (further or in the alternative, under the brand name “</w:t>
      </w:r>
      <w:r w:rsidR="00CC0E5B" w:rsidRPr="00CC0E5B">
        <w:rPr>
          <w:i/>
        </w:rPr>
        <w:t>freezef</w:t>
      </w:r>
      <w:r w:rsidRPr="00CC0E5B">
        <w:rPr>
          <w:i/>
        </w:rPr>
        <w:t>rame</w:t>
      </w:r>
      <w:r w:rsidRPr="00CC024A">
        <w:t>” together with the brand name PROTOX) (</w:t>
      </w:r>
      <w:r w:rsidRPr="00CC024A">
        <w:rPr>
          <w:b/>
        </w:rPr>
        <w:t>Protox Product</w:t>
      </w:r>
      <w:r w:rsidRPr="00CC024A">
        <w:t>), and/or have applied such market/s in Australia and offered the Protox Product for export, or authorise the above conduct with respect to the Protox Product.</w:t>
      </w:r>
    </w:p>
    <w:p w14:paraId="0B53E641" w14:textId="2153DEB0" w:rsidR="00EE4D06" w:rsidRPr="00CC024A" w:rsidRDefault="001E3C6B" w:rsidP="001E3C6B">
      <w:pPr>
        <w:pStyle w:val="ParaNumbering"/>
        <w:numPr>
          <w:ilvl w:val="0"/>
          <w:numId w:val="0"/>
        </w:numPr>
        <w:ind w:hanging="720"/>
      </w:pPr>
      <w:r w:rsidRPr="00CC024A">
        <w:rPr>
          <w:sz w:val="20"/>
        </w:rPr>
        <w:t>381</w:t>
      </w:r>
      <w:r w:rsidRPr="00CC024A">
        <w:rPr>
          <w:sz w:val="20"/>
        </w:rPr>
        <w:tab/>
      </w:r>
      <w:r w:rsidR="00EE4D06" w:rsidRPr="00CC024A">
        <w:t xml:space="preserve">Paragraph </w:t>
      </w:r>
      <w:r w:rsidR="00862D03">
        <w:t>[</w:t>
      </w:r>
      <w:r w:rsidR="00EE4D06" w:rsidRPr="00CC024A">
        <w:t>20</w:t>
      </w:r>
      <w:r w:rsidR="00862D03">
        <w:t>]</w:t>
      </w:r>
      <w:r w:rsidR="00EE4D06" w:rsidRPr="00CC024A">
        <w:t xml:space="preserve"> of Self Care’s third further amended </w:t>
      </w:r>
      <w:r w:rsidR="00EE4D06" w:rsidRPr="00CC024A">
        <w:rPr>
          <w:b/>
        </w:rPr>
        <w:t>defence</w:t>
      </w:r>
      <w:r w:rsidR="00EE4D06" w:rsidRPr="00CC024A">
        <w:t xml:space="preserve"> pleaded to that paragraph as follows (so far as is relevant):</w:t>
      </w:r>
    </w:p>
    <w:p w14:paraId="2CB4FBDE" w14:textId="77777777" w:rsidR="00EE4D06" w:rsidRPr="00CC024A" w:rsidRDefault="00EE4D06" w:rsidP="00EE4D06">
      <w:pPr>
        <w:pStyle w:val="Quote1"/>
      </w:pPr>
      <w:r w:rsidRPr="00CC024A">
        <w:t>In answer to paragraph 20 of the second further amended statement of claim, the Respondents:</w:t>
      </w:r>
    </w:p>
    <w:p w14:paraId="362F4C97" w14:textId="060F67F5" w:rsidR="00EE4D06" w:rsidRPr="00CC024A" w:rsidRDefault="00EE4D06" w:rsidP="00EE4D06">
      <w:pPr>
        <w:pStyle w:val="Quote1"/>
        <w:ind w:left="1134" w:hanging="425"/>
      </w:pPr>
      <w:r>
        <w:t>(a)</w:t>
      </w:r>
      <w:r>
        <w:tab/>
      </w:r>
      <w:r w:rsidRPr="00CC024A">
        <w:t>admit that, from about 7 August 2014 to December 2014, the Second Respondent (</w:t>
      </w:r>
      <w:r w:rsidRPr="00CC024A">
        <w:rPr>
          <w:b/>
        </w:rPr>
        <w:t>Self Care Corporation</w:t>
      </w:r>
      <w:r w:rsidRPr="00CC024A">
        <w:t xml:space="preserve">) caused to be manufactured a skincare product to be sold under the brand name </w:t>
      </w:r>
      <w:r w:rsidR="00CC0E5B" w:rsidRPr="00CC024A">
        <w:t>freezeframe</w:t>
      </w:r>
      <w:r w:rsidRPr="00CC024A">
        <w:t xml:space="preserve"> PROTOX (</w:t>
      </w:r>
      <w:r w:rsidR="00CC0E5B" w:rsidRPr="00CC024A">
        <w:rPr>
          <w:b/>
        </w:rPr>
        <w:t>freezeframe</w:t>
      </w:r>
      <w:r w:rsidRPr="00CC024A">
        <w:rPr>
          <w:b/>
        </w:rPr>
        <w:t xml:space="preserve"> Protox Product</w:t>
      </w:r>
      <w:r w:rsidRPr="00CC024A">
        <w:t>);</w:t>
      </w:r>
    </w:p>
    <w:p w14:paraId="4F9A07A2" w14:textId="34A4FC7C" w:rsidR="00EE4D06" w:rsidRPr="00CC024A" w:rsidRDefault="00EE4D06" w:rsidP="00EE4D06">
      <w:pPr>
        <w:pStyle w:val="Quote1"/>
        <w:ind w:left="1134" w:hanging="425"/>
      </w:pPr>
      <w:r>
        <w:t>(b)</w:t>
      </w:r>
      <w:r>
        <w:tab/>
      </w:r>
      <w:r w:rsidRPr="00CC024A">
        <w:t xml:space="preserve">admit that at various times and for various periods of time from about 19 October 2014 to 4 March 2019, Self Care Corporation advertised, promoted, exhibited, offered for sale, distributed and/or sold in Australia the </w:t>
      </w:r>
      <w:r w:rsidR="00CC0E5B" w:rsidRPr="00CC024A">
        <w:t>freezeframe</w:t>
      </w:r>
      <w:r w:rsidRPr="00CC024A">
        <w:t xml:space="preserve"> Protox Product;</w:t>
      </w:r>
    </w:p>
    <w:p w14:paraId="6323B654" w14:textId="2F780B10" w:rsidR="00EE4D06" w:rsidRPr="00CC024A" w:rsidRDefault="00EE4D06" w:rsidP="00EE4D06">
      <w:pPr>
        <w:pStyle w:val="Quote1"/>
        <w:ind w:left="1134" w:hanging="425"/>
      </w:pPr>
      <w:r>
        <w:t>(c)</w:t>
      </w:r>
      <w:r>
        <w:tab/>
      </w:r>
      <w:r w:rsidRPr="00CC024A">
        <w:t xml:space="preserve">admit that from about 19 October 2014 to 4 March 2019 Self Care Corporation applied the </w:t>
      </w:r>
      <w:r w:rsidR="00CC0E5B" w:rsidRPr="00CC024A">
        <w:t>freezeframe</w:t>
      </w:r>
      <w:r w:rsidRPr="00CC024A">
        <w:t xml:space="preserve"> PROTOX mark to the </w:t>
      </w:r>
      <w:r w:rsidR="00CC0E5B" w:rsidRPr="00CC024A">
        <w:t xml:space="preserve">freezeframe </w:t>
      </w:r>
      <w:r w:rsidRPr="00CC024A">
        <w:t xml:space="preserve">Protox Product and offered for export from Australia on its website at the domain name </w:t>
      </w:r>
      <w:r w:rsidRPr="00CC0E5B">
        <w:t>www.freeze-frame.com.au</w:t>
      </w:r>
      <w:r w:rsidRPr="00CC024A">
        <w:t xml:space="preserve"> (</w:t>
      </w:r>
      <w:r w:rsidRPr="00CC024A">
        <w:rPr>
          <w:b/>
        </w:rPr>
        <w:t>freezeframe Website</w:t>
      </w:r>
      <w:r w:rsidRPr="00CC024A">
        <w:t>);</w:t>
      </w:r>
    </w:p>
    <w:p w14:paraId="6C16A49B" w14:textId="77777777" w:rsidR="00EE4D06" w:rsidRPr="00CC024A" w:rsidRDefault="00EE4D06" w:rsidP="00EE4D06">
      <w:pPr>
        <w:pStyle w:val="Quote1"/>
        <w:ind w:left="1134" w:hanging="425"/>
      </w:pPr>
      <w:r w:rsidRPr="00CC024A">
        <w:t>…</w:t>
      </w:r>
    </w:p>
    <w:p w14:paraId="3BB5C452" w14:textId="77777777" w:rsidR="00EE4D06" w:rsidRPr="00CC024A" w:rsidRDefault="00EE4D06" w:rsidP="00EE4D06">
      <w:pPr>
        <w:pStyle w:val="Quote1"/>
        <w:ind w:left="1134" w:hanging="425"/>
      </w:pPr>
      <w:r>
        <w:t>(f)</w:t>
      </w:r>
      <w:r>
        <w:tab/>
      </w:r>
      <w:r w:rsidRPr="00CC024A">
        <w:t>otherwise deny the matters pleaded in paragraph 20.</w:t>
      </w:r>
    </w:p>
    <w:p w14:paraId="47395AED" w14:textId="3ACE8F15" w:rsidR="00EE4D06" w:rsidRPr="00CC024A" w:rsidRDefault="001E3C6B" w:rsidP="001E3C6B">
      <w:pPr>
        <w:pStyle w:val="ParaNumbering"/>
        <w:numPr>
          <w:ilvl w:val="0"/>
          <w:numId w:val="0"/>
        </w:numPr>
        <w:ind w:hanging="720"/>
      </w:pPr>
      <w:r w:rsidRPr="00CC024A">
        <w:rPr>
          <w:sz w:val="20"/>
        </w:rPr>
        <w:t>382</w:t>
      </w:r>
      <w:r w:rsidRPr="00CC024A">
        <w:rPr>
          <w:sz w:val="20"/>
        </w:rPr>
        <w:tab/>
      </w:r>
      <w:r w:rsidR="00EE4D06" w:rsidRPr="00CC024A">
        <w:t xml:space="preserve">The pleading by Self Care that it was Self Care Corp that used the </w:t>
      </w:r>
      <w:r w:rsidR="005949F5">
        <w:t xml:space="preserve">FREEZEFRAME </w:t>
      </w:r>
      <w:r w:rsidR="00EE4D06" w:rsidRPr="00CC024A">
        <w:t xml:space="preserve">PROTOX mark in relation to the Protox product is consistent with Self Care’s case that the </w:t>
      </w:r>
      <w:r w:rsidR="005949F5">
        <w:t xml:space="preserve">FREEZEFRAME </w:t>
      </w:r>
      <w:r w:rsidR="00EE4D06" w:rsidRPr="00CC024A">
        <w:t>PROTOX mark was owned by Self Care IP and licensed for use to Self Care</w:t>
      </w:r>
      <w:r w:rsidR="004B66FE">
        <w:t xml:space="preserve"> Corp</w:t>
      </w:r>
      <w:r w:rsidR="00EE4D06" w:rsidRPr="00CC024A">
        <w:t xml:space="preserve">.  It is thus apparently the denial in para [20(f)] of the defence that Allergan </w:t>
      </w:r>
      <w:r w:rsidR="00523981">
        <w:t xml:space="preserve">Inc </w:t>
      </w:r>
      <w:r w:rsidR="00EE4D06" w:rsidRPr="00CC024A">
        <w:t xml:space="preserve">relies on in submitting that Self Care IP denied that it authorised the use of the </w:t>
      </w:r>
      <w:r w:rsidR="005949F5">
        <w:t xml:space="preserve">FREEZEFRAME </w:t>
      </w:r>
      <w:r w:rsidR="00EE4D06" w:rsidRPr="00CC024A">
        <w:t xml:space="preserve">PROTOX mark by Self Care Corp.  </w:t>
      </w:r>
    </w:p>
    <w:p w14:paraId="7E620777" w14:textId="38F219A5" w:rsidR="00EE4D06" w:rsidRPr="00CC024A" w:rsidRDefault="001E3C6B" w:rsidP="001E3C6B">
      <w:pPr>
        <w:pStyle w:val="ParaNumbering"/>
        <w:numPr>
          <w:ilvl w:val="0"/>
          <w:numId w:val="0"/>
        </w:numPr>
        <w:ind w:hanging="720"/>
      </w:pPr>
      <w:r w:rsidRPr="00CC024A">
        <w:rPr>
          <w:sz w:val="20"/>
        </w:rPr>
        <w:t>383</w:t>
      </w:r>
      <w:r w:rsidRPr="00CC024A">
        <w:rPr>
          <w:sz w:val="20"/>
        </w:rPr>
        <w:tab/>
      </w:r>
      <w:r w:rsidR="00EE4D06" w:rsidRPr="00CC024A">
        <w:t xml:space="preserve">However, that denial does not have that meaning or effect for at least the following reasons.  </w:t>
      </w:r>
      <w:r w:rsidR="00EE4D06" w:rsidRPr="00EA0F56">
        <w:t>First</w:t>
      </w:r>
      <w:r w:rsidR="00EE4D06" w:rsidRPr="00C0228D">
        <w:t>,</w:t>
      </w:r>
      <w:r w:rsidR="00EE4D06" w:rsidRPr="00CC024A">
        <w:t xml:space="preserve"> when in a defence there is a denial of a fact that is pleaded in a statement of claim, the denial is not proof of the opposite of the pleaded fact.  </w:t>
      </w:r>
      <w:r w:rsidR="00DA65F8">
        <w:t xml:space="preserve">No facts are asserted by a denial.  </w:t>
      </w:r>
      <w:r w:rsidR="00EE4D06" w:rsidRPr="00CC024A">
        <w:t>The effect is that the fact asserted in the statement of claim will have to be proved by the party that asserts the fact in the event that that party wishes to rely on it.</w:t>
      </w:r>
      <w:r w:rsidR="00C0228D">
        <w:t xml:space="preserve"> </w:t>
      </w:r>
    </w:p>
    <w:p w14:paraId="11C56A7A" w14:textId="3E32ABB5" w:rsidR="00EE4D06" w:rsidRPr="00CC024A" w:rsidRDefault="001E3C6B" w:rsidP="001E3C6B">
      <w:pPr>
        <w:pStyle w:val="ParaNumbering"/>
        <w:numPr>
          <w:ilvl w:val="0"/>
          <w:numId w:val="0"/>
        </w:numPr>
        <w:ind w:hanging="720"/>
      </w:pPr>
      <w:r w:rsidRPr="00CC024A">
        <w:rPr>
          <w:sz w:val="20"/>
        </w:rPr>
        <w:lastRenderedPageBreak/>
        <w:t>384</w:t>
      </w:r>
      <w:r w:rsidRPr="00CC024A">
        <w:rPr>
          <w:sz w:val="20"/>
        </w:rPr>
        <w:tab/>
      </w:r>
      <w:r w:rsidR="00EE4D06" w:rsidRPr="00CC024A">
        <w:t>Another way of looking at that is to recognise that it lies ill in the mouth of Allergan to say that Self Care IP did not authorise the use of the opposed mark on the ground that Self Care IP denied the contention made by Allergan that Self Care IP did authorise the use of that mark.  Allergan cannot simultaneously assert one thing and rely on the opposite as having been proved by the denial of what it asserted.</w:t>
      </w:r>
    </w:p>
    <w:p w14:paraId="5D9282BD" w14:textId="1CA34249" w:rsidR="00EE4D06" w:rsidRPr="00CC024A" w:rsidRDefault="001E3C6B" w:rsidP="001E3C6B">
      <w:pPr>
        <w:pStyle w:val="ParaNumbering"/>
        <w:numPr>
          <w:ilvl w:val="0"/>
          <w:numId w:val="0"/>
        </w:numPr>
        <w:ind w:hanging="720"/>
      </w:pPr>
      <w:r w:rsidRPr="00CC024A">
        <w:rPr>
          <w:sz w:val="20"/>
        </w:rPr>
        <w:t>385</w:t>
      </w:r>
      <w:r w:rsidRPr="00CC024A">
        <w:rPr>
          <w:sz w:val="20"/>
        </w:rPr>
        <w:tab/>
      </w:r>
      <w:r w:rsidR="00EE4D06" w:rsidRPr="00EA0F56">
        <w:t>Second</w:t>
      </w:r>
      <w:r w:rsidR="00EE4D06" w:rsidRPr="00CC024A">
        <w:t xml:space="preserve">, para [20] of the statement of claim contains rolled up allegations in a variety of possible combinations such that pleading to it specifically would have been very difficult.  In the circumstances, the general denial in para [20(f)] of the defence cannot be understood as a specific denial of a fact not specifically pleaded but capable of being understood to be one of the rolled up allegations in para [20] of the statement of claim.  The asserted fact that Allergan </w:t>
      </w:r>
      <w:r w:rsidR="00523981">
        <w:t xml:space="preserve">Inc </w:t>
      </w:r>
      <w:r w:rsidR="00EE4D06" w:rsidRPr="00CC024A">
        <w:t xml:space="preserve">relies on as having been denied is that Self Care IP authorised the use of the </w:t>
      </w:r>
      <w:r w:rsidR="005949F5">
        <w:t xml:space="preserve">FREEZEFRAME </w:t>
      </w:r>
      <w:r w:rsidR="00EE4D06" w:rsidRPr="00CC024A">
        <w:t>PROTOX mark, but that fact is not specifically, clearly or separately articulated in para [20] of the statement of claim.</w:t>
      </w:r>
    </w:p>
    <w:p w14:paraId="58AE843F" w14:textId="674351BA" w:rsidR="00EE4D06" w:rsidRPr="00CC024A" w:rsidRDefault="001E3C6B" w:rsidP="001E3C6B">
      <w:pPr>
        <w:pStyle w:val="ParaNumbering"/>
        <w:numPr>
          <w:ilvl w:val="0"/>
          <w:numId w:val="0"/>
        </w:numPr>
        <w:ind w:hanging="720"/>
      </w:pPr>
      <w:r w:rsidRPr="00CC024A">
        <w:rPr>
          <w:sz w:val="20"/>
        </w:rPr>
        <w:t>386</w:t>
      </w:r>
      <w:r w:rsidRPr="00CC024A">
        <w:rPr>
          <w:sz w:val="20"/>
        </w:rPr>
        <w:tab/>
      </w:r>
      <w:r w:rsidR="00EE4D06" w:rsidRPr="00EA0F56">
        <w:t>Third</w:t>
      </w:r>
      <w:r w:rsidR="00EE4D06" w:rsidRPr="00DA65F8">
        <w:t>,</w:t>
      </w:r>
      <w:r w:rsidR="00EE4D06" w:rsidRPr="00CC024A">
        <w:t xml:space="preserve"> and perhaps most tellingly, Allergan’s pleading does not refer to the </w:t>
      </w:r>
      <w:r w:rsidR="005949F5">
        <w:t xml:space="preserve">FREEZEFRAME </w:t>
      </w:r>
      <w:r w:rsidR="00EE4D06" w:rsidRPr="00CC024A">
        <w:t xml:space="preserve">PROTOX mark.  Apparently in a conscientious effort to avoid any suggestion that it accepted that there was such a mark, its pleading refers to the </w:t>
      </w:r>
      <w:r w:rsidR="005949F5">
        <w:t xml:space="preserve">FREEZEFRAME </w:t>
      </w:r>
      <w:r w:rsidR="00EE4D06" w:rsidRPr="00CC024A">
        <w:t xml:space="preserve">and PROTOX marks separately and them being used together but never refers to the composite </w:t>
      </w:r>
      <w:r w:rsidR="005949F5">
        <w:t xml:space="preserve">FREEZEFRAME </w:t>
      </w:r>
      <w:r w:rsidR="00EE4D06" w:rsidRPr="00CC024A">
        <w:t xml:space="preserve">PROTOX mark.  In those circumstances, the denial of authorisation that is caught up in the general denial in para [20(f)] of the defence cannot be read as a denial that Self Care IP authorised the use of the </w:t>
      </w:r>
      <w:r w:rsidR="005949F5">
        <w:t xml:space="preserve">FREEZEFRAME </w:t>
      </w:r>
      <w:r w:rsidR="00EE4D06" w:rsidRPr="00CC024A">
        <w:t>PROTOX mark.</w:t>
      </w:r>
    </w:p>
    <w:p w14:paraId="3A143AD5" w14:textId="7EF06443" w:rsidR="00EE4D06" w:rsidRPr="00CC024A" w:rsidRDefault="001E3C6B" w:rsidP="001E3C6B">
      <w:pPr>
        <w:pStyle w:val="ParaNumbering"/>
        <w:numPr>
          <w:ilvl w:val="0"/>
          <w:numId w:val="0"/>
        </w:numPr>
        <w:ind w:hanging="720"/>
      </w:pPr>
      <w:r w:rsidRPr="00CC024A">
        <w:rPr>
          <w:sz w:val="20"/>
        </w:rPr>
        <w:t>387</w:t>
      </w:r>
      <w:r w:rsidRPr="00CC024A">
        <w:rPr>
          <w:sz w:val="20"/>
        </w:rPr>
        <w:tab/>
      </w:r>
      <w:r w:rsidR="00EE4D06" w:rsidRPr="00CC024A">
        <w:t>In the circumstances, Allergan</w:t>
      </w:r>
      <w:r w:rsidR="00523981" w:rsidRPr="00523981">
        <w:t xml:space="preserve"> </w:t>
      </w:r>
      <w:r w:rsidR="00523981">
        <w:t>Inc</w:t>
      </w:r>
      <w:r w:rsidR="00EE4D06" w:rsidRPr="00CC024A">
        <w:t>’s opposition in reliance on s 58 fails.</w:t>
      </w:r>
    </w:p>
    <w:p w14:paraId="3521BDF8" w14:textId="77777777" w:rsidR="00EE4D06" w:rsidRPr="00CC024A" w:rsidRDefault="00EE4D06" w:rsidP="00EE4D06">
      <w:pPr>
        <w:pStyle w:val="Heading2"/>
      </w:pPr>
      <w:bookmarkStart w:id="102" w:name="_Ref54701601"/>
      <w:r w:rsidRPr="00CC024A">
        <w:t>Section 59 – intention to use</w:t>
      </w:r>
      <w:bookmarkEnd w:id="102"/>
    </w:p>
    <w:p w14:paraId="6A819C99" w14:textId="03E83971" w:rsidR="00EE4D06" w:rsidRPr="00CC024A" w:rsidRDefault="001E3C6B" w:rsidP="001E3C6B">
      <w:pPr>
        <w:pStyle w:val="ParaNumbering"/>
        <w:numPr>
          <w:ilvl w:val="0"/>
          <w:numId w:val="0"/>
        </w:numPr>
        <w:ind w:hanging="720"/>
      </w:pPr>
      <w:r w:rsidRPr="00CC024A">
        <w:rPr>
          <w:sz w:val="20"/>
        </w:rPr>
        <w:t>388</w:t>
      </w:r>
      <w:r w:rsidRPr="00CC024A">
        <w:rPr>
          <w:sz w:val="20"/>
        </w:rPr>
        <w:tab/>
      </w:r>
      <w:r w:rsidR="00EE4D06" w:rsidRPr="00CC024A">
        <w:t>Section 59 of the TM Act provides that the registration of a trade mark may be opposed on the ground that the applicant does not intend</w:t>
      </w:r>
      <w:r w:rsidR="003A36A1">
        <w:t>:</w:t>
      </w:r>
      <w:r w:rsidR="00EE4D06" w:rsidRPr="00CC024A">
        <w:t xml:space="preserve"> (a) to use, or authorise the use of, the trade mark in Australia, or (b) to assign the trade mark to a body corporate for use by the body corporate in Australia, in relation to the goods specified in the application.  The lack of intention to use the opposed mark must be established at the filing date: </w:t>
      </w:r>
      <w:r w:rsidR="00EE4D06" w:rsidRPr="00CC024A">
        <w:rPr>
          <w:i/>
        </w:rPr>
        <w:t xml:space="preserve">Food Channel </w:t>
      </w:r>
      <w:r w:rsidR="00EE4D06" w:rsidRPr="00CC024A">
        <w:t>at [74].</w:t>
      </w:r>
    </w:p>
    <w:p w14:paraId="09617AB1" w14:textId="2EA826E0" w:rsidR="00EE4D06" w:rsidRPr="00CC024A" w:rsidRDefault="001E3C6B" w:rsidP="001E3C6B">
      <w:pPr>
        <w:pStyle w:val="ParaNumbering"/>
        <w:numPr>
          <w:ilvl w:val="0"/>
          <w:numId w:val="0"/>
        </w:numPr>
        <w:ind w:hanging="720"/>
      </w:pPr>
      <w:r w:rsidRPr="00CC024A">
        <w:rPr>
          <w:sz w:val="20"/>
        </w:rPr>
        <w:t>389</w:t>
      </w:r>
      <w:r w:rsidRPr="00CC024A">
        <w:rPr>
          <w:sz w:val="20"/>
        </w:rPr>
        <w:tab/>
      </w:r>
      <w:r w:rsidR="00EE4D06" w:rsidRPr="00CC024A">
        <w:t xml:space="preserve">Allergan </w:t>
      </w:r>
      <w:r w:rsidR="00523981">
        <w:t xml:space="preserve">Inc </w:t>
      </w:r>
      <w:r w:rsidR="00EE4D06" w:rsidRPr="00CC024A">
        <w:t>contends that Self Care IP did not, at the priority date, i</w:t>
      </w:r>
      <w:r w:rsidR="008E0D70">
        <w:t>ntend to use the opposed mark.</w:t>
      </w:r>
    </w:p>
    <w:p w14:paraId="7BAC9B5C" w14:textId="5763E72A" w:rsidR="00EE4D06" w:rsidRPr="00CC024A" w:rsidRDefault="001E3C6B" w:rsidP="001E3C6B">
      <w:pPr>
        <w:pStyle w:val="ParaNumbering"/>
        <w:numPr>
          <w:ilvl w:val="0"/>
          <w:numId w:val="0"/>
        </w:numPr>
        <w:ind w:hanging="720"/>
      </w:pPr>
      <w:r w:rsidRPr="00CC024A">
        <w:rPr>
          <w:sz w:val="20"/>
        </w:rPr>
        <w:t>390</w:t>
      </w:r>
      <w:r w:rsidRPr="00CC024A">
        <w:rPr>
          <w:sz w:val="20"/>
        </w:rPr>
        <w:tab/>
      </w:r>
      <w:r w:rsidR="00EE4D06" w:rsidRPr="00CC024A">
        <w:t xml:space="preserve">The application by Self Care IP for the registration of the mark gives rise to a presumption that the requisite intention to use the mark existed at that time: </w:t>
      </w:r>
      <w:r w:rsidR="00EE4D06" w:rsidRPr="00162AB6">
        <w:rPr>
          <w:i/>
        </w:rPr>
        <w:t>Aston v Harlee Manufacturing Co</w:t>
      </w:r>
      <w:r w:rsidR="009306ED">
        <w:t xml:space="preserve"> </w:t>
      </w:r>
      <w:r w:rsidR="009306ED">
        <w:lastRenderedPageBreak/>
        <w:t>[</w:t>
      </w:r>
      <w:r w:rsidR="00EE4D06" w:rsidRPr="00162AB6">
        <w:t>1960</w:t>
      </w:r>
      <w:r w:rsidR="009306ED">
        <w:t>] HCA 47;</w:t>
      </w:r>
      <w:r w:rsidR="00EE4D06" w:rsidRPr="00162AB6">
        <w:t xml:space="preserve"> 103 CLR 39</w:t>
      </w:r>
      <w:r w:rsidR="00EE4D06" w:rsidRPr="00CC024A">
        <w:t xml:space="preserve">1 at 401 </w:t>
      </w:r>
      <w:r w:rsidR="003A36A1">
        <w:t xml:space="preserve">per Fullagar J </w:t>
      </w:r>
      <w:r w:rsidR="00EE4D06" w:rsidRPr="00CC024A">
        <w:t>and</w:t>
      </w:r>
      <w:r w:rsidR="00EE4D06" w:rsidRPr="00CC024A">
        <w:rPr>
          <w:i/>
        </w:rPr>
        <w:t xml:space="preserve"> </w:t>
      </w:r>
      <w:r w:rsidR="00EE4D06" w:rsidRPr="009306ED">
        <w:rPr>
          <w:b/>
          <w:i/>
        </w:rPr>
        <w:t>Suyen</w:t>
      </w:r>
      <w:r w:rsidR="00EE4D06" w:rsidRPr="00162AB6">
        <w:rPr>
          <w:i/>
        </w:rPr>
        <w:t xml:space="preserve"> Corporation v Americana International Ltd</w:t>
      </w:r>
      <w:r w:rsidR="009306ED">
        <w:t xml:space="preserve"> [2010] FCA 638;</w:t>
      </w:r>
      <w:r w:rsidR="00EE4D06" w:rsidRPr="00162AB6">
        <w:t xml:space="preserve"> 187 FCR 169</w:t>
      </w:r>
      <w:r w:rsidR="00EE4D06" w:rsidRPr="00CC024A">
        <w:t xml:space="preserve"> at [193]-[197]</w:t>
      </w:r>
      <w:r w:rsidR="003A36A1">
        <w:t xml:space="preserve"> per Dodds-Streeton J</w:t>
      </w:r>
      <w:r w:rsidR="00EE4D06" w:rsidRPr="00CC024A">
        <w:t xml:space="preserve">.  </w:t>
      </w:r>
    </w:p>
    <w:p w14:paraId="27D10811" w14:textId="7919371A" w:rsidR="00EE4D06" w:rsidRPr="00CC024A" w:rsidRDefault="001E3C6B" w:rsidP="001E3C6B">
      <w:pPr>
        <w:pStyle w:val="ParaNumbering"/>
        <w:numPr>
          <w:ilvl w:val="0"/>
          <w:numId w:val="0"/>
        </w:numPr>
        <w:ind w:hanging="720"/>
      </w:pPr>
      <w:r w:rsidRPr="00CC024A">
        <w:rPr>
          <w:sz w:val="20"/>
        </w:rPr>
        <w:t>391</w:t>
      </w:r>
      <w:r w:rsidRPr="00CC024A">
        <w:rPr>
          <w:sz w:val="20"/>
        </w:rPr>
        <w:tab/>
      </w:r>
      <w:r w:rsidR="00EE4D06" w:rsidRPr="00CC024A">
        <w:t>Ms Amoroso’s affidavit evidence</w:t>
      </w:r>
      <w:r w:rsidR="00523981">
        <w:t xml:space="preserve"> is </w:t>
      </w:r>
      <w:r w:rsidR="00EE4D06" w:rsidRPr="00CC024A">
        <w:t xml:space="preserve">that when she came up with the name PROTOX she intended the </w:t>
      </w:r>
      <w:r w:rsidR="005949F5" w:rsidRPr="00CC024A">
        <w:t xml:space="preserve">Protox </w:t>
      </w:r>
      <w:r w:rsidR="00EE4D06" w:rsidRPr="00CC024A">
        <w:t xml:space="preserve">product to be part of the </w:t>
      </w:r>
      <w:r w:rsidR="00DC5D22">
        <w:t xml:space="preserve">Freezeframe </w:t>
      </w:r>
      <w:r w:rsidR="00EE4D06" w:rsidRPr="00CC024A">
        <w:t xml:space="preserve">range of products and to be referred to as </w:t>
      </w:r>
      <w:r w:rsidR="005949F5">
        <w:t xml:space="preserve">FREEZEFRAME </w:t>
      </w:r>
      <w:r w:rsidR="00EE4D06" w:rsidRPr="00CC024A">
        <w:t xml:space="preserve">PROTOX.  She says that at that time she made the decision that The Brand Bank would own the </w:t>
      </w:r>
      <w:r w:rsidR="005949F5">
        <w:t xml:space="preserve">FREEZEFRAME </w:t>
      </w:r>
      <w:r w:rsidR="00EE4D06" w:rsidRPr="00CC024A">
        <w:t xml:space="preserve">PROTOX mark.  If that evidence is accepted then clearly Self Care IP had the requisite intention at the time that the application was made as the application was made because the </w:t>
      </w:r>
      <w:r w:rsidR="008E0D70">
        <w:t>mark was intended to be used.</w:t>
      </w:r>
    </w:p>
    <w:p w14:paraId="192F4088" w14:textId="1F396D0C" w:rsidR="00EE4D06" w:rsidRPr="00CC024A" w:rsidRDefault="001E3C6B" w:rsidP="001E3C6B">
      <w:pPr>
        <w:pStyle w:val="ParaNumbering"/>
        <w:numPr>
          <w:ilvl w:val="0"/>
          <w:numId w:val="0"/>
        </w:numPr>
        <w:ind w:hanging="720"/>
      </w:pPr>
      <w:r w:rsidRPr="00CC024A">
        <w:rPr>
          <w:sz w:val="20"/>
        </w:rPr>
        <w:t>392</w:t>
      </w:r>
      <w:r w:rsidRPr="00CC024A">
        <w:rPr>
          <w:sz w:val="20"/>
        </w:rPr>
        <w:tab/>
      </w:r>
      <w:r w:rsidR="00EE4D06" w:rsidRPr="00CC024A">
        <w:t>Although Allergan contends that at the priority date Self Care</w:t>
      </w:r>
      <w:r w:rsidR="004B66FE">
        <w:t xml:space="preserve"> Corp</w:t>
      </w:r>
      <w:r w:rsidR="00EE4D06" w:rsidRPr="00CC024A">
        <w:t xml:space="preserve">, and not Self Care IP, had the relevant intention with regard to the use of trade marks in association with the </w:t>
      </w:r>
      <w:r w:rsidR="003A36A1" w:rsidRPr="00CC024A">
        <w:t>Protox</w:t>
      </w:r>
      <w:r w:rsidR="00EE4D06" w:rsidRPr="00CC024A">
        <w:t xml:space="preserve"> product </w:t>
      </w:r>
      <w:r w:rsidR="005949F5">
        <w:t>(</w:t>
      </w:r>
      <w:r w:rsidR="00EE4D06" w:rsidRPr="00CC024A">
        <w:t xml:space="preserve">although it says that it was the separate marks </w:t>
      </w:r>
      <w:r w:rsidR="005949F5">
        <w:t xml:space="preserve">FREEZEFRAME </w:t>
      </w:r>
      <w:r w:rsidR="00EE4D06" w:rsidRPr="00CC024A">
        <w:t>and PROTOX that were intended to be used</w:t>
      </w:r>
      <w:r w:rsidR="005949F5">
        <w:t>)</w:t>
      </w:r>
      <w:r w:rsidR="00EE4D06" w:rsidRPr="00CC024A">
        <w:t>, the question of who had the relevant intention has already been dealt with in relation to the s 58 ground of opposition.  That is because the intention of ownership of the mark by Se</w:t>
      </w:r>
      <w:r w:rsidR="00B86F75">
        <w:t>lf Care IP and its licensed use</w:t>
      </w:r>
      <w:r w:rsidR="00EE4D06" w:rsidRPr="00CC024A">
        <w:t xml:space="preserve"> by Self Care</w:t>
      </w:r>
      <w:r w:rsidR="004B66FE">
        <w:t xml:space="preserve"> Corp</w:t>
      </w:r>
      <w:r w:rsidR="00EE4D06" w:rsidRPr="00CC024A">
        <w:t xml:space="preserve"> has been decided under that ground, and that incorporates the intention </w:t>
      </w:r>
      <w:r w:rsidR="005949F5">
        <w:t>to</w:t>
      </w:r>
      <w:r w:rsidR="005949F5" w:rsidRPr="00CC024A">
        <w:t xml:space="preserve"> </w:t>
      </w:r>
      <w:r w:rsidR="00EE4D06" w:rsidRPr="00CC024A">
        <w:t>use the mark.</w:t>
      </w:r>
    </w:p>
    <w:p w14:paraId="44CB5867" w14:textId="2D7C93A8" w:rsidR="00EE4D06" w:rsidRPr="00CC024A" w:rsidRDefault="001E3C6B" w:rsidP="001E3C6B">
      <w:pPr>
        <w:pStyle w:val="ParaNumbering"/>
        <w:numPr>
          <w:ilvl w:val="0"/>
          <w:numId w:val="0"/>
        </w:numPr>
        <w:ind w:hanging="720"/>
      </w:pPr>
      <w:r w:rsidRPr="00CC024A">
        <w:rPr>
          <w:sz w:val="20"/>
        </w:rPr>
        <w:t>393</w:t>
      </w:r>
      <w:r w:rsidRPr="00CC024A">
        <w:rPr>
          <w:sz w:val="20"/>
        </w:rPr>
        <w:tab/>
      </w:r>
      <w:r w:rsidR="00EE4D06" w:rsidRPr="00CC024A">
        <w:t xml:space="preserve">Thus, the remaining question to be dealt with under the s 59 ground of opposition is </w:t>
      </w:r>
      <w:r w:rsidR="004B66FE">
        <w:t>which</w:t>
      </w:r>
      <w:r w:rsidR="004B66FE" w:rsidRPr="00CC024A">
        <w:t xml:space="preserve"> </w:t>
      </w:r>
      <w:r w:rsidR="00EE4D06" w:rsidRPr="00CC024A">
        <w:t>mark was intended to be used, and in particular whether there was as at the date of the application for registration of the opposed mark the intention to use that mark.</w:t>
      </w:r>
    </w:p>
    <w:p w14:paraId="480B4DB2" w14:textId="22157D81" w:rsidR="00EE4D06" w:rsidRPr="00CC024A" w:rsidRDefault="001E3C6B" w:rsidP="001E3C6B">
      <w:pPr>
        <w:pStyle w:val="ParaNumbering"/>
        <w:numPr>
          <w:ilvl w:val="0"/>
          <w:numId w:val="0"/>
        </w:numPr>
        <w:ind w:hanging="720"/>
      </w:pPr>
      <w:r w:rsidRPr="00CC024A">
        <w:rPr>
          <w:sz w:val="20"/>
        </w:rPr>
        <w:t>394</w:t>
      </w:r>
      <w:r w:rsidRPr="00CC024A">
        <w:rPr>
          <w:sz w:val="20"/>
        </w:rPr>
        <w:tab/>
      </w:r>
      <w:r w:rsidR="00EE4D06" w:rsidRPr="00CC024A">
        <w:t xml:space="preserve">Allergan </w:t>
      </w:r>
      <w:r w:rsidR="00523981">
        <w:t xml:space="preserve">Inc </w:t>
      </w:r>
      <w:r w:rsidR="00EE4D06" w:rsidRPr="00CC024A">
        <w:t>r</w:t>
      </w:r>
      <w:r w:rsidR="00796CBF">
        <w:t>elies on a portion of the cross-</w:t>
      </w:r>
      <w:r w:rsidR="00EE4D06" w:rsidRPr="00CC024A">
        <w:t>examination of Ms Amoroso in support of the submission that as at the priority date Self Care</w:t>
      </w:r>
      <w:r w:rsidR="004B66FE">
        <w:t xml:space="preserve"> Corp</w:t>
      </w:r>
      <w:r w:rsidR="00EE4D06" w:rsidRPr="00CC024A">
        <w:t xml:space="preserve"> (not Self Care IP) sought to use the two separate marks </w:t>
      </w:r>
      <w:r w:rsidR="005949F5">
        <w:t xml:space="preserve">FREEZEFRAME </w:t>
      </w:r>
      <w:r w:rsidR="00EE4D06" w:rsidRPr="00CC024A">
        <w:t xml:space="preserve">and PROTOX and that it did not intend to use the composite mark </w:t>
      </w:r>
      <w:r w:rsidR="005949F5">
        <w:t xml:space="preserve">FREEZEFRAME </w:t>
      </w:r>
      <w:r w:rsidR="00EE4D06" w:rsidRPr="00CC024A">
        <w:t>PROTOX.  This is the relevant extract of the cross-examination with the questions numbered for reference purposes:</w:t>
      </w:r>
    </w:p>
    <w:p w14:paraId="74B07D2D" w14:textId="77777777" w:rsidR="00EE4D06" w:rsidRPr="00CC024A" w:rsidRDefault="00EE4D06" w:rsidP="00EE4D06">
      <w:pPr>
        <w:pStyle w:val="Quote1"/>
      </w:pPr>
      <w:r>
        <w:t xml:space="preserve">1. </w:t>
      </w:r>
      <w:r w:rsidRPr="00CC024A">
        <w:t xml:space="preserve">MS GODDARD: Yes.  On 19 October 2014.  Now, what I want to suggest to you, Ms Amoroso, is that at the date of the launch and for a lengthy period subsequent to the launch, the mark that was in fact used and – was Protox, not Freezeframe Protox? --- It was Protox within the context of Freezeframe-branded elements. </w:t>
      </w:r>
    </w:p>
    <w:p w14:paraId="31BF2D8C" w14:textId="77777777" w:rsidR="00EE4D06" w:rsidRPr="00CC024A" w:rsidRDefault="00EE4D06" w:rsidP="00EE4D06">
      <w:pPr>
        <w:pStyle w:val="Quote1"/>
      </w:pPr>
      <w:r w:rsidRPr="00CC024A">
        <w:t>….</w:t>
      </w:r>
    </w:p>
    <w:p w14:paraId="0E4313A0" w14:textId="77777777" w:rsidR="00EE4D06" w:rsidRPr="00CC024A" w:rsidRDefault="00EE4D06" w:rsidP="00EE4D06">
      <w:pPr>
        <w:pStyle w:val="Quote1"/>
      </w:pPr>
      <w:r>
        <w:t xml:space="preserve">2. </w:t>
      </w:r>
      <w:r w:rsidRPr="00CC024A">
        <w:t xml:space="preserve">MS GODDARD: So what I’m suggesting to you is that at the time of the launch of the product, Self Care intended to use the name Protox? --- All within the context …    </w:t>
      </w:r>
    </w:p>
    <w:p w14:paraId="3E54AAB4" w14:textId="77777777" w:rsidR="00EE4D06" w:rsidRPr="00CC024A" w:rsidRDefault="00EE4D06" w:rsidP="00EE4D06">
      <w:pPr>
        <w:pStyle w:val="Quote1"/>
      </w:pPr>
      <w:r>
        <w:t xml:space="preserve">3. </w:t>
      </w:r>
      <w:r w:rsidRPr="00CC024A">
        <w:t>MS GODDARD: Not Freezeframe Protox?--- All within the context of Freezeframe.</w:t>
      </w:r>
    </w:p>
    <w:p w14:paraId="5125A377" w14:textId="77777777" w:rsidR="00EE4D06" w:rsidRPr="00CC024A" w:rsidRDefault="00EE4D06" w:rsidP="00EE4D06">
      <w:pPr>
        <w:pStyle w:val="Quote1"/>
      </w:pPr>
      <w:r>
        <w:t xml:space="preserve">4. </w:t>
      </w:r>
      <w:r w:rsidRPr="00CC024A">
        <w:t>MS GODDARD: I’m not talking about the context of an umbrella brand.  I’m asking you a different thing.  You can – of course, Lancome – there’s always the presence of the umbrella brand, but …? ---  Yes.</w:t>
      </w:r>
    </w:p>
    <w:p w14:paraId="2BFCF189" w14:textId="77777777" w:rsidR="00EE4D06" w:rsidRPr="00CC024A" w:rsidRDefault="00EE4D06" w:rsidP="00EE4D06">
      <w:pPr>
        <w:pStyle w:val="Quote1"/>
      </w:pPr>
      <w:r>
        <w:lastRenderedPageBreak/>
        <w:t xml:space="preserve">5. </w:t>
      </w:r>
      <w:r w:rsidRPr="00CC024A">
        <w:t>MS GODDARD: …  you intended to call the product Protox? --- Well, we wouldn’t customarily within our advertising write a product name with Freezeframe every single time it’s mentioned in an advertisement.</w:t>
      </w:r>
    </w:p>
    <w:p w14:paraId="21CADE6D" w14:textId="77777777" w:rsidR="00EE4D06" w:rsidRPr="00CC024A" w:rsidRDefault="00EE4D06" w:rsidP="00EE4D06">
      <w:pPr>
        <w:pStyle w:val="Quote1"/>
      </w:pPr>
      <w:r>
        <w:t xml:space="preserve">6. </w:t>
      </w:r>
      <w:r w:rsidRPr="00CC024A">
        <w:t>MS GODDARD: No? ---</w:t>
      </w:r>
      <w:r>
        <w:t xml:space="preserve"> </w:t>
      </w:r>
      <w:r w:rsidRPr="00CC024A">
        <w:t xml:space="preserve">It’s enough to have it being a Freezeframe-branded advertisement.  So, as per our brand guidelines, it would have appeared like that. </w:t>
      </w:r>
    </w:p>
    <w:p w14:paraId="7EC3C446" w14:textId="77777777" w:rsidR="00EE4D06" w:rsidRPr="00CC024A" w:rsidRDefault="00EE4D06" w:rsidP="00EE4D06">
      <w:pPr>
        <w:pStyle w:val="Quote1"/>
      </w:pPr>
      <w:r>
        <w:t xml:space="preserve">7. </w:t>
      </w:r>
      <w:r w:rsidRPr="00CC024A">
        <w:t>MS GODDARD: And plainly that’s why you applied for the trademark, isn’t it, because you intended to use the mark Protox in the first – the earlier mark? --- As the product name.</w:t>
      </w:r>
    </w:p>
    <w:p w14:paraId="374DB8FA" w14:textId="77777777" w:rsidR="00EE4D06" w:rsidRPr="00CC024A" w:rsidRDefault="00EE4D06" w:rsidP="00EE4D06">
      <w:pPr>
        <w:pStyle w:val="Quote1"/>
      </w:pPr>
      <w:r>
        <w:t xml:space="preserve">8. </w:t>
      </w:r>
      <w:r w:rsidRPr="00CC024A">
        <w:t>MS GODDARD: Yes? ---</w:t>
      </w:r>
      <w:r>
        <w:t xml:space="preserve"> </w:t>
      </w:r>
      <w:r w:rsidRPr="00CC024A">
        <w:t>Yes.</w:t>
      </w:r>
    </w:p>
    <w:p w14:paraId="3BBE18ED" w14:textId="34FB270A" w:rsidR="00EE4D06" w:rsidRPr="00CC024A" w:rsidRDefault="001E3C6B" w:rsidP="001E3C6B">
      <w:pPr>
        <w:pStyle w:val="ParaNumbering"/>
        <w:numPr>
          <w:ilvl w:val="0"/>
          <w:numId w:val="0"/>
        </w:numPr>
        <w:ind w:hanging="720"/>
      </w:pPr>
      <w:r w:rsidRPr="00CC024A">
        <w:rPr>
          <w:sz w:val="20"/>
        </w:rPr>
        <w:t>395</w:t>
      </w:r>
      <w:r w:rsidRPr="00CC024A">
        <w:rPr>
          <w:sz w:val="20"/>
        </w:rPr>
        <w:tab/>
      </w:r>
      <w:r w:rsidR="00EE4D06" w:rsidRPr="00CC024A">
        <w:t xml:space="preserve">The date of 19 October 2014 referred to in question 1 is the date on which Ms Amoroso said that the </w:t>
      </w:r>
      <w:r w:rsidR="003A36A1" w:rsidRPr="00CC024A">
        <w:t>Protox</w:t>
      </w:r>
      <w:r w:rsidR="00EE4D06" w:rsidRPr="00CC024A">
        <w:t xml:space="preserve"> product was launched.  Thus, the answers to questions 1 to 6 establish that as at 19 October 2014, being the day before the date that the application for registration of the opposed mark was lodged, Ms Amoroso had the intention that the P</w:t>
      </w:r>
      <w:r w:rsidR="001D5731" w:rsidRPr="00CC024A">
        <w:t>rotox</w:t>
      </w:r>
      <w:r w:rsidR="00EE4D06" w:rsidRPr="00CC024A">
        <w:t xml:space="preserve"> product would be known as PROTOX within the </w:t>
      </w:r>
      <w:r w:rsidR="00DC5D22">
        <w:t xml:space="preserve">Freezeframe </w:t>
      </w:r>
      <w:r w:rsidR="00EE4D06" w:rsidRPr="00CC024A">
        <w:t xml:space="preserve">range of products.  The implication of the answer to question 5 is that sometimes the product name, </w:t>
      </w:r>
      <w:r w:rsidR="003A36A1" w:rsidRPr="00CC024A">
        <w:t>PROTOX</w:t>
      </w:r>
      <w:r w:rsidR="00EE4D06" w:rsidRPr="00CC024A">
        <w:t xml:space="preserve">, would appear with </w:t>
      </w:r>
      <w:r w:rsidR="005949F5">
        <w:t xml:space="preserve">FREEZEFRAME </w:t>
      </w:r>
      <w:r w:rsidR="00EE4D06" w:rsidRPr="00CC024A">
        <w:t>but not always.</w:t>
      </w:r>
    </w:p>
    <w:p w14:paraId="06CF083B" w14:textId="1F26F7BF" w:rsidR="00EE4D06" w:rsidRPr="00CC024A" w:rsidRDefault="001E3C6B" w:rsidP="001E3C6B">
      <w:pPr>
        <w:pStyle w:val="ParaNumbering"/>
        <w:numPr>
          <w:ilvl w:val="0"/>
          <w:numId w:val="0"/>
        </w:numPr>
        <w:ind w:hanging="720"/>
      </w:pPr>
      <w:r w:rsidRPr="00CC024A">
        <w:rPr>
          <w:sz w:val="20"/>
        </w:rPr>
        <w:t>396</w:t>
      </w:r>
      <w:r w:rsidRPr="00CC024A">
        <w:rPr>
          <w:sz w:val="20"/>
        </w:rPr>
        <w:tab/>
      </w:r>
      <w:r w:rsidR="00EE4D06" w:rsidRPr="00CC024A">
        <w:t xml:space="preserve">Questions 7 and 8 ask why Ms Amoroso applied for the mark PROTOX and suggest that it was because that was the intended product name.  However, the application for registration of the mark PROTOX </w:t>
      </w:r>
      <w:r w:rsidR="00FC1655">
        <w:t xml:space="preserve">alone </w:t>
      </w:r>
      <w:r w:rsidR="00EE4D06" w:rsidRPr="00CC024A">
        <w:t>was lodged on 26 June 2014, i.e.</w:t>
      </w:r>
      <w:r w:rsidR="003A36A1">
        <w:t>,</w:t>
      </w:r>
      <w:r w:rsidR="00EE4D06" w:rsidRPr="00CC024A">
        <w:t xml:space="preserve"> four months earlier.  Ms Amoroso’s intentions may have changed in the intervening period, which was not explored in cross-examination.  Those questions therefore do not assist with regard to her intention on 20 October 2014.</w:t>
      </w:r>
    </w:p>
    <w:p w14:paraId="4F7B6186" w14:textId="45BDD87C" w:rsidR="00EE4D06" w:rsidRPr="00CC024A" w:rsidRDefault="001E3C6B" w:rsidP="001E3C6B">
      <w:pPr>
        <w:pStyle w:val="ParaNumbering"/>
        <w:numPr>
          <w:ilvl w:val="0"/>
          <w:numId w:val="0"/>
        </w:numPr>
        <w:ind w:hanging="720"/>
      </w:pPr>
      <w:r w:rsidRPr="00CC024A">
        <w:rPr>
          <w:sz w:val="20"/>
        </w:rPr>
        <w:t>397</w:t>
      </w:r>
      <w:r w:rsidRPr="00CC024A">
        <w:rPr>
          <w:sz w:val="20"/>
        </w:rPr>
        <w:tab/>
      </w:r>
      <w:r w:rsidR="00EE4D06" w:rsidRPr="00CC024A">
        <w:t xml:space="preserve">Allergan </w:t>
      </w:r>
      <w:r w:rsidR="00523981">
        <w:t xml:space="preserve">Inc </w:t>
      </w:r>
      <w:r w:rsidR="00EE4D06" w:rsidRPr="00CC024A">
        <w:t xml:space="preserve">relies on the fact that the application for registration of the mark PROTOX was lodged on 26 June 2014 and that it was only after an adverse report was issued in respect of that application on 27 August 2014 that the application for registration of the mark </w:t>
      </w:r>
      <w:r w:rsidR="005949F5">
        <w:t xml:space="preserve">FREEZEFRAME </w:t>
      </w:r>
      <w:r w:rsidR="00EE4D06" w:rsidRPr="00CC024A">
        <w:t>PROTOX was lodged, but even then the mark actually used on launch</w:t>
      </w:r>
      <w:r w:rsidR="008E0D70">
        <w:t xml:space="preserve"> of the product was PROTOX.</w:t>
      </w:r>
    </w:p>
    <w:p w14:paraId="4B594452" w14:textId="55F57CB4" w:rsidR="00EE4D06" w:rsidRPr="00015F2E" w:rsidRDefault="001E3C6B" w:rsidP="001E3C6B">
      <w:pPr>
        <w:pStyle w:val="ParaNumbering"/>
        <w:numPr>
          <w:ilvl w:val="0"/>
          <w:numId w:val="0"/>
        </w:numPr>
        <w:ind w:hanging="720"/>
      </w:pPr>
      <w:r w:rsidRPr="00015F2E">
        <w:rPr>
          <w:sz w:val="20"/>
        </w:rPr>
        <w:t>398</w:t>
      </w:r>
      <w:r w:rsidRPr="00015F2E">
        <w:rPr>
          <w:sz w:val="20"/>
        </w:rPr>
        <w:tab/>
      </w:r>
      <w:r w:rsidR="00EE4D06" w:rsidRPr="00015F2E">
        <w:t>There was evidence that the Protox product was advertised on the Freeze</w:t>
      </w:r>
      <w:r w:rsidR="002643F9" w:rsidRPr="00015F2E">
        <w:t>f</w:t>
      </w:r>
      <w:r w:rsidR="00EE4D06" w:rsidRPr="00015F2E">
        <w:t>rame website as early as 12 October 2014, i.e.</w:t>
      </w:r>
      <w:r w:rsidR="003A36A1" w:rsidRPr="00015F2E">
        <w:t>,</w:t>
      </w:r>
      <w:r w:rsidR="00EE4D06" w:rsidRPr="00015F2E">
        <w:t xml:space="preserve"> a week earlier than the date that Ms Amoroso said that it was launched.  At that time the product was referred to as Protox but on the image of the tube itself there was the word PROTOX with the word </w:t>
      </w:r>
      <w:r w:rsidR="005949F5" w:rsidRPr="00015F2E">
        <w:t xml:space="preserve">FREEZEFRAME </w:t>
      </w:r>
      <w:r w:rsidR="00EE4D06" w:rsidRPr="00015F2E">
        <w:t>immediately beneath it, i.e.</w:t>
      </w:r>
      <w:r w:rsidR="003A36A1" w:rsidRPr="00015F2E">
        <w:t>,</w:t>
      </w:r>
      <w:r w:rsidR="00EE4D06" w:rsidRPr="00015F2E">
        <w:t xml:space="preserve"> more like PROTOX </w:t>
      </w:r>
      <w:r w:rsidR="005949F5" w:rsidRPr="00015F2E">
        <w:t xml:space="preserve">FREEZEFRAME </w:t>
      </w:r>
      <w:r w:rsidR="00EE4D06" w:rsidRPr="00015F2E">
        <w:t xml:space="preserve">than </w:t>
      </w:r>
      <w:r w:rsidR="005949F5" w:rsidRPr="00015F2E">
        <w:t xml:space="preserve">FREEZEFRAME </w:t>
      </w:r>
      <w:r w:rsidR="00EE4D06" w:rsidRPr="00015F2E">
        <w:t xml:space="preserve">PROTOX.  However, the packaging, as reflected in the </w:t>
      </w:r>
      <w:r w:rsidR="005949F5" w:rsidRPr="00015F2E">
        <w:t xml:space="preserve">first </w:t>
      </w:r>
      <w:r w:rsidR="00EE4D06" w:rsidRPr="00015F2E">
        <w:t>image at [</w:t>
      </w:r>
      <w:r w:rsidR="00FE39CA" w:rsidRPr="00015F2E">
        <w:fldChar w:fldCharType="begin" w:fldLock="1"/>
      </w:r>
      <w:r w:rsidR="00FE39CA" w:rsidRPr="00015F2E">
        <w:instrText xml:space="preserve"> REF _Ref36025615 \r \h </w:instrText>
      </w:r>
      <w:r w:rsidR="005949F5" w:rsidRPr="00015F2E">
        <w:instrText xml:space="preserve"> \* MERGEFORMAT </w:instrText>
      </w:r>
      <w:r w:rsidR="00FE39CA" w:rsidRPr="00015F2E">
        <w:fldChar w:fldCharType="separate"/>
      </w:r>
      <w:r w:rsidR="00756FCE">
        <w:t>63</w:t>
      </w:r>
      <w:r w:rsidR="00FE39CA" w:rsidRPr="00015F2E">
        <w:fldChar w:fldCharType="end"/>
      </w:r>
      <w:r w:rsidR="00EE4D06" w:rsidRPr="00015F2E">
        <w:t xml:space="preserve">] above had the word </w:t>
      </w:r>
      <w:r w:rsidR="005949F5" w:rsidRPr="00015F2E">
        <w:t xml:space="preserve">FREEZEFRAME </w:t>
      </w:r>
      <w:r w:rsidR="00EE4D06" w:rsidRPr="00015F2E">
        <w:t xml:space="preserve">on the </w:t>
      </w:r>
      <w:r w:rsidR="002D27CC">
        <w:t>“</w:t>
      </w:r>
      <w:r w:rsidR="00EE4D06" w:rsidRPr="00015F2E">
        <w:t>surfboard</w:t>
      </w:r>
      <w:r w:rsidR="002D27CC">
        <w:t>”</w:t>
      </w:r>
      <w:r w:rsidR="00EE4D06" w:rsidRPr="00015F2E">
        <w:t xml:space="preserve"> </w:t>
      </w:r>
      <w:r w:rsidR="00EE4D06" w:rsidRPr="00015F2E">
        <w:lastRenderedPageBreak/>
        <w:t xml:space="preserve">and the word PROTOX on the face of the packaging leaving the impression of the word </w:t>
      </w:r>
      <w:r w:rsidR="005949F5" w:rsidRPr="00015F2E">
        <w:t xml:space="preserve">FREEZEFRAME </w:t>
      </w:r>
      <w:r w:rsidR="00EE4D06" w:rsidRPr="00015F2E">
        <w:t>appearing immediately above PROTOX, i.e.</w:t>
      </w:r>
      <w:r w:rsidR="003A36A1" w:rsidRPr="00015F2E">
        <w:t>,</w:t>
      </w:r>
      <w:r w:rsidR="00EE4D06" w:rsidRPr="00015F2E">
        <w:t xml:space="preserve"> </w:t>
      </w:r>
      <w:r w:rsidR="005949F5" w:rsidRPr="00015F2E">
        <w:t xml:space="preserve">FREEZEFRAME </w:t>
      </w:r>
      <w:r w:rsidR="00EE4D06" w:rsidRPr="00015F2E">
        <w:t>PROTOX.</w:t>
      </w:r>
    </w:p>
    <w:p w14:paraId="3A9ED42F" w14:textId="796C974E" w:rsidR="00EE4D06" w:rsidRPr="00CC024A" w:rsidRDefault="001E3C6B" w:rsidP="001E3C6B">
      <w:pPr>
        <w:pStyle w:val="ParaNumbering"/>
        <w:numPr>
          <w:ilvl w:val="0"/>
          <w:numId w:val="0"/>
        </w:numPr>
        <w:ind w:hanging="720"/>
      </w:pPr>
      <w:r w:rsidRPr="00CC024A">
        <w:rPr>
          <w:sz w:val="20"/>
        </w:rPr>
        <w:t>399</w:t>
      </w:r>
      <w:r w:rsidRPr="00CC024A">
        <w:rPr>
          <w:sz w:val="20"/>
        </w:rPr>
        <w:tab/>
      </w:r>
      <w:r w:rsidR="00EE4D06" w:rsidRPr="00CC024A">
        <w:t xml:space="preserve">Further, Allergan </w:t>
      </w:r>
      <w:r w:rsidR="00523981">
        <w:t xml:space="preserve">Inc </w:t>
      </w:r>
      <w:r w:rsidR="00EE4D06" w:rsidRPr="00CC024A">
        <w:t xml:space="preserve">relies on evidence that Self Care’s website referred to the product as </w:t>
      </w:r>
      <w:r w:rsidR="005949F5">
        <w:t xml:space="preserve">FREEZEFRAME </w:t>
      </w:r>
      <w:r w:rsidR="00EE4D06" w:rsidRPr="00CC024A">
        <w:t xml:space="preserve">PROTOX only after a complaint on behalf of Allergan that PROTOX is deceptively similar to </w:t>
      </w:r>
      <w:r w:rsidR="005949F5">
        <w:t xml:space="preserve">BOTOX </w:t>
      </w:r>
      <w:r w:rsidR="00EE4D06" w:rsidRPr="00CC024A">
        <w:t xml:space="preserve">and Self Care Corp’s response that it would thereafter ensure that the word PROTOX does not appear otherwise than with the word </w:t>
      </w:r>
      <w:r w:rsidR="005949F5">
        <w:t>FREEZEFRAME</w:t>
      </w:r>
      <w:r w:rsidR="00EE4D06" w:rsidRPr="00CC024A">
        <w:t xml:space="preserve">.  Allergan </w:t>
      </w:r>
      <w:r w:rsidR="00350521">
        <w:t>submits</w:t>
      </w:r>
      <w:r w:rsidR="00EE4D06" w:rsidRPr="00CC024A">
        <w:t xml:space="preserve"> that this shows that as at the date of the application for registration of </w:t>
      </w:r>
      <w:r w:rsidR="005949F5">
        <w:t xml:space="preserve">FREEZEFRAME </w:t>
      </w:r>
      <w:r w:rsidR="00EE4D06" w:rsidRPr="00CC024A">
        <w:t>PROTOX there was no intention to use that mark.</w:t>
      </w:r>
    </w:p>
    <w:p w14:paraId="7A3ED31B" w14:textId="2D1428C3" w:rsidR="00EE4D06" w:rsidRPr="00CC024A" w:rsidRDefault="001E3C6B" w:rsidP="001E3C6B">
      <w:pPr>
        <w:pStyle w:val="ParaNumbering"/>
        <w:numPr>
          <w:ilvl w:val="0"/>
          <w:numId w:val="0"/>
        </w:numPr>
        <w:ind w:hanging="720"/>
      </w:pPr>
      <w:r w:rsidRPr="00CC024A">
        <w:rPr>
          <w:sz w:val="20"/>
        </w:rPr>
        <w:t>400</w:t>
      </w:r>
      <w:r w:rsidRPr="00CC024A">
        <w:rPr>
          <w:sz w:val="20"/>
        </w:rPr>
        <w:tab/>
      </w:r>
      <w:r w:rsidR="00EE4D06" w:rsidRPr="00CC024A">
        <w:t xml:space="preserve">I do not accept that Allergan </w:t>
      </w:r>
      <w:r w:rsidR="00523981">
        <w:t xml:space="preserve">Inc </w:t>
      </w:r>
      <w:r w:rsidR="00EE4D06" w:rsidRPr="00CC024A">
        <w:t>has established that Self Care IP did not have the intention on lodging the application for registration of the opposed mark to use it.  There are a number of reasons for that.</w:t>
      </w:r>
    </w:p>
    <w:p w14:paraId="5735B050" w14:textId="3C087F9B" w:rsidR="00EE4D06" w:rsidRPr="00CC024A" w:rsidRDefault="001E3C6B" w:rsidP="001E3C6B">
      <w:pPr>
        <w:pStyle w:val="ParaNumbering"/>
        <w:numPr>
          <w:ilvl w:val="0"/>
          <w:numId w:val="0"/>
        </w:numPr>
        <w:ind w:hanging="720"/>
      </w:pPr>
      <w:r w:rsidRPr="00CC024A">
        <w:rPr>
          <w:sz w:val="20"/>
        </w:rPr>
        <w:t>401</w:t>
      </w:r>
      <w:r w:rsidRPr="00CC024A">
        <w:rPr>
          <w:sz w:val="20"/>
        </w:rPr>
        <w:tab/>
      </w:r>
      <w:r w:rsidR="00EE4D06" w:rsidRPr="00E47D52">
        <w:t>First,</w:t>
      </w:r>
      <w:r w:rsidR="00EE4D06" w:rsidRPr="00CC024A">
        <w:t xml:space="preserve"> in </w:t>
      </w:r>
      <w:r w:rsidR="00EE4D06" w:rsidRPr="00CC024A">
        <w:rPr>
          <w:i/>
        </w:rPr>
        <w:t>Suyen</w:t>
      </w:r>
      <w:r w:rsidR="00EE4D06" w:rsidRPr="00CC024A">
        <w:t xml:space="preserve"> (at [212]) Dodds-Streeton J observed that</w:t>
      </w:r>
      <w:r w:rsidR="005949F5">
        <w:t xml:space="preserve"> because </w:t>
      </w:r>
      <w:r w:rsidR="00EE4D06" w:rsidRPr="00CC024A">
        <w:t>the intention concerns the applicant’s state of mind it is difficult for an opponent to discharge the onus</w:t>
      </w:r>
      <w:r w:rsidR="005949F5">
        <w:t xml:space="preserve"> it bears </w:t>
      </w:r>
      <w:r w:rsidR="00EE4D06" w:rsidRPr="00CC024A">
        <w:t>under s</w:t>
      </w:r>
      <w:r w:rsidR="00523981">
        <w:t> </w:t>
      </w:r>
      <w:r w:rsidR="00EE4D06" w:rsidRPr="00CC024A">
        <w:t>59.  Where opposition has succeeded, the intention has been held to be contra</w:t>
      </w:r>
      <w:r w:rsidR="005949F5">
        <w:t>-</w:t>
      </w:r>
      <w:r w:rsidR="00EE4D06" w:rsidRPr="00CC024A">
        <w:t xml:space="preserve">indicated where the applicant company was not operating and failed to provide evidence, had no capacity to trade in the relevant goods or services or </w:t>
      </w:r>
      <w:r w:rsidR="00CC3F36">
        <w:t>was</w:t>
      </w:r>
      <w:r w:rsidR="00CC3F36" w:rsidRPr="00CC024A">
        <w:t xml:space="preserve"> </w:t>
      </w:r>
      <w:r w:rsidR="00EE4D06" w:rsidRPr="00CC024A">
        <w:t>subject to a relevant contractual constraint.  In other cases, opposition succeeded because the evidence established the existence of only illegitimate purposes, including the use of registration defensively, speculatively, to gain competitive advantage or to sell the trade mark.  None of those circumstances pertains in</w:t>
      </w:r>
      <w:r w:rsidR="00CC3F36">
        <w:t xml:space="preserve"> the</w:t>
      </w:r>
      <w:r w:rsidR="00EE4D06" w:rsidRPr="00CC024A">
        <w:t xml:space="preserve"> present case.</w:t>
      </w:r>
    </w:p>
    <w:p w14:paraId="41B9D07E" w14:textId="259ABB19" w:rsidR="00EE4D06" w:rsidRPr="00CC024A" w:rsidRDefault="001E3C6B" w:rsidP="001E3C6B">
      <w:pPr>
        <w:pStyle w:val="ParaNumbering"/>
        <w:numPr>
          <w:ilvl w:val="0"/>
          <w:numId w:val="0"/>
        </w:numPr>
        <w:ind w:hanging="720"/>
      </w:pPr>
      <w:r w:rsidRPr="00CC024A">
        <w:rPr>
          <w:sz w:val="20"/>
        </w:rPr>
        <w:t>402</w:t>
      </w:r>
      <w:r w:rsidRPr="00CC024A">
        <w:rPr>
          <w:sz w:val="20"/>
        </w:rPr>
        <w:tab/>
      </w:r>
      <w:r w:rsidR="00EE4D06" w:rsidRPr="00EA0F56">
        <w:t>Second</w:t>
      </w:r>
      <w:r w:rsidR="00EE4D06" w:rsidRPr="00CC024A">
        <w:t xml:space="preserve">, the fact that Self Care IP sought first to register PROTOX alone and then sought to register the composite </w:t>
      </w:r>
      <w:r w:rsidR="005949F5">
        <w:t xml:space="preserve">FREEZEFRAME </w:t>
      </w:r>
      <w:r w:rsidR="00EE4D06" w:rsidRPr="00CC024A">
        <w:t xml:space="preserve">PROTOX mark indicates a positive intention in the mind of Self Care IP to use the mark </w:t>
      </w:r>
      <w:r w:rsidR="005949F5">
        <w:t xml:space="preserve">FREEZEFRAME </w:t>
      </w:r>
      <w:r w:rsidR="00EE4D06" w:rsidRPr="00CC024A">
        <w:t xml:space="preserve">PROTOX at that time.  Ms Amoroso’s evidence that she did not intend to use the product name with </w:t>
      </w:r>
      <w:r w:rsidR="005949F5">
        <w:t xml:space="preserve">FREEZEFRAME </w:t>
      </w:r>
      <w:r w:rsidR="00EE4D06" w:rsidRPr="00CC024A">
        <w:t xml:space="preserve">“every time”, as I have said, carries with it the implication that she intended that the product name would be used with </w:t>
      </w:r>
      <w:r w:rsidR="005949F5">
        <w:t xml:space="preserve">FREEZEFRAME </w:t>
      </w:r>
      <w:r w:rsidR="00EE4D06" w:rsidRPr="00CC024A">
        <w:t>sometimes which is sufficient intention.  That intention was not gainsaid by other evidence.</w:t>
      </w:r>
    </w:p>
    <w:p w14:paraId="10804D0A" w14:textId="2FECAC4C" w:rsidR="00EE4D06" w:rsidRPr="00CC024A" w:rsidRDefault="001E3C6B" w:rsidP="001E3C6B">
      <w:pPr>
        <w:pStyle w:val="ParaNumbering"/>
        <w:numPr>
          <w:ilvl w:val="0"/>
          <w:numId w:val="0"/>
        </w:numPr>
        <w:ind w:hanging="720"/>
      </w:pPr>
      <w:r w:rsidRPr="00CC024A">
        <w:rPr>
          <w:sz w:val="20"/>
        </w:rPr>
        <w:t>403</w:t>
      </w:r>
      <w:r w:rsidRPr="00CC024A">
        <w:rPr>
          <w:sz w:val="20"/>
        </w:rPr>
        <w:tab/>
      </w:r>
      <w:r w:rsidR="00CC3F36" w:rsidRPr="00EA0F56">
        <w:t>Third</w:t>
      </w:r>
      <w:r w:rsidR="00CC3F36" w:rsidRPr="00CC3F36">
        <w:t>,</w:t>
      </w:r>
      <w:r w:rsidR="00EE4D06" w:rsidRPr="00CC024A">
        <w:t xml:space="preserve"> the fact </w:t>
      </w:r>
      <w:r w:rsidR="00EE4D06" w:rsidRPr="00CD2077">
        <w:t>that the Freeze</w:t>
      </w:r>
      <w:r w:rsidR="002643F9" w:rsidRPr="00CD2077">
        <w:t>f</w:t>
      </w:r>
      <w:r w:rsidR="00EE4D06" w:rsidRPr="00CD2077">
        <w:t xml:space="preserve">rame website was changed after the complaint correspondence on behalf of Allergan about the PROTOX mark, although indicative of the reason for that change, does not establish an absence of intention at the earlier time.  In the period from the launch of the product until the change of the website the words </w:t>
      </w:r>
      <w:r w:rsidR="005949F5">
        <w:t xml:space="preserve">FREEZEFRAME </w:t>
      </w:r>
      <w:r w:rsidR="00EE4D06" w:rsidRPr="00CD2077">
        <w:t>and</w:t>
      </w:r>
      <w:r w:rsidR="00EE4D06" w:rsidRPr="00CC024A">
        <w:t xml:space="preserve"> PROTOX were used in association with each other, both in respect of the name of the product </w:t>
      </w:r>
      <w:r w:rsidR="00EE4D06" w:rsidRPr="00CC024A">
        <w:lastRenderedPageBreak/>
        <w:t xml:space="preserve">range being </w:t>
      </w:r>
      <w:r w:rsidR="005949F5">
        <w:t xml:space="preserve">FREEZEFRAME </w:t>
      </w:r>
      <w:r w:rsidR="00EE4D06" w:rsidRPr="00CC024A">
        <w:t xml:space="preserve">and in the tube and on the packaging as I have mentioned, but also as explained by Ms Amoroso in the advertising.  That association supports the inference that the intention on registering the </w:t>
      </w:r>
      <w:r w:rsidR="005949F5">
        <w:t xml:space="preserve">FREEZEFRAME </w:t>
      </w:r>
      <w:r w:rsidR="00EE4D06" w:rsidRPr="00CC024A">
        <w:t>PROTOX mark was to use it in the future, and not that it was registered for defensive reasons, speculatively or for illegitimate purposes.  Indeed, no suggested purpose of the registration other than the intention to use the mark was put to Ms Amoroso in cross</w:t>
      </w:r>
      <w:r w:rsidR="00796CBF">
        <w:t>-</w:t>
      </w:r>
      <w:r w:rsidR="00EE4D06" w:rsidRPr="00CC024A">
        <w:t>examination, and there is no evidence to support any other intention.</w:t>
      </w:r>
    </w:p>
    <w:p w14:paraId="25183540" w14:textId="7604C453" w:rsidR="00EE4D06" w:rsidRPr="00CC024A" w:rsidRDefault="001E3C6B" w:rsidP="001E3C6B">
      <w:pPr>
        <w:pStyle w:val="ParaNumbering"/>
        <w:numPr>
          <w:ilvl w:val="0"/>
          <w:numId w:val="0"/>
        </w:numPr>
        <w:ind w:hanging="720"/>
      </w:pPr>
      <w:r w:rsidRPr="00CC024A">
        <w:rPr>
          <w:sz w:val="20"/>
        </w:rPr>
        <w:t>404</w:t>
      </w:r>
      <w:r w:rsidRPr="00CC024A">
        <w:rPr>
          <w:sz w:val="20"/>
        </w:rPr>
        <w:tab/>
      </w:r>
      <w:r w:rsidR="00EE4D06" w:rsidRPr="00CC024A">
        <w:t>In the circumstances, Allergan</w:t>
      </w:r>
      <w:r w:rsidR="00523981" w:rsidRPr="00523981">
        <w:t xml:space="preserve"> </w:t>
      </w:r>
      <w:r w:rsidR="00523981">
        <w:t>Inc</w:t>
      </w:r>
      <w:r w:rsidR="00EE4D06" w:rsidRPr="00CC024A">
        <w:t>’s s 59 opposition must fail.</w:t>
      </w:r>
    </w:p>
    <w:p w14:paraId="2CBFB011" w14:textId="77777777" w:rsidR="00EE4D06" w:rsidRPr="00CC024A" w:rsidRDefault="00EE4D06" w:rsidP="00EE4D06">
      <w:pPr>
        <w:pStyle w:val="Heading2"/>
      </w:pPr>
      <w:bookmarkStart w:id="103" w:name="_Ref54701602"/>
      <w:r w:rsidRPr="00CC024A">
        <w:t>Section 62A – application made in bad faith</w:t>
      </w:r>
      <w:bookmarkEnd w:id="103"/>
    </w:p>
    <w:p w14:paraId="50D25185" w14:textId="3BC7AB56" w:rsidR="00EE4D06" w:rsidRPr="00CC024A" w:rsidRDefault="001E3C6B" w:rsidP="001E3C6B">
      <w:pPr>
        <w:pStyle w:val="ParaNumbering"/>
        <w:numPr>
          <w:ilvl w:val="0"/>
          <w:numId w:val="0"/>
        </w:numPr>
        <w:ind w:hanging="720"/>
      </w:pPr>
      <w:r w:rsidRPr="00CC024A">
        <w:rPr>
          <w:sz w:val="20"/>
        </w:rPr>
        <w:t>405</w:t>
      </w:r>
      <w:r w:rsidRPr="00CC024A">
        <w:rPr>
          <w:sz w:val="20"/>
        </w:rPr>
        <w:tab/>
      </w:r>
      <w:r w:rsidR="00EE4D06" w:rsidRPr="00CC024A">
        <w:t>Se</w:t>
      </w:r>
      <w:r w:rsidR="00EE4D06" w:rsidRPr="00CF3D8B">
        <w:t>ction 62A of the TM Act provides that the registration of a trade mark may be opposed on the ground that “the application was made in bad faith”.</w:t>
      </w:r>
    </w:p>
    <w:p w14:paraId="7CF63892" w14:textId="55305F5F" w:rsidR="00EE4D06" w:rsidRPr="00CC024A" w:rsidRDefault="001E3C6B" w:rsidP="001E3C6B">
      <w:pPr>
        <w:pStyle w:val="ParaNumbering"/>
        <w:numPr>
          <w:ilvl w:val="0"/>
          <w:numId w:val="0"/>
        </w:numPr>
        <w:ind w:hanging="720"/>
      </w:pPr>
      <w:r w:rsidRPr="00CC024A">
        <w:rPr>
          <w:sz w:val="20"/>
        </w:rPr>
        <w:t>406</w:t>
      </w:r>
      <w:r w:rsidRPr="00CC024A">
        <w:rPr>
          <w:sz w:val="20"/>
        </w:rPr>
        <w:tab/>
      </w:r>
      <w:r w:rsidR="00EE4D06" w:rsidRPr="00CC024A">
        <w:t xml:space="preserve">In </w:t>
      </w:r>
      <w:r w:rsidR="00EE4D06" w:rsidRPr="00162AB6">
        <w:rPr>
          <w:b/>
          <w:i/>
        </w:rPr>
        <w:t>Fry Consulting</w:t>
      </w:r>
      <w:r w:rsidR="00EE4D06" w:rsidRPr="00162AB6">
        <w:rPr>
          <w:i/>
        </w:rPr>
        <w:t xml:space="preserve"> Pty Ltd v Sports Warehouse Inc (No 2)</w:t>
      </w:r>
      <w:r w:rsidR="00EE4D06" w:rsidRPr="00162AB6">
        <w:t xml:space="preserve"> [2012] FCA 81; 201 FCR 565</w:t>
      </w:r>
      <w:r w:rsidR="00EE4D06" w:rsidRPr="00CC024A">
        <w:t xml:space="preserve"> at [143]-[166], Dodds-Streeton J undertook a detailed analysis of s 62A and its requirements.  In </w:t>
      </w:r>
      <w:r w:rsidR="00EE4D06" w:rsidRPr="00162AB6">
        <w:rPr>
          <w:i/>
        </w:rPr>
        <w:t>DC Comics v Cheqout Pty Ltd</w:t>
      </w:r>
      <w:r w:rsidR="00EE4D06" w:rsidRPr="00162AB6">
        <w:t xml:space="preserve"> [2013] FCA 478; 212 FCR 194</w:t>
      </w:r>
      <w:r w:rsidR="00EE4D06" w:rsidRPr="00CC024A">
        <w:t xml:space="preserve"> at [62]-[68], Bennett J sought to distil a number of principles from Dodds-Streeton J’s analysis.  I gratefully adopt that distillation, and identify the following as being relevant principles:</w:t>
      </w:r>
    </w:p>
    <w:p w14:paraId="0CE53D84" w14:textId="32FAA8F4" w:rsidR="00EE4D06" w:rsidRPr="00CC024A" w:rsidRDefault="001E3C6B" w:rsidP="001E3C6B">
      <w:pPr>
        <w:pStyle w:val="FCBullets"/>
        <w:numPr>
          <w:ilvl w:val="0"/>
          <w:numId w:val="0"/>
        </w:numPr>
        <w:tabs>
          <w:tab w:val="left" w:pos="720"/>
        </w:tabs>
        <w:ind w:left="720" w:hanging="720"/>
      </w:pPr>
      <w:r w:rsidRPr="00CC024A">
        <w:rPr>
          <w:rFonts w:ascii="Symbol" w:hAnsi="Symbol"/>
        </w:rPr>
        <w:t></w:t>
      </w:r>
      <w:r w:rsidRPr="00CC024A">
        <w:rPr>
          <w:rFonts w:ascii="Symbol" w:hAnsi="Symbol"/>
        </w:rPr>
        <w:tab/>
      </w:r>
      <w:r w:rsidR="00EE4D06" w:rsidRPr="00CC024A">
        <w:t>Bad faith is a serious allegation and the more serious the allegation, the more cogent the evidence required to support it.</w:t>
      </w:r>
    </w:p>
    <w:p w14:paraId="5175A9D3" w14:textId="13F4D777" w:rsidR="00EE4D06" w:rsidRPr="00CC024A" w:rsidRDefault="001E3C6B" w:rsidP="001E3C6B">
      <w:pPr>
        <w:pStyle w:val="FCBullets"/>
        <w:numPr>
          <w:ilvl w:val="0"/>
          <w:numId w:val="0"/>
        </w:numPr>
        <w:tabs>
          <w:tab w:val="left" w:pos="720"/>
        </w:tabs>
        <w:ind w:left="720" w:hanging="720"/>
      </w:pPr>
      <w:r w:rsidRPr="00CC024A">
        <w:rPr>
          <w:rFonts w:ascii="Symbol" w:hAnsi="Symbol"/>
        </w:rPr>
        <w:t></w:t>
      </w:r>
      <w:r w:rsidRPr="00CC024A">
        <w:rPr>
          <w:rFonts w:ascii="Symbol" w:hAnsi="Symbol"/>
        </w:rPr>
        <w:tab/>
      </w:r>
      <w:r w:rsidR="00EE4D06" w:rsidRPr="00CC024A">
        <w:t>Bad faith does not require dishonesty.</w:t>
      </w:r>
    </w:p>
    <w:p w14:paraId="2A00D853" w14:textId="080A7345" w:rsidR="00EE4D06" w:rsidRPr="00CC024A" w:rsidRDefault="001E3C6B" w:rsidP="001E3C6B">
      <w:pPr>
        <w:pStyle w:val="FCBullets"/>
        <w:numPr>
          <w:ilvl w:val="0"/>
          <w:numId w:val="0"/>
        </w:numPr>
        <w:tabs>
          <w:tab w:val="left" w:pos="720"/>
        </w:tabs>
        <w:ind w:left="720" w:hanging="720"/>
      </w:pPr>
      <w:r w:rsidRPr="00CC024A">
        <w:rPr>
          <w:rFonts w:ascii="Symbol" w:hAnsi="Symbol"/>
        </w:rPr>
        <w:t></w:t>
      </w:r>
      <w:r w:rsidRPr="00CC024A">
        <w:rPr>
          <w:rFonts w:ascii="Symbol" w:hAnsi="Symbol"/>
        </w:rPr>
        <w:tab/>
      </w:r>
      <w:r w:rsidR="00EE4D06" w:rsidRPr="00CC024A">
        <w:t>Bad faith is a combined test that involves</w:t>
      </w:r>
      <w:r w:rsidR="005949F5">
        <w:t xml:space="preserve"> </w:t>
      </w:r>
      <w:r w:rsidR="00EE4D06" w:rsidRPr="00CC024A">
        <w:t>subjective and objective elements.  The subjective element refers to the knowledge of the relevant person at the time of making the application.  The objective element requires the decision-make</w:t>
      </w:r>
      <w:r w:rsidR="005949F5">
        <w:t>r</w:t>
      </w:r>
      <w:r w:rsidR="00EE4D06" w:rsidRPr="00CC024A">
        <w:t xml:space="preserve"> to decide whether, in the light of that knowledge, the relevant person’s behaviour fell short of acceptable commercial standards.</w:t>
      </w:r>
    </w:p>
    <w:p w14:paraId="7D77A55E" w14:textId="3EC0DDD1" w:rsidR="00EE4D06" w:rsidRPr="00CC024A" w:rsidRDefault="001E3C6B" w:rsidP="001E3C6B">
      <w:pPr>
        <w:pStyle w:val="FCBullets"/>
        <w:numPr>
          <w:ilvl w:val="0"/>
          <w:numId w:val="0"/>
        </w:numPr>
        <w:tabs>
          <w:tab w:val="left" w:pos="720"/>
        </w:tabs>
        <w:ind w:left="720" w:hanging="720"/>
      </w:pPr>
      <w:r w:rsidRPr="00CC024A">
        <w:rPr>
          <w:rFonts w:ascii="Symbol" w:hAnsi="Symbol"/>
        </w:rPr>
        <w:t></w:t>
      </w:r>
      <w:r w:rsidRPr="00CC024A">
        <w:rPr>
          <w:rFonts w:ascii="Symbol" w:hAnsi="Symbol"/>
        </w:rPr>
        <w:tab/>
      </w:r>
      <w:r w:rsidR="00EE4D06" w:rsidRPr="00CC024A">
        <w:t xml:space="preserve">The question is whether the conduct </w:t>
      </w:r>
      <w:r w:rsidR="00AA3322" w:rsidRPr="00CC024A">
        <w:t>f</w:t>
      </w:r>
      <w:r w:rsidR="00AA3322">
        <w:t>ell</w:t>
      </w:r>
      <w:r w:rsidR="00AA3322" w:rsidRPr="00CC024A">
        <w:t xml:space="preserve"> </w:t>
      </w:r>
      <w:r w:rsidR="00EE4D06" w:rsidRPr="00CC024A">
        <w:t>short of the standards of acceptable commercial behaviour observed by reasonable and experienced persons in the particular area.  It is whether the knowledge of the applicant was such that the decision to apply for registration would be regarded as in bad faith by persons adopting proper standards.</w:t>
      </w:r>
    </w:p>
    <w:p w14:paraId="720FF058" w14:textId="59056357" w:rsidR="00EE4D06" w:rsidRPr="00CC024A" w:rsidRDefault="001E3C6B" w:rsidP="001E3C6B">
      <w:pPr>
        <w:pStyle w:val="FCBullets"/>
        <w:numPr>
          <w:ilvl w:val="0"/>
          <w:numId w:val="0"/>
        </w:numPr>
        <w:tabs>
          <w:tab w:val="left" w:pos="720"/>
        </w:tabs>
        <w:ind w:left="720" w:hanging="720"/>
      </w:pPr>
      <w:r w:rsidRPr="00CC024A">
        <w:rPr>
          <w:rFonts w:ascii="Symbol" w:hAnsi="Symbol"/>
        </w:rPr>
        <w:t></w:t>
      </w:r>
      <w:r w:rsidRPr="00CC024A">
        <w:rPr>
          <w:rFonts w:ascii="Symbol" w:hAnsi="Symbol"/>
        </w:rPr>
        <w:tab/>
      </w:r>
      <w:r w:rsidR="00EE4D06" w:rsidRPr="00CC024A">
        <w:t xml:space="preserve">Mere negligence, incompetence or a lack of prudence to reasonable and experienced standards would not, in themselves, suffice, as the concept of bad faith imports conduct </w:t>
      </w:r>
      <w:r w:rsidR="00EE4D06" w:rsidRPr="00CC024A">
        <w:lastRenderedPageBreak/>
        <w:t>which, irrespective of the form it takes, is of an unscrupulous, underhand or</w:t>
      </w:r>
      <w:r w:rsidR="005949F5">
        <w:t xml:space="preserve"> </w:t>
      </w:r>
      <w:r w:rsidR="00AA3322">
        <w:t>un</w:t>
      </w:r>
      <w:r w:rsidR="00EE4D06" w:rsidRPr="00CC024A">
        <w:t>conscientious character.</w:t>
      </w:r>
    </w:p>
    <w:p w14:paraId="68846111" w14:textId="5E4A0742" w:rsidR="00EE4D06" w:rsidRPr="00CC024A" w:rsidRDefault="001E3C6B" w:rsidP="001E3C6B">
      <w:pPr>
        <w:pStyle w:val="ParaNumbering"/>
        <w:numPr>
          <w:ilvl w:val="0"/>
          <w:numId w:val="0"/>
        </w:numPr>
        <w:ind w:hanging="720"/>
      </w:pPr>
      <w:r w:rsidRPr="00CC024A">
        <w:rPr>
          <w:sz w:val="20"/>
        </w:rPr>
        <w:t>407</w:t>
      </w:r>
      <w:r w:rsidRPr="00CC024A">
        <w:rPr>
          <w:sz w:val="20"/>
        </w:rPr>
        <w:tab/>
      </w:r>
      <w:r w:rsidR="00EE4D06" w:rsidRPr="00CC024A">
        <w:t xml:space="preserve">The analysis of bad faith in </w:t>
      </w:r>
      <w:r w:rsidR="00EE4D06" w:rsidRPr="00CC024A">
        <w:rPr>
          <w:i/>
        </w:rPr>
        <w:t>Fry Consulting</w:t>
      </w:r>
      <w:r w:rsidR="00EE4D06" w:rsidRPr="00CC024A">
        <w:t xml:space="preserve"> wa</w:t>
      </w:r>
      <w:r w:rsidR="00AA3322">
        <w:t xml:space="preserve">s cited with approval by Perry </w:t>
      </w:r>
      <w:r w:rsidR="00EE4D06" w:rsidRPr="00CC024A">
        <w:t xml:space="preserve">J in </w:t>
      </w:r>
      <w:r w:rsidR="00EE4D06" w:rsidRPr="00162AB6">
        <w:rPr>
          <w:i/>
        </w:rPr>
        <w:t>Bauer Consumer Media Ltd v Evergreen Television Pty Ltd</w:t>
      </w:r>
      <w:r w:rsidR="00EE4D06" w:rsidRPr="00162AB6">
        <w:t xml:space="preserve"> [2017] FCA 507; 349 ALR 679</w:t>
      </w:r>
      <w:r w:rsidR="00EE4D06" w:rsidRPr="00CC024A">
        <w:t xml:space="preserve"> at [341].</w:t>
      </w:r>
    </w:p>
    <w:p w14:paraId="398CC82E" w14:textId="5EA7969E" w:rsidR="00EE4D06" w:rsidRPr="00CC024A" w:rsidRDefault="001E3C6B" w:rsidP="001E3C6B">
      <w:pPr>
        <w:pStyle w:val="ParaNumbering"/>
        <w:numPr>
          <w:ilvl w:val="0"/>
          <w:numId w:val="0"/>
        </w:numPr>
        <w:ind w:hanging="720"/>
      </w:pPr>
      <w:r w:rsidRPr="00CC024A">
        <w:rPr>
          <w:sz w:val="20"/>
        </w:rPr>
        <w:t>408</w:t>
      </w:r>
      <w:r w:rsidRPr="00CC024A">
        <w:rPr>
          <w:sz w:val="20"/>
        </w:rPr>
        <w:tab/>
      </w:r>
      <w:r w:rsidR="00EE4D06" w:rsidRPr="00CC024A">
        <w:t>Allergan</w:t>
      </w:r>
      <w:r w:rsidR="00523981" w:rsidRPr="00523981">
        <w:t xml:space="preserve"> </w:t>
      </w:r>
      <w:r w:rsidR="00523981">
        <w:t>Inc</w:t>
      </w:r>
      <w:r w:rsidR="00EE4D06" w:rsidRPr="00CC024A">
        <w:t xml:space="preserve">’s notice of appeal puts the case that the </w:t>
      </w:r>
      <w:r w:rsidR="005949F5">
        <w:t xml:space="preserve">FREEZEFRAME </w:t>
      </w:r>
      <w:r w:rsidR="00EE4D06" w:rsidRPr="00CC024A">
        <w:t>PROTOX mark was registered in bad faith on the basis that reasonable and experienced people in the field would view that registration as falling short of acceptable commercial behaviour by reason of the following:</w:t>
      </w:r>
    </w:p>
    <w:p w14:paraId="68E861FA" w14:textId="663D7468" w:rsidR="00EE4D06" w:rsidRPr="00CC024A" w:rsidRDefault="001E3C6B" w:rsidP="001E3C6B">
      <w:pPr>
        <w:pStyle w:val="ListNo1"/>
        <w:numPr>
          <w:ilvl w:val="0"/>
          <w:numId w:val="0"/>
        </w:numPr>
        <w:tabs>
          <w:tab w:val="left" w:pos="720"/>
        </w:tabs>
        <w:ind w:left="720" w:hanging="720"/>
      </w:pPr>
      <w:r w:rsidRPr="00CC024A">
        <w:t>(1)</w:t>
      </w:r>
      <w:r w:rsidRPr="00CC024A">
        <w:tab/>
      </w:r>
      <w:r w:rsidR="00EE4D06" w:rsidRPr="00CC024A">
        <w:t>Self Care IP was aware of Allergan’s reputation in the BOTOX marks, and intentionally chose the similar opposed mark and the mark PROTOX so as to cause confusion with the distinctive BOTOX marks, thereby falsely suggesting that Self Care IP or its goods were sponsored, approved or affiliated with Allergan and its BOTOX goods;</w:t>
      </w:r>
    </w:p>
    <w:p w14:paraId="3603A8C9" w14:textId="3ECD54DD" w:rsidR="00EE4D06" w:rsidRPr="00CC024A" w:rsidRDefault="001E3C6B" w:rsidP="001E3C6B">
      <w:pPr>
        <w:pStyle w:val="ListNo1"/>
        <w:numPr>
          <w:ilvl w:val="0"/>
          <w:numId w:val="0"/>
        </w:numPr>
        <w:tabs>
          <w:tab w:val="left" w:pos="720"/>
        </w:tabs>
        <w:ind w:left="720" w:hanging="720"/>
      </w:pPr>
      <w:r w:rsidRPr="00CC024A">
        <w:t>(2)</w:t>
      </w:r>
      <w:r w:rsidRPr="00CC024A">
        <w:tab/>
      </w:r>
      <w:r w:rsidR="00B7267D">
        <w:t>t</w:t>
      </w:r>
      <w:r w:rsidR="00EE4D06" w:rsidRPr="00CC024A">
        <w:t>he Freeze</w:t>
      </w:r>
      <w:r w:rsidR="002643F9" w:rsidRPr="00CC024A">
        <w:t>f</w:t>
      </w:r>
      <w:r w:rsidR="00EE4D06" w:rsidRPr="00CC024A">
        <w:t>rame website shows frequent and prominent uses of Allergan’s BOTOX marks in the advertising by Self Care IP and/or Self Care Corp in a manner which strengthens the false suggestion of sponsorship, approval or affiliation, and increases the likelihood of confusion between the marks and respective products;</w:t>
      </w:r>
    </w:p>
    <w:p w14:paraId="456EEF40" w14:textId="46AB9058" w:rsidR="00EE4D06" w:rsidRPr="00CC024A" w:rsidRDefault="001E3C6B" w:rsidP="001E3C6B">
      <w:pPr>
        <w:pStyle w:val="ListNo1"/>
        <w:numPr>
          <w:ilvl w:val="0"/>
          <w:numId w:val="0"/>
        </w:numPr>
        <w:tabs>
          <w:tab w:val="left" w:pos="720"/>
        </w:tabs>
        <w:ind w:left="720" w:hanging="720"/>
      </w:pPr>
      <w:r w:rsidRPr="00CC024A">
        <w:t>(3)</w:t>
      </w:r>
      <w:r w:rsidRPr="00CC024A">
        <w:tab/>
      </w:r>
      <w:r w:rsidR="00EE4D06" w:rsidRPr="00CC024A">
        <w:t>Self Care IP and/or Self Care Corp have used Allergan’s signs and indicia (including BOTOX) and the mark PROTOX (on its own) in the course of trade to strengthen the connection in the minds of consumers between Allergan’s BOTOX marks and the opposed mark in order to leverage or springboard off the existing reputation of Allergan and to obtain a commercial advantage;</w:t>
      </w:r>
    </w:p>
    <w:p w14:paraId="4BDD47FC" w14:textId="64DE7E99" w:rsidR="00EE4D06" w:rsidRPr="00CC024A" w:rsidRDefault="001E3C6B" w:rsidP="001E3C6B">
      <w:pPr>
        <w:pStyle w:val="ListNo1"/>
        <w:numPr>
          <w:ilvl w:val="0"/>
          <w:numId w:val="0"/>
        </w:numPr>
        <w:tabs>
          <w:tab w:val="left" w:pos="720"/>
        </w:tabs>
        <w:ind w:left="720" w:hanging="720"/>
      </w:pPr>
      <w:r w:rsidRPr="00CC024A">
        <w:t>(4)</w:t>
      </w:r>
      <w:r w:rsidRPr="00CC024A">
        <w:tab/>
      </w:r>
      <w:r w:rsidR="00EE4D06" w:rsidRPr="00CC024A">
        <w:t xml:space="preserve">Self Care IP and/or Self Care Corp have used Allergan’s signs and indicia (including BOTOX) in the course of trade to falsely represent to consumers a variety of messages including that the </w:t>
      </w:r>
      <w:r w:rsidR="005949F5" w:rsidRPr="00CC024A">
        <w:t xml:space="preserve">Protox </w:t>
      </w:r>
      <w:r w:rsidR="00EE4D06" w:rsidRPr="00CC024A">
        <w:t xml:space="preserve">product is complementary to the Botox products or a product sold under the BOTOX marks, the </w:t>
      </w:r>
      <w:r w:rsidR="005949F5" w:rsidRPr="00CC024A">
        <w:t xml:space="preserve">Protox </w:t>
      </w:r>
      <w:r w:rsidR="00EE4D06" w:rsidRPr="00CC024A">
        <w:t>product has a therapeutic use that Allergan has verified as correct or that independent clinical trials have proven, that use of the Protox product will give results to the same standard or quality as the Botox products, that use of the Protox product will achieve the same performance characteristics and/or benefits as the Botox products, and so on;</w:t>
      </w:r>
      <w:r w:rsidR="00B7267D">
        <w:t xml:space="preserve"> and</w:t>
      </w:r>
    </w:p>
    <w:p w14:paraId="031F714E" w14:textId="299F71D3" w:rsidR="00EE4D06" w:rsidRPr="00CC024A" w:rsidRDefault="001E3C6B" w:rsidP="001E3C6B">
      <w:pPr>
        <w:pStyle w:val="ListNo1"/>
        <w:numPr>
          <w:ilvl w:val="0"/>
          <w:numId w:val="0"/>
        </w:numPr>
        <w:tabs>
          <w:tab w:val="left" w:pos="720"/>
        </w:tabs>
        <w:ind w:left="720" w:hanging="720"/>
      </w:pPr>
      <w:r w:rsidRPr="00CC024A">
        <w:t>(5)</w:t>
      </w:r>
      <w:r w:rsidRPr="00CC024A">
        <w:tab/>
      </w:r>
      <w:r w:rsidR="00EE4D06" w:rsidRPr="00CC024A">
        <w:t xml:space="preserve">Self Care IP’s director, Ms Amoroso, was a director of Cat Media in previous proceedings in which she gave undertakings not to use various terms suggestive of </w:t>
      </w:r>
      <w:r w:rsidR="00EE4D06" w:rsidRPr="00CC024A">
        <w:lastRenderedPageBreak/>
        <w:t xml:space="preserve">BOTOX, not to make representations that the </w:t>
      </w:r>
      <w:r w:rsidR="00785FB6">
        <w:t>Relaxaderm</w:t>
      </w:r>
      <w:r w:rsidR="00785FB6" w:rsidRPr="00CC024A">
        <w:t xml:space="preserve"> </w:t>
      </w:r>
      <w:r w:rsidR="00EE4D06" w:rsidRPr="00CC024A">
        <w:t>product</w:t>
      </w:r>
      <w:r w:rsidR="00785FB6">
        <w:t xml:space="preserve"> </w:t>
      </w:r>
      <w:r w:rsidR="009C37C8">
        <w:t>(</w:t>
      </w:r>
      <w:r w:rsidR="00785FB6">
        <w:t>that was in issue in that case</w:t>
      </w:r>
      <w:r w:rsidR="009C37C8">
        <w:t>)</w:t>
      </w:r>
      <w:r w:rsidR="00EE4D06" w:rsidRPr="00CC024A">
        <w:t xml:space="preserve"> is equally efficacious to Botox and not to use the phrase “better than Botox”.</w:t>
      </w:r>
    </w:p>
    <w:p w14:paraId="684A803F" w14:textId="7A9B0F1B" w:rsidR="00EE4D06" w:rsidRPr="00CC024A" w:rsidRDefault="001E3C6B" w:rsidP="001E3C6B">
      <w:pPr>
        <w:pStyle w:val="ParaNumbering"/>
        <w:numPr>
          <w:ilvl w:val="0"/>
          <w:numId w:val="0"/>
        </w:numPr>
        <w:ind w:hanging="720"/>
      </w:pPr>
      <w:r w:rsidRPr="00CC024A">
        <w:rPr>
          <w:sz w:val="20"/>
        </w:rPr>
        <w:t>409</w:t>
      </w:r>
      <w:r w:rsidRPr="00CC024A">
        <w:rPr>
          <w:sz w:val="20"/>
        </w:rPr>
        <w:tab/>
      </w:r>
      <w:r w:rsidR="00EE4D06" w:rsidRPr="00CC024A">
        <w:t>The</w:t>
      </w:r>
      <w:r w:rsidR="00523981">
        <w:t xml:space="preserve"> essential characteristic of </w:t>
      </w:r>
      <w:r w:rsidR="00EE4D06" w:rsidRPr="00CC024A">
        <w:t>this part of Allergan</w:t>
      </w:r>
      <w:r w:rsidR="00523981" w:rsidRPr="00523981">
        <w:t xml:space="preserve"> </w:t>
      </w:r>
      <w:r w:rsidR="00523981">
        <w:t>Inc</w:t>
      </w:r>
      <w:r w:rsidR="00EE4D06" w:rsidRPr="00CC024A">
        <w:t>’s case, as will immediately be apparent, is that it offers no more than the case based on the affiliation and efficacy representations and the trade mark infringement case with respect to the use of the word PROTOX as a play on the word B</w:t>
      </w:r>
      <w:r w:rsidR="000E46F7">
        <w:t>OTOX</w:t>
      </w:r>
      <w:r w:rsidR="00EE4D06" w:rsidRPr="00CC024A">
        <w:t xml:space="preserve">.  That is because the bad faith case asserts that the conduct of Self Care IP in registering the mark </w:t>
      </w:r>
      <w:r w:rsidR="005949F5">
        <w:t xml:space="preserve">FREEZEFRAME </w:t>
      </w:r>
      <w:r w:rsidR="00EE4D06" w:rsidRPr="00CC024A">
        <w:t>PROTOX falls short of the standards of commercial behaviour observed by reasonable and experienced persons in the particular area.  In this context, those standards</w:t>
      </w:r>
      <w:r w:rsidR="005949F5">
        <w:t xml:space="preserve"> include </w:t>
      </w:r>
      <w:r w:rsidR="00EE4D06" w:rsidRPr="00CC024A">
        <w:t>the standards as set by the ACL and the rules with regard to trade</w:t>
      </w:r>
      <w:r w:rsidR="005F1761">
        <w:t xml:space="preserve"> </w:t>
      </w:r>
      <w:r w:rsidR="00EE4D06" w:rsidRPr="00CC024A">
        <w:t>mark infringement.</w:t>
      </w:r>
    </w:p>
    <w:p w14:paraId="0D26D299" w14:textId="6D6C9B9F" w:rsidR="00EE4D06" w:rsidRPr="00CC024A" w:rsidRDefault="001E3C6B" w:rsidP="001E3C6B">
      <w:pPr>
        <w:pStyle w:val="ParaNumbering"/>
        <w:numPr>
          <w:ilvl w:val="0"/>
          <w:numId w:val="0"/>
        </w:numPr>
        <w:ind w:hanging="720"/>
      </w:pPr>
      <w:r w:rsidRPr="00CC024A">
        <w:rPr>
          <w:sz w:val="20"/>
        </w:rPr>
        <w:t>410</w:t>
      </w:r>
      <w:r w:rsidRPr="00CC024A">
        <w:rPr>
          <w:sz w:val="20"/>
        </w:rPr>
        <w:tab/>
      </w:r>
      <w:r w:rsidR="00EE4D06" w:rsidRPr="00CC024A">
        <w:t xml:space="preserve">In other words, if Allergan’s case under the ACL based on the affiliation and efficacy representations is good, then bad faith in relation to the registration of the </w:t>
      </w:r>
      <w:r w:rsidR="005949F5">
        <w:t xml:space="preserve">FREEZEFRAME </w:t>
      </w:r>
      <w:r w:rsidR="00EE4D06" w:rsidRPr="00CC024A">
        <w:t xml:space="preserve">PROTOX mark would likely be established.  On the other hand if that case is not good, then </w:t>
      </w:r>
      <w:r w:rsidR="007D60C7">
        <w:t xml:space="preserve">it is unlikely that </w:t>
      </w:r>
      <w:r w:rsidR="00EE4D06" w:rsidRPr="00CC024A">
        <w:t>bad faith in the registration of that mark</w:t>
      </w:r>
      <w:r w:rsidR="007D60C7">
        <w:t xml:space="preserve"> would be found</w:t>
      </w:r>
      <w:r w:rsidR="00EE4D06" w:rsidRPr="00CC024A">
        <w:t>.</w:t>
      </w:r>
    </w:p>
    <w:p w14:paraId="2569FCAB" w14:textId="0F0928BD" w:rsidR="00EE4D06" w:rsidRPr="00CC024A" w:rsidRDefault="001E3C6B" w:rsidP="001E3C6B">
      <w:pPr>
        <w:pStyle w:val="ParaNumbering"/>
        <w:numPr>
          <w:ilvl w:val="0"/>
          <w:numId w:val="0"/>
        </w:numPr>
        <w:ind w:hanging="720"/>
      </w:pPr>
      <w:r w:rsidRPr="00CC024A">
        <w:rPr>
          <w:sz w:val="20"/>
        </w:rPr>
        <w:t>411</w:t>
      </w:r>
      <w:r w:rsidRPr="00CC024A">
        <w:rPr>
          <w:sz w:val="20"/>
        </w:rPr>
        <w:tab/>
      </w:r>
      <w:r w:rsidR="00EE4D06" w:rsidRPr="00CC024A">
        <w:t>Similarly, if Allergan’s case of trade</w:t>
      </w:r>
      <w:r w:rsidR="005F1761">
        <w:t xml:space="preserve"> </w:t>
      </w:r>
      <w:r w:rsidR="00EE4D06" w:rsidRPr="00CC024A">
        <w:t xml:space="preserve">mark infringement on the basis that its use of the word PROTOX is use as a trade mark and that it is deceptively similar to the BOTOX mark is good, then it might be that the bad faith case in relation to the registration of the </w:t>
      </w:r>
      <w:r w:rsidR="00B7267D" w:rsidRPr="00CC024A">
        <w:t>FREEZEFRAME</w:t>
      </w:r>
      <w:r w:rsidR="00EE4D06" w:rsidRPr="00CC024A">
        <w:t xml:space="preserve"> PROTOX mark would be good.  Conversely, however, if PROTOX is not deceptively similar to BOTOX then the basis for the bad faith case cannot be established.</w:t>
      </w:r>
    </w:p>
    <w:p w14:paraId="693E09E7" w14:textId="76073F02" w:rsidR="00A274C1" w:rsidRPr="00A274C1" w:rsidRDefault="001E3C6B" w:rsidP="001E3C6B">
      <w:pPr>
        <w:pStyle w:val="ParaNumbering"/>
        <w:numPr>
          <w:ilvl w:val="0"/>
          <w:numId w:val="0"/>
        </w:numPr>
        <w:ind w:hanging="720"/>
      </w:pPr>
      <w:r w:rsidRPr="00A274C1">
        <w:rPr>
          <w:sz w:val="20"/>
        </w:rPr>
        <w:t>412</w:t>
      </w:r>
      <w:r w:rsidRPr="00A274C1">
        <w:rPr>
          <w:sz w:val="20"/>
        </w:rPr>
        <w:tab/>
      </w:r>
      <w:r w:rsidR="00A274C1" w:rsidRPr="00A274C1">
        <w:t>It will be recalled that I have already concluded that the mark PROTOX is not deceptively similar to BOTOX.  Also, it will be seen that my conclusion is that Allergan’s A</w:t>
      </w:r>
      <w:r w:rsidR="00A274C1" w:rsidRPr="00D6447C">
        <w:t>CL case based on the affiliation and efficacy representations and its passing off case must fail</w:t>
      </w:r>
      <w:r w:rsidR="005949F5">
        <w:t xml:space="preserve"> save </w:t>
      </w:r>
      <w:r w:rsidR="002F0C50" w:rsidRPr="00D6447C">
        <w:t>for one exception</w:t>
      </w:r>
      <w:r w:rsidR="00A274C1" w:rsidRPr="00D6447C">
        <w:t xml:space="preserve">.  </w:t>
      </w:r>
      <w:r w:rsidR="00523981">
        <w:t xml:space="preserve">That exception does not relate to the FREEZEFRAME PROTOX mark.  </w:t>
      </w:r>
      <w:r w:rsidR="00A274C1" w:rsidRPr="00D6447C">
        <w:t xml:space="preserve">In those circumstances, </w:t>
      </w:r>
      <w:r w:rsidR="005949F5">
        <w:t>and in the absence of any independent ground of bad faith being established,</w:t>
      </w:r>
      <w:r w:rsidR="00523981">
        <w:t xml:space="preserve"> Allergan Inc’s </w:t>
      </w:r>
      <w:r w:rsidR="00A274C1" w:rsidRPr="00D6447C">
        <w:t>opposition to the registration of the FREEZEFRAME PROTOX mark based on s 62A must also fail.</w:t>
      </w:r>
      <w:r w:rsidR="002F0C50">
        <w:t xml:space="preserve"> </w:t>
      </w:r>
    </w:p>
    <w:p w14:paraId="0C0ED410" w14:textId="0578DC7E" w:rsidR="00A274C1" w:rsidRPr="00A274C1" w:rsidRDefault="00A274C1" w:rsidP="00A274C1">
      <w:pPr>
        <w:pStyle w:val="Heading2"/>
      </w:pPr>
      <w:bookmarkStart w:id="104" w:name="_Ref54701603"/>
      <w:r w:rsidRPr="00A274C1">
        <w:t>Conclusion o</w:t>
      </w:r>
      <w:r>
        <w:t>n the Trade Mark Office appeal</w:t>
      </w:r>
      <w:bookmarkEnd w:id="104"/>
    </w:p>
    <w:p w14:paraId="2FEA27EE" w14:textId="476DF072" w:rsidR="00A274C1" w:rsidRDefault="001E3C6B" w:rsidP="001E3C6B">
      <w:pPr>
        <w:pStyle w:val="ParaNumbering"/>
        <w:numPr>
          <w:ilvl w:val="0"/>
          <w:numId w:val="0"/>
        </w:numPr>
        <w:ind w:hanging="720"/>
      </w:pPr>
      <w:bookmarkStart w:id="105" w:name="_Ref54198761"/>
      <w:r>
        <w:rPr>
          <w:sz w:val="20"/>
        </w:rPr>
        <w:t>413</w:t>
      </w:r>
      <w:r>
        <w:rPr>
          <w:sz w:val="20"/>
        </w:rPr>
        <w:tab/>
      </w:r>
      <w:r w:rsidR="00A274C1" w:rsidRPr="00A274C1">
        <w:t>For the above reasons, Allergan</w:t>
      </w:r>
      <w:r w:rsidR="00523981" w:rsidRPr="00523981">
        <w:t xml:space="preserve"> </w:t>
      </w:r>
      <w:r w:rsidR="00523981">
        <w:t>Inc</w:t>
      </w:r>
      <w:r w:rsidR="00A274C1" w:rsidRPr="00A274C1">
        <w:t>’s appeal against the decision of the delegate of the Registrar of Trade Marks falls to be dismissed</w:t>
      </w:r>
      <w:r w:rsidR="00E805BE">
        <w:t xml:space="preserve"> with costs</w:t>
      </w:r>
      <w:r w:rsidR="00A274C1" w:rsidRPr="00A274C1">
        <w:t>.</w:t>
      </w:r>
      <w:bookmarkEnd w:id="105"/>
    </w:p>
    <w:p w14:paraId="3065F2A9" w14:textId="1D0A8C95" w:rsidR="007870E5" w:rsidRDefault="001E3C6B" w:rsidP="007870E5">
      <w:pPr>
        <w:pStyle w:val="Heading1"/>
      </w:pPr>
      <w:bookmarkStart w:id="106" w:name="_Ref54701604"/>
      <w:r>
        <w:rPr>
          <w:caps w:val="0"/>
        </w:rPr>
        <w:lastRenderedPageBreak/>
        <w:t>AUSTRALIAN CONSUMER LAW AND PASSING OFF</w:t>
      </w:r>
      <w:bookmarkEnd w:id="106"/>
    </w:p>
    <w:p w14:paraId="521B00E7" w14:textId="5EE662EC" w:rsidR="00141B74" w:rsidRDefault="001E3C6B" w:rsidP="001E3C6B">
      <w:pPr>
        <w:pStyle w:val="ParaNumbering"/>
        <w:numPr>
          <w:ilvl w:val="0"/>
          <w:numId w:val="0"/>
        </w:numPr>
        <w:ind w:hanging="720"/>
      </w:pPr>
      <w:r>
        <w:rPr>
          <w:sz w:val="20"/>
        </w:rPr>
        <w:t>414</w:t>
      </w:r>
      <w:r>
        <w:rPr>
          <w:sz w:val="20"/>
        </w:rPr>
        <w:tab/>
      </w:r>
      <w:r w:rsidR="007870E5">
        <w:t xml:space="preserve">It will be recalled that Allergan’s case in reliance on the </w:t>
      </w:r>
      <w:r w:rsidR="006D2BAC">
        <w:t>ACL</w:t>
      </w:r>
      <w:r w:rsidR="007870E5">
        <w:t xml:space="preserve"> </w:t>
      </w:r>
      <w:r w:rsidR="00B7267D">
        <w:t xml:space="preserve">and the tort of passing </w:t>
      </w:r>
      <w:r w:rsidR="00F9714E">
        <w:t xml:space="preserve">off </w:t>
      </w:r>
      <w:r w:rsidR="007870E5">
        <w:t xml:space="preserve">is divided between the case on the affiliation representations </w:t>
      </w:r>
      <w:r w:rsidR="00F9714E">
        <w:t>(ACL and passing</w:t>
      </w:r>
      <w:r w:rsidR="00B7267D">
        <w:t xml:space="preserve"> </w:t>
      </w:r>
      <w:r w:rsidR="00F9714E">
        <w:t xml:space="preserve">off) </w:t>
      </w:r>
      <w:r w:rsidR="007870E5">
        <w:t>and the case on the efficacy representations</w:t>
      </w:r>
      <w:r w:rsidR="00F9714E">
        <w:t xml:space="preserve"> (ACL only)</w:t>
      </w:r>
      <w:r w:rsidR="007870E5">
        <w:t>.  Each is quite different, and therefore calls to be considered separately.</w:t>
      </w:r>
      <w:r w:rsidR="00F9714E">
        <w:t xml:space="preserve">  However, before turning to that separate consideration, it is worthwhile to deal with some common aspects.</w:t>
      </w:r>
    </w:p>
    <w:p w14:paraId="70FE9101" w14:textId="1557A876" w:rsidR="00141B74" w:rsidRDefault="001E3C6B" w:rsidP="001E3C6B">
      <w:pPr>
        <w:pStyle w:val="ParaNumbering"/>
        <w:numPr>
          <w:ilvl w:val="0"/>
          <w:numId w:val="0"/>
        </w:numPr>
        <w:ind w:hanging="720"/>
      </w:pPr>
      <w:r>
        <w:rPr>
          <w:sz w:val="20"/>
        </w:rPr>
        <w:t>415</w:t>
      </w:r>
      <w:r>
        <w:rPr>
          <w:sz w:val="20"/>
        </w:rPr>
        <w:tab/>
      </w:r>
      <w:r w:rsidR="00F9714E">
        <w:t>The ACL cases rely on the following provisions of the ACL:</w:t>
      </w:r>
    </w:p>
    <w:p w14:paraId="59B6FBBD" w14:textId="226BA48E" w:rsidR="00763BCB" w:rsidRPr="00763BCB" w:rsidRDefault="00763BCB" w:rsidP="00763BCB">
      <w:pPr>
        <w:pStyle w:val="Quote1"/>
        <w:rPr>
          <w:b/>
          <w:bCs/>
        </w:rPr>
      </w:pPr>
      <w:bookmarkStart w:id="107" w:name="_Toc31807765"/>
      <w:r w:rsidRPr="00763BCB">
        <w:rPr>
          <w:b/>
          <w:bCs/>
        </w:rPr>
        <w:t>4 Misleading representations with respect to future matters</w:t>
      </w:r>
      <w:bookmarkEnd w:id="107"/>
    </w:p>
    <w:p w14:paraId="5BE47A5E" w14:textId="40C9149F" w:rsidR="00763BCB" w:rsidRPr="00763BCB" w:rsidRDefault="000C3AE6" w:rsidP="00763BCB">
      <w:pPr>
        <w:pStyle w:val="Quote1"/>
      </w:pPr>
      <w:r>
        <w:t>(1)</w:t>
      </w:r>
      <w:r w:rsidR="00F7627B">
        <w:tab/>
      </w:r>
      <w:r w:rsidR="00763BCB" w:rsidRPr="00763BCB">
        <w:t>If:</w:t>
      </w:r>
    </w:p>
    <w:p w14:paraId="673759E3" w14:textId="79421301" w:rsidR="00763BCB" w:rsidRPr="00763BCB" w:rsidRDefault="00763BCB" w:rsidP="004B6642">
      <w:pPr>
        <w:pStyle w:val="Quote2"/>
        <w:ind w:left="2160" w:hanging="720"/>
      </w:pPr>
      <w:r w:rsidRPr="00763BCB">
        <w:t>(a)</w:t>
      </w:r>
      <w:r w:rsidR="004B6642">
        <w:tab/>
      </w:r>
      <w:r w:rsidRPr="00763BCB">
        <w:t>a person makes a representation with respect to any future matter (including the doing of, or the refusing to do, any act); and</w:t>
      </w:r>
    </w:p>
    <w:p w14:paraId="51804F54" w14:textId="051F48C3" w:rsidR="00763BCB" w:rsidRPr="00763BCB" w:rsidRDefault="00763BCB" w:rsidP="004B6642">
      <w:pPr>
        <w:pStyle w:val="Quote2"/>
        <w:ind w:left="2160" w:hanging="720"/>
      </w:pPr>
      <w:r w:rsidRPr="00763BCB">
        <w:t>(b)</w:t>
      </w:r>
      <w:r w:rsidR="004B6642">
        <w:tab/>
      </w:r>
      <w:r w:rsidRPr="00763BCB">
        <w:t>the person does not have reasonable grounds for making the representation;</w:t>
      </w:r>
    </w:p>
    <w:p w14:paraId="427018A4" w14:textId="77777777" w:rsidR="00763BCB" w:rsidRPr="00763BCB" w:rsidRDefault="00763BCB" w:rsidP="00523981">
      <w:pPr>
        <w:pStyle w:val="Quote1"/>
        <w:ind w:firstLine="703"/>
      </w:pPr>
      <w:r w:rsidRPr="00763BCB">
        <w:t>the representation is taken, for the purposes of this Schedule, to be misleading.</w:t>
      </w:r>
    </w:p>
    <w:p w14:paraId="616E1E39" w14:textId="185B744D" w:rsidR="00763BCB" w:rsidRPr="00763BCB" w:rsidRDefault="004B6642" w:rsidP="004B6642">
      <w:pPr>
        <w:pStyle w:val="Quote1"/>
        <w:ind w:left="1440" w:hanging="720"/>
      </w:pPr>
      <w:r>
        <w:t>(2)</w:t>
      </w:r>
      <w:r>
        <w:tab/>
      </w:r>
      <w:r w:rsidR="00763BCB" w:rsidRPr="00763BCB">
        <w:t xml:space="preserve">For the purposes of applying subsection (1) in relation to a proceeding </w:t>
      </w:r>
      <w:r w:rsidR="000C3AE6">
        <w:t xml:space="preserve">concerning </w:t>
      </w:r>
      <w:r w:rsidR="00763BCB" w:rsidRPr="00763BCB">
        <w:t>a representation made with respect to a future matter by:</w:t>
      </w:r>
    </w:p>
    <w:p w14:paraId="588A57F5" w14:textId="0640F453" w:rsidR="00763BCB" w:rsidRPr="00763BCB" w:rsidRDefault="004B6642" w:rsidP="000C3AE6">
      <w:pPr>
        <w:pStyle w:val="Quote2"/>
      </w:pPr>
      <w:r>
        <w:t>(a)</w:t>
      </w:r>
      <w:r>
        <w:tab/>
      </w:r>
      <w:r w:rsidR="00763BCB" w:rsidRPr="00763BCB">
        <w:t>a party to the proceeding; or</w:t>
      </w:r>
    </w:p>
    <w:p w14:paraId="4E5D3762" w14:textId="469CAFAB" w:rsidR="00763BCB" w:rsidRPr="00763BCB" w:rsidRDefault="00763BCB" w:rsidP="000C3AE6">
      <w:pPr>
        <w:pStyle w:val="Quote2"/>
      </w:pPr>
      <w:r w:rsidRPr="00763BCB">
        <w:t xml:space="preserve">(b)  </w:t>
      </w:r>
      <w:r w:rsidR="004B6642">
        <w:tab/>
      </w:r>
      <w:r w:rsidRPr="00763BCB">
        <w:t>any other person;</w:t>
      </w:r>
    </w:p>
    <w:p w14:paraId="69227B39" w14:textId="77777777" w:rsidR="00763BCB" w:rsidRPr="00763BCB" w:rsidRDefault="00763BCB" w:rsidP="00523981">
      <w:pPr>
        <w:pStyle w:val="Quote1"/>
        <w:ind w:left="1440"/>
      </w:pPr>
      <w:r w:rsidRPr="00763BCB">
        <w:t>the party or other person is taken not to have had reasonable grounds for making the representation, unless evidence is adduced to the contrary.</w:t>
      </w:r>
    </w:p>
    <w:p w14:paraId="6ADE24A1" w14:textId="0F9FC5E4" w:rsidR="00763BCB" w:rsidRPr="00763BCB" w:rsidRDefault="00763BCB" w:rsidP="00763BCB">
      <w:pPr>
        <w:pStyle w:val="Quote1"/>
      </w:pPr>
      <w:r w:rsidRPr="00763BCB">
        <w:t xml:space="preserve">(3)  </w:t>
      </w:r>
      <w:r w:rsidR="004B6642">
        <w:tab/>
      </w:r>
      <w:r w:rsidRPr="00763BCB">
        <w:t>To avoid doubt, subsection (2) does not:</w:t>
      </w:r>
    </w:p>
    <w:p w14:paraId="6730160B" w14:textId="6775687A" w:rsidR="00763BCB" w:rsidRPr="00763BCB" w:rsidRDefault="00763BCB" w:rsidP="004B6642">
      <w:pPr>
        <w:pStyle w:val="Quote2"/>
        <w:ind w:left="2160" w:hanging="720"/>
      </w:pPr>
      <w:r w:rsidRPr="00763BCB">
        <w:t xml:space="preserve">(a)  </w:t>
      </w:r>
      <w:r w:rsidR="004B6642">
        <w:tab/>
      </w:r>
      <w:r w:rsidRPr="00763BCB">
        <w:t>have the effect that, merely because such evidence to the contrary is adduced, the person who made the representation is taken to have had reasonable grounds for making the representation; or</w:t>
      </w:r>
    </w:p>
    <w:p w14:paraId="3ACA9104" w14:textId="4123D114" w:rsidR="00763BCB" w:rsidRPr="00763BCB" w:rsidRDefault="00763BCB" w:rsidP="004B6642">
      <w:pPr>
        <w:pStyle w:val="Quote2"/>
        <w:ind w:left="2160" w:hanging="720"/>
      </w:pPr>
      <w:r w:rsidRPr="00763BCB">
        <w:t xml:space="preserve">(b)  </w:t>
      </w:r>
      <w:r w:rsidR="004B6642">
        <w:tab/>
      </w:r>
      <w:r w:rsidRPr="00763BCB">
        <w:t>have the effect of placing on any person an onus of proving that the person who made the representation had reasonable grounds for making the representation.</w:t>
      </w:r>
    </w:p>
    <w:p w14:paraId="082A2B4F" w14:textId="29001853" w:rsidR="00763BCB" w:rsidRPr="00763BCB" w:rsidRDefault="00763BCB" w:rsidP="004B6642">
      <w:pPr>
        <w:pStyle w:val="Quote1"/>
        <w:ind w:left="1440" w:hanging="703"/>
      </w:pPr>
      <w:r w:rsidRPr="00763BCB">
        <w:t xml:space="preserve">(4)  </w:t>
      </w:r>
      <w:r w:rsidR="004B6642">
        <w:tab/>
      </w:r>
      <w:r w:rsidRPr="00763BCB">
        <w:t>Subsection (1) does not limit by implication the meaning of a reference in this Schedule to:</w:t>
      </w:r>
    </w:p>
    <w:p w14:paraId="54CC3BE8" w14:textId="1BE0B9EE" w:rsidR="00763BCB" w:rsidRPr="00763BCB" w:rsidRDefault="00763BCB" w:rsidP="000C3AE6">
      <w:pPr>
        <w:pStyle w:val="Quote2"/>
      </w:pPr>
      <w:r w:rsidRPr="00763BCB">
        <w:t>(a) </w:t>
      </w:r>
      <w:r w:rsidR="004B6642">
        <w:tab/>
      </w:r>
      <w:r w:rsidRPr="00763BCB">
        <w:t>a misleading representation; or</w:t>
      </w:r>
    </w:p>
    <w:p w14:paraId="3A2314B0" w14:textId="446FED07" w:rsidR="00763BCB" w:rsidRPr="00763BCB" w:rsidRDefault="00763BCB" w:rsidP="000C3AE6">
      <w:pPr>
        <w:pStyle w:val="Quote2"/>
      </w:pPr>
      <w:r w:rsidRPr="00763BCB">
        <w:t>(b) </w:t>
      </w:r>
      <w:r w:rsidR="004B6642">
        <w:tab/>
      </w:r>
      <w:r w:rsidRPr="00763BCB">
        <w:t>a representation that is misleading in a material particular; or</w:t>
      </w:r>
    </w:p>
    <w:p w14:paraId="6EDD82DE" w14:textId="1D6FB188" w:rsidR="00763BCB" w:rsidRPr="00763BCB" w:rsidRDefault="00763BCB" w:rsidP="000C3AE6">
      <w:pPr>
        <w:pStyle w:val="Quote2"/>
      </w:pPr>
      <w:r w:rsidRPr="00763BCB">
        <w:t>(c) </w:t>
      </w:r>
      <w:r w:rsidR="004B6642">
        <w:tab/>
      </w:r>
      <w:r w:rsidRPr="00763BCB">
        <w:t>conduct that is misleading or is likely or liable to mislead;</w:t>
      </w:r>
    </w:p>
    <w:p w14:paraId="42F2842C" w14:textId="77777777" w:rsidR="00763BCB" w:rsidRPr="00763BCB" w:rsidRDefault="00763BCB" w:rsidP="00523981">
      <w:pPr>
        <w:pStyle w:val="Quote1"/>
        <w:ind w:left="1440"/>
      </w:pPr>
      <w:r w:rsidRPr="00763BCB">
        <w:t>and, in particular, does not imply that a representation that a person makes with respect to any future matter is not misleading merely because the person has reasonable grounds for making the representation.</w:t>
      </w:r>
    </w:p>
    <w:p w14:paraId="7DD47BA1" w14:textId="53F3C40E" w:rsidR="00763BCB" w:rsidRDefault="000C3AE6" w:rsidP="00763BCB">
      <w:pPr>
        <w:pStyle w:val="Quote1"/>
      </w:pPr>
      <w:r>
        <w:t>…</w:t>
      </w:r>
    </w:p>
    <w:p w14:paraId="032CCF10" w14:textId="380F87B5" w:rsidR="000C3AE6" w:rsidRPr="000C3AE6" w:rsidRDefault="000C3AE6" w:rsidP="000C3AE6">
      <w:pPr>
        <w:pStyle w:val="Quote1"/>
        <w:rPr>
          <w:b/>
          <w:bCs/>
        </w:rPr>
      </w:pPr>
      <w:bookmarkStart w:id="108" w:name="_Toc31807781"/>
      <w:r w:rsidRPr="000C3AE6">
        <w:rPr>
          <w:b/>
          <w:bCs/>
        </w:rPr>
        <w:lastRenderedPageBreak/>
        <w:t>18</w:t>
      </w:r>
      <w:r w:rsidR="004B6642" w:rsidRPr="000C3AE6">
        <w:rPr>
          <w:b/>
          <w:bCs/>
        </w:rPr>
        <w:t> Misleading</w:t>
      </w:r>
      <w:r w:rsidRPr="000C3AE6">
        <w:rPr>
          <w:b/>
          <w:bCs/>
        </w:rPr>
        <w:t xml:space="preserve"> or deceptive conduct</w:t>
      </w:r>
      <w:bookmarkEnd w:id="108"/>
    </w:p>
    <w:p w14:paraId="69104A1D" w14:textId="364F1726" w:rsidR="000C3AE6" w:rsidRPr="000C3AE6" w:rsidRDefault="004B6642" w:rsidP="004B6642">
      <w:pPr>
        <w:pStyle w:val="Quote1"/>
        <w:ind w:left="1440" w:hanging="703"/>
      </w:pPr>
      <w:r>
        <w:t>(1)</w:t>
      </w:r>
      <w:r>
        <w:tab/>
      </w:r>
      <w:r w:rsidR="000C3AE6" w:rsidRPr="000C3AE6">
        <w:t>A person must not, in trade or commerce, engage in conduct that is misleading or deceptive or is likely to mislead or deceive.</w:t>
      </w:r>
    </w:p>
    <w:p w14:paraId="30F8284F" w14:textId="16355B42" w:rsidR="000C3AE6" w:rsidRDefault="000C3AE6" w:rsidP="004B6642">
      <w:pPr>
        <w:pStyle w:val="Quote1"/>
        <w:ind w:left="1440" w:hanging="703"/>
      </w:pPr>
      <w:r>
        <w:t xml:space="preserve">(2)  </w:t>
      </w:r>
      <w:r w:rsidR="004B6642">
        <w:tab/>
      </w:r>
      <w:r w:rsidRPr="000C3AE6">
        <w:t>Nothing in Part 3</w:t>
      </w:r>
      <w:r w:rsidRPr="000C3AE6">
        <w:noBreakHyphen/>
        <w:t>1 (which is about unfair practices) limits by implication subsection (1).</w:t>
      </w:r>
    </w:p>
    <w:p w14:paraId="60F295F4" w14:textId="4BB7C71F" w:rsidR="000C3AE6" w:rsidRDefault="000C3AE6" w:rsidP="000C3AE6">
      <w:pPr>
        <w:pStyle w:val="Quote1"/>
      </w:pPr>
      <w:r>
        <w:t>…</w:t>
      </w:r>
    </w:p>
    <w:p w14:paraId="4B3D77AB" w14:textId="5652DE01" w:rsidR="000C3AE6" w:rsidRPr="000C3AE6" w:rsidRDefault="000C3AE6" w:rsidP="000C3AE6">
      <w:pPr>
        <w:pStyle w:val="Quote1"/>
        <w:rPr>
          <w:b/>
          <w:bCs/>
        </w:rPr>
      </w:pPr>
      <w:bookmarkStart w:id="109" w:name="_Toc31807798"/>
      <w:r w:rsidRPr="000C3AE6">
        <w:rPr>
          <w:b/>
          <w:bCs/>
        </w:rPr>
        <w:t>29</w:t>
      </w:r>
      <w:r w:rsidR="004B6642" w:rsidRPr="000C3AE6">
        <w:rPr>
          <w:b/>
          <w:bCs/>
        </w:rPr>
        <w:t> False</w:t>
      </w:r>
      <w:r w:rsidRPr="000C3AE6">
        <w:rPr>
          <w:b/>
          <w:bCs/>
        </w:rPr>
        <w:t xml:space="preserve"> or misleading representations about goods or services</w:t>
      </w:r>
      <w:bookmarkEnd w:id="109"/>
    </w:p>
    <w:p w14:paraId="1024BEC8" w14:textId="4487E9BB" w:rsidR="000C3AE6" w:rsidRDefault="000C3AE6" w:rsidP="004B6642">
      <w:pPr>
        <w:pStyle w:val="Quote1"/>
        <w:ind w:left="1440" w:hanging="703"/>
      </w:pPr>
      <w:r>
        <w:t>(</w:t>
      </w:r>
      <w:r w:rsidRPr="000C3AE6">
        <w:t xml:space="preserve">1)  </w:t>
      </w:r>
      <w:r w:rsidR="004B6642">
        <w:tab/>
      </w:r>
      <w:r w:rsidRPr="000C3AE6">
        <w:t>A person must not, in trade or commerce, in connection with the supply or possible supply of goods or services or in connection with the promotion by any means of the supply or use of goods or services:</w:t>
      </w:r>
    </w:p>
    <w:p w14:paraId="296F877B" w14:textId="7ED3174B" w:rsidR="000C3AE6" w:rsidRDefault="004B6642" w:rsidP="00F7627B">
      <w:pPr>
        <w:pStyle w:val="Quote2"/>
        <w:ind w:left="2127" w:hanging="687"/>
      </w:pPr>
      <w:r>
        <w:t>(a)</w:t>
      </w:r>
      <w:r>
        <w:tab/>
      </w:r>
      <w:r w:rsidR="000C3AE6" w:rsidRPr="000C3AE6">
        <w:t>make a false or misleading representation that goods are of a particular standard, quality, value, grade, composition, style or model or have had a particular history or particular previous use; or</w:t>
      </w:r>
    </w:p>
    <w:p w14:paraId="386C17C3" w14:textId="7AC0E31C" w:rsidR="000C3AE6" w:rsidRDefault="000C3AE6" w:rsidP="000C3AE6">
      <w:pPr>
        <w:pStyle w:val="Quote2"/>
      </w:pPr>
      <w:r>
        <w:t>…</w:t>
      </w:r>
    </w:p>
    <w:p w14:paraId="54D5906C" w14:textId="7C24FB7C" w:rsidR="000C3AE6" w:rsidRDefault="000C3AE6" w:rsidP="004B6642">
      <w:pPr>
        <w:pStyle w:val="Quote2"/>
        <w:ind w:left="2160" w:hanging="720"/>
      </w:pPr>
      <w:r w:rsidRPr="000C3AE6">
        <w:t>(g) </w:t>
      </w:r>
      <w:r w:rsidR="004B6642">
        <w:tab/>
      </w:r>
      <w:r w:rsidRPr="000C3AE6">
        <w:t>make a false or misleading representation that goods or services have sponsorship, approval, performance characteristics, accessories, uses or benefits; or</w:t>
      </w:r>
    </w:p>
    <w:p w14:paraId="7445F752" w14:textId="7B17F5F2" w:rsidR="000C3AE6" w:rsidRDefault="000C3AE6" w:rsidP="004B6642">
      <w:pPr>
        <w:pStyle w:val="Quote2"/>
        <w:ind w:left="2160" w:hanging="720"/>
      </w:pPr>
      <w:r w:rsidRPr="000C3AE6">
        <w:t>(h) </w:t>
      </w:r>
      <w:r w:rsidR="004B6642">
        <w:tab/>
      </w:r>
      <w:r w:rsidRPr="000C3AE6">
        <w:t>make a false or misleading representation that the person making the representation has a sponsorship, approval or affiliation; or</w:t>
      </w:r>
    </w:p>
    <w:p w14:paraId="43A4BC2D" w14:textId="2AE5C1A2" w:rsidR="000C3AE6" w:rsidRPr="000C3AE6" w:rsidRDefault="000C3AE6" w:rsidP="000C3AE6">
      <w:pPr>
        <w:pStyle w:val="NoNum"/>
      </w:pPr>
    </w:p>
    <w:p w14:paraId="7D1396AA" w14:textId="77777777" w:rsidR="0051434F" w:rsidRDefault="00343469" w:rsidP="00343469">
      <w:pPr>
        <w:pStyle w:val="Heading2"/>
      </w:pPr>
      <w:bookmarkStart w:id="110" w:name="_Ref54701605"/>
      <w:r>
        <w:t>Framework</w:t>
      </w:r>
      <w:r w:rsidR="0063461C">
        <w:t xml:space="preserve"> principles</w:t>
      </w:r>
      <w:r>
        <w:t>: ACL claims</w:t>
      </w:r>
      <w:bookmarkEnd w:id="110"/>
    </w:p>
    <w:p w14:paraId="7387EF31" w14:textId="77777777" w:rsidR="000D3B07" w:rsidRDefault="000D3B07" w:rsidP="000D3B07">
      <w:pPr>
        <w:pStyle w:val="Heading3"/>
      </w:pPr>
      <w:bookmarkStart w:id="111" w:name="_Ref54701606"/>
      <w:r>
        <w:t>Generally</w:t>
      </w:r>
      <w:bookmarkEnd w:id="111"/>
    </w:p>
    <w:p w14:paraId="40F01952" w14:textId="50778C8C" w:rsidR="0063461C" w:rsidRDefault="001E3C6B" w:rsidP="001E3C6B">
      <w:pPr>
        <w:pStyle w:val="ParaNumbering"/>
        <w:numPr>
          <w:ilvl w:val="0"/>
          <w:numId w:val="0"/>
        </w:numPr>
        <w:ind w:hanging="720"/>
      </w:pPr>
      <w:r>
        <w:rPr>
          <w:sz w:val="20"/>
        </w:rPr>
        <w:t>416</w:t>
      </w:r>
      <w:r>
        <w:rPr>
          <w:sz w:val="20"/>
        </w:rPr>
        <w:tab/>
      </w:r>
      <w:r w:rsidR="0079434A">
        <w:t>It is useful to identify some framework principles that govern the exercise faced by the court in determining whether conduct is misleading or deceptive within the meaning of s 18 of the ACL</w:t>
      </w:r>
      <w:r w:rsidR="00993529">
        <w:t xml:space="preserve"> or false and misleading within the meaning of s 29</w:t>
      </w:r>
      <w:r w:rsidR="0079434A">
        <w:t>.  Save for an issue to which I will</w:t>
      </w:r>
      <w:r w:rsidR="00912735">
        <w:t xml:space="preserve"> return concerning the role of </w:t>
      </w:r>
      <w:r w:rsidR="0079434A">
        <w:t xml:space="preserve">the </w:t>
      </w:r>
      <w:r w:rsidR="00912735">
        <w:t>“</w:t>
      </w:r>
      <w:r w:rsidR="0079434A">
        <w:t xml:space="preserve">dominant message” as discussed in </w:t>
      </w:r>
      <w:r w:rsidR="00905E96">
        <w:rPr>
          <w:i/>
        </w:rPr>
        <w:t>Australian Competition and Consumer Commission</w:t>
      </w:r>
      <w:r w:rsidR="0079434A" w:rsidRPr="0079434A">
        <w:rPr>
          <w:i/>
        </w:rPr>
        <w:t xml:space="preserve"> v </w:t>
      </w:r>
      <w:r w:rsidR="0079434A" w:rsidRPr="00BA2F9C">
        <w:rPr>
          <w:i/>
        </w:rPr>
        <w:t>TPG</w:t>
      </w:r>
      <w:r w:rsidR="0079434A" w:rsidRPr="0079434A">
        <w:rPr>
          <w:i/>
        </w:rPr>
        <w:t xml:space="preserve"> Internet Pty Ltd</w:t>
      </w:r>
      <w:r w:rsidR="0079434A">
        <w:t xml:space="preserve"> [2013] HCA 54; 250 CLR 640</w:t>
      </w:r>
      <w:r w:rsidR="00BA2F9C">
        <w:t xml:space="preserve"> (</w:t>
      </w:r>
      <w:r w:rsidR="00BA2F9C" w:rsidRPr="00BA2F9C">
        <w:rPr>
          <w:b/>
          <w:i/>
        </w:rPr>
        <w:t>TPG HCA</w:t>
      </w:r>
      <w:r w:rsidR="00BA2F9C">
        <w:t>)</w:t>
      </w:r>
      <w:r w:rsidR="0079434A">
        <w:t>, there was no real contest about the principles.  The contest was, to a degree, about the facts and, mostly, about the application of the principles to the facts.</w:t>
      </w:r>
    </w:p>
    <w:p w14:paraId="560835A1" w14:textId="584E574A" w:rsidR="00BA2F9C" w:rsidRDefault="001E3C6B" w:rsidP="001E3C6B">
      <w:pPr>
        <w:pStyle w:val="ParaNumbering"/>
        <w:numPr>
          <w:ilvl w:val="0"/>
          <w:numId w:val="0"/>
        </w:numPr>
        <w:ind w:hanging="720"/>
      </w:pPr>
      <w:r>
        <w:rPr>
          <w:sz w:val="20"/>
        </w:rPr>
        <w:t>417</w:t>
      </w:r>
      <w:r>
        <w:rPr>
          <w:sz w:val="20"/>
        </w:rPr>
        <w:tab/>
      </w:r>
      <w:r w:rsidR="00BA2F9C">
        <w:t xml:space="preserve">Section 18 </w:t>
      </w:r>
      <w:r w:rsidR="00993529">
        <w:t xml:space="preserve">of the ACL </w:t>
      </w:r>
      <w:r w:rsidR="00BA2F9C">
        <w:t xml:space="preserve">prohibits conduct that is misleading or deceptive or likely to mislead or deceive, whereas s 29 </w:t>
      </w:r>
      <w:r w:rsidR="00993529">
        <w:t>prohibits</w:t>
      </w:r>
      <w:r w:rsidR="00BA2F9C">
        <w:t xml:space="preserve"> the making of a false or misleading representation.  Conduct that contravenes s 18 may involve, but need not involve, the making of a false or misleading representation: </w:t>
      </w:r>
      <w:r w:rsidR="00905E96">
        <w:rPr>
          <w:i/>
        </w:rPr>
        <w:t>Australian Competition and Consumer Commission</w:t>
      </w:r>
      <w:r w:rsidR="00BA2F9C">
        <w:rPr>
          <w:i/>
        </w:rPr>
        <w:t xml:space="preserve"> v TPG Internet Pty Ltd</w:t>
      </w:r>
      <w:r w:rsidR="00BA2F9C">
        <w:t xml:space="preserve"> [2020] FCAFC 130</w:t>
      </w:r>
      <w:r w:rsidR="00CB263E">
        <w:t>; 381 ALR 507</w:t>
      </w:r>
      <w:r w:rsidR="00BA2F9C">
        <w:t xml:space="preserve"> (</w:t>
      </w:r>
      <w:r w:rsidR="00BA2F9C" w:rsidRPr="00BA2F9C">
        <w:rPr>
          <w:b/>
          <w:i/>
        </w:rPr>
        <w:t>TPG FCAFC</w:t>
      </w:r>
      <w:r w:rsidR="00BA2F9C">
        <w:t>) at [20]</w:t>
      </w:r>
      <w:r w:rsidR="00B7267D">
        <w:t xml:space="preserve"> per Wigney, O’Byran and Jackson </w:t>
      </w:r>
      <w:r w:rsidR="00B7267D">
        <w:lastRenderedPageBreak/>
        <w:t>JJ</w:t>
      </w:r>
      <w:r w:rsidR="00BA2F9C">
        <w:t xml:space="preserve">; </w:t>
      </w:r>
      <w:r w:rsidR="00BA2F9C" w:rsidRPr="00BA2F9C">
        <w:rPr>
          <w:i/>
        </w:rPr>
        <w:t>Campbell v Backoffice Investments Pty Ltd</w:t>
      </w:r>
      <w:r w:rsidR="00BA2F9C">
        <w:t xml:space="preserve"> [2009] HCA 25; 238 CLR 304 at [102]</w:t>
      </w:r>
      <w:r w:rsidR="00B7267D">
        <w:t xml:space="preserve"> per Gummow, Hayne, Heydon and Kiefel JJ</w:t>
      </w:r>
      <w:r w:rsidR="00BA2F9C">
        <w:t>.</w:t>
      </w:r>
    </w:p>
    <w:p w14:paraId="13FE4F56" w14:textId="2FB54615" w:rsidR="00BA2F9C" w:rsidRDefault="001E3C6B" w:rsidP="001E3C6B">
      <w:pPr>
        <w:pStyle w:val="ParaNumbering"/>
        <w:numPr>
          <w:ilvl w:val="0"/>
          <w:numId w:val="0"/>
        </w:numPr>
        <w:ind w:hanging="720"/>
      </w:pPr>
      <w:r>
        <w:rPr>
          <w:sz w:val="20"/>
        </w:rPr>
        <w:t>418</w:t>
      </w:r>
      <w:r>
        <w:rPr>
          <w:sz w:val="20"/>
        </w:rPr>
        <w:tab/>
      </w:r>
      <w:r w:rsidR="00993529">
        <w:t xml:space="preserve">Although s 18 takes a different form to s 29, the prohibitions are similar in nature.  </w:t>
      </w:r>
      <w:r w:rsidR="00BA2F9C">
        <w:t xml:space="preserve">Section 18 uses the phrase “misleading or deceptive” whereas s 29 uses the phrase “false or misleading”, but it has been held that there is no material difference between the two expressions: </w:t>
      </w:r>
      <w:r w:rsidR="00905E96">
        <w:rPr>
          <w:i/>
        </w:rPr>
        <w:t>Australian Competition and Consumer Commission</w:t>
      </w:r>
      <w:r w:rsidR="00B44AEA" w:rsidRPr="0079434A">
        <w:rPr>
          <w:i/>
        </w:rPr>
        <w:t xml:space="preserve"> v </w:t>
      </w:r>
      <w:r w:rsidR="00B44AEA" w:rsidRPr="0079434A">
        <w:rPr>
          <w:b/>
          <w:i/>
        </w:rPr>
        <w:t>Coles</w:t>
      </w:r>
      <w:r w:rsidR="00B44AEA" w:rsidRPr="0079434A">
        <w:rPr>
          <w:i/>
        </w:rPr>
        <w:t xml:space="preserve"> Supermarkets Australia Pty Ltd</w:t>
      </w:r>
      <w:r w:rsidR="00B44AEA">
        <w:t xml:space="preserve"> [2014] FCA 634; 317 ALR 73</w:t>
      </w:r>
      <w:r w:rsidR="00BA2F9C">
        <w:t xml:space="preserve"> at [40]</w:t>
      </w:r>
      <w:r w:rsidR="00B44AEA">
        <w:t xml:space="preserve"> per Allsop CJ</w:t>
      </w:r>
      <w:r w:rsidR="00BA2F9C">
        <w:t xml:space="preserve">; </w:t>
      </w:r>
      <w:r w:rsidR="00BA2F9C" w:rsidRPr="00BA2F9C">
        <w:rPr>
          <w:i/>
        </w:rPr>
        <w:t>TPG FCAFC</w:t>
      </w:r>
      <w:r w:rsidR="00BA2F9C">
        <w:t xml:space="preserve"> at [21].</w:t>
      </w:r>
    </w:p>
    <w:p w14:paraId="1E3654A9" w14:textId="71283CE6" w:rsidR="0079434A" w:rsidRDefault="001E3C6B" w:rsidP="001E3C6B">
      <w:pPr>
        <w:pStyle w:val="ParaNumbering"/>
        <w:numPr>
          <w:ilvl w:val="0"/>
          <w:numId w:val="0"/>
        </w:numPr>
        <w:ind w:hanging="720"/>
      </w:pPr>
      <w:r>
        <w:rPr>
          <w:sz w:val="20"/>
        </w:rPr>
        <w:t>419</w:t>
      </w:r>
      <w:r>
        <w:rPr>
          <w:sz w:val="20"/>
        </w:rPr>
        <w:tab/>
      </w:r>
      <w:r w:rsidR="0079434A">
        <w:t xml:space="preserve">For the inquiry under s 18, it is necessary to identify the impugned conduct and then to consider whether that conduct, considered as a whole and in context, is misleading or deceptive or likely to mislead or deceive: </w:t>
      </w:r>
      <w:r w:rsidR="0079434A" w:rsidRPr="0079434A">
        <w:rPr>
          <w:i/>
        </w:rPr>
        <w:t>Coles</w:t>
      </w:r>
      <w:r w:rsidR="0079434A">
        <w:t xml:space="preserve"> at [38]</w:t>
      </w:r>
      <w:r w:rsidR="00B7267D">
        <w:t>,</w:t>
      </w:r>
      <w:r w:rsidR="0079434A">
        <w:t xml:space="preserve"> citing </w:t>
      </w:r>
      <w:r w:rsidR="0079434A" w:rsidRPr="00EA0F56">
        <w:rPr>
          <w:b/>
          <w:i/>
          <w:iCs/>
        </w:rPr>
        <w:t>Google</w:t>
      </w:r>
      <w:r w:rsidR="0079434A" w:rsidRPr="0079434A">
        <w:rPr>
          <w:i/>
          <w:iCs/>
        </w:rPr>
        <w:t xml:space="preserve"> Inc v Australian Competition and Consumer Commission </w:t>
      </w:r>
      <w:r w:rsidR="0079434A" w:rsidRPr="0079434A">
        <w:t>[2013] HCA 1</w:t>
      </w:r>
      <w:r w:rsidR="0079434A">
        <w:t>;</w:t>
      </w:r>
      <w:r w:rsidR="0079434A" w:rsidRPr="0079434A">
        <w:t xml:space="preserve"> 249 CLR 435 </w:t>
      </w:r>
      <w:r w:rsidR="0079434A">
        <w:t>at [89], [102] and [118]</w:t>
      </w:r>
      <w:r w:rsidR="0079434A" w:rsidRPr="0079434A">
        <w:t xml:space="preserve"> and</w:t>
      </w:r>
      <w:r w:rsidR="0079434A">
        <w:t xml:space="preserve"> </w:t>
      </w:r>
      <w:r w:rsidR="0079434A" w:rsidRPr="009F1AA4">
        <w:rPr>
          <w:b/>
          <w:i/>
          <w:iCs/>
        </w:rPr>
        <w:t>Campomar</w:t>
      </w:r>
      <w:r w:rsidR="0079434A" w:rsidRPr="0079434A">
        <w:rPr>
          <w:i/>
          <w:iCs/>
        </w:rPr>
        <w:t xml:space="preserve"> Sociedad Limitada v Nike International </w:t>
      </w:r>
      <w:r w:rsidR="0079434A" w:rsidRPr="0079434A">
        <w:t>[2000] HCA 12</w:t>
      </w:r>
      <w:r w:rsidR="0079434A">
        <w:t>;</w:t>
      </w:r>
      <w:r w:rsidR="0079434A" w:rsidRPr="0079434A">
        <w:t xml:space="preserve"> 202 CLR 45 at [100]–[101]</w:t>
      </w:r>
      <w:r w:rsidR="0079434A">
        <w:t>.  In the present case, the impugned conduct is readily identified.  The inquiry then shifts to whether that conduct, considered as a whole and in context, is misleading or deceptive or likely to mislead or deceive.</w:t>
      </w:r>
    </w:p>
    <w:p w14:paraId="255A96A3" w14:textId="08BA6102" w:rsidR="00165821" w:rsidRDefault="001E3C6B" w:rsidP="001E3C6B">
      <w:pPr>
        <w:pStyle w:val="ParaNumbering"/>
        <w:numPr>
          <w:ilvl w:val="0"/>
          <w:numId w:val="0"/>
        </w:numPr>
        <w:ind w:hanging="720"/>
      </w:pPr>
      <w:r>
        <w:rPr>
          <w:sz w:val="20"/>
        </w:rPr>
        <w:t>420</w:t>
      </w:r>
      <w:r>
        <w:rPr>
          <w:sz w:val="20"/>
        </w:rPr>
        <w:tab/>
      </w:r>
      <w:r w:rsidR="0044203E">
        <w:t>Conduct is misleading or deceptive or likely to mislead or deceive if it has the tendency to lead into error, i.e.</w:t>
      </w:r>
      <w:r w:rsidR="00B7267D">
        <w:t>,</w:t>
      </w:r>
      <w:r w:rsidR="0044203E">
        <w:t xml:space="preserve"> that there is a sufficient causal link between the conduct and the likely error on the part of persons exposed to the conduct: </w:t>
      </w:r>
      <w:r w:rsidR="0044203E" w:rsidRPr="00BA2F9C">
        <w:rPr>
          <w:i/>
        </w:rPr>
        <w:t>Coles</w:t>
      </w:r>
      <w:r w:rsidR="0044203E">
        <w:t xml:space="preserve"> at [39]</w:t>
      </w:r>
      <w:r w:rsidR="00B7267D">
        <w:t>,</w:t>
      </w:r>
      <w:r w:rsidR="0044203E">
        <w:t xml:space="preserve"> citing </w:t>
      </w:r>
      <w:r w:rsidR="0044203E" w:rsidRPr="00BA2F9C">
        <w:rPr>
          <w:i/>
        </w:rPr>
        <w:t>TPG</w:t>
      </w:r>
      <w:r w:rsidR="00BA2F9C" w:rsidRPr="00BA2F9C">
        <w:rPr>
          <w:i/>
        </w:rPr>
        <w:t xml:space="preserve"> HCA</w:t>
      </w:r>
      <w:r w:rsidR="0044203E">
        <w:t xml:space="preserve"> at [39].  </w:t>
      </w:r>
      <w:r w:rsidR="00B44AEA">
        <w:t xml:space="preserve">Conduct causing confusion and wonderment is not necessarily coextensive with misleading or deceptive conduct: </w:t>
      </w:r>
      <w:r w:rsidR="00B44AEA" w:rsidRPr="00CA2D97">
        <w:rPr>
          <w:i/>
          <w:iCs/>
        </w:rPr>
        <w:t>Google</w:t>
      </w:r>
      <w:r w:rsidR="00B44AEA" w:rsidRPr="00B44AEA">
        <w:rPr>
          <w:i/>
          <w:iCs/>
        </w:rPr>
        <w:t xml:space="preserve"> </w:t>
      </w:r>
      <w:r w:rsidR="00B44AEA">
        <w:t>at [8]</w:t>
      </w:r>
      <w:r w:rsidR="00B7267D">
        <w:t>;</w:t>
      </w:r>
      <w:r w:rsidR="00CA2D97">
        <w:t xml:space="preserve"> </w:t>
      </w:r>
      <w:r w:rsidR="00CA2D97">
        <w:rPr>
          <w:i/>
        </w:rPr>
        <w:t xml:space="preserve">Campomar </w:t>
      </w:r>
      <w:r w:rsidR="00CA2D97">
        <w:t>at [102]</w:t>
      </w:r>
      <w:r w:rsidR="0044203E">
        <w:t>.</w:t>
      </w:r>
      <w:r w:rsidR="00BA2F9C">
        <w:t xml:space="preserve">  Conduct is likely to mislead or deceive if there is a real and not remote chance or possibility that a person is likely to be misled or deceived: </w:t>
      </w:r>
      <w:r w:rsidR="00BA2F9C" w:rsidRPr="00BA2F9C">
        <w:rPr>
          <w:i/>
          <w:iCs/>
        </w:rPr>
        <w:t xml:space="preserve">Global Sportsman Pty Ltd v Mirror Newspapers Pty Ltd </w:t>
      </w:r>
      <w:r w:rsidR="00CA2D97">
        <w:rPr>
          <w:iCs/>
        </w:rPr>
        <w:t>[</w:t>
      </w:r>
      <w:r w:rsidR="00BA2F9C" w:rsidRPr="00BA2F9C">
        <w:t>1984</w:t>
      </w:r>
      <w:r w:rsidR="00CA2D97">
        <w:t>] FCA 167;</w:t>
      </w:r>
      <w:r w:rsidR="00BA2F9C" w:rsidRPr="00BA2F9C">
        <w:t xml:space="preserve"> 2 FCR 82</w:t>
      </w:r>
      <w:r w:rsidR="00BA2F9C">
        <w:t xml:space="preserve"> at 87</w:t>
      </w:r>
      <w:r w:rsidR="00B7267D">
        <w:t xml:space="preserve"> per Bowen CJ, Lockhart and Fitzgerald JJ</w:t>
      </w:r>
      <w:r w:rsidR="00BA2F9C">
        <w:t xml:space="preserve">; </w:t>
      </w:r>
      <w:r w:rsidR="00BA2F9C" w:rsidRPr="00BA2F9C">
        <w:rPr>
          <w:b/>
          <w:i/>
        </w:rPr>
        <w:t>Butcher</w:t>
      </w:r>
      <w:r w:rsidR="00BA2F9C" w:rsidRPr="00BA2F9C">
        <w:rPr>
          <w:i/>
        </w:rPr>
        <w:t xml:space="preserve"> v Lachlan Elder Realty Pty Ltd</w:t>
      </w:r>
      <w:r w:rsidR="00BA2F9C" w:rsidRPr="00BA2F9C">
        <w:t xml:space="preserve"> [2004] HCA 60; 218 CLR 592 at</w:t>
      </w:r>
      <w:r w:rsidR="00BA2F9C">
        <w:t xml:space="preserve"> [112]</w:t>
      </w:r>
      <w:r w:rsidR="00B7267D">
        <w:t xml:space="preserve"> per McHugh J</w:t>
      </w:r>
      <w:r w:rsidR="00BA2F9C">
        <w:t xml:space="preserve">; </w:t>
      </w:r>
      <w:r w:rsidR="00BA2F9C" w:rsidRPr="005B4EF0">
        <w:rPr>
          <w:i/>
        </w:rPr>
        <w:t>TPG FCAFC</w:t>
      </w:r>
      <w:r w:rsidR="00BA2F9C">
        <w:t xml:space="preserve"> at [22(a)].</w:t>
      </w:r>
    </w:p>
    <w:p w14:paraId="1F51AA62" w14:textId="77B57E47" w:rsidR="0044203E" w:rsidRDefault="001E3C6B" w:rsidP="001E3C6B">
      <w:pPr>
        <w:pStyle w:val="ParaNumbering"/>
        <w:numPr>
          <w:ilvl w:val="0"/>
          <w:numId w:val="0"/>
        </w:numPr>
        <w:ind w:hanging="720"/>
      </w:pPr>
      <w:r>
        <w:rPr>
          <w:sz w:val="20"/>
        </w:rPr>
        <w:t>421</w:t>
      </w:r>
      <w:r>
        <w:rPr>
          <w:sz w:val="20"/>
        </w:rPr>
        <w:tab/>
      </w:r>
      <w:r w:rsidR="00165821">
        <w:t xml:space="preserve">Although Allergan </w:t>
      </w:r>
      <w:r w:rsidR="00350521">
        <w:t>submits</w:t>
      </w:r>
      <w:r w:rsidR="00165821">
        <w:t xml:space="preserve"> that the relevant test is that a not insignificant proportion of persons within the relevant class would be likely to be misled, it is doubtful that that is correct: </w:t>
      </w:r>
      <w:r w:rsidR="00165821" w:rsidRPr="00165821">
        <w:rPr>
          <w:i/>
        </w:rPr>
        <w:t>TPG FCAFC</w:t>
      </w:r>
      <w:r w:rsidR="00165821">
        <w:t xml:space="preserve"> at [23].</w:t>
      </w:r>
    </w:p>
    <w:p w14:paraId="1B0229CD" w14:textId="6ADE92E0" w:rsidR="00BA2F9C" w:rsidRDefault="001E3C6B" w:rsidP="001E3C6B">
      <w:pPr>
        <w:pStyle w:val="ParaNumbering"/>
        <w:numPr>
          <w:ilvl w:val="0"/>
          <w:numId w:val="0"/>
        </w:numPr>
        <w:ind w:hanging="720"/>
      </w:pPr>
      <w:r>
        <w:rPr>
          <w:sz w:val="20"/>
        </w:rPr>
        <w:t>422</w:t>
      </w:r>
      <w:r>
        <w:rPr>
          <w:sz w:val="20"/>
        </w:rPr>
        <w:tab/>
      </w:r>
      <w:r w:rsidR="00BA2F9C">
        <w:t>It is not necessary to prove an intention to mislead or deceive:</w:t>
      </w:r>
      <w:r w:rsidR="004C5049">
        <w:t xml:space="preserve"> </w:t>
      </w:r>
      <w:r w:rsidR="004C5049" w:rsidRPr="004C5049">
        <w:rPr>
          <w:i/>
          <w:iCs/>
        </w:rPr>
        <w:t xml:space="preserve">Yorke v Lucas </w:t>
      </w:r>
      <w:r w:rsidR="004C5049" w:rsidRPr="004C5049">
        <w:t>[1985] HCA 65; 158 CLR 661 at 666</w:t>
      </w:r>
      <w:r w:rsidR="00B7267D">
        <w:t xml:space="preserve"> per Mason ACJ, Wilson, Deane and Dawson JJ</w:t>
      </w:r>
      <w:r w:rsidR="004C5049">
        <w:t>;</w:t>
      </w:r>
      <w:r w:rsidR="00BA2F9C">
        <w:t xml:space="preserve"> </w:t>
      </w:r>
      <w:r w:rsidR="00BA2F9C" w:rsidRPr="00BA2F9C">
        <w:rPr>
          <w:i/>
          <w:iCs/>
        </w:rPr>
        <w:t xml:space="preserve">Google </w:t>
      </w:r>
      <w:r w:rsidR="00B44AEA">
        <w:t>at [9].</w:t>
      </w:r>
      <w:r w:rsidR="004C5049">
        <w:t xml:space="preserve">  However, where there is an intention to deceive, the court may more readily infer that the intention has been or in all probability will be effective: </w:t>
      </w:r>
      <w:r w:rsidR="004C5049">
        <w:rPr>
          <w:i/>
        </w:rPr>
        <w:t>Campomar</w:t>
      </w:r>
      <w:r w:rsidR="004C5049">
        <w:t xml:space="preserve"> at [33].</w:t>
      </w:r>
    </w:p>
    <w:p w14:paraId="3D0A59CA" w14:textId="140A5153" w:rsidR="0079434A" w:rsidRDefault="001E3C6B" w:rsidP="001E3C6B">
      <w:pPr>
        <w:pStyle w:val="ParaNumbering"/>
        <w:numPr>
          <w:ilvl w:val="0"/>
          <w:numId w:val="0"/>
        </w:numPr>
        <w:ind w:hanging="720"/>
      </w:pPr>
      <w:r>
        <w:rPr>
          <w:sz w:val="20"/>
        </w:rPr>
        <w:lastRenderedPageBreak/>
        <w:t>423</w:t>
      </w:r>
      <w:r>
        <w:rPr>
          <w:sz w:val="20"/>
        </w:rPr>
        <w:tab/>
      </w:r>
      <w:r w:rsidR="0044203E">
        <w:t xml:space="preserve">It is necessary to view the conduct as a whole and in its proper context.  This will or may include </w:t>
      </w:r>
      <w:r w:rsidR="0044203E" w:rsidRPr="00C7461A">
        <w:t>consideration of the type of market, the manner in which the goods are sold, and the habits and characteristics of purchase</w:t>
      </w:r>
      <w:r w:rsidR="00912735" w:rsidRPr="00C7461A">
        <w:t>r</w:t>
      </w:r>
      <w:r w:rsidR="0044203E" w:rsidRPr="00C7461A">
        <w:t xml:space="preserve">s in such a market: </w:t>
      </w:r>
      <w:r w:rsidR="0044203E" w:rsidRPr="00C7461A">
        <w:rPr>
          <w:i/>
        </w:rPr>
        <w:t>Coles</w:t>
      </w:r>
      <w:r w:rsidR="0044203E" w:rsidRPr="00C7461A">
        <w:t xml:space="preserve"> at [41] citing </w:t>
      </w:r>
      <w:r w:rsidR="0044203E" w:rsidRPr="00C7461A">
        <w:rPr>
          <w:i/>
        </w:rPr>
        <w:t>TPG</w:t>
      </w:r>
      <w:r w:rsidR="00BA2F9C" w:rsidRPr="00C7461A">
        <w:rPr>
          <w:i/>
        </w:rPr>
        <w:t xml:space="preserve"> HCA</w:t>
      </w:r>
      <w:r w:rsidR="00CF6285">
        <w:t xml:space="preserve"> at [52];</w:t>
      </w:r>
      <w:r w:rsidR="009F1AA4" w:rsidRPr="00C7461A">
        <w:t xml:space="preserve"> </w:t>
      </w:r>
      <w:r w:rsidR="009F1AA4" w:rsidRPr="00C7461A">
        <w:rPr>
          <w:i/>
        </w:rPr>
        <w:t xml:space="preserve">Parkdale Custom </w:t>
      </w:r>
      <w:r w:rsidR="00C7461A">
        <w:rPr>
          <w:i/>
        </w:rPr>
        <w:t>B</w:t>
      </w:r>
      <w:r w:rsidR="009F1AA4" w:rsidRPr="00C7461A">
        <w:rPr>
          <w:i/>
        </w:rPr>
        <w:t xml:space="preserve">uilt Furniture Pty Ltd v </w:t>
      </w:r>
      <w:r w:rsidR="009F1AA4" w:rsidRPr="00C7461A">
        <w:rPr>
          <w:b/>
          <w:i/>
        </w:rPr>
        <w:t>Puxu</w:t>
      </w:r>
      <w:r w:rsidR="009F1AA4" w:rsidRPr="00C7461A">
        <w:rPr>
          <w:i/>
        </w:rPr>
        <w:t xml:space="preserve"> Pty Ltd</w:t>
      </w:r>
      <w:r w:rsidR="009F1AA4" w:rsidRPr="00C7461A">
        <w:t xml:space="preserve"> [1982] HCA 44; 149 CLR 191 at 199</w:t>
      </w:r>
      <w:r w:rsidR="00B7267D">
        <w:t xml:space="preserve"> per Gibbs CJ</w:t>
      </w:r>
      <w:r w:rsidR="009F1AA4" w:rsidRPr="00C7461A">
        <w:t>.</w:t>
      </w:r>
      <w:r w:rsidR="009F1AA4">
        <w:t xml:space="preserve">  The context will also include relevant disclaimers or explanations: </w:t>
      </w:r>
      <w:r w:rsidR="009F1AA4" w:rsidRPr="009F1AA4">
        <w:rPr>
          <w:i/>
        </w:rPr>
        <w:t>Coles</w:t>
      </w:r>
      <w:r w:rsidR="009F1AA4">
        <w:t xml:space="preserve"> </w:t>
      </w:r>
      <w:r w:rsidR="00B7267D">
        <w:t xml:space="preserve">at </w:t>
      </w:r>
      <w:r w:rsidR="009F1AA4">
        <w:t>[41]</w:t>
      </w:r>
      <w:r w:rsidR="00B7267D">
        <w:t>,</w:t>
      </w:r>
      <w:r w:rsidR="009F1AA4">
        <w:t xml:space="preserve"> citing </w:t>
      </w:r>
      <w:r w:rsidR="009F1AA4" w:rsidRPr="009F1AA4">
        <w:rPr>
          <w:i/>
        </w:rPr>
        <w:t xml:space="preserve">Butcher </w:t>
      </w:r>
      <w:r w:rsidR="009F1AA4">
        <w:t>at [49].  In the latter case, the disclaimer was in small print but in a short document and was considered to be “there to be read”.</w:t>
      </w:r>
    </w:p>
    <w:p w14:paraId="51237CB0" w14:textId="736F6889" w:rsidR="009F1AA4" w:rsidRDefault="001E3C6B" w:rsidP="001E3C6B">
      <w:pPr>
        <w:pStyle w:val="ParaNumbering"/>
        <w:numPr>
          <w:ilvl w:val="0"/>
          <w:numId w:val="0"/>
        </w:numPr>
        <w:ind w:hanging="720"/>
        <w:rPr>
          <w:iCs/>
        </w:rPr>
      </w:pPr>
      <w:r>
        <w:rPr>
          <w:iCs/>
          <w:sz w:val="20"/>
        </w:rPr>
        <w:t>424</w:t>
      </w:r>
      <w:r>
        <w:rPr>
          <w:iCs/>
          <w:sz w:val="20"/>
        </w:rPr>
        <w:tab/>
      </w:r>
      <w:r w:rsidR="00993529">
        <w:t>W</w:t>
      </w:r>
      <w:r w:rsidR="00993529" w:rsidRPr="00993529">
        <w:t>here the impugned conduct is directed to the public generally (or some releva</w:t>
      </w:r>
      <w:r w:rsidR="00993529">
        <w:t>nt section of the public), the c</w:t>
      </w:r>
      <w:r w:rsidR="00993529" w:rsidRPr="00993529">
        <w:t>ourt must consider the likely characteristics of the persons who comprise the relevant class of persons to whom the conduct is directed and consider the likely effect of the conduct on ordinary or reasonable members of the class, disregarding reactions that might be r</w:t>
      </w:r>
      <w:r w:rsidR="00993529">
        <w:t xml:space="preserve">egarded as extreme or fanciful: </w:t>
      </w:r>
      <w:r w:rsidR="00993529" w:rsidRPr="00993529">
        <w:rPr>
          <w:i/>
          <w:iCs/>
        </w:rPr>
        <w:t>Campomar</w:t>
      </w:r>
      <w:r w:rsidR="00993529" w:rsidRPr="00993529">
        <w:t xml:space="preserve"> </w:t>
      </w:r>
      <w:r w:rsidR="00993529">
        <w:t>at [101]-</w:t>
      </w:r>
      <w:r w:rsidR="00993529" w:rsidRPr="00993529">
        <w:t>[105]</w:t>
      </w:r>
      <w:r w:rsidR="00993529">
        <w:t xml:space="preserve">;  </w:t>
      </w:r>
      <w:r w:rsidR="00993529" w:rsidRPr="00993529">
        <w:rPr>
          <w:b/>
          <w:i/>
        </w:rPr>
        <w:t>Kraft</w:t>
      </w:r>
      <w:r w:rsidR="00993529" w:rsidRPr="00993529">
        <w:rPr>
          <w:i/>
        </w:rPr>
        <w:t xml:space="preserve"> Foods Group Brands LLC v Bega Cheese </w:t>
      </w:r>
      <w:r w:rsidR="00993529">
        <w:rPr>
          <w:i/>
        </w:rPr>
        <w:t>Ltd</w:t>
      </w:r>
      <w:r w:rsidR="00993529" w:rsidRPr="00993529">
        <w:t> [2020] FCAFC 65; 377 ALR 387</w:t>
      </w:r>
      <w:r w:rsidR="00993529">
        <w:t xml:space="preserve"> at [236]</w:t>
      </w:r>
      <w:r w:rsidR="00573B80">
        <w:t xml:space="preserve"> per Foster, Moshinsky and O’Bryan JJ</w:t>
      </w:r>
      <w:r w:rsidR="00993529" w:rsidRPr="00993529">
        <w:t>.</w:t>
      </w:r>
      <w:r w:rsidR="00993529">
        <w:t xml:space="preserve">  I</w:t>
      </w:r>
      <w:r w:rsidR="00993529" w:rsidRPr="00993529">
        <w:t>n assessing the effect of conduct on a class of persons such as consumers who may range from t</w:t>
      </w:r>
      <w:r w:rsidR="00993529">
        <w:t>he gullible to the astute, the c</w:t>
      </w:r>
      <w:r w:rsidR="00993529" w:rsidRPr="00993529">
        <w:t>ourt must consider whether the “ordinary” or “reasonable” members of that class would be </w:t>
      </w:r>
      <w:r w:rsidR="00993529" w:rsidRPr="00993529">
        <w:rPr>
          <w:bCs/>
        </w:rPr>
        <w:t>misled</w:t>
      </w:r>
      <w:r w:rsidR="00993529" w:rsidRPr="00993529">
        <w:t> or </w:t>
      </w:r>
      <w:r w:rsidR="00993529" w:rsidRPr="00993529">
        <w:rPr>
          <w:bCs/>
        </w:rPr>
        <w:t>deceived</w:t>
      </w:r>
      <w:r w:rsidR="009F1AA4">
        <w:t xml:space="preserve">: </w:t>
      </w:r>
      <w:r w:rsidR="009F1AA4" w:rsidRPr="009F1AA4">
        <w:rPr>
          <w:i/>
        </w:rPr>
        <w:t>Coles</w:t>
      </w:r>
      <w:r w:rsidR="009F1AA4">
        <w:t xml:space="preserve"> at [43], citing </w:t>
      </w:r>
      <w:r w:rsidR="009F1AA4" w:rsidRPr="0079434A">
        <w:rPr>
          <w:i/>
          <w:iCs/>
        </w:rPr>
        <w:t>Campomar</w:t>
      </w:r>
      <w:r w:rsidR="009F1AA4">
        <w:rPr>
          <w:iCs/>
        </w:rPr>
        <w:t xml:space="preserve"> at [105].</w:t>
      </w:r>
      <w:r w:rsidR="00B44AEA">
        <w:rPr>
          <w:iCs/>
        </w:rPr>
        <w:t xml:space="preserve">  See also </w:t>
      </w:r>
      <w:r w:rsidR="00B44AEA" w:rsidRPr="00B44AEA">
        <w:rPr>
          <w:i/>
          <w:iCs/>
        </w:rPr>
        <w:t>Google</w:t>
      </w:r>
      <w:r w:rsidR="00B44AEA">
        <w:rPr>
          <w:iCs/>
        </w:rPr>
        <w:t xml:space="preserve"> at [7]</w:t>
      </w:r>
      <w:r w:rsidR="00993529">
        <w:rPr>
          <w:iCs/>
        </w:rPr>
        <w:t xml:space="preserve">; </w:t>
      </w:r>
      <w:r w:rsidR="00993529">
        <w:rPr>
          <w:i/>
          <w:iCs/>
        </w:rPr>
        <w:t>Kraft</w:t>
      </w:r>
      <w:r w:rsidR="00993529">
        <w:rPr>
          <w:iCs/>
        </w:rPr>
        <w:t xml:space="preserve"> at [236]</w:t>
      </w:r>
      <w:r w:rsidR="00B44AEA">
        <w:rPr>
          <w:iCs/>
        </w:rPr>
        <w:t>.</w:t>
      </w:r>
    </w:p>
    <w:p w14:paraId="597351C4" w14:textId="11A49EDE" w:rsidR="009F1AA4" w:rsidRDefault="001E3C6B" w:rsidP="001E3C6B">
      <w:pPr>
        <w:pStyle w:val="ParaNumbering"/>
        <w:numPr>
          <w:ilvl w:val="0"/>
          <w:numId w:val="0"/>
        </w:numPr>
        <w:ind w:hanging="720"/>
      </w:pPr>
      <w:r>
        <w:rPr>
          <w:sz w:val="20"/>
        </w:rPr>
        <w:t>425</w:t>
      </w:r>
      <w:r>
        <w:rPr>
          <w:sz w:val="20"/>
        </w:rPr>
        <w:tab/>
      </w:r>
      <w:r w:rsidR="009F1AA4">
        <w:t xml:space="preserve">The presence or absence of evidence that someone was actually misled or deceived is relevant to an evaluation of all the circumstances relating to the impugned conduct: </w:t>
      </w:r>
      <w:r w:rsidR="009F1AA4" w:rsidRPr="009F1AA4">
        <w:rPr>
          <w:i/>
        </w:rPr>
        <w:t>Coles</w:t>
      </w:r>
      <w:r w:rsidR="009F1AA4">
        <w:t xml:space="preserve"> at [45].</w:t>
      </w:r>
      <w:r w:rsidR="00B44AEA">
        <w:t xml:space="preserve">  However, it is unnecessary to prove that the conduct in question actually deceived or misled anyone: </w:t>
      </w:r>
      <w:r w:rsidR="00B44AEA" w:rsidRPr="00B44AEA">
        <w:rPr>
          <w:i/>
        </w:rPr>
        <w:t>Google</w:t>
      </w:r>
      <w:r w:rsidR="00B44AEA">
        <w:t xml:space="preserve"> at [6].</w:t>
      </w:r>
    </w:p>
    <w:p w14:paraId="3814A046" w14:textId="313D2441" w:rsidR="00165821" w:rsidRDefault="001E3C6B" w:rsidP="001E3C6B">
      <w:pPr>
        <w:pStyle w:val="ParaNumbering"/>
        <w:numPr>
          <w:ilvl w:val="0"/>
          <w:numId w:val="0"/>
        </w:numPr>
        <w:ind w:hanging="720"/>
      </w:pPr>
      <w:r>
        <w:rPr>
          <w:sz w:val="20"/>
        </w:rPr>
        <w:t>426</w:t>
      </w:r>
      <w:r>
        <w:rPr>
          <w:sz w:val="20"/>
        </w:rPr>
        <w:tab/>
      </w:r>
      <w:r w:rsidR="00165821">
        <w:t xml:space="preserve">Returning now to the question of the “dominant message”, with reference to </w:t>
      </w:r>
      <w:r w:rsidR="00165821" w:rsidRPr="00165821">
        <w:rPr>
          <w:i/>
        </w:rPr>
        <w:t>TPG HCA</w:t>
      </w:r>
      <w:r w:rsidR="00165821">
        <w:t xml:space="preserve"> (at [49]-[52]) Allergan </w:t>
      </w:r>
      <w:r w:rsidR="00350521">
        <w:t>submits</w:t>
      </w:r>
      <w:r w:rsidR="00165821">
        <w:t xml:space="preserve"> that when a court is concerned to ascertain the mental impression created by a number of representations conveyed by one communication, it is wrong to attempt to analyse the separate effect of each representation, however it may attribute significa</w:t>
      </w:r>
      <w:r w:rsidR="008E0D70">
        <w:t>nce to the “dominant message”.</w:t>
      </w:r>
    </w:p>
    <w:p w14:paraId="0A556FA1" w14:textId="16F4325F" w:rsidR="00165821" w:rsidRDefault="001E3C6B" w:rsidP="001E3C6B">
      <w:pPr>
        <w:pStyle w:val="ParaNumbering"/>
        <w:numPr>
          <w:ilvl w:val="0"/>
          <w:numId w:val="0"/>
        </w:numPr>
        <w:ind w:hanging="720"/>
      </w:pPr>
      <w:r>
        <w:rPr>
          <w:sz w:val="20"/>
        </w:rPr>
        <w:t>427</w:t>
      </w:r>
      <w:r>
        <w:rPr>
          <w:sz w:val="20"/>
        </w:rPr>
        <w:tab/>
      </w:r>
      <w:r w:rsidR="00165821">
        <w:t xml:space="preserve">Self Care </w:t>
      </w:r>
      <w:r w:rsidR="00350521">
        <w:t>submits</w:t>
      </w:r>
      <w:r w:rsidR="00165821">
        <w:t xml:space="preserve"> that </w:t>
      </w:r>
      <w:r w:rsidR="00C52FD2">
        <w:t>Allergan’s</w:t>
      </w:r>
      <w:r w:rsidR="00165821">
        <w:t xml:space="preserve"> submission that significance should be attributed to the “dominant message” to consumers should not be accepted for two reasons.  First, Self Care </w:t>
      </w:r>
      <w:r w:rsidR="00350521">
        <w:t>submits</w:t>
      </w:r>
      <w:r w:rsidR="00165821">
        <w:t xml:space="preserve"> that </w:t>
      </w:r>
      <w:r w:rsidR="00165821" w:rsidRPr="00035D06">
        <w:rPr>
          <w:i/>
        </w:rPr>
        <w:t>TPG HCA</w:t>
      </w:r>
      <w:r w:rsidR="00165821">
        <w:t xml:space="preserve"> did not</w:t>
      </w:r>
      <w:r w:rsidR="00035D06">
        <w:t xml:space="preserve"> state a principle of consumer l</w:t>
      </w:r>
      <w:r w:rsidR="00165821">
        <w:t xml:space="preserve">aw that marketing or advertising claims must be analysed by a search for the “dominant message” in each case.  The initial question is whether the relevant communication to consumers, viewed as a whole, has a tendency to lead a consumer into error (with reference to </w:t>
      </w:r>
      <w:r w:rsidR="00165821" w:rsidRPr="00035D06">
        <w:rPr>
          <w:i/>
        </w:rPr>
        <w:t>TPG HCA</w:t>
      </w:r>
      <w:r w:rsidR="00165821">
        <w:t xml:space="preserve"> at [49]).  Because of the </w:t>
      </w:r>
      <w:r w:rsidR="00165821">
        <w:lastRenderedPageBreak/>
        <w:t>way that the trade</w:t>
      </w:r>
      <w:r w:rsidR="00035D06">
        <w:t>r packages or advertise</w:t>
      </w:r>
      <w:r w:rsidR="00165821">
        <w:t>s, it may be appropriate to attribute significance to the “dominant message”, but that is a consequence of the facts of the case, not as a principle of law.</w:t>
      </w:r>
    </w:p>
    <w:p w14:paraId="0AA830EF" w14:textId="29C8C9D8" w:rsidR="00035D06" w:rsidRDefault="001E3C6B" w:rsidP="001E3C6B">
      <w:pPr>
        <w:pStyle w:val="ParaNumbering"/>
        <w:numPr>
          <w:ilvl w:val="0"/>
          <w:numId w:val="0"/>
        </w:numPr>
        <w:ind w:hanging="720"/>
      </w:pPr>
      <w:r>
        <w:rPr>
          <w:sz w:val="20"/>
        </w:rPr>
        <w:t>428</w:t>
      </w:r>
      <w:r>
        <w:rPr>
          <w:sz w:val="20"/>
        </w:rPr>
        <w:tab/>
      </w:r>
      <w:r w:rsidR="00165821">
        <w:t xml:space="preserve">Second, Self Care </w:t>
      </w:r>
      <w:r w:rsidR="00350521">
        <w:t>submits</w:t>
      </w:r>
      <w:r w:rsidR="00035D06">
        <w:t xml:space="preserve"> that on the facts of the case the contents of the packaging of and advertisements for Self Care’s products have little in common with the dominant message of the transient advertisements in </w:t>
      </w:r>
      <w:r w:rsidR="00035D06" w:rsidRPr="00035D06">
        <w:rPr>
          <w:i/>
        </w:rPr>
        <w:t>TPG HCA</w:t>
      </w:r>
      <w:r w:rsidR="00035D06">
        <w:t>.  Those are factual matters to which I will return.</w:t>
      </w:r>
    </w:p>
    <w:p w14:paraId="7169F233" w14:textId="06DEBB6C" w:rsidR="00C82DF5" w:rsidRDefault="001E3C6B" w:rsidP="001E3C6B">
      <w:pPr>
        <w:pStyle w:val="ParaNumbering"/>
        <w:numPr>
          <w:ilvl w:val="0"/>
          <w:numId w:val="0"/>
        </w:numPr>
        <w:ind w:hanging="720"/>
      </w:pPr>
      <w:r>
        <w:rPr>
          <w:sz w:val="20"/>
        </w:rPr>
        <w:t>429</w:t>
      </w:r>
      <w:r>
        <w:rPr>
          <w:sz w:val="20"/>
        </w:rPr>
        <w:tab/>
      </w:r>
      <w:r w:rsidR="000F77B0">
        <w:t xml:space="preserve">Insofar as the </w:t>
      </w:r>
      <w:r w:rsidR="00D30E49">
        <w:t xml:space="preserve">matter of </w:t>
      </w:r>
      <w:r w:rsidR="000F77B0">
        <w:t xml:space="preserve">principle is concerned, </w:t>
      </w:r>
      <w:r w:rsidR="00D30E49" w:rsidRPr="00D30E49">
        <w:rPr>
          <w:i/>
        </w:rPr>
        <w:t>TPG HCA</w:t>
      </w:r>
      <w:r w:rsidR="00D30E49">
        <w:t xml:space="preserve"> </w:t>
      </w:r>
      <w:r w:rsidR="00C82DF5">
        <w:t xml:space="preserve">concerned a single multi-media advertising campaign with advertisements that had a particular message prominently displayed and then a qualifying message much less prominently displayed: </w:t>
      </w:r>
      <w:r w:rsidR="00C82DF5" w:rsidRPr="00C82DF5">
        <w:rPr>
          <w:i/>
        </w:rPr>
        <w:t>TPG HCA</w:t>
      </w:r>
      <w:r w:rsidR="00C82DF5">
        <w:t xml:space="preserve"> at [1]-[2].  The complaint was that the advertisements were misleading and deceptive by reason of the disparity between the prominent headline message </w:t>
      </w:r>
      <w:r w:rsidR="00523981">
        <w:t xml:space="preserve">that contained an offer </w:t>
      </w:r>
      <w:r w:rsidR="00C82DF5">
        <w:t>and the less prominent terms qualifying that offer:</w:t>
      </w:r>
      <w:r w:rsidR="00C52FD2">
        <w:t xml:space="preserve"> at</w:t>
      </w:r>
      <w:r w:rsidR="00C82DF5">
        <w:t xml:space="preserve"> [3].  The primary judge found that there was a “dominant message” which would leave a false impression with consumers because the qualifying message was not given sufficient prominence to counter the effect of the dominant message: </w:t>
      </w:r>
      <w:r w:rsidR="00C52FD2">
        <w:t xml:space="preserve">at </w:t>
      </w:r>
      <w:r w:rsidR="00C82DF5">
        <w:t>[20]-[21].</w:t>
      </w:r>
    </w:p>
    <w:p w14:paraId="087D8345" w14:textId="2B556A60" w:rsidR="00C82DF5" w:rsidRDefault="001E3C6B" w:rsidP="001E3C6B">
      <w:pPr>
        <w:pStyle w:val="ParaNumbering"/>
        <w:numPr>
          <w:ilvl w:val="0"/>
          <w:numId w:val="0"/>
        </w:numPr>
        <w:ind w:hanging="720"/>
      </w:pPr>
      <w:r>
        <w:rPr>
          <w:sz w:val="20"/>
        </w:rPr>
        <w:t>430</w:t>
      </w:r>
      <w:r>
        <w:rPr>
          <w:sz w:val="20"/>
        </w:rPr>
        <w:tab/>
      </w:r>
      <w:r w:rsidR="00C82DF5">
        <w:t>The Full Court</w:t>
      </w:r>
      <w:r w:rsidR="00785FB6">
        <w:t xml:space="preserve"> of the Federal Court</w:t>
      </w:r>
      <w:r w:rsidR="00C82DF5">
        <w:t xml:space="preserve"> differed from the primary judge in relation to his Honour’s view that the “dominant message” of the advertisements was of critical importance in determining whether they were to be characterised as misleading.  The Full Court reasoned that that approach was in conflict with </w:t>
      </w:r>
      <w:r w:rsidR="00B96D40">
        <w:t xml:space="preserve">comments in </w:t>
      </w:r>
      <w:r w:rsidR="00C82DF5">
        <w:rPr>
          <w:i/>
        </w:rPr>
        <w:t>Pu</w:t>
      </w:r>
      <w:r w:rsidR="00C82DF5" w:rsidRPr="00C82DF5">
        <w:rPr>
          <w:i/>
        </w:rPr>
        <w:t>xu</w:t>
      </w:r>
      <w:r w:rsidR="00C82DF5">
        <w:t xml:space="preserve"> at 199 that</w:t>
      </w:r>
      <w:r w:rsidR="00B96D40">
        <w:t xml:space="preserve"> </w:t>
      </w:r>
      <w:r w:rsidR="00C82DF5">
        <w:t>where the conduct complained of consists of words it would not be right to select some words only and to ignore others</w:t>
      </w:r>
      <w:r w:rsidR="00B96D40">
        <w:t xml:space="preserve"> and that the provision in question was not imposed for the benefit of persons who failed to take reasonable care of their own interests</w:t>
      </w:r>
      <w:r w:rsidR="00C82DF5">
        <w:t xml:space="preserve">: </w:t>
      </w:r>
      <w:r w:rsidR="00C52FD2">
        <w:t xml:space="preserve">at </w:t>
      </w:r>
      <w:r w:rsidR="00C82DF5">
        <w:t>[35]</w:t>
      </w:r>
      <w:r w:rsidR="00B96D40">
        <w:t xml:space="preserve"> and [38]</w:t>
      </w:r>
      <w:r w:rsidR="00C82DF5">
        <w:t>.</w:t>
      </w:r>
    </w:p>
    <w:p w14:paraId="5221A18B" w14:textId="1B47C4CB" w:rsidR="00B96D40" w:rsidRDefault="001E3C6B" w:rsidP="001E3C6B">
      <w:pPr>
        <w:pStyle w:val="ParaNumbering"/>
        <w:numPr>
          <w:ilvl w:val="0"/>
          <w:numId w:val="0"/>
        </w:numPr>
        <w:ind w:hanging="720"/>
      </w:pPr>
      <w:r>
        <w:rPr>
          <w:sz w:val="20"/>
        </w:rPr>
        <w:t>431</w:t>
      </w:r>
      <w:r>
        <w:rPr>
          <w:sz w:val="20"/>
        </w:rPr>
        <w:tab/>
      </w:r>
      <w:r w:rsidR="00C82DF5">
        <w:t xml:space="preserve">The High Court held that the Full Court erred in holding that the primary judge was wrong to regard the “dominant message” of the advertisements as of crucial importance and that the statements in </w:t>
      </w:r>
      <w:r w:rsidR="00C82DF5">
        <w:rPr>
          <w:i/>
        </w:rPr>
        <w:t>Puxu</w:t>
      </w:r>
      <w:r w:rsidR="00C82DF5">
        <w:t xml:space="preserve"> which the Full Court applied were not decisive in the circumstances of the case: </w:t>
      </w:r>
      <w:r w:rsidR="00C52FD2">
        <w:t xml:space="preserve">at </w:t>
      </w:r>
      <w:r w:rsidR="00C82DF5">
        <w:t>[45].  The High Court emphasised the context of the comments in</w:t>
      </w:r>
      <w:r w:rsidR="00B96D40">
        <w:t xml:space="preserve"> </w:t>
      </w:r>
      <w:r w:rsidR="00B96D40" w:rsidRPr="00B96D40">
        <w:rPr>
          <w:i/>
        </w:rPr>
        <w:t>Puxu</w:t>
      </w:r>
      <w:r w:rsidR="00B96D40">
        <w:t xml:space="preserve">, namely the sale of items of furniture costing substantial sums of money identical in appearance to those sold by the complainant where potential purchasers were able to inspect the furniture on display and would, acting reasonably, pay attention to the label, brand or mark of the suite that they were minded to buy and, as a result, would not be misled by similarities in the getup of the rival products: </w:t>
      </w:r>
      <w:r w:rsidR="00C52FD2">
        <w:t xml:space="preserve">at </w:t>
      </w:r>
      <w:r w:rsidR="00B96D40">
        <w:t>[46].</w:t>
      </w:r>
    </w:p>
    <w:p w14:paraId="6F3F232A" w14:textId="484507C4" w:rsidR="00B96D40" w:rsidRDefault="001E3C6B" w:rsidP="001E3C6B">
      <w:pPr>
        <w:pStyle w:val="ParaNumbering"/>
        <w:numPr>
          <w:ilvl w:val="0"/>
          <w:numId w:val="0"/>
        </w:numPr>
        <w:ind w:hanging="720"/>
      </w:pPr>
      <w:r>
        <w:rPr>
          <w:sz w:val="20"/>
        </w:rPr>
        <w:lastRenderedPageBreak/>
        <w:t>432</w:t>
      </w:r>
      <w:r>
        <w:rPr>
          <w:sz w:val="20"/>
        </w:rPr>
        <w:tab/>
      </w:r>
      <w:r w:rsidR="00B96D40">
        <w:t xml:space="preserve">The facts in </w:t>
      </w:r>
      <w:r w:rsidR="00B96D40" w:rsidRPr="00B96D40">
        <w:rPr>
          <w:i/>
        </w:rPr>
        <w:t>TPG HCA</w:t>
      </w:r>
      <w:r w:rsidR="00B96D40">
        <w:t xml:space="preserve"> were said by the High Court to be in stark contrast to those in </w:t>
      </w:r>
      <w:r w:rsidR="00B96D40" w:rsidRPr="00B96D40">
        <w:rPr>
          <w:i/>
        </w:rPr>
        <w:t>Puxu</w:t>
      </w:r>
      <w:r w:rsidR="00B96D40">
        <w:t xml:space="preserve"> in </w:t>
      </w:r>
      <w:r w:rsidR="00D30E49">
        <w:t>a</w:t>
      </w:r>
      <w:r w:rsidR="00B96D40">
        <w:t xml:space="preserve"> number of respects including the very different nature of the target audiences and the circumstances of the messaging.  In </w:t>
      </w:r>
      <w:r w:rsidR="00B96D40" w:rsidRPr="00B96D40">
        <w:rPr>
          <w:i/>
        </w:rPr>
        <w:t>Puxu</w:t>
      </w:r>
      <w:r w:rsidR="00D30E49" w:rsidRPr="00D30E49">
        <w:t>,</w:t>
      </w:r>
      <w:r w:rsidR="00B96D40">
        <w:t xml:space="preserve"> the target audience consisted of potential purchasers focused on the subject matter of their purchase in the calm of the showroom to which </w:t>
      </w:r>
      <w:r w:rsidR="00D30E49">
        <w:t>they had</w:t>
      </w:r>
      <w:r w:rsidR="00B96D40">
        <w:t xml:space="preserve"> come with a substantial purchase in mind, whereas in </w:t>
      </w:r>
      <w:r w:rsidR="00B96D40" w:rsidRPr="002A0A3A">
        <w:rPr>
          <w:i/>
        </w:rPr>
        <w:t>TPG</w:t>
      </w:r>
      <w:r w:rsidR="002A0A3A" w:rsidRPr="002A0A3A">
        <w:rPr>
          <w:i/>
        </w:rPr>
        <w:t xml:space="preserve"> HCA</w:t>
      </w:r>
      <w:r w:rsidR="00B96D40">
        <w:t xml:space="preserve"> the advertisements were an unbidden intrusion on the consciousness of the target audience; the intrusion would not always be welcome, and the very function of the advertisements was to arrest the attention of the target audience:</w:t>
      </w:r>
      <w:r w:rsidR="00C52FD2">
        <w:t xml:space="preserve"> at</w:t>
      </w:r>
      <w:r w:rsidR="00B96D40">
        <w:t xml:space="preserve"> [47].  The audience</w:t>
      </w:r>
      <w:r w:rsidR="002A0A3A">
        <w:t xml:space="preserve"> of TPG’s advertisements</w:t>
      </w:r>
      <w:r w:rsidR="00B96D40">
        <w:t xml:space="preserve"> cannot have been expected to pay close attention to the advertisement</w:t>
      </w:r>
      <w:r w:rsidR="00D30E49">
        <w:t>s</w:t>
      </w:r>
      <w:r w:rsidR="00B96D40">
        <w:t xml:space="preserve"> and might only absorb the “general thrust”:</w:t>
      </w:r>
      <w:r w:rsidR="00C52FD2">
        <w:t xml:space="preserve"> at</w:t>
      </w:r>
      <w:r w:rsidR="00B96D40">
        <w:t xml:space="preserve"> [47].</w:t>
      </w:r>
    </w:p>
    <w:p w14:paraId="64350202" w14:textId="53358BE7" w:rsidR="00E51417" w:rsidRDefault="001E3C6B" w:rsidP="001E3C6B">
      <w:pPr>
        <w:pStyle w:val="ParaNumbering"/>
        <w:numPr>
          <w:ilvl w:val="0"/>
          <w:numId w:val="0"/>
        </w:numPr>
        <w:ind w:hanging="720"/>
      </w:pPr>
      <w:r>
        <w:rPr>
          <w:sz w:val="20"/>
        </w:rPr>
        <w:t>433</w:t>
      </w:r>
      <w:r>
        <w:rPr>
          <w:sz w:val="20"/>
        </w:rPr>
        <w:tab/>
      </w:r>
      <w:r w:rsidR="00B96D40">
        <w:t xml:space="preserve">The upshot is that there is no </w:t>
      </w:r>
      <w:r w:rsidR="000D3B07">
        <w:t>requirement</w:t>
      </w:r>
      <w:r w:rsidR="00B96D40">
        <w:t xml:space="preserve"> that the “dominant message” or “general thrust” must be identified.  The decision of the High Court was that in the particular context of the case before his Honour, the primary judge did not err in identifying that the advertising campaign in that case had a dominant message which would serve to mislead consumers.  In each case, there are factual findings to be made from which the conclusion as to consumers being deceived or misled</w:t>
      </w:r>
      <w:r w:rsidR="00D30E49">
        <w:t>, or not,</w:t>
      </w:r>
      <w:r w:rsidR="00B96D40">
        <w:t xml:space="preserve"> can be drawn.  In some cases, particularly</w:t>
      </w:r>
      <w:r w:rsidR="000D3B07">
        <w:t>, but not only,</w:t>
      </w:r>
      <w:r w:rsidR="00B96D40">
        <w:t xml:space="preserve"> in advertising cases which by their nature involve fleeting regard to uninvited intrusions into the consciousness of the consumer, identification of the “dominant message” will be a</w:t>
      </w:r>
      <w:r w:rsidR="00D30E49">
        <w:t xml:space="preserve"> </w:t>
      </w:r>
      <w:r w:rsidR="00B96D40">
        <w:t>valuable analytical tool.  In other cases,</w:t>
      </w:r>
      <w:r w:rsidR="000D3B07">
        <w:t xml:space="preserve"> for example</w:t>
      </w:r>
      <w:r w:rsidR="00074B61">
        <w:t xml:space="preserve"> such as where the representation is contained in packaging which is found to be likely to be read and understood as a whole,</w:t>
      </w:r>
      <w:r w:rsidR="00D30E49">
        <w:t xml:space="preserve"> </w:t>
      </w:r>
      <w:r w:rsidR="00074B61">
        <w:t>the “dominant message” analytical tool will be inapposite.</w:t>
      </w:r>
    </w:p>
    <w:p w14:paraId="609AFB63" w14:textId="37C672F9" w:rsidR="00165821" w:rsidRDefault="001E3C6B" w:rsidP="001E3C6B">
      <w:pPr>
        <w:pStyle w:val="ParaNumbering"/>
        <w:numPr>
          <w:ilvl w:val="0"/>
          <w:numId w:val="0"/>
        </w:numPr>
        <w:ind w:hanging="720"/>
      </w:pPr>
      <w:r>
        <w:rPr>
          <w:sz w:val="20"/>
        </w:rPr>
        <w:t>434</w:t>
      </w:r>
      <w:r>
        <w:rPr>
          <w:sz w:val="20"/>
        </w:rPr>
        <w:tab/>
      </w:r>
      <w:r w:rsidR="00E51417">
        <w:t xml:space="preserve">In short, whether the “dominant message” analysis is apt will depend on the facts.  See </w:t>
      </w:r>
      <w:r w:rsidR="00905E96">
        <w:rPr>
          <w:i/>
        </w:rPr>
        <w:t>Australian Competition and Consumer Commission</w:t>
      </w:r>
      <w:r w:rsidR="00E51417" w:rsidRPr="00E51417">
        <w:rPr>
          <w:i/>
          <w:iCs/>
        </w:rPr>
        <w:t xml:space="preserve"> v Jetstar Airways Pty Ltd</w:t>
      </w:r>
      <w:r w:rsidR="00E51417" w:rsidRPr="00E51417">
        <w:t xml:space="preserve"> [2015] FCA 1263 </w:t>
      </w:r>
      <w:r w:rsidR="00E51417">
        <w:t xml:space="preserve">at [33] </w:t>
      </w:r>
      <w:r w:rsidR="00E51417" w:rsidRPr="00E51417">
        <w:t>per Foster J</w:t>
      </w:r>
      <w:r w:rsidR="00E51417">
        <w:t xml:space="preserve">; </w:t>
      </w:r>
      <w:r w:rsidR="00E51417" w:rsidRPr="00E51417">
        <w:rPr>
          <w:i/>
        </w:rPr>
        <w:t>Telstra Corporation Ltd v Singtel Optus Pty Ltd</w:t>
      </w:r>
      <w:r w:rsidR="00E51417" w:rsidRPr="00E51417">
        <w:t xml:space="preserve"> [2018] VSCA 347 </w:t>
      </w:r>
      <w:r w:rsidR="00E51417">
        <w:t xml:space="preserve">at [45] </w:t>
      </w:r>
      <w:r w:rsidR="00E51417" w:rsidRPr="00E51417">
        <w:t>per Ferguson CJ, Whelan and McLeish JJA</w:t>
      </w:r>
      <w:r w:rsidR="00E51417">
        <w:t xml:space="preserve">; </w:t>
      </w:r>
      <w:r w:rsidR="00905E96">
        <w:rPr>
          <w:i/>
        </w:rPr>
        <w:t>Australian Competition and Consumer Commission</w:t>
      </w:r>
      <w:r w:rsidR="00E51417" w:rsidRPr="00E51417">
        <w:rPr>
          <w:i/>
        </w:rPr>
        <w:t xml:space="preserve"> v Birubi Art Pty Ltd</w:t>
      </w:r>
      <w:r w:rsidR="00E51417" w:rsidRPr="00E51417">
        <w:t xml:space="preserve"> [2018] FCA 1595 </w:t>
      </w:r>
      <w:r w:rsidR="00E51417">
        <w:t xml:space="preserve">at [117] </w:t>
      </w:r>
      <w:r w:rsidR="00E51417" w:rsidRPr="00E51417">
        <w:t>per Perry J</w:t>
      </w:r>
      <w:r w:rsidR="00E51417">
        <w:t xml:space="preserve">; </w:t>
      </w:r>
      <w:r w:rsidR="00E51417" w:rsidRPr="00E51417">
        <w:rPr>
          <w:i/>
        </w:rPr>
        <w:t>Unilever Australia Ltd v Beiersdorf Australia Ltd</w:t>
      </w:r>
      <w:r w:rsidR="00E51417" w:rsidRPr="00E51417">
        <w:t xml:space="preserve"> [2018] FCA 2076 </w:t>
      </w:r>
      <w:r w:rsidR="00E51417">
        <w:t xml:space="preserve">at [27] </w:t>
      </w:r>
      <w:r w:rsidR="00E51417" w:rsidRPr="00E51417">
        <w:t>per Wigney J</w:t>
      </w:r>
      <w:r w:rsidR="00E51417">
        <w:t>;</w:t>
      </w:r>
      <w:r w:rsidR="00E51417" w:rsidRPr="00E51417">
        <w:rPr>
          <w:i/>
        </w:rPr>
        <w:t xml:space="preserve"> </w:t>
      </w:r>
      <w:r w:rsidR="00E51417">
        <w:rPr>
          <w:i/>
        </w:rPr>
        <w:t>TPG FCAFC</w:t>
      </w:r>
      <w:r w:rsidR="00E51417">
        <w:t xml:space="preserve"> at [40].</w:t>
      </w:r>
    </w:p>
    <w:p w14:paraId="34AAFE0D" w14:textId="77777777" w:rsidR="000D3B07" w:rsidRDefault="000D3B07" w:rsidP="000D3B07">
      <w:pPr>
        <w:pStyle w:val="Heading3"/>
      </w:pPr>
      <w:bookmarkStart w:id="112" w:name="_Ref54701607"/>
      <w:r>
        <w:t>With regard to efficacy in particular</w:t>
      </w:r>
      <w:bookmarkEnd w:id="112"/>
    </w:p>
    <w:p w14:paraId="1EE10095" w14:textId="6A3614BC" w:rsidR="000D3B07" w:rsidRDefault="001E3C6B" w:rsidP="001E3C6B">
      <w:pPr>
        <w:pStyle w:val="ParaNumbering"/>
        <w:numPr>
          <w:ilvl w:val="0"/>
          <w:numId w:val="0"/>
        </w:numPr>
        <w:ind w:hanging="720"/>
      </w:pPr>
      <w:r>
        <w:rPr>
          <w:sz w:val="20"/>
        </w:rPr>
        <w:t>435</w:t>
      </w:r>
      <w:r>
        <w:rPr>
          <w:sz w:val="20"/>
        </w:rPr>
        <w:tab/>
      </w:r>
      <w:r w:rsidR="000D3B07">
        <w:t>It will be seen that in its case based on the efficacy representations, Allergan relies on the representations being representations as to future matters as dealt with by s 4 of the ACL, and it relies on certain principles with regard to comparative advertising and comparative statements.  It is therefore necessary to identify the relevant framework principles on these matters.</w:t>
      </w:r>
    </w:p>
    <w:p w14:paraId="38E00F06" w14:textId="31B790AD" w:rsidR="009F370D" w:rsidRDefault="001E3C6B" w:rsidP="001E3C6B">
      <w:pPr>
        <w:pStyle w:val="ParaNumbering"/>
        <w:numPr>
          <w:ilvl w:val="0"/>
          <w:numId w:val="0"/>
        </w:numPr>
        <w:ind w:hanging="720"/>
      </w:pPr>
      <w:r>
        <w:rPr>
          <w:sz w:val="20"/>
        </w:rPr>
        <w:lastRenderedPageBreak/>
        <w:t>436</w:t>
      </w:r>
      <w:r>
        <w:rPr>
          <w:sz w:val="20"/>
        </w:rPr>
        <w:tab/>
      </w:r>
      <w:r w:rsidR="009F370D">
        <w:t>There was no disagreement between the parties as to the application of s 4 of the ACL.  Section 4(1) provides that a re</w:t>
      </w:r>
      <w:r w:rsidR="00110A9C">
        <w:t>presentation with respect to a</w:t>
      </w:r>
      <w:r w:rsidR="009F370D">
        <w:t xml:space="preserve"> future matter is taken to be misleading unless the person who made the representation had reasonable grounds for doing so.  It was accepted that by s 4(2), Self Care is taken not to have had reasonable grounds for future representations unless it adduce</w:t>
      </w:r>
      <w:r w:rsidR="00110A9C">
        <w:t>s</w:t>
      </w:r>
      <w:r w:rsidR="009F370D">
        <w:t xml:space="preserve"> evidence to the contrary.  </w:t>
      </w:r>
      <w:r w:rsidR="00110A9C">
        <w:t>However</w:t>
      </w:r>
      <w:r w:rsidR="009F370D">
        <w:t xml:space="preserve">, by s 4(3) Allergan retains the overall onus and must show that the evidence put forward by Self Care does not provide a reasonable basis for the representations.  </w:t>
      </w:r>
      <w:r w:rsidR="00110A9C">
        <w:t xml:space="preserve">See </w:t>
      </w:r>
      <w:r w:rsidR="00110A9C" w:rsidRPr="00110A9C">
        <w:rPr>
          <w:i/>
          <w:iCs/>
        </w:rPr>
        <w:t>Australian Competition and Consumer Commission v ACM Group Ltd (No 2)</w:t>
      </w:r>
      <w:r w:rsidR="00110A9C" w:rsidRPr="00110A9C">
        <w:t> [2018] FCA 1115 at [173]</w:t>
      </w:r>
      <w:r w:rsidR="00110A9C">
        <w:t xml:space="preserve"> per </w:t>
      </w:r>
      <w:r w:rsidR="00110A9C" w:rsidRPr="00110A9C">
        <w:t>Griffiths J</w:t>
      </w:r>
      <w:r w:rsidR="00C52FD2">
        <w:t>;</w:t>
      </w:r>
      <w:r w:rsidR="00600569">
        <w:t xml:space="preserve"> </w:t>
      </w:r>
      <w:r w:rsidR="00600569" w:rsidRPr="00110A9C">
        <w:rPr>
          <w:i/>
          <w:iCs/>
        </w:rPr>
        <w:t xml:space="preserve">Australian Competition and Consumer Commission v Woolworths </w:t>
      </w:r>
      <w:r w:rsidR="00600569">
        <w:rPr>
          <w:i/>
          <w:iCs/>
        </w:rPr>
        <w:t>Ltd</w:t>
      </w:r>
      <w:r w:rsidR="00600569" w:rsidRPr="00110A9C">
        <w:t xml:space="preserve"> [2019] FCA 1039 </w:t>
      </w:r>
      <w:r w:rsidR="00600569">
        <w:t xml:space="preserve">at [95], [96] and [113] per </w:t>
      </w:r>
      <w:r w:rsidR="00600569" w:rsidRPr="00110A9C">
        <w:t>Mortimer J</w:t>
      </w:r>
      <w:r w:rsidR="00C52FD2">
        <w:t>;</w:t>
      </w:r>
      <w:r w:rsidR="00600569">
        <w:t xml:space="preserve"> </w:t>
      </w:r>
      <w:r w:rsidR="00600569" w:rsidRPr="00084754">
        <w:rPr>
          <w:b/>
          <w:i/>
        </w:rPr>
        <w:t>AFT Pharmaceuticals</w:t>
      </w:r>
      <w:r w:rsidR="00600569" w:rsidRPr="00600569">
        <w:rPr>
          <w:i/>
        </w:rPr>
        <w:t xml:space="preserve"> (Au) Pty Ltd v Reckitt Benckiser (Australia) Pty Ltd</w:t>
      </w:r>
      <w:r w:rsidR="00600569" w:rsidRPr="00600569">
        <w:t> [2020] FCAFC 45</w:t>
      </w:r>
      <w:r w:rsidR="00600569">
        <w:t xml:space="preserve">; </w:t>
      </w:r>
      <w:r w:rsidR="00600569" w:rsidRPr="00600569">
        <w:t>143 ACSR 522</w:t>
      </w:r>
      <w:r w:rsidR="00600569">
        <w:t xml:space="preserve"> at [8] per Murphy, Wigney and Burley JJ.</w:t>
      </w:r>
    </w:p>
    <w:p w14:paraId="06AD2A2E" w14:textId="0BE6D64A" w:rsidR="000D3B07" w:rsidRDefault="001E3C6B" w:rsidP="001E3C6B">
      <w:pPr>
        <w:pStyle w:val="ParaNumbering"/>
        <w:numPr>
          <w:ilvl w:val="0"/>
          <w:numId w:val="0"/>
        </w:numPr>
        <w:ind w:hanging="720"/>
      </w:pPr>
      <w:r>
        <w:rPr>
          <w:sz w:val="20"/>
        </w:rPr>
        <w:t>437</w:t>
      </w:r>
      <w:r>
        <w:rPr>
          <w:sz w:val="20"/>
        </w:rPr>
        <w:tab/>
      </w:r>
      <w:r w:rsidR="00110A9C">
        <w:t xml:space="preserve">As will be seen, it is accepted by Self Care that the efficacy representations contended for by Allergan, if established, </w:t>
      </w:r>
      <w:r w:rsidR="005949F5">
        <w:t xml:space="preserve">are </w:t>
      </w:r>
      <w:r w:rsidR="00110A9C">
        <w:t>representations as to “future matters”.  That acceptance is in accordance with the authorities inasmuch as the representations say that the products presently possess characteristics and benefits which will be displayed in the future after the relevant purchase is made</w:t>
      </w:r>
      <w:r w:rsidR="00002FD0">
        <w:t xml:space="preserve"> and the product is applied</w:t>
      </w:r>
      <w:r w:rsidR="00110A9C">
        <w:t xml:space="preserve">.  See:  </w:t>
      </w:r>
      <w:r w:rsidR="00110A9C" w:rsidRPr="00186E8F">
        <w:rPr>
          <w:i/>
          <w:iCs/>
        </w:rPr>
        <w:t>Australian Competition and Consumer Commission v Giraffe World Australia Pty Ltd (No 2</w:t>
      </w:r>
      <w:r w:rsidR="00110A9C" w:rsidRPr="00186E8F">
        <w:t>) [1999] FCA 1161; 95 FCR 302</w:t>
      </w:r>
      <w:r w:rsidR="00110A9C" w:rsidRPr="00110A9C">
        <w:t xml:space="preserve"> at [124]</w:t>
      </w:r>
      <w:r w:rsidR="00110A9C">
        <w:t xml:space="preserve"> per Lindgren J</w:t>
      </w:r>
      <w:r w:rsidR="00C52FD2">
        <w:t>;</w:t>
      </w:r>
      <w:r w:rsidR="00110A9C">
        <w:t xml:space="preserve"> </w:t>
      </w:r>
      <w:r w:rsidR="00905E96">
        <w:rPr>
          <w:i/>
        </w:rPr>
        <w:t>Australian Competition and Consumer Commission</w:t>
      </w:r>
      <w:r w:rsidR="00110A9C" w:rsidRPr="00110A9C">
        <w:rPr>
          <w:i/>
        </w:rPr>
        <w:t xml:space="preserve"> v Purple Harmony Plates Pty </w:t>
      </w:r>
      <w:r w:rsidR="00110A9C">
        <w:rPr>
          <w:i/>
        </w:rPr>
        <w:t>Ltd</w:t>
      </w:r>
      <w:r w:rsidR="00110A9C" w:rsidRPr="00110A9C">
        <w:t xml:space="preserve"> [2001] FCA 1062 at [18]</w:t>
      </w:r>
      <w:r w:rsidR="00110A9C">
        <w:t xml:space="preserve"> per Goldberg J.</w:t>
      </w:r>
    </w:p>
    <w:p w14:paraId="3C37E7C0" w14:textId="3DCA1079" w:rsidR="00110A9C" w:rsidRDefault="001E3C6B" w:rsidP="001E3C6B">
      <w:pPr>
        <w:pStyle w:val="ParaNumbering"/>
        <w:numPr>
          <w:ilvl w:val="0"/>
          <w:numId w:val="0"/>
        </w:numPr>
        <w:ind w:hanging="720"/>
      </w:pPr>
      <w:r>
        <w:rPr>
          <w:sz w:val="20"/>
        </w:rPr>
        <w:t>438</w:t>
      </w:r>
      <w:r>
        <w:rPr>
          <w:sz w:val="20"/>
        </w:rPr>
        <w:tab/>
      </w:r>
      <w:r w:rsidR="00110A9C">
        <w:t xml:space="preserve">Self Care is required to show facts or circumstances, existing at the time of the representations, on which it relied and which are objectively reasonable and support the representations made: </w:t>
      </w:r>
      <w:r w:rsidR="00110A9C" w:rsidRPr="00D0201A">
        <w:rPr>
          <w:i/>
          <w:iCs/>
        </w:rPr>
        <w:t xml:space="preserve">Doppstadt Australia Pty Ltd v Lovick &amp; Son Developments Pty Ltd </w:t>
      </w:r>
      <w:r w:rsidR="00110A9C" w:rsidRPr="00D0201A">
        <w:rPr>
          <w:iCs/>
        </w:rPr>
        <w:t>[2014] NSWCA 158</w:t>
      </w:r>
      <w:r w:rsidR="00110A9C" w:rsidRPr="00110A9C">
        <w:rPr>
          <w:iCs/>
        </w:rPr>
        <w:t xml:space="preserve"> at [189]</w:t>
      </w:r>
      <w:r w:rsidR="00C52FD2">
        <w:rPr>
          <w:iCs/>
        </w:rPr>
        <w:t xml:space="preserve"> per Gleeson JA</w:t>
      </w:r>
      <w:r w:rsidR="00110A9C">
        <w:rPr>
          <w:iCs/>
        </w:rPr>
        <w:t xml:space="preserve"> </w:t>
      </w:r>
      <w:r w:rsidR="00C52FD2">
        <w:rPr>
          <w:iCs/>
        </w:rPr>
        <w:t>(</w:t>
      </w:r>
      <w:r w:rsidR="00110A9C">
        <w:rPr>
          <w:iCs/>
        </w:rPr>
        <w:t>Ward and Emmett JJA agreeing</w:t>
      </w:r>
      <w:r w:rsidR="00C52FD2">
        <w:rPr>
          <w:iCs/>
        </w:rPr>
        <w:t>),</w:t>
      </w:r>
      <w:r w:rsidR="00110A9C" w:rsidRPr="00110A9C">
        <w:rPr>
          <w:iCs/>
        </w:rPr>
        <w:t xml:space="preserve"> </w:t>
      </w:r>
      <w:r w:rsidR="00110A9C" w:rsidRPr="00110A9C">
        <w:t xml:space="preserve">applying </w:t>
      </w:r>
      <w:r w:rsidR="00110A9C" w:rsidRPr="00110A9C">
        <w:rPr>
          <w:i/>
          <w:iCs/>
        </w:rPr>
        <w:t>Sykes v Reserve Bank of Australia</w:t>
      </w:r>
      <w:r w:rsidR="007F78D7">
        <w:rPr>
          <w:iCs/>
        </w:rPr>
        <w:t xml:space="preserve"> </w:t>
      </w:r>
      <w:r w:rsidR="007F78D7" w:rsidRPr="007F78D7">
        <w:rPr>
          <w:iCs/>
        </w:rPr>
        <w:t>[1998] FCA 1405</w:t>
      </w:r>
      <w:r w:rsidR="007F78D7">
        <w:rPr>
          <w:iCs/>
        </w:rPr>
        <w:t>;</w:t>
      </w:r>
      <w:r w:rsidR="00110A9C" w:rsidRPr="00110A9C">
        <w:t xml:space="preserve"> 88 FCR 511 at 513 per Heerey J</w:t>
      </w:r>
      <w:r w:rsidR="00110A9C">
        <w:t>.</w:t>
      </w:r>
    </w:p>
    <w:p w14:paraId="47C27DB4" w14:textId="556C7B7B" w:rsidR="00110A9C" w:rsidRDefault="001E3C6B" w:rsidP="001E3C6B">
      <w:pPr>
        <w:pStyle w:val="ParaNumbering"/>
        <w:numPr>
          <w:ilvl w:val="0"/>
          <w:numId w:val="0"/>
        </w:numPr>
        <w:ind w:hanging="720"/>
      </w:pPr>
      <w:r>
        <w:rPr>
          <w:sz w:val="20"/>
        </w:rPr>
        <w:t>439</w:t>
      </w:r>
      <w:r>
        <w:rPr>
          <w:sz w:val="20"/>
        </w:rPr>
        <w:tab/>
      </w:r>
      <w:r w:rsidR="00110A9C" w:rsidRPr="00110A9C">
        <w:t>It is insufficient that the person making the representation had a genuinely held view that the representation was not misleading or deceptive</w:t>
      </w:r>
      <w:r w:rsidR="00110A9C">
        <w:t>:</w:t>
      </w:r>
      <w:r w:rsidR="00110A9C" w:rsidRPr="00110A9C">
        <w:t> </w:t>
      </w:r>
      <w:r w:rsidR="00110A9C" w:rsidRPr="00110A9C">
        <w:rPr>
          <w:i/>
          <w:iCs/>
        </w:rPr>
        <w:t>Cummings v Lewis</w:t>
      </w:r>
      <w:r w:rsidR="007F78D7">
        <w:t> [1993] FCA 190;</w:t>
      </w:r>
      <w:r w:rsidR="00110A9C" w:rsidRPr="00110A9C">
        <w:t xml:space="preserve"> 41 FCR 559</w:t>
      </w:r>
      <w:r w:rsidR="00D10989">
        <w:t xml:space="preserve"> at 565 per Sheppard and Neaves JJ.</w:t>
      </w:r>
    </w:p>
    <w:p w14:paraId="0B5D2AC6" w14:textId="5F9E4290" w:rsidR="00D10989" w:rsidRPr="00002FD0" w:rsidRDefault="001E3C6B" w:rsidP="001E3C6B">
      <w:pPr>
        <w:pStyle w:val="ParaNumbering"/>
        <w:numPr>
          <w:ilvl w:val="0"/>
          <w:numId w:val="0"/>
        </w:numPr>
        <w:ind w:hanging="720"/>
      </w:pPr>
      <w:r w:rsidRPr="00002FD0">
        <w:rPr>
          <w:sz w:val="20"/>
        </w:rPr>
        <w:t>440</w:t>
      </w:r>
      <w:r w:rsidRPr="00002FD0">
        <w:rPr>
          <w:sz w:val="20"/>
        </w:rPr>
        <w:tab/>
      </w:r>
      <w:r w:rsidR="00600569">
        <w:t xml:space="preserve">Where claims are made of a scientific nature, proof that there is no scientific foundation for those claims may sufficiently establish that the claims are misleading: </w:t>
      </w:r>
      <w:r w:rsidR="00600569" w:rsidRPr="00600569">
        <w:rPr>
          <w:i/>
          <w:iCs/>
        </w:rPr>
        <w:t xml:space="preserve">Reckitt Benckiser (Australia) Pty Ltd v GlaxoSmithKline Australia Pty Ltd </w:t>
      </w:r>
      <w:r w:rsidR="00600569" w:rsidRPr="00600569">
        <w:t xml:space="preserve">[2018] FCAFC 138 </w:t>
      </w:r>
      <w:r w:rsidR="00600569" w:rsidRPr="00600569">
        <w:rPr>
          <w:lang w:val="en-US"/>
        </w:rPr>
        <w:t>at [41]</w:t>
      </w:r>
      <w:r w:rsidR="00600569">
        <w:rPr>
          <w:lang w:val="en-US"/>
        </w:rPr>
        <w:t xml:space="preserve"> per McKerracher, Yates and Gleeson JJ</w:t>
      </w:r>
      <w:r w:rsidR="00C52FD2">
        <w:rPr>
          <w:lang w:val="en-US"/>
        </w:rPr>
        <w:t>;</w:t>
      </w:r>
      <w:r w:rsidR="00084754">
        <w:rPr>
          <w:lang w:val="en-US"/>
        </w:rPr>
        <w:t xml:space="preserve"> </w:t>
      </w:r>
      <w:r w:rsidR="00084754" w:rsidRPr="00600569">
        <w:rPr>
          <w:i/>
        </w:rPr>
        <w:t>AFT Pharmaceuticals</w:t>
      </w:r>
      <w:r w:rsidR="00084754">
        <w:t xml:space="preserve"> at [11]-[13]</w:t>
      </w:r>
      <w:r w:rsidR="00600569">
        <w:rPr>
          <w:lang w:val="en-US"/>
        </w:rPr>
        <w:t>.</w:t>
      </w:r>
    </w:p>
    <w:p w14:paraId="103EB33E" w14:textId="722063B6" w:rsidR="00173667" w:rsidRDefault="001E3C6B" w:rsidP="001E3C6B">
      <w:pPr>
        <w:pStyle w:val="ParaNumbering"/>
        <w:numPr>
          <w:ilvl w:val="0"/>
          <w:numId w:val="0"/>
        </w:numPr>
        <w:ind w:hanging="720"/>
      </w:pPr>
      <w:r>
        <w:rPr>
          <w:sz w:val="20"/>
        </w:rPr>
        <w:lastRenderedPageBreak/>
        <w:t>441</w:t>
      </w:r>
      <w:r>
        <w:rPr>
          <w:sz w:val="20"/>
        </w:rPr>
        <w:tab/>
      </w:r>
      <w:r w:rsidR="00173667">
        <w:t xml:space="preserve">One of the issues that arises is in what circumstances comparative advertising is misleading or deceptive.  In that regard, the characterisation of advertising as comparative does not of itself have legal significance, or create any kind of presumption in favour of a party alleging misleading and deceptive conduct.  There is no basis in the ACL for regarding comparative advertising as an inherently disreputable form of commercial conduct, to be viewed with suspicion by the courts.  On the contrary, to the extent that comparative advertising provides consumers with accurate facts about competing products, it assists in the making of better informed consumer choices and thereby results in more effective competition.  See </w:t>
      </w:r>
      <w:r w:rsidR="00DD7E99" w:rsidRPr="00DD7E99">
        <w:rPr>
          <w:b/>
          <w:i/>
        </w:rPr>
        <w:t>Telstra</w:t>
      </w:r>
      <w:r w:rsidR="00DD7E99" w:rsidRPr="00DD7E99">
        <w:rPr>
          <w:i/>
        </w:rPr>
        <w:t xml:space="preserve"> Corporation Ltd v Optus Communications Pty Ltd</w:t>
      </w:r>
      <w:r w:rsidR="00DD7E99" w:rsidRPr="00DD7E99">
        <w:t xml:space="preserve"> [1996] FCA 1035; 36 IPR 515 at 524 per Merkel J</w:t>
      </w:r>
      <w:r w:rsidR="00C52FD2">
        <w:t>,</w:t>
      </w:r>
      <w:r w:rsidR="00DD7E99">
        <w:t xml:space="preserve"> citing </w:t>
      </w:r>
      <w:r w:rsidR="00DD7E99" w:rsidRPr="00DD7E99">
        <w:rPr>
          <w:i/>
          <w:iCs/>
        </w:rPr>
        <w:t xml:space="preserve">Trade Practices Commission v Telstra Corp Ltd </w:t>
      </w:r>
      <w:r w:rsidR="000123E5">
        <w:t>[1993] FCA 567;</w:t>
      </w:r>
      <w:r w:rsidR="0043337D">
        <w:t xml:space="preserve"> ATPR 41-</w:t>
      </w:r>
      <w:r w:rsidR="00DD7E99" w:rsidRPr="00DD7E99">
        <w:t>256 at</w:t>
      </w:r>
      <w:r w:rsidR="00DD7E99">
        <w:t xml:space="preserve"> </w:t>
      </w:r>
      <w:r w:rsidR="00DD7E99" w:rsidRPr="00DD7E99">
        <w:t>41,454</w:t>
      </w:r>
      <w:r w:rsidR="00DD7E99">
        <w:t xml:space="preserve"> per Hill J</w:t>
      </w:r>
      <w:r w:rsidR="00DD7E99" w:rsidRPr="00DD7E99">
        <w:t xml:space="preserve">; </w:t>
      </w:r>
      <w:r w:rsidR="00173667" w:rsidRPr="00DD7E99">
        <w:rPr>
          <w:b/>
          <w:i/>
        </w:rPr>
        <w:t>Gillette</w:t>
      </w:r>
      <w:r w:rsidR="00173667" w:rsidRPr="00DD7E99">
        <w:rPr>
          <w:i/>
        </w:rPr>
        <w:t xml:space="preserve"> Australia Pty Ltd v Energiser Australia Pty Ltd</w:t>
      </w:r>
      <w:r w:rsidR="00173667" w:rsidRPr="00173667">
        <w:t xml:space="preserve"> [2002] FCAFC 223; 193 ALR 629 at [</w:t>
      </w:r>
      <w:r w:rsidR="00173667">
        <w:t>20] per Heerey J, [43] per Lindgren J, and [91]</w:t>
      </w:r>
      <w:r w:rsidR="00173667" w:rsidRPr="00173667">
        <w:t xml:space="preserve"> per Merkel J.</w:t>
      </w:r>
    </w:p>
    <w:p w14:paraId="506F05AC" w14:textId="74C2D989" w:rsidR="00173667" w:rsidRDefault="001E3C6B" w:rsidP="001E3C6B">
      <w:pPr>
        <w:pStyle w:val="ParaNumbering"/>
        <w:numPr>
          <w:ilvl w:val="0"/>
          <w:numId w:val="0"/>
        </w:numPr>
        <w:ind w:hanging="720"/>
      </w:pPr>
      <w:r>
        <w:rPr>
          <w:sz w:val="20"/>
        </w:rPr>
        <w:t>442</w:t>
      </w:r>
      <w:r>
        <w:rPr>
          <w:sz w:val="20"/>
        </w:rPr>
        <w:tab/>
      </w:r>
      <w:r w:rsidR="00173667">
        <w:t xml:space="preserve">In </w:t>
      </w:r>
      <w:r w:rsidR="00173667" w:rsidRPr="00173667">
        <w:rPr>
          <w:i/>
        </w:rPr>
        <w:t>Gillette</w:t>
      </w:r>
      <w:r w:rsidR="00173667">
        <w:t xml:space="preserve">, the Court rejected the submission that if the two products that are the subject of comparative advertising are not alike, then, unless the differentiating elements are sufficiently identified, the comparison will be unfair because it will mislead.  Provided the factual assertions are not untrue, or misleading half-truths, an advertiser can lawfully compare a particular aspect of its product or service favourably with the same aspect of a competitor’s product or service.  See </w:t>
      </w:r>
      <w:r w:rsidR="00173667" w:rsidRPr="00173667">
        <w:rPr>
          <w:i/>
        </w:rPr>
        <w:t>Gillette</w:t>
      </w:r>
      <w:r w:rsidR="00173667">
        <w:t xml:space="preserve"> at [21]-[22] per Heerey J, [43] per Lindgren J, and [93] per Merkel J.</w:t>
      </w:r>
    </w:p>
    <w:p w14:paraId="4E398182" w14:textId="13D88715" w:rsidR="00173667" w:rsidRDefault="001E3C6B" w:rsidP="001E3C6B">
      <w:pPr>
        <w:pStyle w:val="ParaNumbering"/>
        <w:numPr>
          <w:ilvl w:val="0"/>
          <w:numId w:val="0"/>
        </w:numPr>
        <w:ind w:hanging="720"/>
      </w:pPr>
      <w:r>
        <w:rPr>
          <w:sz w:val="20"/>
        </w:rPr>
        <w:t>443</w:t>
      </w:r>
      <w:r>
        <w:rPr>
          <w:sz w:val="20"/>
        </w:rPr>
        <w:tab/>
      </w:r>
      <w:r w:rsidR="00173667">
        <w:t xml:space="preserve">A comparative, as distinct from a unilateral, promotion of a product necessarily indicates that the advertisement is not mere advertising puff, but involves representations of fact which are either true or false: </w:t>
      </w:r>
      <w:r w:rsidR="00173667" w:rsidRPr="00173667">
        <w:rPr>
          <w:i/>
        </w:rPr>
        <w:t>Gillette</w:t>
      </w:r>
      <w:r w:rsidR="00173667">
        <w:t xml:space="preserve"> at [44] per Lindgren J; </w:t>
      </w:r>
      <w:r w:rsidR="00173667" w:rsidRPr="00EA0F56">
        <w:rPr>
          <w:i/>
        </w:rPr>
        <w:t>Novartis</w:t>
      </w:r>
      <w:r w:rsidR="00173667" w:rsidRPr="00173667">
        <w:rPr>
          <w:i/>
        </w:rPr>
        <w:t xml:space="preserve"> Pharmaceuticals Australia Pty Ltd</w:t>
      </w:r>
      <w:r w:rsidR="00785FB6">
        <w:rPr>
          <w:i/>
        </w:rPr>
        <w:t xml:space="preserve"> v</w:t>
      </w:r>
      <w:r w:rsidR="00173667" w:rsidRPr="00173667">
        <w:rPr>
          <w:i/>
        </w:rPr>
        <w:t xml:space="preserve"> Bayer Australia Ltd</w:t>
      </w:r>
      <w:r w:rsidR="00173667" w:rsidRPr="00173667">
        <w:t xml:space="preserve"> [2015] FCA 35; 322 ALR 621</w:t>
      </w:r>
      <w:r w:rsidR="00DD7E99">
        <w:t xml:space="preserve"> </w:t>
      </w:r>
      <w:r w:rsidR="00173667" w:rsidRPr="00173667">
        <w:t>at [177] per Robertson J</w:t>
      </w:r>
      <w:r w:rsidR="00173667">
        <w:t xml:space="preserve">; </w:t>
      </w:r>
      <w:r w:rsidR="00173667" w:rsidRPr="00274A25">
        <w:rPr>
          <w:b/>
          <w:i/>
        </w:rPr>
        <w:t>Reckitt Benckiser (Australia)</w:t>
      </w:r>
      <w:r w:rsidR="00173667" w:rsidRPr="00173667">
        <w:rPr>
          <w:i/>
        </w:rPr>
        <w:t xml:space="preserve"> Pty Ltd v AFT Pharmaceuticals (AU) Pty Ltd </w:t>
      </w:r>
      <w:r w:rsidR="00173667" w:rsidRPr="00173667">
        <w:t>[2018] FCA 1552 at</w:t>
      </w:r>
      <w:r w:rsidR="00173667">
        <w:t xml:space="preserve"> [26] per Gleeson J, upheld in </w:t>
      </w:r>
      <w:r w:rsidR="00173667" w:rsidRPr="00173667">
        <w:rPr>
          <w:i/>
        </w:rPr>
        <w:t>AFT Pharmaceuticals</w:t>
      </w:r>
      <w:r w:rsidR="00173667">
        <w:t xml:space="preserve"> but this point not specifically mentioned.</w:t>
      </w:r>
    </w:p>
    <w:p w14:paraId="0F2A32E5" w14:textId="13D95682" w:rsidR="00002FD0" w:rsidRDefault="001E3C6B" w:rsidP="001E3C6B">
      <w:pPr>
        <w:pStyle w:val="ParaNumbering"/>
        <w:numPr>
          <w:ilvl w:val="0"/>
          <w:numId w:val="0"/>
        </w:numPr>
        <w:ind w:hanging="720"/>
      </w:pPr>
      <w:r>
        <w:rPr>
          <w:sz w:val="20"/>
        </w:rPr>
        <w:t>444</w:t>
      </w:r>
      <w:r>
        <w:rPr>
          <w:sz w:val="20"/>
        </w:rPr>
        <w:tab/>
      </w:r>
      <w:r w:rsidR="00173667">
        <w:t>Alle</w:t>
      </w:r>
      <w:r w:rsidR="008179C4">
        <w:t>r</w:t>
      </w:r>
      <w:r w:rsidR="00173667">
        <w:t>gan</w:t>
      </w:r>
      <w:r w:rsidR="005949F5">
        <w:t xml:space="preserve"> refers </w:t>
      </w:r>
      <w:r w:rsidR="00173667">
        <w:t>to authority to the effect that particular care needs to be taken by an advertiser when it not only seeks to boost its own product but also seeks to compare</w:t>
      </w:r>
      <w:r w:rsidR="00DD7E99">
        <w:t xml:space="preserve"> its competitor’s products unfavourably: </w:t>
      </w:r>
      <w:r w:rsidR="00DD7E99" w:rsidRPr="00DD7E99">
        <w:rPr>
          <w:i/>
        </w:rPr>
        <w:t xml:space="preserve">Telstra </w:t>
      </w:r>
      <w:r w:rsidR="00DD7E99" w:rsidRPr="00DD7E99">
        <w:t>at 524</w:t>
      </w:r>
      <w:r w:rsidR="008179C4">
        <w:t>,</w:t>
      </w:r>
      <w:r w:rsidR="00DD7E99" w:rsidRPr="00DD7E99">
        <w:t xml:space="preserve"> </w:t>
      </w:r>
      <w:r w:rsidR="00DD7E99">
        <w:t xml:space="preserve">citing </w:t>
      </w:r>
      <w:r w:rsidR="00DD7E99" w:rsidRPr="00DD7E99">
        <w:rPr>
          <w:i/>
          <w:iCs/>
        </w:rPr>
        <w:t xml:space="preserve">Stuart Alexander </w:t>
      </w:r>
      <w:r w:rsidR="00DD7E99" w:rsidRPr="00DD7E99">
        <w:t xml:space="preserve">&amp; </w:t>
      </w:r>
      <w:r w:rsidR="00DD7E99" w:rsidRPr="00DD7E99">
        <w:rPr>
          <w:i/>
          <w:iCs/>
        </w:rPr>
        <w:t xml:space="preserve">Co (Interstate) Pty Ltd v Blenders Pty Ltd </w:t>
      </w:r>
      <w:r w:rsidR="00E946FF">
        <w:t>[1981] FCA 169;</w:t>
      </w:r>
      <w:r w:rsidR="00DD7E99" w:rsidRPr="00DD7E99">
        <w:t xml:space="preserve"> 37</w:t>
      </w:r>
      <w:r w:rsidR="00DD7E99">
        <w:t xml:space="preserve"> </w:t>
      </w:r>
      <w:r w:rsidR="00DD7E99" w:rsidRPr="00DD7E99">
        <w:t xml:space="preserve">ALR 161 at 163 </w:t>
      </w:r>
      <w:r w:rsidR="00DD7E99">
        <w:t xml:space="preserve">per </w:t>
      </w:r>
      <w:r w:rsidR="00DD7E99" w:rsidRPr="00DD7E99">
        <w:t>Lockhart J</w:t>
      </w:r>
      <w:r w:rsidR="00DD7E99">
        <w:t xml:space="preserve">.  However, since even on Allergan’s case the impugned statements are not said to give rise to representations that cast Allergan’s products in an unfavourable light, </w:t>
      </w:r>
      <w:r w:rsidR="005949F5">
        <w:t xml:space="preserve">it is not clear that </w:t>
      </w:r>
      <w:r w:rsidR="00DD7E99">
        <w:t>that principle is applicable.</w:t>
      </w:r>
      <w:r w:rsidR="005949F5">
        <w:t xml:space="preserve">  As </w:t>
      </w:r>
      <w:r w:rsidR="005949F5">
        <w:lastRenderedPageBreak/>
        <w:t>will be seen, Allergan does not complain that Self Care has made false or misleading statements about Botox.</w:t>
      </w:r>
    </w:p>
    <w:p w14:paraId="60EF266C" w14:textId="2DDD1E3A" w:rsidR="00D30E49" w:rsidRDefault="008179C4" w:rsidP="00343469">
      <w:pPr>
        <w:pStyle w:val="Heading2"/>
      </w:pPr>
      <w:bookmarkStart w:id="113" w:name="_Ref54701608"/>
      <w:r>
        <w:t xml:space="preserve">Framework principles: passing </w:t>
      </w:r>
      <w:r w:rsidR="00343469">
        <w:t>off</w:t>
      </w:r>
      <w:bookmarkEnd w:id="113"/>
    </w:p>
    <w:p w14:paraId="51A1F605" w14:textId="2542EF0C" w:rsidR="00186478" w:rsidRDefault="001E3C6B" w:rsidP="001E3C6B">
      <w:pPr>
        <w:pStyle w:val="ParaNumbering"/>
        <w:numPr>
          <w:ilvl w:val="0"/>
          <w:numId w:val="0"/>
        </w:numPr>
        <w:ind w:hanging="720"/>
      </w:pPr>
      <w:r>
        <w:rPr>
          <w:sz w:val="20"/>
        </w:rPr>
        <w:t>445</w:t>
      </w:r>
      <w:r>
        <w:rPr>
          <w:sz w:val="20"/>
        </w:rPr>
        <w:tab/>
      </w:r>
      <w:r w:rsidR="00DA34E8">
        <w:t>Although there is an overlap between causes of action arising under Pt 2-1 (i.e.</w:t>
      </w:r>
      <w:r w:rsidR="008179C4">
        <w:t>,</w:t>
      </w:r>
      <w:r w:rsidR="00DA34E8">
        <w:t xml:space="preserve"> ss 18-19) of the ACL and the common law </w:t>
      </w:r>
      <w:r w:rsidR="00912735">
        <w:t>tort</w:t>
      </w:r>
      <w:r w:rsidR="00DA34E8">
        <w:t xml:space="preserve"> of passing off, the causes of action have distinct origins and the purposes and interests that both bodies of law primarily protect </w:t>
      </w:r>
      <w:r w:rsidR="00912735">
        <w:t xml:space="preserve">are </w:t>
      </w:r>
      <w:r w:rsidR="00DA34E8">
        <w:t>contrasting.  Passing off protect</w:t>
      </w:r>
      <w:r w:rsidR="00912735">
        <w:t>s</w:t>
      </w:r>
      <w:r w:rsidR="00DA34E8">
        <w:t xml:space="preserve"> a right of property in business or goodwill whereas Pt 2-1 is concerned with consumer protection.  P</w:t>
      </w:r>
      <w:r w:rsidR="003763D1">
        <w:t>ar</w:t>
      </w:r>
      <w:r w:rsidR="00DA34E8">
        <w:t>t 2-1 is not restricted by common law principles relating to passing off and provide</w:t>
      </w:r>
      <w:r w:rsidR="00912735">
        <w:t>s</w:t>
      </w:r>
      <w:r w:rsidR="00DA34E8">
        <w:t xml:space="preserve"> wider protection </w:t>
      </w:r>
      <w:r w:rsidR="00912735">
        <w:t>than</w:t>
      </w:r>
      <w:r w:rsidR="00DA34E8">
        <w:t xml:space="preserve"> passing off.  See </w:t>
      </w:r>
      <w:r w:rsidR="00DA34E8" w:rsidRPr="00DA34E8">
        <w:rPr>
          <w:i/>
          <w:iCs/>
        </w:rPr>
        <w:t xml:space="preserve">Cadbury Schweppes Pty Ltd v Darrell Lea Chocolate Shops Pty Ltd </w:t>
      </w:r>
      <w:r w:rsidR="00DA34E8" w:rsidRPr="00DA34E8">
        <w:t>[2007] FCAFC 70</w:t>
      </w:r>
      <w:r w:rsidR="00DA34E8">
        <w:t>;</w:t>
      </w:r>
      <w:r w:rsidR="00DA34E8" w:rsidRPr="00DA34E8">
        <w:t xml:space="preserve"> 159 FCR 397</w:t>
      </w:r>
      <w:r w:rsidR="00DA34E8">
        <w:t xml:space="preserve"> at [98]</w:t>
      </w:r>
      <w:r w:rsidR="00FA1AD6">
        <w:t xml:space="preserve"> per </w:t>
      </w:r>
      <w:r w:rsidR="00FA1AD6" w:rsidRPr="00FA1AD6">
        <w:t>Black CJ, Emmett and Middleton JJ</w:t>
      </w:r>
      <w:r w:rsidR="00DA34E8">
        <w:t>.</w:t>
      </w:r>
      <w:r w:rsidR="0065267B">
        <w:t xml:space="preserve">  </w:t>
      </w:r>
    </w:p>
    <w:p w14:paraId="4D67F029" w14:textId="28A6E243" w:rsidR="00DA34E8" w:rsidRDefault="001E3C6B" w:rsidP="001E3C6B">
      <w:pPr>
        <w:pStyle w:val="ParaNumbering"/>
        <w:numPr>
          <w:ilvl w:val="0"/>
          <w:numId w:val="0"/>
        </w:numPr>
        <w:ind w:hanging="720"/>
      </w:pPr>
      <w:r>
        <w:rPr>
          <w:sz w:val="20"/>
        </w:rPr>
        <w:t>446</w:t>
      </w:r>
      <w:r>
        <w:rPr>
          <w:sz w:val="20"/>
        </w:rPr>
        <w:tab/>
      </w:r>
      <w:r w:rsidR="0065267B">
        <w:t xml:space="preserve">Passing off protects against injury to the goodwill built up by the activities of the plaintiff: </w:t>
      </w:r>
      <w:r w:rsidR="0065267B">
        <w:rPr>
          <w:i/>
        </w:rPr>
        <w:t>Campomar</w:t>
      </w:r>
      <w:r w:rsidR="0065267B">
        <w:t xml:space="preserve"> at [108].</w:t>
      </w:r>
      <w:r w:rsidR="00186478">
        <w:t xml:space="preserve">  Passing off is not a remedy for the invasion of a right of property in a mark, name or get-up which has been improperly used: </w:t>
      </w:r>
      <w:r w:rsidR="00186478" w:rsidRPr="00186478">
        <w:rPr>
          <w:i/>
        </w:rPr>
        <w:t>AMI Australia Holdings Pty Ltd v Ba</w:t>
      </w:r>
      <w:r w:rsidR="00186478">
        <w:rPr>
          <w:i/>
        </w:rPr>
        <w:t>de</w:t>
      </w:r>
      <w:r w:rsidR="00186478" w:rsidRPr="00186478">
        <w:rPr>
          <w:i/>
        </w:rPr>
        <w:t xml:space="preserve"> Medic</w:t>
      </w:r>
      <w:r w:rsidR="00186478">
        <w:rPr>
          <w:i/>
        </w:rPr>
        <w:t>al Institute (Australia) Pty Ltd</w:t>
      </w:r>
      <w:r w:rsidR="004D5F19">
        <w:rPr>
          <w:i/>
        </w:rPr>
        <w:t xml:space="preserve"> (No 2)</w:t>
      </w:r>
      <w:r w:rsidR="00186478">
        <w:t xml:space="preserve"> [2009] FCA 1437; 262 ALR 458 at [81] per Flick J.</w:t>
      </w:r>
    </w:p>
    <w:p w14:paraId="277546A3" w14:textId="225EC48C" w:rsidR="00C44BB6" w:rsidRDefault="001E3C6B" w:rsidP="001E3C6B">
      <w:pPr>
        <w:pStyle w:val="ParaNumbering"/>
        <w:numPr>
          <w:ilvl w:val="0"/>
          <w:numId w:val="0"/>
        </w:numPr>
        <w:ind w:hanging="720"/>
      </w:pPr>
      <w:r>
        <w:rPr>
          <w:sz w:val="20"/>
        </w:rPr>
        <w:t>447</w:t>
      </w:r>
      <w:r>
        <w:rPr>
          <w:sz w:val="20"/>
        </w:rPr>
        <w:tab/>
      </w:r>
      <w:r w:rsidR="00DA34E8">
        <w:t>It has been recognised that there are three core concepts to the tort of passing off, namely</w:t>
      </w:r>
      <w:r w:rsidR="008179C4">
        <w:t>:</w:t>
      </w:r>
      <w:r w:rsidR="00DA34E8">
        <w:t xml:space="preserve"> (1) reputation, (2) misrepresentation</w:t>
      </w:r>
      <w:r w:rsidR="003763D1">
        <w:t>,</w:t>
      </w:r>
      <w:r w:rsidR="00DA34E8">
        <w:t xml:space="preserve"> and (3) damage.  However, it has also been recognised that “the law of passing off contains sufficient nooks and crannies to make it difficult to formulate any satisfactory definition in short form”.  See </w:t>
      </w:r>
      <w:r w:rsidR="006F1F9A" w:rsidRPr="006F1F9A">
        <w:rPr>
          <w:b/>
          <w:i/>
          <w:iCs/>
        </w:rPr>
        <w:t>ConA</w:t>
      </w:r>
      <w:r w:rsidR="00DA34E8" w:rsidRPr="006F1F9A">
        <w:rPr>
          <w:b/>
          <w:i/>
          <w:iCs/>
        </w:rPr>
        <w:t>gra</w:t>
      </w:r>
      <w:r w:rsidR="00DA34E8" w:rsidRPr="00DA34E8">
        <w:rPr>
          <w:i/>
          <w:iCs/>
        </w:rPr>
        <w:t xml:space="preserve"> Inc v McCain Foods (Aust) Pty Ltd </w:t>
      </w:r>
      <w:r w:rsidR="00630336">
        <w:rPr>
          <w:iCs/>
        </w:rPr>
        <w:t>[1992] FCA 176;</w:t>
      </w:r>
      <w:r w:rsidR="00DA34E8" w:rsidRPr="00DA34E8">
        <w:rPr>
          <w:i/>
          <w:iCs/>
        </w:rPr>
        <w:t xml:space="preserve"> </w:t>
      </w:r>
      <w:r w:rsidR="00DA34E8" w:rsidRPr="00DA34E8">
        <w:t>33 FCR 302 at 356 per Gummow J</w:t>
      </w:r>
      <w:r w:rsidR="00DA34E8">
        <w:t>.</w:t>
      </w:r>
    </w:p>
    <w:p w14:paraId="5923AAB6" w14:textId="32E8A716" w:rsidR="00C44BB6" w:rsidRDefault="001E3C6B" w:rsidP="001E3C6B">
      <w:pPr>
        <w:pStyle w:val="ParaNumbering"/>
        <w:numPr>
          <w:ilvl w:val="0"/>
          <w:numId w:val="0"/>
        </w:numPr>
        <w:ind w:hanging="720"/>
      </w:pPr>
      <w:r>
        <w:rPr>
          <w:sz w:val="20"/>
        </w:rPr>
        <w:t>448</w:t>
      </w:r>
      <w:r>
        <w:rPr>
          <w:sz w:val="20"/>
        </w:rPr>
        <w:tab/>
      </w:r>
      <w:r w:rsidR="00C44BB6">
        <w:t xml:space="preserve">It was observed in </w:t>
      </w:r>
      <w:r w:rsidR="00C44BB6" w:rsidRPr="00C44BB6">
        <w:rPr>
          <w:i/>
          <w:iCs/>
        </w:rPr>
        <w:t xml:space="preserve">Reckitt </w:t>
      </w:r>
      <w:r w:rsidR="00912735">
        <w:rPr>
          <w:i/>
          <w:iCs/>
        </w:rPr>
        <w:t>&amp;</w:t>
      </w:r>
      <w:r w:rsidR="00C44BB6" w:rsidRPr="00C44BB6">
        <w:rPr>
          <w:i/>
          <w:iCs/>
        </w:rPr>
        <w:t xml:space="preserve"> Colman Products Ltd v Borden Inc </w:t>
      </w:r>
      <w:r w:rsidR="00C44BB6">
        <w:t xml:space="preserve">[1990] UKHL 12; </w:t>
      </w:r>
      <w:r w:rsidR="00C44BB6" w:rsidRPr="00C44BB6">
        <w:t>[1990] 1 WLR 491</w:t>
      </w:r>
      <w:r w:rsidR="00C44BB6">
        <w:t xml:space="preserve"> </w:t>
      </w:r>
      <w:r w:rsidR="00912735">
        <w:t>(</w:t>
      </w:r>
      <w:r w:rsidR="00912735" w:rsidRPr="00912735">
        <w:rPr>
          <w:b/>
          <w:i/>
        </w:rPr>
        <w:t>R</w:t>
      </w:r>
      <w:r w:rsidR="00630336">
        <w:rPr>
          <w:b/>
          <w:i/>
        </w:rPr>
        <w:t>ecki</w:t>
      </w:r>
      <w:r w:rsidR="00912735" w:rsidRPr="00912735">
        <w:rPr>
          <w:b/>
          <w:i/>
        </w:rPr>
        <w:t>tt &amp; Colman HL</w:t>
      </w:r>
      <w:r w:rsidR="00912735">
        <w:t xml:space="preserve">) </w:t>
      </w:r>
      <w:r w:rsidR="00C44BB6">
        <w:t>(at 499) by Lord Oliver of Aylmerton that passing off is not a branch of the law in which reference to other cases is of any real assistance except analogically.  The law of passing off can be summarised in one short general proposition – “no</w:t>
      </w:r>
      <w:r w:rsidR="00523981">
        <w:t xml:space="preserve"> person </w:t>
      </w:r>
      <w:r w:rsidR="00C44BB6">
        <w:t>may pass off his goods as those of another”.  More specifically, it may be expressed in terms of the elements which the</w:t>
      </w:r>
      <w:r w:rsidR="0065267B">
        <w:t xml:space="preserve"> plaintiff </w:t>
      </w:r>
      <w:r w:rsidR="00C44BB6">
        <w:t xml:space="preserve">in such an action has to prove in order to succeed.  </w:t>
      </w:r>
    </w:p>
    <w:p w14:paraId="4858FD9B" w14:textId="58E70CF3" w:rsidR="00C44BB6" w:rsidRDefault="001E3C6B" w:rsidP="001E3C6B">
      <w:pPr>
        <w:pStyle w:val="ParaNumbering"/>
        <w:numPr>
          <w:ilvl w:val="0"/>
          <w:numId w:val="0"/>
        </w:numPr>
        <w:ind w:hanging="720"/>
      </w:pPr>
      <w:r>
        <w:rPr>
          <w:sz w:val="20"/>
        </w:rPr>
        <w:t>449</w:t>
      </w:r>
      <w:r>
        <w:rPr>
          <w:sz w:val="20"/>
        </w:rPr>
        <w:tab/>
      </w:r>
      <w:r w:rsidR="00C44BB6" w:rsidRPr="00CF726A">
        <w:t>First</w:t>
      </w:r>
      <w:r w:rsidR="00C44BB6">
        <w:t xml:space="preserve">, they must establish goodwill or </w:t>
      </w:r>
      <w:r w:rsidR="00523981">
        <w:t xml:space="preserve">a </w:t>
      </w:r>
      <w:r w:rsidR="00C44BB6">
        <w:t xml:space="preserve">reputation attached to the goods or services which they supply </w:t>
      </w:r>
      <w:r w:rsidR="00912735">
        <w:t xml:space="preserve">in </w:t>
      </w:r>
      <w:r w:rsidR="00C44BB6">
        <w:t xml:space="preserve">the mind of the purchasing public by association with the identifying “get-up” under which their particular goods or services are offered to the public, such that the </w:t>
      </w:r>
      <w:r w:rsidR="00912735">
        <w:t>get-up</w:t>
      </w:r>
      <w:r w:rsidR="00C44BB6">
        <w:t xml:space="preserve"> is </w:t>
      </w:r>
      <w:r w:rsidR="00C44BB6">
        <w:lastRenderedPageBreak/>
        <w:t xml:space="preserve">recognised by the public </w:t>
      </w:r>
      <w:r w:rsidR="00912735">
        <w:t>as</w:t>
      </w:r>
      <w:r w:rsidR="00C44BB6">
        <w:t xml:space="preserve"> distinctive specifically of the</w:t>
      </w:r>
      <w:r w:rsidR="0065267B">
        <w:t xml:space="preserve"> plaintiff’s </w:t>
      </w:r>
      <w:r w:rsidR="00C44BB6">
        <w:t>goods or services</w:t>
      </w:r>
      <w:r w:rsidR="00912735">
        <w:t xml:space="preserve">: </w:t>
      </w:r>
      <w:r w:rsidR="00630336">
        <w:rPr>
          <w:i/>
        </w:rPr>
        <w:t>Recki</w:t>
      </w:r>
      <w:r w:rsidR="00912735" w:rsidRPr="00912735">
        <w:rPr>
          <w:i/>
        </w:rPr>
        <w:t>tt &amp; Colman HL</w:t>
      </w:r>
      <w:r w:rsidR="00912735">
        <w:t xml:space="preserve"> at 499</w:t>
      </w:r>
      <w:r w:rsidR="00C44BB6">
        <w:t>.</w:t>
      </w:r>
    </w:p>
    <w:p w14:paraId="1905F5F5" w14:textId="4EA6325E" w:rsidR="00912735" w:rsidRDefault="001E3C6B" w:rsidP="001E3C6B">
      <w:pPr>
        <w:pStyle w:val="ParaNumbering"/>
        <w:numPr>
          <w:ilvl w:val="0"/>
          <w:numId w:val="0"/>
        </w:numPr>
        <w:ind w:hanging="720"/>
      </w:pPr>
      <w:r>
        <w:rPr>
          <w:sz w:val="20"/>
        </w:rPr>
        <w:t>450</w:t>
      </w:r>
      <w:r>
        <w:rPr>
          <w:sz w:val="20"/>
        </w:rPr>
        <w:tab/>
      </w:r>
      <w:r w:rsidR="00912735">
        <w:t>What is required in respect of this element is proof of a substantial number of persons who</w:t>
      </w:r>
      <w:r w:rsidR="006F1F9A">
        <w:t xml:space="preserve"> are </w:t>
      </w:r>
      <w:r w:rsidR="00912735">
        <w:t>aware of the</w:t>
      </w:r>
      <w:r w:rsidR="0065267B">
        <w:t xml:space="preserve"> plaintiff’s </w:t>
      </w:r>
      <w:r w:rsidR="00912735">
        <w:t>product and who</w:t>
      </w:r>
      <w:r w:rsidR="006F1F9A">
        <w:t xml:space="preserve"> are </w:t>
      </w:r>
      <w:r w:rsidR="00912735">
        <w:t>thus potential customers.  Such persons represent, in a real sense, a commercial advantage available to be turned to account for the</w:t>
      </w:r>
      <w:r w:rsidR="0065267B">
        <w:t xml:space="preserve"> plaintiff’s </w:t>
      </w:r>
      <w:r w:rsidR="00912735">
        <w:t>benefit.</w:t>
      </w:r>
      <w:r w:rsidR="006F1F9A">
        <w:t xml:space="preserve">  See </w:t>
      </w:r>
      <w:r w:rsidR="006F1F9A" w:rsidRPr="00EA0F56">
        <w:rPr>
          <w:i/>
        </w:rPr>
        <w:t>Knott Investments</w:t>
      </w:r>
      <w:r w:rsidR="006F1F9A" w:rsidRPr="006F1F9A">
        <w:rPr>
          <w:i/>
        </w:rPr>
        <w:t xml:space="preserve"> Pty Ltd v Winnebago Industries Inc</w:t>
      </w:r>
      <w:r w:rsidR="006F1F9A" w:rsidRPr="006F1F9A">
        <w:t xml:space="preserve"> [2013] FCAFC 59</w:t>
      </w:r>
      <w:r w:rsidR="006F1F9A">
        <w:t>;</w:t>
      </w:r>
      <w:r w:rsidR="006F1F9A" w:rsidRPr="006F1F9A">
        <w:t xml:space="preserve"> 211 FCR 449</w:t>
      </w:r>
      <w:r w:rsidR="006F1F9A">
        <w:t xml:space="preserve"> at [14]</w:t>
      </w:r>
      <w:r w:rsidR="00CF726A">
        <w:t xml:space="preserve"> per Allsop CJ</w:t>
      </w:r>
      <w:r w:rsidR="00C656CC">
        <w:t>,</w:t>
      </w:r>
      <w:r w:rsidR="006F1F9A">
        <w:t xml:space="preserve"> citing </w:t>
      </w:r>
      <w:r w:rsidR="006F1F9A">
        <w:rPr>
          <w:i/>
        </w:rPr>
        <w:t>ConAgra</w:t>
      </w:r>
      <w:r w:rsidR="006F1F9A">
        <w:t xml:space="preserve"> at 346 (Lockhart J), 372 (Gummow J) and</w:t>
      </w:r>
      <w:r w:rsidR="006F1F9A" w:rsidRPr="006F1F9A">
        <w:t xml:space="preserve"> 377 (French J).</w:t>
      </w:r>
    </w:p>
    <w:p w14:paraId="14B978E5" w14:textId="692F1785" w:rsidR="0055687E" w:rsidRDefault="001E3C6B" w:rsidP="001E3C6B">
      <w:pPr>
        <w:pStyle w:val="ParaNumbering"/>
        <w:numPr>
          <w:ilvl w:val="0"/>
          <w:numId w:val="0"/>
        </w:numPr>
        <w:ind w:hanging="720"/>
      </w:pPr>
      <w:r>
        <w:rPr>
          <w:sz w:val="20"/>
        </w:rPr>
        <w:t>451</w:t>
      </w:r>
      <w:r>
        <w:rPr>
          <w:sz w:val="20"/>
        </w:rPr>
        <w:tab/>
      </w:r>
      <w:r w:rsidR="00C44BB6" w:rsidRPr="00CF726A">
        <w:t>Secondly</w:t>
      </w:r>
      <w:r w:rsidR="00C44BB6">
        <w:t>, they must demonstrate a misrepresentation by the</w:t>
      </w:r>
      <w:r w:rsidR="0065267B">
        <w:t xml:space="preserve"> defendant </w:t>
      </w:r>
      <w:r w:rsidR="00C44BB6">
        <w:t xml:space="preserve">to the public (whether or not intentional) </w:t>
      </w:r>
      <w:r w:rsidR="00912735">
        <w:t>leading</w:t>
      </w:r>
      <w:r w:rsidR="00C44BB6">
        <w:t xml:space="preserve"> or likely to lead the public to believe that goods or services offered by them </w:t>
      </w:r>
      <w:r w:rsidR="00912735">
        <w:t>are</w:t>
      </w:r>
      <w:r w:rsidR="00C44BB6">
        <w:t xml:space="preserve"> the goods or services of the</w:t>
      </w:r>
      <w:r w:rsidR="0065267B">
        <w:t xml:space="preserve"> plaintiff</w:t>
      </w:r>
      <w:r w:rsidR="00C44BB6">
        <w:t>.  Whether the public is awa</w:t>
      </w:r>
      <w:r w:rsidR="00912735">
        <w:t>re of the</w:t>
      </w:r>
      <w:r w:rsidR="0065267B">
        <w:t xml:space="preserve"> plaintiff’s </w:t>
      </w:r>
      <w:r w:rsidR="00912735">
        <w:t>identity a</w:t>
      </w:r>
      <w:r w:rsidR="00C44BB6">
        <w:t>s the manufacturer or supplier of the goods or services is immaterial, as long as they are identified with a particular source which is in fact the</w:t>
      </w:r>
      <w:r w:rsidR="0065267B">
        <w:t xml:space="preserve"> plaintiff</w:t>
      </w:r>
      <w:r w:rsidR="00C44BB6">
        <w:t>.</w:t>
      </w:r>
      <w:r w:rsidR="006F1F9A">
        <w:t xml:space="preserve">  See </w:t>
      </w:r>
      <w:r w:rsidR="006F1F9A" w:rsidRPr="00912735">
        <w:rPr>
          <w:i/>
        </w:rPr>
        <w:t>R</w:t>
      </w:r>
      <w:r w:rsidR="00630336">
        <w:rPr>
          <w:i/>
        </w:rPr>
        <w:t>ecki</w:t>
      </w:r>
      <w:r w:rsidR="006F1F9A" w:rsidRPr="00912735">
        <w:rPr>
          <w:i/>
        </w:rPr>
        <w:t>tt &amp; Colman HL</w:t>
      </w:r>
      <w:r w:rsidR="006F1F9A">
        <w:t xml:space="preserve"> at 499</w:t>
      </w:r>
      <w:r w:rsidR="0055687E">
        <w:t>.</w:t>
      </w:r>
    </w:p>
    <w:p w14:paraId="2A5FA835" w14:textId="510FE0C7" w:rsidR="00C44BB6" w:rsidRPr="00256649" w:rsidRDefault="001E3C6B" w:rsidP="001E3C6B">
      <w:pPr>
        <w:pStyle w:val="ParaNumbering"/>
        <w:numPr>
          <w:ilvl w:val="0"/>
          <w:numId w:val="0"/>
        </w:numPr>
        <w:ind w:hanging="720"/>
        <w:rPr>
          <w:i/>
        </w:rPr>
      </w:pPr>
      <w:r w:rsidRPr="00256649">
        <w:rPr>
          <w:sz w:val="20"/>
        </w:rPr>
        <w:t>452</w:t>
      </w:r>
      <w:r w:rsidRPr="00256649">
        <w:rPr>
          <w:sz w:val="20"/>
        </w:rPr>
        <w:tab/>
      </w:r>
      <w:r w:rsidR="0055687E">
        <w:t xml:space="preserve">However, the misrepresentation need not be that there is a common manufacturer or supplier of the goods or services.  Pertinent to the present case, is that misrepresentations as to various other “connections” between the plaintiff and the defendant (or its goods) in the form of approval or endorsement by the plaintiff have also been held to be actionable: </w:t>
      </w:r>
      <w:r w:rsidR="0055687E" w:rsidRPr="00256649">
        <w:rPr>
          <w:i/>
        </w:rPr>
        <w:t>Shanahan’s</w:t>
      </w:r>
      <w:r w:rsidR="0055687E">
        <w:t xml:space="preserve"> at </w:t>
      </w:r>
      <w:r w:rsidR="00463AD9">
        <w:t>[95.1900];</w:t>
      </w:r>
      <w:r w:rsidR="0055687E">
        <w:t xml:space="preserve"> </w:t>
      </w:r>
      <w:r w:rsidR="00256649" w:rsidRPr="00BD1E4F">
        <w:rPr>
          <w:i/>
          <w:iCs/>
        </w:rPr>
        <w:t xml:space="preserve">Moorgate Tobacco Co Ltd v Philip Morris Ltd (No </w:t>
      </w:r>
      <w:r w:rsidR="00C74D9F" w:rsidRPr="00BD1E4F">
        <w:t>2) [1984] HCA 73;</w:t>
      </w:r>
      <w:r w:rsidR="00256649" w:rsidRPr="00BD1E4F">
        <w:t xml:space="preserve"> 156 CLR 414 at 445 per Deane J </w:t>
      </w:r>
      <w:r w:rsidR="00BD1E4F">
        <w:t>(</w:t>
      </w:r>
      <w:r w:rsidR="00256649" w:rsidRPr="00BD1E4F">
        <w:t xml:space="preserve">Gibbs CJ, Mason, Wilson and Dawson JJ </w:t>
      </w:r>
      <w:r w:rsidR="00463AD9">
        <w:t>agreeing</w:t>
      </w:r>
      <w:r w:rsidR="00BD1E4F">
        <w:t>)</w:t>
      </w:r>
      <w:r w:rsidR="00256649" w:rsidRPr="00BD1E4F">
        <w:t>;</w:t>
      </w:r>
      <w:r w:rsidR="0055687E">
        <w:t xml:space="preserve"> </w:t>
      </w:r>
      <w:r w:rsidR="0055687E" w:rsidRPr="00256649">
        <w:rPr>
          <w:i/>
        </w:rPr>
        <w:t>Campomar</w:t>
      </w:r>
      <w:r w:rsidR="0055687E">
        <w:t xml:space="preserve"> at [109]-[110]; </w:t>
      </w:r>
      <w:r w:rsidR="0055687E" w:rsidRPr="00256649">
        <w:rPr>
          <w:i/>
        </w:rPr>
        <w:t>Ricegrowers Ltd v Real Foods Pty Ltd</w:t>
      </w:r>
      <w:r w:rsidR="0055687E">
        <w:t xml:space="preserve"> [2008] FCA 639; 77 IPR 32 at [57]</w:t>
      </w:r>
      <w:r w:rsidR="00463AD9">
        <w:t xml:space="preserve"> per Rares J</w:t>
      </w:r>
      <w:r w:rsidR="0055687E">
        <w:t xml:space="preserve">; </w:t>
      </w:r>
      <w:r w:rsidR="0055687E" w:rsidRPr="00256649">
        <w:rPr>
          <w:bCs/>
          <w:i/>
        </w:rPr>
        <w:t>Sheldon and Hammond Pty Ltd v Metrokane Inc</w:t>
      </w:r>
      <w:r w:rsidR="0055687E" w:rsidRPr="00256649">
        <w:rPr>
          <w:bCs/>
        </w:rPr>
        <w:t xml:space="preserve"> [2004] FCA 19; 135 FCR 34 at [164]</w:t>
      </w:r>
      <w:r w:rsidR="00463AD9">
        <w:rPr>
          <w:bCs/>
        </w:rPr>
        <w:t xml:space="preserve"> per Conti J</w:t>
      </w:r>
      <w:r w:rsidR="00256649" w:rsidRPr="00256649">
        <w:rPr>
          <w:bCs/>
        </w:rPr>
        <w:t xml:space="preserve">; </w:t>
      </w:r>
      <w:r w:rsidR="00256649" w:rsidRPr="00256649">
        <w:rPr>
          <w:bCs/>
          <w:i/>
        </w:rPr>
        <w:t>Pacific Dunlop Ltd v Hogan</w:t>
      </w:r>
      <w:r w:rsidR="00BD1E4F">
        <w:rPr>
          <w:bCs/>
        </w:rPr>
        <w:t xml:space="preserve"> [1989] FCA 250;</w:t>
      </w:r>
      <w:r w:rsidR="00256649" w:rsidRPr="00256649">
        <w:rPr>
          <w:bCs/>
        </w:rPr>
        <w:t xml:space="preserve"> 23 FCR 553</w:t>
      </w:r>
      <w:r w:rsidR="00256649">
        <w:rPr>
          <w:bCs/>
        </w:rPr>
        <w:t xml:space="preserve"> at 582 per Beaumont J and 583-584 per Burchett J.</w:t>
      </w:r>
    </w:p>
    <w:p w14:paraId="32C4C9E1" w14:textId="10957756" w:rsidR="00C44BB6" w:rsidRDefault="001E3C6B" w:rsidP="001E3C6B">
      <w:pPr>
        <w:pStyle w:val="ParaNumbering"/>
        <w:numPr>
          <w:ilvl w:val="0"/>
          <w:numId w:val="0"/>
        </w:numPr>
        <w:ind w:hanging="720"/>
      </w:pPr>
      <w:r>
        <w:rPr>
          <w:sz w:val="20"/>
        </w:rPr>
        <w:t>453</w:t>
      </w:r>
      <w:r>
        <w:rPr>
          <w:sz w:val="20"/>
        </w:rPr>
        <w:tab/>
      </w:r>
      <w:r w:rsidR="00C44BB6" w:rsidRPr="00FE01EA">
        <w:t>Thirdly,</w:t>
      </w:r>
      <w:r w:rsidR="00C44BB6">
        <w:t xml:space="preserve"> the</w:t>
      </w:r>
      <w:r w:rsidR="0065267B">
        <w:t xml:space="preserve"> plaintiff </w:t>
      </w:r>
      <w:r w:rsidR="00C44BB6">
        <w:t>must demonstrate that they suffer damage by reason of the erroneous belief engendered by the</w:t>
      </w:r>
      <w:r w:rsidR="0065267B">
        <w:t xml:space="preserve"> defendant’s </w:t>
      </w:r>
      <w:r w:rsidR="00C44BB6">
        <w:t>misrepresentation that the source of the</w:t>
      </w:r>
      <w:r w:rsidR="0065267B">
        <w:t xml:space="preserve"> defendant’s </w:t>
      </w:r>
      <w:r w:rsidR="00C44BB6">
        <w:t>goods or services is the same as the source of those offered by the</w:t>
      </w:r>
      <w:r w:rsidR="0065267B">
        <w:t xml:space="preserve"> plaintiff</w:t>
      </w:r>
      <w:r w:rsidR="00256649">
        <w:t xml:space="preserve"> (or that the defendant’s good are endorsed by the plaintiff or the goods are otherwise associated)</w:t>
      </w:r>
      <w:r w:rsidR="006F1F9A">
        <w:t xml:space="preserve">: </w:t>
      </w:r>
      <w:r w:rsidR="00630336">
        <w:rPr>
          <w:i/>
        </w:rPr>
        <w:t>Recki</w:t>
      </w:r>
      <w:r w:rsidR="006F1F9A" w:rsidRPr="00912735">
        <w:rPr>
          <w:i/>
        </w:rPr>
        <w:t>tt &amp; Colman HL</w:t>
      </w:r>
      <w:r w:rsidR="006F1F9A">
        <w:t xml:space="preserve"> at 499</w:t>
      </w:r>
      <w:r w:rsidR="00C44BB6">
        <w:t>.</w:t>
      </w:r>
    </w:p>
    <w:p w14:paraId="4281814C" w14:textId="77777777" w:rsidR="00343469" w:rsidRDefault="00343469" w:rsidP="00343469">
      <w:pPr>
        <w:pStyle w:val="Heading2"/>
      </w:pPr>
      <w:bookmarkStart w:id="114" w:name="_Ref54701609"/>
      <w:r>
        <w:lastRenderedPageBreak/>
        <w:t>Affiliation representations</w:t>
      </w:r>
      <w:bookmarkEnd w:id="114"/>
    </w:p>
    <w:p w14:paraId="7D4A222A" w14:textId="77777777" w:rsidR="00343469" w:rsidRDefault="00343469" w:rsidP="00343469">
      <w:pPr>
        <w:pStyle w:val="Heading3"/>
      </w:pPr>
      <w:r>
        <w:t>Introduction</w:t>
      </w:r>
    </w:p>
    <w:p w14:paraId="200D9222" w14:textId="463C40F9" w:rsidR="00343469" w:rsidRDefault="001E3C6B" w:rsidP="001E3C6B">
      <w:pPr>
        <w:pStyle w:val="ParaNumbering"/>
        <w:numPr>
          <w:ilvl w:val="0"/>
          <w:numId w:val="0"/>
        </w:numPr>
        <w:ind w:hanging="720"/>
      </w:pPr>
      <w:r>
        <w:rPr>
          <w:sz w:val="20"/>
        </w:rPr>
        <w:t>454</w:t>
      </w:r>
      <w:r>
        <w:rPr>
          <w:sz w:val="20"/>
        </w:rPr>
        <w:tab/>
      </w:r>
      <w:r w:rsidR="00343469">
        <w:t xml:space="preserve">The </w:t>
      </w:r>
      <w:r w:rsidR="00343469" w:rsidRPr="00C52FC2">
        <w:t xml:space="preserve">tables at </w:t>
      </w:r>
      <w:r w:rsidR="00343469" w:rsidRPr="00905E96">
        <w:t>[</w:t>
      </w:r>
      <w:r w:rsidR="00C52FC2" w:rsidRPr="00905E96">
        <w:fldChar w:fldCharType="begin" w:fldLock="1"/>
      </w:r>
      <w:r w:rsidR="00C52FC2" w:rsidRPr="00905E96">
        <w:instrText xml:space="preserve"> REF _Ref39572582 \r \h  \* MERGEFORMAT </w:instrText>
      </w:r>
      <w:r w:rsidR="00C52FC2" w:rsidRPr="00905E96">
        <w:fldChar w:fldCharType="separate"/>
      </w:r>
      <w:r w:rsidR="00756FCE">
        <w:t>111</w:t>
      </w:r>
      <w:r w:rsidR="00C52FC2" w:rsidRPr="00905E96">
        <w:fldChar w:fldCharType="end"/>
      </w:r>
      <w:r w:rsidR="00343469" w:rsidRPr="00905E96">
        <w:t>]-[</w:t>
      </w:r>
      <w:r w:rsidR="00C52FC2" w:rsidRPr="00905E96">
        <w:fldChar w:fldCharType="begin" w:fldLock="1"/>
      </w:r>
      <w:r w:rsidR="00C52FC2" w:rsidRPr="00905E96">
        <w:instrText xml:space="preserve"> REF _Ref39572602 \r \h  \* MERGEFORMAT </w:instrText>
      </w:r>
      <w:r w:rsidR="00C52FC2" w:rsidRPr="00905E96">
        <w:fldChar w:fldCharType="separate"/>
      </w:r>
      <w:r w:rsidR="00756FCE">
        <w:t>116</w:t>
      </w:r>
      <w:r w:rsidR="00C52FC2" w:rsidRPr="00905E96">
        <w:fldChar w:fldCharType="end"/>
      </w:r>
      <w:r w:rsidR="00343469" w:rsidRPr="00C52FC2">
        <w:t>] above identify</w:t>
      </w:r>
      <w:r w:rsidR="00343469">
        <w:t xml:space="preserve"> each statement made by Self Care about which Allergan complains as amounting to an affiliation representation, and in respect of which Self Care product the statement is made.</w:t>
      </w:r>
    </w:p>
    <w:p w14:paraId="43ABD2FB" w14:textId="4AA565B9" w:rsidR="00343469" w:rsidRDefault="001E3C6B" w:rsidP="001E3C6B">
      <w:pPr>
        <w:pStyle w:val="ParaNumbering"/>
        <w:numPr>
          <w:ilvl w:val="0"/>
          <w:numId w:val="0"/>
        </w:numPr>
        <w:ind w:hanging="720"/>
      </w:pPr>
      <w:r>
        <w:rPr>
          <w:sz w:val="20"/>
        </w:rPr>
        <w:t>455</w:t>
      </w:r>
      <w:r>
        <w:rPr>
          <w:sz w:val="20"/>
        </w:rPr>
        <w:tab/>
      </w:r>
      <w:r w:rsidR="00463AD9">
        <w:t>Allergan pleads</w:t>
      </w:r>
      <w:r w:rsidR="00343469">
        <w:t xml:space="preserve"> that the statements that it complains of in relation to all of the products make the following false representations about the product:</w:t>
      </w:r>
    </w:p>
    <w:p w14:paraId="31C9BC9A" w14:textId="4C85F8C4" w:rsidR="00343469" w:rsidRDefault="001E3C6B" w:rsidP="001E3C6B">
      <w:pPr>
        <w:pStyle w:val="ListNo1"/>
        <w:numPr>
          <w:ilvl w:val="0"/>
          <w:numId w:val="0"/>
        </w:numPr>
        <w:tabs>
          <w:tab w:val="left" w:pos="720"/>
        </w:tabs>
        <w:ind w:left="720" w:hanging="720"/>
      </w:pPr>
      <w:r>
        <w:t>(1)</w:t>
      </w:r>
      <w:r>
        <w:tab/>
      </w:r>
      <w:r w:rsidR="00343469">
        <w:t xml:space="preserve">the product is, or is related to, the Botox product or a product sold under the </w:t>
      </w:r>
      <w:r w:rsidR="00463AD9">
        <w:t>BOTOX</w:t>
      </w:r>
      <w:r w:rsidR="00343469">
        <w:t xml:space="preserve"> trade marks;</w:t>
      </w:r>
    </w:p>
    <w:p w14:paraId="23553C7C" w14:textId="4FFD8938" w:rsidR="00343469" w:rsidRDefault="001E3C6B" w:rsidP="001E3C6B">
      <w:pPr>
        <w:pStyle w:val="ListNo1"/>
        <w:numPr>
          <w:ilvl w:val="0"/>
          <w:numId w:val="0"/>
        </w:numPr>
        <w:tabs>
          <w:tab w:val="left" w:pos="720"/>
        </w:tabs>
        <w:ind w:left="720" w:hanging="720"/>
      </w:pPr>
      <w:r>
        <w:t>(2)</w:t>
      </w:r>
      <w:r>
        <w:tab/>
      </w:r>
      <w:r w:rsidR="00343469">
        <w:t>the product is a topical cream or serum containing the Botox products;</w:t>
      </w:r>
    </w:p>
    <w:p w14:paraId="17FE210A" w14:textId="6A1558D3" w:rsidR="00343469" w:rsidRDefault="001E3C6B" w:rsidP="001E3C6B">
      <w:pPr>
        <w:pStyle w:val="ListNo1"/>
        <w:numPr>
          <w:ilvl w:val="0"/>
          <w:numId w:val="0"/>
        </w:numPr>
        <w:tabs>
          <w:tab w:val="left" w:pos="720"/>
        </w:tabs>
        <w:ind w:left="720" w:hanging="720"/>
      </w:pPr>
      <w:r>
        <w:t>(3)</w:t>
      </w:r>
      <w:r>
        <w:tab/>
      </w:r>
      <w:r w:rsidR="00343469">
        <w:t>the product has the licence, sponsorship or approval of Allergan;</w:t>
      </w:r>
    </w:p>
    <w:p w14:paraId="0B4634C2" w14:textId="15293CFC" w:rsidR="00343469" w:rsidRDefault="001E3C6B" w:rsidP="001E3C6B">
      <w:pPr>
        <w:pStyle w:val="ListNo1"/>
        <w:numPr>
          <w:ilvl w:val="0"/>
          <w:numId w:val="0"/>
        </w:numPr>
        <w:tabs>
          <w:tab w:val="left" w:pos="720"/>
        </w:tabs>
        <w:ind w:left="720" w:hanging="720"/>
      </w:pPr>
      <w:r>
        <w:t>(4)</w:t>
      </w:r>
      <w:r>
        <w:tab/>
      </w:r>
      <w:r w:rsidR="00343469">
        <w:t xml:space="preserve">the product is affiliated with the business of Allergan; and </w:t>
      </w:r>
    </w:p>
    <w:p w14:paraId="1F62ABD4" w14:textId="1EED6ADC" w:rsidR="00343469" w:rsidRDefault="001E3C6B" w:rsidP="001E3C6B">
      <w:pPr>
        <w:pStyle w:val="ListNo1"/>
        <w:numPr>
          <w:ilvl w:val="0"/>
          <w:numId w:val="0"/>
        </w:numPr>
        <w:tabs>
          <w:tab w:val="left" w:pos="720"/>
        </w:tabs>
        <w:ind w:left="720" w:hanging="720"/>
      </w:pPr>
      <w:r>
        <w:t>(5)</w:t>
      </w:r>
      <w:r>
        <w:tab/>
      </w:r>
      <w:r w:rsidR="00343469">
        <w:t>Self Care has an approval from or connection or association with Allergan.</w:t>
      </w:r>
    </w:p>
    <w:p w14:paraId="2766A415" w14:textId="5E8E94C0" w:rsidR="00343469" w:rsidRDefault="001E3C6B" w:rsidP="001E3C6B">
      <w:pPr>
        <w:pStyle w:val="ParaNumbering"/>
        <w:numPr>
          <w:ilvl w:val="0"/>
          <w:numId w:val="0"/>
        </w:numPr>
        <w:ind w:hanging="720"/>
      </w:pPr>
      <w:r>
        <w:rPr>
          <w:sz w:val="20"/>
        </w:rPr>
        <w:t>456</w:t>
      </w:r>
      <w:r>
        <w:rPr>
          <w:sz w:val="20"/>
        </w:rPr>
        <w:tab/>
      </w:r>
      <w:r w:rsidR="00343469">
        <w:t xml:space="preserve">In respect of the </w:t>
      </w:r>
      <w:r w:rsidR="006E1D72">
        <w:t>Protox</w:t>
      </w:r>
      <w:r w:rsidR="00343469">
        <w:t xml:space="preserve"> product, Allergan also says that the statements that are complained of make the f</w:t>
      </w:r>
      <w:r w:rsidR="008E0D70">
        <w:t>ollowing false representations:</w:t>
      </w:r>
    </w:p>
    <w:p w14:paraId="27B178B8" w14:textId="370BE64B" w:rsidR="00343469" w:rsidRDefault="001E3C6B" w:rsidP="001E3C6B">
      <w:pPr>
        <w:pStyle w:val="ListNo1"/>
        <w:numPr>
          <w:ilvl w:val="0"/>
          <w:numId w:val="0"/>
        </w:numPr>
        <w:tabs>
          <w:tab w:val="left" w:pos="720"/>
        </w:tabs>
        <w:ind w:left="720" w:hanging="720"/>
      </w:pPr>
      <w:r>
        <w:t>(1)</w:t>
      </w:r>
      <w:r>
        <w:tab/>
      </w:r>
      <w:r w:rsidR="00343469">
        <w:t xml:space="preserve">the </w:t>
      </w:r>
      <w:r w:rsidR="006E1D72">
        <w:t>Protox</w:t>
      </w:r>
      <w:r w:rsidR="00343469">
        <w:t xml:space="preserve"> product has a therapeutic use Allergan has verified as correct;</w:t>
      </w:r>
    </w:p>
    <w:p w14:paraId="5E71026F" w14:textId="0DEF7944" w:rsidR="00343469" w:rsidRDefault="001E3C6B" w:rsidP="001E3C6B">
      <w:pPr>
        <w:pStyle w:val="ListNo1"/>
        <w:numPr>
          <w:ilvl w:val="0"/>
          <w:numId w:val="0"/>
        </w:numPr>
        <w:tabs>
          <w:tab w:val="left" w:pos="720"/>
        </w:tabs>
        <w:ind w:left="720" w:hanging="720"/>
      </w:pPr>
      <w:r>
        <w:t>(2)</w:t>
      </w:r>
      <w:r>
        <w:tab/>
      </w:r>
      <w:r w:rsidR="00343469">
        <w:t xml:space="preserve">Allergan has verified as correct that the physiological processes of the Botox products can be influenced, modified or extended by the use of the </w:t>
      </w:r>
      <w:r w:rsidR="006E1D72">
        <w:t>Protox</w:t>
      </w:r>
      <w:r w:rsidR="00343469">
        <w:t xml:space="preserve"> product; and</w:t>
      </w:r>
    </w:p>
    <w:p w14:paraId="30774321" w14:textId="3AF6177A" w:rsidR="00343469" w:rsidRDefault="001E3C6B" w:rsidP="001E3C6B">
      <w:pPr>
        <w:pStyle w:val="ListNo1"/>
        <w:numPr>
          <w:ilvl w:val="0"/>
          <w:numId w:val="0"/>
        </w:numPr>
        <w:tabs>
          <w:tab w:val="left" w:pos="720"/>
        </w:tabs>
        <w:ind w:left="720" w:hanging="720"/>
      </w:pPr>
      <w:r>
        <w:t>(3)</w:t>
      </w:r>
      <w:r>
        <w:tab/>
      </w:r>
      <w:r w:rsidR="00343469">
        <w:t xml:space="preserve">Self Care is legally permitted to advertise the </w:t>
      </w:r>
      <w:r w:rsidR="006E1D72">
        <w:t>Protox</w:t>
      </w:r>
      <w:r w:rsidR="00343469">
        <w:t xml:space="preserve"> product and/or the Botox products, including under the TG Act.</w:t>
      </w:r>
    </w:p>
    <w:p w14:paraId="6A57048E" w14:textId="3E075935" w:rsidR="00343469" w:rsidRDefault="001E3C6B" w:rsidP="001E3C6B">
      <w:pPr>
        <w:pStyle w:val="ParaNumbering"/>
        <w:numPr>
          <w:ilvl w:val="0"/>
          <w:numId w:val="0"/>
        </w:numPr>
        <w:ind w:hanging="720"/>
      </w:pPr>
      <w:r>
        <w:rPr>
          <w:sz w:val="20"/>
        </w:rPr>
        <w:t>457</w:t>
      </w:r>
      <w:r>
        <w:rPr>
          <w:sz w:val="20"/>
        </w:rPr>
        <w:tab/>
      </w:r>
      <w:r w:rsidR="00343469">
        <w:t xml:space="preserve">Save for stating that it represented that the </w:t>
      </w:r>
      <w:r w:rsidR="006E1D72">
        <w:t>Protox</w:t>
      </w:r>
      <w:r w:rsidR="00343469">
        <w:t xml:space="preserve"> product can prolong the visual effects of anti-wrinkle injections, including Botox, Self Care denies that the statements that are complained of make the representations identified by Allergan.  I do not understand Self Care to dispute that the identified representations </w:t>
      </w:r>
      <w:r w:rsidR="00EB3296">
        <w:t>are</w:t>
      </w:r>
      <w:r w:rsidR="00343469">
        <w:t xml:space="preserve"> false – the question is whether by the complained of statements the representations were made.  Similarly, I do not understand Self Care to dispute that the statements that are complained of were made in trade or commerce in Australia, and hence that the representations, if made, were similarly made in trade or commerce in Australia</w:t>
      </w:r>
      <w:r w:rsidR="005574EA">
        <w:t>.</w:t>
      </w:r>
    </w:p>
    <w:p w14:paraId="2756A4F0" w14:textId="5252655C" w:rsidR="0079434A" w:rsidRDefault="001E3C6B" w:rsidP="001E3C6B">
      <w:pPr>
        <w:pStyle w:val="ParaNumbering"/>
        <w:numPr>
          <w:ilvl w:val="0"/>
          <w:numId w:val="0"/>
        </w:numPr>
        <w:ind w:hanging="720"/>
      </w:pPr>
      <w:r>
        <w:rPr>
          <w:sz w:val="20"/>
        </w:rPr>
        <w:t>458</w:t>
      </w:r>
      <w:r>
        <w:rPr>
          <w:sz w:val="20"/>
        </w:rPr>
        <w:tab/>
      </w:r>
      <w:r w:rsidR="00463AD9">
        <w:t>Allergan pleads</w:t>
      </w:r>
      <w:r w:rsidR="00343469">
        <w:t xml:space="preserve"> the conduct of Self Care in making the complained of statements, which in turn made the representations which were false, in the course of trade or commerce in Australia, constitutes misleading or deceptive conduct or conduct which is likely to mislead or deceive in </w:t>
      </w:r>
      <w:r w:rsidR="00343469">
        <w:lastRenderedPageBreak/>
        <w:t>contravention of s 18 of the</w:t>
      </w:r>
      <w:r w:rsidR="00463AD9">
        <w:t xml:space="preserve"> ACL.  Alternatively, it pleads</w:t>
      </w:r>
      <w:r w:rsidR="00343469">
        <w:t xml:space="preserve"> that Self Care represented that each product has a sponsorship and/or approval it does not have, in contravention of s 29(1)(g), or that Self Care has a sponsorship, approval and/or affiliation that it does not have, in contraven</w:t>
      </w:r>
      <w:r w:rsidR="008E0D70">
        <w:t>tion of s 29(1)(h) of the ACL.</w:t>
      </w:r>
    </w:p>
    <w:p w14:paraId="42024D80" w14:textId="37910AA6" w:rsidR="005C767E" w:rsidRDefault="001E3C6B" w:rsidP="001E3C6B">
      <w:pPr>
        <w:pStyle w:val="ParaNumbering"/>
        <w:numPr>
          <w:ilvl w:val="0"/>
          <w:numId w:val="0"/>
        </w:numPr>
        <w:ind w:hanging="720"/>
      </w:pPr>
      <w:r>
        <w:rPr>
          <w:sz w:val="20"/>
        </w:rPr>
        <w:t>459</w:t>
      </w:r>
      <w:r>
        <w:rPr>
          <w:sz w:val="20"/>
        </w:rPr>
        <w:tab/>
      </w:r>
      <w:r w:rsidR="00463AD9">
        <w:t>Allergan also pleads</w:t>
      </w:r>
      <w:r w:rsidR="005C767E">
        <w:t xml:space="preserve"> that the affiliation representations make false representations of affiliation with Allergan or the Botox products to Australian consumers which cause, or will reasonably foreseeably cause, damage to Allerga</w:t>
      </w:r>
      <w:r w:rsidR="00EA0F56">
        <w:t xml:space="preserve">n including by appropriation </w:t>
      </w:r>
      <w:r w:rsidR="0096238A">
        <w:t xml:space="preserve">or diminution of </w:t>
      </w:r>
      <w:r w:rsidR="005C767E">
        <w:t xml:space="preserve">the reputation and goodwill of Allergan in and to the </w:t>
      </w:r>
      <w:r w:rsidR="00ED3FB0">
        <w:t xml:space="preserve">BOTOX </w:t>
      </w:r>
      <w:r w:rsidR="005C767E">
        <w:t xml:space="preserve">brand, the Botox products and the </w:t>
      </w:r>
      <w:r w:rsidR="00ED3FB0">
        <w:t xml:space="preserve">BOTOX </w:t>
      </w:r>
      <w:r w:rsidR="005C767E">
        <w:t>marks.  By reason of those matters, it is pleaded that Self Care has engaged in the tort of passing off.</w:t>
      </w:r>
    </w:p>
    <w:p w14:paraId="6D63F7D2" w14:textId="4996C1AE" w:rsidR="005C767E" w:rsidRDefault="001E3C6B" w:rsidP="001E3C6B">
      <w:pPr>
        <w:pStyle w:val="ParaNumbering"/>
        <w:numPr>
          <w:ilvl w:val="0"/>
          <w:numId w:val="0"/>
        </w:numPr>
        <w:ind w:hanging="720"/>
      </w:pPr>
      <w:r>
        <w:rPr>
          <w:sz w:val="20"/>
        </w:rPr>
        <w:t>460</w:t>
      </w:r>
      <w:r>
        <w:rPr>
          <w:sz w:val="20"/>
        </w:rPr>
        <w:tab/>
      </w:r>
      <w:r w:rsidR="005C767E">
        <w:t>Alle</w:t>
      </w:r>
      <w:r w:rsidR="00463AD9">
        <w:t>rgan also pleads that Self Care</w:t>
      </w:r>
      <w:r w:rsidR="005C767E">
        <w:t xml:space="preserve"> was engaged in deliberately and knowingly</w:t>
      </w:r>
      <w:r w:rsidR="0096238A">
        <w:t xml:space="preserve"> making or authorising the making of the affiliation representations</w:t>
      </w:r>
      <w:r w:rsidR="005C767E">
        <w:t xml:space="preserve"> with the intention of misleading or deceiving consumers into believing that the products are affiliated.</w:t>
      </w:r>
    </w:p>
    <w:p w14:paraId="2F2728B4" w14:textId="77777777" w:rsidR="005C767E" w:rsidRDefault="005C767E" w:rsidP="005C767E">
      <w:pPr>
        <w:pStyle w:val="Heading3"/>
      </w:pPr>
      <w:bookmarkStart w:id="115" w:name="_Ref54701610"/>
      <w:r>
        <w:t>Consideration</w:t>
      </w:r>
      <w:bookmarkEnd w:id="115"/>
    </w:p>
    <w:p w14:paraId="0C514D26" w14:textId="7F17A80C" w:rsidR="00815341" w:rsidRPr="001E0E04" w:rsidRDefault="001E3C6B" w:rsidP="001E3C6B">
      <w:pPr>
        <w:pStyle w:val="ParaNumbering"/>
        <w:numPr>
          <w:ilvl w:val="0"/>
          <w:numId w:val="0"/>
        </w:numPr>
        <w:ind w:hanging="720"/>
      </w:pPr>
      <w:r w:rsidRPr="001E0E04">
        <w:rPr>
          <w:sz w:val="20"/>
        </w:rPr>
        <w:t>461</w:t>
      </w:r>
      <w:r w:rsidRPr="001E0E04">
        <w:rPr>
          <w:sz w:val="20"/>
        </w:rPr>
        <w:tab/>
      </w:r>
      <w:r w:rsidR="00815341" w:rsidRPr="001E0E04">
        <w:t xml:space="preserve">I </w:t>
      </w:r>
      <w:r w:rsidR="00B14BDB">
        <w:t>am not satisfied</w:t>
      </w:r>
      <w:r w:rsidR="00815341" w:rsidRPr="001E0E04">
        <w:t xml:space="preserve"> that the ACL and passing off cases based on the affiliation representations have been established.</w:t>
      </w:r>
    </w:p>
    <w:p w14:paraId="2609506C" w14:textId="2D646230" w:rsidR="00815341" w:rsidRDefault="001E3C6B" w:rsidP="001E3C6B">
      <w:pPr>
        <w:pStyle w:val="ParaNumbering"/>
        <w:numPr>
          <w:ilvl w:val="0"/>
          <w:numId w:val="0"/>
        </w:numPr>
        <w:ind w:hanging="720"/>
      </w:pPr>
      <w:r>
        <w:rPr>
          <w:sz w:val="20"/>
        </w:rPr>
        <w:t>462</w:t>
      </w:r>
      <w:r>
        <w:rPr>
          <w:sz w:val="20"/>
        </w:rPr>
        <w:tab/>
      </w:r>
      <w:r w:rsidR="00815341" w:rsidRPr="001E0E04">
        <w:t>The principal r</w:t>
      </w:r>
      <w:r w:rsidR="00815341" w:rsidRPr="004F3EE4">
        <w:t>eason for that conclusion is that Self Care, for the most part, makes it clear that its products are</w:t>
      </w:r>
      <w:r w:rsidR="00815341" w:rsidRPr="00E45557">
        <w:t xml:space="preserve"> not Allergan’s products; they are advertised and presented as an “alternative” to Botox.  Whether or not </w:t>
      </w:r>
      <w:r w:rsidR="00523981">
        <w:t xml:space="preserve">the word </w:t>
      </w:r>
      <w:r w:rsidR="00815341" w:rsidRPr="00E45557">
        <w:t>B</w:t>
      </w:r>
      <w:r w:rsidR="007238B9">
        <w:t>OTOX</w:t>
      </w:r>
      <w:r w:rsidR="00815341" w:rsidRPr="00E45557">
        <w:t xml:space="preserve"> as used in that context is understood to be Allergan’s product by that name, or understood more generally as a generic reference to bot</w:t>
      </w:r>
      <w:r w:rsidR="00815341" w:rsidRPr="001E0E04">
        <w:t>ulinum toxin anti-wrinkle injections, does not matter.  The point is that Self Care’s products are an alternative to that other product</w:t>
      </w:r>
      <w:r w:rsidR="00815341">
        <w:t>.</w:t>
      </w:r>
    </w:p>
    <w:p w14:paraId="4E5EF9C1" w14:textId="5D9EBA77" w:rsidR="00815341" w:rsidRDefault="001E3C6B" w:rsidP="001E3C6B">
      <w:pPr>
        <w:pStyle w:val="ParaNumbering"/>
        <w:numPr>
          <w:ilvl w:val="0"/>
          <w:numId w:val="0"/>
        </w:numPr>
        <w:ind w:hanging="720"/>
      </w:pPr>
      <w:r>
        <w:rPr>
          <w:sz w:val="20"/>
        </w:rPr>
        <w:t>463</w:t>
      </w:r>
      <w:r>
        <w:rPr>
          <w:sz w:val="20"/>
        </w:rPr>
        <w:tab/>
      </w:r>
      <w:r w:rsidR="00815341">
        <w:t>Moreover, that other product</w:t>
      </w:r>
      <w:r w:rsidR="00815341" w:rsidRPr="001E0E04">
        <w:t xml:space="preserve"> is also known to be very different, i.e.</w:t>
      </w:r>
      <w:r w:rsidR="00463AD9">
        <w:t>,</w:t>
      </w:r>
      <w:r w:rsidR="00815341" w:rsidRPr="001E0E04">
        <w:t xml:space="preserve"> it is an injectable administered only by healthcare professionals and is significantly more expensive.  </w:t>
      </w:r>
    </w:p>
    <w:p w14:paraId="2CA035A2" w14:textId="7D41BA8D" w:rsidR="00815341" w:rsidRPr="001E0E04" w:rsidRDefault="001E3C6B" w:rsidP="001E3C6B">
      <w:pPr>
        <w:pStyle w:val="ParaNumbering"/>
        <w:numPr>
          <w:ilvl w:val="0"/>
          <w:numId w:val="0"/>
        </w:numPr>
        <w:ind w:hanging="720"/>
      </w:pPr>
      <w:r w:rsidRPr="001E0E04">
        <w:rPr>
          <w:sz w:val="20"/>
        </w:rPr>
        <w:t>464</w:t>
      </w:r>
      <w:r w:rsidRPr="001E0E04">
        <w:rPr>
          <w:sz w:val="20"/>
        </w:rPr>
        <w:tab/>
      </w:r>
      <w:r w:rsidR="00815341" w:rsidRPr="001E0E04">
        <w:t>The description “alternative” carries with it the inevitable and clear message that Self Care’s product is not Botox.  “Alternative” is a powerful word and it does a lot of work in this context.</w:t>
      </w:r>
    </w:p>
    <w:p w14:paraId="19365D7F" w14:textId="5AB217A3" w:rsidR="00815341" w:rsidRPr="001E0E04" w:rsidRDefault="001E3C6B" w:rsidP="001E3C6B">
      <w:pPr>
        <w:pStyle w:val="ParaNumbering"/>
        <w:numPr>
          <w:ilvl w:val="0"/>
          <w:numId w:val="0"/>
        </w:numPr>
        <w:ind w:hanging="720"/>
      </w:pPr>
      <w:r w:rsidRPr="001E0E04">
        <w:rPr>
          <w:sz w:val="20"/>
        </w:rPr>
        <w:t>465</w:t>
      </w:r>
      <w:r w:rsidRPr="001E0E04">
        <w:rPr>
          <w:sz w:val="20"/>
        </w:rPr>
        <w:tab/>
      </w:r>
      <w:r w:rsidR="00815341" w:rsidRPr="001E0E04">
        <w:t>Where B</w:t>
      </w:r>
      <w:r w:rsidR="000E46F7">
        <w:t>OTOX</w:t>
      </w:r>
      <w:r w:rsidR="00815341" w:rsidRPr="001E0E04">
        <w:t xml:space="preserve"> is used in such a way that it is clearly a reference to Allergan’s trade mark, such as when it has the registered trade mark ® symbol next to it and when it is stated that B</w:t>
      </w:r>
      <w:r w:rsidR="000E46F7">
        <w:t>OTOX</w:t>
      </w:r>
      <w:r w:rsidR="00815341" w:rsidRPr="001E0E04">
        <w:t xml:space="preserve"> is the registered trade mark of Allergan Inc, that does not convey sponsorship, approval or association.  It is a factual statement that is entirely accurate.  Allergan’s case in </w:t>
      </w:r>
      <w:r w:rsidR="00815341" w:rsidRPr="001E0E04">
        <w:lastRenderedPageBreak/>
        <w:t>this respect in effect asks me to conclude that consumers will misunderstand such statements as conveying sponsorship, approval or association even though in fact they do not.  There is no evidence that any consumer has in fact had such a misunderstanding.  Indeed, Ms De Cruz stated that Alle</w:t>
      </w:r>
      <w:r w:rsidR="008179C4">
        <w:t>r</w:t>
      </w:r>
      <w:r w:rsidR="00815341" w:rsidRPr="001E0E04">
        <w:t>gan Australia has received no consumer complaint about the Protox product.  There is simply no evidential basis on which I can reach a conclusion that the simple factual statements, in the context in which they are made which includes on product packaging and in advertisements for Self Care’s products, that B</w:t>
      </w:r>
      <w:r w:rsidR="000E46F7">
        <w:t>OTOX</w:t>
      </w:r>
      <w:r w:rsidR="00815341" w:rsidRPr="001E0E04">
        <w:t xml:space="preserve"> is the registered trade</w:t>
      </w:r>
      <w:r w:rsidR="005F1761">
        <w:t xml:space="preserve"> </w:t>
      </w:r>
      <w:r w:rsidR="00815341" w:rsidRPr="001E0E04">
        <w:t xml:space="preserve">mark of Allergan Inc </w:t>
      </w:r>
      <w:r w:rsidR="00B14BDB">
        <w:t>are</w:t>
      </w:r>
      <w:r w:rsidR="00815341" w:rsidRPr="001E0E04">
        <w:t xml:space="preserve"> understood by consumers to convey some association, sponsorship or approval.</w:t>
      </w:r>
    </w:p>
    <w:p w14:paraId="55AD9C37" w14:textId="6737973E" w:rsidR="00815341" w:rsidRDefault="001E3C6B" w:rsidP="001E3C6B">
      <w:pPr>
        <w:pStyle w:val="ParaNumbering"/>
        <w:numPr>
          <w:ilvl w:val="0"/>
          <w:numId w:val="0"/>
        </w:numPr>
        <w:ind w:hanging="720"/>
      </w:pPr>
      <w:r>
        <w:rPr>
          <w:sz w:val="20"/>
        </w:rPr>
        <w:t>466</w:t>
      </w:r>
      <w:r>
        <w:rPr>
          <w:sz w:val="20"/>
        </w:rPr>
        <w:tab/>
      </w:r>
      <w:r w:rsidR="00815341">
        <w:t>As I have concluded, the reputation of Botox is as an injectable anti-wrinkle treatment available only from healthcare professionals.  It is not a reputation which spreads more broadly into topical creams and serums such as Self Care’s products.  In those circumstances, the reputation of Botox is not likely to give rise to consumer confusion between it and Self Care’s products.</w:t>
      </w:r>
    </w:p>
    <w:p w14:paraId="004EC3F9" w14:textId="7DB6C1D9" w:rsidR="00815341" w:rsidRPr="001E0E04" w:rsidRDefault="001E3C6B" w:rsidP="001E3C6B">
      <w:pPr>
        <w:pStyle w:val="ParaNumbering"/>
        <w:numPr>
          <w:ilvl w:val="0"/>
          <w:numId w:val="0"/>
        </w:numPr>
        <w:ind w:hanging="720"/>
      </w:pPr>
      <w:r w:rsidRPr="001E0E04">
        <w:rPr>
          <w:sz w:val="20"/>
        </w:rPr>
        <w:t>467</w:t>
      </w:r>
      <w:r w:rsidRPr="001E0E04">
        <w:rPr>
          <w:sz w:val="20"/>
        </w:rPr>
        <w:tab/>
      </w:r>
      <w:r w:rsidR="00815341" w:rsidRPr="001E0E04">
        <w:t>Allergan relies on what it identifies as Ms Amoroso’s intention with regard to the affiliation representations, which intention it submits can be ascribed to Self Care.  There is no difficulty with regard to Ms Amoroso’s intention being ascribed to Self Care.  The difficulty is in Allergan’s submission that Ms Amoroso had an intention to mislead or deceive, or to pass off Self Care’s products as Allergan’s, or to be associated with Allergan’s products.</w:t>
      </w:r>
    </w:p>
    <w:p w14:paraId="68C0E0B3" w14:textId="2ECCB133" w:rsidR="00815341" w:rsidRDefault="001E3C6B" w:rsidP="001E3C6B">
      <w:pPr>
        <w:pStyle w:val="ParaNumbering"/>
        <w:numPr>
          <w:ilvl w:val="0"/>
          <w:numId w:val="0"/>
        </w:numPr>
        <w:ind w:hanging="720"/>
      </w:pPr>
      <w:r>
        <w:rPr>
          <w:sz w:val="20"/>
        </w:rPr>
        <w:t>468</w:t>
      </w:r>
      <w:r>
        <w:rPr>
          <w:sz w:val="20"/>
        </w:rPr>
        <w:tab/>
      </w:r>
      <w:r w:rsidR="00815341" w:rsidRPr="001E0E04">
        <w:t>Ms Amoroso’s intention, as accepted by her, was to allude to and reference injectable anti-wrinkle products, including Allergan’s product.  However, the purpose behind that intention was in order to present Self Care’s products as alternatives to injectable anti-wrinkle products.  Rather than to suggest any association between the respective products, the intention was to differentiate them.</w:t>
      </w:r>
      <w:r w:rsidR="00815341">
        <w:t xml:space="preserve">  The intention was also, obviously, that Self Care’s products should compete with anti-wrinkle injectables, including the Botox product, but there can be no complaint about that.  Products are launched and marketed every day with the intention that they compete with other products, and the mere mentioning of other products even by name does not on its own</w:t>
      </w:r>
      <w:r w:rsidR="00297B1D">
        <w:t xml:space="preserve"> amount </w:t>
      </w:r>
      <w:r w:rsidR="00815341">
        <w:t>to any misleading or deceptive message or to a false message of affiliation, sponsorship or approval.</w:t>
      </w:r>
    </w:p>
    <w:p w14:paraId="4A792A8A" w14:textId="266C963F" w:rsidR="00815341" w:rsidRDefault="001E3C6B" w:rsidP="001E3C6B">
      <w:pPr>
        <w:pStyle w:val="ParaNumbering"/>
        <w:numPr>
          <w:ilvl w:val="0"/>
          <w:numId w:val="0"/>
        </w:numPr>
        <w:ind w:hanging="720"/>
      </w:pPr>
      <w:r>
        <w:rPr>
          <w:sz w:val="20"/>
        </w:rPr>
        <w:t>469</w:t>
      </w:r>
      <w:r>
        <w:rPr>
          <w:sz w:val="20"/>
        </w:rPr>
        <w:tab/>
      </w:r>
      <w:r w:rsidR="00815341">
        <w:t>Allergan’s submission that Self Care intended to mislead or deceive from which I should infer that that intention has been or is likely to be effective, must accordingly fail.</w:t>
      </w:r>
    </w:p>
    <w:p w14:paraId="2561CD7F" w14:textId="2F17282A" w:rsidR="00815341" w:rsidRDefault="001E3C6B" w:rsidP="001E3C6B">
      <w:pPr>
        <w:pStyle w:val="ParaNumbering"/>
        <w:numPr>
          <w:ilvl w:val="0"/>
          <w:numId w:val="0"/>
        </w:numPr>
        <w:ind w:hanging="720"/>
      </w:pPr>
      <w:r>
        <w:rPr>
          <w:sz w:val="20"/>
        </w:rPr>
        <w:lastRenderedPageBreak/>
        <w:t>470</w:t>
      </w:r>
      <w:r>
        <w:rPr>
          <w:sz w:val="20"/>
        </w:rPr>
        <w:tab/>
      </w:r>
      <w:r w:rsidR="00815341">
        <w:t>Alle</w:t>
      </w:r>
      <w:r w:rsidR="008179C4">
        <w:t>r</w:t>
      </w:r>
      <w:r w:rsidR="00815341">
        <w:t xml:space="preserve">gan refers to </w:t>
      </w:r>
      <w:r w:rsidR="00815341" w:rsidRPr="00582E38">
        <w:rPr>
          <w:i/>
          <w:iCs/>
        </w:rPr>
        <w:t xml:space="preserve">Sydneywide Distributors Pty Ltd v </w:t>
      </w:r>
      <w:r w:rsidR="00815341" w:rsidRPr="00EA0F56">
        <w:rPr>
          <w:i/>
          <w:iCs/>
        </w:rPr>
        <w:t>Red Bull</w:t>
      </w:r>
      <w:r w:rsidR="00815341" w:rsidRPr="00C00F81">
        <w:rPr>
          <w:i/>
          <w:iCs/>
        </w:rPr>
        <w:t xml:space="preserve"> </w:t>
      </w:r>
      <w:r w:rsidR="00815341" w:rsidRPr="00582E38">
        <w:rPr>
          <w:i/>
          <w:iCs/>
        </w:rPr>
        <w:t xml:space="preserve">Australia Pty Ltd </w:t>
      </w:r>
      <w:r w:rsidR="00815341" w:rsidRPr="00582E38">
        <w:t xml:space="preserve">[2002] FCAFC 157; 234 FCR 549 </w:t>
      </w:r>
      <w:r w:rsidR="00463AD9">
        <w:t xml:space="preserve">at [117] </w:t>
      </w:r>
      <w:r w:rsidR="00815341" w:rsidRPr="00582E38">
        <w:t>per Weinberg and Dowsett JJ</w:t>
      </w:r>
      <w:r w:rsidR="004F3EE4">
        <w:t xml:space="preserve"> (Branson J agreeing)</w:t>
      </w:r>
      <w:r w:rsidR="00815341" w:rsidRPr="00582E38">
        <w:t xml:space="preserve"> </w:t>
      </w:r>
      <w:r w:rsidR="00815341">
        <w:t>where the following was</w:t>
      </w:r>
      <w:r w:rsidR="008E0D70">
        <w:t xml:space="preserve"> said with regard to intention:</w:t>
      </w:r>
    </w:p>
    <w:p w14:paraId="3415410D" w14:textId="40BD2716" w:rsidR="00815341" w:rsidRDefault="00815341" w:rsidP="00815341">
      <w:pPr>
        <w:pStyle w:val="Quote1"/>
      </w:pPr>
      <w:r>
        <w:t>[W]</w:t>
      </w:r>
      <w:r w:rsidRPr="00582E38">
        <w:t xml:space="preserve">here a trader, having knowledge of a particular market, borrows aspects of a competitor’s get-up, it is a reasonable inference that he or she believes that there will be a market benefit in so doing. </w:t>
      </w:r>
      <w:r>
        <w:t xml:space="preserve"> </w:t>
      </w:r>
      <w:r w:rsidRPr="00582E38">
        <w:t xml:space="preserve">Often, the obvious benefit will be the attraction of custom which would otherwise have gone to the competitor. </w:t>
      </w:r>
      <w:r>
        <w:t xml:space="preserve"> </w:t>
      </w:r>
      <w:r w:rsidRPr="00582E38">
        <w:t xml:space="preserve">It is an available inference from those propositions that the trader, with knowledge of the market, considered that such borrowing was “fitted for the purpose and therefore likely to deceive or confuse”. </w:t>
      </w:r>
      <w:r>
        <w:t xml:space="preserve"> </w:t>
      </w:r>
      <w:r w:rsidRPr="00582E38">
        <w:t xml:space="preserve">Of course, the trader may explain his or conduct in such a way as to undermine the availability of that inference. </w:t>
      </w:r>
      <w:r>
        <w:t xml:space="preserve"> </w:t>
      </w:r>
      <w:r w:rsidRPr="00582E38">
        <w:t>Obviously, this reasoning will only apply where there are similarities in get-up which suggest borrowing.</w:t>
      </w:r>
    </w:p>
    <w:p w14:paraId="2E6D673E" w14:textId="67512577" w:rsidR="00815341" w:rsidRDefault="001E3C6B" w:rsidP="001E3C6B">
      <w:pPr>
        <w:pStyle w:val="ParaNumbering"/>
        <w:numPr>
          <w:ilvl w:val="0"/>
          <w:numId w:val="0"/>
        </w:numPr>
        <w:ind w:hanging="720"/>
      </w:pPr>
      <w:r>
        <w:rPr>
          <w:sz w:val="20"/>
        </w:rPr>
        <w:t>471</w:t>
      </w:r>
      <w:r>
        <w:rPr>
          <w:sz w:val="20"/>
        </w:rPr>
        <w:tab/>
      </w:r>
      <w:r w:rsidR="00815341">
        <w:t xml:space="preserve">However, Self Care has not, in my assessment, borrowed any of Allergan’s get-up.  Reference to Botox in product packaging and advertisements, and acknowledging that </w:t>
      </w:r>
      <w:r w:rsidR="00463AD9">
        <w:t>BOTOX</w:t>
      </w:r>
      <w:r w:rsidR="00815341">
        <w:t xml:space="preserve"> is a registered trade mark of Allergan</w:t>
      </w:r>
      <w:r w:rsidR="00297B1D">
        <w:t>,</w:t>
      </w:r>
      <w:r w:rsidR="00815341">
        <w:t xml:space="preserve"> is not to adopt Allergan’s get-up.</w:t>
      </w:r>
    </w:p>
    <w:p w14:paraId="361E6EFF" w14:textId="18D2BAB3" w:rsidR="00815341" w:rsidRDefault="001E3C6B" w:rsidP="001E3C6B">
      <w:pPr>
        <w:pStyle w:val="ParaNumbering"/>
        <w:numPr>
          <w:ilvl w:val="0"/>
          <w:numId w:val="0"/>
        </w:numPr>
        <w:ind w:hanging="720"/>
      </w:pPr>
      <w:r>
        <w:rPr>
          <w:sz w:val="20"/>
        </w:rPr>
        <w:t>472</w:t>
      </w:r>
      <w:r>
        <w:rPr>
          <w:sz w:val="20"/>
        </w:rPr>
        <w:tab/>
      </w:r>
      <w:r w:rsidR="00815341">
        <w:t>The fact that Self Care’s products, being cosmetic creams and lotions, are so different from Allergan’s Botox, being an injectable, and the very different trade channels through which they are available, also serves to detract from any affiliation, sponsorship or approval representation arising from the complained of statements.  Indeed, those differences – in types of product and trade channels – serve to accentuate the point that is sought to be made by Self Care, namely that its products are alternatives to Botox; they are not the same as or similar to or related to Botox.</w:t>
      </w:r>
    </w:p>
    <w:p w14:paraId="4894EC53" w14:textId="0F2BA7D8" w:rsidR="00815341" w:rsidRDefault="001E3C6B" w:rsidP="001E3C6B">
      <w:pPr>
        <w:pStyle w:val="ParaNumbering"/>
        <w:numPr>
          <w:ilvl w:val="0"/>
          <w:numId w:val="0"/>
        </w:numPr>
        <w:ind w:hanging="720"/>
      </w:pPr>
      <w:r>
        <w:rPr>
          <w:sz w:val="20"/>
        </w:rPr>
        <w:t>473</w:t>
      </w:r>
      <w:r>
        <w:rPr>
          <w:sz w:val="20"/>
        </w:rPr>
        <w:tab/>
      </w:r>
      <w:r w:rsidR="00815341">
        <w:t>In respect of trade channels, Allergan submits that there is a considerable cross-over in trade channels on the basis that clinics that offer cosmetic injections almost always sell skincare products.  That much can be accepted, although the evidence is that no such clinics also offer Self Care’s products.  Allergan, however, submits that department stores “like Myer (where [Self Care’s] products have been sold) offer a range of cosmetic skin care products, and have from time to time, offered cosmetic injections”.  The evidence Allergan</w:t>
      </w:r>
      <w:r w:rsidR="009B28EC">
        <w:t xml:space="preserve"> relies upon</w:t>
      </w:r>
      <w:r w:rsidR="008E0D70">
        <w:t xml:space="preserve"> is the following:</w:t>
      </w:r>
    </w:p>
    <w:p w14:paraId="143B1521" w14:textId="21427FC0" w:rsidR="00815341" w:rsidRPr="001E3C6B" w:rsidRDefault="001E3C6B" w:rsidP="001E3C6B">
      <w:pPr>
        <w:spacing w:before="120"/>
        <w:ind w:left="720" w:hanging="360"/>
        <w:rPr>
          <w:szCs w:val="24"/>
        </w:rPr>
      </w:pPr>
      <w:r>
        <w:rPr>
          <w:rFonts w:ascii="Symbol" w:eastAsiaTheme="minorHAnsi" w:hAnsi="Symbol"/>
          <w:szCs w:val="24"/>
        </w:rPr>
        <w:t></w:t>
      </w:r>
      <w:r>
        <w:rPr>
          <w:rFonts w:ascii="Symbol" w:eastAsiaTheme="minorHAnsi" w:hAnsi="Symbol"/>
          <w:szCs w:val="24"/>
        </w:rPr>
        <w:tab/>
      </w:r>
      <w:r w:rsidR="00815341" w:rsidRPr="001E3C6B">
        <w:rPr>
          <w:szCs w:val="24"/>
        </w:rPr>
        <w:t xml:space="preserve">Articles from the websites of </w:t>
      </w:r>
      <w:r w:rsidR="00815341" w:rsidRPr="001E3C6B">
        <w:rPr>
          <w:i/>
          <w:szCs w:val="24"/>
        </w:rPr>
        <w:t>The Australian</w:t>
      </w:r>
      <w:r w:rsidR="00815341" w:rsidRPr="001E3C6B">
        <w:rPr>
          <w:szCs w:val="24"/>
        </w:rPr>
        <w:t xml:space="preserve">, </w:t>
      </w:r>
      <w:r w:rsidR="00815341" w:rsidRPr="001E3C6B">
        <w:rPr>
          <w:szCs w:val="24"/>
          <w:u w:val="single"/>
        </w:rPr>
        <w:t>anz.businesschief.com</w:t>
      </w:r>
      <w:r w:rsidR="00815341" w:rsidRPr="001E3C6B">
        <w:rPr>
          <w:szCs w:val="24"/>
        </w:rPr>
        <w:t xml:space="preserve"> and </w:t>
      </w:r>
      <w:r w:rsidR="00815341" w:rsidRPr="001E3C6B">
        <w:rPr>
          <w:szCs w:val="24"/>
          <w:u w:val="single"/>
        </w:rPr>
        <w:t>news.com.au</w:t>
      </w:r>
      <w:r w:rsidR="00815341" w:rsidRPr="001E3C6B">
        <w:rPr>
          <w:szCs w:val="24"/>
        </w:rPr>
        <w:t xml:space="preserve"> on 29 June 2011 quoting from a press release from the CEO of Myer saying that Botox treatments would shortly be available from an outside operator at three Myer stores in Australia.</w:t>
      </w:r>
    </w:p>
    <w:p w14:paraId="39A658D2" w14:textId="16E1CD68" w:rsidR="00815341" w:rsidRPr="001E3C6B" w:rsidRDefault="001E3C6B" w:rsidP="001E3C6B">
      <w:pPr>
        <w:spacing w:before="120"/>
        <w:ind w:left="720" w:hanging="360"/>
        <w:rPr>
          <w:szCs w:val="24"/>
        </w:rPr>
      </w:pPr>
      <w:r w:rsidRPr="001756BA">
        <w:rPr>
          <w:rFonts w:ascii="Symbol" w:eastAsiaTheme="minorHAnsi" w:hAnsi="Symbol"/>
          <w:szCs w:val="24"/>
        </w:rPr>
        <w:lastRenderedPageBreak/>
        <w:t></w:t>
      </w:r>
      <w:r w:rsidRPr="001756BA">
        <w:rPr>
          <w:rFonts w:ascii="Symbol" w:eastAsiaTheme="minorHAnsi" w:hAnsi="Symbol"/>
          <w:szCs w:val="24"/>
        </w:rPr>
        <w:tab/>
      </w:r>
      <w:r w:rsidR="00815341" w:rsidRPr="001E3C6B">
        <w:rPr>
          <w:szCs w:val="24"/>
        </w:rPr>
        <w:t xml:space="preserve">An article from </w:t>
      </w:r>
      <w:r w:rsidR="00815341" w:rsidRPr="001E3C6B">
        <w:rPr>
          <w:i/>
          <w:szCs w:val="24"/>
        </w:rPr>
        <w:t>The</w:t>
      </w:r>
      <w:r w:rsidR="00815341" w:rsidRPr="001E3C6B">
        <w:rPr>
          <w:szCs w:val="24"/>
        </w:rPr>
        <w:t xml:space="preserve"> </w:t>
      </w:r>
      <w:r w:rsidR="00815341" w:rsidRPr="001E3C6B">
        <w:rPr>
          <w:i/>
          <w:szCs w:val="24"/>
        </w:rPr>
        <w:t>Daily Telegraph</w:t>
      </w:r>
      <w:r w:rsidR="00815341" w:rsidRPr="001E3C6B">
        <w:rPr>
          <w:szCs w:val="24"/>
        </w:rPr>
        <w:t xml:space="preserve"> </w:t>
      </w:r>
      <w:r w:rsidR="00C84680" w:rsidRPr="001E3C6B">
        <w:rPr>
          <w:szCs w:val="24"/>
        </w:rPr>
        <w:t>on 30 June 2011</w:t>
      </w:r>
      <w:r w:rsidR="00815341" w:rsidRPr="001E3C6B">
        <w:rPr>
          <w:szCs w:val="24"/>
        </w:rPr>
        <w:t xml:space="preserve"> quoting a Myer spokeswoman as having said the previous day that the idea of </w:t>
      </w:r>
      <w:r w:rsidR="002927A0" w:rsidRPr="001E3C6B">
        <w:rPr>
          <w:szCs w:val="24"/>
        </w:rPr>
        <w:t>making</w:t>
      </w:r>
      <w:r w:rsidR="00815341" w:rsidRPr="001E3C6B">
        <w:rPr>
          <w:szCs w:val="24"/>
        </w:rPr>
        <w:t xml:space="preserve"> Bot</w:t>
      </w:r>
      <w:r w:rsidR="002927A0" w:rsidRPr="001E3C6B">
        <w:rPr>
          <w:szCs w:val="24"/>
        </w:rPr>
        <w:t>o</w:t>
      </w:r>
      <w:r w:rsidR="00815341" w:rsidRPr="001E3C6B">
        <w:rPr>
          <w:szCs w:val="24"/>
        </w:rPr>
        <w:t>x treatment available in some Myer stores was still being investigated but that research had shown “it is something our customers want”.</w:t>
      </w:r>
    </w:p>
    <w:p w14:paraId="3DAA5538" w14:textId="45BA9F0A" w:rsidR="00815341" w:rsidRDefault="001E3C6B" w:rsidP="001E3C6B">
      <w:pPr>
        <w:pStyle w:val="ParaNumbering"/>
        <w:numPr>
          <w:ilvl w:val="0"/>
          <w:numId w:val="0"/>
        </w:numPr>
        <w:ind w:hanging="720"/>
      </w:pPr>
      <w:r>
        <w:rPr>
          <w:sz w:val="20"/>
        </w:rPr>
        <w:t>474</w:t>
      </w:r>
      <w:r>
        <w:rPr>
          <w:sz w:val="20"/>
        </w:rPr>
        <w:tab/>
      </w:r>
      <w:r w:rsidR="00815341">
        <w:t xml:space="preserve">Even leaving aside the </w:t>
      </w:r>
      <w:r w:rsidR="002927A0">
        <w:t xml:space="preserve">inadmissible </w:t>
      </w:r>
      <w:r w:rsidR="00815341">
        <w:t xml:space="preserve">hearsay nature of the statements reported in the news articles, that evidence falls hopelessly short of establishing that Botox treatments were ever actually offered in Myer stores.  </w:t>
      </w:r>
      <w:r w:rsidR="002927A0">
        <w:t xml:space="preserve">And, if even they were, there is no evidence of for how long they were offered or how widespread the offering was.  </w:t>
      </w:r>
      <w:r w:rsidR="00815341">
        <w:t xml:space="preserve">Ms Amoroso’s evidence that there </w:t>
      </w:r>
      <w:r w:rsidR="002927A0">
        <w:t>have been</w:t>
      </w:r>
      <w:r w:rsidR="00815341">
        <w:t xml:space="preserve"> no clinics where injectable anti-wrinkle treatments </w:t>
      </w:r>
      <w:r w:rsidR="002927A0">
        <w:t>were</w:t>
      </w:r>
      <w:r w:rsidR="00815341">
        <w:t xml:space="preserve"> offered where Self Care’s products </w:t>
      </w:r>
      <w:r w:rsidR="002927A0">
        <w:t>were</w:t>
      </w:r>
      <w:r w:rsidR="00815341">
        <w:t xml:space="preserve"> also sold was not challenged.</w:t>
      </w:r>
    </w:p>
    <w:p w14:paraId="4A941285" w14:textId="0ACBC113" w:rsidR="00815341" w:rsidRDefault="001E3C6B" w:rsidP="001E3C6B">
      <w:pPr>
        <w:pStyle w:val="ParaNumbering"/>
        <w:numPr>
          <w:ilvl w:val="0"/>
          <w:numId w:val="0"/>
        </w:numPr>
        <w:ind w:hanging="720"/>
      </w:pPr>
      <w:r>
        <w:rPr>
          <w:sz w:val="20"/>
        </w:rPr>
        <w:t>475</w:t>
      </w:r>
      <w:r>
        <w:rPr>
          <w:sz w:val="20"/>
        </w:rPr>
        <w:tab/>
      </w:r>
      <w:r w:rsidR="00815341">
        <w:t>Allergan also refers to the novelty syringe packaging of the Inhibox product which is an obvious visual reference to injectable products such as Botox.  The reference, I think, is clear.  The syringe-shaped pump-action applicator is, as Ms Amoroso said, “a play on injections”.  Although Ms Amoroso said that it “is not a play on Botox”, I do not accept that.  The syringe taken together with the “instant Botox alternative” and similar “alternative” messaging, clearly references or invokes anti-wrinkle injections generically, and also possibly Allergan’s particular product.  But once again, the point and effect is to distinguish Self Care’s products from the injectable products.  There is nothing in Self Care’s packaging to suggest that its products are injectable – the image of the syringe-shaped applicator catches the eye and makes the association with injectables specifically in order to then differentiate and present Self Care’s product as an entirely different type of product that d</w:t>
      </w:r>
      <w:r w:rsidR="008E0D70">
        <w:t xml:space="preserve">oes not require to be injected. </w:t>
      </w:r>
    </w:p>
    <w:p w14:paraId="2D97559B" w14:textId="7C41FE75" w:rsidR="00815341" w:rsidRDefault="001E3C6B" w:rsidP="001E3C6B">
      <w:pPr>
        <w:pStyle w:val="ParaNumbering"/>
        <w:numPr>
          <w:ilvl w:val="0"/>
          <w:numId w:val="0"/>
        </w:numPr>
        <w:ind w:hanging="720"/>
      </w:pPr>
      <w:r>
        <w:rPr>
          <w:sz w:val="20"/>
        </w:rPr>
        <w:t>476</w:t>
      </w:r>
      <w:r>
        <w:rPr>
          <w:sz w:val="20"/>
        </w:rPr>
        <w:tab/>
      </w:r>
      <w:r w:rsidR="00815341">
        <w:t>Allergan submits that the “dominant message” conveyed by the affiliation representations is that Self Care’s products are affiliated or associated with, or otherwise sponsored by, the maker of the Botox product.  I do not accept that submission, even if a “dominant message” analysis was appropriate in the circumstances.  In my view, the dominant message is that Self Care’s products are “alternatives” to injectables such as Botox.  That message does not convey any representation of associatio</w:t>
      </w:r>
      <w:r w:rsidR="008E0D70">
        <w:t>n, affiliation or sponsorship.</w:t>
      </w:r>
    </w:p>
    <w:p w14:paraId="21BBD442" w14:textId="7B18AA16" w:rsidR="00815341" w:rsidRDefault="001E3C6B" w:rsidP="001E3C6B">
      <w:pPr>
        <w:pStyle w:val="ParaNumbering"/>
        <w:numPr>
          <w:ilvl w:val="0"/>
          <w:numId w:val="0"/>
        </w:numPr>
        <w:ind w:hanging="720"/>
      </w:pPr>
      <w:r>
        <w:rPr>
          <w:sz w:val="20"/>
        </w:rPr>
        <w:t>477</w:t>
      </w:r>
      <w:r>
        <w:rPr>
          <w:sz w:val="20"/>
        </w:rPr>
        <w:tab/>
      </w:r>
      <w:r w:rsidR="00815341">
        <w:t xml:space="preserve">Allergan refers to </w:t>
      </w:r>
      <w:r w:rsidR="00815341" w:rsidRPr="005A308F">
        <w:rPr>
          <w:i/>
          <w:iCs/>
        </w:rPr>
        <w:t xml:space="preserve">Peter </w:t>
      </w:r>
      <w:r w:rsidR="00815341" w:rsidRPr="005A308F">
        <w:rPr>
          <w:b/>
          <w:i/>
          <w:iCs/>
        </w:rPr>
        <w:t>Bodum</w:t>
      </w:r>
      <w:r w:rsidR="00815341" w:rsidRPr="005A308F">
        <w:rPr>
          <w:i/>
          <w:iCs/>
        </w:rPr>
        <w:t xml:space="preserve"> A/S v DKSH Australia Pty Ltd </w:t>
      </w:r>
      <w:r w:rsidR="00815341" w:rsidRPr="005A308F">
        <w:t xml:space="preserve">[2011] FCAFC 98; </w:t>
      </w:r>
      <w:r w:rsidR="00815341" w:rsidRPr="005A308F">
        <w:rPr>
          <w:bCs/>
        </w:rPr>
        <w:t>280 ALR 639</w:t>
      </w:r>
      <w:r w:rsidR="00815341" w:rsidRPr="005A308F">
        <w:t xml:space="preserve"> at [244]-[245]</w:t>
      </w:r>
      <w:r w:rsidR="00463AD9">
        <w:t xml:space="preserve"> per Greenwood J (Tracey J agreeing, Buchanan J dissenting)</w:t>
      </w:r>
      <w:r w:rsidR="00815341">
        <w:t xml:space="preserve"> and submits that the presence of the </w:t>
      </w:r>
      <w:r w:rsidR="00297B1D">
        <w:t xml:space="preserve">FREEZEFRAME </w:t>
      </w:r>
      <w:r w:rsidR="00815341">
        <w:t xml:space="preserve">brand is not sufficient to remove the likelihood of confusion where the consumer erroneously draws an affiliation between the two sources.  There are at least two reasons why that submission must be rejected.  </w:t>
      </w:r>
      <w:r w:rsidR="00815341" w:rsidRPr="00EA0F56">
        <w:t>First</w:t>
      </w:r>
      <w:r w:rsidR="00815341" w:rsidRPr="00185CD8">
        <w:t>,</w:t>
      </w:r>
      <w:r w:rsidR="00815341">
        <w:t xml:space="preserve"> in the case of Self Care </w:t>
      </w:r>
      <w:r w:rsidR="00815341">
        <w:lastRenderedPageBreak/>
        <w:t xml:space="preserve">the </w:t>
      </w:r>
      <w:r w:rsidR="00297B1D">
        <w:t xml:space="preserve">FREEZEFRAME </w:t>
      </w:r>
      <w:r w:rsidR="00815341">
        <w:t xml:space="preserve">branding is clear, obvious and ubiquitous; it is clearly portrayed to consumers through packaging and advertising that all of the products in question are part of a </w:t>
      </w:r>
      <w:r w:rsidR="00DC5D22">
        <w:t xml:space="preserve">Freezeframe </w:t>
      </w:r>
      <w:r w:rsidR="00815341">
        <w:t xml:space="preserve">range of products.  In contrast, in the </w:t>
      </w:r>
      <w:r w:rsidR="00815341" w:rsidRPr="005A308F">
        <w:rPr>
          <w:i/>
        </w:rPr>
        <w:t>Bodum</w:t>
      </w:r>
      <w:r w:rsidR="00815341">
        <w:t xml:space="preserve"> case the branding of the accused’s product, Euro Line, was not prominent or distinctive and was unknown</w:t>
      </w:r>
      <w:r w:rsidR="004E74BC">
        <w:t xml:space="preserve"> and unsupported by advertising: at [235]-[238]</w:t>
      </w:r>
      <w:r w:rsidR="00815341">
        <w:t>.</w:t>
      </w:r>
    </w:p>
    <w:p w14:paraId="2040ACCA" w14:textId="06C97EF8" w:rsidR="00297B1D" w:rsidRDefault="001E3C6B" w:rsidP="001E3C6B">
      <w:pPr>
        <w:pStyle w:val="ParaNumbering"/>
        <w:numPr>
          <w:ilvl w:val="0"/>
          <w:numId w:val="0"/>
        </w:numPr>
        <w:ind w:hanging="720"/>
      </w:pPr>
      <w:r>
        <w:rPr>
          <w:sz w:val="20"/>
        </w:rPr>
        <w:t>478</w:t>
      </w:r>
      <w:r>
        <w:rPr>
          <w:sz w:val="20"/>
        </w:rPr>
        <w:tab/>
      </w:r>
      <w:r w:rsidR="00815341" w:rsidRPr="00EA0F56">
        <w:t>Second</w:t>
      </w:r>
      <w:r w:rsidR="00815341">
        <w:t xml:space="preserve">, there is no similarity in appearance between Self Care’s products and Allergan’s products.  In contrast, in the </w:t>
      </w:r>
      <w:r w:rsidR="00815341">
        <w:rPr>
          <w:i/>
        </w:rPr>
        <w:t>Bodum</w:t>
      </w:r>
      <w:r w:rsidR="00815341">
        <w:t xml:space="preserve"> case, for all practical purposes the overall appearance of the c</w:t>
      </w:r>
      <w:r w:rsidR="004E74BC">
        <w:t>ompeting products was the same: at [227].</w:t>
      </w:r>
      <w:r w:rsidR="00815341">
        <w:t xml:space="preserve">  So, in the present case not only is there clear differentiating branding, but there is also no basis on which the products would appear to be affiliated.</w:t>
      </w:r>
    </w:p>
    <w:p w14:paraId="3DCA9D40" w14:textId="63531E97" w:rsidR="002927A0" w:rsidRDefault="001E3C6B" w:rsidP="001E3C6B">
      <w:pPr>
        <w:pStyle w:val="ParaNumbering"/>
        <w:numPr>
          <w:ilvl w:val="0"/>
          <w:numId w:val="0"/>
        </w:numPr>
        <w:ind w:hanging="720"/>
      </w:pPr>
      <w:r>
        <w:rPr>
          <w:sz w:val="20"/>
        </w:rPr>
        <w:t>479</w:t>
      </w:r>
      <w:r>
        <w:rPr>
          <w:sz w:val="20"/>
        </w:rPr>
        <w:tab/>
      </w:r>
      <w:r w:rsidR="00297B1D">
        <w:t>I also reject the submission that Self Care’s use of the phrase “Prolong the look of Botox®”, and similar phrases, suggests affiliation by representing that Protox is an accessory for Botox.  That representation was not pleaded.  Further, it will be the common experience of consumers that one trader’s product can be used to enhance another trader’s product without there being any suggestion of affiliation.  The myriad accessories for Apple devices – covers, charges, headphones, etc. – spring to mind as obvious examples.</w:t>
      </w:r>
    </w:p>
    <w:p w14:paraId="20FF7FB6" w14:textId="78655AA3" w:rsidR="00815341" w:rsidRDefault="001E3C6B" w:rsidP="001E3C6B">
      <w:pPr>
        <w:pStyle w:val="ParaNumbering"/>
        <w:numPr>
          <w:ilvl w:val="0"/>
          <w:numId w:val="0"/>
        </w:numPr>
        <w:ind w:hanging="720"/>
      </w:pPr>
      <w:r>
        <w:rPr>
          <w:sz w:val="20"/>
        </w:rPr>
        <w:t>480</w:t>
      </w:r>
      <w:r>
        <w:rPr>
          <w:sz w:val="20"/>
        </w:rPr>
        <w:tab/>
      </w:r>
      <w:r w:rsidR="002927A0">
        <w:t>In the circumstances, Allergan’s case based on the affiliation representations, both in reliance on the ACL and on the tort of passing off, must fail.</w:t>
      </w:r>
    </w:p>
    <w:p w14:paraId="04D32C55" w14:textId="77777777" w:rsidR="008F3F5C" w:rsidRDefault="008F3F5C" w:rsidP="008F3F5C">
      <w:pPr>
        <w:pStyle w:val="Heading2"/>
      </w:pPr>
      <w:bookmarkStart w:id="116" w:name="_Ref54701611"/>
      <w:r>
        <w:t>Efficacy representations</w:t>
      </w:r>
      <w:bookmarkEnd w:id="116"/>
    </w:p>
    <w:p w14:paraId="345869BC" w14:textId="77777777" w:rsidR="008F3F5C" w:rsidRDefault="008F3F5C" w:rsidP="008F3F5C">
      <w:pPr>
        <w:pStyle w:val="Heading3"/>
      </w:pPr>
      <w:r>
        <w:t>Introduction</w:t>
      </w:r>
    </w:p>
    <w:p w14:paraId="3EDD1542" w14:textId="5E1F78AD" w:rsidR="00513424" w:rsidRDefault="001E3C6B" w:rsidP="001E3C6B">
      <w:pPr>
        <w:pStyle w:val="ParaNumbering"/>
        <w:numPr>
          <w:ilvl w:val="0"/>
          <w:numId w:val="0"/>
        </w:numPr>
        <w:ind w:hanging="720"/>
      </w:pPr>
      <w:r>
        <w:rPr>
          <w:sz w:val="20"/>
        </w:rPr>
        <w:t>481</w:t>
      </w:r>
      <w:r>
        <w:rPr>
          <w:sz w:val="20"/>
        </w:rPr>
        <w:tab/>
      </w:r>
      <w:r w:rsidR="00AB0528">
        <w:t xml:space="preserve">The tables at </w:t>
      </w:r>
      <w:r w:rsidR="00AB0528" w:rsidRPr="00C52FC2">
        <w:t>[</w:t>
      </w:r>
      <w:r w:rsidR="00AB0528" w:rsidRPr="00C52FC2">
        <w:fldChar w:fldCharType="begin" w:fldLock="1"/>
      </w:r>
      <w:r w:rsidR="00AB0528" w:rsidRPr="00C52FC2">
        <w:instrText xml:space="preserve"> REF _Ref39572582 \r \h </w:instrText>
      </w:r>
      <w:r w:rsidR="00AB0528">
        <w:instrText xml:space="preserve"> \* MERGEFORMAT </w:instrText>
      </w:r>
      <w:r w:rsidR="00AB0528" w:rsidRPr="00C52FC2">
        <w:fldChar w:fldCharType="separate"/>
      </w:r>
      <w:r w:rsidR="00756FCE">
        <w:t>111</w:t>
      </w:r>
      <w:r w:rsidR="00AB0528" w:rsidRPr="00C52FC2">
        <w:fldChar w:fldCharType="end"/>
      </w:r>
      <w:r w:rsidR="00AB0528" w:rsidRPr="00C52FC2">
        <w:t>]-[</w:t>
      </w:r>
      <w:r w:rsidR="00AB0528" w:rsidRPr="00C52FC2">
        <w:fldChar w:fldCharType="begin" w:fldLock="1"/>
      </w:r>
      <w:r w:rsidR="00AB0528" w:rsidRPr="00C52FC2">
        <w:instrText xml:space="preserve"> REF _Ref39572602 \r \h </w:instrText>
      </w:r>
      <w:r w:rsidR="00AB0528">
        <w:instrText xml:space="preserve"> \* MERGEFORMAT </w:instrText>
      </w:r>
      <w:r w:rsidR="00AB0528" w:rsidRPr="00C52FC2">
        <w:fldChar w:fldCharType="separate"/>
      </w:r>
      <w:r w:rsidR="00756FCE">
        <w:t>116</w:t>
      </w:r>
      <w:r w:rsidR="00AB0528" w:rsidRPr="00C52FC2">
        <w:fldChar w:fldCharType="end"/>
      </w:r>
      <w:r w:rsidR="00513424">
        <w:t xml:space="preserve">] above identify each statement that Allergan refers to as giving rise to </w:t>
      </w:r>
      <w:r w:rsidR="00896222">
        <w:t>the</w:t>
      </w:r>
      <w:r w:rsidR="00513424">
        <w:t xml:space="preserve"> efficacy representation</w:t>
      </w:r>
      <w:r w:rsidR="00896222">
        <w:t>s</w:t>
      </w:r>
      <w:r w:rsidR="00513424">
        <w:t xml:space="preserve"> made by </w:t>
      </w:r>
      <w:r w:rsidR="00896222">
        <w:t xml:space="preserve">Self Care </w:t>
      </w:r>
      <w:r w:rsidR="00513424">
        <w:t>in relation to the latter’s different products.</w:t>
      </w:r>
    </w:p>
    <w:p w14:paraId="42855526" w14:textId="4E098426" w:rsidR="00513424" w:rsidRDefault="001E3C6B" w:rsidP="001E3C6B">
      <w:pPr>
        <w:pStyle w:val="ParaNumbering"/>
        <w:numPr>
          <w:ilvl w:val="0"/>
          <w:numId w:val="0"/>
        </w:numPr>
        <w:ind w:hanging="720"/>
      </w:pPr>
      <w:r>
        <w:rPr>
          <w:sz w:val="20"/>
        </w:rPr>
        <w:t>482</w:t>
      </w:r>
      <w:r>
        <w:rPr>
          <w:sz w:val="20"/>
        </w:rPr>
        <w:tab/>
      </w:r>
      <w:r w:rsidR="00513424">
        <w:t xml:space="preserve">In relation to </w:t>
      </w:r>
      <w:r w:rsidR="00896222">
        <w:t>each of the</w:t>
      </w:r>
      <w:r w:rsidR="000D1A3B">
        <w:t xml:space="preserve"> statements, </w:t>
      </w:r>
      <w:r w:rsidR="00513424">
        <w:t>Allergan plead</w:t>
      </w:r>
      <w:r w:rsidR="00896222">
        <w:t>s</w:t>
      </w:r>
      <w:r w:rsidR="00513424">
        <w:t xml:space="preserve"> that they ma</w:t>
      </w:r>
      <w:r w:rsidR="00896222">
        <w:t>k</w:t>
      </w:r>
      <w:r w:rsidR="00513424">
        <w:t>e the following representations</w:t>
      </w:r>
      <w:r w:rsidR="000D1A3B">
        <w:t>, in trade and commerce,</w:t>
      </w:r>
      <w:r w:rsidR="008E0D70">
        <w:t xml:space="preserve"> to Australian consumers:</w:t>
      </w:r>
    </w:p>
    <w:p w14:paraId="10207A49" w14:textId="65D240B6" w:rsidR="00513424" w:rsidRDefault="001E3C6B" w:rsidP="001E3C6B">
      <w:pPr>
        <w:pStyle w:val="ListNo1"/>
        <w:numPr>
          <w:ilvl w:val="0"/>
          <w:numId w:val="0"/>
        </w:numPr>
        <w:tabs>
          <w:tab w:val="left" w:pos="720"/>
        </w:tabs>
        <w:ind w:left="720" w:hanging="720"/>
      </w:pPr>
      <w:r>
        <w:t>(1)</w:t>
      </w:r>
      <w:r>
        <w:tab/>
      </w:r>
      <w:r w:rsidR="00513424">
        <w:t xml:space="preserve">use of the product  </w:t>
      </w:r>
      <w:r w:rsidR="00C52735">
        <w:t xml:space="preserve">(as a cream) </w:t>
      </w:r>
      <w:r w:rsidR="00513424">
        <w:t>will give results to the same standard or quality as the Botox products (as an injection);</w:t>
      </w:r>
      <w:r w:rsidR="004E74BC">
        <w:t xml:space="preserve"> and</w:t>
      </w:r>
    </w:p>
    <w:p w14:paraId="48FFF013" w14:textId="00B61F0F" w:rsidR="00513424" w:rsidRDefault="001E3C6B" w:rsidP="001E3C6B">
      <w:pPr>
        <w:pStyle w:val="ListNo1"/>
        <w:numPr>
          <w:ilvl w:val="0"/>
          <w:numId w:val="0"/>
        </w:numPr>
        <w:tabs>
          <w:tab w:val="left" w:pos="720"/>
        </w:tabs>
        <w:ind w:left="720" w:hanging="720"/>
      </w:pPr>
      <w:r>
        <w:t>(2)</w:t>
      </w:r>
      <w:r>
        <w:tab/>
      </w:r>
      <w:r w:rsidR="00513424">
        <w:t>use of the product will achieve the same performance characteristics, uses and/o</w:t>
      </w:r>
      <w:r w:rsidR="000D1A3B">
        <w:t>r benefits as the Botox product.</w:t>
      </w:r>
    </w:p>
    <w:p w14:paraId="1DA9F387" w14:textId="5689D4D0" w:rsidR="008A13EA" w:rsidRDefault="001E3C6B" w:rsidP="001E3C6B">
      <w:pPr>
        <w:pStyle w:val="ParaNumbering"/>
        <w:numPr>
          <w:ilvl w:val="0"/>
          <w:numId w:val="0"/>
        </w:numPr>
        <w:ind w:hanging="720"/>
      </w:pPr>
      <w:r>
        <w:rPr>
          <w:sz w:val="20"/>
        </w:rPr>
        <w:t>483</w:t>
      </w:r>
      <w:r>
        <w:rPr>
          <w:sz w:val="20"/>
        </w:rPr>
        <w:tab/>
      </w:r>
      <w:r w:rsidR="008A13EA">
        <w:t>It will be observed that the identified representations that are said to flow from the statements that are complained of, in the context in which the statements are made, essen</w:t>
      </w:r>
      <w:r w:rsidR="00C81F48">
        <w:t xml:space="preserve">tially track the </w:t>
      </w:r>
      <w:r w:rsidR="00C81F48">
        <w:lastRenderedPageBreak/>
        <w:t>wording of s 29</w:t>
      </w:r>
      <w:r w:rsidR="008A13EA">
        <w:t>(1)(a) of the ACL, i.e.</w:t>
      </w:r>
      <w:r w:rsidR="00A1388B">
        <w:t>,</w:t>
      </w:r>
      <w:r w:rsidR="008A13EA">
        <w:t xml:space="preserve"> a false or misleading representation that goods are of a particular standard, quality, value, grade, composition, style or model or have had a particular history or particular previous use.</w:t>
      </w:r>
    </w:p>
    <w:p w14:paraId="1BF047BB" w14:textId="4E52B8D6" w:rsidR="000D1A3B" w:rsidRDefault="001E3C6B" w:rsidP="001E3C6B">
      <w:pPr>
        <w:pStyle w:val="ParaNumbering"/>
        <w:numPr>
          <w:ilvl w:val="0"/>
          <w:numId w:val="0"/>
        </w:numPr>
        <w:ind w:hanging="720"/>
      </w:pPr>
      <w:r>
        <w:rPr>
          <w:sz w:val="20"/>
        </w:rPr>
        <w:t>484</w:t>
      </w:r>
      <w:r>
        <w:rPr>
          <w:sz w:val="20"/>
        </w:rPr>
        <w:tab/>
      </w:r>
      <w:r w:rsidR="000D1A3B">
        <w:t xml:space="preserve">In addition, in relation to the </w:t>
      </w:r>
      <w:r w:rsidR="00896222">
        <w:t xml:space="preserve">Protox </w:t>
      </w:r>
      <w:r w:rsidR="000D1A3B">
        <w:t>product statements Allergan plead</w:t>
      </w:r>
      <w:r w:rsidR="00896222">
        <w:t>s</w:t>
      </w:r>
      <w:r w:rsidR="000D1A3B">
        <w:t xml:space="preserve"> that they also ma</w:t>
      </w:r>
      <w:r w:rsidR="00896222">
        <w:t>k</w:t>
      </w:r>
      <w:r w:rsidR="000D1A3B">
        <w:t>e the following representation:</w:t>
      </w:r>
    </w:p>
    <w:p w14:paraId="6BFC818F" w14:textId="7BDFA891" w:rsidR="00513424" w:rsidRDefault="001E3C6B" w:rsidP="001E3C6B">
      <w:pPr>
        <w:pStyle w:val="FCBullets"/>
        <w:numPr>
          <w:ilvl w:val="0"/>
          <w:numId w:val="0"/>
        </w:numPr>
        <w:tabs>
          <w:tab w:val="left" w:pos="720"/>
        </w:tabs>
        <w:ind w:left="720" w:hanging="720"/>
      </w:pPr>
      <w:r>
        <w:rPr>
          <w:rFonts w:ascii="Symbol" w:hAnsi="Symbol"/>
        </w:rPr>
        <w:t></w:t>
      </w:r>
      <w:r>
        <w:rPr>
          <w:rFonts w:ascii="Symbol" w:hAnsi="Symbol"/>
        </w:rPr>
        <w:tab/>
      </w:r>
      <w:r w:rsidR="00513424">
        <w:t xml:space="preserve">use of the </w:t>
      </w:r>
      <w:r w:rsidR="00896222">
        <w:t xml:space="preserve">Protox </w:t>
      </w:r>
      <w:r w:rsidR="00513424">
        <w:t xml:space="preserve">product will work </w:t>
      </w:r>
      <w:r w:rsidR="003B38BB">
        <w:t>complementarily</w:t>
      </w:r>
      <w:r w:rsidR="00513424">
        <w:t xml:space="preserve"> or synergistically with, or can be used as part of a treatment with, the Botox products to enhance and/or prolong the benefits of the Botox products.</w:t>
      </w:r>
    </w:p>
    <w:p w14:paraId="510346BB" w14:textId="0A79C0A1" w:rsidR="008A13EA" w:rsidRDefault="001E3C6B" w:rsidP="001E3C6B">
      <w:pPr>
        <w:pStyle w:val="ParaNumbering"/>
        <w:numPr>
          <w:ilvl w:val="0"/>
          <w:numId w:val="0"/>
        </w:numPr>
        <w:ind w:hanging="720"/>
      </w:pPr>
      <w:r>
        <w:rPr>
          <w:sz w:val="20"/>
        </w:rPr>
        <w:t>485</w:t>
      </w:r>
      <w:r>
        <w:rPr>
          <w:sz w:val="20"/>
        </w:rPr>
        <w:tab/>
      </w:r>
      <w:r w:rsidR="008A13EA">
        <w:t>It will be observed that in this case the representation is said to be caught by s 29(1)(g) of the ACL, i.e.</w:t>
      </w:r>
      <w:r w:rsidR="004E74BC">
        <w:t>,</w:t>
      </w:r>
      <w:r w:rsidR="008A13EA">
        <w:t xml:space="preserve"> a false or misleading representation that goods have sponsorship, approval, performance characteristics, accessories, uses or benefits.</w:t>
      </w:r>
    </w:p>
    <w:p w14:paraId="05BD5079" w14:textId="6706C9D4" w:rsidR="00513424" w:rsidRDefault="001E3C6B" w:rsidP="001E3C6B">
      <w:pPr>
        <w:pStyle w:val="ParaNumbering"/>
        <w:numPr>
          <w:ilvl w:val="0"/>
          <w:numId w:val="0"/>
        </w:numPr>
        <w:ind w:hanging="720"/>
      </w:pPr>
      <w:r>
        <w:rPr>
          <w:sz w:val="20"/>
        </w:rPr>
        <w:t>486</w:t>
      </w:r>
      <w:r>
        <w:rPr>
          <w:sz w:val="20"/>
        </w:rPr>
        <w:tab/>
      </w:r>
      <w:r w:rsidR="00513424">
        <w:t>Allergan plead</w:t>
      </w:r>
      <w:r w:rsidR="00896222">
        <w:t>s</w:t>
      </w:r>
      <w:r w:rsidR="00513424">
        <w:t xml:space="preserve"> that each of the efficacy representations constitutes a representation as to a future matter for the purposes of s 4 of the ACL and that Self </w:t>
      </w:r>
      <w:r w:rsidR="000D1A3B">
        <w:t xml:space="preserve">Care did </w:t>
      </w:r>
      <w:r w:rsidR="00513424">
        <w:t xml:space="preserve">not have reasonable grounds for making the representations.  In the alternative, to the extent that any of the </w:t>
      </w:r>
      <w:r w:rsidR="00896222">
        <w:t xml:space="preserve">Protox product </w:t>
      </w:r>
      <w:r w:rsidR="00513424">
        <w:t>efficacy representations do not constitute representations as to a</w:t>
      </w:r>
      <w:r w:rsidR="00896222">
        <w:t xml:space="preserve"> future matter, Allergan pleads</w:t>
      </w:r>
      <w:r w:rsidR="00513424">
        <w:t xml:space="preserve"> that the representations </w:t>
      </w:r>
      <w:r w:rsidR="000D1A3B">
        <w:t>are</w:t>
      </w:r>
      <w:r w:rsidR="008E0D70">
        <w:t xml:space="preserve"> false.</w:t>
      </w:r>
    </w:p>
    <w:p w14:paraId="4AC4F1F2" w14:textId="2682125A" w:rsidR="00513424" w:rsidRDefault="001E3C6B" w:rsidP="001E3C6B">
      <w:pPr>
        <w:pStyle w:val="ParaNumbering"/>
        <w:numPr>
          <w:ilvl w:val="0"/>
          <w:numId w:val="0"/>
        </w:numPr>
        <w:ind w:hanging="720"/>
      </w:pPr>
      <w:r>
        <w:rPr>
          <w:sz w:val="20"/>
        </w:rPr>
        <w:t>487</w:t>
      </w:r>
      <w:r>
        <w:rPr>
          <w:sz w:val="20"/>
        </w:rPr>
        <w:tab/>
      </w:r>
      <w:r w:rsidR="00513424">
        <w:t xml:space="preserve">In its defence, Self Care </w:t>
      </w:r>
      <w:r w:rsidR="000D1A3B">
        <w:t>denie</w:t>
      </w:r>
      <w:r w:rsidR="00896222">
        <w:t>s</w:t>
      </w:r>
      <w:r w:rsidR="000D1A3B">
        <w:t xml:space="preserve"> that the efficacy representations arise from the statements, </w:t>
      </w:r>
      <w:r w:rsidR="00896222">
        <w:t>admits</w:t>
      </w:r>
      <w:r w:rsidR="00513424">
        <w:t xml:space="preserve"> that the efficacy representations </w:t>
      </w:r>
      <w:r w:rsidR="00896222">
        <w:t xml:space="preserve">if </w:t>
      </w:r>
      <w:r w:rsidR="000D1A3B">
        <w:t xml:space="preserve">made </w:t>
      </w:r>
      <w:r w:rsidR="00513424">
        <w:t>constitute</w:t>
      </w:r>
      <w:r w:rsidR="000D1A3B">
        <w:t xml:space="preserve"> </w:t>
      </w:r>
      <w:r w:rsidR="00513424">
        <w:t>representation</w:t>
      </w:r>
      <w:r w:rsidR="000D1A3B">
        <w:t>s as to</w:t>
      </w:r>
      <w:r w:rsidR="00513424">
        <w:t xml:space="preserve"> future matter</w:t>
      </w:r>
      <w:r w:rsidR="000D1A3B">
        <w:t>s</w:t>
      </w:r>
      <w:r w:rsidR="00513424">
        <w:t xml:space="preserve"> for the purposes of s 4 of the ACL</w:t>
      </w:r>
      <w:r w:rsidR="00896222">
        <w:t xml:space="preserve"> and that they were made in the course of trade and commerce, and otherwise denies</w:t>
      </w:r>
      <w:r w:rsidR="00513424">
        <w:t xml:space="preserve"> the allegations.  The defence also avers that Self Care ceased selling or offering for sale the </w:t>
      </w:r>
      <w:r w:rsidR="004E74BC">
        <w:t>Protox</w:t>
      </w:r>
      <w:r w:rsidR="00513424">
        <w:t xml:space="preserve"> pro</w:t>
      </w:r>
      <w:r w:rsidR="008E0D70">
        <w:t>duct on or around 4 March 2019.</w:t>
      </w:r>
    </w:p>
    <w:p w14:paraId="0082AF67" w14:textId="27529746" w:rsidR="00513424" w:rsidRDefault="001E3C6B" w:rsidP="001E3C6B">
      <w:pPr>
        <w:pStyle w:val="ParaNumbering"/>
        <w:numPr>
          <w:ilvl w:val="0"/>
          <w:numId w:val="0"/>
        </w:numPr>
        <w:ind w:hanging="720"/>
      </w:pPr>
      <w:r>
        <w:rPr>
          <w:sz w:val="20"/>
        </w:rPr>
        <w:t>488</w:t>
      </w:r>
      <w:r>
        <w:rPr>
          <w:sz w:val="20"/>
        </w:rPr>
        <w:tab/>
      </w:r>
      <w:r w:rsidR="00084754">
        <w:t>It is to be noted that Allergan initially complained of a number of other representations made by Self Care about its products.  These included quantitative representations such as that the Inhibox product is “clinically proven to smooth away over 80% of wrinkles in 5 minutes and to reduce the appearance of wrinkles long term by up to 63.13% in just 28 days”.  However, following undertakings made by Self Care, those complaints fell away leaving only the statements which Allergan says directly compare Self Care’s products with the Botox product.  Allergan submits that since there is no scientific study that compares the efficacy of the products against each other</w:t>
      </w:r>
      <w:r w:rsidR="00082BE0">
        <w:t>, there is no reasonable basis for the comparative representations.  In that regard, there are authorities</w:t>
      </w:r>
      <w:r w:rsidR="00523981">
        <w:t xml:space="preserve"> dealing with </w:t>
      </w:r>
      <w:r w:rsidR="00082BE0">
        <w:t>comparative representations</w:t>
      </w:r>
      <w:r w:rsidR="00523981">
        <w:t xml:space="preserve"> </w:t>
      </w:r>
      <w:r w:rsidR="00202FD6">
        <w:t>where there is</w:t>
      </w:r>
      <w:r w:rsidR="00082BE0">
        <w:t xml:space="preserve"> no study that compares the products</w:t>
      </w:r>
      <w:r w:rsidR="00202FD6">
        <w:t xml:space="preserve"> directly</w:t>
      </w:r>
      <w:r w:rsidR="00082BE0">
        <w:t xml:space="preserve"> against each other head-to-head</w:t>
      </w:r>
      <w:r w:rsidR="00202FD6">
        <w:t>.</w:t>
      </w:r>
      <w:r w:rsidR="00523981">
        <w:t xml:space="preserve">  The absence of such </w:t>
      </w:r>
      <w:r w:rsidR="00523981">
        <w:lastRenderedPageBreak/>
        <w:t xml:space="preserve">studies </w:t>
      </w:r>
      <w:r w:rsidR="00202FD6">
        <w:t xml:space="preserve">does not mean that </w:t>
      </w:r>
      <w:r w:rsidR="00082BE0">
        <w:t xml:space="preserve">there </w:t>
      </w:r>
      <w:r w:rsidR="00202FD6">
        <w:t xml:space="preserve">cannot be a </w:t>
      </w:r>
      <w:r w:rsidR="00082BE0">
        <w:t>reasonable basis for the representations</w:t>
      </w:r>
      <w:r w:rsidR="00202FD6">
        <w:t xml:space="preserve">, but it </w:t>
      </w:r>
      <w:r w:rsidR="00B14BDB">
        <w:t>can</w:t>
      </w:r>
      <w:r w:rsidR="00202FD6">
        <w:t xml:space="preserve"> make it more difficult to establish evidence of an adequate scientific foundation for the representations</w:t>
      </w:r>
      <w:r w:rsidR="004F5078">
        <w:t xml:space="preserve"> having regard to the available body of scientific evidence</w:t>
      </w:r>
      <w:r w:rsidR="00082BE0">
        <w:t xml:space="preserve">.  See </w:t>
      </w:r>
      <w:r w:rsidR="00082BE0">
        <w:rPr>
          <w:i/>
        </w:rPr>
        <w:t>AFT Pharmaceuticals</w:t>
      </w:r>
      <w:r w:rsidR="00082BE0">
        <w:t xml:space="preserve"> at </w:t>
      </w:r>
      <w:r w:rsidR="004F5078">
        <w:t xml:space="preserve">[11], [12], </w:t>
      </w:r>
      <w:r w:rsidR="00082BE0">
        <w:t>[16]</w:t>
      </w:r>
      <w:r w:rsidR="00523981">
        <w:t>,</w:t>
      </w:r>
      <w:r w:rsidR="00082BE0">
        <w:t xml:space="preserve"> [104]</w:t>
      </w:r>
      <w:r w:rsidR="004F5078">
        <w:t>, [105] and [110]</w:t>
      </w:r>
      <w:r w:rsidR="00082BE0">
        <w:t>.</w:t>
      </w:r>
    </w:p>
    <w:p w14:paraId="308FB7C5" w14:textId="63E6C64E" w:rsidR="00FF3E1B" w:rsidRDefault="001E3C6B" w:rsidP="001E3C6B">
      <w:pPr>
        <w:pStyle w:val="ParaNumbering"/>
        <w:numPr>
          <w:ilvl w:val="0"/>
          <w:numId w:val="0"/>
        </w:numPr>
        <w:ind w:hanging="720"/>
      </w:pPr>
      <w:r>
        <w:rPr>
          <w:sz w:val="20"/>
        </w:rPr>
        <w:t>489</w:t>
      </w:r>
      <w:r>
        <w:rPr>
          <w:sz w:val="20"/>
        </w:rPr>
        <w:tab/>
      </w:r>
      <w:r w:rsidR="00082BE0">
        <w:t>Much of Self Care’s evidence with regard to the efficacy representations, and the expert evidence</w:t>
      </w:r>
      <w:r w:rsidR="00523981">
        <w:t xml:space="preserve"> on </w:t>
      </w:r>
      <w:r w:rsidR="00082BE0">
        <w:t>both sides of the case, was directed at the quantitative statements which then, as I have said, fell away.  As a consequence, the evidence does not conveniently address the comparative representations that are pleaded other than to identify that there is no head-to-head comparative study.</w:t>
      </w:r>
    </w:p>
    <w:p w14:paraId="1489C0A2" w14:textId="3D22320C" w:rsidR="00082BE0" w:rsidRDefault="001E3C6B" w:rsidP="001E3C6B">
      <w:pPr>
        <w:pStyle w:val="ParaNumbering"/>
        <w:numPr>
          <w:ilvl w:val="0"/>
          <w:numId w:val="0"/>
        </w:numPr>
        <w:ind w:hanging="720"/>
      </w:pPr>
      <w:r>
        <w:rPr>
          <w:sz w:val="20"/>
        </w:rPr>
        <w:t>490</w:t>
      </w:r>
      <w:r>
        <w:rPr>
          <w:sz w:val="20"/>
        </w:rPr>
        <w:tab/>
      </w:r>
      <w:r w:rsidR="00FF3E1B">
        <w:t>It is also to be noted that Allergan does not assert that Self Care’s products are not effective to reduce the appearance of wrinkles.</w:t>
      </w:r>
    </w:p>
    <w:p w14:paraId="03AFD172" w14:textId="75399551" w:rsidR="00FF3E1B" w:rsidRDefault="001E3C6B" w:rsidP="001E3C6B">
      <w:pPr>
        <w:pStyle w:val="ParaNumbering"/>
        <w:numPr>
          <w:ilvl w:val="0"/>
          <w:numId w:val="0"/>
        </w:numPr>
        <w:ind w:hanging="720"/>
      </w:pPr>
      <w:r>
        <w:rPr>
          <w:sz w:val="20"/>
        </w:rPr>
        <w:t>491</w:t>
      </w:r>
      <w:r>
        <w:rPr>
          <w:sz w:val="20"/>
        </w:rPr>
        <w:tab/>
      </w:r>
      <w:r w:rsidR="00082BE0">
        <w:t>Allergan puts its case on the basis that the efficacy statements complained of make a wrong comparison with Botox – that is, they describe the attributes of Self Care’s products by reference to Allergan’s Botox product.  Put differently, Allergan says that the statements represent that Self Care’s products will “to the same or a similar extent” reduce the appearance of wrinkles as Botox will.  That is, use of Self Care’s products will achieve a similar look as a person who has had Botox</w:t>
      </w:r>
      <w:r w:rsidR="00FF3E1B">
        <w:t xml:space="preserve"> or such use will achieve the same performance characteristics, uses and/or benefits as the Botox products</w:t>
      </w:r>
      <w:r w:rsidR="00082BE0">
        <w:t>.</w:t>
      </w:r>
    </w:p>
    <w:p w14:paraId="0B02C24B" w14:textId="7AFDC9F4" w:rsidR="00082BE0" w:rsidRDefault="001E3C6B" w:rsidP="001E3C6B">
      <w:pPr>
        <w:pStyle w:val="ParaNumbering"/>
        <w:numPr>
          <w:ilvl w:val="0"/>
          <w:numId w:val="0"/>
        </w:numPr>
        <w:ind w:hanging="720"/>
      </w:pPr>
      <w:r>
        <w:rPr>
          <w:sz w:val="20"/>
        </w:rPr>
        <w:t>492</w:t>
      </w:r>
      <w:r>
        <w:rPr>
          <w:sz w:val="20"/>
        </w:rPr>
        <w:tab/>
      </w:r>
      <w:r w:rsidR="00FF3E1B">
        <w:t>Specifically with regard to the Protox product, Allergan says that some of the complained of statements constitute representations that the product will work complementari</w:t>
      </w:r>
      <w:r w:rsidR="00ED4911">
        <w:t>l</w:t>
      </w:r>
      <w:r w:rsidR="00FF3E1B">
        <w:t xml:space="preserve">y or synergistically with or can be used as part of a treatment with the Botox products.  This arises from the statement that Protox will </w:t>
      </w:r>
      <w:r w:rsidR="00ED4911">
        <w:t>“</w:t>
      </w:r>
      <w:r w:rsidR="00FF3E1B">
        <w:t>prolong”</w:t>
      </w:r>
      <w:r w:rsidR="00ED4911">
        <w:t xml:space="preserve"> or “increase”</w:t>
      </w:r>
      <w:r w:rsidR="00FF3E1B">
        <w:t xml:space="preserve"> the effect of Botox.  The statements in this category are those numbered 2-4, 7-11</w:t>
      </w:r>
      <w:r w:rsidR="00ED4911">
        <w:t xml:space="preserve"> and</w:t>
      </w:r>
      <w:r w:rsidR="00FF3E1B">
        <w:t xml:space="preserve"> 13</w:t>
      </w:r>
      <w:r w:rsidR="00ED4911">
        <w:t>-</w:t>
      </w:r>
      <w:r w:rsidR="00FF3E1B">
        <w:t>19 in the table at [</w:t>
      </w:r>
      <w:r w:rsidR="004F5078">
        <w:fldChar w:fldCharType="begin" w:fldLock="1"/>
      </w:r>
      <w:r w:rsidR="004F5078">
        <w:instrText xml:space="preserve"> REF _Ref39572582 \r \h </w:instrText>
      </w:r>
      <w:r w:rsidR="004F5078">
        <w:fldChar w:fldCharType="separate"/>
      </w:r>
      <w:r w:rsidR="00756FCE">
        <w:t>111</w:t>
      </w:r>
      <w:r w:rsidR="004F5078">
        <w:fldChar w:fldCharType="end"/>
      </w:r>
      <w:r w:rsidR="00FF3E1B">
        <w:t>] above.  The remaining statements which are identified as giving rise to the efficacy representations are, on Allergan’s case, of a comparative nature.</w:t>
      </w:r>
    </w:p>
    <w:p w14:paraId="03E4781A" w14:textId="17F3B1EF" w:rsidR="00082BE0" w:rsidRDefault="001E3C6B" w:rsidP="001E3C6B">
      <w:pPr>
        <w:pStyle w:val="ParaNumbering"/>
        <w:numPr>
          <w:ilvl w:val="0"/>
          <w:numId w:val="0"/>
        </w:numPr>
        <w:ind w:hanging="720"/>
      </w:pPr>
      <w:r>
        <w:rPr>
          <w:sz w:val="20"/>
        </w:rPr>
        <w:t>493</w:t>
      </w:r>
      <w:r>
        <w:rPr>
          <w:sz w:val="20"/>
        </w:rPr>
        <w:tab/>
      </w:r>
      <w:r w:rsidR="00082BE0">
        <w:t xml:space="preserve">The starting point is to identify whether the pleaded representations were made.  That exercise includes identifying the statements that are complained of which are said to give rise to the pleaded representations and to construe them in the whole of their context and thereby identify whether, in that context, they make the pleaded representations.  This includes consideration of the target consumer or class of consumers and the likely effect on the ordinary or reasonable </w:t>
      </w:r>
      <w:r w:rsidR="00082BE0">
        <w:lastRenderedPageBreak/>
        <w:t>members of the relevant class of consumer, i.e.</w:t>
      </w:r>
      <w:r w:rsidR="004E74BC">
        <w:t>,</w:t>
      </w:r>
      <w:r w:rsidR="00082BE0">
        <w:t xml:space="preserve"> disregarding extreme or fanciful reactions: </w:t>
      </w:r>
      <w:r w:rsidR="00082BE0">
        <w:rPr>
          <w:i/>
        </w:rPr>
        <w:t>Campomar</w:t>
      </w:r>
      <w:r w:rsidR="00082BE0">
        <w:t xml:space="preserve"> at [105].</w:t>
      </w:r>
    </w:p>
    <w:p w14:paraId="6EE025CB" w14:textId="77777777" w:rsidR="00FF3E1B" w:rsidRDefault="00AD192E" w:rsidP="00FF3E1B">
      <w:pPr>
        <w:pStyle w:val="Heading3"/>
      </w:pPr>
      <w:bookmarkStart w:id="117" w:name="_Ref54701612"/>
      <w:r>
        <w:t>The representations</w:t>
      </w:r>
      <w:bookmarkEnd w:id="117"/>
    </w:p>
    <w:p w14:paraId="2816C29D" w14:textId="7C66AFEC" w:rsidR="00FF3E1B" w:rsidRDefault="001E3C6B" w:rsidP="001E3C6B">
      <w:pPr>
        <w:pStyle w:val="ParaNumbering"/>
        <w:numPr>
          <w:ilvl w:val="0"/>
          <w:numId w:val="0"/>
        </w:numPr>
        <w:ind w:hanging="720"/>
      </w:pPr>
      <w:bookmarkStart w:id="118" w:name="_Ref52371661"/>
      <w:r>
        <w:rPr>
          <w:sz w:val="20"/>
        </w:rPr>
        <w:t>494</w:t>
      </w:r>
      <w:r>
        <w:rPr>
          <w:sz w:val="20"/>
        </w:rPr>
        <w:tab/>
      </w:r>
      <w:r w:rsidR="00AD192E" w:rsidRPr="00EA0F56">
        <w:t xml:space="preserve">The first category of </w:t>
      </w:r>
      <w:r w:rsidR="00FF3E1B" w:rsidRPr="00EA0F56">
        <w:t>statements</w:t>
      </w:r>
      <w:r w:rsidR="00FF3E1B" w:rsidRPr="005964CE">
        <w:t xml:space="preserve"> </w:t>
      </w:r>
      <w:r w:rsidR="00AD192E">
        <w:t xml:space="preserve">are those </w:t>
      </w:r>
      <w:r w:rsidR="00FF3E1B">
        <w:t xml:space="preserve">that are said to give rise to comparative efficacy representations </w:t>
      </w:r>
      <w:r w:rsidR="00AC3E72">
        <w:t>that include the word “alternative”</w:t>
      </w:r>
      <w:r w:rsidR="00AD192E">
        <w:t>,</w:t>
      </w:r>
      <w:r w:rsidR="00AC3E72">
        <w:t xml:space="preserve"> </w:t>
      </w:r>
      <w:r w:rsidR="00FF3E1B">
        <w:t>such as:</w:t>
      </w:r>
      <w:bookmarkEnd w:id="118"/>
    </w:p>
    <w:p w14:paraId="0C34C573" w14:textId="7FE12C1F" w:rsidR="00FF3E1B" w:rsidRDefault="001E3C6B" w:rsidP="001E3C6B">
      <w:pPr>
        <w:pStyle w:val="FCBullets"/>
        <w:numPr>
          <w:ilvl w:val="0"/>
          <w:numId w:val="0"/>
        </w:numPr>
        <w:tabs>
          <w:tab w:val="left" w:pos="720"/>
        </w:tabs>
        <w:ind w:left="720" w:hanging="720"/>
      </w:pPr>
      <w:r>
        <w:rPr>
          <w:rFonts w:ascii="Symbol" w:hAnsi="Symbol"/>
        </w:rPr>
        <w:t></w:t>
      </w:r>
      <w:r>
        <w:rPr>
          <w:rFonts w:ascii="Symbol" w:hAnsi="Symbol"/>
        </w:rPr>
        <w:tab/>
      </w:r>
      <w:r w:rsidR="00AC3DD3">
        <w:t>“</w:t>
      </w:r>
      <w:r w:rsidR="00FF3E1B">
        <w:t>The most powerful Botox® alternative ever discovered</w:t>
      </w:r>
      <w:r w:rsidR="00AC3DD3">
        <w:t>”</w:t>
      </w:r>
      <w:r w:rsidR="00FF3E1B">
        <w:t xml:space="preserve"> (</w:t>
      </w:r>
      <w:r w:rsidR="00B44D1A">
        <w:t xml:space="preserve">Protox </w:t>
      </w:r>
      <w:r w:rsidR="00FF3E1B">
        <w:t>product statement 5)</w:t>
      </w:r>
    </w:p>
    <w:p w14:paraId="5F877A08" w14:textId="42DEFEC9" w:rsidR="004E20B4" w:rsidRDefault="001E3C6B" w:rsidP="001E3C6B">
      <w:pPr>
        <w:pStyle w:val="FCBullets"/>
        <w:numPr>
          <w:ilvl w:val="0"/>
          <w:numId w:val="0"/>
        </w:numPr>
        <w:tabs>
          <w:tab w:val="left" w:pos="720"/>
        </w:tabs>
        <w:ind w:left="720" w:hanging="720"/>
      </w:pPr>
      <w:r>
        <w:rPr>
          <w:rFonts w:ascii="Symbol" w:hAnsi="Symbol"/>
        </w:rPr>
        <w:t></w:t>
      </w:r>
      <w:r>
        <w:rPr>
          <w:rFonts w:ascii="Symbol" w:hAnsi="Symbol"/>
        </w:rPr>
        <w:tab/>
      </w:r>
      <w:r w:rsidR="00AC3DD3">
        <w:t>“</w:t>
      </w:r>
      <w:r w:rsidR="004E20B4">
        <w:t xml:space="preserve">Instant </w:t>
      </w:r>
      <w:r w:rsidR="00FF3E1B">
        <w:t xml:space="preserve">Botox® </w:t>
      </w:r>
      <w:r w:rsidR="004E20B4">
        <w:t>a</w:t>
      </w:r>
      <w:r w:rsidR="00FF3E1B">
        <w:t>lternative</w:t>
      </w:r>
      <w:r w:rsidR="00AC3DD3">
        <w:t>”</w:t>
      </w:r>
      <w:r w:rsidR="004E20B4">
        <w:t xml:space="preserve"> (Inhibox product statement 1)</w:t>
      </w:r>
    </w:p>
    <w:p w14:paraId="6B617A04" w14:textId="7370A10A" w:rsidR="00AC3DD3" w:rsidRDefault="001E3C6B" w:rsidP="001E3C6B">
      <w:pPr>
        <w:pStyle w:val="FCBullets"/>
        <w:numPr>
          <w:ilvl w:val="0"/>
          <w:numId w:val="0"/>
        </w:numPr>
        <w:tabs>
          <w:tab w:val="left" w:pos="720"/>
        </w:tabs>
        <w:ind w:left="720" w:hanging="720"/>
      </w:pPr>
      <w:r>
        <w:rPr>
          <w:rFonts w:ascii="Symbol" w:hAnsi="Symbol"/>
        </w:rPr>
        <w:t></w:t>
      </w:r>
      <w:r>
        <w:rPr>
          <w:rFonts w:ascii="Symbol" w:hAnsi="Symbol"/>
        </w:rPr>
        <w:tab/>
      </w:r>
      <w:r w:rsidR="00AC3E72">
        <w:t xml:space="preserve"> </w:t>
      </w:r>
      <w:r w:rsidR="00AC3DD3">
        <w:t>“Overnight Botox® alternative” and “Long term Botox® Alternative” (Night product</w:t>
      </w:r>
      <w:r w:rsidR="00463290">
        <w:t>s</w:t>
      </w:r>
      <w:r w:rsidR="00AC3DD3">
        <w:t xml:space="preserve"> statement 5)</w:t>
      </w:r>
    </w:p>
    <w:p w14:paraId="1592E7FD" w14:textId="364796CA" w:rsidR="00597B08" w:rsidRDefault="001E3C6B" w:rsidP="001E3C6B">
      <w:pPr>
        <w:pStyle w:val="FCBullets"/>
        <w:numPr>
          <w:ilvl w:val="0"/>
          <w:numId w:val="0"/>
        </w:numPr>
        <w:tabs>
          <w:tab w:val="left" w:pos="720"/>
        </w:tabs>
        <w:ind w:left="720" w:hanging="720"/>
      </w:pPr>
      <w:r>
        <w:rPr>
          <w:rFonts w:ascii="Symbol" w:hAnsi="Symbol"/>
        </w:rPr>
        <w:t></w:t>
      </w:r>
      <w:r>
        <w:rPr>
          <w:rFonts w:ascii="Symbol" w:hAnsi="Symbol"/>
        </w:rPr>
        <w:tab/>
      </w:r>
      <w:r w:rsidR="00AC3DD3">
        <w:t>“Botox® alternative peptides also add to the antiaging cocktail for dramatic, targeted results on even the deepest wrinkles” (Boost product statement 2).</w:t>
      </w:r>
    </w:p>
    <w:p w14:paraId="3FDA8431" w14:textId="191E30EC" w:rsidR="00AC3E72" w:rsidRDefault="001E3C6B" w:rsidP="001E3C6B">
      <w:pPr>
        <w:pStyle w:val="ParaNumbering"/>
        <w:numPr>
          <w:ilvl w:val="0"/>
          <w:numId w:val="0"/>
        </w:numPr>
        <w:ind w:hanging="720"/>
      </w:pPr>
      <w:r>
        <w:rPr>
          <w:sz w:val="20"/>
        </w:rPr>
        <w:t>495</w:t>
      </w:r>
      <w:r>
        <w:rPr>
          <w:sz w:val="20"/>
        </w:rPr>
        <w:tab/>
      </w:r>
      <w:r w:rsidR="00AC3E72">
        <w:t>Also in this category are Protox statement 6, Inhib</w:t>
      </w:r>
      <w:r w:rsidR="00364DBD">
        <w:t>o</w:t>
      </w:r>
      <w:r w:rsidR="00AC3E72">
        <w:t xml:space="preserve">x statements 2-7, Night statements 2 and 5, and Boost statements </w:t>
      </w:r>
      <w:r w:rsidR="004E74BC">
        <w:t>1 and</w:t>
      </w:r>
      <w:r w:rsidR="00364DBD">
        <w:t xml:space="preserve"> 3</w:t>
      </w:r>
      <w:r w:rsidR="00AC3E72">
        <w:t>-4.</w:t>
      </w:r>
    </w:p>
    <w:p w14:paraId="3D0E16E1" w14:textId="2B633CBF" w:rsidR="00EB3296" w:rsidRDefault="001E3C6B" w:rsidP="001E3C6B">
      <w:pPr>
        <w:pStyle w:val="ParaNumbering"/>
        <w:numPr>
          <w:ilvl w:val="0"/>
          <w:numId w:val="0"/>
        </w:numPr>
        <w:ind w:hanging="720"/>
      </w:pPr>
      <w:r>
        <w:rPr>
          <w:sz w:val="20"/>
        </w:rPr>
        <w:t>496</w:t>
      </w:r>
      <w:r>
        <w:rPr>
          <w:sz w:val="20"/>
        </w:rPr>
        <w:tab/>
      </w:r>
      <w:r w:rsidR="00D07BB6">
        <w:t xml:space="preserve">It is to be recalled that I have concluded above that the Protox product statements 7-10 </w:t>
      </w:r>
      <w:r w:rsidR="00B44D1A">
        <w:t xml:space="preserve">and 19 </w:t>
      </w:r>
      <w:r w:rsidR="00D07BB6">
        <w:t>were not made by Self Care.  They therefore fall out of account.  The other statements that are complained of were all made by Self Care.  That is not in dispute.</w:t>
      </w:r>
    </w:p>
    <w:p w14:paraId="60908FBA" w14:textId="1B6C78CE" w:rsidR="00D07BB6" w:rsidRDefault="001E3C6B" w:rsidP="001E3C6B">
      <w:pPr>
        <w:pStyle w:val="ParaNumbering"/>
        <w:numPr>
          <w:ilvl w:val="0"/>
          <w:numId w:val="0"/>
        </w:numPr>
        <w:ind w:hanging="720"/>
      </w:pPr>
      <w:r>
        <w:rPr>
          <w:sz w:val="20"/>
        </w:rPr>
        <w:t>497</w:t>
      </w:r>
      <w:r>
        <w:rPr>
          <w:sz w:val="20"/>
        </w:rPr>
        <w:tab/>
      </w:r>
      <w:r w:rsidR="00D07BB6">
        <w:t>Importantly, the context in which the statements were made include</w:t>
      </w:r>
      <w:r w:rsidR="00AC3E72">
        <w:t>s</w:t>
      </w:r>
      <w:r w:rsidR="00D07BB6">
        <w:t xml:space="preserve"> the following material elements:</w:t>
      </w:r>
    </w:p>
    <w:p w14:paraId="24E6B22E" w14:textId="231C9AD4" w:rsidR="00D07BB6" w:rsidRDefault="001E3C6B" w:rsidP="001E3C6B">
      <w:pPr>
        <w:pStyle w:val="ListNo1"/>
        <w:numPr>
          <w:ilvl w:val="0"/>
          <w:numId w:val="0"/>
        </w:numPr>
        <w:tabs>
          <w:tab w:val="left" w:pos="720"/>
        </w:tabs>
        <w:ind w:left="720" w:hanging="720"/>
      </w:pPr>
      <w:r>
        <w:t>(1)</w:t>
      </w:r>
      <w:r>
        <w:tab/>
      </w:r>
      <w:r w:rsidR="00D07BB6">
        <w:t>The reputation of Botox is as an injectable anti-wrinkle treatment that can only be administered by healthcare professionals.</w:t>
      </w:r>
    </w:p>
    <w:p w14:paraId="414E5FDC" w14:textId="574F9539" w:rsidR="00D07BB6" w:rsidRDefault="001E3C6B" w:rsidP="001E3C6B">
      <w:pPr>
        <w:pStyle w:val="ListNo1"/>
        <w:numPr>
          <w:ilvl w:val="0"/>
          <w:numId w:val="0"/>
        </w:numPr>
        <w:tabs>
          <w:tab w:val="left" w:pos="720"/>
        </w:tabs>
        <w:ind w:left="720" w:hanging="720"/>
      </w:pPr>
      <w:r>
        <w:t>(2)</w:t>
      </w:r>
      <w:r>
        <w:tab/>
      </w:r>
      <w:r w:rsidR="00D07BB6">
        <w:t>The Self Care products are all topical creams, serums and lotions that are typically self-applied.</w:t>
      </w:r>
    </w:p>
    <w:p w14:paraId="76C049E5" w14:textId="73D1EBCA" w:rsidR="00D07BB6" w:rsidRDefault="001E3C6B" w:rsidP="001E3C6B">
      <w:pPr>
        <w:pStyle w:val="ListNo1"/>
        <w:numPr>
          <w:ilvl w:val="0"/>
          <w:numId w:val="0"/>
        </w:numPr>
        <w:tabs>
          <w:tab w:val="left" w:pos="720"/>
        </w:tabs>
        <w:ind w:left="720" w:hanging="720"/>
      </w:pPr>
      <w:r>
        <w:t>(3)</w:t>
      </w:r>
      <w:r>
        <w:tab/>
      </w:r>
      <w:r w:rsidR="00D07BB6">
        <w:t>The cost of a single Botox treatment is substantially mo</w:t>
      </w:r>
      <w:r w:rsidR="00B44D1A">
        <w:t xml:space="preserve">re than the cost of an item </w:t>
      </w:r>
      <w:r w:rsidR="00D07BB6">
        <w:t xml:space="preserve">of any of the Self Care products, and such </w:t>
      </w:r>
      <w:r w:rsidR="00B44D1A">
        <w:t>an item</w:t>
      </w:r>
      <w:r w:rsidR="00D07BB6">
        <w:t xml:space="preserve"> will offer daily treatments for, perhaps, several weeks</w:t>
      </w:r>
      <w:r w:rsidR="00B44D1A">
        <w:t xml:space="preserve"> or even longer depending on individual application habits and techniques</w:t>
      </w:r>
      <w:r w:rsidR="00D07BB6">
        <w:t>.</w:t>
      </w:r>
    </w:p>
    <w:p w14:paraId="49DFC143" w14:textId="48D378E6" w:rsidR="00845000" w:rsidRDefault="001E3C6B" w:rsidP="001E3C6B">
      <w:pPr>
        <w:pStyle w:val="ListNo1"/>
        <w:numPr>
          <w:ilvl w:val="0"/>
          <w:numId w:val="0"/>
        </w:numPr>
        <w:tabs>
          <w:tab w:val="left" w:pos="720"/>
        </w:tabs>
        <w:ind w:left="720" w:hanging="720"/>
      </w:pPr>
      <w:r>
        <w:t>(4)</w:t>
      </w:r>
      <w:r>
        <w:tab/>
      </w:r>
      <w:r w:rsidR="00D07BB6">
        <w:t>There is nowhere where the Self Care products and Botox treatments are</w:t>
      </w:r>
      <w:r w:rsidR="00B44D1A">
        <w:t xml:space="preserve"> both</w:t>
      </w:r>
      <w:r w:rsidR="00D07BB6">
        <w:t xml:space="preserve"> offered.</w:t>
      </w:r>
    </w:p>
    <w:p w14:paraId="280616E9" w14:textId="4DAEDFFB" w:rsidR="007C2209" w:rsidRDefault="001E3C6B" w:rsidP="001E3C6B">
      <w:pPr>
        <w:pStyle w:val="ParaNumbering"/>
        <w:numPr>
          <w:ilvl w:val="0"/>
          <w:numId w:val="0"/>
        </w:numPr>
        <w:ind w:hanging="720"/>
      </w:pPr>
      <w:r>
        <w:rPr>
          <w:sz w:val="20"/>
        </w:rPr>
        <w:t>498</w:t>
      </w:r>
      <w:r>
        <w:rPr>
          <w:sz w:val="20"/>
        </w:rPr>
        <w:tab/>
      </w:r>
      <w:r w:rsidR="007C2209">
        <w:t>Insofar as identifying the class of consumers for Self Care’s products and hence the people who are likely to read the imp</w:t>
      </w:r>
      <w:r w:rsidR="00AC3E72">
        <w:t>ugned statements is concerned, a few</w:t>
      </w:r>
      <w:r w:rsidR="007C2209">
        <w:t xml:space="preserve"> points are worth noting.  First, </w:t>
      </w:r>
      <w:r w:rsidR="007C2209">
        <w:lastRenderedPageBreak/>
        <w:t>it is people who are interested in treatments for the reduction of the appearance of wrinkles who are liable to have their attention drawn to Self Care’s impugned statements.  They</w:t>
      </w:r>
      <w:r w:rsidR="00665AD2">
        <w:t xml:space="preserve"> would likely be aware of Botox</w:t>
      </w:r>
      <w:r w:rsidR="00297B1D">
        <w:t>, as the survey evidence shows</w:t>
      </w:r>
      <w:r w:rsidR="00665AD2">
        <w:t>, and they</w:t>
      </w:r>
      <w:r w:rsidR="007C2209">
        <w:t xml:space="preserve"> may be people who have used Botox, or who might consider using Botox, or who would not be interested in using Botox.  Secondly, they are for the most part likely to be people, men or women, who know something about anti-ageing and/or anti-wrinkle treatments.  That is because if they have an interest in the subject matter, which is the reason why their attention might be drawn to Self Care’s statements about its products, they are likely to have previously looked at materials or to have engaged in conversations on the subject matter.</w:t>
      </w:r>
    </w:p>
    <w:p w14:paraId="0CA9ADE2" w14:textId="4F676C34" w:rsidR="00D07BB6" w:rsidRDefault="001E3C6B" w:rsidP="001E3C6B">
      <w:pPr>
        <w:pStyle w:val="ParaNumbering"/>
        <w:numPr>
          <w:ilvl w:val="0"/>
          <w:numId w:val="0"/>
        </w:numPr>
        <w:ind w:hanging="720"/>
      </w:pPr>
      <w:r>
        <w:rPr>
          <w:sz w:val="20"/>
        </w:rPr>
        <w:t>499</w:t>
      </w:r>
      <w:r>
        <w:rPr>
          <w:sz w:val="20"/>
        </w:rPr>
        <w:tab/>
      </w:r>
      <w:r w:rsidR="007C2209">
        <w:t xml:space="preserve">The </w:t>
      </w:r>
      <w:r w:rsidR="007C2209" w:rsidRPr="001B738E">
        <w:t>result is that the ordinary and reasonable consumer on reading the impugned statements in their context is likely to know that Botox is an injectable anti-wrinkle treatment that is available to be administered only by healthcare professionals, that in contrast Self Care’s products are topically self-applied creams, serums and lotions, and Botox is</w:t>
      </w:r>
      <w:r w:rsidR="00297B1D">
        <w:t xml:space="preserve"> likely to be </w:t>
      </w:r>
      <w:r w:rsidR="007C2209" w:rsidRPr="001B738E">
        <w:t>more expensive than Self Care’s products</w:t>
      </w:r>
      <w:r w:rsidR="00297B1D">
        <w:t xml:space="preserve"> because it is required to be professionally administered</w:t>
      </w:r>
      <w:r w:rsidR="007C2209" w:rsidRPr="001B738E">
        <w:t>.</w:t>
      </w:r>
      <w:r w:rsidR="007C2209">
        <w:t xml:space="preserve">  Also, although probably not being conscious of the fact, such consumers will not have seen or experienced Botox and Self Care’s products being available in the same place.</w:t>
      </w:r>
    </w:p>
    <w:p w14:paraId="64806448" w14:textId="2EFD886C" w:rsidR="00AC3E72" w:rsidRDefault="001E3C6B" w:rsidP="001E3C6B">
      <w:pPr>
        <w:pStyle w:val="ParaNumbering"/>
        <w:numPr>
          <w:ilvl w:val="0"/>
          <w:numId w:val="0"/>
        </w:numPr>
        <w:ind w:hanging="720"/>
      </w:pPr>
      <w:r>
        <w:rPr>
          <w:sz w:val="20"/>
        </w:rPr>
        <w:t>500</w:t>
      </w:r>
      <w:r>
        <w:rPr>
          <w:sz w:val="20"/>
        </w:rPr>
        <w:tab/>
      </w:r>
      <w:r w:rsidR="00845000">
        <w:t>In that context, in my assessment the impugned statements that describe the relevant product as an “alternative” to Botox are</w:t>
      </w:r>
      <w:r w:rsidR="00523981">
        <w:t xml:space="preserve"> </w:t>
      </w:r>
      <w:r w:rsidR="00845000">
        <w:t>likely to be understood by ordinary and reasonable members of the relevant class of consumer as representing th</w:t>
      </w:r>
      <w:r w:rsidR="00B44D1A">
        <w:t xml:space="preserve">at the Self Care product will </w:t>
      </w:r>
      <w:r w:rsidR="00845000">
        <w:t>reduce the appearance of wrinkles</w:t>
      </w:r>
      <w:r w:rsidR="00AC3E72">
        <w:t xml:space="preserve"> to a similar extent as Botox does</w:t>
      </w:r>
      <w:r w:rsidR="00845000">
        <w:t xml:space="preserve">.  </w:t>
      </w:r>
      <w:r w:rsidR="00AC3E72">
        <w:t>T</w:t>
      </w:r>
      <w:r w:rsidR="00845000">
        <w:t>he statements convey, in context, that the product will be effective in reducing the appearance of wrinkles.</w:t>
      </w:r>
      <w:r w:rsidR="00616276">
        <w:t xml:space="preserve">  The </w:t>
      </w:r>
      <w:r w:rsidR="00845000">
        <w:t>statements do not</w:t>
      </w:r>
      <w:r w:rsidR="00616276">
        <w:t xml:space="preserve"> say </w:t>
      </w:r>
      <w:r w:rsidR="00845000">
        <w:t xml:space="preserve">anything </w:t>
      </w:r>
      <w:r w:rsidR="00616276">
        <w:t xml:space="preserve">expressly </w:t>
      </w:r>
      <w:r w:rsidR="00845000">
        <w:t>about the extent of that effectiveness, particularly with regard to how long any such reduction in the appearance of wrinkles will last</w:t>
      </w:r>
      <w:r w:rsidR="00616276">
        <w:t xml:space="preserve">.  </w:t>
      </w:r>
      <w:r w:rsidR="00AC3E72">
        <w:t>The statements also say nothing about the mechanism of the effect on the</w:t>
      </w:r>
      <w:r w:rsidR="00B44D1A">
        <w:t xml:space="preserve"> reduction</w:t>
      </w:r>
      <w:r w:rsidR="00AC3E72">
        <w:t xml:space="preserve"> in the appearance of wrinkles.</w:t>
      </w:r>
    </w:p>
    <w:p w14:paraId="2C940C4D" w14:textId="27381EAD" w:rsidR="00616276" w:rsidRDefault="001E3C6B" w:rsidP="001E3C6B">
      <w:pPr>
        <w:pStyle w:val="ParaNumbering"/>
        <w:numPr>
          <w:ilvl w:val="0"/>
          <w:numId w:val="0"/>
        </w:numPr>
        <w:ind w:hanging="720"/>
      </w:pPr>
      <w:r>
        <w:rPr>
          <w:sz w:val="20"/>
        </w:rPr>
        <w:t>501</w:t>
      </w:r>
      <w:r>
        <w:rPr>
          <w:sz w:val="20"/>
        </w:rPr>
        <w:tab/>
      </w:r>
      <w:r w:rsidR="00B44D1A">
        <w:t>The</w:t>
      </w:r>
      <w:r w:rsidR="00616276">
        <w:t xml:space="preserve"> statement</w:t>
      </w:r>
      <w:r w:rsidR="00AC3E72">
        <w:t>s</w:t>
      </w:r>
      <w:r w:rsidR="00616276">
        <w:t xml:space="preserve"> that </w:t>
      </w:r>
      <w:r w:rsidR="00845000">
        <w:t>the product</w:t>
      </w:r>
      <w:r w:rsidR="00616276">
        <w:t xml:space="preserve"> is </w:t>
      </w:r>
      <w:r w:rsidR="00845000">
        <w:t xml:space="preserve">an “alternative” to Botox </w:t>
      </w:r>
      <w:r w:rsidR="00B44D1A">
        <w:t>are</w:t>
      </w:r>
      <w:r w:rsidR="00845000">
        <w:t xml:space="preserve"> likely to be understood as distinguishing the product as not having the qualities of Botox that the consumer might regard to be disadvantageous</w:t>
      </w:r>
      <w:r w:rsidR="00616276">
        <w:t>,</w:t>
      </w:r>
      <w:r w:rsidR="00845000">
        <w:t xml:space="preserve"> such as it being an injectable that </w:t>
      </w:r>
      <w:r w:rsidR="00C84680">
        <w:t xml:space="preserve">can </w:t>
      </w:r>
      <w:r w:rsidR="00845000">
        <w:t xml:space="preserve">only </w:t>
      </w:r>
      <w:r w:rsidR="00C84680">
        <w:t xml:space="preserve">be </w:t>
      </w:r>
      <w:r w:rsidR="00845000">
        <w:t>administered by healthcare professionals and that it is relatively expensive</w:t>
      </w:r>
      <w:r w:rsidR="00C84680">
        <w:t>.</w:t>
      </w:r>
      <w:r w:rsidR="00C16D3F">
        <w:t xml:space="preserve"> </w:t>
      </w:r>
      <w:r w:rsidR="00616276">
        <w:t xml:space="preserve"> </w:t>
      </w:r>
      <w:r w:rsidR="00C52735">
        <w:t xml:space="preserve">They are </w:t>
      </w:r>
      <w:r w:rsidR="00616276">
        <w:t xml:space="preserve">also </w:t>
      </w:r>
      <w:r w:rsidR="00C52735">
        <w:t xml:space="preserve">likely to </w:t>
      </w:r>
      <w:r w:rsidR="00C84680">
        <w:t xml:space="preserve">be understood as saying that </w:t>
      </w:r>
      <w:r w:rsidR="00CD236C">
        <w:t xml:space="preserve">the product </w:t>
      </w:r>
      <w:r w:rsidR="00C52735">
        <w:t>will</w:t>
      </w:r>
      <w:r w:rsidR="00CD236C">
        <w:t xml:space="preserve"> </w:t>
      </w:r>
      <w:r w:rsidR="00616276">
        <w:t>achieve a similar outcome</w:t>
      </w:r>
      <w:r w:rsidR="00845000">
        <w:t>.</w:t>
      </w:r>
      <w:r w:rsidR="00616276">
        <w:t xml:space="preserve">  </w:t>
      </w:r>
      <w:r w:rsidR="00AC3E72">
        <w:t>F</w:t>
      </w:r>
      <w:r w:rsidR="00616276">
        <w:t xml:space="preserve">or the product to be an “alternative” it must, at least, </w:t>
      </w:r>
      <w:r w:rsidR="00CD236C">
        <w:t xml:space="preserve">achieve </w:t>
      </w:r>
      <w:r w:rsidR="00616276">
        <w:t>something similar.  If it does not have a similar result, then it is not an alternative.</w:t>
      </w:r>
    </w:p>
    <w:p w14:paraId="46A8C043" w14:textId="5F7BB0BD" w:rsidR="00DD7E99" w:rsidRDefault="001E3C6B" w:rsidP="001E3C6B">
      <w:pPr>
        <w:pStyle w:val="ParaNumbering"/>
        <w:numPr>
          <w:ilvl w:val="0"/>
          <w:numId w:val="0"/>
        </w:numPr>
        <w:ind w:hanging="720"/>
      </w:pPr>
      <w:r>
        <w:rPr>
          <w:sz w:val="20"/>
        </w:rPr>
        <w:lastRenderedPageBreak/>
        <w:t>502</w:t>
      </w:r>
      <w:r>
        <w:rPr>
          <w:sz w:val="20"/>
        </w:rPr>
        <w:tab/>
      </w:r>
      <w:r w:rsidR="00AC3E72">
        <w:t xml:space="preserve">I am not persuaded that the statements convey that the effect of the product in question will </w:t>
      </w:r>
      <w:r w:rsidR="00B44D1A">
        <w:t>be</w:t>
      </w:r>
      <w:r w:rsidR="00AC3E72">
        <w:t xml:space="preserve"> the same </w:t>
      </w:r>
      <w:r w:rsidR="00B44D1A">
        <w:t xml:space="preserve">as the </w:t>
      </w:r>
      <w:r w:rsidR="00AC3E72">
        <w:t xml:space="preserve">effect </w:t>
      </w:r>
      <w:r w:rsidR="00B44D1A">
        <w:t>of</w:t>
      </w:r>
      <w:r w:rsidR="00AC3E72">
        <w:t xml:space="preserve"> Botox.  That is not ordinarily how “alternative” would be understood, and given the ordinary and reasonabl</w:t>
      </w:r>
      <w:r w:rsidR="00523981">
        <w:t>e</w:t>
      </w:r>
      <w:r w:rsidR="00AC3E72">
        <w:t xml:space="preserve"> consumer’s knowledge of the significant differences between the products, the statements would not be understood as saying that the products are the same or that they have the same effect.</w:t>
      </w:r>
      <w:r w:rsidR="00DD7E99">
        <w:t xml:space="preserve">  The statements also do not imply that the products have the same mechanism or mode of action.</w:t>
      </w:r>
    </w:p>
    <w:p w14:paraId="52E49F75" w14:textId="145A18F2" w:rsidR="00B44D1A" w:rsidRDefault="001E3C6B" w:rsidP="001E3C6B">
      <w:pPr>
        <w:pStyle w:val="ParaNumbering"/>
        <w:numPr>
          <w:ilvl w:val="0"/>
          <w:numId w:val="0"/>
        </w:numPr>
        <w:ind w:hanging="720"/>
      </w:pPr>
      <w:r>
        <w:rPr>
          <w:sz w:val="20"/>
        </w:rPr>
        <w:t>503</w:t>
      </w:r>
      <w:r>
        <w:rPr>
          <w:sz w:val="20"/>
        </w:rPr>
        <w:tab/>
      </w:r>
      <w:r w:rsidR="00B44D1A">
        <w:t xml:space="preserve">The ordinary and reasonable consumer will appreciate that there are many variables to take into account in choosing one product over another.  Relevantly, these will include the trouble, pain and expense of purchase and administration or application, how long the effects of the product last, and how </w:t>
      </w:r>
      <w:r w:rsidR="00126E20">
        <w:t xml:space="preserve">significant </w:t>
      </w:r>
      <w:r w:rsidR="004E74BC">
        <w:t xml:space="preserve">the effects are.  </w:t>
      </w:r>
      <w:r w:rsidR="00B44D1A">
        <w:t>Thus, to say that one is an alternative</w:t>
      </w:r>
      <w:r w:rsidR="00297B1D">
        <w:t xml:space="preserve"> to </w:t>
      </w:r>
      <w:r w:rsidR="00B44D1A">
        <w:t>the other will not, in my assessment, be understood to say that the one is the same as the other, but neither is it to say that there is no similarity between the products.  For the products to be alternatives they must have some similarity with reference to their intended purpose.  That is a reduction in the appearance of wrinkles.</w:t>
      </w:r>
    </w:p>
    <w:p w14:paraId="27C63288" w14:textId="701950D9" w:rsidR="00845000" w:rsidRDefault="001E3C6B" w:rsidP="001E3C6B">
      <w:pPr>
        <w:pStyle w:val="ParaNumbering"/>
        <w:numPr>
          <w:ilvl w:val="0"/>
          <w:numId w:val="0"/>
        </w:numPr>
        <w:ind w:hanging="720"/>
      </w:pPr>
      <w:bookmarkStart w:id="119" w:name="_Ref52371678"/>
      <w:r>
        <w:rPr>
          <w:sz w:val="20"/>
        </w:rPr>
        <w:t>504</w:t>
      </w:r>
      <w:r>
        <w:rPr>
          <w:sz w:val="20"/>
        </w:rPr>
        <w:tab/>
      </w:r>
      <w:r w:rsidR="00DD7E99">
        <w:t xml:space="preserve">Simply, the statements carry with them the implication, and hence the representation, that Self Care’s products to which they relate achieve a similar </w:t>
      </w:r>
      <w:r w:rsidR="00B44D1A">
        <w:t xml:space="preserve">aesthetic </w:t>
      </w:r>
      <w:r w:rsidR="00DD7E99">
        <w:t>outcome with regard to the reduction in the appearance of wrinkles to the outcome that Botox achieves.</w:t>
      </w:r>
      <w:bookmarkEnd w:id="119"/>
    </w:p>
    <w:p w14:paraId="798D5BE0" w14:textId="26F082D3" w:rsidR="00AC3E72" w:rsidRDefault="001E3C6B" w:rsidP="001E3C6B">
      <w:pPr>
        <w:pStyle w:val="ParaNumbering"/>
        <w:numPr>
          <w:ilvl w:val="0"/>
          <w:numId w:val="0"/>
        </w:numPr>
        <w:ind w:hanging="720"/>
      </w:pPr>
      <w:bookmarkStart w:id="120" w:name="_Ref52371759"/>
      <w:r>
        <w:rPr>
          <w:sz w:val="20"/>
        </w:rPr>
        <w:t>505</w:t>
      </w:r>
      <w:r>
        <w:rPr>
          <w:sz w:val="20"/>
        </w:rPr>
        <w:tab/>
      </w:r>
      <w:r w:rsidR="00AD192E" w:rsidRPr="00EA0F56">
        <w:t>The second category of statements</w:t>
      </w:r>
      <w:r w:rsidR="00AD192E">
        <w:t xml:space="preserve"> is </w:t>
      </w:r>
      <w:r w:rsidR="00AC3E72">
        <w:t>comparative statements</w:t>
      </w:r>
      <w:r w:rsidR="00AD192E">
        <w:t xml:space="preserve"> that </w:t>
      </w:r>
      <w:r w:rsidR="00AC3E72">
        <w:t xml:space="preserve">expressly make representations as to the effect of the product in question and Botox being </w:t>
      </w:r>
      <w:r w:rsidR="00AD192E">
        <w:t xml:space="preserve">the same or </w:t>
      </w:r>
      <w:r w:rsidR="00AC3E72">
        <w:t>similar.  These include:</w:t>
      </w:r>
      <w:bookmarkEnd w:id="120"/>
    </w:p>
    <w:p w14:paraId="3F0AA3BA" w14:textId="0327BFAA" w:rsidR="00AC3E72" w:rsidRDefault="001E3C6B" w:rsidP="001E3C6B">
      <w:pPr>
        <w:pStyle w:val="FCBullets"/>
        <w:numPr>
          <w:ilvl w:val="0"/>
          <w:numId w:val="0"/>
        </w:numPr>
        <w:tabs>
          <w:tab w:val="left" w:pos="720"/>
        </w:tabs>
        <w:ind w:left="720" w:hanging="720"/>
      </w:pPr>
      <w:r>
        <w:rPr>
          <w:rFonts w:ascii="Symbol" w:hAnsi="Symbol"/>
        </w:rPr>
        <w:t></w:t>
      </w:r>
      <w:r>
        <w:rPr>
          <w:rFonts w:ascii="Symbol" w:hAnsi="Symbol"/>
        </w:rPr>
        <w:tab/>
      </w:r>
      <w:r w:rsidR="00AC3E72">
        <w:t>“…</w:t>
      </w:r>
      <w:r w:rsidR="004F7EDC">
        <w:t xml:space="preserve"> which could produce a Botox</w:t>
      </w:r>
      <w:r w:rsidR="00AC3E72">
        <w:t>-like visual effect when applied topically to the skin”</w:t>
      </w:r>
      <w:r w:rsidR="004F7EDC">
        <w:t xml:space="preserve"> </w:t>
      </w:r>
      <w:r w:rsidR="00AC3E72">
        <w:t>(</w:t>
      </w:r>
      <w:r w:rsidR="00B44D1A">
        <w:t xml:space="preserve">Protox </w:t>
      </w:r>
      <w:r w:rsidR="00AC3E72">
        <w:t>statement 12)</w:t>
      </w:r>
    </w:p>
    <w:p w14:paraId="1637DA15" w14:textId="503E5AA1" w:rsidR="00AC3E72" w:rsidRDefault="001E3C6B" w:rsidP="001E3C6B">
      <w:pPr>
        <w:pStyle w:val="FCBullets"/>
        <w:numPr>
          <w:ilvl w:val="0"/>
          <w:numId w:val="0"/>
        </w:numPr>
        <w:tabs>
          <w:tab w:val="left" w:pos="720"/>
        </w:tabs>
        <w:ind w:left="720" w:hanging="720"/>
      </w:pPr>
      <w:r>
        <w:rPr>
          <w:rFonts w:ascii="Symbol" w:hAnsi="Symbol"/>
        </w:rPr>
        <w:t></w:t>
      </w:r>
      <w:r>
        <w:rPr>
          <w:rFonts w:ascii="Symbol" w:hAnsi="Symbol"/>
        </w:rPr>
        <w:tab/>
      </w:r>
      <w:r w:rsidR="004F7EDC">
        <w:t>“Delivers the results of a collagen injection in 5 sleeps, and a Botox injection in 4 weeks” (Night statement 3).</w:t>
      </w:r>
    </w:p>
    <w:p w14:paraId="77B6245A" w14:textId="3D3909EB" w:rsidR="00AC3E72" w:rsidRDefault="001E3C6B" w:rsidP="001E3C6B">
      <w:pPr>
        <w:pStyle w:val="ParaNumbering"/>
        <w:numPr>
          <w:ilvl w:val="0"/>
          <w:numId w:val="0"/>
        </w:numPr>
        <w:ind w:hanging="720"/>
      </w:pPr>
      <w:r>
        <w:rPr>
          <w:sz w:val="20"/>
        </w:rPr>
        <w:t>506</w:t>
      </w:r>
      <w:r>
        <w:rPr>
          <w:sz w:val="20"/>
        </w:rPr>
        <w:tab/>
      </w:r>
      <w:r w:rsidR="00874781">
        <w:t>The promise of a “Botox-like</w:t>
      </w:r>
      <w:r w:rsidR="00B44D1A">
        <w:t xml:space="preserve"> visual effect</w:t>
      </w:r>
      <w:r w:rsidR="00874781">
        <w:t>”</w:t>
      </w:r>
      <w:r w:rsidR="00B44D1A">
        <w:t xml:space="preserve"> </w:t>
      </w:r>
      <w:r w:rsidR="00874781">
        <w:t>might</w:t>
      </w:r>
      <w:r w:rsidR="00B44D1A">
        <w:t xml:space="preserve"> be understood to be a more specific comparative promise than to say that the product is an alternative to Bo</w:t>
      </w:r>
      <w:r w:rsidR="00874781">
        <w:t>tox.  Clearly the promise operates only at the level of vi</w:t>
      </w:r>
      <w:r w:rsidR="00B44D1A">
        <w:t>sual effect</w:t>
      </w:r>
      <w:r w:rsidR="00874781">
        <w:t xml:space="preserve"> and does not say anything about mechanism of action or longevity, but it comes close to saying that that visual effect will be the same.  Still, on balance, given that the word “like” conveys the same meaning as similar and</w:t>
      </w:r>
      <w:r w:rsidR="00126E20">
        <w:t>,</w:t>
      </w:r>
      <w:r w:rsidR="00874781">
        <w:t xml:space="preserve"> taken in context</w:t>
      </w:r>
      <w:r w:rsidR="00126E20">
        <w:t>,</w:t>
      </w:r>
      <w:r w:rsidR="00874781">
        <w:t xml:space="preserve"> it will be understood that the products are very different, I consider that the representation that </w:t>
      </w:r>
      <w:r w:rsidR="00874781">
        <w:lastRenderedPageBreak/>
        <w:t>is made is that the product will produce a similar visual effect on the appearance in the reduction of wrinkles.</w:t>
      </w:r>
    </w:p>
    <w:p w14:paraId="219D90E6" w14:textId="0DBCF54F" w:rsidR="00874781" w:rsidRDefault="001E3C6B" w:rsidP="001E3C6B">
      <w:pPr>
        <w:pStyle w:val="ParaNumbering"/>
        <w:numPr>
          <w:ilvl w:val="0"/>
          <w:numId w:val="0"/>
        </w:numPr>
        <w:ind w:hanging="720"/>
      </w:pPr>
      <w:bookmarkStart w:id="121" w:name="_Ref52371765"/>
      <w:r>
        <w:rPr>
          <w:sz w:val="20"/>
        </w:rPr>
        <w:t>507</w:t>
      </w:r>
      <w:r>
        <w:rPr>
          <w:sz w:val="20"/>
        </w:rPr>
        <w:tab/>
      </w:r>
      <w:r w:rsidR="00874781">
        <w:t>The statement that the product “delivers the results of … a Botox injection in 4 weeks”, however, is more exact.  It is exact with regard to result, i.e.</w:t>
      </w:r>
      <w:r w:rsidR="00B63644">
        <w:t>,</w:t>
      </w:r>
      <w:r w:rsidR="00874781">
        <w:t xml:space="preserve"> “the result” is the same result not a similar result, and with regard to time, i.e.</w:t>
      </w:r>
      <w:r w:rsidR="00B63644">
        <w:t>,</w:t>
      </w:r>
      <w:r w:rsidR="00874781">
        <w:t xml:space="preserve"> it will be achieved in four weeks.  That is a representation of exact comparison.</w:t>
      </w:r>
      <w:bookmarkEnd w:id="121"/>
      <w:r w:rsidR="000C7F08">
        <w:t xml:space="preserve">  However, it is with regard to “results”, not mechanism or mode of action.  The results are the results in the reduction in the appearance of wrinkles.  Those are the results that are represented to be the same.</w:t>
      </w:r>
    </w:p>
    <w:p w14:paraId="34CC994D" w14:textId="2928DC23" w:rsidR="004F7EDC" w:rsidRDefault="001E3C6B" w:rsidP="001E3C6B">
      <w:pPr>
        <w:pStyle w:val="ParaNumbering"/>
        <w:numPr>
          <w:ilvl w:val="0"/>
          <w:numId w:val="0"/>
        </w:numPr>
        <w:ind w:hanging="720"/>
      </w:pPr>
      <w:bookmarkStart w:id="122" w:name="_Ref52371893"/>
      <w:r>
        <w:rPr>
          <w:sz w:val="20"/>
        </w:rPr>
        <w:t>508</w:t>
      </w:r>
      <w:r>
        <w:rPr>
          <w:sz w:val="20"/>
        </w:rPr>
        <w:tab/>
      </w:r>
      <w:r w:rsidR="00AD192E" w:rsidRPr="00EA0F56">
        <w:t xml:space="preserve">The third category </w:t>
      </w:r>
      <w:r w:rsidR="004F7EDC" w:rsidRPr="00EA0F56">
        <w:t>of statements</w:t>
      </w:r>
      <w:r w:rsidR="00AD192E">
        <w:t xml:space="preserve"> is of </w:t>
      </w:r>
      <w:r w:rsidR="004F7EDC">
        <w:t xml:space="preserve">those which make a representation that the product in question works with Botox in some way, such as to “prolong” its effects, to make Botox “look better for longer” or to make the visual effect of Botox “look even more dramatic”.  These statements are the </w:t>
      </w:r>
      <w:r w:rsidR="00874781">
        <w:t xml:space="preserve">Protox </w:t>
      </w:r>
      <w:r w:rsidR="004F7EDC">
        <w:t>statements 2-4, 11</w:t>
      </w:r>
      <w:r w:rsidR="00737AA7">
        <w:t xml:space="preserve"> and 13-18</w:t>
      </w:r>
      <w:r w:rsidR="004F7EDC">
        <w:t>.</w:t>
      </w:r>
      <w:r w:rsidR="00000D38">
        <w:t xml:space="preserve">  These statements also unavoidably</w:t>
      </w:r>
      <w:r w:rsidR="00737AA7">
        <w:t xml:space="preserve"> make </w:t>
      </w:r>
      <w:r w:rsidR="00000D38">
        <w:t>representation</w:t>
      </w:r>
      <w:r w:rsidR="00737AA7">
        <w:t>s</w:t>
      </w:r>
      <w:r w:rsidR="00000D38">
        <w:t xml:space="preserve"> as to the efficacy of the product in question, being that it is effective to “prolong the look of Botox” or to improve the look of Botox.</w:t>
      </w:r>
      <w:bookmarkEnd w:id="122"/>
    </w:p>
    <w:p w14:paraId="2821FF55" w14:textId="66C2CC7D" w:rsidR="00D07BB6" w:rsidRDefault="001E3C6B" w:rsidP="001E3C6B">
      <w:pPr>
        <w:pStyle w:val="ParaNumbering"/>
        <w:numPr>
          <w:ilvl w:val="0"/>
          <w:numId w:val="0"/>
        </w:numPr>
        <w:ind w:hanging="720"/>
      </w:pPr>
      <w:bookmarkStart w:id="123" w:name="_Ref54201232"/>
      <w:r>
        <w:rPr>
          <w:sz w:val="20"/>
        </w:rPr>
        <w:t>509</w:t>
      </w:r>
      <w:r>
        <w:rPr>
          <w:sz w:val="20"/>
        </w:rPr>
        <w:tab/>
      </w:r>
      <w:r w:rsidR="00000D38">
        <w:t>Thus, all the statements that are said to give rise to efficacy representations make representations with regard to the product in question having particular “performance characteristics, … uses or benefits” within the meaning of s 29(1)(g) of the ACL.</w:t>
      </w:r>
      <w:bookmarkEnd w:id="123"/>
    </w:p>
    <w:p w14:paraId="3B4D29FC" w14:textId="77777777" w:rsidR="00000D38" w:rsidRDefault="00737AA7" w:rsidP="00737AA7">
      <w:pPr>
        <w:pStyle w:val="Heading3"/>
      </w:pPr>
      <w:bookmarkStart w:id="124" w:name="_Ref54701613"/>
      <w:r>
        <w:t>Reasonable grounds?</w:t>
      </w:r>
      <w:bookmarkEnd w:id="124"/>
    </w:p>
    <w:p w14:paraId="1A5074AD" w14:textId="77777777" w:rsidR="004E3484" w:rsidRDefault="004E3484" w:rsidP="004E3484">
      <w:pPr>
        <w:pStyle w:val="Heading4"/>
      </w:pPr>
      <w:bookmarkStart w:id="125" w:name="_Ref54701614"/>
      <w:r>
        <w:t>Formulations, active ingredients and studies</w:t>
      </w:r>
      <w:bookmarkEnd w:id="125"/>
    </w:p>
    <w:p w14:paraId="1B98D94E" w14:textId="404D0B99" w:rsidR="00DD7E99" w:rsidRDefault="001E3C6B" w:rsidP="001E3C6B">
      <w:pPr>
        <w:pStyle w:val="ParaNumbering"/>
        <w:numPr>
          <w:ilvl w:val="0"/>
          <w:numId w:val="0"/>
        </w:numPr>
        <w:ind w:hanging="720"/>
      </w:pPr>
      <w:r>
        <w:rPr>
          <w:sz w:val="20"/>
        </w:rPr>
        <w:t>510</w:t>
      </w:r>
      <w:r>
        <w:rPr>
          <w:sz w:val="20"/>
        </w:rPr>
        <w:tab/>
      </w:r>
      <w:r w:rsidR="001739DF">
        <w:t xml:space="preserve">In respect of each of the products in respect of which the efficacy representations were made, Ms Amoroso in her evidence referred to the active ingredients in the products and a number of scientific studies which, she said, she relied on in making claims that the products are effective in reducing the appearance of wrinkles or in prolonging the effect of Botox.  </w:t>
      </w:r>
      <w:r w:rsidR="00DD7E99">
        <w:t>Ms Amoroso’s evidence that she relied on the studies was not challenged.  I accept it.  The central issue for consideration is whether the studies adequately substantiate the claimed effects of Self Care’s products.</w:t>
      </w:r>
    </w:p>
    <w:p w14:paraId="51D5519D" w14:textId="4C06EA08" w:rsidR="00737AA7" w:rsidRDefault="001E3C6B" w:rsidP="001E3C6B">
      <w:pPr>
        <w:pStyle w:val="ParaNumbering"/>
        <w:numPr>
          <w:ilvl w:val="0"/>
          <w:numId w:val="0"/>
        </w:numPr>
        <w:ind w:hanging="720"/>
      </w:pPr>
      <w:r>
        <w:rPr>
          <w:sz w:val="20"/>
        </w:rPr>
        <w:t>511</w:t>
      </w:r>
      <w:r>
        <w:rPr>
          <w:sz w:val="20"/>
        </w:rPr>
        <w:tab/>
      </w:r>
      <w:r w:rsidR="001739DF">
        <w:t xml:space="preserve">The </w:t>
      </w:r>
      <w:r w:rsidR="008677C9">
        <w:t>formulations</w:t>
      </w:r>
      <w:r w:rsidR="001739DF">
        <w:t xml:space="preserve"> for the products</w:t>
      </w:r>
      <w:r w:rsidR="001B69AF">
        <w:t>, which were tendered and accepted in evidence,</w:t>
      </w:r>
      <w:r w:rsidR="001739DF">
        <w:t xml:space="preserve"> are understandably a closely guarded trade secret.  For that reason the parties agreed to give the active ingredients letter references.  There </w:t>
      </w:r>
      <w:r w:rsidR="008677C9">
        <w:t>are</w:t>
      </w:r>
      <w:r w:rsidR="001739DF">
        <w:t xml:space="preserve"> ten active ingredients.  Thus, reference was made to Active A, Active B, etc., through to Active J.</w:t>
      </w:r>
    </w:p>
    <w:p w14:paraId="7FA8CA6D" w14:textId="6E2CE981" w:rsidR="00000D38" w:rsidRDefault="001E3C6B" w:rsidP="001E3C6B">
      <w:pPr>
        <w:pStyle w:val="ParaNumbering"/>
        <w:numPr>
          <w:ilvl w:val="0"/>
          <w:numId w:val="0"/>
        </w:numPr>
        <w:ind w:hanging="720"/>
      </w:pPr>
      <w:r>
        <w:rPr>
          <w:sz w:val="20"/>
        </w:rPr>
        <w:lastRenderedPageBreak/>
        <w:t>512</w:t>
      </w:r>
      <w:r>
        <w:rPr>
          <w:sz w:val="20"/>
        </w:rPr>
        <w:tab/>
      </w:r>
      <w:r w:rsidR="001739DF">
        <w:t>Since the scientific studies naturally record the active ingredients that are their subject, identification of the studies would reveal the a</w:t>
      </w:r>
      <w:r w:rsidR="00874781">
        <w:t>ctive ingredients.  There are 23</w:t>
      </w:r>
      <w:r w:rsidR="001739DF">
        <w:t xml:space="preserve"> such studies.  They were numbered as Study 1, Study 2, etc.</w:t>
      </w:r>
      <w:r w:rsidR="00B63644">
        <w:t>,</w:t>
      </w:r>
      <w:r w:rsidR="00874781">
        <w:t xml:space="preserve"> through to Study 24, save that there is no Study 16 or 18 and there are two Study 23s.  I do not understand why the numbering was done in that inconsistent manner, but it has no effect on what follows.</w:t>
      </w:r>
    </w:p>
    <w:p w14:paraId="096AA200" w14:textId="77777777" w:rsidR="004E3484" w:rsidRDefault="004E3484" w:rsidP="004E3484">
      <w:pPr>
        <w:pStyle w:val="Heading4"/>
      </w:pPr>
      <w:bookmarkStart w:id="126" w:name="_Ref54701615"/>
      <w:r>
        <w:t>Expert witnesses</w:t>
      </w:r>
      <w:bookmarkEnd w:id="126"/>
    </w:p>
    <w:p w14:paraId="5AD58AC7" w14:textId="054CCBA3" w:rsidR="009327A3" w:rsidRDefault="001E3C6B" w:rsidP="001E3C6B">
      <w:pPr>
        <w:pStyle w:val="ParaNumbering"/>
        <w:numPr>
          <w:ilvl w:val="0"/>
          <w:numId w:val="0"/>
        </w:numPr>
        <w:ind w:hanging="720"/>
      </w:pPr>
      <w:r>
        <w:rPr>
          <w:sz w:val="20"/>
        </w:rPr>
        <w:t>513</w:t>
      </w:r>
      <w:r>
        <w:rPr>
          <w:sz w:val="20"/>
        </w:rPr>
        <w:tab/>
      </w:r>
      <w:r w:rsidR="002F2A8C">
        <w:t>Alle</w:t>
      </w:r>
      <w:r w:rsidR="008179C4">
        <w:t>r</w:t>
      </w:r>
      <w:r w:rsidR="002F2A8C">
        <w:t xml:space="preserve">gan </w:t>
      </w:r>
      <w:r w:rsidR="00350521">
        <w:t>relies</w:t>
      </w:r>
      <w:r w:rsidR="002F2A8C">
        <w:t xml:space="preserve"> on the expert evidence of Dr Graeme Haley.  </w:t>
      </w:r>
      <w:r w:rsidR="009327A3">
        <w:t>Dr Haley holds a Bachelor of Science (Honours) (majoring in polymer science) and a Doctor of Philosophy from the University of New South Wales, conferred</w:t>
      </w:r>
      <w:r w:rsidR="008E0D70">
        <w:t xml:space="preserve"> in 1968 and 1972 respectively.</w:t>
      </w:r>
    </w:p>
    <w:p w14:paraId="4D39D7A6" w14:textId="2EAB8652" w:rsidR="002F2A8C" w:rsidRDefault="001E3C6B" w:rsidP="001E3C6B">
      <w:pPr>
        <w:pStyle w:val="ParaNumbering"/>
        <w:numPr>
          <w:ilvl w:val="0"/>
          <w:numId w:val="0"/>
        </w:numPr>
        <w:ind w:hanging="720"/>
      </w:pPr>
      <w:r>
        <w:rPr>
          <w:sz w:val="20"/>
        </w:rPr>
        <w:t>514</w:t>
      </w:r>
      <w:r>
        <w:rPr>
          <w:sz w:val="20"/>
        </w:rPr>
        <w:tab/>
      </w:r>
      <w:r w:rsidR="002F2A8C">
        <w:t xml:space="preserve">Dr Haley is an industrial chemist with 37 years’ industrial experience in formulating and manufacturing a wide variety of cosmetic products in Australia and overseas.  For the last 15 years he has been a director of a consultancy that provides advice to industry in relation to, </w:t>
      </w:r>
      <w:r w:rsidR="002F2A8C" w:rsidRPr="00874781">
        <w:t>int</w:t>
      </w:r>
      <w:r w:rsidR="00874781" w:rsidRPr="00874781">
        <w:t>er</w:t>
      </w:r>
      <w:r w:rsidR="002F2A8C" w:rsidRPr="00874781">
        <w:t xml:space="preserve"> alia</w:t>
      </w:r>
      <w:r w:rsidR="002F2A8C">
        <w:t xml:space="preserve">, the manufacturing, marketing and labelling of cosmetic products, making applications for a number of cosmetic and industrial chemicals companies for National Industrial Chemicals Notification and Assessment Scheme notifications and for </w:t>
      </w:r>
      <w:r w:rsidR="00A62253">
        <w:t>TGA</w:t>
      </w:r>
      <w:r w:rsidR="002F2A8C">
        <w:t xml:space="preserve"> listings, and advising industry in relation to cosmetic and therapeutic claims and the pre</w:t>
      </w:r>
      <w:r w:rsidR="008E0D70">
        <w:t>paration of safety data sheets.</w:t>
      </w:r>
    </w:p>
    <w:p w14:paraId="3F12CF99" w14:textId="369C8BCA" w:rsidR="009327A3" w:rsidRDefault="001E3C6B" w:rsidP="001E3C6B">
      <w:pPr>
        <w:pStyle w:val="ParaNumbering"/>
        <w:numPr>
          <w:ilvl w:val="0"/>
          <w:numId w:val="0"/>
        </w:numPr>
        <w:ind w:hanging="720"/>
      </w:pPr>
      <w:r>
        <w:rPr>
          <w:sz w:val="20"/>
        </w:rPr>
        <w:t>515</w:t>
      </w:r>
      <w:r>
        <w:rPr>
          <w:sz w:val="20"/>
        </w:rPr>
        <w:tab/>
      </w:r>
      <w:r w:rsidR="009327A3">
        <w:t xml:space="preserve">Dr Haley has not had any laboratory experience in formulating skincare products during the last 15 years as it has not been part of his role to make formulating recommendations.  </w:t>
      </w:r>
      <w:r w:rsidR="00874781">
        <w:t>He accepted that in</w:t>
      </w:r>
      <w:r w:rsidR="009327A3">
        <w:t xml:space="preserve"> some cases his reliance on definitions contained in the </w:t>
      </w:r>
      <w:r w:rsidR="009327A3" w:rsidRPr="00B63644">
        <w:rPr>
          <w:i/>
        </w:rPr>
        <w:t>INCI Dictionary</w:t>
      </w:r>
      <w:r w:rsidR="009327A3">
        <w:t xml:space="preserve"> (International Nomenclature of Cosmetic Ingredients) was possibly due to a lack of direct knowledge or experience of an ingredient’s purpose or e</w:t>
      </w:r>
      <w:r w:rsidR="008E0D70">
        <w:t>ffect in cosmetic formulations.</w:t>
      </w:r>
    </w:p>
    <w:p w14:paraId="4FB307AF" w14:textId="1DDD2296" w:rsidR="009327A3" w:rsidRDefault="001E3C6B" w:rsidP="001E3C6B">
      <w:pPr>
        <w:pStyle w:val="ParaNumbering"/>
        <w:numPr>
          <w:ilvl w:val="0"/>
          <w:numId w:val="0"/>
        </w:numPr>
        <w:ind w:hanging="720"/>
      </w:pPr>
      <w:bookmarkStart w:id="127" w:name="_Ref50990157"/>
      <w:r>
        <w:rPr>
          <w:sz w:val="20"/>
        </w:rPr>
        <w:t>516</w:t>
      </w:r>
      <w:r>
        <w:rPr>
          <w:sz w:val="20"/>
        </w:rPr>
        <w:tab/>
      </w:r>
      <w:r w:rsidR="009327A3">
        <w:t xml:space="preserve">Self Care </w:t>
      </w:r>
      <w:r w:rsidR="00350521">
        <w:t>relies</w:t>
      </w:r>
      <w:r w:rsidR="009327A3">
        <w:t xml:space="preserve"> on the expert evidence of </w:t>
      </w:r>
      <w:r w:rsidR="00B63644">
        <w:t xml:space="preserve">Mr </w:t>
      </w:r>
      <w:r w:rsidR="009327A3">
        <w:t>Richard Williams.  Mr Williams holds a Bachelor of Science majoring in pure and applied chemistry at the University of New South Wales in 1980.</w:t>
      </w:r>
      <w:bookmarkEnd w:id="127"/>
    </w:p>
    <w:p w14:paraId="223A9C05" w14:textId="7EFF2937" w:rsidR="009327A3" w:rsidRDefault="001E3C6B" w:rsidP="001E3C6B">
      <w:pPr>
        <w:pStyle w:val="ParaNumbering"/>
        <w:numPr>
          <w:ilvl w:val="0"/>
          <w:numId w:val="0"/>
        </w:numPr>
        <w:ind w:hanging="720"/>
      </w:pPr>
      <w:r>
        <w:rPr>
          <w:sz w:val="20"/>
        </w:rPr>
        <w:t>517</w:t>
      </w:r>
      <w:r>
        <w:rPr>
          <w:sz w:val="20"/>
        </w:rPr>
        <w:tab/>
      </w:r>
      <w:r w:rsidR="009327A3">
        <w:t>Since 2012, Mr Williams has been the Business Director and Principal Scientist of a consultancy business that assists and advises its clients to develop various products in the cosmetic, cosmeceutical, therapeutic, nutritional and veterinarian industries.  Its business includes making small batches of products for clients so that they can conduct product evaluation studies and clinical studies.  Mr Williams is principally engaged in product development from concept to market.  This involves taking a market concept (e.g.</w:t>
      </w:r>
      <w:r w:rsidR="00B63644">
        <w:t>,</w:t>
      </w:r>
      <w:r w:rsidR="009327A3">
        <w:t xml:space="preserve"> a cream that </w:t>
      </w:r>
      <w:r w:rsidR="009327A3">
        <w:lastRenderedPageBreak/>
        <w:t>will achieve a particular outcome), determining the active ingredients that would support a marketing claim, building a product around the active ingredients and then developing the manufacturing process for that product.</w:t>
      </w:r>
    </w:p>
    <w:p w14:paraId="3D801E52" w14:textId="12955EB7" w:rsidR="009327A3" w:rsidRDefault="001E3C6B" w:rsidP="001E3C6B">
      <w:pPr>
        <w:pStyle w:val="ParaNumbering"/>
        <w:numPr>
          <w:ilvl w:val="0"/>
          <w:numId w:val="0"/>
        </w:numPr>
        <w:ind w:hanging="720"/>
      </w:pPr>
      <w:bookmarkStart w:id="128" w:name="_Ref50990178"/>
      <w:r>
        <w:rPr>
          <w:sz w:val="20"/>
        </w:rPr>
        <w:t>518</w:t>
      </w:r>
      <w:r>
        <w:rPr>
          <w:sz w:val="20"/>
        </w:rPr>
        <w:tab/>
      </w:r>
      <w:r w:rsidR="009327A3">
        <w:t>In Mr Williams’s prior roles over the preceding 40 years, he was responsible for creating new product formulations and improving existing products.  As a result he is familiar with the chemical components of, and ingredients used within, cosmetic products, including within skincare products.  He was acknowledged by Dr Haley as being intimately involved in the laboratory experience of formulating skincare products and has “a very expert knowledge of it”.</w:t>
      </w:r>
      <w:bookmarkEnd w:id="128"/>
    </w:p>
    <w:p w14:paraId="7717F399" w14:textId="47408E06" w:rsidR="009327A3" w:rsidRDefault="001E3C6B" w:rsidP="001E3C6B">
      <w:pPr>
        <w:pStyle w:val="ParaNumbering"/>
        <w:numPr>
          <w:ilvl w:val="0"/>
          <w:numId w:val="0"/>
        </w:numPr>
        <w:ind w:hanging="720"/>
      </w:pPr>
      <w:r>
        <w:rPr>
          <w:sz w:val="20"/>
        </w:rPr>
        <w:t>519</w:t>
      </w:r>
      <w:r>
        <w:rPr>
          <w:sz w:val="20"/>
        </w:rPr>
        <w:tab/>
      </w:r>
      <w:r w:rsidR="009327A3">
        <w:t>The expert witnesses produced reports by way of affidavits that were read and they produced a joint report.  They were also examined, or cross-examined, concurrently following an agenda of issues pre-agreed between counsel.</w:t>
      </w:r>
    </w:p>
    <w:p w14:paraId="6CE91D2E" w14:textId="7233C604" w:rsidR="00417261" w:rsidRDefault="001E3C6B" w:rsidP="001E3C6B">
      <w:pPr>
        <w:pStyle w:val="ParaNumbering"/>
        <w:numPr>
          <w:ilvl w:val="0"/>
          <w:numId w:val="0"/>
        </w:numPr>
        <w:ind w:hanging="720"/>
      </w:pPr>
      <w:r>
        <w:rPr>
          <w:sz w:val="20"/>
        </w:rPr>
        <w:t>520</w:t>
      </w:r>
      <w:r>
        <w:rPr>
          <w:sz w:val="20"/>
        </w:rPr>
        <w:tab/>
      </w:r>
      <w:r w:rsidR="00D94E65">
        <w:t xml:space="preserve">Allergan also </w:t>
      </w:r>
      <w:r w:rsidR="00350521">
        <w:t>relies</w:t>
      </w:r>
      <w:r w:rsidR="00D94E65">
        <w:t xml:space="preserve"> in this part of the case, to a limited extent,</w:t>
      </w:r>
      <w:r w:rsidR="00E42965">
        <w:t xml:space="preserve"> on the evidence of</w:t>
      </w:r>
      <w:r w:rsidR="00D94E65">
        <w:t xml:space="preserve"> </w:t>
      </w:r>
      <w:r w:rsidR="00B63644">
        <w:t xml:space="preserve">Ms </w:t>
      </w:r>
      <w:r w:rsidR="00E42965">
        <w:t>Seona Leanne Cain as an expert.  Ms Cain is the Regional Manager, Clinical Specialist employed by Allergan Australia in Sydney.  Ms Cain holds a Bachelor of Science (Honours) degree majoring in anatomy from the University of Glasgow in 2000.  Her evidence was principally about Botox about which there was little if any controversy.</w:t>
      </w:r>
    </w:p>
    <w:p w14:paraId="46115D6E" w14:textId="265A5320" w:rsidR="007918BD" w:rsidRDefault="001E3C6B" w:rsidP="001E3C6B">
      <w:pPr>
        <w:pStyle w:val="ParaNumbering"/>
        <w:numPr>
          <w:ilvl w:val="0"/>
          <w:numId w:val="0"/>
        </w:numPr>
        <w:ind w:hanging="720"/>
      </w:pPr>
      <w:r>
        <w:rPr>
          <w:sz w:val="20"/>
        </w:rPr>
        <w:t>521</w:t>
      </w:r>
      <w:r>
        <w:rPr>
          <w:sz w:val="20"/>
        </w:rPr>
        <w:tab/>
      </w:r>
      <w:r w:rsidR="00417261">
        <w:t xml:space="preserve">There is only one respect in which Ms Cain’s evidence </w:t>
      </w:r>
      <w:r w:rsidR="00350521">
        <w:t xml:space="preserve">is </w:t>
      </w:r>
      <w:r w:rsidR="00417261">
        <w:t>relied on by Allergan in relation to Self Care’s products, which is her opinion that it is not possible to make a comparison between a topically applied skincare product and Botox, which is i</w:t>
      </w:r>
      <w:r w:rsidR="0014030C">
        <w:t>njected into the muscle, given</w:t>
      </w:r>
      <w:r w:rsidR="00417261">
        <w:t xml:space="preserve"> the different modes of action and the number of variables.  That obviously depends on the nature of the comparison.  This issue is dealt with further below.</w:t>
      </w:r>
    </w:p>
    <w:p w14:paraId="233A1835" w14:textId="7C9CCC66" w:rsidR="00874781" w:rsidRDefault="001E3C6B" w:rsidP="001E3C6B">
      <w:pPr>
        <w:pStyle w:val="ParaNumbering"/>
        <w:numPr>
          <w:ilvl w:val="0"/>
          <w:numId w:val="0"/>
        </w:numPr>
        <w:ind w:hanging="720"/>
      </w:pPr>
      <w:r>
        <w:rPr>
          <w:sz w:val="20"/>
        </w:rPr>
        <w:t>522</w:t>
      </w:r>
      <w:r>
        <w:rPr>
          <w:sz w:val="20"/>
        </w:rPr>
        <w:tab/>
      </w:r>
      <w:r w:rsidR="007918BD">
        <w:t>Where I refer to “the expert witnesses” below, I intend to refer to Dr Haley and Mr Williams and not to Ms Cain.  That is not out of any disrespect to her, but only as a shorthand reference to the two witnesses who gave evidence on the same subject matter, produced a joint report and gave evidence concurrently.</w:t>
      </w:r>
    </w:p>
    <w:p w14:paraId="06BF7B87" w14:textId="100DEB4B" w:rsidR="004E3484" w:rsidRDefault="004E3484" w:rsidP="004E3484">
      <w:pPr>
        <w:pStyle w:val="Heading4"/>
      </w:pPr>
      <w:bookmarkStart w:id="129" w:name="_Ref54701616"/>
      <w:r>
        <w:t>The structure of skin</w:t>
      </w:r>
      <w:r w:rsidR="00AD192E">
        <w:t xml:space="preserve"> and wrinkles</w:t>
      </w:r>
      <w:bookmarkEnd w:id="129"/>
    </w:p>
    <w:p w14:paraId="7AF2AE73" w14:textId="3EEF47A8" w:rsidR="009327A3" w:rsidRDefault="001E3C6B" w:rsidP="001E3C6B">
      <w:pPr>
        <w:pStyle w:val="ParaNumbering"/>
        <w:numPr>
          <w:ilvl w:val="0"/>
          <w:numId w:val="0"/>
        </w:numPr>
        <w:ind w:hanging="720"/>
      </w:pPr>
      <w:r>
        <w:rPr>
          <w:sz w:val="20"/>
        </w:rPr>
        <w:t>523</w:t>
      </w:r>
      <w:r>
        <w:rPr>
          <w:sz w:val="20"/>
        </w:rPr>
        <w:tab/>
      </w:r>
      <w:r w:rsidR="00C73850">
        <w:t xml:space="preserve">There was no disagreement between the experts on the </w:t>
      </w:r>
      <w:r w:rsidR="004E3484">
        <w:t xml:space="preserve">relevant </w:t>
      </w:r>
      <w:r w:rsidR="00C73850">
        <w:t>structure of human skin.  It has two</w:t>
      </w:r>
      <w:r w:rsidR="0014030C">
        <w:t xml:space="preserve"> main</w:t>
      </w:r>
      <w:r w:rsidR="00C73850">
        <w:t xml:space="preserve"> layers, the epidermis and dermis.  The epidermis is the superficial protective layer at the surface of skin.  It varies in thickness in different areas of the body from 0.007 mm to 0.12 mm and is composed of stratified squamous epithelium.  The stratified squamous epithelium </w:t>
      </w:r>
      <w:r w:rsidR="00C73850">
        <w:lastRenderedPageBreak/>
        <w:t>consist</w:t>
      </w:r>
      <w:r w:rsidR="00B63644">
        <w:t>s</w:t>
      </w:r>
      <w:r w:rsidR="00C73850">
        <w:t xml:space="preserve"> of squamous (flattened) epithelial cells arranged in layers.  The epidermis consists of the following five layers, from outermost layer (closest to the surface of the skin) to innermost layer (furthest from the surface of the skin): stratum corneum, stratum lucidum, stratum granulosum, strat</w:t>
      </w:r>
      <w:r w:rsidR="008E0D70">
        <w:t>um spinosum and stratum basale.</w:t>
      </w:r>
    </w:p>
    <w:p w14:paraId="4B1B6BC3" w14:textId="0A1767A1" w:rsidR="004E3484" w:rsidRDefault="001E3C6B" w:rsidP="001E3C6B">
      <w:pPr>
        <w:pStyle w:val="ParaNumbering"/>
        <w:numPr>
          <w:ilvl w:val="0"/>
          <w:numId w:val="0"/>
        </w:numPr>
        <w:ind w:hanging="720"/>
      </w:pPr>
      <w:r>
        <w:rPr>
          <w:sz w:val="20"/>
        </w:rPr>
        <w:t>524</w:t>
      </w:r>
      <w:r>
        <w:rPr>
          <w:sz w:val="20"/>
        </w:rPr>
        <w:tab/>
      </w:r>
      <w:r w:rsidR="004E3484">
        <w:t xml:space="preserve">The dermis is a thick layer of rough, viscoelastic tissue below the </w:t>
      </w:r>
      <w:r w:rsidR="00467EA8">
        <w:t>epi</w:t>
      </w:r>
      <w:r w:rsidR="004E3484">
        <w:t>dermis that contains blood vessels, nerve endings, hair follicles and sweat glands.</w:t>
      </w:r>
    </w:p>
    <w:p w14:paraId="7601E696" w14:textId="1205F868" w:rsidR="004E3484" w:rsidRDefault="001E3C6B" w:rsidP="001E3C6B">
      <w:pPr>
        <w:pStyle w:val="ParaNumbering"/>
        <w:numPr>
          <w:ilvl w:val="0"/>
          <w:numId w:val="0"/>
        </w:numPr>
        <w:ind w:hanging="720"/>
      </w:pPr>
      <w:r>
        <w:rPr>
          <w:sz w:val="20"/>
        </w:rPr>
        <w:t>525</w:t>
      </w:r>
      <w:r>
        <w:rPr>
          <w:sz w:val="20"/>
        </w:rPr>
        <w:tab/>
      </w:r>
      <w:r w:rsidR="004E3484">
        <w:t>The skin has a number of protective purposes including keeping out water, UV light, chemicals, drugs, environmental insults and infections.  It also keeps water in.  The skin also offers mechanical support, neurosensory reception, pain and touch, temperature sensations and endocrinology, and it plays a role in aesthetic appeal and beauty.</w:t>
      </w:r>
    </w:p>
    <w:p w14:paraId="41F80506" w14:textId="1E2524EA" w:rsidR="00AD192E" w:rsidRDefault="001E3C6B" w:rsidP="001E3C6B">
      <w:pPr>
        <w:pStyle w:val="ParaNumbering"/>
        <w:numPr>
          <w:ilvl w:val="0"/>
          <w:numId w:val="0"/>
        </w:numPr>
        <w:ind w:hanging="720"/>
      </w:pPr>
      <w:r>
        <w:rPr>
          <w:sz w:val="20"/>
        </w:rPr>
        <w:t>526</w:t>
      </w:r>
      <w:r>
        <w:rPr>
          <w:sz w:val="20"/>
        </w:rPr>
        <w:tab/>
      </w:r>
      <w:r w:rsidR="00AD192E">
        <w:t>Ms Cain explained that there are two types of wrinkles</w:t>
      </w:r>
      <w:r w:rsidR="0014030C">
        <w:t xml:space="preserve"> which can form in skin</w:t>
      </w:r>
      <w:r w:rsidR="00AD192E">
        <w:t xml:space="preserve">, static and dynamic.  Dynamic wrinkles are caused by the action of the muscle and all ages can form a dynamic wrinkle, even babies.  Static wrinkles are caused by the repetitive action of the muscle on the skin which creates a line or wrinkle that can be seen at rest.  </w:t>
      </w:r>
      <w:r w:rsidR="0014030C">
        <w:t>As is well known</w:t>
      </w:r>
      <w:r w:rsidR="00183EC1">
        <w:t>,</w:t>
      </w:r>
      <w:r w:rsidR="00AD192E">
        <w:t xml:space="preserve"> </w:t>
      </w:r>
      <w:r w:rsidR="00467EA8">
        <w:t xml:space="preserve">static wrinkles are </w:t>
      </w:r>
      <w:r w:rsidR="00AD192E">
        <w:t xml:space="preserve">more commonly seen in </w:t>
      </w:r>
      <w:r w:rsidR="00183EC1">
        <w:t xml:space="preserve">mature </w:t>
      </w:r>
      <w:r w:rsidR="00AD192E">
        <w:t>adults.</w:t>
      </w:r>
    </w:p>
    <w:p w14:paraId="62E58CD2" w14:textId="3C86E5A8" w:rsidR="00AD192E" w:rsidRDefault="001E3C6B" w:rsidP="001E3C6B">
      <w:pPr>
        <w:pStyle w:val="ParaNumbering"/>
        <w:numPr>
          <w:ilvl w:val="0"/>
          <w:numId w:val="0"/>
        </w:numPr>
        <w:ind w:hanging="720"/>
      </w:pPr>
      <w:r>
        <w:rPr>
          <w:sz w:val="20"/>
        </w:rPr>
        <w:t>527</w:t>
      </w:r>
      <w:r>
        <w:rPr>
          <w:sz w:val="20"/>
        </w:rPr>
        <w:tab/>
      </w:r>
      <w:r w:rsidR="00AD192E">
        <w:t xml:space="preserve">Botox impacts the dynamic lines and wrinkles as it stops the movement of the muscle.  Static lines can sometimes be improved but it is not guaranteed.  Variances in static lines after Botox treatment depends on the skin quality and how deep the line was to begin with.  </w:t>
      </w:r>
      <w:r w:rsidR="00DD1172">
        <w:t>A</w:t>
      </w:r>
      <w:r w:rsidR="00AD192E">
        <w:t xml:space="preserve"> layperson may</w:t>
      </w:r>
      <w:r w:rsidR="0014030C">
        <w:t xml:space="preserve"> also</w:t>
      </w:r>
      <w:r w:rsidR="00AD192E">
        <w:t xml:space="preserve"> experience that their skin looks smoother and s</w:t>
      </w:r>
      <w:r w:rsidR="008E0D70">
        <w:t>hinier after Botox treatments.</w:t>
      </w:r>
    </w:p>
    <w:p w14:paraId="1B5845BC" w14:textId="441A3598" w:rsidR="00AD192E" w:rsidRDefault="001E3C6B" w:rsidP="001E3C6B">
      <w:pPr>
        <w:pStyle w:val="ParaNumbering"/>
        <w:numPr>
          <w:ilvl w:val="0"/>
          <w:numId w:val="0"/>
        </w:numPr>
        <w:ind w:hanging="720"/>
      </w:pPr>
      <w:r>
        <w:rPr>
          <w:sz w:val="20"/>
        </w:rPr>
        <w:t>528</w:t>
      </w:r>
      <w:r>
        <w:rPr>
          <w:sz w:val="20"/>
        </w:rPr>
        <w:tab/>
      </w:r>
      <w:r w:rsidR="00DD1172">
        <w:t>The point is that both as a matter of objective fact and as a powerful element of Botox’s reputation, as dealt with in detail above, Botox cosmetic treatments reduce the appearance of wrinkles in the skin.  This is notwithstanding that Botox operates, therapeutically, at the level of the underlying muscle.  The ordinary and reasonable consumer will understand Botox to effect an improvement in the appearance of wrinkles in the treated areas.  However, the improvement is not generally quantified and the ordinary and reasonable consumer will not have a readily available reference point or</w:t>
      </w:r>
      <w:r w:rsidR="00297B1D">
        <w:t xml:space="preserve"> metric </w:t>
      </w:r>
      <w:r w:rsidR="00DD1172">
        <w:t>for the quality or extent of the improvement.</w:t>
      </w:r>
    </w:p>
    <w:p w14:paraId="2477F0ED" w14:textId="77777777" w:rsidR="004E3484" w:rsidRPr="004E3484" w:rsidRDefault="004E3484" w:rsidP="004E3484">
      <w:pPr>
        <w:pStyle w:val="Heading4"/>
      </w:pPr>
      <w:bookmarkStart w:id="130" w:name="_Ref54701617"/>
      <w:r>
        <w:t>Self Care’s identified support for the claims</w:t>
      </w:r>
      <w:bookmarkEnd w:id="130"/>
    </w:p>
    <w:p w14:paraId="28626D58" w14:textId="1A582F45" w:rsidR="001574A6" w:rsidRDefault="001E3C6B" w:rsidP="001E3C6B">
      <w:pPr>
        <w:pStyle w:val="ParaNumbering"/>
        <w:numPr>
          <w:ilvl w:val="0"/>
          <w:numId w:val="0"/>
        </w:numPr>
        <w:ind w:hanging="720"/>
      </w:pPr>
      <w:r>
        <w:rPr>
          <w:sz w:val="20"/>
        </w:rPr>
        <w:t>529</w:t>
      </w:r>
      <w:r>
        <w:rPr>
          <w:sz w:val="20"/>
        </w:rPr>
        <w:tab/>
      </w:r>
      <w:r w:rsidR="001574A6">
        <w:t>Self C</w:t>
      </w:r>
      <w:r w:rsidR="001574A6" w:rsidRPr="00BF52D5">
        <w:t>are identified the following ingredients and related studies, and in some cases other evidence as well, as</w:t>
      </w:r>
      <w:r w:rsidR="008E0D70">
        <w:t xml:space="preserve"> supporting the relevant claims.</w:t>
      </w:r>
    </w:p>
    <w:p w14:paraId="63099A1D" w14:textId="58178BB9" w:rsidR="001574A6" w:rsidRDefault="001E3C6B" w:rsidP="001E3C6B">
      <w:pPr>
        <w:pStyle w:val="ParaNumbering"/>
        <w:numPr>
          <w:ilvl w:val="0"/>
          <w:numId w:val="0"/>
        </w:numPr>
        <w:ind w:hanging="720"/>
      </w:pPr>
      <w:r>
        <w:rPr>
          <w:sz w:val="20"/>
        </w:rPr>
        <w:t>530</w:t>
      </w:r>
      <w:r>
        <w:rPr>
          <w:sz w:val="20"/>
        </w:rPr>
        <w:tab/>
      </w:r>
      <w:r w:rsidR="001574A6">
        <w:t xml:space="preserve">In support of the proposition that the </w:t>
      </w:r>
      <w:r w:rsidR="002F2A8C">
        <w:t xml:space="preserve">Protox </w:t>
      </w:r>
      <w:r w:rsidR="001574A6">
        <w:t>product reduces the appearance of wrinkles:</w:t>
      </w:r>
      <w:r w:rsidR="00D746DA">
        <w:t xml:space="preserve"> </w:t>
      </w:r>
    </w:p>
    <w:p w14:paraId="026A3FE0" w14:textId="4F2EF91C" w:rsidR="001574A6" w:rsidRDefault="001E3C6B" w:rsidP="001E3C6B">
      <w:pPr>
        <w:pStyle w:val="ListNo1"/>
        <w:numPr>
          <w:ilvl w:val="0"/>
          <w:numId w:val="0"/>
        </w:numPr>
        <w:tabs>
          <w:tab w:val="left" w:pos="720"/>
        </w:tabs>
        <w:ind w:left="720" w:hanging="720"/>
      </w:pPr>
      <w:r>
        <w:lastRenderedPageBreak/>
        <w:t>(1)</w:t>
      </w:r>
      <w:r>
        <w:tab/>
      </w:r>
      <w:r w:rsidR="001574A6">
        <w:t>Study 8 (in respect of Active F) is an in vivo study showing that Active F, a peptide</w:t>
      </w:r>
      <w:r w:rsidR="00C543D3">
        <w:t xml:space="preserve"> in solution</w:t>
      </w:r>
      <w:r w:rsidR="001574A6">
        <w:t>, has a long-term effect on the reduction in the appearance of wrinkles.  Active F is contained in Active E.</w:t>
      </w:r>
      <w:r w:rsidR="00D746DA">
        <w:t xml:space="preserve">  The active peptide was reported to decrease wrinkle depth by an average of 16.9% and 27.0% after 15 and 30 days respectively, reduce the average roughness (Ra) of skin in volunteers by 20.4% after 28 days, and to ameliorate wrinkle appearance by decreasing wrinkle volume by 20.6% and wrinkle length by 15.9% of after seven days.  (Ra = the average of all heights and depths to the reference plane</w:t>
      </w:r>
      <w:r w:rsidR="00297B1D">
        <w:t>.</w:t>
      </w:r>
      <w:r w:rsidR="00D746DA">
        <w:t>)</w:t>
      </w:r>
    </w:p>
    <w:p w14:paraId="41213916" w14:textId="5194A947" w:rsidR="001574A6" w:rsidRDefault="001E3C6B" w:rsidP="001E3C6B">
      <w:pPr>
        <w:pStyle w:val="ListNo1"/>
        <w:numPr>
          <w:ilvl w:val="0"/>
          <w:numId w:val="0"/>
        </w:numPr>
        <w:tabs>
          <w:tab w:val="left" w:pos="720"/>
        </w:tabs>
        <w:ind w:left="720" w:hanging="720"/>
      </w:pPr>
      <w:r>
        <w:t>(2)</w:t>
      </w:r>
      <w:r>
        <w:tab/>
      </w:r>
      <w:r w:rsidR="001574A6">
        <w:t>Studies 9 and 10 (in respect of Active G)</w:t>
      </w:r>
      <w:r w:rsidR="00D746DA">
        <w:t xml:space="preserve"> </w:t>
      </w:r>
      <w:r w:rsidR="001574A6">
        <w:t>are in vivo studies showing that Active G has a long-term effect on the reduction in the appearance of wrinkles, and that there is an additive wrinkle reduction effect when Active G is used in combinati</w:t>
      </w:r>
      <w:r w:rsidR="00D746DA">
        <w:t>on with Active F.  Active G, as with Active F,</w:t>
      </w:r>
      <w:r w:rsidR="001574A6">
        <w:t xml:space="preserve"> is contained in Active E.</w:t>
      </w:r>
    </w:p>
    <w:p w14:paraId="3297CA20" w14:textId="3D7F23FE" w:rsidR="001574A6" w:rsidRDefault="001E3C6B" w:rsidP="001E3C6B">
      <w:pPr>
        <w:pStyle w:val="ListNo1"/>
        <w:numPr>
          <w:ilvl w:val="0"/>
          <w:numId w:val="0"/>
        </w:numPr>
        <w:tabs>
          <w:tab w:val="left" w:pos="720"/>
        </w:tabs>
        <w:ind w:left="720" w:hanging="720"/>
      </w:pPr>
      <w:r>
        <w:t>(3)</w:t>
      </w:r>
      <w:r>
        <w:tab/>
      </w:r>
      <w:r w:rsidR="001574A6">
        <w:t xml:space="preserve">Studies 6 and 7 (in respect of Active E) are in vivo studies </w:t>
      </w:r>
      <w:r w:rsidR="002548D7">
        <w:t xml:space="preserve">showing that Active E </w:t>
      </w:r>
      <w:r w:rsidR="001574A6">
        <w:t>reduces the appearance of wrinkles in the long-term.  As indicated, Active E contains Active</w:t>
      </w:r>
      <w:r w:rsidR="0014030C">
        <w:t>s</w:t>
      </w:r>
      <w:r w:rsidR="001574A6">
        <w:t xml:space="preserve"> F and G.</w:t>
      </w:r>
      <w:r w:rsidR="0050445C">
        <w:t xml:space="preserve">  T</w:t>
      </w:r>
      <w:r w:rsidR="0050445C" w:rsidRPr="005964CE">
        <w:t>hese studies are the subject of detailed discussion at [</w:t>
      </w:r>
      <w:r w:rsidR="005964CE">
        <w:fldChar w:fldCharType="begin" w:fldLock="1"/>
      </w:r>
      <w:r w:rsidR="005964CE">
        <w:instrText xml:space="preserve"> REF _Ref52438989 \r \h </w:instrText>
      </w:r>
      <w:r w:rsidR="005964CE">
        <w:fldChar w:fldCharType="separate"/>
      </w:r>
      <w:r w:rsidR="00756FCE">
        <w:t>573</w:t>
      </w:r>
      <w:r w:rsidR="005964CE">
        <w:fldChar w:fldCharType="end"/>
      </w:r>
      <w:r w:rsidR="0050445C" w:rsidRPr="005964CE">
        <w:t>]-[</w:t>
      </w:r>
      <w:r w:rsidR="00523981">
        <w:fldChar w:fldCharType="begin" w:fldLock="1"/>
      </w:r>
      <w:r w:rsidR="00523981">
        <w:instrText xml:space="preserve"> REF _Ref54201013 \r \h </w:instrText>
      </w:r>
      <w:r w:rsidR="00523981">
        <w:fldChar w:fldCharType="separate"/>
      </w:r>
      <w:r w:rsidR="00756FCE">
        <w:t>576</w:t>
      </w:r>
      <w:r w:rsidR="00523981">
        <w:fldChar w:fldCharType="end"/>
      </w:r>
      <w:r w:rsidR="0050445C" w:rsidRPr="005964CE">
        <w:t>]</w:t>
      </w:r>
      <w:r w:rsidR="0050445C">
        <w:t xml:space="preserve"> below.</w:t>
      </w:r>
    </w:p>
    <w:p w14:paraId="043202E6" w14:textId="6051CF00" w:rsidR="001574A6" w:rsidRDefault="001E3C6B" w:rsidP="001E3C6B">
      <w:pPr>
        <w:pStyle w:val="ParaNumbering"/>
        <w:numPr>
          <w:ilvl w:val="0"/>
          <w:numId w:val="0"/>
        </w:numPr>
        <w:ind w:hanging="720"/>
      </w:pPr>
      <w:r>
        <w:rPr>
          <w:sz w:val="20"/>
        </w:rPr>
        <w:t>531</w:t>
      </w:r>
      <w:r>
        <w:rPr>
          <w:sz w:val="20"/>
        </w:rPr>
        <w:tab/>
      </w:r>
      <w:r w:rsidR="001574A6">
        <w:t xml:space="preserve">In support of the proposition that after a Botox injection the </w:t>
      </w:r>
      <w:r w:rsidR="0050445C">
        <w:t xml:space="preserve">Protox </w:t>
      </w:r>
      <w:r w:rsidR="001574A6">
        <w:t>product prolongs the reduction of the appearance of wrinkles:</w:t>
      </w:r>
    </w:p>
    <w:p w14:paraId="0DA5D9CB" w14:textId="01276B73" w:rsidR="001574A6" w:rsidRDefault="001E3C6B" w:rsidP="001E3C6B">
      <w:pPr>
        <w:pStyle w:val="FCBullets"/>
        <w:numPr>
          <w:ilvl w:val="0"/>
          <w:numId w:val="0"/>
        </w:numPr>
        <w:tabs>
          <w:tab w:val="left" w:pos="720"/>
        </w:tabs>
        <w:ind w:left="720" w:hanging="720"/>
      </w:pPr>
      <w:r>
        <w:rPr>
          <w:rFonts w:ascii="Symbol" w:hAnsi="Symbol"/>
        </w:rPr>
        <w:t></w:t>
      </w:r>
      <w:r>
        <w:rPr>
          <w:rFonts w:ascii="Symbol" w:hAnsi="Symbol"/>
        </w:rPr>
        <w:tab/>
      </w:r>
      <w:r w:rsidR="001574A6">
        <w:t>Studies 6 and 7 (in respect of Active E)</w:t>
      </w:r>
      <w:r w:rsidR="0050445C">
        <w:t xml:space="preserve"> report on an in vivo study showing that Active E prolongs the skin smoothing effect of botulinum toxin type A injections in the periorbital region and frontal region after six months</w:t>
      </w:r>
      <w:r w:rsidR="001574A6">
        <w:t>.</w:t>
      </w:r>
      <w:r w:rsidR="0050445C">
        <w:t xml:space="preserve">  As indicated, these studies are the subject of further discussion below.</w:t>
      </w:r>
    </w:p>
    <w:p w14:paraId="2EA108FA" w14:textId="39DA276E" w:rsidR="001574A6" w:rsidRDefault="001E3C6B" w:rsidP="001E3C6B">
      <w:pPr>
        <w:pStyle w:val="ParaNumbering"/>
        <w:numPr>
          <w:ilvl w:val="0"/>
          <w:numId w:val="0"/>
        </w:numPr>
        <w:ind w:hanging="720"/>
      </w:pPr>
      <w:r>
        <w:rPr>
          <w:sz w:val="20"/>
        </w:rPr>
        <w:t>532</w:t>
      </w:r>
      <w:r>
        <w:rPr>
          <w:sz w:val="20"/>
        </w:rPr>
        <w:tab/>
      </w:r>
      <w:r w:rsidR="001574A6">
        <w:t>In support of the proposition that the Inhibox product reduces the appearance of wrinkles:</w:t>
      </w:r>
    </w:p>
    <w:p w14:paraId="72E23C8E" w14:textId="3057F837" w:rsidR="001574A6" w:rsidRDefault="001E3C6B" w:rsidP="001E3C6B">
      <w:pPr>
        <w:pStyle w:val="ListNo1"/>
        <w:numPr>
          <w:ilvl w:val="0"/>
          <w:numId w:val="0"/>
        </w:numPr>
        <w:tabs>
          <w:tab w:val="left" w:pos="720"/>
        </w:tabs>
        <w:ind w:left="720" w:hanging="720"/>
      </w:pPr>
      <w:r>
        <w:t>(1)</w:t>
      </w:r>
      <w:r>
        <w:tab/>
      </w:r>
      <w:r w:rsidR="001574A6">
        <w:t>Study 5, a short term study using the Inhibox product itself</w:t>
      </w:r>
      <w:r w:rsidR="00523981">
        <w:t>,</w:t>
      </w:r>
      <w:r w:rsidR="001574A6">
        <w:t xml:space="preserve"> concluded that the product reduces the appearance of wrinkles in five minutes (i.e.</w:t>
      </w:r>
      <w:r w:rsidR="00A1388B">
        <w:t>,</w:t>
      </w:r>
      <w:r w:rsidR="001574A6">
        <w:t xml:space="preserve"> an instant effect).  Further measurements after eight hours confirmed that the effect is long lasting.</w:t>
      </w:r>
      <w:r w:rsidR="00AF4570">
        <w:t xml:space="preserve">  This study is discussed in more detail in the next paragraph.</w:t>
      </w:r>
    </w:p>
    <w:p w14:paraId="6C39F657" w14:textId="7FD52E23" w:rsidR="00671C4A" w:rsidRDefault="001E3C6B" w:rsidP="001E3C6B">
      <w:pPr>
        <w:pStyle w:val="ListNo1"/>
        <w:numPr>
          <w:ilvl w:val="0"/>
          <w:numId w:val="0"/>
        </w:numPr>
        <w:tabs>
          <w:tab w:val="left" w:pos="720"/>
        </w:tabs>
        <w:ind w:left="720" w:hanging="720"/>
      </w:pPr>
      <w:r>
        <w:t>(2)</w:t>
      </w:r>
      <w:r>
        <w:tab/>
      </w:r>
      <w:r w:rsidR="00D973A3">
        <w:t xml:space="preserve">A video of raw </w:t>
      </w:r>
      <w:r w:rsidR="00671C4A">
        <w:t>footage of Ms Amoroso applying the product to</w:t>
      </w:r>
      <w:r w:rsidR="00D973A3">
        <w:t xml:space="preserve"> a woman’s </w:t>
      </w:r>
      <w:r w:rsidR="00671C4A">
        <w:t>face</w:t>
      </w:r>
      <w:r w:rsidR="00523981">
        <w:t xml:space="preserve"> shows the efficacy of the product</w:t>
      </w:r>
      <w:r w:rsidR="00671C4A">
        <w:t xml:space="preserve">. </w:t>
      </w:r>
      <w:r w:rsidR="00D973A3">
        <w:t xml:space="preserve"> Ms Amoroso’s evidence was that the video was created in about 2014 for educational and advertising purposes.  It can be seen that as she applies the product on the woman’s frown lines and crow’s feet and around the eyes a transparent film is formed on the skin which tightens during the drying process and </w:t>
      </w:r>
      <w:r w:rsidR="00D973A3">
        <w:lastRenderedPageBreak/>
        <w:t xml:space="preserve">pulls the skin taut.  It appears to have the visual effect of smoothing out </w:t>
      </w:r>
      <w:r w:rsidR="008E0D70">
        <w:t>wrinkles and lifting the area.</w:t>
      </w:r>
    </w:p>
    <w:p w14:paraId="06AC5109" w14:textId="773D2584" w:rsidR="00671C4A" w:rsidRDefault="001E3C6B" w:rsidP="001E3C6B">
      <w:pPr>
        <w:pStyle w:val="ListNo1"/>
        <w:numPr>
          <w:ilvl w:val="0"/>
          <w:numId w:val="0"/>
        </w:numPr>
        <w:tabs>
          <w:tab w:val="left" w:pos="720"/>
        </w:tabs>
        <w:ind w:left="720" w:hanging="720"/>
      </w:pPr>
      <w:r>
        <w:t>(3)</w:t>
      </w:r>
      <w:r>
        <w:tab/>
      </w:r>
      <w:r w:rsidR="00671C4A">
        <w:t>In respect of a particular ingredient (</w:t>
      </w:r>
      <w:r w:rsidR="00D973A3">
        <w:t>identified as item 4 in the formulation</w:t>
      </w:r>
      <w:r w:rsidR="00671C4A">
        <w:t>),</w:t>
      </w:r>
      <w:r w:rsidR="00D973A3">
        <w:t xml:space="preserve"> </w:t>
      </w:r>
      <w:r w:rsidR="00671C4A">
        <w:t>Mr Williams said that it creates the tightening effect on the surface of the skin seen in Study 5</w:t>
      </w:r>
      <w:r w:rsidR="0014030C">
        <w:t>.</w:t>
      </w:r>
      <w:r w:rsidR="00671C4A">
        <w:t xml:space="preserve"> </w:t>
      </w:r>
      <w:r w:rsidR="0014030C">
        <w:t>T</w:t>
      </w:r>
      <w:r w:rsidR="00671C4A">
        <w:t>he experts agree that it has an anti-wrinkle effect on skin</w:t>
      </w:r>
      <w:r w:rsidR="00297B1D">
        <w:t xml:space="preserve"> surfaces</w:t>
      </w:r>
      <w:r w:rsidR="00B72CB4">
        <w:t xml:space="preserve"> – </w:t>
      </w:r>
      <w:r w:rsidR="00671C4A">
        <w:t>Dr Hayley categorises it as a wrinkle filler and Mr Williams says that it forms a “smooth wrinkle filling form when dry”.</w:t>
      </w:r>
    </w:p>
    <w:p w14:paraId="1BAD6943" w14:textId="2141E00D" w:rsidR="001B69AF" w:rsidRDefault="001E3C6B" w:rsidP="001E3C6B">
      <w:pPr>
        <w:pStyle w:val="ListNo1"/>
        <w:numPr>
          <w:ilvl w:val="0"/>
          <w:numId w:val="0"/>
        </w:numPr>
        <w:tabs>
          <w:tab w:val="left" w:pos="720"/>
        </w:tabs>
        <w:ind w:left="720" w:hanging="720"/>
      </w:pPr>
      <w:r>
        <w:t>(4)</w:t>
      </w:r>
      <w:r>
        <w:tab/>
      </w:r>
      <w:r w:rsidR="00671C4A">
        <w:t>Studies 3 and 4 (in respect of Active H)</w:t>
      </w:r>
      <w:r w:rsidR="00D973A3">
        <w:t xml:space="preserve"> </w:t>
      </w:r>
      <w:r w:rsidR="001B69AF">
        <w:t>show an instant tightening effect that reduces the appearance of wrinkles within 10 minutes and lasts for 3-4 hours.  The experts agreed that the ingredient in Active H reduces wrinkles by forming a film and tightening the skin when dry.</w:t>
      </w:r>
    </w:p>
    <w:p w14:paraId="66AC0282" w14:textId="3E06ADAF" w:rsidR="001574A6" w:rsidRDefault="001E3C6B" w:rsidP="001E3C6B">
      <w:pPr>
        <w:pStyle w:val="ListNo1"/>
        <w:numPr>
          <w:ilvl w:val="0"/>
          <w:numId w:val="0"/>
        </w:numPr>
        <w:tabs>
          <w:tab w:val="left" w:pos="720"/>
        </w:tabs>
        <w:ind w:left="720" w:hanging="720"/>
      </w:pPr>
      <w:r>
        <w:t>(5)</w:t>
      </w:r>
      <w:r>
        <w:tab/>
      </w:r>
      <w:r w:rsidR="001B69AF">
        <w:t xml:space="preserve">Studies 1 and 2 (in respect of Active A), </w:t>
      </w:r>
      <w:r w:rsidR="0014030C">
        <w:t>are</w:t>
      </w:r>
      <w:r w:rsidR="001B69AF">
        <w:t xml:space="preserve"> </w:t>
      </w:r>
      <w:r w:rsidR="00C52735">
        <w:t xml:space="preserve">in </w:t>
      </w:r>
      <w:r w:rsidR="001B69AF">
        <w:t xml:space="preserve">vivo studies which show that Active A reduces the appearance of wrinkles </w:t>
      </w:r>
      <w:r w:rsidR="00E24185">
        <w:t>in</w:t>
      </w:r>
      <w:r w:rsidR="001B69AF">
        <w:t xml:space="preserve"> 28 days.</w:t>
      </w:r>
      <w:r w:rsidR="00AF4570">
        <w:t xml:space="preserve">  </w:t>
      </w:r>
      <w:r w:rsidR="00AF4570" w:rsidRPr="00E4455E">
        <w:t>These studies are discussed in more detail at [</w:t>
      </w:r>
      <w:r w:rsidR="00E4455E">
        <w:fldChar w:fldCharType="begin" w:fldLock="1"/>
      </w:r>
      <w:r w:rsidR="00E4455E">
        <w:instrText xml:space="preserve"> REF _Ref52439272 \r \h </w:instrText>
      </w:r>
      <w:r w:rsidR="00E4455E">
        <w:fldChar w:fldCharType="separate"/>
      </w:r>
      <w:r w:rsidR="0030702A">
        <w:t>549</w:t>
      </w:r>
      <w:r w:rsidR="00E4455E">
        <w:fldChar w:fldCharType="end"/>
      </w:r>
      <w:r w:rsidR="00AF4570" w:rsidRPr="00E4455E">
        <w:t>]-[</w:t>
      </w:r>
      <w:r w:rsidR="00E4455E">
        <w:fldChar w:fldCharType="begin" w:fldLock="1"/>
      </w:r>
      <w:r w:rsidR="00E4455E">
        <w:instrText xml:space="preserve"> REF _Ref52439296 \r \h </w:instrText>
      </w:r>
      <w:r w:rsidR="00E4455E">
        <w:fldChar w:fldCharType="separate"/>
      </w:r>
      <w:r w:rsidR="0030702A">
        <w:t>568</w:t>
      </w:r>
      <w:r w:rsidR="00E4455E">
        <w:fldChar w:fldCharType="end"/>
      </w:r>
      <w:r w:rsidR="00AF4570" w:rsidRPr="00E4455E">
        <w:t>] below</w:t>
      </w:r>
      <w:r w:rsidR="00AF4570">
        <w:t>.</w:t>
      </w:r>
    </w:p>
    <w:p w14:paraId="6FE926E4" w14:textId="2CA48172" w:rsidR="0050445C" w:rsidRDefault="001E3C6B" w:rsidP="001E3C6B">
      <w:pPr>
        <w:pStyle w:val="ParaNumbering"/>
        <w:numPr>
          <w:ilvl w:val="0"/>
          <w:numId w:val="0"/>
        </w:numPr>
        <w:ind w:hanging="720"/>
      </w:pPr>
      <w:r>
        <w:rPr>
          <w:sz w:val="20"/>
        </w:rPr>
        <w:t>533</w:t>
      </w:r>
      <w:r>
        <w:rPr>
          <w:sz w:val="20"/>
        </w:rPr>
        <w:tab/>
      </w:r>
      <w:r w:rsidR="0050445C">
        <w:t>Study 5 was conducted on the Inhibox product itself in April 2010 by an independent clinical research and bioengineering institute in Italy.  The study was conducted with 25 healthy female volunteers between the ages of 48 and 60, with a mean age of 57.  It was a controlled, short term study of treated versus untreated side (half face method), i.e.</w:t>
      </w:r>
      <w:r w:rsidR="00A1388B">
        <w:t>,</w:t>
      </w:r>
      <w:r w:rsidR="0050445C">
        <w:t xml:space="preserve"> the volunteers applied the test product once only on either the right or the left side of the face according to a predetermined randomisation list at the level of the forehead and the area around the eyes.  The study was performed over one day</w:t>
      </w:r>
      <w:r w:rsidR="00297B1D">
        <w:t>.  After a pre-treatment evaluation,</w:t>
      </w:r>
      <w:r w:rsidR="0050445C">
        <w:t xml:space="preserve"> there were five post treatment evaluation times, namely at each of 5 minutes, 30 minutes, 2 hours, 5 hours and 8 hours after product application.  On each occasion there was a clinical and an instrumental evaluation performed bilaterally at the level of the forehead and the area around the eyes.  The evaluations showed the excellent “lifting” activity of the product.  A single application indicated a quick reduction of deep and fine wrinkles and a minimisation of under-eye circle and puffiness.  The </w:t>
      </w:r>
      <w:r w:rsidR="00D973A3">
        <w:t xml:space="preserve">lifted look of the face </w:t>
      </w:r>
      <w:r w:rsidR="0050445C">
        <w:t>skin was noticeable until</w:t>
      </w:r>
      <w:r w:rsidR="00D973A3">
        <w:t xml:space="preserve"> </w:t>
      </w:r>
      <w:r w:rsidR="0050445C">
        <w:t>five hours after product application</w:t>
      </w:r>
      <w:r w:rsidR="00D973A3">
        <w:t>.  The experts agr</w:t>
      </w:r>
      <w:r w:rsidR="00C024F3">
        <w:t>eed that the study is reliable.</w:t>
      </w:r>
    </w:p>
    <w:p w14:paraId="5E85E7B8" w14:textId="79BEED5A" w:rsidR="001B69AF" w:rsidRDefault="001E3C6B" w:rsidP="001E3C6B">
      <w:pPr>
        <w:pStyle w:val="ParaNumbering"/>
        <w:numPr>
          <w:ilvl w:val="0"/>
          <w:numId w:val="0"/>
        </w:numPr>
        <w:ind w:hanging="720"/>
      </w:pPr>
      <w:r>
        <w:rPr>
          <w:sz w:val="20"/>
        </w:rPr>
        <w:t>534</w:t>
      </w:r>
      <w:r>
        <w:rPr>
          <w:sz w:val="20"/>
        </w:rPr>
        <w:tab/>
      </w:r>
      <w:r w:rsidR="001B69AF">
        <w:t>In support of the proposition that the Night (tube) reduces the appearance of wrinkles:</w:t>
      </w:r>
    </w:p>
    <w:p w14:paraId="52177774" w14:textId="476B483B" w:rsidR="001B69AF" w:rsidRDefault="001E3C6B" w:rsidP="001E3C6B">
      <w:pPr>
        <w:pStyle w:val="ListNo1"/>
        <w:numPr>
          <w:ilvl w:val="0"/>
          <w:numId w:val="0"/>
        </w:numPr>
        <w:tabs>
          <w:tab w:val="left" w:pos="720"/>
        </w:tabs>
        <w:ind w:left="720" w:hanging="720"/>
      </w:pPr>
      <w:r>
        <w:t>(1)</w:t>
      </w:r>
      <w:r>
        <w:tab/>
      </w:r>
      <w:r w:rsidR="001B69AF" w:rsidRPr="00616C00">
        <w:t>Study 11 (in respect of Active B) is an in vivo study that found that Active B provides a long-term skin smoothing and moisturising effect and increases skin suppleness.</w:t>
      </w:r>
      <w:r w:rsidR="00F27929">
        <w:t xml:space="preserve">  Twenty-six </w:t>
      </w:r>
      <w:r w:rsidR="00AF4570">
        <w:t xml:space="preserve">female subjects applied a cream containing Active B and a placebo cream </w:t>
      </w:r>
      <w:r w:rsidR="00AF4570">
        <w:lastRenderedPageBreak/>
        <w:t>twice daily for two months.  The study concluded that use of the test product enabled a marked and significant improvement, relative to the placebo, across five parameters.  The improvement, already of interest after one month, increased significantly after two months</w:t>
      </w:r>
      <w:r w:rsidR="00C024F3">
        <w:t>.</w:t>
      </w:r>
    </w:p>
    <w:p w14:paraId="694E6F69" w14:textId="3653C9A3" w:rsidR="001B69AF" w:rsidRDefault="001E3C6B" w:rsidP="001E3C6B">
      <w:pPr>
        <w:pStyle w:val="ListNo1"/>
        <w:numPr>
          <w:ilvl w:val="0"/>
          <w:numId w:val="0"/>
        </w:numPr>
        <w:tabs>
          <w:tab w:val="left" w:pos="720"/>
        </w:tabs>
        <w:ind w:left="720" w:hanging="720"/>
      </w:pPr>
      <w:r>
        <w:t>(2)</w:t>
      </w:r>
      <w:r>
        <w:tab/>
      </w:r>
      <w:r w:rsidR="001B69AF">
        <w:t>Studies 1 and 2 (in respect of Active A) are in vivo studies showing that Active A reduces the appearance of wrinkles in 28 days.</w:t>
      </w:r>
      <w:r w:rsidR="00AF4570">
        <w:t xml:space="preserve">  As indicated, these are discussed in further detail below.</w:t>
      </w:r>
    </w:p>
    <w:p w14:paraId="0114F9EC" w14:textId="35B33061" w:rsidR="001B69AF" w:rsidRDefault="001E3C6B" w:rsidP="001E3C6B">
      <w:pPr>
        <w:pStyle w:val="ListNo1"/>
        <w:numPr>
          <w:ilvl w:val="0"/>
          <w:numId w:val="0"/>
        </w:numPr>
        <w:tabs>
          <w:tab w:val="left" w:pos="720"/>
        </w:tabs>
        <w:ind w:left="720" w:hanging="720"/>
      </w:pPr>
      <w:r>
        <w:t>(3)</w:t>
      </w:r>
      <w:r>
        <w:tab/>
      </w:r>
      <w:r w:rsidR="001B69AF">
        <w:t xml:space="preserve">Study 12 (in respect of Active C) is an in vivo study that found that Active </w:t>
      </w:r>
      <w:r w:rsidR="007712C7">
        <w:t>C</w:t>
      </w:r>
      <w:r w:rsidR="001B69AF">
        <w:t xml:space="preserve"> rejuvenates the skin matrix resulting in the skin appearing smooth.  </w:t>
      </w:r>
      <w:r w:rsidR="001B69AF" w:rsidRPr="00AD78EA">
        <w:t xml:space="preserve">Mr Williams expressed the opinion that Active </w:t>
      </w:r>
      <w:r w:rsidR="007712C7" w:rsidRPr="00AD78EA">
        <w:t>C</w:t>
      </w:r>
      <w:r w:rsidR="001B69AF" w:rsidRPr="00AD78EA">
        <w:t xml:space="preserve"> has a “tightening” effect on the skin’s surface caused by three identified ingredients in Active </w:t>
      </w:r>
      <w:r w:rsidR="007712C7" w:rsidRPr="00AD78EA">
        <w:t>C</w:t>
      </w:r>
      <w:r w:rsidR="001B69AF" w:rsidRPr="00AD78EA">
        <w:t xml:space="preserve"> working together.</w:t>
      </w:r>
      <w:r w:rsidR="007712C7">
        <w:t xml:space="preserve"> Dr Haley accepted that the improvement shown in the clinical study </w:t>
      </w:r>
      <w:r w:rsidR="00C024F3">
        <w:t>can be attributed to Active C.</w:t>
      </w:r>
    </w:p>
    <w:p w14:paraId="1CC47FFE" w14:textId="1166F434" w:rsidR="001B69AF" w:rsidRDefault="001E3C6B" w:rsidP="001E3C6B">
      <w:pPr>
        <w:pStyle w:val="ListNo1"/>
        <w:numPr>
          <w:ilvl w:val="0"/>
          <w:numId w:val="0"/>
        </w:numPr>
        <w:tabs>
          <w:tab w:val="left" w:pos="720"/>
        </w:tabs>
        <w:ind w:left="720" w:hanging="720"/>
      </w:pPr>
      <w:r>
        <w:t>(4)</w:t>
      </w:r>
      <w:r>
        <w:tab/>
      </w:r>
      <w:r w:rsidR="001B69AF">
        <w:t>Study 13 (in respect of Active D) i</w:t>
      </w:r>
      <w:r w:rsidR="00341F5F">
        <w:t>nc</w:t>
      </w:r>
      <w:r w:rsidR="00DD3735">
        <w:t>ludes</w:t>
      </w:r>
      <w:r w:rsidR="001B69AF">
        <w:t xml:space="preserve"> an in vivo study of Active D </w:t>
      </w:r>
      <w:r w:rsidR="00E97CCB">
        <w:t>which ran for 60 days using 20 volunteers.  There were multiple evaluative tests performed</w:t>
      </w:r>
      <w:r w:rsidR="00B01575">
        <w:t xml:space="preserve"> using different methodologies</w:t>
      </w:r>
      <w:r w:rsidR="00E97CCB">
        <w:t xml:space="preserve"> at different days </w:t>
      </w:r>
      <w:r w:rsidR="00B01575">
        <w:t>of the study using the same volunteers.</w:t>
      </w:r>
      <w:r w:rsidR="00E97CCB">
        <w:t xml:space="preserve"> </w:t>
      </w:r>
      <w:r w:rsidR="00B01575">
        <w:t>O</w:t>
      </w:r>
      <w:r w:rsidR="00AF303E">
        <w:t xml:space="preserve">ne </w:t>
      </w:r>
      <w:r w:rsidR="00DD3735">
        <w:t xml:space="preserve">of those </w:t>
      </w:r>
      <w:r w:rsidR="00AF303E">
        <w:t>test</w:t>
      </w:r>
      <w:r w:rsidR="00DD3735">
        <w:t>s</w:t>
      </w:r>
      <w:r w:rsidR="001B69AF">
        <w:t xml:space="preserve"> show</w:t>
      </w:r>
      <w:r w:rsidR="00DD3735">
        <w:t>ed</w:t>
      </w:r>
      <w:r w:rsidR="001B69AF">
        <w:t xml:space="preserve"> a reduction in wrinkle depth and volume in 15 days.  </w:t>
      </w:r>
      <w:r w:rsidR="00665AA7">
        <w:t xml:space="preserve">The study also </w:t>
      </w:r>
      <w:r w:rsidR="001B69AF">
        <w:t>showed</w:t>
      </w:r>
      <w:r w:rsidR="00AF303E">
        <w:t xml:space="preserve"> in tests</w:t>
      </w:r>
      <w:r w:rsidR="001B69AF">
        <w:t xml:space="preserve"> that Active D increases collagen density</w:t>
      </w:r>
      <w:r w:rsidR="00AF303E">
        <w:t xml:space="preserve">, </w:t>
      </w:r>
      <w:r w:rsidR="001B69AF">
        <w:t>anisotropy index</w:t>
      </w:r>
      <w:r w:rsidR="00AF303E">
        <w:t>, and skin firmness and elasticity</w:t>
      </w:r>
      <w:r w:rsidR="001B69AF">
        <w:t xml:space="preserve"> in 15 days.</w:t>
      </w:r>
    </w:p>
    <w:p w14:paraId="396F0206" w14:textId="34573A5E" w:rsidR="001B69AF" w:rsidRDefault="001E3C6B" w:rsidP="001E3C6B">
      <w:pPr>
        <w:pStyle w:val="ListNo1"/>
        <w:numPr>
          <w:ilvl w:val="0"/>
          <w:numId w:val="0"/>
        </w:numPr>
        <w:tabs>
          <w:tab w:val="left" w:pos="720"/>
        </w:tabs>
        <w:ind w:left="720" w:hanging="720"/>
      </w:pPr>
      <w:r>
        <w:t>(5)</w:t>
      </w:r>
      <w:r>
        <w:tab/>
      </w:r>
      <w:r w:rsidR="001B69AF">
        <w:t>A further ingredient in Night (tube), which is identified in the tendered formulation as item 26, was identified by the experts as an active ingredient that is a “skin moisturiser”.  Mr Williams also said that it provides a reservoir of key ingredients so it assists with efficacy of the actives identified above.</w:t>
      </w:r>
    </w:p>
    <w:p w14:paraId="72AD81D9" w14:textId="718C7451" w:rsidR="001B69AF" w:rsidRDefault="001E3C6B" w:rsidP="001E3C6B">
      <w:pPr>
        <w:pStyle w:val="ParaNumbering"/>
        <w:numPr>
          <w:ilvl w:val="0"/>
          <w:numId w:val="0"/>
        </w:numPr>
        <w:ind w:hanging="720"/>
      </w:pPr>
      <w:r>
        <w:rPr>
          <w:sz w:val="20"/>
        </w:rPr>
        <w:t>535</w:t>
      </w:r>
      <w:r>
        <w:rPr>
          <w:sz w:val="20"/>
        </w:rPr>
        <w:tab/>
      </w:r>
      <w:r w:rsidR="001B69AF">
        <w:t>In support of the proposition that the Night (</w:t>
      </w:r>
      <w:r w:rsidR="002C5383">
        <w:t>tub</w:t>
      </w:r>
      <w:r w:rsidR="001B69AF">
        <w:t>) reduces the appearance of wrinkles:</w:t>
      </w:r>
    </w:p>
    <w:p w14:paraId="055B45F1" w14:textId="4072073D" w:rsidR="001B69AF" w:rsidRDefault="001E3C6B" w:rsidP="001E3C6B">
      <w:pPr>
        <w:pStyle w:val="ListNo1"/>
        <w:numPr>
          <w:ilvl w:val="0"/>
          <w:numId w:val="0"/>
        </w:numPr>
        <w:tabs>
          <w:tab w:val="left" w:pos="720"/>
        </w:tabs>
        <w:ind w:left="720" w:hanging="720"/>
      </w:pPr>
      <w:r>
        <w:t>(1)</w:t>
      </w:r>
      <w:r>
        <w:tab/>
      </w:r>
      <w:r w:rsidR="001B69AF">
        <w:t>Studies 1 and 2 (in respect of Active A) which, as indicated, show that Active A reduces the appearance of wrinkles in 28 days.  The “maximum reduction value found for 10% [Active A] Solution was -63.13%”.</w:t>
      </w:r>
      <w:r w:rsidR="005A40EB">
        <w:t xml:space="preserve">  These studies are discussed </w:t>
      </w:r>
      <w:r w:rsidR="00E62E52">
        <w:t xml:space="preserve">in </w:t>
      </w:r>
      <w:r w:rsidR="005A40EB">
        <w:t>more detail below.</w:t>
      </w:r>
    </w:p>
    <w:p w14:paraId="1996D571" w14:textId="2A4F54B9" w:rsidR="001B69AF" w:rsidRDefault="001E3C6B" w:rsidP="001E3C6B">
      <w:pPr>
        <w:pStyle w:val="ListNo1"/>
        <w:numPr>
          <w:ilvl w:val="0"/>
          <w:numId w:val="0"/>
        </w:numPr>
        <w:tabs>
          <w:tab w:val="left" w:pos="720"/>
        </w:tabs>
        <w:ind w:left="720" w:hanging="720"/>
      </w:pPr>
      <w:r>
        <w:t>(2)</w:t>
      </w:r>
      <w:r>
        <w:tab/>
      </w:r>
      <w:r w:rsidR="001B69AF">
        <w:t>A further ingredient in Night (</w:t>
      </w:r>
      <w:r w:rsidR="002C5383">
        <w:t>t</w:t>
      </w:r>
      <w:r w:rsidR="001B69AF">
        <w:t>ub), which is identified in the tendered formulation as item 23, is the same ingredient as item 26 in the Night (tube) formulation dealt with above.</w:t>
      </w:r>
    </w:p>
    <w:p w14:paraId="4A870DF1" w14:textId="42A0B512" w:rsidR="001B69AF" w:rsidRDefault="001E3C6B" w:rsidP="001E3C6B">
      <w:pPr>
        <w:pStyle w:val="ParaNumbering"/>
        <w:numPr>
          <w:ilvl w:val="0"/>
          <w:numId w:val="0"/>
        </w:numPr>
        <w:ind w:hanging="720"/>
      </w:pPr>
      <w:r>
        <w:rPr>
          <w:sz w:val="20"/>
        </w:rPr>
        <w:t>536</w:t>
      </w:r>
      <w:r>
        <w:rPr>
          <w:sz w:val="20"/>
        </w:rPr>
        <w:tab/>
      </w:r>
      <w:r w:rsidR="001B69AF">
        <w:t>Support for the proposition that the Boost serum reduces the appearance of wrinkles:</w:t>
      </w:r>
    </w:p>
    <w:p w14:paraId="3A2EB1BD" w14:textId="43878FB4" w:rsidR="001B69AF" w:rsidRDefault="001E3C6B" w:rsidP="001E3C6B">
      <w:pPr>
        <w:pStyle w:val="ListNo1"/>
        <w:numPr>
          <w:ilvl w:val="0"/>
          <w:numId w:val="0"/>
        </w:numPr>
        <w:tabs>
          <w:tab w:val="left" w:pos="720"/>
        </w:tabs>
        <w:ind w:left="720" w:hanging="720"/>
      </w:pPr>
      <w:r>
        <w:lastRenderedPageBreak/>
        <w:t>(1)</w:t>
      </w:r>
      <w:r>
        <w:tab/>
      </w:r>
      <w:r w:rsidR="005A40EB">
        <w:t>Mr William’s evidence was that p</w:t>
      </w:r>
      <w:r w:rsidR="001B69AF">
        <w:t>eptides work with other active ingredients in this product to reduce wrinkles as follows: Active I (peptide)</w:t>
      </w:r>
      <w:r w:rsidR="00E24185">
        <w:t xml:space="preserve"> p</w:t>
      </w:r>
      <w:r w:rsidR="001B69AF">
        <w:t xml:space="preserve">lumps the skin, Active A (peptide) softens and relaxes the skin’s surface, </w:t>
      </w:r>
      <w:r w:rsidR="008A38FB">
        <w:t>[Active J]</w:t>
      </w:r>
      <w:r w:rsidR="001B69AF">
        <w:t xml:space="preserve"> (not a peptide) stimulates skin cell growth and allows the skin to expand.</w:t>
      </w:r>
    </w:p>
    <w:p w14:paraId="2C657BAC" w14:textId="2F03E57C" w:rsidR="001B69AF" w:rsidRDefault="001E3C6B" w:rsidP="001E3C6B">
      <w:pPr>
        <w:pStyle w:val="ListNo1"/>
        <w:numPr>
          <w:ilvl w:val="0"/>
          <w:numId w:val="0"/>
        </w:numPr>
        <w:tabs>
          <w:tab w:val="left" w:pos="720"/>
        </w:tabs>
        <w:ind w:left="720" w:hanging="720"/>
      </w:pPr>
      <w:r>
        <w:t>(2)</w:t>
      </w:r>
      <w:r>
        <w:tab/>
      </w:r>
      <w:r w:rsidR="001B69AF">
        <w:t>Studies 14 and 15 (in respect of Active I) show that Active I increases tissue volume and clumps skin which results in skin smoothing and reduction in the appearance of wrinkles.</w:t>
      </w:r>
      <w:r w:rsidR="005A40EB">
        <w:t xml:space="preserve">  Study 14, which Study 15 references, is described in more detail in the following paragraph.</w:t>
      </w:r>
    </w:p>
    <w:p w14:paraId="4C46516C" w14:textId="68F8E206" w:rsidR="001B69AF" w:rsidRDefault="001E3C6B" w:rsidP="001E3C6B">
      <w:pPr>
        <w:pStyle w:val="ListNo1"/>
        <w:numPr>
          <w:ilvl w:val="0"/>
          <w:numId w:val="0"/>
        </w:numPr>
        <w:tabs>
          <w:tab w:val="left" w:pos="720"/>
        </w:tabs>
        <w:ind w:left="720" w:hanging="720"/>
      </w:pPr>
      <w:r>
        <w:t>(3)</w:t>
      </w:r>
      <w:r>
        <w:tab/>
      </w:r>
      <w:r w:rsidR="001B69AF">
        <w:t>Studies 1 and 2 (in respect of Active A) show that Active A (being a peptide) reduces the appearance of wrinkles and 28 days.</w:t>
      </w:r>
      <w:r w:rsidR="00CB66D9">
        <w:t xml:space="preserve">  As indicated, these studies are discussed in more detail below.</w:t>
      </w:r>
    </w:p>
    <w:p w14:paraId="40AE7134" w14:textId="412FFC8F" w:rsidR="001B69AF" w:rsidRDefault="001E3C6B" w:rsidP="001E3C6B">
      <w:pPr>
        <w:pStyle w:val="ListNo1"/>
        <w:numPr>
          <w:ilvl w:val="0"/>
          <w:numId w:val="0"/>
        </w:numPr>
        <w:tabs>
          <w:tab w:val="left" w:pos="720"/>
        </w:tabs>
        <w:ind w:left="720" w:hanging="720"/>
      </w:pPr>
      <w:r>
        <w:t>(4)</w:t>
      </w:r>
      <w:r>
        <w:tab/>
      </w:r>
      <w:r w:rsidR="001B69AF">
        <w:t>The Boost study</w:t>
      </w:r>
      <w:r w:rsidR="00505982">
        <w:t xml:space="preserve"> (Study 16)</w:t>
      </w:r>
      <w:r w:rsidR="001B69AF">
        <w:t xml:space="preserve"> shows that the product has a significant effect on</w:t>
      </w:r>
      <w:r w:rsidR="00E24185">
        <w:t xml:space="preserve"> </w:t>
      </w:r>
      <w:r w:rsidR="009D5D0F">
        <w:t xml:space="preserve">skin firmness, </w:t>
      </w:r>
      <w:r w:rsidR="00E24185">
        <w:t>wrinkledness, dark circles and eye</w:t>
      </w:r>
      <w:r w:rsidR="001B69AF">
        <w:t xml:space="preserve"> puffiness after 28 days.  </w:t>
      </w:r>
      <w:r w:rsidR="00CB66D9">
        <w:t xml:space="preserve">This was an in vivo study using the Boost product on 30 women volunteers between 35-55 years who were characterised by under-eye bags, dark circles and clinical signs of skin wrinkledness (crow’s feet area).  </w:t>
      </w:r>
      <w:r w:rsidR="001B69AF">
        <w:t>The experts agreed that the study is reliable.</w:t>
      </w:r>
    </w:p>
    <w:p w14:paraId="7F39B0FA" w14:textId="124D7937" w:rsidR="001B69AF" w:rsidRDefault="001E3C6B" w:rsidP="001E3C6B">
      <w:pPr>
        <w:pStyle w:val="ListNo1"/>
        <w:numPr>
          <w:ilvl w:val="0"/>
          <w:numId w:val="0"/>
        </w:numPr>
        <w:tabs>
          <w:tab w:val="left" w:pos="720"/>
        </w:tabs>
        <w:ind w:left="720" w:hanging="720"/>
      </w:pPr>
      <w:r>
        <w:t>(5)</w:t>
      </w:r>
      <w:r>
        <w:tab/>
      </w:r>
      <w:r w:rsidR="001B69AF">
        <w:t xml:space="preserve">A particular ingredient was identified by Mr Williams as an active.  He explained that this ingredient is a skin moisturiser that forms a </w:t>
      </w:r>
      <w:r w:rsidR="00E24185">
        <w:t>film</w:t>
      </w:r>
      <w:r w:rsidR="001B69AF">
        <w:t xml:space="preserve"> reservoir which sits on the surface of the skin and moisturises the skin.  He also explained that this ingredient is “known for being one of the best moisturising ingredients for cosmetic skin care products</w:t>
      </w:r>
      <w:r w:rsidR="00E24185">
        <w:t>”</w:t>
      </w:r>
      <w:r w:rsidR="001B69AF">
        <w:t>.  Dr Haley also acknowledged that the ingredient “absorbs water to increase water in the top layer of the skin”.</w:t>
      </w:r>
    </w:p>
    <w:p w14:paraId="634765E6" w14:textId="481CC20E" w:rsidR="00CB66D9" w:rsidRDefault="001E3C6B" w:rsidP="001E3C6B">
      <w:pPr>
        <w:pStyle w:val="ParaNumbering"/>
        <w:numPr>
          <w:ilvl w:val="0"/>
          <w:numId w:val="0"/>
        </w:numPr>
        <w:ind w:hanging="720"/>
      </w:pPr>
      <w:r>
        <w:rPr>
          <w:sz w:val="20"/>
        </w:rPr>
        <w:t>537</w:t>
      </w:r>
      <w:r>
        <w:rPr>
          <w:sz w:val="20"/>
        </w:rPr>
        <w:tab/>
      </w:r>
      <w:r w:rsidR="005A40EB">
        <w:t>Study 14 reports on t</w:t>
      </w:r>
      <w:r w:rsidR="00CB66D9">
        <w:t>w</w:t>
      </w:r>
      <w:r w:rsidR="005A40EB">
        <w:t>o in vivo studies, the first to evaluate the effect of Active I on facial volume and the second on breast volume.  In the first, a group of 22 female volunteers between 50-60 years old was selected.  The subjects applied a cream containing 2% Active I twice a day for 14 days.  The volume of the cheeks was analysed by fringe projection at the beginning and at day 14.  The treated areas showed an</w:t>
      </w:r>
      <w:r w:rsidR="00A20B7F">
        <w:t xml:space="preserve"> average</w:t>
      </w:r>
      <w:r w:rsidR="005A40EB">
        <w:t xml:space="preserve"> 11.9% volume growth, and 79% of subjects had a volume growth after 14 days.</w:t>
      </w:r>
    </w:p>
    <w:p w14:paraId="451D04CB" w14:textId="48C1A67C" w:rsidR="00CB66D9" w:rsidRDefault="001E3C6B" w:rsidP="001E3C6B">
      <w:pPr>
        <w:pStyle w:val="ParaNumbering"/>
        <w:numPr>
          <w:ilvl w:val="0"/>
          <w:numId w:val="0"/>
        </w:numPr>
        <w:ind w:hanging="720"/>
      </w:pPr>
      <w:r>
        <w:rPr>
          <w:sz w:val="20"/>
        </w:rPr>
        <w:t>538</w:t>
      </w:r>
      <w:r>
        <w:rPr>
          <w:sz w:val="20"/>
        </w:rPr>
        <w:tab/>
      </w:r>
      <w:r w:rsidR="005A40EB">
        <w:t>In the second, a panel of 22 woman between 25-40 years was selected.  Volunteers were required to have an 80-90 European bra cup size and a stable weight.  They were asked to apply, twice a day, the placebo cream</w:t>
      </w:r>
      <w:r w:rsidR="00CB66D9">
        <w:t xml:space="preserve"> on a breast </w:t>
      </w:r>
      <w:r w:rsidR="005A40EB">
        <w:t>and the cream containing 2% Active I</w:t>
      </w:r>
      <w:r w:rsidR="00CB66D9">
        <w:t xml:space="preserve"> on </w:t>
      </w:r>
      <w:r w:rsidR="005A40EB">
        <w:t xml:space="preserve">the other breast for 56 days.  Measurements of breast volume were taken at the beginning and at </w:t>
      </w:r>
      <w:r w:rsidR="005A40EB">
        <w:lastRenderedPageBreak/>
        <w:t>days 14, 28</w:t>
      </w:r>
      <w:r w:rsidR="005F3F29">
        <w:t xml:space="preserve"> and 56 using the Fast Optical I</w:t>
      </w:r>
      <w:r w:rsidR="005A40EB">
        <w:t>n</w:t>
      </w:r>
      <w:r w:rsidR="00956C8C">
        <w:t xml:space="preserve"> V</w:t>
      </w:r>
      <w:r w:rsidR="005A40EB">
        <w:t>ivo Topometry Technique (FOITS), which allows reconstructing</w:t>
      </w:r>
      <w:r w:rsidR="00A20B7F">
        <w:t xml:space="preserve"> of</w:t>
      </w:r>
      <w:r w:rsidR="005A40EB">
        <w:t xml:space="preserve"> the surface and volume of the breast based on the principle of optical interferometry.</w:t>
      </w:r>
      <w:r w:rsidR="00CB66D9">
        <w:t xml:space="preserve">  The relative volume of the area and 3D images were obtained.  The differences versus initial time were measured as well as the evolution of the breast volume of the volunteers versus initial time normalised with respect to placebo results.  The results at the end of the study showed that Active I generated a clear positive gain tendency in breast volume, while the placebo did not.  Moreover, the volume increase in the area where the cream containing Active I was applied was 30 times hig</w:t>
      </w:r>
      <w:r w:rsidR="00C024F3">
        <w:t>her than the placebo at day 56.</w:t>
      </w:r>
    </w:p>
    <w:p w14:paraId="054DAA3B" w14:textId="77777777" w:rsidR="004E3484" w:rsidRDefault="004E3484" w:rsidP="004E3484">
      <w:pPr>
        <w:pStyle w:val="Heading4"/>
      </w:pPr>
      <w:bookmarkStart w:id="131" w:name="_Ref54701618"/>
      <w:r>
        <w:t>Allergan’s submissions</w:t>
      </w:r>
      <w:bookmarkEnd w:id="131"/>
    </w:p>
    <w:p w14:paraId="0F883BAE" w14:textId="21E0D114" w:rsidR="00417261" w:rsidRDefault="001E3C6B" w:rsidP="001E3C6B">
      <w:pPr>
        <w:pStyle w:val="ParaNumbering"/>
        <w:numPr>
          <w:ilvl w:val="0"/>
          <w:numId w:val="0"/>
        </w:numPr>
        <w:ind w:hanging="720"/>
      </w:pPr>
      <w:r>
        <w:rPr>
          <w:sz w:val="20"/>
        </w:rPr>
        <w:t>539</w:t>
      </w:r>
      <w:r>
        <w:rPr>
          <w:sz w:val="20"/>
        </w:rPr>
        <w:tab/>
      </w:r>
      <w:r w:rsidR="00417261">
        <w:t xml:space="preserve">On the </w:t>
      </w:r>
      <w:r w:rsidR="00417261" w:rsidRPr="0003166F">
        <w:t>face of it, the studies and other evidence relied on by Self Care amount to</w:t>
      </w:r>
      <w:r w:rsidR="00D75E55">
        <w:t xml:space="preserve"> a</w:t>
      </w:r>
      <w:r w:rsidR="00417261" w:rsidRPr="0003166F">
        <w:t xml:space="preserve"> substantial foundation for a representation that the respective products significantly reduce the appearance of wrinkles.  Mr Williams gave evidence in respect of each of</w:t>
      </w:r>
      <w:r w:rsidR="00417261">
        <w:t xml:space="preserve"> the products and confirmed that in his view, and on the basis of the formulations of the products and the studies relied on, the products would be expected to significantly reduce the appearance of wrinkles.  Dr Haley, in his reports, raised certain queries and criticisms of the studies and in some respects he had a different view of the likely impact of some of the ingredients of some of the products.  The disagreements between Mr Williams and Dr Haley were reduced during the process of concurrent examination.  Moreover, only some of the issues raised by Dr Haley in his reports were taken up by Allergan in its submissions, written and oral, in support of its case that </w:t>
      </w:r>
      <w:r w:rsidR="007918BD">
        <w:t xml:space="preserve">Self </w:t>
      </w:r>
      <w:r w:rsidR="00417261">
        <w:t>Care’s efficacy representations are misleading or deceptive.</w:t>
      </w:r>
    </w:p>
    <w:p w14:paraId="7866360F" w14:textId="7776C141" w:rsidR="007918BD" w:rsidRDefault="001E3C6B" w:rsidP="001E3C6B">
      <w:pPr>
        <w:pStyle w:val="ParaNumbering"/>
        <w:numPr>
          <w:ilvl w:val="0"/>
          <w:numId w:val="0"/>
        </w:numPr>
        <w:ind w:hanging="720"/>
      </w:pPr>
      <w:r>
        <w:rPr>
          <w:sz w:val="20"/>
        </w:rPr>
        <w:t>540</w:t>
      </w:r>
      <w:r>
        <w:rPr>
          <w:sz w:val="20"/>
        </w:rPr>
        <w:tab/>
      </w:r>
      <w:r w:rsidR="007918BD">
        <w:t>As a practical matter, I only intend dealing with the arguments made by Allergan as to why the studies and other evidence relied on by Self Care do not amount to reasonable grounds for the representations.  In the light of Allergan apparently not relying on other points, queries and criticisms raised by Dr Haley, I do not intend dealing with those matters if they have not been raised or relied on by Allergan.</w:t>
      </w:r>
    </w:p>
    <w:p w14:paraId="0434D1F7" w14:textId="6E9223DD" w:rsidR="00274A25" w:rsidRDefault="001E3C6B" w:rsidP="001E3C6B">
      <w:pPr>
        <w:pStyle w:val="ParaNumbering"/>
        <w:numPr>
          <w:ilvl w:val="0"/>
          <w:numId w:val="0"/>
        </w:numPr>
        <w:ind w:hanging="720"/>
      </w:pPr>
      <w:r>
        <w:rPr>
          <w:sz w:val="20"/>
        </w:rPr>
        <w:t>541</w:t>
      </w:r>
      <w:r>
        <w:rPr>
          <w:sz w:val="20"/>
        </w:rPr>
        <w:tab/>
      </w:r>
      <w:r w:rsidR="00274A25">
        <w:t>Allergan makes essentially</w:t>
      </w:r>
      <w:r w:rsidR="00DD1172" w:rsidRPr="00DD1172">
        <w:t xml:space="preserve"> five </w:t>
      </w:r>
      <w:r w:rsidR="00274A25">
        <w:t>arguments against a conclusion that the above studies, and other evidence, amount to “reasonable grounds” for the representations.</w:t>
      </w:r>
    </w:p>
    <w:p w14:paraId="7967B596" w14:textId="373E5D68" w:rsidR="001B69AF" w:rsidRDefault="001E3C6B" w:rsidP="001E3C6B">
      <w:pPr>
        <w:pStyle w:val="ParaNumbering"/>
        <w:numPr>
          <w:ilvl w:val="0"/>
          <w:numId w:val="0"/>
        </w:numPr>
        <w:ind w:hanging="720"/>
      </w:pPr>
      <w:r>
        <w:rPr>
          <w:sz w:val="20"/>
        </w:rPr>
        <w:t>542</w:t>
      </w:r>
      <w:r>
        <w:rPr>
          <w:sz w:val="20"/>
        </w:rPr>
        <w:tab/>
      </w:r>
      <w:r w:rsidR="00274A25" w:rsidRPr="00EA0F56">
        <w:t>Allergan’s principal argument</w:t>
      </w:r>
      <w:r w:rsidR="00274A25" w:rsidRPr="00D75E55">
        <w:t xml:space="preserve"> </w:t>
      </w:r>
      <w:r w:rsidR="00274A25">
        <w:t>is that none of the studies</w:t>
      </w:r>
      <w:r w:rsidR="00AD5767">
        <w:t xml:space="preserve"> makes a head-to-head comparison of </w:t>
      </w:r>
      <w:r w:rsidR="00274A25">
        <w:t xml:space="preserve">the visible results of the use of Botox with the use of Self Care’s products.  It submits that it is not </w:t>
      </w:r>
      <w:r w:rsidR="00AD5767">
        <w:t xml:space="preserve">to </w:t>
      </w:r>
      <w:r w:rsidR="00274A25">
        <w:t xml:space="preserve">the point whether or by how much </w:t>
      </w:r>
      <w:r w:rsidR="00AD5767">
        <w:t xml:space="preserve">Self </w:t>
      </w:r>
      <w:r w:rsidR="00274A25">
        <w:t xml:space="preserve">Care’s products achieve an improvement in the appearance of expression lines generally.  Allergan also submits that it is not possible to make a comparison between a skincare product that is topically applied, such as Self Care’s products, </w:t>
      </w:r>
      <w:r w:rsidR="00274A25">
        <w:lastRenderedPageBreak/>
        <w:t>with Botox, which is injected into the muscle, given the differing modes of action and the number of variables.</w:t>
      </w:r>
    </w:p>
    <w:p w14:paraId="1AAE38ED" w14:textId="4BE1F9F1" w:rsidR="00274A25" w:rsidRDefault="001E3C6B" w:rsidP="001E3C6B">
      <w:pPr>
        <w:pStyle w:val="ParaNumbering"/>
        <w:numPr>
          <w:ilvl w:val="0"/>
          <w:numId w:val="0"/>
        </w:numPr>
        <w:ind w:hanging="720"/>
      </w:pPr>
      <w:r>
        <w:rPr>
          <w:sz w:val="20"/>
        </w:rPr>
        <w:t>543</w:t>
      </w:r>
      <w:r>
        <w:rPr>
          <w:sz w:val="20"/>
        </w:rPr>
        <w:tab/>
      </w:r>
      <w:r w:rsidR="00274A25">
        <w:t xml:space="preserve">Allergan relies, in particular, on </w:t>
      </w:r>
      <w:r w:rsidR="00274A25" w:rsidRPr="00274A25">
        <w:rPr>
          <w:i/>
        </w:rPr>
        <w:t>Reckitt Benckiser (Australia)</w:t>
      </w:r>
      <w:r w:rsidR="00274A25">
        <w:t xml:space="preserve"> in which Gleeson J (at [307]-[308]) reasoned that because none of the studies that were relied on in that case was directed to a comparison of the two products, Nuromol and Maxigesic, they did not provide an adequate foundation for the representation that one tablet of Nuromol provides equivalent or superior pain relief to two tablets of Maxigesic.  Her Honour’s judgment was upheld on appeal, in </w:t>
      </w:r>
      <w:r w:rsidR="00274A25" w:rsidRPr="00274A25">
        <w:rPr>
          <w:i/>
        </w:rPr>
        <w:t>AFT Pharmaceuticals</w:t>
      </w:r>
      <w:r w:rsidR="00274A25">
        <w:t>, where it was reasoned that one real difficulty for AFT in establishing that the primary judge erred in evaluating the scientific evidence was that there was no scientific study which directly related to the efficacy of Maxigesic or Nuromol at their respective recommended daily doses – “</w:t>
      </w:r>
      <w:r w:rsidR="002A3092">
        <w:t>N</w:t>
      </w:r>
      <w:r w:rsidR="00274A25">
        <w:t>one of the scientific studies provided a direct, head-to-head comparison of the efficacy of analgesic products with the same levels of paracetamol/ibuprofen as Maxigesic and Nuromol at maximum daily doses”</w:t>
      </w:r>
      <w:r w:rsidR="00956C8C">
        <w:t>: at [104]</w:t>
      </w:r>
      <w:r w:rsidR="00274A25">
        <w:t>.</w:t>
      </w:r>
    </w:p>
    <w:p w14:paraId="28CA9246" w14:textId="5D9F85EF" w:rsidR="00EA6F19" w:rsidRDefault="001E3C6B" w:rsidP="001E3C6B">
      <w:pPr>
        <w:pStyle w:val="ParaNumbering"/>
        <w:numPr>
          <w:ilvl w:val="0"/>
          <w:numId w:val="0"/>
        </w:numPr>
        <w:ind w:hanging="720"/>
      </w:pPr>
      <w:r>
        <w:rPr>
          <w:sz w:val="20"/>
        </w:rPr>
        <w:t>544</w:t>
      </w:r>
      <w:r>
        <w:rPr>
          <w:sz w:val="20"/>
        </w:rPr>
        <w:tab/>
      </w:r>
      <w:r w:rsidR="00274A25">
        <w:t xml:space="preserve">There are a few matters to be observed in considering the application of the reasoning in that case to the present case.  First, the representation at issue was a measurable quantitative </w:t>
      </w:r>
      <w:r w:rsidR="00523981">
        <w:t xml:space="preserve">comparative </w:t>
      </w:r>
      <w:r w:rsidR="00274A25">
        <w:t>representation, i.e.</w:t>
      </w:r>
      <w:r w:rsidR="00B14BDB">
        <w:t>,</w:t>
      </w:r>
      <w:r w:rsidR="00274A25">
        <w:t xml:space="preserve"> that the one tablet was </w:t>
      </w:r>
      <w:r w:rsidR="00EA6F19">
        <w:t xml:space="preserve">at least </w:t>
      </w:r>
      <w:r w:rsidR="00274A25">
        <w:t>twice as good as the other.  The representation</w:t>
      </w:r>
      <w:r w:rsidR="007918BD">
        <w:t>s</w:t>
      </w:r>
      <w:r w:rsidR="00274A25">
        <w:t xml:space="preserve"> in the present case</w:t>
      </w:r>
      <w:r w:rsidR="007918BD">
        <w:t>, with one exception, are</w:t>
      </w:r>
      <w:r w:rsidR="00274A25">
        <w:t xml:space="preserve"> quite different, namely that the efficacy of the relevant products produces similar results in the appearance of the reduction of wrinkles.  That representation is not exact </w:t>
      </w:r>
      <w:r w:rsidR="00253AA0">
        <w:t xml:space="preserve">or quantifiable </w:t>
      </w:r>
      <w:r w:rsidR="00274A25">
        <w:t>in its comparative statement.</w:t>
      </w:r>
    </w:p>
    <w:p w14:paraId="7E5A476A" w14:textId="2E1E5B41" w:rsidR="00000D38" w:rsidRDefault="001E3C6B" w:rsidP="001E3C6B">
      <w:pPr>
        <w:pStyle w:val="ParaNumbering"/>
        <w:numPr>
          <w:ilvl w:val="0"/>
          <w:numId w:val="0"/>
        </w:numPr>
        <w:ind w:hanging="720"/>
      </w:pPr>
      <w:r>
        <w:rPr>
          <w:sz w:val="20"/>
        </w:rPr>
        <w:t>545</w:t>
      </w:r>
      <w:r>
        <w:rPr>
          <w:sz w:val="20"/>
        </w:rPr>
        <w:tab/>
      </w:r>
      <w:r w:rsidR="00274A25">
        <w:t>Second,</w:t>
      </w:r>
      <w:r w:rsidR="00EA6F19">
        <w:t xml:space="preserve"> </w:t>
      </w:r>
      <w:r w:rsidR="00253AA0">
        <w:t>Gleeson J</w:t>
      </w:r>
      <w:r w:rsidR="00EA6F19">
        <w:t>’s conclusion relied on by Allergan that because there was no head-to-head study of the two products the comparative statement could not be justified was not stated as a principle to be applied across all cases</w:t>
      </w:r>
      <w:r w:rsidR="00253AA0">
        <w:t xml:space="preserve"> involving comparative claims</w:t>
      </w:r>
      <w:r w:rsidR="00EA6F19">
        <w:t>, and it was not adopted in</w:t>
      </w:r>
      <w:r w:rsidR="0014030C">
        <w:t xml:space="preserve"> such</w:t>
      </w:r>
      <w:r w:rsidR="00EA6F19">
        <w:t xml:space="preserve"> terms by the Full Court in the appeal.  Inherent in the reasoning of the Full Court is the possibility that the</w:t>
      </w:r>
      <w:r w:rsidR="00523981">
        <w:t xml:space="preserve"> comparative </w:t>
      </w:r>
      <w:r w:rsidR="00EA6F19">
        <w:t>representation could have been justified by scientific studies that were not head-to-head studies of the respective products at the relevant doses</w:t>
      </w:r>
      <w:r w:rsidR="004E3484">
        <w:t xml:space="preserve">.  The conclusion was that </w:t>
      </w:r>
      <w:r w:rsidR="00EA6F19">
        <w:t>where some studies favoured the contentions of one side of the case and other studies favoured the contentions of the other side of the case (at [105]), the absence of an applicable head-to-head study created a “real difficulty” in establishing a foundation for the representation</w:t>
      </w:r>
      <w:r w:rsidR="00951738">
        <w:t>:</w:t>
      </w:r>
      <w:r w:rsidR="00EA6F19">
        <w:t xml:space="preserve"> </w:t>
      </w:r>
      <w:r w:rsidR="00951738">
        <w:t>at [104]</w:t>
      </w:r>
      <w:r w:rsidR="00EA6F19">
        <w:t>.  The Full Court did not reason that in the absence of a head-to-head study it would be impossible to establish a proper foundation.</w:t>
      </w:r>
      <w:r w:rsidR="00715A59">
        <w:t xml:space="preserve">  In this case there is no evidence of opposing studies </w:t>
      </w:r>
      <w:r w:rsidR="003B4920">
        <w:t>giving weight to contentions of Allergan that Self Care’s products do not have the effects as represented.</w:t>
      </w:r>
    </w:p>
    <w:p w14:paraId="6872B25B" w14:textId="54647D0E" w:rsidR="007918BD" w:rsidRDefault="001E3C6B" w:rsidP="001E3C6B">
      <w:pPr>
        <w:pStyle w:val="ParaNumbering"/>
        <w:numPr>
          <w:ilvl w:val="0"/>
          <w:numId w:val="0"/>
        </w:numPr>
        <w:ind w:hanging="720"/>
      </w:pPr>
      <w:r>
        <w:rPr>
          <w:sz w:val="20"/>
        </w:rPr>
        <w:lastRenderedPageBreak/>
        <w:t>546</w:t>
      </w:r>
      <w:r>
        <w:rPr>
          <w:sz w:val="20"/>
        </w:rPr>
        <w:tab/>
      </w:r>
      <w:r w:rsidR="003B4920">
        <w:t>Given those differences,</w:t>
      </w:r>
      <w:r w:rsidR="00696A0D">
        <w:t xml:space="preserve"> I do not accept the submission that the absence of </w:t>
      </w:r>
      <w:r w:rsidR="00096AC5">
        <w:t>head</w:t>
      </w:r>
      <w:r w:rsidR="00696A0D">
        <w:t>-to-head comparative studies between Self Care’s products and the Botox product is on its own a basis for finding that Self Care’s efficacy representations are without reasonable grounds.</w:t>
      </w:r>
    </w:p>
    <w:p w14:paraId="133128D9" w14:textId="0D7ECBFE" w:rsidR="00696A0D" w:rsidRDefault="001E3C6B" w:rsidP="001E3C6B">
      <w:pPr>
        <w:pStyle w:val="ParaNumbering"/>
        <w:numPr>
          <w:ilvl w:val="0"/>
          <w:numId w:val="0"/>
        </w:numPr>
        <w:ind w:hanging="720"/>
      </w:pPr>
      <w:r>
        <w:rPr>
          <w:sz w:val="20"/>
        </w:rPr>
        <w:t>547</w:t>
      </w:r>
      <w:r>
        <w:rPr>
          <w:sz w:val="20"/>
        </w:rPr>
        <w:tab/>
      </w:r>
      <w:r w:rsidR="007918BD">
        <w:t xml:space="preserve">The exception that I have referred to is the representation that the Night </w:t>
      </w:r>
      <w:r w:rsidR="00463290">
        <w:t xml:space="preserve">(tube) </w:t>
      </w:r>
      <w:r w:rsidR="007918BD">
        <w:t xml:space="preserve">product “delivers the results of </w:t>
      </w:r>
      <w:r w:rsidR="00EE22DF">
        <w:t xml:space="preserve">… </w:t>
      </w:r>
      <w:r w:rsidR="007918BD">
        <w:t>a Botox injection in four weeks”.  That representation, as I have said, is exact both as to the comparable results and the time period.  As will be seen, the absence of a head-to-head comparison in that case is significant.</w:t>
      </w:r>
    </w:p>
    <w:p w14:paraId="5FF8D3DD" w14:textId="7103DD64" w:rsidR="004E3484" w:rsidRDefault="001E3C6B" w:rsidP="001E3C6B">
      <w:pPr>
        <w:pStyle w:val="ParaNumbering"/>
        <w:numPr>
          <w:ilvl w:val="0"/>
          <w:numId w:val="0"/>
        </w:numPr>
        <w:ind w:hanging="720"/>
      </w:pPr>
      <w:bookmarkStart w:id="132" w:name="_Ref52439262"/>
      <w:r>
        <w:rPr>
          <w:sz w:val="20"/>
        </w:rPr>
        <w:t>548</w:t>
      </w:r>
      <w:r>
        <w:rPr>
          <w:sz w:val="20"/>
        </w:rPr>
        <w:tab/>
      </w:r>
      <w:r w:rsidR="004E3484">
        <w:t xml:space="preserve">In view of my conclusion that the representations that </w:t>
      </w:r>
      <w:r w:rsidR="00AD5767">
        <w:t xml:space="preserve">are </w:t>
      </w:r>
      <w:r w:rsidR="004E3484">
        <w:t>made by the impugned statements say nothing about the mechanism or mode of action of Self Care’s products, Allergan’s submission</w:t>
      </w:r>
      <w:r w:rsidR="007918BD">
        <w:t>, and Ms Cain’s opinion,</w:t>
      </w:r>
      <w:r w:rsidR="004E3484">
        <w:t xml:space="preserve"> that those products cannot be compared with Botox because they have different mechanisms or modes of action must be rejected.  The statements and hence the representations concern the apparent outcomes of the use of the products, i.e.</w:t>
      </w:r>
      <w:r w:rsidR="00951738">
        <w:t>,</w:t>
      </w:r>
      <w:r w:rsidR="004E3484">
        <w:t xml:space="preserve"> how the skin appears after having used the products.  </w:t>
      </w:r>
      <w:r w:rsidR="007918BD">
        <w:t xml:space="preserve">It says nothing about what is actually happening to the skin or how any effects are achieved.  </w:t>
      </w:r>
      <w:r w:rsidR="004E3484">
        <w:t>The question is whether the claim that the products achieve a similar reduction</w:t>
      </w:r>
      <w:r w:rsidR="00B970EC">
        <w:t xml:space="preserve"> in the appearance</w:t>
      </w:r>
      <w:r w:rsidR="004E3484">
        <w:t xml:space="preserve"> of wrinkles is well-founded.</w:t>
      </w:r>
      <w:bookmarkEnd w:id="132"/>
    </w:p>
    <w:p w14:paraId="67E4A69D" w14:textId="7F436288" w:rsidR="00EA6F19" w:rsidRDefault="001E3C6B" w:rsidP="001E3C6B">
      <w:pPr>
        <w:pStyle w:val="ParaNumbering"/>
        <w:numPr>
          <w:ilvl w:val="0"/>
          <w:numId w:val="0"/>
        </w:numPr>
        <w:ind w:hanging="720"/>
      </w:pPr>
      <w:bookmarkStart w:id="133" w:name="_Ref52439272"/>
      <w:r>
        <w:rPr>
          <w:sz w:val="20"/>
        </w:rPr>
        <w:t>549</w:t>
      </w:r>
      <w:r>
        <w:rPr>
          <w:sz w:val="20"/>
        </w:rPr>
        <w:tab/>
      </w:r>
      <w:r w:rsidR="004E3484" w:rsidRPr="00EA0F56">
        <w:t>Allergan</w:t>
      </w:r>
      <w:r w:rsidR="00AE440A" w:rsidRPr="00EA0F56">
        <w:t>’s second argument</w:t>
      </w:r>
      <w:r w:rsidR="00AE440A" w:rsidRPr="000C7B99">
        <w:t xml:space="preserve"> </w:t>
      </w:r>
      <w:r w:rsidR="00AE440A">
        <w:t xml:space="preserve">is </w:t>
      </w:r>
      <w:r w:rsidR="00F95B0D">
        <w:t xml:space="preserve">that some of </w:t>
      </w:r>
      <w:r w:rsidR="00AD5767">
        <w:t xml:space="preserve">the </w:t>
      </w:r>
      <w:r w:rsidR="00F95B0D">
        <w:t xml:space="preserve">studies make highly speculative claims about the efficacy of the products, particularly with reference to the mechanism of action.  For example, </w:t>
      </w:r>
      <w:r w:rsidR="0030702A">
        <w:t>S</w:t>
      </w:r>
      <w:r w:rsidR="00F95B0D">
        <w:t xml:space="preserve">tudies 1 and 2, in respect of Active A, speculate that the mechanism of action includes effects at the level of the dermis, whereas with reference to another study, referred to as the </w:t>
      </w:r>
      <w:r w:rsidR="00F95B0D" w:rsidRPr="00EA0F56">
        <w:rPr>
          <w:b/>
        </w:rPr>
        <w:t>Kraeling article</w:t>
      </w:r>
      <w:r w:rsidR="00F95B0D">
        <w:t xml:space="preserve">, Active A would not penetrate to the level of the dermis.  The expert witnesses agreed that the peptides would not penetrate to the dermis.  </w:t>
      </w:r>
      <w:r w:rsidR="008D789E">
        <w:t>The expert witnesses were also in agreement that the mechanism of action of the active peptides in vivo is as a scientific matter not known or explained.</w:t>
      </w:r>
      <w:bookmarkEnd w:id="133"/>
    </w:p>
    <w:p w14:paraId="49D8D35D" w14:textId="229312C2" w:rsidR="007918BD" w:rsidRDefault="001E3C6B" w:rsidP="001E3C6B">
      <w:pPr>
        <w:pStyle w:val="ParaNumbering"/>
        <w:numPr>
          <w:ilvl w:val="0"/>
          <w:numId w:val="0"/>
        </w:numPr>
        <w:ind w:hanging="720"/>
      </w:pPr>
      <w:r>
        <w:rPr>
          <w:sz w:val="20"/>
        </w:rPr>
        <w:t>550</w:t>
      </w:r>
      <w:r>
        <w:rPr>
          <w:sz w:val="20"/>
        </w:rPr>
        <w:tab/>
      </w:r>
      <w:r w:rsidR="00AD5767">
        <w:t xml:space="preserve">However, as I have identified, the question is not about the mechanism of action of the ingredients, but rather the </w:t>
      </w:r>
      <w:r w:rsidR="007918BD">
        <w:t xml:space="preserve">aesthetic </w:t>
      </w:r>
      <w:r w:rsidR="00AD5767">
        <w:t>outcome.  Studies 1 and 2 reported positively on the effect that Active A has on reducing the appearance of wrinkles.  They did so by the use of an accepted method of measuring wrinkles known as confocal profilometry</w:t>
      </w:r>
      <w:r w:rsidR="007918BD">
        <w:t xml:space="preserve"> which </w:t>
      </w:r>
      <w:r w:rsidR="007918BD" w:rsidRPr="007918BD">
        <w:t>involves taking silicone rubber impression mouldings of a face and</w:t>
      </w:r>
      <w:r w:rsidR="007918BD">
        <w:t xml:space="preserve"> </w:t>
      </w:r>
      <w:r w:rsidR="007918BD" w:rsidRPr="007918BD">
        <w:t>then analysing them using</w:t>
      </w:r>
      <w:r w:rsidR="00DF55D7">
        <w:t xml:space="preserve"> a confocal microscope</w:t>
      </w:r>
      <w:r w:rsidR="007918BD" w:rsidRPr="007918BD">
        <w:t xml:space="preserve"> </w:t>
      </w:r>
      <w:r w:rsidR="00DF55D7">
        <w:t xml:space="preserve">which produces data </w:t>
      </w:r>
      <w:r w:rsidR="00D470C1">
        <w:t xml:space="preserve">which is then processed using a </w:t>
      </w:r>
      <w:r w:rsidR="007918BD" w:rsidRPr="007918BD">
        <w:t>digital imag</w:t>
      </w:r>
      <w:r w:rsidR="00D470C1">
        <w:t>ing</w:t>
      </w:r>
      <w:r w:rsidR="007918BD" w:rsidRPr="007918BD">
        <w:t xml:space="preserve"> </w:t>
      </w:r>
      <w:r w:rsidR="00D470C1">
        <w:t>program on a computer</w:t>
      </w:r>
      <w:r w:rsidR="00AD5767">
        <w:t xml:space="preserve">. </w:t>
      </w:r>
      <w:r w:rsidR="008D789E">
        <w:t xml:space="preserve"> Study 1, being a supplier’s product brochure on Active A, reports on the results of a number of st</w:t>
      </w:r>
      <w:r w:rsidR="00C024F3">
        <w:t>udies of which Study 2 is one.</w:t>
      </w:r>
    </w:p>
    <w:p w14:paraId="1E317A11" w14:textId="7FBD7734" w:rsidR="00E6511F" w:rsidRDefault="001E3C6B" w:rsidP="001E3C6B">
      <w:pPr>
        <w:pStyle w:val="ParaNumbering"/>
        <w:numPr>
          <w:ilvl w:val="0"/>
          <w:numId w:val="0"/>
        </w:numPr>
        <w:ind w:hanging="720"/>
      </w:pPr>
      <w:r>
        <w:rPr>
          <w:sz w:val="20"/>
        </w:rPr>
        <w:lastRenderedPageBreak/>
        <w:t>551</w:t>
      </w:r>
      <w:r>
        <w:rPr>
          <w:sz w:val="20"/>
        </w:rPr>
        <w:tab/>
      </w:r>
      <w:r w:rsidR="00AE440A" w:rsidRPr="00EA0F56">
        <w:t>Allergan’s third argument</w:t>
      </w:r>
      <w:r w:rsidR="00AE440A" w:rsidRPr="00D470C1">
        <w:t xml:space="preserve"> </w:t>
      </w:r>
      <w:r w:rsidR="00AE440A">
        <w:t xml:space="preserve">is </w:t>
      </w:r>
      <w:r w:rsidR="00E6511F">
        <w:t>that it is not possible to attribute the positive visual effects achieved by the active ingredients of Self Care’s products to the identified “actives” or peptides in those products.  It submits that that is becaus</w:t>
      </w:r>
      <w:r w:rsidR="00C024F3">
        <w:t>e, in relation to the peptides:</w:t>
      </w:r>
    </w:p>
    <w:p w14:paraId="6B24AB80" w14:textId="4E0A647A" w:rsidR="00E6511F" w:rsidRDefault="001E3C6B" w:rsidP="001E3C6B">
      <w:pPr>
        <w:pStyle w:val="ListNo1"/>
        <w:numPr>
          <w:ilvl w:val="0"/>
          <w:numId w:val="0"/>
        </w:numPr>
        <w:tabs>
          <w:tab w:val="left" w:pos="720"/>
        </w:tabs>
        <w:ind w:left="720" w:hanging="720"/>
      </w:pPr>
      <w:r>
        <w:t>(1)</w:t>
      </w:r>
      <w:r>
        <w:tab/>
      </w:r>
      <w:r w:rsidR="00E6511F">
        <w:t>only a very small amount of the peptide is used (</w:t>
      </w:r>
      <w:r w:rsidR="009C2C6D">
        <w:t>[redacted until 6 June 2021]</w:t>
      </w:r>
      <w:r w:rsidR="00E6511F">
        <w:t>%</w:t>
      </w:r>
      <w:r w:rsidR="009C2C6D">
        <w:t xml:space="preserve"> </w:t>
      </w:r>
      <w:r w:rsidR="00D470C1">
        <w:t>of the product total</w:t>
      </w:r>
      <w:r w:rsidR="00E6511F">
        <w:t xml:space="preserve"> in most cases);</w:t>
      </w:r>
    </w:p>
    <w:p w14:paraId="78D438B8" w14:textId="44BE27D1" w:rsidR="00E6511F" w:rsidRDefault="001E3C6B" w:rsidP="001E3C6B">
      <w:pPr>
        <w:pStyle w:val="ListNo1"/>
        <w:numPr>
          <w:ilvl w:val="0"/>
          <w:numId w:val="0"/>
        </w:numPr>
        <w:tabs>
          <w:tab w:val="left" w:pos="720"/>
        </w:tabs>
        <w:ind w:left="720" w:hanging="720"/>
      </w:pPr>
      <w:r>
        <w:t>(2)</w:t>
      </w:r>
      <w:r>
        <w:tab/>
      </w:r>
      <w:r w:rsidR="00E6511F">
        <w:t>only a very small amount may get into the viable epidermis (of the order of 0.01%</w:t>
      </w:r>
      <w:r w:rsidR="00D470C1">
        <w:t xml:space="preserve"> of the peptide applied</w:t>
      </w:r>
      <w:r w:rsidR="00E6511F">
        <w:t>);</w:t>
      </w:r>
    </w:p>
    <w:p w14:paraId="0090E85A" w14:textId="299142D8" w:rsidR="00E6511F" w:rsidRDefault="001E3C6B" w:rsidP="001E3C6B">
      <w:pPr>
        <w:pStyle w:val="ListNo1"/>
        <w:numPr>
          <w:ilvl w:val="0"/>
          <w:numId w:val="0"/>
        </w:numPr>
        <w:tabs>
          <w:tab w:val="left" w:pos="720"/>
        </w:tabs>
        <w:ind w:left="720" w:hanging="720"/>
      </w:pPr>
      <w:r>
        <w:t>(3)</w:t>
      </w:r>
      <w:r>
        <w:tab/>
      </w:r>
      <w:r w:rsidR="00E6511F">
        <w:t xml:space="preserve">when used in a concentration of </w:t>
      </w:r>
      <w:r w:rsidR="008A38FB">
        <w:t>[redacted until 6 June 2021]</w:t>
      </w:r>
      <w:r w:rsidR="009C2C6D">
        <w:t>%</w:t>
      </w:r>
      <w:r w:rsidR="00E6511F">
        <w:t xml:space="preserve">, only 0.0000005% </w:t>
      </w:r>
      <w:r w:rsidR="00B970EC">
        <w:t xml:space="preserve">of the product total </w:t>
      </w:r>
      <w:r w:rsidR="00E6511F">
        <w:t>or 0.5 ppm would penetrate to the viable epidermis;</w:t>
      </w:r>
    </w:p>
    <w:p w14:paraId="522E81C3" w14:textId="0E2B2E06" w:rsidR="00E6511F" w:rsidRDefault="001E3C6B" w:rsidP="001E3C6B">
      <w:pPr>
        <w:pStyle w:val="ListNo1"/>
        <w:numPr>
          <w:ilvl w:val="0"/>
          <w:numId w:val="0"/>
        </w:numPr>
        <w:tabs>
          <w:tab w:val="left" w:pos="720"/>
        </w:tabs>
        <w:ind w:left="720" w:hanging="720"/>
      </w:pPr>
      <w:r>
        <w:t>(4)</w:t>
      </w:r>
      <w:r>
        <w:tab/>
      </w:r>
      <w:r w:rsidR="00E6511F">
        <w:t>the peptides do not penetrate to the dermis, where the muscles or the nerves relevantly operate; and</w:t>
      </w:r>
    </w:p>
    <w:p w14:paraId="5D34F11A" w14:textId="3CF7EC25" w:rsidR="00EA6F19" w:rsidRDefault="001E3C6B" w:rsidP="001E3C6B">
      <w:pPr>
        <w:pStyle w:val="ListNo1"/>
        <w:numPr>
          <w:ilvl w:val="0"/>
          <w:numId w:val="0"/>
        </w:numPr>
        <w:tabs>
          <w:tab w:val="left" w:pos="720"/>
        </w:tabs>
        <w:ind w:left="720" w:hanging="720"/>
      </w:pPr>
      <w:r>
        <w:t>(5)</w:t>
      </w:r>
      <w:r>
        <w:tab/>
      </w:r>
      <w:r w:rsidR="00E6511F">
        <w:t xml:space="preserve">there are so many other skin conditioning agents in the products (except Boost which is </w:t>
      </w:r>
      <w:r w:rsidR="008A38FB">
        <w:t>[redacted until 6 June 2021]</w:t>
      </w:r>
      <w:r w:rsidR="009C2C6D">
        <w:t>%</w:t>
      </w:r>
      <w:r w:rsidR="00E6511F">
        <w:t xml:space="preserve"> water</w:t>
      </w:r>
      <w:r w:rsidR="00A642CF">
        <w:t>)</w:t>
      </w:r>
      <w:r w:rsidR="00E6511F">
        <w:t>, that they would swamp any effect that reduce</w:t>
      </w:r>
      <w:r w:rsidR="00B970EC">
        <w:t>s</w:t>
      </w:r>
      <w:r w:rsidR="00E6511F">
        <w:t xml:space="preserve"> the appearance of wrinkles.</w:t>
      </w:r>
    </w:p>
    <w:p w14:paraId="531260E4" w14:textId="74DF7E29" w:rsidR="00AE440A" w:rsidRDefault="001E3C6B" w:rsidP="001E3C6B">
      <w:pPr>
        <w:pStyle w:val="ParaNumbering"/>
        <w:numPr>
          <w:ilvl w:val="0"/>
          <w:numId w:val="0"/>
        </w:numPr>
        <w:ind w:hanging="720"/>
      </w:pPr>
      <w:r>
        <w:rPr>
          <w:sz w:val="20"/>
        </w:rPr>
        <w:t>552</w:t>
      </w:r>
      <w:r>
        <w:rPr>
          <w:sz w:val="20"/>
        </w:rPr>
        <w:tab/>
      </w:r>
      <w:r w:rsidR="00AE440A">
        <w:t>There are essentially two components to this argument that the peptides in the product do not produce a significant visual effect.  The one is that they are in too low a concentration to be effective, and the other is that any effect that is seen is because of moisturising ingredients rather than the peptides.</w:t>
      </w:r>
    </w:p>
    <w:p w14:paraId="031BDAA1" w14:textId="098CAD42" w:rsidR="00E6511F" w:rsidRDefault="001E3C6B" w:rsidP="001E3C6B">
      <w:pPr>
        <w:pStyle w:val="ParaNumbering"/>
        <w:numPr>
          <w:ilvl w:val="0"/>
          <w:numId w:val="0"/>
        </w:numPr>
        <w:ind w:hanging="720"/>
      </w:pPr>
      <w:r>
        <w:rPr>
          <w:sz w:val="20"/>
        </w:rPr>
        <w:t>553</w:t>
      </w:r>
      <w:r>
        <w:rPr>
          <w:sz w:val="20"/>
        </w:rPr>
        <w:tab/>
      </w:r>
      <w:r w:rsidR="00253AA0">
        <w:t xml:space="preserve">In reliance on the Kraeling article, </w:t>
      </w:r>
      <w:r w:rsidR="00E6511F">
        <w:t xml:space="preserve">Dr Haley </w:t>
      </w:r>
      <w:r w:rsidR="00AE440A">
        <w:t xml:space="preserve">initially </w:t>
      </w:r>
      <w:r w:rsidR="00E6511F">
        <w:t xml:space="preserve">did not attribute any efficacy to the peptide.  </w:t>
      </w:r>
      <w:r w:rsidR="00AE440A">
        <w:t>The Kraeling</w:t>
      </w:r>
      <w:r w:rsidR="00E6511F">
        <w:t xml:space="preserve"> study showed that the peptide acetyl hexapeptide-8, which was used by both experts as a suitable proxy for all of the peptides under consideration, penetrated to the viable epidermis of human skin </w:t>
      </w:r>
      <w:r w:rsidR="00570322">
        <w:t>in vitro</w:t>
      </w:r>
      <w:r w:rsidR="00E6511F">
        <w:t xml:space="preserve"> to the extent of 0.01%.  From this, Dr Haley concluded that the peptide would not have any significant efficacy in reducing the appearance of wrinkles in vivo.</w:t>
      </w:r>
    </w:p>
    <w:p w14:paraId="5E9F171F" w14:textId="63D8A707" w:rsidR="00E6511F" w:rsidRDefault="001E3C6B" w:rsidP="001E3C6B">
      <w:pPr>
        <w:pStyle w:val="ParaNumbering"/>
        <w:numPr>
          <w:ilvl w:val="0"/>
          <w:numId w:val="0"/>
        </w:numPr>
        <w:ind w:hanging="720"/>
      </w:pPr>
      <w:r>
        <w:rPr>
          <w:sz w:val="20"/>
        </w:rPr>
        <w:t>554</w:t>
      </w:r>
      <w:r>
        <w:rPr>
          <w:sz w:val="20"/>
        </w:rPr>
        <w:tab/>
      </w:r>
      <w:r w:rsidR="00AC001D">
        <w:t xml:space="preserve">However, Study 2, demonstrates a </w:t>
      </w:r>
      <w:r w:rsidR="00AD192E">
        <w:t xml:space="preserve">significant </w:t>
      </w:r>
      <w:r w:rsidR="00AC001D">
        <w:t>visual effect.  Mr Williams accepted that that was a cosmetic effect and not therapeutic because of the level at which it operates, but he was not challenged on there being a positive visual effect on the appearance of wrinkles.</w:t>
      </w:r>
    </w:p>
    <w:p w14:paraId="1846E8CB" w14:textId="142B7FF5" w:rsidR="00253AA0" w:rsidRDefault="001E3C6B" w:rsidP="001E3C6B">
      <w:pPr>
        <w:pStyle w:val="ParaNumbering"/>
        <w:numPr>
          <w:ilvl w:val="0"/>
          <w:numId w:val="0"/>
        </w:numPr>
        <w:ind w:hanging="720"/>
      </w:pPr>
      <w:r>
        <w:rPr>
          <w:sz w:val="20"/>
        </w:rPr>
        <w:t>555</w:t>
      </w:r>
      <w:r>
        <w:rPr>
          <w:sz w:val="20"/>
        </w:rPr>
        <w:tab/>
      </w:r>
      <w:r w:rsidR="00253AA0">
        <w:t>The aim of Study 2 was to evaluate the macro-roughness of human skin replicas in silicon</w:t>
      </w:r>
      <w:r w:rsidR="003138D1">
        <w:t>e</w:t>
      </w:r>
      <w:r w:rsidR="00253AA0">
        <w:t xml:space="preserve"> to determine the wrinkle reduction efficacy of Active A compared to a placebo cream.  The macro-roughness of the silicon</w:t>
      </w:r>
      <w:r w:rsidR="003138D1">
        <w:t>e</w:t>
      </w:r>
      <w:r w:rsidR="00253AA0">
        <w:t xml:space="preserve"> replica, which corresponded to the eye contour area, was obtained from 17 volunteers for the test cream and from 10 volunteers for the placebo cream.  </w:t>
      </w:r>
      <w:r w:rsidR="00253AA0">
        <w:lastRenderedPageBreak/>
        <w:t xml:space="preserve">The treatment lasted four weeks and samples obtained before treatment started and after 28 days were taken.  </w:t>
      </w:r>
      <w:r w:rsidR="006A47C4">
        <w:t>Skin r</w:t>
      </w:r>
      <w:r w:rsidR="00253AA0">
        <w:t>oughness was measured by confocal profilometry</w:t>
      </w:r>
      <w:r w:rsidR="006A47C4">
        <w:t xml:space="preserve"> across multiple parameters</w:t>
      </w:r>
      <w:r w:rsidR="00253AA0">
        <w:t>.</w:t>
      </w:r>
      <w:r w:rsidR="00C024F3">
        <w:t xml:space="preserve"> </w:t>
      </w:r>
      <w:r w:rsidR="00253AA0">
        <w:t xml:space="preserve"> The study concluded that the test product containing Active A reduce</w:t>
      </w:r>
      <w:r w:rsidR="006A47C4">
        <w:t>d</w:t>
      </w:r>
      <w:r w:rsidR="00253AA0">
        <w:t xml:space="preserve"> wrinkles by about 34%</w:t>
      </w:r>
      <w:r w:rsidR="006A47C4">
        <w:t xml:space="preserve"> on average</w:t>
      </w:r>
      <w:r w:rsidR="00253AA0">
        <w:t>, which is significant compared to the placebo cream</w:t>
      </w:r>
      <w:r w:rsidR="006A47C4">
        <w:t xml:space="preserve"> which reduced wrinkles by about 3% on average</w:t>
      </w:r>
      <w:r w:rsidR="00253AA0">
        <w:t xml:space="preserve">.  The reduction in the depth of the wrinkles </w:t>
      </w:r>
      <w:r w:rsidR="006A47C4">
        <w:t>was</w:t>
      </w:r>
      <w:r w:rsidR="00C024F3">
        <w:t xml:space="preserve"> about 63% in some instances.</w:t>
      </w:r>
    </w:p>
    <w:p w14:paraId="735D66C5" w14:textId="15F286D6" w:rsidR="00AE440A" w:rsidRDefault="001E3C6B" w:rsidP="001E3C6B">
      <w:pPr>
        <w:pStyle w:val="ParaNumbering"/>
        <w:numPr>
          <w:ilvl w:val="0"/>
          <w:numId w:val="0"/>
        </w:numPr>
        <w:ind w:hanging="720"/>
      </w:pPr>
      <w:r>
        <w:rPr>
          <w:sz w:val="20"/>
        </w:rPr>
        <w:t>556</w:t>
      </w:r>
      <w:r>
        <w:rPr>
          <w:sz w:val="20"/>
        </w:rPr>
        <w:tab/>
      </w:r>
      <w:r w:rsidR="00253AA0">
        <w:t xml:space="preserve">Dr Haley challenged these results on the basis that the results for the placebo group </w:t>
      </w:r>
      <w:r w:rsidR="00AE440A">
        <w:t>(i.e.</w:t>
      </w:r>
      <w:r w:rsidR="003138D1">
        <w:t>,</w:t>
      </w:r>
      <w:r w:rsidR="00AE440A">
        <w:t xml:space="preserve"> little or no improvement in the appearance of reduction of wrinkles) </w:t>
      </w:r>
      <w:r w:rsidR="00253AA0">
        <w:t>were not consistent with his expectations of a product having the ingredients shown in the formulation of the placebo, which included certain moisturising ingredients, in particular glycerin</w:t>
      </w:r>
      <w:r w:rsidR="00A642CF">
        <w:t xml:space="preserve"> at 2.4%</w:t>
      </w:r>
      <w:r w:rsidR="00253AA0">
        <w:t>.</w:t>
      </w:r>
      <w:r w:rsidR="00A642CF">
        <w:t xml:space="preserve">  He said that it is quite feasible to him that the performance of the placebo cream formulation with an additional 0.005% of the peptide coming from Active A </w:t>
      </w:r>
      <w:r w:rsidR="00AE440A">
        <w:t>(i.e.</w:t>
      </w:r>
      <w:r w:rsidR="003138D1">
        <w:t>,</w:t>
      </w:r>
      <w:r w:rsidR="00AE440A">
        <w:t xml:space="preserve"> the test product) </w:t>
      </w:r>
      <w:r w:rsidR="00A642CF">
        <w:t>could be totally coming fro</w:t>
      </w:r>
      <w:r w:rsidR="00C024F3">
        <w:t>m the placebo base formulation.</w:t>
      </w:r>
    </w:p>
    <w:p w14:paraId="613C8827" w14:textId="78EF7899" w:rsidR="00A642CF" w:rsidRDefault="001E3C6B" w:rsidP="001E3C6B">
      <w:pPr>
        <w:pStyle w:val="ParaNumbering"/>
        <w:numPr>
          <w:ilvl w:val="0"/>
          <w:numId w:val="0"/>
        </w:numPr>
        <w:ind w:hanging="720"/>
      </w:pPr>
      <w:r>
        <w:rPr>
          <w:sz w:val="20"/>
        </w:rPr>
        <w:t>557</w:t>
      </w:r>
      <w:r>
        <w:rPr>
          <w:sz w:val="20"/>
        </w:rPr>
        <w:tab/>
      </w:r>
      <w:r w:rsidR="00A642CF">
        <w:t>However, Dr Haley accepted that he had done no tests on the performance of the placebo cream, i.e.</w:t>
      </w:r>
      <w:r w:rsidR="003138D1">
        <w:t>,</w:t>
      </w:r>
      <w:r w:rsidR="00A642CF">
        <w:t xml:space="preserve"> he was speaking merely from expectation, and he was unable to explain why the test cream and the placebo cream produced markedly different results which he accepted were statistically significant.  He accepted that the use of the placebo was designed to exclude the possibility that the results of the active product are attributable to the moistur</w:t>
      </w:r>
      <w:r w:rsidR="00C024F3">
        <w:t>isers in which it was carried.</w:t>
      </w:r>
    </w:p>
    <w:p w14:paraId="6A403248" w14:textId="247A0A72" w:rsidR="00AE440A" w:rsidRDefault="001E3C6B" w:rsidP="001E3C6B">
      <w:pPr>
        <w:pStyle w:val="ParaNumbering"/>
        <w:numPr>
          <w:ilvl w:val="0"/>
          <w:numId w:val="0"/>
        </w:numPr>
        <w:ind w:hanging="720"/>
      </w:pPr>
      <w:r>
        <w:rPr>
          <w:sz w:val="20"/>
        </w:rPr>
        <w:t>558</w:t>
      </w:r>
      <w:r>
        <w:rPr>
          <w:sz w:val="20"/>
        </w:rPr>
        <w:tab/>
      </w:r>
      <w:r w:rsidR="00AE440A">
        <w:t>On</w:t>
      </w:r>
      <w:r w:rsidR="008979E5">
        <w:t xml:space="preserve"> the question of the concentration of the active ingredient in the product, Dr Haley accepted that in the absence of testing one cannot make an assumption that any particular ingredient has no effect at any particular concentration, even at very low levels such as 0.1%.  Different ingredients will have effect at different concentrations, which is known as the dose response correlation.  Mr Williams explained that it is well-known in the cosmetic and therapeutic industries that “the dose makes the activity”, by which I understood him to mean that some substances (such as botulinum toxin</w:t>
      </w:r>
      <w:r w:rsidR="00AE440A">
        <w:t xml:space="preserve"> as an example</w:t>
      </w:r>
      <w:r w:rsidR="008979E5">
        <w:t xml:space="preserve">) have effect at extremely low dosages and others have effect only at very high dosages, and everything in between.  It depends on the dose response correlation for the particular ingredient.  </w:t>
      </w:r>
    </w:p>
    <w:p w14:paraId="3BD5E67F" w14:textId="09A545F9" w:rsidR="008979E5" w:rsidRDefault="001E3C6B" w:rsidP="001E3C6B">
      <w:pPr>
        <w:pStyle w:val="ParaNumbering"/>
        <w:numPr>
          <w:ilvl w:val="0"/>
          <w:numId w:val="0"/>
        </w:numPr>
        <w:ind w:hanging="720"/>
      </w:pPr>
      <w:r>
        <w:rPr>
          <w:sz w:val="20"/>
        </w:rPr>
        <w:t>559</w:t>
      </w:r>
      <w:r>
        <w:rPr>
          <w:sz w:val="20"/>
        </w:rPr>
        <w:tab/>
      </w:r>
      <w:r w:rsidR="00AE440A">
        <w:t>Mr Williams</w:t>
      </w:r>
      <w:r w:rsidR="008979E5">
        <w:t xml:space="preserve"> explained that it can be misleading to look at the possible effect of an active ingredient in percentage terms as that neglects to take account of the activity of the actual molecule which may be very active, as in the case of peptides.  Thus the frequent application of a product with a very low concentration of the peptide may nevertheless deliver a sufficient dosage of the peptide over </w:t>
      </w:r>
      <w:r w:rsidR="00C024F3">
        <w:t>time to have an active effect.</w:t>
      </w:r>
    </w:p>
    <w:p w14:paraId="17F87706" w14:textId="6724CBA4" w:rsidR="008979E5" w:rsidRDefault="001E3C6B" w:rsidP="001E3C6B">
      <w:pPr>
        <w:pStyle w:val="ParaNumbering"/>
        <w:numPr>
          <w:ilvl w:val="0"/>
          <w:numId w:val="0"/>
        </w:numPr>
        <w:ind w:hanging="720"/>
      </w:pPr>
      <w:r>
        <w:rPr>
          <w:sz w:val="20"/>
        </w:rPr>
        <w:lastRenderedPageBreak/>
        <w:t>560</w:t>
      </w:r>
      <w:r>
        <w:rPr>
          <w:sz w:val="20"/>
        </w:rPr>
        <w:tab/>
      </w:r>
      <w:r w:rsidR="008979E5">
        <w:t>Ultimately Dr Haley accepted, as I do, that Study 2 demonstrates that the peptides are responsible for the improved performance of the t</w:t>
      </w:r>
      <w:r w:rsidR="00C024F3">
        <w:t>est product over the placebo.</w:t>
      </w:r>
    </w:p>
    <w:p w14:paraId="31FACF56" w14:textId="4A8EE645" w:rsidR="00AE440A" w:rsidRDefault="001E3C6B" w:rsidP="001E3C6B">
      <w:pPr>
        <w:pStyle w:val="ParaNumbering"/>
        <w:numPr>
          <w:ilvl w:val="0"/>
          <w:numId w:val="0"/>
        </w:numPr>
        <w:ind w:hanging="720"/>
      </w:pPr>
      <w:r>
        <w:rPr>
          <w:sz w:val="20"/>
        </w:rPr>
        <w:t>561</w:t>
      </w:r>
      <w:r>
        <w:rPr>
          <w:sz w:val="20"/>
        </w:rPr>
        <w:tab/>
      </w:r>
      <w:r w:rsidR="00AE440A">
        <w:t>Allergan’s arguments that the observed positive results cannot be attributed to the active ingredient, which I have rejected above, are applicable to Studies 2, 6, 7 and 11.</w:t>
      </w:r>
    </w:p>
    <w:p w14:paraId="7DF0EBE2" w14:textId="70D58652" w:rsidR="00AD5767" w:rsidRDefault="001E3C6B" w:rsidP="001E3C6B">
      <w:pPr>
        <w:pStyle w:val="ParaNumbering"/>
        <w:numPr>
          <w:ilvl w:val="0"/>
          <w:numId w:val="0"/>
        </w:numPr>
        <w:ind w:hanging="720"/>
      </w:pPr>
      <w:r>
        <w:rPr>
          <w:sz w:val="20"/>
        </w:rPr>
        <w:t>562</w:t>
      </w:r>
      <w:r>
        <w:rPr>
          <w:sz w:val="20"/>
        </w:rPr>
        <w:tab/>
      </w:r>
      <w:r w:rsidR="00AD5767" w:rsidRPr="00EA0F56">
        <w:t>Allergan</w:t>
      </w:r>
      <w:r w:rsidR="00AE440A" w:rsidRPr="00EA0F56">
        <w:t>’s fourth argument</w:t>
      </w:r>
      <w:r w:rsidR="00AD5767" w:rsidRPr="007B7D5F">
        <w:t>,</w:t>
      </w:r>
      <w:r w:rsidR="00AD5767">
        <w:t xml:space="preserve"> with reference to the </w:t>
      </w:r>
      <w:r w:rsidR="00AD5767" w:rsidRPr="00A166C5">
        <w:rPr>
          <w:b/>
        </w:rPr>
        <w:t>ICH</w:t>
      </w:r>
      <w:r w:rsidR="00AD5767">
        <w:t xml:space="preserve"> Harmonized Tripartite </w:t>
      </w:r>
      <w:r w:rsidR="00AD5767" w:rsidRPr="00AD5767">
        <w:rPr>
          <w:b/>
        </w:rPr>
        <w:t>Guideline</w:t>
      </w:r>
      <w:r w:rsidR="00AD5767">
        <w:t xml:space="preserve"> </w:t>
      </w:r>
      <w:r w:rsidR="00172502">
        <w:t xml:space="preserve">for the Structure and Content of Clinical Study Reports </w:t>
      </w:r>
      <w:r w:rsidR="00AD5767">
        <w:t>(1995),</w:t>
      </w:r>
      <w:r w:rsidR="00A642CF">
        <w:t xml:space="preserve"> </w:t>
      </w:r>
      <w:r w:rsidR="00AE440A">
        <w:t xml:space="preserve">is </w:t>
      </w:r>
      <w:r w:rsidR="00AD5767">
        <w:t xml:space="preserve">that ignoring patients who dropped out of </w:t>
      </w:r>
      <w:r w:rsidR="00AE440A">
        <w:t>Study 2</w:t>
      </w:r>
      <w:r w:rsidR="00AD5767">
        <w:t xml:space="preserve"> and drawing conclusions based only on patients who completed a study can be misleading and can introduce bias.  It </w:t>
      </w:r>
      <w:r w:rsidR="00350521">
        <w:t>submits</w:t>
      </w:r>
      <w:r w:rsidR="00AD5767">
        <w:t xml:space="preserve"> that there is a danger in dropping patients with available data from analysis because of poor compliance and eligibility or any other reasons.  It </w:t>
      </w:r>
      <w:r w:rsidR="00350521">
        <w:t>submits</w:t>
      </w:r>
      <w:r w:rsidR="00AD5767">
        <w:t xml:space="preserve"> that an analysis using all available data should be carried out for all studies i</w:t>
      </w:r>
      <w:r w:rsidR="00C024F3">
        <w:t>ntended to establish efficacy.</w:t>
      </w:r>
    </w:p>
    <w:p w14:paraId="1E962E8C" w14:textId="09E6A85C" w:rsidR="00AD5767" w:rsidRDefault="001E3C6B" w:rsidP="001E3C6B">
      <w:pPr>
        <w:pStyle w:val="ParaNumbering"/>
        <w:numPr>
          <w:ilvl w:val="0"/>
          <w:numId w:val="0"/>
        </w:numPr>
        <w:ind w:hanging="720"/>
      </w:pPr>
      <w:r>
        <w:rPr>
          <w:sz w:val="20"/>
        </w:rPr>
        <w:t>563</w:t>
      </w:r>
      <w:r>
        <w:rPr>
          <w:sz w:val="20"/>
        </w:rPr>
        <w:tab/>
      </w:r>
      <w:r w:rsidR="00AD5767">
        <w:t xml:space="preserve">The ICH is the International Conference on Harmonisation of Technical Requirements for Registration of Pharmaceuticals for Human Use.  </w:t>
      </w:r>
      <w:r w:rsidR="00B970EC">
        <w:t xml:space="preserve">The ICH </w:t>
      </w:r>
      <w:r w:rsidR="00AD5767">
        <w:t>Guideline includes the following p</w:t>
      </w:r>
      <w:r w:rsidR="003138D1">
        <w:t>aragraphs relied on by Allergan:</w:t>
      </w:r>
    </w:p>
    <w:p w14:paraId="028464A4" w14:textId="77777777" w:rsidR="00AD5767" w:rsidRPr="00AD5767" w:rsidRDefault="00AD5767" w:rsidP="00AD5767">
      <w:pPr>
        <w:pStyle w:val="Quote1"/>
        <w:rPr>
          <w:b/>
        </w:rPr>
      </w:pPr>
      <w:r w:rsidRPr="00AD5767">
        <w:rPr>
          <w:b/>
        </w:rPr>
        <w:t>11.4.2.2 Handling of Dropouts or Missing Data</w:t>
      </w:r>
    </w:p>
    <w:p w14:paraId="2C158866" w14:textId="77777777" w:rsidR="00AD5767" w:rsidRDefault="00AD5767" w:rsidP="00AD5767">
      <w:pPr>
        <w:pStyle w:val="Quote1"/>
      </w:pPr>
      <w:r>
        <w:t>There are several factors that may affect dropout rates.  These include the duration of the study, the nature of the disease, the efficacy and toxicity of the drug under study, and other factors that are not therapy related.  Ignoring the patients who dropped out of the study and drawing conclusions based only on patients who completed the study can be misleading.  A large number of dropouts, however, even if included in an analysis, may introduce bias, particularly if there are more early dropouts in one treatment group or the reasons for dropping out are treatment or outcome related. …</w:t>
      </w:r>
    </w:p>
    <w:p w14:paraId="511E79F6" w14:textId="77777777" w:rsidR="00AD5767" w:rsidRPr="00AD5767" w:rsidRDefault="00AD5767" w:rsidP="00AD5767">
      <w:pPr>
        <w:pStyle w:val="Quote1"/>
        <w:rPr>
          <w:b/>
        </w:rPr>
      </w:pPr>
      <w:r w:rsidRPr="00AD5767">
        <w:rPr>
          <w:b/>
        </w:rPr>
        <w:t>11.4.2.6 Use of an “Efficacy Subset” of Patients</w:t>
      </w:r>
    </w:p>
    <w:p w14:paraId="1939B919" w14:textId="77777777" w:rsidR="00AD5767" w:rsidRDefault="00AD5767" w:rsidP="00AD5767">
      <w:pPr>
        <w:pStyle w:val="Quote1"/>
      </w:pPr>
      <w:r>
        <w:t>Particular attention should be devoted to the effects of dropping patients with available data from analyses because of poor compliance, missed visits, ineligibility, or any other reason.  As noted above, an analysis using all available data should be carried out for all studies intended to establish efficacy, even if it is not the analysis proposed as the primary analysis by the applicant.  In general, it is advantageous to demonstrate robustness of the principal trial conclusions with respect to alternative choices of patient populations for analysis.  Any substantial differences resulting from the choice of patient population for analysis should be the subject of explicit discussion.</w:t>
      </w:r>
    </w:p>
    <w:p w14:paraId="567EA8AE" w14:textId="00B70FD2" w:rsidR="008D789E" w:rsidRDefault="001E3C6B" w:rsidP="001E3C6B">
      <w:pPr>
        <w:pStyle w:val="ParaNumbering"/>
        <w:numPr>
          <w:ilvl w:val="0"/>
          <w:numId w:val="0"/>
        </w:numPr>
        <w:ind w:hanging="720"/>
      </w:pPr>
      <w:r>
        <w:rPr>
          <w:sz w:val="20"/>
        </w:rPr>
        <w:t>564</w:t>
      </w:r>
      <w:r>
        <w:rPr>
          <w:sz w:val="20"/>
        </w:rPr>
        <w:tab/>
      </w:r>
      <w:r w:rsidR="008D789E">
        <w:t>Study 2 records that “about 20 volunteers were chosen for each product”</w:t>
      </w:r>
      <w:r w:rsidR="00253AA0">
        <w:t xml:space="preserve"> (i.e.</w:t>
      </w:r>
      <w:r w:rsidR="00A566CE">
        <w:t>,</w:t>
      </w:r>
      <w:r w:rsidR="00253AA0">
        <w:t xml:space="preserve"> for the test cream and the placebo cream)</w:t>
      </w:r>
      <w:r w:rsidR="008D789E">
        <w:t xml:space="preserve">, but some of them did not complete the study satisfactorily so they were not included in the analysis of the results obtained.  I infer that three volunteers dropped out from the test group and 10 dropped out from the control group.  </w:t>
      </w:r>
      <w:r w:rsidR="00AD192E">
        <w:t xml:space="preserve">I note that Dr </w:t>
      </w:r>
      <w:r w:rsidR="00C024F3">
        <w:t>Haley drew the same conclusion.</w:t>
      </w:r>
    </w:p>
    <w:p w14:paraId="541A08AE" w14:textId="490C8780" w:rsidR="00172502" w:rsidRDefault="001E3C6B" w:rsidP="001E3C6B">
      <w:pPr>
        <w:pStyle w:val="ParaNumbering"/>
        <w:numPr>
          <w:ilvl w:val="0"/>
          <w:numId w:val="0"/>
        </w:numPr>
        <w:ind w:hanging="720"/>
      </w:pPr>
      <w:r>
        <w:rPr>
          <w:sz w:val="20"/>
        </w:rPr>
        <w:lastRenderedPageBreak/>
        <w:t>565</w:t>
      </w:r>
      <w:r>
        <w:rPr>
          <w:sz w:val="20"/>
        </w:rPr>
        <w:tab/>
      </w:r>
      <w:r w:rsidR="00172502">
        <w:t>Dr Haley said that it was a matter of concern that 10 of the placebo test subject</w:t>
      </w:r>
      <w:r w:rsidR="00A566CE">
        <w:t>s</w:t>
      </w:r>
      <w:r w:rsidR="00172502">
        <w:t xml:space="preserve"> had dropped out and that no reasons were recorded.  However, he accepted that the study was statistically significant and he failed to explain why the absence of the information about why 10 participants had dropped out would make the study unreliable.  Ultimately, he accepted in cross</w:t>
      </w:r>
      <w:r w:rsidR="00796CBF">
        <w:t>-</w:t>
      </w:r>
      <w:r w:rsidR="00172502">
        <w:t xml:space="preserve">examination that that matter alone would not constitute a tipping point such as to </w:t>
      </w:r>
      <w:r w:rsidR="00A566CE">
        <w:t>cause</w:t>
      </w:r>
      <w:r w:rsidR="00172502">
        <w:t xml:space="preserve"> an otherwise re</w:t>
      </w:r>
      <w:r w:rsidR="00C024F3">
        <w:t>liable study to be unreliable.</w:t>
      </w:r>
    </w:p>
    <w:p w14:paraId="05CBE384" w14:textId="2F4D719E" w:rsidR="008D789E" w:rsidRDefault="001E3C6B" w:rsidP="001E3C6B">
      <w:pPr>
        <w:pStyle w:val="ParaNumbering"/>
        <w:numPr>
          <w:ilvl w:val="0"/>
          <w:numId w:val="0"/>
        </w:numPr>
        <w:ind w:hanging="720"/>
      </w:pPr>
      <w:r>
        <w:rPr>
          <w:sz w:val="20"/>
        </w:rPr>
        <w:t>566</w:t>
      </w:r>
      <w:r>
        <w:rPr>
          <w:sz w:val="20"/>
        </w:rPr>
        <w:tab/>
      </w:r>
      <w:r w:rsidR="00172502">
        <w:t>Insofar as the ICH Guideline is concerned, it describes its objective as being to allow the compilation of a single core clinical study report acceptable to all regulatory authorities of the ICH regions.  Such a clinical study report would be of an individual study of any therapeutic, prophylactic or diagnostic agent conducted in patients.  By its own terms, and it was accepted by Dr Haley, the</w:t>
      </w:r>
      <w:r w:rsidR="00B970EC">
        <w:t xml:space="preserve"> ICH</w:t>
      </w:r>
      <w:r w:rsidR="00172502">
        <w:t xml:space="preserve"> Guideline did not apply to unregulated cosmetics.  Further, in its introduction it states that depending on the nature and importance of the study, a less detailed report might be appropriate.  Dr Haley was unable to explain why in the case of Study 2, to which the</w:t>
      </w:r>
      <w:r w:rsidR="00B970EC">
        <w:t xml:space="preserve"> ICH</w:t>
      </w:r>
      <w:r w:rsidR="00172502">
        <w:t xml:space="preserve"> Guideline did not apply, it was inappropriate to not include the reasons why participants dropped out.  Since the data measurements were at the commencement of the trial and at its end, clearly there was no relevant data to record in respect of any participant who dropped out before the </w:t>
      </w:r>
      <w:r w:rsidR="00A566CE">
        <w:t>twenty-eighth</w:t>
      </w:r>
      <w:r w:rsidR="00172502">
        <w:t xml:space="preserve"> day.</w:t>
      </w:r>
    </w:p>
    <w:p w14:paraId="79E3EC6E" w14:textId="2EC0A382" w:rsidR="00172502" w:rsidRDefault="001E3C6B" w:rsidP="001E3C6B">
      <w:pPr>
        <w:pStyle w:val="ParaNumbering"/>
        <w:numPr>
          <w:ilvl w:val="0"/>
          <w:numId w:val="0"/>
        </w:numPr>
        <w:ind w:hanging="720"/>
      </w:pPr>
      <w:r>
        <w:rPr>
          <w:sz w:val="20"/>
        </w:rPr>
        <w:t>567</w:t>
      </w:r>
      <w:r>
        <w:rPr>
          <w:sz w:val="20"/>
        </w:rPr>
        <w:tab/>
      </w:r>
      <w:r w:rsidR="00172502">
        <w:t>Mr Williams was cross-examined with reference to the</w:t>
      </w:r>
      <w:r w:rsidR="00B970EC">
        <w:t xml:space="preserve"> ICH</w:t>
      </w:r>
      <w:r w:rsidR="00172502">
        <w:t xml:space="preserve"> Guideline.  He explained that it is not generally applied to cosmetic products.  He offered the plausible explanation that </w:t>
      </w:r>
      <w:r w:rsidR="00A566CE">
        <w:t>10</w:t>
      </w:r>
      <w:r w:rsidR="00172502">
        <w:t xml:space="preserve"> out of the original 20 participants </w:t>
      </w:r>
      <w:r w:rsidR="00AC001D">
        <w:t>in</w:t>
      </w:r>
      <w:r w:rsidR="00172502">
        <w:t xml:space="preserve"> the placebo </w:t>
      </w:r>
      <w:r w:rsidR="00AC001D">
        <w:t>group</w:t>
      </w:r>
      <w:r w:rsidR="00796F43">
        <w:t xml:space="preserve"> may have</w:t>
      </w:r>
      <w:r w:rsidR="00AC001D">
        <w:t xml:space="preserve"> </w:t>
      </w:r>
      <w:r w:rsidR="00172502">
        <w:t xml:space="preserve">dropped out because they were not noticing any reduction in the appearance of wrinkles.  If that is the reason that they dropped out, that does not detract from the reliability of the study.  He said that in his view the difference between the placebo and the test product is sufficient based on the standard deviation </w:t>
      </w:r>
      <w:r w:rsidR="00796F43">
        <w:t xml:space="preserve">in the remaining </w:t>
      </w:r>
      <w:r w:rsidR="003D7CD0">
        <w:t xml:space="preserve">test subjects </w:t>
      </w:r>
      <w:r w:rsidR="00AC001D">
        <w:t>to still</w:t>
      </w:r>
      <w:r w:rsidR="00172502">
        <w:t xml:space="preserve"> be </w:t>
      </w:r>
      <w:r w:rsidR="003D7CD0">
        <w:t>reliable</w:t>
      </w:r>
      <w:r w:rsidR="00172502">
        <w:t>.</w:t>
      </w:r>
    </w:p>
    <w:p w14:paraId="37F241FB" w14:textId="6104A2DB" w:rsidR="00172502" w:rsidRDefault="001E3C6B" w:rsidP="001E3C6B">
      <w:pPr>
        <w:pStyle w:val="ParaNumbering"/>
        <w:numPr>
          <w:ilvl w:val="0"/>
          <w:numId w:val="0"/>
        </w:numPr>
        <w:ind w:hanging="720"/>
      </w:pPr>
      <w:bookmarkStart w:id="134" w:name="_Ref52439296"/>
      <w:r>
        <w:rPr>
          <w:sz w:val="20"/>
        </w:rPr>
        <w:t>568</w:t>
      </w:r>
      <w:r>
        <w:rPr>
          <w:sz w:val="20"/>
        </w:rPr>
        <w:tab/>
      </w:r>
      <w:r w:rsidR="00172502">
        <w:t>In the circumstances, I do not accept the criticism of Study 2 based on the number of drop-outs and the absence of any recorded reason for them dropping out.  I accept that the study offers a reasonable foundati</w:t>
      </w:r>
      <w:r w:rsidR="00AC001D">
        <w:t>on to the claim that Active A pro</w:t>
      </w:r>
      <w:r w:rsidR="00172502">
        <w:t>duces a significant reduction in the a</w:t>
      </w:r>
      <w:r w:rsidR="00A566CE">
        <w:t>ppearance of wrinkles over a 28-</w:t>
      </w:r>
      <w:r w:rsidR="00172502">
        <w:t>day period of application.</w:t>
      </w:r>
      <w:bookmarkEnd w:id="134"/>
    </w:p>
    <w:p w14:paraId="63DA0423" w14:textId="7F7FB30B" w:rsidR="007E2775" w:rsidRDefault="001E3C6B" w:rsidP="001E3C6B">
      <w:pPr>
        <w:pStyle w:val="ParaNumbering"/>
        <w:numPr>
          <w:ilvl w:val="0"/>
          <w:numId w:val="0"/>
        </w:numPr>
        <w:ind w:hanging="720"/>
      </w:pPr>
      <w:r>
        <w:rPr>
          <w:sz w:val="20"/>
        </w:rPr>
        <w:t>569</w:t>
      </w:r>
      <w:r>
        <w:rPr>
          <w:sz w:val="20"/>
        </w:rPr>
        <w:tab/>
      </w:r>
      <w:r w:rsidR="00AE440A" w:rsidRPr="00EA0F56">
        <w:t xml:space="preserve">Allergan’s </w:t>
      </w:r>
      <w:r w:rsidR="007E2775" w:rsidRPr="00EA0F56">
        <w:t>fifth argument</w:t>
      </w:r>
      <w:r w:rsidR="007E2775">
        <w:t xml:space="preserve"> was made by Dr Haley.  It was not put </w:t>
      </w:r>
      <w:r w:rsidR="00AD192E">
        <w:t xml:space="preserve">squarely </w:t>
      </w:r>
      <w:r w:rsidR="007E2775">
        <w:t>in written or oral submissions by Allergan but I deal with it here as an argument advanced by Allergan for the sake of completeness</w:t>
      </w:r>
      <w:r w:rsidR="00AD192E">
        <w:t xml:space="preserve"> and because there may have been hints at it in submissions</w:t>
      </w:r>
      <w:r w:rsidR="007E2775">
        <w:t xml:space="preserve">.  It is what Self Care in </w:t>
      </w:r>
      <w:r w:rsidR="00AD192E">
        <w:t xml:space="preserve">its </w:t>
      </w:r>
      <w:r w:rsidR="007E2775">
        <w:t xml:space="preserve">submissions characterised as an “extrapolation issue”.  The argument is that </w:t>
      </w:r>
      <w:r w:rsidR="007E2775">
        <w:lastRenderedPageBreak/>
        <w:t>one cannot necessarily apply the results of studies of an active ingredient to the performance of a product containing it.</w:t>
      </w:r>
      <w:r w:rsidR="00AD192E">
        <w:t xml:space="preserve">  It arises because most of the studies that Self Care relies on are studies of the efficacy of the active ingredients in product formulations that may not be exactly the same as Self Care’s formulations.</w:t>
      </w:r>
    </w:p>
    <w:p w14:paraId="3DDD9745" w14:textId="624155A6" w:rsidR="007E2775" w:rsidRDefault="001E3C6B" w:rsidP="001E3C6B">
      <w:pPr>
        <w:pStyle w:val="ParaNumbering"/>
        <w:numPr>
          <w:ilvl w:val="0"/>
          <w:numId w:val="0"/>
        </w:numPr>
        <w:ind w:hanging="720"/>
      </w:pPr>
      <w:r>
        <w:rPr>
          <w:sz w:val="20"/>
        </w:rPr>
        <w:t>570</w:t>
      </w:r>
      <w:r>
        <w:rPr>
          <w:sz w:val="20"/>
        </w:rPr>
        <w:tab/>
      </w:r>
      <w:r w:rsidR="007E2775">
        <w:t>Mr Williams explained that in Australia cosmetic manufacturers tend to use the results of studies on ingredients when formulating their products.</w:t>
      </w:r>
      <w:r w:rsidR="005C1E75">
        <w:t xml:space="preserve">  The extrapolation is justified where the concentration of the active ingredient in the product is at the same level (or greater) as in the test and</w:t>
      </w:r>
      <w:r w:rsidR="007E2775">
        <w:t xml:space="preserve"> </w:t>
      </w:r>
      <w:r w:rsidR="00AD192E">
        <w:t xml:space="preserve">if </w:t>
      </w:r>
      <w:r w:rsidR="007E2775">
        <w:t xml:space="preserve">there is nothing in the product which will impair the result that is shown for the </w:t>
      </w:r>
      <w:r w:rsidR="005C1E75">
        <w:t xml:space="preserve">active </w:t>
      </w:r>
      <w:r w:rsidR="007E2775">
        <w:t xml:space="preserve">ingredient it is accepted.  Although that is not the approach with respect to therapeutics, </w:t>
      </w:r>
      <w:r w:rsidR="00AD192E">
        <w:t xml:space="preserve">presumably because of critical safety issues in relation to therapeutic substances which is what justifies their strong regulation, </w:t>
      </w:r>
      <w:r w:rsidR="007E2775">
        <w:t>it is the case with respect to cosmetics because of the prohibitive cost relative to the size of the Australian market to conduct s</w:t>
      </w:r>
      <w:r w:rsidR="00FB7A19">
        <w:t>tudies on each product itself.</w:t>
      </w:r>
    </w:p>
    <w:p w14:paraId="790102C3" w14:textId="2C29FFA6" w:rsidR="00EA6F19" w:rsidRDefault="001E3C6B" w:rsidP="001E3C6B">
      <w:pPr>
        <w:pStyle w:val="ParaNumbering"/>
        <w:numPr>
          <w:ilvl w:val="0"/>
          <w:numId w:val="0"/>
        </w:numPr>
        <w:ind w:hanging="720"/>
      </w:pPr>
      <w:r>
        <w:rPr>
          <w:sz w:val="20"/>
        </w:rPr>
        <w:t>571</w:t>
      </w:r>
      <w:r>
        <w:rPr>
          <w:sz w:val="20"/>
        </w:rPr>
        <w:tab/>
      </w:r>
      <w:r w:rsidR="005C1E75">
        <w:t>Dr Haley accepted that the concentrations of the active ingredients in each of the Self Care products, save for the Boost product prior to a correction in its formulation in August 2018, was the same as in the respective studies relied on by Self Care.  He also did not identify any component in any of the products that would impair the performance of the peptide</w:t>
      </w:r>
      <w:r w:rsidR="00FB7A19">
        <w:t xml:space="preserve">s in the product formulations. </w:t>
      </w:r>
    </w:p>
    <w:p w14:paraId="36D3E4BB" w14:textId="1EF15A82" w:rsidR="005C1E75" w:rsidRDefault="001E3C6B" w:rsidP="001E3C6B">
      <w:pPr>
        <w:pStyle w:val="ParaNumbering"/>
        <w:numPr>
          <w:ilvl w:val="0"/>
          <w:numId w:val="0"/>
        </w:numPr>
        <w:ind w:hanging="720"/>
      </w:pPr>
      <w:r>
        <w:rPr>
          <w:sz w:val="20"/>
        </w:rPr>
        <w:t>572</w:t>
      </w:r>
      <w:r>
        <w:rPr>
          <w:sz w:val="20"/>
        </w:rPr>
        <w:tab/>
      </w:r>
      <w:r w:rsidR="005C1E75">
        <w:t>In the result, I accept that the results of each of Studies 3, 4, 6-10 and 13, to which this extrapolation issue applies, can be extrapolated to the respective products.</w:t>
      </w:r>
    </w:p>
    <w:p w14:paraId="79FAB75E" w14:textId="77777777" w:rsidR="005C1E75" w:rsidRDefault="005C1E75" w:rsidP="005C1E75">
      <w:pPr>
        <w:pStyle w:val="Heading4"/>
      </w:pPr>
      <w:bookmarkStart w:id="135" w:name="_Ref54701619"/>
      <w:r>
        <w:t>Prolonging the effect of Botox specifically</w:t>
      </w:r>
      <w:bookmarkEnd w:id="135"/>
    </w:p>
    <w:p w14:paraId="22597E65" w14:textId="68D65EFC" w:rsidR="005C1E75" w:rsidRDefault="001E3C6B" w:rsidP="001E3C6B">
      <w:pPr>
        <w:pStyle w:val="ParaNumbering"/>
        <w:numPr>
          <w:ilvl w:val="0"/>
          <w:numId w:val="0"/>
        </w:numPr>
        <w:ind w:hanging="720"/>
      </w:pPr>
      <w:bookmarkStart w:id="136" w:name="_Ref52438989"/>
      <w:r>
        <w:rPr>
          <w:sz w:val="20"/>
        </w:rPr>
        <w:t>573</w:t>
      </w:r>
      <w:r>
        <w:rPr>
          <w:sz w:val="20"/>
        </w:rPr>
        <w:tab/>
      </w:r>
      <w:r w:rsidR="005C1E75">
        <w:t xml:space="preserve">Studies 6 and 7 </w:t>
      </w:r>
      <w:r w:rsidR="000C6386">
        <w:t>investigated the use</w:t>
      </w:r>
      <w:r w:rsidR="005C1E75">
        <w:t xml:space="preserve"> of peptides to prolong the visible effects of Botox.  Each is a report of the same </w:t>
      </w:r>
      <w:r w:rsidR="00AD192E">
        <w:t>trial t</w:t>
      </w:r>
      <w:r w:rsidR="005C1E75">
        <w:t>he objective of</w:t>
      </w:r>
      <w:r w:rsidR="00696A0D">
        <w:t xml:space="preserve"> </w:t>
      </w:r>
      <w:r w:rsidR="00AD192E">
        <w:t>which</w:t>
      </w:r>
      <w:r w:rsidR="005C1E75">
        <w:t xml:space="preserve"> was to evaluate the anti-wrinkle effect of the Active E peptide after a botulinum toxin</w:t>
      </w:r>
      <w:r w:rsidR="00A566CE">
        <w:t xml:space="preserve"> type</w:t>
      </w:r>
      <w:r w:rsidR="005C1E75">
        <w:t xml:space="preserve"> </w:t>
      </w:r>
      <w:r w:rsidR="00696A0D">
        <w:t>A</w:t>
      </w:r>
      <w:r w:rsidR="005C1E75">
        <w:t xml:space="preserve"> treatment by injection.  A panel of 22 females (</w:t>
      </w:r>
      <w:r w:rsidR="00096AC5">
        <w:t>51</w:t>
      </w:r>
      <w:r w:rsidR="005C1E75">
        <w:t xml:space="preserve"> years on average) received</w:t>
      </w:r>
      <w:r w:rsidR="00696A0D">
        <w:t xml:space="preserve"> 50 </w:t>
      </w:r>
      <w:r w:rsidR="00AD192E">
        <w:t>µ</w:t>
      </w:r>
      <w:r w:rsidR="00696A0D">
        <w:t>l (i.e.</w:t>
      </w:r>
      <w:r w:rsidR="00A566CE">
        <w:t>,</w:t>
      </w:r>
      <w:r w:rsidR="00696A0D">
        <w:t xml:space="preserve"> 0.05</w:t>
      </w:r>
      <w:r w:rsidR="00A566CE">
        <w:t xml:space="preserve"> </w:t>
      </w:r>
      <w:r w:rsidR="00696A0D">
        <w:t xml:space="preserve">ml) of the toxin in the periorbital (crow’s feet) and frontal region.  After the injection, the participants applied either the </w:t>
      </w:r>
      <w:r w:rsidR="00AD192E">
        <w:t>test</w:t>
      </w:r>
      <w:r w:rsidR="00696A0D">
        <w:t xml:space="preserve"> formulation with 10% Active E or a placebo formulation (control treatment) twice a day for six months.</w:t>
      </w:r>
      <w:bookmarkEnd w:id="136"/>
    </w:p>
    <w:p w14:paraId="5E52BC3C" w14:textId="3448D313" w:rsidR="00696A0D" w:rsidRDefault="001E3C6B" w:rsidP="001E3C6B">
      <w:pPr>
        <w:pStyle w:val="ParaNumbering"/>
        <w:numPr>
          <w:ilvl w:val="0"/>
          <w:numId w:val="0"/>
        </w:numPr>
        <w:ind w:hanging="720"/>
      </w:pPr>
      <w:r>
        <w:rPr>
          <w:sz w:val="20"/>
        </w:rPr>
        <w:t>574</w:t>
      </w:r>
      <w:r>
        <w:rPr>
          <w:sz w:val="20"/>
        </w:rPr>
        <w:tab/>
      </w:r>
      <w:r w:rsidR="00696A0D">
        <w:t>Skin silicon</w:t>
      </w:r>
      <w:r w:rsidR="00A566CE">
        <w:t>e</w:t>
      </w:r>
      <w:r w:rsidR="00696A0D">
        <w:t xml:space="preserve"> replicas were obtained before the injection and at different times during the treatments.  The skin relief was evaluated by confocal profilometry, quantifying the reduction of the average surface roughness against the baseline.  Macroscopic photographs were also taken at baseline and after two, four and six months.</w:t>
      </w:r>
    </w:p>
    <w:p w14:paraId="270C37F1" w14:textId="049DC986" w:rsidR="005C1E75" w:rsidRDefault="001E3C6B" w:rsidP="001E3C6B">
      <w:pPr>
        <w:pStyle w:val="ParaNumbering"/>
        <w:numPr>
          <w:ilvl w:val="0"/>
          <w:numId w:val="0"/>
        </w:numPr>
        <w:ind w:hanging="720"/>
      </w:pPr>
      <w:r>
        <w:rPr>
          <w:sz w:val="20"/>
        </w:rPr>
        <w:lastRenderedPageBreak/>
        <w:t>575</w:t>
      </w:r>
      <w:r>
        <w:rPr>
          <w:sz w:val="20"/>
        </w:rPr>
        <w:tab/>
      </w:r>
      <w:r w:rsidR="00696A0D">
        <w:t>In the frontal region, the active topical treatment apparently highly intensified the anti-wrinkle effect of the botulinum toxin</w:t>
      </w:r>
      <w:r w:rsidR="00A566CE">
        <w:t xml:space="preserve"> type</w:t>
      </w:r>
      <w:r w:rsidR="00696A0D">
        <w:t xml:space="preserve"> A injection at all times, prolonging its benefit on the skin even after six months.  </w:t>
      </w:r>
      <w:r w:rsidR="003A5DB0">
        <w:t xml:space="preserve">The </w:t>
      </w:r>
      <w:r w:rsidR="00410E14">
        <w:t xml:space="preserve">frontal region </w:t>
      </w:r>
      <w:r w:rsidR="003A5DB0">
        <w:t>skin roughness graph shows that by the six</w:t>
      </w:r>
      <w:r w:rsidR="00410E14">
        <w:t>-</w:t>
      </w:r>
      <w:r w:rsidR="003A5DB0">
        <w:t xml:space="preserve">month period the regions under the control treatment had increased skin roughness </w:t>
      </w:r>
      <w:r w:rsidR="00410E14">
        <w:t xml:space="preserve">from the baseline measurement </w:t>
      </w:r>
      <w:r w:rsidR="003A5DB0">
        <w:t xml:space="preserve">by 13%. </w:t>
      </w:r>
      <w:r w:rsidR="00410E14">
        <w:t xml:space="preserve"> </w:t>
      </w:r>
      <w:r w:rsidR="003A5DB0">
        <w:t>In comparison</w:t>
      </w:r>
      <w:r w:rsidR="00410E14">
        <w:t>,</w:t>
      </w:r>
      <w:r w:rsidR="003A5DB0">
        <w:t xml:space="preserve"> the</w:t>
      </w:r>
      <w:r w:rsidR="00410E14">
        <w:t xml:space="preserve"> regions under the</w:t>
      </w:r>
      <w:r w:rsidR="003A5DB0">
        <w:t xml:space="preserve"> active treatment ha</w:t>
      </w:r>
      <w:r w:rsidR="00410E14">
        <w:t>d</w:t>
      </w:r>
      <w:r w:rsidR="003A5DB0">
        <w:t xml:space="preserve"> remained at a decrease of 23%. </w:t>
      </w:r>
      <w:r w:rsidR="00410E14">
        <w:t xml:space="preserve"> </w:t>
      </w:r>
      <w:r w:rsidR="003A5DB0">
        <w:t xml:space="preserve">In that way the active can be said to have prolonged the effect (reduction in skin roughness) of the Botox injection past the point when </w:t>
      </w:r>
      <w:r w:rsidR="00410E14">
        <w:t>it</w:t>
      </w:r>
      <w:r w:rsidR="003A5DB0">
        <w:t xml:space="preserve"> would </w:t>
      </w:r>
      <w:r w:rsidR="00410E14">
        <w:t xml:space="preserve">be </w:t>
      </w:r>
      <w:r w:rsidR="003A5DB0">
        <w:t>expected</w:t>
      </w:r>
      <w:r w:rsidR="00410E14">
        <w:t xml:space="preserve"> that no effect would </w:t>
      </w:r>
      <w:r w:rsidR="003A5DB0">
        <w:t xml:space="preserve">be present. </w:t>
      </w:r>
      <w:r w:rsidR="00410E14">
        <w:t xml:space="preserve"> </w:t>
      </w:r>
      <w:r w:rsidR="00696A0D">
        <w:t>In the periorbital region, the active treatment potentiated the smoothing effect on wrinkles induced by the injection, improving the results over six months.</w:t>
      </w:r>
    </w:p>
    <w:p w14:paraId="1ACAF2D8" w14:textId="30D0DD50" w:rsidR="00096AC5" w:rsidRDefault="001E3C6B" w:rsidP="001E3C6B">
      <w:pPr>
        <w:pStyle w:val="ParaNumbering"/>
        <w:numPr>
          <w:ilvl w:val="0"/>
          <w:numId w:val="0"/>
        </w:numPr>
        <w:ind w:hanging="720"/>
      </w:pPr>
      <w:bookmarkStart w:id="137" w:name="_Ref54201013"/>
      <w:r>
        <w:rPr>
          <w:sz w:val="20"/>
        </w:rPr>
        <w:t>576</w:t>
      </w:r>
      <w:r>
        <w:rPr>
          <w:sz w:val="20"/>
        </w:rPr>
        <w:tab/>
      </w:r>
      <w:r w:rsidR="00096AC5">
        <w:t xml:space="preserve">In his written evidence, Dr Haley said that the clinical test tries to compare the performance of a therapeutic product injected once with a cosmetic product applied topically twice a day for </w:t>
      </w:r>
      <w:r w:rsidR="00A566CE">
        <w:t>six</w:t>
      </w:r>
      <w:r w:rsidR="00096AC5">
        <w:t xml:space="preserve"> months which is not a valid comparison.  That, of course, misunderstood the study</w:t>
      </w:r>
      <w:r w:rsidR="000C7F08">
        <w:t>.</w:t>
      </w:r>
      <w:r w:rsidR="005A061D">
        <w:t xml:space="preserve"> </w:t>
      </w:r>
      <w:r w:rsidR="00796CBF">
        <w:t xml:space="preserve">Dr Haley accepted </w:t>
      </w:r>
      <w:r w:rsidR="000C7F08">
        <w:t xml:space="preserve">this </w:t>
      </w:r>
      <w:r w:rsidR="00796CBF">
        <w:t>in cross-</w:t>
      </w:r>
      <w:r w:rsidR="00096AC5">
        <w:t>examination.  Dr Haley also accepted that the experiment was apt to produce results that allow a comparison between the anti-wrinkle effects of the two different treatments, the only difference between them being the presence of Active E in the test group.  He also accepted that the results at six months show that the effect of the botulinum toxin</w:t>
      </w:r>
      <w:r w:rsidR="00A566CE">
        <w:t xml:space="preserve"> type</w:t>
      </w:r>
      <w:r w:rsidR="00096AC5">
        <w:t xml:space="preserve"> A injection when administered alone had worn off.  In contrast, the results for the combination of the botulinum toxin </w:t>
      </w:r>
      <w:r w:rsidR="00A566CE">
        <w:t xml:space="preserve">type </w:t>
      </w:r>
      <w:r w:rsidR="00096AC5">
        <w:t>A injection and the test product showed strong ongoing efficacy at six months.  The results of the study thus apparently demonstrate that Active E prolongs the visible effects of Botox.</w:t>
      </w:r>
      <w:bookmarkEnd w:id="137"/>
    </w:p>
    <w:p w14:paraId="16632CBC" w14:textId="77777777" w:rsidR="001F060A" w:rsidRDefault="00AD192E" w:rsidP="00AD192E">
      <w:pPr>
        <w:pStyle w:val="Heading3"/>
      </w:pPr>
      <w:bookmarkStart w:id="138" w:name="_Ref54701620"/>
      <w:r>
        <w:t>Conclusions on reasonable grounds</w:t>
      </w:r>
      <w:bookmarkEnd w:id="138"/>
    </w:p>
    <w:p w14:paraId="75B7F8D8" w14:textId="18E8AA10" w:rsidR="00AD192E" w:rsidRDefault="001E3C6B" w:rsidP="001E3C6B">
      <w:pPr>
        <w:pStyle w:val="ParaNumbering"/>
        <w:numPr>
          <w:ilvl w:val="0"/>
          <w:numId w:val="0"/>
        </w:numPr>
        <w:ind w:hanging="720"/>
      </w:pPr>
      <w:r>
        <w:rPr>
          <w:sz w:val="20"/>
        </w:rPr>
        <w:t>577</w:t>
      </w:r>
      <w:r>
        <w:rPr>
          <w:sz w:val="20"/>
        </w:rPr>
        <w:tab/>
      </w:r>
      <w:r w:rsidR="00AD192E">
        <w:t xml:space="preserve">In the result, I find that the representations as to a Self Care product being an alternative to Botox </w:t>
      </w:r>
      <w:r w:rsidR="00F27929">
        <w:t>(i.e.</w:t>
      </w:r>
      <w:r w:rsidR="00B14BDB">
        <w:t>,</w:t>
      </w:r>
      <w:r w:rsidR="00F27929">
        <w:t xml:space="preserve"> the first category of statements identified at [</w:t>
      </w:r>
      <w:r w:rsidR="002C19E0">
        <w:fldChar w:fldCharType="begin" w:fldLock="1"/>
      </w:r>
      <w:r w:rsidR="002C19E0">
        <w:instrText xml:space="preserve"> REF _Ref52371661 \r \h </w:instrText>
      </w:r>
      <w:r w:rsidR="002C19E0">
        <w:fldChar w:fldCharType="separate"/>
      </w:r>
      <w:r w:rsidR="00756FCE">
        <w:t>494</w:t>
      </w:r>
      <w:r w:rsidR="002C19E0">
        <w:fldChar w:fldCharType="end"/>
      </w:r>
      <w:r w:rsidR="00F27929">
        <w:t>]-[</w:t>
      </w:r>
      <w:r w:rsidR="002C19E0">
        <w:fldChar w:fldCharType="begin" w:fldLock="1"/>
      </w:r>
      <w:r w:rsidR="002C19E0">
        <w:instrText xml:space="preserve"> REF _Ref52371678 \r \h </w:instrText>
      </w:r>
      <w:r w:rsidR="002C19E0">
        <w:fldChar w:fldCharType="separate"/>
      </w:r>
      <w:r w:rsidR="00756FCE">
        <w:t>504</w:t>
      </w:r>
      <w:r w:rsidR="002C19E0">
        <w:fldChar w:fldCharType="end"/>
      </w:r>
      <w:r w:rsidR="00F27929">
        <w:t xml:space="preserve">] above) </w:t>
      </w:r>
      <w:r w:rsidR="00AD192E">
        <w:t>are justified as having been made on reasonable grounds.  Self Care</w:t>
      </w:r>
      <w:r w:rsidR="00DD1172">
        <w:t xml:space="preserve"> offered </w:t>
      </w:r>
      <w:r w:rsidR="00AD192E">
        <w:t>a lot of evidence in support of the proposition that its relevant products produce a</w:t>
      </w:r>
      <w:r w:rsidR="004605D0">
        <w:t xml:space="preserve"> noticeable and significant</w:t>
      </w:r>
      <w:r w:rsidR="00DD1172">
        <w:t xml:space="preserve"> </w:t>
      </w:r>
      <w:r w:rsidR="00AD192E">
        <w:t>reduction in the appearance of wrinkles.  Allergan failed to discharge the onus on it to prove that Self Care did not have reasonable grounds for making the representation</w:t>
      </w:r>
      <w:r w:rsidR="00DD1172">
        <w:t>s</w:t>
      </w:r>
      <w:r w:rsidR="00AD192E">
        <w:t xml:space="preserve">.  Since, in my evaluation, </w:t>
      </w:r>
      <w:r w:rsidR="00DD1172">
        <w:t xml:space="preserve">the achievement of </w:t>
      </w:r>
      <w:r w:rsidR="00AD192E">
        <w:t>a reduction in the appearance of wrinkles is a similar effect to the use of Botox, the representations were not misleading.</w:t>
      </w:r>
      <w:r w:rsidR="00DD1172">
        <w:t xml:space="preserve">  That is to say, as concluded above, the ordinary and reasonable consumer would not understand Botox to have a readily quantifiable effect on the appearance of wrinkles, and no evidence has been adduced to actually quantify that effect.</w:t>
      </w:r>
      <w:r w:rsidR="000C7F08">
        <w:t xml:space="preserve"> </w:t>
      </w:r>
      <w:r w:rsidR="006506D2">
        <w:t xml:space="preserve"> </w:t>
      </w:r>
      <w:r w:rsidR="000C7F08" w:rsidRPr="000C7F08">
        <w:t xml:space="preserve">Thus, the noticeable and not insignificant effect of Self Care’s products in reducing the </w:t>
      </w:r>
      <w:r w:rsidR="000C7F08" w:rsidRPr="000C7F08">
        <w:lastRenderedPageBreak/>
        <w:t>appearance of wrinkles is sufficiently similar to the effect of Botox in reducing the appearance of wrinkles that the representation that one is an alternative for the other is not misleading.</w:t>
      </w:r>
    </w:p>
    <w:p w14:paraId="2DD25A6D" w14:textId="0D9E9C8E" w:rsidR="00F27929" w:rsidRDefault="001E3C6B" w:rsidP="001E3C6B">
      <w:pPr>
        <w:pStyle w:val="ParaNumbering"/>
        <w:numPr>
          <w:ilvl w:val="0"/>
          <w:numId w:val="0"/>
        </w:numPr>
        <w:ind w:hanging="720"/>
      </w:pPr>
      <w:r>
        <w:rPr>
          <w:sz w:val="20"/>
        </w:rPr>
        <w:t>578</w:t>
      </w:r>
      <w:r>
        <w:rPr>
          <w:sz w:val="20"/>
        </w:rPr>
        <w:tab/>
      </w:r>
      <w:r w:rsidR="00F27929">
        <w:t>In the second category of representations (identified at [</w:t>
      </w:r>
      <w:r w:rsidR="002C19E0">
        <w:fldChar w:fldCharType="begin" w:fldLock="1"/>
      </w:r>
      <w:r w:rsidR="002C19E0">
        <w:instrText xml:space="preserve"> REF _Ref52371759 \r \h </w:instrText>
      </w:r>
      <w:r w:rsidR="002C19E0">
        <w:fldChar w:fldCharType="separate"/>
      </w:r>
      <w:r w:rsidR="00756FCE">
        <w:t>505</w:t>
      </w:r>
      <w:r w:rsidR="002C19E0">
        <w:fldChar w:fldCharType="end"/>
      </w:r>
      <w:r w:rsidR="00F27929">
        <w:t>]-[</w:t>
      </w:r>
      <w:r w:rsidR="002C19E0">
        <w:fldChar w:fldCharType="begin" w:fldLock="1"/>
      </w:r>
      <w:r w:rsidR="002C19E0">
        <w:instrText xml:space="preserve"> REF _Ref52371765 \r \h </w:instrText>
      </w:r>
      <w:r w:rsidR="002C19E0">
        <w:fldChar w:fldCharType="separate"/>
      </w:r>
      <w:r w:rsidR="00756FCE">
        <w:t>507</w:t>
      </w:r>
      <w:r w:rsidR="002C19E0">
        <w:fldChar w:fldCharType="end"/>
      </w:r>
      <w:r w:rsidR="00F27929">
        <w:t xml:space="preserve">] above), the statement that </w:t>
      </w:r>
      <w:r w:rsidR="00DC1EE5">
        <w:t>Protox</w:t>
      </w:r>
      <w:r w:rsidR="00F27929">
        <w:t xml:space="preserve"> “could produce a Botox-like visual effect” is also not misleading </w:t>
      </w:r>
      <w:r w:rsidR="002C19E0">
        <w:t xml:space="preserve">for </w:t>
      </w:r>
      <w:r w:rsidR="00F27929">
        <w:t xml:space="preserve">the same reasons.  The evidence establishes reasonable grounds for the representation that </w:t>
      </w:r>
      <w:r w:rsidR="00F30F28">
        <w:t xml:space="preserve">Protox </w:t>
      </w:r>
      <w:r w:rsidR="00F27929">
        <w:t xml:space="preserve">can produce a </w:t>
      </w:r>
      <w:r w:rsidR="00135FE9">
        <w:t xml:space="preserve">noticeable and significant </w:t>
      </w:r>
      <w:r w:rsidR="00F27929">
        <w:t xml:space="preserve">visual effect in the appearance of the reduction of wrinkles </w:t>
      </w:r>
      <w:r w:rsidR="00135FE9">
        <w:t xml:space="preserve">similar to </w:t>
      </w:r>
      <w:r w:rsidR="00F27929">
        <w:t>that produced by Botox</w:t>
      </w:r>
      <w:r w:rsidR="000C7F08">
        <w:t xml:space="preserve"> (although not quantifiably so)</w:t>
      </w:r>
      <w:r w:rsidR="00F27929">
        <w:t>.</w:t>
      </w:r>
    </w:p>
    <w:p w14:paraId="79E3C70F" w14:textId="15F5B147" w:rsidR="00F27929" w:rsidRDefault="001E3C6B" w:rsidP="001E3C6B">
      <w:pPr>
        <w:pStyle w:val="ParaNumbering"/>
        <w:numPr>
          <w:ilvl w:val="0"/>
          <w:numId w:val="0"/>
        </w:numPr>
        <w:ind w:hanging="720"/>
      </w:pPr>
      <w:r>
        <w:rPr>
          <w:sz w:val="20"/>
        </w:rPr>
        <w:t>579</w:t>
      </w:r>
      <w:r>
        <w:rPr>
          <w:sz w:val="20"/>
        </w:rPr>
        <w:tab/>
      </w:r>
      <w:r w:rsidR="00F27929">
        <w:t xml:space="preserve">However, also in the second category is the statement that the Night </w:t>
      </w:r>
      <w:r w:rsidR="000C7F08">
        <w:t xml:space="preserve">(tube) </w:t>
      </w:r>
      <w:r w:rsidR="00F27929">
        <w:t xml:space="preserve">product “delivers the results of a Botox injection in 4 weeks” which, as I have said, constitutes a representation that the product will deliver the same results as Botox in four weeks.  The </w:t>
      </w:r>
      <w:r w:rsidR="00C67133">
        <w:t xml:space="preserve">time period of Study 2 which tested the Active in the Night </w:t>
      </w:r>
      <w:r w:rsidR="006D287E">
        <w:t xml:space="preserve">(tube) </w:t>
      </w:r>
      <w:r w:rsidR="00D525B6">
        <w:t xml:space="preserve">product </w:t>
      </w:r>
      <w:r w:rsidR="00135FE9">
        <w:t>correspond</w:t>
      </w:r>
      <w:r w:rsidR="00477DC3">
        <w:t>s</w:t>
      </w:r>
      <w:r w:rsidR="00135FE9">
        <w:t xml:space="preserve"> to </w:t>
      </w:r>
      <w:r w:rsidR="00F27929">
        <w:t xml:space="preserve">the time period </w:t>
      </w:r>
      <w:r w:rsidR="00C67133">
        <w:t xml:space="preserve">of four weeks </w:t>
      </w:r>
      <w:r w:rsidR="00F27929">
        <w:t>referred to</w:t>
      </w:r>
      <w:r w:rsidR="00C67133">
        <w:t xml:space="preserve"> in the statement.</w:t>
      </w:r>
      <w:r w:rsidR="00F27929">
        <w:t xml:space="preserve"> </w:t>
      </w:r>
      <w:r w:rsidR="00C67133">
        <w:t xml:space="preserve"> </w:t>
      </w:r>
      <w:r w:rsidR="00436989">
        <w:t>That study</w:t>
      </w:r>
      <w:r w:rsidR="00F27929">
        <w:t xml:space="preserve"> do</w:t>
      </w:r>
      <w:r w:rsidR="00436989">
        <w:t>es</w:t>
      </w:r>
      <w:r w:rsidR="00F27929">
        <w:t xml:space="preserve"> not</w:t>
      </w:r>
      <w:r w:rsidR="00C67133">
        <w:t>, however,</w:t>
      </w:r>
      <w:r w:rsidR="00F27929">
        <w:t xml:space="preserve"> provide reasonable grounds for the representation that the product produces the same results as Botox.  </w:t>
      </w:r>
      <w:r w:rsidR="00477DC3">
        <w:t>There is no head-to-head study to compare the results of the two products, and although Study 2 quantifies the reduction in wrinkles over four weeks of use of a formulation containing Active A, there is no study which in a comparable way quantifies the efficacy of Botox over four weeks.</w:t>
      </w:r>
      <w:r w:rsidR="00F27929">
        <w:t xml:space="preserve">  Self Care has not sought to justify</w:t>
      </w:r>
      <w:r w:rsidR="00477DC3">
        <w:t xml:space="preserve"> the comparative </w:t>
      </w:r>
      <w:r w:rsidR="00F27929">
        <w:t>representation and it is not justified by the evidence.  The statement is therefore misleading within the meaning of s 29(1)(g) of the ACL.</w:t>
      </w:r>
    </w:p>
    <w:p w14:paraId="08EEA474" w14:textId="4B5BA5D5" w:rsidR="00C56D66" w:rsidRDefault="001E3C6B" w:rsidP="001E3C6B">
      <w:pPr>
        <w:pStyle w:val="ParaNumbering"/>
        <w:numPr>
          <w:ilvl w:val="0"/>
          <w:numId w:val="0"/>
        </w:numPr>
        <w:ind w:hanging="720"/>
      </w:pPr>
      <w:r>
        <w:rPr>
          <w:sz w:val="20"/>
        </w:rPr>
        <w:t>580</w:t>
      </w:r>
      <w:r>
        <w:rPr>
          <w:sz w:val="20"/>
        </w:rPr>
        <w:tab/>
      </w:r>
      <w:r w:rsidR="00F27929">
        <w:t>The third category of statements (identified at [</w:t>
      </w:r>
      <w:r w:rsidR="002C19E0">
        <w:fldChar w:fldCharType="begin" w:fldLock="1"/>
      </w:r>
      <w:r w:rsidR="002C19E0">
        <w:instrText xml:space="preserve"> REF _Ref52371893 \r \h </w:instrText>
      </w:r>
      <w:r w:rsidR="002C19E0">
        <w:fldChar w:fldCharType="separate"/>
      </w:r>
      <w:r w:rsidR="00756FCE">
        <w:t>508</w:t>
      </w:r>
      <w:r w:rsidR="002C19E0">
        <w:fldChar w:fldCharType="end"/>
      </w:r>
      <w:r w:rsidR="00F27929">
        <w:t>]</w:t>
      </w:r>
      <w:r w:rsidR="00297B1D">
        <w:t xml:space="preserve"> </w:t>
      </w:r>
      <w:r w:rsidR="00F27929">
        <w:t xml:space="preserve">above) is those that represent that the product in question prolongs or improves the look of Botox.  The studies provide an adequate foundation, and thus reasonable grounds, </w:t>
      </w:r>
      <w:r w:rsidR="00842D75">
        <w:t>f</w:t>
      </w:r>
      <w:r w:rsidR="00F27929">
        <w:t>or the statement</w:t>
      </w:r>
      <w:r w:rsidR="00842D75">
        <w:t>s</w:t>
      </w:r>
      <w:r w:rsidR="00F27929">
        <w:t xml:space="preserve"> with regard to </w:t>
      </w:r>
      <w:r w:rsidR="003A5DB0">
        <w:t>prolonging and</w:t>
      </w:r>
      <w:r w:rsidR="00F27929">
        <w:t xml:space="preserve"> improving </w:t>
      </w:r>
      <w:r w:rsidR="00842D75">
        <w:t xml:space="preserve">the </w:t>
      </w:r>
      <w:r w:rsidR="00F27929">
        <w:t>look</w:t>
      </w:r>
      <w:r w:rsidR="00842D75">
        <w:t xml:space="preserve"> of Botox</w:t>
      </w:r>
      <w:r w:rsidR="00F27929">
        <w:t xml:space="preserve">.  Once again, the representations are with regard to appearance.  Thus the fact that the underlying physiological effect of Botox is not prolonged by </w:t>
      </w:r>
      <w:r w:rsidR="005F1890">
        <w:t>Protox</w:t>
      </w:r>
      <w:r w:rsidR="00F27929">
        <w:t xml:space="preserve"> is not to the point.  </w:t>
      </w:r>
      <w:r w:rsidR="00297B1D">
        <w:t>The s</w:t>
      </w:r>
      <w:r w:rsidR="00F27929">
        <w:t xml:space="preserve">tudies show, albeit in an unexplained way, that the appearance in the reduction of wrinkles that is achieved by Botox is prolonged </w:t>
      </w:r>
      <w:r w:rsidR="00842D75">
        <w:t xml:space="preserve">and enhanced </w:t>
      </w:r>
      <w:r w:rsidR="00F27929">
        <w:t xml:space="preserve">by the use of </w:t>
      </w:r>
      <w:r w:rsidR="005F1890">
        <w:t>Protox.</w:t>
      </w:r>
    </w:p>
    <w:p w14:paraId="28631D93" w14:textId="7741633B" w:rsidR="00670752" w:rsidRDefault="001E3C6B" w:rsidP="00670752">
      <w:pPr>
        <w:pStyle w:val="Heading1"/>
      </w:pPr>
      <w:bookmarkStart w:id="139" w:name="_Ref54701621"/>
      <w:r>
        <w:rPr>
          <w:caps w:val="0"/>
        </w:rPr>
        <w:t>LOSS AND DAMAGE</w:t>
      </w:r>
      <w:bookmarkEnd w:id="139"/>
    </w:p>
    <w:p w14:paraId="7D72691D" w14:textId="4DCCF83A" w:rsidR="00670752" w:rsidRDefault="001E3C6B" w:rsidP="001E3C6B">
      <w:pPr>
        <w:pStyle w:val="ParaNumbering"/>
        <w:numPr>
          <w:ilvl w:val="0"/>
          <w:numId w:val="0"/>
        </w:numPr>
        <w:ind w:hanging="720"/>
      </w:pPr>
      <w:r>
        <w:rPr>
          <w:sz w:val="20"/>
        </w:rPr>
        <w:t>581</w:t>
      </w:r>
      <w:r>
        <w:rPr>
          <w:sz w:val="20"/>
        </w:rPr>
        <w:tab/>
      </w:r>
      <w:r w:rsidR="00670752">
        <w:t>As identified (at [</w:t>
      </w:r>
      <w:r w:rsidR="00842D75">
        <w:fldChar w:fldCharType="begin" w:fldLock="1"/>
      </w:r>
      <w:r w:rsidR="00842D75">
        <w:instrText xml:space="preserve"> REF _Ref52373200 \r \h </w:instrText>
      </w:r>
      <w:r w:rsidR="00842D75">
        <w:fldChar w:fldCharType="separate"/>
      </w:r>
      <w:r w:rsidR="00756FCE">
        <w:t>42</w:t>
      </w:r>
      <w:r w:rsidR="00842D75">
        <w:fldChar w:fldCharType="end"/>
      </w:r>
      <w:r w:rsidR="00670752">
        <w:t xml:space="preserve">] above), Allergan is required in this part of the case to establish at least one instance of loss or damage under each head of damage that it claims.  The quantification of those losses is separated out for later determination.  </w:t>
      </w:r>
    </w:p>
    <w:p w14:paraId="29378023" w14:textId="0E5AD5E9" w:rsidR="00670752" w:rsidRDefault="001E3C6B" w:rsidP="001E3C6B">
      <w:pPr>
        <w:pStyle w:val="ParaNumbering"/>
        <w:numPr>
          <w:ilvl w:val="0"/>
          <w:numId w:val="0"/>
        </w:numPr>
        <w:ind w:hanging="720"/>
      </w:pPr>
      <w:r>
        <w:rPr>
          <w:sz w:val="20"/>
        </w:rPr>
        <w:t>582</w:t>
      </w:r>
      <w:r>
        <w:rPr>
          <w:sz w:val="20"/>
        </w:rPr>
        <w:tab/>
      </w:r>
      <w:r w:rsidR="00670752">
        <w:t xml:space="preserve">In view of the fact that none of Allergan’s claims, whether as to trade mark infringement, misleading and deceptive conduct under the ACL </w:t>
      </w:r>
      <w:r w:rsidR="00297B1D">
        <w:t xml:space="preserve">(with one exception) </w:t>
      </w:r>
      <w:r w:rsidR="005F1890">
        <w:t xml:space="preserve">and passing </w:t>
      </w:r>
      <w:r w:rsidR="00670752">
        <w:t xml:space="preserve">off has </w:t>
      </w:r>
      <w:r w:rsidR="00670752">
        <w:lastRenderedPageBreak/>
        <w:t xml:space="preserve">succeeded, the question of loss and damage falls away.  The usual practice of a trial court is to decide all the issues, even those that strictly speaking do not arise because of prior findings, to guard against the possibility of the prior findings being held to be wrong and so as to enable a court on appeal to then dispose of all the issues and not to have to refer the matter back to the trial court.  That practice is, however, not a rigid requirement.  Where there is good reason not to take that course, it is appropriate not to do so but the reasons for not doing so should be explained.  See, for example, </w:t>
      </w:r>
      <w:r w:rsidR="00670752" w:rsidRPr="00AB1216">
        <w:rPr>
          <w:i/>
        </w:rPr>
        <w:t>Chief Commissioner of State Revenue v Adams Bidco Pty Ltd</w:t>
      </w:r>
      <w:r w:rsidR="00670752" w:rsidRPr="00AB1216">
        <w:t xml:space="preserve"> [2019] NSWCA 34 </w:t>
      </w:r>
      <w:r w:rsidR="00670752">
        <w:t xml:space="preserve">at [3] </w:t>
      </w:r>
      <w:r w:rsidR="00670752" w:rsidRPr="00AB1216">
        <w:t>per Leeming JA (White JA and Emmett AJA agreeing</w:t>
      </w:r>
      <w:r w:rsidR="00670752">
        <w:t>).</w:t>
      </w:r>
    </w:p>
    <w:p w14:paraId="513B8945" w14:textId="0FF6E924" w:rsidR="00670752" w:rsidRDefault="001E3C6B" w:rsidP="001E3C6B">
      <w:pPr>
        <w:pStyle w:val="ParaNumbering"/>
        <w:numPr>
          <w:ilvl w:val="0"/>
          <w:numId w:val="0"/>
        </w:numPr>
        <w:ind w:hanging="720"/>
      </w:pPr>
      <w:r>
        <w:rPr>
          <w:sz w:val="20"/>
        </w:rPr>
        <w:t>583</w:t>
      </w:r>
      <w:r>
        <w:rPr>
          <w:sz w:val="20"/>
        </w:rPr>
        <w:tab/>
      </w:r>
      <w:r w:rsidR="00670752">
        <w:t xml:space="preserve">In my view there is good reason not to separately identify whether an instance of loss or damage has been proved under each head of damage.  </w:t>
      </w:r>
      <w:r w:rsidR="00670752" w:rsidRPr="00EA0F56">
        <w:t>First</w:t>
      </w:r>
      <w:r w:rsidR="00670752">
        <w:t>, that exercise would involve addressing it i</w:t>
      </w:r>
      <w:r w:rsidR="00811918">
        <w:t>n</w:t>
      </w:r>
      <w:r w:rsidR="00670752">
        <w:t xml:space="preserve"> respect of each trade mark infringement that is asserted by Allergan, each asserted basis for passing off, and in respect of each affiliation representation and each efficacy representation.  That is a demanding exercise in circumstances where none of it or at least parts of it may prove to be entirely unnecessary.  </w:t>
      </w:r>
    </w:p>
    <w:p w14:paraId="740DEBA3" w14:textId="261BB4E1" w:rsidR="00670752" w:rsidRDefault="001E3C6B" w:rsidP="001E3C6B">
      <w:pPr>
        <w:pStyle w:val="ParaNumbering"/>
        <w:numPr>
          <w:ilvl w:val="0"/>
          <w:numId w:val="0"/>
        </w:numPr>
        <w:ind w:hanging="720"/>
      </w:pPr>
      <w:r>
        <w:rPr>
          <w:sz w:val="20"/>
        </w:rPr>
        <w:t>584</w:t>
      </w:r>
      <w:r>
        <w:rPr>
          <w:sz w:val="20"/>
        </w:rPr>
        <w:tab/>
      </w:r>
      <w:r w:rsidR="00670752" w:rsidRPr="00EA0F56">
        <w:t>Second</w:t>
      </w:r>
      <w:r w:rsidR="00670752">
        <w:t>, Allergan has indicated, on the assumption of success on liability, that it is likely to seek an account of profits in relation to its asserted trade mark infringements.  Moreover, in the event that it was found that no instance of loss or damage had been proved, it would almost certainly seek an account of profits.  The result is that even if I was to now conclude that no instance of loss or damage was proved on each of the separate bases on which the claims are put, and that was upheld on appeal, if my findings on liability were overturned there would still have to be a further hearing.  Therefore, not dealing now with loss and damage will not in any foreseeable circumstances avoid the need for a remittal and a further hearing in the event that my findings on liability are found to be wrong.</w:t>
      </w:r>
    </w:p>
    <w:p w14:paraId="5515C8AB" w14:textId="55C29D5C" w:rsidR="00670752" w:rsidRDefault="001E3C6B" w:rsidP="001E3C6B">
      <w:pPr>
        <w:pStyle w:val="ParaNumbering"/>
        <w:numPr>
          <w:ilvl w:val="0"/>
          <w:numId w:val="0"/>
        </w:numPr>
        <w:ind w:hanging="720"/>
      </w:pPr>
      <w:r>
        <w:rPr>
          <w:sz w:val="20"/>
        </w:rPr>
        <w:t>585</w:t>
      </w:r>
      <w:r>
        <w:rPr>
          <w:sz w:val="20"/>
        </w:rPr>
        <w:tab/>
      </w:r>
      <w:r w:rsidR="00670752" w:rsidRPr="00EA0F56">
        <w:t>Third</w:t>
      </w:r>
      <w:r w:rsidR="00670752" w:rsidRPr="00811918">
        <w:t>,</w:t>
      </w:r>
      <w:r w:rsidR="00670752">
        <w:t xml:space="preserve"> in the event that there is an appeal on some limited basis and the parties considered that it would be conducive to the whole case being disposed of by the court on appeal in the event that the appeal is otherwise successful, they could ask me to decide some limited question of loss and damage at this stage.  If persuaded, I could then decide that question in time for it also to be dealt with in the appeal.</w:t>
      </w:r>
    </w:p>
    <w:p w14:paraId="3FC03D16" w14:textId="5555C064" w:rsidR="00670752" w:rsidRDefault="001E3C6B" w:rsidP="001E3C6B">
      <w:pPr>
        <w:pStyle w:val="ParaNumbering"/>
        <w:numPr>
          <w:ilvl w:val="0"/>
          <w:numId w:val="0"/>
        </w:numPr>
        <w:ind w:hanging="720"/>
      </w:pPr>
      <w:r>
        <w:rPr>
          <w:sz w:val="20"/>
        </w:rPr>
        <w:t>586</w:t>
      </w:r>
      <w:r>
        <w:rPr>
          <w:sz w:val="20"/>
        </w:rPr>
        <w:tab/>
      </w:r>
      <w:r w:rsidR="00670752">
        <w:t>In the circumstances, I have decided not to make any further decision with respect to loss and damage at this stage.</w:t>
      </w:r>
    </w:p>
    <w:p w14:paraId="5118EB38" w14:textId="384F4D50" w:rsidR="00477DC3" w:rsidRDefault="001E3C6B" w:rsidP="001E3C6B">
      <w:pPr>
        <w:pStyle w:val="ParaNumbering"/>
        <w:numPr>
          <w:ilvl w:val="0"/>
          <w:numId w:val="0"/>
        </w:numPr>
        <w:ind w:hanging="720"/>
      </w:pPr>
      <w:r>
        <w:rPr>
          <w:sz w:val="20"/>
        </w:rPr>
        <w:lastRenderedPageBreak/>
        <w:t>587</w:t>
      </w:r>
      <w:r>
        <w:rPr>
          <w:sz w:val="20"/>
        </w:rPr>
        <w:tab/>
      </w:r>
      <w:r w:rsidR="00477DC3">
        <w:t>The exception is the misleading statement with regard to the results of Night (tube) after four weeks being the same as Botox.  The ACL claim in relation to that statement succeeds.  I accept the submission that it can be inferred that someone somewhere is likely to have not used Botox, or to have delayed using Botox, because of that statement.  I am accordingly satisfied that this claim can properly proceed to the quantification of damages, if Allergan elects to follow that course.</w:t>
      </w:r>
    </w:p>
    <w:p w14:paraId="4CF43D39" w14:textId="6809E167" w:rsidR="00670752" w:rsidRDefault="001E3C6B" w:rsidP="00670752">
      <w:pPr>
        <w:pStyle w:val="Heading1"/>
      </w:pPr>
      <w:bookmarkStart w:id="140" w:name="_Ref54701622"/>
      <w:r>
        <w:rPr>
          <w:caps w:val="0"/>
        </w:rPr>
        <w:t>LIABILITY OF MS AMOROSO</w:t>
      </w:r>
      <w:bookmarkEnd w:id="140"/>
    </w:p>
    <w:p w14:paraId="5F217ECE" w14:textId="2092BC52" w:rsidR="00670752" w:rsidRDefault="001E3C6B" w:rsidP="001E3C6B">
      <w:pPr>
        <w:pStyle w:val="ParaNumbering"/>
        <w:numPr>
          <w:ilvl w:val="0"/>
          <w:numId w:val="0"/>
        </w:numPr>
        <w:ind w:hanging="720"/>
      </w:pPr>
      <w:r>
        <w:rPr>
          <w:sz w:val="20"/>
        </w:rPr>
        <w:t>588</w:t>
      </w:r>
      <w:r>
        <w:rPr>
          <w:sz w:val="20"/>
        </w:rPr>
        <w:tab/>
      </w:r>
      <w:r w:rsidR="005F1890">
        <w:t>Allergan pleads</w:t>
      </w:r>
      <w:r w:rsidR="00670752">
        <w:t xml:space="preserve"> that since 24 November 2008, Ms Amoroso has been the sole director and secretary of Self Care IP and the person responsible for the day-to-day decision-making and management of Self Care IP</w:t>
      </w:r>
      <w:r w:rsidR="00A1589C">
        <w:t>.</w:t>
      </w:r>
      <w:r w:rsidR="00670752">
        <w:t xml:space="preserve"> </w:t>
      </w:r>
      <w:r w:rsidR="00A1589C">
        <w:t xml:space="preserve"> Further, Ms Amoroso </w:t>
      </w:r>
      <w:r w:rsidR="00670752">
        <w:t>directed and procured the business dealings and affairs of Self Care IP.  That was all admitte</w:t>
      </w:r>
      <w:r w:rsidR="00FB7A19">
        <w:t>d by Self Care and Ms Amoroso.</w:t>
      </w:r>
    </w:p>
    <w:p w14:paraId="230A8E1D" w14:textId="5C9378EB" w:rsidR="00670752" w:rsidRDefault="001E3C6B" w:rsidP="001E3C6B">
      <w:pPr>
        <w:pStyle w:val="ParaNumbering"/>
        <w:numPr>
          <w:ilvl w:val="0"/>
          <w:numId w:val="0"/>
        </w:numPr>
        <w:ind w:hanging="720"/>
      </w:pPr>
      <w:r>
        <w:rPr>
          <w:sz w:val="20"/>
        </w:rPr>
        <w:t>589</w:t>
      </w:r>
      <w:r>
        <w:rPr>
          <w:sz w:val="20"/>
        </w:rPr>
        <w:tab/>
      </w:r>
      <w:r w:rsidR="005F1890">
        <w:t>Allergan also pleads</w:t>
      </w:r>
      <w:r w:rsidR="00670752">
        <w:t xml:space="preserve"> that since 14 July 2008, Ms Amoroso has been the sole director and secretary of Self Care Corp and the person responsible for the day-to-day decision-making and management of Self Care Corp</w:t>
      </w:r>
      <w:r w:rsidR="00811918">
        <w:t>.</w:t>
      </w:r>
      <w:r w:rsidR="00670752">
        <w:t xml:space="preserve"> </w:t>
      </w:r>
      <w:r w:rsidR="00811918">
        <w:t xml:space="preserve"> Further, Ms Amoroso </w:t>
      </w:r>
      <w:r w:rsidR="00670752">
        <w:t>directed and procured the business dealings and affairs of Self Care Corp.  Save that Ms Amoroso was the sole director and secretary as pleaded, the other matters in respect of Self Care Corp were not admitted on the basis that they are unclear.</w:t>
      </w:r>
    </w:p>
    <w:p w14:paraId="66FAA9E0" w14:textId="4AF60E68" w:rsidR="00670752" w:rsidRDefault="001E3C6B" w:rsidP="001E3C6B">
      <w:pPr>
        <w:pStyle w:val="ParaNumbering"/>
        <w:numPr>
          <w:ilvl w:val="0"/>
          <w:numId w:val="0"/>
        </w:numPr>
        <w:ind w:hanging="720"/>
      </w:pPr>
      <w:r>
        <w:rPr>
          <w:sz w:val="20"/>
        </w:rPr>
        <w:t>590</w:t>
      </w:r>
      <w:r>
        <w:rPr>
          <w:sz w:val="20"/>
        </w:rPr>
        <w:tab/>
      </w:r>
      <w:r w:rsidR="00670752">
        <w:t>On the strength of the allegations pleaded in the two preced</w:t>
      </w:r>
      <w:r w:rsidR="005F1890">
        <w:t>ing paragraphs, Allergan pleads</w:t>
      </w:r>
      <w:r w:rsidR="00670752">
        <w:t xml:space="preserve"> three separate bases for the personal l</w:t>
      </w:r>
      <w:r w:rsidR="00FB7A19">
        <w:t>iability of Ms Amoroso, namely:</w:t>
      </w:r>
    </w:p>
    <w:p w14:paraId="3953F12F" w14:textId="2F32CD2D" w:rsidR="00670752" w:rsidRDefault="001E3C6B" w:rsidP="001E3C6B">
      <w:pPr>
        <w:pStyle w:val="ListNo1"/>
        <w:numPr>
          <w:ilvl w:val="0"/>
          <w:numId w:val="0"/>
        </w:numPr>
        <w:tabs>
          <w:tab w:val="left" w:pos="720"/>
        </w:tabs>
        <w:ind w:left="720" w:hanging="720"/>
      </w:pPr>
      <w:r>
        <w:t>(1)</w:t>
      </w:r>
      <w:r>
        <w:tab/>
      </w:r>
      <w:r w:rsidR="00670752">
        <w:t xml:space="preserve">Ms Amoroso infringed the </w:t>
      </w:r>
      <w:r w:rsidR="00ED3FB0">
        <w:t xml:space="preserve">BOTOX </w:t>
      </w:r>
      <w:r w:rsidR="00670752">
        <w:t xml:space="preserve">marks by having authorised the infringing acts of each of </w:t>
      </w:r>
      <w:r w:rsidR="005F1890">
        <w:t>Self Care IP and Self Care Corp</w:t>
      </w:r>
      <w:r w:rsidR="00670752">
        <w:t xml:space="preserve"> within the meaning of s 20(1)(b) of the TM Act;</w:t>
      </w:r>
    </w:p>
    <w:p w14:paraId="645866BF" w14:textId="0478F3EF" w:rsidR="00670752" w:rsidRDefault="001E3C6B" w:rsidP="001E3C6B">
      <w:pPr>
        <w:pStyle w:val="ListNo1"/>
        <w:numPr>
          <w:ilvl w:val="0"/>
          <w:numId w:val="0"/>
        </w:numPr>
        <w:tabs>
          <w:tab w:val="left" w:pos="720"/>
        </w:tabs>
        <w:ind w:left="720" w:hanging="720"/>
      </w:pPr>
      <w:r>
        <w:t>(2)</w:t>
      </w:r>
      <w:r>
        <w:tab/>
      </w:r>
      <w:r w:rsidR="00670752">
        <w:t xml:space="preserve">Ms Amoroso directed, procured or entered into a common design with Self Care IP and Self Care Corp in their acts of infringement of the </w:t>
      </w:r>
      <w:r w:rsidR="00ED3FB0">
        <w:t xml:space="preserve">BOTOX </w:t>
      </w:r>
      <w:r w:rsidR="00670752">
        <w:t>marks pursuant to s 120(1) and/or s 120(2) of the TM Act;</w:t>
      </w:r>
      <w:r w:rsidR="00690317">
        <w:t xml:space="preserve"> and</w:t>
      </w:r>
    </w:p>
    <w:p w14:paraId="2E6AA2F3" w14:textId="0225F01B" w:rsidR="00670752" w:rsidRDefault="001E3C6B" w:rsidP="001E3C6B">
      <w:pPr>
        <w:pStyle w:val="ListNo1"/>
        <w:numPr>
          <w:ilvl w:val="0"/>
          <w:numId w:val="0"/>
        </w:numPr>
        <w:tabs>
          <w:tab w:val="left" w:pos="720"/>
        </w:tabs>
        <w:ind w:left="720" w:hanging="720"/>
      </w:pPr>
      <w:r>
        <w:t>(3)</w:t>
      </w:r>
      <w:r>
        <w:tab/>
      </w:r>
      <w:r w:rsidR="00670752">
        <w:t>Ms Amoroso:</w:t>
      </w:r>
    </w:p>
    <w:p w14:paraId="4BFA1DE4" w14:textId="1A2114C1" w:rsidR="00670752" w:rsidRDefault="001E3C6B" w:rsidP="001E3C6B">
      <w:pPr>
        <w:pStyle w:val="ListNo2"/>
        <w:numPr>
          <w:ilvl w:val="0"/>
          <w:numId w:val="0"/>
        </w:numPr>
        <w:tabs>
          <w:tab w:val="left" w:pos="1440"/>
        </w:tabs>
        <w:ind w:left="1440" w:hanging="720"/>
      </w:pPr>
      <w:r>
        <w:t>(a)</w:t>
      </w:r>
      <w:r>
        <w:tab/>
      </w:r>
      <w:r w:rsidR="00670752">
        <w:t xml:space="preserve">is a person who aided, abetted, counselled or procured the conduct of Self Care IP and Self Care Corp in their contravention of ss 18, 29(1)(a), 29(1)(g) and 29(1)(h) of the ACL, within the meaning of s 75B of the </w:t>
      </w:r>
      <w:r w:rsidR="00670752" w:rsidRPr="00604DA4">
        <w:rPr>
          <w:i/>
        </w:rPr>
        <w:t xml:space="preserve">Competition and Consumer Act 2010 </w:t>
      </w:r>
      <w:r w:rsidR="00670752">
        <w:t>(Cth);</w:t>
      </w:r>
    </w:p>
    <w:p w14:paraId="555996F5" w14:textId="503847A3" w:rsidR="00670752" w:rsidRDefault="001E3C6B" w:rsidP="001E3C6B">
      <w:pPr>
        <w:pStyle w:val="ListNo2"/>
        <w:numPr>
          <w:ilvl w:val="0"/>
          <w:numId w:val="0"/>
        </w:numPr>
        <w:tabs>
          <w:tab w:val="left" w:pos="1440"/>
        </w:tabs>
        <w:ind w:left="1440" w:hanging="720"/>
      </w:pPr>
      <w:r>
        <w:lastRenderedPageBreak/>
        <w:t>(b)</w:t>
      </w:r>
      <w:r>
        <w:tab/>
      </w:r>
      <w:r w:rsidR="00670752">
        <w:t>directed or procured or entered into a common design with Self Care IP and Self Care Corp in engaging in the tort of passing off; and</w:t>
      </w:r>
    </w:p>
    <w:p w14:paraId="69011AC1" w14:textId="6F66A797" w:rsidR="00670752" w:rsidRDefault="001E3C6B" w:rsidP="001E3C6B">
      <w:pPr>
        <w:pStyle w:val="ListNo2"/>
        <w:numPr>
          <w:ilvl w:val="0"/>
          <w:numId w:val="0"/>
        </w:numPr>
        <w:tabs>
          <w:tab w:val="left" w:pos="1440"/>
        </w:tabs>
        <w:ind w:left="1440" w:hanging="720"/>
      </w:pPr>
      <w:r>
        <w:t>(c)</w:t>
      </w:r>
      <w:r>
        <w:tab/>
      </w:r>
      <w:r w:rsidR="00670752">
        <w:t>is a joint tortfeasor with Self Care IP and Self Care Corp in engaging in the tort of passing off.</w:t>
      </w:r>
    </w:p>
    <w:p w14:paraId="6A6C5193" w14:textId="08639563" w:rsidR="00670752" w:rsidRDefault="001E3C6B" w:rsidP="001E3C6B">
      <w:pPr>
        <w:pStyle w:val="ParaNumbering"/>
        <w:numPr>
          <w:ilvl w:val="0"/>
          <w:numId w:val="0"/>
        </w:numPr>
        <w:ind w:hanging="720"/>
      </w:pPr>
      <w:r>
        <w:rPr>
          <w:sz w:val="20"/>
        </w:rPr>
        <w:t>591</w:t>
      </w:r>
      <w:r>
        <w:rPr>
          <w:sz w:val="20"/>
        </w:rPr>
        <w:tab/>
      </w:r>
      <w:r w:rsidR="00670752">
        <w:t>Needless to say, the matters pleaded by Allergan in the preceding paragraph were all denied by Self Care and Ms Amoroso.</w:t>
      </w:r>
    </w:p>
    <w:p w14:paraId="1F391610" w14:textId="2AB54D4F" w:rsidR="00670752" w:rsidRDefault="001E3C6B" w:rsidP="001E3C6B">
      <w:pPr>
        <w:pStyle w:val="ParaNumbering"/>
        <w:numPr>
          <w:ilvl w:val="0"/>
          <w:numId w:val="0"/>
        </w:numPr>
        <w:ind w:hanging="720"/>
      </w:pPr>
      <w:r>
        <w:rPr>
          <w:sz w:val="20"/>
        </w:rPr>
        <w:t>592</w:t>
      </w:r>
      <w:r>
        <w:rPr>
          <w:sz w:val="20"/>
        </w:rPr>
        <w:tab/>
      </w:r>
      <w:r w:rsidR="00670752">
        <w:t xml:space="preserve">Before going any further, it can be observed that the pleaded basis for Ms Amoroso’s personal liability for any contravention of the ACL by the Self Care companies is unsustainable.  That is because it is pleaded to rest on s 75B of the </w:t>
      </w:r>
      <w:r w:rsidR="00670752" w:rsidRPr="00604DA4">
        <w:rPr>
          <w:i/>
        </w:rPr>
        <w:t>Competition and Consumer Act</w:t>
      </w:r>
      <w:r w:rsidR="00690317">
        <w:rPr>
          <w:i/>
        </w:rPr>
        <w:t xml:space="preserve"> 2010 </w:t>
      </w:r>
      <w:r w:rsidR="00690317">
        <w:t>(Cth)</w:t>
      </w:r>
      <w:r w:rsidR="00670752">
        <w:t>, but that provision does not apply to Pt XI Div 2</w:t>
      </w:r>
      <w:r w:rsidR="00690317">
        <w:t xml:space="preserve"> of</w:t>
      </w:r>
      <w:r w:rsidR="00670752">
        <w:t xml:space="preserve"> the Act and hence to the ACL.  It may be that the pleader had in mind s 236 of the ACL read with para (a) of the definition of “involved” in s 2, i.e.</w:t>
      </w:r>
      <w:r w:rsidR="00690317">
        <w:t>,</w:t>
      </w:r>
      <w:r w:rsidR="00670752">
        <w:t xml:space="preserve"> a person who “has aided, abetted, counselled or procured the contravention”.  Allergan </w:t>
      </w:r>
      <w:r w:rsidR="00690317">
        <w:t>does</w:t>
      </w:r>
      <w:r w:rsidR="00670752">
        <w:t xml:space="preserve"> not plead or rely on the wording in para (c) of the definition, i.e.</w:t>
      </w:r>
      <w:r w:rsidR="00A1388B">
        <w:t>,</w:t>
      </w:r>
      <w:r w:rsidR="00670752">
        <w:t xml:space="preserve"> a person who “</w:t>
      </w:r>
      <w:r w:rsidR="00670752" w:rsidRPr="00CB61D7">
        <w:t>has been in any way, directly or indirectly, knowingly concerned in, or party to, the contravention</w:t>
      </w:r>
      <w:r w:rsidR="00670752">
        <w:t xml:space="preserve">”.  </w:t>
      </w:r>
    </w:p>
    <w:p w14:paraId="6C1018B6" w14:textId="5226847B" w:rsidR="00670752" w:rsidRDefault="001E3C6B" w:rsidP="001E3C6B">
      <w:pPr>
        <w:pStyle w:val="ParaNumbering"/>
        <w:numPr>
          <w:ilvl w:val="0"/>
          <w:numId w:val="0"/>
        </w:numPr>
        <w:ind w:hanging="720"/>
      </w:pPr>
      <w:r>
        <w:rPr>
          <w:sz w:val="20"/>
        </w:rPr>
        <w:t>593</w:t>
      </w:r>
      <w:r>
        <w:rPr>
          <w:sz w:val="20"/>
        </w:rPr>
        <w:tab/>
      </w:r>
      <w:r w:rsidR="00670752">
        <w:t xml:space="preserve">In any event, Allergan </w:t>
      </w:r>
      <w:r w:rsidR="002B79F4">
        <w:t>does</w:t>
      </w:r>
      <w:r w:rsidR="00670752">
        <w:t xml:space="preserve"> not make any submissions with regard to Ms Amoroso having been knowingly concerned in the contraventions or having aided or abetted the companies in them.  The submissions </w:t>
      </w:r>
      <w:r w:rsidR="002B79F4">
        <w:t>are</w:t>
      </w:r>
      <w:r w:rsidR="00670752">
        <w:t xml:space="preserve"> put on a narrower basis.</w:t>
      </w:r>
    </w:p>
    <w:p w14:paraId="4090E119" w14:textId="479249D0" w:rsidR="00670752" w:rsidRDefault="001E3C6B" w:rsidP="001E3C6B">
      <w:pPr>
        <w:pStyle w:val="ParaNumbering"/>
        <w:numPr>
          <w:ilvl w:val="0"/>
          <w:numId w:val="0"/>
        </w:numPr>
        <w:ind w:hanging="720"/>
      </w:pPr>
      <w:r>
        <w:rPr>
          <w:sz w:val="20"/>
        </w:rPr>
        <w:t>594</w:t>
      </w:r>
      <w:r>
        <w:rPr>
          <w:sz w:val="20"/>
        </w:rPr>
        <w:tab/>
      </w:r>
      <w:r w:rsidR="00670752">
        <w:t xml:space="preserve">It </w:t>
      </w:r>
      <w:r w:rsidR="00350521">
        <w:t>i</w:t>
      </w:r>
      <w:r w:rsidR="00670752">
        <w:t xml:space="preserve">s submitted on behalf of Allergan that Ms Amoroso was so closely involved with the development, the branding, the signing-off and the way in which the products went to market, and that she exercised ultimate decision-making control over the companies, that she is jointly liable with the companies for their infringing conduct.  It </w:t>
      </w:r>
      <w:r w:rsidR="00350521">
        <w:t xml:space="preserve">is </w:t>
      </w:r>
      <w:r w:rsidR="00670752">
        <w:t>submitted that Ms Amoroso had a close personal involvement in the infringing acts of the company to the extent that she went beyond simply acting in her capacity as director,</w:t>
      </w:r>
      <w:r w:rsidR="00FB7A19">
        <w:t xml:space="preserve"> and made the conduct her own.</w:t>
      </w:r>
    </w:p>
    <w:p w14:paraId="111853FA" w14:textId="11215A4F" w:rsidR="00670752" w:rsidRDefault="001E3C6B" w:rsidP="001E3C6B">
      <w:pPr>
        <w:pStyle w:val="ParaNumbering"/>
        <w:numPr>
          <w:ilvl w:val="0"/>
          <w:numId w:val="0"/>
        </w:numPr>
        <w:ind w:hanging="720"/>
      </w:pPr>
      <w:r>
        <w:rPr>
          <w:sz w:val="20"/>
        </w:rPr>
        <w:t>595</w:t>
      </w:r>
      <w:r>
        <w:rPr>
          <w:sz w:val="20"/>
        </w:rPr>
        <w:tab/>
      </w:r>
      <w:r w:rsidR="00670752">
        <w:t xml:space="preserve">Allergan thus </w:t>
      </w:r>
      <w:r w:rsidR="00350521">
        <w:t>relies</w:t>
      </w:r>
      <w:r w:rsidR="00670752">
        <w:t xml:space="preserve"> on a test of “close personal involvement” in the infringing conduct by the director of the company as expressed by Davies J in </w:t>
      </w:r>
      <w:r w:rsidR="00670752" w:rsidRPr="00B43FE9">
        <w:rPr>
          <w:i/>
        </w:rPr>
        <w:t>Insight Radiology Pty Ltd v Insight Clinical Imaging Pty Ltd</w:t>
      </w:r>
      <w:r w:rsidR="00670752">
        <w:t xml:space="preserve"> [2016] FCA 1406; 122 IPR 232 at [153].  That phraseology was in turn drawn from that of Besanko J in </w:t>
      </w:r>
      <w:r w:rsidR="00670752" w:rsidRPr="00B43FE9">
        <w:rPr>
          <w:b/>
          <w:i/>
          <w:iCs/>
        </w:rPr>
        <w:t>Keller</w:t>
      </w:r>
      <w:r w:rsidR="00670752" w:rsidRPr="00B43FE9">
        <w:rPr>
          <w:i/>
          <w:iCs/>
        </w:rPr>
        <w:t xml:space="preserve"> v LED Technologies Pty Ltd </w:t>
      </w:r>
      <w:r w:rsidR="00670752" w:rsidRPr="00B43FE9">
        <w:t>[2010] FCAFC 55</w:t>
      </w:r>
      <w:r w:rsidR="00670752">
        <w:t>;</w:t>
      </w:r>
      <w:r w:rsidR="00670752" w:rsidRPr="00B43FE9">
        <w:t xml:space="preserve"> 185 FCR 449</w:t>
      </w:r>
      <w:r w:rsidR="00670752">
        <w:t xml:space="preserve"> at [291].</w:t>
      </w:r>
    </w:p>
    <w:p w14:paraId="6D5A53C4" w14:textId="2AC98C8A" w:rsidR="00670752" w:rsidRPr="001E6ABC" w:rsidRDefault="001E3C6B" w:rsidP="001E3C6B">
      <w:pPr>
        <w:pStyle w:val="ParaNumbering"/>
        <w:numPr>
          <w:ilvl w:val="0"/>
          <w:numId w:val="0"/>
        </w:numPr>
        <w:ind w:hanging="720"/>
      </w:pPr>
      <w:r w:rsidRPr="001E6ABC">
        <w:rPr>
          <w:sz w:val="20"/>
        </w:rPr>
        <w:t>596</w:t>
      </w:r>
      <w:r w:rsidRPr="001E6ABC">
        <w:rPr>
          <w:sz w:val="20"/>
        </w:rPr>
        <w:tab/>
      </w:r>
      <w:r w:rsidR="00670752">
        <w:t xml:space="preserve">Also in </w:t>
      </w:r>
      <w:r w:rsidR="00670752" w:rsidRPr="000321B5">
        <w:rPr>
          <w:i/>
        </w:rPr>
        <w:t>Keller</w:t>
      </w:r>
      <w:r w:rsidR="00670752">
        <w:t xml:space="preserve">, Emmett J (at [83] and [84]) said that to be liable as a joint tortfeasor with the company the director must have done something more than acting as a director and been involved in invading the applicant’s rights.  Jessup J said (at [404]) that the director must be </w:t>
      </w:r>
      <w:r w:rsidR="00670752">
        <w:lastRenderedPageBreak/>
        <w:t>effectively standing apart from the company and directing or procuring it as a separate entity and that there must be a sense in which the director is using the company as the instrument of his or her wrong, and (at [405]) that the director must have made the tort his or her own.</w:t>
      </w:r>
    </w:p>
    <w:p w14:paraId="3D4C7E04" w14:textId="4EE7B9A3" w:rsidR="00670752" w:rsidRDefault="001E3C6B" w:rsidP="001E3C6B">
      <w:pPr>
        <w:pStyle w:val="ParaNumbering"/>
        <w:numPr>
          <w:ilvl w:val="0"/>
          <w:numId w:val="0"/>
        </w:numPr>
        <w:ind w:hanging="720"/>
      </w:pPr>
      <w:r>
        <w:rPr>
          <w:sz w:val="20"/>
        </w:rPr>
        <w:t>597</w:t>
      </w:r>
      <w:r>
        <w:rPr>
          <w:sz w:val="20"/>
        </w:rPr>
        <w:tab/>
      </w:r>
      <w:r w:rsidR="00670752">
        <w:t xml:space="preserve">More recently, the Full Court has spoken with one voice in </w:t>
      </w:r>
      <w:r w:rsidR="00670752" w:rsidRPr="00B43FE9">
        <w:rPr>
          <w:i/>
          <w:iCs/>
        </w:rPr>
        <w:t xml:space="preserve">JR Consulting &amp; Drafting Pty Ltd v Cummings </w:t>
      </w:r>
      <w:r w:rsidR="00670752" w:rsidRPr="00B43FE9">
        <w:t>[2016] FCAFC 20</w:t>
      </w:r>
      <w:r w:rsidR="00670752">
        <w:t>;</w:t>
      </w:r>
      <w:r w:rsidR="00670752" w:rsidRPr="00B43FE9">
        <w:t xml:space="preserve"> 329</w:t>
      </w:r>
      <w:r w:rsidR="00670752">
        <w:t xml:space="preserve"> ALR 625 per Bennett, Greenwood and Besanko JJ after considering a number of authorities including </w:t>
      </w:r>
      <w:r w:rsidR="00670752" w:rsidRPr="00B43FE9">
        <w:rPr>
          <w:i/>
        </w:rPr>
        <w:t>Keller</w:t>
      </w:r>
      <w:r w:rsidR="00670752">
        <w:t xml:space="preserve">.  The Court stated (at [347]) that unless the director is standing apart from the company there will not be concurrence in the act but merely a coincidence of roles in which the only true actor is the company itself, and that “the director must be shown to have directed or procured the tort and the conduct must, clearly enough, </w:t>
      </w:r>
      <w:r w:rsidR="00670752" w:rsidRPr="00B43FE9">
        <w:rPr>
          <w:i/>
        </w:rPr>
        <w:t>go beyond</w:t>
      </w:r>
      <w:r w:rsidR="00670752">
        <w:t xml:space="preserve"> causing the company to take a commercial or business course of action or directing the company’s decision-making where both steps are the good faith and reasonable expression of the discharge of the duties and obligations of the director, as a director” (emphasis in the original)</w:t>
      </w:r>
      <w:r w:rsidR="00690317">
        <w:t>: at [350]</w:t>
      </w:r>
      <w:r w:rsidR="00670752">
        <w:t>.</w:t>
      </w:r>
    </w:p>
    <w:p w14:paraId="3A8B2403" w14:textId="6F91FEC5" w:rsidR="00670752" w:rsidRDefault="001E3C6B" w:rsidP="001E3C6B">
      <w:pPr>
        <w:pStyle w:val="ParaNumbering"/>
        <w:numPr>
          <w:ilvl w:val="0"/>
          <w:numId w:val="0"/>
        </w:numPr>
        <w:ind w:hanging="720"/>
      </w:pPr>
      <w:r>
        <w:rPr>
          <w:sz w:val="20"/>
        </w:rPr>
        <w:t>598</w:t>
      </w:r>
      <w:r>
        <w:rPr>
          <w:sz w:val="20"/>
        </w:rPr>
        <w:tab/>
      </w:r>
      <w:r w:rsidR="00670752">
        <w:t>Ms Amoroso’s role in relation to the impugned conduct of the companies can relevantly be summarised as follows.</w:t>
      </w:r>
    </w:p>
    <w:p w14:paraId="06F168A6" w14:textId="02937F94" w:rsidR="00670752" w:rsidRDefault="001E3C6B" w:rsidP="001E3C6B">
      <w:pPr>
        <w:pStyle w:val="ParaNumbering"/>
        <w:numPr>
          <w:ilvl w:val="0"/>
          <w:numId w:val="0"/>
        </w:numPr>
        <w:ind w:hanging="720"/>
      </w:pPr>
      <w:r>
        <w:rPr>
          <w:sz w:val="20"/>
        </w:rPr>
        <w:t>599</w:t>
      </w:r>
      <w:r>
        <w:rPr>
          <w:sz w:val="20"/>
        </w:rPr>
        <w:tab/>
      </w:r>
      <w:r w:rsidR="00670752">
        <w:t>Ms Amoroso is the sole director and secretary of both the Self Care companies.</w:t>
      </w:r>
      <w:r w:rsidR="00FB7A19">
        <w:t xml:space="preserve"> </w:t>
      </w:r>
      <w:r w:rsidR="00670752">
        <w:t xml:space="preserve"> She has been the sole director of the companies since 2008.  The shares of both companies are held on trust by Juventas Group Pty Ltd, a company in respect of which Ms Amoroso has been the sole director, secretary and shareholder since 15 May 2007, as trustee for the Artemis Trust.  The Artemis Trust is a family trust which exists for the benefit of various of Ms Amoroso’s fam</w:t>
      </w:r>
      <w:r w:rsidR="00FB7A19">
        <w:t>ily members, including herself.</w:t>
      </w:r>
    </w:p>
    <w:p w14:paraId="76486ECF" w14:textId="6111CA87" w:rsidR="00670752" w:rsidRDefault="001E3C6B" w:rsidP="001E3C6B">
      <w:pPr>
        <w:pStyle w:val="ParaNumbering"/>
        <w:numPr>
          <w:ilvl w:val="0"/>
          <w:numId w:val="0"/>
        </w:numPr>
        <w:ind w:hanging="720"/>
      </w:pPr>
      <w:r>
        <w:rPr>
          <w:sz w:val="20"/>
        </w:rPr>
        <w:t>600</w:t>
      </w:r>
      <w:r>
        <w:rPr>
          <w:sz w:val="20"/>
        </w:rPr>
        <w:tab/>
      </w:r>
      <w:r w:rsidR="00670752">
        <w:t>Ms Amoroso incorporated Self Care IP.  In her role as director of that company she decided whether ownership of a trade mark used by Self Care</w:t>
      </w:r>
      <w:r w:rsidR="008148CF">
        <w:t xml:space="preserve"> Corp</w:t>
      </w:r>
      <w:r w:rsidR="00670752">
        <w:t xml:space="preserve"> would be owned by </w:t>
      </w:r>
      <w:r w:rsidR="008148CF">
        <w:t xml:space="preserve">Self </w:t>
      </w:r>
      <w:r w:rsidR="00FB7A19">
        <w:t>Care IP.</w:t>
      </w:r>
    </w:p>
    <w:p w14:paraId="53CFF87A" w14:textId="490F0A7A" w:rsidR="00670752" w:rsidRDefault="001E3C6B" w:rsidP="001E3C6B">
      <w:pPr>
        <w:pStyle w:val="ParaNumbering"/>
        <w:numPr>
          <w:ilvl w:val="0"/>
          <w:numId w:val="0"/>
        </w:numPr>
        <w:ind w:hanging="720"/>
      </w:pPr>
      <w:r>
        <w:rPr>
          <w:sz w:val="20"/>
        </w:rPr>
        <w:t>601</w:t>
      </w:r>
      <w:r>
        <w:rPr>
          <w:sz w:val="20"/>
        </w:rPr>
        <w:tab/>
      </w:r>
      <w:r w:rsidR="00670752">
        <w:t>Ms Amoroso has been the CEO of Self Care Corp since mid-2013.  That company employs around 17 to 19 people at any given time.  As part of her role as CEO of Self Care Corp and director of both companies, Ms Amoroso is ultimately responsible for the operations of Self Care.  Despite not being involved in every decision and wishing to empower her staff, Ms Amoroso still has ultimate control over what goes out to consumers and the public.  That includes ultimate control over the creative direction of any advertising campaign, but not necessarily how it is impl</w:t>
      </w:r>
      <w:r w:rsidR="00FB7A19">
        <w:t>emented on a day-to-day basis.</w:t>
      </w:r>
    </w:p>
    <w:p w14:paraId="6C7C5522" w14:textId="2A20D819" w:rsidR="00670752" w:rsidRDefault="001E3C6B" w:rsidP="001E3C6B">
      <w:pPr>
        <w:pStyle w:val="ParaNumbering"/>
        <w:numPr>
          <w:ilvl w:val="0"/>
          <w:numId w:val="0"/>
        </w:numPr>
        <w:ind w:hanging="720"/>
      </w:pPr>
      <w:r>
        <w:rPr>
          <w:sz w:val="20"/>
        </w:rPr>
        <w:lastRenderedPageBreak/>
        <w:t>602</w:t>
      </w:r>
      <w:r>
        <w:rPr>
          <w:sz w:val="20"/>
        </w:rPr>
        <w:tab/>
      </w:r>
      <w:r w:rsidR="00670752">
        <w:t xml:space="preserve">Ms Amoroso reviewed and had final sign-off on Self Care’s brand guidelines.  </w:t>
      </w:r>
      <w:r w:rsidR="00FB7A19">
        <w:t>A</w:t>
      </w:r>
      <w:r w:rsidR="00670752">
        <w:t>ll new packaging and advertising is printed and placed on her desk with a sign-off sheet.  That enables her to immediately rectify any inconsistency or inadequacy with the packaging or advertising, including the way that the relevant trade marks appear.</w:t>
      </w:r>
    </w:p>
    <w:p w14:paraId="78DADA02" w14:textId="3767F4A3" w:rsidR="00670752" w:rsidRDefault="001E3C6B" w:rsidP="001E3C6B">
      <w:pPr>
        <w:pStyle w:val="ParaNumbering"/>
        <w:numPr>
          <w:ilvl w:val="0"/>
          <w:numId w:val="0"/>
        </w:numPr>
        <w:ind w:hanging="720"/>
      </w:pPr>
      <w:r>
        <w:rPr>
          <w:sz w:val="20"/>
        </w:rPr>
        <w:t>603</w:t>
      </w:r>
      <w:r>
        <w:rPr>
          <w:sz w:val="20"/>
        </w:rPr>
        <w:tab/>
      </w:r>
      <w:r w:rsidR="00670752">
        <w:t>At the time that the Inhibox product was developed, Ms Amoroso was aware from her own observation that there were a number of products in the market promoting themselves as “Botox alternatives”.  Her idea was to develop a similar product</w:t>
      </w:r>
      <w:r w:rsidR="008148CF">
        <w:t xml:space="preserve"> </w:t>
      </w:r>
      <w:r w:rsidR="00670752">
        <w:t xml:space="preserve">that also had an instant effect. </w:t>
      </w:r>
      <w:r w:rsidR="00FB7A19">
        <w:t xml:space="preserve"> </w:t>
      </w:r>
      <w:r w:rsidR="00670752">
        <w:t>Ms Amoroso was part of the team that ultimately selected the statements made by Self Care about this product in respect of which Allergan complains.</w:t>
      </w:r>
      <w:r w:rsidR="00FB7A19">
        <w:t xml:space="preserve"> </w:t>
      </w:r>
      <w:r w:rsidR="00670752">
        <w:t xml:space="preserve"> It was Ms Amoroso who decided to refer to botox as Botox (i.e.</w:t>
      </w:r>
      <w:r w:rsidR="008148CF">
        <w:t>,</w:t>
      </w:r>
      <w:r w:rsidR="00670752">
        <w:t xml:space="preserve"> with a capital ‘B’) and to acknowledge Allergan as the trade mark owner on the packagin</w:t>
      </w:r>
      <w:r w:rsidR="00FB7A19">
        <w:t>g and marketing of the product.</w:t>
      </w:r>
    </w:p>
    <w:p w14:paraId="7EEA64DA" w14:textId="53928793" w:rsidR="00670752" w:rsidRDefault="001E3C6B" w:rsidP="001E3C6B">
      <w:pPr>
        <w:pStyle w:val="ParaNumbering"/>
        <w:numPr>
          <w:ilvl w:val="0"/>
          <w:numId w:val="0"/>
        </w:numPr>
        <w:ind w:hanging="720"/>
      </w:pPr>
      <w:r>
        <w:rPr>
          <w:sz w:val="20"/>
        </w:rPr>
        <w:t>604</w:t>
      </w:r>
      <w:r>
        <w:rPr>
          <w:sz w:val="20"/>
        </w:rPr>
        <w:tab/>
      </w:r>
      <w:r w:rsidR="00670752">
        <w:t xml:space="preserve">Ms Amoroso came up with the brand PROTOX.  She made the decision that Self Care IP would own the trade mark.  She decided to first register PROTOX on its own rather than FREEZEFRAME PROTOX. </w:t>
      </w:r>
      <w:r w:rsidR="00FB7A19">
        <w:t xml:space="preserve"> </w:t>
      </w:r>
      <w:r w:rsidR="00670752">
        <w:t>A decision was made by the marketing team at Self Care, including Ms Amoroso, to switch the messaging from P</w:t>
      </w:r>
      <w:r w:rsidR="00F30F28">
        <w:t>rotox</w:t>
      </w:r>
      <w:r w:rsidR="00670752">
        <w:t xml:space="preserve"> prolonging Botox to </w:t>
      </w:r>
      <w:r w:rsidR="00F30F28">
        <w:t xml:space="preserve">Protox </w:t>
      </w:r>
      <w:r w:rsidR="00670752">
        <w:t>being an alternative to Botox.</w:t>
      </w:r>
      <w:r w:rsidR="00FB7A19">
        <w:t xml:space="preserve"> </w:t>
      </w:r>
      <w:r w:rsidR="00670752">
        <w:t xml:space="preserve"> Ms Amoroso was part of the team that selected the promotional statements that would be made by Self Care in respect of the P</w:t>
      </w:r>
      <w:r w:rsidR="00F30F28">
        <w:t>rotox</w:t>
      </w:r>
      <w:r w:rsidR="00670752">
        <w:t xml:space="preserve">, Night (tube) and Boost products </w:t>
      </w:r>
      <w:r w:rsidR="00FB7A19">
        <w:t>about which Allergan complains.</w:t>
      </w:r>
    </w:p>
    <w:p w14:paraId="012BEF38" w14:textId="005B8F3B" w:rsidR="00670752" w:rsidRDefault="001E3C6B" w:rsidP="001E3C6B">
      <w:pPr>
        <w:pStyle w:val="ParaNumbering"/>
        <w:numPr>
          <w:ilvl w:val="0"/>
          <w:numId w:val="0"/>
        </w:numPr>
        <w:ind w:hanging="720"/>
      </w:pPr>
      <w:r>
        <w:rPr>
          <w:sz w:val="20"/>
        </w:rPr>
        <w:t>605</w:t>
      </w:r>
      <w:r>
        <w:rPr>
          <w:sz w:val="20"/>
        </w:rPr>
        <w:tab/>
      </w:r>
      <w:r w:rsidR="00670752">
        <w:t>Only about six people were working in the busine</w:t>
      </w:r>
      <w:r w:rsidR="008148CF">
        <w:t>ss at the time that the Night (t</w:t>
      </w:r>
      <w:r w:rsidR="00670752">
        <w:t>ub) statements were selected.  All those people, including Ms Amoroso, were involved in selecting the relevant statements.</w:t>
      </w:r>
      <w:r w:rsidR="00FB7A19">
        <w:t xml:space="preserve"> </w:t>
      </w:r>
      <w:r w:rsidR="00670752">
        <w:t xml:space="preserve"> Each member of the team reviewed summaries of the clinical studies supporting the product to ensure tha</w:t>
      </w:r>
      <w:r w:rsidR="00FB7A19">
        <w:t>t the statements were accurate.</w:t>
      </w:r>
    </w:p>
    <w:p w14:paraId="0D84D9BD" w14:textId="1CEB0CED" w:rsidR="00670752" w:rsidRDefault="001E3C6B" w:rsidP="001E3C6B">
      <w:pPr>
        <w:pStyle w:val="ParaNumbering"/>
        <w:numPr>
          <w:ilvl w:val="0"/>
          <w:numId w:val="0"/>
        </w:numPr>
        <w:ind w:hanging="720"/>
      </w:pPr>
      <w:r>
        <w:rPr>
          <w:sz w:val="20"/>
        </w:rPr>
        <w:t>606</w:t>
      </w:r>
      <w:r>
        <w:rPr>
          <w:sz w:val="20"/>
        </w:rPr>
        <w:tab/>
      </w:r>
      <w:r w:rsidR="00670752">
        <w:t xml:space="preserve">Ms Amoroso’s evidence in chief put her firmly at the centre of the companies, in ultimate control of their decision-making and in charge of their creative direction.  She did not seek to shy away from any of that.  However, none of it puts her in a position such as to have gone beyond her role as a director </w:t>
      </w:r>
      <w:r w:rsidR="00775552">
        <w:t>or</w:t>
      </w:r>
      <w:r w:rsidR="00670752">
        <w:t xml:space="preserve"> CEO.  In everything she was clearly acting in the interests of the companies and not directly in her own interests; the activities of Self Care of which Allergan complains are squarely activities within the ordinary course of Self Care’s business.  </w:t>
      </w:r>
      <w:r w:rsidR="00775552">
        <w:t xml:space="preserve">There was no indication that anything </w:t>
      </w:r>
      <w:r w:rsidR="00670752">
        <w:t xml:space="preserve">Ms Amoroso did </w:t>
      </w:r>
      <w:r w:rsidR="00775552">
        <w:t xml:space="preserve">for the companies was also </w:t>
      </w:r>
      <w:r w:rsidR="00670752">
        <w:t xml:space="preserve">conduct </w:t>
      </w:r>
      <w:r w:rsidR="00775552">
        <w:t xml:space="preserve">done </w:t>
      </w:r>
      <w:r w:rsidR="00670752">
        <w:t>on her own behalf.</w:t>
      </w:r>
    </w:p>
    <w:p w14:paraId="3CA1E973" w14:textId="519003B5" w:rsidR="00670752" w:rsidRDefault="001E3C6B" w:rsidP="001E3C6B">
      <w:pPr>
        <w:pStyle w:val="ParaNumbering"/>
        <w:numPr>
          <w:ilvl w:val="0"/>
          <w:numId w:val="0"/>
        </w:numPr>
        <w:ind w:hanging="720"/>
      </w:pPr>
      <w:r>
        <w:rPr>
          <w:sz w:val="20"/>
        </w:rPr>
        <w:lastRenderedPageBreak/>
        <w:t>607</w:t>
      </w:r>
      <w:r>
        <w:rPr>
          <w:sz w:val="20"/>
        </w:rPr>
        <w:tab/>
      </w:r>
      <w:r w:rsidR="00670752">
        <w:t>Allergan relies on Ms Amoroso’s previous involvement with Cat Media, and the knowledge and experience she gained there, to submit that the conduct that it complains of with regard to Self Care shows bad faith or consciousness of wrongfulness by Ms Amoroso.  I understand Allergan to submit that on that basis she went beyond or outside her role with the companies and made the conduct her own conduct.  However, I do not consider that that is established.  That perhaps flows inevitably from my findings that</w:t>
      </w:r>
      <w:r w:rsidR="00297B1D">
        <w:t>, save in one relatively minor respect,</w:t>
      </w:r>
      <w:r w:rsidR="00670752">
        <w:t xml:space="preserve"> the causes of action must fail.  Depending on what basis, in the hypothetical alternative now under consideration, it might be found that one or more of the </w:t>
      </w:r>
      <w:r w:rsidR="00297B1D">
        <w:t xml:space="preserve">other </w:t>
      </w:r>
      <w:r w:rsidR="00670752">
        <w:t>causes of action succeeded, it might be found that the assertions of bad faith or consciousness of wrongfulness are upheld.  But on my factual findings, they must be rejected.</w:t>
      </w:r>
    </w:p>
    <w:p w14:paraId="2A85B230" w14:textId="6A9E2F78" w:rsidR="00670752" w:rsidRDefault="001E3C6B" w:rsidP="001E3C6B">
      <w:pPr>
        <w:pStyle w:val="ParaNumbering"/>
        <w:numPr>
          <w:ilvl w:val="0"/>
          <w:numId w:val="0"/>
        </w:numPr>
        <w:ind w:hanging="720"/>
      </w:pPr>
      <w:r>
        <w:rPr>
          <w:sz w:val="20"/>
        </w:rPr>
        <w:t>608</w:t>
      </w:r>
      <w:r>
        <w:rPr>
          <w:sz w:val="20"/>
        </w:rPr>
        <w:tab/>
      </w:r>
      <w:r w:rsidR="00670752">
        <w:t>In the circumstances, I do not find any basis upon which Ms Amoroso would be personally liable on the non-ACL causes of action against the Self Care companies.</w:t>
      </w:r>
    </w:p>
    <w:p w14:paraId="6611AFA8" w14:textId="0B0219A3" w:rsidR="00670752" w:rsidRDefault="001E3C6B" w:rsidP="001E3C6B">
      <w:pPr>
        <w:pStyle w:val="ParaNumbering"/>
        <w:numPr>
          <w:ilvl w:val="0"/>
          <w:numId w:val="0"/>
        </w:numPr>
        <w:ind w:hanging="720"/>
      </w:pPr>
      <w:r>
        <w:rPr>
          <w:sz w:val="20"/>
        </w:rPr>
        <w:t>609</w:t>
      </w:r>
      <w:r>
        <w:rPr>
          <w:sz w:val="20"/>
        </w:rPr>
        <w:tab/>
      </w:r>
      <w:r w:rsidR="00670752">
        <w:t>With regard to the ACL claims, I have already identified Allergan’s pl</w:t>
      </w:r>
      <w:r w:rsidR="002B79F4">
        <w:t>eading difficulty.  It also makes</w:t>
      </w:r>
      <w:r w:rsidR="00670752">
        <w:t xml:space="preserve"> no submissions in support of any finding of accessorial liability based on the relevant (or any) wording of the ACL or with reference to any authority.  On the factual findings I have made above, it would face some difficulty in establishing that Ms Amoroso knew that the impugned statements made representations that were misleading or deceptive, or false.  In the circumstances, I also do not find any basis upon which Ms Amoroso would be personally liable on the ACL causes o</w:t>
      </w:r>
      <w:r w:rsidR="00FF5CE2">
        <w:t>f action against the Self Care c</w:t>
      </w:r>
      <w:r w:rsidR="00670752">
        <w:t>ompanies.</w:t>
      </w:r>
    </w:p>
    <w:p w14:paraId="4F8CA02A" w14:textId="62C7D9C4" w:rsidR="00670752" w:rsidRDefault="001E3C6B" w:rsidP="00670752">
      <w:pPr>
        <w:pStyle w:val="Heading1"/>
      </w:pPr>
      <w:bookmarkStart w:id="141" w:name="_Ref54701623"/>
      <w:r>
        <w:rPr>
          <w:caps w:val="0"/>
        </w:rPr>
        <w:t>THERAPEUTIC GOODS ACT CLAIM</w:t>
      </w:r>
      <w:bookmarkEnd w:id="141"/>
    </w:p>
    <w:p w14:paraId="60E946D2" w14:textId="5275C48C" w:rsidR="00670752" w:rsidRDefault="001E3C6B" w:rsidP="001E3C6B">
      <w:pPr>
        <w:pStyle w:val="ParaNumbering"/>
        <w:numPr>
          <w:ilvl w:val="0"/>
          <w:numId w:val="0"/>
        </w:numPr>
        <w:ind w:hanging="720"/>
      </w:pPr>
      <w:r>
        <w:rPr>
          <w:sz w:val="20"/>
        </w:rPr>
        <w:t>610</w:t>
      </w:r>
      <w:r>
        <w:rPr>
          <w:sz w:val="20"/>
        </w:rPr>
        <w:tab/>
      </w:r>
      <w:r w:rsidR="00670752">
        <w:t>In this claim, Allergan seeks injunctions against Self Care and Ms Amoroso restraining them from making the statements that are identified in the “TG Act” column in the tables at [</w:t>
      </w:r>
      <w:r w:rsidR="00775552">
        <w:fldChar w:fldCharType="begin" w:fldLock="1"/>
      </w:r>
      <w:r w:rsidR="00775552">
        <w:instrText xml:space="preserve"> REF _Ref39572582 \r \h </w:instrText>
      </w:r>
      <w:r w:rsidR="00775552">
        <w:fldChar w:fldCharType="separate"/>
      </w:r>
      <w:r w:rsidR="00756FCE">
        <w:t>111</w:t>
      </w:r>
      <w:r w:rsidR="00775552">
        <w:fldChar w:fldCharType="end"/>
      </w:r>
      <w:r w:rsidR="00670752">
        <w:t>]-[</w:t>
      </w:r>
      <w:r w:rsidR="00775552">
        <w:fldChar w:fldCharType="begin" w:fldLock="1"/>
      </w:r>
      <w:r w:rsidR="00775552">
        <w:instrText xml:space="preserve"> REF _Ref39572602 \r \h </w:instrText>
      </w:r>
      <w:r w:rsidR="00775552">
        <w:fldChar w:fldCharType="separate"/>
      </w:r>
      <w:r w:rsidR="00756FCE">
        <w:t>116</w:t>
      </w:r>
      <w:r w:rsidR="00775552">
        <w:fldChar w:fldCharType="end"/>
      </w:r>
      <w:r w:rsidR="00670752">
        <w:t>] above.  The asserted basis for the injunctions is that the making of the statements constitute contraventions of the offence provisions in s 42DL(2) or (3) read with s 42DL(10) and the civil penalty provisions in s 42DLB(1) and (7)</w:t>
      </w:r>
      <w:r w:rsidR="00670752" w:rsidRPr="009D02E9">
        <w:t xml:space="preserve"> </w:t>
      </w:r>
      <w:r w:rsidR="00670752">
        <w:t>of the TG Act.</w:t>
      </w:r>
    </w:p>
    <w:p w14:paraId="704EBEC7" w14:textId="15FE28F4" w:rsidR="00670752" w:rsidRDefault="001E3C6B" w:rsidP="001E3C6B">
      <w:pPr>
        <w:pStyle w:val="ParaNumbering"/>
        <w:numPr>
          <w:ilvl w:val="0"/>
          <w:numId w:val="0"/>
        </w:numPr>
        <w:ind w:hanging="720"/>
      </w:pPr>
      <w:r>
        <w:rPr>
          <w:sz w:val="20"/>
        </w:rPr>
        <w:t>611</w:t>
      </w:r>
      <w:r>
        <w:rPr>
          <w:sz w:val="20"/>
        </w:rPr>
        <w:tab/>
      </w:r>
      <w:r w:rsidR="00670752">
        <w:t xml:space="preserve">The claim is pleaded on the basis that the impugned statements are claims of a therapeutic use, as that term is defined in the TG Act, namely that the physiological processes in a person who has used the relevant product may be inhibited, influenced, intensified, modified or extended by means of the same mode </w:t>
      </w:r>
      <w:r w:rsidR="00FB7A19">
        <w:t>of action as the Botox product.</w:t>
      </w:r>
    </w:p>
    <w:p w14:paraId="17F9C5FE" w14:textId="2F276944" w:rsidR="00670752" w:rsidRDefault="001E3C6B" w:rsidP="001E3C6B">
      <w:pPr>
        <w:pStyle w:val="ParaNumbering"/>
        <w:numPr>
          <w:ilvl w:val="0"/>
          <w:numId w:val="0"/>
        </w:numPr>
        <w:ind w:hanging="720"/>
      </w:pPr>
      <w:r>
        <w:rPr>
          <w:sz w:val="20"/>
        </w:rPr>
        <w:t>612</w:t>
      </w:r>
      <w:r>
        <w:rPr>
          <w:sz w:val="20"/>
        </w:rPr>
        <w:tab/>
      </w:r>
      <w:r w:rsidR="00670752">
        <w:t xml:space="preserve">Relevantly, the definition of “therapeutic goods” in the TG Act includes goods “that are represented in any way to be, or that are, whether because of the way in which the goods are </w:t>
      </w:r>
      <w:r w:rsidR="00670752">
        <w:lastRenderedPageBreak/>
        <w:t>presented or for any other reason, likely to be taken to be for therapeutic use”</w:t>
      </w:r>
      <w:r w:rsidR="00F41B11">
        <w:t>: s 3</w:t>
      </w:r>
      <w:r w:rsidR="00670752">
        <w:t>.  The definition of “therapeutic use” includes use in or in connection with “influencing, inhibiting or modifying a physiological process in persons”</w:t>
      </w:r>
      <w:r w:rsidR="00F41B11">
        <w:t>: s 3</w:t>
      </w:r>
      <w:r w:rsidR="00670752">
        <w:t>.</w:t>
      </w:r>
    </w:p>
    <w:p w14:paraId="642D51C0" w14:textId="737A1FEB" w:rsidR="00670752" w:rsidRDefault="001E3C6B" w:rsidP="001E3C6B">
      <w:pPr>
        <w:pStyle w:val="ParaNumbering"/>
        <w:numPr>
          <w:ilvl w:val="0"/>
          <w:numId w:val="0"/>
        </w:numPr>
        <w:ind w:hanging="720"/>
      </w:pPr>
      <w:r>
        <w:rPr>
          <w:sz w:val="20"/>
        </w:rPr>
        <w:t>613</w:t>
      </w:r>
      <w:r>
        <w:rPr>
          <w:sz w:val="20"/>
        </w:rPr>
        <w:tab/>
      </w:r>
      <w:r w:rsidR="00670752">
        <w:t>Thus, for a good to be a therapeutic good under the TG Act it need not actually have a therapeutic use or effect; it need only be represented to have that effect.  Following the evidence of the expert witnesses in this case, and in particular with reference to the Kraeling article, it is uncontroversial that Self Care’s products have no therapeutic use or effect.  Allergan accordingly rests its case on Self Care representing, by the impugned statements in context, that the products have a therapeutic use or effect.  In particular, it is pleaded that the statements represent that the products have a therapeutic use or effect “by means of the same mode of action as the Botox product”.</w:t>
      </w:r>
    </w:p>
    <w:p w14:paraId="39A62098" w14:textId="1B8C6136" w:rsidR="00670752" w:rsidRDefault="001E3C6B" w:rsidP="001E3C6B">
      <w:pPr>
        <w:pStyle w:val="ParaNumbering"/>
        <w:numPr>
          <w:ilvl w:val="0"/>
          <w:numId w:val="0"/>
        </w:numPr>
        <w:ind w:hanging="720"/>
      </w:pPr>
      <w:r>
        <w:rPr>
          <w:sz w:val="20"/>
        </w:rPr>
        <w:t>614</w:t>
      </w:r>
      <w:r>
        <w:rPr>
          <w:sz w:val="20"/>
        </w:rPr>
        <w:tab/>
      </w:r>
      <w:r w:rsidR="00670752">
        <w:t>In the context of the ACL claims I have found that the statements that are relied on in relation to the TG Act claims do not make any representation with regard to the mode of action of the products and that they do not represent that Self Care’s products have the same mechanism as Botox.  I have found that the statements will be understood as saying something about the effect that the products will have with regard to the reduction in the appearance of wrinkles, but not about the mechanism to achieve that effect.</w:t>
      </w:r>
      <w:r w:rsidR="00523981">
        <w:t xml:space="preserve">  See [</w:t>
      </w:r>
      <w:r w:rsidR="00523981">
        <w:fldChar w:fldCharType="begin" w:fldLock="1"/>
      </w:r>
      <w:r w:rsidR="00523981">
        <w:instrText xml:space="preserve"> REF _Ref52371661 \r \h </w:instrText>
      </w:r>
      <w:r w:rsidR="00523981">
        <w:fldChar w:fldCharType="separate"/>
      </w:r>
      <w:r w:rsidR="00756FCE">
        <w:t>494</w:t>
      </w:r>
      <w:r w:rsidR="00523981">
        <w:fldChar w:fldCharType="end"/>
      </w:r>
      <w:r w:rsidR="00523981">
        <w:t>]-[</w:t>
      </w:r>
      <w:r w:rsidR="00523981">
        <w:fldChar w:fldCharType="begin" w:fldLock="1"/>
      </w:r>
      <w:r w:rsidR="00523981">
        <w:instrText xml:space="preserve"> REF _Ref54201232 \r \h </w:instrText>
      </w:r>
      <w:r w:rsidR="00523981">
        <w:fldChar w:fldCharType="separate"/>
      </w:r>
      <w:r w:rsidR="00756FCE">
        <w:t>509</w:t>
      </w:r>
      <w:r w:rsidR="00523981">
        <w:fldChar w:fldCharType="end"/>
      </w:r>
      <w:r w:rsidR="00523981">
        <w:t>] above.</w:t>
      </w:r>
    </w:p>
    <w:p w14:paraId="353D4C00" w14:textId="2C7B9192" w:rsidR="00670752" w:rsidRDefault="001E3C6B" w:rsidP="001E3C6B">
      <w:pPr>
        <w:pStyle w:val="ParaNumbering"/>
        <w:numPr>
          <w:ilvl w:val="0"/>
          <w:numId w:val="0"/>
        </w:numPr>
        <w:ind w:hanging="720"/>
      </w:pPr>
      <w:r>
        <w:rPr>
          <w:sz w:val="20"/>
        </w:rPr>
        <w:t>615</w:t>
      </w:r>
      <w:r>
        <w:rPr>
          <w:sz w:val="20"/>
        </w:rPr>
        <w:tab/>
      </w:r>
      <w:r w:rsidR="00670752">
        <w:t xml:space="preserve">In that regard, it is to be noted that Allergan does not identify Night statement 3 as being one of the statements in respect of which it seeks an injunction.  That is presumably because Self Care has given an undertaking not to make that statement.  It will be recalled that that is the statement that the product “delivers the results of a Botox injection in four weeks”.  In respect of that statement, the case might more readily be made that it makes the representation that the product will have the same mode of action as the Botox product, but </w:t>
      </w:r>
      <w:r w:rsidR="00523981">
        <w:t xml:space="preserve">I have concluded that that statement also speaks only to observable results and not mode of action.  In any event, </w:t>
      </w:r>
      <w:r w:rsidR="00670752">
        <w:t xml:space="preserve">in view of no injunction being sought in relation to that statement that question need </w:t>
      </w:r>
      <w:r w:rsidR="00F41B11">
        <w:t xml:space="preserve">not </w:t>
      </w:r>
      <w:r w:rsidR="00670752">
        <w:t>be considered further.</w:t>
      </w:r>
    </w:p>
    <w:p w14:paraId="0B995B3E" w14:textId="1F3417A3" w:rsidR="00670752" w:rsidRDefault="001E3C6B" w:rsidP="001E3C6B">
      <w:pPr>
        <w:pStyle w:val="ParaNumbering"/>
        <w:numPr>
          <w:ilvl w:val="0"/>
          <w:numId w:val="0"/>
        </w:numPr>
        <w:ind w:hanging="720"/>
      </w:pPr>
      <w:r>
        <w:rPr>
          <w:sz w:val="20"/>
        </w:rPr>
        <w:t>616</w:t>
      </w:r>
      <w:r>
        <w:rPr>
          <w:sz w:val="20"/>
        </w:rPr>
        <w:tab/>
      </w:r>
      <w:r w:rsidR="00670752">
        <w:t>In the circumstances, the TG Act claims fall at the first hurdle.  Allergan has simply failed to prove that the statements make the representations that are pleaded and which are in turn said to constitute contraventions of the TG Act.  The claims should therefore be dismissed.</w:t>
      </w:r>
    </w:p>
    <w:p w14:paraId="154E18B1" w14:textId="0F03C89E" w:rsidR="00670752" w:rsidRDefault="001E3C6B" w:rsidP="001E3C6B">
      <w:pPr>
        <w:pStyle w:val="ParaNumbering"/>
        <w:numPr>
          <w:ilvl w:val="0"/>
          <w:numId w:val="0"/>
        </w:numPr>
        <w:ind w:hanging="720"/>
      </w:pPr>
      <w:r>
        <w:rPr>
          <w:sz w:val="20"/>
        </w:rPr>
        <w:t>617</w:t>
      </w:r>
      <w:r>
        <w:rPr>
          <w:sz w:val="20"/>
        </w:rPr>
        <w:tab/>
      </w:r>
      <w:r w:rsidR="00670752">
        <w:t xml:space="preserve">It should, however, be noted that there are also other possible obstacles to the TG Act claims succeeding even if I am wrong in my conclusion that the statements do not make the pleaded </w:t>
      </w:r>
      <w:r w:rsidR="00670752">
        <w:lastRenderedPageBreak/>
        <w:t>representations with regard to the therapeutic effect of Self Care’s products.  The most significant other obstacle is whether Alle</w:t>
      </w:r>
      <w:r w:rsidR="008179C4">
        <w:t>r</w:t>
      </w:r>
      <w:r w:rsidR="00670752">
        <w:t>gan has standing to seek injunctive relief in reliance on contraventions of the TG Act.</w:t>
      </w:r>
    </w:p>
    <w:p w14:paraId="159E48D2" w14:textId="5ED848B1" w:rsidR="00670752" w:rsidRDefault="001E3C6B" w:rsidP="00670752">
      <w:pPr>
        <w:pStyle w:val="Heading1"/>
      </w:pPr>
      <w:bookmarkStart w:id="142" w:name="_Ref54701624"/>
      <w:r>
        <w:rPr>
          <w:caps w:val="0"/>
        </w:rPr>
        <w:t>CONCLUSION</w:t>
      </w:r>
      <w:bookmarkEnd w:id="142"/>
    </w:p>
    <w:p w14:paraId="745C5C4E" w14:textId="3D9B6F26" w:rsidR="00670752" w:rsidRDefault="001E3C6B" w:rsidP="001E3C6B">
      <w:pPr>
        <w:pStyle w:val="ParaNumbering"/>
        <w:numPr>
          <w:ilvl w:val="0"/>
          <w:numId w:val="0"/>
        </w:numPr>
        <w:ind w:hanging="720"/>
      </w:pPr>
      <w:r>
        <w:rPr>
          <w:sz w:val="20"/>
        </w:rPr>
        <w:t>618</w:t>
      </w:r>
      <w:r>
        <w:rPr>
          <w:sz w:val="20"/>
        </w:rPr>
        <w:tab/>
      </w:r>
      <w:r w:rsidR="00670752">
        <w:t>In the result, for the reasons set out above, I have found as follows</w:t>
      </w:r>
      <w:r w:rsidR="00D87976">
        <w:t xml:space="preserve"> in the NSD15/2017 proceeding</w:t>
      </w:r>
      <w:r w:rsidR="00670752">
        <w:t>:</w:t>
      </w:r>
    </w:p>
    <w:p w14:paraId="1FCB3904" w14:textId="1779FAE9" w:rsidR="00D87976" w:rsidRDefault="001E3C6B" w:rsidP="001E3C6B">
      <w:pPr>
        <w:pStyle w:val="ParaNumbering"/>
        <w:numPr>
          <w:ilvl w:val="0"/>
          <w:numId w:val="0"/>
        </w:numPr>
        <w:ind w:hanging="720"/>
      </w:pPr>
      <w:r>
        <w:rPr>
          <w:sz w:val="20"/>
        </w:rPr>
        <w:t>619</w:t>
      </w:r>
      <w:r>
        <w:rPr>
          <w:sz w:val="20"/>
        </w:rPr>
        <w:tab/>
      </w:r>
      <w:r w:rsidR="00D87976">
        <w:t xml:space="preserve">Allergan’s claims of trade mark infringement under s 120 </w:t>
      </w:r>
      <w:r w:rsidR="00477DC3">
        <w:t xml:space="preserve">of the </w:t>
      </w:r>
      <w:r w:rsidR="00D87976">
        <w:t xml:space="preserve">TM Act against Self Care for its word mark PROTOX, the use of various phrases including the word </w:t>
      </w:r>
      <w:r w:rsidR="00FF5CE2">
        <w:t>BOTOX</w:t>
      </w:r>
      <w:r w:rsidR="00D87976">
        <w:t xml:space="preserve"> and the use of the word </w:t>
      </w:r>
      <w:r w:rsidR="00FF5CE2">
        <w:t>BOTOX</w:t>
      </w:r>
      <w:r w:rsidR="00D87976">
        <w:t xml:space="preserve"> itself</w:t>
      </w:r>
      <w:r w:rsidR="00297B1D">
        <w:t xml:space="preserve"> are not established</w:t>
      </w:r>
      <w:r w:rsidR="00523981">
        <w:t xml:space="preserve"> and should be dismissed</w:t>
      </w:r>
      <w:r w:rsidR="00D87976">
        <w:t xml:space="preserve">. </w:t>
      </w:r>
    </w:p>
    <w:p w14:paraId="164E0922" w14:textId="0CA7ABE4" w:rsidR="00670752" w:rsidRDefault="001E3C6B" w:rsidP="001E3C6B">
      <w:pPr>
        <w:pStyle w:val="ParaNumbering"/>
        <w:numPr>
          <w:ilvl w:val="0"/>
          <w:numId w:val="0"/>
        </w:numPr>
        <w:ind w:hanging="720"/>
      </w:pPr>
      <w:r>
        <w:rPr>
          <w:sz w:val="20"/>
        </w:rPr>
        <w:t>620</w:t>
      </w:r>
      <w:r>
        <w:rPr>
          <w:sz w:val="20"/>
        </w:rPr>
        <w:tab/>
      </w:r>
      <w:r w:rsidR="00D87976">
        <w:t xml:space="preserve">Allergan’s claims that </w:t>
      </w:r>
      <w:r w:rsidR="007506E0">
        <w:t xml:space="preserve">Self Care made representations which were contrary to the ACL of affiliation or that Self Care engaged in passing off </w:t>
      </w:r>
      <w:r w:rsidR="00297B1D">
        <w:t>are not established</w:t>
      </w:r>
      <w:r w:rsidR="00523981">
        <w:t xml:space="preserve"> and should be dismissed</w:t>
      </w:r>
      <w:r w:rsidR="007506E0">
        <w:t xml:space="preserve">. </w:t>
      </w:r>
    </w:p>
    <w:p w14:paraId="71DFB8EE" w14:textId="74A8D95D" w:rsidR="008B5E56" w:rsidRDefault="001E3C6B" w:rsidP="001E3C6B">
      <w:pPr>
        <w:pStyle w:val="ParaNumbering"/>
        <w:numPr>
          <w:ilvl w:val="0"/>
          <w:numId w:val="0"/>
        </w:numPr>
        <w:ind w:hanging="720"/>
      </w:pPr>
      <w:r>
        <w:rPr>
          <w:sz w:val="20"/>
        </w:rPr>
        <w:t>621</w:t>
      </w:r>
      <w:r>
        <w:rPr>
          <w:sz w:val="20"/>
        </w:rPr>
        <w:tab/>
      </w:r>
      <w:r w:rsidR="007506E0">
        <w:t>Allergan’s claims that Self Care made efficacy representations contrary to the ACL</w:t>
      </w:r>
      <w:r w:rsidR="009E448D">
        <w:t xml:space="preserve"> a</w:t>
      </w:r>
      <w:r w:rsidR="00523981">
        <w:t>r</w:t>
      </w:r>
      <w:r w:rsidR="009E448D">
        <w:t>e</w:t>
      </w:r>
      <w:r w:rsidR="00523981">
        <w:t xml:space="preserve"> </w:t>
      </w:r>
      <w:r w:rsidR="00113F1D">
        <w:t xml:space="preserve">established </w:t>
      </w:r>
      <w:r w:rsidR="007506E0">
        <w:t>for only one of the 35 statements complained of</w:t>
      </w:r>
      <w:r w:rsidR="004D7821">
        <w:t xml:space="preserve">, </w:t>
      </w:r>
      <w:r w:rsidR="00C37138">
        <w:t xml:space="preserve">and </w:t>
      </w:r>
      <w:r w:rsidR="004D7821">
        <w:t>the rest</w:t>
      </w:r>
      <w:r w:rsidR="00113F1D">
        <w:t xml:space="preserve"> should be </w:t>
      </w:r>
      <w:r w:rsidR="004D7821">
        <w:t>dismissed</w:t>
      </w:r>
      <w:r w:rsidR="007506E0">
        <w:t xml:space="preserve">. </w:t>
      </w:r>
      <w:r w:rsidR="00477DC3">
        <w:t xml:space="preserve"> The successful claim is with regard to the statement that the Night (tube) product</w:t>
      </w:r>
      <w:r w:rsidR="00523981">
        <w:t xml:space="preserve"> produces </w:t>
      </w:r>
      <w:r w:rsidR="00477DC3">
        <w:t>the results of Botox in four weeks.</w:t>
      </w:r>
    </w:p>
    <w:p w14:paraId="3980F0A1" w14:textId="3D83643A" w:rsidR="008B5E56" w:rsidRDefault="001E3C6B" w:rsidP="001E3C6B">
      <w:pPr>
        <w:pStyle w:val="ParaNumbering"/>
        <w:numPr>
          <w:ilvl w:val="0"/>
          <w:numId w:val="0"/>
        </w:numPr>
        <w:ind w:hanging="720"/>
      </w:pPr>
      <w:r>
        <w:rPr>
          <w:sz w:val="20"/>
        </w:rPr>
        <w:t>622</w:t>
      </w:r>
      <w:r>
        <w:rPr>
          <w:sz w:val="20"/>
        </w:rPr>
        <w:tab/>
      </w:r>
      <w:r w:rsidR="007506E0">
        <w:t xml:space="preserve">Allergan’s claims that Self Care infringed the TG Act </w:t>
      </w:r>
      <w:r w:rsidR="00113F1D">
        <w:t>are not established</w:t>
      </w:r>
      <w:r w:rsidR="00523981">
        <w:t xml:space="preserve"> and should be dismissed</w:t>
      </w:r>
      <w:r w:rsidR="007506E0">
        <w:t>.</w:t>
      </w:r>
    </w:p>
    <w:p w14:paraId="597EFA96" w14:textId="59A8D86B" w:rsidR="007506E0" w:rsidRDefault="001E3C6B" w:rsidP="001E3C6B">
      <w:pPr>
        <w:pStyle w:val="ParaNumbering"/>
        <w:numPr>
          <w:ilvl w:val="0"/>
          <w:numId w:val="0"/>
        </w:numPr>
        <w:ind w:hanging="720"/>
      </w:pPr>
      <w:r>
        <w:rPr>
          <w:sz w:val="20"/>
        </w:rPr>
        <w:t>623</w:t>
      </w:r>
      <w:r>
        <w:rPr>
          <w:sz w:val="20"/>
        </w:rPr>
        <w:tab/>
      </w:r>
      <w:r w:rsidR="007506E0">
        <w:t xml:space="preserve">Self Care’s cross-claim for removal (including cessation of protection) from the </w:t>
      </w:r>
      <w:r w:rsidR="00477DC3">
        <w:t>r</w:t>
      </w:r>
      <w:r w:rsidR="007506E0">
        <w:t>egister of the word mark BOTOX in class 3 of the 655 mark for non-use</w:t>
      </w:r>
      <w:r w:rsidR="00113F1D">
        <w:t xml:space="preserve"> is </w:t>
      </w:r>
      <w:r w:rsidR="00777893">
        <w:t>successful</w:t>
      </w:r>
      <w:r w:rsidR="00523981">
        <w:t xml:space="preserve"> and an appropriate order should be made</w:t>
      </w:r>
      <w:r w:rsidR="00777893">
        <w:t xml:space="preserve">. </w:t>
      </w:r>
      <w:r w:rsidR="007506E0">
        <w:t xml:space="preserve"> </w:t>
      </w:r>
      <w:r w:rsidR="00777893">
        <w:t xml:space="preserve">Its claim for cancellation </w:t>
      </w:r>
      <w:r w:rsidR="007506E0">
        <w:t>of the BOTOX 426 defensive mark in respect of all the class 3 goods</w:t>
      </w:r>
      <w:r w:rsidR="00113F1D">
        <w:t xml:space="preserve"> is </w:t>
      </w:r>
      <w:r w:rsidR="00777893">
        <w:t>not</w:t>
      </w:r>
      <w:r w:rsidR="00113F1D">
        <w:t xml:space="preserve"> established</w:t>
      </w:r>
      <w:r w:rsidR="00523981">
        <w:t xml:space="preserve"> and should be dismissed</w:t>
      </w:r>
      <w:r w:rsidR="00777893">
        <w:t>.</w:t>
      </w:r>
    </w:p>
    <w:p w14:paraId="7DED1174" w14:textId="3CCE83F3" w:rsidR="008B5E56" w:rsidRDefault="001E3C6B" w:rsidP="001E3C6B">
      <w:pPr>
        <w:pStyle w:val="ParaNumbering"/>
        <w:numPr>
          <w:ilvl w:val="0"/>
          <w:numId w:val="0"/>
        </w:numPr>
        <w:ind w:hanging="720"/>
      </w:pPr>
      <w:r>
        <w:rPr>
          <w:sz w:val="20"/>
        </w:rPr>
        <w:t>624</w:t>
      </w:r>
      <w:r>
        <w:rPr>
          <w:sz w:val="20"/>
        </w:rPr>
        <w:tab/>
      </w:r>
      <w:r w:rsidR="00777893">
        <w:t>In the NSD1802/2017 proceeding I have found as follows:</w:t>
      </w:r>
    </w:p>
    <w:p w14:paraId="782AC081" w14:textId="7899BC02" w:rsidR="007506E0" w:rsidRDefault="001E3C6B" w:rsidP="001E3C6B">
      <w:pPr>
        <w:pStyle w:val="ParaNumbering"/>
        <w:numPr>
          <w:ilvl w:val="0"/>
          <w:numId w:val="0"/>
        </w:numPr>
        <w:ind w:hanging="720"/>
      </w:pPr>
      <w:r>
        <w:rPr>
          <w:sz w:val="20"/>
        </w:rPr>
        <w:t>625</w:t>
      </w:r>
      <w:r>
        <w:rPr>
          <w:sz w:val="20"/>
        </w:rPr>
        <w:tab/>
      </w:r>
      <w:r w:rsidR="004D7821" w:rsidRPr="004D7821">
        <w:t>Allergan</w:t>
      </w:r>
      <w:r w:rsidR="000944E4">
        <w:t xml:space="preserve"> Inc</w:t>
      </w:r>
      <w:r w:rsidR="004D7821" w:rsidRPr="004D7821">
        <w:t xml:space="preserve">’s appeal against the decision of the delegate of the Registrar of Trade Marks to </w:t>
      </w:r>
      <w:r w:rsidR="00FF5CE2">
        <w:t xml:space="preserve">allow </w:t>
      </w:r>
      <w:r w:rsidR="004D7821" w:rsidRPr="00CC024A">
        <w:t xml:space="preserve">Self Care IP’s application for the registration of the mark </w:t>
      </w:r>
      <w:r w:rsidR="00323C84" w:rsidRPr="00CC024A">
        <w:t>FREEZEFRAME</w:t>
      </w:r>
      <w:r w:rsidR="004D7821" w:rsidRPr="00CC024A">
        <w:t xml:space="preserve"> PROTOX in class 3</w:t>
      </w:r>
      <w:r w:rsidR="00113F1D">
        <w:t xml:space="preserve"> should be </w:t>
      </w:r>
      <w:r w:rsidR="004D7821">
        <w:t xml:space="preserve">dismissed. </w:t>
      </w:r>
    </w:p>
    <w:p w14:paraId="4AC12D4D" w14:textId="70689E9C" w:rsidR="00670752" w:rsidRDefault="001E3C6B" w:rsidP="001E3C6B">
      <w:pPr>
        <w:pStyle w:val="ParaNumbering"/>
        <w:numPr>
          <w:ilvl w:val="0"/>
          <w:numId w:val="0"/>
        </w:numPr>
        <w:ind w:hanging="720"/>
      </w:pPr>
      <w:r>
        <w:rPr>
          <w:sz w:val="20"/>
        </w:rPr>
        <w:t>626</w:t>
      </w:r>
      <w:r>
        <w:rPr>
          <w:sz w:val="20"/>
        </w:rPr>
        <w:tab/>
      </w:r>
      <w:r w:rsidR="00670752">
        <w:t>I will require the parties to bring in short minutes of order to dispose of the proceedings in accordance with my reasons</w:t>
      </w:r>
      <w:r w:rsidR="00523981">
        <w:t>, including with regard to costs</w:t>
      </w:r>
      <w:r w:rsidR="00670752">
        <w:t xml:space="preserve">.  Mindful also that much of the evidence is the subject of suppression orders, and conscious that despite my efforts to avoid including suppressed information in my reasons, I may have included such information </w:t>
      </w:r>
      <w:r w:rsidR="00670752">
        <w:lastRenderedPageBreak/>
        <w:t>inadvertently, I will also restrict these reasons to the external lawyers of the parties and give them the opportunity to bring to my attention any redactions that should be made.  Only after that will the reasons be</w:t>
      </w:r>
      <w:r w:rsidR="00647BE1">
        <w:t xml:space="preserve"> published to the parties themselves</w:t>
      </w:r>
      <w:r w:rsidR="00670752">
        <w:t xml:space="preserve"> </w:t>
      </w:r>
      <w:r w:rsidR="00647BE1">
        <w:t xml:space="preserve">and </w:t>
      </w:r>
      <w:r w:rsidR="00670752">
        <w:t>made public.</w:t>
      </w:r>
    </w:p>
    <w:p w14:paraId="3DC96487" w14:textId="1BD25DE3" w:rsidR="00C56D66" w:rsidRDefault="001E3C6B" w:rsidP="001E3C6B">
      <w:pPr>
        <w:pStyle w:val="ParaNumbering"/>
        <w:numPr>
          <w:ilvl w:val="0"/>
          <w:numId w:val="0"/>
        </w:numPr>
        <w:ind w:hanging="720"/>
      </w:pPr>
      <w:r>
        <w:rPr>
          <w:sz w:val="20"/>
        </w:rPr>
        <w:t>627</w:t>
      </w:r>
      <w:r>
        <w:rPr>
          <w:sz w:val="20"/>
        </w:rPr>
        <w:tab/>
      </w:r>
      <w:r w:rsidR="00113F1D">
        <w:t>The Court will retain the physical exhibits pending the possibility of an appeal.</w:t>
      </w:r>
    </w:p>
    <w:p w14:paraId="72225A58" w14:textId="77777777" w:rsidR="00C56D66" w:rsidRPr="00015F2E" w:rsidRDefault="00C56D66" w:rsidP="00410E14">
      <w:pPr>
        <w:pStyle w:val="ParaNumbering"/>
        <w:numPr>
          <w:ilvl w:val="0"/>
          <w:numId w:val="0"/>
        </w:numPr>
        <w:rPr>
          <w:highlight w:val="yellow"/>
        </w:rPr>
      </w:pPr>
    </w:p>
    <w:p w14:paraId="2AF0D0DD" w14:textId="77777777" w:rsidR="003E6446" w:rsidRDefault="003E6446" w:rsidP="00EE4D06">
      <w:pPr>
        <w:pStyle w:val="BodyText"/>
      </w:pPr>
      <w:bookmarkStart w:id="143" w:name="Certification"/>
    </w:p>
    <w:tbl>
      <w:tblPr>
        <w:tblW w:w="0" w:type="auto"/>
        <w:tblLook w:val="04A0" w:firstRow="1" w:lastRow="0" w:firstColumn="1" w:lastColumn="0" w:noHBand="0" w:noVBand="1"/>
      </w:tblPr>
      <w:tblGrid>
        <w:gridCol w:w="3794"/>
      </w:tblGrid>
      <w:tr w:rsidR="003E6446" w:rsidRPr="003E6446" w14:paraId="7D3B10AD" w14:textId="77777777">
        <w:tc>
          <w:tcPr>
            <w:tcW w:w="3794" w:type="dxa"/>
            <w:shd w:val="clear" w:color="auto" w:fill="auto"/>
          </w:tcPr>
          <w:p w14:paraId="73898187" w14:textId="2289A3DE" w:rsidR="003E6446" w:rsidRPr="003E6446" w:rsidRDefault="003E6446" w:rsidP="003E6446">
            <w:pPr>
              <w:pStyle w:val="Normal1linespace"/>
            </w:pPr>
            <w:r w:rsidRPr="003E6446">
              <w:t xml:space="preserve">I certify that the preceding </w:t>
            </w:r>
            <w:bookmarkStart w:id="144" w:name="NumberWord"/>
            <w:r w:rsidR="00D73BD8">
              <w:t>six hundred and twenty-seven</w:t>
            </w:r>
            <w:bookmarkEnd w:id="144"/>
            <w:r w:rsidRPr="003E6446">
              <w:t xml:space="preserve"> (</w:t>
            </w:r>
            <w:bookmarkStart w:id="145" w:name="NumberNumeral"/>
            <w:r w:rsidR="00D73BD8">
              <w:t>627</w:t>
            </w:r>
            <w:bookmarkEnd w:id="145"/>
            <w:r w:rsidRPr="003E6446">
              <w:t xml:space="preserve">) numbered </w:t>
            </w:r>
            <w:bookmarkStart w:id="146" w:name="CertPara"/>
            <w:r w:rsidR="00D73BD8">
              <w:t>paragraphs are</w:t>
            </w:r>
            <w:bookmarkEnd w:id="146"/>
            <w:r w:rsidRPr="003E6446">
              <w:t xml:space="preserve"> a true copy of the Reasons for Judgment of </w:t>
            </w:r>
            <w:bookmarkStart w:id="147" w:name="bkHonourable"/>
            <w:r w:rsidRPr="003E6446">
              <w:t xml:space="preserve">the Honourable </w:t>
            </w:r>
            <w:bookmarkStart w:id="148" w:name="Justice"/>
            <w:bookmarkEnd w:id="147"/>
            <w:r>
              <w:t>Justice Stewart</w:t>
            </w:r>
            <w:bookmarkEnd w:id="148"/>
            <w:r w:rsidRPr="003E6446">
              <w:t>.</w:t>
            </w:r>
          </w:p>
        </w:tc>
      </w:tr>
    </w:tbl>
    <w:p w14:paraId="5DFBA7C5" w14:textId="77777777" w:rsidR="003E6446" w:rsidRDefault="003E6446" w:rsidP="00EE4D06">
      <w:pPr>
        <w:pStyle w:val="BodyText"/>
      </w:pPr>
    </w:p>
    <w:p w14:paraId="1A601233" w14:textId="77777777" w:rsidR="003E6446" w:rsidRDefault="003E6446" w:rsidP="00EE4D06">
      <w:pPr>
        <w:pStyle w:val="BodyText"/>
      </w:pPr>
    </w:p>
    <w:p w14:paraId="72A6FC00" w14:textId="77777777" w:rsidR="003E6446" w:rsidRDefault="003E6446" w:rsidP="00EE4D06">
      <w:pPr>
        <w:pStyle w:val="BodyText"/>
      </w:pPr>
    </w:p>
    <w:p w14:paraId="0B1E852A" w14:textId="77777777" w:rsidR="003E6446" w:rsidRDefault="003E6446" w:rsidP="00EE4D06">
      <w:pPr>
        <w:pStyle w:val="BodyText"/>
      </w:pPr>
      <w:r>
        <w:t>Associate:</w:t>
      </w:r>
    </w:p>
    <w:p w14:paraId="2CE744CC" w14:textId="53B2799B" w:rsidR="003E6446" w:rsidRDefault="003E6446" w:rsidP="00EE4D06">
      <w:pPr>
        <w:pStyle w:val="BodyText"/>
      </w:pPr>
    </w:p>
    <w:p w14:paraId="3F4703DA" w14:textId="3538A0C0" w:rsidR="003E6446" w:rsidRDefault="003E6446" w:rsidP="00EE4D06">
      <w:pPr>
        <w:pStyle w:val="BodyText"/>
        <w:tabs>
          <w:tab w:val="left" w:pos="1134"/>
        </w:tabs>
      </w:pPr>
      <w:r>
        <w:t>Dated:</w:t>
      </w:r>
      <w:r>
        <w:tab/>
      </w:r>
      <w:bookmarkStart w:id="149" w:name="CertifyDated"/>
      <w:r w:rsidR="00137465">
        <w:t>22 October 2020</w:t>
      </w:r>
      <w:bookmarkEnd w:id="149"/>
    </w:p>
    <w:p w14:paraId="226B8F73" w14:textId="77777777" w:rsidR="003E6446" w:rsidRDefault="003E6446" w:rsidP="00EE4D06">
      <w:pPr>
        <w:pStyle w:val="BodyText"/>
      </w:pPr>
    </w:p>
    <w:bookmarkEnd w:id="143"/>
    <w:p w14:paraId="136AECAC" w14:textId="77777777" w:rsidR="003E6446" w:rsidRDefault="003E6446" w:rsidP="003E6446">
      <w:pPr>
        <w:pStyle w:val="BodyText"/>
      </w:pPr>
      <w:r>
        <w:br w:type="page"/>
      </w:r>
      <w:bookmarkStart w:id="150" w:name="_GoBack"/>
      <w:bookmarkEnd w:id="150"/>
    </w:p>
    <w:p w14:paraId="08063750" w14:textId="77777777" w:rsidR="003E6446" w:rsidRPr="00CD498A" w:rsidRDefault="003E6446" w:rsidP="00E91A0F">
      <w:pPr>
        <w:pStyle w:val="NormalHeadings"/>
        <w:spacing w:before="180" w:line="480" w:lineRule="auto"/>
        <w:jc w:val="center"/>
        <w:rPr>
          <w:sz w:val="28"/>
          <w:szCs w:val="28"/>
        </w:rPr>
      </w:pPr>
      <w:bookmarkStart w:id="151" w:name="SOP_Section"/>
      <w:r w:rsidRPr="00CD498A">
        <w:rPr>
          <w:sz w:val="28"/>
          <w:szCs w:val="28"/>
        </w:rPr>
        <w:lastRenderedPageBreak/>
        <w:t>SCHEDULE OF PARTIES</w:t>
      </w:r>
    </w:p>
    <w:p w14:paraId="7184ADB5" w14:textId="77777777" w:rsidR="003E6446" w:rsidRPr="00663089" w:rsidRDefault="003E6446" w:rsidP="00EE4D06">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3E6446" w14:paraId="0367AFF5" w14:textId="77777777" w:rsidTr="003E6446">
        <w:tc>
          <w:tcPr>
            <w:tcW w:w="3368" w:type="dxa"/>
          </w:tcPr>
          <w:p w14:paraId="0A08FB0F" w14:textId="77777777" w:rsidR="003E6446" w:rsidRDefault="003E6446" w:rsidP="00EE4D06">
            <w:pPr>
              <w:pStyle w:val="NormalHeadings"/>
              <w:jc w:val="left"/>
              <w:rPr>
                <w:caps/>
                <w:szCs w:val="24"/>
              </w:rPr>
            </w:pPr>
          </w:p>
        </w:tc>
        <w:tc>
          <w:tcPr>
            <w:tcW w:w="5874" w:type="dxa"/>
          </w:tcPr>
          <w:p w14:paraId="15941D22" w14:textId="77777777" w:rsidR="003E6446" w:rsidRDefault="003E6446" w:rsidP="00F92355">
            <w:pPr>
              <w:pStyle w:val="NormalHeadings"/>
              <w:jc w:val="right"/>
            </w:pPr>
            <w:r>
              <w:fldChar w:fldCharType="begin" w:fldLock="1"/>
            </w:r>
            <w:r>
              <w:instrText xml:space="preserve"> REF  FileNo </w:instrText>
            </w:r>
            <w:r>
              <w:fldChar w:fldCharType="separate"/>
            </w:r>
            <w:r>
              <w:t>NSD 15 of 2017</w:t>
            </w:r>
          </w:p>
          <w:p w14:paraId="6E2E5B0B" w14:textId="767141DB" w:rsidR="003E6446" w:rsidRDefault="003E6446" w:rsidP="00EE4D06">
            <w:pPr>
              <w:pStyle w:val="NormalHeadings"/>
              <w:jc w:val="right"/>
            </w:pPr>
            <w:r>
              <w:fldChar w:fldCharType="end"/>
            </w:r>
          </w:p>
        </w:tc>
      </w:tr>
      <w:tr w:rsidR="003E6446" w14:paraId="3135194B" w14:textId="77777777" w:rsidTr="003E6446">
        <w:trPr>
          <w:trHeight w:val="386"/>
        </w:trPr>
        <w:tc>
          <w:tcPr>
            <w:tcW w:w="3368" w:type="dxa"/>
          </w:tcPr>
          <w:p w14:paraId="3BD60054" w14:textId="77777777" w:rsidR="003E6446" w:rsidRDefault="003E6446" w:rsidP="00EE4D06">
            <w:pPr>
              <w:pStyle w:val="BodyTextBold"/>
              <w:spacing w:before="180"/>
              <w:jc w:val="left"/>
            </w:pPr>
            <w:bookmarkStart w:id="152" w:name="SOP_CrossApplicantsRows" w:colFirst="0" w:colLast="1"/>
            <w:r>
              <w:t>Cross-Claimants</w:t>
            </w:r>
          </w:p>
        </w:tc>
        <w:tc>
          <w:tcPr>
            <w:tcW w:w="5874" w:type="dxa"/>
            <w:tcMar>
              <w:left w:w="28" w:type="dxa"/>
            </w:tcMar>
          </w:tcPr>
          <w:p w14:paraId="1BD76472" w14:textId="77777777" w:rsidR="003E6446" w:rsidRDefault="003E6446" w:rsidP="00EE4D06">
            <w:pPr>
              <w:pStyle w:val="BodyText"/>
              <w:jc w:val="left"/>
            </w:pPr>
          </w:p>
        </w:tc>
      </w:tr>
      <w:tr w:rsidR="003E6446" w14:paraId="2C65E252" w14:textId="77777777" w:rsidTr="003E6446">
        <w:trPr>
          <w:trHeight w:val="386"/>
        </w:trPr>
        <w:tc>
          <w:tcPr>
            <w:tcW w:w="3368" w:type="dxa"/>
          </w:tcPr>
          <w:p w14:paraId="5D182EB5" w14:textId="77777777" w:rsidR="003E6446" w:rsidRDefault="003E6446" w:rsidP="00EE4D06">
            <w:pPr>
              <w:pStyle w:val="BodyText"/>
              <w:spacing w:after="240" w:line="240" w:lineRule="auto"/>
              <w:jc w:val="left"/>
            </w:pPr>
            <w:bookmarkStart w:id="153" w:name="SOP_FirstCrossApplicant"/>
            <w:bookmarkEnd w:id="153"/>
            <w:r>
              <w:t>Second Cross-Claimant:</w:t>
            </w:r>
          </w:p>
        </w:tc>
        <w:tc>
          <w:tcPr>
            <w:tcW w:w="5874" w:type="dxa"/>
            <w:tcMar>
              <w:left w:w="28" w:type="dxa"/>
            </w:tcMar>
          </w:tcPr>
          <w:p w14:paraId="03C4B524" w14:textId="77777777" w:rsidR="003E6446" w:rsidRDefault="003E6446" w:rsidP="00EE4D06">
            <w:pPr>
              <w:pStyle w:val="BodyText"/>
              <w:spacing w:after="240" w:line="240" w:lineRule="auto"/>
              <w:jc w:val="left"/>
            </w:pPr>
            <w:r>
              <w:t>SELF CARE CORPORATION PTY LTD (ACN 132 213 113)</w:t>
            </w:r>
          </w:p>
        </w:tc>
      </w:tr>
      <w:tr w:rsidR="003E6446" w14:paraId="400C1319" w14:textId="77777777" w:rsidTr="003E6446">
        <w:trPr>
          <w:trHeight w:val="386"/>
        </w:trPr>
        <w:tc>
          <w:tcPr>
            <w:tcW w:w="3368" w:type="dxa"/>
          </w:tcPr>
          <w:p w14:paraId="5BA83F20" w14:textId="77777777" w:rsidR="003E6446" w:rsidRDefault="003E6446" w:rsidP="00EE4D06">
            <w:pPr>
              <w:pStyle w:val="BodyTextBold"/>
              <w:spacing w:before="180"/>
              <w:jc w:val="left"/>
            </w:pPr>
            <w:bookmarkStart w:id="154" w:name="SOP_CrossRespondentRows" w:colFirst="0" w:colLast="1"/>
            <w:bookmarkEnd w:id="152"/>
            <w:r>
              <w:t>Cross-Respondents</w:t>
            </w:r>
          </w:p>
        </w:tc>
        <w:tc>
          <w:tcPr>
            <w:tcW w:w="5874" w:type="dxa"/>
            <w:tcMar>
              <w:left w:w="28" w:type="dxa"/>
            </w:tcMar>
          </w:tcPr>
          <w:p w14:paraId="608A9892" w14:textId="77777777" w:rsidR="003E6446" w:rsidRDefault="003E6446" w:rsidP="00EE4D06">
            <w:pPr>
              <w:pStyle w:val="BodyText"/>
              <w:jc w:val="left"/>
            </w:pPr>
          </w:p>
        </w:tc>
      </w:tr>
      <w:tr w:rsidR="003E6446" w14:paraId="31CA792F" w14:textId="77777777" w:rsidTr="003E6446">
        <w:trPr>
          <w:trHeight w:val="386"/>
        </w:trPr>
        <w:tc>
          <w:tcPr>
            <w:tcW w:w="3368" w:type="dxa"/>
          </w:tcPr>
          <w:p w14:paraId="2A457BCD" w14:textId="77777777" w:rsidR="003E6446" w:rsidRPr="007B4DC5" w:rsidRDefault="003E6446" w:rsidP="00EE4D06">
            <w:pPr>
              <w:pStyle w:val="BodyText"/>
              <w:spacing w:after="240" w:line="240" w:lineRule="auto"/>
              <w:jc w:val="left"/>
            </w:pPr>
            <w:bookmarkStart w:id="155" w:name="SOP_FirstCrossRespondent"/>
            <w:bookmarkEnd w:id="155"/>
            <w:r>
              <w:t>Second Cross-Respondent</w:t>
            </w:r>
          </w:p>
        </w:tc>
        <w:tc>
          <w:tcPr>
            <w:tcW w:w="5874" w:type="dxa"/>
            <w:tcMar>
              <w:left w:w="28" w:type="dxa"/>
            </w:tcMar>
          </w:tcPr>
          <w:p w14:paraId="46AB3985" w14:textId="77777777" w:rsidR="003E6446" w:rsidRDefault="003E6446" w:rsidP="00EE4D06">
            <w:pPr>
              <w:pStyle w:val="BodyText"/>
              <w:spacing w:after="240" w:line="240" w:lineRule="auto"/>
              <w:jc w:val="left"/>
            </w:pPr>
            <w:r>
              <w:t>ALLERGAN AUSTRALIA PTY LTD (ACN 000 612 831)</w:t>
            </w:r>
          </w:p>
        </w:tc>
      </w:tr>
      <w:bookmarkEnd w:id="154"/>
    </w:tbl>
    <w:p w14:paraId="3F97E00F" w14:textId="77777777" w:rsidR="003E6446" w:rsidRDefault="003E6446" w:rsidP="002B0E91">
      <w:pPr>
        <w:pStyle w:val="BodyText"/>
      </w:pPr>
    </w:p>
    <w:bookmarkEnd w:id="151"/>
    <w:p w14:paraId="407B6D13" w14:textId="77777777" w:rsidR="003E6446" w:rsidRDefault="003E6446" w:rsidP="003E6446">
      <w:pPr>
        <w:pStyle w:val="BodyText"/>
      </w:pPr>
    </w:p>
    <w:sectPr w:rsidR="003E6446" w:rsidSect="00AC70BF">
      <w:headerReference w:type="even" r:id="rId23"/>
      <w:headerReference w:type="default" r:id="rId24"/>
      <w:footerReference w:type="default" r:id="rId25"/>
      <w:headerReference w:type="first" r:id="rId26"/>
      <w:footerReference w:type="first" r:id="rId27"/>
      <w:endnotePr>
        <w:numFmt w:val="decimal"/>
      </w:endnotePr>
      <w:pgSz w:w="11907" w:h="16840" w:code="9"/>
      <w:pgMar w:top="1440"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BFD0" w14:textId="77777777" w:rsidR="00C23901" w:rsidRDefault="00C23901">
      <w:pPr>
        <w:spacing w:line="20" w:lineRule="exact"/>
      </w:pPr>
    </w:p>
    <w:p w14:paraId="55F852AC" w14:textId="77777777" w:rsidR="00C23901" w:rsidRDefault="00C23901"/>
    <w:p w14:paraId="32886E98" w14:textId="77777777" w:rsidR="00C23901" w:rsidRDefault="00C23901"/>
  </w:endnote>
  <w:endnote w:type="continuationSeparator" w:id="0">
    <w:p w14:paraId="3A09E2CF" w14:textId="77777777" w:rsidR="00C23901" w:rsidRDefault="00C23901">
      <w:r>
        <w:t xml:space="preserve"> </w:t>
      </w:r>
    </w:p>
    <w:p w14:paraId="284F02C8" w14:textId="77777777" w:rsidR="00C23901" w:rsidRDefault="00C23901"/>
    <w:p w14:paraId="7A2A757D" w14:textId="77777777" w:rsidR="00C23901" w:rsidRDefault="00C23901"/>
  </w:endnote>
  <w:endnote w:type="continuationNotice" w:id="1">
    <w:p w14:paraId="3A46A33B" w14:textId="77777777" w:rsidR="00C23901" w:rsidRDefault="00C23901">
      <w:r>
        <w:t xml:space="preserve"> </w:t>
      </w:r>
    </w:p>
    <w:p w14:paraId="42F0E3B4" w14:textId="77777777" w:rsidR="00C23901" w:rsidRDefault="00C23901"/>
    <w:p w14:paraId="2E5C3EFE" w14:textId="77777777" w:rsidR="00C23901" w:rsidRDefault="00C23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D00C" w14:textId="77777777" w:rsidR="001E3C6B" w:rsidRDefault="001E3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3B8B" w14:textId="7A64C64A" w:rsidR="00C23901" w:rsidRPr="00C47B9D" w:rsidRDefault="00C2390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EE2C311" wp14:editId="5C624F72">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410A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E1A065698AE4CD3ADB0D79EE4DB5E9C"/>
        </w:placeholder>
        <w:dataBinding w:prefixMappings="xmlns:ns0='http://schemas.globalmacros.com/FCA'" w:xpath="/ns0:root[1]/ns0:Name[1]" w:storeItemID="{687E7CCB-4AA5-44E7-B148-17BA2B6F57C0}"/>
        <w:text w:multiLine="1"/>
      </w:sdtPr>
      <w:sdtEndPr/>
      <w:sdtContent>
        <w:r>
          <w:rPr>
            <w:bCs/>
            <w:sz w:val="18"/>
            <w:szCs w:val="18"/>
          </w:rPr>
          <w:t xml:space="preserve">Allergan Australia Pty Ltd v Self Care IP Holdings Pty Ltd [2020] FCA 1530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3C6B">
      <w:rPr>
        <w:bCs/>
        <w:noProof/>
        <w:sz w:val="20"/>
      </w:rPr>
      <w:t>x</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2AF3" w14:textId="1410C40D" w:rsidR="00C23901" w:rsidRPr="00C47B9D" w:rsidRDefault="00C2390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428EB463" wp14:editId="77AB09FC">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952D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32A48CAC83E497EB7C2FA91D202A34F"/>
        </w:placeholder>
        <w:dataBinding w:prefixMappings="xmlns:ns0='http://schemas.globalmacros.com/FCA'" w:xpath="/ns0:root[1]/ns0:Name[1]" w:storeItemID="{687E7CCB-4AA5-44E7-B148-17BA2B6F57C0}"/>
        <w:text w:multiLine="1"/>
      </w:sdtPr>
      <w:sdtEndPr/>
      <w:sdtContent>
        <w:r>
          <w:rPr>
            <w:bCs/>
            <w:sz w:val="18"/>
            <w:szCs w:val="18"/>
          </w:rPr>
          <w:t xml:space="preserve">Allergan Australia Pty Ltd v Self Care IP Holdings Pty Ltd [2020] FCA 1530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3C6B">
      <w:rPr>
        <w:bCs/>
        <w:noProof/>
        <w:sz w:val="20"/>
      </w:rPr>
      <w:t>xi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5815" w14:textId="51834647" w:rsidR="00C23901" w:rsidRPr="00C47B9D" w:rsidRDefault="00C2390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7AB0872" wp14:editId="77700003">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D6D6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EndPr/>
      <w:sdtContent>
        <w:r>
          <w:rPr>
            <w:bCs/>
            <w:sz w:val="18"/>
            <w:szCs w:val="18"/>
          </w:rPr>
          <w:t xml:space="preserve">Allergan Australia Pty Ltd v Self Care IP Holdings Pty Ltd [2020] FCA 1530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3C6B">
      <w:rPr>
        <w:bCs/>
        <w:noProof/>
        <w:sz w:val="20"/>
      </w:rPr>
      <w:t>139</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846A" w14:textId="14B59804" w:rsidR="00C23901" w:rsidRPr="00C47B9D" w:rsidRDefault="00C2390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EBD6402" wp14:editId="62B27060">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9867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Pr>
            <w:bCs/>
            <w:sz w:val="18"/>
            <w:szCs w:val="18"/>
          </w:rPr>
          <w:t xml:space="preserve">Allergan Australia Pty Ltd v Self Care IP Holdings Pty Ltd [2020] FCA 1530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3C6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CE464" w14:textId="77777777" w:rsidR="00C23901" w:rsidRDefault="00C23901"/>
    <w:p w14:paraId="0252C0BA" w14:textId="77777777" w:rsidR="00C23901" w:rsidRDefault="00C23901"/>
    <w:p w14:paraId="3BB83E5E" w14:textId="77777777" w:rsidR="00C23901" w:rsidRDefault="00C23901"/>
  </w:footnote>
  <w:footnote w:type="continuationSeparator" w:id="0">
    <w:p w14:paraId="1CE78A7A" w14:textId="77777777" w:rsidR="00C23901" w:rsidRDefault="00C23901">
      <w:r>
        <w:continuationSeparator/>
      </w:r>
    </w:p>
    <w:p w14:paraId="79B83B2A" w14:textId="77777777" w:rsidR="00C23901" w:rsidRDefault="00C23901"/>
    <w:p w14:paraId="2BC2BA16" w14:textId="77777777" w:rsidR="00C23901" w:rsidRDefault="00C239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489B" w14:textId="77777777" w:rsidR="001E3C6B" w:rsidRDefault="001E3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7CAD" w14:textId="77777777" w:rsidR="00C23901" w:rsidRDefault="00C23901">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B79D" w14:textId="77777777" w:rsidR="00C23901" w:rsidRDefault="00C23901">
    <w:pPr>
      <w:pStyle w:val="Header"/>
      <w:tabs>
        <w:tab w:val="clear" w:pos="4320"/>
        <w:tab w:val="clear" w:pos="864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79DE" w14:textId="77777777" w:rsidR="00C23901" w:rsidRDefault="00C2390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FBD8" w14:textId="77777777" w:rsidR="00C23901" w:rsidRDefault="00C23901" w:rsidP="00EE4D0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389F" w14:textId="77777777" w:rsidR="00C23901" w:rsidRDefault="00C2390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BDC0" w14:textId="77777777" w:rsidR="00C23901" w:rsidRDefault="00C23901">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92FC" w14:textId="77777777" w:rsidR="00C23901" w:rsidRDefault="00C2390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lvlText w:val="(%1)"/>
      <w:lvlJc w:val="left"/>
      <w:pPr>
        <w:tabs>
          <w:tab w:val="num" w:pos="720"/>
        </w:tabs>
        <w:ind w:left="720" w:hanging="720"/>
      </w:pPr>
      <w:rPr>
        <w:rFonts w:ascii="Times New Roman" w:hAnsi="Times New Roman"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8B31248"/>
    <w:multiLevelType w:val="hybridMultilevel"/>
    <w:tmpl w:val="8EB2EA9E"/>
    <w:lvl w:ilvl="0" w:tplc="4510E3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AE3DD1"/>
    <w:multiLevelType w:val="singleLevel"/>
    <w:tmpl w:val="0BDE9DE4"/>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64237DE"/>
    <w:multiLevelType w:val="hybridMultilevel"/>
    <w:tmpl w:val="0CB00F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DA320AE"/>
    <w:multiLevelType w:val="multilevel"/>
    <w:tmpl w:val="58D2D92A"/>
    <w:numStyleLink w:val="MELegal"/>
  </w:abstractNum>
  <w:abstractNum w:abstractNumId="24" w15:restartNumberingAfterBreak="0">
    <w:nsid w:val="55AC7F89"/>
    <w:multiLevelType w:val="hybridMultilevel"/>
    <w:tmpl w:val="CF348AEC"/>
    <w:lvl w:ilvl="0" w:tplc="BB66B9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3039C1"/>
    <w:multiLevelType w:val="hybridMultilevel"/>
    <w:tmpl w:val="39D62E0E"/>
    <w:lvl w:ilvl="0" w:tplc="3C2E39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414A4F"/>
    <w:multiLevelType w:val="multilevel"/>
    <w:tmpl w:val="D986A9C6"/>
    <w:lvl w:ilvl="0">
      <w:start w:val="87"/>
      <w:numFmt w:val="bullet"/>
      <w:pStyle w:val="Para1"/>
      <w:lvlText w:val="-"/>
      <w:lvlJc w:val="left"/>
      <w:pPr>
        <w:ind w:left="284" w:hanging="284"/>
      </w:pPr>
      <w:rPr>
        <w:rFonts w:ascii="Calibri" w:hAnsi="Calibri" w:hint="default"/>
        <w:b w:val="0"/>
        <w:i w:val="0"/>
        <w:sz w:val="23"/>
        <w:szCs w:val="23"/>
      </w:rPr>
    </w:lvl>
    <w:lvl w:ilvl="1">
      <w:start w:val="1"/>
      <w:numFmt w:val="lowerLetter"/>
      <w:pStyle w:val="Paraa"/>
      <w:lvlText w:val="(%2)"/>
      <w:lvlJc w:val="left"/>
      <w:pPr>
        <w:tabs>
          <w:tab w:val="num" w:pos="1440"/>
        </w:tabs>
        <w:ind w:left="1440" w:hanging="720"/>
      </w:pPr>
      <w:rPr>
        <w:rFonts w:ascii="Times New Roman" w:hAnsi="Times New Roman" w:cs="Times New Roman" w:hint="default"/>
        <w:sz w:val="24"/>
        <w:szCs w:val="24"/>
      </w:rPr>
    </w:lvl>
    <w:lvl w:ilvl="2">
      <w:start w:val="1"/>
      <w:numFmt w:val="lowerRoman"/>
      <w:pStyle w:val="Parai"/>
      <w:lvlText w:val="(%3)"/>
      <w:lvlJc w:val="left"/>
      <w:pPr>
        <w:tabs>
          <w:tab w:val="num" w:pos="2160"/>
        </w:tabs>
        <w:ind w:left="2160" w:hanging="720"/>
      </w:pPr>
      <w:rPr>
        <w:rFonts w:ascii="Times New Roman" w:hAnsi="Times New Roman" w:cs="Times New Roman" w:hint="default"/>
        <w:sz w:val="24"/>
        <w:szCs w:val="24"/>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65E00F9D"/>
    <w:multiLevelType w:val="multilevel"/>
    <w:tmpl w:val="EF7600A8"/>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D022323"/>
    <w:multiLevelType w:val="multilevel"/>
    <w:tmpl w:val="58D2D92A"/>
    <w:styleLink w:val="MELegal"/>
    <w:lvl w:ilvl="0">
      <w:start w:val="1"/>
      <w:numFmt w:val="decimal"/>
      <w:pStyle w:val="MELegal1"/>
      <w:lvlText w:val="%1."/>
      <w:lvlJc w:val="left"/>
      <w:pPr>
        <w:ind w:left="680" w:hanging="680"/>
      </w:pPr>
      <w:rPr>
        <w:rFonts w:ascii="Arial" w:hAnsi="Arial" w:hint="default"/>
        <w:b w:val="0"/>
        <w:i w:val="0"/>
        <w:sz w:val="24"/>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722" w:hanging="1361"/>
      </w:pPr>
      <w:rPr>
        <w:rFonts w:hint="default"/>
        <w:b w:val="0"/>
        <w:i w:val="0"/>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0B94048"/>
    <w:multiLevelType w:val="hybridMultilevel"/>
    <w:tmpl w:val="87DE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56988"/>
    <w:multiLevelType w:val="hybridMultilevel"/>
    <w:tmpl w:val="0D5A8BF4"/>
    <w:lvl w:ilvl="0" w:tplc="EAD213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1"/>
  </w:num>
  <w:num w:numId="15">
    <w:abstractNumId w:val="22"/>
  </w:num>
  <w:num w:numId="16">
    <w:abstractNumId w:val="33"/>
  </w:num>
  <w:num w:numId="17">
    <w:abstractNumId w:val="13"/>
  </w:num>
  <w:num w:numId="18">
    <w:abstractNumId w:val="30"/>
  </w:num>
  <w:num w:numId="19">
    <w:abstractNumId w:val="11"/>
  </w:num>
  <w:num w:numId="20">
    <w:abstractNumId w:val="18"/>
  </w:num>
  <w:num w:numId="21">
    <w:abstractNumId w:val="17"/>
  </w:num>
  <w:num w:numId="22">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26"/>
  </w:num>
  <w:num w:numId="26">
    <w:abstractNumId w:val="27"/>
  </w:num>
  <w:num w:numId="2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0"/>
  </w:num>
  <w:num w:numId="3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3"/>
    <w:lvlOverride w:ilvl="0">
      <w:lvl w:ilvl="0">
        <w:start w:val="1"/>
        <w:numFmt w:val="decimal"/>
        <w:pStyle w:val="MELegal1"/>
        <w:lvlText w:val="%1."/>
        <w:lvlJc w:val="left"/>
        <w:pPr>
          <w:ind w:left="680" w:hanging="680"/>
        </w:pPr>
        <w:rPr>
          <w:rFonts w:ascii="Arial" w:hAnsi="Arial" w:hint="default"/>
          <w:b w:val="0"/>
          <w:i w:val="0"/>
          <w:sz w:val="24"/>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722" w:hanging="1361"/>
        </w:pPr>
        <w:rPr>
          <w:rFonts w:hint="default"/>
          <w:b w:val="0"/>
          <w:i w:val="0"/>
        </w:rPr>
      </w:lvl>
    </w:lvlOverride>
    <w:lvlOverride w:ilvl="4">
      <w:lvl w:ilvl="4">
        <w:start w:val="1"/>
        <w:numFmt w:val="upperLetter"/>
        <w:pStyle w:val="MELegal5"/>
        <w:lvlText w:val="(%5)"/>
        <w:lvlJc w:val="left"/>
        <w:pPr>
          <w:tabs>
            <w:tab w:val="num" w:pos="2041"/>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7">
    <w:abstractNumId w:val="32"/>
  </w:num>
  <w:num w:numId="48">
    <w:abstractNumId w:val="25"/>
  </w:num>
  <w:num w:numId="4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16"/>
  </w:num>
  <w:num w:numId="66">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46"/>
    <w:rsid w:val="00000747"/>
    <w:rsid w:val="00000D38"/>
    <w:rsid w:val="00002FD0"/>
    <w:rsid w:val="000036C6"/>
    <w:rsid w:val="000115C5"/>
    <w:rsid w:val="0001232F"/>
    <w:rsid w:val="000123E5"/>
    <w:rsid w:val="0001412F"/>
    <w:rsid w:val="0001469E"/>
    <w:rsid w:val="00015469"/>
    <w:rsid w:val="00015993"/>
    <w:rsid w:val="00015A15"/>
    <w:rsid w:val="00015CB5"/>
    <w:rsid w:val="00015F2E"/>
    <w:rsid w:val="000166DA"/>
    <w:rsid w:val="00021CCB"/>
    <w:rsid w:val="0002213D"/>
    <w:rsid w:val="00022289"/>
    <w:rsid w:val="00026699"/>
    <w:rsid w:val="00027398"/>
    <w:rsid w:val="00030FD9"/>
    <w:rsid w:val="00031110"/>
    <w:rsid w:val="0003166F"/>
    <w:rsid w:val="0003201A"/>
    <w:rsid w:val="0003207A"/>
    <w:rsid w:val="00032F9F"/>
    <w:rsid w:val="00035D06"/>
    <w:rsid w:val="00037282"/>
    <w:rsid w:val="00041C07"/>
    <w:rsid w:val="0004500E"/>
    <w:rsid w:val="00045BB7"/>
    <w:rsid w:val="000509CF"/>
    <w:rsid w:val="00053E3C"/>
    <w:rsid w:val="00054973"/>
    <w:rsid w:val="00055719"/>
    <w:rsid w:val="0005641B"/>
    <w:rsid w:val="0006008E"/>
    <w:rsid w:val="0006196A"/>
    <w:rsid w:val="00064A83"/>
    <w:rsid w:val="00065968"/>
    <w:rsid w:val="00066369"/>
    <w:rsid w:val="00071710"/>
    <w:rsid w:val="000722B0"/>
    <w:rsid w:val="00073069"/>
    <w:rsid w:val="00074B61"/>
    <w:rsid w:val="00074BD0"/>
    <w:rsid w:val="00076270"/>
    <w:rsid w:val="000777FC"/>
    <w:rsid w:val="00080EB2"/>
    <w:rsid w:val="00081497"/>
    <w:rsid w:val="00082BE0"/>
    <w:rsid w:val="00082BF1"/>
    <w:rsid w:val="00084754"/>
    <w:rsid w:val="00085255"/>
    <w:rsid w:val="000862AF"/>
    <w:rsid w:val="0009008F"/>
    <w:rsid w:val="00093278"/>
    <w:rsid w:val="000944E4"/>
    <w:rsid w:val="00094887"/>
    <w:rsid w:val="00096AC5"/>
    <w:rsid w:val="000A1FF4"/>
    <w:rsid w:val="000A2E76"/>
    <w:rsid w:val="000A419D"/>
    <w:rsid w:val="000A4807"/>
    <w:rsid w:val="000A4BE4"/>
    <w:rsid w:val="000A7932"/>
    <w:rsid w:val="000B25A1"/>
    <w:rsid w:val="000C023E"/>
    <w:rsid w:val="000C15DE"/>
    <w:rsid w:val="000C3AE6"/>
    <w:rsid w:val="000C518E"/>
    <w:rsid w:val="000C5195"/>
    <w:rsid w:val="000C62EF"/>
    <w:rsid w:val="000C6386"/>
    <w:rsid w:val="000C7B99"/>
    <w:rsid w:val="000C7F08"/>
    <w:rsid w:val="000D0359"/>
    <w:rsid w:val="000D1917"/>
    <w:rsid w:val="000D1A3B"/>
    <w:rsid w:val="000D2137"/>
    <w:rsid w:val="000D3B07"/>
    <w:rsid w:val="000D3FD2"/>
    <w:rsid w:val="000D4550"/>
    <w:rsid w:val="000D4B2E"/>
    <w:rsid w:val="000D51E7"/>
    <w:rsid w:val="000D56E7"/>
    <w:rsid w:val="000E03CC"/>
    <w:rsid w:val="000E0D4D"/>
    <w:rsid w:val="000E1AF1"/>
    <w:rsid w:val="000E3FC8"/>
    <w:rsid w:val="000E46F7"/>
    <w:rsid w:val="000E7BAE"/>
    <w:rsid w:val="000F133D"/>
    <w:rsid w:val="000F2165"/>
    <w:rsid w:val="000F6BDA"/>
    <w:rsid w:val="000F752B"/>
    <w:rsid w:val="000F77B0"/>
    <w:rsid w:val="0010536B"/>
    <w:rsid w:val="00110A9C"/>
    <w:rsid w:val="0011145C"/>
    <w:rsid w:val="001128BD"/>
    <w:rsid w:val="00113F1D"/>
    <w:rsid w:val="0011419D"/>
    <w:rsid w:val="001147CF"/>
    <w:rsid w:val="00114B02"/>
    <w:rsid w:val="001224B3"/>
    <w:rsid w:val="001226C0"/>
    <w:rsid w:val="00126E20"/>
    <w:rsid w:val="00126EC8"/>
    <w:rsid w:val="00126FE8"/>
    <w:rsid w:val="0012731C"/>
    <w:rsid w:val="00132054"/>
    <w:rsid w:val="00134964"/>
    <w:rsid w:val="001351B9"/>
    <w:rsid w:val="00135FE9"/>
    <w:rsid w:val="00137465"/>
    <w:rsid w:val="0014030C"/>
    <w:rsid w:val="001403DB"/>
    <w:rsid w:val="00141B74"/>
    <w:rsid w:val="00145939"/>
    <w:rsid w:val="001535A1"/>
    <w:rsid w:val="00155CD2"/>
    <w:rsid w:val="001574A6"/>
    <w:rsid w:val="00157C19"/>
    <w:rsid w:val="00161FFE"/>
    <w:rsid w:val="00162AB6"/>
    <w:rsid w:val="00164099"/>
    <w:rsid w:val="00165764"/>
    <w:rsid w:val="00165821"/>
    <w:rsid w:val="00165ADF"/>
    <w:rsid w:val="00172502"/>
    <w:rsid w:val="001727A4"/>
    <w:rsid w:val="00173667"/>
    <w:rsid w:val="0017376C"/>
    <w:rsid w:val="001738AB"/>
    <w:rsid w:val="001739DF"/>
    <w:rsid w:val="001765E0"/>
    <w:rsid w:val="00177759"/>
    <w:rsid w:val="00180BB3"/>
    <w:rsid w:val="001837A4"/>
    <w:rsid w:val="00183EC1"/>
    <w:rsid w:val="00184CBA"/>
    <w:rsid w:val="00185CD8"/>
    <w:rsid w:val="00185E6B"/>
    <w:rsid w:val="00186478"/>
    <w:rsid w:val="00186E8F"/>
    <w:rsid w:val="00187BBC"/>
    <w:rsid w:val="00190158"/>
    <w:rsid w:val="001909A3"/>
    <w:rsid w:val="00192AE1"/>
    <w:rsid w:val="001932F3"/>
    <w:rsid w:val="00196EF7"/>
    <w:rsid w:val="00197078"/>
    <w:rsid w:val="001A2B40"/>
    <w:rsid w:val="001A3FD8"/>
    <w:rsid w:val="001A4309"/>
    <w:rsid w:val="001A46AE"/>
    <w:rsid w:val="001A5252"/>
    <w:rsid w:val="001A6C52"/>
    <w:rsid w:val="001B1053"/>
    <w:rsid w:val="001B14AC"/>
    <w:rsid w:val="001B3177"/>
    <w:rsid w:val="001B3CE8"/>
    <w:rsid w:val="001B69AF"/>
    <w:rsid w:val="001B738E"/>
    <w:rsid w:val="001B7394"/>
    <w:rsid w:val="001B7940"/>
    <w:rsid w:val="001C171A"/>
    <w:rsid w:val="001C329F"/>
    <w:rsid w:val="001C37CA"/>
    <w:rsid w:val="001C4085"/>
    <w:rsid w:val="001C41F7"/>
    <w:rsid w:val="001D3EFE"/>
    <w:rsid w:val="001D4303"/>
    <w:rsid w:val="001D5731"/>
    <w:rsid w:val="001D6746"/>
    <w:rsid w:val="001E20C6"/>
    <w:rsid w:val="001E3B49"/>
    <w:rsid w:val="001E3C6B"/>
    <w:rsid w:val="001E4A05"/>
    <w:rsid w:val="001E5D5B"/>
    <w:rsid w:val="001E7388"/>
    <w:rsid w:val="001F060A"/>
    <w:rsid w:val="001F1183"/>
    <w:rsid w:val="001F13DD"/>
    <w:rsid w:val="001F2473"/>
    <w:rsid w:val="001F2DBC"/>
    <w:rsid w:val="001F3CBB"/>
    <w:rsid w:val="001F6C77"/>
    <w:rsid w:val="001F73E8"/>
    <w:rsid w:val="00200631"/>
    <w:rsid w:val="00201B11"/>
    <w:rsid w:val="0020262C"/>
    <w:rsid w:val="00202FD6"/>
    <w:rsid w:val="0020337A"/>
    <w:rsid w:val="0020566F"/>
    <w:rsid w:val="0021035E"/>
    <w:rsid w:val="0021120C"/>
    <w:rsid w:val="00211278"/>
    <w:rsid w:val="00211A3E"/>
    <w:rsid w:val="00215BCA"/>
    <w:rsid w:val="00217AC4"/>
    <w:rsid w:val="00221461"/>
    <w:rsid w:val="002233B3"/>
    <w:rsid w:val="00224537"/>
    <w:rsid w:val="00226028"/>
    <w:rsid w:val="0022628D"/>
    <w:rsid w:val="002332F2"/>
    <w:rsid w:val="00235956"/>
    <w:rsid w:val="002363EE"/>
    <w:rsid w:val="00240C8E"/>
    <w:rsid w:val="00240F9F"/>
    <w:rsid w:val="002424E0"/>
    <w:rsid w:val="00243E5E"/>
    <w:rsid w:val="00243FE9"/>
    <w:rsid w:val="00245F37"/>
    <w:rsid w:val="00247C9A"/>
    <w:rsid w:val="0025160C"/>
    <w:rsid w:val="00252592"/>
    <w:rsid w:val="002535D0"/>
    <w:rsid w:val="002539B3"/>
    <w:rsid w:val="00253AA0"/>
    <w:rsid w:val="002548D7"/>
    <w:rsid w:val="00254AAD"/>
    <w:rsid w:val="00256336"/>
    <w:rsid w:val="00256649"/>
    <w:rsid w:val="00257C3E"/>
    <w:rsid w:val="002602C2"/>
    <w:rsid w:val="002643F9"/>
    <w:rsid w:val="002659E3"/>
    <w:rsid w:val="002666C9"/>
    <w:rsid w:val="00267B10"/>
    <w:rsid w:val="00270136"/>
    <w:rsid w:val="00270FD7"/>
    <w:rsid w:val="00271550"/>
    <w:rsid w:val="00271A39"/>
    <w:rsid w:val="00273E7A"/>
    <w:rsid w:val="00274A25"/>
    <w:rsid w:val="00274F5B"/>
    <w:rsid w:val="002753BA"/>
    <w:rsid w:val="00280024"/>
    <w:rsid w:val="00280836"/>
    <w:rsid w:val="002816A4"/>
    <w:rsid w:val="00282E1A"/>
    <w:rsid w:val="002840F1"/>
    <w:rsid w:val="00284946"/>
    <w:rsid w:val="0028713F"/>
    <w:rsid w:val="0029113B"/>
    <w:rsid w:val="002927A0"/>
    <w:rsid w:val="002934C0"/>
    <w:rsid w:val="00296990"/>
    <w:rsid w:val="00296A39"/>
    <w:rsid w:val="0029764C"/>
    <w:rsid w:val="00297B1D"/>
    <w:rsid w:val="002A0A3A"/>
    <w:rsid w:val="002A1286"/>
    <w:rsid w:val="002A1407"/>
    <w:rsid w:val="002A1B50"/>
    <w:rsid w:val="002A3092"/>
    <w:rsid w:val="002A3DCE"/>
    <w:rsid w:val="002A51DB"/>
    <w:rsid w:val="002B0E91"/>
    <w:rsid w:val="002B132C"/>
    <w:rsid w:val="002B1C9E"/>
    <w:rsid w:val="002B3BF0"/>
    <w:rsid w:val="002B3F23"/>
    <w:rsid w:val="002B4EB5"/>
    <w:rsid w:val="002B6576"/>
    <w:rsid w:val="002B6779"/>
    <w:rsid w:val="002B71C0"/>
    <w:rsid w:val="002B79F4"/>
    <w:rsid w:val="002B7A34"/>
    <w:rsid w:val="002C19E0"/>
    <w:rsid w:val="002C31AD"/>
    <w:rsid w:val="002C3999"/>
    <w:rsid w:val="002C5383"/>
    <w:rsid w:val="002C7385"/>
    <w:rsid w:val="002D27CC"/>
    <w:rsid w:val="002D2DBB"/>
    <w:rsid w:val="002D357B"/>
    <w:rsid w:val="002D37D8"/>
    <w:rsid w:val="002D54A6"/>
    <w:rsid w:val="002D54D1"/>
    <w:rsid w:val="002E38CE"/>
    <w:rsid w:val="002E5BF9"/>
    <w:rsid w:val="002E6A7A"/>
    <w:rsid w:val="002F0C50"/>
    <w:rsid w:val="002F10A6"/>
    <w:rsid w:val="002F15DD"/>
    <w:rsid w:val="002F1E49"/>
    <w:rsid w:val="002F2A8C"/>
    <w:rsid w:val="002F4E9C"/>
    <w:rsid w:val="002F5711"/>
    <w:rsid w:val="002F6875"/>
    <w:rsid w:val="002F7176"/>
    <w:rsid w:val="002F736E"/>
    <w:rsid w:val="00302CE6"/>
    <w:rsid w:val="00302F4E"/>
    <w:rsid w:val="00305C92"/>
    <w:rsid w:val="0030702A"/>
    <w:rsid w:val="00307710"/>
    <w:rsid w:val="003109E0"/>
    <w:rsid w:val="0031256C"/>
    <w:rsid w:val="003138D1"/>
    <w:rsid w:val="003143AA"/>
    <w:rsid w:val="00314D6C"/>
    <w:rsid w:val="00316D2A"/>
    <w:rsid w:val="00322A7C"/>
    <w:rsid w:val="00322EEC"/>
    <w:rsid w:val="00323061"/>
    <w:rsid w:val="00323C84"/>
    <w:rsid w:val="00326084"/>
    <w:rsid w:val="00330A50"/>
    <w:rsid w:val="00330C0B"/>
    <w:rsid w:val="00332352"/>
    <w:rsid w:val="0033477D"/>
    <w:rsid w:val="003402D3"/>
    <w:rsid w:val="00341F5F"/>
    <w:rsid w:val="00343469"/>
    <w:rsid w:val="00343ABC"/>
    <w:rsid w:val="003441C3"/>
    <w:rsid w:val="003463FE"/>
    <w:rsid w:val="00347D41"/>
    <w:rsid w:val="00350521"/>
    <w:rsid w:val="003513FF"/>
    <w:rsid w:val="003554B3"/>
    <w:rsid w:val="00356632"/>
    <w:rsid w:val="00356721"/>
    <w:rsid w:val="00357A34"/>
    <w:rsid w:val="00357C7E"/>
    <w:rsid w:val="00364DBD"/>
    <w:rsid w:val="003653B6"/>
    <w:rsid w:val="00374CC4"/>
    <w:rsid w:val="003763D1"/>
    <w:rsid w:val="003774B2"/>
    <w:rsid w:val="00380F2D"/>
    <w:rsid w:val="003845A9"/>
    <w:rsid w:val="003850C9"/>
    <w:rsid w:val="00386ACB"/>
    <w:rsid w:val="00390883"/>
    <w:rsid w:val="003922F8"/>
    <w:rsid w:val="003951BB"/>
    <w:rsid w:val="00395B24"/>
    <w:rsid w:val="003A2D38"/>
    <w:rsid w:val="003A36A1"/>
    <w:rsid w:val="003A4582"/>
    <w:rsid w:val="003A5DB0"/>
    <w:rsid w:val="003A7ECC"/>
    <w:rsid w:val="003B0C72"/>
    <w:rsid w:val="003B1259"/>
    <w:rsid w:val="003B143A"/>
    <w:rsid w:val="003B2C72"/>
    <w:rsid w:val="003B38BB"/>
    <w:rsid w:val="003B4920"/>
    <w:rsid w:val="003B4A5E"/>
    <w:rsid w:val="003B58B4"/>
    <w:rsid w:val="003B7C49"/>
    <w:rsid w:val="003C1333"/>
    <w:rsid w:val="003C20FF"/>
    <w:rsid w:val="003C550A"/>
    <w:rsid w:val="003C6055"/>
    <w:rsid w:val="003D1546"/>
    <w:rsid w:val="003D2650"/>
    <w:rsid w:val="003D4062"/>
    <w:rsid w:val="003D4FBD"/>
    <w:rsid w:val="003D560C"/>
    <w:rsid w:val="003D5C00"/>
    <w:rsid w:val="003D7BA6"/>
    <w:rsid w:val="003D7CD0"/>
    <w:rsid w:val="003E0D39"/>
    <w:rsid w:val="003E1388"/>
    <w:rsid w:val="003E1765"/>
    <w:rsid w:val="003E3154"/>
    <w:rsid w:val="003E5874"/>
    <w:rsid w:val="003E6446"/>
    <w:rsid w:val="003E719C"/>
    <w:rsid w:val="003E72D3"/>
    <w:rsid w:val="003F193E"/>
    <w:rsid w:val="003F242C"/>
    <w:rsid w:val="003F34F1"/>
    <w:rsid w:val="003F52CA"/>
    <w:rsid w:val="0040065B"/>
    <w:rsid w:val="00407BA6"/>
    <w:rsid w:val="004104B6"/>
    <w:rsid w:val="00410E14"/>
    <w:rsid w:val="00411AE8"/>
    <w:rsid w:val="004120ED"/>
    <w:rsid w:val="00413B74"/>
    <w:rsid w:val="004148C7"/>
    <w:rsid w:val="00415CEB"/>
    <w:rsid w:val="0041666D"/>
    <w:rsid w:val="00417261"/>
    <w:rsid w:val="0042013A"/>
    <w:rsid w:val="0042130C"/>
    <w:rsid w:val="004262AB"/>
    <w:rsid w:val="00427B83"/>
    <w:rsid w:val="00431896"/>
    <w:rsid w:val="0043337D"/>
    <w:rsid w:val="004342F3"/>
    <w:rsid w:val="00435C5F"/>
    <w:rsid w:val="00436155"/>
    <w:rsid w:val="00436989"/>
    <w:rsid w:val="00441AC6"/>
    <w:rsid w:val="00441E98"/>
    <w:rsid w:val="0044203E"/>
    <w:rsid w:val="00450F3A"/>
    <w:rsid w:val="004532F7"/>
    <w:rsid w:val="004605D0"/>
    <w:rsid w:val="004622C3"/>
    <w:rsid w:val="00463290"/>
    <w:rsid w:val="004634B4"/>
    <w:rsid w:val="00463AD9"/>
    <w:rsid w:val="00464D51"/>
    <w:rsid w:val="0046548A"/>
    <w:rsid w:val="0046749A"/>
    <w:rsid w:val="00467EA8"/>
    <w:rsid w:val="00470B8B"/>
    <w:rsid w:val="00472027"/>
    <w:rsid w:val="00477DC3"/>
    <w:rsid w:val="004804CF"/>
    <w:rsid w:val="00484962"/>
    <w:rsid w:val="00484F6D"/>
    <w:rsid w:val="00484FB7"/>
    <w:rsid w:val="0048554D"/>
    <w:rsid w:val="004863CF"/>
    <w:rsid w:val="00491DFE"/>
    <w:rsid w:val="0049338A"/>
    <w:rsid w:val="0049417F"/>
    <w:rsid w:val="00494EAB"/>
    <w:rsid w:val="00496D41"/>
    <w:rsid w:val="004A1AE7"/>
    <w:rsid w:val="004A6485"/>
    <w:rsid w:val="004A6602"/>
    <w:rsid w:val="004B3EFA"/>
    <w:rsid w:val="004B6642"/>
    <w:rsid w:val="004B66FE"/>
    <w:rsid w:val="004C2A87"/>
    <w:rsid w:val="004C43BF"/>
    <w:rsid w:val="004C4D7B"/>
    <w:rsid w:val="004C4ED3"/>
    <w:rsid w:val="004C5049"/>
    <w:rsid w:val="004C516D"/>
    <w:rsid w:val="004C667B"/>
    <w:rsid w:val="004C7615"/>
    <w:rsid w:val="004C7ECD"/>
    <w:rsid w:val="004D0BBA"/>
    <w:rsid w:val="004D1228"/>
    <w:rsid w:val="004D2EA5"/>
    <w:rsid w:val="004D32A6"/>
    <w:rsid w:val="004D3FF1"/>
    <w:rsid w:val="004D53E5"/>
    <w:rsid w:val="004D5F19"/>
    <w:rsid w:val="004D7821"/>
    <w:rsid w:val="004E15C0"/>
    <w:rsid w:val="004E20B4"/>
    <w:rsid w:val="004E33C0"/>
    <w:rsid w:val="004E3484"/>
    <w:rsid w:val="004E5B67"/>
    <w:rsid w:val="004E5C39"/>
    <w:rsid w:val="004E606B"/>
    <w:rsid w:val="004E6DC4"/>
    <w:rsid w:val="004E74BC"/>
    <w:rsid w:val="004F21C1"/>
    <w:rsid w:val="004F3EE4"/>
    <w:rsid w:val="004F5078"/>
    <w:rsid w:val="004F5424"/>
    <w:rsid w:val="004F573B"/>
    <w:rsid w:val="004F7EDC"/>
    <w:rsid w:val="00500AA9"/>
    <w:rsid w:val="00501A12"/>
    <w:rsid w:val="0050309C"/>
    <w:rsid w:val="0050445C"/>
    <w:rsid w:val="005055C6"/>
    <w:rsid w:val="00505982"/>
    <w:rsid w:val="0051327C"/>
    <w:rsid w:val="00513424"/>
    <w:rsid w:val="0051346D"/>
    <w:rsid w:val="00513EAE"/>
    <w:rsid w:val="00513FFF"/>
    <w:rsid w:val="0051434F"/>
    <w:rsid w:val="00516806"/>
    <w:rsid w:val="00517396"/>
    <w:rsid w:val="0052098C"/>
    <w:rsid w:val="00521E07"/>
    <w:rsid w:val="00523981"/>
    <w:rsid w:val="00525A49"/>
    <w:rsid w:val="005262D1"/>
    <w:rsid w:val="00527CE3"/>
    <w:rsid w:val="00530876"/>
    <w:rsid w:val="00532656"/>
    <w:rsid w:val="00535613"/>
    <w:rsid w:val="005359EB"/>
    <w:rsid w:val="0054254A"/>
    <w:rsid w:val="005427AA"/>
    <w:rsid w:val="0054500B"/>
    <w:rsid w:val="005466B5"/>
    <w:rsid w:val="00551195"/>
    <w:rsid w:val="0055251C"/>
    <w:rsid w:val="00554314"/>
    <w:rsid w:val="0055436C"/>
    <w:rsid w:val="0055687E"/>
    <w:rsid w:val="005574EA"/>
    <w:rsid w:val="005607E0"/>
    <w:rsid w:val="00562829"/>
    <w:rsid w:val="005629B3"/>
    <w:rsid w:val="0056320F"/>
    <w:rsid w:val="00565054"/>
    <w:rsid w:val="0056734B"/>
    <w:rsid w:val="00570322"/>
    <w:rsid w:val="005724F6"/>
    <w:rsid w:val="00573AC4"/>
    <w:rsid w:val="00573B80"/>
    <w:rsid w:val="00575B5C"/>
    <w:rsid w:val="00575C17"/>
    <w:rsid w:val="005801FC"/>
    <w:rsid w:val="00585BA9"/>
    <w:rsid w:val="00587359"/>
    <w:rsid w:val="005907F3"/>
    <w:rsid w:val="005949F5"/>
    <w:rsid w:val="00595016"/>
    <w:rsid w:val="0059607F"/>
    <w:rsid w:val="005964CE"/>
    <w:rsid w:val="00597AAE"/>
    <w:rsid w:val="00597B08"/>
    <w:rsid w:val="005A061D"/>
    <w:rsid w:val="005A0B04"/>
    <w:rsid w:val="005A222C"/>
    <w:rsid w:val="005A289A"/>
    <w:rsid w:val="005A3627"/>
    <w:rsid w:val="005A40EB"/>
    <w:rsid w:val="005A4DF8"/>
    <w:rsid w:val="005A4E20"/>
    <w:rsid w:val="005A5BFB"/>
    <w:rsid w:val="005A78C8"/>
    <w:rsid w:val="005B0DD3"/>
    <w:rsid w:val="005B1426"/>
    <w:rsid w:val="005B37E0"/>
    <w:rsid w:val="005B4EF0"/>
    <w:rsid w:val="005B5047"/>
    <w:rsid w:val="005B5254"/>
    <w:rsid w:val="005B78A3"/>
    <w:rsid w:val="005C0A8E"/>
    <w:rsid w:val="005C1767"/>
    <w:rsid w:val="005C185C"/>
    <w:rsid w:val="005C1E75"/>
    <w:rsid w:val="005C42EF"/>
    <w:rsid w:val="005C6F90"/>
    <w:rsid w:val="005C767E"/>
    <w:rsid w:val="005D3599"/>
    <w:rsid w:val="005D4B12"/>
    <w:rsid w:val="005E02F5"/>
    <w:rsid w:val="005E0510"/>
    <w:rsid w:val="005E176E"/>
    <w:rsid w:val="005E1F32"/>
    <w:rsid w:val="005E218E"/>
    <w:rsid w:val="005E35A0"/>
    <w:rsid w:val="005E3E36"/>
    <w:rsid w:val="005E76C9"/>
    <w:rsid w:val="005F0D1B"/>
    <w:rsid w:val="005F1761"/>
    <w:rsid w:val="005F1865"/>
    <w:rsid w:val="005F1890"/>
    <w:rsid w:val="005F3F29"/>
    <w:rsid w:val="005F4540"/>
    <w:rsid w:val="005F7609"/>
    <w:rsid w:val="00600569"/>
    <w:rsid w:val="006007BD"/>
    <w:rsid w:val="006013C8"/>
    <w:rsid w:val="0060270D"/>
    <w:rsid w:val="00604611"/>
    <w:rsid w:val="0060599C"/>
    <w:rsid w:val="006070B5"/>
    <w:rsid w:val="00611586"/>
    <w:rsid w:val="00612D26"/>
    <w:rsid w:val="00615855"/>
    <w:rsid w:val="00616276"/>
    <w:rsid w:val="00616C00"/>
    <w:rsid w:val="0061739D"/>
    <w:rsid w:val="00617F1D"/>
    <w:rsid w:val="006202D0"/>
    <w:rsid w:val="00620DA8"/>
    <w:rsid w:val="00621887"/>
    <w:rsid w:val="006233E5"/>
    <w:rsid w:val="00624520"/>
    <w:rsid w:val="006271F5"/>
    <w:rsid w:val="00630336"/>
    <w:rsid w:val="006305CF"/>
    <w:rsid w:val="00632300"/>
    <w:rsid w:val="00632BB7"/>
    <w:rsid w:val="006341B3"/>
    <w:rsid w:val="0063461C"/>
    <w:rsid w:val="006359D7"/>
    <w:rsid w:val="00635B36"/>
    <w:rsid w:val="00636871"/>
    <w:rsid w:val="00640EE1"/>
    <w:rsid w:val="00640F4E"/>
    <w:rsid w:val="006422EA"/>
    <w:rsid w:val="00643DE0"/>
    <w:rsid w:val="0064437D"/>
    <w:rsid w:val="00644E85"/>
    <w:rsid w:val="00647BE1"/>
    <w:rsid w:val="006500CB"/>
    <w:rsid w:val="006506D2"/>
    <w:rsid w:val="0065267B"/>
    <w:rsid w:val="00652C52"/>
    <w:rsid w:val="00656177"/>
    <w:rsid w:val="00656AA0"/>
    <w:rsid w:val="0066063F"/>
    <w:rsid w:val="0066158C"/>
    <w:rsid w:val="00662BB0"/>
    <w:rsid w:val="00663878"/>
    <w:rsid w:val="00663B07"/>
    <w:rsid w:val="00665AA7"/>
    <w:rsid w:val="00665AD2"/>
    <w:rsid w:val="00667773"/>
    <w:rsid w:val="00670743"/>
    <w:rsid w:val="00670752"/>
    <w:rsid w:val="00671840"/>
    <w:rsid w:val="00671C4A"/>
    <w:rsid w:val="0067729E"/>
    <w:rsid w:val="0067732E"/>
    <w:rsid w:val="00680A85"/>
    <w:rsid w:val="00681ADF"/>
    <w:rsid w:val="006875FA"/>
    <w:rsid w:val="00690317"/>
    <w:rsid w:val="00690EE2"/>
    <w:rsid w:val="00693854"/>
    <w:rsid w:val="00694BEB"/>
    <w:rsid w:val="00696A0D"/>
    <w:rsid w:val="00697200"/>
    <w:rsid w:val="006A0E20"/>
    <w:rsid w:val="006A1B00"/>
    <w:rsid w:val="006A20F7"/>
    <w:rsid w:val="006A24E3"/>
    <w:rsid w:val="006A303E"/>
    <w:rsid w:val="006A47C4"/>
    <w:rsid w:val="006A5695"/>
    <w:rsid w:val="006B0253"/>
    <w:rsid w:val="006B0439"/>
    <w:rsid w:val="006B3904"/>
    <w:rsid w:val="006B5195"/>
    <w:rsid w:val="006B53BC"/>
    <w:rsid w:val="006B5B7D"/>
    <w:rsid w:val="006C231C"/>
    <w:rsid w:val="006C5B46"/>
    <w:rsid w:val="006C5BC7"/>
    <w:rsid w:val="006C6178"/>
    <w:rsid w:val="006C6E39"/>
    <w:rsid w:val="006D0DC0"/>
    <w:rsid w:val="006D0ECF"/>
    <w:rsid w:val="006D287E"/>
    <w:rsid w:val="006D2BAC"/>
    <w:rsid w:val="006D2E5F"/>
    <w:rsid w:val="006D3D5B"/>
    <w:rsid w:val="006D4C92"/>
    <w:rsid w:val="006D4EB6"/>
    <w:rsid w:val="006D59B0"/>
    <w:rsid w:val="006E0430"/>
    <w:rsid w:val="006E1D72"/>
    <w:rsid w:val="006E2219"/>
    <w:rsid w:val="006E35BF"/>
    <w:rsid w:val="006E7850"/>
    <w:rsid w:val="006E7FDB"/>
    <w:rsid w:val="006F1F9A"/>
    <w:rsid w:val="006F221D"/>
    <w:rsid w:val="006F46D6"/>
    <w:rsid w:val="006F4DE3"/>
    <w:rsid w:val="00701720"/>
    <w:rsid w:val="007028D9"/>
    <w:rsid w:val="0070343D"/>
    <w:rsid w:val="007071DF"/>
    <w:rsid w:val="00707218"/>
    <w:rsid w:val="00710D04"/>
    <w:rsid w:val="00712B1D"/>
    <w:rsid w:val="00715751"/>
    <w:rsid w:val="00715A59"/>
    <w:rsid w:val="007171BA"/>
    <w:rsid w:val="00717616"/>
    <w:rsid w:val="0071790B"/>
    <w:rsid w:val="00721FF8"/>
    <w:rsid w:val="00722617"/>
    <w:rsid w:val="007238B9"/>
    <w:rsid w:val="00727A63"/>
    <w:rsid w:val="007325D9"/>
    <w:rsid w:val="0073583B"/>
    <w:rsid w:val="007360CA"/>
    <w:rsid w:val="00736EE3"/>
    <w:rsid w:val="00737AA7"/>
    <w:rsid w:val="00740B4A"/>
    <w:rsid w:val="00743D55"/>
    <w:rsid w:val="0074667B"/>
    <w:rsid w:val="007470BD"/>
    <w:rsid w:val="007506E0"/>
    <w:rsid w:val="00756FCE"/>
    <w:rsid w:val="00760EC0"/>
    <w:rsid w:val="00761A77"/>
    <w:rsid w:val="00763BCB"/>
    <w:rsid w:val="00770949"/>
    <w:rsid w:val="007711BD"/>
    <w:rsid w:val="007712C7"/>
    <w:rsid w:val="00775552"/>
    <w:rsid w:val="00777893"/>
    <w:rsid w:val="0078003A"/>
    <w:rsid w:val="00780771"/>
    <w:rsid w:val="00781894"/>
    <w:rsid w:val="00785FB6"/>
    <w:rsid w:val="007870E5"/>
    <w:rsid w:val="00787A60"/>
    <w:rsid w:val="007918BD"/>
    <w:rsid w:val="007929CF"/>
    <w:rsid w:val="00792F6D"/>
    <w:rsid w:val="00793BB3"/>
    <w:rsid w:val="00793D0D"/>
    <w:rsid w:val="0079434A"/>
    <w:rsid w:val="00796CBF"/>
    <w:rsid w:val="00796F43"/>
    <w:rsid w:val="007A3C1A"/>
    <w:rsid w:val="007A49E7"/>
    <w:rsid w:val="007A6F28"/>
    <w:rsid w:val="007A728E"/>
    <w:rsid w:val="007B03C6"/>
    <w:rsid w:val="007B0DB1"/>
    <w:rsid w:val="007B5673"/>
    <w:rsid w:val="007B7238"/>
    <w:rsid w:val="007B76FF"/>
    <w:rsid w:val="007B7D5F"/>
    <w:rsid w:val="007C2209"/>
    <w:rsid w:val="007C3BF6"/>
    <w:rsid w:val="007C48C5"/>
    <w:rsid w:val="007C5E24"/>
    <w:rsid w:val="007C67B3"/>
    <w:rsid w:val="007C6966"/>
    <w:rsid w:val="007D030B"/>
    <w:rsid w:val="007D0FD2"/>
    <w:rsid w:val="007D1D8F"/>
    <w:rsid w:val="007D2EF8"/>
    <w:rsid w:val="007D3CA8"/>
    <w:rsid w:val="007D561F"/>
    <w:rsid w:val="007D60C7"/>
    <w:rsid w:val="007D7FD2"/>
    <w:rsid w:val="007E13D9"/>
    <w:rsid w:val="007E2775"/>
    <w:rsid w:val="007E2AEC"/>
    <w:rsid w:val="007E41BE"/>
    <w:rsid w:val="007E4DB6"/>
    <w:rsid w:val="007E6733"/>
    <w:rsid w:val="007E7CD4"/>
    <w:rsid w:val="007F026E"/>
    <w:rsid w:val="007F12AC"/>
    <w:rsid w:val="007F4501"/>
    <w:rsid w:val="007F60DF"/>
    <w:rsid w:val="007F78D7"/>
    <w:rsid w:val="00801703"/>
    <w:rsid w:val="00801800"/>
    <w:rsid w:val="00801861"/>
    <w:rsid w:val="00801B5B"/>
    <w:rsid w:val="00811918"/>
    <w:rsid w:val="0081284C"/>
    <w:rsid w:val="008148CF"/>
    <w:rsid w:val="00815341"/>
    <w:rsid w:val="008157B7"/>
    <w:rsid w:val="008179C4"/>
    <w:rsid w:val="008216E7"/>
    <w:rsid w:val="0082451A"/>
    <w:rsid w:val="00824F07"/>
    <w:rsid w:val="00825BE6"/>
    <w:rsid w:val="008276B4"/>
    <w:rsid w:val="00827A11"/>
    <w:rsid w:val="008311DF"/>
    <w:rsid w:val="00831927"/>
    <w:rsid w:val="008336F5"/>
    <w:rsid w:val="008346B8"/>
    <w:rsid w:val="00837288"/>
    <w:rsid w:val="00841656"/>
    <w:rsid w:val="00841BD3"/>
    <w:rsid w:val="0084273D"/>
    <w:rsid w:val="00842D75"/>
    <w:rsid w:val="00844E3F"/>
    <w:rsid w:val="00845000"/>
    <w:rsid w:val="00845A83"/>
    <w:rsid w:val="00846BB9"/>
    <w:rsid w:val="00852BAB"/>
    <w:rsid w:val="0086116A"/>
    <w:rsid w:val="0086164F"/>
    <w:rsid w:val="00862D03"/>
    <w:rsid w:val="008649D5"/>
    <w:rsid w:val="008677C9"/>
    <w:rsid w:val="008712BB"/>
    <w:rsid w:val="00874781"/>
    <w:rsid w:val="00875809"/>
    <w:rsid w:val="008830E7"/>
    <w:rsid w:val="00884AE2"/>
    <w:rsid w:val="00885179"/>
    <w:rsid w:val="00887D29"/>
    <w:rsid w:val="00890EDE"/>
    <w:rsid w:val="00892B38"/>
    <w:rsid w:val="00896222"/>
    <w:rsid w:val="008979E5"/>
    <w:rsid w:val="00897FA7"/>
    <w:rsid w:val="008A0BAF"/>
    <w:rsid w:val="008A13EA"/>
    <w:rsid w:val="008A1741"/>
    <w:rsid w:val="008A20DF"/>
    <w:rsid w:val="008A2484"/>
    <w:rsid w:val="008A38FB"/>
    <w:rsid w:val="008A482C"/>
    <w:rsid w:val="008A52F3"/>
    <w:rsid w:val="008A6AFB"/>
    <w:rsid w:val="008A7C0A"/>
    <w:rsid w:val="008B5E56"/>
    <w:rsid w:val="008C1661"/>
    <w:rsid w:val="008C26D9"/>
    <w:rsid w:val="008C2CD0"/>
    <w:rsid w:val="008C6D50"/>
    <w:rsid w:val="008C7167"/>
    <w:rsid w:val="008C7503"/>
    <w:rsid w:val="008D1617"/>
    <w:rsid w:val="008D330F"/>
    <w:rsid w:val="008D48C1"/>
    <w:rsid w:val="008D789E"/>
    <w:rsid w:val="008E0B8E"/>
    <w:rsid w:val="008E0D70"/>
    <w:rsid w:val="008E5F4D"/>
    <w:rsid w:val="008E6315"/>
    <w:rsid w:val="008F07FC"/>
    <w:rsid w:val="008F11E0"/>
    <w:rsid w:val="008F3EA7"/>
    <w:rsid w:val="008F3F5C"/>
    <w:rsid w:val="008F78BC"/>
    <w:rsid w:val="008F7B63"/>
    <w:rsid w:val="008F7D6A"/>
    <w:rsid w:val="00901C86"/>
    <w:rsid w:val="00902A2C"/>
    <w:rsid w:val="00903603"/>
    <w:rsid w:val="009054CB"/>
    <w:rsid w:val="00905E96"/>
    <w:rsid w:val="0091071B"/>
    <w:rsid w:val="00911C5A"/>
    <w:rsid w:val="00911F8D"/>
    <w:rsid w:val="00912735"/>
    <w:rsid w:val="00912F94"/>
    <w:rsid w:val="00913CDB"/>
    <w:rsid w:val="009149DB"/>
    <w:rsid w:val="009171BC"/>
    <w:rsid w:val="009206B6"/>
    <w:rsid w:val="00920DF6"/>
    <w:rsid w:val="009211F9"/>
    <w:rsid w:val="0092497E"/>
    <w:rsid w:val="0092590B"/>
    <w:rsid w:val="00925BF3"/>
    <w:rsid w:val="00925E60"/>
    <w:rsid w:val="009264B3"/>
    <w:rsid w:val="009306ED"/>
    <w:rsid w:val="009327A3"/>
    <w:rsid w:val="00932F00"/>
    <w:rsid w:val="009365E0"/>
    <w:rsid w:val="00942BA2"/>
    <w:rsid w:val="009432B7"/>
    <w:rsid w:val="00944C86"/>
    <w:rsid w:val="00947C02"/>
    <w:rsid w:val="00950BE6"/>
    <w:rsid w:val="00951738"/>
    <w:rsid w:val="00954E78"/>
    <w:rsid w:val="00955F1D"/>
    <w:rsid w:val="00956C8C"/>
    <w:rsid w:val="00957DE8"/>
    <w:rsid w:val="00960E00"/>
    <w:rsid w:val="00960ECB"/>
    <w:rsid w:val="009613CC"/>
    <w:rsid w:val="009615D6"/>
    <w:rsid w:val="00961B7C"/>
    <w:rsid w:val="00962137"/>
    <w:rsid w:val="0096238A"/>
    <w:rsid w:val="00967855"/>
    <w:rsid w:val="009732E0"/>
    <w:rsid w:val="00974709"/>
    <w:rsid w:val="00980736"/>
    <w:rsid w:val="00981A39"/>
    <w:rsid w:val="00982D56"/>
    <w:rsid w:val="00983DBF"/>
    <w:rsid w:val="00987097"/>
    <w:rsid w:val="00991123"/>
    <w:rsid w:val="00991CAB"/>
    <w:rsid w:val="00992258"/>
    <w:rsid w:val="00993529"/>
    <w:rsid w:val="00993808"/>
    <w:rsid w:val="009940EF"/>
    <w:rsid w:val="009A3A9C"/>
    <w:rsid w:val="009A7EA8"/>
    <w:rsid w:val="009B00A0"/>
    <w:rsid w:val="009B046C"/>
    <w:rsid w:val="009B13FA"/>
    <w:rsid w:val="009B1E2D"/>
    <w:rsid w:val="009B28EC"/>
    <w:rsid w:val="009B7AD7"/>
    <w:rsid w:val="009C2C6D"/>
    <w:rsid w:val="009C37C8"/>
    <w:rsid w:val="009C59FB"/>
    <w:rsid w:val="009C6F3B"/>
    <w:rsid w:val="009D02E9"/>
    <w:rsid w:val="009D1467"/>
    <w:rsid w:val="009D517B"/>
    <w:rsid w:val="009D5D0F"/>
    <w:rsid w:val="009E448D"/>
    <w:rsid w:val="009E4FA6"/>
    <w:rsid w:val="009E7D93"/>
    <w:rsid w:val="009F0F42"/>
    <w:rsid w:val="009F1AA4"/>
    <w:rsid w:val="009F370D"/>
    <w:rsid w:val="009F3C34"/>
    <w:rsid w:val="009F462C"/>
    <w:rsid w:val="009F5C33"/>
    <w:rsid w:val="009F69AE"/>
    <w:rsid w:val="009F7A19"/>
    <w:rsid w:val="009F7C76"/>
    <w:rsid w:val="00A026F0"/>
    <w:rsid w:val="00A03EAC"/>
    <w:rsid w:val="00A04DBB"/>
    <w:rsid w:val="00A05FF9"/>
    <w:rsid w:val="00A07EA0"/>
    <w:rsid w:val="00A1080F"/>
    <w:rsid w:val="00A1120E"/>
    <w:rsid w:val="00A11CA6"/>
    <w:rsid w:val="00A1342F"/>
    <w:rsid w:val="00A1388B"/>
    <w:rsid w:val="00A1589C"/>
    <w:rsid w:val="00A15A8A"/>
    <w:rsid w:val="00A166C5"/>
    <w:rsid w:val="00A20B7F"/>
    <w:rsid w:val="00A20C49"/>
    <w:rsid w:val="00A22932"/>
    <w:rsid w:val="00A22B41"/>
    <w:rsid w:val="00A2578B"/>
    <w:rsid w:val="00A269CA"/>
    <w:rsid w:val="00A274C1"/>
    <w:rsid w:val="00A31EA1"/>
    <w:rsid w:val="00A322D3"/>
    <w:rsid w:val="00A336EE"/>
    <w:rsid w:val="00A33F46"/>
    <w:rsid w:val="00A3427E"/>
    <w:rsid w:val="00A359AC"/>
    <w:rsid w:val="00A40F83"/>
    <w:rsid w:val="00A410FB"/>
    <w:rsid w:val="00A41349"/>
    <w:rsid w:val="00A41413"/>
    <w:rsid w:val="00A431E6"/>
    <w:rsid w:val="00A436E8"/>
    <w:rsid w:val="00A44CB8"/>
    <w:rsid w:val="00A45FB1"/>
    <w:rsid w:val="00A46CCC"/>
    <w:rsid w:val="00A47996"/>
    <w:rsid w:val="00A5107B"/>
    <w:rsid w:val="00A51CFE"/>
    <w:rsid w:val="00A5204D"/>
    <w:rsid w:val="00A54BF8"/>
    <w:rsid w:val="00A566CE"/>
    <w:rsid w:val="00A571A3"/>
    <w:rsid w:val="00A61605"/>
    <w:rsid w:val="00A62253"/>
    <w:rsid w:val="00A629CF"/>
    <w:rsid w:val="00A642CF"/>
    <w:rsid w:val="00A65F97"/>
    <w:rsid w:val="00A67D40"/>
    <w:rsid w:val="00A7610D"/>
    <w:rsid w:val="00A76C13"/>
    <w:rsid w:val="00A84FD0"/>
    <w:rsid w:val="00A87B92"/>
    <w:rsid w:val="00A92750"/>
    <w:rsid w:val="00A92E79"/>
    <w:rsid w:val="00A93178"/>
    <w:rsid w:val="00A950B6"/>
    <w:rsid w:val="00A95D45"/>
    <w:rsid w:val="00A96D62"/>
    <w:rsid w:val="00AA2D56"/>
    <w:rsid w:val="00AA3322"/>
    <w:rsid w:val="00AA4EF3"/>
    <w:rsid w:val="00AB0528"/>
    <w:rsid w:val="00AB0D03"/>
    <w:rsid w:val="00AB2CC5"/>
    <w:rsid w:val="00AB41C1"/>
    <w:rsid w:val="00AB48C7"/>
    <w:rsid w:val="00AB4CF2"/>
    <w:rsid w:val="00AB5791"/>
    <w:rsid w:val="00AB6CCA"/>
    <w:rsid w:val="00AB76F3"/>
    <w:rsid w:val="00AC001D"/>
    <w:rsid w:val="00AC1963"/>
    <w:rsid w:val="00AC223F"/>
    <w:rsid w:val="00AC261A"/>
    <w:rsid w:val="00AC33B1"/>
    <w:rsid w:val="00AC3DD3"/>
    <w:rsid w:val="00AC3E72"/>
    <w:rsid w:val="00AC70BF"/>
    <w:rsid w:val="00AD061C"/>
    <w:rsid w:val="00AD12A8"/>
    <w:rsid w:val="00AD192E"/>
    <w:rsid w:val="00AD3E2D"/>
    <w:rsid w:val="00AD49C6"/>
    <w:rsid w:val="00AD5767"/>
    <w:rsid w:val="00AD78EA"/>
    <w:rsid w:val="00AE023F"/>
    <w:rsid w:val="00AE440A"/>
    <w:rsid w:val="00AF00A7"/>
    <w:rsid w:val="00AF1BC5"/>
    <w:rsid w:val="00AF303E"/>
    <w:rsid w:val="00AF3577"/>
    <w:rsid w:val="00AF35F9"/>
    <w:rsid w:val="00AF4570"/>
    <w:rsid w:val="00AF5384"/>
    <w:rsid w:val="00B01575"/>
    <w:rsid w:val="00B01F06"/>
    <w:rsid w:val="00B0424C"/>
    <w:rsid w:val="00B05C7D"/>
    <w:rsid w:val="00B12D14"/>
    <w:rsid w:val="00B14BDB"/>
    <w:rsid w:val="00B15305"/>
    <w:rsid w:val="00B15D57"/>
    <w:rsid w:val="00B16347"/>
    <w:rsid w:val="00B17D6E"/>
    <w:rsid w:val="00B225EF"/>
    <w:rsid w:val="00B2435E"/>
    <w:rsid w:val="00B26FEF"/>
    <w:rsid w:val="00B27B02"/>
    <w:rsid w:val="00B33829"/>
    <w:rsid w:val="00B346C3"/>
    <w:rsid w:val="00B4005C"/>
    <w:rsid w:val="00B41E6E"/>
    <w:rsid w:val="00B4227E"/>
    <w:rsid w:val="00B4471C"/>
    <w:rsid w:val="00B44AEA"/>
    <w:rsid w:val="00B44D1A"/>
    <w:rsid w:val="00B451A6"/>
    <w:rsid w:val="00B51EE5"/>
    <w:rsid w:val="00B55ABF"/>
    <w:rsid w:val="00B56D6E"/>
    <w:rsid w:val="00B57F84"/>
    <w:rsid w:val="00B60D61"/>
    <w:rsid w:val="00B63644"/>
    <w:rsid w:val="00B64347"/>
    <w:rsid w:val="00B65DC6"/>
    <w:rsid w:val="00B665A8"/>
    <w:rsid w:val="00B67AC2"/>
    <w:rsid w:val="00B722DE"/>
    <w:rsid w:val="00B7267D"/>
    <w:rsid w:val="00B72CB4"/>
    <w:rsid w:val="00B74018"/>
    <w:rsid w:val="00B751E3"/>
    <w:rsid w:val="00B75BA6"/>
    <w:rsid w:val="00B76C44"/>
    <w:rsid w:val="00B77189"/>
    <w:rsid w:val="00B808CB"/>
    <w:rsid w:val="00B8184A"/>
    <w:rsid w:val="00B82283"/>
    <w:rsid w:val="00B828D8"/>
    <w:rsid w:val="00B83F87"/>
    <w:rsid w:val="00B86F75"/>
    <w:rsid w:val="00B87863"/>
    <w:rsid w:val="00B87CDC"/>
    <w:rsid w:val="00B90AE0"/>
    <w:rsid w:val="00B910C1"/>
    <w:rsid w:val="00B95AE3"/>
    <w:rsid w:val="00B96D40"/>
    <w:rsid w:val="00B970EC"/>
    <w:rsid w:val="00B97854"/>
    <w:rsid w:val="00BA1855"/>
    <w:rsid w:val="00BA2CA4"/>
    <w:rsid w:val="00BA2E2D"/>
    <w:rsid w:val="00BA2EFA"/>
    <w:rsid w:val="00BA2F9C"/>
    <w:rsid w:val="00BA3DBC"/>
    <w:rsid w:val="00BA5D36"/>
    <w:rsid w:val="00BA707A"/>
    <w:rsid w:val="00BA79B7"/>
    <w:rsid w:val="00BB1AFB"/>
    <w:rsid w:val="00BB27AE"/>
    <w:rsid w:val="00BB2DA2"/>
    <w:rsid w:val="00BB56DC"/>
    <w:rsid w:val="00BC4233"/>
    <w:rsid w:val="00BC42A4"/>
    <w:rsid w:val="00BC4FB3"/>
    <w:rsid w:val="00BC5AF4"/>
    <w:rsid w:val="00BD0A58"/>
    <w:rsid w:val="00BD1E4F"/>
    <w:rsid w:val="00BD3F4C"/>
    <w:rsid w:val="00BD5AA4"/>
    <w:rsid w:val="00BE183D"/>
    <w:rsid w:val="00BE432B"/>
    <w:rsid w:val="00BE6883"/>
    <w:rsid w:val="00BE77A2"/>
    <w:rsid w:val="00BF52D5"/>
    <w:rsid w:val="00BF5D7A"/>
    <w:rsid w:val="00C00F81"/>
    <w:rsid w:val="00C01268"/>
    <w:rsid w:val="00C01C2E"/>
    <w:rsid w:val="00C0228D"/>
    <w:rsid w:val="00C024F3"/>
    <w:rsid w:val="00C02D33"/>
    <w:rsid w:val="00C03C54"/>
    <w:rsid w:val="00C04B53"/>
    <w:rsid w:val="00C07F61"/>
    <w:rsid w:val="00C1232C"/>
    <w:rsid w:val="00C1501B"/>
    <w:rsid w:val="00C16D3F"/>
    <w:rsid w:val="00C23901"/>
    <w:rsid w:val="00C25C02"/>
    <w:rsid w:val="00C27C6B"/>
    <w:rsid w:val="00C3122F"/>
    <w:rsid w:val="00C323B5"/>
    <w:rsid w:val="00C332F6"/>
    <w:rsid w:val="00C3368D"/>
    <w:rsid w:val="00C33CB0"/>
    <w:rsid w:val="00C34748"/>
    <w:rsid w:val="00C3594D"/>
    <w:rsid w:val="00C36442"/>
    <w:rsid w:val="00C37138"/>
    <w:rsid w:val="00C400CE"/>
    <w:rsid w:val="00C410FD"/>
    <w:rsid w:val="00C44BB6"/>
    <w:rsid w:val="00C457DE"/>
    <w:rsid w:val="00C47DD3"/>
    <w:rsid w:val="00C52735"/>
    <w:rsid w:val="00C52BDA"/>
    <w:rsid w:val="00C52FC2"/>
    <w:rsid w:val="00C52FD2"/>
    <w:rsid w:val="00C53562"/>
    <w:rsid w:val="00C539FB"/>
    <w:rsid w:val="00C543D3"/>
    <w:rsid w:val="00C5449B"/>
    <w:rsid w:val="00C56D66"/>
    <w:rsid w:val="00C57A4B"/>
    <w:rsid w:val="00C656CC"/>
    <w:rsid w:val="00C66E57"/>
    <w:rsid w:val="00C67133"/>
    <w:rsid w:val="00C67D57"/>
    <w:rsid w:val="00C7001D"/>
    <w:rsid w:val="00C73850"/>
    <w:rsid w:val="00C74150"/>
    <w:rsid w:val="00C7461A"/>
    <w:rsid w:val="00C74D9F"/>
    <w:rsid w:val="00C75594"/>
    <w:rsid w:val="00C77C42"/>
    <w:rsid w:val="00C81499"/>
    <w:rsid w:val="00C81DF6"/>
    <w:rsid w:val="00C81F48"/>
    <w:rsid w:val="00C82DF5"/>
    <w:rsid w:val="00C84680"/>
    <w:rsid w:val="00C84B57"/>
    <w:rsid w:val="00C85982"/>
    <w:rsid w:val="00C91330"/>
    <w:rsid w:val="00C91EF9"/>
    <w:rsid w:val="00C97753"/>
    <w:rsid w:val="00CA0466"/>
    <w:rsid w:val="00CA0DEC"/>
    <w:rsid w:val="00CA0F64"/>
    <w:rsid w:val="00CA17E5"/>
    <w:rsid w:val="00CA246D"/>
    <w:rsid w:val="00CA2D97"/>
    <w:rsid w:val="00CA50D9"/>
    <w:rsid w:val="00CA7C48"/>
    <w:rsid w:val="00CB263E"/>
    <w:rsid w:val="00CB3054"/>
    <w:rsid w:val="00CB5636"/>
    <w:rsid w:val="00CB66D9"/>
    <w:rsid w:val="00CC0E5B"/>
    <w:rsid w:val="00CC2F29"/>
    <w:rsid w:val="00CC3677"/>
    <w:rsid w:val="00CC3EE5"/>
    <w:rsid w:val="00CC3F36"/>
    <w:rsid w:val="00CC422D"/>
    <w:rsid w:val="00CC4C21"/>
    <w:rsid w:val="00CD1A27"/>
    <w:rsid w:val="00CD2077"/>
    <w:rsid w:val="00CD236C"/>
    <w:rsid w:val="00CD279D"/>
    <w:rsid w:val="00CD2A2C"/>
    <w:rsid w:val="00CD3C1B"/>
    <w:rsid w:val="00CD74B7"/>
    <w:rsid w:val="00CE425C"/>
    <w:rsid w:val="00CE58AC"/>
    <w:rsid w:val="00CE7414"/>
    <w:rsid w:val="00CF2D2B"/>
    <w:rsid w:val="00CF3D8B"/>
    <w:rsid w:val="00CF4C83"/>
    <w:rsid w:val="00CF5A80"/>
    <w:rsid w:val="00CF6285"/>
    <w:rsid w:val="00CF726A"/>
    <w:rsid w:val="00D0201A"/>
    <w:rsid w:val="00D045EE"/>
    <w:rsid w:val="00D05091"/>
    <w:rsid w:val="00D07BB6"/>
    <w:rsid w:val="00D10989"/>
    <w:rsid w:val="00D10CA6"/>
    <w:rsid w:val="00D10EF9"/>
    <w:rsid w:val="00D10F21"/>
    <w:rsid w:val="00D11648"/>
    <w:rsid w:val="00D134CF"/>
    <w:rsid w:val="00D14FF4"/>
    <w:rsid w:val="00D1573B"/>
    <w:rsid w:val="00D15B57"/>
    <w:rsid w:val="00D20309"/>
    <w:rsid w:val="00D24806"/>
    <w:rsid w:val="00D30E49"/>
    <w:rsid w:val="00D33F24"/>
    <w:rsid w:val="00D34040"/>
    <w:rsid w:val="00D34E69"/>
    <w:rsid w:val="00D36C78"/>
    <w:rsid w:val="00D375EE"/>
    <w:rsid w:val="00D44051"/>
    <w:rsid w:val="00D470C1"/>
    <w:rsid w:val="00D5085F"/>
    <w:rsid w:val="00D50B2C"/>
    <w:rsid w:val="00D51669"/>
    <w:rsid w:val="00D525B6"/>
    <w:rsid w:val="00D532AB"/>
    <w:rsid w:val="00D55AE8"/>
    <w:rsid w:val="00D56056"/>
    <w:rsid w:val="00D5673D"/>
    <w:rsid w:val="00D57F51"/>
    <w:rsid w:val="00D601DE"/>
    <w:rsid w:val="00D6085F"/>
    <w:rsid w:val="00D62699"/>
    <w:rsid w:val="00D63DBF"/>
    <w:rsid w:val="00D6447C"/>
    <w:rsid w:val="00D6670F"/>
    <w:rsid w:val="00D73BD8"/>
    <w:rsid w:val="00D746DA"/>
    <w:rsid w:val="00D755FA"/>
    <w:rsid w:val="00D75E55"/>
    <w:rsid w:val="00D77024"/>
    <w:rsid w:val="00D778E9"/>
    <w:rsid w:val="00D812BF"/>
    <w:rsid w:val="00D82620"/>
    <w:rsid w:val="00D83FA1"/>
    <w:rsid w:val="00D847CD"/>
    <w:rsid w:val="00D85707"/>
    <w:rsid w:val="00D86215"/>
    <w:rsid w:val="00D87976"/>
    <w:rsid w:val="00D87BE9"/>
    <w:rsid w:val="00D925E2"/>
    <w:rsid w:val="00D94578"/>
    <w:rsid w:val="00D94E65"/>
    <w:rsid w:val="00D95B24"/>
    <w:rsid w:val="00D965BA"/>
    <w:rsid w:val="00D9725F"/>
    <w:rsid w:val="00D973A3"/>
    <w:rsid w:val="00DA01B1"/>
    <w:rsid w:val="00DA065B"/>
    <w:rsid w:val="00DA11A2"/>
    <w:rsid w:val="00DA14ED"/>
    <w:rsid w:val="00DA24C1"/>
    <w:rsid w:val="00DA26D6"/>
    <w:rsid w:val="00DA34E8"/>
    <w:rsid w:val="00DA65F8"/>
    <w:rsid w:val="00DB2EF1"/>
    <w:rsid w:val="00DB3DE1"/>
    <w:rsid w:val="00DB5DA0"/>
    <w:rsid w:val="00DB716C"/>
    <w:rsid w:val="00DC14D5"/>
    <w:rsid w:val="00DC1EE5"/>
    <w:rsid w:val="00DC5C50"/>
    <w:rsid w:val="00DC5C85"/>
    <w:rsid w:val="00DC5D22"/>
    <w:rsid w:val="00DC63C7"/>
    <w:rsid w:val="00DC760D"/>
    <w:rsid w:val="00DC7C5D"/>
    <w:rsid w:val="00DD1172"/>
    <w:rsid w:val="00DD1B34"/>
    <w:rsid w:val="00DD3735"/>
    <w:rsid w:val="00DD4236"/>
    <w:rsid w:val="00DD44F1"/>
    <w:rsid w:val="00DD6957"/>
    <w:rsid w:val="00DD6E7A"/>
    <w:rsid w:val="00DD7E99"/>
    <w:rsid w:val="00DE3067"/>
    <w:rsid w:val="00DE5F46"/>
    <w:rsid w:val="00DE6D64"/>
    <w:rsid w:val="00DF2CFA"/>
    <w:rsid w:val="00DF3EEE"/>
    <w:rsid w:val="00DF50F7"/>
    <w:rsid w:val="00DF55D7"/>
    <w:rsid w:val="00DF69F1"/>
    <w:rsid w:val="00DF75E1"/>
    <w:rsid w:val="00E01C60"/>
    <w:rsid w:val="00E027BC"/>
    <w:rsid w:val="00E039C3"/>
    <w:rsid w:val="00E03DCC"/>
    <w:rsid w:val="00E10F0D"/>
    <w:rsid w:val="00E125EB"/>
    <w:rsid w:val="00E12ED9"/>
    <w:rsid w:val="00E142A3"/>
    <w:rsid w:val="00E14EA5"/>
    <w:rsid w:val="00E2070E"/>
    <w:rsid w:val="00E20C5A"/>
    <w:rsid w:val="00E20F15"/>
    <w:rsid w:val="00E21133"/>
    <w:rsid w:val="00E2327E"/>
    <w:rsid w:val="00E24185"/>
    <w:rsid w:val="00E266EF"/>
    <w:rsid w:val="00E27101"/>
    <w:rsid w:val="00E30240"/>
    <w:rsid w:val="00E33F70"/>
    <w:rsid w:val="00E34791"/>
    <w:rsid w:val="00E42965"/>
    <w:rsid w:val="00E42C6D"/>
    <w:rsid w:val="00E4455E"/>
    <w:rsid w:val="00E45557"/>
    <w:rsid w:val="00E45D80"/>
    <w:rsid w:val="00E47428"/>
    <w:rsid w:val="00E47D52"/>
    <w:rsid w:val="00E51417"/>
    <w:rsid w:val="00E56C8E"/>
    <w:rsid w:val="00E5716B"/>
    <w:rsid w:val="00E571FD"/>
    <w:rsid w:val="00E57F1F"/>
    <w:rsid w:val="00E62E52"/>
    <w:rsid w:val="00E6511F"/>
    <w:rsid w:val="00E66779"/>
    <w:rsid w:val="00E66B9F"/>
    <w:rsid w:val="00E66DE0"/>
    <w:rsid w:val="00E70A6A"/>
    <w:rsid w:val="00E710D6"/>
    <w:rsid w:val="00E73DA4"/>
    <w:rsid w:val="00E76E45"/>
    <w:rsid w:val="00E777C9"/>
    <w:rsid w:val="00E805BE"/>
    <w:rsid w:val="00E81DA6"/>
    <w:rsid w:val="00E84212"/>
    <w:rsid w:val="00E9086C"/>
    <w:rsid w:val="00E90AAA"/>
    <w:rsid w:val="00E91A0F"/>
    <w:rsid w:val="00E91ECB"/>
    <w:rsid w:val="00E946FF"/>
    <w:rsid w:val="00E94A71"/>
    <w:rsid w:val="00E94CBF"/>
    <w:rsid w:val="00E97CCB"/>
    <w:rsid w:val="00EA03CE"/>
    <w:rsid w:val="00EA0F56"/>
    <w:rsid w:val="00EA23E5"/>
    <w:rsid w:val="00EA3033"/>
    <w:rsid w:val="00EA336B"/>
    <w:rsid w:val="00EA4E2E"/>
    <w:rsid w:val="00EA5505"/>
    <w:rsid w:val="00EA5BF6"/>
    <w:rsid w:val="00EA6F19"/>
    <w:rsid w:val="00EA7C32"/>
    <w:rsid w:val="00EB1DAD"/>
    <w:rsid w:val="00EB2417"/>
    <w:rsid w:val="00EB2CCB"/>
    <w:rsid w:val="00EB3296"/>
    <w:rsid w:val="00EB685C"/>
    <w:rsid w:val="00EB7A25"/>
    <w:rsid w:val="00EC0F3E"/>
    <w:rsid w:val="00EC57A7"/>
    <w:rsid w:val="00EC5A12"/>
    <w:rsid w:val="00EC66A7"/>
    <w:rsid w:val="00ED0817"/>
    <w:rsid w:val="00ED1873"/>
    <w:rsid w:val="00ED3FB0"/>
    <w:rsid w:val="00ED4911"/>
    <w:rsid w:val="00ED7A21"/>
    <w:rsid w:val="00ED7DD9"/>
    <w:rsid w:val="00EE1C44"/>
    <w:rsid w:val="00EE22DF"/>
    <w:rsid w:val="00EE2442"/>
    <w:rsid w:val="00EE4158"/>
    <w:rsid w:val="00EE445B"/>
    <w:rsid w:val="00EE4D06"/>
    <w:rsid w:val="00EF2FDC"/>
    <w:rsid w:val="00EF3113"/>
    <w:rsid w:val="00EF3E7C"/>
    <w:rsid w:val="00EF3F84"/>
    <w:rsid w:val="00EF4588"/>
    <w:rsid w:val="00EF53F0"/>
    <w:rsid w:val="00EF7700"/>
    <w:rsid w:val="00F01AC0"/>
    <w:rsid w:val="00F05856"/>
    <w:rsid w:val="00F07719"/>
    <w:rsid w:val="00F12183"/>
    <w:rsid w:val="00F176AC"/>
    <w:rsid w:val="00F22C1E"/>
    <w:rsid w:val="00F26F28"/>
    <w:rsid w:val="00F27714"/>
    <w:rsid w:val="00F27929"/>
    <w:rsid w:val="00F27A63"/>
    <w:rsid w:val="00F308E4"/>
    <w:rsid w:val="00F30F28"/>
    <w:rsid w:val="00F3276E"/>
    <w:rsid w:val="00F33D3C"/>
    <w:rsid w:val="00F37A91"/>
    <w:rsid w:val="00F408A0"/>
    <w:rsid w:val="00F41B11"/>
    <w:rsid w:val="00F41CC0"/>
    <w:rsid w:val="00F43767"/>
    <w:rsid w:val="00F45CF5"/>
    <w:rsid w:val="00F47D81"/>
    <w:rsid w:val="00F47DB0"/>
    <w:rsid w:val="00F5040F"/>
    <w:rsid w:val="00F50C3F"/>
    <w:rsid w:val="00F50E34"/>
    <w:rsid w:val="00F53EF7"/>
    <w:rsid w:val="00F549D5"/>
    <w:rsid w:val="00F54BF2"/>
    <w:rsid w:val="00F66BB3"/>
    <w:rsid w:val="00F755CB"/>
    <w:rsid w:val="00F7627B"/>
    <w:rsid w:val="00F775AC"/>
    <w:rsid w:val="00F8154C"/>
    <w:rsid w:val="00F861ED"/>
    <w:rsid w:val="00F92355"/>
    <w:rsid w:val="00F93963"/>
    <w:rsid w:val="00F93B14"/>
    <w:rsid w:val="00F94291"/>
    <w:rsid w:val="00F94AAF"/>
    <w:rsid w:val="00F95B0D"/>
    <w:rsid w:val="00F9714E"/>
    <w:rsid w:val="00FA1AD6"/>
    <w:rsid w:val="00FA298A"/>
    <w:rsid w:val="00FA35C6"/>
    <w:rsid w:val="00FA4B6E"/>
    <w:rsid w:val="00FA4DA2"/>
    <w:rsid w:val="00FA5B66"/>
    <w:rsid w:val="00FB190A"/>
    <w:rsid w:val="00FB30EB"/>
    <w:rsid w:val="00FB3851"/>
    <w:rsid w:val="00FB7982"/>
    <w:rsid w:val="00FB7A19"/>
    <w:rsid w:val="00FC0734"/>
    <w:rsid w:val="00FC0FC5"/>
    <w:rsid w:val="00FC1655"/>
    <w:rsid w:val="00FC2399"/>
    <w:rsid w:val="00FC588F"/>
    <w:rsid w:val="00FC5D68"/>
    <w:rsid w:val="00FC6879"/>
    <w:rsid w:val="00FD2167"/>
    <w:rsid w:val="00FD4552"/>
    <w:rsid w:val="00FE01EA"/>
    <w:rsid w:val="00FE1B30"/>
    <w:rsid w:val="00FE1E98"/>
    <w:rsid w:val="00FE2FFF"/>
    <w:rsid w:val="00FE39CA"/>
    <w:rsid w:val="00FE68B9"/>
    <w:rsid w:val="00FE7B44"/>
    <w:rsid w:val="00FF0EFB"/>
    <w:rsid w:val="00FF3E1B"/>
    <w:rsid w:val="00FF56E1"/>
    <w:rsid w:val="00FF5CE2"/>
    <w:rsid w:val="00FF6ABC"/>
    <w:rsid w:val="00FF6DFF"/>
    <w:rsid w:val="00FF7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08B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2E2D"/>
    <w:pPr>
      <w:spacing w:line="360" w:lineRule="auto"/>
      <w:jc w:val="both"/>
    </w:pPr>
    <w:rPr>
      <w:sz w:val="24"/>
      <w:lang w:eastAsia="en-US"/>
    </w:rPr>
  </w:style>
  <w:style w:type="paragraph" w:styleId="Heading1">
    <w:name w:val="heading 1"/>
    <w:basedOn w:val="Normal"/>
    <w:next w:val="ParaNumbering"/>
    <w:link w:val="Heading1Char"/>
    <w:qFormat/>
    <w:rsid w:val="00BA2E2D"/>
    <w:pPr>
      <w:keepNext/>
      <w:spacing w:before="240" w:after="60" w:line="240" w:lineRule="auto"/>
      <w:outlineLvl w:val="0"/>
    </w:pPr>
    <w:rPr>
      <w:b/>
      <w:caps/>
      <w:kern w:val="28"/>
    </w:rPr>
  </w:style>
  <w:style w:type="paragraph" w:styleId="Heading2">
    <w:name w:val="heading 2"/>
    <w:basedOn w:val="Normal"/>
    <w:next w:val="ParaNumbering"/>
    <w:link w:val="Heading2Char"/>
    <w:qFormat/>
    <w:rsid w:val="00BA2E2D"/>
    <w:pPr>
      <w:keepNext/>
      <w:spacing w:before="240" w:after="60" w:line="240" w:lineRule="auto"/>
      <w:outlineLvl w:val="1"/>
    </w:pPr>
    <w:rPr>
      <w:b/>
      <w:szCs w:val="24"/>
    </w:rPr>
  </w:style>
  <w:style w:type="paragraph" w:styleId="Heading3">
    <w:name w:val="heading 3"/>
    <w:basedOn w:val="Normal"/>
    <w:next w:val="ParaNumbering"/>
    <w:link w:val="Heading3Char"/>
    <w:qFormat/>
    <w:rsid w:val="00BA2E2D"/>
    <w:pPr>
      <w:keepNext/>
      <w:spacing w:before="240" w:after="60" w:line="240" w:lineRule="auto"/>
      <w:outlineLvl w:val="2"/>
    </w:pPr>
    <w:rPr>
      <w:b/>
      <w:i/>
    </w:rPr>
  </w:style>
  <w:style w:type="paragraph" w:styleId="Heading4">
    <w:name w:val="heading 4"/>
    <w:basedOn w:val="Normal"/>
    <w:next w:val="ParaNumbering"/>
    <w:link w:val="Heading4Char"/>
    <w:qFormat/>
    <w:rsid w:val="00BA2E2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BA2E2D"/>
    <w:pPr>
      <w:outlineLvl w:val="4"/>
    </w:pPr>
    <w:rPr>
      <w:caps w:val="0"/>
    </w:rPr>
  </w:style>
  <w:style w:type="paragraph" w:styleId="Heading6">
    <w:name w:val="heading 6"/>
    <w:basedOn w:val="fcHeading2"/>
    <w:next w:val="ParaNumbering"/>
    <w:link w:val="Heading6Char"/>
    <w:qFormat/>
    <w:rsid w:val="00BA2E2D"/>
    <w:pPr>
      <w:outlineLvl w:val="5"/>
    </w:pPr>
  </w:style>
  <w:style w:type="paragraph" w:styleId="Heading7">
    <w:name w:val="heading 7"/>
    <w:basedOn w:val="fcHeading3"/>
    <w:next w:val="ParaNumbering"/>
    <w:link w:val="Heading7Char"/>
    <w:qFormat/>
    <w:rsid w:val="00BA2E2D"/>
    <w:pPr>
      <w:outlineLvl w:val="6"/>
    </w:pPr>
    <w:rPr>
      <w:i w:val="0"/>
    </w:rPr>
  </w:style>
  <w:style w:type="paragraph" w:styleId="Heading8">
    <w:name w:val="heading 8"/>
    <w:basedOn w:val="fcHeading4"/>
    <w:next w:val="ParaNumbering"/>
    <w:link w:val="Heading8Char"/>
    <w:rsid w:val="00BA2E2D"/>
    <w:pPr>
      <w:outlineLvl w:val="7"/>
    </w:pPr>
    <w:rPr>
      <w:smallCaps w:val="0"/>
    </w:rPr>
  </w:style>
  <w:style w:type="paragraph" w:styleId="Heading9">
    <w:name w:val="heading 9"/>
    <w:basedOn w:val="fcHeading5"/>
    <w:next w:val="ParaNumbering"/>
    <w:link w:val="Heading9Char"/>
    <w:rsid w:val="00BA2E2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BA2E2D"/>
    <w:pPr>
      <w:spacing w:line="240" w:lineRule="auto"/>
    </w:pPr>
  </w:style>
  <w:style w:type="paragraph" w:styleId="Header">
    <w:name w:val="header"/>
    <w:basedOn w:val="Normal"/>
    <w:link w:val="HeaderChar"/>
    <w:rsid w:val="00BA2E2D"/>
    <w:pPr>
      <w:tabs>
        <w:tab w:val="center" w:pos="4320"/>
        <w:tab w:val="right" w:pos="8640"/>
      </w:tabs>
    </w:pPr>
  </w:style>
  <w:style w:type="paragraph" w:styleId="Footer">
    <w:name w:val="footer"/>
    <w:basedOn w:val="Normal"/>
    <w:link w:val="FooterChar"/>
    <w:rsid w:val="00BA2E2D"/>
    <w:pPr>
      <w:tabs>
        <w:tab w:val="center" w:pos="4320"/>
        <w:tab w:val="right" w:pos="8640"/>
      </w:tabs>
    </w:pPr>
  </w:style>
  <w:style w:type="paragraph" w:customStyle="1" w:styleId="ParaNumbering">
    <w:name w:val="ParaNumbering"/>
    <w:basedOn w:val="Normal"/>
    <w:rsid w:val="00BA2E2D"/>
    <w:pPr>
      <w:numPr>
        <w:numId w:val="1"/>
      </w:numPr>
      <w:tabs>
        <w:tab w:val="clear" w:pos="720"/>
      </w:tabs>
      <w:spacing w:before="180" w:after="180"/>
    </w:pPr>
  </w:style>
  <w:style w:type="paragraph" w:customStyle="1" w:styleId="Quote1">
    <w:name w:val="Quote1"/>
    <w:rsid w:val="00BA2E2D"/>
    <w:pPr>
      <w:widowControl w:val="0"/>
      <w:spacing w:after="180"/>
      <w:ind w:left="737" w:right="737"/>
      <w:jc w:val="both"/>
    </w:pPr>
    <w:rPr>
      <w:sz w:val="22"/>
      <w:lang w:eastAsia="en-US"/>
    </w:rPr>
  </w:style>
  <w:style w:type="paragraph" w:customStyle="1" w:styleId="NormalHeadings">
    <w:name w:val="Normal Headings"/>
    <w:link w:val="NormalHeadingsChar"/>
    <w:rsid w:val="00BA2E2D"/>
    <w:pPr>
      <w:widowControl w:val="0"/>
      <w:jc w:val="both"/>
    </w:pPr>
    <w:rPr>
      <w:b/>
      <w:sz w:val="24"/>
      <w:lang w:eastAsia="en-US"/>
    </w:rPr>
  </w:style>
  <w:style w:type="table" w:styleId="TableGrid">
    <w:name w:val="Table Grid"/>
    <w:basedOn w:val="TableNormal"/>
    <w:rsid w:val="00BA2E2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BA2E2D"/>
    <w:pPr>
      <w:spacing w:before="20" w:after="20"/>
      <w:jc w:val="center"/>
    </w:pPr>
    <w:rPr>
      <w:b/>
      <w:sz w:val="26"/>
    </w:rPr>
  </w:style>
  <w:style w:type="paragraph" w:customStyle="1" w:styleId="Normal1linespace">
    <w:name w:val="Normal1linespace"/>
    <w:basedOn w:val="Normal"/>
    <w:rsid w:val="00BA2E2D"/>
    <w:pPr>
      <w:spacing w:line="240" w:lineRule="auto"/>
    </w:pPr>
  </w:style>
  <w:style w:type="paragraph" w:styleId="BalloonText">
    <w:name w:val="Balloon Text"/>
    <w:basedOn w:val="Normal"/>
    <w:link w:val="BalloonTextChar"/>
    <w:semiHidden/>
    <w:rsid w:val="00BA2E2D"/>
    <w:rPr>
      <w:rFonts w:ascii="Tahoma" w:hAnsi="Tahoma" w:cs="Tahoma"/>
      <w:sz w:val="16"/>
      <w:szCs w:val="16"/>
    </w:rPr>
  </w:style>
  <w:style w:type="paragraph" w:customStyle="1" w:styleId="StyleBold">
    <w:name w:val="Style Bold"/>
    <w:basedOn w:val="Normal"/>
    <w:next w:val="BodyText"/>
    <w:semiHidden/>
    <w:rsid w:val="00BA2E2D"/>
    <w:rPr>
      <w:szCs w:val="24"/>
    </w:rPr>
  </w:style>
  <w:style w:type="paragraph" w:customStyle="1" w:styleId="Bold">
    <w:name w:val="Bold"/>
    <w:basedOn w:val="Normal"/>
    <w:next w:val="Normal"/>
    <w:semiHidden/>
    <w:rsid w:val="00BA2E2D"/>
    <w:pPr>
      <w:suppressAutoHyphens/>
      <w:jc w:val="left"/>
    </w:pPr>
    <w:rPr>
      <w:b/>
      <w:szCs w:val="24"/>
    </w:rPr>
  </w:style>
  <w:style w:type="paragraph" w:customStyle="1" w:styleId="Certify">
    <w:name w:val="Certify"/>
    <w:basedOn w:val="Normal"/>
    <w:link w:val="CertifyChar"/>
    <w:semiHidden/>
    <w:rsid w:val="00BA2E2D"/>
    <w:pPr>
      <w:spacing w:line="240" w:lineRule="auto"/>
    </w:pPr>
    <w:rPr>
      <w:szCs w:val="24"/>
    </w:rPr>
  </w:style>
  <w:style w:type="character" w:styleId="CommentReference">
    <w:name w:val="annotation reference"/>
    <w:semiHidden/>
    <w:rsid w:val="00BA2E2D"/>
    <w:rPr>
      <w:sz w:val="16"/>
      <w:szCs w:val="16"/>
    </w:rPr>
  </w:style>
  <w:style w:type="paragraph" w:styleId="CommentText">
    <w:name w:val="annotation text"/>
    <w:basedOn w:val="Normal"/>
    <w:link w:val="CommentTextChar"/>
    <w:semiHidden/>
    <w:rsid w:val="00BA2E2D"/>
    <w:rPr>
      <w:sz w:val="20"/>
    </w:rPr>
  </w:style>
  <w:style w:type="paragraph" w:styleId="CommentSubject">
    <w:name w:val="annotation subject"/>
    <w:basedOn w:val="CommentText"/>
    <w:next w:val="CommentText"/>
    <w:link w:val="CommentSubjectChar"/>
    <w:semiHidden/>
    <w:rsid w:val="00BA2E2D"/>
    <w:rPr>
      <w:b/>
      <w:bCs/>
    </w:rPr>
  </w:style>
  <w:style w:type="paragraph" w:customStyle="1" w:styleId="FCBullets">
    <w:name w:val="FCBullets"/>
    <w:basedOn w:val="Normal"/>
    <w:rsid w:val="00BA2E2D"/>
    <w:pPr>
      <w:numPr>
        <w:numId w:val="2"/>
      </w:numPr>
      <w:spacing w:before="60" w:after="60"/>
    </w:pPr>
  </w:style>
  <w:style w:type="paragraph" w:customStyle="1" w:styleId="JudgeStyle">
    <w:name w:val="JudgeStyle"/>
    <w:basedOn w:val="Heading1"/>
    <w:next w:val="ParaNumbering"/>
    <w:semiHidden/>
    <w:rsid w:val="00BA2E2D"/>
  </w:style>
  <w:style w:type="paragraph" w:styleId="TOC1">
    <w:name w:val="toc 1"/>
    <w:basedOn w:val="Normal"/>
    <w:next w:val="Normal"/>
    <w:autoRedefine/>
    <w:semiHidden/>
    <w:rsid w:val="00BA2E2D"/>
    <w:pPr>
      <w:tabs>
        <w:tab w:val="right" w:leader="dot" w:pos="9071"/>
      </w:tabs>
    </w:pPr>
  </w:style>
  <w:style w:type="paragraph" w:styleId="TOC2">
    <w:name w:val="toc 2"/>
    <w:basedOn w:val="Normal"/>
    <w:next w:val="Normal"/>
    <w:autoRedefine/>
    <w:semiHidden/>
    <w:rsid w:val="00BA2E2D"/>
    <w:pPr>
      <w:tabs>
        <w:tab w:val="right" w:leader="dot" w:pos="9071"/>
      </w:tabs>
      <w:ind w:left="240"/>
    </w:pPr>
  </w:style>
  <w:style w:type="paragraph" w:styleId="TOC3">
    <w:name w:val="toc 3"/>
    <w:basedOn w:val="Normal"/>
    <w:next w:val="Normal"/>
    <w:autoRedefine/>
    <w:semiHidden/>
    <w:rsid w:val="00BA2E2D"/>
    <w:pPr>
      <w:tabs>
        <w:tab w:val="right" w:leader="dot" w:pos="9071"/>
      </w:tabs>
      <w:ind w:left="480"/>
    </w:pPr>
  </w:style>
  <w:style w:type="paragraph" w:styleId="TOC4">
    <w:name w:val="toc 4"/>
    <w:basedOn w:val="Normal"/>
    <w:next w:val="Normal"/>
    <w:autoRedefine/>
    <w:semiHidden/>
    <w:rsid w:val="00BA2E2D"/>
    <w:pPr>
      <w:tabs>
        <w:tab w:val="right" w:leader="dot" w:pos="9071"/>
      </w:tabs>
      <w:ind w:left="720"/>
    </w:pPr>
  </w:style>
  <w:style w:type="paragraph" w:customStyle="1" w:styleId="NoNum">
    <w:name w:val="No Num"/>
    <w:basedOn w:val="Normal1linespace"/>
    <w:rsid w:val="00BA2E2D"/>
    <w:pPr>
      <w:spacing w:before="120" w:after="180" w:line="360" w:lineRule="auto"/>
    </w:pPr>
  </w:style>
  <w:style w:type="paragraph" w:customStyle="1" w:styleId="AppealTable">
    <w:name w:val="AppealTable"/>
    <w:basedOn w:val="Normal"/>
    <w:unhideWhenUsed/>
    <w:rsid w:val="00BA2E2D"/>
    <w:pPr>
      <w:spacing w:line="240" w:lineRule="auto"/>
      <w:jc w:val="left"/>
    </w:pPr>
    <w:rPr>
      <w:b/>
      <w:caps/>
      <w:sz w:val="22"/>
      <w:szCs w:val="22"/>
    </w:rPr>
  </w:style>
  <w:style w:type="paragraph" w:customStyle="1" w:styleId="Quote3">
    <w:name w:val="Quote3"/>
    <w:basedOn w:val="Quote1"/>
    <w:rsid w:val="00BA2E2D"/>
    <w:pPr>
      <w:ind w:left="2160"/>
    </w:pPr>
  </w:style>
  <w:style w:type="paragraph" w:customStyle="1" w:styleId="Quote2">
    <w:name w:val="Quote2"/>
    <w:basedOn w:val="Quote1"/>
    <w:rsid w:val="00BA2E2D"/>
    <w:pPr>
      <w:ind w:left="1440"/>
    </w:pPr>
  </w:style>
  <w:style w:type="paragraph" w:customStyle="1" w:styleId="FTOC1">
    <w:name w:val="FTOC 1"/>
    <w:basedOn w:val="Normal"/>
    <w:semiHidden/>
    <w:rsid w:val="00BA2E2D"/>
    <w:pPr>
      <w:tabs>
        <w:tab w:val="right" w:leader="dot" w:pos="9072"/>
      </w:tabs>
      <w:spacing w:before="120" w:after="60" w:line="240" w:lineRule="auto"/>
      <w:jc w:val="left"/>
    </w:pPr>
    <w:rPr>
      <w:b/>
      <w:caps/>
      <w:kern w:val="28"/>
    </w:rPr>
  </w:style>
  <w:style w:type="paragraph" w:customStyle="1" w:styleId="ListNo1">
    <w:name w:val="List No 1"/>
    <w:basedOn w:val="Normal"/>
    <w:rsid w:val="00BA2E2D"/>
    <w:pPr>
      <w:numPr>
        <w:numId w:val="38"/>
      </w:numPr>
      <w:spacing w:before="60" w:after="60"/>
    </w:pPr>
  </w:style>
  <w:style w:type="paragraph" w:customStyle="1" w:styleId="FTOC2">
    <w:name w:val="FTOC 2"/>
    <w:basedOn w:val="Normal"/>
    <w:semiHidden/>
    <w:rsid w:val="00BA2E2D"/>
    <w:pPr>
      <w:tabs>
        <w:tab w:val="right" w:leader="dot" w:pos="9072"/>
      </w:tabs>
      <w:spacing w:before="120" w:after="60" w:line="240" w:lineRule="auto"/>
      <w:ind w:left="238"/>
      <w:jc w:val="left"/>
    </w:pPr>
    <w:rPr>
      <w:b/>
    </w:rPr>
  </w:style>
  <w:style w:type="paragraph" w:customStyle="1" w:styleId="FTOC3">
    <w:name w:val="FTOC 3"/>
    <w:basedOn w:val="Normal"/>
    <w:semiHidden/>
    <w:rsid w:val="00BA2E2D"/>
    <w:pPr>
      <w:tabs>
        <w:tab w:val="right" w:leader="dot" w:pos="9072"/>
      </w:tabs>
      <w:spacing w:before="120" w:after="60" w:line="240" w:lineRule="auto"/>
      <w:ind w:left="482"/>
      <w:jc w:val="left"/>
    </w:pPr>
    <w:rPr>
      <w:b/>
      <w:i/>
    </w:rPr>
  </w:style>
  <w:style w:type="paragraph" w:customStyle="1" w:styleId="FTOC4">
    <w:name w:val="FTOC 4"/>
    <w:basedOn w:val="Normal"/>
    <w:semiHidden/>
    <w:rsid w:val="00BA2E2D"/>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BA2E2D"/>
    <w:pPr>
      <w:tabs>
        <w:tab w:val="right" w:leader="dot" w:pos="9072"/>
      </w:tabs>
      <w:ind w:left="960"/>
    </w:pPr>
  </w:style>
  <w:style w:type="numbering" w:styleId="111111">
    <w:name w:val="Outline List 2"/>
    <w:basedOn w:val="NoList"/>
    <w:semiHidden/>
    <w:rsid w:val="00BA2E2D"/>
    <w:pPr>
      <w:numPr>
        <w:numId w:val="13"/>
      </w:numPr>
    </w:pPr>
  </w:style>
  <w:style w:type="numbering" w:styleId="1ai">
    <w:name w:val="Outline List 1"/>
    <w:basedOn w:val="NoList"/>
    <w:semiHidden/>
    <w:rsid w:val="00BA2E2D"/>
    <w:pPr>
      <w:numPr>
        <w:numId w:val="14"/>
      </w:numPr>
    </w:pPr>
  </w:style>
  <w:style w:type="numbering" w:styleId="ArticleSection">
    <w:name w:val="Outline List 3"/>
    <w:basedOn w:val="NoList"/>
    <w:semiHidden/>
    <w:rsid w:val="00BA2E2D"/>
    <w:pPr>
      <w:numPr>
        <w:numId w:val="15"/>
      </w:numPr>
    </w:pPr>
  </w:style>
  <w:style w:type="paragraph" w:styleId="BodyText">
    <w:name w:val="Body Text"/>
    <w:basedOn w:val="Normal"/>
    <w:link w:val="BodyTextChar"/>
    <w:qFormat/>
    <w:rsid w:val="00BA2E2D"/>
  </w:style>
  <w:style w:type="paragraph" w:styleId="BodyText2">
    <w:name w:val="Body Text 2"/>
    <w:basedOn w:val="Normal"/>
    <w:link w:val="BodyText2Char"/>
    <w:semiHidden/>
    <w:rsid w:val="00BA2E2D"/>
    <w:pPr>
      <w:spacing w:after="120" w:line="480" w:lineRule="auto"/>
    </w:pPr>
  </w:style>
  <w:style w:type="paragraph" w:styleId="BodyText3">
    <w:name w:val="Body Text 3"/>
    <w:basedOn w:val="Normal"/>
    <w:link w:val="BodyText3Char"/>
    <w:semiHidden/>
    <w:rsid w:val="00BA2E2D"/>
    <w:pPr>
      <w:spacing w:after="120"/>
    </w:pPr>
    <w:rPr>
      <w:sz w:val="16"/>
      <w:szCs w:val="16"/>
    </w:rPr>
  </w:style>
  <w:style w:type="paragraph" w:styleId="BodyTextFirstIndent">
    <w:name w:val="Body Text First Indent"/>
    <w:basedOn w:val="BodyText"/>
    <w:link w:val="BodyTextFirstIndentChar"/>
    <w:semiHidden/>
    <w:rsid w:val="00BA2E2D"/>
    <w:pPr>
      <w:ind w:firstLine="210"/>
    </w:pPr>
  </w:style>
  <w:style w:type="paragraph" w:styleId="BodyTextIndent">
    <w:name w:val="Body Text Indent"/>
    <w:basedOn w:val="Normal"/>
    <w:link w:val="BodyTextIndentChar"/>
    <w:semiHidden/>
    <w:rsid w:val="00BA2E2D"/>
    <w:pPr>
      <w:spacing w:after="120"/>
      <w:ind w:left="283"/>
    </w:pPr>
  </w:style>
  <w:style w:type="paragraph" w:styleId="BodyTextFirstIndent2">
    <w:name w:val="Body Text First Indent 2"/>
    <w:basedOn w:val="BodyTextIndent"/>
    <w:link w:val="BodyTextFirstIndent2Char"/>
    <w:semiHidden/>
    <w:rsid w:val="00BA2E2D"/>
    <w:pPr>
      <w:ind w:firstLine="210"/>
    </w:pPr>
  </w:style>
  <w:style w:type="paragraph" w:styleId="BodyTextIndent2">
    <w:name w:val="Body Text Indent 2"/>
    <w:basedOn w:val="Normal"/>
    <w:link w:val="BodyTextIndent2Char"/>
    <w:semiHidden/>
    <w:rsid w:val="00BA2E2D"/>
    <w:pPr>
      <w:spacing w:after="120" w:line="480" w:lineRule="auto"/>
      <w:ind w:left="283"/>
    </w:pPr>
  </w:style>
  <w:style w:type="paragraph" w:styleId="BodyTextIndent3">
    <w:name w:val="Body Text Indent 3"/>
    <w:basedOn w:val="Normal"/>
    <w:link w:val="BodyTextIndent3Char"/>
    <w:semiHidden/>
    <w:rsid w:val="00BA2E2D"/>
    <w:pPr>
      <w:spacing w:after="120"/>
      <w:ind w:left="283"/>
    </w:pPr>
    <w:rPr>
      <w:sz w:val="16"/>
      <w:szCs w:val="16"/>
    </w:rPr>
  </w:style>
  <w:style w:type="paragraph" w:styleId="Closing">
    <w:name w:val="Closing"/>
    <w:basedOn w:val="Normal"/>
    <w:link w:val="ClosingChar"/>
    <w:semiHidden/>
    <w:rsid w:val="00BA2E2D"/>
    <w:pPr>
      <w:ind w:left="4252"/>
    </w:pPr>
  </w:style>
  <w:style w:type="paragraph" w:styleId="Date">
    <w:name w:val="Date"/>
    <w:basedOn w:val="Normal"/>
    <w:next w:val="Normal"/>
    <w:link w:val="DateChar"/>
    <w:semiHidden/>
    <w:rsid w:val="00BA2E2D"/>
  </w:style>
  <w:style w:type="paragraph" w:styleId="E-mailSignature">
    <w:name w:val="E-mail Signature"/>
    <w:basedOn w:val="Normal"/>
    <w:link w:val="E-mailSignatureChar"/>
    <w:semiHidden/>
    <w:rsid w:val="00BA2E2D"/>
  </w:style>
  <w:style w:type="character" w:styleId="Emphasis">
    <w:name w:val="Emphasis"/>
    <w:rsid w:val="00BA2E2D"/>
    <w:rPr>
      <w:i/>
      <w:iCs/>
    </w:rPr>
  </w:style>
  <w:style w:type="paragraph" w:styleId="EnvelopeAddress">
    <w:name w:val="envelope address"/>
    <w:basedOn w:val="Normal"/>
    <w:semiHidden/>
    <w:rsid w:val="00BA2E2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A2E2D"/>
    <w:rPr>
      <w:rFonts w:ascii="Arial" w:hAnsi="Arial" w:cs="Arial"/>
      <w:sz w:val="20"/>
    </w:rPr>
  </w:style>
  <w:style w:type="character" w:styleId="FollowedHyperlink">
    <w:name w:val="FollowedHyperlink"/>
    <w:semiHidden/>
    <w:rsid w:val="00BA2E2D"/>
    <w:rPr>
      <w:color w:val="800080"/>
      <w:u w:val="single"/>
    </w:rPr>
  </w:style>
  <w:style w:type="character" w:styleId="HTMLAcronym">
    <w:name w:val="HTML Acronym"/>
    <w:basedOn w:val="DefaultParagraphFont"/>
    <w:semiHidden/>
    <w:rsid w:val="00BA2E2D"/>
  </w:style>
  <w:style w:type="paragraph" w:styleId="HTMLAddress">
    <w:name w:val="HTML Address"/>
    <w:basedOn w:val="Normal"/>
    <w:link w:val="HTMLAddressChar"/>
    <w:semiHidden/>
    <w:rsid w:val="00BA2E2D"/>
    <w:rPr>
      <w:i/>
      <w:iCs/>
    </w:rPr>
  </w:style>
  <w:style w:type="character" w:styleId="HTMLCite">
    <w:name w:val="HTML Cite"/>
    <w:semiHidden/>
    <w:rsid w:val="00BA2E2D"/>
    <w:rPr>
      <w:i/>
      <w:iCs/>
    </w:rPr>
  </w:style>
  <w:style w:type="character" w:styleId="HTMLCode">
    <w:name w:val="HTML Code"/>
    <w:semiHidden/>
    <w:rsid w:val="00BA2E2D"/>
    <w:rPr>
      <w:rFonts w:ascii="Courier New" w:hAnsi="Courier New" w:cs="Courier New"/>
      <w:sz w:val="20"/>
      <w:szCs w:val="20"/>
    </w:rPr>
  </w:style>
  <w:style w:type="character" w:styleId="HTMLDefinition">
    <w:name w:val="HTML Definition"/>
    <w:semiHidden/>
    <w:rsid w:val="00BA2E2D"/>
    <w:rPr>
      <w:i/>
      <w:iCs/>
    </w:rPr>
  </w:style>
  <w:style w:type="character" w:styleId="HTMLKeyboard">
    <w:name w:val="HTML Keyboard"/>
    <w:semiHidden/>
    <w:rsid w:val="00BA2E2D"/>
    <w:rPr>
      <w:rFonts w:ascii="Courier New" w:hAnsi="Courier New" w:cs="Courier New"/>
      <w:sz w:val="20"/>
      <w:szCs w:val="20"/>
    </w:rPr>
  </w:style>
  <w:style w:type="paragraph" w:styleId="HTMLPreformatted">
    <w:name w:val="HTML Preformatted"/>
    <w:basedOn w:val="Normal"/>
    <w:link w:val="HTMLPreformattedChar"/>
    <w:semiHidden/>
    <w:rsid w:val="00BA2E2D"/>
    <w:rPr>
      <w:rFonts w:ascii="Courier New" w:hAnsi="Courier New" w:cs="Courier New"/>
      <w:sz w:val="20"/>
    </w:rPr>
  </w:style>
  <w:style w:type="character" w:styleId="HTMLSample">
    <w:name w:val="HTML Sample"/>
    <w:semiHidden/>
    <w:rsid w:val="00BA2E2D"/>
    <w:rPr>
      <w:rFonts w:ascii="Courier New" w:hAnsi="Courier New" w:cs="Courier New"/>
    </w:rPr>
  </w:style>
  <w:style w:type="character" w:styleId="HTMLTypewriter">
    <w:name w:val="HTML Typewriter"/>
    <w:semiHidden/>
    <w:rsid w:val="00BA2E2D"/>
    <w:rPr>
      <w:rFonts w:ascii="Courier New" w:hAnsi="Courier New" w:cs="Courier New"/>
      <w:sz w:val="20"/>
      <w:szCs w:val="20"/>
    </w:rPr>
  </w:style>
  <w:style w:type="character" w:styleId="HTMLVariable">
    <w:name w:val="HTML Variable"/>
    <w:semiHidden/>
    <w:rsid w:val="00BA2E2D"/>
    <w:rPr>
      <w:i/>
      <w:iCs/>
    </w:rPr>
  </w:style>
  <w:style w:type="character" w:styleId="Hyperlink">
    <w:name w:val="Hyperlink"/>
    <w:rsid w:val="00BA2E2D"/>
    <w:rPr>
      <w:color w:val="0000FF"/>
      <w:u w:val="single"/>
    </w:rPr>
  </w:style>
  <w:style w:type="character" w:styleId="LineNumber">
    <w:name w:val="line number"/>
    <w:basedOn w:val="DefaultParagraphFont"/>
    <w:semiHidden/>
    <w:rsid w:val="00BA2E2D"/>
  </w:style>
  <w:style w:type="paragraph" w:styleId="List">
    <w:name w:val="List"/>
    <w:basedOn w:val="Normal"/>
    <w:semiHidden/>
    <w:rsid w:val="00BA2E2D"/>
    <w:pPr>
      <w:ind w:left="283" w:hanging="283"/>
    </w:pPr>
  </w:style>
  <w:style w:type="paragraph" w:styleId="List2">
    <w:name w:val="List 2"/>
    <w:basedOn w:val="Normal"/>
    <w:semiHidden/>
    <w:rsid w:val="00BA2E2D"/>
    <w:pPr>
      <w:ind w:left="566" w:hanging="283"/>
    </w:pPr>
  </w:style>
  <w:style w:type="paragraph" w:styleId="List3">
    <w:name w:val="List 3"/>
    <w:basedOn w:val="Normal"/>
    <w:semiHidden/>
    <w:rsid w:val="00BA2E2D"/>
    <w:pPr>
      <w:ind w:left="849" w:hanging="283"/>
    </w:pPr>
  </w:style>
  <w:style w:type="paragraph" w:styleId="List4">
    <w:name w:val="List 4"/>
    <w:basedOn w:val="Normal"/>
    <w:semiHidden/>
    <w:rsid w:val="00BA2E2D"/>
    <w:pPr>
      <w:ind w:left="1132" w:hanging="283"/>
    </w:pPr>
  </w:style>
  <w:style w:type="paragraph" w:styleId="List5">
    <w:name w:val="List 5"/>
    <w:basedOn w:val="Normal"/>
    <w:semiHidden/>
    <w:rsid w:val="00BA2E2D"/>
    <w:pPr>
      <w:ind w:left="1415" w:hanging="283"/>
    </w:pPr>
  </w:style>
  <w:style w:type="paragraph" w:styleId="ListBullet">
    <w:name w:val="List Bullet"/>
    <w:basedOn w:val="Normal"/>
    <w:semiHidden/>
    <w:rsid w:val="00BA2E2D"/>
    <w:pPr>
      <w:numPr>
        <w:numId w:val="3"/>
      </w:numPr>
    </w:pPr>
  </w:style>
  <w:style w:type="paragraph" w:styleId="ListBullet2">
    <w:name w:val="List Bullet 2"/>
    <w:basedOn w:val="Normal"/>
    <w:semiHidden/>
    <w:rsid w:val="00BA2E2D"/>
    <w:pPr>
      <w:numPr>
        <w:numId w:val="4"/>
      </w:numPr>
    </w:pPr>
  </w:style>
  <w:style w:type="paragraph" w:styleId="ListBullet3">
    <w:name w:val="List Bullet 3"/>
    <w:basedOn w:val="Normal"/>
    <w:semiHidden/>
    <w:rsid w:val="00BA2E2D"/>
    <w:pPr>
      <w:numPr>
        <w:numId w:val="5"/>
      </w:numPr>
    </w:pPr>
  </w:style>
  <w:style w:type="paragraph" w:styleId="ListBullet4">
    <w:name w:val="List Bullet 4"/>
    <w:basedOn w:val="Normal"/>
    <w:semiHidden/>
    <w:rsid w:val="00BA2E2D"/>
    <w:pPr>
      <w:numPr>
        <w:numId w:val="6"/>
      </w:numPr>
    </w:pPr>
  </w:style>
  <w:style w:type="paragraph" w:styleId="ListBullet5">
    <w:name w:val="List Bullet 5"/>
    <w:basedOn w:val="Normal"/>
    <w:semiHidden/>
    <w:rsid w:val="00BA2E2D"/>
    <w:pPr>
      <w:numPr>
        <w:numId w:val="7"/>
      </w:numPr>
    </w:pPr>
  </w:style>
  <w:style w:type="paragraph" w:styleId="ListContinue">
    <w:name w:val="List Continue"/>
    <w:basedOn w:val="Normal"/>
    <w:semiHidden/>
    <w:rsid w:val="00BA2E2D"/>
    <w:pPr>
      <w:spacing w:after="120"/>
      <w:ind w:left="283"/>
    </w:pPr>
  </w:style>
  <w:style w:type="paragraph" w:styleId="ListContinue2">
    <w:name w:val="List Continue 2"/>
    <w:basedOn w:val="Normal"/>
    <w:semiHidden/>
    <w:rsid w:val="00BA2E2D"/>
    <w:pPr>
      <w:spacing w:after="120"/>
      <w:ind w:left="566"/>
    </w:pPr>
  </w:style>
  <w:style w:type="paragraph" w:styleId="ListContinue3">
    <w:name w:val="List Continue 3"/>
    <w:basedOn w:val="Normal"/>
    <w:semiHidden/>
    <w:rsid w:val="00BA2E2D"/>
    <w:pPr>
      <w:spacing w:after="120"/>
      <w:ind w:left="849"/>
    </w:pPr>
  </w:style>
  <w:style w:type="paragraph" w:styleId="ListContinue4">
    <w:name w:val="List Continue 4"/>
    <w:basedOn w:val="Normal"/>
    <w:semiHidden/>
    <w:rsid w:val="00BA2E2D"/>
    <w:pPr>
      <w:spacing w:after="120"/>
      <w:ind w:left="1132"/>
    </w:pPr>
  </w:style>
  <w:style w:type="paragraph" w:styleId="ListContinue5">
    <w:name w:val="List Continue 5"/>
    <w:basedOn w:val="Normal"/>
    <w:semiHidden/>
    <w:rsid w:val="00BA2E2D"/>
    <w:pPr>
      <w:spacing w:after="120"/>
      <w:ind w:left="1415"/>
    </w:pPr>
  </w:style>
  <w:style w:type="paragraph" w:styleId="ListNumber">
    <w:name w:val="List Number"/>
    <w:basedOn w:val="Normal"/>
    <w:semiHidden/>
    <w:rsid w:val="00BA2E2D"/>
    <w:pPr>
      <w:numPr>
        <w:numId w:val="8"/>
      </w:numPr>
    </w:pPr>
  </w:style>
  <w:style w:type="paragraph" w:styleId="ListNumber2">
    <w:name w:val="List Number 2"/>
    <w:basedOn w:val="Normal"/>
    <w:semiHidden/>
    <w:rsid w:val="00BA2E2D"/>
    <w:pPr>
      <w:numPr>
        <w:numId w:val="9"/>
      </w:numPr>
    </w:pPr>
  </w:style>
  <w:style w:type="paragraph" w:styleId="ListNumber3">
    <w:name w:val="List Number 3"/>
    <w:basedOn w:val="Normal"/>
    <w:semiHidden/>
    <w:rsid w:val="00BA2E2D"/>
    <w:pPr>
      <w:numPr>
        <w:numId w:val="10"/>
      </w:numPr>
    </w:pPr>
  </w:style>
  <w:style w:type="paragraph" w:styleId="ListNumber4">
    <w:name w:val="List Number 4"/>
    <w:basedOn w:val="Normal"/>
    <w:semiHidden/>
    <w:rsid w:val="00BA2E2D"/>
    <w:pPr>
      <w:numPr>
        <w:numId w:val="11"/>
      </w:numPr>
    </w:pPr>
  </w:style>
  <w:style w:type="paragraph" w:styleId="ListNumber5">
    <w:name w:val="List Number 5"/>
    <w:basedOn w:val="Normal"/>
    <w:semiHidden/>
    <w:rsid w:val="00BA2E2D"/>
    <w:pPr>
      <w:numPr>
        <w:numId w:val="12"/>
      </w:numPr>
    </w:pPr>
  </w:style>
  <w:style w:type="paragraph" w:styleId="MessageHeader">
    <w:name w:val="Message Header"/>
    <w:basedOn w:val="Normal"/>
    <w:link w:val="MessageHeaderChar"/>
    <w:semiHidden/>
    <w:rsid w:val="00BA2E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BA2E2D"/>
    <w:rPr>
      <w:szCs w:val="24"/>
    </w:rPr>
  </w:style>
  <w:style w:type="paragraph" w:styleId="NormalIndent">
    <w:name w:val="Normal Indent"/>
    <w:basedOn w:val="Normal"/>
    <w:semiHidden/>
    <w:rsid w:val="00BA2E2D"/>
    <w:pPr>
      <w:ind w:left="720"/>
    </w:pPr>
  </w:style>
  <w:style w:type="paragraph" w:styleId="NoteHeading">
    <w:name w:val="Note Heading"/>
    <w:basedOn w:val="Normal"/>
    <w:next w:val="Normal"/>
    <w:link w:val="NoteHeadingChar"/>
    <w:semiHidden/>
    <w:rsid w:val="00BA2E2D"/>
  </w:style>
  <w:style w:type="character" w:styleId="PageNumber">
    <w:name w:val="page number"/>
    <w:basedOn w:val="DefaultParagraphFont"/>
    <w:semiHidden/>
    <w:rsid w:val="00BA2E2D"/>
  </w:style>
  <w:style w:type="paragraph" w:styleId="PlainText">
    <w:name w:val="Plain Text"/>
    <w:basedOn w:val="Normal"/>
    <w:link w:val="PlainTextChar"/>
    <w:semiHidden/>
    <w:rsid w:val="00BA2E2D"/>
    <w:rPr>
      <w:rFonts w:ascii="Courier New" w:hAnsi="Courier New" w:cs="Courier New"/>
      <w:sz w:val="20"/>
    </w:rPr>
  </w:style>
  <w:style w:type="paragraph" w:styleId="Salutation">
    <w:name w:val="Salutation"/>
    <w:basedOn w:val="Normal"/>
    <w:next w:val="Normal"/>
    <w:link w:val="SalutationChar"/>
    <w:semiHidden/>
    <w:rsid w:val="00BA2E2D"/>
  </w:style>
  <w:style w:type="paragraph" w:styleId="Signature">
    <w:name w:val="Signature"/>
    <w:basedOn w:val="Normal"/>
    <w:link w:val="SignatureChar"/>
    <w:semiHidden/>
    <w:rsid w:val="00BA2E2D"/>
    <w:pPr>
      <w:ind w:left="4252"/>
    </w:pPr>
  </w:style>
  <w:style w:type="character" w:styleId="Strong">
    <w:name w:val="Strong"/>
    <w:rsid w:val="00BA2E2D"/>
    <w:rPr>
      <w:b/>
      <w:bCs/>
    </w:rPr>
  </w:style>
  <w:style w:type="paragraph" w:styleId="Subtitle">
    <w:name w:val="Subtitle"/>
    <w:basedOn w:val="Normal"/>
    <w:link w:val="SubtitleChar"/>
    <w:rsid w:val="00BA2E2D"/>
    <w:pPr>
      <w:spacing w:after="60"/>
      <w:jc w:val="center"/>
      <w:outlineLvl w:val="1"/>
    </w:pPr>
    <w:rPr>
      <w:rFonts w:ascii="Arial" w:hAnsi="Arial" w:cs="Arial"/>
      <w:szCs w:val="24"/>
    </w:rPr>
  </w:style>
  <w:style w:type="table" w:styleId="Table3Deffects1">
    <w:name w:val="Table 3D effects 1"/>
    <w:basedOn w:val="TableNormal"/>
    <w:semiHidden/>
    <w:rsid w:val="00BA2E2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2E2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2E2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2E2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2E2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2E2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2E2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2E2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2E2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2E2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2E2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2E2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2E2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2E2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2E2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2E2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2E2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A2E2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2E2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2E2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2E2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2E2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2E2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2E2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2E2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2E2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2E2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2E2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2E2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2E2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2E2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2E2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2E2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2E2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2E2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2E2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2E2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2E2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2E2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2E2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A2E2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2E2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2E2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BA2E2D"/>
    <w:pPr>
      <w:spacing w:before="120" w:after="60" w:line="240" w:lineRule="auto"/>
      <w:jc w:val="left"/>
    </w:pPr>
  </w:style>
  <w:style w:type="paragraph" w:customStyle="1" w:styleId="bTOC2">
    <w:name w:val="bTOC 2"/>
    <w:basedOn w:val="TOC2"/>
    <w:semiHidden/>
    <w:rsid w:val="00BA2E2D"/>
    <w:pPr>
      <w:spacing w:before="120" w:after="60" w:line="240" w:lineRule="auto"/>
      <w:ind w:left="238"/>
      <w:jc w:val="left"/>
    </w:pPr>
  </w:style>
  <w:style w:type="paragraph" w:customStyle="1" w:styleId="bTOC3">
    <w:name w:val="bTOC 3"/>
    <w:basedOn w:val="TOC3"/>
    <w:semiHidden/>
    <w:rsid w:val="00BA2E2D"/>
    <w:pPr>
      <w:spacing w:before="120" w:after="60" w:line="240" w:lineRule="auto"/>
      <w:ind w:left="482"/>
      <w:jc w:val="left"/>
    </w:pPr>
  </w:style>
  <w:style w:type="paragraph" w:customStyle="1" w:styleId="bTOC4">
    <w:name w:val="bTOC 4"/>
    <w:basedOn w:val="TOC4"/>
    <w:semiHidden/>
    <w:rsid w:val="00BA2E2D"/>
    <w:pPr>
      <w:spacing w:before="120" w:after="60" w:line="240" w:lineRule="auto"/>
      <w:jc w:val="left"/>
    </w:pPr>
  </w:style>
  <w:style w:type="paragraph" w:customStyle="1" w:styleId="Counsel">
    <w:name w:val="Counsel"/>
    <w:basedOn w:val="Normal"/>
    <w:unhideWhenUsed/>
    <w:rsid w:val="00BA2E2D"/>
    <w:pPr>
      <w:widowControl w:val="0"/>
      <w:suppressAutoHyphens/>
      <w:spacing w:line="240" w:lineRule="auto"/>
    </w:pPr>
  </w:style>
  <w:style w:type="character" w:customStyle="1" w:styleId="CertifyChar">
    <w:name w:val="Certify Char"/>
    <w:link w:val="Certify"/>
    <w:semiHidden/>
    <w:rsid w:val="00BA2E2D"/>
    <w:rPr>
      <w:sz w:val="24"/>
      <w:szCs w:val="24"/>
      <w:lang w:eastAsia="en-US"/>
    </w:rPr>
  </w:style>
  <w:style w:type="paragraph" w:customStyle="1" w:styleId="fcHeading1">
    <w:name w:val="fcHeading 1"/>
    <w:basedOn w:val="Normal"/>
    <w:next w:val="ParaNumbering"/>
    <w:semiHidden/>
    <w:rsid w:val="00BA2E2D"/>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BA2E2D"/>
    <w:pPr>
      <w:keepNext/>
      <w:numPr>
        <w:ilvl w:val="1"/>
        <w:numId w:val="16"/>
      </w:numPr>
      <w:spacing w:before="240" w:after="60" w:line="240" w:lineRule="auto"/>
    </w:pPr>
    <w:rPr>
      <w:b/>
    </w:rPr>
  </w:style>
  <w:style w:type="paragraph" w:customStyle="1" w:styleId="fcHeading3">
    <w:name w:val="fcHeading 3"/>
    <w:basedOn w:val="Normal"/>
    <w:next w:val="ParaNumbering"/>
    <w:semiHidden/>
    <w:rsid w:val="00BA2E2D"/>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BA2E2D"/>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BA2E2D"/>
    <w:pPr>
      <w:keepNext/>
      <w:numPr>
        <w:ilvl w:val="4"/>
        <w:numId w:val="16"/>
      </w:numPr>
      <w:spacing w:before="240" w:after="60" w:line="240" w:lineRule="auto"/>
    </w:pPr>
    <w:rPr>
      <w:b/>
      <w:caps/>
    </w:rPr>
  </w:style>
  <w:style w:type="paragraph" w:customStyle="1" w:styleId="FTOC5">
    <w:name w:val="FTOC 5"/>
    <w:basedOn w:val="Normal"/>
    <w:semiHidden/>
    <w:rsid w:val="00BA2E2D"/>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BA2E2D"/>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BA2E2D"/>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BA2E2D"/>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BA2E2D"/>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BA2E2D"/>
    <w:pPr>
      <w:tabs>
        <w:tab w:val="right" w:leader="dot" w:pos="9072"/>
      </w:tabs>
      <w:spacing w:before="120" w:after="60" w:line="240" w:lineRule="auto"/>
      <w:ind w:left="709" w:hanging="709"/>
      <w:jc w:val="left"/>
    </w:pPr>
  </w:style>
  <w:style w:type="paragraph" w:customStyle="1" w:styleId="bTOC6">
    <w:name w:val="bTOC 6"/>
    <w:basedOn w:val="Normal"/>
    <w:semiHidden/>
    <w:rsid w:val="00BA2E2D"/>
    <w:pPr>
      <w:tabs>
        <w:tab w:val="right" w:leader="dot" w:pos="9072"/>
      </w:tabs>
      <w:spacing w:before="120" w:after="60" w:line="240" w:lineRule="auto"/>
      <w:ind w:left="1418" w:hanging="709"/>
      <w:jc w:val="left"/>
    </w:pPr>
  </w:style>
  <w:style w:type="paragraph" w:customStyle="1" w:styleId="bTOC7">
    <w:name w:val="bTOC 7"/>
    <w:basedOn w:val="Normal"/>
    <w:semiHidden/>
    <w:rsid w:val="00BA2E2D"/>
    <w:pPr>
      <w:tabs>
        <w:tab w:val="right" w:leader="dot" w:pos="9072"/>
      </w:tabs>
      <w:spacing w:before="120" w:after="60" w:line="240" w:lineRule="auto"/>
      <w:ind w:left="2127" w:hanging="709"/>
      <w:jc w:val="left"/>
    </w:pPr>
  </w:style>
  <w:style w:type="paragraph" w:customStyle="1" w:styleId="bTOC8">
    <w:name w:val="bTOC 8"/>
    <w:basedOn w:val="Normal"/>
    <w:semiHidden/>
    <w:rsid w:val="00BA2E2D"/>
    <w:pPr>
      <w:keepNext/>
      <w:tabs>
        <w:tab w:val="right" w:leader="dot" w:pos="9072"/>
      </w:tabs>
      <w:spacing w:before="120" w:after="60" w:line="240" w:lineRule="auto"/>
      <w:ind w:left="3260" w:hanging="1134"/>
      <w:jc w:val="left"/>
    </w:pPr>
  </w:style>
  <w:style w:type="paragraph" w:customStyle="1" w:styleId="bTOC9">
    <w:name w:val="bTOC 9"/>
    <w:basedOn w:val="Normal"/>
    <w:semiHidden/>
    <w:rsid w:val="00BA2E2D"/>
    <w:pPr>
      <w:keepNext/>
      <w:tabs>
        <w:tab w:val="right" w:leader="dot" w:pos="9072"/>
      </w:tabs>
      <w:spacing w:before="120" w:after="60" w:line="240" w:lineRule="auto"/>
      <w:ind w:left="3969" w:hanging="1134"/>
      <w:jc w:val="left"/>
    </w:pPr>
  </w:style>
  <w:style w:type="paragraph" w:customStyle="1" w:styleId="ListNo2">
    <w:name w:val="List No 2"/>
    <w:basedOn w:val="ListNo1"/>
    <w:rsid w:val="00BA2E2D"/>
    <w:pPr>
      <w:numPr>
        <w:ilvl w:val="1"/>
      </w:numPr>
    </w:pPr>
  </w:style>
  <w:style w:type="paragraph" w:customStyle="1" w:styleId="ListNo3">
    <w:name w:val="List No 3"/>
    <w:basedOn w:val="ListNo2"/>
    <w:rsid w:val="00BA2E2D"/>
    <w:pPr>
      <w:numPr>
        <w:ilvl w:val="2"/>
      </w:numPr>
    </w:pPr>
  </w:style>
  <w:style w:type="numbering" w:customStyle="1" w:styleId="FCListNo">
    <w:name w:val="FCListNo"/>
    <w:uiPriority w:val="99"/>
    <w:rsid w:val="00BA2E2D"/>
    <w:pPr>
      <w:numPr>
        <w:numId w:val="17"/>
      </w:numPr>
    </w:pPr>
  </w:style>
  <w:style w:type="paragraph" w:customStyle="1" w:styleId="SingleSpace">
    <w:name w:val="SingleSpace"/>
    <w:basedOn w:val="Normal"/>
    <w:rsid w:val="00BA2E2D"/>
    <w:pPr>
      <w:spacing w:line="240" w:lineRule="auto"/>
    </w:pPr>
    <w:rPr>
      <w:szCs w:val="22"/>
    </w:rPr>
  </w:style>
  <w:style w:type="paragraph" w:customStyle="1" w:styleId="Quote1Bullet">
    <w:name w:val="Quote1 Bullet"/>
    <w:basedOn w:val="Quote1"/>
    <w:rsid w:val="00BA2E2D"/>
    <w:pPr>
      <w:numPr>
        <w:numId w:val="18"/>
      </w:numPr>
      <w:ind w:left="1440" w:hanging="720"/>
    </w:pPr>
  </w:style>
  <w:style w:type="paragraph" w:customStyle="1" w:styleId="Quote2Bullet">
    <w:name w:val="Quote2 Bullet"/>
    <w:basedOn w:val="Quote2"/>
    <w:rsid w:val="00BA2E2D"/>
    <w:pPr>
      <w:numPr>
        <w:numId w:val="19"/>
      </w:numPr>
      <w:ind w:hanging="720"/>
    </w:pPr>
  </w:style>
  <w:style w:type="paragraph" w:customStyle="1" w:styleId="Quote3Bullet">
    <w:name w:val="Quote3 Bullet"/>
    <w:basedOn w:val="Quote3"/>
    <w:rsid w:val="00BA2E2D"/>
    <w:pPr>
      <w:numPr>
        <w:numId w:val="20"/>
      </w:numPr>
      <w:ind w:hanging="720"/>
    </w:pPr>
  </w:style>
  <w:style w:type="paragraph" w:customStyle="1" w:styleId="Order1">
    <w:name w:val="Order 1"/>
    <w:basedOn w:val="Normal"/>
    <w:rsid w:val="00BA2E2D"/>
    <w:pPr>
      <w:numPr>
        <w:numId w:val="22"/>
      </w:numPr>
      <w:spacing w:before="60" w:after="60"/>
    </w:pPr>
  </w:style>
  <w:style w:type="numbering" w:customStyle="1" w:styleId="FCOrders">
    <w:name w:val="FCOrders"/>
    <w:uiPriority w:val="99"/>
    <w:rsid w:val="00BA2E2D"/>
    <w:pPr>
      <w:numPr>
        <w:numId w:val="65"/>
      </w:numPr>
    </w:pPr>
  </w:style>
  <w:style w:type="paragraph" w:customStyle="1" w:styleId="BodyTextBold">
    <w:name w:val="Body Text Bold"/>
    <w:basedOn w:val="BodyText"/>
    <w:rsid w:val="00BA2E2D"/>
    <w:rPr>
      <w:b/>
    </w:rPr>
  </w:style>
  <w:style w:type="paragraph" w:customStyle="1" w:styleId="GeneralHeading">
    <w:name w:val="General Heading"/>
    <w:basedOn w:val="BodyTextBold"/>
    <w:next w:val="BodyText"/>
    <w:rsid w:val="00BA2E2D"/>
    <w:pPr>
      <w:spacing w:line="480" w:lineRule="auto"/>
      <w:jc w:val="center"/>
    </w:pPr>
    <w:rPr>
      <w:sz w:val="28"/>
    </w:rPr>
  </w:style>
  <w:style w:type="paragraph" w:customStyle="1" w:styleId="ReasonJudge">
    <w:name w:val="Reason Judge"/>
    <w:basedOn w:val="BodyText"/>
    <w:next w:val="BodyText"/>
    <w:rsid w:val="00BA2E2D"/>
    <w:pPr>
      <w:jc w:val="left"/>
    </w:pPr>
    <w:rPr>
      <w:b/>
      <w:sz w:val="26"/>
    </w:rPr>
  </w:style>
  <w:style w:type="paragraph" w:customStyle="1" w:styleId="FileNo">
    <w:name w:val="FileNo"/>
    <w:basedOn w:val="NormalHeadings"/>
    <w:rsid w:val="00BA2E2D"/>
    <w:pPr>
      <w:tabs>
        <w:tab w:val="right" w:pos="3609"/>
      </w:tabs>
      <w:spacing w:line="276" w:lineRule="auto"/>
      <w:jc w:val="right"/>
    </w:pPr>
    <w:rPr>
      <w:szCs w:val="24"/>
    </w:rPr>
  </w:style>
  <w:style w:type="paragraph" w:customStyle="1" w:styleId="CasesLegislationAppealFrom">
    <w:name w:val="Cases Legislation Appeal From"/>
    <w:basedOn w:val="Normal1linespace"/>
    <w:rsid w:val="00BA2E2D"/>
    <w:pPr>
      <w:widowControl w:val="0"/>
      <w:spacing w:after="100"/>
      <w:jc w:val="left"/>
    </w:pPr>
  </w:style>
  <w:style w:type="paragraph" w:customStyle="1" w:styleId="PartyName">
    <w:name w:val="Party Name"/>
    <w:basedOn w:val="NormalHeadings"/>
    <w:rsid w:val="00BA2E2D"/>
    <w:pPr>
      <w:jc w:val="left"/>
    </w:pPr>
    <w:rPr>
      <w:szCs w:val="24"/>
    </w:rPr>
  </w:style>
  <w:style w:type="paragraph" w:customStyle="1" w:styleId="PartyType">
    <w:name w:val="Party Type"/>
    <w:basedOn w:val="PartyName"/>
    <w:rsid w:val="00BA2E2D"/>
    <w:rPr>
      <w:b w:val="0"/>
    </w:rPr>
  </w:style>
  <w:style w:type="paragraph" w:customStyle="1" w:styleId="Small-TableswithinQuotes">
    <w:name w:val="Small - Tables within Quotes"/>
    <w:basedOn w:val="BodyText"/>
    <w:rsid w:val="00BA2E2D"/>
    <w:pPr>
      <w:spacing w:line="240" w:lineRule="auto"/>
      <w:jc w:val="left"/>
    </w:pPr>
    <w:rPr>
      <w:sz w:val="22"/>
    </w:rPr>
  </w:style>
  <w:style w:type="character" w:customStyle="1" w:styleId="BodyTextChar">
    <w:name w:val="Body Text Char"/>
    <w:basedOn w:val="DefaultParagraphFont"/>
    <w:link w:val="BodyText"/>
    <w:rsid w:val="00BA2E2D"/>
    <w:rPr>
      <w:sz w:val="24"/>
      <w:lang w:eastAsia="en-US"/>
    </w:rPr>
  </w:style>
  <w:style w:type="character" w:customStyle="1" w:styleId="NormalHeadingsChar">
    <w:name w:val="Normal Headings Char"/>
    <w:basedOn w:val="DefaultParagraphFont"/>
    <w:link w:val="NormalHeadings"/>
    <w:rsid w:val="00BA2E2D"/>
    <w:rPr>
      <w:b/>
      <w:sz w:val="24"/>
      <w:lang w:eastAsia="en-US"/>
    </w:rPr>
  </w:style>
  <w:style w:type="paragraph" w:customStyle="1" w:styleId="CourtTitle">
    <w:name w:val="CourtTitle"/>
    <w:basedOn w:val="NormalHeadings"/>
    <w:rsid w:val="00BA2E2D"/>
    <w:pPr>
      <w:jc w:val="center"/>
    </w:pPr>
    <w:rPr>
      <w:caps/>
      <w:sz w:val="32"/>
    </w:rPr>
  </w:style>
  <w:style w:type="paragraph" w:customStyle="1" w:styleId="MNC">
    <w:name w:val="MNC"/>
    <w:basedOn w:val="MediaNeutralStyle"/>
    <w:rsid w:val="00BA2E2D"/>
    <w:pPr>
      <w:spacing w:after="240"/>
    </w:pPr>
    <w:rPr>
      <w:sz w:val="28"/>
    </w:rPr>
  </w:style>
  <w:style w:type="paragraph" w:customStyle="1" w:styleId="Quote4">
    <w:name w:val="Quote4"/>
    <w:basedOn w:val="Quote1"/>
    <w:rsid w:val="00BA2E2D"/>
    <w:pPr>
      <w:ind w:left="2880"/>
    </w:pPr>
  </w:style>
  <w:style w:type="paragraph" w:customStyle="1" w:styleId="Quote4Bullet">
    <w:name w:val="Quote4 Bullet"/>
    <w:basedOn w:val="Quote4"/>
    <w:rsid w:val="00BA2E2D"/>
    <w:pPr>
      <w:numPr>
        <w:numId w:val="21"/>
      </w:numPr>
      <w:ind w:hanging="720"/>
    </w:pPr>
  </w:style>
  <w:style w:type="character" w:styleId="PlaceholderText">
    <w:name w:val="Placeholder Text"/>
    <w:basedOn w:val="DefaultParagraphFont"/>
    <w:uiPriority w:val="99"/>
    <w:semiHidden/>
    <w:rsid w:val="00BA2E2D"/>
    <w:rPr>
      <w:color w:val="808080"/>
    </w:rPr>
  </w:style>
  <w:style w:type="paragraph" w:customStyle="1" w:styleId="Order2">
    <w:name w:val="Order 2"/>
    <w:basedOn w:val="Order1"/>
    <w:rsid w:val="00BA2E2D"/>
    <w:pPr>
      <w:numPr>
        <w:ilvl w:val="1"/>
      </w:numPr>
    </w:pPr>
  </w:style>
  <w:style w:type="paragraph" w:customStyle="1" w:styleId="Order3">
    <w:name w:val="Order 3"/>
    <w:basedOn w:val="Order2"/>
    <w:rsid w:val="00BA2E2D"/>
    <w:pPr>
      <w:numPr>
        <w:ilvl w:val="2"/>
      </w:numPr>
    </w:pPr>
  </w:style>
  <w:style w:type="paragraph" w:customStyle="1" w:styleId="ListNo1alt">
    <w:name w:val="List No 1 (alt)"/>
    <w:basedOn w:val="Normal"/>
    <w:rsid w:val="00BA2E2D"/>
    <w:pPr>
      <w:tabs>
        <w:tab w:val="num" w:pos="720"/>
      </w:tabs>
      <w:spacing w:before="60" w:after="60"/>
      <w:ind w:left="720" w:hanging="720"/>
    </w:pPr>
  </w:style>
  <w:style w:type="paragraph" w:customStyle="1" w:styleId="ListNo2alt">
    <w:name w:val="List No 2 (alt)"/>
    <w:basedOn w:val="ListNo1alt"/>
    <w:rsid w:val="00BA2E2D"/>
    <w:pPr>
      <w:tabs>
        <w:tab w:val="clear" w:pos="720"/>
        <w:tab w:val="num" w:pos="1440"/>
      </w:tabs>
      <w:ind w:left="1440"/>
    </w:pPr>
  </w:style>
  <w:style w:type="paragraph" w:customStyle="1" w:styleId="ListNo3alt">
    <w:name w:val="List No 3 (alt)"/>
    <w:basedOn w:val="ListNo2alt"/>
    <w:rsid w:val="00BA2E2D"/>
    <w:pPr>
      <w:tabs>
        <w:tab w:val="clear" w:pos="1440"/>
        <w:tab w:val="num" w:pos="2160"/>
      </w:tabs>
      <w:ind w:left="2160"/>
    </w:pPr>
  </w:style>
  <w:style w:type="numbering" w:customStyle="1" w:styleId="FCListNoalt">
    <w:name w:val="FC List No (alt)"/>
    <w:uiPriority w:val="99"/>
    <w:rsid w:val="00BA2E2D"/>
    <w:pPr>
      <w:numPr>
        <w:numId w:val="24"/>
      </w:numPr>
    </w:pPr>
  </w:style>
  <w:style w:type="paragraph" w:customStyle="1" w:styleId="Order4">
    <w:name w:val="Order 4"/>
    <w:basedOn w:val="Order3"/>
    <w:rsid w:val="00BA2E2D"/>
    <w:pPr>
      <w:numPr>
        <w:ilvl w:val="3"/>
      </w:numPr>
    </w:pPr>
  </w:style>
  <w:style w:type="character" w:customStyle="1" w:styleId="HeaderChar">
    <w:name w:val="Header Char"/>
    <w:basedOn w:val="DefaultParagraphFont"/>
    <w:link w:val="Header"/>
    <w:rsid w:val="003E6446"/>
    <w:rPr>
      <w:sz w:val="24"/>
      <w:lang w:eastAsia="en-US"/>
    </w:rPr>
  </w:style>
  <w:style w:type="paragraph" w:customStyle="1" w:styleId="Default">
    <w:name w:val="Default"/>
    <w:rsid w:val="003E6446"/>
    <w:pPr>
      <w:autoSpaceDE w:val="0"/>
      <w:autoSpaceDN w:val="0"/>
      <w:adjustRightInd w:val="0"/>
    </w:pPr>
    <w:rPr>
      <w:color w:val="000000"/>
      <w:sz w:val="24"/>
      <w:szCs w:val="24"/>
    </w:rPr>
  </w:style>
  <w:style w:type="character" w:customStyle="1" w:styleId="Heading1Char">
    <w:name w:val="Heading 1 Char"/>
    <w:basedOn w:val="DefaultParagraphFont"/>
    <w:link w:val="Heading1"/>
    <w:rsid w:val="00EE4D06"/>
    <w:rPr>
      <w:b/>
      <w:caps/>
      <w:kern w:val="28"/>
      <w:sz w:val="24"/>
      <w:lang w:eastAsia="en-US"/>
    </w:rPr>
  </w:style>
  <w:style w:type="character" w:customStyle="1" w:styleId="Heading2Char">
    <w:name w:val="Heading 2 Char"/>
    <w:basedOn w:val="DefaultParagraphFont"/>
    <w:link w:val="Heading2"/>
    <w:rsid w:val="00EE4D06"/>
    <w:rPr>
      <w:b/>
      <w:sz w:val="24"/>
      <w:szCs w:val="24"/>
      <w:lang w:eastAsia="en-US"/>
    </w:rPr>
  </w:style>
  <w:style w:type="character" w:customStyle="1" w:styleId="Heading3Char">
    <w:name w:val="Heading 3 Char"/>
    <w:basedOn w:val="DefaultParagraphFont"/>
    <w:link w:val="Heading3"/>
    <w:rsid w:val="00EE4D06"/>
    <w:rPr>
      <w:b/>
      <w:i/>
      <w:sz w:val="24"/>
      <w:lang w:eastAsia="en-US"/>
    </w:rPr>
  </w:style>
  <w:style w:type="character" w:customStyle="1" w:styleId="Heading4Char">
    <w:name w:val="Heading 4 Char"/>
    <w:basedOn w:val="DefaultParagraphFont"/>
    <w:link w:val="Heading4"/>
    <w:rsid w:val="00EE4D06"/>
    <w:rPr>
      <w:i/>
      <w:sz w:val="24"/>
      <w:szCs w:val="24"/>
      <w:lang w:eastAsia="en-US"/>
    </w:rPr>
  </w:style>
  <w:style w:type="character" w:customStyle="1" w:styleId="Heading5Char">
    <w:name w:val="Heading 5 Char"/>
    <w:basedOn w:val="DefaultParagraphFont"/>
    <w:link w:val="Heading5"/>
    <w:rsid w:val="00EE4D06"/>
    <w:rPr>
      <w:b/>
      <w:kern w:val="28"/>
      <w:sz w:val="24"/>
      <w:lang w:eastAsia="en-US"/>
    </w:rPr>
  </w:style>
  <w:style w:type="character" w:customStyle="1" w:styleId="Heading6Char">
    <w:name w:val="Heading 6 Char"/>
    <w:basedOn w:val="DefaultParagraphFont"/>
    <w:link w:val="Heading6"/>
    <w:rsid w:val="00EE4D06"/>
    <w:rPr>
      <w:b/>
      <w:sz w:val="24"/>
      <w:lang w:eastAsia="en-US"/>
    </w:rPr>
  </w:style>
  <w:style w:type="character" w:customStyle="1" w:styleId="Heading7Char">
    <w:name w:val="Heading 7 Char"/>
    <w:basedOn w:val="DefaultParagraphFont"/>
    <w:link w:val="Heading7"/>
    <w:rsid w:val="00EE4D06"/>
    <w:rPr>
      <w:b/>
      <w:sz w:val="24"/>
      <w:lang w:eastAsia="en-US"/>
    </w:rPr>
  </w:style>
  <w:style w:type="character" w:customStyle="1" w:styleId="Heading8Char">
    <w:name w:val="Heading 8 Char"/>
    <w:basedOn w:val="DefaultParagraphFont"/>
    <w:link w:val="Heading8"/>
    <w:rsid w:val="00EE4D06"/>
    <w:rPr>
      <w:b/>
      <w:sz w:val="24"/>
      <w:lang w:eastAsia="en-US"/>
    </w:rPr>
  </w:style>
  <w:style w:type="character" w:customStyle="1" w:styleId="Heading9Char">
    <w:name w:val="Heading 9 Char"/>
    <w:basedOn w:val="DefaultParagraphFont"/>
    <w:link w:val="Heading9"/>
    <w:rsid w:val="00EE4D06"/>
    <w:rPr>
      <w:b/>
      <w:sz w:val="24"/>
      <w:lang w:eastAsia="en-US"/>
    </w:rPr>
  </w:style>
  <w:style w:type="character" w:customStyle="1" w:styleId="FooterChar">
    <w:name w:val="Footer Char"/>
    <w:basedOn w:val="DefaultParagraphFont"/>
    <w:link w:val="Footer"/>
    <w:rsid w:val="00EE4D06"/>
    <w:rPr>
      <w:sz w:val="24"/>
      <w:lang w:eastAsia="en-US"/>
    </w:rPr>
  </w:style>
  <w:style w:type="character" w:customStyle="1" w:styleId="BalloonTextChar">
    <w:name w:val="Balloon Text Char"/>
    <w:basedOn w:val="DefaultParagraphFont"/>
    <w:link w:val="BalloonText"/>
    <w:semiHidden/>
    <w:rsid w:val="00EE4D06"/>
    <w:rPr>
      <w:rFonts w:ascii="Tahoma" w:hAnsi="Tahoma" w:cs="Tahoma"/>
      <w:sz w:val="16"/>
      <w:szCs w:val="16"/>
      <w:lang w:eastAsia="en-US"/>
    </w:rPr>
  </w:style>
  <w:style w:type="character" w:customStyle="1" w:styleId="CommentTextChar">
    <w:name w:val="Comment Text Char"/>
    <w:basedOn w:val="DefaultParagraphFont"/>
    <w:link w:val="CommentText"/>
    <w:semiHidden/>
    <w:rsid w:val="00EE4D06"/>
    <w:rPr>
      <w:lang w:eastAsia="en-US"/>
    </w:rPr>
  </w:style>
  <w:style w:type="character" w:customStyle="1" w:styleId="CommentSubjectChar">
    <w:name w:val="Comment Subject Char"/>
    <w:basedOn w:val="CommentTextChar"/>
    <w:link w:val="CommentSubject"/>
    <w:semiHidden/>
    <w:rsid w:val="00EE4D06"/>
    <w:rPr>
      <w:b/>
      <w:bCs/>
      <w:lang w:eastAsia="en-US"/>
    </w:rPr>
  </w:style>
  <w:style w:type="character" w:customStyle="1" w:styleId="BodyText2Char">
    <w:name w:val="Body Text 2 Char"/>
    <w:basedOn w:val="DefaultParagraphFont"/>
    <w:link w:val="BodyText2"/>
    <w:semiHidden/>
    <w:rsid w:val="00EE4D06"/>
    <w:rPr>
      <w:sz w:val="24"/>
      <w:lang w:eastAsia="en-US"/>
    </w:rPr>
  </w:style>
  <w:style w:type="character" w:customStyle="1" w:styleId="BodyText3Char">
    <w:name w:val="Body Text 3 Char"/>
    <w:basedOn w:val="DefaultParagraphFont"/>
    <w:link w:val="BodyText3"/>
    <w:semiHidden/>
    <w:rsid w:val="00EE4D06"/>
    <w:rPr>
      <w:sz w:val="16"/>
      <w:szCs w:val="16"/>
      <w:lang w:eastAsia="en-US"/>
    </w:rPr>
  </w:style>
  <w:style w:type="character" w:customStyle="1" w:styleId="BodyTextFirstIndentChar">
    <w:name w:val="Body Text First Indent Char"/>
    <w:basedOn w:val="BodyTextChar"/>
    <w:link w:val="BodyTextFirstIndent"/>
    <w:semiHidden/>
    <w:rsid w:val="00EE4D06"/>
    <w:rPr>
      <w:sz w:val="24"/>
      <w:lang w:eastAsia="en-US"/>
    </w:rPr>
  </w:style>
  <w:style w:type="character" w:customStyle="1" w:styleId="BodyTextIndentChar">
    <w:name w:val="Body Text Indent Char"/>
    <w:basedOn w:val="DefaultParagraphFont"/>
    <w:link w:val="BodyTextIndent"/>
    <w:semiHidden/>
    <w:rsid w:val="00EE4D06"/>
    <w:rPr>
      <w:sz w:val="24"/>
      <w:lang w:eastAsia="en-US"/>
    </w:rPr>
  </w:style>
  <w:style w:type="character" w:customStyle="1" w:styleId="BodyTextFirstIndent2Char">
    <w:name w:val="Body Text First Indent 2 Char"/>
    <w:basedOn w:val="BodyTextIndentChar"/>
    <w:link w:val="BodyTextFirstIndent2"/>
    <w:semiHidden/>
    <w:rsid w:val="00EE4D06"/>
    <w:rPr>
      <w:sz w:val="24"/>
      <w:lang w:eastAsia="en-US"/>
    </w:rPr>
  </w:style>
  <w:style w:type="character" w:customStyle="1" w:styleId="BodyTextIndent2Char">
    <w:name w:val="Body Text Indent 2 Char"/>
    <w:basedOn w:val="DefaultParagraphFont"/>
    <w:link w:val="BodyTextIndent2"/>
    <w:semiHidden/>
    <w:rsid w:val="00EE4D06"/>
    <w:rPr>
      <w:sz w:val="24"/>
      <w:lang w:eastAsia="en-US"/>
    </w:rPr>
  </w:style>
  <w:style w:type="character" w:customStyle="1" w:styleId="BodyTextIndent3Char">
    <w:name w:val="Body Text Indent 3 Char"/>
    <w:basedOn w:val="DefaultParagraphFont"/>
    <w:link w:val="BodyTextIndent3"/>
    <w:semiHidden/>
    <w:rsid w:val="00EE4D06"/>
    <w:rPr>
      <w:sz w:val="16"/>
      <w:szCs w:val="16"/>
      <w:lang w:eastAsia="en-US"/>
    </w:rPr>
  </w:style>
  <w:style w:type="character" w:customStyle="1" w:styleId="ClosingChar">
    <w:name w:val="Closing Char"/>
    <w:basedOn w:val="DefaultParagraphFont"/>
    <w:link w:val="Closing"/>
    <w:semiHidden/>
    <w:rsid w:val="00EE4D06"/>
    <w:rPr>
      <w:sz w:val="24"/>
      <w:lang w:eastAsia="en-US"/>
    </w:rPr>
  </w:style>
  <w:style w:type="character" w:customStyle="1" w:styleId="DateChar">
    <w:name w:val="Date Char"/>
    <w:basedOn w:val="DefaultParagraphFont"/>
    <w:link w:val="Date"/>
    <w:semiHidden/>
    <w:rsid w:val="00EE4D06"/>
    <w:rPr>
      <w:sz w:val="24"/>
      <w:lang w:eastAsia="en-US"/>
    </w:rPr>
  </w:style>
  <w:style w:type="character" w:customStyle="1" w:styleId="E-mailSignatureChar">
    <w:name w:val="E-mail Signature Char"/>
    <w:basedOn w:val="DefaultParagraphFont"/>
    <w:link w:val="E-mailSignature"/>
    <w:semiHidden/>
    <w:rsid w:val="00EE4D06"/>
    <w:rPr>
      <w:sz w:val="24"/>
      <w:lang w:eastAsia="en-US"/>
    </w:rPr>
  </w:style>
  <w:style w:type="character" w:customStyle="1" w:styleId="HTMLAddressChar">
    <w:name w:val="HTML Address Char"/>
    <w:basedOn w:val="DefaultParagraphFont"/>
    <w:link w:val="HTMLAddress"/>
    <w:semiHidden/>
    <w:rsid w:val="00EE4D06"/>
    <w:rPr>
      <w:i/>
      <w:iCs/>
      <w:sz w:val="24"/>
      <w:lang w:eastAsia="en-US"/>
    </w:rPr>
  </w:style>
  <w:style w:type="character" w:customStyle="1" w:styleId="HTMLPreformattedChar">
    <w:name w:val="HTML Preformatted Char"/>
    <w:basedOn w:val="DefaultParagraphFont"/>
    <w:link w:val="HTMLPreformatted"/>
    <w:semiHidden/>
    <w:rsid w:val="00EE4D06"/>
    <w:rPr>
      <w:rFonts w:ascii="Courier New" w:hAnsi="Courier New" w:cs="Courier New"/>
      <w:lang w:eastAsia="en-US"/>
    </w:rPr>
  </w:style>
  <w:style w:type="character" w:customStyle="1" w:styleId="MessageHeaderChar">
    <w:name w:val="Message Header Char"/>
    <w:basedOn w:val="DefaultParagraphFont"/>
    <w:link w:val="MessageHeader"/>
    <w:semiHidden/>
    <w:rsid w:val="00EE4D0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EE4D06"/>
    <w:rPr>
      <w:sz w:val="24"/>
      <w:lang w:eastAsia="en-US"/>
    </w:rPr>
  </w:style>
  <w:style w:type="character" w:customStyle="1" w:styleId="PlainTextChar">
    <w:name w:val="Plain Text Char"/>
    <w:basedOn w:val="DefaultParagraphFont"/>
    <w:link w:val="PlainText"/>
    <w:semiHidden/>
    <w:rsid w:val="00EE4D06"/>
    <w:rPr>
      <w:rFonts w:ascii="Courier New" w:hAnsi="Courier New" w:cs="Courier New"/>
      <w:lang w:eastAsia="en-US"/>
    </w:rPr>
  </w:style>
  <w:style w:type="character" w:customStyle="1" w:styleId="SalutationChar">
    <w:name w:val="Salutation Char"/>
    <w:basedOn w:val="DefaultParagraphFont"/>
    <w:link w:val="Salutation"/>
    <w:semiHidden/>
    <w:rsid w:val="00EE4D06"/>
    <w:rPr>
      <w:sz w:val="24"/>
      <w:lang w:eastAsia="en-US"/>
    </w:rPr>
  </w:style>
  <w:style w:type="character" w:customStyle="1" w:styleId="SignatureChar">
    <w:name w:val="Signature Char"/>
    <w:basedOn w:val="DefaultParagraphFont"/>
    <w:link w:val="Signature"/>
    <w:semiHidden/>
    <w:rsid w:val="00EE4D06"/>
    <w:rPr>
      <w:sz w:val="24"/>
      <w:lang w:eastAsia="en-US"/>
    </w:rPr>
  </w:style>
  <w:style w:type="character" w:customStyle="1" w:styleId="SubtitleChar">
    <w:name w:val="Subtitle Char"/>
    <w:basedOn w:val="DefaultParagraphFont"/>
    <w:link w:val="Subtitle"/>
    <w:rsid w:val="00EE4D06"/>
    <w:rPr>
      <w:rFonts w:ascii="Arial" w:hAnsi="Arial" w:cs="Arial"/>
      <w:sz w:val="24"/>
      <w:szCs w:val="24"/>
      <w:lang w:eastAsia="en-US"/>
    </w:rPr>
  </w:style>
  <w:style w:type="paragraph" w:styleId="EndnoteText">
    <w:name w:val="endnote text"/>
    <w:basedOn w:val="Normal"/>
    <w:link w:val="EndnoteTextChar"/>
    <w:uiPriority w:val="99"/>
    <w:semiHidden/>
    <w:unhideWhenUsed/>
    <w:rsid w:val="00EE4D06"/>
    <w:pPr>
      <w:spacing w:line="240" w:lineRule="auto"/>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EE4D0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E4D06"/>
    <w:rPr>
      <w:vertAlign w:val="superscript"/>
    </w:rPr>
  </w:style>
  <w:style w:type="paragraph" w:styleId="ListParagraph">
    <w:name w:val="List Paragraph"/>
    <w:basedOn w:val="Normal"/>
    <w:uiPriority w:val="34"/>
    <w:qFormat/>
    <w:rsid w:val="00EE4D06"/>
    <w:pPr>
      <w:spacing w:after="160" w:line="259"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E4D06"/>
    <w:pPr>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EE4D06"/>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EE4D06"/>
    <w:rPr>
      <w:vertAlign w:val="superscript"/>
    </w:rPr>
  </w:style>
  <w:style w:type="paragraph" w:customStyle="1" w:styleId="Para1">
    <w:name w:val="Para 1"/>
    <w:basedOn w:val="Normal"/>
    <w:rsid w:val="00EE4D06"/>
    <w:pPr>
      <w:numPr>
        <w:numId w:val="25"/>
      </w:numPr>
      <w:spacing w:before="240"/>
    </w:pPr>
    <w:rPr>
      <w:rFonts w:asciiTheme="majorBidi" w:eastAsia="Times New Roman" w:hAnsiTheme="majorBidi" w:cstheme="majorBidi"/>
      <w:szCs w:val="24"/>
      <w:lang w:eastAsia="en-AU"/>
    </w:rPr>
  </w:style>
  <w:style w:type="paragraph" w:customStyle="1" w:styleId="Paraa">
    <w:name w:val="Para (a)"/>
    <w:basedOn w:val="Para1"/>
    <w:rsid w:val="00EE4D06"/>
    <w:pPr>
      <w:numPr>
        <w:ilvl w:val="1"/>
      </w:numPr>
    </w:pPr>
  </w:style>
  <w:style w:type="paragraph" w:customStyle="1" w:styleId="Parai">
    <w:name w:val="Para (i)"/>
    <w:basedOn w:val="Paraa"/>
    <w:rsid w:val="00EE4D06"/>
    <w:pPr>
      <w:numPr>
        <w:ilvl w:val="2"/>
      </w:numPr>
    </w:pPr>
  </w:style>
  <w:style w:type="paragraph" w:customStyle="1" w:styleId="PartL1">
    <w:name w:val="Part L1"/>
    <w:basedOn w:val="Normal"/>
    <w:semiHidden/>
    <w:rsid w:val="00EE4D06"/>
    <w:pPr>
      <w:numPr>
        <w:numId w:val="26"/>
      </w:numPr>
      <w:tabs>
        <w:tab w:val="clear" w:pos="1080"/>
        <w:tab w:val="num" w:pos="360"/>
        <w:tab w:val="left" w:pos="907"/>
      </w:tabs>
      <w:spacing w:after="240" w:line="240" w:lineRule="auto"/>
      <w:ind w:left="0" w:firstLine="0"/>
      <w:jc w:val="left"/>
      <w:outlineLvl w:val="0"/>
    </w:pPr>
    <w:rPr>
      <w:rFonts w:ascii="Arial" w:eastAsiaTheme="minorHAnsi" w:hAnsi="Arial"/>
      <w:sz w:val="22"/>
      <w:szCs w:val="24"/>
    </w:rPr>
  </w:style>
  <w:style w:type="paragraph" w:customStyle="1" w:styleId="PartL2">
    <w:name w:val="Part L2"/>
    <w:basedOn w:val="Normal"/>
    <w:semiHidden/>
    <w:rsid w:val="00EE4D06"/>
    <w:pPr>
      <w:numPr>
        <w:ilvl w:val="1"/>
        <w:numId w:val="26"/>
      </w:numPr>
      <w:spacing w:after="240" w:line="240" w:lineRule="auto"/>
      <w:jc w:val="left"/>
      <w:outlineLvl w:val="1"/>
    </w:pPr>
    <w:rPr>
      <w:rFonts w:ascii="Arial" w:eastAsiaTheme="minorHAnsi" w:hAnsi="Arial"/>
      <w:sz w:val="22"/>
      <w:szCs w:val="24"/>
    </w:rPr>
  </w:style>
  <w:style w:type="paragraph" w:customStyle="1" w:styleId="PartL3">
    <w:name w:val="Part L3"/>
    <w:basedOn w:val="Normal"/>
    <w:semiHidden/>
    <w:rsid w:val="00EE4D06"/>
    <w:pPr>
      <w:numPr>
        <w:ilvl w:val="2"/>
        <w:numId w:val="26"/>
      </w:numPr>
      <w:spacing w:after="240" w:line="240" w:lineRule="auto"/>
      <w:jc w:val="left"/>
      <w:outlineLvl w:val="2"/>
    </w:pPr>
    <w:rPr>
      <w:rFonts w:ascii="Arial" w:eastAsiaTheme="minorHAnsi" w:hAnsi="Arial"/>
      <w:sz w:val="22"/>
      <w:szCs w:val="24"/>
    </w:rPr>
  </w:style>
  <w:style w:type="paragraph" w:customStyle="1" w:styleId="PartL4">
    <w:name w:val="Part L4"/>
    <w:basedOn w:val="Normal"/>
    <w:semiHidden/>
    <w:rsid w:val="00EE4D06"/>
    <w:pPr>
      <w:numPr>
        <w:ilvl w:val="3"/>
        <w:numId w:val="26"/>
      </w:numPr>
      <w:spacing w:after="240" w:line="240" w:lineRule="auto"/>
      <w:jc w:val="left"/>
      <w:outlineLvl w:val="3"/>
    </w:pPr>
    <w:rPr>
      <w:rFonts w:ascii="Arial" w:eastAsiaTheme="minorHAnsi" w:hAnsi="Arial"/>
      <w:sz w:val="22"/>
      <w:szCs w:val="24"/>
    </w:rPr>
  </w:style>
  <w:style w:type="paragraph" w:customStyle="1" w:styleId="PartL5">
    <w:name w:val="Part L5"/>
    <w:basedOn w:val="Normal"/>
    <w:semiHidden/>
    <w:rsid w:val="00EE4D06"/>
    <w:pPr>
      <w:numPr>
        <w:ilvl w:val="4"/>
        <w:numId w:val="26"/>
      </w:numPr>
      <w:spacing w:after="240" w:line="240" w:lineRule="auto"/>
      <w:jc w:val="left"/>
      <w:outlineLvl w:val="4"/>
    </w:pPr>
    <w:rPr>
      <w:rFonts w:ascii="Arial" w:eastAsiaTheme="minorHAnsi" w:hAnsi="Arial"/>
      <w:sz w:val="22"/>
      <w:szCs w:val="24"/>
    </w:rPr>
  </w:style>
  <w:style w:type="paragraph" w:customStyle="1" w:styleId="PartL6">
    <w:name w:val="Part L6"/>
    <w:basedOn w:val="Normal"/>
    <w:semiHidden/>
    <w:rsid w:val="00EE4D06"/>
    <w:pPr>
      <w:numPr>
        <w:ilvl w:val="5"/>
        <w:numId w:val="26"/>
      </w:numPr>
      <w:spacing w:after="240" w:line="240" w:lineRule="auto"/>
      <w:jc w:val="left"/>
      <w:outlineLvl w:val="5"/>
    </w:pPr>
    <w:rPr>
      <w:rFonts w:ascii="Arial" w:eastAsiaTheme="minorHAnsi" w:hAnsi="Arial"/>
      <w:sz w:val="22"/>
      <w:szCs w:val="24"/>
    </w:rPr>
  </w:style>
  <w:style w:type="paragraph" w:customStyle="1" w:styleId="PartL7">
    <w:name w:val="Part L7"/>
    <w:basedOn w:val="Normal"/>
    <w:semiHidden/>
    <w:rsid w:val="00EE4D06"/>
    <w:pPr>
      <w:numPr>
        <w:ilvl w:val="6"/>
        <w:numId w:val="26"/>
      </w:numPr>
      <w:spacing w:after="240" w:line="240" w:lineRule="auto"/>
      <w:jc w:val="left"/>
      <w:outlineLvl w:val="6"/>
    </w:pPr>
    <w:rPr>
      <w:rFonts w:ascii="Arial" w:eastAsiaTheme="minorHAnsi" w:hAnsi="Arial"/>
      <w:sz w:val="22"/>
      <w:szCs w:val="24"/>
    </w:rPr>
  </w:style>
  <w:style w:type="table" w:customStyle="1" w:styleId="TableGrid10">
    <w:name w:val="Table Grid1"/>
    <w:basedOn w:val="TableNormal"/>
    <w:next w:val="TableGrid"/>
    <w:uiPriority w:val="39"/>
    <w:rsid w:val="00EE4D06"/>
    <w:rPr>
      <w:rFonts w:eastAsia="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qFormat/>
    <w:rsid w:val="00EE4D06"/>
    <w:pPr>
      <w:numPr>
        <w:numId w:val="46"/>
      </w:numPr>
      <w:spacing w:after="240"/>
      <w:jc w:val="left"/>
      <w:outlineLvl w:val="0"/>
    </w:pPr>
    <w:rPr>
      <w:rFonts w:ascii="Arial" w:eastAsiaTheme="minorHAnsi" w:hAnsi="Arial"/>
      <w:szCs w:val="24"/>
    </w:rPr>
  </w:style>
  <w:style w:type="paragraph" w:customStyle="1" w:styleId="MELegal2">
    <w:name w:val="ME Legal 2"/>
    <w:basedOn w:val="Normal"/>
    <w:qFormat/>
    <w:rsid w:val="00EE4D06"/>
    <w:pPr>
      <w:numPr>
        <w:ilvl w:val="1"/>
        <w:numId w:val="46"/>
      </w:numPr>
      <w:spacing w:after="240"/>
      <w:jc w:val="left"/>
      <w:outlineLvl w:val="1"/>
    </w:pPr>
    <w:rPr>
      <w:rFonts w:ascii="Arial" w:eastAsiaTheme="minorHAnsi" w:hAnsi="Arial"/>
      <w:szCs w:val="24"/>
    </w:rPr>
  </w:style>
  <w:style w:type="paragraph" w:customStyle="1" w:styleId="MELegal3">
    <w:name w:val="ME Legal 3"/>
    <w:basedOn w:val="Normal"/>
    <w:qFormat/>
    <w:rsid w:val="00EE4D06"/>
    <w:pPr>
      <w:numPr>
        <w:ilvl w:val="2"/>
        <w:numId w:val="46"/>
      </w:numPr>
      <w:spacing w:after="240"/>
      <w:jc w:val="left"/>
      <w:outlineLvl w:val="2"/>
    </w:pPr>
    <w:rPr>
      <w:rFonts w:ascii="Arial" w:eastAsiaTheme="minorHAnsi" w:hAnsi="Arial"/>
      <w:szCs w:val="24"/>
    </w:rPr>
  </w:style>
  <w:style w:type="paragraph" w:customStyle="1" w:styleId="MELegal4">
    <w:name w:val="ME Legal 4"/>
    <w:basedOn w:val="Normal"/>
    <w:qFormat/>
    <w:rsid w:val="00EE4D06"/>
    <w:pPr>
      <w:numPr>
        <w:ilvl w:val="3"/>
        <w:numId w:val="46"/>
      </w:numPr>
      <w:spacing w:after="240"/>
      <w:jc w:val="left"/>
      <w:outlineLvl w:val="3"/>
    </w:pPr>
    <w:rPr>
      <w:rFonts w:ascii="Arial" w:eastAsiaTheme="minorHAnsi" w:hAnsi="Arial"/>
      <w:i/>
      <w:szCs w:val="24"/>
    </w:rPr>
  </w:style>
  <w:style w:type="paragraph" w:customStyle="1" w:styleId="MELegal5">
    <w:name w:val="ME Legal 5"/>
    <w:basedOn w:val="Normal"/>
    <w:qFormat/>
    <w:rsid w:val="00EE4D06"/>
    <w:pPr>
      <w:numPr>
        <w:ilvl w:val="4"/>
        <w:numId w:val="46"/>
      </w:numPr>
      <w:spacing w:after="240"/>
      <w:jc w:val="left"/>
      <w:outlineLvl w:val="4"/>
    </w:pPr>
    <w:rPr>
      <w:rFonts w:ascii="Arial" w:eastAsiaTheme="minorHAnsi" w:hAnsi="Arial"/>
      <w:sz w:val="22"/>
      <w:szCs w:val="24"/>
    </w:rPr>
  </w:style>
  <w:style w:type="paragraph" w:customStyle="1" w:styleId="MELegal6">
    <w:name w:val="ME Legal 6"/>
    <w:basedOn w:val="Normal"/>
    <w:qFormat/>
    <w:rsid w:val="00EE4D06"/>
    <w:pPr>
      <w:numPr>
        <w:ilvl w:val="5"/>
        <w:numId w:val="46"/>
      </w:numPr>
      <w:spacing w:after="240"/>
      <w:jc w:val="left"/>
      <w:outlineLvl w:val="5"/>
    </w:pPr>
    <w:rPr>
      <w:rFonts w:ascii="Arial" w:eastAsiaTheme="minorHAnsi" w:hAnsi="Arial"/>
      <w:sz w:val="22"/>
      <w:szCs w:val="24"/>
    </w:rPr>
  </w:style>
  <w:style w:type="numbering" w:customStyle="1" w:styleId="MELegal">
    <w:name w:val="ME Legal"/>
    <w:uiPriority w:val="99"/>
    <w:rsid w:val="00EE4D06"/>
    <w:pPr>
      <w:numPr>
        <w:numId w:val="45"/>
      </w:numPr>
    </w:pPr>
  </w:style>
  <w:style w:type="paragraph" w:customStyle="1" w:styleId="MELegal7">
    <w:name w:val="ME Legal 7"/>
    <w:basedOn w:val="Normal"/>
    <w:qFormat/>
    <w:rsid w:val="00EE4D06"/>
    <w:pPr>
      <w:numPr>
        <w:ilvl w:val="6"/>
        <w:numId w:val="46"/>
      </w:numPr>
      <w:spacing w:after="240"/>
      <w:jc w:val="left"/>
      <w:outlineLvl w:val="6"/>
    </w:pPr>
    <w:rPr>
      <w:rFonts w:ascii="Arial" w:eastAsiaTheme="minorHAnsi" w:hAnsi="Arial"/>
      <w:sz w:val="22"/>
      <w:szCs w:val="24"/>
    </w:rPr>
  </w:style>
  <w:style w:type="paragraph" w:customStyle="1" w:styleId="MELegal8">
    <w:name w:val="ME Legal 8"/>
    <w:basedOn w:val="Normal"/>
    <w:semiHidden/>
    <w:unhideWhenUsed/>
    <w:qFormat/>
    <w:rsid w:val="00EE4D06"/>
    <w:pPr>
      <w:numPr>
        <w:ilvl w:val="7"/>
        <w:numId w:val="46"/>
      </w:numPr>
      <w:spacing w:after="240"/>
      <w:jc w:val="left"/>
      <w:outlineLvl w:val="7"/>
    </w:pPr>
    <w:rPr>
      <w:rFonts w:ascii="Arial" w:eastAsiaTheme="minorHAnsi" w:hAnsi="Arial"/>
      <w:sz w:val="22"/>
      <w:szCs w:val="24"/>
    </w:rPr>
  </w:style>
  <w:style w:type="paragraph" w:customStyle="1" w:styleId="MELegal9">
    <w:name w:val="ME Legal 9"/>
    <w:basedOn w:val="Normal"/>
    <w:semiHidden/>
    <w:unhideWhenUsed/>
    <w:qFormat/>
    <w:rsid w:val="00EE4D06"/>
    <w:pPr>
      <w:numPr>
        <w:ilvl w:val="8"/>
        <w:numId w:val="46"/>
      </w:numPr>
      <w:spacing w:after="240"/>
      <w:jc w:val="left"/>
      <w:outlineLvl w:val="8"/>
    </w:pPr>
    <w:rPr>
      <w:rFonts w:ascii="Arial" w:eastAsiaTheme="minorHAnsi" w:hAnsi="Arial"/>
      <w:sz w:val="22"/>
      <w:szCs w:val="24"/>
    </w:rPr>
  </w:style>
  <w:style w:type="paragraph" w:customStyle="1" w:styleId="subsection">
    <w:name w:val="subsection"/>
    <w:basedOn w:val="Normal"/>
    <w:rsid w:val="006A303E"/>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6A303E"/>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6A303E"/>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6A303E"/>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A134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1107">
      <w:bodyDiv w:val="1"/>
      <w:marLeft w:val="0"/>
      <w:marRight w:val="0"/>
      <w:marTop w:val="0"/>
      <w:marBottom w:val="0"/>
      <w:divBdr>
        <w:top w:val="none" w:sz="0" w:space="0" w:color="auto"/>
        <w:left w:val="none" w:sz="0" w:space="0" w:color="auto"/>
        <w:bottom w:val="none" w:sz="0" w:space="0" w:color="auto"/>
        <w:right w:val="none" w:sz="0" w:space="0" w:color="auto"/>
      </w:divBdr>
    </w:div>
    <w:div w:id="749815032">
      <w:bodyDiv w:val="1"/>
      <w:marLeft w:val="0"/>
      <w:marRight w:val="0"/>
      <w:marTop w:val="0"/>
      <w:marBottom w:val="0"/>
      <w:divBdr>
        <w:top w:val="none" w:sz="0" w:space="0" w:color="auto"/>
        <w:left w:val="none" w:sz="0" w:space="0" w:color="auto"/>
        <w:bottom w:val="none" w:sz="0" w:space="0" w:color="auto"/>
        <w:right w:val="none" w:sz="0" w:space="0" w:color="auto"/>
      </w:divBdr>
    </w:div>
    <w:div w:id="800852748">
      <w:bodyDiv w:val="1"/>
      <w:marLeft w:val="0"/>
      <w:marRight w:val="0"/>
      <w:marTop w:val="0"/>
      <w:marBottom w:val="0"/>
      <w:divBdr>
        <w:top w:val="none" w:sz="0" w:space="0" w:color="auto"/>
        <w:left w:val="none" w:sz="0" w:space="0" w:color="auto"/>
        <w:bottom w:val="none" w:sz="0" w:space="0" w:color="auto"/>
        <w:right w:val="none" w:sz="0" w:space="0" w:color="auto"/>
      </w:divBdr>
    </w:div>
    <w:div w:id="1010376444">
      <w:bodyDiv w:val="1"/>
      <w:marLeft w:val="0"/>
      <w:marRight w:val="0"/>
      <w:marTop w:val="0"/>
      <w:marBottom w:val="0"/>
      <w:divBdr>
        <w:top w:val="none" w:sz="0" w:space="0" w:color="auto"/>
        <w:left w:val="none" w:sz="0" w:space="0" w:color="auto"/>
        <w:bottom w:val="none" w:sz="0" w:space="0" w:color="auto"/>
        <w:right w:val="none" w:sz="0" w:space="0" w:color="auto"/>
      </w:divBdr>
    </w:div>
    <w:div w:id="1288466870">
      <w:bodyDiv w:val="1"/>
      <w:marLeft w:val="0"/>
      <w:marRight w:val="0"/>
      <w:marTop w:val="0"/>
      <w:marBottom w:val="0"/>
      <w:divBdr>
        <w:top w:val="none" w:sz="0" w:space="0" w:color="auto"/>
        <w:left w:val="none" w:sz="0" w:space="0" w:color="auto"/>
        <w:bottom w:val="none" w:sz="0" w:space="0" w:color="auto"/>
        <w:right w:val="none" w:sz="0" w:space="0" w:color="auto"/>
      </w:divBdr>
    </w:div>
    <w:div w:id="1466392987">
      <w:bodyDiv w:val="1"/>
      <w:marLeft w:val="0"/>
      <w:marRight w:val="0"/>
      <w:marTop w:val="0"/>
      <w:marBottom w:val="0"/>
      <w:divBdr>
        <w:top w:val="none" w:sz="0" w:space="0" w:color="auto"/>
        <w:left w:val="none" w:sz="0" w:space="0" w:color="auto"/>
        <w:bottom w:val="none" w:sz="0" w:space="0" w:color="auto"/>
        <w:right w:val="none" w:sz="0" w:space="0" w:color="auto"/>
      </w:divBdr>
    </w:div>
    <w:div w:id="1477186636">
      <w:bodyDiv w:val="1"/>
      <w:marLeft w:val="0"/>
      <w:marRight w:val="0"/>
      <w:marTop w:val="0"/>
      <w:marBottom w:val="0"/>
      <w:divBdr>
        <w:top w:val="none" w:sz="0" w:space="0" w:color="auto"/>
        <w:left w:val="none" w:sz="0" w:space="0" w:color="auto"/>
        <w:bottom w:val="none" w:sz="0" w:space="0" w:color="auto"/>
        <w:right w:val="none" w:sz="0" w:space="0" w:color="auto"/>
      </w:divBdr>
    </w:div>
    <w:div w:id="1487356733">
      <w:bodyDiv w:val="1"/>
      <w:marLeft w:val="0"/>
      <w:marRight w:val="0"/>
      <w:marTop w:val="0"/>
      <w:marBottom w:val="0"/>
      <w:divBdr>
        <w:top w:val="none" w:sz="0" w:space="0" w:color="auto"/>
        <w:left w:val="none" w:sz="0" w:space="0" w:color="auto"/>
        <w:bottom w:val="none" w:sz="0" w:space="0" w:color="auto"/>
        <w:right w:val="none" w:sz="0" w:space="0" w:color="auto"/>
      </w:divBdr>
    </w:div>
    <w:div w:id="1518077556">
      <w:bodyDiv w:val="1"/>
      <w:marLeft w:val="0"/>
      <w:marRight w:val="0"/>
      <w:marTop w:val="0"/>
      <w:marBottom w:val="0"/>
      <w:divBdr>
        <w:top w:val="none" w:sz="0" w:space="0" w:color="auto"/>
        <w:left w:val="none" w:sz="0" w:space="0" w:color="auto"/>
        <w:bottom w:val="none" w:sz="0" w:space="0" w:color="auto"/>
        <w:right w:val="none" w:sz="0" w:space="0" w:color="auto"/>
      </w:divBdr>
    </w:div>
    <w:div w:id="1545558949">
      <w:bodyDiv w:val="1"/>
      <w:marLeft w:val="0"/>
      <w:marRight w:val="0"/>
      <w:marTop w:val="0"/>
      <w:marBottom w:val="0"/>
      <w:divBdr>
        <w:top w:val="none" w:sz="0" w:space="0" w:color="auto"/>
        <w:left w:val="none" w:sz="0" w:space="0" w:color="auto"/>
        <w:bottom w:val="none" w:sz="0" w:space="0" w:color="auto"/>
        <w:right w:val="none" w:sz="0" w:space="0" w:color="auto"/>
      </w:divBdr>
    </w:div>
    <w:div w:id="1546327138">
      <w:bodyDiv w:val="1"/>
      <w:marLeft w:val="0"/>
      <w:marRight w:val="0"/>
      <w:marTop w:val="0"/>
      <w:marBottom w:val="0"/>
      <w:divBdr>
        <w:top w:val="none" w:sz="0" w:space="0" w:color="auto"/>
        <w:left w:val="none" w:sz="0" w:space="0" w:color="auto"/>
        <w:bottom w:val="none" w:sz="0" w:space="0" w:color="auto"/>
        <w:right w:val="none" w:sz="0" w:space="0" w:color="auto"/>
      </w:divBdr>
    </w:div>
    <w:div w:id="1591041961">
      <w:bodyDiv w:val="1"/>
      <w:marLeft w:val="0"/>
      <w:marRight w:val="0"/>
      <w:marTop w:val="0"/>
      <w:marBottom w:val="0"/>
      <w:divBdr>
        <w:top w:val="none" w:sz="0" w:space="0" w:color="auto"/>
        <w:left w:val="none" w:sz="0" w:space="0" w:color="auto"/>
        <w:bottom w:val="none" w:sz="0" w:space="0" w:color="auto"/>
        <w:right w:val="none" w:sz="0" w:space="0" w:color="auto"/>
      </w:divBdr>
    </w:div>
    <w:div w:id="1796680917">
      <w:bodyDiv w:val="1"/>
      <w:marLeft w:val="0"/>
      <w:marRight w:val="0"/>
      <w:marTop w:val="0"/>
      <w:marBottom w:val="0"/>
      <w:divBdr>
        <w:top w:val="none" w:sz="0" w:space="0" w:color="auto"/>
        <w:left w:val="none" w:sz="0" w:space="0" w:color="auto"/>
        <w:bottom w:val="none" w:sz="0" w:space="0" w:color="auto"/>
        <w:right w:val="none" w:sz="0" w:space="0" w:color="auto"/>
      </w:divBdr>
    </w:div>
    <w:div w:id="1827890882">
      <w:bodyDiv w:val="1"/>
      <w:marLeft w:val="0"/>
      <w:marRight w:val="0"/>
      <w:marTop w:val="0"/>
      <w:marBottom w:val="0"/>
      <w:divBdr>
        <w:top w:val="none" w:sz="0" w:space="0" w:color="auto"/>
        <w:left w:val="none" w:sz="0" w:space="0" w:color="auto"/>
        <w:bottom w:val="none" w:sz="0" w:space="0" w:color="auto"/>
        <w:right w:val="none" w:sz="0" w:space="0" w:color="auto"/>
      </w:divBdr>
    </w:div>
    <w:div w:id="1835220255">
      <w:bodyDiv w:val="1"/>
      <w:marLeft w:val="0"/>
      <w:marRight w:val="0"/>
      <w:marTop w:val="0"/>
      <w:marBottom w:val="0"/>
      <w:divBdr>
        <w:top w:val="none" w:sz="0" w:space="0" w:color="auto"/>
        <w:left w:val="none" w:sz="0" w:space="0" w:color="auto"/>
        <w:bottom w:val="none" w:sz="0" w:space="0" w:color="auto"/>
        <w:right w:val="none" w:sz="0" w:space="0" w:color="auto"/>
      </w:divBdr>
    </w:div>
    <w:div w:id="1898466238">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
    <w:div w:id="1988195699">
      <w:bodyDiv w:val="1"/>
      <w:marLeft w:val="0"/>
      <w:marRight w:val="0"/>
      <w:marTop w:val="0"/>
      <w:marBottom w:val="0"/>
      <w:divBdr>
        <w:top w:val="none" w:sz="0" w:space="0" w:color="auto"/>
        <w:left w:val="none" w:sz="0" w:space="0" w:color="auto"/>
        <w:bottom w:val="none" w:sz="0" w:space="0" w:color="auto"/>
        <w:right w:val="none" w:sz="0" w:space="0" w:color="auto"/>
      </w:divBdr>
    </w:div>
    <w:div w:id="2009868644">
      <w:bodyDiv w:val="1"/>
      <w:marLeft w:val="0"/>
      <w:marRight w:val="0"/>
      <w:marTop w:val="0"/>
      <w:marBottom w:val="0"/>
      <w:divBdr>
        <w:top w:val="none" w:sz="0" w:space="0" w:color="auto"/>
        <w:left w:val="none" w:sz="0" w:space="0" w:color="auto"/>
        <w:bottom w:val="none" w:sz="0" w:space="0" w:color="auto"/>
        <w:right w:val="none" w:sz="0" w:space="0" w:color="auto"/>
      </w:divBdr>
    </w:div>
    <w:div w:id="20203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4.jp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g"/><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0DE44AD5B471EB146D76F3940E531"/>
        <w:category>
          <w:name w:val="General"/>
          <w:gallery w:val="placeholder"/>
        </w:category>
        <w:types>
          <w:type w:val="bbPlcHdr"/>
        </w:types>
        <w:behaviors>
          <w:behavior w:val="content"/>
        </w:behaviors>
        <w:guid w:val="{132C973B-9A37-4F14-BCF3-EA7709267B36}"/>
      </w:docPartPr>
      <w:docPartBody>
        <w:p w:rsidR="00C23014" w:rsidRDefault="00C23014">
          <w:pPr>
            <w:pStyle w:val="2550DE44AD5B471EB146D76F3940E531"/>
          </w:pPr>
          <w:r>
            <w:rPr>
              <w:rStyle w:val="PlaceholderText"/>
            </w:rPr>
            <w:t>MNC Text</w:t>
          </w:r>
        </w:p>
      </w:docPartBody>
    </w:docPart>
    <w:docPart>
      <w:docPartPr>
        <w:name w:val="3E1A065698AE4CD3ADB0D79EE4DB5E9C"/>
        <w:category>
          <w:name w:val="General"/>
          <w:gallery w:val="placeholder"/>
        </w:category>
        <w:types>
          <w:type w:val="bbPlcHdr"/>
        </w:types>
        <w:behaviors>
          <w:behavior w:val="content"/>
        </w:behaviors>
        <w:guid w:val="{F94E51A1-F1B8-41C4-B39C-E0A08217809F}"/>
      </w:docPartPr>
      <w:docPartBody>
        <w:p w:rsidR="00C23014" w:rsidRDefault="00C23014">
          <w:pPr>
            <w:pStyle w:val="3E1A065698AE4CD3ADB0D79EE4DB5E9C"/>
          </w:pPr>
          <w:r w:rsidRPr="005C44BE">
            <w:rPr>
              <w:rStyle w:val="PlaceholderText"/>
            </w:rPr>
            <w:t>Click or tap here to enter text.</w:t>
          </w:r>
        </w:p>
      </w:docPartBody>
    </w:docPart>
    <w:docPart>
      <w:docPartPr>
        <w:name w:val="532A48CAC83E497EB7C2FA91D202A34F"/>
        <w:category>
          <w:name w:val="General"/>
          <w:gallery w:val="placeholder"/>
        </w:category>
        <w:types>
          <w:type w:val="bbPlcHdr"/>
        </w:types>
        <w:behaviors>
          <w:behavior w:val="content"/>
        </w:behaviors>
        <w:guid w:val="{CBF76C60-233A-43DF-A6FC-D5CADA98EEFF}"/>
      </w:docPartPr>
      <w:docPartBody>
        <w:p w:rsidR="00C23014" w:rsidRDefault="00C23014">
          <w:pPr>
            <w:pStyle w:val="532A48CAC83E497EB7C2FA91D202A34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14"/>
    <w:rsid w:val="000410E7"/>
    <w:rsid w:val="00055F4C"/>
    <w:rsid w:val="000F2FFA"/>
    <w:rsid w:val="00135B9D"/>
    <w:rsid w:val="001603A2"/>
    <w:rsid w:val="00183C43"/>
    <w:rsid w:val="001C6837"/>
    <w:rsid w:val="001F6D79"/>
    <w:rsid w:val="00251CA9"/>
    <w:rsid w:val="003668AA"/>
    <w:rsid w:val="003C1D0B"/>
    <w:rsid w:val="0041781D"/>
    <w:rsid w:val="00447C51"/>
    <w:rsid w:val="00496E42"/>
    <w:rsid w:val="005A0CF8"/>
    <w:rsid w:val="006943C9"/>
    <w:rsid w:val="006B2CC0"/>
    <w:rsid w:val="006C6813"/>
    <w:rsid w:val="006C6C33"/>
    <w:rsid w:val="006F569C"/>
    <w:rsid w:val="007575B6"/>
    <w:rsid w:val="007609BF"/>
    <w:rsid w:val="007D6834"/>
    <w:rsid w:val="00804810"/>
    <w:rsid w:val="00826B13"/>
    <w:rsid w:val="008333B0"/>
    <w:rsid w:val="008B07FC"/>
    <w:rsid w:val="008E0117"/>
    <w:rsid w:val="00943ED4"/>
    <w:rsid w:val="00944698"/>
    <w:rsid w:val="009E2CE8"/>
    <w:rsid w:val="00A27F95"/>
    <w:rsid w:val="00A31782"/>
    <w:rsid w:val="00AB5638"/>
    <w:rsid w:val="00B14A41"/>
    <w:rsid w:val="00B272EF"/>
    <w:rsid w:val="00BA2D11"/>
    <w:rsid w:val="00BD02D6"/>
    <w:rsid w:val="00C23014"/>
    <w:rsid w:val="00C56F27"/>
    <w:rsid w:val="00C85300"/>
    <w:rsid w:val="00C96A1C"/>
    <w:rsid w:val="00E409A0"/>
    <w:rsid w:val="00E46662"/>
    <w:rsid w:val="00E65033"/>
    <w:rsid w:val="00ED2879"/>
    <w:rsid w:val="00F2085F"/>
    <w:rsid w:val="00F35523"/>
    <w:rsid w:val="00F835C3"/>
    <w:rsid w:val="00FC7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50DE44AD5B471EB146D76F3940E531">
    <w:name w:val="2550DE44AD5B471EB146D76F3940E531"/>
  </w:style>
  <w:style w:type="paragraph" w:customStyle="1" w:styleId="3E1A065698AE4CD3ADB0D79EE4DB5E9C">
    <w:name w:val="3E1A065698AE4CD3ADB0D79EE4DB5E9C"/>
  </w:style>
  <w:style w:type="paragraph" w:customStyle="1" w:styleId="532A48CAC83E497EB7C2FA91D202A34F">
    <w:name w:val="532A48CAC83E497EB7C2FA91D202A34F"/>
  </w:style>
  <w:style w:type="paragraph" w:customStyle="1" w:styleId="DB49D76FC4F24082ABDC3396FC6E38B6">
    <w:name w:val="DB49D76FC4F24082ABDC3396FC6E38B6"/>
  </w:style>
  <w:style w:type="paragraph" w:customStyle="1" w:styleId="439AA8C40F6F40C78A975989BC14DD14">
    <w:name w:val="439AA8C40F6F40C78A975989BC14D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Allergan Australia Pty Ltd v Self Care IP Holdings Pty Ltd [2020] FCA 1530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81434E3E-AE0E-4FA0-844B-DF6A67A8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151</Pages>
  <Words>60132</Words>
  <Characters>297056</Characters>
  <Application>Microsoft Office Word</Application>
  <DocSecurity>0</DocSecurity>
  <PresentationFormat/>
  <Lines>5304</Lines>
  <Paragraphs>2006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Allergan Australia Pty Ltd v Self Care IP Holdings Pty Ltd [2020] FCA 1530</vt:lpstr>
    </vt:vector>
  </TitlesOfParts>
  <Manager/>
  <Company/>
  <LinksUpToDate>false</LinksUpToDate>
  <CharactersWithSpaces>355182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2020-10-22T03:26:00Z</cp:lastPrinted>
  <dcterms:created xsi:type="dcterms:W3CDTF">2020-10-27T04:26:00Z</dcterms:created>
  <dcterms:modified xsi:type="dcterms:W3CDTF">2020-10-27T04:26:00Z</dcterms:modified>
  <cp:category/>
  <cp:contentStatus/>
  <dc:language/>
  <cp:version/>
</cp:coreProperties>
</file>