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239D2">
      <w:pPr>
        <w:pStyle w:val="MediaNeutralStyle"/>
      </w:pPr>
      <w:bookmarkStart w:id="0" w:name="MNC"/>
      <w:r>
        <w:t xml:space="preserve">Huang v Deputy Commissioner of Taxation [2020] FCAFC </w:t>
      </w:r>
      <w:r w:rsidR="00FC70B2">
        <w:t>141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4467E">
        <w:tc>
          <w:tcPr>
            <w:tcW w:w="3085" w:type="dxa"/>
            <w:shd w:val="clear" w:color="auto" w:fill="auto"/>
          </w:tcPr>
          <w:p w:rsidR="00395B24" w:rsidRDefault="001239D2" w:rsidP="001C101A">
            <w:pPr>
              <w:pStyle w:val="Normal1linespace"/>
              <w:widowControl w:val="0"/>
              <w:spacing w:after="60"/>
              <w:jc w:val="left"/>
            </w:pPr>
            <w:r>
              <w:t>App</w:t>
            </w:r>
            <w:r w:rsidR="001C101A">
              <w:t>eal from:</w:t>
            </w:r>
          </w:p>
        </w:tc>
        <w:tc>
          <w:tcPr>
            <w:tcW w:w="5989" w:type="dxa"/>
            <w:shd w:val="clear" w:color="auto" w:fill="auto"/>
          </w:tcPr>
          <w:p w:rsidR="00395B24" w:rsidRDefault="001C101A" w:rsidP="000D4352">
            <w:pPr>
              <w:pStyle w:val="CasesLegislationAppealFrom"/>
              <w:spacing w:after="60"/>
            </w:pPr>
            <w:bookmarkStart w:id="1" w:name="AppealFrom"/>
            <w:r>
              <w:t xml:space="preserve">Application for leave to appeal:  </w:t>
            </w:r>
            <w:r w:rsidR="001239D2">
              <w:rPr>
                <w:i/>
              </w:rPr>
              <w:t xml:space="preserve">Deputy Commissioner of Taxation v Huang </w:t>
            </w:r>
            <w:r w:rsidR="001239D2">
              <w:t>[2019] FCA 1728</w:t>
            </w:r>
            <w:bookmarkEnd w:id="1"/>
          </w:p>
        </w:tc>
      </w:tr>
      <w:tr w:rsidR="00395B24" w:rsidTr="00D446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467E">
        <w:tc>
          <w:tcPr>
            <w:tcW w:w="3085" w:type="dxa"/>
            <w:shd w:val="clear" w:color="auto" w:fill="auto"/>
          </w:tcPr>
          <w:p w:rsidR="00395B24" w:rsidRDefault="002C7385" w:rsidP="001239D2">
            <w:pPr>
              <w:pStyle w:val="Normal1linespace"/>
              <w:widowControl w:val="0"/>
              <w:jc w:val="left"/>
            </w:pPr>
            <w:r>
              <w:t>File number:</w:t>
            </w:r>
          </w:p>
        </w:tc>
        <w:tc>
          <w:tcPr>
            <w:tcW w:w="5989" w:type="dxa"/>
            <w:shd w:val="clear" w:color="auto" w:fill="auto"/>
          </w:tcPr>
          <w:p w:rsidR="00395B24" w:rsidRPr="001239D2" w:rsidRDefault="0069484E" w:rsidP="001239D2">
            <w:pPr>
              <w:pStyle w:val="Normal1linespace"/>
              <w:jc w:val="left"/>
            </w:pPr>
            <w:r>
              <w:fldChar w:fldCharType="begin" w:fldLock="1"/>
            </w:r>
            <w:r>
              <w:instrText xml:space="preserve"> REF  FileNo  \* MERGEFORMAT </w:instrText>
            </w:r>
            <w:r>
              <w:fldChar w:fldCharType="separate"/>
            </w:r>
            <w:r w:rsidR="001239D2" w:rsidRPr="001239D2">
              <w:t>NSD 1759 of 2019</w:t>
            </w:r>
            <w:r>
              <w:fldChar w:fldCharType="end"/>
            </w:r>
          </w:p>
        </w:tc>
      </w:tr>
      <w:tr w:rsidR="00395B24" w:rsidTr="00D446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467E">
        <w:tc>
          <w:tcPr>
            <w:tcW w:w="3085" w:type="dxa"/>
            <w:shd w:val="clear" w:color="auto" w:fill="auto"/>
          </w:tcPr>
          <w:p w:rsidR="00395B24" w:rsidRDefault="001239D2" w:rsidP="001239D2">
            <w:pPr>
              <w:pStyle w:val="Normal1linespace"/>
              <w:widowControl w:val="0"/>
              <w:jc w:val="left"/>
            </w:pPr>
            <w:r>
              <w:t>Judge</w:t>
            </w:r>
            <w:r w:rsidR="00272BB3">
              <w:t>s</w:t>
            </w:r>
            <w:r w:rsidR="002C7385">
              <w:t>:</w:t>
            </w:r>
          </w:p>
        </w:tc>
        <w:tc>
          <w:tcPr>
            <w:tcW w:w="5989" w:type="dxa"/>
            <w:shd w:val="clear" w:color="auto" w:fill="auto"/>
          </w:tcPr>
          <w:p w:rsidR="00395B24" w:rsidRDefault="002C7385" w:rsidP="00663878">
            <w:pPr>
              <w:pStyle w:val="Normal1linespace"/>
              <w:widowControl w:val="0"/>
              <w:jc w:val="left"/>
              <w:rPr>
                <w:b/>
              </w:rPr>
            </w:pPr>
            <w:r w:rsidRPr="001239D2">
              <w:rPr>
                <w:b/>
              </w:rPr>
              <w:fldChar w:fldCharType="begin" w:fldLock="1"/>
            </w:r>
            <w:r w:rsidRPr="001239D2">
              <w:rPr>
                <w:b/>
              </w:rPr>
              <w:instrText xml:space="preserve"> REF  Judge  \* MERGEFORMAT </w:instrText>
            </w:r>
            <w:r w:rsidRPr="001239D2">
              <w:rPr>
                <w:b/>
              </w:rPr>
              <w:fldChar w:fldCharType="separate"/>
            </w:r>
            <w:r w:rsidR="001239D2" w:rsidRPr="001239D2">
              <w:rPr>
                <w:b/>
                <w:caps/>
                <w:szCs w:val="24"/>
              </w:rPr>
              <w:t>BESANKO, THAWLEY AND STEWART JJ</w:t>
            </w:r>
            <w:r w:rsidRPr="001239D2">
              <w:rPr>
                <w:b/>
              </w:rPr>
              <w:fldChar w:fldCharType="end"/>
            </w:r>
          </w:p>
        </w:tc>
      </w:tr>
      <w:tr w:rsidR="00395B24" w:rsidTr="00D446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467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45419" w:rsidP="00404D34">
            <w:pPr>
              <w:pStyle w:val="Normal1linespace"/>
              <w:widowControl w:val="0"/>
              <w:jc w:val="left"/>
            </w:pPr>
            <w:bookmarkStart w:id="2" w:name="JudgmentDate"/>
            <w:r>
              <w:t xml:space="preserve">17 </w:t>
            </w:r>
            <w:r w:rsidR="00404D34">
              <w:t>August</w:t>
            </w:r>
            <w:r w:rsidR="001239D2">
              <w:t xml:space="preserve"> 2020</w:t>
            </w:r>
            <w:bookmarkEnd w:id="2"/>
          </w:p>
        </w:tc>
      </w:tr>
      <w:tr w:rsidR="00395B24" w:rsidTr="00D446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467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404D34" w:rsidP="00BF74DF">
            <w:pPr>
              <w:tabs>
                <w:tab w:val="left" w:pos="2760"/>
              </w:tabs>
              <w:spacing w:line="240" w:lineRule="auto"/>
            </w:pPr>
            <w:bookmarkStart w:id="3" w:name="Catchwords"/>
            <w:r w:rsidRPr="001A449E">
              <w:rPr>
                <w:b/>
                <w:szCs w:val="24"/>
              </w:rPr>
              <w:t xml:space="preserve">PRACTICE AND PROCEDURE </w:t>
            </w:r>
            <w:r w:rsidRPr="001A449E">
              <w:rPr>
                <w:szCs w:val="24"/>
              </w:rPr>
              <w:t>— application for leave to appeal from certain orders in a freezing order — where freezing order made in relation to assets in Australia and overseas — where app</w:t>
            </w:r>
            <w:r w:rsidR="00BF74DF">
              <w:rPr>
                <w:szCs w:val="24"/>
              </w:rPr>
              <w:t>licant</w:t>
            </w:r>
            <w:r w:rsidRPr="001A449E">
              <w:rPr>
                <w:szCs w:val="24"/>
              </w:rPr>
              <w:t xml:space="preserve"> has substantial assets in Hong Kong and China — whether judgments of </w:t>
            </w:r>
            <w:r>
              <w:rPr>
                <w:szCs w:val="24"/>
              </w:rPr>
              <w:t xml:space="preserve">courts in </w:t>
            </w:r>
            <w:r w:rsidRPr="001A449E">
              <w:rPr>
                <w:szCs w:val="24"/>
              </w:rPr>
              <w:t xml:space="preserve">Australia enforceable in Hong Kong and China — test to be applied to determine whether judgments of </w:t>
            </w:r>
            <w:r>
              <w:rPr>
                <w:szCs w:val="24"/>
              </w:rPr>
              <w:t xml:space="preserve">courts in </w:t>
            </w:r>
            <w:r w:rsidRPr="001A449E">
              <w:rPr>
                <w:szCs w:val="24"/>
              </w:rPr>
              <w:t xml:space="preserve">Australia enforceable in Hong Kong and China — realistic possibility of enforcement — </w:t>
            </w:r>
            <w:r>
              <w:rPr>
                <w:szCs w:val="24"/>
              </w:rPr>
              <w:t>where judge applied incorrect test</w:t>
            </w:r>
            <w:r w:rsidRPr="00542B30">
              <w:rPr>
                <w:szCs w:val="24"/>
              </w:rPr>
              <w:t>—</w:t>
            </w:r>
            <w:r>
              <w:rPr>
                <w:szCs w:val="24"/>
              </w:rPr>
              <w:t xml:space="preserve"> </w:t>
            </w:r>
            <w:r w:rsidRPr="001A449E">
              <w:rPr>
                <w:szCs w:val="24"/>
              </w:rPr>
              <w:t>consideration of relevant</w:t>
            </w:r>
            <w:r>
              <w:rPr>
                <w:szCs w:val="24"/>
              </w:rPr>
              <w:t xml:space="preserve"> factors in this case</w:t>
            </w:r>
            <w:r w:rsidRPr="00542B30">
              <w:rPr>
                <w:szCs w:val="24"/>
              </w:rPr>
              <w:t xml:space="preserve"> —</w:t>
            </w:r>
            <w:r>
              <w:rPr>
                <w:szCs w:val="24"/>
              </w:rPr>
              <w:t xml:space="preserve"> leave to appeal granted</w:t>
            </w:r>
            <w:r w:rsidRPr="00542B30">
              <w:rPr>
                <w:szCs w:val="24"/>
              </w:rPr>
              <w:t xml:space="preserve"> —</w:t>
            </w:r>
            <w:r>
              <w:rPr>
                <w:szCs w:val="24"/>
              </w:rPr>
              <w:t xml:space="preserve"> appeal allowed.</w:t>
            </w:r>
            <w:r w:rsidR="002C7385">
              <w:t xml:space="preserve"> </w:t>
            </w:r>
            <w:bookmarkEnd w:id="3"/>
          </w:p>
        </w:tc>
      </w:tr>
      <w:tr w:rsidR="00395B24" w:rsidTr="00D446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467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DE72ED" w:rsidRDefault="00DE72ED" w:rsidP="00D82620">
            <w:pPr>
              <w:pStyle w:val="CasesLegislationAppealFrom"/>
              <w:spacing w:after="60"/>
            </w:pPr>
            <w:bookmarkStart w:id="4" w:name="Legislation"/>
            <w:r>
              <w:rPr>
                <w:i/>
              </w:rPr>
              <w:t xml:space="preserve">Bankruptcy Act 1966 </w:t>
            </w:r>
            <w:r>
              <w:t>(</w:t>
            </w:r>
            <w:proofErr w:type="spellStart"/>
            <w:r>
              <w:t>Cth</w:t>
            </w:r>
            <w:proofErr w:type="spellEnd"/>
            <w:r>
              <w:t xml:space="preserve">) </w:t>
            </w:r>
            <w:proofErr w:type="spellStart"/>
            <w:r>
              <w:t>s</w:t>
            </w:r>
            <w:r w:rsidR="00F50350">
              <w:t>s</w:t>
            </w:r>
            <w:proofErr w:type="spellEnd"/>
            <w:r w:rsidR="00F50350">
              <w:t xml:space="preserve"> </w:t>
            </w:r>
            <w:r w:rsidR="00B5032F">
              <w:t xml:space="preserve">29, </w:t>
            </w:r>
            <w:r w:rsidR="00D0116D">
              <w:t xml:space="preserve">40, </w:t>
            </w:r>
            <w:r w:rsidR="00F50350">
              <w:t>41,</w:t>
            </w:r>
            <w:r>
              <w:t xml:space="preserve"> 43</w:t>
            </w:r>
          </w:p>
          <w:p w:rsidR="00D75D8E" w:rsidRPr="00075596" w:rsidRDefault="00D75D8E" w:rsidP="00D82620">
            <w:pPr>
              <w:pStyle w:val="CasesLegislationAppealFrom"/>
              <w:spacing w:after="60"/>
            </w:pPr>
            <w:r>
              <w:rPr>
                <w:i/>
              </w:rPr>
              <w:t xml:space="preserve">Evidence Act </w:t>
            </w:r>
            <w:r w:rsidR="00075596">
              <w:rPr>
                <w:i/>
              </w:rPr>
              <w:t xml:space="preserve">1995 </w:t>
            </w:r>
            <w:r w:rsidR="00075596">
              <w:t>(</w:t>
            </w:r>
            <w:proofErr w:type="spellStart"/>
            <w:r w:rsidR="00075596">
              <w:t>Cth</w:t>
            </w:r>
            <w:proofErr w:type="spellEnd"/>
            <w:r w:rsidR="00075596">
              <w:t>) s 17</w:t>
            </w:r>
            <w:r w:rsidR="004933CF">
              <w:t>4</w:t>
            </w:r>
          </w:p>
          <w:p w:rsidR="00DE72ED" w:rsidRDefault="00DE72ED" w:rsidP="00D82620">
            <w:pPr>
              <w:pStyle w:val="CasesLegislationAppealFrom"/>
              <w:spacing w:after="60"/>
            </w:pPr>
            <w:r>
              <w:rPr>
                <w:i/>
              </w:rPr>
              <w:t xml:space="preserve">Federal Court of Australia Act 1976 </w:t>
            </w:r>
            <w:r>
              <w:t>(</w:t>
            </w:r>
            <w:proofErr w:type="spellStart"/>
            <w:r>
              <w:t>Cth</w:t>
            </w:r>
            <w:proofErr w:type="spellEnd"/>
            <w:r>
              <w:t xml:space="preserve">) </w:t>
            </w:r>
            <w:proofErr w:type="spellStart"/>
            <w:r>
              <w:t>s</w:t>
            </w:r>
            <w:r w:rsidR="00F50350">
              <w:t>s</w:t>
            </w:r>
            <w:proofErr w:type="spellEnd"/>
            <w:r>
              <w:t xml:space="preserve"> 24</w:t>
            </w:r>
            <w:r w:rsidR="00F50350">
              <w:t>, 37M</w:t>
            </w:r>
          </w:p>
          <w:p w:rsidR="000D4352" w:rsidRDefault="00F50350" w:rsidP="00D82620">
            <w:pPr>
              <w:pStyle w:val="CasesLegislationAppealFrom"/>
              <w:spacing w:after="60"/>
            </w:pPr>
            <w:r>
              <w:rPr>
                <w:i/>
              </w:rPr>
              <w:t xml:space="preserve">Taxation Administration Act 1953 </w:t>
            </w:r>
            <w:r>
              <w:t>(</w:t>
            </w:r>
            <w:proofErr w:type="spellStart"/>
            <w:r>
              <w:t>Cth</w:t>
            </w:r>
            <w:proofErr w:type="spellEnd"/>
            <w:r>
              <w:t>) Pt IVC</w:t>
            </w:r>
          </w:p>
          <w:p w:rsidR="00395B24" w:rsidRDefault="000D4352" w:rsidP="000D4352">
            <w:pPr>
              <w:pStyle w:val="CasesLegislationAppealFrom"/>
              <w:spacing w:after="60"/>
            </w:pPr>
            <w:r>
              <w:rPr>
                <w:i/>
              </w:rPr>
              <w:t xml:space="preserve">Federal Court Rules 2011 </w:t>
            </w:r>
            <w:r>
              <w:t>(</w:t>
            </w:r>
            <w:proofErr w:type="spellStart"/>
            <w:r>
              <w:t>Cth</w:t>
            </w:r>
            <w:proofErr w:type="spellEnd"/>
            <w:r>
              <w:t xml:space="preserve">) </w:t>
            </w:r>
            <w:proofErr w:type="spellStart"/>
            <w:r>
              <w:t>rr</w:t>
            </w:r>
            <w:proofErr w:type="spellEnd"/>
            <w:r>
              <w:t xml:space="preserve"> 7.32, 7.33, 7.35</w:t>
            </w:r>
            <w:r w:rsidR="002C7385">
              <w:t xml:space="preserve"> </w:t>
            </w:r>
            <w:bookmarkEnd w:id="4"/>
          </w:p>
        </w:tc>
      </w:tr>
      <w:tr w:rsidR="00395B24" w:rsidTr="00D446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467E">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A6860" w:rsidRDefault="005A6860" w:rsidP="00D82620">
            <w:pPr>
              <w:pStyle w:val="CasesLegislationAppealFrom"/>
              <w:spacing w:after="60"/>
            </w:pPr>
            <w:bookmarkStart w:id="5" w:name="Cases_Cited"/>
            <w:r>
              <w:rPr>
                <w:i/>
              </w:rPr>
              <w:t>Ayres v Evans</w:t>
            </w:r>
            <w:r>
              <w:t xml:space="preserve"> (1981) 56 FLR 235</w:t>
            </w:r>
          </w:p>
          <w:p w:rsidR="00B5032F" w:rsidRDefault="00B5032F" w:rsidP="00D82620">
            <w:pPr>
              <w:pStyle w:val="CasesLegislationAppealFrom"/>
              <w:spacing w:after="60"/>
              <w:rPr>
                <w:i/>
              </w:rPr>
            </w:pPr>
            <w:r w:rsidRPr="00956705">
              <w:rPr>
                <w:i/>
              </w:rPr>
              <w:t>BP Exploration Co (Libya) Ltd v Hunt</w:t>
            </w:r>
            <w:r>
              <w:t xml:space="preserve"> [1980] 1 NSWLR 496</w:t>
            </w:r>
          </w:p>
          <w:p w:rsidR="00CE17FD" w:rsidRDefault="00CE17FD" w:rsidP="00D82620">
            <w:pPr>
              <w:pStyle w:val="CasesLegislationAppealFrom"/>
              <w:spacing w:after="60"/>
            </w:pPr>
            <w:proofErr w:type="spellStart"/>
            <w:r w:rsidRPr="004F794C">
              <w:rPr>
                <w:i/>
              </w:rPr>
              <w:t>Cardile</w:t>
            </w:r>
            <w:proofErr w:type="spellEnd"/>
            <w:r w:rsidRPr="004054B1">
              <w:rPr>
                <w:i/>
              </w:rPr>
              <w:t xml:space="preserve"> v LED Builders Pty Limited</w:t>
            </w:r>
            <w:r>
              <w:t xml:space="preserve"> [1999] HCA 18; (1999) 198 CLR 380</w:t>
            </w:r>
          </w:p>
          <w:p w:rsidR="00F50350" w:rsidRDefault="00F50350" w:rsidP="00D82620">
            <w:pPr>
              <w:pStyle w:val="CasesLegislationAppealFrom"/>
              <w:spacing w:after="60"/>
            </w:pPr>
            <w:r w:rsidRPr="00767A4F">
              <w:rPr>
                <w:i/>
              </w:rPr>
              <w:t>Chen Li Hung v Ting Lei Miao</w:t>
            </w:r>
            <w:r>
              <w:t xml:space="preserve"> (2000) 3 HKCFAR 9</w:t>
            </w:r>
          </w:p>
          <w:p w:rsidR="00CE17FD" w:rsidRDefault="00CE17FD" w:rsidP="00D82620">
            <w:pPr>
              <w:pStyle w:val="CasesLegislationAppealFrom"/>
              <w:spacing w:after="60"/>
              <w:rPr>
                <w:i/>
              </w:rPr>
            </w:pPr>
            <w:r w:rsidRPr="00BD4A73">
              <w:rPr>
                <w:i/>
              </w:rPr>
              <w:t>Cido Car Carrier Service Ltd v Woori Bank (Hong Kong branch)</w:t>
            </w:r>
            <w:r>
              <w:t xml:space="preserve"> [2011] HKEC 817</w:t>
            </w:r>
          </w:p>
          <w:p w:rsidR="00DE72ED" w:rsidRDefault="00DE72ED" w:rsidP="00D82620">
            <w:pPr>
              <w:pStyle w:val="CasesLegislationAppealFrom"/>
              <w:spacing w:after="60"/>
              <w:rPr>
                <w:i/>
              </w:rPr>
            </w:pPr>
            <w:proofErr w:type="spellStart"/>
            <w:r w:rsidRPr="005022E7">
              <w:rPr>
                <w:i/>
              </w:rPr>
              <w:t>Damberg</w:t>
            </w:r>
            <w:proofErr w:type="spellEnd"/>
            <w:r w:rsidRPr="005022E7">
              <w:rPr>
                <w:i/>
              </w:rPr>
              <w:t xml:space="preserve"> v </w:t>
            </w:r>
            <w:proofErr w:type="spellStart"/>
            <w:r w:rsidRPr="005022E7">
              <w:rPr>
                <w:i/>
              </w:rPr>
              <w:t>Damberg</w:t>
            </w:r>
            <w:proofErr w:type="spellEnd"/>
            <w:r>
              <w:t xml:space="preserve"> </w:t>
            </w:r>
            <w:r w:rsidR="00F65501">
              <w:t>[2001] NSW</w:t>
            </w:r>
            <w:r w:rsidR="001A2EB2">
              <w:t>C</w:t>
            </w:r>
            <w:r w:rsidR="00F65501">
              <w:t xml:space="preserve">A 87; </w:t>
            </w:r>
            <w:r>
              <w:t>(2001) 52 NSWLR 492</w:t>
            </w:r>
          </w:p>
          <w:p w:rsidR="00DE72ED" w:rsidRDefault="00DE72ED" w:rsidP="00D82620">
            <w:pPr>
              <w:pStyle w:val="CasesLegislationAppealFrom"/>
              <w:spacing w:after="60"/>
            </w:pPr>
            <w:r>
              <w:rPr>
                <w:i/>
              </w:rPr>
              <w:t xml:space="preserve">Decor Corporation Pty Ltd v Dart Industries Inc </w:t>
            </w:r>
            <w:r>
              <w:t>(1991) 33 FCR 397</w:t>
            </w:r>
          </w:p>
          <w:p w:rsidR="006A2231" w:rsidRDefault="006A2231" w:rsidP="00D82620">
            <w:pPr>
              <w:pStyle w:val="CasesLegislationAppealFrom"/>
              <w:spacing w:after="60"/>
              <w:rPr>
                <w:i/>
              </w:rPr>
            </w:pPr>
            <w:r>
              <w:rPr>
                <w:i/>
              </w:rPr>
              <w:t xml:space="preserve">Deputy Commissioner of Taxation v Chemical Trustee Limited (No 4) </w:t>
            </w:r>
            <w:r>
              <w:t>[2012] FCA 106</w:t>
            </w:r>
            <w:r w:rsidR="00F50350">
              <w:t>4</w:t>
            </w:r>
          </w:p>
          <w:p w:rsidR="00B31CFD" w:rsidRDefault="00B31CFD" w:rsidP="00D82620">
            <w:pPr>
              <w:pStyle w:val="CasesLegislationAppealFrom"/>
              <w:spacing w:after="60"/>
              <w:rPr>
                <w:i/>
              </w:rPr>
            </w:pPr>
            <w:r>
              <w:rPr>
                <w:i/>
              </w:rPr>
              <w:t xml:space="preserve">Deputy Commissioner of Taxation v Huang </w:t>
            </w:r>
            <w:r>
              <w:t xml:space="preserve">[2019] FCA </w:t>
            </w:r>
            <w:r>
              <w:lastRenderedPageBreak/>
              <w:t>1537</w:t>
            </w:r>
          </w:p>
          <w:p w:rsidR="00DE72ED" w:rsidRDefault="00B31CFD" w:rsidP="00D82620">
            <w:pPr>
              <w:pStyle w:val="CasesLegislationAppealFrom"/>
              <w:spacing w:after="60"/>
            </w:pPr>
            <w:r>
              <w:rPr>
                <w:i/>
              </w:rPr>
              <w:t xml:space="preserve">Deputy Commissioner of Taxation v Huang </w:t>
            </w:r>
            <w:r>
              <w:t>[2019] FCA 2122</w:t>
            </w:r>
          </w:p>
          <w:p w:rsidR="006A2231" w:rsidRDefault="006A2231" w:rsidP="00D82620">
            <w:pPr>
              <w:pStyle w:val="CasesLegislationAppealFrom"/>
              <w:spacing w:after="60"/>
            </w:pPr>
            <w:r>
              <w:rPr>
                <w:i/>
              </w:rPr>
              <w:t xml:space="preserve">Government of </w:t>
            </w:r>
            <w:r w:rsidRPr="002A4572">
              <w:rPr>
                <w:i/>
              </w:rPr>
              <w:t>India v Taylor</w:t>
            </w:r>
            <w:r w:rsidRPr="002A4572">
              <w:t xml:space="preserve"> </w:t>
            </w:r>
            <w:r>
              <w:t>[1955] AC</w:t>
            </w:r>
            <w:r w:rsidRPr="002A4572">
              <w:t xml:space="preserve"> 491</w:t>
            </w:r>
          </w:p>
          <w:p w:rsidR="006A2231" w:rsidRDefault="006A2231" w:rsidP="00D82620">
            <w:pPr>
              <w:pStyle w:val="CasesLegislationAppealFrom"/>
              <w:spacing w:after="60"/>
            </w:pPr>
            <w:r>
              <w:rPr>
                <w:i/>
              </w:rPr>
              <w:t xml:space="preserve">Holman v Johnson </w:t>
            </w:r>
            <w:r>
              <w:t>(1775) 1 Cowp 341, 343</w:t>
            </w:r>
          </w:p>
          <w:p w:rsidR="006A2231" w:rsidRDefault="006A2231" w:rsidP="00D82620">
            <w:pPr>
              <w:pStyle w:val="CasesLegislationAppealFrom"/>
              <w:spacing w:after="60"/>
            </w:pPr>
            <w:r w:rsidRPr="00A82B8D">
              <w:rPr>
                <w:i/>
              </w:rPr>
              <w:t xml:space="preserve">House v The King </w:t>
            </w:r>
            <w:r>
              <w:t>[1936] HCA 40;</w:t>
            </w:r>
            <w:r w:rsidRPr="00A82B8D">
              <w:rPr>
                <w:i/>
              </w:rPr>
              <w:t xml:space="preserve"> </w:t>
            </w:r>
            <w:r>
              <w:t>(1936) 55 CLR 499</w:t>
            </w:r>
          </w:p>
          <w:p w:rsidR="00F50350" w:rsidRDefault="00F50350" w:rsidP="00D82620">
            <w:pPr>
              <w:pStyle w:val="CasesLegislationAppealFrom"/>
              <w:spacing w:after="60"/>
            </w:pPr>
            <w:r>
              <w:rPr>
                <w:i/>
              </w:rPr>
              <w:t>I</w:t>
            </w:r>
            <w:r w:rsidRPr="00767A4F">
              <w:rPr>
                <w:i/>
              </w:rPr>
              <w:t>n the Matter of Rennie Produce (Aust) Pty Ltd (In Liquidation in Australia)</w:t>
            </w:r>
            <w:r>
              <w:t xml:space="preserve"> HCMP1640/2016</w:t>
            </w:r>
          </w:p>
          <w:p w:rsidR="006A2231" w:rsidRDefault="006A2231" w:rsidP="00D82620">
            <w:pPr>
              <w:pStyle w:val="CasesLegislationAppealFrom"/>
              <w:spacing w:after="60"/>
            </w:pPr>
            <w:r>
              <w:rPr>
                <w:i/>
              </w:rPr>
              <w:t xml:space="preserve">Jackson v Stirling Industries Ltd </w:t>
            </w:r>
            <w:r>
              <w:t>[1987] HCA 23; (1987) 162 CLR 612</w:t>
            </w:r>
          </w:p>
          <w:p w:rsidR="006A2231" w:rsidRDefault="006A2231" w:rsidP="00D82620">
            <w:pPr>
              <w:pStyle w:val="CasesLegislationAppealFrom"/>
              <w:spacing w:after="60"/>
            </w:pPr>
            <w:r>
              <w:rPr>
                <w:i/>
              </w:rPr>
              <w:t xml:space="preserve">Lever v Fletcher </w:t>
            </w:r>
            <w:r>
              <w:t xml:space="preserve">(unreported, </w:t>
            </w:r>
            <w:r w:rsidR="00143A07">
              <w:t>Court of Common Pleas of England and Wales, Park</w:t>
            </w:r>
            <w:r w:rsidR="00B5032F">
              <w:t> J</w:t>
            </w:r>
            <w:r w:rsidR="00143A07">
              <w:t xml:space="preserve">, </w:t>
            </w:r>
            <w:r>
              <w:t>1780)</w:t>
            </w:r>
          </w:p>
          <w:p w:rsidR="006A2231" w:rsidRDefault="006A2231" w:rsidP="00D82620">
            <w:pPr>
              <w:pStyle w:val="CasesLegislationAppealFrom"/>
              <w:spacing w:after="60"/>
            </w:pPr>
            <w:r>
              <w:rPr>
                <w:i/>
              </w:rPr>
              <w:t xml:space="preserve">Mercedes Benz AG v </w:t>
            </w:r>
            <w:proofErr w:type="spellStart"/>
            <w:r>
              <w:rPr>
                <w:i/>
              </w:rPr>
              <w:t>Leiduck</w:t>
            </w:r>
            <w:proofErr w:type="spellEnd"/>
            <w:r>
              <w:rPr>
                <w:i/>
              </w:rPr>
              <w:t xml:space="preserve"> </w:t>
            </w:r>
            <w:r>
              <w:t>[1996] AC 184</w:t>
            </w:r>
          </w:p>
          <w:p w:rsidR="005A6860" w:rsidRDefault="005A6860" w:rsidP="00D82620">
            <w:pPr>
              <w:pStyle w:val="CasesLegislationAppealFrom"/>
              <w:spacing w:after="60"/>
            </w:pPr>
            <w:r>
              <w:rPr>
                <w:i/>
              </w:rPr>
              <w:t>Minister for Immigration and Border Protection v SZVFW</w:t>
            </w:r>
            <w:r>
              <w:t xml:space="preserve"> [2018] HCA 30; (2019) 264 CLR 541</w:t>
            </w:r>
          </w:p>
          <w:p w:rsidR="006A2231" w:rsidRDefault="006A2231" w:rsidP="00D82620">
            <w:pPr>
              <w:pStyle w:val="CasesLegislationAppealFrom"/>
              <w:spacing w:after="60"/>
            </w:pPr>
            <w:r>
              <w:rPr>
                <w:i/>
              </w:rPr>
              <w:t xml:space="preserve">Moore v Mitchell </w:t>
            </w:r>
            <w:r>
              <w:t>(1929) 30 F, (2d) 600, 604</w:t>
            </w:r>
          </w:p>
          <w:p w:rsidR="00CE17FD" w:rsidRDefault="00CE17FD" w:rsidP="00D82620">
            <w:pPr>
              <w:pStyle w:val="CasesLegislationAppealFrom"/>
              <w:spacing w:after="60"/>
            </w:pPr>
            <w:r w:rsidRPr="00BD4A73">
              <w:rPr>
                <w:i/>
              </w:rPr>
              <w:t>Nanus Asia Co Inc v Standard Chartered Bank</w:t>
            </w:r>
            <w:r>
              <w:t xml:space="preserve"> [1990] 1 HKLR 396</w:t>
            </w:r>
          </w:p>
          <w:p w:rsidR="006A2231" w:rsidRDefault="006A2231" w:rsidP="00D82620">
            <w:pPr>
              <w:pStyle w:val="CasesLegislationAppealFrom"/>
              <w:spacing w:after="60"/>
            </w:pPr>
            <w:r>
              <w:rPr>
                <w:i/>
              </w:rPr>
              <w:t xml:space="preserve">Patterson v BTR Engineering (Aust) Ltd </w:t>
            </w:r>
            <w:r>
              <w:t>(1989) 18 NSWLR 319</w:t>
            </w:r>
          </w:p>
          <w:p w:rsidR="006A2231" w:rsidRDefault="006A2231" w:rsidP="00D82620">
            <w:pPr>
              <w:pStyle w:val="CasesLegislationAppealFrom"/>
              <w:spacing w:after="60"/>
            </w:pPr>
            <w:r w:rsidRPr="002A4572">
              <w:rPr>
                <w:i/>
              </w:rPr>
              <w:t>Peter Buchanan L</w:t>
            </w:r>
            <w:r>
              <w:rPr>
                <w:i/>
              </w:rPr>
              <w:t>t</w:t>
            </w:r>
            <w:r w:rsidRPr="002A4572">
              <w:rPr>
                <w:i/>
              </w:rPr>
              <w:t>d v McVey</w:t>
            </w:r>
            <w:r>
              <w:t xml:space="preserve"> [1955] AC</w:t>
            </w:r>
            <w:r w:rsidRPr="00F20DDC">
              <w:t xml:space="preserve"> 516</w:t>
            </w:r>
          </w:p>
          <w:p w:rsidR="006A2231" w:rsidRDefault="006A2231" w:rsidP="00D82620">
            <w:pPr>
              <w:pStyle w:val="CasesLegislationAppealFrom"/>
              <w:spacing w:after="60"/>
            </w:pPr>
            <w:r>
              <w:rPr>
                <w:i/>
              </w:rPr>
              <w:t xml:space="preserve">Planché v Fletcher </w:t>
            </w:r>
            <w:r>
              <w:t>(1779) 1 Doug 251, 253</w:t>
            </w:r>
          </w:p>
          <w:p w:rsidR="006A2231" w:rsidRDefault="006A2231" w:rsidP="00D82620">
            <w:pPr>
              <w:pStyle w:val="CasesLegislationAppealFrom"/>
              <w:spacing w:after="60"/>
            </w:pPr>
            <w:r>
              <w:rPr>
                <w:i/>
              </w:rPr>
              <w:t xml:space="preserve">PT Bayan Resources TBK v BCBC Singapore Pte Ltd </w:t>
            </w:r>
            <w:r>
              <w:t>[2015] HCA 36; (2015) 258 CLR 1</w:t>
            </w:r>
          </w:p>
          <w:p w:rsidR="006A2231" w:rsidRDefault="00DE72ED" w:rsidP="00D82620">
            <w:pPr>
              <w:pStyle w:val="CasesLegislationAppealFrom"/>
              <w:spacing w:after="60"/>
            </w:pPr>
            <w:r w:rsidRPr="00BD4A73">
              <w:rPr>
                <w:i/>
              </w:rPr>
              <w:t xml:space="preserve">Re Ayres; </w:t>
            </w:r>
            <w:r>
              <w:rPr>
                <w:i/>
              </w:rPr>
              <w:t>E</w:t>
            </w:r>
            <w:r w:rsidRPr="00BD4A73">
              <w:rPr>
                <w:i/>
              </w:rPr>
              <w:t>x</w:t>
            </w:r>
            <w:r>
              <w:rPr>
                <w:i/>
              </w:rPr>
              <w:t> </w:t>
            </w:r>
            <w:r w:rsidRPr="00BD4A73">
              <w:rPr>
                <w:i/>
              </w:rPr>
              <w:t>parte Evans</w:t>
            </w:r>
            <w:r>
              <w:t xml:space="preserve"> (1981) 51 FLR 395</w:t>
            </w:r>
          </w:p>
          <w:p w:rsidR="00F50350" w:rsidRDefault="00F50350" w:rsidP="00D82620">
            <w:pPr>
              <w:pStyle w:val="CasesLegislationAppealFrom"/>
              <w:spacing w:after="60"/>
            </w:pPr>
            <w:r w:rsidRPr="00767A4F">
              <w:rPr>
                <w:i/>
              </w:rPr>
              <w:t>Ting Lei Miao v Chen Li Hung</w:t>
            </w:r>
            <w:r>
              <w:t xml:space="preserve"> [1999] 1 HKLRD 123</w:t>
            </w:r>
          </w:p>
          <w:p w:rsidR="00395B24" w:rsidRDefault="006A2231" w:rsidP="00D82620">
            <w:pPr>
              <w:pStyle w:val="CasesLegislationAppealFrom"/>
              <w:spacing w:after="60"/>
            </w:pPr>
            <w:r>
              <w:rPr>
                <w:i/>
              </w:rPr>
              <w:t xml:space="preserve">Victoria University of Technology v Wilson </w:t>
            </w:r>
            <w:r>
              <w:t>[2003] VSC 299</w:t>
            </w:r>
            <w:r w:rsidR="002C7385">
              <w:t xml:space="preserve"> </w:t>
            </w:r>
            <w:bookmarkEnd w:id="5"/>
          </w:p>
        </w:tc>
      </w:tr>
      <w:tr w:rsidR="00D4467E" w:rsidRPr="00D4467E" w:rsidTr="00D4467E">
        <w:tc>
          <w:tcPr>
            <w:tcW w:w="3085" w:type="dxa"/>
            <w:shd w:val="clear" w:color="auto" w:fill="auto"/>
          </w:tcPr>
          <w:p w:rsidR="00D4467E" w:rsidRPr="00D4467E" w:rsidRDefault="00D4467E" w:rsidP="00D4467E">
            <w:pPr>
              <w:pStyle w:val="Normal1linespace"/>
              <w:jc w:val="left"/>
            </w:pPr>
          </w:p>
        </w:tc>
        <w:tc>
          <w:tcPr>
            <w:tcW w:w="5989" w:type="dxa"/>
            <w:shd w:val="clear" w:color="auto" w:fill="auto"/>
          </w:tcPr>
          <w:p w:rsidR="00D4467E" w:rsidRPr="00D4467E" w:rsidRDefault="00D4467E" w:rsidP="00D4467E">
            <w:pPr>
              <w:pStyle w:val="Normal1linespace"/>
              <w:jc w:val="left"/>
            </w:pPr>
          </w:p>
        </w:tc>
      </w:tr>
      <w:tr w:rsidR="00D4467E" w:rsidRPr="00D4467E" w:rsidTr="00D4467E">
        <w:tc>
          <w:tcPr>
            <w:tcW w:w="3085" w:type="dxa"/>
            <w:shd w:val="clear" w:color="auto" w:fill="auto"/>
          </w:tcPr>
          <w:p w:rsidR="00D4467E" w:rsidRPr="00D4467E" w:rsidRDefault="00D4467E" w:rsidP="00D4467E">
            <w:pPr>
              <w:pStyle w:val="Normal1linespace"/>
              <w:jc w:val="left"/>
            </w:pPr>
            <w:bookmarkStart w:id="6" w:name="CounselDate" w:colFirst="0" w:colLast="2"/>
            <w:r w:rsidRPr="00D4467E">
              <w:t>Date of hearing:</w:t>
            </w:r>
          </w:p>
        </w:tc>
        <w:tc>
          <w:tcPr>
            <w:tcW w:w="5989" w:type="dxa"/>
            <w:shd w:val="clear" w:color="auto" w:fill="auto"/>
          </w:tcPr>
          <w:p w:rsidR="00D4467E" w:rsidRPr="00D4467E" w:rsidRDefault="00D4467E" w:rsidP="00D4467E">
            <w:pPr>
              <w:pStyle w:val="Normal1linespace"/>
              <w:jc w:val="left"/>
            </w:pPr>
            <w:bookmarkStart w:id="7" w:name="HearingDate"/>
            <w:r>
              <w:t>22 May 2020</w:t>
            </w:r>
            <w:bookmarkEnd w:id="7"/>
          </w:p>
        </w:tc>
      </w:tr>
      <w:bookmarkEnd w:id="6"/>
      <w:tr w:rsidR="00D4467E" w:rsidTr="00D4467E">
        <w:tc>
          <w:tcPr>
            <w:tcW w:w="3085" w:type="dxa"/>
            <w:shd w:val="clear" w:color="auto" w:fill="auto"/>
          </w:tcPr>
          <w:p w:rsidR="00D4467E" w:rsidRDefault="00D4467E" w:rsidP="00D4467E">
            <w:pPr>
              <w:pStyle w:val="Normal1linespace"/>
              <w:widowControl w:val="0"/>
              <w:jc w:val="left"/>
            </w:pPr>
          </w:p>
        </w:tc>
        <w:tc>
          <w:tcPr>
            <w:tcW w:w="5989" w:type="dxa"/>
            <w:shd w:val="clear" w:color="auto" w:fill="auto"/>
          </w:tcPr>
          <w:p w:rsidR="00D4467E" w:rsidRDefault="00D4467E" w:rsidP="00D4467E">
            <w:pPr>
              <w:pStyle w:val="Normal1linespace"/>
              <w:widowControl w:val="0"/>
              <w:jc w:val="left"/>
            </w:pPr>
          </w:p>
        </w:tc>
      </w:tr>
      <w:tr w:rsidR="00D4467E" w:rsidTr="00D4467E">
        <w:tc>
          <w:tcPr>
            <w:tcW w:w="3085" w:type="dxa"/>
            <w:shd w:val="clear" w:color="auto" w:fill="auto"/>
          </w:tcPr>
          <w:p w:rsidR="00D4467E" w:rsidRDefault="00D4467E" w:rsidP="00D4467E">
            <w:pPr>
              <w:pStyle w:val="Normal1linespace"/>
              <w:widowControl w:val="0"/>
              <w:jc w:val="left"/>
            </w:pPr>
            <w:r>
              <w:t>Registry:</w:t>
            </w:r>
          </w:p>
        </w:tc>
        <w:tc>
          <w:tcPr>
            <w:tcW w:w="5989" w:type="dxa"/>
            <w:shd w:val="clear" w:color="auto" w:fill="auto"/>
          </w:tcPr>
          <w:p w:rsidR="00D4467E" w:rsidRPr="00F17599" w:rsidRDefault="0069484E" w:rsidP="00D4467E">
            <w:pPr>
              <w:pStyle w:val="Normal1linespace"/>
              <w:widowControl w:val="0"/>
              <w:jc w:val="left"/>
            </w:pPr>
            <w:r>
              <w:fldChar w:fldCharType="begin" w:fldLock="1"/>
            </w:r>
            <w:r>
              <w:instrText xml:space="preserve"> DOCPROPERTY  Registry </w:instrText>
            </w:r>
            <w:r>
              <w:fldChar w:fldCharType="separate"/>
            </w:r>
            <w:r w:rsidR="00D4467E">
              <w:t>New South Wales</w:t>
            </w:r>
            <w:r>
              <w:fldChar w:fldCharType="end"/>
            </w:r>
          </w:p>
        </w:tc>
      </w:tr>
      <w:tr w:rsidR="00D4467E" w:rsidTr="00D4467E">
        <w:tc>
          <w:tcPr>
            <w:tcW w:w="3085" w:type="dxa"/>
            <w:shd w:val="clear" w:color="auto" w:fill="auto"/>
          </w:tcPr>
          <w:p w:rsidR="00D4467E" w:rsidRDefault="00D4467E" w:rsidP="00D4467E">
            <w:pPr>
              <w:pStyle w:val="Normal1linespace"/>
              <w:widowControl w:val="0"/>
              <w:jc w:val="left"/>
            </w:pPr>
          </w:p>
        </w:tc>
        <w:tc>
          <w:tcPr>
            <w:tcW w:w="5989" w:type="dxa"/>
            <w:shd w:val="clear" w:color="auto" w:fill="auto"/>
          </w:tcPr>
          <w:p w:rsidR="00D4467E" w:rsidRDefault="00D4467E" w:rsidP="00D4467E">
            <w:pPr>
              <w:pStyle w:val="Normal1linespace"/>
              <w:widowControl w:val="0"/>
              <w:jc w:val="left"/>
            </w:pPr>
          </w:p>
        </w:tc>
      </w:tr>
      <w:tr w:rsidR="00D4467E" w:rsidTr="00D4467E">
        <w:tc>
          <w:tcPr>
            <w:tcW w:w="3085" w:type="dxa"/>
            <w:shd w:val="clear" w:color="auto" w:fill="auto"/>
          </w:tcPr>
          <w:p w:rsidR="00D4467E" w:rsidRDefault="00D4467E" w:rsidP="00D4467E">
            <w:pPr>
              <w:pStyle w:val="Normal1linespace"/>
              <w:widowControl w:val="0"/>
              <w:jc w:val="left"/>
            </w:pPr>
            <w:r>
              <w:t>Division:</w:t>
            </w:r>
          </w:p>
        </w:tc>
        <w:tc>
          <w:tcPr>
            <w:tcW w:w="5989" w:type="dxa"/>
            <w:shd w:val="clear" w:color="auto" w:fill="auto"/>
          </w:tcPr>
          <w:p w:rsidR="00D4467E" w:rsidRPr="00F17599" w:rsidRDefault="0069484E" w:rsidP="00D4467E">
            <w:pPr>
              <w:pStyle w:val="Normal1linespace"/>
              <w:widowControl w:val="0"/>
              <w:jc w:val="left"/>
            </w:pPr>
            <w:r>
              <w:fldChar w:fldCharType="begin" w:fldLock="1"/>
            </w:r>
            <w:r>
              <w:instrText xml:space="preserve"> DOCPROPERTY  Division </w:instrText>
            </w:r>
            <w:r>
              <w:fldChar w:fldCharType="separate"/>
            </w:r>
            <w:r w:rsidR="00D4467E">
              <w:t>General Division</w:t>
            </w:r>
            <w:r>
              <w:fldChar w:fldCharType="end"/>
            </w:r>
          </w:p>
        </w:tc>
      </w:tr>
      <w:tr w:rsidR="00D4467E" w:rsidTr="00D4467E">
        <w:tc>
          <w:tcPr>
            <w:tcW w:w="3085" w:type="dxa"/>
            <w:shd w:val="clear" w:color="auto" w:fill="auto"/>
          </w:tcPr>
          <w:p w:rsidR="00D4467E" w:rsidRDefault="00D4467E" w:rsidP="00D4467E">
            <w:pPr>
              <w:pStyle w:val="Normal1linespace"/>
              <w:widowControl w:val="0"/>
              <w:jc w:val="left"/>
            </w:pPr>
          </w:p>
        </w:tc>
        <w:tc>
          <w:tcPr>
            <w:tcW w:w="5989" w:type="dxa"/>
            <w:shd w:val="clear" w:color="auto" w:fill="auto"/>
          </w:tcPr>
          <w:p w:rsidR="00D4467E" w:rsidRPr="00F17599" w:rsidRDefault="00D4467E" w:rsidP="00D4467E">
            <w:pPr>
              <w:pStyle w:val="Normal1linespace"/>
              <w:widowControl w:val="0"/>
              <w:jc w:val="left"/>
              <w:rPr>
                <w:b/>
              </w:rPr>
            </w:pPr>
          </w:p>
        </w:tc>
      </w:tr>
      <w:tr w:rsidR="00D4467E" w:rsidTr="00D4467E">
        <w:tc>
          <w:tcPr>
            <w:tcW w:w="3085" w:type="dxa"/>
            <w:shd w:val="clear" w:color="auto" w:fill="auto"/>
          </w:tcPr>
          <w:p w:rsidR="00D4467E" w:rsidRDefault="00D4467E" w:rsidP="00D4467E">
            <w:pPr>
              <w:pStyle w:val="Normal1linespace"/>
              <w:widowControl w:val="0"/>
              <w:jc w:val="left"/>
            </w:pPr>
            <w:r>
              <w:t>National Practice Area:</w:t>
            </w:r>
          </w:p>
        </w:tc>
        <w:tc>
          <w:tcPr>
            <w:tcW w:w="5989" w:type="dxa"/>
            <w:shd w:val="clear" w:color="auto" w:fill="auto"/>
          </w:tcPr>
          <w:p w:rsidR="00D4467E" w:rsidRPr="00F17599" w:rsidRDefault="0069484E" w:rsidP="00D4467E">
            <w:pPr>
              <w:pStyle w:val="Normal1linespace"/>
              <w:widowControl w:val="0"/>
              <w:jc w:val="left"/>
              <w:rPr>
                <w:b/>
              </w:rPr>
            </w:pPr>
            <w:r>
              <w:fldChar w:fldCharType="begin" w:fldLock="1"/>
            </w:r>
            <w:r>
              <w:instrText xml:space="preserve"> DOCPROPERTY  "Practice Area"  \* MERGEFORMAT </w:instrText>
            </w:r>
            <w:r>
              <w:fldChar w:fldCharType="separate"/>
            </w:r>
            <w:r w:rsidR="00D4467E">
              <w:t>Taxation</w:t>
            </w:r>
            <w:r>
              <w:fldChar w:fldCharType="end"/>
            </w:r>
          </w:p>
        </w:tc>
      </w:tr>
      <w:tr w:rsidR="00D4467E" w:rsidTr="00D4467E">
        <w:tc>
          <w:tcPr>
            <w:tcW w:w="3085" w:type="dxa"/>
            <w:shd w:val="clear" w:color="auto" w:fill="auto"/>
          </w:tcPr>
          <w:p w:rsidR="00D4467E" w:rsidRDefault="00D4467E" w:rsidP="00D4467E">
            <w:pPr>
              <w:pStyle w:val="Normal1linespace"/>
              <w:widowControl w:val="0"/>
              <w:jc w:val="left"/>
            </w:pPr>
          </w:p>
        </w:tc>
        <w:tc>
          <w:tcPr>
            <w:tcW w:w="5989" w:type="dxa"/>
            <w:shd w:val="clear" w:color="auto" w:fill="auto"/>
          </w:tcPr>
          <w:p w:rsidR="00D4467E" w:rsidRDefault="00D4467E" w:rsidP="00D4467E">
            <w:pPr>
              <w:pStyle w:val="Normal1linespace"/>
              <w:widowControl w:val="0"/>
              <w:jc w:val="left"/>
              <w:rPr>
                <w:b/>
              </w:rPr>
            </w:pPr>
          </w:p>
        </w:tc>
      </w:tr>
      <w:tr w:rsidR="00D4467E" w:rsidTr="00D4467E">
        <w:tc>
          <w:tcPr>
            <w:tcW w:w="3085" w:type="dxa"/>
            <w:shd w:val="clear" w:color="auto" w:fill="auto"/>
          </w:tcPr>
          <w:p w:rsidR="00D4467E" w:rsidRDefault="00D4467E" w:rsidP="00D4467E">
            <w:pPr>
              <w:pStyle w:val="Normal1linespace"/>
              <w:widowControl w:val="0"/>
              <w:jc w:val="left"/>
            </w:pPr>
            <w:r>
              <w:t>Category:</w:t>
            </w:r>
          </w:p>
        </w:tc>
        <w:tc>
          <w:tcPr>
            <w:tcW w:w="5989" w:type="dxa"/>
            <w:shd w:val="clear" w:color="auto" w:fill="auto"/>
          </w:tcPr>
          <w:p w:rsidR="00D4467E" w:rsidRDefault="00D4467E" w:rsidP="00D4467E">
            <w:pPr>
              <w:pStyle w:val="Normal1linespace"/>
              <w:widowControl w:val="0"/>
              <w:jc w:val="left"/>
            </w:pPr>
            <w:r w:rsidRPr="00D4467E">
              <w:t>Catchwords</w:t>
            </w:r>
          </w:p>
        </w:tc>
      </w:tr>
      <w:tr w:rsidR="00D4467E" w:rsidTr="00D4467E">
        <w:tc>
          <w:tcPr>
            <w:tcW w:w="3085" w:type="dxa"/>
            <w:shd w:val="clear" w:color="auto" w:fill="auto"/>
          </w:tcPr>
          <w:p w:rsidR="00D4467E" w:rsidRDefault="00D4467E" w:rsidP="00D4467E">
            <w:pPr>
              <w:pStyle w:val="Normal1linespace"/>
              <w:widowControl w:val="0"/>
              <w:jc w:val="left"/>
            </w:pPr>
          </w:p>
        </w:tc>
        <w:tc>
          <w:tcPr>
            <w:tcW w:w="5989" w:type="dxa"/>
            <w:shd w:val="clear" w:color="auto" w:fill="auto"/>
          </w:tcPr>
          <w:p w:rsidR="00D4467E" w:rsidRDefault="00D4467E" w:rsidP="00D4467E">
            <w:pPr>
              <w:pStyle w:val="Normal1linespace"/>
              <w:widowControl w:val="0"/>
              <w:jc w:val="left"/>
            </w:pPr>
          </w:p>
        </w:tc>
      </w:tr>
      <w:tr w:rsidR="00D4467E" w:rsidTr="00D4467E">
        <w:tc>
          <w:tcPr>
            <w:tcW w:w="3085" w:type="dxa"/>
            <w:shd w:val="clear" w:color="auto" w:fill="auto"/>
          </w:tcPr>
          <w:p w:rsidR="00D4467E" w:rsidRDefault="00D4467E" w:rsidP="00D4467E">
            <w:pPr>
              <w:pStyle w:val="Normal1linespace"/>
              <w:widowControl w:val="0"/>
              <w:jc w:val="left"/>
            </w:pPr>
            <w:r>
              <w:t>Number of paragraphs:</w:t>
            </w:r>
          </w:p>
        </w:tc>
        <w:tc>
          <w:tcPr>
            <w:tcW w:w="5989" w:type="dxa"/>
            <w:shd w:val="clear" w:color="auto" w:fill="auto"/>
          </w:tcPr>
          <w:p w:rsidR="00D4467E" w:rsidRDefault="00F9202A" w:rsidP="00D0116D">
            <w:pPr>
              <w:pStyle w:val="Normal1linespace"/>
              <w:widowControl w:val="0"/>
              <w:jc w:val="left"/>
            </w:pPr>
            <w:bookmarkStart w:id="8" w:name="PlaceCategoryParagraphs"/>
            <w:r>
              <w:t>6</w:t>
            </w:r>
            <w:r w:rsidR="00D0116D">
              <w:t>7</w:t>
            </w:r>
            <w:bookmarkEnd w:id="8"/>
          </w:p>
        </w:tc>
      </w:tr>
      <w:tr w:rsidR="00D4467E" w:rsidTr="00D4467E">
        <w:tc>
          <w:tcPr>
            <w:tcW w:w="3085" w:type="dxa"/>
            <w:shd w:val="clear" w:color="auto" w:fill="auto"/>
          </w:tcPr>
          <w:p w:rsidR="00D4467E" w:rsidRDefault="00D4467E" w:rsidP="00D4467E">
            <w:pPr>
              <w:pStyle w:val="Normal1linespace"/>
              <w:widowControl w:val="0"/>
              <w:jc w:val="left"/>
            </w:pPr>
          </w:p>
        </w:tc>
        <w:tc>
          <w:tcPr>
            <w:tcW w:w="5989" w:type="dxa"/>
            <w:shd w:val="clear" w:color="auto" w:fill="auto"/>
          </w:tcPr>
          <w:p w:rsidR="00D4467E" w:rsidRDefault="00D4467E" w:rsidP="00D4467E">
            <w:pPr>
              <w:pStyle w:val="Normal1linespace"/>
              <w:widowControl w:val="0"/>
              <w:jc w:val="left"/>
            </w:pPr>
          </w:p>
        </w:tc>
      </w:tr>
      <w:tr w:rsidR="00D4467E" w:rsidTr="00D4467E">
        <w:tc>
          <w:tcPr>
            <w:tcW w:w="3085" w:type="dxa"/>
            <w:shd w:val="clear" w:color="auto" w:fill="auto"/>
          </w:tcPr>
          <w:p w:rsidR="00D4467E" w:rsidRDefault="00D4467E" w:rsidP="00D4467E">
            <w:pPr>
              <w:pStyle w:val="Normal1linespace"/>
              <w:widowControl w:val="0"/>
              <w:jc w:val="left"/>
            </w:pPr>
            <w:bookmarkStart w:id="9" w:name="Counsel" w:colFirst="0" w:colLast="2"/>
            <w:r>
              <w:t>Counsel for the Applicant:</w:t>
            </w:r>
          </w:p>
        </w:tc>
        <w:tc>
          <w:tcPr>
            <w:tcW w:w="5989" w:type="dxa"/>
            <w:shd w:val="clear" w:color="auto" w:fill="auto"/>
          </w:tcPr>
          <w:p w:rsidR="00D4467E" w:rsidRDefault="00D4467E" w:rsidP="00D4467E">
            <w:pPr>
              <w:pStyle w:val="Normal1linespace"/>
              <w:widowControl w:val="0"/>
              <w:jc w:val="left"/>
            </w:pPr>
            <w:bookmarkStart w:id="10" w:name="AppCounsel"/>
            <w:bookmarkEnd w:id="10"/>
            <w:r>
              <w:t>Mr B Walker SC with Mr G Ng and Mr N Li</w:t>
            </w:r>
          </w:p>
        </w:tc>
      </w:tr>
      <w:tr w:rsidR="00D4467E" w:rsidTr="00D4467E">
        <w:tc>
          <w:tcPr>
            <w:tcW w:w="3085" w:type="dxa"/>
            <w:shd w:val="clear" w:color="auto" w:fill="auto"/>
          </w:tcPr>
          <w:p w:rsidR="00D4467E" w:rsidRDefault="00D4467E" w:rsidP="00D4467E">
            <w:pPr>
              <w:pStyle w:val="Normal1linespace"/>
              <w:widowControl w:val="0"/>
              <w:jc w:val="left"/>
            </w:pPr>
          </w:p>
        </w:tc>
        <w:tc>
          <w:tcPr>
            <w:tcW w:w="5989" w:type="dxa"/>
            <w:shd w:val="clear" w:color="auto" w:fill="auto"/>
          </w:tcPr>
          <w:p w:rsidR="00D4467E" w:rsidRDefault="00D4467E" w:rsidP="00D4467E">
            <w:pPr>
              <w:pStyle w:val="Normal1linespace"/>
              <w:widowControl w:val="0"/>
              <w:jc w:val="left"/>
            </w:pPr>
          </w:p>
        </w:tc>
      </w:tr>
      <w:tr w:rsidR="00D4467E" w:rsidTr="00D4467E">
        <w:tc>
          <w:tcPr>
            <w:tcW w:w="3085" w:type="dxa"/>
            <w:shd w:val="clear" w:color="auto" w:fill="auto"/>
          </w:tcPr>
          <w:p w:rsidR="00D4467E" w:rsidRDefault="00D4467E" w:rsidP="00D4467E">
            <w:pPr>
              <w:pStyle w:val="Normal1linespace"/>
              <w:widowControl w:val="0"/>
              <w:jc w:val="left"/>
            </w:pPr>
            <w:r>
              <w:t>Solicitor for the Applicant:</w:t>
            </w:r>
          </w:p>
        </w:tc>
        <w:tc>
          <w:tcPr>
            <w:tcW w:w="5989" w:type="dxa"/>
            <w:shd w:val="clear" w:color="auto" w:fill="auto"/>
          </w:tcPr>
          <w:p w:rsidR="00D4467E" w:rsidRDefault="00D4467E" w:rsidP="00D4467E">
            <w:pPr>
              <w:pStyle w:val="Normal1linespace"/>
              <w:widowControl w:val="0"/>
              <w:jc w:val="left"/>
            </w:pPr>
            <w:r>
              <w:t>Unsworth Legal</w:t>
            </w:r>
          </w:p>
        </w:tc>
      </w:tr>
      <w:tr w:rsidR="00D4467E" w:rsidTr="00D4467E">
        <w:tc>
          <w:tcPr>
            <w:tcW w:w="3085" w:type="dxa"/>
            <w:shd w:val="clear" w:color="auto" w:fill="auto"/>
          </w:tcPr>
          <w:p w:rsidR="00D4467E" w:rsidRDefault="00D4467E" w:rsidP="00D4467E">
            <w:pPr>
              <w:pStyle w:val="Normal1linespace"/>
              <w:widowControl w:val="0"/>
              <w:jc w:val="left"/>
            </w:pPr>
          </w:p>
        </w:tc>
        <w:tc>
          <w:tcPr>
            <w:tcW w:w="5989" w:type="dxa"/>
            <w:shd w:val="clear" w:color="auto" w:fill="auto"/>
          </w:tcPr>
          <w:p w:rsidR="00D4467E" w:rsidRDefault="00D4467E" w:rsidP="00D4467E">
            <w:pPr>
              <w:pStyle w:val="Normal1linespace"/>
              <w:widowControl w:val="0"/>
              <w:jc w:val="left"/>
            </w:pPr>
          </w:p>
        </w:tc>
      </w:tr>
      <w:tr w:rsidR="00D4467E" w:rsidTr="00D4467E">
        <w:tc>
          <w:tcPr>
            <w:tcW w:w="3085" w:type="dxa"/>
            <w:shd w:val="clear" w:color="auto" w:fill="auto"/>
          </w:tcPr>
          <w:p w:rsidR="00D4467E" w:rsidRDefault="00D4467E" w:rsidP="00D4467E">
            <w:pPr>
              <w:pStyle w:val="Normal1linespace"/>
              <w:widowControl w:val="0"/>
              <w:jc w:val="left"/>
            </w:pPr>
            <w:r>
              <w:t>Counsel for the Respondent:</w:t>
            </w:r>
          </w:p>
        </w:tc>
        <w:tc>
          <w:tcPr>
            <w:tcW w:w="5989" w:type="dxa"/>
            <w:shd w:val="clear" w:color="auto" w:fill="auto"/>
          </w:tcPr>
          <w:p w:rsidR="00D4467E" w:rsidRDefault="00D4467E" w:rsidP="00D4467E">
            <w:pPr>
              <w:pStyle w:val="Normal1linespace"/>
              <w:widowControl w:val="0"/>
              <w:jc w:val="left"/>
            </w:pPr>
            <w:r>
              <w:t>Mr A J McInerney SC with Mr L T Livingston</w:t>
            </w:r>
          </w:p>
        </w:tc>
      </w:tr>
      <w:tr w:rsidR="00D4467E" w:rsidTr="00D4467E">
        <w:tc>
          <w:tcPr>
            <w:tcW w:w="3085" w:type="dxa"/>
            <w:shd w:val="clear" w:color="auto" w:fill="auto"/>
          </w:tcPr>
          <w:p w:rsidR="00D4467E" w:rsidRDefault="00D4467E" w:rsidP="00D4467E">
            <w:pPr>
              <w:pStyle w:val="Normal1linespace"/>
              <w:widowControl w:val="0"/>
              <w:jc w:val="left"/>
            </w:pPr>
          </w:p>
        </w:tc>
        <w:tc>
          <w:tcPr>
            <w:tcW w:w="5989" w:type="dxa"/>
            <w:shd w:val="clear" w:color="auto" w:fill="auto"/>
          </w:tcPr>
          <w:p w:rsidR="00D4467E" w:rsidRDefault="00D4467E" w:rsidP="00D4467E">
            <w:pPr>
              <w:pStyle w:val="Normal1linespace"/>
              <w:widowControl w:val="0"/>
              <w:jc w:val="left"/>
            </w:pPr>
          </w:p>
        </w:tc>
      </w:tr>
      <w:tr w:rsidR="00D4467E" w:rsidTr="00D4467E">
        <w:tc>
          <w:tcPr>
            <w:tcW w:w="3085" w:type="dxa"/>
            <w:shd w:val="clear" w:color="auto" w:fill="auto"/>
          </w:tcPr>
          <w:p w:rsidR="00D4467E" w:rsidRDefault="00D4467E" w:rsidP="00D4467E">
            <w:pPr>
              <w:pStyle w:val="Normal1linespace"/>
              <w:widowControl w:val="0"/>
              <w:jc w:val="left"/>
            </w:pPr>
            <w:r>
              <w:t>Solicitor for the Respondent:</w:t>
            </w:r>
          </w:p>
        </w:tc>
        <w:tc>
          <w:tcPr>
            <w:tcW w:w="5989" w:type="dxa"/>
            <w:shd w:val="clear" w:color="auto" w:fill="auto"/>
          </w:tcPr>
          <w:p w:rsidR="00D4467E" w:rsidRDefault="00D4467E" w:rsidP="00D4467E">
            <w:pPr>
              <w:pStyle w:val="Normal1linespace"/>
              <w:widowControl w:val="0"/>
              <w:jc w:val="left"/>
            </w:pPr>
            <w:r>
              <w:t>Craddock Murray Neumann Lawyers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239D2" w:rsidP="00F92355">
            <w:pPr>
              <w:pStyle w:val="NormalHeadings"/>
              <w:jc w:val="right"/>
            </w:pPr>
            <w:bookmarkStart w:id="11" w:name="FileNo"/>
            <w:r>
              <w:t>NSD 1759 of 2019</w:t>
            </w:r>
            <w:bookmarkEnd w:id="11"/>
          </w:p>
        </w:tc>
      </w:tr>
      <w:tr w:rsidR="00A76C13" w:rsidTr="002E2D41">
        <w:tc>
          <w:tcPr>
            <w:tcW w:w="9242" w:type="dxa"/>
            <w:gridSpan w:val="3"/>
          </w:tcPr>
          <w:p w:rsidR="00A76C13" w:rsidRPr="00A76C13" w:rsidRDefault="001239D2" w:rsidP="001239D2">
            <w:pPr>
              <w:pStyle w:val="NormalHeadings"/>
              <w:jc w:val="left"/>
            </w:pPr>
            <w:bookmarkStart w:id="12" w:name="InTheMatterOf"/>
            <w:r>
              <w:t xml:space="preserve"> </w:t>
            </w:r>
            <w:bookmarkEnd w:id="12"/>
          </w:p>
        </w:tc>
      </w:tr>
      <w:tr w:rsidR="00A46CCC" w:rsidTr="002E2D41">
        <w:trPr>
          <w:trHeight w:val="386"/>
        </w:trPr>
        <w:tc>
          <w:tcPr>
            <w:tcW w:w="2376" w:type="dxa"/>
          </w:tcPr>
          <w:p w:rsidR="00A46CCC" w:rsidRDefault="00A46CCC" w:rsidP="002E2D41">
            <w:pPr>
              <w:pStyle w:val="NormalHeadings"/>
              <w:jc w:val="left"/>
              <w:rPr>
                <w:caps/>
                <w:szCs w:val="24"/>
              </w:rPr>
            </w:pPr>
            <w:bookmarkStart w:id="13" w:name="Parties"/>
            <w:r>
              <w:rPr>
                <w:caps/>
                <w:szCs w:val="24"/>
              </w:rPr>
              <w:t>BETWEEN:</w:t>
            </w:r>
          </w:p>
        </w:tc>
        <w:tc>
          <w:tcPr>
            <w:tcW w:w="6866" w:type="dxa"/>
            <w:gridSpan w:val="2"/>
          </w:tcPr>
          <w:p w:rsidR="001239D2" w:rsidRDefault="001239D2" w:rsidP="001239D2">
            <w:pPr>
              <w:pStyle w:val="NormalHeadings"/>
              <w:jc w:val="left"/>
            </w:pPr>
            <w:bookmarkStart w:id="14" w:name="Applicant"/>
            <w:r>
              <w:t>CHANGRAN HUANG</w:t>
            </w:r>
          </w:p>
          <w:p w:rsidR="001239D2" w:rsidRDefault="001239D2" w:rsidP="001239D2">
            <w:pPr>
              <w:pStyle w:val="PartyType"/>
            </w:pPr>
            <w:r>
              <w:t>Applicant</w:t>
            </w:r>
          </w:p>
          <w:bookmarkEnd w:id="14"/>
          <w:p w:rsidR="00A46CCC" w:rsidRPr="006555B4" w:rsidRDefault="00A46CCC" w:rsidP="002E2D41">
            <w:pPr>
              <w:pStyle w:val="NormalHeadings"/>
              <w:jc w:val="left"/>
            </w:pPr>
          </w:p>
        </w:tc>
      </w:tr>
      <w:tr w:rsidR="00A46CCC" w:rsidTr="002E2D41">
        <w:trPr>
          <w:trHeight w:val="386"/>
        </w:trPr>
        <w:tc>
          <w:tcPr>
            <w:tcW w:w="2376" w:type="dxa"/>
          </w:tcPr>
          <w:p w:rsidR="00A46CCC" w:rsidRDefault="00A46CCC" w:rsidP="002E2D41">
            <w:pPr>
              <w:pStyle w:val="NormalHeadings"/>
              <w:jc w:val="left"/>
              <w:rPr>
                <w:caps/>
                <w:szCs w:val="24"/>
              </w:rPr>
            </w:pPr>
            <w:r>
              <w:rPr>
                <w:caps/>
                <w:szCs w:val="24"/>
              </w:rPr>
              <w:t>AND:</w:t>
            </w:r>
          </w:p>
        </w:tc>
        <w:tc>
          <w:tcPr>
            <w:tcW w:w="6866" w:type="dxa"/>
            <w:gridSpan w:val="2"/>
          </w:tcPr>
          <w:p w:rsidR="001239D2" w:rsidRDefault="001239D2" w:rsidP="001239D2">
            <w:pPr>
              <w:pStyle w:val="NormalHeadings"/>
              <w:jc w:val="left"/>
            </w:pPr>
            <w:bookmarkStart w:id="15" w:name="Respondent"/>
            <w:r>
              <w:t>DEPUTY COMMISSIONER OF TAXATION</w:t>
            </w:r>
          </w:p>
          <w:p w:rsidR="001239D2" w:rsidRDefault="001239D2" w:rsidP="001239D2">
            <w:pPr>
              <w:pStyle w:val="PartyType"/>
            </w:pPr>
            <w:r>
              <w:t>Respondent</w:t>
            </w:r>
          </w:p>
          <w:bookmarkEnd w:id="15"/>
          <w:p w:rsidR="00A46CCC" w:rsidRPr="006555B4" w:rsidRDefault="00A46CCC" w:rsidP="002E2D41">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1239D2">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1239D2">
            <w:pPr>
              <w:pStyle w:val="NormalHeadings"/>
              <w:jc w:val="left"/>
              <w:rPr>
                <w:caps/>
                <w:szCs w:val="24"/>
              </w:rPr>
            </w:pPr>
            <w:bookmarkStart w:id="18" w:name="Judge"/>
            <w:r>
              <w:rPr>
                <w:caps/>
                <w:szCs w:val="24"/>
              </w:rPr>
              <w:t>BESANKO, THAWLEY AND STEWART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45419" w:rsidP="00BF74DF">
            <w:pPr>
              <w:pStyle w:val="NormalHeadings"/>
              <w:jc w:val="left"/>
              <w:rPr>
                <w:caps/>
                <w:szCs w:val="24"/>
              </w:rPr>
            </w:pPr>
            <w:bookmarkStart w:id="19" w:name="Judgment_Dated"/>
            <w:r>
              <w:rPr>
                <w:caps/>
                <w:szCs w:val="24"/>
              </w:rPr>
              <w:t xml:space="preserve">17 </w:t>
            </w:r>
            <w:r w:rsidR="00BF74DF">
              <w:rPr>
                <w:caps/>
                <w:szCs w:val="24"/>
              </w:rPr>
              <w:t>August</w:t>
            </w:r>
            <w:r w:rsidR="001239D2">
              <w:rPr>
                <w:caps/>
                <w:szCs w:val="24"/>
              </w:rPr>
              <w:t xml:space="preserve"> 2020</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0F1626" w:rsidP="00274F5B">
      <w:pPr>
        <w:pStyle w:val="Order1"/>
      </w:pPr>
      <w:bookmarkStart w:id="20" w:name="Order_Start_Text"/>
      <w:bookmarkEnd w:id="20"/>
      <w:r>
        <w:t>The app</w:t>
      </w:r>
      <w:r w:rsidR="00BF74DF">
        <w:t>licant</w:t>
      </w:r>
      <w:r>
        <w:t xml:space="preserve"> file within seven days consent minutes of order reflecting the conclusions in the Court’s reasons.  In the event the parties are unable to agree, the appl</w:t>
      </w:r>
      <w:r w:rsidR="00BF74DF">
        <w:t>ic</w:t>
      </w:r>
      <w:r>
        <w:t>ant file and serve within seven days draft minutes setting out the orders he seeks and a short note setting out the areas of dispute between the parties.</w:t>
      </w:r>
    </w:p>
    <w:p w:rsidR="00636871" w:rsidRDefault="00636871" w:rsidP="002B0E91">
      <w:pPr>
        <w:pStyle w:val="BodyText"/>
      </w:pPr>
    </w:p>
    <w:p w:rsidR="000F1626" w:rsidRDefault="000F1626" w:rsidP="002B0E91">
      <w:pPr>
        <w:pStyle w:val="BodyText"/>
      </w:pPr>
    </w:p>
    <w:p w:rsidR="000F1626" w:rsidRDefault="000F1626" w:rsidP="002B0E91">
      <w:pPr>
        <w:pStyle w:val="BodyText"/>
      </w:pPr>
    </w:p>
    <w:p w:rsidR="00BF74DF" w:rsidRDefault="00BF74DF" w:rsidP="002B0E91">
      <w:pPr>
        <w:pStyle w:val="BodyText"/>
      </w:pPr>
    </w:p>
    <w:p w:rsidR="00BF74DF" w:rsidRDefault="00BF74DF" w:rsidP="002B0E91">
      <w:pPr>
        <w:pStyle w:val="BodyText"/>
      </w:pPr>
    </w:p>
    <w:p w:rsidR="00BF74DF" w:rsidRDefault="00BF74DF" w:rsidP="002B0E91">
      <w:pPr>
        <w:pStyle w:val="BodyText"/>
      </w:pPr>
    </w:p>
    <w:p w:rsidR="00BF74DF" w:rsidRDefault="00BF74DF" w:rsidP="002B0E91">
      <w:pPr>
        <w:pStyle w:val="BodyText"/>
      </w:pPr>
    </w:p>
    <w:p w:rsidR="000F1626" w:rsidRDefault="000F1626" w:rsidP="002B0E91">
      <w:pPr>
        <w:pStyle w:val="BodyText"/>
      </w:pPr>
    </w:p>
    <w:p w:rsidR="000F1626" w:rsidRDefault="000F1626" w:rsidP="002B0E91">
      <w:pPr>
        <w:pStyle w:val="BodyText"/>
      </w:pPr>
    </w:p>
    <w:p w:rsidR="000F1626" w:rsidRDefault="000F1626" w:rsidP="002B0E91">
      <w:pPr>
        <w:pStyle w:val="BodyText"/>
      </w:pPr>
    </w:p>
    <w:p w:rsidR="000F1626" w:rsidRDefault="000F1626"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EC55F4" w:rsidP="005E0510">
      <w:pPr>
        <w:pStyle w:val="NormalHeadings"/>
        <w:spacing w:line="360" w:lineRule="auto"/>
        <w:jc w:val="left"/>
        <w:rPr>
          <w:sz w:val="26"/>
          <w:szCs w:val="26"/>
        </w:rPr>
      </w:pPr>
      <w:r>
        <w:rPr>
          <w:sz w:val="26"/>
          <w:szCs w:val="26"/>
        </w:rPr>
        <w:t>THE COURT</w:t>
      </w:r>
      <w:r w:rsidR="00484F6D" w:rsidRPr="00EA03CE">
        <w:rPr>
          <w:sz w:val="26"/>
          <w:szCs w:val="26"/>
        </w:rPr>
        <w:t>:</w:t>
      </w:r>
    </w:p>
    <w:p w:rsidR="00EC55F4" w:rsidRPr="00EA03CE" w:rsidRDefault="00EC55F4" w:rsidP="00EC55F4">
      <w:pPr>
        <w:pStyle w:val="Heading1"/>
      </w:pPr>
      <w:r>
        <w:t>Introduction:</w:t>
      </w:r>
    </w:p>
    <w:p w:rsidR="00AA6405" w:rsidRDefault="002C2471" w:rsidP="001239D2">
      <w:pPr>
        <w:pStyle w:val="ParaNumbering"/>
      </w:pPr>
      <w:r>
        <w:t xml:space="preserve">This is an application for leave to appeal pursuant to s 24(1A) of the </w:t>
      </w:r>
      <w:r>
        <w:rPr>
          <w:i/>
        </w:rPr>
        <w:t xml:space="preserve">Federal Court of Australia Act 1976 </w:t>
      </w:r>
      <w:r>
        <w:t>(Cth) (the Act)</w:t>
      </w:r>
      <w:r w:rsidR="00AA6405">
        <w:t xml:space="preserve"> from </w:t>
      </w:r>
      <w:r w:rsidR="00CD1409">
        <w:t xml:space="preserve">certain </w:t>
      </w:r>
      <w:r w:rsidR="00647EC6">
        <w:t xml:space="preserve">orders in </w:t>
      </w:r>
      <w:r w:rsidR="00AA6405">
        <w:t>a freezing order made by a judge of the Court</w:t>
      </w:r>
      <w:r>
        <w:t xml:space="preserve">.  </w:t>
      </w:r>
      <w:r w:rsidR="00CD1409">
        <w:t>The application has been listed for hearing immediately prior to</w:t>
      </w:r>
      <w:r w:rsidR="000F1626">
        <w:t>,</w:t>
      </w:r>
      <w:r w:rsidR="00CD1409">
        <w:t xml:space="preserve"> or concurrently with</w:t>
      </w:r>
      <w:r w:rsidR="000F1626">
        <w:t>,</w:t>
      </w:r>
      <w:r w:rsidR="00CD1409">
        <w:t xml:space="preserve"> any appeal.  </w:t>
      </w:r>
      <w:r>
        <w:t xml:space="preserve">The orders which are the subject of the application were made on the application of the Deputy Commissioner of Taxation </w:t>
      </w:r>
      <w:r w:rsidR="00A96CF9">
        <w:t xml:space="preserve">(Deputy Commissioner) </w:t>
      </w:r>
      <w:r>
        <w:t xml:space="preserve">on 21 October 2019 </w:t>
      </w:r>
      <w:r w:rsidR="00CD1409">
        <w:t>against Mr </w:t>
      </w:r>
      <w:r w:rsidR="00AA6405">
        <w:t>Changran Huang and</w:t>
      </w:r>
      <w:r w:rsidR="00CD1409">
        <w:t xml:space="preserve"> his wife,</w:t>
      </w:r>
      <w:r w:rsidR="00AA6405">
        <w:t xml:space="preserve"> Mrs Jiefang Huang.  </w:t>
      </w:r>
      <w:r w:rsidR="00647EC6">
        <w:t xml:space="preserve">Mrs Huang has not sought leave to appeal.  Mr Huang’s application for leave to appeal is against </w:t>
      </w:r>
      <w:r w:rsidR="00AA6405">
        <w:t xml:space="preserve">the freezing order and an ancillary order in relation to the disclosure of information </w:t>
      </w:r>
      <w:r w:rsidR="000F1626">
        <w:t xml:space="preserve">(asset disclosure order) </w:t>
      </w:r>
      <w:r w:rsidR="00647EC6">
        <w:t xml:space="preserve">only insofar as it applies to </w:t>
      </w:r>
      <w:r w:rsidR="00AA6405">
        <w:t>assets outside Australia.  Mr Huang has substantial assets in the People’s Republic of China (PRC) and in Hong Kong.</w:t>
      </w:r>
    </w:p>
    <w:p w:rsidR="00CD1409" w:rsidRDefault="00CD1409" w:rsidP="001239D2">
      <w:pPr>
        <w:pStyle w:val="ParaNumbering"/>
      </w:pPr>
      <w:r>
        <w:t>For the reasons which follow, leave to appeal should be granted and the appeal should be allowed.</w:t>
      </w:r>
    </w:p>
    <w:p w:rsidR="00AA6405" w:rsidRDefault="00F26346" w:rsidP="00AA6405">
      <w:pPr>
        <w:pStyle w:val="Heading1"/>
      </w:pPr>
      <w:r>
        <w:t>Background</w:t>
      </w:r>
    </w:p>
    <w:p w:rsidR="00CD1409" w:rsidRDefault="002C2471" w:rsidP="002C2471">
      <w:pPr>
        <w:pStyle w:val="ParaNumbering"/>
      </w:pPr>
      <w:r>
        <w:t>The background to th</w:t>
      </w:r>
      <w:r w:rsidR="00CD1409">
        <w:t>e</w:t>
      </w:r>
      <w:r w:rsidR="00AA6405">
        <w:t xml:space="preserve"> application for leav</w:t>
      </w:r>
      <w:r>
        <w:t xml:space="preserve">e </w:t>
      </w:r>
      <w:r w:rsidR="00CD1409">
        <w:t xml:space="preserve">to appeal </w:t>
      </w:r>
      <w:r>
        <w:t xml:space="preserve">is as follows.  </w:t>
      </w:r>
      <w:r w:rsidR="00AA6405">
        <w:t>Mr and Mrs Huang</w:t>
      </w:r>
      <w:r>
        <w:t xml:space="preserve"> lived in Australia for several years and</w:t>
      </w:r>
      <w:r w:rsidR="00DB340D">
        <w:t>,</w:t>
      </w:r>
      <w:r>
        <w:t xml:space="preserve"> since 1 February 2013</w:t>
      </w:r>
      <w:r w:rsidR="00DB340D">
        <w:t>,</w:t>
      </w:r>
      <w:r>
        <w:t xml:space="preserve"> they were tax residents of Australia</w:t>
      </w:r>
      <w:r w:rsidR="00E209BB">
        <w:t>.  On 4 </w:t>
      </w:r>
      <w:r w:rsidR="009047AD">
        <w:t xml:space="preserve">December 2018, </w:t>
      </w:r>
      <w:r w:rsidR="00AA6405">
        <w:t>Mr Huang</w:t>
      </w:r>
      <w:r w:rsidR="009047AD">
        <w:t xml:space="preserve"> left Australia bound for the PRC.  Mrs Huang left </w:t>
      </w:r>
      <w:r w:rsidR="00647EC6">
        <w:t xml:space="preserve">Australia </w:t>
      </w:r>
      <w:r w:rsidR="009047AD">
        <w:t>on 11</w:t>
      </w:r>
      <w:r w:rsidR="00AA6405">
        <w:t> </w:t>
      </w:r>
      <w:r w:rsidR="009047AD">
        <w:t xml:space="preserve">September 2019, also bound for the PRC.  At the time of </w:t>
      </w:r>
      <w:r w:rsidR="00AA6405">
        <w:t>Mr Huang’s</w:t>
      </w:r>
      <w:r w:rsidR="009047AD">
        <w:t xml:space="preserve"> departure, an audit into his income tax affairs </w:t>
      </w:r>
      <w:r w:rsidR="00647EC6">
        <w:t xml:space="preserve">by the Australian Taxation Office </w:t>
      </w:r>
      <w:r w:rsidR="002E45D5">
        <w:t xml:space="preserve">(ATO) </w:t>
      </w:r>
      <w:r w:rsidR="009047AD">
        <w:t xml:space="preserve">was </w:t>
      </w:r>
      <w:r w:rsidR="000F1626">
        <w:t>in progress</w:t>
      </w:r>
      <w:r w:rsidR="009047AD">
        <w:t>.  On 11 September 2019</w:t>
      </w:r>
      <w:r w:rsidR="000062D2">
        <w:t>,</w:t>
      </w:r>
      <w:r w:rsidR="009047AD">
        <w:t xml:space="preserve"> and as a result of that audit, the Deputy Commissioner issued notices of </w:t>
      </w:r>
      <w:r w:rsidR="00CD1409">
        <w:t>A</w:t>
      </w:r>
      <w:r w:rsidR="009047AD">
        <w:t xml:space="preserve">mended </w:t>
      </w:r>
      <w:r w:rsidR="00CD1409">
        <w:t>A</w:t>
      </w:r>
      <w:r w:rsidR="009047AD">
        <w:t xml:space="preserve">ssessment </w:t>
      </w:r>
      <w:r w:rsidR="00CD1409">
        <w:t>for the years ended 30 June 2013, 30 June 2014 and 30 June 2015</w:t>
      </w:r>
      <w:r w:rsidR="00242549">
        <w:t xml:space="preserve"> to Mr </w:t>
      </w:r>
      <w:r w:rsidR="00647EC6">
        <w:t>Huang</w:t>
      </w:r>
      <w:r w:rsidR="00CD1409">
        <w:t xml:space="preserve">, </w:t>
      </w:r>
      <w:r w:rsidR="009047AD">
        <w:t>and a notice of assessment of shortfall penalty</w:t>
      </w:r>
      <w:r w:rsidR="00CD1409">
        <w:t xml:space="preserve"> assessing Mr Huang as liable for penalties in relation to those years</w:t>
      </w:r>
      <w:r w:rsidR="009047AD">
        <w:t xml:space="preserve"> (the tax assessment notices) for a total amount of</w:t>
      </w:r>
      <w:r w:rsidR="00741C2E">
        <w:t xml:space="preserve"> $140,925,953.98.  </w:t>
      </w:r>
      <w:r w:rsidR="00647EC6">
        <w:t>A second Amended Assessment for the income year ended 30 June 2015 was issued on 13 March 2020 and the details of that assessment, and Mr Huang’s objections to the assessments, are the subject of an agreement as to facts.  The precise details of those matters are not relevant for present purposes.</w:t>
      </w:r>
    </w:p>
    <w:p w:rsidR="00CD1409" w:rsidRDefault="00741C2E" w:rsidP="002C2471">
      <w:pPr>
        <w:pStyle w:val="ParaNumbering"/>
      </w:pPr>
      <w:r>
        <w:t>On 16 </w:t>
      </w:r>
      <w:r w:rsidR="009047AD">
        <w:t>September 2019, th</w:t>
      </w:r>
      <w:r>
        <w:t>e Deputy Commissioner filed an o</w:t>
      </w:r>
      <w:r w:rsidR="009047AD">
        <w:t xml:space="preserve">riginating application in the Court seeking judgment against </w:t>
      </w:r>
      <w:r>
        <w:t>Mr Huang</w:t>
      </w:r>
      <w:r w:rsidR="009047AD">
        <w:t xml:space="preserve"> in th</w:t>
      </w:r>
      <w:r w:rsidR="004933CF">
        <w:t>e</w:t>
      </w:r>
      <w:r w:rsidR="009047AD">
        <w:t xml:space="preserve"> amount </w:t>
      </w:r>
      <w:r w:rsidR="004933CF">
        <w:t xml:space="preserve">of $140,925,953.98 and general interest </w:t>
      </w:r>
      <w:r w:rsidR="004933CF">
        <w:lastRenderedPageBreak/>
        <w:t>charges to the date of judgment</w:t>
      </w:r>
      <w:r w:rsidR="009047AD">
        <w:t xml:space="preserve">.  </w:t>
      </w:r>
      <w:r w:rsidR="00CD1409">
        <w:t>T</w:t>
      </w:r>
      <w:r w:rsidR="009047AD">
        <w:t xml:space="preserve">he Deputy Commissioner also applied for freezing orders against </w:t>
      </w:r>
      <w:r>
        <w:t>Mr Huang</w:t>
      </w:r>
      <w:r w:rsidR="001C7B09">
        <w:t xml:space="preserve"> and his wife</w:t>
      </w:r>
      <w:r w:rsidR="009047AD">
        <w:t xml:space="preserve">, for leave to serve them </w:t>
      </w:r>
      <w:r w:rsidR="00CD1409">
        <w:t xml:space="preserve">with the application </w:t>
      </w:r>
      <w:r w:rsidR="009047AD">
        <w:t xml:space="preserve">outside the jurisdiction, and for substituted service.  In addition, the Deputy Commissioner sought interim freezing orders </w:t>
      </w:r>
      <w:r>
        <w:t xml:space="preserve">in order </w:t>
      </w:r>
      <w:r w:rsidR="009047AD">
        <w:t xml:space="preserve">to </w:t>
      </w:r>
      <w:r>
        <w:t xml:space="preserve">preserve the status quo.  </w:t>
      </w:r>
    </w:p>
    <w:p w:rsidR="002C2471" w:rsidRDefault="00741C2E" w:rsidP="002C2471">
      <w:pPr>
        <w:pStyle w:val="ParaNumbering"/>
      </w:pPr>
      <w:r>
        <w:t>On 16 </w:t>
      </w:r>
      <w:r w:rsidR="009047AD">
        <w:t xml:space="preserve">September 2019, a judge of this Court made freezing orders against both </w:t>
      </w:r>
      <w:r w:rsidR="00DC02F4">
        <w:t>Mr Huang</w:t>
      </w:r>
      <w:r w:rsidR="009047AD">
        <w:t xml:space="preserve"> and </w:t>
      </w:r>
      <w:r w:rsidR="00CD1409">
        <w:t>Mrs Huang</w:t>
      </w:r>
      <w:r w:rsidR="009047AD">
        <w:t xml:space="preserve">.  The freezing orders applied to assets held by </w:t>
      </w:r>
      <w:r>
        <w:t>Mr Huang</w:t>
      </w:r>
      <w:r w:rsidR="009047AD">
        <w:t xml:space="preserve"> in Australia and assets outside Australia.  The judge who made the orders delivered reasons on 18 September 2019 (</w:t>
      </w:r>
      <w:r w:rsidR="009047AD">
        <w:rPr>
          <w:i/>
        </w:rPr>
        <w:t xml:space="preserve">Deputy Commissioner of Taxation v Huang </w:t>
      </w:r>
      <w:r w:rsidR="009047AD">
        <w:t xml:space="preserve">[2019] FCA 1537).  </w:t>
      </w:r>
      <w:r w:rsidR="00647EC6">
        <w:t>On 20 September 2019, those orders were continued.</w:t>
      </w:r>
    </w:p>
    <w:p w:rsidR="009047AD" w:rsidRDefault="009047AD" w:rsidP="002C2471">
      <w:pPr>
        <w:pStyle w:val="ParaNumbering"/>
      </w:pPr>
      <w:r>
        <w:t xml:space="preserve">On 11 October 2019, the Deputy Commissioner made an application for summary judgment against </w:t>
      </w:r>
      <w:r w:rsidR="00741C2E">
        <w:t>Mr Huang</w:t>
      </w:r>
      <w:r>
        <w:t xml:space="preserve"> in the amount of $140,607,780.88 and the Deputy Commissioner also sought freezing orders against both </w:t>
      </w:r>
      <w:r w:rsidR="00741C2E">
        <w:t>Mr Huang</w:t>
      </w:r>
      <w:r>
        <w:t xml:space="preserve"> and his wife</w:t>
      </w:r>
      <w:r w:rsidR="00CD1409">
        <w:t xml:space="preserve"> until further order</w:t>
      </w:r>
      <w:r>
        <w:t xml:space="preserve">.  The application for </w:t>
      </w:r>
      <w:r w:rsidR="00647EC6">
        <w:t xml:space="preserve">the </w:t>
      </w:r>
      <w:r>
        <w:t xml:space="preserve">freezing orders came on for hearing before the primary judge on 17 October 2019 and her Honour </w:t>
      </w:r>
      <w:r w:rsidR="00EC55F4">
        <w:t>made orders on 21 October 2019</w:t>
      </w:r>
      <w:r w:rsidR="00741C2E">
        <w:t xml:space="preserve"> (</w:t>
      </w:r>
      <w:r w:rsidR="00741C2E">
        <w:rPr>
          <w:i/>
        </w:rPr>
        <w:t xml:space="preserve">Deputy Commissioner of Taxation v Huang </w:t>
      </w:r>
      <w:r w:rsidR="00741C2E">
        <w:t>[2019] FCA 1728)</w:t>
      </w:r>
      <w:r w:rsidR="00EC55F4">
        <w:t xml:space="preserve">.  </w:t>
      </w:r>
      <w:r w:rsidR="00647EC6">
        <w:t>As we have said, o</w:t>
      </w:r>
      <w:r w:rsidR="00EC55F4">
        <w:t xml:space="preserve">nly the orders made against </w:t>
      </w:r>
      <w:r w:rsidR="00741C2E">
        <w:t>Mr Huang</w:t>
      </w:r>
      <w:r w:rsidR="00EC55F4">
        <w:t xml:space="preserve"> are of present relevance</w:t>
      </w:r>
      <w:r w:rsidR="00741C2E">
        <w:t xml:space="preserve"> and only those that relate to assets outside Australia.  The orders challenged by Mr Huang are as follows:</w:t>
      </w:r>
    </w:p>
    <w:p w:rsidR="00EC55F4" w:rsidRDefault="00EC55F4" w:rsidP="00EC55F4">
      <w:pPr>
        <w:pStyle w:val="Quote1"/>
      </w:pPr>
      <w:r>
        <w:t>6.</w:t>
      </w:r>
    </w:p>
    <w:p w:rsidR="00F26346" w:rsidRDefault="00F26346" w:rsidP="00487413">
      <w:pPr>
        <w:pStyle w:val="Quote1"/>
        <w:ind w:left="1440" w:hanging="703"/>
      </w:pPr>
      <w:r>
        <w:t>(c)</w:t>
      </w:r>
      <w:r>
        <w:tab/>
        <w:t>If the unencumbered value of your Australian assets is less than the Relevant Amount</w:t>
      </w:r>
      <w:r w:rsidR="00CD1409">
        <w:t xml:space="preserve"> [$140,</w:t>
      </w:r>
      <w:r w:rsidR="00647EC6">
        <w:t>823</w:t>
      </w:r>
      <w:r w:rsidR="00CD1409">
        <w:t>,</w:t>
      </w:r>
      <w:r w:rsidR="00647EC6">
        <w:t>106</w:t>
      </w:r>
      <w:r w:rsidR="00CD1409">
        <w:t>.</w:t>
      </w:r>
      <w:r w:rsidR="00647EC6">
        <w:t>76</w:t>
      </w:r>
      <w:r w:rsidR="00CD1409">
        <w:t>]</w:t>
      </w:r>
      <w:r>
        <w:t>, and you hav</w:t>
      </w:r>
      <w:r w:rsidR="00FE4775">
        <w:t>e assets outside Australia (‘ex</w:t>
      </w:r>
      <w:r w:rsidR="00FE4775">
        <w:noBreakHyphen/>
      </w:r>
      <w:r>
        <w:t>Australian assets’):</w:t>
      </w:r>
    </w:p>
    <w:p w:rsidR="00F26346" w:rsidRDefault="00F26346" w:rsidP="00487413">
      <w:pPr>
        <w:pStyle w:val="Quote2"/>
        <w:ind w:left="2160" w:hanging="720"/>
      </w:pPr>
      <w:r>
        <w:t>(i)</w:t>
      </w:r>
      <w:r>
        <w:tab/>
        <w:t>You must not dispose of, deal with or diminish the value of any of your Australian assets and ex-Australian assets up to the unencumbered value of your Australian and ex-Australian assets of the Relevant Amount; and</w:t>
      </w:r>
    </w:p>
    <w:p w:rsidR="00EC55F4" w:rsidRDefault="00F26346" w:rsidP="00487413">
      <w:pPr>
        <w:pStyle w:val="Quote2"/>
        <w:ind w:left="2160" w:hanging="720"/>
      </w:pPr>
      <w:r>
        <w:t>(ii)</w:t>
      </w:r>
      <w:r>
        <w:tab/>
        <w:t xml:space="preserve">You may dispose of, deal with or diminish the value of any of your ex-Australian assets, so long as the unencumbered value of your Australian assets and ex-Australian assets still exceeds the Relevant Amount. </w:t>
      </w:r>
      <w:r w:rsidR="00EC55F4">
        <w:t>…</w:t>
      </w:r>
    </w:p>
    <w:p w:rsidR="00EC55F4" w:rsidRDefault="00EC55F4" w:rsidP="00EC55F4">
      <w:pPr>
        <w:pStyle w:val="Quote1"/>
      </w:pPr>
      <w:r>
        <w:t>8.</w:t>
      </w:r>
    </w:p>
    <w:p w:rsidR="00EC55F4" w:rsidRPr="00EC55F4" w:rsidRDefault="00EC55F4" w:rsidP="00EC55F4">
      <w:pPr>
        <w:pStyle w:val="Quote1"/>
        <w:ind w:left="1440" w:hanging="703"/>
      </w:pPr>
      <w:r w:rsidRPr="00EC55F4">
        <w:t>(b)</w:t>
      </w:r>
      <w:r>
        <w:tab/>
      </w:r>
      <w:r w:rsidRPr="00EC55F4">
        <w:t>Subject to paragraph 9, you must at or before 11 November 2019 (or within such further time as the Court may allow) swear and serve on the applicant an affidavit setting out all of your assets outside Australia, giving their value, location and details (including any mortgages, charges or other encumbrances to which they are subject) and the extent of your interest in the assets.</w:t>
      </w:r>
    </w:p>
    <w:p w:rsidR="00F26346" w:rsidRDefault="00F26346" w:rsidP="00F26346">
      <w:pPr>
        <w:pStyle w:val="ParaNumbering"/>
      </w:pPr>
      <w:r>
        <w:t xml:space="preserve">On 29 October 2019, </w:t>
      </w:r>
      <w:r w:rsidR="00E209BB">
        <w:t>Mr Huang</w:t>
      </w:r>
      <w:r>
        <w:t xml:space="preserve"> issued his application for leave to appeal</w:t>
      </w:r>
      <w:r w:rsidR="00647EC6">
        <w:t xml:space="preserve"> from the orders made by the primary judge on 21 October 2019.  </w:t>
      </w:r>
      <w:r w:rsidR="00CD1409">
        <w:t xml:space="preserve">The draft notice of appeal </w:t>
      </w:r>
      <w:r w:rsidR="00647EC6">
        <w:t xml:space="preserve">filed by Mr Huang </w:t>
      </w:r>
      <w:r w:rsidR="00647EC6">
        <w:lastRenderedPageBreak/>
        <w:t xml:space="preserve">includes a copy of the freezing order which he contends should be made.  It excludes paragraphs 6(c) and 8(b).  </w:t>
      </w:r>
      <w:r w:rsidR="00CD1409">
        <w:t>There are some other minor changes to the order made by the primary</w:t>
      </w:r>
      <w:r w:rsidR="00647EC6">
        <w:t xml:space="preserve"> judge.</w:t>
      </w:r>
      <w:r w:rsidR="00CD1409">
        <w:t xml:space="preserve">  They include a reduction in the Relevant Amount from $140,823,109.76 to $140,</w:t>
      </w:r>
      <w:r w:rsidR="00647EC6">
        <w:t>607,780.88 (paras 6(a) and 12(</w:t>
      </w:r>
      <w:proofErr w:type="spellStart"/>
      <w:r w:rsidR="00647EC6">
        <w:t>i</w:t>
      </w:r>
      <w:proofErr w:type="spellEnd"/>
      <w:r w:rsidR="00CD1409">
        <w:t>)</w:t>
      </w:r>
      <w:r w:rsidR="00647EC6">
        <w:t>)</w:t>
      </w:r>
      <w:r w:rsidR="00CD1409">
        <w:t xml:space="preserve"> </w:t>
      </w:r>
      <w:r w:rsidR="00647EC6">
        <w:t xml:space="preserve">which </w:t>
      </w:r>
      <w:r w:rsidR="001172F3">
        <w:t>i</w:t>
      </w:r>
      <w:r w:rsidR="00647EC6">
        <w:t xml:space="preserve">s appropriate in light of the judgment entered by her Honour (see the next paragraph).  The other changes are the removal of an item of real property </w:t>
      </w:r>
      <w:r w:rsidR="000F1626">
        <w:t xml:space="preserve">identified </w:t>
      </w:r>
      <w:r w:rsidR="00647EC6">
        <w:t>in paragraph 7a(iii)C and the removal of dates from paragraphs 8(a) and 10</w:t>
      </w:r>
      <w:r w:rsidR="003E5751">
        <w:t>(</w:t>
      </w:r>
      <w:r w:rsidR="00242549">
        <w:t>b</w:t>
      </w:r>
      <w:r w:rsidR="00647EC6">
        <w:t>).</w:t>
      </w:r>
    </w:p>
    <w:p w:rsidR="00EC55F4" w:rsidRDefault="00647EC6" w:rsidP="00EC55F4">
      <w:pPr>
        <w:pStyle w:val="ParaNumbering"/>
      </w:pPr>
      <w:r>
        <w:t>On</w:t>
      </w:r>
      <w:r w:rsidR="00F26346">
        <w:t xml:space="preserve"> </w:t>
      </w:r>
      <w:r w:rsidR="00EC55F4">
        <w:t>19 December 2019, the primary judge made an order that judgment be entered in favour of the Deputy Commissioner against</w:t>
      </w:r>
      <w:r w:rsidR="00F26346">
        <w:t xml:space="preserve"> Mr Huang</w:t>
      </w:r>
      <w:r w:rsidR="00EC55F4">
        <w:t xml:space="preserve"> in the sum of $140,607,780.88 together with general interest charges to the date of judgment.  Her Honour dismissed an application by </w:t>
      </w:r>
      <w:r w:rsidR="00DC02F4">
        <w:t>Mr</w:t>
      </w:r>
      <w:r w:rsidR="003E5751">
        <w:t> </w:t>
      </w:r>
      <w:r w:rsidR="00DC02F4">
        <w:t>Huang</w:t>
      </w:r>
      <w:r w:rsidR="00EC55F4">
        <w:t xml:space="preserve"> for a stay of execution of </w:t>
      </w:r>
      <w:r w:rsidR="00CD1409">
        <w:t xml:space="preserve">that </w:t>
      </w:r>
      <w:r w:rsidR="00EC55F4">
        <w:t>judgment (</w:t>
      </w:r>
      <w:r w:rsidR="00EC55F4">
        <w:rPr>
          <w:i/>
        </w:rPr>
        <w:t xml:space="preserve">Deputy Commissioner of Taxation v Huang </w:t>
      </w:r>
      <w:r w:rsidR="00EC55F4">
        <w:t xml:space="preserve">[2019] FCA 2122).  </w:t>
      </w:r>
    </w:p>
    <w:p w:rsidR="00F26346" w:rsidRDefault="00F26346" w:rsidP="00F26346">
      <w:pPr>
        <w:pStyle w:val="Heading1"/>
      </w:pPr>
      <w:r>
        <w:t xml:space="preserve">The Grounds </w:t>
      </w:r>
      <w:r w:rsidR="00CD1409">
        <w:t>Upon Which the Orders are challenged</w:t>
      </w:r>
    </w:p>
    <w:p w:rsidR="00F26346" w:rsidRDefault="00F26346" w:rsidP="00F26346">
      <w:pPr>
        <w:pStyle w:val="ParaNumbering"/>
      </w:pPr>
      <w:r>
        <w:t>The grounds</w:t>
      </w:r>
      <w:r w:rsidR="00CD1409">
        <w:t xml:space="preserve"> in the draft notice of appeal </w:t>
      </w:r>
      <w:r>
        <w:t>are as follows:</w:t>
      </w:r>
    </w:p>
    <w:p w:rsidR="00F26346" w:rsidRDefault="00F26346" w:rsidP="00F26346">
      <w:pPr>
        <w:pStyle w:val="Quote1"/>
      </w:pPr>
      <w:r>
        <w:t>1.</w:t>
      </w:r>
      <w:r>
        <w:tab/>
        <w:t>The primary judge erred by failing to find that:</w:t>
      </w:r>
    </w:p>
    <w:p w:rsidR="00F26346" w:rsidRDefault="00F26346" w:rsidP="00F26346">
      <w:pPr>
        <w:pStyle w:val="Quote2"/>
        <w:ind w:left="2160" w:hanging="720"/>
      </w:pPr>
      <w:r>
        <w:t>a.</w:t>
      </w:r>
      <w:r>
        <w:tab/>
        <w:t>there was, on the evidence, no realistic possibility that the App</w:t>
      </w:r>
      <w:r w:rsidR="00CD1409">
        <w:t>e</w:t>
      </w:r>
      <w:r>
        <w:t>l</w:t>
      </w:r>
      <w:r w:rsidR="00CD1409">
        <w:t>l</w:t>
      </w:r>
      <w:r>
        <w:t>ant either had assets in, or would move assets to, jurisdictions in which an Australian judgment based on a tax debt owed to the Commonwealth would be enforced, either directly or indirectly; and</w:t>
      </w:r>
    </w:p>
    <w:p w:rsidR="00F26346" w:rsidRDefault="00F26346" w:rsidP="00F26346">
      <w:pPr>
        <w:pStyle w:val="Quote2"/>
        <w:ind w:left="2160" w:hanging="720"/>
      </w:pPr>
      <w:r>
        <w:t>b.</w:t>
      </w:r>
      <w:r>
        <w:tab/>
        <w:t>a freezing order in respect of the Applicant’s assets outside Australia would not serve the purpose of preventing or inhibiting the frustration of the Court’s process within the meaning of rule 7.32(1) of the Federal Court Rules 2011, and is therefore beyond power.</w:t>
      </w:r>
    </w:p>
    <w:p w:rsidR="00F26346" w:rsidRDefault="00F26346" w:rsidP="00F26346">
      <w:pPr>
        <w:pStyle w:val="Quote1"/>
        <w:ind w:left="1440" w:hanging="703"/>
      </w:pPr>
      <w:r>
        <w:t>2.</w:t>
      </w:r>
      <w:r>
        <w:tab/>
        <w:t>Having regard to Ground 1, the primary judge erred in ordering the Applicant to swear and serve on the Respondent an affidavit setting out all of his assets outside Australia, giving their value, location and details (including any mortgages, charges or other encumbrances to which they are subject) and the extent of his interest in the assets.</w:t>
      </w:r>
    </w:p>
    <w:p w:rsidR="00CD1409" w:rsidRDefault="00CD1409" w:rsidP="00CD1409">
      <w:pPr>
        <w:pStyle w:val="ParaNumbering"/>
      </w:pPr>
      <w:r>
        <w:t xml:space="preserve">The test on an application for leave to appeal is well-known and it is sufficient for us to refer to </w:t>
      </w:r>
      <w:r>
        <w:rPr>
          <w:i/>
        </w:rPr>
        <w:t>D</w:t>
      </w:r>
      <w:r w:rsidR="00FE4775">
        <w:rPr>
          <w:i/>
        </w:rPr>
        <w:t>e</w:t>
      </w:r>
      <w:r>
        <w:rPr>
          <w:i/>
        </w:rPr>
        <w:t xml:space="preserve">cor Corporation Pty Ltd v Dart Industries Inc </w:t>
      </w:r>
      <w:r>
        <w:t xml:space="preserve">(1991) </w:t>
      </w:r>
      <w:r w:rsidR="00FE4775">
        <w:t xml:space="preserve">33 </w:t>
      </w:r>
      <w:r>
        <w:t xml:space="preserve">FCR 397 and the two requirements that the decision </w:t>
      </w:r>
      <w:r w:rsidR="00647EC6">
        <w:t>be</w:t>
      </w:r>
      <w:r>
        <w:t xml:space="preserve"> attended with sufficient doubt to warrant it being reconsidered and that substantial injustice will result should leave be refused supposing the decision at first instance is wrong</w:t>
      </w:r>
      <w:r w:rsidR="004B6A1D">
        <w:t xml:space="preserve">.  As we have said, we have reached the conclusion that the primary judge erred and the first requirement does not call for separate consideration.  </w:t>
      </w:r>
    </w:p>
    <w:p w:rsidR="00AD664A" w:rsidRDefault="000F1626" w:rsidP="00CD1409">
      <w:pPr>
        <w:pStyle w:val="ParaNumbering"/>
      </w:pPr>
      <w:r>
        <w:lastRenderedPageBreak/>
        <w:t>With respect</w:t>
      </w:r>
      <w:r w:rsidR="00AD664A">
        <w:t xml:space="preserve"> to the second requirement, the Deputy Commissioner raised separate arguments in relation to the freezing order and the asset disclosure order.  We deal with the asset disclosure order below</w:t>
      </w:r>
      <w:r w:rsidR="004933CF">
        <w:t xml:space="preserve"> (at [</w:t>
      </w:r>
      <w:r w:rsidR="004933CF">
        <w:fldChar w:fldCharType="begin" w:fldLock="1"/>
      </w:r>
      <w:r w:rsidR="004933CF">
        <w:instrText xml:space="preserve"> REF _Ref48545642 \r \h </w:instrText>
      </w:r>
      <w:r w:rsidR="004933CF">
        <w:fldChar w:fldCharType="separate"/>
      </w:r>
      <w:r w:rsidR="001D1DA2">
        <w:t>64</w:t>
      </w:r>
      <w:r w:rsidR="004933CF">
        <w:fldChar w:fldCharType="end"/>
      </w:r>
      <w:r w:rsidR="004933CF">
        <w:t>]–[</w:t>
      </w:r>
      <w:r w:rsidR="004933CF">
        <w:fldChar w:fldCharType="begin" w:fldLock="1"/>
      </w:r>
      <w:r w:rsidR="004933CF">
        <w:instrText xml:space="preserve"> REF _Ref48545664 \r \h </w:instrText>
      </w:r>
      <w:r w:rsidR="004933CF">
        <w:fldChar w:fldCharType="separate"/>
      </w:r>
      <w:r w:rsidR="001D1DA2">
        <w:t>66</w:t>
      </w:r>
      <w:r w:rsidR="004933CF">
        <w:fldChar w:fldCharType="end"/>
      </w:r>
      <w:r w:rsidR="004933CF">
        <w:t>])</w:t>
      </w:r>
      <w:r w:rsidR="00AD664A">
        <w:t>.</w:t>
      </w:r>
    </w:p>
    <w:p w:rsidR="00AD664A" w:rsidRDefault="000F1626" w:rsidP="00CD1409">
      <w:pPr>
        <w:pStyle w:val="ParaNumbering"/>
      </w:pPr>
      <w:r>
        <w:t>With respect</w:t>
      </w:r>
      <w:r w:rsidR="00AD664A">
        <w:t xml:space="preserve"> to the freezing order, the Deputy Commissioner submits that Mr Huang will not suffer substantial injustice by reason of the freezing order applying to his overseas assets supposing</w:t>
      </w:r>
      <w:r>
        <w:t xml:space="preserve"> the order was wrongly made and, in that regard, </w:t>
      </w:r>
      <w:r w:rsidR="00AD664A">
        <w:t>she relies on the following circumstances:</w:t>
      </w:r>
    </w:p>
    <w:p w:rsidR="00AD664A" w:rsidRDefault="00AD664A" w:rsidP="00AD664A">
      <w:pPr>
        <w:pStyle w:val="ListNo1"/>
      </w:pPr>
      <w:r>
        <w:t xml:space="preserve">Mr Huang has </w:t>
      </w:r>
      <w:r w:rsidR="000F1626">
        <w:t xml:space="preserve">not </w:t>
      </w:r>
      <w:r>
        <w:t xml:space="preserve">put forward </w:t>
      </w:r>
      <w:r w:rsidR="000F1626">
        <w:t>a</w:t>
      </w:r>
      <w:r>
        <w:t>n</w:t>
      </w:r>
      <w:r w:rsidR="000F1626">
        <w:t>y</w:t>
      </w:r>
      <w:r>
        <w:t xml:space="preserve"> evidence of prejudice or injustice </w:t>
      </w:r>
      <w:r w:rsidR="000F1626">
        <w:t xml:space="preserve">if the orders stand </w:t>
      </w:r>
      <w:r>
        <w:t>and he has not, for example, identified any proposed transaction which cannot proceed;</w:t>
      </w:r>
    </w:p>
    <w:p w:rsidR="00AD664A" w:rsidRDefault="00AD664A" w:rsidP="00AD664A">
      <w:pPr>
        <w:pStyle w:val="ListNo1"/>
      </w:pPr>
      <w:r>
        <w:t>under the primary judge’s order, he can apply at any time for a variation of the order;</w:t>
      </w:r>
    </w:p>
    <w:p w:rsidR="00AD664A" w:rsidRDefault="00AD664A" w:rsidP="00AD664A">
      <w:pPr>
        <w:pStyle w:val="ListNo1"/>
      </w:pPr>
      <w:r>
        <w:t>the primary judge’s order contains the usual exception of dealing with or disposing of assets in the ordinary and proper course of business (paragraph 10(c)</w:t>
      </w:r>
      <w:r w:rsidR="00075596">
        <w:t>)</w:t>
      </w:r>
      <w:r>
        <w:t xml:space="preserve"> and meeting any contractual obligations incurred in good faith before the order was made (paragraph 10(d)); </w:t>
      </w:r>
    </w:p>
    <w:p w:rsidR="00AD664A" w:rsidRDefault="00AD664A" w:rsidP="00AD664A">
      <w:pPr>
        <w:pStyle w:val="ListNo1"/>
      </w:pPr>
      <w:r>
        <w:t>with respect to Mr Huang’s assets outside Australia, the primary judge’s order contains the following provisions with respect to persons outside Australia and assets outside Australia:</w:t>
      </w:r>
    </w:p>
    <w:p w:rsidR="00A0671D" w:rsidRDefault="00A0671D" w:rsidP="00A0671D">
      <w:pPr>
        <w:pStyle w:val="Quote2"/>
      </w:pPr>
      <w:r>
        <w:t>16.</w:t>
      </w:r>
      <w:r>
        <w:tab/>
      </w:r>
      <w:r w:rsidRPr="00A0671D">
        <w:rPr>
          <w:b/>
        </w:rPr>
        <w:t>Persons outside Australia</w:t>
      </w:r>
      <w:r>
        <w:t xml:space="preserve"> </w:t>
      </w:r>
    </w:p>
    <w:p w:rsidR="00A0671D" w:rsidRDefault="00A0671D" w:rsidP="00A0671D">
      <w:pPr>
        <w:pStyle w:val="Quote3"/>
        <w:ind w:left="2880" w:hanging="720"/>
      </w:pPr>
      <w:r>
        <w:t>(a)</w:t>
      </w:r>
      <w:r>
        <w:tab/>
        <w:t>Except as provided in subparagraph (b) below, the terms of this order do not affect or concern anyone outside Australia.</w:t>
      </w:r>
    </w:p>
    <w:p w:rsidR="00A0671D" w:rsidRDefault="00A0671D" w:rsidP="00A0671D">
      <w:pPr>
        <w:pStyle w:val="Quote3"/>
        <w:ind w:left="2880" w:hanging="720"/>
      </w:pPr>
      <w:r>
        <w:t>(b)</w:t>
      </w:r>
      <w:r>
        <w:tab/>
        <w:t xml:space="preserve">The terms of this order will affect the following persons outside Australia: </w:t>
      </w:r>
    </w:p>
    <w:p w:rsidR="00A0671D" w:rsidRDefault="00A0671D" w:rsidP="00A0671D">
      <w:pPr>
        <w:pStyle w:val="Quote3"/>
        <w:ind w:left="3600" w:hanging="720"/>
      </w:pPr>
      <w:r>
        <w:t>(i)</w:t>
      </w:r>
      <w:r>
        <w:tab/>
        <w:t xml:space="preserve">you and your directors, officers, employees and agents (except banks and financial institutions); </w:t>
      </w:r>
    </w:p>
    <w:p w:rsidR="00A0671D" w:rsidRDefault="00A0671D" w:rsidP="00A0671D">
      <w:pPr>
        <w:pStyle w:val="Quote3"/>
        <w:ind w:left="3600" w:hanging="720"/>
      </w:pPr>
      <w:r>
        <w:t xml:space="preserve">(ii) </w:t>
      </w:r>
      <w:r>
        <w:tab/>
        <w:t xml:space="preserve">any person (including a bank or financial institution) who: </w:t>
      </w:r>
    </w:p>
    <w:p w:rsidR="00A0671D" w:rsidRDefault="00A0671D" w:rsidP="00A0671D">
      <w:pPr>
        <w:pStyle w:val="Quote3"/>
        <w:ind w:left="2880" w:firstLine="720"/>
      </w:pPr>
      <w:r>
        <w:t xml:space="preserve">(A) is subject to the jurisdiction of this Court; and </w:t>
      </w:r>
    </w:p>
    <w:p w:rsidR="00A0671D" w:rsidRDefault="00A0671D" w:rsidP="00A0671D">
      <w:pPr>
        <w:pStyle w:val="Quote3"/>
        <w:ind w:left="3600"/>
      </w:pPr>
      <w:r>
        <w:t xml:space="preserve">(B) has been given written notice of this order, or has actual knowledge of the substance of the order and of its requirements; and </w:t>
      </w:r>
    </w:p>
    <w:p w:rsidR="00A0671D" w:rsidRDefault="00A0671D" w:rsidP="00A0671D">
      <w:pPr>
        <w:pStyle w:val="Quote3"/>
        <w:ind w:left="3600"/>
      </w:pPr>
      <w:r>
        <w:t xml:space="preserve">(C) is able to prevent or impede acts or omissions outside Australia which constitute or assist in a disobedience of the terms of this order; and </w:t>
      </w:r>
    </w:p>
    <w:p w:rsidR="00A0671D" w:rsidRDefault="00A0671D" w:rsidP="00A0671D">
      <w:pPr>
        <w:pStyle w:val="Quote3"/>
        <w:ind w:left="3600" w:hanging="720"/>
      </w:pPr>
      <w:r>
        <w:t xml:space="preserve">(iii) </w:t>
      </w:r>
      <w:r>
        <w:tab/>
        <w:t xml:space="preserve">any other person (including a bank of financial institution), only to the extent that this order is declared enforceable by or is enforced by a court in a </w:t>
      </w:r>
      <w:r>
        <w:lastRenderedPageBreak/>
        <w:t xml:space="preserve">country or state that has jurisdiction over that person or over any of that person’s assets. </w:t>
      </w:r>
    </w:p>
    <w:p w:rsidR="00A0671D" w:rsidRDefault="00A0671D" w:rsidP="00A0671D">
      <w:pPr>
        <w:pStyle w:val="Quote2"/>
      </w:pPr>
      <w:r>
        <w:t>17.</w:t>
      </w:r>
      <w:r>
        <w:tab/>
      </w:r>
      <w:r w:rsidRPr="00A0671D">
        <w:rPr>
          <w:b/>
        </w:rPr>
        <w:t>Assets located outside Australia</w:t>
      </w:r>
      <w:r>
        <w:t xml:space="preserve"> </w:t>
      </w:r>
    </w:p>
    <w:p w:rsidR="00A0671D" w:rsidRDefault="00A0671D" w:rsidP="00A0671D">
      <w:pPr>
        <w:pStyle w:val="Quote3"/>
      </w:pPr>
      <w:r>
        <w:t>Nothing in this order shall, in respect of assets located outside Australia, prevent any third party from complying or acting in conformity with what it reasonably believes to be its bona fide and properly incurred legal obligations, whether contractual or pursuant to a court order or otherwise, under the law of the country or state in which those assets are situated or under the proper law of any contract between a third party and you, provided that in the case of any future order of a court of that country or state made on your or the third party’s application, reasonable written notice of the making of the application is given to the applicant.</w:t>
      </w:r>
    </w:p>
    <w:p w:rsidR="00AD664A" w:rsidRDefault="00AD664A" w:rsidP="00AD664A">
      <w:pPr>
        <w:pStyle w:val="ListNo1"/>
      </w:pPr>
      <w:r>
        <w:t xml:space="preserve">Mr Huang </w:t>
      </w:r>
      <w:r w:rsidR="000F1626">
        <w:t>is able to</w:t>
      </w:r>
      <w:r>
        <w:t xml:space="preserve"> overcome the restriction by paying the judgment debt into Court or into a joint bank account controlled by the respective solicitors </w:t>
      </w:r>
      <w:r w:rsidR="004933CF">
        <w:t xml:space="preserve">for the parties </w:t>
      </w:r>
      <w:r>
        <w:t xml:space="preserve">or </w:t>
      </w:r>
      <w:r w:rsidR="000F1626">
        <w:t>by providing</w:t>
      </w:r>
      <w:r>
        <w:t xml:space="preserve"> security acceptable to the Deputy Commissioner.  </w:t>
      </w:r>
      <w:r w:rsidR="000F1626">
        <w:t>Although it</w:t>
      </w:r>
      <w:r>
        <w:t xml:space="preserve"> is not possible on the evidence to put a precise figure on </w:t>
      </w:r>
      <w:r w:rsidR="000F1626">
        <w:t>Mr Huang’s</w:t>
      </w:r>
      <w:r>
        <w:t xml:space="preserve"> personal wealth, it is clear, we think, that he has substantial financial resources at his disposal.  </w:t>
      </w:r>
    </w:p>
    <w:p w:rsidR="00AD664A" w:rsidRDefault="00AD664A" w:rsidP="00AD664A">
      <w:pPr>
        <w:pStyle w:val="ParaNumbering"/>
      </w:pPr>
      <w:r>
        <w:t xml:space="preserve">In our opinion, </w:t>
      </w:r>
      <w:r w:rsidR="000F1626">
        <w:t xml:space="preserve">it may be inferred that Mr Huang will suffer </w:t>
      </w:r>
      <w:r>
        <w:t>substantial injustice i</w:t>
      </w:r>
      <w:r w:rsidR="003F483F">
        <w:t>n</w:t>
      </w:r>
      <w:r>
        <w:t xml:space="preserve"> not being able to deal with assets up to the value of approximately $140 million </w:t>
      </w:r>
      <w:r w:rsidR="000F1626">
        <w:t>should the orders which are challenged be wrong</w:t>
      </w:r>
      <w:r>
        <w:t xml:space="preserve">.  The exceptions and exclusions </w:t>
      </w:r>
      <w:r w:rsidR="000F1626">
        <w:t>in</w:t>
      </w:r>
      <w:r>
        <w:t xml:space="preserve"> the order </w:t>
      </w:r>
      <w:r w:rsidR="00D542E7">
        <w:t>d</w:t>
      </w:r>
      <w:r>
        <w:t>o no</w:t>
      </w:r>
      <w:r w:rsidR="00D542E7">
        <w:t>t</w:t>
      </w:r>
      <w:r>
        <w:t xml:space="preserve"> alleviate the substantial injustice.  We do not consider the possibility of payment to be sufficient to alleviate the substantial injustice because to be d</w:t>
      </w:r>
      <w:r w:rsidR="00B82CBD">
        <w:t>eprived of that amount for what</w:t>
      </w:r>
      <w:r>
        <w:t xml:space="preserve"> we consider</w:t>
      </w:r>
      <w:r w:rsidR="00B82CBD">
        <w:t xml:space="preserve"> would not be</w:t>
      </w:r>
      <w:r>
        <w:t xml:space="preserve"> a short period of time</w:t>
      </w:r>
      <w:r w:rsidR="00B84788">
        <w:t>,</w:t>
      </w:r>
      <w:r>
        <w:t xml:space="preserve"> having regard to the objection and appeal process</w:t>
      </w:r>
      <w:r w:rsidR="00B82CBD">
        <w:t>es</w:t>
      </w:r>
      <w:r>
        <w:t xml:space="preserve"> under Part IV</w:t>
      </w:r>
      <w:r w:rsidR="00075596">
        <w:t>C</w:t>
      </w:r>
      <w:r>
        <w:t xml:space="preserve"> of the </w:t>
      </w:r>
      <w:r>
        <w:rPr>
          <w:i/>
        </w:rPr>
        <w:t xml:space="preserve">Taxation Administration Act 1953 </w:t>
      </w:r>
      <w:r>
        <w:t>(</w:t>
      </w:r>
      <w:proofErr w:type="spellStart"/>
      <w:r>
        <w:t>Cth</w:t>
      </w:r>
      <w:proofErr w:type="spellEnd"/>
      <w:r>
        <w:t>)</w:t>
      </w:r>
      <w:r w:rsidR="00B84788">
        <w:t>,</w:t>
      </w:r>
      <w:r w:rsidR="00B82CBD">
        <w:t xml:space="preserve"> is substantial injustice should the orders have been made in error</w:t>
      </w:r>
      <w:r>
        <w:t>.</w:t>
      </w:r>
    </w:p>
    <w:p w:rsidR="00EC55F4" w:rsidRDefault="00EC55F4" w:rsidP="00EC55F4">
      <w:pPr>
        <w:pStyle w:val="Heading1"/>
      </w:pPr>
      <w:r>
        <w:t>The Primary Judge’s Reasons</w:t>
      </w:r>
    </w:p>
    <w:p w:rsidR="00EC55F4" w:rsidRDefault="00EC55F4" w:rsidP="00EC55F4">
      <w:pPr>
        <w:pStyle w:val="ParaNumbering"/>
      </w:pPr>
      <w:r>
        <w:t xml:space="preserve">The primary judge </w:t>
      </w:r>
      <w:r w:rsidR="00F26346">
        <w:t xml:space="preserve">described the issue before her as </w:t>
      </w:r>
      <w:r w:rsidR="004B6A1D">
        <w:t xml:space="preserve">being </w:t>
      </w:r>
      <w:r>
        <w:t xml:space="preserve">whether the freezing orders </w:t>
      </w:r>
      <w:r w:rsidR="00A96CF9">
        <w:t xml:space="preserve">made </w:t>
      </w:r>
      <w:r w:rsidR="00F26346">
        <w:t>on 16 </w:t>
      </w:r>
      <w:r>
        <w:t xml:space="preserve">and 20 September 2019 should be continued against </w:t>
      </w:r>
      <w:r w:rsidR="00F26346">
        <w:t>Mr Huang</w:t>
      </w:r>
      <w:r>
        <w:t xml:space="preserve"> in respect of his assets outside Australia, in particular in </w:t>
      </w:r>
      <w:r w:rsidR="00E91894">
        <w:t xml:space="preserve">the PRC and </w:t>
      </w:r>
      <w:r>
        <w:t>Hong Kong.</w:t>
      </w:r>
    </w:p>
    <w:p w:rsidR="004F794C" w:rsidRDefault="004F794C" w:rsidP="00EC55F4">
      <w:pPr>
        <w:pStyle w:val="ParaNumbering"/>
      </w:pPr>
      <w:r>
        <w:t xml:space="preserve">The primary judge referred to r 7.32 of the </w:t>
      </w:r>
      <w:r>
        <w:rPr>
          <w:i/>
        </w:rPr>
        <w:t xml:space="preserve">Federal Court Rules 2011 </w:t>
      </w:r>
      <w:r>
        <w:t>(Cth) (the Rules).  That rule is in the following terms:</w:t>
      </w:r>
    </w:p>
    <w:p w:rsidR="004F794C" w:rsidRDefault="004F794C" w:rsidP="004F794C">
      <w:pPr>
        <w:pStyle w:val="Quote1"/>
        <w:ind w:left="1440" w:hanging="703"/>
      </w:pPr>
      <w:r>
        <w:t>(1)</w:t>
      </w:r>
      <w:r>
        <w:tab/>
        <w:t xml:space="preserve">The Court may make an order (a </w:t>
      </w:r>
      <w:r w:rsidRPr="009836F3">
        <w:rPr>
          <w:b/>
          <w:i/>
        </w:rPr>
        <w:t>freezing order</w:t>
      </w:r>
      <w:r>
        <w:t xml:space="preserve">), with or without notice to a respondent, for the purpose of preventing the frustration or inhibition of the Court’s process by seeking to meet a danger that a judgment or prospective judgment of the Court will be wholly or partly unsatisfied. </w:t>
      </w:r>
    </w:p>
    <w:p w:rsidR="004F794C" w:rsidRDefault="004F794C" w:rsidP="004F794C">
      <w:pPr>
        <w:pStyle w:val="Quote1"/>
        <w:ind w:left="1440" w:hanging="703"/>
      </w:pPr>
      <w:r>
        <w:lastRenderedPageBreak/>
        <w:t>(2)</w:t>
      </w:r>
      <w:r>
        <w:tab/>
        <w:t>A freezing order may be an order restraining a respondent from removing any assets located in or outside Australia or from disposing of, dealing with, or diminishing the value of, those assets.</w:t>
      </w:r>
    </w:p>
    <w:p w:rsidR="004F794C" w:rsidRDefault="004F794C" w:rsidP="004F794C">
      <w:pPr>
        <w:pStyle w:val="ParaNumbering"/>
      </w:pPr>
      <w:r>
        <w:t xml:space="preserve">Her Honour noted that the purpose of a freezing order is to prevent the frustration or inhibition of the Court’s process by seeking to meet a danger that a judgment of the Court may be wholly or partly unsatisfied.  Her Honour noted that in </w:t>
      </w:r>
      <w:r w:rsidRPr="004F794C">
        <w:rPr>
          <w:i/>
        </w:rPr>
        <w:t>Cardile</w:t>
      </w:r>
      <w:r w:rsidRPr="004054B1">
        <w:rPr>
          <w:i/>
        </w:rPr>
        <w:t xml:space="preserve"> v LED Builders Pty Limited</w:t>
      </w:r>
      <w:r>
        <w:t xml:space="preserve"> [1999] HCA 18; (1999) 198 CLR 380 </w:t>
      </w:r>
      <w:r w:rsidR="00A96CF9">
        <w:t>(</w:t>
      </w:r>
      <w:r w:rsidR="00A96CF9" w:rsidRPr="00A96CF9">
        <w:rPr>
          <w:i/>
        </w:rPr>
        <w:t>Cardile</w:t>
      </w:r>
      <w:r w:rsidR="00A96CF9">
        <w:t xml:space="preserve">) </w:t>
      </w:r>
      <w:r w:rsidRPr="00A96CF9">
        <w:t>at</w:t>
      </w:r>
      <w:r>
        <w:t xml:space="preserve"> [25] </w:t>
      </w:r>
      <w:r w:rsidR="005C6BF0">
        <w:t xml:space="preserve">in the joint reasons of </w:t>
      </w:r>
      <w:r>
        <w:t>Gaudr</w:t>
      </w:r>
      <w:r w:rsidR="00F26346">
        <w:t>on, McHugh, Gummow and Callinan </w:t>
      </w:r>
      <w:r>
        <w:t>JJ</w:t>
      </w:r>
      <w:r w:rsidR="005C6BF0">
        <w:t>, their Honours</w:t>
      </w:r>
      <w:r>
        <w:t xml:space="preserve"> said that the integrity of the Court’s processes extends to the preservation of “the efficacy of the execution which would lie against the actual or prospective judgment debtor”.  </w:t>
      </w:r>
    </w:p>
    <w:p w:rsidR="005C6BF0" w:rsidRDefault="005C6BF0" w:rsidP="004F794C">
      <w:pPr>
        <w:pStyle w:val="ParaNumbering"/>
      </w:pPr>
      <w:r>
        <w:t>The primary judge then turned to summarise the respective submissions of the parties, beginning with those of Mr Huang.</w:t>
      </w:r>
    </w:p>
    <w:p w:rsidR="004F794C" w:rsidRDefault="004F794C" w:rsidP="004F794C">
      <w:pPr>
        <w:pStyle w:val="ParaNumbering"/>
      </w:pPr>
      <w:r>
        <w:t xml:space="preserve">The primary judge noted </w:t>
      </w:r>
      <w:r w:rsidR="004B6A1D">
        <w:t>Mr Hua</w:t>
      </w:r>
      <w:r w:rsidR="00242549">
        <w:t>n</w:t>
      </w:r>
      <w:r w:rsidR="004B6A1D">
        <w:t xml:space="preserve">g’s submission </w:t>
      </w:r>
      <w:r>
        <w:t xml:space="preserve">that there is no process available for the enforcement of any judgment in the Deputy Commissioner’s favour in the PRC </w:t>
      </w:r>
      <w:r w:rsidR="00F26346">
        <w:t xml:space="preserve">or Hong Kong </w:t>
      </w:r>
      <w:r>
        <w:t xml:space="preserve">where </w:t>
      </w:r>
      <w:r w:rsidR="00F26346">
        <w:t>Mr Huang</w:t>
      </w:r>
      <w:r>
        <w:t xml:space="preserve"> holds significant assets.  </w:t>
      </w:r>
      <w:r w:rsidR="00F26346">
        <w:t>Mr Huang’s</w:t>
      </w:r>
      <w:r>
        <w:t xml:space="preserve"> submission to the primary judge was that to the extent the freezing orders operate upon those assets, the orders do not serve the purpose of protecting or preventing the frustration of this Court’s enforcement processes as those assets are not liable to execution in any event.  </w:t>
      </w:r>
    </w:p>
    <w:p w:rsidR="004F794C" w:rsidRDefault="00126149" w:rsidP="004F794C">
      <w:pPr>
        <w:pStyle w:val="ParaNumbering"/>
      </w:pPr>
      <w:r>
        <w:t xml:space="preserve">The primary judge noted that the evidence before her included an affidavit of Mr Yi Deng which had been filed by the Deputy Commissioner.  In September 2019, Mr Deng </w:t>
      </w:r>
      <w:r w:rsidR="00A96CF9">
        <w:t>w</w:t>
      </w:r>
      <w:r>
        <w:t xml:space="preserve">as an Australian public servant employed by the Debt Section of the ATO as </w:t>
      </w:r>
      <w:r w:rsidR="005022E7">
        <w:t>a S</w:t>
      </w:r>
      <w:r>
        <w:t xml:space="preserve">enior </w:t>
      </w:r>
      <w:r w:rsidR="005022E7">
        <w:t>T</w:t>
      </w:r>
      <w:r>
        <w:t xml:space="preserve">echnical </w:t>
      </w:r>
      <w:r w:rsidR="005022E7">
        <w:t>L</w:t>
      </w:r>
      <w:r>
        <w:t xml:space="preserve">eader of </w:t>
      </w:r>
      <w:r w:rsidR="005022E7">
        <w:t>S</w:t>
      </w:r>
      <w:r>
        <w:t xml:space="preserve">ignificant </w:t>
      </w:r>
      <w:r w:rsidR="005022E7">
        <w:t>D</w:t>
      </w:r>
      <w:r>
        <w:t xml:space="preserve">ebt </w:t>
      </w:r>
      <w:r w:rsidR="005022E7">
        <w:t>M</w:t>
      </w:r>
      <w:r>
        <w:t>anagement.  He was authorised to swear his affidavit on behalf of the Deputy Commissioner.  He ha</w:t>
      </w:r>
      <w:r w:rsidR="00F26346">
        <w:t>d</w:t>
      </w:r>
      <w:r>
        <w:t xml:space="preserve"> been employed in the ATO</w:t>
      </w:r>
      <w:r w:rsidR="005022E7">
        <w:t xml:space="preserve"> since 2012 and ha</w:t>
      </w:r>
      <w:r w:rsidR="00F26346">
        <w:t>d</w:t>
      </w:r>
      <w:r w:rsidR="005022E7">
        <w:t xml:space="preserve"> acted as Senior Technical Leader of Significant Debt Management since 2017.  In that role, he was responsible for the conduct of the more complex tax debt recov</w:t>
      </w:r>
      <w:r w:rsidR="00242549">
        <w:t>ery and insolvency matters.  Mr </w:t>
      </w:r>
      <w:r w:rsidR="005022E7">
        <w:t>Deng gave evidence in his affidavit that because the PRC and Hong Kong had made reservations in relation to the “Convention on Mutual Administrative Assistance in Tax Matters”, he was of the belief “that a prospective judgment obtained</w:t>
      </w:r>
      <w:r w:rsidR="00F26346">
        <w:t xml:space="preserve"> against the first respondent [Mr Huang</w:t>
      </w:r>
      <w:r w:rsidR="005022E7">
        <w:t>] is not likely to be enforce</w:t>
      </w:r>
      <w:r w:rsidR="00A96CF9">
        <w:t>d</w:t>
      </w:r>
      <w:r w:rsidR="005022E7">
        <w:t xml:space="preserve"> in either the People’s Republic of China or Hong Kong”.  </w:t>
      </w:r>
      <w:r w:rsidR="004B6A1D">
        <w:t>The reservation was to the effect that the party to the Convention should not procure assistance in the recovery of tax claims, or in conservancy measures for all taxes.</w:t>
      </w:r>
    </w:p>
    <w:p w:rsidR="005022E7" w:rsidRDefault="005022E7" w:rsidP="004F794C">
      <w:pPr>
        <w:pStyle w:val="ParaNumbering"/>
      </w:pPr>
      <w:r>
        <w:t xml:space="preserve">The primary judge noted that </w:t>
      </w:r>
      <w:r w:rsidR="00F26346">
        <w:t>Mr Huang</w:t>
      </w:r>
      <w:r>
        <w:t xml:space="preserve"> relied on the statement in </w:t>
      </w:r>
      <w:proofErr w:type="spellStart"/>
      <w:r w:rsidRPr="005022E7">
        <w:rPr>
          <w:i/>
        </w:rPr>
        <w:t>Damberg</w:t>
      </w:r>
      <w:proofErr w:type="spellEnd"/>
      <w:r w:rsidRPr="005022E7">
        <w:rPr>
          <w:i/>
        </w:rPr>
        <w:t xml:space="preserve"> v </w:t>
      </w:r>
      <w:proofErr w:type="spellStart"/>
      <w:r w:rsidRPr="005022E7">
        <w:rPr>
          <w:i/>
        </w:rPr>
        <w:t>Damberg</w:t>
      </w:r>
      <w:proofErr w:type="spellEnd"/>
      <w:r>
        <w:t xml:space="preserve"> </w:t>
      </w:r>
      <w:r w:rsidR="00F65501">
        <w:t>[2001] NSW</w:t>
      </w:r>
      <w:r w:rsidR="001A2EB2">
        <w:t>C</w:t>
      </w:r>
      <w:r w:rsidR="00F65501">
        <w:t xml:space="preserve">A 87; </w:t>
      </w:r>
      <w:r>
        <w:t xml:space="preserve">(2001) 52 NSWLR 492 </w:t>
      </w:r>
      <w:r w:rsidR="00DB3398">
        <w:t>(</w:t>
      </w:r>
      <w:r w:rsidR="00DB3398" w:rsidRPr="00DB3398">
        <w:rPr>
          <w:i/>
        </w:rPr>
        <w:t>Damberg</w:t>
      </w:r>
      <w:r w:rsidR="00B74449">
        <w:rPr>
          <w:i/>
        </w:rPr>
        <w:t xml:space="preserve"> v Damberg</w:t>
      </w:r>
      <w:r w:rsidR="00DB3398">
        <w:t xml:space="preserve">) </w:t>
      </w:r>
      <w:r w:rsidRPr="00DB3398">
        <w:t>at</w:t>
      </w:r>
      <w:r>
        <w:t xml:space="preserve"> [119] that “</w:t>
      </w:r>
      <w:r w:rsidRPr="00927B74">
        <w:t xml:space="preserve">where foreign law </w:t>
      </w:r>
      <w:r w:rsidRPr="00927B74">
        <w:lastRenderedPageBreak/>
        <w:t>is not proved it will be presumed t</w:t>
      </w:r>
      <w:r>
        <w:t>o be</w:t>
      </w:r>
      <w:r w:rsidRPr="00927B74">
        <w:t xml:space="preserve"> the same as the </w:t>
      </w:r>
      <w:r w:rsidRPr="00927B74">
        <w:rPr>
          <w:i/>
        </w:rPr>
        <w:t>lex fori</w:t>
      </w:r>
      <w:r>
        <w:t xml:space="preserve">”.  Her Honour noted </w:t>
      </w:r>
      <w:r w:rsidR="00F26346">
        <w:t>Mr Huang’s</w:t>
      </w:r>
      <w:r>
        <w:t xml:space="preserve"> submission</w:t>
      </w:r>
      <w:r w:rsidR="00DB3398">
        <w:t xml:space="preserve"> that</w:t>
      </w:r>
      <w:r w:rsidR="00B84788">
        <w:t>,</w:t>
      </w:r>
      <w:r w:rsidR="00DB3398">
        <w:t xml:space="preserve"> </w:t>
      </w:r>
      <w:r w:rsidR="00B82CBD">
        <w:t>with respect</w:t>
      </w:r>
      <w:r w:rsidR="00DB3398">
        <w:t xml:space="preserve"> to the </w:t>
      </w:r>
      <w:proofErr w:type="spellStart"/>
      <w:r w:rsidR="00DB3398" w:rsidRPr="003B4F86">
        <w:rPr>
          <w:i/>
        </w:rPr>
        <w:t>lex</w:t>
      </w:r>
      <w:proofErr w:type="spellEnd"/>
      <w:r w:rsidR="00DB3398" w:rsidRPr="003B4F86">
        <w:rPr>
          <w:i/>
        </w:rPr>
        <w:t xml:space="preserve"> </w:t>
      </w:r>
      <w:proofErr w:type="spellStart"/>
      <w:r w:rsidR="00DB3398" w:rsidRPr="003B4F86">
        <w:rPr>
          <w:i/>
        </w:rPr>
        <w:t>fori</w:t>
      </w:r>
      <w:proofErr w:type="spellEnd"/>
      <w:r w:rsidR="00DB3398">
        <w:t xml:space="preserve">, Australian courts will not, directly or indirectly, enforce the revenue laws of another country.  In that connection, her Honour referred to the decision of Lockhart J in </w:t>
      </w:r>
      <w:r w:rsidR="00DB3398" w:rsidRPr="00BD4A73">
        <w:rPr>
          <w:i/>
        </w:rPr>
        <w:t xml:space="preserve">Re Ayres; </w:t>
      </w:r>
      <w:r w:rsidR="00C34E98">
        <w:rPr>
          <w:i/>
        </w:rPr>
        <w:t>E</w:t>
      </w:r>
      <w:r w:rsidR="00DB3398" w:rsidRPr="00BD4A73">
        <w:rPr>
          <w:i/>
        </w:rPr>
        <w:t>x</w:t>
      </w:r>
      <w:r w:rsidR="00DB3398">
        <w:rPr>
          <w:i/>
        </w:rPr>
        <w:t> </w:t>
      </w:r>
      <w:r w:rsidR="00DB3398" w:rsidRPr="00BD4A73">
        <w:rPr>
          <w:i/>
        </w:rPr>
        <w:t>parte Evans</w:t>
      </w:r>
      <w:r w:rsidR="00DB3398">
        <w:t xml:space="preserve"> (1981) 51 FLR 395</w:t>
      </w:r>
      <w:r w:rsidR="00C34E98">
        <w:t xml:space="preserve"> (</w:t>
      </w:r>
      <w:r w:rsidR="00C34E98">
        <w:rPr>
          <w:i/>
        </w:rPr>
        <w:t>Re Ayres</w:t>
      </w:r>
      <w:r w:rsidR="00C34E98">
        <w:t>)</w:t>
      </w:r>
      <w:r w:rsidR="00DB3398">
        <w:t>.</w:t>
      </w:r>
    </w:p>
    <w:p w:rsidR="00DB3398" w:rsidRDefault="00DB3398" w:rsidP="004F794C">
      <w:pPr>
        <w:pStyle w:val="ParaNumbering"/>
      </w:pPr>
      <w:bookmarkStart w:id="22" w:name="_Ref46330322"/>
      <w:r>
        <w:t xml:space="preserve">The primary judge noted that </w:t>
      </w:r>
      <w:r w:rsidR="00F26346">
        <w:t>Mr Huang</w:t>
      </w:r>
      <w:r>
        <w:t xml:space="preserve"> had tendered two decisions of </w:t>
      </w:r>
      <w:r w:rsidR="005C6BF0">
        <w:t>the courts of Hong Kong</w:t>
      </w:r>
      <w:r>
        <w:t xml:space="preserve">, </w:t>
      </w:r>
      <w:r w:rsidR="00B82CBD">
        <w:t xml:space="preserve">namely, </w:t>
      </w:r>
      <w:proofErr w:type="spellStart"/>
      <w:r w:rsidRPr="00BD4A73">
        <w:rPr>
          <w:i/>
        </w:rPr>
        <w:t>Nanus</w:t>
      </w:r>
      <w:proofErr w:type="spellEnd"/>
      <w:r w:rsidRPr="00BD4A73">
        <w:rPr>
          <w:i/>
        </w:rPr>
        <w:t xml:space="preserve"> Asia Co </w:t>
      </w:r>
      <w:proofErr w:type="spellStart"/>
      <w:r w:rsidRPr="00BD4A73">
        <w:rPr>
          <w:i/>
        </w:rPr>
        <w:t>Inc</w:t>
      </w:r>
      <w:proofErr w:type="spellEnd"/>
      <w:r w:rsidRPr="00BD4A73">
        <w:rPr>
          <w:i/>
        </w:rPr>
        <w:t xml:space="preserve"> v Standard Chartered Bank</w:t>
      </w:r>
      <w:r>
        <w:t xml:space="preserve"> [1990] 1 HKLR 396 and </w:t>
      </w:r>
      <w:r w:rsidRPr="00BD4A73">
        <w:rPr>
          <w:i/>
        </w:rPr>
        <w:t>Cido Car Carrier Service Ltd v Woori Bank (Hong Kong branch)</w:t>
      </w:r>
      <w:r>
        <w:t xml:space="preserve"> [2011] HKEC 817 and that, in both </w:t>
      </w:r>
      <w:r w:rsidR="00B82CBD">
        <w:t>decisions</w:t>
      </w:r>
      <w:r>
        <w:t>, the applicable principle which was identified is that the courts of Hong Kong will not enforce, directly or indirectly, a penal, revenue or</w:t>
      </w:r>
      <w:r w:rsidR="006C68F0">
        <w:t xml:space="preserve"> other public law of a foreign S</w:t>
      </w:r>
      <w:r>
        <w:t xml:space="preserve">tate.  Her Honour noted that </w:t>
      </w:r>
      <w:r w:rsidR="00F26346">
        <w:t>Mr Huang</w:t>
      </w:r>
      <w:r>
        <w:t xml:space="preserve"> submitted that there was no evidence that the position was any different in China and, consistently with </w:t>
      </w:r>
      <w:r>
        <w:rPr>
          <w:i/>
        </w:rPr>
        <w:t>Damberg</w:t>
      </w:r>
      <w:r w:rsidR="00B74449">
        <w:rPr>
          <w:i/>
        </w:rPr>
        <w:t xml:space="preserve"> v Damberg</w:t>
      </w:r>
      <w:r>
        <w:t xml:space="preserve">, it should be presumed to be the same.  </w:t>
      </w:r>
      <w:r w:rsidR="00F26346">
        <w:t>Mr Huang</w:t>
      </w:r>
      <w:r>
        <w:t>’s submission was that there was no basis in the evidence for concluding that a judgment for a tax debt of h</w:t>
      </w:r>
      <w:r w:rsidR="00F26346">
        <w:t>is</w:t>
      </w:r>
      <w:r w:rsidR="00114D7B">
        <w:t xml:space="preserve"> </w:t>
      </w:r>
      <w:r>
        <w:t xml:space="preserve">would be enforceable in </w:t>
      </w:r>
      <w:r w:rsidR="00E91894">
        <w:t xml:space="preserve">China or </w:t>
      </w:r>
      <w:r>
        <w:t>Hong Kong and that as a result, the Deputy Commissioner could not identify any foundation for a serious question to arise in respect of the potential frustration of the Court’s processes for enforcement; such enforcement was an impossibility on the evidence.</w:t>
      </w:r>
      <w:bookmarkEnd w:id="22"/>
    </w:p>
    <w:p w:rsidR="00114D7B" w:rsidRDefault="00114D7B" w:rsidP="004F794C">
      <w:pPr>
        <w:pStyle w:val="ParaNumbering"/>
      </w:pPr>
      <w:r>
        <w:t xml:space="preserve">The primary judge also noted that, in terms of any reliance by the Deputy Commissioner on a capacity to bankrupt </w:t>
      </w:r>
      <w:r w:rsidR="00F26346">
        <w:t>Mr Huang</w:t>
      </w:r>
      <w:r>
        <w:t xml:space="preserve">, </w:t>
      </w:r>
      <w:r w:rsidR="00F26346">
        <w:t xml:space="preserve">it was the latter’s submission that </w:t>
      </w:r>
      <w:r>
        <w:t xml:space="preserve">there was no evidence capable of satisfying s 43(1)(b) of the </w:t>
      </w:r>
      <w:r>
        <w:rPr>
          <w:i/>
        </w:rPr>
        <w:t xml:space="preserve">Bankruptcy Act 1966 </w:t>
      </w:r>
      <w:r>
        <w:t>(Cth) and, in fact, all the evidence was to the contrary.  Section 43(1) of the Bankruptcy Act is in the following terms:</w:t>
      </w:r>
    </w:p>
    <w:p w:rsidR="001C7B09" w:rsidRDefault="001C7B09" w:rsidP="001C7B09">
      <w:pPr>
        <w:pStyle w:val="Quote1"/>
      </w:pPr>
      <w:r>
        <w:t>(1)</w:t>
      </w:r>
      <w:r>
        <w:tab/>
        <w:t>Subject to this Act, where:</w:t>
      </w:r>
    </w:p>
    <w:p w:rsidR="001C7B09" w:rsidRDefault="001C7B09" w:rsidP="001C7B09">
      <w:pPr>
        <w:pStyle w:val="Quote2"/>
      </w:pPr>
      <w:r>
        <w:t>(a)</w:t>
      </w:r>
      <w:r>
        <w:tab/>
        <w:t>a debtor has committed an act of bankruptcy; and</w:t>
      </w:r>
    </w:p>
    <w:p w:rsidR="001C7B09" w:rsidRDefault="001C7B09" w:rsidP="001C7B09">
      <w:pPr>
        <w:pStyle w:val="Quote2"/>
      </w:pPr>
      <w:r>
        <w:t>(b)</w:t>
      </w:r>
      <w:r>
        <w:tab/>
        <w:t>at the time when the act of bankruptcy was committed, the debtor:</w:t>
      </w:r>
    </w:p>
    <w:p w:rsidR="001C7B09" w:rsidRDefault="001C7B09" w:rsidP="001C7B09">
      <w:pPr>
        <w:pStyle w:val="Quote3"/>
      </w:pPr>
      <w:r>
        <w:t>(i)</w:t>
      </w:r>
      <w:r>
        <w:tab/>
        <w:t>was personally present or ordinarily resident in Australia;</w:t>
      </w:r>
    </w:p>
    <w:p w:rsidR="001C7B09" w:rsidRDefault="001C7B09" w:rsidP="001C7B09">
      <w:pPr>
        <w:pStyle w:val="Quote3"/>
      </w:pPr>
      <w:r>
        <w:t>(ii)</w:t>
      </w:r>
      <w:r>
        <w:tab/>
        <w:t>had a dwelling house or place of business in Australia;</w:t>
      </w:r>
    </w:p>
    <w:p w:rsidR="001C7B09" w:rsidRDefault="001C7B09" w:rsidP="001C7B09">
      <w:pPr>
        <w:pStyle w:val="Quote3"/>
        <w:ind w:left="2880" w:hanging="720"/>
      </w:pPr>
      <w:r>
        <w:t>(iii)</w:t>
      </w:r>
      <w:r>
        <w:tab/>
        <w:t>was carrying on business in Australia, either personally or by means of an agent or manager; or</w:t>
      </w:r>
    </w:p>
    <w:p w:rsidR="001C7B09" w:rsidRDefault="001C7B09" w:rsidP="001C7B09">
      <w:pPr>
        <w:pStyle w:val="Quote3"/>
        <w:ind w:left="2880" w:hanging="720"/>
      </w:pPr>
      <w:r>
        <w:t>(iv)</w:t>
      </w:r>
      <w:r>
        <w:tab/>
        <w:t>was a member of a firm or partnership carrying on business in Australia by means of a partner or partners or of an agent or manager;</w:t>
      </w:r>
    </w:p>
    <w:p w:rsidR="001C7B09" w:rsidRDefault="001C7B09" w:rsidP="001C7B09">
      <w:pPr>
        <w:pStyle w:val="Quote2"/>
      </w:pPr>
      <w:r>
        <w:t>the Court may, on a petition presented by a creditor, make a sequestration order against the estate of the debtor.</w:t>
      </w:r>
    </w:p>
    <w:p w:rsidR="00114D7B" w:rsidRDefault="00F26346" w:rsidP="00114D7B">
      <w:pPr>
        <w:pStyle w:val="ParaNumbering"/>
      </w:pPr>
      <w:r>
        <w:lastRenderedPageBreak/>
        <w:t>Her Honour noted Mr Huang’s</w:t>
      </w:r>
      <w:r w:rsidR="00114D7B">
        <w:t xml:space="preserve"> submission that even if the Deputy Commissioner obtained a sequestration order against him, the evidence was to the effect that the Deputy Commissioner is the sole creditor and the relevant principle is that the revenue laws will not be enforced </w:t>
      </w:r>
      <w:r w:rsidR="00B82CBD">
        <w:t xml:space="preserve">either </w:t>
      </w:r>
      <w:r w:rsidR="00114D7B">
        <w:t xml:space="preserve">directly or indirectly.  Her Honour noted the submission that given that any judgment debt would not be enforceable against the assets of </w:t>
      </w:r>
      <w:r>
        <w:t>Mr Huang</w:t>
      </w:r>
      <w:r w:rsidR="00114D7B">
        <w:t xml:space="preserve"> in </w:t>
      </w:r>
      <w:r w:rsidR="00E209BB">
        <w:t xml:space="preserve">China or </w:t>
      </w:r>
      <w:r w:rsidR="00114D7B">
        <w:t xml:space="preserve">Hong Kong, the purpose of the freezing orders extending to assets in those jurisdictions was the impermissible exerting of pressure on </w:t>
      </w:r>
      <w:r>
        <w:t>him</w:t>
      </w:r>
      <w:r w:rsidR="00114D7B">
        <w:t xml:space="preserve"> through the threat of a contempt charge or some other sanction, to apply assets that are beyond the reach of the Court’s enforcement process for the purpose of satisfying the judgment.  </w:t>
      </w:r>
    </w:p>
    <w:p w:rsidR="00114D7B" w:rsidRDefault="00F26346" w:rsidP="00114D7B">
      <w:pPr>
        <w:pStyle w:val="ParaNumbering"/>
      </w:pPr>
      <w:r>
        <w:t>Mr Huang</w:t>
      </w:r>
      <w:r w:rsidR="003679DB">
        <w:t xml:space="preserve"> submitted that the same principle that foreign revenue laws will not be enforced</w:t>
      </w:r>
      <w:r w:rsidR="00242549">
        <w:t>,</w:t>
      </w:r>
      <w:r w:rsidR="003679DB">
        <w:t xml:space="preserve"> directly or indirectly, answered the Deputy Commissioner’s proposition that the penalties and interest components of the judgment debts may be in a different class from the revenue debt.  Those aspects of the debt would still involve at least</w:t>
      </w:r>
      <w:r w:rsidR="00185F5B">
        <w:t xml:space="preserve"> </w:t>
      </w:r>
      <w:r w:rsidR="00B82CBD">
        <w:t xml:space="preserve">the </w:t>
      </w:r>
      <w:r w:rsidR="00185F5B">
        <w:t>indirect enforcement of Australia’s revenue laws.</w:t>
      </w:r>
    </w:p>
    <w:p w:rsidR="00185F5B" w:rsidRDefault="00185F5B" w:rsidP="002E2D41">
      <w:pPr>
        <w:pStyle w:val="ParaNumbering"/>
      </w:pPr>
      <w:bookmarkStart w:id="23" w:name="_Ref46736705"/>
      <w:r>
        <w:t xml:space="preserve">Her Honour </w:t>
      </w:r>
      <w:r w:rsidR="00F26346">
        <w:t xml:space="preserve">then </w:t>
      </w:r>
      <w:r w:rsidR="005C6BF0">
        <w:t>turned to</w:t>
      </w:r>
      <w:r>
        <w:t xml:space="preserve"> </w:t>
      </w:r>
      <w:r w:rsidR="009E45FD">
        <w:t xml:space="preserve">the </w:t>
      </w:r>
      <w:r>
        <w:t xml:space="preserve">submissions </w:t>
      </w:r>
      <w:r w:rsidR="00242549">
        <w:t xml:space="preserve">made </w:t>
      </w:r>
      <w:r>
        <w:t>by the Deputy Commissioner</w:t>
      </w:r>
      <w:r w:rsidR="00F26346">
        <w:t>.  First</w:t>
      </w:r>
      <w:r w:rsidR="00DB340D">
        <w:t>,</w:t>
      </w:r>
      <w:r w:rsidR="00F26346">
        <w:t xml:space="preserve"> the Deputy Commissioner submitted that the ev</w:t>
      </w:r>
      <w:r>
        <w:t xml:space="preserve">idence did not establish that enforcement in </w:t>
      </w:r>
      <w:r w:rsidR="00E91894">
        <w:t xml:space="preserve">China or </w:t>
      </w:r>
      <w:r>
        <w:t>Hong Kong or elsewhere in the world is impossible.  Mr Den</w:t>
      </w:r>
      <w:r w:rsidR="00F26346">
        <w:t>g</w:t>
      </w:r>
      <w:r>
        <w:t>’s evidence is only that he believes it is not likely that a judgment debt will be en</w:t>
      </w:r>
      <w:r w:rsidR="00F26346">
        <w:t xml:space="preserve">forceable in </w:t>
      </w:r>
      <w:r w:rsidR="00E91894">
        <w:t xml:space="preserve">China or </w:t>
      </w:r>
      <w:r w:rsidR="00F26346">
        <w:t xml:space="preserve">Hong Kong.  Second, the Deputy Commissioner submitted that </w:t>
      </w:r>
      <w:r w:rsidRPr="00767A4F">
        <w:rPr>
          <w:i/>
        </w:rPr>
        <w:t>Damberg</w:t>
      </w:r>
      <w:r w:rsidR="00B74449" w:rsidRPr="00767A4F">
        <w:rPr>
          <w:i/>
        </w:rPr>
        <w:t xml:space="preserve"> v Damberg</w:t>
      </w:r>
      <w:r>
        <w:t xml:space="preserve"> is subject to a wide variety of exceptions so</w:t>
      </w:r>
      <w:r w:rsidR="004B6A1D">
        <w:t xml:space="preserve"> that</w:t>
      </w:r>
      <w:r>
        <w:t xml:space="preserve"> it should not be presumed that enforcement in the PRC </w:t>
      </w:r>
      <w:r w:rsidR="00E91894">
        <w:t xml:space="preserve">or Hong Kong </w:t>
      </w:r>
      <w:r>
        <w:t>will</w:t>
      </w:r>
      <w:r w:rsidR="00F26346">
        <w:t xml:space="preserve"> be impossible.  Third, the Deputy Commissioner submitted that it</w:t>
      </w:r>
      <w:r>
        <w:t xml:space="preserve"> is not self-evident from the terms of the reservations that they would apply to penalties or in</w:t>
      </w:r>
      <w:r w:rsidR="00767A4F">
        <w:t>terest as opposed to unpaid tax.  Fourth, the Deputy Commissioner submitted that the</w:t>
      </w:r>
      <w:r>
        <w:t xml:space="preserve"> reservations </w:t>
      </w:r>
      <w:r w:rsidR="00B82CBD">
        <w:t>in</w:t>
      </w:r>
      <w:r>
        <w:t xml:space="preserve"> the </w:t>
      </w:r>
      <w:r w:rsidRPr="00185F5B">
        <w:t>Convention on Mutual Administrative Assistance in Tax Matters</w:t>
      </w:r>
      <w:r>
        <w:t xml:space="preserve"> applying to China and Hong </w:t>
      </w:r>
      <w:r w:rsidR="00767A4F">
        <w:t>Kong may be withdrawn or varied.  Fifth, the Deputy Commissioner submitted that t</w:t>
      </w:r>
      <w:r>
        <w:t xml:space="preserve">here were Hong Kong cases in which </w:t>
      </w:r>
      <w:r w:rsidR="004B6A1D">
        <w:t>the courts ha</w:t>
      </w:r>
      <w:r w:rsidR="005C6BF0">
        <w:t>d</w:t>
      </w:r>
      <w:r w:rsidR="004B6A1D">
        <w:t xml:space="preserve"> taken </w:t>
      </w:r>
      <w:r w:rsidR="00767A4F">
        <w:t>st</w:t>
      </w:r>
      <w:r>
        <w:t>e</w:t>
      </w:r>
      <w:r w:rsidR="00767A4F">
        <w:t>p</w:t>
      </w:r>
      <w:r>
        <w:t>s</w:t>
      </w:r>
      <w:r w:rsidR="004B6A1D">
        <w:t xml:space="preserve"> to</w:t>
      </w:r>
      <w:r>
        <w:t xml:space="preserve"> give effect to Austra</w:t>
      </w:r>
      <w:r w:rsidR="005C6BF0">
        <w:t>lian insolvency administrations</w:t>
      </w:r>
      <w:r w:rsidR="00B82CBD">
        <w:t xml:space="preserve"> and, in that respect, she referred to</w:t>
      </w:r>
      <w:r w:rsidR="005C6BF0">
        <w:t xml:space="preserve"> </w:t>
      </w:r>
      <w:r w:rsidR="005C6BF0">
        <w:rPr>
          <w:i/>
        </w:rPr>
        <w:t>I</w:t>
      </w:r>
      <w:r w:rsidRPr="00767A4F">
        <w:rPr>
          <w:i/>
        </w:rPr>
        <w:t>n the Matter of Rennie Produce (Aust) Pty Ltd (In Liquidation in Australia)</w:t>
      </w:r>
      <w:r>
        <w:t xml:space="preserve"> HCMP1640/2016; </w:t>
      </w:r>
      <w:r w:rsidRPr="00767A4F">
        <w:rPr>
          <w:i/>
        </w:rPr>
        <w:t>Ting Lei Miao v Chen Li Hung</w:t>
      </w:r>
      <w:r>
        <w:t xml:space="preserve"> [1999] 1 HKLRD 123; and </w:t>
      </w:r>
      <w:r w:rsidRPr="00767A4F">
        <w:rPr>
          <w:i/>
        </w:rPr>
        <w:t>Chen Li Hung v Ting Lei Miao</w:t>
      </w:r>
      <w:r>
        <w:t xml:space="preserve"> (2000) 3 HKCFAR 9</w:t>
      </w:r>
      <w:r w:rsidR="00075596">
        <w:t xml:space="preserve"> (</w:t>
      </w:r>
      <w:r w:rsidR="00075596">
        <w:rPr>
          <w:i/>
        </w:rPr>
        <w:t>Chen Li Hung v Ting Lei Miao</w:t>
      </w:r>
      <w:r w:rsidR="00075596">
        <w:t>)</w:t>
      </w:r>
      <w:r>
        <w:t xml:space="preserve">.  With respect to the latter case, </w:t>
      </w:r>
      <w:r w:rsidR="00767A4F">
        <w:t>Mr Huang</w:t>
      </w:r>
      <w:r>
        <w:t xml:space="preserve"> </w:t>
      </w:r>
      <w:r w:rsidR="004B6A1D">
        <w:t xml:space="preserve">responded by asking the Court to </w:t>
      </w:r>
      <w:r>
        <w:t xml:space="preserve">note that the rights involved were private </w:t>
      </w:r>
      <w:r w:rsidR="00B82CBD">
        <w:t xml:space="preserve">rights </w:t>
      </w:r>
      <w:r>
        <w:t xml:space="preserve">and the Court said </w:t>
      </w:r>
      <w:r w:rsidR="00A96CF9">
        <w:t>(</w:t>
      </w:r>
      <w:r>
        <w:t>at 25</w:t>
      </w:r>
      <w:r w:rsidR="00A96CF9">
        <w:t>)</w:t>
      </w:r>
      <w:r>
        <w:t xml:space="preserve"> that the position may be different if the Taiwan Government was the sole or main creditor.  The Deputy Commissioner submitted that the Court would not find that the current absence of other creditors means </w:t>
      </w:r>
      <w:r w:rsidR="004B6A1D">
        <w:t xml:space="preserve">that </w:t>
      </w:r>
      <w:r w:rsidR="004B6A1D">
        <w:lastRenderedPageBreak/>
        <w:t xml:space="preserve">ultimately </w:t>
      </w:r>
      <w:r>
        <w:t xml:space="preserve">there will be no such creditors.  Such information is within the knowledge of </w:t>
      </w:r>
      <w:r w:rsidR="00B82CBD">
        <w:t>Mr </w:t>
      </w:r>
      <w:r w:rsidR="00767A4F">
        <w:t>Huang</w:t>
      </w:r>
      <w:r w:rsidR="00B82CBD">
        <w:t xml:space="preserve"> and he had adduced</w:t>
      </w:r>
      <w:r>
        <w:t xml:space="preserve"> no evi</w:t>
      </w:r>
      <w:r w:rsidR="00767A4F">
        <w:t xml:space="preserve">dence about </w:t>
      </w:r>
      <w:r w:rsidR="002333F4">
        <w:t>the matter</w:t>
      </w:r>
      <w:r w:rsidR="00767A4F">
        <w:t>.  Sixth, the Deputy Commissioner submitted that t</w:t>
      </w:r>
      <w:r>
        <w:t>he assets in Hong Kong and China may be moved to another jurisdiction as permitted by the freezing orders and thereby become amenable to the Court’s jurisdiction as a result</w:t>
      </w:r>
      <w:r w:rsidR="00767A4F">
        <w:t>.  Seventh, the Deputy Commissioner submitted that the</w:t>
      </w:r>
      <w:r>
        <w:t xml:space="preserve"> recognition by the Hong Kong courts of any subsequent bankruptcy of </w:t>
      </w:r>
      <w:r w:rsidR="00767A4F">
        <w:t>Mr Huang</w:t>
      </w:r>
      <w:r>
        <w:t xml:space="preserve"> would constitute recognition of Australian bankruptcy law, not of Australian revenue law.  The issue is the protection of the integrity or efficacy of any process ultimately enforceable by the courts at the suit of the judgment creditor, which includes bankruptcy</w:t>
      </w:r>
      <w:r w:rsidR="00767A4F">
        <w:t>.  Finally, the Deputy Commissioner submitted that i</w:t>
      </w:r>
      <w:r>
        <w:t xml:space="preserve">f </w:t>
      </w:r>
      <w:r w:rsidR="00767A4F">
        <w:t xml:space="preserve">her </w:t>
      </w:r>
      <w:r>
        <w:t xml:space="preserve">submissions are rejected, then the relevant order should exclude </w:t>
      </w:r>
      <w:r w:rsidR="00DC02F4">
        <w:t xml:space="preserve">China and </w:t>
      </w:r>
      <w:r>
        <w:t xml:space="preserve">Hong Kong (with a similar exclusion applying to the asset disclosure order) as there was currently no evidence that </w:t>
      </w:r>
      <w:r w:rsidR="00DC02F4">
        <w:t>Mr Huang</w:t>
      </w:r>
      <w:r>
        <w:t xml:space="preserve"> had any assets in any other jurisdiction.</w:t>
      </w:r>
      <w:bookmarkEnd w:id="23"/>
    </w:p>
    <w:p w:rsidR="00185F5B" w:rsidRDefault="00185F5B" w:rsidP="00185F5B">
      <w:pPr>
        <w:pStyle w:val="ParaNumbering"/>
      </w:pPr>
      <w:bookmarkStart w:id="24" w:name="_Ref46735427"/>
      <w:r>
        <w:t xml:space="preserve">The primary judge rejected </w:t>
      </w:r>
      <w:r w:rsidR="00767A4F">
        <w:t>Mr Huang’s</w:t>
      </w:r>
      <w:r>
        <w:t xml:space="preserve"> submissions.  Her Honour said that the Deputy Commission</w:t>
      </w:r>
      <w:r w:rsidR="00A96CF9">
        <w:t>er</w:t>
      </w:r>
      <w:r>
        <w:t xml:space="preserve"> was right that the issue was the preservation of the integrity or efficacy of any process </w:t>
      </w:r>
      <w:r w:rsidRPr="00B84788">
        <w:rPr>
          <w:i/>
        </w:rPr>
        <w:t>ultimately</w:t>
      </w:r>
      <w:r w:rsidR="00AE4599" w:rsidRPr="00B84788">
        <w:t xml:space="preserve"> </w:t>
      </w:r>
      <w:r w:rsidR="00AE4599">
        <w:t xml:space="preserve">enforceable by the Court (primary judge’s emphasis).  Her Honour said that the Deputy Commissioner’s evidence acknowledged that it was not likely that a judgment debt would be enforceable in </w:t>
      </w:r>
      <w:r w:rsidR="00DC02F4">
        <w:t xml:space="preserve">China or </w:t>
      </w:r>
      <w:r w:rsidR="00AE4599">
        <w:t xml:space="preserve">Hong Kong.  However, her Honour said that she inferred that “it is not impossible that the applicant may be able to take enforcement action against the first respondent as a result of one or more of the possibilities which the </w:t>
      </w:r>
      <w:r w:rsidR="004B6A1D">
        <w:t>[Deputy Commissioner]</w:t>
      </w:r>
      <w:r w:rsidR="00AE4599">
        <w:t xml:space="preserve"> has identified” (at [28]).</w:t>
      </w:r>
      <w:r w:rsidR="00767A4F">
        <w:t xml:space="preserve">  As we would understand it, the possibilities identified by the Deputy Commissioner are those identified in </w:t>
      </w:r>
      <w:r w:rsidR="00A0367C">
        <w:t>her</w:t>
      </w:r>
      <w:r w:rsidR="00767A4F">
        <w:t xml:space="preserve"> submissions which are summarised</w:t>
      </w:r>
      <w:r w:rsidR="002333F4">
        <w:t xml:space="preserve"> by the primary judge and are set out</w:t>
      </w:r>
      <w:r w:rsidR="00767A4F">
        <w:t xml:space="preserve"> above.</w:t>
      </w:r>
      <w:bookmarkEnd w:id="24"/>
    </w:p>
    <w:p w:rsidR="00185F5B" w:rsidRDefault="005B5FC3" w:rsidP="00AE4599">
      <w:pPr>
        <w:pStyle w:val="ParaNumbering"/>
      </w:pPr>
      <w:bookmarkStart w:id="25" w:name="_Ref46991554"/>
      <w:r>
        <w:t xml:space="preserve">Her Honour then turned to address the extent to which foreign law had been proved by </w:t>
      </w:r>
      <w:r w:rsidR="00AA3AFF">
        <w:t xml:space="preserve">the </w:t>
      </w:r>
      <w:r>
        <w:t xml:space="preserve">evidence.  </w:t>
      </w:r>
      <w:r w:rsidR="00545AC4">
        <w:t>Her Honour</w:t>
      </w:r>
      <w:r>
        <w:t xml:space="preserve"> </w:t>
      </w:r>
      <w:r w:rsidR="00AA3AFF">
        <w:t>said</w:t>
      </w:r>
      <w:r>
        <w:t xml:space="preserve"> that there was evidence that the courts of Hong Kong have enforced foreign insolvency laws and he</w:t>
      </w:r>
      <w:r w:rsidR="00545AC4">
        <w:t>r Honour</w:t>
      </w:r>
      <w:r>
        <w:t xml:space="preserve"> said that, contrary to </w:t>
      </w:r>
      <w:r w:rsidR="00767A4F">
        <w:t>Mr Huang’s</w:t>
      </w:r>
      <w:r>
        <w:t xml:space="preserve"> submission, she did not see the potential enforcement by use of the bankruptcy legislation as necessarily involving a purpose antithetical to that of r 7.32.  </w:t>
      </w:r>
      <w:r w:rsidR="00767A4F">
        <w:t>In this context, h</w:t>
      </w:r>
      <w:r>
        <w:t xml:space="preserve">er Honour referred to the </w:t>
      </w:r>
      <w:r w:rsidR="004933CF">
        <w:t xml:space="preserve">observations in the </w:t>
      </w:r>
      <w:r>
        <w:t xml:space="preserve">joint reasons in </w:t>
      </w:r>
      <w:proofErr w:type="spellStart"/>
      <w:r>
        <w:rPr>
          <w:i/>
        </w:rPr>
        <w:t>Cardile</w:t>
      </w:r>
      <w:proofErr w:type="spellEnd"/>
      <w:r>
        <w:rPr>
          <w:i/>
        </w:rPr>
        <w:t xml:space="preserve"> </w:t>
      </w:r>
      <w:r>
        <w:t xml:space="preserve">at [57] </w:t>
      </w:r>
      <w:r w:rsidR="002333F4">
        <w:t xml:space="preserve">which </w:t>
      </w:r>
      <w:r w:rsidR="004933CF">
        <w:t>are</w:t>
      </w:r>
      <w:r w:rsidR="002333F4">
        <w:t xml:space="preserve"> </w:t>
      </w:r>
      <w:r>
        <w:t>as follows:</w:t>
      </w:r>
      <w:bookmarkEnd w:id="25"/>
    </w:p>
    <w:p w:rsidR="001C7B09" w:rsidRDefault="001C7B09" w:rsidP="001C7B09">
      <w:pPr>
        <w:pStyle w:val="Quote1"/>
      </w:pPr>
      <w:r w:rsidRPr="001C7B09">
        <w:t xml:space="preserve">What then is the principle to guide the courts in determining whether to grant </w:t>
      </w:r>
      <w:r w:rsidRPr="001C7B09">
        <w:rPr>
          <w:i/>
        </w:rPr>
        <w:t>Mareva</w:t>
      </w:r>
      <w:r>
        <w:t xml:space="preserve"> </w:t>
      </w:r>
      <w:r w:rsidRPr="001C7B09">
        <w:t xml:space="preserve">relief in a case such as the present where the activities of third parties are the object sought to be restrained? In our opinion such an order may, and we emphasise the word “may”, be appropriate, assuming the existence of other relevant criteria and discretionary factors, in circumstances in which: (i) the third party holds, is using, or has exercised or is exercising a power of disposition over, or is otherwise in possession of, assets, including “claims and expectancies”, of the judgment debtor or potential </w:t>
      </w:r>
      <w:r w:rsidRPr="001C7B09">
        <w:lastRenderedPageBreak/>
        <w:t>judgment debtor; or (ii) some process, ultimately enforceable by the courts, is or may be available to the judgment creditor as a consequence of a judgment against that actual or potential judgment debtor, pursuant to which, whether by appointment of a liquidator, trustee in bankruptcy, receiver or otherwise, the third party may be obliged to disgorge property or otherwise contribute to the funds or property of the judgment debtor to help satisfy the judgment against the judgment debtor.</w:t>
      </w:r>
    </w:p>
    <w:p w:rsidR="005B5FC3" w:rsidRDefault="001C7B09" w:rsidP="001C7B09">
      <w:pPr>
        <w:pStyle w:val="BodyText"/>
      </w:pPr>
      <w:r>
        <w:t>(Citation omitted)</w:t>
      </w:r>
      <w:r w:rsidR="00C34E98">
        <w:t>.</w:t>
      </w:r>
    </w:p>
    <w:p w:rsidR="005B5FC3" w:rsidRDefault="005B5FC3" w:rsidP="005B5FC3">
      <w:pPr>
        <w:pStyle w:val="ParaNumbering"/>
      </w:pPr>
      <w:r>
        <w:t xml:space="preserve">The primary judge said that the law of the PRC had not been proved.  </w:t>
      </w:r>
    </w:p>
    <w:p w:rsidR="005B5FC3" w:rsidRDefault="005B5FC3" w:rsidP="005B5FC3">
      <w:pPr>
        <w:pStyle w:val="ParaNumbering"/>
      </w:pPr>
      <w:r>
        <w:t xml:space="preserve">Her Honour said that it may be accepted that an Australian court would not assist in a bankruptcy if in substance it constituted the enforcement of a foreign revenue law.  She referred to </w:t>
      </w:r>
      <w:r w:rsidRPr="002A4572">
        <w:rPr>
          <w:i/>
        </w:rPr>
        <w:t>Peter Buchanan L</w:t>
      </w:r>
      <w:r w:rsidR="00E15AB2">
        <w:rPr>
          <w:i/>
        </w:rPr>
        <w:t>t</w:t>
      </w:r>
      <w:r w:rsidRPr="002A4572">
        <w:rPr>
          <w:i/>
        </w:rPr>
        <w:t>d v McVey</w:t>
      </w:r>
      <w:r>
        <w:t xml:space="preserve"> [1955] AC</w:t>
      </w:r>
      <w:r w:rsidRPr="00F20DDC">
        <w:t xml:space="preserve"> 516</w:t>
      </w:r>
      <w:r w:rsidR="006A2231">
        <w:t xml:space="preserve"> (</w:t>
      </w:r>
      <w:r w:rsidR="006A2231" w:rsidRPr="00ED191C">
        <w:t>High Court of Eire</w:t>
      </w:r>
      <w:r w:rsidR="006A2231">
        <w:t>)</w:t>
      </w:r>
      <w:r w:rsidRPr="00F20DDC">
        <w:t xml:space="preserve"> </w:t>
      </w:r>
      <w:r w:rsidR="00E15AB2">
        <w:t>(</w:t>
      </w:r>
      <w:r w:rsidR="00E15AB2">
        <w:rPr>
          <w:i/>
        </w:rPr>
        <w:t xml:space="preserve">Buchanan v </w:t>
      </w:r>
      <w:r w:rsidR="00E15AB2" w:rsidRPr="00E15AB2">
        <w:rPr>
          <w:i/>
        </w:rPr>
        <w:t>McVey</w:t>
      </w:r>
      <w:r w:rsidR="00E15AB2">
        <w:t xml:space="preserve">) </w:t>
      </w:r>
      <w:r w:rsidRPr="00E15AB2">
        <w:t>and</w:t>
      </w:r>
      <w:r>
        <w:t xml:space="preserve"> </w:t>
      </w:r>
      <w:r w:rsidR="00C34E98">
        <w:rPr>
          <w:i/>
        </w:rPr>
        <w:t xml:space="preserve">Government of </w:t>
      </w:r>
      <w:r w:rsidRPr="002A4572">
        <w:rPr>
          <w:i/>
        </w:rPr>
        <w:t>India v Taylor</w:t>
      </w:r>
      <w:r w:rsidRPr="002A4572">
        <w:t xml:space="preserve"> </w:t>
      </w:r>
      <w:r>
        <w:t>[1955] AC</w:t>
      </w:r>
      <w:r w:rsidRPr="002A4572">
        <w:t xml:space="preserve"> 491</w:t>
      </w:r>
      <w:r w:rsidR="00E15AB2">
        <w:t xml:space="preserve"> (</w:t>
      </w:r>
      <w:r w:rsidR="00E15AB2">
        <w:rPr>
          <w:i/>
        </w:rPr>
        <w:t>India v Taylor</w:t>
      </w:r>
      <w:r w:rsidR="00E15AB2">
        <w:t>)</w:t>
      </w:r>
      <w:r>
        <w:t xml:space="preserve">.  Her Honour said that while the presumption in </w:t>
      </w:r>
      <w:r>
        <w:rPr>
          <w:i/>
        </w:rPr>
        <w:t>Damberg</w:t>
      </w:r>
      <w:r w:rsidR="00B74449">
        <w:rPr>
          <w:i/>
        </w:rPr>
        <w:t xml:space="preserve"> v Damberg</w:t>
      </w:r>
      <w:r>
        <w:t xml:space="preserve"> is relevant, the presumption is subject to exceptions </w:t>
      </w:r>
      <w:r w:rsidR="00AA3AFF">
        <w:t xml:space="preserve">and she referred to various passages in the reasons for judgment of Heydon JA in that case </w:t>
      </w:r>
      <w:r>
        <w:t>(at [118]–[147] and [162]).  Her Honour said that when these matters are taken together</w:t>
      </w:r>
      <w:r w:rsidR="00DB340D">
        <w:t>,</w:t>
      </w:r>
      <w:r>
        <w:t xml:space="preserve"> and recognising the interlocutory nature of th</w:t>
      </w:r>
      <w:r w:rsidR="002333F4">
        <w:t>e</w:t>
      </w:r>
      <w:r>
        <w:t xml:space="preserve"> proceeding, she considered that the Deputy Commissioner had provided a sufficient basis to conclude that ther</w:t>
      </w:r>
      <w:r w:rsidR="005E68AC">
        <w:t>e</w:t>
      </w:r>
      <w:r>
        <w:t xml:space="preserve"> was a serio</w:t>
      </w:r>
      <w:r w:rsidR="005E68AC">
        <w:t>u</w:t>
      </w:r>
      <w:r>
        <w:t xml:space="preserve">s question to be tried in respect of the potential enforceability of the orders over </w:t>
      </w:r>
      <w:r w:rsidR="00767A4F">
        <w:t>Mr Huang’s</w:t>
      </w:r>
      <w:r>
        <w:t xml:space="preserve"> assets in the PRC </w:t>
      </w:r>
      <w:r w:rsidR="00DC02F4">
        <w:t xml:space="preserve">and Hong Kong </w:t>
      </w:r>
      <w:r>
        <w:t xml:space="preserve">so as to support the making of freezing orders in terms which apply to </w:t>
      </w:r>
      <w:r w:rsidR="00767A4F">
        <w:t>his</w:t>
      </w:r>
      <w:r>
        <w:t xml:space="preserve"> assets within and outside of Australia.</w:t>
      </w:r>
    </w:p>
    <w:p w:rsidR="005E68AC" w:rsidRDefault="002333F4" w:rsidP="005E68AC">
      <w:pPr>
        <w:pStyle w:val="ParaNumbering"/>
      </w:pPr>
      <w:bookmarkStart w:id="26" w:name="_Ref46323239"/>
      <w:r>
        <w:t>Importantly, t</w:t>
      </w:r>
      <w:r w:rsidR="005E68AC">
        <w:t>he primary judge then identified possibilities of enforcement sufficient to enable the conclusion to be reached that the purpose of r 7.32(1), namely to prevent the frustration or inhibition of the Court’s process by seeking to meet a danger that a judgment or prospective judgment of the Court will be wholly or partly unsatisfied, is satisfied.  Her Honour said that the possibilities include</w:t>
      </w:r>
      <w:r>
        <w:t>d</w:t>
      </w:r>
      <w:r w:rsidR="005E68AC">
        <w:t xml:space="preserve"> the following:  (1) exceptions to the presumption in </w:t>
      </w:r>
      <w:r w:rsidR="005E68AC" w:rsidRPr="005E68AC">
        <w:rPr>
          <w:i/>
        </w:rPr>
        <w:t>Damberg v Damberg</w:t>
      </w:r>
      <w:r w:rsidR="005E68AC">
        <w:t xml:space="preserve">; (2) the potential use of bankruptcy procedures; (3) the potential willingness of the courts of Hong Kong </w:t>
      </w:r>
      <w:r w:rsidR="00AA3AFF">
        <w:t xml:space="preserve">and China </w:t>
      </w:r>
      <w:r w:rsidR="005E68AC">
        <w:t xml:space="preserve">to enforce Australian insolvency laws; (4) the possibility of </w:t>
      </w:r>
      <w:r w:rsidR="00DC02F4">
        <w:t>Mr Huang</w:t>
      </w:r>
      <w:r w:rsidR="005E68AC">
        <w:t xml:space="preserve"> moving assets to other jurisdictions where enforcement i</w:t>
      </w:r>
      <w:r w:rsidR="00242549">
        <w:t>s</w:t>
      </w:r>
      <w:r w:rsidR="005E68AC">
        <w:t xml:space="preserve"> readily available; </w:t>
      </w:r>
      <w:r w:rsidR="00A96CF9">
        <w:t xml:space="preserve">and </w:t>
      </w:r>
      <w:r w:rsidR="00B31CFD">
        <w:t>(5) </w:t>
      </w:r>
      <w:r w:rsidR="005E68AC">
        <w:t xml:space="preserve">the potential willingness of the courts of Hong Kong </w:t>
      </w:r>
      <w:r w:rsidR="00AA3AFF">
        <w:t xml:space="preserve">and China </w:t>
      </w:r>
      <w:r w:rsidR="005E68AC">
        <w:t>to enforce Australia</w:t>
      </w:r>
      <w:r w:rsidR="00B31CFD">
        <w:t>n</w:t>
      </w:r>
      <w:r w:rsidR="005E68AC">
        <w:t xml:space="preserve"> laws relating to the payments of penalties and interest</w:t>
      </w:r>
      <w:r>
        <w:t xml:space="preserve"> (at [30])</w:t>
      </w:r>
      <w:r w:rsidR="005E68AC">
        <w:t>.</w:t>
      </w:r>
      <w:bookmarkEnd w:id="26"/>
    </w:p>
    <w:p w:rsidR="005E68AC" w:rsidRDefault="005E68AC" w:rsidP="005E68AC">
      <w:pPr>
        <w:pStyle w:val="ParaNumbering"/>
      </w:pPr>
      <w:r>
        <w:t>Her Honour said that</w:t>
      </w:r>
      <w:r w:rsidR="00E209BB">
        <w:t>,</w:t>
      </w:r>
      <w:r>
        <w:t xml:space="preserve"> given these circumstances, she was not satisfied that </w:t>
      </w:r>
      <w:r w:rsidR="00767A4F">
        <w:t>Mr Huang’s</w:t>
      </w:r>
      <w:r>
        <w:t xml:space="preserve"> submissions about the impermissible scope of the freezing orders should be accepted.</w:t>
      </w:r>
    </w:p>
    <w:p w:rsidR="00767A4F" w:rsidRDefault="00767A4F" w:rsidP="00767A4F">
      <w:pPr>
        <w:pStyle w:val="Heading1"/>
      </w:pPr>
      <w:r>
        <w:lastRenderedPageBreak/>
        <w:t>Analysis</w:t>
      </w:r>
    </w:p>
    <w:p w:rsidR="004B6A1D" w:rsidRDefault="00767A4F" w:rsidP="00767A4F">
      <w:pPr>
        <w:pStyle w:val="ParaNumbering"/>
      </w:pPr>
      <w:r>
        <w:t>Mr Huang submit</w:t>
      </w:r>
      <w:r w:rsidR="004B6A1D">
        <w:t>s</w:t>
      </w:r>
      <w:r>
        <w:t xml:space="preserve"> that the primary judge ha</w:t>
      </w:r>
      <w:r w:rsidR="002333F4">
        <w:t>s</w:t>
      </w:r>
      <w:r>
        <w:t xml:space="preserve"> applied an incorrect test when she said that she would infer that it is </w:t>
      </w:r>
      <w:r>
        <w:rPr>
          <w:i/>
        </w:rPr>
        <w:t>not impossible</w:t>
      </w:r>
      <w:r>
        <w:t xml:space="preserve"> that the Deputy Commissioner may be able to take enforcement action against Mr Huang as a result of one or more of the possibilities the Deputy Commissioner had identified.  The correct test, Mr Huang submit</w:t>
      </w:r>
      <w:r w:rsidR="004B6A1D">
        <w:t>s</w:t>
      </w:r>
      <w:r>
        <w:t>, is one of a realistic possibility of enforcement</w:t>
      </w:r>
      <w:r w:rsidR="002333F4">
        <w:t xml:space="preserve"> and that that test had not be satisfied</w:t>
      </w:r>
      <w:r>
        <w:t xml:space="preserve">.  </w:t>
      </w:r>
      <w:r w:rsidR="00AA3AFF">
        <w:t xml:space="preserve">In other words, there must be a realistic possibility </w:t>
      </w:r>
      <w:r w:rsidR="002333F4">
        <w:t xml:space="preserve">that </w:t>
      </w:r>
      <w:r w:rsidR="00AA3AFF">
        <w:t xml:space="preserve">the </w:t>
      </w:r>
      <w:r w:rsidR="00C146EB">
        <w:t>judgment</w:t>
      </w:r>
      <w:r w:rsidR="002333F4">
        <w:t xml:space="preserve"> can be enforced</w:t>
      </w:r>
      <w:r w:rsidR="00AA3AFF">
        <w:t>.</w:t>
      </w:r>
    </w:p>
    <w:p w:rsidR="002333F4" w:rsidRDefault="00A563F2" w:rsidP="00767A4F">
      <w:pPr>
        <w:pStyle w:val="ParaNumbering"/>
      </w:pPr>
      <w:r>
        <w:t xml:space="preserve">The Deputy Commissioner submitted that the primary judge’s use of the expression, “not impossible” was no more than a reflection of the fact that Mr Huang </w:t>
      </w:r>
      <w:r w:rsidR="002333F4">
        <w:t xml:space="preserve">had </w:t>
      </w:r>
      <w:r>
        <w:t xml:space="preserve">submitted that enforcement in Hong Kong </w:t>
      </w:r>
      <w:r w:rsidR="00075596">
        <w:t>and C</w:t>
      </w:r>
      <w:r>
        <w:t xml:space="preserve">hina was impossible and her Honour rejected that submission.  </w:t>
      </w:r>
      <w:r w:rsidR="002333F4">
        <w:t xml:space="preserve">Leaving aside the Deputy Commissioner’s supplementary note which is referred to below, her written submissions proceed on the basis that the primary judge applied a realistic possibility of enforcement test and was correct to find that that test was satisfied (see </w:t>
      </w:r>
      <w:r w:rsidR="004933CF">
        <w:t>O</w:t>
      </w:r>
      <w:r w:rsidR="002333F4">
        <w:t xml:space="preserve">utline </w:t>
      </w:r>
      <w:r w:rsidR="004933CF">
        <w:t xml:space="preserve">of Submissions dated 8 May 2020 at </w:t>
      </w:r>
      <w:r w:rsidR="003F483F">
        <w:t>[</w:t>
      </w:r>
      <w:r w:rsidR="002333F4">
        <w:t>12</w:t>
      </w:r>
      <w:r w:rsidR="003F483F">
        <w:t>]</w:t>
      </w:r>
      <w:r w:rsidR="002333F4">
        <w:t xml:space="preserve"> </w:t>
      </w:r>
      <w:r w:rsidR="003F483F">
        <w:t>and [</w:t>
      </w:r>
      <w:r w:rsidR="002333F4">
        <w:t>15</w:t>
      </w:r>
      <w:r w:rsidR="003F483F">
        <w:t>]</w:t>
      </w:r>
      <w:r w:rsidR="002333F4">
        <w:t xml:space="preserve">).  </w:t>
      </w:r>
    </w:p>
    <w:p w:rsidR="00A563F2" w:rsidRDefault="00A563F2" w:rsidP="00767A4F">
      <w:pPr>
        <w:pStyle w:val="ParaNumbering"/>
      </w:pPr>
      <w:r>
        <w:t xml:space="preserve">In </w:t>
      </w:r>
      <w:r w:rsidR="002333F4">
        <w:t xml:space="preserve">our opinion, in </w:t>
      </w:r>
      <w:r>
        <w:t xml:space="preserve">considering this submission it is important to remember the context.  The Deputy Commissioner’s own case through Mr Deng was that enforcement of a judgment against </w:t>
      </w:r>
      <w:r w:rsidR="004933CF">
        <w:t>Mr Huang</w:t>
      </w:r>
      <w:r>
        <w:t xml:space="preserve"> in Hong Kong or China “is not likely”.  The primary judge’s summary of Mr Huang’s submissions is set out above.  There is no doubt that</w:t>
      </w:r>
      <w:r w:rsidR="00075596">
        <w:t>,</w:t>
      </w:r>
      <w:r>
        <w:t xml:space="preserve"> in addition to submitting that enforcement was unlikely and that there was no real prospect of enforcement, Mr Huang went so far as to submit that enforcement was impossible and would not happen.  However, we do not think that in concluding that enforcement was not impossible, all that her Honour was doing was responding to a submission.  We have summarised what her Honour said in [28] of her reasons above (at [</w:t>
      </w:r>
      <w:r>
        <w:fldChar w:fldCharType="begin" w:fldLock="1"/>
      </w:r>
      <w:r>
        <w:instrText xml:space="preserve"> REF _Ref46735427 \r \h </w:instrText>
      </w:r>
      <w:r>
        <w:fldChar w:fldCharType="separate"/>
      </w:r>
      <w:r w:rsidR="001D1DA2">
        <w:t>26</w:t>
      </w:r>
      <w:r>
        <w:fldChar w:fldCharType="end"/>
      </w:r>
      <w:r>
        <w:t xml:space="preserve">]).  We consider that her Honour states the test which she applies in that paragraph.  Even if we are wrong and her Honour applied a test of </w:t>
      </w:r>
      <w:r w:rsidR="004933CF">
        <w:t xml:space="preserve">a </w:t>
      </w:r>
      <w:r>
        <w:t>real</w:t>
      </w:r>
      <w:r w:rsidR="002333F4">
        <w:t>istic</w:t>
      </w:r>
      <w:r>
        <w:t xml:space="preserve"> possibility, as we will explain, the matters her Honour relied on fall short of meeting that test.  </w:t>
      </w:r>
    </w:p>
    <w:p w:rsidR="00767A4F" w:rsidRDefault="00AA3AFF" w:rsidP="00767A4F">
      <w:pPr>
        <w:pStyle w:val="ParaNumbering"/>
      </w:pPr>
      <w:r>
        <w:t xml:space="preserve">It is convenient to note at this point that </w:t>
      </w:r>
      <w:r w:rsidR="00767A4F">
        <w:t>shortly before the hearing</w:t>
      </w:r>
      <w:r>
        <w:t>, the Deputy Commissioner provided</w:t>
      </w:r>
      <w:r w:rsidR="00767A4F">
        <w:t xml:space="preserve"> what she called a supplementary note in which the submission </w:t>
      </w:r>
      <w:r w:rsidR="004B6A1D">
        <w:t>i</w:t>
      </w:r>
      <w:r w:rsidR="00767A4F">
        <w:t>s made that even if enforcement in the PRC and Hong Kong was shown to be presently impossible, “the judgment may be enforceable at some future time within 12 years from judgment, pursuant to a future legal process which may be contingent, even where necessarily the contingencies are unknown”.</w:t>
      </w:r>
      <w:r w:rsidR="003E5751">
        <w:t xml:space="preserve">  In further explanation of </w:t>
      </w:r>
      <w:r w:rsidR="00767A4F">
        <w:t xml:space="preserve">her submission, the Deputy Commissioner pointed out that neither r 7.32 nor r 7.35 impose any additional requirement for a worldwide freezing order </w:t>
      </w:r>
      <w:r w:rsidR="00767A4F">
        <w:lastRenderedPageBreak/>
        <w:t>as distinct from an order applying to assets in Australia and</w:t>
      </w:r>
      <w:r w:rsidR="004B6A1D">
        <w:t xml:space="preserve"> she</w:t>
      </w:r>
      <w:r w:rsidR="00767A4F">
        <w:t xml:space="preserve"> then submitted that, in the absence of evidence that enforcement worldwide would be impossible within the 12 year period, the requirements of r 7.35(4) were satisfied in the present case.</w:t>
      </w:r>
    </w:p>
    <w:p w:rsidR="00767A4F" w:rsidRDefault="00E91894" w:rsidP="00767A4F">
      <w:pPr>
        <w:pStyle w:val="ParaNumbering"/>
      </w:pPr>
      <w:r>
        <w:t>Rule 7.35(4) is in the following terms:</w:t>
      </w:r>
    </w:p>
    <w:p w:rsidR="00DC02F4" w:rsidRDefault="00DC02F4" w:rsidP="00DC02F4">
      <w:pPr>
        <w:pStyle w:val="Quote1"/>
        <w:ind w:left="1440" w:hanging="703"/>
      </w:pPr>
      <w:r>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w:t>
      </w:r>
    </w:p>
    <w:p w:rsidR="00DC02F4" w:rsidRDefault="00DC02F4" w:rsidP="00DC02F4">
      <w:pPr>
        <w:pStyle w:val="Quote2"/>
        <w:ind w:left="2160" w:hanging="720"/>
      </w:pPr>
      <w:r>
        <w:t>(a)</w:t>
      </w:r>
      <w:r>
        <w:tab/>
        <w:t>the judgment debtor, prospective judgment debtor or another person absconds;</w:t>
      </w:r>
    </w:p>
    <w:p w:rsidR="00DC02F4" w:rsidRDefault="00DC02F4" w:rsidP="00DC02F4">
      <w:pPr>
        <w:pStyle w:val="Quote2"/>
        <w:ind w:left="2160" w:hanging="720"/>
      </w:pPr>
      <w:r>
        <w:t>(b)</w:t>
      </w:r>
      <w:r>
        <w:tab/>
        <w:t>the assets of the judgment debtor, prospective judgment debtor or another person are:</w:t>
      </w:r>
    </w:p>
    <w:p w:rsidR="00DC02F4" w:rsidRDefault="00DC02F4" w:rsidP="00DC02F4">
      <w:pPr>
        <w:pStyle w:val="Quote3"/>
        <w:ind w:left="2880" w:hanging="720"/>
      </w:pPr>
      <w:r>
        <w:t>(i)</w:t>
      </w:r>
      <w:r>
        <w:tab/>
        <w:t>removed from Australia or from a place inside or outside Australia; or</w:t>
      </w:r>
    </w:p>
    <w:p w:rsidR="00DC02F4" w:rsidRDefault="00DC02F4" w:rsidP="00DC02F4">
      <w:pPr>
        <w:pStyle w:val="Quote3"/>
      </w:pPr>
      <w:r>
        <w:t>(ii)</w:t>
      </w:r>
      <w:r>
        <w:tab/>
        <w:t>disposed of, dealt with or diminished in value.</w:t>
      </w:r>
    </w:p>
    <w:p w:rsidR="00E91894" w:rsidRDefault="00E91894" w:rsidP="00DC02F4">
      <w:pPr>
        <w:pStyle w:val="ParaNumbering"/>
      </w:pPr>
      <w:r>
        <w:t xml:space="preserve">The upshot of the Deputy Commissioner’s </w:t>
      </w:r>
      <w:r w:rsidR="004B6A1D">
        <w:t>supplementary note is</w:t>
      </w:r>
      <w:r>
        <w:t xml:space="preserve"> the following submission:</w:t>
      </w:r>
    </w:p>
    <w:p w:rsidR="00E91894" w:rsidRPr="00767A4F" w:rsidRDefault="00E91894" w:rsidP="00E91894">
      <w:pPr>
        <w:pStyle w:val="Quote1"/>
      </w:pPr>
      <w:r>
        <w:t>… Until the Deputy Commissioner has had the opportunity to take all reasonable steps to enforce the judgment during its 12-year life, the object of rr 7.32 and 7.35, namely to prevent the frustration or inhibition of the Court’s process, is advanced by restraining all of Mr Huang’s assets worldwide.</w:t>
      </w:r>
    </w:p>
    <w:p w:rsidR="00E91894" w:rsidRDefault="00AA3AFF" w:rsidP="005E68AC">
      <w:pPr>
        <w:pStyle w:val="ParaNumbering"/>
      </w:pPr>
      <w:r>
        <w:t>Leaving aside the fact that these submissions seem to suggest a reversal of the onus of proof, the submissions suggest that little, if any, evidence is required before a worldwide freezing order is made and that it would only be in a clear case</w:t>
      </w:r>
      <w:r w:rsidR="00C146EB">
        <w:t xml:space="preserve"> where impossibility of enforcement of a judgment throughout the life of the judgment</w:t>
      </w:r>
      <w:r w:rsidR="009E45FD">
        <w:t xml:space="preserve"> was shown</w:t>
      </w:r>
      <w:r w:rsidR="00C146EB">
        <w:t xml:space="preserve"> that a freezing order would be refused.</w:t>
      </w:r>
    </w:p>
    <w:p w:rsidR="00C146EB" w:rsidRDefault="00C146EB" w:rsidP="005E68AC">
      <w:pPr>
        <w:pStyle w:val="ParaNumbering"/>
      </w:pPr>
      <w:r>
        <w:t>This seems to us a less demanding test than that applied by the primary judge.  Indeed, counsel for Mr Huang</w:t>
      </w:r>
      <w:r w:rsidR="00F65501">
        <w:t>,</w:t>
      </w:r>
      <w:r>
        <w:t xml:space="preserve"> while sensibl</w:t>
      </w:r>
      <w:r w:rsidR="003E5751">
        <w:t>y</w:t>
      </w:r>
      <w:r>
        <w:t>, if we may say, recognising that the Court would probably wish to deal with the merits of the Deputy Commissioner’s submissions, submitted that, not only was th</w:t>
      </w:r>
      <w:r w:rsidR="009E45FD">
        <w:t>e</w:t>
      </w:r>
      <w:r>
        <w:t xml:space="preserve"> supplementary note late, but it raised a matter which, if it was to be raised, should have been raised by a Notice of Contention.  </w:t>
      </w:r>
    </w:p>
    <w:p w:rsidR="00E91894" w:rsidRDefault="00C146EB" w:rsidP="00C146EB">
      <w:pPr>
        <w:pStyle w:val="ParaNumbering"/>
      </w:pPr>
      <w:r>
        <w:t>We do not think that the test postulated in the Deputy Commissioner’s supplementary note was the test applied by the primary judge.  We can illustrate why we reach that conclusion by reference to one of the matters the Deputy Commissioner relied on before the primary judge</w:t>
      </w:r>
      <w:r w:rsidR="00A563F2">
        <w:t xml:space="preserve"> and that was</w:t>
      </w:r>
      <w:r>
        <w:t xml:space="preserve"> the circumstance that the reservations in the Convention on Mut</w:t>
      </w:r>
      <w:r w:rsidR="002F052B">
        <w:t>ual Administrative Assistance</w:t>
      </w:r>
      <w:r>
        <w:t xml:space="preserve"> in Tax Matters apply</w:t>
      </w:r>
      <w:r w:rsidR="003E5751">
        <w:t>ing</w:t>
      </w:r>
      <w:r>
        <w:t xml:space="preserve"> to China and Hong Kong may be withdrawn or varied.  </w:t>
      </w:r>
      <w:r w:rsidR="00A563F2">
        <w:lastRenderedPageBreak/>
        <w:t xml:space="preserve">True it is that there is a power in the Convention for a party by notification to wholly or partly withdraw the reservation and that any such withdrawal takes effect on the date of receipt of the relevant notification.  </w:t>
      </w:r>
      <w:r>
        <w:t>We do not understand there to be any evidence that that is other than a theoretical possibility.  Although at one point in her reasons her Honour referred to one or more of the possibilities the Deputy Commissioner identified (see [</w:t>
      </w:r>
      <w:r>
        <w:fldChar w:fldCharType="begin" w:fldLock="1"/>
      </w:r>
      <w:r>
        <w:instrText xml:space="preserve"> REF _Ref46735427 \r \h </w:instrText>
      </w:r>
      <w:r>
        <w:fldChar w:fldCharType="separate"/>
      </w:r>
      <w:r w:rsidR="001D1DA2">
        <w:t>26</w:t>
      </w:r>
      <w:r>
        <w:fldChar w:fldCharType="end"/>
      </w:r>
      <w:r>
        <w:t>] above)</w:t>
      </w:r>
      <w:r w:rsidR="003E5751">
        <w:t>,</w:t>
      </w:r>
      <w:r>
        <w:t xml:space="preserve"> and her Honour’s list of possibilities</w:t>
      </w:r>
      <w:r w:rsidR="00A82B8D">
        <w:t xml:space="preserve"> was said by her to be inclusive</w:t>
      </w:r>
      <w:r w:rsidR="009E45FD">
        <w:t xml:space="preserve"> (see [</w:t>
      </w:r>
      <w:r w:rsidR="009E45FD">
        <w:fldChar w:fldCharType="begin" w:fldLock="1"/>
      </w:r>
      <w:r w:rsidR="009E45FD">
        <w:instrText xml:space="preserve"> REF _Ref46323239 \r \h </w:instrText>
      </w:r>
      <w:r w:rsidR="009E45FD">
        <w:fldChar w:fldCharType="separate"/>
      </w:r>
      <w:r w:rsidR="001D1DA2">
        <w:t>30</w:t>
      </w:r>
      <w:r w:rsidR="009E45FD">
        <w:fldChar w:fldCharType="end"/>
      </w:r>
      <w:r w:rsidR="009E45FD">
        <w:t>] above)</w:t>
      </w:r>
      <w:r w:rsidR="00A82B8D">
        <w:t xml:space="preserve">, we are disposed to agree with counsel for Mr Huang that her Honour’s list of possibilities is in the dispositive part of her Honour’s reasons and should be taken </w:t>
      </w:r>
      <w:r w:rsidR="002333F4">
        <w:t xml:space="preserve">to be </w:t>
      </w:r>
      <w:r w:rsidR="00A82B8D">
        <w:t>exhaustive.  In the end, it does not matter because, in our respectful opinion, neither test is the correct test</w:t>
      </w:r>
      <w:r w:rsidR="00E91894">
        <w:t>.</w:t>
      </w:r>
    </w:p>
    <w:p w:rsidR="00A3243B" w:rsidRDefault="00A66C26" w:rsidP="00A3243B">
      <w:pPr>
        <w:pStyle w:val="ParaNumbering"/>
      </w:pPr>
      <w:r>
        <w:t>The purpose of a freezing order as identified in r 7.32 is the prevention of the frustration o</w:t>
      </w:r>
      <w:r w:rsidR="00A3243B">
        <w:t>r</w:t>
      </w:r>
      <w:r>
        <w:t xml:space="preserve"> inhibition of the Court’s process by seeking to meet a danger that a judgment or prospective judgment of the Court will be wholly or partly unsatisfied. </w:t>
      </w:r>
      <w:r w:rsidR="00A3243B">
        <w:t xml:space="preserve">A freezing order is no doubt an important weapon in the Court’s arsenal, but it must not be used for a purpose beyond that identified in r 7.32.  As Deane J said in </w:t>
      </w:r>
      <w:r w:rsidR="00A3243B">
        <w:rPr>
          <w:i/>
        </w:rPr>
        <w:t xml:space="preserve">Jackson v Stirling Industries Ltd </w:t>
      </w:r>
      <w:r w:rsidR="00A3243B">
        <w:t>[1987] HCA 23; (1987) 162 CLR 612 (at 625):</w:t>
      </w:r>
    </w:p>
    <w:p w:rsidR="00A3243B" w:rsidRDefault="00A3243B" w:rsidP="00A3243B">
      <w:pPr>
        <w:pStyle w:val="Quote1"/>
      </w:pPr>
      <w:r>
        <w:t>Put in positive form, it appears to me that, when an order for the preservation of assets goes beyond simply restraining the defendant from disposing of specific assets until after judgment, it must be framed so as to come within the limits set by the purpose which it can properly be intended to serve. That purpose is not to create security for the plaintiff or to require a defendant to provide security as a condition of being allowed to defend the action against him. Nor is it to introduce, in effect, a new vulnerability to imprisonment for debt, or rather for alleged indebtedness, by requiring a defendant, under the duress of the threat of imprisonment for contempt of court, to find money, which he may or may not have (whether or not at some point of time it may have been available to him), to guarantee to a plaintiff that any judgment obtained will be satisfied. It is to prevent a defendant from disposing of his actual assets (including claims and expectancies) so as to frustrate the process of the court by depriving the plaintiff of the fruits of any judgment obtained in the action.</w:t>
      </w:r>
    </w:p>
    <w:p w:rsidR="00A66C26" w:rsidRDefault="00A66C26" w:rsidP="00A3243B">
      <w:pPr>
        <w:pStyle w:val="ParaNumbering"/>
      </w:pPr>
      <w:r>
        <w:t>If assets are beyond the reach of the Court’s enforcement processes, then a freezing order with respect to those assets is not for t</w:t>
      </w:r>
      <w:r w:rsidR="00A3243B">
        <w:t>he purpose identified in r 7.32 because there is no longer</w:t>
      </w:r>
      <w:r>
        <w:t xml:space="preserve"> </w:t>
      </w:r>
      <w:r w:rsidR="002333F4">
        <w:t>a</w:t>
      </w:r>
      <w:r w:rsidR="00A3243B">
        <w:t xml:space="preserve"> </w:t>
      </w:r>
      <w:r w:rsidR="00A82B8D">
        <w:t xml:space="preserve">realistic possibility that the </w:t>
      </w:r>
      <w:r w:rsidR="00A3243B">
        <w:t xml:space="preserve">removal or disposition of the assets will frustrate or inhibit the Court’s process such that a judgment or prospective judgment will be wholly or partly unsatisfied.  </w:t>
      </w:r>
    </w:p>
    <w:p w:rsidR="00A66C26" w:rsidRDefault="00A66C26" w:rsidP="00A66C26">
      <w:pPr>
        <w:pStyle w:val="ParaNumbering"/>
      </w:pPr>
      <w:r>
        <w:t xml:space="preserve">In our opinion, there must be a realistic possibility that any judgment obtained by the plaintiff can be enforced against assets of the defendant in the place to which the proposed order relates.  </w:t>
      </w:r>
      <w:r w:rsidR="00A3243B">
        <w:t>A test of “not impossible” is somewhat indefinite in meaning and, in our view, sets the bar too low.  A test of a realist</w:t>
      </w:r>
      <w:r w:rsidR="00A82B8D">
        <w:t>ic</w:t>
      </w:r>
      <w:r w:rsidR="00A3243B">
        <w:t xml:space="preserve"> possibility is consistent with the approach taken by the courts in </w:t>
      </w:r>
      <w:r w:rsidR="00A3243B">
        <w:lastRenderedPageBreak/>
        <w:t xml:space="preserve">determining what must be shown in terms of the risk of the removal of assets or the disposal of assets, matters to which a freezing order is directed.  </w:t>
      </w:r>
      <w:r w:rsidR="00A82B8D">
        <w:t xml:space="preserve">This last matter is either part of the same composite concept </w:t>
      </w:r>
      <w:r w:rsidR="009E45FD">
        <w:t xml:space="preserve">as the matter of enforcement </w:t>
      </w:r>
      <w:r w:rsidR="00A82B8D">
        <w:t xml:space="preserve">or, at least, </w:t>
      </w:r>
      <w:r w:rsidR="009E45FD">
        <w:t xml:space="preserve">it is </w:t>
      </w:r>
      <w:r w:rsidR="00A82B8D">
        <w:t xml:space="preserve">a closely allied concept.  </w:t>
      </w:r>
      <w:r w:rsidR="00A3243B">
        <w:t>A</w:t>
      </w:r>
      <w:r>
        <w:t>lthough the word “danger” in the rule does not mean that the risk of</w:t>
      </w:r>
      <w:r w:rsidR="00A82B8D">
        <w:t xml:space="preserve"> removal or</w:t>
      </w:r>
      <w:r>
        <w:t xml:space="preserve"> dissipation </w:t>
      </w:r>
      <w:r w:rsidR="00A3243B">
        <w:t>must be</w:t>
      </w:r>
      <w:r>
        <w:t xml:space="preserve"> more probable than not (</w:t>
      </w:r>
      <w:r>
        <w:rPr>
          <w:i/>
        </w:rPr>
        <w:t xml:space="preserve">Deputy Commissioner of </w:t>
      </w:r>
      <w:r w:rsidR="00D62129">
        <w:rPr>
          <w:i/>
        </w:rPr>
        <w:t>T</w:t>
      </w:r>
      <w:r>
        <w:rPr>
          <w:i/>
        </w:rPr>
        <w:t xml:space="preserve">axation v Chemical Trustee Limited (No 4) </w:t>
      </w:r>
      <w:r>
        <w:t xml:space="preserve">[2012] FCA 1064 at [23] per Perram J), it does mean </w:t>
      </w:r>
      <w:r w:rsidR="00A3243B">
        <w:t xml:space="preserve">that there must be </w:t>
      </w:r>
      <w:r>
        <w:t xml:space="preserve">a realistic possibility </w:t>
      </w:r>
      <w:r w:rsidR="00A3243B">
        <w:t>(</w:t>
      </w:r>
      <w:r>
        <w:t>as we have put it</w:t>
      </w:r>
      <w:r w:rsidR="00A3243B">
        <w:t>)</w:t>
      </w:r>
      <w:r>
        <w:t xml:space="preserve"> or a danger sufficiently substantial to warrant the grant of an injunction (</w:t>
      </w:r>
      <w:r>
        <w:rPr>
          <w:i/>
        </w:rPr>
        <w:t xml:space="preserve">Patterson v BTR Engineering (Aust) Ltd </w:t>
      </w:r>
      <w:r>
        <w:t>(1989) 18 NSWLR 319</w:t>
      </w:r>
      <w:r w:rsidR="00516F10">
        <w:t xml:space="preserve"> (</w:t>
      </w:r>
      <w:r w:rsidR="00516F10">
        <w:rPr>
          <w:i/>
        </w:rPr>
        <w:t>Patterson</w:t>
      </w:r>
      <w:r w:rsidR="00516F10">
        <w:t>)</w:t>
      </w:r>
      <w:r>
        <w:t xml:space="preserve"> at 325 per Gleeson CJ)</w:t>
      </w:r>
      <w:r w:rsidR="00A96CF9">
        <w:t>,</w:t>
      </w:r>
      <w:r>
        <w:t xml:space="preserve"> or a sufficient likelihood of risk of dissipation which, in the particular circumstances, justifies an asset preservation order (</w:t>
      </w:r>
      <w:r>
        <w:rPr>
          <w:i/>
        </w:rPr>
        <w:t xml:space="preserve">Victoria University of Technology v Wilson </w:t>
      </w:r>
      <w:r>
        <w:t>[2003] VSC 299 at [36] per Redlich J).</w:t>
      </w:r>
    </w:p>
    <w:p w:rsidR="003F3F8A" w:rsidRDefault="003F3F8A" w:rsidP="003F3F8A">
      <w:pPr>
        <w:pStyle w:val="ParaNumbering"/>
      </w:pPr>
      <w:r>
        <w:t xml:space="preserve">We do not consider that </w:t>
      </w:r>
      <w:r w:rsidR="00A82B8D">
        <w:t xml:space="preserve">there is </w:t>
      </w:r>
      <w:r>
        <w:t xml:space="preserve">anything in the two cases referred to by the Deputy Commissioner </w:t>
      </w:r>
      <w:r w:rsidR="00242549">
        <w:t>(</w:t>
      </w:r>
      <w:r>
        <w:rPr>
          <w:i/>
        </w:rPr>
        <w:t xml:space="preserve">PT Bayan Resources TBK v BCBC Singapore Pte Ltd </w:t>
      </w:r>
      <w:r>
        <w:t>[2015] HCA 36; (2015) 258 CLR 1 (</w:t>
      </w:r>
      <w:r w:rsidR="003F483F">
        <w:rPr>
          <w:i/>
        </w:rPr>
        <w:t>P</w:t>
      </w:r>
      <w:r>
        <w:rPr>
          <w:i/>
        </w:rPr>
        <w:t>T </w:t>
      </w:r>
      <w:r w:rsidRPr="003F3F8A">
        <w:rPr>
          <w:i/>
        </w:rPr>
        <w:t>Bayan</w:t>
      </w:r>
      <w:r>
        <w:t xml:space="preserve">) </w:t>
      </w:r>
      <w:r w:rsidRPr="003F3F8A">
        <w:t>and</w:t>
      </w:r>
      <w:r>
        <w:t xml:space="preserve"> </w:t>
      </w:r>
      <w:r>
        <w:rPr>
          <w:i/>
        </w:rPr>
        <w:t xml:space="preserve">Mercedes Benz AG v Leiduck </w:t>
      </w:r>
      <w:r>
        <w:t>[1996] AC 184 at 313–314</w:t>
      </w:r>
      <w:r w:rsidR="00242549">
        <w:t>)</w:t>
      </w:r>
      <w:r>
        <w:t xml:space="preserve"> </w:t>
      </w:r>
      <w:r w:rsidR="00A82B8D">
        <w:t>which</w:t>
      </w:r>
      <w:r>
        <w:t xml:space="preserve"> supports the test advanced by the Deputy Commissioner in </w:t>
      </w:r>
      <w:r w:rsidR="00B211E9">
        <w:t>her</w:t>
      </w:r>
      <w:r>
        <w:t xml:space="preserve"> supplementary note.  The passage in </w:t>
      </w:r>
      <w:r w:rsidR="00F969FC">
        <w:rPr>
          <w:i/>
        </w:rPr>
        <w:t>PT </w:t>
      </w:r>
      <w:r w:rsidRPr="003F3F8A">
        <w:rPr>
          <w:i/>
        </w:rPr>
        <w:t>Baya</w:t>
      </w:r>
      <w:r>
        <w:rPr>
          <w:i/>
        </w:rPr>
        <w:t>n</w:t>
      </w:r>
      <w:r>
        <w:t xml:space="preserve"> </w:t>
      </w:r>
      <w:r w:rsidR="00A82B8D">
        <w:t xml:space="preserve">which is </w:t>
      </w:r>
      <w:r>
        <w:t xml:space="preserve">relied on </w:t>
      </w:r>
      <w:r w:rsidR="00A82B8D">
        <w:t>i</w:t>
      </w:r>
      <w:r>
        <w:t>s as follows:</w:t>
      </w:r>
    </w:p>
    <w:p w:rsidR="003F3F8A" w:rsidRDefault="003F3F8A" w:rsidP="003F3F8A">
      <w:pPr>
        <w:pStyle w:val="Quote1"/>
      </w:pPr>
      <w:r w:rsidRPr="003F3F8A">
        <w:t xml:space="preserve">The actual holding in </w:t>
      </w:r>
      <w:r w:rsidRPr="003F3F8A">
        <w:rPr>
          <w:i/>
        </w:rPr>
        <w:t>Cardile v LED Builders Pty Ltd</w:t>
      </w:r>
      <w:r w:rsidRPr="003F3F8A">
        <w:t xml:space="preserve"> illustrates that the prospective enforcement process that a court might protect by making a freezing order can be a process contingent on factors in addition to the outcome of a substantive proceeding in that court.  The holding was that a freezing order can be made against a third party against whom no present cause of action exists and against whom no present proceeding has commenced.  It is enough that some future legal process (which might be contingent, for example, on the appointment by another court of a liquidator or a trustee in bankruptcy) may be available pursuant to which the third party may be obliged to contribute to the funds of the judgment debtor to help satisfy the judgment against the judgment debtor.</w:t>
      </w:r>
    </w:p>
    <w:p w:rsidR="003F3F8A" w:rsidRDefault="003F3F8A" w:rsidP="003F3F8A">
      <w:pPr>
        <w:pStyle w:val="BodyText"/>
      </w:pPr>
      <w:r>
        <w:t>(at [47] per French CJ, Kiefel J (as her Honour then was), Bell, Gageler and Gordon JJ; citation omitted).</w:t>
      </w:r>
    </w:p>
    <w:p w:rsidR="003F3F8A" w:rsidRDefault="003F3F8A" w:rsidP="003F3F8A">
      <w:pPr>
        <w:pStyle w:val="ParaNumbering"/>
      </w:pPr>
      <w:r>
        <w:t xml:space="preserve">This passage is not addressing the difference between a test of whether </w:t>
      </w:r>
      <w:r w:rsidR="009E45FD">
        <w:t xml:space="preserve">enforcement of </w:t>
      </w:r>
      <w:r>
        <w:t xml:space="preserve">a process is a possibility and a test of whether </w:t>
      </w:r>
      <w:r w:rsidR="009E45FD">
        <w:t xml:space="preserve">enforcement of a </w:t>
      </w:r>
      <w:r>
        <w:t xml:space="preserve">process is impossible within </w:t>
      </w:r>
      <w:r w:rsidR="00A82B8D">
        <w:t xml:space="preserve">the life of the judgment.  The word “may” in this passage means, we consider, that the postulated circumstance does not need to be more probable than not, but does not say anything about whether </w:t>
      </w:r>
      <w:r w:rsidR="009E45FD">
        <w:t xml:space="preserve">the circumstance </w:t>
      </w:r>
      <w:r w:rsidR="00A82B8D">
        <w:t>needs to be a realistic possibility</w:t>
      </w:r>
      <w:r>
        <w:t>.</w:t>
      </w:r>
    </w:p>
    <w:p w:rsidR="00A563F2" w:rsidRDefault="00A563F2" w:rsidP="003F3F8A">
      <w:pPr>
        <w:pStyle w:val="ParaNumbering"/>
      </w:pPr>
      <w:r>
        <w:t xml:space="preserve">We referred above to the reasons of Gleeson CJ in </w:t>
      </w:r>
      <w:r>
        <w:rPr>
          <w:i/>
        </w:rPr>
        <w:t>Patterson</w:t>
      </w:r>
      <w:r>
        <w:t>.  One further passage in his Honour’s reasons should be emphasised.  It is as follows (at 325):</w:t>
      </w:r>
    </w:p>
    <w:p w:rsidR="00A563F2" w:rsidRDefault="00516F10" w:rsidP="00516F10">
      <w:pPr>
        <w:pStyle w:val="Quote1"/>
      </w:pPr>
      <w:r>
        <w:lastRenderedPageBreak/>
        <w:t xml:space="preserve">The appellant submitted that the true test to be applied is whether the plaintiff has established the likelihood in question upon the balance of probabilities. This submission must fail. First, it is open to the theoretical objection concerning the conceptual difficulties involved in applying the standard of balance of probabilities to future, as distinct from past, events referred to by Lord Reid in </w:t>
      </w:r>
      <w:r w:rsidRPr="00516F10">
        <w:rPr>
          <w:i/>
        </w:rPr>
        <w:t>Davies v Taylor</w:t>
      </w:r>
      <w:r>
        <w:t xml:space="preserve"> [1974] AC 207 at 212. Secondly, it is too inflexible. It is not difficult to imagine situations in which justice and equity would require the granting of an injunction to prevent dissipation of assets pending the hearing of an action even though the risk of such dissipation may be assessed as being somewhat less probable than not. Thirdly, the test has been considered and rejected in England, for reasons which are convincing. It was specifically rejected by Mustill J in </w:t>
      </w:r>
      <w:r w:rsidRPr="00516F10">
        <w:rPr>
          <w:i/>
        </w:rPr>
        <w:t>Third Chandris Shipping Corporation v Unimarine SA</w:t>
      </w:r>
      <w:r>
        <w:t xml:space="preserve"> (at 652) and, at least by implication, by the Court of Appeal in </w:t>
      </w:r>
      <w:r w:rsidRPr="00516F10">
        <w:rPr>
          <w:i/>
        </w:rPr>
        <w:t>Ninemia Maritime Corporation v Trave</w:t>
      </w:r>
      <w:r>
        <w:t>.</w:t>
      </w:r>
    </w:p>
    <w:p w:rsidR="002333F4" w:rsidRDefault="002333F4" w:rsidP="002333F4">
      <w:pPr>
        <w:pStyle w:val="Quote1"/>
      </w:pPr>
      <w:r>
        <w:t>…</w:t>
      </w:r>
      <w:r w:rsidRPr="002333F4">
        <w:t xml:space="preserve"> </w:t>
      </w:r>
      <w:r>
        <w:t xml:space="preserve">In any event, for the reasons given by Giles J, I consider that the case was one in which the evidence fully justified the granting of a </w:t>
      </w:r>
      <w:proofErr w:type="spellStart"/>
      <w:r>
        <w:t>Mareva</w:t>
      </w:r>
      <w:proofErr w:type="spellEnd"/>
      <w:r>
        <w:t xml:space="preserve"> injunction. In particular, I consider that Giles J was correct in taking the view that the evidence as to the nature of the scheme in which the appellant was allegedly involved, which established a prima facie case against him, was such as to justify the conclusion that there was a danger that the appellant would dispose of assets in order to defeat any judgment that might be obtained against him and that such danger was sufficiently substantial to warrant the injunction</w:t>
      </w:r>
      <w:r w:rsidR="009C288F">
        <w:t>…</w:t>
      </w:r>
    </w:p>
    <w:p w:rsidR="00516F10" w:rsidRDefault="00516F10" w:rsidP="002E2D41">
      <w:pPr>
        <w:pStyle w:val="ParaNumbering"/>
      </w:pPr>
      <w:r>
        <w:t>We consider that a real</w:t>
      </w:r>
      <w:r w:rsidR="001C4F5D">
        <w:t>istic</w:t>
      </w:r>
      <w:r>
        <w:t xml:space="preserve"> possibility of enforcement in a foreign </w:t>
      </w:r>
      <w:r w:rsidR="001C4F5D">
        <w:t>State</w:t>
      </w:r>
      <w:r>
        <w:t xml:space="preserve"> </w:t>
      </w:r>
      <w:r w:rsidR="00371CC0">
        <w:t>is necessary</w:t>
      </w:r>
      <w:r w:rsidR="001C4F5D">
        <w:t xml:space="preserve">.  At the </w:t>
      </w:r>
      <w:r w:rsidR="00B84788">
        <w:t>same time</w:t>
      </w:r>
      <w:r w:rsidR="007854EC">
        <w:t>,</w:t>
      </w:r>
      <w:r w:rsidR="00B84788">
        <w:t xml:space="preserve"> and at the </w:t>
      </w:r>
      <w:r w:rsidR="001C4F5D">
        <w:t>risk of stating the obvious, we wish to make it clear that we are not laying down any general principle as to the evidence which will be necessary to satisfy that test.  Each case is likely to turn on all its circumstances and the cogency of the evidence and the inferences which can be drawn from it.</w:t>
      </w:r>
    </w:p>
    <w:p w:rsidR="003F3F8A" w:rsidRDefault="00A82B8D" w:rsidP="002E2D41">
      <w:pPr>
        <w:pStyle w:val="ParaNumbering"/>
      </w:pPr>
      <w:r>
        <w:t xml:space="preserve">The Deputy Commissioner submitted that </w:t>
      </w:r>
      <w:r w:rsidR="00516F10">
        <w:t>the primary judge’s de</w:t>
      </w:r>
      <w:r w:rsidR="001C4F5D">
        <w:t xml:space="preserve">cision was a discretionary one with respect to </w:t>
      </w:r>
      <w:r w:rsidR="00516F10">
        <w:t xml:space="preserve">a matter of practice and procedure and </w:t>
      </w:r>
      <w:r w:rsidR="001C4F5D">
        <w:t xml:space="preserve">that </w:t>
      </w:r>
      <w:r>
        <w:t xml:space="preserve">the principles in </w:t>
      </w:r>
      <w:r w:rsidR="003F3F8A" w:rsidRPr="00A82B8D">
        <w:rPr>
          <w:i/>
        </w:rPr>
        <w:t>House v The King</w:t>
      </w:r>
      <w:r w:rsidR="00F969FC" w:rsidRPr="00A82B8D">
        <w:rPr>
          <w:i/>
        </w:rPr>
        <w:t xml:space="preserve"> </w:t>
      </w:r>
      <w:r w:rsidR="00F969FC">
        <w:t>[1936] HCA 40;</w:t>
      </w:r>
      <w:r w:rsidR="003F3F8A" w:rsidRPr="00A82B8D">
        <w:rPr>
          <w:i/>
        </w:rPr>
        <w:t xml:space="preserve"> </w:t>
      </w:r>
      <w:r w:rsidR="00F969FC">
        <w:t>(1936) 55</w:t>
      </w:r>
      <w:r w:rsidR="003F3F8A">
        <w:t xml:space="preserve"> CLR 499 </w:t>
      </w:r>
      <w:r w:rsidR="00895CAF">
        <w:t>(</w:t>
      </w:r>
      <w:r w:rsidR="00895CAF">
        <w:rPr>
          <w:i/>
        </w:rPr>
        <w:t xml:space="preserve">House v The </w:t>
      </w:r>
      <w:r w:rsidR="00895CAF" w:rsidRPr="00895CAF">
        <w:rPr>
          <w:i/>
        </w:rPr>
        <w:t>King</w:t>
      </w:r>
      <w:r w:rsidR="00895CAF">
        <w:t xml:space="preserve">) </w:t>
      </w:r>
      <w:r w:rsidR="009E45FD">
        <w:t>(</w:t>
      </w:r>
      <w:r w:rsidRPr="00895CAF">
        <w:t>at</w:t>
      </w:r>
      <w:r>
        <w:t xml:space="preserve"> 505 per Dixon, Evatt and </w:t>
      </w:r>
      <w:proofErr w:type="spellStart"/>
      <w:r>
        <w:t>McTiernan</w:t>
      </w:r>
      <w:proofErr w:type="spellEnd"/>
      <w:r>
        <w:t xml:space="preserve"> JJ</w:t>
      </w:r>
      <w:r w:rsidR="009E45FD">
        <w:t>)</w:t>
      </w:r>
      <w:r>
        <w:t xml:space="preserve"> applied</w:t>
      </w:r>
      <w:r w:rsidR="001C4F5D">
        <w:t xml:space="preserve">. </w:t>
      </w:r>
      <w:r>
        <w:t xml:space="preserve"> Mr Huang was required </w:t>
      </w:r>
      <w:r w:rsidR="009E45FD">
        <w:t>to establish (</w:t>
      </w:r>
      <w:r>
        <w:t>and had not) an error within those principles.  No doubt the primary judge was required to evaluate a number of circumstanc</w:t>
      </w:r>
      <w:r w:rsidR="00F65501">
        <w:t xml:space="preserve">es in reaching </w:t>
      </w:r>
      <w:r w:rsidR="001C4F5D">
        <w:t>her</w:t>
      </w:r>
      <w:r w:rsidR="00F65501">
        <w:t xml:space="preserve"> decision, but her Honour</w:t>
      </w:r>
      <w:r>
        <w:t xml:space="preserve"> was not exercising a judicial discretion. </w:t>
      </w:r>
      <w:r w:rsidR="005A6860">
        <w:t xml:space="preserve"> The correctness standard of appellate review is applicable (see </w:t>
      </w:r>
      <w:r w:rsidR="005A6860">
        <w:rPr>
          <w:i/>
        </w:rPr>
        <w:t>Minister for Immigration and Border Protection v SZVFW</w:t>
      </w:r>
      <w:r w:rsidR="005A6860">
        <w:t xml:space="preserve"> [2018] HCA 30; (2019) 264 CLR 541 at [35]–[50] per Gageler J).  </w:t>
      </w:r>
      <w:r w:rsidR="009E45FD">
        <w:t>We should say that, i</w:t>
      </w:r>
      <w:r>
        <w:t xml:space="preserve">n any event, the error of the primary judge </w:t>
      </w:r>
      <w:r w:rsidR="003E5751">
        <w:t>—</w:t>
      </w:r>
      <w:r>
        <w:t xml:space="preserve"> the formulation and application of an incorrect legal test </w:t>
      </w:r>
      <w:r w:rsidR="003E5751">
        <w:t>—</w:t>
      </w:r>
      <w:r>
        <w:t xml:space="preserve"> </w:t>
      </w:r>
      <w:r w:rsidR="001C4F5D">
        <w:t>is</w:t>
      </w:r>
      <w:r>
        <w:t xml:space="preserve"> an error within the principles in </w:t>
      </w:r>
      <w:r>
        <w:rPr>
          <w:i/>
        </w:rPr>
        <w:t xml:space="preserve">House v The King. </w:t>
      </w:r>
      <w:r w:rsidR="003F3F8A">
        <w:t xml:space="preserve"> </w:t>
      </w:r>
    </w:p>
    <w:p w:rsidR="00A82B8D" w:rsidRDefault="00A82B8D" w:rsidP="003F3F8A">
      <w:pPr>
        <w:pStyle w:val="ParaNumbering"/>
      </w:pPr>
      <w:r>
        <w:t>It is now for this Court to determine this matter by reference to the correct test.</w:t>
      </w:r>
    </w:p>
    <w:p w:rsidR="003F3F8A" w:rsidRDefault="00A82B8D" w:rsidP="003F3F8A">
      <w:pPr>
        <w:pStyle w:val="ParaNumbering"/>
      </w:pPr>
      <w:r>
        <w:t>In our</w:t>
      </w:r>
      <w:r w:rsidR="003F3F8A">
        <w:t xml:space="preserve"> respectful opinion, none of the</w:t>
      </w:r>
      <w:r>
        <w:t xml:space="preserve"> </w:t>
      </w:r>
      <w:r w:rsidR="003F3F8A">
        <w:t>m</w:t>
      </w:r>
      <w:r>
        <w:t>atters relied on by the primary judge,</w:t>
      </w:r>
      <w:r w:rsidR="003F3F8A">
        <w:t xml:space="preserve"> either in</w:t>
      </w:r>
      <w:r w:rsidR="00CF0D20">
        <w:t>dividually or collectively</w:t>
      </w:r>
      <w:r>
        <w:t>,</w:t>
      </w:r>
      <w:r w:rsidR="00CF0D20">
        <w:t xml:space="preserve"> provide a basis for a conclusion that enforcement of a judgment in the PRC or Hong Kong</w:t>
      </w:r>
      <w:r w:rsidR="00B211E9">
        <w:t xml:space="preserve"> is a </w:t>
      </w:r>
      <w:r w:rsidR="00C34E98">
        <w:t xml:space="preserve">realistic </w:t>
      </w:r>
      <w:r w:rsidR="00B211E9">
        <w:t>possibility</w:t>
      </w:r>
      <w:r w:rsidR="00CF0D20">
        <w:t>.</w:t>
      </w:r>
    </w:p>
    <w:p w:rsidR="00CF0D20" w:rsidRDefault="00CF0D20" w:rsidP="003F3F8A">
      <w:pPr>
        <w:pStyle w:val="ParaNumbering"/>
      </w:pPr>
      <w:r>
        <w:lastRenderedPageBreak/>
        <w:t xml:space="preserve">The first matter relied on by her Honour is that there are exceptions to the presumption in </w:t>
      </w:r>
      <w:r>
        <w:rPr>
          <w:i/>
        </w:rPr>
        <w:t>Damberg v Damberg</w:t>
      </w:r>
      <w:r>
        <w:t xml:space="preserve">.  This is, if we may say, a rather shorthand way of </w:t>
      </w:r>
      <w:r w:rsidR="00C34E98">
        <w:t>mak</w:t>
      </w:r>
      <w:r w:rsidR="00684C83">
        <w:t>ing</w:t>
      </w:r>
      <w:r>
        <w:t xml:space="preserve"> </w:t>
      </w:r>
      <w:r w:rsidR="00C34E98">
        <w:t xml:space="preserve">the point </w:t>
      </w:r>
      <w:r>
        <w:t>that there are exceptions to the presumption that foreign law is the same as Australian law where a party with the onus fails to prove</w:t>
      </w:r>
      <w:r w:rsidR="00895CAF">
        <w:t xml:space="preserve"> the content of foreign law</w:t>
      </w:r>
      <w:r>
        <w:t>.  The presumption is a well</w:t>
      </w:r>
      <w:r w:rsidR="009E45FD">
        <w:noBreakHyphen/>
      </w:r>
      <w:r>
        <w:t xml:space="preserve">established one and </w:t>
      </w:r>
      <w:r>
        <w:rPr>
          <w:i/>
        </w:rPr>
        <w:t>Damberg v Damberg</w:t>
      </w:r>
      <w:r>
        <w:t xml:space="preserve"> is a relatively modern case in which the presumption is discussed </w:t>
      </w:r>
      <w:r w:rsidR="009E45FD">
        <w:t xml:space="preserve">in detail </w:t>
      </w:r>
      <w:r>
        <w:t>by Heydon JA (with whom Spigelman CJ and Sheller JA agreed).  After his Honour had identified the presumption and some of the authorities in support of it, he said (at [120]):</w:t>
      </w:r>
    </w:p>
    <w:p w:rsidR="00CF0D20" w:rsidRDefault="00CF0D20" w:rsidP="00CF0D20">
      <w:pPr>
        <w:pStyle w:val="Quote1"/>
      </w:pPr>
      <w:r>
        <w:t>However, there are numerous instances where the courts have refused to assume that foreign law is the same as the lex fori, and some where learned authors have opposed that course. It is not easy to classify the exceptions by reference to principle, and initially it is convenient to do so by jurisdiction and chronologically.</w:t>
      </w:r>
    </w:p>
    <w:p w:rsidR="00CF0D20" w:rsidRDefault="00CF0D20" w:rsidP="003E5751">
      <w:pPr>
        <w:pStyle w:val="NoNum"/>
      </w:pPr>
      <w:r>
        <w:t xml:space="preserve">There is then a learned and lengthy discussion of the exceptions </w:t>
      </w:r>
      <w:r w:rsidR="00895CAF">
        <w:t xml:space="preserve">by his Honour </w:t>
      </w:r>
      <w:r>
        <w:t>(</w:t>
      </w:r>
      <w:r w:rsidR="00B211E9">
        <w:t xml:space="preserve">at </w:t>
      </w:r>
      <w:r>
        <w:t xml:space="preserve">[121]–[147]) culminating in the following </w:t>
      </w:r>
      <w:r w:rsidR="00895CAF">
        <w:t xml:space="preserve">observation </w:t>
      </w:r>
      <w:r>
        <w:t>(at [162]):</w:t>
      </w:r>
    </w:p>
    <w:p w:rsidR="00CF0D20" w:rsidRDefault="00CF0D20" w:rsidP="00CF0D20">
      <w:pPr>
        <w:pStyle w:val="Quote1"/>
      </w:pPr>
      <w:r>
        <w:t>To state exhaustively when a court will not assume that the unproved</w:t>
      </w:r>
      <w:r w:rsidR="00ED191C">
        <w:t xml:space="preserve"> </w:t>
      </w:r>
      <w:r>
        <w:t>provisions of foreign law are identical with those of the lex fori would be a</w:t>
      </w:r>
      <w:r w:rsidR="00ED191C">
        <w:t xml:space="preserve"> </w:t>
      </w:r>
      <w:r>
        <w:t>difficult task. It is not necessary to perform it in this case</w:t>
      </w:r>
      <w:r w:rsidR="00ED191C">
        <w:t>…</w:t>
      </w:r>
    </w:p>
    <w:p w:rsidR="00ED191C" w:rsidRDefault="00ED191C" w:rsidP="00ED191C">
      <w:pPr>
        <w:pStyle w:val="ParaNumbering"/>
      </w:pPr>
      <w:r>
        <w:t xml:space="preserve">The primary judge did not identify any particular exceptions as possibly applicable and nor did the Deputy Commissioner in her submissions on the application for leave to appeal.  </w:t>
      </w:r>
      <w:r w:rsidR="00516F10">
        <w:t>The</w:t>
      </w:r>
      <w:r w:rsidR="00B51926">
        <w:t xml:space="preserve"> Deputy Commissioner went no further than identifying relevant paragraphs and said “especially at [143]”, a paragraph which addresses the “amorphous position” in United States law.  </w:t>
      </w:r>
      <w:r>
        <w:t>It seems</w:t>
      </w:r>
      <w:r w:rsidR="009E45FD">
        <w:t xml:space="preserve"> to us that</w:t>
      </w:r>
      <w:r>
        <w:t xml:space="preserve"> in the end, the point went no further than that there is a presumption, but there are exceptions to it.</w:t>
      </w:r>
    </w:p>
    <w:p w:rsidR="00ED191C" w:rsidRDefault="00ED191C" w:rsidP="00ED191C">
      <w:pPr>
        <w:pStyle w:val="ParaNumbering"/>
      </w:pPr>
      <w:r>
        <w:t>The significance of the presumption in this case lies in the fact that the law applied by the courts in this country will not countenance a claim by a foreign government</w:t>
      </w:r>
      <w:r w:rsidR="00242549">
        <w:t>,</w:t>
      </w:r>
      <w:r>
        <w:t xml:space="preserve"> directly or indirectly</w:t>
      </w:r>
      <w:r w:rsidR="00242549">
        <w:t>,</w:t>
      </w:r>
      <w:r>
        <w:t xml:space="preserve"> for the enforcement of a foreign revenue debt.  In a leading case of </w:t>
      </w:r>
      <w:r>
        <w:rPr>
          <w:i/>
        </w:rPr>
        <w:t>India v Taylor</w:t>
      </w:r>
      <w:r>
        <w:t>, Viscount Simonds described the rule as follows (at 508):</w:t>
      </w:r>
    </w:p>
    <w:p w:rsidR="00ED191C" w:rsidRDefault="00C34E98" w:rsidP="00C34E98">
      <w:pPr>
        <w:pStyle w:val="Quote1"/>
      </w:pPr>
      <w:r>
        <w:t xml:space="preserve">We proceed upon the assumption that there is a rule of the common law that our courts will not regard the revenue laws of other countries:  it is sometimes, not happily perhaps, called a rule of private international law:  it is at least a rule which is enforced with the knowledge that in foreign countries the same rule is observed. </w:t>
      </w:r>
    </w:p>
    <w:p w:rsidR="00ED191C" w:rsidRDefault="00ED191C" w:rsidP="00ED191C">
      <w:pPr>
        <w:pStyle w:val="ParaNumbering"/>
      </w:pPr>
      <w:r>
        <w:t xml:space="preserve">Lord Keith referred to the rule as being to the effect that in no circumstances will the courts </w:t>
      </w:r>
      <w:r w:rsidR="00895CAF">
        <w:t xml:space="preserve">enforce, </w:t>
      </w:r>
      <w:r>
        <w:t>direct</w:t>
      </w:r>
      <w:r w:rsidR="00895CAF">
        <w:t>ly or indirectly,</w:t>
      </w:r>
      <w:r>
        <w:t xml:space="preserve"> the revenue laws of another country (at 510).  </w:t>
      </w:r>
      <w:r w:rsidR="00895CAF">
        <w:t>His Lordship identifies the uncertainty surrounding the rationale for the rule</w:t>
      </w:r>
      <w:r w:rsidR="00242549">
        <w:t>,</w:t>
      </w:r>
      <w:r w:rsidR="00895CAF">
        <w:t xml:space="preserve"> referring on the one hand to the explanation provide</w:t>
      </w:r>
      <w:r w:rsidR="003E5751">
        <w:t>d</w:t>
      </w:r>
      <w:r w:rsidR="00895CAF">
        <w:t xml:space="preserve"> by Lord Mansfield CJ in </w:t>
      </w:r>
      <w:r w:rsidR="00355D7D">
        <w:rPr>
          <w:i/>
        </w:rPr>
        <w:t>Pl</w:t>
      </w:r>
      <w:r w:rsidR="00895CAF">
        <w:rPr>
          <w:i/>
        </w:rPr>
        <w:t>anch</w:t>
      </w:r>
      <w:r w:rsidR="00355D7D">
        <w:rPr>
          <w:i/>
        </w:rPr>
        <w:t>é</w:t>
      </w:r>
      <w:r w:rsidR="00895CAF">
        <w:rPr>
          <w:i/>
        </w:rPr>
        <w:t xml:space="preserve"> v Fletcher </w:t>
      </w:r>
      <w:r w:rsidR="00895CAF">
        <w:t>(1779) 1 Doug 25</w:t>
      </w:r>
      <w:r w:rsidR="00355D7D">
        <w:t>1,</w:t>
      </w:r>
      <w:r w:rsidR="00895CAF">
        <w:t xml:space="preserve"> 253; </w:t>
      </w:r>
      <w:r w:rsidR="00895CAF">
        <w:rPr>
          <w:i/>
        </w:rPr>
        <w:lastRenderedPageBreak/>
        <w:t>Holma</w:t>
      </w:r>
      <w:r w:rsidR="00355D7D">
        <w:rPr>
          <w:i/>
        </w:rPr>
        <w:t>n</w:t>
      </w:r>
      <w:r w:rsidR="00895CAF">
        <w:rPr>
          <w:i/>
        </w:rPr>
        <w:t xml:space="preserve"> v Johnson </w:t>
      </w:r>
      <w:r w:rsidR="00895CAF">
        <w:t>(1775) 1 Cowp 341, 343</w:t>
      </w:r>
      <w:r w:rsidR="00242549">
        <w:t>;</w:t>
      </w:r>
      <w:r w:rsidR="00895CAF">
        <w:t xml:space="preserve"> and </w:t>
      </w:r>
      <w:r w:rsidR="00355D7D">
        <w:rPr>
          <w:i/>
        </w:rPr>
        <w:t>Le</w:t>
      </w:r>
      <w:r w:rsidR="00895CAF">
        <w:rPr>
          <w:i/>
        </w:rPr>
        <w:t xml:space="preserve">ver v Fletcher </w:t>
      </w:r>
      <w:r w:rsidR="00355D7D">
        <w:t>(</w:t>
      </w:r>
      <w:r w:rsidR="00386661">
        <w:t xml:space="preserve">unreported, </w:t>
      </w:r>
      <w:r w:rsidR="00143A07">
        <w:t>Court of Common Pleas of England and Wales, Park</w:t>
      </w:r>
      <w:r w:rsidR="00B5032F">
        <w:t xml:space="preserve"> J</w:t>
      </w:r>
      <w:r w:rsidR="00143A07">
        <w:t xml:space="preserve">, </w:t>
      </w:r>
      <w:r w:rsidR="00355D7D">
        <w:t>17</w:t>
      </w:r>
      <w:r w:rsidR="00895CAF">
        <w:t xml:space="preserve">80), and that of Judge Learned Hand in </w:t>
      </w:r>
      <w:r w:rsidR="00895CAF">
        <w:rPr>
          <w:i/>
        </w:rPr>
        <w:t xml:space="preserve">Moore v Mitchell </w:t>
      </w:r>
      <w:r w:rsidR="00895CAF">
        <w:t>(1929) 30</w:t>
      </w:r>
      <w:r w:rsidR="000467AF">
        <w:t xml:space="preserve"> </w:t>
      </w:r>
      <w:r w:rsidR="00895CAF">
        <w:t>F, (2d) 600, 604 on the other.  H</w:t>
      </w:r>
      <w:r w:rsidR="009E45FD">
        <w:t>is Lordship</w:t>
      </w:r>
      <w:r>
        <w:t xml:space="preserve"> refers at some length to the decision of Kingsmill Moore J in </w:t>
      </w:r>
      <w:r>
        <w:rPr>
          <w:i/>
        </w:rPr>
        <w:t>Buchanan v McVey</w:t>
      </w:r>
      <w:r>
        <w:t xml:space="preserve">.  </w:t>
      </w:r>
      <w:r w:rsidR="00895CAF">
        <w:t>An important</w:t>
      </w:r>
      <w:r>
        <w:t xml:space="preserve"> point to note about that decision is that, although the claim in name was a claim by the liquidator of a company to recover company assets, the rule was applied because “it was in substance an attempt to enforce indirectly a claim to tax by the revenue authorities of another </w:t>
      </w:r>
      <w:r w:rsidR="00B211E9">
        <w:t>S</w:t>
      </w:r>
      <w:r>
        <w:t>tate</w:t>
      </w:r>
      <w:r w:rsidR="00684C83">
        <w:t>”</w:t>
      </w:r>
      <w:r>
        <w:t xml:space="preserve"> (Lord Keith at 510).</w:t>
      </w:r>
    </w:p>
    <w:p w:rsidR="00ED191C" w:rsidRDefault="00ED191C" w:rsidP="00ED191C">
      <w:pPr>
        <w:pStyle w:val="ParaNumbering"/>
      </w:pPr>
      <w:r>
        <w:t xml:space="preserve">In the more recent case cited by her Honour of </w:t>
      </w:r>
      <w:r>
        <w:rPr>
          <w:i/>
        </w:rPr>
        <w:t>Re Ayres</w:t>
      </w:r>
      <w:r w:rsidRPr="00ED191C">
        <w:t>¸</w:t>
      </w:r>
      <w:r>
        <w:t xml:space="preserve"> </w:t>
      </w:r>
      <w:r w:rsidRPr="00ED191C">
        <w:t>Lockhart J said (at 400):</w:t>
      </w:r>
    </w:p>
    <w:p w:rsidR="00ED191C" w:rsidRPr="00C34E98" w:rsidRDefault="00C34E98" w:rsidP="00C34E98">
      <w:pPr>
        <w:pStyle w:val="Quote1"/>
        <w:rPr>
          <w:i/>
        </w:rPr>
      </w:pPr>
      <w:r w:rsidRPr="00C34E98">
        <w:t>It is now well established that the English, Australian or New Zealand</w:t>
      </w:r>
      <w:r>
        <w:t xml:space="preserve"> </w:t>
      </w:r>
      <w:r w:rsidRPr="00C34E98">
        <w:t xml:space="preserve">courts will not, directly or indirectly, enforce the revenue laws of another country: </w:t>
      </w:r>
      <w:r w:rsidRPr="00C34E98">
        <w:rPr>
          <w:i/>
        </w:rPr>
        <w:t>Peter Buchanan Ltd v McVey</w:t>
      </w:r>
      <w:r w:rsidRPr="00C34E98">
        <w:t xml:space="preserve">; </w:t>
      </w:r>
      <w:r w:rsidRPr="00C34E98">
        <w:rPr>
          <w:i/>
        </w:rPr>
        <w:t>Government of India v Taylor</w:t>
      </w:r>
      <w:r w:rsidRPr="00C34E98">
        <w:t xml:space="preserve">; </w:t>
      </w:r>
      <w:r w:rsidRPr="00C34E98">
        <w:rPr>
          <w:i/>
        </w:rPr>
        <w:t>Municipal Council of Sydney v Bull</w:t>
      </w:r>
      <w:r w:rsidRPr="00C34E98">
        <w:t xml:space="preserve">, </w:t>
      </w:r>
      <w:r w:rsidRPr="00C34E98">
        <w:rPr>
          <w:i/>
        </w:rPr>
        <w:t>supra; Rossano v Manufacturers Life Insurance Co</w:t>
      </w:r>
      <w:r>
        <w:t xml:space="preserve">; </w:t>
      </w:r>
      <w:r w:rsidRPr="00C34E98">
        <w:rPr>
          <w:i/>
        </w:rPr>
        <w:t>Bath v B</w:t>
      </w:r>
      <w:r>
        <w:rPr>
          <w:i/>
        </w:rPr>
        <w:t xml:space="preserve">ritish and Malayan Trustees Ltd; </w:t>
      </w:r>
      <w:r w:rsidRPr="00C34E98">
        <w:rPr>
          <w:i/>
        </w:rPr>
        <w:t>Connor v Connor, supra.</w:t>
      </w:r>
    </w:p>
    <w:p w:rsidR="00C34E98" w:rsidRDefault="00C34E98" w:rsidP="00C34E98">
      <w:pPr>
        <w:pStyle w:val="BodyText"/>
      </w:pPr>
      <w:r>
        <w:t>(Citations omitted).</w:t>
      </w:r>
    </w:p>
    <w:p w:rsidR="001A2EB2" w:rsidRDefault="001A2EB2" w:rsidP="001A2EB2">
      <w:pPr>
        <w:pStyle w:val="ParaNumbering"/>
      </w:pPr>
      <w:r>
        <w:t xml:space="preserve">An appeal against the judgment of Lockhart J was dismissed: </w:t>
      </w:r>
      <w:r w:rsidRPr="00956705">
        <w:rPr>
          <w:i/>
        </w:rPr>
        <w:t xml:space="preserve">Ayres v Evans </w:t>
      </w:r>
      <w:r>
        <w:t xml:space="preserve">(1981) 56 FLR 235 </w:t>
      </w:r>
      <w:r w:rsidR="00956705">
        <w:t>(</w:t>
      </w:r>
      <w:r w:rsidR="00956705" w:rsidRPr="00956705">
        <w:rPr>
          <w:i/>
        </w:rPr>
        <w:t>Ayres</w:t>
      </w:r>
      <w:r w:rsidR="00956705">
        <w:t xml:space="preserve">) </w:t>
      </w:r>
      <w:r w:rsidRPr="00956705">
        <w:t>per</w:t>
      </w:r>
      <w:r>
        <w:t xml:space="preserve"> Fox, Northrop and McGregor JJ.  The rule against the enforcement of foreign revenue laws was recognised.  Each member of the Court did not apply the rule because the Official Receiver sought to get in property to the benefit of ordinary creditors as well as for revenue.  Because of that feature, it could not be said that the bankruptcy proceeding was the enforcement of a foreign revenue law.  However, Northrop and McGregor JJ decided the case on the broader basis that s 29 of the Bankruptcy Act abrogates that rule and requires the domestic court to assist the foreign trustee: </w:t>
      </w:r>
      <w:r w:rsidR="00956705">
        <w:t xml:space="preserve"> </w:t>
      </w:r>
      <w:r w:rsidRPr="00956705">
        <w:rPr>
          <w:i/>
        </w:rPr>
        <w:t>Ayres</w:t>
      </w:r>
      <w:r>
        <w:t xml:space="preserve"> at 248</w:t>
      </w:r>
      <w:r w:rsidR="00B5032F">
        <w:t>–</w:t>
      </w:r>
      <w:r>
        <w:t>249</w:t>
      </w:r>
      <w:r w:rsidR="00B5032F">
        <w:t xml:space="preserve"> (Northrop J) and 254 (McGregor </w:t>
      </w:r>
      <w:r>
        <w:t xml:space="preserve">J). </w:t>
      </w:r>
      <w:r w:rsidR="00B5032F">
        <w:t xml:space="preserve"> </w:t>
      </w:r>
      <w:r>
        <w:t xml:space="preserve">The Commissioner did not submit that the rule against enforcement of foreign revenue laws should be presumed to have been abrogated in Hong Kong on the basis that Hong Kong should be presumed to have a law equivalent to s 29 of the Bankruptcy Act. </w:t>
      </w:r>
      <w:r w:rsidR="00B5032F">
        <w:t xml:space="preserve"> </w:t>
      </w:r>
      <w:r>
        <w:t>There are perhaps three explanations for that position.  First, as discussed below, there is no likely prospect of a sequestration of Mr Hu</w:t>
      </w:r>
      <w:r w:rsidR="00956705">
        <w:t>a</w:t>
      </w:r>
      <w:r>
        <w:t xml:space="preserve">ng’s estate in Australia because the requirements of s 43 of the Bankruptcy Act could not be established.  Secondly, to the extent the law of Hong Kong was proved, it was not consistent with the existence of a law equivalent to s 29 of the Bankruptcy Act.  Thirdly, there is a question about whether the presumption as to foreign law is intended to operate in favour of a party whose obligation it is to prove the foreign law: </w:t>
      </w:r>
      <w:proofErr w:type="spellStart"/>
      <w:r w:rsidRPr="00956705">
        <w:rPr>
          <w:i/>
        </w:rPr>
        <w:t>Damberg</w:t>
      </w:r>
      <w:proofErr w:type="spellEnd"/>
      <w:r w:rsidRPr="00956705">
        <w:rPr>
          <w:i/>
        </w:rPr>
        <w:t xml:space="preserve"> v </w:t>
      </w:r>
      <w:proofErr w:type="spellStart"/>
      <w:r w:rsidRPr="00956705">
        <w:rPr>
          <w:i/>
        </w:rPr>
        <w:t>Damberg</w:t>
      </w:r>
      <w:proofErr w:type="spellEnd"/>
      <w:r>
        <w:t xml:space="preserve"> at [126], quoting Hunt J in </w:t>
      </w:r>
      <w:r w:rsidRPr="00956705">
        <w:rPr>
          <w:i/>
        </w:rPr>
        <w:t>BP Exploration Co (Libya) Ltd v Hunt</w:t>
      </w:r>
      <w:r>
        <w:t xml:space="preserve"> [1980] 1 NSWLR 496 at 503.  It is not necessary in those circumstances to consider the views expressed by Northrop and McGregor JJ.</w:t>
      </w:r>
    </w:p>
    <w:p w:rsidR="00B51926" w:rsidRDefault="00956705" w:rsidP="001A2EB2">
      <w:pPr>
        <w:pStyle w:val="ParaNumbering"/>
      </w:pPr>
      <w:r>
        <w:lastRenderedPageBreak/>
        <w:t>T</w:t>
      </w:r>
      <w:r w:rsidR="00ED191C">
        <w:t xml:space="preserve">he second matter relied upon by her Honour </w:t>
      </w:r>
      <w:r w:rsidR="00895CAF">
        <w:t>i</w:t>
      </w:r>
      <w:r w:rsidR="00ED191C">
        <w:t xml:space="preserve">s the potential use of bankruptcy procedures.  </w:t>
      </w:r>
      <w:r w:rsidR="00B51926">
        <w:t>As we understood it, the possibility involves the following.  First, the Deputy Commissioner</w:t>
      </w:r>
      <w:r w:rsidR="001D1DA2">
        <w:t>,</w:t>
      </w:r>
      <w:r w:rsidR="00B51926">
        <w:t xml:space="preserve"> relying on the judgment in her favour</w:t>
      </w:r>
      <w:r w:rsidR="001D1DA2">
        <w:t>,</w:t>
      </w:r>
      <w:r w:rsidR="00B51926">
        <w:t xml:space="preserve"> serves a bankruptcy notice on Mr Huang under s 41</w:t>
      </w:r>
      <w:r w:rsidR="00FF03BD">
        <w:t xml:space="preserve"> </w:t>
      </w:r>
      <w:r w:rsidR="00B51926">
        <w:t>of the Bankruptcy Act and then rel</w:t>
      </w:r>
      <w:r w:rsidR="00075596">
        <w:t>i</w:t>
      </w:r>
      <w:r w:rsidR="00B84788">
        <w:t>es</w:t>
      </w:r>
      <w:r w:rsidR="00B51926">
        <w:t xml:space="preserve"> on Mr Huang’s non-compliance as an act of bankruptcy under s 4</w:t>
      </w:r>
      <w:r w:rsidR="001C4F5D">
        <w:t>0</w:t>
      </w:r>
      <w:r w:rsidR="00B51926">
        <w:t xml:space="preserve"> of the Bankruptcy Act.  Second, the Deputy </w:t>
      </w:r>
      <w:r w:rsidR="00075596">
        <w:t>C</w:t>
      </w:r>
      <w:r w:rsidR="001C4F5D">
        <w:t>ommissioner then</w:t>
      </w:r>
      <w:r w:rsidR="00B51926">
        <w:t xml:space="preserve"> seek</w:t>
      </w:r>
      <w:r w:rsidR="001C4F5D">
        <w:t>s</w:t>
      </w:r>
      <w:r w:rsidR="00B51926">
        <w:t xml:space="preserve"> recognition and enforcement of the insolvency administration relying on the fact that the courts in Hong Kong will recognise and assist in the case of foreign insolvencies (see the cases referred to in [</w:t>
      </w:r>
      <w:r w:rsidR="00B51926">
        <w:fldChar w:fldCharType="begin" w:fldLock="1"/>
      </w:r>
      <w:r w:rsidR="00B51926">
        <w:instrText xml:space="preserve"> REF _Ref46736705 \r \h </w:instrText>
      </w:r>
      <w:r w:rsidR="00B51926">
        <w:fldChar w:fldCharType="separate"/>
      </w:r>
      <w:r w:rsidR="001D1DA2">
        <w:t>25</w:t>
      </w:r>
      <w:r w:rsidR="00B51926">
        <w:fldChar w:fldCharType="end"/>
      </w:r>
      <w:r w:rsidR="00B51926">
        <w:t xml:space="preserve">] above).  Third, this process is unaffected </w:t>
      </w:r>
      <w:r w:rsidR="00075596">
        <w:t>by</w:t>
      </w:r>
      <w:r w:rsidR="00B51926">
        <w:t xml:space="preserve"> the rule that the courts of one State will not enforce the revenue laws of a foreign State.</w:t>
      </w:r>
    </w:p>
    <w:p w:rsidR="005E49C0" w:rsidRDefault="001C4F5D" w:rsidP="00ED191C">
      <w:pPr>
        <w:pStyle w:val="ParaNumbering"/>
      </w:pPr>
      <w:r>
        <w:t>Whether</w:t>
      </w:r>
      <w:r w:rsidR="00B51926">
        <w:t xml:space="preserve"> bankruptcy proceedings are part of the “Court’s process” within r 7.32 of the Rules</w:t>
      </w:r>
      <w:r>
        <w:t xml:space="preserve"> may be debated</w:t>
      </w:r>
      <w:r w:rsidR="00B51926">
        <w:t xml:space="preserve">.  We do not need to pause on that because they are undoubtedly an enforcement process that can be taken into account in deciding whether to make a freezing order.  The High Court said as much in </w:t>
      </w:r>
      <w:r w:rsidR="00B51926">
        <w:rPr>
          <w:i/>
        </w:rPr>
        <w:t>Ca</w:t>
      </w:r>
      <w:r w:rsidR="00F9202A">
        <w:rPr>
          <w:i/>
        </w:rPr>
        <w:t>r</w:t>
      </w:r>
      <w:r w:rsidR="00B51926">
        <w:rPr>
          <w:i/>
        </w:rPr>
        <w:t xml:space="preserve">dile </w:t>
      </w:r>
      <w:r w:rsidR="00B51926">
        <w:t>at [57] (see [</w:t>
      </w:r>
      <w:r w:rsidR="00B51926">
        <w:fldChar w:fldCharType="begin" w:fldLock="1"/>
      </w:r>
      <w:r w:rsidR="00B51926">
        <w:instrText xml:space="preserve"> REF _Ref46991554 \r \h </w:instrText>
      </w:r>
      <w:r w:rsidR="00B51926">
        <w:fldChar w:fldCharType="separate"/>
      </w:r>
      <w:r w:rsidR="001D1DA2">
        <w:t>27</w:t>
      </w:r>
      <w:r w:rsidR="00B51926">
        <w:fldChar w:fldCharType="end"/>
      </w:r>
      <w:r w:rsidR="00B51926">
        <w:t xml:space="preserve">] above) in the context of orders against third parties and </w:t>
      </w:r>
      <w:r>
        <w:t xml:space="preserve">we consider that </w:t>
      </w:r>
      <w:r w:rsidR="00B51926">
        <w:t xml:space="preserve">the case </w:t>
      </w:r>
      <w:r>
        <w:t xml:space="preserve">for a similar conclusion </w:t>
      </w:r>
      <w:r w:rsidR="00B51926">
        <w:t xml:space="preserve">is as strong, if not stronger, in the case of orders against judgment debtors or prospective judgment debtors.  </w:t>
      </w:r>
      <w:r w:rsidR="005E49C0">
        <w:t xml:space="preserve">The primary judge did not make a finding about the prospect of Mr Huang being made bankrupt in Australia.  Her Honour referred to Mr Huang’s argument in </w:t>
      </w:r>
      <w:r>
        <w:t>relation to</w:t>
      </w:r>
      <w:r w:rsidR="005E49C0">
        <w:t xml:space="preserve"> s 43(1)</w:t>
      </w:r>
      <w:r w:rsidR="00075596">
        <w:t>(</w:t>
      </w:r>
      <w:r w:rsidR="005E49C0">
        <w:t xml:space="preserve">b) of the Bankruptcy Act, but </w:t>
      </w:r>
      <w:r w:rsidR="00371CC0">
        <w:t xml:space="preserve">did not </w:t>
      </w:r>
      <w:r>
        <w:t>express an</w:t>
      </w:r>
      <w:r w:rsidR="005E49C0">
        <w:t xml:space="preserve"> opinion as to the merits of the argument.  In our view, </w:t>
      </w:r>
      <w:r w:rsidR="004933CF">
        <w:t>the section</w:t>
      </w:r>
      <w:r w:rsidR="005E49C0">
        <w:t xml:space="preserve"> m</w:t>
      </w:r>
      <w:r>
        <w:t>e</w:t>
      </w:r>
      <w:r w:rsidR="005E49C0">
        <w:t>a</w:t>
      </w:r>
      <w:r>
        <w:t>n</w:t>
      </w:r>
      <w:r w:rsidR="005E49C0">
        <w:t>s</w:t>
      </w:r>
      <w:r w:rsidR="004933CF">
        <w:t xml:space="preserve">, as we have said, that there is no likely prospect of a sequestration of </w:t>
      </w:r>
      <w:r>
        <w:t>Mr Huang</w:t>
      </w:r>
      <w:r w:rsidR="004933CF">
        <w:t>’s estate</w:t>
      </w:r>
      <w:r>
        <w:t xml:space="preserve"> </w:t>
      </w:r>
      <w:r w:rsidR="005E49C0">
        <w:t>in Australia</w:t>
      </w:r>
      <w:r w:rsidR="004933CF">
        <w:t>.</w:t>
      </w:r>
      <w:r w:rsidR="005E49C0">
        <w:t xml:space="preserve">  At all events, the fact the courts in Hong Kong will provide certain forms of assistance to liquidators of companies and trustees in bankruptcy appointed in </w:t>
      </w:r>
      <w:r w:rsidR="00075596">
        <w:t xml:space="preserve">a </w:t>
      </w:r>
      <w:r w:rsidR="005E49C0">
        <w:t>foreign jurisdiction must also accommodate the principle that under Austra</w:t>
      </w:r>
      <w:r w:rsidR="00075596">
        <w:t>lian law and, insofar as proved</w:t>
      </w:r>
      <w:r>
        <w:t>,</w:t>
      </w:r>
      <w:r w:rsidR="00075596">
        <w:t xml:space="preserve"> </w:t>
      </w:r>
      <w:r w:rsidR="005E49C0">
        <w:t>Hong Kong law</w:t>
      </w:r>
      <w:r>
        <w:t xml:space="preserve"> (see [</w:t>
      </w:r>
      <w:r>
        <w:fldChar w:fldCharType="begin" w:fldLock="1"/>
      </w:r>
      <w:r>
        <w:instrText xml:space="preserve"> REF _Ref46330322 \r \h </w:instrText>
      </w:r>
      <w:r>
        <w:fldChar w:fldCharType="separate"/>
      </w:r>
      <w:r w:rsidR="001D1DA2">
        <w:t>21</w:t>
      </w:r>
      <w:r>
        <w:fldChar w:fldCharType="end"/>
      </w:r>
      <w:r>
        <w:t>] above)</w:t>
      </w:r>
      <w:r w:rsidR="005E49C0">
        <w:t xml:space="preserve">, the courts will not enforce, directly or indirectly, the revenue laws of a foreign State.  The two Hong Kong authorities make it clear that the rule applies in the case of indirect as well as direct enforcement and in </w:t>
      </w:r>
      <w:r w:rsidR="00DC2ED9">
        <w:t>one of</w:t>
      </w:r>
      <w:r w:rsidR="005E49C0">
        <w:t xml:space="preserve"> the Hong Kong assistance cases (</w:t>
      </w:r>
      <w:r w:rsidR="00075596">
        <w:rPr>
          <w:i/>
        </w:rPr>
        <w:t>Chen Li Hung v Ting Lei</w:t>
      </w:r>
      <w:r w:rsidR="007854EC">
        <w:rPr>
          <w:i/>
        </w:rPr>
        <w:t xml:space="preserve"> Miao</w:t>
      </w:r>
      <w:r w:rsidR="00DC2ED9">
        <w:t>)</w:t>
      </w:r>
      <w:r w:rsidR="005E49C0">
        <w:t>, Lord Cooke said (at 25):</w:t>
      </w:r>
    </w:p>
    <w:p w:rsidR="005E49C0" w:rsidRDefault="00DC2ED9" w:rsidP="00DC2ED9">
      <w:pPr>
        <w:pStyle w:val="Quote1"/>
      </w:pPr>
      <w:r>
        <w:t>Here the public interest of the society points to the enforceability in Hong Kong of the Taiwan bankruptcy order. The interests to be protected thereby are those of the creditors in the bankruptcy, not those of the Taiwan Government. If the Taiwan Government were the sole or perhaps the main creditor, the position might be different. As it is, however, the creditors appear to be predominantly residents of Taiwan who have invested in Mr Ting’s companies.</w:t>
      </w:r>
    </w:p>
    <w:p w:rsidR="002E2D41" w:rsidRDefault="002E2D41" w:rsidP="00D75D8E">
      <w:pPr>
        <w:pStyle w:val="NoNum"/>
      </w:pPr>
      <w:r>
        <w:t>The question is one of substance not form:  is the claim really brought to collect the debts of a foreign revenue (</w:t>
      </w:r>
      <w:r>
        <w:rPr>
          <w:i/>
        </w:rPr>
        <w:t>Buchanan v McVey</w:t>
      </w:r>
      <w:r>
        <w:t xml:space="preserve"> at 529 per </w:t>
      </w:r>
      <w:proofErr w:type="spellStart"/>
      <w:r>
        <w:t>Kingsmill</w:t>
      </w:r>
      <w:proofErr w:type="spellEnd"/>
      <w:r>
        <w:t xml:space="preserve"> Moore J)</w:t>
      </w:r>
      <w:r w:rsidR="003F483F">
        <w:t>?</w:t>
      </w:r>
      <w:r w:rsidR="001C4F5D">
        <w:t xml:space="preserve">  On the evidence, the </w:t>
      </w:r>
      <w:r w:rsidR="001C4F5D">
        <w:lastRenderedPageBreak/>
        <w:t>Deputy Commissioner would be the sole or, at least, the principal creditor in a bankruptcy of Mr Huang.</w:t>
      </w:r>
    </w:p>
    <w:p w:rsidR="00A3243B" w:rsidRDefault="00A3243B" w:rsidP="00ED191C">
      <w:pPr>
        <w:pStyle w:val="ParaNumbering"/>
      </w:pPr>
      <w:r>
        <w:t xml:space="preserve">The third matter relied on by her Honour is the potential willingness of the courts of Hong Kong </w:t>
      </w:r>
      <w:r w:rsidR="009E45FD">
        <w:t xml:space="preserve">and China </w:t>
      </w:r>
      <w:r>
        <w:t xml:space="preserve">to enforce Australian insolvency laws.  </w:t>
      </w:r>
      <w:r w:rsidR="000467AF">
        <w:t>It is difficult to see what this matter adds to the previous matter.  In any event, it must be rejected for the same reasons.</w:t>
      </w:r>
    </w:p>
    <w:p w:rsidR="008634C3" w:rsidRDefault="008634C3" w:rsidP="00ED191C">
      <w:pPr>
        <w:pStyle w:val="ParaNumbering"/>
      </w:pPr>
      <w:r>
        <w:t>The fourth matter relied on by her Honour is the possibility of Mr Huang moving assets to other jurisdictions where enforcement is readily available.  There is no evidence in this case of Mr Huang threatening to do this and it is, in fact, a theoretical possibility.  We do not think that this could be a basis for an order</w:t>
      </w:r>
      <w:r w:rsidR="000467AF">
        <w:t xml:space="preserve"> restraining the disposition</w:t>
      </w:r>
      <w:r w:rsidR="001A2EB2">
        <w:t xml:space="preserve"> or diminution</w:t>
      </w:r>
      <w:r w:rsidR="000467AF">
        <w:t xml:space="preserve"> of assets in jurisdictions where enforcement is not a realistic possibility</w:t>
      </w:r>
      <w:r>
        <w:t>.  Were it otherwise, it would justify an order in every case.</w:t>
      </w:r>
    </w:p>
    <w:p w:rsidR="008634C3" w:rsidRDefault="008634C3" w:rsidP="004933CF">
      <w:pPr>
        <w:pStyle w:val="ParaNumbering"/>
      </w:pPr>
      <w:r>
        <w:t xml:space="preserve">The final matter relied on by her Honour is the potential willingness of the courts of China and Hong Kong to enforce Australian laws relating to the payments of penalties and interest.  We do not think this is a matter </w:t>
      </w:r>
      <w:r w:rsidR="008B5EDE">
        <w:t>that</w:t>
      </w:r>
      <w:r>
        <w:t xml:space="preserve"> can be relied upon</w:t>
      </w:r>
      <w:r w:rsidR="009E45FD">
        <w:t xml:space="preserve"> in considering </w:t>
      </w:r>
      <w:r w:rsidR="001C4F5D">
        <w:t xml:space="preserve">the </w:t>
      </w:r>
      <w:r w:rsidR="009E45FD">
        <w:t>possibilities of enforcement</w:t>
      </w:r>
      <w:r>
        <w:t>.  The penalties and interest follow from the tax which is owed by reason of Australian revenue laws and arise by reason of those laws.  They are part of the same revenue laws that give rise to the tax liability.</w:t>
      </w:r>
      <w:r w:rsidR="005E49C0">
        <w:t xml:space="preserve">  </w:t>
      </w:r>
      <w:r w:rsidR="004933CF" w:rsidRPr="004933CF">
        <w:t xml:space="preserve">Mr Huang submitted that it was not open to the Deputy Commissioner to argue that penalties and interest may not fall within the reservations in the Convention in light of her failure to adduce evidence of the </w:t>
      </w:r>
      <w:r w:rsidR="002F6FEF">
        <w:t>Convention in accordance with s </w:t>
      </w:r>
      <w:r w:rsidR="004933CF" w:rsidRPr="004933CF">
        <w:t xml:space="preserve">174 of the </w:t>
      </w:r>
      <w:r w:rsidR="004933CF" w:rsidRPr="002F6FEF">
        <w:rPr>
          <w:i/>
        </w:rPr>
        <w:t>Evidence Act 1995</w:t>
      </w:r>
      <w:r w:rsidR="004933CF" w:rsidRPr="004933CF">
        <w:t xml:space="preserve"> (</w:t>
      </w:r>
      <w:proofErr w:type="spellStart"/>
      <w:r w:rsidR="004933CF" w:rsidRPr="004933CF">
        <w:t>Ct</w:t>
      </w:r>
      <w:r w:rsidR="002F6FEF">
        <w:t>h</w:t>
      </w:r>
      <w:proofErr w:type="spellEnd"/>
      <w:r w:rsidR="002F6FEF">
        <w:t>)</w:t>
      </w:r>
      <w:r w:rsidR="005E49C0">
        <w:t xml:space="preserve">.  Absent the Convention, it is not open to the Deputy Commissioner to suggest something about the meaning of tax claims in the Convention.  </w:t>
      </w:r>
      <w:r w:rsidR="001C4F5D">
        <w:t>We do not need to consider this submission because we are of the view that penalties and interest are within the rule against the enforcement of the revenue laws of a foreign State.</w:t>
      </w:r>
    </w:p>
    <w:p w:rsidR="001C4F5D" w:rsidRDefault="001C4F5D" w:rsidP="00ED191C">
      <w:pPr>
        <w:pStyle w:val="ParaNumbering"/>
      </w:pPr>
      <w:r>
        <w:t>In our opinion, there was no realistic possibility that the Deputy Commissioner’s judgment debt wo</w:t>
      </w:r>
      <w:r w:rsidR="00B84788">
        <w:t>u</w:t>
      </w:r>
      <w:r w:rsidR="002F6FEF">
        <w:t>ld be enforceable</w:t>
      </w:r>
      <w:r>
        <w:t xml:space="preserve"> in the PRC or Hong Kong.</w:t>
      </w:r>
    </w:p>
    <w:p w:rsidR="000467AF" w:rsidRDefault="000467AF" w:rsidP="00ED191C">
      <w:pPr>
        <w:pStyle w:val="ParaNumbering"/>
      </w:pPr>
      <w:r>
        <w:t xml:space="preserve">The Deputy Commissioner submitted that if we were against her, nevertheless we should </w:t>
      </w:r>
      <w:r w:rsidR="009E45FD">
        <w:t xml:space="preserve">do no more than </w:t>
      </w:r>
      <w:r>
        <w:t>remove Hong Kong and the PRC from the orders which are challenged.  We see no basis to proceed in that way which is inconsistent with the reasons we have given.</w:t>
      </w:r>
    </w:p>
    <w:p w:rsidR="009E45FD" w:rsidRDefault="00D0116D" w:rsidP="00ED191C">
      <w:pPr>
        <w:pStyle w:val="ParaNumbering"/>
      </w:pPr>
      <w:bookmarkStart w:id="27" w:name="_Ref48545642"/>
      <w:r>
        <w:t>The</w:t>
      </w:r>
      <w:r w:rsidR="000467AF">
        <w:t xml:space="preserve"> asset</w:t>
      </w:r>
      <w:r>
        <w:t xml:space="preserve"> disclosure order </w:t>
      </w:r>
      <w:r w:rsidR="009E45FD">
        <w:t>is an ancillary order and such an order is defined in r 7.33 as follows:</w:t>
      </w:r>
      <w:bookmarkEnd w:id="27"/>
    </w:p>
    <w:p w:rsidR="00DB3A1B" w:rsidRDefault="00DB3A1B" w:rsidP="00DB3A1B">
      <w:pPr>
        <w:pStyle w:val="Quote1"/>
        <w:ind w:left="1440" w:hanging="703"/>
      </w:pPr>
      <w:r>
        <w:t>(1)</w:t>
      </w:r>
      <w:r>
        <w:tab/>
        <w:t xml:space="preserve">The Court may make an order (an </w:t>
      </w:r>
      <w:r w:rsidRPr="00DB3A1B">
        <w:rPr>
          <w:b/>
          <w:i/>
        </w:rPr>
        <w:t>ancillary order</w:t>
      </w:r>
      <w:r>
        <w:t>) ancillary to a freezing order or prospective freezing order as the Court considers appropriate.</w:t>
      </w:r>
    </w:p>
    <w:p w:rsidR="00DB3A1B" w:rsidRDefault="00DB3A1B" w:rsidP="00DB3A1B">
      <w:pPr>
        <w:pStyle w:val="Quote1"/>
        <w:ind w:left="1440" w:hanging="703"/>
      </w:pPr>
      <w:r>
        <w:lastRenderedPageBreak/>
        <w:t>(2)</w:t>
      </w:r>
      <w:r>
        <w:tab/>
        <w:t>Without limiting the generality of subrule (1), an ancillary order may be made for either or both of the following purposes:</w:t>
      </w:r>
    </w:p>
    <w:p w:rsidR="00DB3A1B" w:rsidRDefault="00DB3A1B" w:rsidP="00DB3A1B">
      <w:pPr>
        <w:pStyle w:val="Quote2"/>
        <w:ind w:left="2160" w:hanging="720"/>
      </w:pPr>
      <w:r>
        <w:t>(a)</w:t>
      </w:r>
      <w:r>
        <w:tab/>
        <w:t>eliciting information relating to assets relevant to the freezing order or prospective freezing order;</w:t>
      </w:r>
    </w:p>
    <w:p w:rsidR="00DB3A1B" w:rsidRDefault="00DB3A1B" w:rsidP="00DB3A1B">
      <w:pPr>
        <w:pStyle w:val="Quote2"/>
      </w:pPr>
      <w:r>
        <w:t>(b)</w:t>
      </w:r>
      <w:r>
        <w:tab/>
        <w:t>determining whether the freezing order should be made.</w:t>
      </w:r>
    </w:p>
    <w:p w:rsidR="00D04647" w:rsidRDefault="009E45FD" w:rsidP="00075596">
      <w:pPr>
        <w:pStyle w:val="NoNum"/>
      </w:pPr>
      <w:r>
        <w:t xml:space="preserve">In this case, the </w:t>
      </w:r>
      <w:r w:rsidR="005E49C0">
        <w:t xml:space="preserve">order was made as part of the freezing order and the </w:t>
      </w:r>
      <w:r>
        <w:t xml:space="preserve">relevant paragraph is </w:t>
      </w:r>
      <w:r w:rsidR="002F6FEF">
        <w:t>r 7.33</w:t>
      </w:r>
      <w:r>
        <w:t>(2)(a).  A</w:t>
      </w:r>
      <w:r w:rsidR="000467AF">
        <w:t xml:space="preserve">lthough </w:t>
      </w:r>
      <w:r>
        <w:t xml:space="preserve">before the primary judge the </w:t>
      </w:r>
      <w:r w:rsidR="000467AF">
        <w:t>parties accepted that th</w:t>
      </w:r>
      <w:r w:rsidR="00DB3A1B">
        <w:t>e</w:t>
      </w:r>
      <w:r w:rsidR="000467AF">
        <w:t xml:space="preserve"> order </w:t>
      </w:r>
      <w:r w:rsidR="00DB3A1B">
        <w:t xml:space="preserve">requiring disclosure </w:t>
      </w:r>
      <w:r w:rsidR="00D0116D">
        <w:t xml:space="preserve">of assets </w:t>
      </w:r>
      <w:r w:rsidR="000467AF">
        <w:t xml:space="preserve">stood or fell with the freezing order, in this Court the Deputy Commissioner submitted that it should not be disturbed </w:t>
      </w:r>
      <w:r w:rsidR="005E49C0">
        <w:t xml:space="preserve">even if the relevant parts of the freezing order are </w:t>
      </w:r>
      <w:r w:rsidR="00075596">
        <w:t>set</w:t>
      </w:r>
      <w:r w:rsidR="005E49C0">
        <w:t xml:space="preserve"> </w:t>
      </w:r>
      <w:r w:rsidR="00075596">
        <w:t>aside</w:t>
      </w:r>
      <w:r w:rsidR="005E49C0">
        <w:t xml:space="preserve"> </w:t>
      </w:r>
      <w:r w:rsidR="000467AF">
        <w:t>because</w:t>
      </w:r>
      <w:r w:rsidR="00DB3A1B">
        <w:t xml:space="preserve"> </w:t>
      </w:r>
      <w:r w:rsidR="005E49C0">
        <w:t xml:space="preserve">the </w:t>
      </w:r>
      <w:r w:rsidR="00DB3A1B">
        <w:t>order</w:t>
      </w:r>
      <w:r w:rsidR="000467AF">
        <w:t xml:space="preserve"> </w:t>
      </w:r>
      <w:r w:rsidR="005E49C0">
        <w:t xml:space="preserve">has been fully performed and </w:t>
      </w:r>
      <w:r w:rsidR="000467AF">
        <w:t xml:space="preserve">is spent.  </w:t>
      </w:r>
      <w:r w:rsidR="00D04647">
        <w:t>The Court was told by the Deputy Commissioner that Mr Huang served an asset disclosure affidavit in accordance with the primary judge’s orders on 11 November 2019.  The Court was told by the Deputy Commissioner th</w:t>
      </w:r>
      <w:r w:rsidR="006C68F0">
        <w:t xml:space="preserve">at with the consent of Mr Huang, her Honour </w:t>
      </w:r>
      <w:r w:rsidR="00D04647">
        <w:t>made an order requiring him to serve a revised asset disclosure affidavit and that he has since complied with that order.  The Deputy Commissioner’s argument is that there</w:t>
      </w:r>
      <w:r w:rsidR="00FF03BD">
        <w:t xml:space="preserve"> </w:t>
      </w:r>
      <w:r w:rsidR="00D04647">
        <w:t>is no utility in setting aside the order and, in fact, it would b</w:t>
      </w:r>
      <w:r w:rsidR="00FF03BD">
        <w:t>e contrary to the overarching p</w:t>
      </w:r>
      <w:r w:rsidR="00D04647">
        <w:t>u</w:t>
      </w:r>
      <w:r w:rsidR="00FF03BD">
        <w:t>r</w:t>
      </w:r>
      <w:r w:rsidR="00D04647">
        <w:t>pose of the civil practice and procedure provis</w:t>
      </w:r>
      <w:r w:rsidR="00FF03BD">
        <w:t>i</w:t>
      </w:r>
      <w:r w:rsidR="00D04647">
        <w:t xml:space="preserve">ons as identified in s 37M of the </w:t>
      </w:r>
      <w:r w:rsidR="003F483F">
        <w:t>Ac</w:t>
      </w:r>
      <w:r w:rsidR="00D04647">
        <w:t>t to grant leave to appeal</w:t>
      </w:r>
      <w:r w:rsidR="002F6FEF">
        <w:t xml:space="preserve"> with respect to the order</w:t>
      </w:r>
      <w:r w:rsidR="00D04647">
        <w:t xml:space="preserve">.  Perhaps another way of putting this submission is that substantial injustice will not result should leave </w:t>
      </w:r>
      <w:r w:rsidR="00FF03BD">
        <w:t>be refused, supposing the decision at first instance to be wrong.</w:t>
      </w:r>
    </w:p>
    <w:p w:rsidR="00FF03BD" w:rsidRDefault="00FF03BD" w:rsidP="00D04647">
      <w:pPr>
        <w:pStyle w:val="ParaNumbering"/>
      </w:pPr>
      <w:r>
        <w:t>Mr Huang</w:t>
      </w:r>
      <w:r w:rsidR="00D0116D">
        <w:t>’s response to this submission is</w:t>
      </w:r>
      <w:r>
        <w:t xml:space="preserve"> as follows.  </w:t>
      </w:r>
      <w:r w:rsidR="00D0116D">
        <w:t>T</w:t>
      </w:r>
      <w:r>
        <w:t>he primary judge’s orders reserves to each party liberty to apply to vary or dis</w:t>
      </w:r>
      <w:r w:rsidR="006C68F0">
        <w:t>charge</w:t>
      </w:r>
      <w:r>
        <w:t xml:space="preserve"> the order and, in fact, this power was exercised by the Deputy Commissioner when she was not satisfied with Mr Huang’s first asset disclosure affidavit.  Mr Huang submits that it would be intolerable if the freezing order was set aside, but the Deputy Commissioner still had the right to seek directions with respect to his </w:t>
      </w:r>
      <w:r w:rsidR="006C68F0">
        <w:t xml:space="preserve">asset </w:t>
      </w:r>
      <w:r>
        <w:t xml:space="preserve">disclosure affidavit with respect to his overseas assets.  We agree that such a result would not be in accordance with law.  </w:t>
      </w:r>
    </w:p>
    <w:p w:rsidR="00FF03BD" w:rsidRDefault="00FF03BD" w:rsidP="00FF03BD">
      <w:pPr>
        <w:pStyle w:val="ParaNumbering"/>
      </w:pPr>
      <w:bookmarkStart w:id="28" w:name="_Ref48545664"/>
      <w:r>
        <w:t>The Deputy Commissioner’s submissions suggest that she considers that the asset disclosure order has now been complied with</w:t>
      </w:r>
      <w:r w:rsidR="00D0116D">
        <w:t xml:space="preserve"> and there is no need to set aside the order</w:t>
      </w:r>
      <w:r>
        <w:t xml:space="preserve">.  We do not doubt the Deputy Commissioner’s good faith, but we consider that an order made in error which may, absent (possibly) </w:t>
      </w:r>
      <w:r w:rsidR="00371CC0">
        <w:t>an undertaking</w:t>
      </w:r>
      <w:r w:rsidR="002F6FEF">
        <w:t>,</w:t>
      </w:r>
      <w:r w:rsidR="00371CC0">
        <w:t xml:space="preserve"> </w:t>
      </w:r>
      <w:r>
        <w:t>have consequences in the future, should be set aside.  We will so order.</w:t>
      </w:r>
      <w:bookmarkEnd w:id="28"/>
    </w:p>
    <w:p w:rsidR="008634C3" w:rsidRDefault="008634C3" w:rsidP="008634C3">
      <w:pPr>
        <w:pStyle w:val="Heading1"/>
      </w:pPr>
      <w:r>
        <w:lastRenderedPageBreak/>
        <w:t>Conclusion</w:t>
      </w:r>
    </w:p>
    <w:p w:rsidR="008634C3" w:rsidRDefault="008634C3" w:rsidP="008634C3">
      <w:pPr>
        <w:pStyle w:val="ParaNumbering"/>
      </w:pPr>
      <w:r>
        <w:t>Leave to appeal should be granted and the appeal must be allowed.</w:t>
      </w:r>
      <w:r w:rsidR="003E5751">
        <w:t xml:space="preserve">  The order made by the primary judge should be varied in the manner we have indicated. </w:t>
      </w:r>
      <w:r w:rsidR="005E49C0">
        <w:t xml:space="preserve">As the significance of the other changes </w:t>
      </w:r>
      <w:r w:rsidR="00D0116D">
        <w:t xml:space="preserve">between the order made by the primary judge and the order sought by Mr Huang </w:t>
      </w:r>
      <w:r w:rsidR="005E49C0">
        <w:t xml:space="preserve">is unclear, we </w:t>
      </w:r>
      <w:r w:rsidR="003E5751">
        <w:t>will give the parties the opportunity to agree the appropriate form of order in light of these reasons.</w:t>
      </w:r>
    </w:p>
    <w:p w:rsidR="00D4467E" w:rsidRDefault="00D4467E" w:rsidP="002E2D41">
      <w:pPr>
        <w:pStyle w:val="BodyText"/>
      </w:pPr>
      <w:bookmarkStart w:id="29" w:name="Certification"/>
    </w:p>
    <w:tbl>
      <w:tblPr>
        <w:tblW w:w="0" w:type="auto"/>
        <w:tblLook w:val="04A0" w:firstRow="1" w:lastRow="0" w:firstColumn="1" w:lastColumn="0" w:noHBand="0" w:noVBand="1"/>
      </w:tblPr>
      <w:tblGrid>
        <w:gridCol w:w="3794"/>
      </w:tblGrid>
      <w:tr w:rsidR="00D4467E" w:rsidRPr="00D4467E">
        <w:tc>
          <w:tcPr>
            <w:tcW w:w="3794" w:type="dxa"/>
            <w:shd w:val="clear" w:color="auto" w:fill="auto"/>
          </w:tcPr>
          <w:p w:rsidR="00D4467E" w:rsidRPr="00D4467E" w:rsidRDefault="00D4467E" w:rsidP="00D0116D">
            <w:pPr>
              <w:pStyle w:val="Normal1linespace"/>
            </w:pPr>
            <w:r w:rsidRPr="00D4467E">
              <w:t xml:space="preserve">I certify that the preceding </w:t>
            </w:r>
            <w:bookmarkStart w:id="30" w:name="NumberWord"/>
            <w:r w:rsidR="00F9202A">
              <w:t>six</w:t>
            </w:r>
            <w:r>
              <w:t>ty-</w:t>
            </w:r>
            <w:r w:rsidR="00D0116D">
              <w:t>seven</w:t>
            </w:r>
            <w:bookmarkEnd w:id="30"/>
            <w:r w:rsidRPr="00D4467E">
              <w:t xml:space="preserve"> (</w:t>
            </w:r>
            <w:bookmarkStart w:id="31" w:name="NumberNumeral"/>
            <w:r w:rsidR="00D0116D">
              <w:t>67</w:t>
            </w:r>
            <w:bookmarkEnd w:id="31"/>
            <w:r w:rsidRPr="00D4467E">
              <w:t xml:space="preserve">) numbered </w:t>
            </w:r>
            <w:bookmarkStart w:id="32" w:name="CertPara"/>
            <w:r>
              <w:t>paragraphs are</w:t>
            </w:r>
            <w:bookmarkEnd w:id="32"/>
            <w:r w:rsidRPr="00D4467E">
              <w:t xml:space="preserve"> a true copy of the Reasons for Judgment herein of the Honourable </w:t>
            </w:r>
            <w:bookmarkStart w:id="33" w:name="Justice"/>
            <w:r>
              <w:t>Justices Besanko, Thawley and Stewart</w:t>
            </w:r>
            <w:bookmarkEnd w:id="33"/>
            <w:r w:rsidRPr="00D4467E">
              <w:t>.</w:t>
            </w:r>
          </w:p>
        </w:tc>
      </w:tr>
    </w:tbl>
    <w:p w:rsidR="00D4467E" w:rsidRDefault="00D4467E" w:rsidP="002E2D41">
      <w:pPr>
        <w:pStyle w:val="BodyText"/>
      </w:pPr>
    </w:p>
    <w:p w:rsidR="00D4467E" w:rsidRDefault="00D4467E" w:rsidP="002E2D41">
      <w:pPr>
        <w:pStyle w:val="BodyText"/>
      </w:pPr>
    </w:p>
    <w:p w:rsidR="00D4467E" w:rsidRDefault="00D4467E" w:rsidP="002E2D41">
      <w:pPr>
        <w:pStyle w:val="BodyText"/>
      </w:pPr>
      <w:r>
        <w:t>Associate:</w:t>
      </w:r>
      <w:r w:rsidR="00BF74DF">
        <w:tab/>
      </w:r>
      <w:bookmarkStart w:id="34" w:name="_GoBack"/>
      <w:bookmarkEnd w:id="34"/>
    </w:p>
    <w:p w:rsidR="00D4467E" w:rsidRDefault="00D4467E" w:rsidP="002E2D41">
      <w:pPr>
        <w:pStyle w:val="BodyText"/>
      </w:pPr>
    </w:p>
    <w:p w:rsidR="00D4467E" w:rsidRPr="008634C3" w:rsidRDefault="00D4467E" w:rsidP="009E6B4E">
      <w:pPr>
        <w:pStyle w:val="BodyText"/>
        <w:tabs>
          <w:tab w:val="left" w:pos="1134"/>
        </w:tabs>
      </w:pPr>
      <w:r>
        <w:t>Dated:</w:t>
      </w:r>
      <w:r>
        <w:tab/>
      </w:r>
      <w:bookmarkStart w:id="35" w:name="CertifyDated"/>
      <w:r w:rsidR="007854EC">
        <w:t>17</w:t>
      </w:r>
      <w:r>
        <w:t xml:space="preserve"> </w:t>
      </w:r>
      <w:r w:rsidR="00404D34">
        <w:t xml:space="preserve">August </w:t>
      </w:r>
      <w:r>
        <w:t>2020</w:t>
      </w:r>
      <w:bookmarkEnd w:id="35"/>
      <w:bookmarkEnd w:id="29"/>
    </w:p>
    <w:sectPr w:rsidR="00D4467E" w:rsidRPr="008634C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41" w:rsidRDefault="002E2D41">
      <w:pPr>
        <w:spacing w:line="20" w:lineRule="exact"/>
      </w:pPr>
    </w:p>
    <w:p w:rsidR="002E2D41" w:rsidRDefault="002E2D41"/>
    <w:p w:rsidR="002E2D41" w:rsidRDefault="002E2D41"/>
  </w:endnote>
  <w:endnote w:type="continuationSeparator" w:id="0">
    <w:p w:rsidR="002E2D41" w:rsidRDefault="002E2D41">
      <w:r>
        <w:t xml:space="preserve"> </w:t>
      </w:r>
    </w:p>
    <w:p w:rsidR="002E2D41" w:rsidRDefault="002E2D41"/>
    <w:p w:rsidR="002E2D41" w:rsidRDefault="002E2D41"/>
  </w:endnote>
  <w:endnote w:type="continuationNotice" w:id="1">
    <w:p w:rsidR="002E2D41" w:rsidRDefault="002E2D41">
      <w:r>
        <w:t xml:space="preserve"> </w:t>
      </w:r>
    </w:p>
    <w:p w:rsidR="002E2D41" w:rsidRDefault="002E2D41"/>
    <w:p w:rsidR="002E2D41" w:rsidRDefault="002E2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41" w:rsidRPr="001D1DA2" w:rsidRDefault="002E2D41" w:rsidP="001D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41" w:rsidRPr="001D1DA2" w:rsidRDefault="002E2D41" w:rsidP="001D1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41" w:rsidRDefault="002E2D41"/>
    <w:p w:rsidR="002E2D41" w:rsidRDefault="002E2D41"/>
    <w:p w:rsidR="002E2D41" w:rsidRDefault="002E2D41"/>
  </w:footnote>
  <w:footnote w:type="continuationSeparator" w:id="0">
    <w:p w:rsidR="002E2D41" w:rsidRDefault="002E2D41">
      <w:r>
        <w:continuationSeparator/>
      </w:r>
    </w:p>
    <w:p w:rsidR="002E2D41" w:rsidRDefault="002E2D41"/>
    <w:p w:rsidR="002E2D41" w:rsidRDefault="002E2D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41" w:rsidRDefault="002E2D41">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41" w:rsidRDefault="002E2D4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41" w:rsidRDefault="002E2D4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41" w:rsidRDefault="002E2D41">
    <w:pPr>
      <w:tabs>
        <w:tab w:val="center" w:pos="4512"/>
      </w:tabs>
      <w:suppressAutoHyphens/>
    </w:pPr>
    <w:r>
      <w:tab/>
      <w:t xml:space="preserve">- </w:t>
    </w:r>
    <w:r>
      <w:fldChar w:fldCharType="begin"/>
    </w:r>
    <w:r>
      <w:instrText>page \* arabic</w:instrText>
    </w:r>
    <w:r>
      <w:fldChar w:fldCharType="separate"/>
    </w:r>
    <w:r w:rsidR="0069484E">
      <w:rPr>
        <w:noProof/>
      </w:rPr>
      <w:t>20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41" w:rsidRDefault="002E2D41">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hangran Huang"/>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759 of 2019"/>
    <w:docVar w:name="HearingDate" w:val="22 May 2020"/>
    <w:docVar w:name="Initiators" w:val="(and another named in the Schedule)"/>
    <w:docVar w:name="Judgdate" w:val="## 2020"/>
    <w:docVar w:name="Judge" w:val="Besanko, Thawley and Stewart"/>
    <w:docVar w:name="Justices" w:val="Justices"/>
    <w:docVar w:name="lstEntryList" w:val="-1"/>
    <w:docVar w:name="myEntryList" w:val="Counsel for the Applicant=Mr B Walker SC with Mr G Ng and Mr N Li|Solicitor for the Applicant=Unsworth Legal|Counsel for the Respondent=Mr A J McInerney SC with Mr L T Livingston|Solicitor for the Respondent=Craddock Murray Newmann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Taxation"/>
    <w:docVar w:name="RESAndAnother" w:val="True"/>
    <w:docVar w:name="RESAndOthers" w:val="False"/>
    <w:docVar w:name="Respondent" w:val="Deputy Commissioner of Taxation"/>
    <w:docVar w:name="ResState" w:val="New South Wales"/>
    <w:docVar w:name="SubArea" w:val="[none]"/>
  </w:docVars>
  <w:rsids>
    <w:rsidRoot w:val="001239D2"/>
    <w:rsid w:val="000062D2"/>
    <w:rsid w:val="0001469E"/>
    <w:rsid w:val="00015993"/>
    <w:rsid w:val="00022289"/>
    <w:rsid w:val="00032F9F"/>
    <w:rsid w:val="00041C07"/>
    <w:rsid w:val="00045BB7"/>
    <w:rsid w:val="000467AF"/>
    <w:rsid w:val="00055719"/>
    <w:rsid w:val="0005641B"/>
    <w:rsid w:val="00075596"/>
    <w:rsid w:val="00081497"/>
    <w:rsid w:val="000A2E76"/>
    <w:rsid w:val="000A4807"/>
    <w:rsid w:val="000A4BE4"/>
    <w:rsid w:val="000C023E"/>
    <w:rsid w:val="000C5195"/>
    <w:rsid w:val="000C62EF"/>
    <w:rsid w:val="000D2137"/>
    <w:rsid w:val="000D3FD2"/>
    <w:rsid w:val="000D4352"/>
    <w:rsid w:val="000E3FC8"/>
    <w:rsid w:val="000E6D8C"/>
    <w:rsid w:val="000E7BAE"/>
    <w:rsid w:val="000F133D"/>
    <w:rsid w:val="000F1626"/>
    <w:rsid w:val="0010536B"/>
    <w:rsid w:val="0011145C"/>
    <w:rsid w:val="001128BD"/>
    <w:rsid w:val="0011419D"/>
    <w:rsid w:val="00114D7B"/>
    <w:rsid w:val="001172F3"/>
    <w:rsid w:val="001239D2"/>
    <w:rsid w:val="00126149"/>
    <w:rsid w:val="00132054"/>
    <w:rsid w:val="00143A07"/>
    <w:rsid w:val="001727A4"/>
    <w:rsid w:val="0017376C"/>
    <w:rsid w:val="001738AB"/>
    <w:rsid w:val="001765E0"/>
    <w:rsid w:val="00177759"/>
    <w:rsid w:val="00185E6B"/>
    <w:rsid w:val="00185F5B"/>
    <w:rsid w:val="00187BBC"/>
    <w:rsid w:val="001932F3"/>
    <w:rsid w:val="001A2EB2"/>
    <w:rsid w:val="001A4309"/>
    <w:rsid w:val="001B1053"/>
    <w:rsid w:val="001B14AC"/>
    <w:rsid w:val="001B7940"/>
    <w:rsid w:val="001C101A"/>
    <w:rsid w:val="001C37CA"/>
    <w:rsid w:val="001C4F5D"/>
    <w:rsid w:val="001C7B09"/>
    <w:rsid w:val="001D1DA2"/>
    <w:rsid w:val="001D4303"/>
    <w:rsid w:val="001D6746"/>
    <w:rsid w:val="001E3B49"/>
    <w:rsid w:val="001E7388"/>
    <w:rsid w:val="001F13DD"/>
    <w:rsid w:val="001F2DBC"/>
    <w:rsid w:val="001F73E8"/>
    <w:rsid w:val="0020262C"/>
    <w:rsid w:val="00224537"/>
    <w:rsid w:val="002333F4"/>
    <w:rsid w:val="00235956"/>
    <w:rsid w:val="00242549"/>
    <w:rsid w:val="00247C9A"/>
    <w:rsid w:val="0025160C"/>
    <w:rsid w:val="002535D0"/>
    <w:rsid w:val="002539B3"/>
    <w:rsid w:val="00257C3E"/>
    <w:rsid w:val="002602C2"/>
    <w:rsid w:val="002666C9"/>
    <w:rsid w:val="00270136"/>
    <w:rsid w:val="00272BB3"/>
    <w:rsid w:val="00274F5B"/>
    <w:rsid w:val="00280836"/>
    <w:rsid w:val="00282E1A"/>
    <w:rsid w:val="0029113B"/>
    <w:rsid w:val="002934C0"/>
    <w:rsid w:val="002A1B50"/>
    <w:rsid w:val="002B0E91"/>
    <w:rsid w:val="002B6779"/>
    <w:rsid w:val="002B71C0"/>
    <w:rsid w:val="002B7A34"/>
    <w:rsid w:val="002C2471"/>
    <w:rsid w:val="002C31AD"/>
    <w:rsid w:val="002C7385"/>
    <w:rsid w:val="002D2DBB"/>
    <w:rsid w:val="002D54A6"/>
    <w:rsid w:val="002E2D41"/>
    <w:rsid w:val="002E45D5"/>
    <w:rsid w:val="002E6A7A"/>
    <w:rsid w:val="002F052B"/>
    <w:rsid w:val="002F1E49"/>
    <w:rsid w:val="002F4E9C"/>
    <w:rsid w:val="002F6FEF"/>
    <w:rsid w:val="0031256C"/>
    <w:rsid w:val="00314D6C"/>
    <w:rsid w:val="00316D2A"/>
    <w:rsid w:val="00322A7C"/>
    <w:rsid w:val="003402D3"/>
    <w:rsid w:val="00343ABC"/>
    <w:rsid w:val="003463FE"/>
    <w:rsid w:val="003554B3"/>
    <w:rsid w:val="00355D7D"/>
    <w:rsid w:val="00356632"/>
    <w:rsid w:val="003679DB"/>
    <w:rsid w:val="00371CC0"/>
    <w:rsid w:val="003845A9"/>
    <w:rsid w:val="00386661"/>
    <w:rsid w:val="00390883"/>
    <w:rsid w:val="003922F8"/>
    <w:rsid w:val="00395B24"/>
    <w:rsid w:val="003A2D38"/>
    <w:rsid w:val="003A7ECC"/>
    <w:rsid w:val="003B2C72"/>
    <w:rsid w:val="003C1333"/>
    <w:rsid w:val="003C20FF"/>
    <w:rsid w:val="003C7669"/>
    <w:rsid w:val="003D2650"/>
    <w:rsid w:val="003D560C"/>
    <w:rsid w:val="003E5751"/>
    <w:rsid w:val="003E5874"/>
    <w:rsid w:val="003F193E"/>
    <w:rsid w:val="003F34F1"/>
    <w:rsid w:val="003F3F8A"/>
    <w:rsid w:val="003F483F"/>
    <w:rsid w:val="00404D34"/>
    <w:rsid w:val="00411AE8"/>
    <w:rsid w:val="00413B74"/>
    <w:rsid w:val="00435C5F"/>
    <w:rsid w:val="00441E98"/>
    <w:rsid w:val="00445419"/>
    <w:rsid w:val="004532F7"/>
    <w:rsid w:val="00472027"/>
    <w:rsid w:val="004804CF"/>
    <w:rsid w:val="00484962"/>
    <w:rsid w:val="00484F6D"/>
    <w:rsid w:val="00487413"/>
    <w:rsid w:val="00491C93"/>
    <w:rsid w:val="0049338A"/>
    <w:rsid w:val="004933CF"/>
    <w:rsid w:val="0049417F"/>
    <w:rsid w:val="004B3EFA"/>
    <w:rsid w:val="004B6A1D"/>
    <w:rsid w:val="004C2A87"/>
    <w:rsid w:val="004C4D7B"/>
    <w:rsid w:val="004C4ED3"/>
    <w:rsid w:val="004D2EA5"/>
    <w:rsid w:val="004D32A6"/>
    <w:rsid w:val="004D53E5"/>
    <w:rsid w:val="004F794C"/>
    <w:rsid w:val="00501A12"/>
    <w:rsid w:val="005022E7"/>
    <w:rsid w:val="0051346D"/>
    <w:rsid w:val="00513EAE"/>
    <w:rsid w:val="00516806"/>
    <w:rsid w:val="00516F10"/>
    <w:rsid w:val="00525A49"/>
    <w:rsid w:val="00535613"/>
    <w:rsid w:val="005359EB"/>
    <w:rsid w:val="0054254A"/>
    <w:rsid w:val="00545AC4"/>
    <w:rsid w:val="005466B5"/>
    <w:rsid w:val="00554314"/>
    <w:rsid w:val="005629B3"/>
    <w:rsid w:val="00573AC4"/>
    <w:rsid w:val="005801FC"/>
    <w:rsid w:val="00595016"/>
    <w:rsid w:val="00597AAE"/>
    <w:rsid w:val="005A222C"/>
    <w:rsid w:val="005A4DF8"/>
    <w:rsid w:val="005A6860"/>
    <w:rsid w:val="005B1426"/>
    <w:rsid w:val="005B5FC3"/>
    <w:rsid w:val="005C0A8E"/>
    <w:rsid w:val="005C1767"/>
    <w:rsid w:val="005C42EF"/>
    <w:rsid w:val="005C6BF0"/>
    <w:rsid w:val="005E02F5"/>
    <w:rsid w:val="005E0510"/>
    <w:rsid w:val="005E176E"/>
    <w:rsid w:val="005E218E"/>
    <w:rsid w:val="005E35A0"/>
    <w:rsid w:val="005E49C0"/>
    <w:rsid w:val="005E68AC"/>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47EC6"/>
    <w:rsid w:val="0066063F"/>
    <w:rsid w:val="00662BB0"/>
    <w:rsid w:val="00663878"/>
    <w:rsid w:val="00667773"/>
    <w:rsid w:val="00670743"/>
    <w:rsid w:val="00684C83"/>
    <w:rsid w:val="00690EE2"/>
    <w:rsid w:val="0069484E"/>
    <w:rsid w:val="006A0E20"/>
    <w:rsid w:val="006A2231"/>
    <w:rsid w:val="006A5695"/>
    <w:rsid w:val="006B3904"/>
    <w:rsid w:val="006B5B7D"/>
    <w:rsid w:val="006C68F0"/>
    <w:rsid w:val="006D0ECF"/>
    <w:rsid w:val="006D4C92"/>
    <w:rsid w:val="006D4EB6"/>
    <w:rsid w:val="006E35BF"/>
    <w:rsid w:val="006E7850"/>
    <w:rsid w:val="007028D9"/>
    <w:rsid w:val="00707218"/>
    <w:rsid w:val="00712B1D"/>
    <w:rsid w:val="007325D9"/>
    <w:rsid w:val="007360CA"/>
    <w:rsid w:val="00741C2E"/>
    <w:rsid w:val="00760EC0"/>
    <w:rsid w:val="00767A4F"/>
    <w:rsid w:val="0078003A"/>
    <w:rsid w:val="00780771"/>
    <w:rsid w:val="0078492F"/>
    <w:rsid w:val="007854EC"/>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634C3"/>
    <w:rsid w:val="008712BB"/>
    <w:rsid w:val="00895CAF"/>
    <w:rsid w:val="008A2484"/>
    <w:rsid w:val="008B5EDE"/>
    <w:rsid w:val="008C26D9"/>
    <w:rsid w:val="008C6D50"/>
    <w:rsid w:val="008C7167"/>
    <w:rsid w:val="008C7503"/>
    <w:rsid w:val="008D1617"/>
    <w:rsid w:val="008E6315"/>
    <w:rsid w:val="008F11E0"/>
    <w:rsid w:val="008F78BC"/>
    <w:rsid w:val="008F7B63"/>
    <w:rsid w:val="008F7D6A"/>
    <w:rsid w:val="00901133"/>
    <w:rsid w:val="009047AD"/>
    <w:rsid w:val="009054CB"/>
    <w:rsid w:val="00912F94"/>
    <w:rsid w:val="0092590B"/>
    <w:rsid w:val="00925E60"/>
    <w:rsid w:val="009264B3"/>
    <w:rsid w:val="009365E0"/>
    <w:rsid w:val="00942BA2"/>
    <w:rsid w:val="00944C86"/>
    <w:rsid w:val="00956705"/>
    <w:rsid w:val="00957DE8"/>
    <w:rsid w:val="00960ECB"/>
    <w:rsid w:val="009615D6"/>
    <w:rsid w:val="00964D4C"/>
    <w:rsid w:val="00967855"/>
    <w:rsid w:val="00980736"/>
    <w:rsid w:val="00981A39"/>
    <w:rsid w:val="00987097"/>
    <w:rsid w:val="0099404B"/>
    <w:rsid w:val="009A3A9C"/>
    <w:rsid w:val="009B046C"/>
    <w:rsid w:val="009B13FA"/>
    <w:rsid w:val="009B1E2D"/>
    <w:rsid w:val="009C288F"/>
    <w:rsid w:val="009C59FB"/>
    <w:rsid w:val="009C6F3B"/>
    <w:rsid w:val="009D1467"/>
    <w:rsid w:val="009E45FD"/>
    <w:rsid w:val="009E4FA6"/>
    <w:rsid w:val="009E6B4E"/>
    <w:rsid w:val="009E7D93"/>
    <w:rsid w:val="009F5C33"/>
    <w:rsid w:val="00A0367C"/>
    <w:rsid w:val="00A03EAC"/>
    <w:rsid w:val="00A0671D"/>
    <w:rsid w:val="00A11CA6"/>
    <w:rsid w:val="00A20C49"/>
    <w:rsid w:val="00A269CA"/>
    <w:rsid w:val="00A3243B"/>
    <w:rsid w:val="00A336EE"/>
    <w:rsid w:val="00A359AC"/>
    <w:rsid w:val="00A41413"/>
    <w:rsid w:val="00A45FB1"/>
    <w:rsid w:val="00A46CCC"/>
    <w:rsid w:val="00A51CFE"/>
    <w:rsid w:val="00A563F2"/>
    <w:rsid w:val="00A66C26"/>
    <w:rsid w:val="00A76C13"/>
    <w:rsid w:val="00A82B8D"/>
    <w:rsid w:val="00A92E79"/>
    <w:rsid w:val="00A950B6"/>
    <w:rsid w:val="00A96CF9"/>
    <w:rsid w:val="00AA3AFF"/>
    <w:rsid w:val="00AA6405"/>
    <w:rsid w:val="00AB41C1"/>
    <w:rsid w:val="00AD12A8"/>
    <w:rsid w:val="00AD664A"/>
    <w:rsid w:val="00AE023F"/>
    <w:rsid w:val="00AE4599"/>
    <w:rsid w:val="00AF3577"/>
    <w:rsid w:val="00AF35F9"/>
    <w:rsid w:val="00B05C7D"/>
    <w:rsid w:val="00B211E9"/>
    <w:rsid w:val="00B31CFD"/>
    <w:rsid w:val="00B346C3"/>
    <w:rsid w:val="00B4471C"/>
    <w:rsid w:val="00B451A6"/>
    <w:rsid w:val="00B5032F"/>
    <w:rsid w:val="00B51926"/>
    <w:rsid w:val="00B722DE"/>
    <w:rsid w:val="00B74449"/>
    <w:rsid w:val="00B76C44"/>
    <w:rsid w:val="00B82CBD"/>
    <w:rsid w:val="00B83F87"/>
    <w:rsid w:val="00B84788"/>
    <w:rsid w:val="00BA2EFA"/>
    <w:rsid w:val="00BA3DBC"/>
    <w:rsid w:val="00BB2DA2"/>
    <w:rsid w:val="00BB56DC"/>
    <w:rsid w:val="00BE183D"/>
    <w:rsid w:val="00BF5D7A"/>
    <w:rsid w:val="00BF74DF"/>
    <w:rsid w:val="00C02D33"/>
    <w:rsid w:val="00C1232C"/>
    <w:rsid w:val="00C146EB"/>
    <w:rsid w:val="00C33B4E"/>
    <w:rsid w:val="00C34E98"/>
    <w:rsid w:val="00C36442"/>
    <w:rsid w:val="00C400CE"/>
    <w:rsid w:val="00C410FD"/>
    <w:rsid w:val="00C539FB"/>
    <w:rsid w:val="00CA246D"/>
    <w:rsid w:val="00CA50D9"/>
    <w:rsid w:val="00CB5636"/>
    <w:rsid w:val="00CC0B20"/>
    <w:rsid w:val="00CC6AC6"/>
    <w:rsid w:val="00CD1409"/>
    <w:rsid w:val="00CE17FD"/>
    <w:rsid w:val="00CF0D20"/>
    <w:rsid w:val="00D0116D"/>
    <w:rsid w:val="00D04647"/>
    <w:rsid w:val="00D10F21"/>
    <w:rsid w:val="00D24806"/>
    <w:rsid w:val="00D34040"/>
    <w:rsid w:val="00D34E69"/>
    <w:rsid w:val="00D375EE"/>
    <w:rsid w:val="00D4467E"/>
    <w:rsid w:val="00D542E7"/>
    <w:rsid w:val="00D62129"/>
    <w:rsid w:val="00D62699"/>
    <w:rsid w:val="00D75D8E"/>
    <w:rsid w:val="00D82620"/>
    <w:rsid w:val="00D9725F"/>
    <w:rsid w:val="00DA01B1"/>
    <w:rsid w:val="00DA11A2"/>
    <w:rsid w:val="00DA14ED"/>
    <w:rsid w:val="00DA53BE"/>
    <w:rsid w:val="00DB2EF1"/>
    <w:rsid w:val="00DB3398"/>
    <w:rsid w:val="00DB340D"/>
    <w:rsid w:val="00DB3A1B"/>
    <w:rsid w:val="00DB3DE1"/>
    <w:rsid w:val="00DB5DA0"/>
    <w:rsid w:val="00DB716C"/>
    <w:rsid w:val="00DC02F4"/>
    <w:rsid w:val="00DC2ED9"/>
    <w:rsid w:val="00DC5C85"/>
    <w:rsid w:val="00DD4236"/>
    <w:rsid w:val="00DD44F1"/>
    <w:rsid w:val="00DE3067"/>
    <w:rsid w:val="00DE72ED"/>
    <w:rsid w:val="00E027BC"/>
    <w:rsid w:val="00E14EA5"/>
    <w:rsid w:val="00E15AB2"/>
    <w:rsid w:val="00E209BB"/>
    <w:rsid w:val="00E21133"/>
    <w:rsid w:val="00E2327E"/>
    <w:rsid w:val="00E266EF"/>
    <w:rsid w:val="00E47428"/>
    <w:rsid w:val="00E66B9F"/>
    <w:rsid w:val="00E710D6"/>
    <w:rsid w:val="00E76E45"/>
    <w:rsid w:val="00E777C9"/>
    <w:rsid w:val="00E81DA6"/>
    <w:rsid w:val="00E84212"/>
    <w:rsid w:val="00E9086C"/>
    <w:rsid w:val="00E91894"/>
    <w:rsid w:val="00E91A0F"/>
    <w:rsid w:val="00E94A71"/>
    <w:rsid w:val="00EA03CE"/>
    <w:rsid w:val="00EA23E5"/>
    <w:rsid w:val="00EA4E2E"/>
    <w:rsid w:val="00EB2CCB"/>
    <w:rsid w:val="00EC55F4"/>
    <w:rsid w:val="00EC57A7"/>
    <w:rsid w:val="00ED0817"/>
    <w:rsid w:val="00ED191C"/>
    <w:rsid w:val="00ED7DD9"/>
    <w:rsid w:val="00EF3113"/>
    <w:rsid w:val="00EF3F84"/>
    <w:rsid w:val="00F176AC"/>
    <w:rsid w:val="00F26346"/>
    <w:rsid w:val="00F27714"/>
    <w:rsid w:val="00F3276E"/>
    <w:rsid w:val="00F33D3C"/>
    <w:rsid w:val="00F37A91"/>
    <w:rsid w:val="00F45CF5"/>
    <w:rsid w:val="00F47DB0"/>
    <w:rsid w:val="00F50350"/>
    <w:rsid w:val="00F50E34"/>
    <w:rsid w:val="00F53EF7"/>
    <w:rsid w:val="00F54BF2"/>
    <w:rsid w:val="00F65501"/>
    <w:rsid w:val="00F9202A"/>
    <w:rsid w:val="00F92355"/>
    <w:rsid w:val="00F93963"/>
    <w:rsid w:val="00F94291"/>
    <w:rsid w:val="00F969FC"/>
    <w:rsid w:val="00FB7982"/>
    <w:rsid w:val="00FC0734"/>
    <w:rsid w:val="00FC0FC5"/>
    <w:rsid w:val="00FC588F"/>
    <w:rsid w:val="00FC70B2"/>
    <w:rsid w:val="00FC7EB9"/>
    <w:rsid w:val="00FE1B30"/>
    <w:rsid w:val="00FE4775"/>
    <w:rsid w:val="00FE7B44"/>
    <w:rsid w:val="00FF0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B961A482-E2F6-4F76-8528-37A9C974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A66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DEA6-2DE6-4200-83F4-E40238FD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25</Pages>
  <Words>10084</Words>
  <Characters>49345</Characters>
  <Application>Microsoft Office Word</Application>
  <DocSecurity>0</DocSecurity>
  <Lines>897</Lines>
  <Paragraphs>267</Paragraphs>
  <ScaleCrop>false</ScaleCrop>
  <HeadingPairs>
    <vt:vector size="2" baseType="variant">
      <vt:variant>
        <vt:lpstr>Title</vt:lpstr>
      </vt:variant>
      <vt:variant>
        <vt:i4>1</vt:i4>
      </vt:variant>
    </vt:vector>
  </HeadingPairs>
  <TitlesOfParts>
    <vt:vector size="1" baseType="lpstr">
      <vt:lpstr>Huang v Deputy Commissioner of Taxation [2020] FCAFC 141 </vt:lpstr>
    </vt:vector>
  </TitlesOfParts>
  <Company>Federal Court of Australia</Company>
  <LinksUpToDate>false</LinksUpToDate>
  <CharactersWithSpaces>59162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Huang v Deputy Commissioner of Taxation [2020] FCAFC 141</dc:title>
  <dc:creator>Federal Court of Australia</dc:creator>
  <cp:lastModifiedBy>Federal Court of Australia</cp:lastModifiedBy>
  <cp:revision>4</cp:revision>
  <cp:lastPrinted>2020-08-16T23:29:00Z</cp:lastPrinted>
  <dcterms:created xsi:type="dcterms:W3CDTF">2020-08-17T04:49:00Z</dcterms:created>
  <dcterms:modified xsi:type="dcterms:W3CDTF">2020-08-17T04:50:00Z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BESANKO, THAWLEY AND STEWART JJ</vt:lpwstr>
  </property>
  <property fmtid="{D5CDD505-2E9C-101B-9397-08002B2CF9AE}" pid="4" name="Judgment_dated" linkTarget="Judgment_dated">
    <vt:lpwstr>17 August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Taxation</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