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A6857" w14:textId="77777777" w:rsidR="00395B24" w:rsidRDefault="002C7385" w:rsidP="0034268D">
      <w:pPr>
        <w:pStyle w:val="NormalHeadings"/>
        <w:widowControl/>
        <w:jc w:val="center"/>
        <w:rPr>
          <w:sz w:val="32"/>
        </w:rPr>
      </w:pPr>
      <w:r>
        <w:rPr>
          <w:sz w:val="32"/>
        </w:rPr>
        <w:t>FEDERAL COURT OF AUSTRALIA</w:t>
      </w:r>
    </w:p>
    <w:p w14:paraId="4F31AA2C" w14:textId="77777777" w:rsidR="00395B24" w:rsidRDefault="00395B24" w:rsidP="0034268D">
      <w:pPr>
        <w:pStyle w:val="NormalHeadings"/>
        <w:widowControl/>
        <w:jc w:val="center"/>
        <w:rPr>
          <w:sz w:val="32"/>
        </w:rPr>
      </w:pPr>
    </w:p>
    <w:p w14:paraId="3F5A2849" w14:textId="3514609B" w:rsidR="00395B24" w:rsidRDefault="007B21E7" w:rsidP="0034268D">
      <w:pPr>
        <w:pStyle w:val="MediaNeutralStyle"/>
      </w:pPr>
      <w:bookmarkStart w:id="0" w:name="MNC"/>
      <w:r>
        <w:t>S</w:t>
      </w:r>
      <w:r w:rsidR="00A15D3C">
        <w:t>emantic</w:t>
      </w:r>
      <w:r w:rsidR="00091558">
        <w:t xml:space="preserve"> Software Asia Pacific </w:t>
      </w:r>
      <w:r w:rsidR="00091558" w:rsidRPr="007714CE">
        <w:t xml:space="preserve">Limited v </w:t>
      </w:r>
      <w:r w:rsidR="00A15D3C" w:rsidRPr="007714CE">
        <w:t>Vince</w:t>
      </w:r>
      <w:r w:rsidR="007714CE" w:rsidRPr="007714CE">
        <w:t xml:space="preserve"> (Trustee)</w:t>
      </w:r>
      <w:r w:rsidR="00091558" w:rsidRPr="007714CE">
        <w:t xml:space="preserve">, </w:t>
      </w:r>
      <w:r w:rsidR="00091558" w:rsidRPr="00854A0E">
        <w:t>in the matter of Bradley</w:t>
      </w:r>
      <w:r w:rsidR="00091558" w:rsidRPr="007714CE">
        <w:t xml:space="preserve"> </w:t>
      </w:r>
      <w:r w:rsidR="00854A0E">
        <w:t xml:space="preserve">(Bankrupt) </w:t>
      </w:r>
      <w:r w:rsidR="00091558" w:rsidRPr="007714CE">
        <w:t>[2020]</w:t>
      </w:r>
      <w:r w:rsidR="00091558">
        <w:t xml:space="preserve"> FCA </w:t>
      </w:r>
      <w:r w:rsidR="007714CE">
        <w:t>1007</w:t>
      </w:r>
      <w:bookmarkEnd w:id="0"/>
      <w:r w:rsidR="007714CE">
        <w:t xml:space="preserve"> </w:t>
      </w:r>
    </w:p>
    <w:p w14:paraId="00C84B3F" w14:textId="77777777" w:rsidR="00395B24" w:rsidRDefault="00395B24" w:rsidP="0034268D">
      <w:pPr>
        <w:pStyle w:val="Normal1linespace"/>
      </w:pPr>
    </w:p>
    <w:tbl>
      <w:tblPr>
        <w:tblW w:w="9074" w:type="dxa"/>
        <w:tblLayout w:type="fixed"/>
        <w:tblLook w:val="01E0" w:firstRow="1" w:lastRow="1" w:firstColumn="1" w:lastColumn="1" w:noHBand="0" w:noVBand="0"/>
        <w:tblCaption w:val="Cover Table"/>
        <w:tblDescription w:val="Cover Table"/>
      </w:tblPr>
      <w:tblGrid>
        <w:gridCol w:w="3119"/>
        <w:gridCol w:w="5955"/>
      </w:tblGrid>
      <w:tr w:rsidR="00395B24" w14:paraId="52F0FFA3" w14:textId="77777777" w:rsidTr="004521CF">
        <w:tc>
          <w:tcPr>
            <w:tcW w:w="3119" w:type="dxa"/>
            <w:shd w:val="clear" w:color="auto" w:fill="auto"/>
          </w:tcPr>
          <w:p w14:paraId="1EFB5162" w14:textId="77777777" w:rsidR="00395B24" w:rsidRDefault="002C7385" w:rsidP="0034268D">
            <w:pPr>
              <w:pStyle w:val="Normal1linespace"/>
              <w:jc w:val="left"/>
            </w:pPr>
            <w:r>
              <w:t>File number:</w:t>
            </w:r>
          </w:p>
        </w:tc>
        <w:tc>
          <w:tcPr>
            <w:tcW w:w="5955" w:type="dxa"/>
            <w:shd w:val="clear" w:color="auto" w:fill="auto"/>
          </w:tcPr>
          <w:p w14:paraId="2A6DD77F" w14:textId="77777777" w:rsidR="00395B24" w:rsidRPr="00091558" w:rsidRDefault="00D22C34" w:rsidP="0034268D">
            <w:pPr>
              <w:pStyle w:val="Normal1linespace"/>
              <w:jc w:val="left"/>
            </w:pPr>
            <w:r>
              <w:fldChar w:fldCharType="begin" w:fldLock="1"/>
            </w:r>
            <w:r>
              <w:instrText xml:space="preserve"> REF  FileNo  \* MERGEFORMAT </w:instrText>
            </w:r>
            <w:r>
              <w:fldChar w:fldCharType="separate"/>
            </w:r>
            <w:r w:rsidR="00091558" w:rsidRPr="00091558">
              <w:t>NSD 1041 of 2019</w:t>
            </w:r>
            <w:r>
              <w:fldChar w:fldCharType="end"/>
            </w:r>
          </w:p>
        </w:tc>
      </w:tr>
      <w:tr w:rsidR="00395B24" w14:paraId="29A72BC0" w14:textId="77777777" w:rsidTr="004521CF">
        <w:tc>
          <w:tcPr>
            <w:tcW w:w="3119" w:type="dxa"/>
            <w:shd w:val="clear" w:color="auto" w:fill="auto"/>
          </w:tcPr>
          <w:p w14:paraId="028BDFE8" w14:textId="77777777" w:rsidR="00395B24" w:rsidRDefault="00395B24" w:rsidP="0034268D">
            <w:pPr>
              <w:pStyle w:val="Normal1linespace"/>
              <w:jc w:val="left"/>
            </w:pPr>
          </w:p>
        </w:tc>
        <w:tc>
          <w:tcPr>
            <w:tcW w:w="5955" w:type="dxa"/>
            <w:shd w:val="clear" w:color="auto" w:fill="auto"/>
          </w:tcPr>
          <w:p w14:paraId="4B196E3E" w14:textId="77777777" w:rsidR="00395B24" w:rsidRDefault="00395B24" w:rsidP="0034268D">
            <w:pPr>
              <w:pStyle w:val="Normal1linespace"/>
              <w:jc w:val="left"/>
            </w:pPr>
          </w:p>
        </w:tc>
      </w:tr>
      <w:tr w:rsidR="00395B24" w14:paraId="054A12E5" w14:textId="77777777" w:rsidTr="004521CF">
        <w:tc>
          <w:tcPr>
            <w:tcW w:w="3119" w:type="dxa"/>
            <w:shd w:val="clear" w:color="auto" w:fill="auto"/>
          </w:tcPr>
          <w:p w14:paraId="0D462C76" w14:textId="77777777" w:rsidR="00395B24" w:rsidRDefault="002C7385" w:rsidP="0034268D">
            <w:pPr>
              <w:pStyle w:val="Normal1linespace"/>
              <w:jc w:val="left"/>
            </w:pPr>
            <w:r>
              <w:t>Judge:</w:t>
            </w:r>
          </w:p>
        </w:tc>
        <w:tc>
          <w:tcPr>
            <w:tcW w:w="5955" w:type="dxa"/>
            <w:shd w:val="clear" w:color="auto" w:fill="auto"/>
          </w:tcPr>
          <w:p w14:paraId="582457D3" w14:textId="77777777" w:rsidR="00395B24" w:rsidRDefault="002C7385" w:rsidP="0034268D">
            <w:pPr>
              <w:pStyle w:val="Normal1linespace"/>
              <w:jc w:val="left"/>
              <w:rPr>
                <w:b/>
              </w:rPr>
            </w:pPr>
            <w:r w:rsidRPr="00091558">
              <w:rPr>
                <w:b/>
              </w:rPr>
              <w:fldChar w:fldCharType="begin" w:fldLock="1"/>
            </w:r>
            <w:r w:rsidRPr="00091558">
              <w:rPr>
                <w:b/>
              </w:rPr>
              <w:instrText xml:space="preserve"> REF  Judge  \* MERGEFORMAT </w:instrText>
            </w:r>
            <w:r w:rsidRPr="00091558">
              <w:rPr>
                <w:b/>
              </w:rPr>
              <w:fldChar w:fldCharType="separate"/>
            </w:r>
            <w:r w:rsidR="00091558" w:rsidRPr="00091558">
              <w:rPr>
                <w:b/>
                <w:caps/>
                <w:szCs w:val="24"/>
              </w:rPr>
              <w:t>GLEESON J</w:t>
            </w:r>
            <w:r w:rsidRPr="00091558">
              <w:rPr>
                <w:b/>
              </w:rPr>
              <w:fldChar w:fldCharType="end"/>
            </w:r>
          </w:p>
        </w:tc>
      </w:tr>
      <w:tr w:rsidR="00395B24" w14:paraId="2E518B71" w14:textId="77777777" w:rsidTr="004521CF">
        <w:tc>
          <w:tcPr>
            <w:tcW w:w="3119" w:type="dxa"/>
            <w:shd w:val="clear" w:color="auto" w:fill="auto"/>
          </w:tcPr>
          <w:p w14:paraId="05C39B7C" w14:textId="77777777" w:rsidR="00395B24" w:rsidRDefault="00395B24" w:rsidP="0034268D">
            <w:pPr>
              <w:pStyle w:val="Normal1linespace"/>
              <w:jc w:val="left"/>
            </w:pPr>
          </w:p>
        </w:tc>
        <w:tc>
          <w:tcPr>
            <w:tcW w:w="5955" w:type="dxa"/>
            <w:shd w:val="clear" w:color="auto" w:fill="auto"/>
          </w:tcPr>
          <w:p w14:paraId="3C3091AE" w14:textId="77777777" w:rsidR="00395B24" w:rsidRDefault="00395B24" w:rsidP="0034268D">
            <w:pPr>
              <w:pStyle w:val="Normal1linespace"/>
              <w:jc w:val="left"/>
            </w:pPr>
          </w:p>
        </w:tc>
      </w:tr>
      <w:tr w:rsidR="00395B24" w14:paraId="0FB54E51" w14:textId="77777777" w:rsidTr="004521CF">
        <w:tc>
          <w:tcPr>
            <w:tcW w:w="3119" w:type="dxa"/>
            <w:shd w:val="clear" w:color="auto" w:fill="auto"/>
          </w:tcPr>
          <w:p w14:paraId="095F2F9E" w14:textId="77777777" w:rsidR="00395B24" w:rsidRDefault="002C7385" w:rsidP="0034268D">
            <w:pPr>
              <w:pStyle w:val="Normal1linespace"/>
              <w:jc w:val="left"/>
            </w:pPr>
            <w:r>
              <w:t>Date of judgment:</w:t>
            </w:r>
          </w:p>
        </w:tc>
        <w:tc>
          <w:tcPr>
            <w:tcW w:w="5955" w:type="dxa"/>
            <w:shd w:val="clear" w:color="auto" w:fill="auto"/>
          </w:tcPr>
          <w:p w14:paraId="23B27167" w14:textId="29D7E7BD" w:rsidR="00395B24" w:rsidRDefault="00EB1619" w:rsidP="0034268D">
            <w:pPr>
              <w:pStyle w:val="Normal1linespace"/>
              <w:jc w:val="left"/>
            </w:pPr>
            <w:bookmarkStart w:id="1" w:name="JudgmentDate"/>
            <w:r>
              <w:t>16 July</w:t>
            </w:r>
            <w:r w:rsidR="00091558">
              <w:t xml:space="preserve"> 2020</w:t>
            </w:r>
            <w:bookmarkEnd w:id="1"/>
          </w:p>
        </w:tc>
      </w:tr>
      <w:tr w:rsidR="00395B24" w14:paraId="22E84566" w14:textId="77777777" w:rsidTr="004521CF">
        <w:tc>
          <w:tcPr>
            <w:tcW w:w="3119" w:type="dxa"/>
            <w:shd w:val="clear" w:color="auto" w:fill="auto"/>
          </w:tcPr>
          <w:p w14:paraId="398A415C" w14:textId="77777777" w:rsidR="00395B24" w:rsidRDefault="00395B24" w:rsidP="0034268D">
            <w:pPr>
              <w:pStyle w:val="Normal1linespace"/>
              <w:jc w:val="left"/>
            </w:pPr>
          </w:p>
        </w:tc>
        <w:tc>
          <w:tcPr>
            <w:tcW w:w="5955" w:type="dxa"/>
            <w:shd w:val="clear" w:color="auto" w:fill="auto"/>
          </w:tcPr>
          <w:p w14:paraId="07FA284A" w14:textId="77777777" w:rsidR="00395B24" w:rsidRDefault="00395B24" w:rsidP="0034268D">
            <w:pPr>
              <w:pStyle w:val="Normal1linespace"/>
              <w:jc w:val="left"/>
            </w:pPr>
          </w:p>
        </w:tc>
      </w:tr>
      <w:tr w:rsidR="00395B24" w14:paraId="7C508451" w14:textId="77777777" w:rsidTr="004521CF">
        <w:tc>
          <w:tcPr>
            <w:tcW w:w="3119" w:type="dxa"/>
            <w:shd w:val="clear" w:color="auto" w:fill="auto"/>
          </w:tcPr>
          <w:p w14:paraId="43BB1B78" w14:textId="77777777" w:rsidR="00395B24" w:rsidRDefault="002C7385" w:rsidP="0034268D">
            <w:pPr>
              <w:pStyle w:val="Normal1linespace"/>
              <w:jc w:val="left"/>
            </w:pPr>
            <w:r>
              <w:t>Catchwords:</w:t>
            </w:r>
          </w:p>
        </w:tc>
        <w:tc>
          <w:tcPr>
            <w:tcW w:w="5955" w:type="dxa"/>
            <w:shd w:val="clear" w:color="auto" w:fill="auto"/>
          </w:tcPr>
          <w:p w14:paraId="7C199405" w14:textId="365FB082" w:rsidR="00395B24" w:rsidRDefault="002B1F6C" w:rsidP="0034268D">
            <w:pPr>
              <w:pStyle w:val="Normal1linespace"/>
              <w:jc w:val="left"/>
            </w:pPr>
            <w:bookmarkStart w:id="2" w:name="Catchwords"/>
            <w:r>
              <w:rPr>
                <w:b/>
              </w:rPr>
              <w:t xml:space="preserve">COSTS </w:t>
            </w:r>
            <w:r>
              <w:t>–</w:t>
            </w:r>
            <w:r w:rsidR="00F71463">
              <w:t xml:space="preserve"> departure from the general principle that costs follow the event </w:t>
            </w:r>
            <w:r w:rsidR="00856FD2">
              <w:t>– discussion of the</w:t>
            </w:r>
            <w:r w:rsidR="00F71463">
              <w:t xml:space="preserve"> </w:t>
            </w:r>
            <w:r w:rsidR="00CB5E8B">
              <w:t xml:space="preserve">discretion under </w:t>
            </w:r>
            <w:r w:rsidR="00CB5E8B" w:rsidRPr="00854A0E">
              <w:rPr>
                <w:i/>
              </w:rPr>
              <w:t>Federal Court of Australia Act 1976</w:t>
            </w:r>
            <w:r w:rsidR="00CB5E8B">
              <w:t xml:space="preserve"> (</w:t>
            </w:r>
            <w:proofErr w:type="spellStart"/>
            <w:r w:rsidR="00CB5E8B">
              <w:t>Cth</w:t>
            </w:r>
            <w:proofErr w:type="spellEnd"/>
            <w:r w:rsidR="00CB5E8B">
              <w:t xml:space="preserve">) s 43 </w:t>
            </w:r>
            <w:r w:rsidR="00F71463">
              <w:t>– where applicant successful – where applicant ordered to bear their own costs</w:t>
            </w:r>
            <w:r w:rsidR="00856FD2">
              <w:t xml:space="preserve"> of the application and cross-</w:t>
            </w:r>
            <w:r w:rsidR="00F71463">
              <w:t>claim</w:t>
            </w:r>
            <w:r w:rsidR="002C7385">
              <w:t xml:space="preserve"> </w:t>
            </w:r>
            <w:bookmarkEnd w:id="2"/>
          </w:p>
        </w:tc>
      </w:tr>
      <w:tr w:rsidR="00395B24" w14:paraId="327D4245" w14:textId="77777777" w:rsidTr="004521CF">
        <w:tc>
          <w:tcPr>
            <w:tcW w:w="3119" w:type="dxa"/>
            <w:shd w:val="clear" w:color="auto" w:fill="auto"/>
          </w:tcPr>
          <w:p w14:paraId="37F1050C" w14:textId="77777777" w:rsidR="00395B24" w:rsidRDefault="00395B24" w:rsidP="0034268D">
            <w:pPr>
              <w:pStyle w:val="Normal1linespace"/>
              <w:jc w:val="left"/>
            </w:pPr>
          </w:p>
        </w:tc>
        <w:tc>
          <w:tcPr>
            <w:tcW w:w="5955" w:type="dxa"/>
            <w:shd w:val="clear" w:color="auto" w:fill="auto"/>
          </w:tcPr>
          <w:p w14:paraId="345B6D4F" w14:textId="77777777" w:rsidR="00395B24" w:rsidRDefault="00395B24" w:rsidP="0034268D">
            <w:pPr>
              <w:pStyle w:val="Normal1linespace"/>
              <w:jc w:val="left"/>
            </w:pPr>
          </w:p>
        </w:tc>
      </w:tr>
      <w:tr w:rsidR="00395B24" w14:paraId="08E717A1" w14:textId="77777777" w:rsidTr="004521CF">
        <w:tc>
          <w:tcPr>
            <w:tcW w:w="3119" w:type="dxa"/>
            <w:shd w:val="clear" w:color="auto" w:fill="auto"/>
          </w:tcPr>
          <w:p w14:paraId="0A64315A" w14:textId="77777777" w:rsidR="00395B24" w:rsidRDefault="002C7385" w:rsidP="0034268D">
            <w:pPr>
              <w:pStyle w:val="Normal1linespace"/>
              <w:jc w:val="left"/>
            </w:pPr>
            <w:r>
              <w:t>Legislation:</w:t>
            </w:r>
          </w:p>
        </w:tc>
        <w:tc>
          <w:tcPr>
            <w:tcW w:w="5955" w:type="dxa"/>
            <w:shd w:val="clear" w:color="auto" w:fill="auto"/>
          </w:tcPr>
          <w:p w14:paraId="64751705" w14:textId="77777777" w:rsidR="001B44A7" w:rsidRDefault="001B44A7" w:rsidP="0034268D">
            <w:bookmarkStart w:id="3" w:name="Legislation"/>
            <w:r>
              <w:rPr>
                <w:i/>
              </w:rPr>
              <w:t xml:space="preserve">Federal Court of Australia Act 1976 </w:t>
            </w:r>
            <w:r>
              <w:t>(</w:t>
            </w:r>
            <w:proofErr w:type="spellStart"/>
            <w:r>
              <w:t>Cth</w:t>
            </w:r>
            <w:proofErr w:type="spellEnd"/>
            <w:r>
              <w:t>) s 43</w:t>
            </w:r>
          </w:p>
          <w:p w14:paraId="40C60CD5" w14:textId="6DC652B3" w:rsidR="00395B24" w:rsidRDefault="001B44A7" w:rsidP="0034268D">
            <w:pPr>
              <w:pStyle w:val="CasesLegislationAppealFrom"/>
              <w:widowControl/>
              <w:spacing w:after="60"/>
            </w:pPr>
            <w:r>
              <w:rPr>
                <w:i/>
              </w:rPr>
              <w:t>Federal Court (Bankruptcy) Rules 2016</w:t>
            </w:r>
            <w:r>
              <w:t xml:space="preserve"> r 2.06</w:t>
            </w:r>
            <w:r w:rsidR="002C7385">
              <w:t xml:space="preserve"> </w:t>
            </w:r>
            <w:bookmarkEnd w:id="3"/>
          </w:p>
        </w:tc>
      </w:tr>
      <w:tr w:rsidR="00395B24" w14:paraId="6FA487BD" w14:textId="77777777" w:rsidTr="004521CF">
        <w:tc>
          <w:tcPr>
            <w:tcW w:w="3119" w:type="dxa"/>
            <w:shd w:val="clear" w:color="auto" w:fill="auto"/>
          </w:tcPr>
          <w:p w14:paraId="24824392" w14:textId="77777777" w:rsidR="00395B24" w:rsidRDefault="00395B24" w:rsidP="0034268D">
            <w:pPr>
              <w:pStyle w:val="Normal1linespace"/>
              <w:jc w:val="left"/>
            </w:pPr>
          </w:p>
        </w:tc>
        <w:tc>
          <w:tcPr>
            <w:tcW w:w="5955" w:type="dxa"/>
            <w:shd w:val="clear" w:color="auto" w:fill="auto"/>
          </w:tcPr>
          <w:p w14:paraId="346707D7" w14:textId="77777777" w:rsidR="00395B24" w:rsidRDefault="00395B24" w:rsidP="0034268D">
            <w:pPr>
              <w:pStyle w:val="Normal1linespace"/>
              <w:jc w:val="left"/>
            </w:pPr>
          </w:p>
        </w:tc>
      </w:tr>
      <w:tr w:rsidR="00395B24" w14:paraId="2D1D92D1" w14:textId="77777777" w:rsidTr="004521CF">
        <w:tc>
          <w:tcPr>
            <w:tcW w:w="3119" w:type="dxa"/>
            <w:shd w:val="clear" w:color="auto" w:fill="auto"/>
          </w:tcPr>
          <w:p w14:paraId="15F84630" w14:textId="77777777" w:rsidR="00395B24" w:rsidRDefault="002C7385" w:rsidP="0034268D">
            <w:pPr>
              <w:pStyle w:val="Normal1linespace"/>
              <w:jc w:val="left"/>
            </w:pPr>
            <w:r>
              <w:t>Cases cited:</w:t>
            </w:r>
          </w:p>
        </w:tc>
        <w:tc>
          <w:tcPr>
            <w:tcW w:w="5955" w:type="dxa"/>
            <w:shd w:val="clear" w:color="auto" w:fill="auto"/>
          </w:tcPr>
          <w:p w14:paraId="0361FC68" w14:textId="77777777" w:rsidR="004521CF" w:rsidRDefault="004521CF" w:rsidP="0034268D">
            <w:pPr>
              <w:pStyle w:val="CasesLegislationAppealFrom"/>
              <w:widowControl/>
            </w:pPr>
            <w:bookmarkStart w:id="4" w:name="Cases_Cited"/>
            <w:r w:rsidRPr="004521CF">
              <w:rPr>
                <w:i/>
              </w:rPr>
              <w:t>Harrison v Mills</w:t>
            </w:r>
            <w:r>
              <w:t xml:space="preserve"> (1976) 1 NSWLR 42 </w:t>
            </w:r>
          </w:p>
          <w:p w14:paraId="611CC884" w14:textId="77777777" w:rsidR="004521CF" w:rsidRDefault="004521CF" w:rsidP="0034268D">
            <w:pPr>
              <w:pStyle w:val="CasesLegislationAppealFrom"/>
              <w:widowControl/>
            </w:pPr>
            <w:proofErr w:type="spellStart"/>
            <w:r w:rsidRPr="004521CF">
              <w:rPr>
                <w:i/>
              </w:rPr>
              <w:t>Jadwan</w:t>
            </w:r>
            <w:proofErr w:type="spellEnd"/>
            <w:r w:rsidRPr="004521CF">
              <w:rPr>
                <w:i/>
              </w:rPr>
              <w:t xml:space="preserve"> Pty Ltd v Rae &amp; Partners (A Firm) (No 2)</w:t>
            </w:r>
            <w:r>
              <w:t xml:space="preserve"> [2020] FCAFC 95</w:t>
            </w:r>
          </w:p>
          <w:p w14:paraId="28456CA3" w14:textId="77777777" w:rsidR="004521CF" w:rsidRDefault="004521CF" w:rsidP="0034268D">
            <w:pPr>
              <w:pStyle w:val="CasesLegislationAppealFrom"/>
              <w:widowControl/>
            </w:pPr>
            <w:r w:rsidRPr="004521CF">
              <w:rPr>
                <w:i/>
              </w:rPr>
              <w:t xml:space="preserve">James v Royal Bank of Scotland </w:t>
            </w:r>
            <w:r>
              <w:t>[2015] NSWSC 970</w:t>
            </w:r>
          </w:p>
          <w:p w14:paraId="0A656649" w14:textId="77777777" w:rsidR="004521CF" w:rsidRDefault="004521CF" w:rsidP="0034268D">
            <w:pPr>
              <w:pStyle w:val="CasesLegislationAppealFrom"/>
              <w:widowControl/>
            </w:pPr>
            <w:r w:rsidRPr="004521CF">
              <w:rPr>
                <w:i/>
              </w:rPr>
              <w:t>Montes-Granados v Minister for Immigration and Multicultural Affairs</w:t>
            </w:r>
            <w:r>
              <w:t xml:space="preserve"> [2000] FCA 60</w:t>
            </w:r>
          </w:p>
          <w:p w14:paraId="6F11B36B" w14:textId="77777777" w:rsidR="004521CF" w:rsidRDefault="004521CF" w:rsidP="0034268D">
            <w:pPr>
              <w:pStyle w:val="CasesLegislationAppealFrom"/>
              <w:widowControl/>
            </w:pPr>
            <w:proofErr w:type="spellStart"/>
            <w:r w:rsidRPr="004521CF">
              <w:rPr>
                <w:i/>
              </w:rPr>
              <w:t>Sahin</w:t>
            </w:r>
            <w:proofErr w:type="spellEnd"/>
            <w:r w:rsidRPr="004521CF">
              <w:rPr>
                <w:i/>
              </w:rPr>
              <w:t xml:space="preserve"> v National Australia Bank Ltd</w:t>
            </w:r>
            <w:r>
              <w:t xml:space="preserve"> [2013] VSCA 93</w:t>
            </w:r>
          </w:p>
          <w:p w14:paraId="151CF2DB" w14:textId="77777777" w:rsidR="004521CF" w:rsidRDefault="004521CF" w:rsidP="0034268D">
            <w:pPr>
              <w:pStyle w:val="CasesLegislationAppealFrom"/>
              <w:widowControl/>
            </w:pPr>
            <w:r w:rsidRPr="004521CF">
              <w:rPr>
                <w:i/>
              </w:rPr>
              <w:t>Verna Trading Pty Ltd v New India Assurance Co Ltd</w:t>
            </w:r>
            <w:r>
              <w:t xml:space="preserve"> [1991] 1 VR 129</w:t>
            </w:r>
          </w:p>
          <w:p w14:paraId="6E873073" w14:textId="77777777" w:rsidR="008F6F99" w:rsidRDefault="004521CF" w:rsidP="0034268D">
            <w:pPr>
              <w:pStyle w:val="CasesLegislationAppealFrom"/>
              <w:widowControl/>
            </w:pPr>
            <w:r w:rsidRPr="004521CF">
              <w:rPr>
                <w:i/>
              </w:rPr>
              <w:t>Wales v Wales</w:t>
            </w:r>
            <w:r>
              <w:t xml:space="preserve"> [2015] VSCA 345</w:t>
            </w:r>
          </w:p>
          <w:p w14:paraId="4F7A4071" w14:textId="77777777" w:rsidR="008F6F99" w:rsidRDefault="008F6F99" w:rsidP="0034268D">
            <w:pPr>
              <w:pStyle w:val="CasesLegislationAppealFrom"/>
              <w:widowControl/>
            </w:pPr>
          </w:p>
          <w:p w14:paraId="70A961E5" w14:textId="5DCCB505" w:rsidR="00395B24" w:rsidRDefault="008F6F99" w:rsidP="0034268D">
            <w:pPr>
              <w:pStyle w:val="CasesLegislationAppealFrom"/>
              <w:widowControl/>
            </w:pPr>
            <w:r>
              <w:t xml:space="preserve">Dal Pont GE, </w:t>
            </w:r>
            <w:r>
              <w:rPr>
                <w:i/>
              </w:rPr>
              <w:t xml:space="preserve">Law of Costs </w:t>
            </w:r>
            <w:r>
              <w:t>(4</w:t>
            </w:r>
            <w:r w:rsidRPr="008F6F99">
              <w:rPr>
                <w:vertAlign w:val="superscript"/>
              </w:rPr>
              <w:t>th</w:t>
            </w:r>
            <w:r>
              <w:t xml:space="preserve"> </w:t>
            </w:r>
            <w:proofErr w:type="spellStart"/>
            <w:r>
              <w:t>ed</w:t>
            </w:r>
            <w:proofErr w:type="spellEnd"/>
            <w:r>
              <w:t xml:space="preserve">, LexisNexis </w:t>
            </w:r>
            <w:proofErr w:type="spellStart"/>
            <w:r>
              <w:t>Butterworths</w:t>
            </w:r>
            <w:proofErr w:type="spellEnd"/>
            <w:r>
              <w:t>, 2018)</w:t>
            </w:r>
            <w:r w:rsidR="004521CF">
              <w:t xml:space="preserve"> </w:t>
            </w:r>
            <w:r w:rsidR="002C7385">
              <w:t xml:space="preserve"> </w:t>
            </w:r>
            <w:bookmarkEnd w:id="4"/>
          </w:p>
        </w:tc>
      </w:tr>
      <w:tr w:rsidR="007D57B9" w:rsidRPr="007D57B9" w14:paraId="07623B52" w14:textId="77777777" w:rsidTr="004521CF">
        <w:tc>
          <w:tcPr>
            <w:tcW w:w="3119" w:type="dxa"/>
            <w:shd w:val="clear" w:color="auto" w:fill="auto"/>
          </w:tcPr>
          <w:p w14:paraId="629622E2" w14:textId="77777777" w:rsidR="007D57B9" w:rsidRPr="007D57B9" w:rsidRDefault="007D57B9" w:rsidP="0034268D">
            <w:pPr>
              <w:pStyle w:val="Normal1linespace"/>
              <w:jc w:val="left"/>
            </w:pPr>
          </w:p>
        </w:tc>
        <w:tc>
          <w:tcPr>
            <w:tcW w:w="5955" w:type="dxa"/>
            <w:shd w:val="clear" w:color="auto" w:fill="auto"/>
          </w:tcPr>
          <w:p w14:paraId="34C51277" w14:textId="77777777" w:rsidR="007D57B9" w:rsidRPr="007D57B9" w:rsidRDefault="007D57B9" w:rsidP="0034268D">
            <w:pPr>
              <w:pStyle w:val="Normal1linespace"/>
              <w:jc w:val="left"/>
            </w:pPr>
          </w:p>
        </w:tc>
      </w:tr>
      <w:tr w:rsidR="007D57B9" w:rsidRPr="007D57B9" w14:paraId="7C75CF08" w14:textId="77777777" w:rsidTr="004521CF">
        <w:tc>
          <w:tcPr>
            <w:tcW w:w="3119" w:type="dxa"/>
            <w:shd w:val="clear" w:color="auto" w:fill="auto"/>
          </w:tcPr>
          <w:p w14:paraId="5E8A7554" w14:textId="77777777" w:rsidR="007D57B9" w:rsidRPr="007D57B9" w:rsidRDefault="007D57B9" w:rsidP="0034268D">
            <w:pPr>
              <w:pStyle w:val="Normal1linespace"/>
              <w:jc w:val="left"/>
            </w:pPr>
            <w:bookmarkStart w:id="5" w:name="CounselDate" w:colFirst="0" w:colLast="2"/>
            <w:r w:rsidRPr="007D57B9">
              <w:t>Date of hearing:</w:t>
            </w:r>
          </w:p>
        </w:tc>
        <w:tc>
          <w:tcPr>
            <w:tcW w:w="5955" w:type="dxa"/>
            <w:shd w:val="clear" w:color="auto" w:fill="auto"/>
          </w:tcPr>
          <w:p w14:paraId="00C40EBB" w14:textId="72085C4E" w:rsidR="007D57B9" w:rsidRPr="007D57B9" w:rsidRDefault="00567BFB" w:rsidP="0034268D">
            <w:pPr>
              <w:pStyle w:val="Normal1linespace"/>
              <w:jc w:val="left"/>
            </w:pPr>
            <w:bookmarkStart w:id="6" w:name="HearingDate"/>
            <w:r>
              <w:t>1-</w:t>
            </w:r>
            <w:r w:rsidR="00EB1619">
              <w:t>2 July</w:t>
            </w:r>
            <w:r w:rsidR="007D57B9">
              <w:t xml:space="preserve"> 2020</w:t>
            </w:r>
            <w:bookmarkEnd w:id="6"/>
          </w:p>
        </w:tc>
      </w:tr>
      <w:bookmarkEnd w:id="5"/>
      <w:tr w:rsidR="007D57B9" w14:paraId="7F40A7A5" w14:textId="77777777" w:rsidTr="004521CF">
        <w:tc>
          <w:tcPr>
            <w:tcW w:w="3119" w:type="dxa"/>
            <w:shd w:val="clear" w:color="auto" w:fill="auto"/>
          </w:tcPr>
          <w:p w14:paraId="4EB7B9E7" w14:textId="77777777" w:rsidR="007D57B9" w:rsidRDefault="007D57B9" w:rsidP="0034268D">
            <w:pPr>
              <w:pStyle w:val="Normal1linespace"/>
              <w:jc w:val="left"/>
            </w:pPr>
          </w:p>
        </w:tc>
        <w:tc>
          <w:tcPr>
            <w:tcW w:w="5955" w:type="dxa"/>
            <w:shd w:val="clear" w:color="auto" w:fill="auto"/>
          </w:tcPr>
          <w:p w14:paraId="7963A868" w14:textId="77777777" w:rsidR="007D57B9" w:rsidRDefault="007D57B9" w:rsidP="0034268D">
            <w:pPr>
              <w:pStyle w:val="Normal1linespace"/>
              <w:jc w:val="left"/>
            </w:pPr>
          </w:p>
        </w:tc>
      </w:tr>
      <w:tr w:rsidR="007D57B9" w14:paraId="7E087B9F" w14:textId="77777777" w:rsidTr="004521CF">
        <w:tc>
          <w:tcPr>
            <w:tcW w:w="3119" w:type="dxa"/>
            <w:shd w:val="clear" w:color="auto" w:fill="auto"/>
          </w:tcPr>
          <w:p w14:paraId="6E6C6D88" w14:textId="77777777" w:rsidR="007D57B9" w:rsidRDefault="007D57B9" w:rsidP="0034268D">
            <w:pPr>
              <w:pStyle w:val="Normal1linespace"/>
              <w:jc w:val="left"/>
            </w:pPr>
            <w:r>
              <w:t>Registry:</w:t>
            </w:r>
          </w:p>
        </w:tc>
        <w:tc>
          <w:tcPr>
            <w:tcW w:w="5955" w:type="dxa"/>
            <w:shd w:val="clear" w:color="auto" w:fill="auto"/>
          </w:tcPr>
          <w:p w14:paraId="50B2FFB4" w14:textId="77777777" w:rsidR="007D57B9" w:rsidRPr="00F17599" w:rsidRDefault="00D22C34" w:rsidP="0034268D">
            <w:pPr>
              <w:pStyle w:val="Normal1linespace"/>
              <w:jc w:val="left"/>
            </w:pPr>
            <w:r>
              <w:fldChar w:fldCharType="begin" w:fldLock="1"/>
            </w:r>
            <w:r>
              <w:instrText xml:space="preserve"> DOCPROPERTY  Registry </w:instrText>
            </w:r>
            <w:r>
              <w:fldChar w:fldCharType="separate"/>
            </w:r>
            <w:r w:rsidR="00091558">
              <w:t>New South Wales</w:t>
            </w:r>
            <w:r>
              <w:fldChar w:fldCharType="end"/>
            </w:r>
          </w:p>
        </w:tc>
      </w:tr>
      <w:tr w:rsidR="007D57B9" w14:paraId="0CD2F119" w14:textId="77777777" w:rsidTr="004521CF">
        <w:tc>
          <w:tcPr>
            <w:tcW w:w="3119" w:type="dxa"/>
            <w:shd w:val="clear" w:color="auto" w:fill="auto"/>
          </w:tcPr>
          <w:p w14:paraId="267B7DCC" w14:textId="77777777" w:rsidR="007D57B9" w:rsidRDefault="007D57B9" w:rsidP="0034268D">
            <w:pPr>
              <w:pStyle w:val="Normal1linespace"/>
              <w:jc w:val="left"/>
            </w:pPr>
          </w:p>
        </w:tc>
        <w:tc>
          <w:tcPr>
            <w:tcW w:w="5955" w:type="dxa"/>
            <w:shd w:val="clear" w:color="auto" w:fill="auto"/>
          </w:tcPr>
          <w:p w14:paraId="6A95B879" w14:textId="77777777" w:rsidR="007D57B9" w:rsidRDefault="007D57B9" w:rsidP="0034268D">
            <w:pPr>
              <w:pStyle w:val="Normal1linespace"/>
              <w:jc w:val="left"/>
            </w:pPr>
          </w:p>
        </w:tc>
      </w:tr>
      <w:tr w:rsidR="007D57B9" w14:paraId="76753DDD" w14:textId="77777777" w:rsidTr="004521CF">
        <w:tc>
          <w:tcPr>
            <w:tcW w:w="3119" w:type="dxa"/>
            <w:shd w:val="clear" w:color="auto" w:fill="auto"/>
          </w:tcPr>
          <w:p w14:paraId="1377F838" w14:textId="77777777" w:rsidR="007D57B9" w:rsidRDefault="007D57B9" w:rsidP="0034268D">
            <w:pPr>
              <w:pStyle w:val="Normal1linespace"/>
              <w:jc w:val="left"/>
            </w:pPr>
            <w:r>
              <w:t>Division:</w:t>
            </w:r>
          </w:p>
        </w:tc>
        <w:tc>
          <w:tcPr>
            <w:tcW w:w="5955" w:type="dxa"/>
            <w:shd w:val="clear" w:color="auto" w:fill="auto"/>
          </w:tcPr>
          <w:p w14:paraId="7C7A2F4B" w14:textId="77777777" w:rsidR="007D57B9" w:rsidRPr="00F17599" w:rsidRDefault="00D22C34" w:rsidP="0034268D">
            <w:pPr>
              <w:pStyle w:val="Normal1linespace"/>
              <w:jc w:val="left"/>
            </w:pPr>
            <w:r>
              <w:fldChar w:fldCharType="begin" w:fldLock="1"/>
            </w:r>
            <w:r>
              <w:instrText xml:space="preserve"> DOCPROPERTY  Division </w:instrText>
            </w:r>
            <w:r>
              <w:fldChar w:fldCharType="separate"/>
            </w:r>
            <w:r w:rsidR="00091558">
              <w:t>General Division</w:t>
            </w:r>
            <w:r>
              <w:fldChar w:fldCharType="end"/>
            </w:r>
          </w:p>
        </w:tc>
      </w:tr>
      <w:tr w:rsidR="007D57B9" w14:paraId="3C763D52" w14:textId="77777777" w:rsidTr="004521CF">
        <w:tc>
          <w:tcPr>
            <w:tcW w:w="3119" w:type="dxa"/>
            <w:shd w:val="clear" w:color="auto" w:fill="auto"/>
          </w:tcPr>
          <w:p w14:paraId="0AD33D9A" w14:textId="77777777" w:rsidR="007D57B9" w:rsidRDefault="007D57B9" w:rsidP="0034268D">
            <w:pPr>
              <w:pStyle w:val="Normal1linespace"/>
              <w:jc w:val="left"/>
            </w:pPr>
          </w:p>
        </w:tc>
        <w:tc>
          <w:tcPr>
            <w:tcW w:w="5955" w:type="dxa"/>
            <w:shd w:val="clear" w:color="auto" w:fill="auto"/>
          </w:tcPr>
          <w:p w14:paraId="64EEE93A" w14:textId="77777777" w:rsidR="007D57B9" w:rsidRPr="00F17599" w:rsidRDefault="007D57B9" w:rsidP="0034268D">
            <w:pPr>
              <w:pStyle w:val="Normal1linespace"/>
              <w:jc w:val="left"/>
              <w:rPr>
                <w:b/>
              </w:rPr>
            </w:pPr>
          </w:p>
        </w:tc>
      </w:tr>
      <w:tr w:rsidR="007D57B9" w14:paraId="11514773" w14:textId="77777777" w:rsidTr="004521CF">
        <w:tc>
          <w:tcPr>
            <w:tcW w:w="3119" w:type="dxa"/>
            <w:shd w:val="clear" w:color="auto" w:fill="auto"/>
          </w:tcPr>
          <w:p w14:paraId="1F1B582B" w14:textId="77777777" w:rsidR="007D57B9" w:rsidRDefault="007D57B9" w:rsidP="0034268D">
            <w:pPr>
              <w:pStyle w:val="Normal1linespace"/>
              <w:jc w:val="left"/>
            </w:pPr>
            <w:r>
              <w:t>National Practice Area:</w:t>
            </w:r>
          </w:p>
        </w:tc>
        <w:tc>
          <w:tcPr>
            <w:tcW w:w="5955" w:type="dxa"/>
            <w:shd w:val="clear" w:color="auto" w:fill="auto"/>
          </w:tcPr>
          <w:p w14:paraId="77123A3E" w14:textId="77777777" w:rsidR="007D57B9" w:rsidRPr="00F17599" w:rsidRDefault="00D22C34" w:rsidP="0034268D">
            <w:pPr>
              <w:pStyle w:val="Normal1linespace"/>
              <w:jc w:val="left"/>
              <w:rPr>
                <w:b/>
              </w:rPr>
            </w:pPr>
            <w:r>
              <w:fldChar w:fldCharType="begin" w:fldLock="1"/>
            </w:r>
            <w:r>
              <w:instrText xml:space="preserve"> DOCPROPERTY  "Practice Area"  \* MERGEFORMAT </w:instrText>
            </w:r>
            <w:r>
              <w:fldChar w:fldCharType="separate"/>
            </w:r>
            <w:r w:rsidR="00091558">
              <w:t>Commercial and Corporations</w:t>
            </w:r>
            <w:r>
              <w:fldChar w:fldCharType="end"/>
            </w:r>
          </w:p>
        </w:tc>
      </w:tr>
      <w:tr w:rsidR="007D57B9" w14:paraId="2820CBB1" w14:textId="77777777" w:rsidTr="004521CF">
        <w:tc>
          <w:tcPr>
            <w:tcW w:w="3119" w:type="dxa"/>
            <w:shd w:val="clear" w:color="auto" w:fill="auto"/>
          </w:tcPr>
          <w:p w14:paraId="762EC20B" w14:textId="77777777" w:rsidR="007D57B9" w:rsidRDefault="007D57B9" w:rsidP="0034268D">
            <w:pPr>
              <w:pStyle w:val="Normal1linespace"/>
              <w:jc w:val="left"/>
            </w:pPr>
          </w:p>
        </w:tc>
        <w:tc>
          <w:tcPr>
            <w:tcW w:w="5955" w:type="dxa"/>
            <w:shd w:val="clear" w:color="auto" w:fill="auto"/>
          </w:tcPr>
          <w:p w14:paraId="7AD713D5" w14:textId="77777777" w:rsidR="007D57B9" w:rsidRDefault="007D57B9" w:rsidP="0034268D">
            <w:pPr>
              <w:pStyle w:val="Normal1linespace"/>
              <w:jc w:val="left"/>
            </w:pPr>
          </w:p>
        </w:tc>
      </w:tr>
      <w:tr w:rsidR="007D57B9" w14:paraId="0EFE57C0" w14:textId="77777777" w:rsidTr="004521CF">
        <w:tc>
          <w:tcPr>
            <w:tcW w:w="3119" w:type="dxa"/>
            <w:shd w:val="clear" w:color="auto" w:fill="auto"/>
          </w:tcPr>
          <w:p w14:paraId="0D32FBC7" w14:textId="77777777" w:rsidR="007D57B9" w:rsidRDefault="007D57B9" w:rsidP="0034268D">
            <w:pPr>
              <w:pStyle w:val="Normal1linespace"/>
              <w:jc w:val="left"/>
            </w:pPr>
            <w:r>
              <w:t>Sub-area:</w:t>
            </w:r>
          </w:p>
        </w:tc>
        <w:tc>
          <w:tcPr>
            <w:tcW w:w="5955" w:type="dxa"/>
            <w:shd w:val="clear" w:color="auto" w:fill="auto"/>
          </w:tcPr>
          <w:p w14:paraId="77F1B6CA" w14:textId="77777777" w:rsidR="007D57B9" w:rsidRPr="00435936" w:rsidRDefault="00D22C34" w:rsidP="0034268D">
            <w:pPr>
              <w:pStyle w:val="Normal1linespace"/>
              <w:jc w:val="left"/>
            </w:pPr>
            <w:r>
              <w:fldChar w:fldCharType="begin" w:fldLock="1"/>
            </w:r>
            <w:r>
              <w:instrText xml:space="preserve"> DOCPROPERTY  "Sub Area"  \* MERGEFORMAT </w:instrText>
            </w:r>
            <w:r>
              <w:fldChar w:fldCharType="separate"/>
            </w:r>
            <w:r w:rsidR="00091558" w:rsidRPr="00091558">
              <w:rPr>
                <w:bCs/>
                <w:lang w:val="en-US"/>
              </w:rPr>
              <w:t>General and Personal</w:t>
            </w:r>
            <w:r w:rsidR="00091558">
              <w:t xml:space="preserve"> Insolvency</w:t>
            </w:r>
            <w:r>
              <w:fldChar w:fldCharType="end"/>
            </w:r>
          </w:p>
        </w:tc>
      </w:tr>
      <w:tr w:rsidR="007D57B9" w14:paraId="60C14762" w14:textId="77777777" w:rsidTr="004521CF">
        <w:tc>
          <w:tcPr>
            <w:tcW w:w="3119" w:type="dxa"/>
            <w:shd w:val="clear" w:color="auto" w:fill="auto"/>
          </w:tcPr>
          <w:p w14:paraId="4E7917AC" w14:textId="77777777" w:rsidR="007D57B9" w:rsidRDefault="007D57B9" w:rsidP="0034268D">
            <w:pPr>
              <w:pStyle w:val="Normal1linespace"/>
              <w:jc w:val="left"/>
            </w:pPr>
          </w:p>
        </w:tc>
        <w:tc>
          <w:tcPr>
            <w:tcW w:w="5955" w:type="dxa"/>
            <w:shd w:val="clear" w:color="auto" w:fill="auto"/>
          </w:tcPr>
          <w:p w14:paraId="168E00CC" w14:textId="77777777" w:rsidR="007D57B9" w:rsidRDefault="007D57B9" w:rsidP="0034268D">
            <w:pPr>
              <w:pStyle w:val="Normal1linespace"/>
              <w:jc w:val="left"/>
              <w:rPr>
                <w:b/>
              </w:rPr>
            </w:pPr>
          </w:p>
        </w:tc>
      </w:tr>
      <w:tr w:rsidR="007D57B9" w14:paraId="6A1A4C78" w14:textId="77777777" w:rsidTr="004521CF">
        <w:tc>
          <w:tcPr>
            <w:tcW w:w="3119" w:type="dxa"/>
            <w:shd w:val="clear" w:color="auto" w:fill="auto"/>
          </w:tcPr>
          <w:p w14:paraId="71DC5A0F" w14:textId="77777777" w:rsidR="007D57B9" w:rsidRDefault="007D57B9" w:rsidP="0034268D">
            <w:pPr>
              <w:pStyle w:val="Normal1linespace"/>
              <w:jc w:val="left"/>
            </w:pPr>
            <w:r>
              <w:lastRenderedPageBreak/>
              <w:t>Category:</w:t>
            </w:r>
          </w:p>
        </w:tc>
        <w:tc>
          <w:tcPr>
            <w:tcW w:w="5955" w:type="dxa"/>
            <w:shd w:val="clear" w:color="auto" w:fill="auto"/>
          </w:tcPr>
          <w:p w14:paraId="2D77DB06" w14:textId="77777777" w:rsidR="007D57B9" w:rsidRDefault="007D57B9" w:rsidP="0034268D">
            <w:pPr>
              <w:pStyle w:val="Normal1linespace"/>
              <w:jc w:val="left"/>
            </w:pPr>
            <w:r w:rsidRPr="00091558">
              <w:t xml:space="preserve">Catchwords </w:t>
            </w:r>
            <w:bookmarkStart w:id="7" w:name="_GoBack"/>
            <w:bookmarkEnd w:id="7"/>
          </w:p>
        </w:tc>
      </w:tr>
      <w:tr w:rsidR="007D57B9" w14:paraId="636907CD" w14:textId="77777777" w:rsidTr="004521CF">
        <w:tc>
          <w:tcPr>
            <w:tcW w:w="3119" w:type="dxa"/>
            <w:shd w:val="clear" w:color="auto" w:fill="auto"/>
          </w:tcPr>
          <w:p w14:paraId="0DF488E4" w14:textId="77777777" w:rsidR="007D57B9" w:rsidRDefault="007D57B9" w:rsidP="0034268D">
            <w:pPr>
              <w:pStyle w:val="Normal1linespace"/>
              <w:jc w:val="left"/>
            </w:pPr>
          </w:p>
        </w:tc>
        <w:tc>
          <w:tcPr>
            <w:tcW w:w="5955" w:type="dxa"/>
            <w:shd w:val="clear" w:color="auto" w:fill="auto"/>
          </w:tcPr>
          <w:p w14:paraId="79343884" w14:textId="77777777" w:rsidR="007D57B9" w:rsidRDefault="007D57B9" w:rsidP="0034268D">
            <w:pPr>
              <w:pStyle w:val="Normal1linespace"/>
              <w:jc w:val="left"/>
            </w:pPr>
          </w:p>
        </w:tc>
      </w:tr>
      <w:tr w:rsidR="007D57B9" w14:paraId="75FD1E43" w14:textId="77777777" w:rsidTr="004521CF">
        <w:tc>
          <w:tcPr>
            <w:tcW w:w="3119" w:type="dxa"/>
            <w:shd w:val="clear" w:color="auto" w:fill="auto"/>
          </w:tcPr>
          <w:p w14:paraId="4F5D3A62" w14:textId="77777777" w:rsidR="007D57B9" w:rsidRDefault="007D57B9" w:rsidP="0034268D">
            <w:pPr>
              <w:pStyle w:val="Normal1linespace"/>
              <w:jc w:val="left"/>
            </w:pPr>
            <w:r>
              <w:t>Number of paragraphs:</w:t>
            </w:r>
          </w:p>
        </w:tc>
        <w:tc>
          <w:tcPr>
            <w:tcW w:w="5955" w:type="dxa"/>
            <w:shd w:val="clear" w:color="auto" w:fill="auto"/>
          </w:tcPr>
          <w:p w14:paraId="4695A58E" w14:textId="77BCF4B1" w:rsidR="007D57B9" w:rsidRDefault="004521CF" w:rsidP="0034268D">
            <w:pPr>
              <w:pStyle w:val="Normal1linespace"/>
              <w:jc w:val="left"/>
            </w:pPr>
            <w:bookmarkStart w:id="8" w:name="PlaceCategoryParagraphs"/>
            <w:r>
              <w:t>21</w:t>
            </w:r>
            <w:bookmarkEnd w:id="8"/>
          </w:p>
        </w:tc>
      </w:tr>
      <w:tr w:rsidR="007D57B9" w14:paraId="10B83F04" w14:textId="77777777" w:rsidTr="004521CF">
        <w:tc>
          <w:tcPr>
            <w:tcW w:w="3119" w:type="dxa"/>
            <w:shd w:val="clear" w:color="auto" w:fill="auto"/>
          </w:tcPr>
          <w:p w14:paraId="1F8F0D33" w14:textId="77777777" w:rsidR="007D57B9" w:rsidRDefault="007D57B9" w:rsidP="0034268D">
            <w:pPr>
              <w:pStyle w:val="Normal1linespace"/>
              <w:jc w:val="left"/>
            </w:pPr>
            <w:bookmarkStart w:id="9" w:name="Counsel" w:colFirst="0" w:colLast="2"/>
          </w:p>
        </w:tc>
        <w:tc>
          <w:tcPr>
            <w:tcW w:w="5955" w:type="dxa"/>
            <w:shd w:val="clear" w:color="auto" w:fill="auto"/>
          </w:tcPr>
          <w:p w14:paraId="4DFA2708" w14:textId="77777777" w:rsidR="007D57B9" w:rsidRDefault="007D57B9" w:rsidP="0034268D">
            <w:pPr>
              <w:pStyle w:val="Normal1linespace"/>
              <w:jc w:val="left"/>
            </w:pPr>
          </w:p>
        </w:tc>
      </w:tr>
      <w:tr w:rsidR="008610AE" w14:paraId="3BAAEE00" w14:textId="77777777" w:rsidTr="004521CF">
        <w:tc>
          <w:tcPr>
            <w:tcW w:w="3119" w:type="dxa"/>
            <w:shd w:val="clear" w:color="auto" w:fill="auto"/>
          </w:tcPr>
          <w:p w14:paraId="07563F85" w14:textId="77777777" w:rsidR="008610AE" w:rsidRDefault="008610AE" w:rsidP="008610AE">
            <w:pPr>
              <w:pStyle w:val="Normal1linespace"/>
              <w:jc w:val="left"/>
            </w:pPr>
            <w:r>
              <w:t>Solicitor for the Applicant/Cross/Cross-Respondent:</w:t>
            </w:r>
          </w:p>
        </w:tc>
        <w:tc>
          <w:tcPr>
            <w:tcW w:w="5955" w:type="dxa"/>
            <w:shd w:val="clear" w:color="auto" w:fill="auto"/>
          </w:tcPr>
          <w:p w14:paraId="12CF743C" w14:textId="344415CF" w:rsidR="008610AE" w:rsidRDefault="008610AE" w:rsidP="008610AE">
            <w:pPr>
              <w:pStyle w:val="Normal1linespace"/>
              <w:jc w:val="left"/>
            </w:pPr>
            <w:r>
              <w:t>S Gupta of Gupta &amp; Co Pty Ltd</w:t>
            </w:r>
          </w:p>
        </w:tc>
      </w:tr>
      <w:tr w:rsidR="008610AE" w14:paraId="483378E1" w14:textId="77777777" w:rsidTr="004521CF">
        <w:tc>
          <w:tcPr>
            <w:tcW w:w="3119" w:type="dxa"/>
            <w:shd w:val="clear" w:color="auto" w:fill="auto"/>
          </w:tcPr>
          <w:p w14:paraId="2779456D" w14:textId="77777777" w:rsidR="008610AE" w:rsidRDefault="008610AE" w:rsidP="008610AE">
            <w:pPr>
              <w:pStyle w:val="Normal1linespace"/>
              <w:jc w:val="left"/>
            </w:pPr>
          </w:p>
        </w:tc>
        <w:tc>
          <w:tcPr>
            <w:tcW w:w="5955" w:type="dxa"/>
            <w:shd w:val="clear" w:color="auto" w:fill="auto"/>
          </w:tcPr>
          <w:p w14:paraId="72692EC0" w14:textId="77777777" w:rsidR="008610AE" w:rsidRDefault="008610AE" w:rsidP="008610AE">
            <w:pPr>
              <w:pStyle w:val="Normal1linespace"/>
              <w:jc w:val="left"/>
            </w:pPr>
          </w:p>
        </w:tc>
      </w:tr>
      <w:tr w:rsidR="008610AE" w14:paraId="677542FB" w14:textId="77777777" w:rsidTr="004521CF">
        <w:tc>
          <w:tcPr>
            <w:tcW w:w="3119" w:type="dxa"/>
            <w:shd w:val="clear" w:color="auto" w:fill="auto"/>
          </w:tcPr>
          <w:p w14:paraId="79B136C3" w14:textId="77777777" w:rsidR="008610AE" w:rsidRDefault="008610AE" w:rsidP="008610AE">
            <w:pPr>
              <w:pStyle w:val="Normal1linespace"/>
              <w:jc w:val="left"/>
            </w:pPr>
            <w:r>
              <w:t>Counsel for the Respondent/Cross-Claimant:</w:t>
            </w:r>
          </w:p>
        </w:tc>
        <w:tc>
          <w:tcPr>
            <w:tcW w:w="5955" w:type="dxa"/>
            <w:shd w:val="clear" w:color="auto" w:fill="auto"/>
          </w:tcPr>
          <w:p w14:paraId="1E8ECDAE" w14:textId="26353EF8" w:rsidR="008610AE" w:rsidRDefault="008610AE" w:rsidP="008610AE">
            <w:pPr>
              <w:pStyle w:val="Normal1linespace"/>
              <w:jc w:val="left"/>
            </w:pPr>
            <w:r>
              <w:t>B Petrie</w:t>
            </w:r>
          </w:p>
        </w:tc>
      </w:tr>
      <w:tr w:rsidR="008610AE" w14:paraId="4466C2F6" w14:textId="77777777" w:rsidTr="004521CF">
        <w:tc>
          <w:tcPr>
            <w:tcW w:w="3119" w:type="dxa"/>
            <w:shd w:val="clear" w:color="auto" w:fill="auto"/>
          </w:tcPr>
          <w:p w14:paraId="18978EEC" w14:textId="77777777" w:rsidR="008610AE" w:rsidRDefault="008610AE" w:rsidP="008610AE">
            <w:pPr>
              <w:pStyle w:val="Normal1linespace"/>
              <w:jc w:val="left"/>
            </w:pPr>
          </w:p>
        </w:tc>
        <w:tc>
          <w:tcPr>
            <w:tcW w:w="5955" w:type="dxa"/>
            <w:shd w:val="clear" w:color="auto" w:fill="auto"/>
          </w:tcPr>
          <w:p w14:paraId="0952B141" w14:textId="77777777" w:rsidR="008610AE" w:rsidRDefault="008610AE" w:rsidP="008610AE">
            <w:pPr>
              <w:pStyle w:val="Normal1linespace"/>
              <w:jc w:val="left"/>
            </w:pPr>
          </w:p>
        </w:tc>
      </w:tr>
      <w:tr w:rsidR="008610AE" w14:paraId="0806473C" w14:textId="77777777" w:rsidTr="004521CF">
        <w:tc>
          <w:tcPr>
            <w:tcW w:w="3119" w:type="dxa"/>
            <w:shd w:val="clear" w:color="auto" w:fill="auto"/>
          </w:tcPr>
          <w:p w14:paraId="3552219F" w14:textId="77777777" w:rsidR="008610AE" w:rsidRDefault="008610AE" w:rsidP="008610AE">
            <w:pPr>
              <w:pStyle w:val="Normal1linespace"/>
              <w:jc w:val="left"/>
            </w:pPr>
            <w:r>
              <w:t>Solicitor for the Respondent/Cross-Claimant:</w:t>
            </w:r>
          </w:p>
        </w:tc>
        <w:tc>
          <w:tcPr>
            <w:tcW w:w="5955" w:type="dxa"/>
            <w:shd w:val="clear" w:color="auto" w:fill="auto"/>
          </w:tcPr>
          <w:p w14:paraId="2AE0AAD4" w14:textId="76C165B5" w:rsidR="008610AE" w:rsidRDefault="008610AE" w:rsidP="008610AE">
            <w:pPr>
              <w:pStyle w:val="Normal1linespace"/>
              <w:jc w:val="left"/>
            </w:pPr>
            <w:r>
              <w:t>Rigby Cooke Lawyers</w:t>
            </w:r>
          </w:p>
        </w:tc>
      </w:tr>
      <w:bookmarkEnd w:id="9"/>
    </w:tbl>
    <w:p w14:paraId="73E76F75" w14:textId="358502B5" w:rsidR="00395B24" w:rsidRDefault="00395B24" w:rsidP="0034268D">
      <w:pPr>
        <w:pStyle w:val="Normal1linespace"/>
      </w:pPr>
    </w:p>
    <w:p w14:paraId="4AC5A6EE" w14:textId="77777777" w:rsidR="004521CF" w:rsidRDefault="004521CF" w:rsidP="0034268D">
      <w:pPr>
        <w:pStyle w:val="Normal1linespace"/>
      </w:pPr>
    </w:p>
    <w:p w14:paraId="36363F1C" w14:textId="77777777" w:rsidR="004521CF" w:rsidRDefault="004521CF" w:rsidP="0034268D">
      <w:pPr>
        <w:pStyle w:val="NormalHeadings"/>
        <w:widowControl/>
        <w:spacing w:line="480" w:lineRule="auto"/>
        <w:jc w:val="center"/>
        <w:rPr>
          <w:sz w:val="28"/>
          <w:szCs w:val="28"/>
        </w:rPr>
        <w:sectPr w:rsidR="004521CF" w:rsidSect="0092590B">
          <w:headerReference w:type="default" r:id="rId11"/>
          <w:headerReference w:type="first" r:id="rId12"/>
          <w:endnotePr>
            <w:numFmt w:val="decimal"/>
          </w:endnotePr>
          <w:pgSz w:w="11907" w:h="16840" w:code="9"/>
          <w:pgMar w:top="1440" w:right="1440" w:bottom="1440" w:left="1440" w:header="851" w:footer="851" w:gutter="0"/>
          <w:pgNumType w:fmt="lowerRoman" w:start="1"/>
          <w:cols w:space="720"/>
          <w:noEndnote/>
          <w:titlePg/>
        </w:sectPr>
      </w:pPr>
    </w:p>
    <w:p w14:paraId="7484A629" w14:textId="064B18D7" w:rsidR="008C7167" w:rsidRPr="00045BB7" w:rsidRDefault="0011419D" w:rsidP="0034268D">
      <w:pPr>
        <w:pStyle w:val="NormalHeadings"/>
        <w:widowControl/>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3A8C67E9" w14:textId="77777777" w:rsidTr="00E81DA6">
        <w:tc>
          <w:tcPr>
            <w:tcW w:w="6912" w:type="dxa"/>
            <w:gridSpan w:val="2"/>
          </w:tcPr>
          <w:p w14:paraId="1FE77BA4" w14:textId="77777777" w:rsidR="00A46CCC" w:rsidRPr="001765E0" w:rsidRDefault="00A46CCC" w:rsidP="0034268D">
            <w:pPr>
              <w:pStyle w:val="NormalHeadings"/>
              <w:widowControl/>
            </w:pPr>
          </w:p>
        </w:tc>
        <w:tc>
          <w:tcPr>
            <w:tcW w:w="2330" w:type="dxa"/>
          </w:tcPr>
          <w:p w14:paraId="0E7F0917" w14:textId="77777777" w:rsidR="00A46CCC" w:rsidRDefault="00091558" w:rsidP="0034268D">
            <w:pPr>
              <w:pStyle w:val="NormalHeadings"/>
              <w:widowControl/>
              <w:jc w:val="right"/>
            </w:pPr>
            <w:bookmarkStart w:id="10" w:name="FileNo"/>
            <w:r>
              <w:t>NSD 1041 of 2019</w:t>
            </w:r>
            <w:bookmarkEnd w:id="10"/>
          </w:p>
        </w:tc>
      </w:tr>
      <w:tr w:rsidR="00A76C13" w14:paraId="0A248D61" w14:textId="77777777" w:rsidTr="007B21E7">
        <w:tc>
          <w:tcPr>
            <w:tcW w:w="9242" w:type="dxa"/>
            <w:gridSpan w:val="3"/>
          </w:tcPr>
          <w:p w14:paraId="377B2418" w14:textId="77777777" w:rsidR="00A76C13" w:rsidRPr="00A76C13" w:rsidRDefault="00091558" w:rsidP="0034268D">
            <w:pPr>
              <w:pStyle w:val="NormalHeadings"/>
              <w:widowControl/>
              <w:spacing w:before="240" w:after="240"/>
              <w:jc w:val="left"/>
            </w:pPr>
            <w:bookmarkStart w:id="11" w:name="InTheMatterOf"/>
            <w:r>
              <w:t>IN THE MATTER OF MARK WILLIAM BRADLEY</w:t>
            </w:r>
            <w:bookmarkEnd w:id="11"/>
          </w:p>
        </w:tc>
      </w:tr>
      <w:tr w:rsidR="00A46CCC" w14:paraId="148953E1" w14:textId="77777777" w:rsidTr="007B21E7">
        <w:trPr>
          <w:trHeight w:val="386"/>
        </w:trPr>
        <w:tc>
          <w:tcPr>
            <w:tcW w:w="2376" w:type="dxa"/>
          </w:tcPr>
          <w:p w14:paraId="375081DA" w14:textId="77777777" w:rsidR="00A46CCC" w:rsidRDefault="00A46CCC" w:rsidP="0034268D">
            <w:pPr>
              <w:pStyle w:val="NormalHeadings"/>
              <w:widowControl/>
              <w:jc w:val="left"/>
              <w:rPr>
                <w:caps/>
                <w:szCs w:val="24"/>
              </w:rPr>
            </w:pPr>
            <w:bookmarkStart w:id="12" w:name="Parties"/>
            <w:r>
              <w:rPr>
                <w:caps/>
                <w:szCs w:val="24"/>
              </w:rPr>
              <w:t>BETWEEN:</w:t>
            </w:r>
          </w:p>
        </w:tc>
        <w:tc>
          <w:tcPr>
            <w:tcW w:w="6866" w:type="dxa"/>
            <w:gridSpan w:val="2"/>
          </w:tcPr>
          <w:p w14:paraId="26926A34" w14:textId="5D1DBF9B" w:rsidR="00091558" w:rsidRDefault="007B21E7" w:rsidP="0034268D">
            <w:pPr>
              <w:pStyle w:val="NormalHeadings"/>
              <w:widowControl/>
              <w:jc w:val="left"/>
            </w:pPr>
            <w:bookmarkStart w:id="13" w:name="Applicant"/>
            <w:r>
              <w:t>S</w:t>
            </w:r>
            <w:r w:rsidR="00A15D3C">
              <w:t>EMANTIC</w:t>
            </w:r>
            <w:r w:rsidR="00091558">
              <w:t xml:space="preserve"> SOFTWARE ASIA PACIFIC LIMITED (ACN 134 067 691)</w:t>
            </w:r>
          </w:p>
          <w:p w14:paraId="5A0116D8" w14:textId="77777777" w:rsidR="00091558" w:rsidRDefault="00091558" w:rsidP="0034268D">
            <w:pPr>
              <w:pStyle w:val="PartyType"/>
              <w:widowControl/>
            </w:pPr>
            <w:r>
              <w:t>Applicant</w:t>
            </w:r>
          </w:p>
          <w:bookmarkEnd w:id="13"/>
          <w:p w14:paraId="76D64105" w14:textId="77777777" w:rsidR="00A46CCC" w:rsidRPr="006555B4" w:rsidRDefault="00A46CCC" w:rsidP="0034268D">
            <w:pPr>
              <w:pStyle w:val="NormalHeadings"/>
              <w:widowControl/>
              <w:jc w:val="left"/>
            </w:pPr>
          </w:p>
        </w:tc>
      </w:tr>
      <w:tr w:rsidR="00A46CCC" w14:paraId="4521B36B" w14:textId="77777777" w:rsidTr="007B21E7">
        <w:trPr>
          <w:trHeight w:val="386"/>
        </w:trPr>
        <w:tc>
          <w:tcPr>
            <w:tcW w:w="2376" w:type="dxa"/>
          </w:tcPr>
          <w:p w14:paraId="7363AA57" w14:textId="77777777" w:rsidR="00A46CCC" w:rsidRDefault="00A46CCC" w:rsidP="0034268D">
            <w:pPr>
              <w:pStyle w:val="NormalHeadings"/>
              <w:widowControl/>
              <w:jc w:val="left"/>
              <w:rPr>
                <w:caps/>
                <w:szCs w:val="24"/>
              </w:rPr>
            </w:pPr>
            <w:r>
              <w:rPr>
                <w:caps/>
                <w:szCs w:val="24"/>
              </w:rPr>
              <w:t>AND:</w:t>
            </w:r>
          </w:p>
        </w:tc>
        <w:tc>
          <w:tcPr>
            <w:tcW w:w="6866" w:type="dxa"/>
            <w:gridSpan w:val="2"/>
          </w:tcPr>
          <w:p w14:paraId="518AB002" w14:textId="77777777" w:rsidR="00091558" w:rsidRDefault="00091558" w:rsidP="0034268D">
            <w:pPr>
              <w:pStyle w:val="NormalHeadings"/>
              <w:widowControl/>
              <w:jc w:val="left"/>
            </w:pPr>
            <w:bookmarkStart w:id="14" w:name="Respondent"/>
            <w:r>
              <w:t>PETER VINCE AS TRUSTEE IN BANKRUPTCY OF MARK WILLIAM BRADLEY</w:t>
            </w:r>
          </w:p>
          <w:p w14:paraId="508F25DA" w14:textId="77777777" w:rsidR="00091558" w:rsidRDefault="00091558" w:rsidP="0034268D">
            <w:pPr>
              <w:pStyle w:val="PartyType"/>
              <w:widowControl/>
            </w:pPr>
            <w:r>
              <w:t>Respondent</w:t>
            </w:r>
          </w:p>
          <w:bookmarkEnd w:id="14"/>
          <w:p w14:paraId="1EABEFF8" w14:textId="77777777" w:rsidR="00A46CCC" w:rsidRPr="006555B4" w:rsidRDefault="00A46CCC" w:rsidP="0034268D">
            <w:pPr>
              <w:pStyle w:val="NormalHeadings"/>
              <w:widowControl/>
              <w:jc w:val="left"/>
            </w:pPr>
          </w:p>
        </w:tc>
      </w:tr>
      <w:tr w:rsidR="007D57B9" w14:paraId="5F71A628" w14:textId="77777777" w:rsidTr="007D57B9">
        <w:trPr>
          <w:trHeight w:val="300"/>
        </w:trPr>
        <w:tc>
          <w:tcPr>
            <w:tcW w:w="2376" w:type="dxa"/>
          </w:tcPr>
          <w:p w14:paraId="38ECDDCC" w14:textId="77777777" w:rsidR="007D57B9" w:rsidRDefault="007D57B9" w:rsidP="0034268D">
            <w:pPr>
              <w:pStyle w:val="NormalHeadings"/>
              <w:widowControl/>
              <w:jc w:val="left"/>
              <w:rPr>
                <w:caps/>
                <w:szCs w:val="24"/>
              </w:rPr>
            </w:pPr>
            <w:bookmarkStart w:id="15" w:name="CrossClaimPosition"/>
            <w:bookmarkEnd w:id="12"/>
            <w:bookmarkEnd w:id="15"/>
          </w:p>
        </w:tc>
        <w:tc>
          <w:tcPr>
            <w:tcW w:w="6866" w:type="dxa"/>
            <w:gridSpan w:val="2"/>
          </w:tcPr>
          <w:p w14:paraId="7205B159" w14:textId="77777777" w:rsidR="007D57B9" w:rsidRDefault="007D57B9" w:rsidP="0034268D">
            <w:pPr>
              <w:pStyle w:val="NormalHeadings"/>
              <w:widowControl/>
              <w:jc w:val="left"/>
              <w:rPr>
                <w:szCs w:val="24"/>
              </w:rPr>
            </w:pPr>
          </w:p>
        </w:tc>
      </w:tr>
      <w:tr w:rsidR="007D57B9" w14:paraId="1106AB2D" w14:textId="77777777">
        <w:trPr>
          <w:trHeight w:val="386"/>
        </w:trPr>
        <w:tc>
          <w:tcPr>
            <w:tcW w:w="2376" w:type="dxa"/>
          </w:tcPr>
          <w:p w14:paraId="26002C11" w14:textId="77777777" w:rsidR="007D57B9" w:rsidRDefault="007D57B9" w:rsidP="0034268D">
            <w:pPr>
              <w:pStyle w:val="NormalHeadings"/>
              <w:widowControl/>
              <w:jc w:val="left"/>
              <w:rPr>
                <w:caps/>
                <w:szCs w:val="24"/>
              </w:rPr>
            </w:pPr>
            <w:r>
              <w:rPr>
                <w:caps/>
                <w:szCs w:val="24"/>
              </w:rPr>
              <w:t>AND BETWEEN:</w:t>
            </w:r>
          </w:p>
        </w:tc>
        <w:tc>
          <w:tcPr>
            <w:tcW w:w="6866" w:type="dxa"/>
            <w:gridSpan w:val="2"/>
          </w:tcPr>
          <w:p w14:paraId="6FA7525A" w14:textId="77777777" w:rsidR="00091558" w:rsidRDefault="00091558" w:rsidP="0034268D">
            <w:pPr>
              <w:pStyle w:val="NormalHeadings"/>
              <w:widowControl/>
              <w:jc w:val="left"/>
            </w:pPr>
            <w:bookmarkStart w:id="16" w:name="Cross_Applicant"/>
            <w:r>
              <w:t>PETER VINCE AS TRUSTEE IN BANKRUPTCY OF MARK WILLIAM BRADLEY</w:t>
            </w:r>
          </w:p>
          <w:p w14:paraId="010F4029" w14:textId="77777777" w:rsidR="00091558" w:rsidRDefault="00091558" w:rsidP="0034268D">
            <w:pPr>
              <w:pStyle w:val="PartyType"/>
              <w:widowControl/>
            </w:pPr>
            <w:r>
              <w:t>Cross-Claimant</w:t>
            </w:r>
          </w:p>
          <w:bookmarkEnd w:id="16"/>
          <w:p w14:paraId="411D02F1" w14:textId="77777777" w:rsidR="007D57B9" w:rsidRDefault="007D57B9" w:rsidP="0034268D">
            <w:pPr>
              <w:pStyle w:val="NormalHeadings"/>
              <w:widowControl/>
              <w:jc w:val="left"/>
              <w:rPr>
                <w:szCs w:val="24"/>
              </w:rPr>
            </w:pPr>
          </w:p>
        </w:tc>
      </w:tr>
      <w:tr w:rsidR="007D57B9" w14:paraId="7DC4A4CD" w14:textId="77777777">
        <w:trPr>
          <w:trHeight w:val="386"/>
        </w:trPr>
        <w:tc>
          <w:tcPr>
            <w:tcW w:w="2376" w:type="dxa"/>
          </w:tcPr>
          <w:p w14:paraId="47E19133" w14:textId="77777777" w:rsidR="007D57B9" w:rsidRDefault="007D57B9" w:rsidP="0034268D">
            <w:pPr>
              <w:pStyle w:val="NormalHeadings"/>
              <w:widowControl/>
              <w:jc w:val="left"/>
              <w:rPr>
                <w:caps/>
                <w:szCs w:val="24"/>
              </w:rPr>
            </w:pPr>
            <w:r>
              <w:rPr>
                <w:caps/>
                <w:szCs w:val="24"/>
              </w:rPr>
              <w:t>AND:</w:t>
            </w:r>
          </w:p>
        </w:tc>
        <w:tc>
          <w:tcPr>
            <w:tcW w:w="6866" w:type="dxa"/>
            <w:gridSpan w:val="2"/>
          </w:tcPr>
          <w:p w14:paraId="338C1FAE" w14:textId="1BA05CBB" w:rsidR="00091558" w:rsidRDefault="00A15D3C" w:rsidP="0034268D">
            <w:pPr>
              <w:pStyle w:val="NormalHeadings"/>
              <w:widowControl/>
              <w:jc w:val="left"/>
            </w:pPr>
            <w:bookmarkStart w:id="17" w:name="Cross_Respondent"/>
            <w:r>
              <w:t>SEMANTIC</w:t>
            </w:r>
            <w:r w:rsidR="00091558">
              <w:t xml:space="preserve"> SOFTWARE ASIA PACIFIC LIMITED (ACN 134 067 691)</w:t>
            </w:r>
          </w:p>
          <w:p w14:paraId="21A81AFF" w14:textId="77777777" w:rsidR="00091558" w:rsidRDefault="00091558" w:rsidP="0034268D">
            <w:pPr>
              <w:pStyle w:val="PartyType"/>
              <w:widowControl/>
            </w:pPr>
            <w:r>
              <w:t>Cross-Respondent</w:t>
            </w:r>
          </w:p>
          <w:bookmarkEnd w:id="17"/>
          <w:p w14:paraId="492078BC" w14:textId="77777777" w:rsidR="007D57B9" w:rsidRDefault="007D57B9" w:rsidP="0034268D">
            <w:pPr>
              <w:pStyle w:val="NormalHeadings"/>
              <w:widowControl/>
              <w:jc w:val="left"/>
              <w:rPr>
                <w:szCs w:val="24"/>
              </w:rPr>
            </w:pPr>
          </w:p>
        </w:tc>
      </w:tr>
    </w:tbl>
    <w:p w14:paraId="7BF34AE0" w14:textId="77777777" w:rsidR="00395B24" w:rsidRDefault="00395B24" w:rsidP="0034268D">
      <w:pPr>
        <w:pStyle w:val="NormalHeadings"/>
        <w:widowControl/>
      </w:pPr>
    </w:p>
    <w:tbl>
      <w:tblPr>
        <w:tblW w:w="0" w:type="auto"/>
        <w:tblLayout w:type="fixed"/>
        <w:tblLook w:val="0000" w:firstRow="0" w:lastRow="0" w:firstColumn="0" w:lastColumn="0" w:noHBand="0" w:noVBand="0"/>
        <w:tblCaption w:val="Judge"/>
        <w:tblDescription w:val="Judge"/>
      </w:tblPr>
      <w:tblGrid>
        <w:gridCol w:w="2376"/>
        <w:gridCol w:w="6866"/>
      </w:tblGrid>
      <w:tr w:rsidR="00395B24" w14:paraId="438DA7E0" w14:textId="77777777">
        <w:tc>
          <w:tcPr>
            <w:tcW w:w="2376" w:type="dxa"/>
          </w:tcPr>
          <w:p w14:paraId="3F8C5DB3" w14:textId="77777777" w:rsidR="00395B24" w:rsidRDefault="00091558" w:rsidP="0034268D">
            <w:pPr>
              <w:pStyle w:val="NormalHeadings"/>
              <w:widowControl/>
              <w:spacing w:after="120"/>
              <w:jc w:val="left"/>
              <w:rPr>
                <w:caps/>
                <w:szCs w:val="24"/>
              </w:rPr>
            </w:pPr>
            <w:bookmarkStart w:id="18" w:name="JudgeText"/>
            <w:r>
              <w:rPr>
                <w:caps/>
                <w:szCs w:val="24"/>
              </w:rPr>
              <w:t>JUDGE</w:t>
            </w:r>
            <w:bookmarkEnd w:id="18"/>
            <w:r w:rsidR="002C7385">
              <w:rPr>
                <w:caps/>
                <w:szCs w:val="24"/>
              </w:rPr>
              <w:t>:</w:t>
            </w:r>
          </w:p>
        </w:tc>
        <w:tc>
          <w:tcPr>
            <w:tcW w:w="6866" w:type="dxa"/>
          </w:tcPr>
          <w:p w14:paraId="06F36C48" w14:textId="77777777" w:rsidR="00395B24" w:rsidRDefault="00091558" w:rsidP="0034268D">
            <w:pPr>
              <w:pStyle w:val="NormalHeadings"/>
              <w:widowControl/>
              <w:jc w:val="left"/>
              <w:rPr>
                <w:caps/>
                <w:szCs w:val="24"/>
              </w:rPr>
            </w:pPr>
            <w:bookmarkStart w:id="19" w:name="Judge"/>
            <w:r>
              <w:rPr>
                <w:caps/>
                <w:szCs w:val="24"/>
              </w:rPr>
              <w:t>GLEESON J</w:t>
            </w:r>
            <w:bookmarkEnd w:id="19"/>
          </w:p>
        </w:tc>
      </w:tr>
      <w:tr w:rsidR="00395B24" w14:paraId="6BD82BB5" w14:textId="77777777">
        <w:tc>
          <w:tcPr>
            <w:tcW w:w="2376" w:type="dxa"/>
          </w:tcPr>
          <w:p w14:paraId="2C6E0C2D" w14:textId="77777777" w:rsidR="00395B24" w:rsidRDefault="002C7385" w:rsidP="0034268D">
            <w:pPr>
              <w:pStyle w:val="NormalHeadings"/>
              <w:widowControl/>
              <w:spacing w:after="120"/>
              <w:jc w:val="left"/>
              <w:rPr>
                <w:caps/>
                <w:szCs w:val="24"/>
              </w:rPr>
            </w:pPr>
            <w:r>
              <w:rPr>
                <w:caps/>
                <w:szCs w:val="24"/>
              </w:rPr>
              <w:t>DATE OF ORDER:</w:t>
            </w:r>
          </w:p>
        </w:tc>
        <w:tc>
          <w:tcPr>
            <w:tcW w:w="6866" w:type="dxa"/>
          </w:tcPr>
          <w:p w14:paraId="14D5DEFC" w14:textId="28E96959" w:rsidR="00395B24" w:rsidRDefault="00EB1619" w:rsidP="0034268D">
            <w:pPr>
              <w:pStyle w:val="NormalHeadings"/>
              <w:widowControl/>
              <w:jc w:val="left"/>
              <w:rPr>
                <w:caps/>
                <w:szCs w:val="24"/>
              </w:rPr>
            </w:pPr>
            <w:bookmarkStart w:id="20" w:name="Judgment_Dated"/>
            <w:r>
              <w:rPr>
                <w:caps/>
                <w:szCs w:val="24"/>
              </w:rPr>
              <w:t>16 July</w:t>
            </w:r>
            <w:r w:rsidR="00091558">
              <w:rPr>
                <w:caps/>
                <w:szCs w:val="24"/>
              </w:rPr>
              <w:t xml:space="preserve"> 2020</w:t>
            </w:r>
            <w:bookmarkEnd w:id="20"/>
          </w:p>
        </w:tc>
      </w:tr>
    </w:tbl>
    <w:p w14:paraId="5F11A781" w14:textId="77777777" w:rsidR="00395B24" w:rsidRDefault="00395B24" w:rsidP="0034268D">
      <w:pPr>
        <w:pStyle w:val="NormalHeadings"/>
        <w:widowControl/>
        <w:rPr>
          <w:b w:val="0"/>
        </w:rPr>
      </w:pPr>
    </w:p>
    <w:p w14:paraId="4353D74E" w14:textId="77777777" w:rsidR="008D1617" w:rsidRDefault="008D1617" w:rsidP="0034268D">
      <w:pPr>
        <w:pStyle w:val="NormalHeadings"/>
        <w:widowControl/>
        <w:rPr>
          <w:b w:val="0"/>
        </w:rPr>
      </w:pPr>
    </w:p>
    <w:p w14:paraId="0277A434" w14:textId="77777777" w:rsidR="00395B24" w:rsidRDefault="002C7385" w:rsidP="0034268D">
      <w:pPr>
        <w:pStyle w:val="NormalHeadings"/>
        <w:widowControl/>
      </w:pPr>
      <w:r>
        <w:t>THE COURT ORDERS THAT:</w:t>
      </w:r>
    </w:p>
    <w:p w14:paraId="42E322B3" w14:textId="77777777" w:rsidR="00395B24" w:rsidRDefault="00395B24" w:rsidP="0034268D">
      <w:pPr>
        <w:pStyle w:val="NormalHeadings"/>
        <w:widowControl/>
      </w:pPr>
    </w:p>
    <w:p w14:paraId="20C0F7BF" w14:textId="148E2751" w:rsidR="002C1087" w:rsidRDefault="002C1087" w:rsidP="0034268D">
      <w:pPr>
        <w:pStyle w:val="Order1"/>
      </w:pPr>
      <w:bookmarkStart w:id="21" w:name="Order_Start_Text"/>
      <w:bookmarkEnd w:id="21"/>
      <w:r>
        <w:t>The applicant/cross-respondent bear its own costs of the proceeding and the cross-claim.</w:t>
      </w:r>
    </w:p>
    <w:p w14:paraId="70C5A1D8" w14:textId="43393FC0" w:rsidR="00636871" w:rsidRDefault="002C1087" w:rsidP="0034268D">
      <w:pPr>
        <w:pStyle w:val="Order1"/>
      </w:pPr>
      <w:r>
        <w:t>Otherwise, the proceeding be dismissed with no further order as to costs.</w:t>
      </w:r>
    </w:p>
    <w:p w14:paraId="68DECBEF" w14:textId="77777777" w:rsidR="00395B24" w:rsidRDefault="00395B24" w:rsidP="0034268D">
      <w:pPr>
        <w:pStyle w:val="BodyText"/>
      </w:pPr>
    </w:p>
    <w:p w14:paraId="1A524E37" w14:textId="77777777" w:rsidR="005B19D8" w:rsidRDefault="005B19D8" w:rsidP="0034268D">
      <w:pPr>
        <w:pStyle w:val="SingleSpace"/>
      </w:pPr>
    </w:p>
    <w:p w14:paraId="7938614E" w14:textId="77777777" w:rsidR="005B19D8" w:rsidRDefault="005B19D8" w:rsidP="0034268D">
      <w:pPr>
        <w:pStyle w:val="SingleSpace"/>
      </w:pPr>
    </w:p>
    <w:p w14:paraId="46428264" w14:textId="46EC7B06" w:rsidR="00395B24" w:rsidRDefault="002C7385" w:rsidP="0034268D">
      <w:pPr>
        <w:pStyle w:val="SingleSpace"/>
      </w:pPr>
      <w:r>
        <w:t>Note:</w:t>
      </w:r>
      <w:r>
        <w:tab/>
        <w:t xml:space="preserve">Entry of orders is dealt with in Rule 39.32 of the </w:t>
      </w:r>
      <w:r>
        <w:rPr>
          <w:i/>
        </w:rPr>
        <w:t>Federal Court Rules 2011</w:t>
      </w:r>
      <w:r>
        <w:t>.</w:t>
      </w:r>
    </w:p>
    <w:p w14:paraId="009105C2" w14:textId="77777777" w:rsidR="00395B24" w:rsidRDefault="00395B24" w:rsidP="0034268D">
      <w:pPr>
        <w:pStyle w:val="BodyText"/>
      </w:pPr>
    </w:p>
    <w:p w14:paraId="56968545" w14:textId="77777777" w:rsidR="0092590B" w:rsidRDefault="0092590B" w:rsidP="0034268D">
      <w:pPr>
        <w:pStyle w:val="BodyText"/>
      </w:pPr>
    </w:p>
    <w:p w14:paraId="67837ED5" w14:textId="77777777" w:rsidR="00395B24" w:rsidRDefault="00395B24" w:rsidP="0034268D">
      <w:pPr>
        <w:pStyle w:val="NormalHeadings"/>
        <w:widowControl/>
        <w:spacing w:before="240" w:after="120"/>
        <w:rPr>
          <w:b w:val="0"/>
        </w:rPr>
        <w:sectPr w:rsidR="00395B24" w:rsidSect="0092590B">
          <w:endnotePr>
            <w:numFmt w:val="decimal"/>
          </w:endnotePr>
          <w:pgSz w:w="11907" w:h="16840" w:code="9"/>
          <w:pgMar w:top="1440" w:right="1440" w:bottom="1440" w:left="1440" w:header="851" w:footer="851" w:gutter="0"/>
          <w:pgNumType w:fmt="lowerRoman" w:start="1"/>
          <w:cols w:space="720"/>
          <w:noEndnote/>
          <w:titlePg/>
        </w:sectPr>
      </w:pPr>
    </w:p>
    <w:p w14:paraId="3AA5A3B8" w14:textId="77777777" w:rsidR="00484F6D" w:rsidRPr="00045BB7" w:rsidRDefault="00484F6D" w:rsidP="0034268D">
      <w:pPr>
        <w:pStyle w:val="NormalHeadings"/>
        <w:widowControl/>
        <w:spacing w:line="480" w:lineRule="auto"/>
        <w:jc w:val="center"/>
        <w:rPr>
          <w:sz w:val="28"/>
          <w:szCs w:val="28"/>
        </w:rPr>
      </w:pPr>
      <w:bookmarkStart w:id="22" w:name="ReasonsPage"/>
      <w:bookmarkEnd w:id="22"/>
      <w:r w:rsidRPr="00045BB7">
        <w:rPr>
          <w:sz w:val="28"/>
          <w:szCs w:val="28"/>
        </w:rPr>
        <w:lastRenderedPageBreak/>
        <w:t>REASONS FOR JUDGMENT</w:t>
      </w:r>
    </w:p>
    <w:p w14:paraId="7F86AAB9" w14:textId="77777777" w:rsidR="00395B24" w:rsidRPr="00EA03CE" w:rsidRDefault="007D57B9" w:rsidP="0034268D">
      <w:pPr>
        <w:pStyle w:val="NormalHeadings"/>
        <w:widowControl/>
        <w:spacing w:line="360" w:lineRule="auto"/>
        <w:jc w:val="left"/>
        <w:rPr>
          <w:sz w:val="26"/>
          <w:szCs w:val="26"/>
        </w:rPr>
      </w:pPr>
      <w:r>
        <w:rPr>
          <w:sz w:val="26"/>
          <w:szCs w:val="26"/>
        </w:rPr>
        <w:t>GLEESON J</w:t>
      </w:r>
      <w:r w:rsidR="00484F6D" w:rsidRPr="00EA03CE">
        <w:rPr>
          <w:sz w:val="26"/>
          <w:szCs w:val="26"/>
        </w:rPr>
        <w:t>:</w:t>
      </w:r>
    </w:p>
    <w:p w14:paraId="6C507616" w14:textId="5AC5078C" w:rsidR="004B60E0" w:rsidRDefault="004B60E0" w:rsidP="0034268D">
      <w:pPr>
        <w:pStyle w:val="ParaNumbering"/>
      </w:pPr>
      <w:r>
        <w:t>The applicant (</w:t>
      </w:r>
      <w:r w:rsidR="007B21E7">
        <w:rPr>
          <w:b/>
        </w:rPr>
        <w:t>SSAP</w:t>
      </w:r>
      <w:r>
        <w:t>) s</w:t>
      </w:r>
      <w:r w:rsidR="009832A4">
        <w:t>ought</w:t>
      </w:r>
      <w:r>
        <w:t xml:space="preserve"> declaration</w:t>
      </w:r>
      <w:r w:rsidR="009832A4">
        <w:t>s</w:t>
      </w:r>
      <w:r>
        <w:t xml:space="preserve"> that funds totalling $210,459.20 (</w:t>
      </w:r>
      <w:r w:rsidRPr="00CF1860">
        <w:rPr>
          <w:b/>
        </w:rPr>
        <w:t>funds</w:t>
      </w:r>
      <w:r>
        <w:t>) held in bank account number 10820125 in the name of “Mark William Bradley and Vicki Rae Bradley as Trustees of MWB Online Super Fund” (</w:t>
      </w:r>
      <w:r>
        <w:rPr>
          <w:b/>
        </w:rPr>
        <w:t>Acc</w:t>
      </w:r>
      <w:r w:rsidRPr="00535300">
        <w:rPr>
          <w:b/>
        </w:rPr>
        <w:t>ount</w:t>
      </w:r>
      <w:r>
        <w:t xml:space="preserve">) are the property of </w:t>
      </w:r>
      <w:r w:rsidR="009832A4">
        <w:t>SSAP and are</w:t>
      </w:r>
      <w:r>
        <w:t xml:space="preserve"> not property vested in the respondent (</w:t>
      </w:r>
      <w:r w:rsidRPr="00CF1860">
        <w:rPr>
          <w:b/>
        </w:rPr>
        <w:t>trustee</w:t>
      </w:r>
      <w:r>
        <w:t>), the trustee of the bankrupt estate of Mark William Bradley (</w:t>
      </w:r>
      <w:r w:rsidRPr="00536F81">
        <w:rPr>
          <w:b/>
        </w:rPr>
        <w:t>bankrupt</w:t>
      </w:r>
      <w:r>
        <w:t>).</w:t>
      </w:r>
    </w:p>
    <w:p w14:paraId="147947D8" w14:textId="19C29C7E" w:rsidR="009832A4" w:rsidRPr="009832A4" w:rsidRDefault="004B60E0" w:rsidP="0034268D">
      <w:pPr>
        <w:pStyle w:val="ParaNumbering"/>
      </w:pPr>
      <w:r>
        <w:t>The trustee oppose</w:t>
      </w:r>
      <w:r w:rsidR="009832A4">
        <w:t>d</w:t>
      </w:r>
      <w:r>
        <w:t xml:space="preserve"> </w:t>
      </w:r>
      <w:r w:rsidR="007B21E7">
        <w:t>SSAP</w:t>
      </w:r>
      <w:r>
        <w:t>’s claim</w:t>
      </w:r>
      <w:r w:rsidR="009832A4">
        <w:t>, by a notice of</w:t>
      </w:r>
      <w:r>
        <w:t xml:space="preserve"> </w:t>
      </w:r>
      <w:r w:rsidR="009832A4">
        <w:t xml:space="preserve">opposition stated to be filed in accordance with r 2.06 of the </w:t>
      </w:r>
      <w:r w:rsidR="009832A4">
        <w:rPr>
          <w:i/>
        </w:rPr>
        <w:t xml:space="preserve">Federal Court (Bankruptcy) Rules 2016. </w:t>
      </w:r>
      <w:r w:rsidR="00A71895">
        <w:t>The notice of opposition referred to a cross-claim filed by the trustee in which the trustee sought determination of several questions concerning the ownership of the funds.</w:t>
      </w:r>
    </w:p>
    <w:p w14:paraId="682A8609" w14:textId="77777777" w:rsidR="009832A4" w:rsidRDefault="009832A4" w:rsidP="0034268D">
      <w:pPr>
        <w:pStyle w:val="ParaNumbering"/>
      </w:pPr>
      <w:r>
        <w:t>After the final hearing commenced and evidence was given by two witnesses for SSAP, the parties agreed that the funds were held on trust by the bankrupt for SSAP.</w:t>
      </w:r>
    </w:p>
    <w:p w14:paraId="450977E0" w14:textId="77777777" w:rsidR="009832A4" w:rsidRDefault="009832A4" w:rsidP="0034268D">
      <w:pPr>
        <w:pStyle w:val="ParaNumbering"/>
      </w:pPr>
      <w:r>
        <w:t xml:space="preserve">Accordingly, I made an order giving effect to that agreement. </w:t>
      </w:r>
    </w:p>
    <w:p w14:paraId="463B122A" w14:textId="2AB849BD" w:rsidR="009832A4" w:rsidRDefault="009832A4" w:rsidP="0034268D">
      <w:pPr>
        <w:pStyle w:val="ParaNumbering"/>
      </w:pPr>
      <w:r>
        <w:t xml:space="preserve">The parties disagreed on the question of costs: the trustee argued that SSAP should pay </w:t>
      </w:r>
      <w:r w:rsidR="00A15D3C">
        <w:t>its</w:t>
      </w:r>
      <w:r>
        <w:t xml:space="preserve"> costs of the proceeding, while SSAP argued that a portion of its costs should be paid from the bankrupt estate.</w:t>
      </w:r>
    </w:p>
    <w:p w14:paraId="267C8C1A" w14:textId="6C27CD77" w:rsidR="009832A4" w:rsidRDefault="009832A4" w:rsidP="0034268D">
      <w:pPr>
        <w:pStyle w:val="ParaNumbering"/>
      </w:pPr>
      <w:r>
        <w:t>The trustee informed the Court that he does not seek an order that his costs be paid from the bankrupt estate.</w:t>
      </w:r>
    </w:p>
    <w:p w14:paraId="6815C8CB" w14:textId="56D4E20C" w:rsidR="007B21E7" w:rsidRDefault="00A71895" w:rsidP="0034268D">
      <w:pPr>
        <w:pStyle w:val="Heading1"/>
      </w:pPr>
      <w:r>
        <w:t>Legal framework</w:t>
      </w:r>
    </w:p>
    <w:p w14:paraId="037EC743" w14:textId="0FAF5449" w:rsidR="00BD52B7" w:rsidRDefault="00A71895" w:rsidP="0034268D">
      <w:pPr>
        <w:pStyle w:val="ParaNumbering"/>
      </w:pPr>
      <w:r>
        <w:t xml:space="preserve">Section 43 of the </w:t>
      </w:r>
      <w:r>
        <w:rPr>
          <w:i/>
        </w:rPr>
        <w:t xml:space="preserve">Federal Court of Australia Act 1976 </w:t>
      </w:r>
      <w:r>
        <w:t>(</w:t>
      </w:r>
      <w:proofErr w:type="spellStart"/>
      <w:r>
        <w:t>Cth</w:t>
      </w:r>
      <w:proofErr w:type="spellEnd"/>
      <w:r>
        <w:t xml:space="preserve">) </w:t>
      </w:r>
      <w:r w:rsidR="00F45668">
        <w:rPr>
          <w:b/>
        </w:rPr>
        <w:t>(</w:t>
      </w:r>
      <w:r w:rsidR="00F45668" w:rsidRPr="00854A0E">
        <w:rPr>
          <w:b/>
        </w:rPr>
        <w:t>Act</w:t>
      </w:r>
      <w:r w:rsidR="00F45668">
        <w:rPr>
          <w:b/>
        </w:rPr>
        <w:t xml:space="preserve">) </w:t>
      </w:r>
      <w:r>
        <w:t xml:space="preserve">gives the Court a wide discretion in awarding costs, which discretion must be exercised judicially with appropriate regard to guiding principles: </w:t>
      </w:r>
      <w:proofErr w:type="spellStart"/>
      <w:r w:rsidRPr="00A71895">
        <w:rPr>
          <w:i/>
        </w:rPr>
        <w:t>Jadwan</w:t>
      </w:r>
      <w:proofErr w:type="spellEnd"/>
      <w:r w:rsidRPr="00A71895">
        <w:rPr>
          <w:i/>
        </w:rPr>
        <w:t xml:space="preserve"> Pty Ltd v Rae &amp; Partners (A Firm) (No 2)</w:t>
      </w:r>
      <w:r w:rsidRPr="00A71895">
        <w:t xml:space="preserve"> [2020] FCAFC 95</w:t>
      </w:r>
      <w:r>
        <w:t xml:space="preserve"> at [7]. </w:t>
      </w:r>
      <w:r w:rsidR="00BD52B7">
        <w:t>T</w:t>
      </w:r>
      <w:r w:rsidR="00BD52B7" w:rsidRPr="00BD52B7">
        <w:t>he exercise of the discretion is to be informed by the interests of justice considered with reference to the facts of the particular case</w:t>
      </w:r>
      <w:r w:rsidR="00BD52B7">
        <w:t xml:space="preserve">: </w:t>
      </w:r>
      <w:r w:rsidR="00854A0E">
        <w:t xml:space="preserve">cf. </w:t>
      </w:r>
      <w:r w:rsidR="00BD52B7">
        <w:rPr>
          <w:i/>
        </w:rPr>
        <w:t xml:space="preserve">James v Royal Bank of Scotland </w:t>
      </w:r>
      <w:r w:rsidR="00BD52B7">
        <w:t>[2015] NSWSC 970 at [64].</w:t>
      </w:r>
    </w:p>
    <w:p w14:paraId="49929FA6" w14:textId="310DA856" w:rsidR="00713C64" w:rsidRDefault="00A71895" w:rsidP="0034268D">
      <w:pPr>
        <w:pStyle w:val="ParaNumbering"/>
      </w:pPr>
      <w:r>
        <w:t>The ordinary rule is that costs follow the eve</w:t>
      </w:r>
      <w:r w:rsidR="00E50AA8">
        <w:t xml:space="preserve">nt. </w:t>
      </w:r>
      <w:r w:rsidR="00713C64">
        <w:t xml:space="preserve">The trustee submitted, in effect, that the relevant event was the answer to the questions on which the Court’s direction was required. However, the proceeding was commenced by SSAP, claiming </w:t>
      </w:r>
      <w:r w:rsidR="00E50AA8">
        <w:t xml:space="preserve">beneficial ownership of the funds. </w:t>
      </w:r>
      <w:r w:rsidR="00713C64">
        <w:t xml:space="preserve">That </w:t>
      </w:r>
      <w:r w:rsidR="00713C64">
        <w:lastRenderedPageBreak/>
        <w:t>claim was opposed by the trustee in a notice of opposition filed on 15 August 2019. SSAP’</w:t>
      </w:r>
      <w:r w:rsidR="00B24AD7">
        <w:t xml:space="preserve">s claim was vindicated. The fact, which I accept, that the trustee reasonably required directions from the Court as to the ownership of the relevant funds does not detract from the reality that the proceeding resolved SSAP’s claim in its favour. This is the relevant event and, accordingly, </w:t>
      </w:r>
      <w:r w:rsidR="00E50AA8">
        <w:t xml:space="preserve">in the ordinary course, </w:t>
      </w:r>
      <w:r w:rsidR="00B24AD7">
        <w:t xml:space="preserve">SSAP </w:t>
      </w:r>
      <w:r w:rsidR="00E50AA8">
        <w:t xml:space="preserve">would be entitled to an order </w:t>
      </w:r>
      <w:r w:rsidR="00B24AD7">
        <w:t>in its favour for the costs of vindicating its claim.</w:t>
      </w:r>
      <w:r w:rsidR="00713C64">
        <w:t xml:space="preserve"> </w:t>
      </w:r>
    </w:p>
    <w:p w14:paraId="4734E259" w14:textId="2FA16FDE" w:rsidR="00E50AA8" w:rsidRDefault="00E50AA8" w:rsidP="0034268D">
      <w:pPr>
        <w:pStyle w:val="ParaNumbering"/>
      </w:pPr>
      <w:r>
        <w:t xml:space="preserve">However, in certain circumstances, the Court may depart from the ordinary rule by depriving a successful party of its costs or </w:t>
      </w:r>
      <w:r w:rsidR="004629B8">
        <w:t xml:space="preserve">even by </w:t>
      </w:r>
      <w:r>
        <w:t>ordering a successful party to pay the costs of its opponent.</w:t>
      </w:r>
    </w:p>
    <w:p w14:paraId="70A0052E" w14:textId="3310CEF5" w:rsidR="00FE132D" w:rsidRDefault="00FE132D" w:rsidP="0034268D">
      <w:pPr>
        <w:pStyle w:val="ParaNumbering"/>
      </w:pPr>
      <w:r>
        <w:t xml:space="preserve">In </w:t>
      </w:r>
      <w:r>
        <w:rPr>
          <w:i/>
        </w:rPr>
        <w:t>Montes-Granados</w:t>
      </w:r>
      <w:r w:rsidR="002B1F6C">
        <w:rPr>
          <w:i/>
        </w:rPr>
        <w:t xml:space="preserve"> v Minister for Immigration and Multicultural Affairs</w:t>
      </w:r>
      <w:r>
        <w:rPr>
          <w:i/>
        </w:rPr>
        <w:t xml:space="preserve"> </w:t>
      </w:r>
      <w:r>
        <w:t xml:space="preserve">[2000] FCA 60 at [19], Burchett J </w:t>
      </w:r>
      <w:r w:rsidR="00F45668">
        <w:t>observed</w:t>
      </w:r>
      <w:r>
        <w:t>:</w:t>
      </w:r>
    </w:p>
    <w:p w14:paraId="45F3B769" w14:textId="5EB68BBF" w:rsidR="00FE132D" w:rsidRPr="00A71895" w:rsidRDefault="00FE132D" w:rsidP="0034268D">
      <w:pPr>
        <w:pStyle w:val="Quote1"/>
        <w:widowControl/>
      </w:pPr>
      <w:r w:rsidRPr="00FE132D">
        <w:t xml:space="preserve">The Supreme Court of Victoria held in </w:t>
      </w:r>
      <w:r w:rsidRPr="00FE132D">
        <w:rPr>
          <w:i/>
        </w:rPr>
        <w:t>Verna Trading Pty Ltd v New India Assurance Co Ltd</w:t>
      </w:r>
      <w:r w:rsidRPr="00FE132D">
        <w:t xml:space="preserve"> [1991]1 VR 129 that a discretion conferred in similar terms was wide enough to enable the Court, not only to deprive a successful defendant of costs, but even to make an order that the successful defendant pay costs to an unsuccessful plaintiff. In </w:t>
      </w:r>
      <w:r w:rsidRPr="00FE132D">
        <w:rPr>
          <w:i/>
        </w:rPr>
        <w:t>Knight v Clifton</w:t>
      </w:r>
      <w:r w:rsidRPr="00FE132D">
        <w:t xml:space="preserve"> [1971] </w:t>
      </w:r>
      <w:proofErr w:type="spellStart"/>
      <w:r w:rsidRPr="00FE132D">
        <w:t>Ch</w:t>
      </w:r>
      <w:proofErr w:type="spellEnd"/>
      <w:r w:rsidRPr="00FE132D">
        <w:t xml:space="preserve"> 700 at 716, Sachs LJ had taken the same view. Of course, this could only be justified in an extremely rare case.</w:t>
      </w:r>
      <w:r>
        <w:t xml:space="preserve"> </w:t>
      </w:r>
      <w:r w:rsidRPr="005D7295">
        <w:t xml:space="preserve">The Court's discretion, as Viscount Cave LC said in an often cited judgment in </w:t>
      </w:r>
      <w:r w:rsidRPr="00FE132D">
        <w:rPr>
          <w:i/>
        </w:rPr>
        <w:t xml:space="preserve">Donald Campbell &amp; Co v </w:t>
      </w:r>
      <w:proofErr w:type="spellStart"/>
      <w:r w:rsidRPr="00FE132D">
        <w:rPr>
          <w:i/>
        </w:rPr>
        <w:t>Pollak</w:t>
      </w:r>
      <w:proofErr w:type="spellEnd"/>
      <w:r w:rsidRPr="005D7295">
        <w:t xml:space="preserve"> [1927] AC 732 at 811-812 </w:t>
      </w:r>
      <w:r w:rsidR="009D18FF">
        <w:t>“</w:t>
      </w:r>
      <w:r w:rsidRPr="005D7295">
        <w:t>must ... be exercised judicially, and the judge ought not to exercise it against the successful party except for some reason connected with the case.</w:t>
      </w:r>
      <w:r w:rsidR="009D18FF">
        <w:t>”</w:t>
      </w:r>
      <w:r w:rsidRPr="005D7295">
        <w:t xml:space="preserve"> See also </w:t>
      </w:r>
      <w:proofErr w:type="spellStart"/>
      <w:r w:rsidRPr="00FE132D">
        <w:rPr>
          <w:i/>
        </w:rPr>
        <w:t>Tekmat</w:t>
      </w:r>
      <w:proofErr w:type="spellEnd"/>
      <w:r w:rsidRPr="00FE132D">
        <w:rPr>
          <w:i/>
        </w:rPr>
        <w:t xml:space="preserve"> Investments Pty Ltd v Ward</w:t>
      </w:r>
      <w:r w:rsidRPr="005D7295">
        <w:t xml:space="preserve"> (1988) 81 ALR 278.</w:t>
      </w:r>
    </w:p>
    <w:p w14:paraId="44BF9A0B" w14:textId="4B83DF66" w:rsidR="00BD52B7" w:rsidRDefault="00BD52B7" w:rsidP="0034268D">
      <w:pPr>
        <w:pStyle w:val="Heading2"/>
      </w:pPr>
      <w:r>
        <w:t>Trustee’s argument</w:t>
      </w:r>
    </w:p>
    <w:p w14:paraId="5560FC6C" w14:textId="4922D155" w:rsidR="00E50AA8" w:rsidRDefault="00EF6CAE" w:rsidP="0034268D">
      <w:pPr>
        <w:pStyle w:val="ParaNumbering"/>
      </w:pPr>
      <w:r>
        <w:t xml:space="preserve">In support of his argument, the trustee referred to the judgment </w:t>
      </w:r>
      <w:r w:rsidR="00CA7FB2">
        <w:t xml:space="preserve">of </w:t>
      </w:r>
      <w:r w:rsidR="00BE5A5B">
        <w:t>the</w:t>
      </w:r>
      <w:r w:rsidR="00CA7FB2">
        <w:t xml:space="preserve"> Victoria</w:t>
      </w:r>
      <w:r w:rsidR="00BE5A5B">
        <w:t>n Court of Appeal</w:t>
      </w:r>
      <w:r w:rsidR="00CA7FB2">
        <w:t xml:space="preserve"> </w:t>
      </w:r>
      <w:r>
        <w:t xml:space="preserve">in </w:t>
      </w:r>
      <w:r w:rsidR="00CA7FB2">
        <w:rPr>
          <w:i/>
        </w:rPr>
        <w:t xml:space="preserve">Verna Trading Pty Ltd v New India Assurance Co Ltd </w:t>
      </w:r>
      <w:r w:rsidR="00CA7FB2">
        <w:t>[1991] 1 VR 129</w:t>
      </w:r>
      <w:r>
        <w:t xml:space="preserve">. That judgment was summarised by Warren CJ in </w:t>
      </w:r>
      <w:proofErr w:type="spellStart"/>
      <w:r w:rsidRPr="00EF6CAE">
        <w:rPr>
          <w:i/>
        </w:rPr>
        <w:t>Sahin</w:t>
      </w:r>
      <w:proofErr w:type="spellEnd"/>
      <w:r w:rsidRPr="00EF6CAE">
        <w:rPr>
          <w:i/>
        </w:rPr>
        <w:t xml:space="preserve"> v National Australia Bank Ltd</w:t>
      </w:r>
      <w:r>
        <w:rPr>
          <w:i/>
        </w:rPr>
        <w:t xml:space="preserve"> </w:t>
      </w:r>
      <w:r>
        <w:t>[2013] VSCA 93 at [19] as follows:</w:t>
      </w:r>
    </w:p>
    <w:p w14:paraId="2D640ED8" w14:textId="0BDCAC7A" w:rsidR="00EF6CAE" w:rsidRDefault="00F45668" w:rsidP="0034268D">
      <w:pPr>
        <w:pStyle w:val="Quote1"/>
        <w:widowControl/>
        <w:spacing w:after="240"/>
      </w:pPr>
      <w:r>
        <w:t>…</w:t>
      </w:r>
      <w:r w:rsidR="008F6F99">
        <w:t xml:space="preserve"> </w:t>
      </w:r>
      <w:r w:rsidR="004629B8">
        <w:t>[T]</w:t>
      </w:r>
      <w:r w:rsidR="00EF6CAE" w:rsidRPr="00EF6CAE">
        <w:t>he applicability of an insurance policy was at issue. The plaintiff had made a claim under the policy. After many months, the insurer refused to indemnify the plaintiff but gave no reason for its refusal. Proceedings were commenced. Until the second day of the hearing, the defendant insurer relied upon grounds of defence that were unmeritorious. It was not until the first day of the hearing that the defendant disclosed its true defences to the claim and only sought to rely upon them from the second day of the trial. The plaintiff failed in its claim. Although the defendant was successful, the judge ordered the defendant to pay the plaintiff’s costs on a solicitor/own client basis up to and including the first day of the trial. On appeal, the Full Court held that the circumstances were very exceptional and formed a proper basis for the trial judge to exercise his discretion as to costs in the way that he did</w:t>
      </w:r>
      <w:r w:rsidR="00EF6CAE">
        <w:t>.</w:t>
      </w:r>
    </w:p>
    <w:p w14:paraId="0925B64B" w14:textId="7E22CC2F" w:rsidR="005D7295" w:rsidRDefault="005D7295" w:rsidP="0034268D">
      <w:pPr>
        <w:pStyle w:val="ParaNumbering"/>
      </w:pPr>
      <w:r>
        <w:t xml:space="preserve">In substance, the trustee contended that the litigation was caused by the </w:t>
      </w:r>
      <w:r w:rsidR="00BD52B7">
        <w:t xml:space="preserve">inappropriate and suspicious </w:t>
      </w:r>
      <w:r>
        <w:t xml:space="preserve">conduct of Mr Bradley in transferring SSAP’s funds into a bank account in the name </w:t>
      </w:r>
      <w:r>
        <w:lastRenderedPageBreak/>
        <w:t xml:space="preserve">of a superannuation fund on the day of his bankruptcy and the following day. That conduct necessitated the trustee’s investigations into ownership of the </w:t>
      </w:r>
      <w:r w:rsidR="00481D7D">
        <w:t>A</w:t>
      </w:r>
      <w:r>
        <w:t xml:space="preserve">ccount and the funds in the </w:t>
      </w:r>
      <w:r w:rsidR="00481D7D">
        <w:t>A</w:t>
      </w:r>
      <w:r>
        <w:t xml:space="preserve">ccount. Although the trustee sought information to enable him to determine the question, by letter dated </w:t>
      </w:r>
      <w:r w:rsidR="00481D7D">
        <w:t>14 November</w:t>
      </w:r>
      <w:r>
        <w:t xml:space="preserve"> 2018, SSAP did not respond cooperatively. Instead, </w:t>
      </w:r>
      <w:r w:rsidR="00FE132D">
        <w:t xml:space="preserve">in June 2019, </w:t>
      </w:r>
      <w:r>
        <w:t>it commenced proceedings supported by affidavits that raised more questions than they answered. It was only shortly before the final hearing, and after SSAP retained new solicitors, that SSAP put forward an explanation that (with the benefit of cross-examination) led to the trustee’s acceptance that the funds were beneficially owned by SSAP.</w:t>
      </w:r>
    </w:p>
    <w:p w14:paraId="19ED9251" w14:textId="5A2AFD82" w:rsidR="005D7295" w:rsidRDefault="005D7295" w:rsidP="0034268D">
      <w:pPr>
        <w:pStyle w:val="ParaNumbering"/>
      </w:pPr>
      <w:r>
        <w:t>The trustee submitted that</w:t>
      </w:r>
      <w:r w:rsidR="00481D7D">
        <w:t xml:space="preserve"> SSAP provided shifting, contradictory and implausible explanations for the movement of the funds to and from the Account. H</w:t>
      </w:r>
      <w:r>
        <w:t xml:space="preserve">ad SSAP provided a full and frank explanation when it first asserted ownership of the funds, the trustee’s application to the Court would have been straightforward and likely by consent. </w:t>
      </w:r>
    </w:p>
    <w:p w14:paraId="5C0989A2" w14:textId="00EBAFA5" w:rsidR="00BD52B7" w:rsidRDefault="00BD52B7" w:rsidP="0034268D">
      <w:pPr>
        <w:pStyle w:val="Heading2"/>
      </w:pPr>
      <w:r>
        <w:t>SSAP’s argument</w:t>
      </w:r>
    </w:p>
    <w:p w14:paraId="258294B4" w14:textId="2B8CD67B" w:rsidR="00FE132D" w:rsidRDefault="00BD52B7" w:rsidP="0034268D">
      <w:pPr>
        <w:pStyle w:val="ParaNumbering"/>
      </w:pPr>
      <w:r>
        <w:t>SSAP accepted that it should not be award</w:t>
      </w:r>
      <w:r w:rsidR="00FE132D">
        <w:t>ed</w:t>
      </w:r>
      <w:r>
        <w:t xml:space="preserve"> costs for the period prior to 1 May 2020 but argued that it should have a lump sum costs order of $20,000, being 65% of its costs thereafter on the basis that the trustee was put on notice by the Court that SSAP would probably succeed in its claim.</w:t>
      </w:r>
      <w:r w:rsidR="00B018F2">
        <w:t xml:space="preserve"> That notice was said to have been given </w:t>
      </w:r>
      <w:r w:rsidR="00FE132D">
        <w:t xml:space="preserve">by the following comment made </w:t>
      </w:r>
      <w:r w:rsidR="00B018F2">
        <w:t>at a case management hearin</w:t>
      </w:r>
      <w:r w:rsidR="00FE132D">
        <w:t>g on 1 May 2020:</w:t>
      </w:r>
    </w:p>
    <w:p w14:paraId="6CBDFF5E" w14:textId="521F6EDD" w:rsidR="00BD52B7" w:rsidRDefault="00FE132D" w:rsidP="0034268D">
      <w:pPr>
        <w:pStyle w:val="Quote1"/>
        <w:widowControl/>
      </w:pPr>
      <w:r>
        <w:t>HER HONOUR:</w:t>
      </w:r>
      <w:r w:rsidR="008F6F99">
        <w:t xml:space="preserve"> </w:t>
      </w:r>
      <w:r>
        <w:t>…</w:t>
      </w:r>
      <w:r w:rsidR="008F6F99">
        <w:t xml:space="preserve"> </w:t>
      </w:r>
      <w:r>
        <w:t>on one view of the evidence that has been served so far, it seems a distinct possibility that Mr Bradl</w:t>
      </w:r>
      <w:r w:rsidR="008F6F99">
        <w:t>e</w:t>
      </w:r>
      <w:r>
        <w:t>y might be found to have taken the money that eventually found its way into the super fund account, in which case I would have thought, Mr Petrie, that raises a question about whether that money should be regarded as the company’s money.</w:t>
      </w:r>
    </w:p>
    <w:p w14:paraId="74F97E6A" w14:textId="53D9FAD5" w:rsidR="008C5734" w:rsidRDefault="00BD52B7" w:rsidP="0034268D">
      <w:pPr>
        <w:pStyle w:val="Heading1"/>
      </w:pPr>
      <w:r>
        <w:t>Consideration</w:t>
      </w:r>
    </w:p>
    <w:p w14:paraId="2E59DF3A" w14:textId="7B2AB84F" w:rsidR="00B018F2" w:rsidRDefault="00B018F2" w:rsidP="0034268D">
      <w:pPr>
        <w:pStyle w:val="ParaNumbering"/>
      </w:pPr>
      <w:r>
        <w:t xml:space="preserve">I accept that the trustee had good reason to scrutinise SSAP’s claim. The transfer of the funds of a public company into the superannuation account at the relevant times was inherently suspicious. I also accept that Mr Bradley’s claim, made in his first affidavit, that the transfers occurred because of his difficulties in using the </w:t>
      </w:r>
      <w:proofErr w:type="spellStart"/>
      <w:r>
        <w:t>Combiz</w:t>
      </w:r>
      <w:proofErr w:type="spellEnd"/>
      <w:r>
        <w:t xml:space="preserve"> Portal was unconvincing</w:t>
      </w:r>
      <w:r w:rsidR="00336241">
        <w:t>,</w:t>
      </w:r>
      <w:r>
        <w:t xml:space="preserve"> and a very poor </w:t>
      </w:r>
      <w:r w:rsidR="00336241">
        <w:t>justification for the transfers, particularly where it was not accompanied by SSAP records to show that the directors of SSAP were informed of this practical problem and had endorsed Mr Bradley’s solution.</w:t>
      </w:r>
    </w:p>
    <w:p w14:paraId="7B079D2C" w14:textId="14583CFD" w:rsidR="00B018F2" w:rsidRDefault="00B018F2" w:rsidP="0034268D">
      <w:pPr>
        <w:pStyle w:val="ParaNumbering"/>
      </w:pPr>
      <w:r>
        <w:t xml:space="preserve">On the other hand, </w:t>
      </w:r>
      <w:r w:rsidR="001B3655">
        <w:t xml:space="preserve">in June 2019, SSAP filed affidavits from Mr Bradley and Mr Mount deposing to facts relevant to the ownership of the funds. From that time, the trustee was on </w:t>
      </w:r>
      <w:r w:rsidR="001B3655">
        <w:lastRenderedPageBreak/>
        <w:t xml:space="preserve">notice that, if SSAP’s </w:t>
      </w:r>
      <w:r w:rsidR="00336241">
        <w:t>evidence wa</w:t>
      </w:r>
      <w:r w:rsidR="001B3655">
        <w:t>s accepted then</w:t>
      </w:r>
      <w:r w:rsidR="00336241">
        <w:t xml:space="preserve"> it would succeed and</w:t>
      </w:r>
      <w:r w:rsidR="001B3655">
        <w:t>, in the ordinary course, costs would follow the event. The trustee was also on notice that, for SSAP’s claim not to have been accepted, the Court would probably need to disbelieve the evidence of Mr Bradley and Mr Mount.</w:t>
      </w:r>
      <w:r w:rsidR="008F1A11">
        <w:t xml:space="preserve"> </w:t>
      </w:r>
    </w:p>
    <w:p w14:paraId="554BB9ED" w14:textId="0391E234" w:rsidR="008F1A11" w:rsidRDefault="008F1A11" w:rsidP="0034268D">
      <w:pPr>
        <w:pStyle w:val="ParaNumbering"/>
      </w:pPr>
      <w:r>
        <w:t xml:space="preserve">Further, the fact that the transfers were suspicious did not tend to suggest that the funds were owned by the bankrupt. To the contrary, it raised a suspicion that the funds were owned by SSAP. </w:t>
      </w:r>
      <w:r w:rsidR="00336241">
        <w:t>That point was noted at the 1 May 2020 case management heading.</w:t>
      </w:r>
    </w:p>
    <w:p w14:paraId="1B5855A0" w14:textId="09489B53" w:rsidR="00336241" w:rsidRDefault="008F1A11" w:rsidP="0034268D">
      <w:pPr>
        <w:pStyle w:val="ParaNumbering"/>
      </w:pPr>
      <w:r>
        <w:t xml:space="preserve">I accept that Mr Bradley’s conduct, apparently on behalf of SSAP, in transferring the funds necessitated the proceeding and accordingly, </w:t>
      </w:r>
      <w:r w:rsidR="002C1087">
        <w:t xml:space="preserve">it is appropriate that </w:t>
      </w:r>
      <w:r>
        <w:t>SSAP</w:t>
      </w:r>
      <w:r w:rsidR="002C1087">
        <w:t xml:space="preserve"> rather than the bankrupt estate (or the trustee)</w:t>
      </w:r>
      <w:r>
        <w:t xml:space="preserve"> should bear </w:t>
      </w:r>
      <w:r w:rsidR="002C1087">
        <w:t>SSAP’s costs</w:t>
      </w:r>
      <w:r>
        <w:t xml:space="preserve">. </w:t>
      </w:r>
      <w:r w:rsidR="00336241">
        <w:t>In the circumstances of the case, I consider that it was prudent for the trustee to seek to cross-examine Mr Bradley in order to satisfy himself and the Court that SSAP’s ownership of the relevant funds was the proper conclusion. Accordingly, SSAP should not have its costs from 1 May 2020.</w:t>
      </w:r>
    </w:p>
    <w:p w14:paraId="7D819C43" w14:textId="77777777" w:rsidR="00AB0AF8" w:rsidRDefault="00023A5F" w:rsidP="0034268D">
      <w:pPr>
        <w:pStyle w:val="ParaNumbering"/>
      </w:pPr>
      <w:r>
        <w:t xml:space="preserve">I am also not </w:t>
      </w:r>
      <w:r w:rsidR="008F1A11">
        <w:t xml:space="preserve">persuaded that </w:t>
      </w:r>
      <w:r w:rsidR="002C1087">
        <w:t>SSAP’s</w:t>
      </w:r>
      <w:r w:rsidR="008F1A11">
        <w:t xml:space="preserve"> conduct justifie</w:t>
      </w:r>
      <w:r w:rsidR="002C1087">
        <w:t>s</w:t>
      </w:r>
      <w:r w:rsidR="008F1A11">
        <w:t xml:space="preserve"> an order that SSAP pay the trustee’s costs of the proceeding. </w:t>
      </w:r>
      <w:r w:rsidR="002C1087">
        <w:t xml:space="preserve">Contrary to the trustee’s submissions, I am not persuaded that the affidavits filed by SSAP involved any deliberate dissembling on the part of either deponent. </w:t>
      </w:r>
      <w:r>
        <w:t xml:space="preserve">Rather, in my view, it is a case where SSAP’s claim and evidence was treated by the trustee with a very high degree of scepticism, engendered no doubt by the highly suspicious nature of the relevant transactions. </w:t>
      </w:r>
      <w:r w:rsidR="002C1087">
        <w:t>Otherwise</w:t>
      </w:r>
      <w:r w:rsidR="008F1A11">
        <w:t xml:space="preserve">, I am not persuaded that SSAP conducted itself in the proceeding </w:t>
      </w:r>
      <w:r w:rsidR="002C1087">
        <w:t xml:space="preserve">in a manner that would justify the imposition of those costs upon SSAP. </w:t>
      </w:r>
      <w:r>
        <w:t xml:space="preserve">SSAP was entitled to bring the proceeding, which it was required to bring in order to recover its funds. </w:t>
      </w:r>
    </w:p>
    <w:p w14:paraId="1DCD544A" w14:textId="15B18E29" w:rsidR="005F5D0B" w:rsidRDefault="00AB0AF8" w:rsidP="0034268D">
      <w:pPr>
        <w:pStyle w:val="ParaNumbering"/>
      </w:pPr>
      <w:r>
        <w:t xml:space="preserve">Mr Petrie asked rhetorically why the </w:t>
      </w:r>
      <w:r w:rsidR="005F5D0B">
        <w:t xml:space="preserve">estate and Mr Bradley’s creditors should bear the trustee’s costs of the proceeding. </w:t>
      </w:r>
      <w:r w:rsidR="00E329EC">
        <w:t>The answer is that such a</w:t>
      </w:r>
      <w:r w:rsidR="005F5D0B">
        <w:t xml:space="preserve"> result is consistent with the ordinary positions that:</w:t>
      </w:r>
    </w:p>
    <w:p w14:paraId="1605918F" w14:textId="6F650754" w:rsidR="002C1087" w:rsidRDefault="005F5D0B" w:rsidP="0034268D">
      <w:pPr>
        <w:pStyle w:val="ListNo1"/>
      </w:pPr>
      <w:r>
        <w:t>an unsuccessful trustee may obtain an order that the costs be paid from the trust fund, unless there are reasons why the trust’s right of indemnity should be denied: Dal Pont</w:t>
      </w:r>
      <w:r w:rsidR="0034268D">
        <w:t xml:space="preserve"> GE</w:t>
      </w:r>
      <w:r w:rsidR="00B27174">
        <w:t xml:space="preserve">, </w:t>
      </w:r>
      <w:r w:rsidR="00B27174">
        <w:rPr>
          <w:i/>
        </w:rPr>
        <w:t xml:space="preserve">Law of Costs </w:t>
      </w:r>
      <w:r w:rsidR="00B27174">
        <w:t>(</w:t>
      </w:r>
      <w:r w:rsidR="0034268D">
        <w:t>4</w:t>
      </w:r>
      <w:r w:rsidR="0034268D" w:rsidRPr="0034268D">
        <w:rPr>
          <w:vertAlign w:val="superscript"/>
        </w:rPr>
        <w:t>th</w:t>
      </w:r>
      <w:r w:rsidR="0034268D">
        <w:t xml:space="preserve"> </w:t>
      </w:r>
      <w:proofErr w:type="spellStart"/>
      <w:r w:rsidR="0034268D">
        <w:t>ed</w:t>
      </w:r>
      <w:proofErr w:type="spellEnd"/>
      <w:r w:rsidR="0034268D">
        <w:t xml:space="preserve">, </w:t>
      </w:r>
      <w:r w:rsidR="00B27174">
        <w:t xml:space="preserve">LexisNexis </w:t>
      </w:r>
      <w:proofErr w:type="spellStart"/>
      <w:r w:rsidR="00B27174">
        <w:t>Butterworths</w:t>
      </w:r>
      <w:proofErr w:type="spellEnd"/>
      <w:r w:rsidR="00B27174">
        <w:t>, 2018) at</w:t>
      </w:r>
      <w:r>
        <w:t xml:space="preserve"> para [10.4]; and</w:t>
      </w:r>
    </w:p>
    <w:p w14:paraId="32E72B42" w14:textId="16032FDC" w:rsidR="005F5D0B" w:rsidRDefault="005F5D0B" w:rsidP="0034268D">
      <w:pPr>
        <w:pStyle w:val="ListNo1"/>
      </w:pPr>
      <w:r>
        <w:t xml:space="preserve">on an application for judicial advice, if the application is made reasonably and in good faith, the trust fund bears the cost: </w:t>
      </w:r>
      <w:r>
        <w:rPr>
          <w:i/>
        </w:rPr>
        <w:t>Wales</w:t>
      </w:r>
      <w:r w:rsidR="00151D72">
        <w:rPr>
          <w:i/>
        </w:rPr>
        <w:t xml:space="preserve"> v Wales</w:t>
      </w:r>
      <w:r>
        <w:rPr>
          <w:i/>
        </w:rPr>
        <w:t xml:space="preserve"> </w:t>
      </w:r>
      <w:r>
        <w:t xml:space="preserve">[2015] VSCA 345 at [55]; </w:t>
      </w:r>
      <w:r w:rsidRPr="00854A0E">
        <w:rPr>
          <w:i/>
        </w:rPr>
        <w:t>Harrison v Mills</w:t>
      </w:r>
      <w:r>
        <w:t xml:space="preserve"> (1976) 1 NSWLR </w:t>
      </w:r>
      <w:r w:rsidR="00E329EC">
        <w:t>42 at 46-47.</w:t>
      </w:r>
    </w:p>
    <w:p w14:paraId="7B236FB3" w14:textId="5DD827AB" w:rsidR="005F5D0B" w:rsidRDefault="00E329EC" w:rsidP="0034268D">
      <w:pPr>
        <w:pStyle w:val="Heading1"/>
      </w:pPr>
      <w:r>
        <w:lastRenderedPageBreak/>
        <w:t>Conclusion</w:t>
      </w:r>
    </w:p>
    <w:p w14:paraId="1AC7A58C" w14:textId="43C9F8B9" w:rsidR="00E329EC" w:rsidRDefault="00E329EC" w:rsidP="0034268D">
      <w:pPr>
        <w:pStyle w:val="ParaNumbering"/>
      </w:pPr>
      <w:r>
        <w:t>Each party should bear its own costs of the proceeding. As the trustee does not seek an order for payment of his costs from the bankrupt estate, the appropriate orders are to the effect that SSAP bear its own costs and otherwise the proceeding be dismissed.</w:t>
      </w:r>
    </w:p>
    <w:p w14:paraId="186CB405" w14:textId="77777777" w:rsidR="004521CF" w:rsidRDefault="004521CF" w:rsidP="0034268D">
      <w:pPr>
        <w:pStyle w:val="BodyText"/>
      </w:pPr>
      <w:bookmarkStart w:id="23" w:name="Certification"/>
    </w:p>
    <w:tbl>
      <w:tblPr>
        <w:tblW w:w="0" w:type="auto"/>
        <w:tblLook w:val="04A0" w:firstRow="1" w:lastRow="0" w:firstColumn="1" w:lastColumn="0" w:noHBand="0" w:noVBand="1"/>
      </w:tblPr>
      <w:tblGrid>
        <w:gridCol w:w="3794"/>
      </w:tblGrid>
      <w:tr w:rsidR="004521CF" w:rsidRPr="004521CF" w14:paraId="2B5806BE" w14:textId="77777777">
        <w:tc>
          <w:tcPr>
            <w:tcW w:w="3794" w:type="dxa"/>
            <w:shd w:val="clear" w:color="auto" w:fill="auto"/>
          </w:tcPr>
          <w:p w14:paraId="1D42EBAD" w14:textId="230023C5" w:rsidR="004521CF" w:rsidRPr="004521CF" w:rsidRDefault="004521CF" w:rsidP="0034268D">
            <w:pPr>
              <w:pStyle w:val="Normal1linespace"/>
            </w:pPr>
            <w:r w:rsidRPr="004521CF">
              <w:t xml:space="preserve">I certify that the preceding </w:t>
            </w:r>
            <w:bookmarkStart w:id="24" w:name="NumberWord"/>
            <w:r>
              <w:t>twenty-one</w:t>
            </w:r>
            <w:bookmarkEnd w:id="24"/>
            <w:r w:rsidRPr="004521CF">
              <w:t xml:space="preserve"> (</w:t>
            </w:r>
            <w:bookmarkStart w:id="25" w:name="NumberNumeral"/>
            <w:r>
              <w:t>21</w:t>
            </w:r>
            <w:bookmarkEnd w:id="25"/>
            <w:r w:rsidRPr="004521CF">
              <w:t xml:space="preserve">) numbered </w:t>
            </w:r>
            <w:bookmarkStart w:id="26" w:name="CertPara"/>
            <w:r>
              <w:t>paragraphs are</w:t>
            </w:r>
            <w:bookmarkEnd w:id="26"/>
            <w:r w:rsidRPr="004521CF">
              <w:t xml:space="preserve"> a true copy of the Reasons for Judgment herein of the Honourable </w:t>
            </w:r>
            <w:bookmarkStart w:id="27" w:name="Justice"/>
            <w:r>
              <w:t>Justice Gleeson</w:t>
            </w:r>
            <w:bookmarkEnd w:id="27"/>
            <w:r w:rsidRPr="004521CF">
              <w:t>.</w:t>
            </w:r>
          </w:p>
        </w:tc>
      </w:tr>
    </w:tbl>
    <w:p w14:paraId="3234E952" w14:textId="77777777" w:rsidR="004521CF" w:rsidRDefault="004521CF" w:rsidP="0034268D">
      <w:pPr>
        <w:pStyle w:val="BodyText"/>
      </w:pPr>
    </w:p>
    <w:p w14:paraId="6B077805" w14:textId="378342EA" w:rsidR="004521CF" w:rsidRDefault="004521CF" w:rsidP="0034268D">
      <w:pPr>
        <w:pStyle w:val="BodyText"/>
      </w:pPr>
    </w:p>
    <w:p w14:paraId="56F96FFD" w14:textId="19F97CBD" w:rsidR="004521CF" w:rsidRDefault="004521CF" w:rsidP="0034268D">
      <w:pPr>
        <w:pStyle w:val="BodyText"/>
      </w:pPr>
      <w:r>
        <w:t xml:space="preserve">Associate:  </w:t>
      </w:r>
    </w:p>
    <w:p w14:paraId="3A4A2895" w14:textId="77777777" w:rsidR="004521CF" w:rsidRDefault="004521CF" w:rsidP="0034268D">
      <w:pPr>
        <w:pStyle w:val="BodyText"/>
      </w:pPr>
    </w:p>
    <w:p w14:paraId="4A03B6A4" w14:textId="1286696A" w:rsidR="004521CF" w:rsidRDefault="004521CF" w:rsidP="0034268D">
      <w:pPr>
        <w:pStyle w:val="BodyText"/>
        <w:tabs>
          <w:tab w:val="left" w:pos="1134"/>
        </w:tabs>
      </w:pPr>
      <w:r>
        <w:t>Dated:</w:t>
      </w:r>
      <w:r>
        <w:tab/>
      </w:r>
      <w:bookmarkStart w:id="28" w:name="CertifyDated"/>
      <w:r>
        <w:t>16 July 2020</w:t>
      </w:r>
      <w:bookmarkEnd w:id="28"/>
    </w:p>
    <w:p w14:paraId="0B829B9B" w14:textId="77777777" w:rsidR="004521CF" w:rsidRDefault="004521CF" w:rsidP="0034268D">
      <w:pPr>
        <w:pStyle w:val="BodyText"/>
      </w:pPr>
    </w:p>
    <w:bookmarkEnd w:id="23"/>
    <w:p w14:paraId="18274B3E" w14:textId="77777777" w:rsidR="004521CF" w:rsidRDefault="004521CF" w:rsidP="0034268D">
      <w:pPr>
        <w:pStyle w:val="BodyText"/>
      </w:pPr>
    </w:p>
    <w:sectPr w:rsidR="004521CF">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1C0C3" w14:textId="77777777" w:rsidR="007B21E7" w:rsidRDefault="007B21E7">
      <w:pPr>
        <w:spacing w:line="20" w:lineRule="exact"/>
      </w:pPr>
    </w:p>
    <w:p w14:paraId="1DCCCDD0" w14:textId="77777777" w:rsidR="007B21E7" w:rsidRDefault="007B21E7"/>
    <w:p w14:paraId="5500574A" w14:textId="77777777" w:rsidR="007B21E7" w:rsidRDefault="007B21E7"/>
  </w:endnote>
  <w:endnote w:type="continuationSeparator" w:id="0">
    <w:p w14:paraId="66CEEBD1" w14:textId="77777777" w:rsidR="007B21E7" w:rsidRDefault="007B21E7">
      <w:r>
        <w:t xml:space="preserve"> </w:t>
      </w:r>
    </w:p>
    <w:p w14:paraId="2B39A1C5" w14:textId="77777777" w:rsidR="007B21E7" w:rsidRDefault="007B21E7"/>
    <w:p w14:paraId="5CFFCB2C" w14:textId="77777777" w:rsidR="007B21E7" w:rsidRDefault="007B21E7"/>
  </w:endnote>
  <w:endnote w:type="continuationNotice" w:id="1">
    <w:p w14:paraId="26C63FAE" w14:textId="77777777" w:rsidR="007B21E7" w:rsidRDefault="007B21E7">
      <w:r>
        <w:t xml:space="preserve"> </w:t>
      </w:r>
    </w:p>
    <w:p w14:paraId="1E85BAFF" w14:textId="77777777" w:rsidR="007B21E7" w:rsidRDefault="007B21E7"/>
    <w:p w14:paraId="0B6398BD" w14:textId="77777777" w:rsidR="007B21E7" w:rsidRDefault="007B2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8883E" w14:textId="0E2049BE" w:rsidR="007B21E7" w:rsidRPr="00624520" w:rsidRDefault="007B21E7" w:rsidP="00624520">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477B" w14:textId="2B930E68" w:rsidR="007B21E7" w:rsidRDefault="007B21E7"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CD029" w14:textId="77777777" w:rsidR="007B21E7" w:rsidRDefault="007B21E7"/>
    <w:p w14:paraId="5E0A8F7B" w14:textId="77777777" w:rsidR="007B21E7" w:rsidRDefault="007B21E7"/>
    <w:p w14:paraId="562F52AD" w14:textId="77777777" w:rsidR="007B21E7" w:rsidRDefault="007B21E7"/>
  </w:footnote>
  <w:footnote w:type="continuationSeparator" w:id="0">
    <w:p w14:paraId="01D4074E" w14:textId="77777777" w:rsidR="007B21E7" w:rsidRDefault="007B21E7">
      <w:r>
        <w:continuationSeparator/>
      </w:r>
    </w:p>
    <w:p w14:paraId="3E28E406" w14:textId="77777777" w:rsidR="007B21E7" w:rsidRDefault="007B21E7"/>
    <w:p w14:paraId="41C085DC" w14:textId="77777777" w:rsidR="007B21E7" w:rsidRDefault="007B21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AC7B" w14:textId="43B30893" w:rsidR="007B21E7" w:rsidRDefault="007B21E7">
    <w:pPr>
      <w:tabs>
        <w:tab w:val="center" w:pos="4512"/>
      </w:tabs>
      <w:suppressAutoHyphens/>
    </w:pPr>
    <w:r>
      <w:tab/>
      <w:t xml:space="preserve">- </w:t>
    </w:r>
    <w:r>
      <w:fldChar w:fldCharType="begin"/>
    </w:r>
    <w:r>
      <w:instrText xml:space="preserve"> PAGE   \* MERGEFORMAT </w:instrText>
    </w:r>
    <w:r>
      <w:fldChar w:fldCharType="separate"/>
    </w:r>
    <w:r w:rsidR="00D22C34">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645DD" w14:textId="77777777" w:rsidR="007B21E7" w:rsidRDefault="007B21E7">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E02C" w14:textId="77777777" w:rsidR="007B21E7" w:rsidRDefault="007B21E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10A63" w14:textId="74E5FE3E" w:rsidR="007B21E7" w:rsidRDefault="007B21E7">
    <w:pPr>
      <w:tabs>
        <w:tab w:val="center" w:pos="4512"/>
      </w:tabs>
      <w:suppressAutoHyphens/>
    </w:pPr>
    <w:r>
      <w:tab/>
      <w:t xml:space="preserve">- </w:t>
    </w:r>
    <w:r>
      <w:fldChar w:fldCharType="begin"/>
    </w:r>
    <w:r>
      <w:instrText>page \* arabic</w:instrText>
    </w:r>
    <w:r>
      <w:fldChar w:fldCharType="separate"/>
    </w:r>
    <w:r w:rsidR="00D22C34">
      <w:rPr>
        <w:noProof/>
      </w:rPr>
      <w:t>5</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BC3CB" w14:textId="77777777" w:rsidR="007B21E7" w:rsidRDefault="007B21E7">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6"/>
  </w:num>
  <w:num w:numId="23">
    <w:abstractNumId w:val="14"/>
  </w:num>
  <w:num w:numId="24">
    <w:abstractNumId w:val="14"/>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Semantic Software Asia Pacific Limited (ACN 134 067 691)"/>
    <w:docVar w:name="CounselParties" w:val="Applicant"/>
    <w:docVar w:name="CounselType" w:val="Solicitor for the "/>
    <w:docVar w:name="Cross1AndAnother" w:val="True"/>
    <w:docVar w:name="Cross1AndOthers" w:val="False"/>
    <w:docVar w:name="Cross2AndAnother" w:val="True"/>
    <w:docVar w:name="Cross2AndOthers" w:val="False"/>
    <w:docVar w:name="Cross-Claimant" w:val="Peter Vince as trustee in bankruptcy of Mark William Bradley"/>
    <w:docVar w:name="Cross-Respondent" w:val="Semantic Software Asia Pacific Limited (ACN 134 067 691)"/>
    <w:docVar w:name="Defenders" w:val="(and another named in the Schedule)"/>
    <w:docVar w:name="Division" w:val="General Division"/>
    <w:docVar w:name="DocCreated" w:val="True"/>
    <w:docVar w:name="FileNumbers" w:val="NSD 1041 of 2019"/>
    <w:docVar w:name="HearingDate" w:val="## ....................... 2020"/>
    <w:docVar w:name="Initiators" w:val="(and another named in the Schedule)"/>
    <w:docVar w:name="InTheMatterOf" w:val="MARK WILLIAM BRADLEY"/>
    <w:docVar w:name="Judgdate" w:val="16 July 2020"/>
    <w:docVar w:name="Judge" w:val="Gleeson"/>
    <w:docVar w:name="Justices" w:val="Justice"/>
    <w:docVar w:name="lstEntryList" w:val="-1"/>
    <w:docVar w:name="myEntryList" w:val="Counsel for the Applicant=|Solicitor for the Applicant=Argyle Lawyers Pty Ltd|Counsel for the Respondent=|Solicitor for the Respondent=Rigby Cooke Lawyers"/>
    <w:docVar w:name="NSD" w:val="NSD "/>
    <w:docVar w:name="NumApps" w:val="1"/>
    <w:docVar w:name="NumApps_" w:val="1"/>
    <w:docVar w:name="NumCrossResps" w:val="1"/>
    <w:docVar w:name="NumDefs" w:val="1"/>
    <w:docVar w:name="NumOthers" w:val="1"/>
    <w:docVar w:name="OtherNum" w:val="0"/>
    <w:docVar w:name="Parties1" w:val="Applicant"/>
    <w:docVar w:name="Parties2" w:val="Respondent"/>
    <w:docVar w:name="Parties3" w:val="Cross-Claimant"/>
    <w:docVar w:name="Parties4" w:val="Cross-Respondent"/>
    <w:docVar w:name="Parties5" w:val="Intervener"/>
    <w:docVar w:name="PracticeArea" w:val="Commercial and Corporations"/>
    <w:docVar w:name="RESAndAnother" w:val="True"/>
    <w:docVar w:name="RESAndOthers" w:val="False"/>
    <w:docVar w:name="Respondent" w:val="Peter Vince as trustee in bankruptcy of Mark William Bradley"/>
    <w:docVar w:name="ResState" w:val="New South Wales"/>
    <w:docVar w:name="SubArea" w:val="General and Personal Insolvency (C &amp; C)"/>
  </w:docVars>
  <w:rsids>
    <w:rsidRoot w:val="007D57B9"/>
    <w:rsid w:val="0001469E"/>
    <w:rsid w:val="00015993"/>
    <w:rsid w:val="00022289"/>
    <w:rsid w:val="00023A5F"/>
    <w:rsid w:val="00032F9F"/>
    <w:rsid w:val="000332E9"/>
    <w:rsid w:val="00041C07"/>
    <w:rsid w:val="00045BB7"/>
    <w:rsid w:val="00055719"/>
    <w:rsid w:val="0005641B"/>
    <w:rsid w:val="00081497"/>
    <w:rsid w:val="00091558"/>
    <w:rsid w:val="000A2E76"/>
    <w:rsid w:val="000A37D5"/>
    <w:rsid w:val="000A4807"/>
    <w:rsid w:val="000A4BE4"/>
    <w:rsid w:val="000C023E"/>
    <w:rsid w:val="000C4DF4"/>
    <w:rsid w:val="000C5195"/>
    <w:rsid w:val="000C62EF"/>
    <w:rsid w:val="000D2137"/>
    <w:rsid w:val="000D3FD2"/>
    <w:rsid w:val="000E3FC8"/>
    <w:rsid w:val="000E7BAE"/>
    <w:rsid w:val="000F133D"/>
    <w:rsid w:val="0010536B"/>
    <w:rsid w:val="001073AD"/>
    <w:rsid w:val="0011145C"/>
    <w:rsid w:val="001128BD"/>
    <w:rsid w:val="0011419D"/>
    <w:rsid w:val="001259FF"/>
    <w:rsid w:val="00132054"/>
    <w:rsid w:val="00151D72"/>
    <w:rsid w:val="001727A4"/>
    <w:rsid w:val="0017376C"/>
    <w:rsid w:val="001738AB"/>
    <w:rsid w:val="001765E0"/>
    <w:rsid w:val="00177759"/>
    <w:rsid w:val="00183D7E"/>
    <w:rsid w:val="00185E6B"/>
    <w:rsid w:val="00187BBC"/>
    <w:rsid w:val="001932F3"/>
    <w:rsid w:val="00195119"/>
    <w:rsid w:val="001A4309"/>
    <w:rsid w:val="001B1053"/>
    <w:rsid w:val="001B14AC"/>
    <w:rsid w:val="001B3655"/>
    <w:rsid w:val="001B44A7"/>
    <w:rsid w:val="001B7940"/>
    <w:rsid w:val="001C37CA"/>
    <w:rsid w:val="001D4303"/>
    <w:rsid w:val="001D6746"/>
    <w:rsid w:val="001E3B49"/>
    <w:rsid w:val="001E7388"/>
    <w:rsid w:val="001F13DD"/>
    <w:rsid w:val="001F2DBC"/>
    <w:rsid w:val="001F73E8"/>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1F6C"/>
    <w:rsid w:val="002B4BE8"/>
    <w:rsid w:val="002B6779"/>
    <w:rsid w:val="002B71C0"/>
    <w:rsid w:val="002B7A34"/>
    <w:rsid w:val="002C1087"/>
    <w:rsid w:val="002C31AD"/>
    <w:rsid w:val="002C7385"/>
    <w:rsid w:val="002D2DBB"/>
    <w:rsid w:val="002D54A6"/>
    <w:rsid w:val="002E6A7A"/>
    <w:rsid w:val="002F1E49"/>
    <w:rsid w:val="002F4E9C"/>
    <w:rsid w:val="0031256C"/>
    <w:rsid w:val="00314D6C"/>
    <w:rsid w:val="00316D2A"/>
    <w:rsid w:val="00322A7C"/>
    <w:rsid w:val="003326F2"/>
    <w:rsid w:val="00336241"/>
    <w:rsid w:val="003402D3"/>
    <w:rsid w:val="0034268D"/>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5C5F"/>
    <w:rsid w:val="00441E98"/>
    <w:rsid w:val="004521CF"/>
    <w:rsid w:val="004532F7"/>
    <w:rsid w:val="004629B8"/>
    <w:rsid w:val="00472027"/>
    <w:rsid w:val="004804CF"/>
    <w:rsid w:val="00481D7D"/>
    <w:rsid w:val="00484962"/>
    <w:rsid w:val="00484F6D"/>
    <w:rsid w:val="0049338A"/>
    <w:rsid w:val="0049417F"/>
    <w:rsid w:val="004B3EFA"/>
    <w:rsid w:val="004B60E0"/>
    <w:rsid w:val="004B66B8"/>
    <w:rsid w:val="004C2A87"/>
    <w:rsid w:val="004C4D7B"/>
    <w:rsid w:val="004C4ED3"/>
    <w:rsid w:val="004D2EA5"/>
    <w:rsid w:val="004D32A6"/>
    <w:rsid w:val="004D53E5"/>
    <w:rsid w:val="004E55A8"/>
    <w:rsid w:val="00501A12"/>
    <w:rsid w:val="0051346D"/>
    <w:rsid w:val="00513EAE"/>
    <w:rsid w:val="00516806"/>
    <w:rsid w:val="00522A4F"/>
    <w:rsid w:val="00525A49"/>
    <w:rsid w:val="00527EC3"/>
    <w:rsid w:val="00533EFB"/>
    <w:rsid w:val="00535613"/>
    <w:rsid w:val="005359EB"/>
    <w:rsid w:val="0054254A"/>
    <w:rsid w:val="005466B5"/>
    <w:rsid w:val="00552BA1"/>
    <w:rsid w:val="00554314"/>
    <w:rsid w:val="005629B3"/>
    <w:rsid w:val="00567BFB"/>
    <w:rsid w:val="0057076C"/>
    <w:rsid w:val="00573AC4"/>
    <w:rsid w:val="005801FC"/>
    <w:rsid w:val="00595016"/>
    <w:rsid w:val="00597AAE"/>
    <w:rsid w:val="005A222C"/>
    <w:rsid w:val="005A4DF8"/>
    <w:rsid w:val="005B1426"/>
    <w:rsid w:val="005B19D8"/>
    <w:rsid w:val="005C0A8E"/>
    <w:rsid w:val="005C1767"/>
    <w:rsid w:val="005C42EF"/>
    <w:rsid w:val="005D7295"/>
    <w:rsid w:val="005E02F5"/>
    <w:rsid w:val="005E0510"/>
    <w:rsid w:val="005E176E"/>
    <w:rsid w:val="005E218E"/>
    <w:rsid w:val="005E35A0"/>
    <w:rsid w:val="005F0D1B"/>
    <w:rsid w:val="005F1865"/>
    <w:rsid w:val="005F5D0B"/>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B6F50"/>
    <w:rsid w:val="006D0ECF"/>
    <w:rsid w:val="006D4C92"/>
    <w:rsid w:val="006D4EB6"/>
    <w:rsid w:val="006E35BF"/>
    <w:rsid w:val="006E7850"/>
    <w:rsid w:val="00701B48"/>
    <w:rsid w:val="007028D9"/>
    <w:rsid w:val="00707218"/>
    <w:rsid w:val="00712B1D"/>
    <w:rsid w:val="00713C64"/>
    <w:rsid w:val="007325D9"/>
    <w:rsid w:val="0073526E"/>
    <w:rsid w:val="007360CA"/>
    <w:rsid w:val="00760EC0"/>
    <w:rsid w:val="007648A5"/>
    <w:rsid w:val="007714CE"/>
    <w:rsid w:val="0078003A"/>
    <w:rsid w:val="00780771"/>
    <w:rsid w:val="007929CF"/>
    <w:rsid w:val="007A6F28"/>
    <w:rsid w:val="007B03C6"/>
    <w:rsid w:val="007B0DB1"/>
    <w:rsid w:val="007B21E7"/>
    <w:rsid w:val="007C3BF6"/>
    <w:rsid w:val="007D0FD2"/>
    <w:rsid w:val="007D2EF8"/>
    <w:rsid w:val="007D561F"/>
    <w:rsid w:val="007D57B9"/>
    <w:rsid w:val="007D7FD2"/>
    <w:rsid w:val="007E13D9"/>
    <w:rsid w:val="007E41BE"/>
    <w:rsid w:val="007E4DB6"/>
    <w:rsid w:val="007E7CD4"/>
    <w:rsid w:val="007F12AC"/>
    <w:rsid w:val="00801800"/>
    <w:rsid w:val="00801B5B"/>
    <w:rsid w:val="008276B4"/>
    <w:rsid w:val="00831927"/>
    <w:rsid w:val="00841BD3"/>
    <w:rsid w:val="0084273D"/>
    <w:rsid w:val="00844E3F"/>
    <w:rsid w:val="00845A83"/>
    <w:rsid w:val="00851F49"/>
    <w:rsid w:val="00854A0E"/>
    <w:rsid w:val="00856FD2"/>
    <w:rsid w:val="008610AE"/>
    <w:rsid w:val="008712BB"/>
    <w:rsid w:val="00873D0D"/>
    <w:rsid w:val="008A2484"/>
    <w:rsid w:val="008C26D9"/>
    <w:rsid w:val="008C5734"/>
    <w:rsid w:val="008C6D50"/>
    <w:rsid w:val="008C7167"/>
    <w:rsid w:val="008C7503"/>
    <w:rsid w:val="008D1617"/>
    <w:rsid w:val="008E6315"/>
    <w:rsid w:val="008F11E0"/>
    <w:rsid w:val="008F1A11"/>
    <w:rsid w:val="008F2458"/>
    <w:rsid w:val="008F6F99"/>
    <w:rsid w:val="008F78BC"/>
    <w:rsid w:val="008F7B63"/>
    <w:rsid w:val="008F7D6A"/>
    <w:rsid w:val="009054CB"/>
    <w:rsid w:val="00912CE5"/>
    <w:rsid w:val="00912F94"/>
    <w:rsid w:val="0092590B"/>
    <w:rsid w:val="00925E60"/>
    <w:rsid w:val="009264B3"/>
    <w:rsid w:val="009365E0"/>
    <w:rsid w:val="00942BA2"/>
    <w:rsid w:val="00944C86"/>
    <w:rsid w:val="00957DE8"/>
    <w:rsid w:val="00960ECB"/>
    <w:rsid w:val="009615D6"/>
    <w:rsid w:val="00967855"/>
    <w:rsid w:val="00972CFF"/>
    <w:rsid w:val="00980736"/>
    <w:rsid w:val="00981A39"/>
    <w:rsid w:val="009832A4"/>
    <w:rsid w:val="00987097"/>
    <w:rsid w:val="00993F3D"/>
    <w:rsid w:val="009A3A9C"/>
    <w:rsid w:val="009B046C"/>
    <w:rsid w:val="009B13FA"/>
    <w:rsid w:val="009B1E2D"/>
    <w:rsid w:val="009C59FB"/>
    <w:rsid w:val="009C6F3B"/>
    <w:rsid w:val="009D1467"/>
    <w:rsid w:val="009D18FF"/>
    <w:rsid w:val="009E4FA6"/>
    <w:rsid w:val="009E7D93"/>
    <w:rsid w:val="009F5C33"/>
    <w:rsid w:val="00A03EAC"/>
    <w:rsid w:val="00A11CA6"/>
    <w:rsid w:val="00A15D3C"/>
    <w:rsid w:val="00A20C49"/>
    <w:rsid w:val="00A269CA"/>
    <w:rsid w:val="00A336EE"/>
    <w:rsid w:val="00A359AC"/>
    <w:rsid w:val="00A41413"/>
    <w:rsid w:val="00A45FB1"/>
    <w:rsid w:val="00A46CCC"/>
    <w:rsid w:val="00A51CFE"/>
    <w:rsid w:val="00A71895"/>
    <w:rsid w:val="00A76C13"/>
    <w:rsid w:val="00A802A9"/>
    <w:rsid w:val="00A92E79"/>
    <w:rsid w:val="00A950B6"/>
    <w:rsid w:val="00AB0AF8"/>
    <w:rsid w:val="00AB41C1"/>
    <w:rsid w:val="00AD12A8"/>
    <w:rsid w:val="00AE023F"/>
    <w:rsid w:val="00AF3577"/>
    <w:rsid w:val="00AF35F9"/>
    <w:rsid w:val="00B018F2"/>
    <w:rsid w:val="00B05C7D"/>
    <w:rsid w:val="00B24AD7"/>
    <w:rsid w:val="00B27174"/>
    <w:rsid w:val="00B346C3"/>
    <w:rsid w:val="00B4471C"/>
    <w:rsid w:val="00B451A6"/>
    <w:rsid w:val="00B722DE"/>
    <w:rsid w:val="00B76C44"/>
    <w:rsid w:val="00B83F87"/>
    <w:rsid w:val="00BA2EFA"/>
    <w:rsid w:val="00BA3DBC"/>
    <w:rsid w:val="00BB2DA2"/>
    <w:rsid w:val="00BB56DC"/>
    <w:rsid w:val="00BC1A87"/>
    <w:rsid w:val="00BD52B7"/>
    <w:rsid w:val="00BE183D"/>
    <w:rsid w:val="00BE5A5B"/>
    <w:rsid w:val="00BF5D7A"/>
    <w:rsid w:val="00C02D33"/>
    <w:rsid w:val="00C06782"/>
    <w:rsid w:val="00C1232C"/>
    <w:rsid w:val="00C36442"/>
    <w:rsid w:val="00C400CE"/>
    <w:rsid w:val="00C410FD"/>
    <w:rsid w:val="00C539FB"/>
    <w:rsid w:val="00C6426F"/>
    <w:rsid w:val="00C9010C"/>
    <w:rsid w:val="00CA246D"/>
    <w:rsid w:val="00CA50D9"/>
    <w:rsid w:val="00CA7FB2"/>
    <w:rsid w:val="00CB5636"/>
    <w:rsid w:val="00CB5E8B"/>
    <w:rsid w:val="00D10F21"/>
    <w:rsid w:val="00D22837"/>
    <w:rsid w:val="00D22C34"/>
    <w:rsid w:val="00D24806"/>
    <w:rsid w:val="00D34040"/>
    <w:rsid w:val="00D34E69"/>
    <w:rsid w:val="00D375EE"/>
    <w:rsid w:val="00D62699"/>
    <w:rsid w:val="00D82620"/>
    <w:rsid w:val="00D9725F"/>
    <w:rsid w:val="00DA01B1"/>
    <w:rsid w:val="00DA11A2"/>
    <w:rsid w:val="00DA14ED"/>
    <w:rsid w:val="00DA62CA"/>
    <w:rsid w:val="00DB2EF1"/>
    <w:rsid w:val="00DB3DE1"/>
    <w:rsid w:val="00DB5DA0"/>
    <w:rsid w:val="00DB716C"/>
    <w:rsid w:val="00DC5C85"/>
    <w:rsid w:val="00DD4236"/>
    <w:rsid w:val="00DD44F1"/>
    <w:rsid w:val="00DE3067"/>
    <w:rsid w:val="00E027BC"/>
    <w:rsid w:val="00E1282E"/>
    <w:rsid w:val="00E14EA5"/>
    <w:rsid w:val="00E177CE"/>
    <w:rsid w:val="00E21133"/>
    <w:rsid w:val="00E2327E"/>
    <w:rsid w:val="00E266EF"/>
    <w:rsid w:val="00E329EC"/>
    <w:rsid w:val="00E47428"/>
    <w:rsid w:val="00E50AA8"/>
    <w:rsid w:val="00E65A1F"/>
    <w:rsid w:val="00E66B9F"/>
    <w:rsid w:val="00E710D6"/>
    <w:rsid w:val="00E76E45"/>
    <w:rsid w:val="00E777C9"/>
    <w:rsid w:val="00E81DA6"/>
    <w:rsid w:val="00E82A26"/>
    <w:rsid w:val="00E84212"/>
    <w:rsid w:val="00E9086C"/>
    <w:rsid w:val="00E91A0F"/>
    <w:rsid w:val="00E94A71"/>
    <w:rsid w:val="00EA03CE"/>
    <w:rsid w:val="00EA23E5"/>
    <w:rsid w:val="00EA2564"/>
    <w:rsid w:val="00EA4E2E"/>
    <w:rsid w:val="00EB1619"/>
    <w:rsid w:val="00EB2CCB"/>
    <w:rsid w:val="00EC57A7"/>
    <w:rsid w:val="00ED0817"/>
    <w:rsid w:val="00ED7DD9"/>
    <w:rsid w:val="00EF3113"/>
    <w:rsid w:val="00EF3F84"/>
    <w:rsid w:val="00EF6CAE"/>
    <w:rsid w:val="00F176AC"/>
    <w:rsid w:val="00F27714"/>
    <w:rsid w:val="00F3276E"/>
    <w:rsid w:val="00F33D3C"/>
    <w:rsid w:val="00F37A91"/>
    <w:rsid w:val="00F45668"/>
    <w:rsid w:val="00F45CF5"/>
    <w:rsid w:val="00F47DB0"/>
    <w:rsid w:val="00F50E34"/>
    <w:rsid w:val="00F53EF7"/>
    <w:rsid w:val="00F54BF2"/>
    <w:rsid w:val="00F71463"/>
    <w:rsid w:val="00F92355"/>
    <w:rsid w:val="00F93963"/>
    <w:rsid w:val="00F94291"/>
    <w:rsid w:val="00FB7982"/>
    <w:rsid w:val="00FC0734"/>
    <w:rsid w:val="00FC0FC5"/>
    <w:rsid w:val="00FC588F"/>
    <w:rsid w:val="00FE132D"/>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0474ACD"/>
  <w15:docId w15:val="{79352D9B-C4A8-4F8E-8353-AE1D1FE2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8C5734"/>
    <w:pPr>
      <w:spacing w:line="240" w:lineRule="auto"/>
    </w:pPr>
    <w:rPr>
      <w:sz w:val="20"/>
    </w:rPr>
  </w:style>
  <w:style w:type="character" w:customStyle="1" w:styleId="FootnoteTextChar">
    <w:name w:val="Footnote Text Char"/>
    <w:basedOn w:val="DefaultParagraphFont"/>
    <w:link w:val="FootnoteText"/>
    <w:semiHidden/>
    <w:rsid w:val="008C5734"/>
    <w:rPr>
      <w:lang w:eastAsia="en-US"/>
    </w:rPr>
  </w:style>
  <w:style w:type="character" w:styleId="FootnoteReference">
    <w:name w:val="footnote reference"/>
    <w:basedOn w:val="DefaultParagraphFont"/>
    <w:semiHidden/>
    <w:unhideWhenUsed/>
    <w:rsid w:val="008C5734"/>
    <w:rPr>
      <w:vertAlign w:val="superscript"/>
    </w:rPr>
  </w:style>
  <w:style w:type="paragraph" w:customStyle="1" w:styleId="CaselawQuote">
    <w:name w:val="Caselaw Quote &gt;"/>
    <w:basedOn w:val="Normal"/>
    <w:qFormat/>
    <w:rsid w:val="002B1F6C"/>
    <w:pPr>
      <w:spacing w:after="360" w:line="240" w:lineRule="auto"/>
      <w:ind w:left="720"/>
      <w:jc w:val="left"/>
    </w:pPr>
    <w:rPr>
      <w:rFonts w:ascii="Arial" w:eastAsia="Calibri" w:hAnsi="Arial" w:cs="Arial"/>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ing File Document" ma:contentTypeID="0x01010057D1FC5559E9A042816AB150A9BEF2B91500FFB169959F6CD74F9D91063982C5C94C" ma:contentTypeVersion="0" ma:contentTypeDescription="" ma:contentTypeScope="" ma:versionID="812486aec70e3870dfc2701b36d1a6fb">
  <xsd:schema xmlns:xsd="http://www.w3.org/2001/XMLSchema" xmlns:xs="http://www.w3.org/2001/XMLSchema" xmlns:p="http://schemas.microsoft.com/office/2006/metadata/properties" xmlns:ns2="85512599-8531-48e1-9b90-9215d01f2c32" targetNamespace="http://schemas.microsoft.com/office/2006/metadata/properties" ma:root="true" ma:fieldsID="c0b17cb0908d0afdeea52ebec2038dc9" ns2:_="">
    <xsd:import namespace="85512599-8531-48e1-9b90-9215d01f2c32"/>
    <xsd:element name="properties">
      <xsd:complexType>
        <xsd:sequence>
          <xsd:element name="documentManagement">
            <xsd:complexType>
              <xsd:all>
                <xsd:element ref="ns2:Not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1 xmlns="85512599-8531-48e1-9b90-9215d01f2c3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3F3A9-79F8-4EB7-9ADD-FFBB5C13B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E1191-C017-42ED-AFB1-C24578A5C97A}">
  <ds:schemaRefs>
    <ds:schemaRef ds:uri="http://schemas.microsoft.com/sharepoint/v3/contenttype/forms"/>
  </ds:schemaRefs>
</ds:datastoreItem>
</file>

<file path=customXml/itemProps3.xml><?xml version="1.0" encoding="utf-8"?>
<ds:datastoreItem xmlns:ds="http://schemas.openxmlformats.org/officeDocument/2006/customXml" ds:itemID="{D2216B96-B2C5-4C89-AEC2-233C8D5A0C35}">
  <ds:schemaRefs>
    <ds:schemaRef ds:uri="http://schemas.openxmlformats.org/package/2006/metadata/core-properties"/>
    <ds:schemaRef ds:uri="http://schemas.microsoft.com/office/2006/documentManagement/types"/>
    <ds:schemaRef ds:uri="85512599-8531-48e1-9b90-9215d01f2c32"/>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C0209F5-8554-48EC-91CB-18BE854D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4</TotalTime>
  <Pages>8</Pages>
  <Words>2188</Words>
  <Characters>10964</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Semantic Software Asia Pacific Limited v Vince (Trustee), in the matter of Bradley (Bankrupt) [2020] FCA 1007 </vt:lpstr>
    </vt:vector>
  </TitlesOfParts>
  <Company>Federal Court of Australia</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Semantic Software Asia Pacific Limited v Vince (Trustee), in the matter of Bradley (Bankrupt) [2020] FCA 1007</dc:title>
  <dc:creator>Philippa Moore</dc:creator>
  <cp:lastModifiedBy>Sona Muradyan</cp:lastModifiedBy>
  <cp:revision>6</cp:revision>
  <cp:lastPrinted>2020-07-14T22:55:00Z</cp:lastPrinted>
  <dcterms:created xsi:type="dcterms:W3CDTF">2020-07-16T01:02:00Z</dcterms:created>
  <dcterms:modified xsi:type="dcterms:W3CDTF">2020-07-16T04:54:00Z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GLEESON J</vt:lpwstr>
  </property>
  <property fmtid="{D5CDD505-2E9C-101B-9397-08002B2CF9AE}" pid="4" name="Judgment_dated" linkTarget="Judgment_dated">
    <vt:lpwstr>16 July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General and Personal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0x01010057D1FC5559E9A042816AB150A9BEF2B91500FFB169959F6CD74F9D91063982C5C94C</vt:lpwstr>
  </property>
  <property fmtid="{D5CDD505-2E9C-101B-9397-08002B2CF9AE}" pid="26" name="File Title">
    <vt:lpwstr>SEMANTIC SOFTWARE ASIA PACIFIC LIMITED ACN 134 067 691 v PETER VINCE AS TRUSTEE IN BANKRUPTCY OF MARK WILLIAM BRADLEY</vt:lpwstr>
  </property>
  <property fmtid="{D5CDD505-2E9C-101B-9397-08002B2CF9AE}" pid="27" name="registry_address">
    <vt:lpwstr>Level 17,  Law Courts Building, Queens Square</vt:lpwstr>
  </property>
  <property fmtid="{D5CDD505-2E9C-101B-9397-08002B2CF9AE}" pid="28" name="File Number">
    <vt:lpwstr>NSD1041/2019</vt:lpwstr>
  </property>
  <property fmtid="{D5CDD505-2E9C-101B-9397-08002B2CF9AE}" pid="29" name="registry_email">
    <vt:lpwstr>mailto:NSWdr@fedcourt.gov.au</vt:lpwstr>
  </property>
  <property fmtid="{D5CDD505-2E9C-101B-9397-08002B2CF9AE}" pid="30" name="court_registry_name">
    <vt:lpwstr>New South Wales District Registry</vt:lpwstr>
  </property>
  <property fmtid="{D5CDD505-2E9C-101B-9397-08002B2CF9AE}" pid="31" name="registry_abn">
    <vt:lpwstr>49 110 847 399</vt:lpwstr>
  </property>
  <property fmtid="{D5CDD505-2E9C-101B-9397-08002B2CF9AE}" pid="32" name="Jurisdiction">
    <vt:lpwstr>Federal Court of Australia</vt:lpwstr>
  </property>
  <property fmtid="{D5CDD505-2E9C-101B-9397-08002B2CF9AE}" pid="33" name="registry_fax">
    <vt:lpwstr>02 9230 8535</vt:lpwstr>
  </property>
  <property fmtid="{D5CDD505-2E9C-101B-9397-08002B2CF9AE}" pid="34" name="registry_hours">
    <vt:lpwstr>Mon - Fri 9:00AM - 4:30PM</vt:lpwstr>
  </property>
  <property fmtid="{D5CDD505-2E9C-101B-9397-08002B2CF9AE}" pid="35" name="registry_city">
    <vt:lpwstr>SYDNEY</vt:lpwstr>
  </property>
  <property fmtid="{D5CDD505-2E9C-101B-9397-08002B2CF9AE}" pid="36" name="registry_postcode">
    <vt:lpwstr>2000</vt:lpwstr>
  </property>
  <property fmtid="{D5CDD505-2E9C-101B-9397-08002B2CF9AE}" pid="37" name="registry_phone">
    <vt:lpwstr>02 9230 8567</vt:lpwstr>
  </property>
  <property fmtid="{D5CDD505-2E9C-101B-9397-08002B2CF9AE}" pid="38" name="registry_state">
    <vt:lpwstr>NEW SOUTH WALES</vt:lpwstr>
  </property>
</Properties>
</file>