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A2454">
      <w:pPr>
        <w:pStyle w:val="MediaNeutralStyle"/>
      </w:pPr>
      <w:bookmarkStart w:id="0" w:name="MNC"/>
      <w:r>
        <w:t xml:space="preserve">AFX17 v Minister for Home Affairs (No 4) [2020] FCA </w:t>
      </w:r>
      <w:r w:rsidR="00360C47">
        <w:t>926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709E5">
        <w:tc>
          <w:tcPr>
            <w:tcW w:w="3085" w:type="dxa"/>
            <w:shd w:val="clear" w:color="auto" w:fill="auto"/>
          </w:tcPr>
          <w:p w:rsidR="00395B24" w:rsidRDefault="00C21026" w:rsidP="00C21026">
            <w:pPr>
              <w:pStyle w:val="Normal1linespace"/>
              <w:widowControl w:val="0"/>
              <w:jc w:val="left"/>
            </w:pPr>
            <w:r>
              <w:t>File number</w:t>
            </w:r>
            <w:r w:rsidR="002C7385">
              <w:t>:</w:t>
            </w:r>
          </w:p>
        </w:tc>
        <w:tc>
          <w:tcPr>
            <w:tcW w:w="5989" w:type="dxa"/>
            <w:shd w:val="clear" w:color="auto" w:fill="auto"/>
          </w:tcPr>
          <w:p w:rsidR="00395B24" w:rsidRPr="005A2454" w:rsidRDefault="00771216" w:rsidP="005A2454">
            <w:pPr>
              <w:pStyle w:val="Normal1linespace"/>
              <w:jc w:val="left"/>
            </w:pPr>
            <w:fldSimple w:instr=" REF  FileNo  \* MERGEFORMAT " w:fldLock="1">
              <w:r w:rsidR="005A2454" w:rsidRPr="005A2454">
                <w:t>NSD 550 of 2020</w:t>
              </w:r>
            </w:fldSimple>
          </w:p>
        </w:tc>
      </w:tr>
      <w:tr w:rsidR="00395B24" w:rsidRPr="003B77BB" w:rsidTr="008709E5">
        <w:tc>
          <w:tcPr>
            <w:tcW w:w="3085" w:type="dxa"/>
            <w:shd w:val="clear" w:color="auto" w:fill="auto"/>
          </w:tcPr>
          <w:p w:rsidR="00395B24" w:rsidRPr="003B77BB" w:rsidRDefault="00395B24" w:rsidP="00663878">
            <w:pPr>
              <w:pStyle w:val="Normal1linespace"/>
              <w:widowControl w:val="0"/>
              <w:jc w:val="left"/>
              <w:rPr>
                <w:sz w:val="22"/>
              </w:rPr>
            </w:pPr>
          </w:p>
        </w:tc>
        <w:tc>
          <w:tcPr>
            <w:tcW w:w="5989" w:type="dxa"/>
            <w:shd w:val="clear" w:color="auto" w:fill="auto"/>
          </w:tcPr>
          <w:p w:rsidR="00395B24" w:rsidRPr="003B77BB" w:rsidRDefault="00395B24" w:rsidP="00663878">
            <w:pPr>
              <w:pStyle w:val="Normal1linespace"/>
              <w:widowControl w:val="0"/>
              <w:jc w:val="left"/>
              <w:rPr>
                <w:sz w:val="22"/>
              </w:rPr>
            </w:pPr>
          </w:p>
        </w:tc>
      </w:tr>
      <w:tr w:rsidR="00395B24" w:rsidTr="008709E5">
        <w:tc>
          <w:tcPr>
            <w:tcW w:w="3085" w:type="dxa"/>
            <w:shd w:val="clear" w:color="auto" w:fill="auto"/>
          </w:tcPr>
          <w:p w:rsidR="00395B24" w:rsidRDefault="00C21026" w:rsidP="00C21026">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5A2454">
              <w:rPr>
                <w:b/>
              </w:rPr>
              <w:fldChar w:fldCharType="begin" w:fldLock="1"/>
            </w:r>
            <w:r w:rsidRPr="005A2454">
              <w:rPr>
                <w:b/>
              </w:rPr>
              <w:instrText xml:space="preserve"> REF  Judge  \* MERGEFORMAT </w:instrText>
            </w:r>
            <w:r w:rsidRPr="005A2454">
              <w:rPr>
                <w:b/>
              </w:rPr>
              <w:fldChar w:fldCharType="separate"/>
            </w:r>
            <w:r w:rsidR="005A2454" w:rsidRPr="005A2454">
              <w:rPr>
                <w:b/>
                <w:caps/>
                <w:szCs w:val="24"/>
              </w:rPr>
              <w:t>FLICK J</w:t>
            </w:r>
            <w:r w:rsidRPr="005A2454">
              <w:rPr>
                <w:b/>
              </w:rPr>
              <w:fldChar w:fldCharType="end"/>
            </w:r>
          </w:p>
        </w:tc>
      </w:tr>
      <w:tr w:rsidR="006D563A" w:rsidRPr="003B77BB" w:rsidTr="008709E5">
        <w:tc>
          <w:tcPr>
            <w:tcW w:w="3085" w:type="dxa"/>
            <w:shd w:val="clear" w:color="auto" w:fill="auto"/>
          </w:tcPr>
          <w:p w:rsidR="006D563A" w:rsidRPr="003B77BB" w:rsidRDefault="006D563A" w:rsidP="00663878">
            <w:pPr>
              <w:pStyle w:val="Normal1linespace"/>
              <w:widowControl w:val="0"/>
              <w:jc w:val="left"/>
              <w:rPr>
                <w:sz w:val="22"/>
              </w:rPr>
            </w:pPr>
          </w:p>
        </w:tc>
        <w:tc>
          <w:tcPr>
            <w:tcW w:w="5989" w:type="dxa"/>
            <w:shd w:val="clear" w:color="auto" w:fill="auto"/>
          </w:tcPr>
          <w:p w:rsidR="006D563A" w:rsidRPr="003B77BB" w:rsidRDefault="006D563A" w:rsidP="00663878">
            <w:pPr>
              <w:pStyle w:val="Normal1linespace"/>
              <w:widowControl w:val="0"/>
              <w:jc w:val="left"/>
              <w:rPr>
                <w:sz w:val="22"/>
              </w:rPr>
            </w:pPr>
          </w:p>
        </w:tc>
      </w:tr>
      <w:tr w:rsidR="00395B24" w:rsidTr="008709E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A2454" w:rsidP="00663878">
            <w:pPr>
              <w:pStyle w:val="Normal1linespace"/>
              <w:widowControl w:val="0"/>
              <w:jc w:val="left"/>
            </w:pPr>
            <w:bookmarkStart w:id="1" w:name="JudgmentDate"/>
            <w:r>
              <w:t>2 July 2020</w:t>
            </w:r>
            <w:bookmarkEnd w:id="1"/>
          </w:p>
        </w:tc>
      </w:tr>
      <w:tr w:rsidR="00395B24" w:rsidRPr="003B77BB" w:rsidTr="008709E5">
        <w:tc>
          <w:tcPr>
            <w:tcW w:w="3085" w:type="dxa"/>
            <w:shd w:val="clear" w:color="auto" w:fill="auto"/>
          </w:tcPr>
          <w:p w:rsidR="00395B24" w:rsidRPr="003B77BB" w:rsidRDefault="00395B24" w:rsidP="00663878">
            <w:pPr>
              <w:pStyle w:val="Normal1linespace"/>
              <w:widowControl w:val="0"/>
              <w:jc w:val="left"/>
              <w:rPr>
                <w:sz w:val="22"/>
              </w:rPr>
            </w:pPr>
          </w:p>
        </w:tc>
        <w:tc>
          <w:tcPr>
            <w:tcW w:w="5989" w:type="dxa"/>
            <w:shd w:val="clear" w:color="auto" w:fill="auto"/>
          </w:tcPr>
          <w:p w:rsidR="00395B24" w:rsidRPr="003B77BB" w:rsidRDefault="00395B24" w:rsidP="00663878">
            <w:pPr>
              <w:pStyle w:val="Normal1linespace"/>
              <w:widowControl w:val="0"/>
              <w:jc w:val="left"/>
              <w:rPr>
                <w:sz w:val="22"/>
              </w:rPr>
            </w:pPr>
          </w:p>
        </w:tc>
      </w:tr>
      <w:tr w:rsidR="00395B24" w:rsidTr="008709E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6B17C0" w:rsidRPr="006B17C0" w:rsidRDefault="006B17C0" w:rsidP="00C21026">
            <w:pPr>
              <w:pStyle w:val="Normal1linespace"/>
              <w:widowControl w:val="0"/>
              <w:ind w:right="178"/>
            </w:pPr>
            <w:bookmarkStart w:id="2" w:name="Catchwords"/>
            <w:r>
              <w:rPr>
                <w:b/>
              </w:rPr>
              <w:t xml:space="preserve">MIGRATION </w:t>
            </w:r>
            <w:r>
              <w:t xml:space="preserve">– order made requiring Minister to make a decision – repeated applications to vary the order </w:t>
            </w:r>
          </w:p>
          <w:p w:rsidR="006B17C0" w:rsidRDefault="006B17C0" w:rsidP="00C21026">
            <w:pPr>
              <w:pStyle w:val="Normal1linespace"/>
              <w:widowControl w:val="0"/>
              <w:ind w:right="178"/>
              <w:rPr>
                <w:b/>
              </w:rPr>
            </w:pPr>
          </w:p>
          <w:p w:rsidR="00395B24" w:rsidRDefault="006B17C0" w:rsidP="00AF649F">
            <w:pPr>
              <w:pStyle w:val="Normal1linespace"/>
              <w:widowControl w:val="0"/>
              <w:ind w:right="178"/>
            </w:pPr>
            <w:r>
              <w:rPr>
                <w:b/>
              </w:rPr>
              <w:t xml:space="preserve">PRACTICE AND PROCEDURE </w:t>
            </w:r>
            <w:r w:rsidRPr="006B17C0">
              <w:t xml:space="preserve">– inadequate explanation for further variation of orders – inadequacy of explanation provided by solicitor on instructions </w:t>
            </w:r>
            <w:r w:rsidR="005A2454">
              <w:t>–</w:t>
            </w:r>
            <w:r w:rsidRPr="006B17C0">
              <w:t xml:space="preserve"> contempt – potential need for</w:t>
            </w:r>
            <w:r>
              <w:t xml:space="preserve"> personal explanation for any non-compliance</w:t>
            </w:r>
            <w:r w:rsidR="00001CAD">
              <w:t xml:space="preserve"> – whether order should be made directing contempt proceedings</w:t>
            </w:r>
            <w:r w:rsidR="004F7ED5">
              <w:t xml:space="preserve"> </w:t>
            </w:r>
            <w:r w:rsidR="00AF649F">
              <w:t>prior to non-compliance</w:t>
            </w:r>
            <w:r w:rsidR="006D563A">
              <w:t xml:space="preserve"> </w:t>
            </w:r>
            <w:r w:rsidR="002C7385">
              <w:t xml:space="preserve"> </w:t>
            </w:r>
            <w:bookmarkEnd w:id="2"/>
          </w:p>
        </w:tc>
      </w:tr>
      <w:tr w:rsidR="00395B24" w:rsidRPr="003B77BB" w:rsidTr="008709E5">
        <w:tc>
          <w:tcPr>
            <w:tcW w:w="3085" w:type="dxa"/>
            <w:shd w:val="clear" w:color="auto" w:fill="auto"/>
          </w:tcPr>
          <w:p w:rsidR="00395B24" w:rsidRPr="003B77BB" w:rsidRDefault="00395B24" w:rsidP="00663878">
            <w:pPr>
              <w:pStyle w:val="Normal1linespace"/>
              <w:widowControl w:val="0"/>
              <w:jc w:val="left"/>
              <w:rPr>
                <w:sz w:val="22"/>
              </w:rPr>
            </w:pPr>
          </w:p>
        </w:tc>
        <w:tc>
          <w:tcPr>
            <w:tcW w:w="5989" w:type="dxa"/>
            <w:shd w:val="clear" w:color="auto" w:fill="auto"/>
          </w:tcPr>
          <w:p w:rsidR="00395B24" w:rsidRPr="003B77BB" w:rsidRDefault="00395B24" w:rsidP="00663878">
            <w:pPr>
              <w:pStyle w:val="Normal1linespace"/>
              <w:widowControl w:val="0"/>
              <w:jc w:val="left"/>
              <w:rPr>
                <w:sz w:val="22"/>
              </w:rPr>
            </w:pPr>
          </w:p>
        </w:tc>
      </w:tr>
      <w:tr w:rsidR="00395B24" w:rsidTr="008709E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5A4120" w:rsidP="005A4120">
            <w:pPr>
              <w:pStyle w:val="CasesLegislationAppealFrom"/>
              <w:spacing w:after="60"/>
            </w:pPr>
            <w:bookmarkStart w:id="3" w:name="Legislation"/>
            <w:r>
              <w:rPr>
                <w:i/>
              </w:rPr>
              <w:t>Migration Act</w:t>
            </w:r>
            <w:r>
              <w:t xml:space="preserve"> </w:t>
            </w:r>
            <w:r>
              <w:rPr>
                <w:i/>
              </w:rPr>
              <w:t>1958</w:t>
            </w:r>
            <w:r>
              <w:t xml:space="preserve"> (</w:t>
            </w:r>
            <w:proofErr w:type="spellStart"/>
            <w:r>
              <w:t>Cth</w:t>
            </w:r>
            <w:proofErr w:type="spellEnd"/>
            <w:r>
              <w:t>) s 501A</w:t>
            </w:r>
            <w:r w:rsidR="006D563A">
              <w:t xml:space="preserve">    </w:t>
            </w:r>
            <w:r w:rsidR="002C7385">
              <w:t xml:space="preserve"> </w:t>
            </w:r>
            <w:bookmarkEnd w:id="3"/>
          </w:p>
        </w:tc>
      </w:tr>
      <w:tr w:rsidR="00395B24" w:rsidRPr="003B77BB" w:rsidTr="008709E5">
        <w:tc>
          <w:tcPr>
            <w:tcW w:w="3085" w:type="dxa"/>
            <w:shd w:val="clear" w:color="auto" w:fill="auto"/>
          </w:tcPr>
          <w:p w:rsidR="00395B24" w:rsidRPr="003B77BB" w:rsidRDefault="00395B24" w:rsidP="00663878">
            <w:pPr>
              <w:pStyle w:val="Normal1linespace"/>
              <w:widowControl w:val="0"/>
              <w:jc w:val="left"/>
              <w:rPr>
                <w:sz w:val="22"/>
              </w:rPr>
            </w:pPr>
          </w:p>
        </w:tc>
        <w:tc>
          <w:tcPr>
            <w:tcW w:w="5989" w:type="dxa"/>
            <w:shd w:val="clear" w:color="auto" w:fill="auto"/>
          </w:tcPr>
          <w:p w:rsidR="00395B24" w:rsidRPr="003B77BB" w:rsidRDefault="00395B24" w:rsidP="00663878">
            <w:pPr>
              <w:pStyle w:val="Normal1linespace"/>
              <w:widowControl w:val="0"/>
              <w:jc w:val="left"/>
              <w:rPr>
                <w:sz w:val="22"/>
              </w:rPr>
            </w:pPr>
          </w:p>
        </w:tc>
      </w:tr>
      <w:tr w:rsidR="00395B24" w:rsidTr="008709E5">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A4120" w:rsidRDefault="005A4120" w:rsidP="005A4120">
            <w:pPr>
              <w:pStyle w:val="CasesLegislationAppealFrom"/>
              <w:spacing w:after="60"/>
            </w:pPr>
            <w:bookmarkStart w:id="4" w:name="Cases_Cited"/>
            <w:r>
              <w:rPr>
                <w:i/>
              </w:rPr>
              <w:t xml:space="preserve">AFX17 v Minister for Home Affairs </w:t>
            </w:r>
            <w:r>
              <w:t>[2020] FCA 807</w:t>
            </w:r>
          </w:p>
          <w:p w:rsidR="005A4120" w:rsidRDefault="005A4120" w:rsidP="00D82620">
            <w:pPr>
              <w:pStyle w:val="CasesLegislationAppealFrom"/>
              <w:spacing w:after="60"/>
            </w:pPr>
            <w:r>
              <w:rPr>
                <w:i/>
              </w:rPr>
              <w:t>AFX17 v Minister for Home Affairs (No 2)</w:t>
            </w:r>
            <w:r>
              <w:t xml:space="preserve"> [2020] FCA 858</w:t>
            </w:r>
          </w:p>
          <w:p w:rsidR="005A4120" w:rsidRDefault="005A4120" w:rsidP="00D82620">
            <w:pPr>
              <w:pStyle w:val="CasesLegislationAppealFrom"/>
              <w:spacing w:after="60"/>
            </w:pPr>
            <w:r>
              <w:rPr>
                <w:i/>
              </w:rPr>
              <w:t>AFX17 v Minister for Home Affairs (No 3)</w:t>
            </w:r>
            <w:r>
              <w:t xml:space="preserve"> [2020] FCA 890</w:t>
            </w:r>
          </w:p>
          <w:p w:rsidR="005A4120" w:rsidRDefault="005A4120" w:rsidP="00D82620">
            <w:pPr>
              <w:pStyle w:val="CasesLegislationAppealFrom"/>
              <w:spacing w:after="60"/>
            </w:pPr>
            <w:r>
              <w:rPr>
                <w:i/>
              </w:rPr>
              <w:t xml:space="preserve">KDSP v Minister for Immigration, Citizenship, Migrant Services and Multicultural Affairs </w:t>
            </w:r>
            <w:r>
              <w:t>[2020] FCAF</w:t>
            </w:r>
            <w:r w:rsidR="00001CAD">
              <w:t>C</w:t>
            </w:r>
            <w:r>
              <w:t xml:space="preserve"> 108</w:t>
            </w:r>
          </w:p>
          <w:p w:rsidR="00395B24" w:rsidRDefault="005A4120" w:rsidP="005A4120">
            <w:pPr>
              <w:pStyle w:val="CasesLegislationAppealFrom"/>
              <w:spacing w:after="60"/>
            </w:pPr>
            <w:r>
              <w:rPr>
                <w:i/>
              </w:rPr>
              <w:t>Minister for Home Affairs v AFX17</w:t>
            </w:r>
            <w:r>
              <w:t xml:space="preserve"> [2020] FCA 903 </w:t>
            </w:r>
            <w:r w:rsidR="006D563A">
              <w:t xml:space="preserve"> </w:t>
            </w:r>
            <w:r w:rsidR="002C7385">
              <w:t xml:space="preserve"> </w:t>
            </w:r>
            <w:bookmarkEnd w:id="4"/>
          </w:p>
        </w:tc>
      </w:tr>
      <w:tr w:rsidR="008709E5" w:rsidRPr="003B77BB" w:rsidTr="008709E5">
        <w:tc>
          <w:tcPr>
            <w:tcW w:w="3085" w:type="dxa"/>
            <w:shd w:val="clear" w:color="auto" w:fill="auto"/>
          </w:tcPr>
          <w:p w:rsidR="008709E5" w:rsidRPr="003B77BB" w:rsidRDefault="008709E5" w:rsidP="008709E5">
            <w:pPr>
              <w:pStyle w:val="Normal1linespace"/>
              <w:jc w:val="left"/>
              <w:rPr>
                <w:sz w:val="22"/>
              </w:rPr>
            </w:pPr>
          </w:p>
        </w:tc>
        <w:tc>
          <w:tcPr>
            <w:tcW w:w="5989" w:type="dxa"/>
            <w:shd w:val="clear" w:color="auto" w:fill="auto"/>
          </w:tcPr>
          <w:p w:rsidR="008709E5" w:rsidRPr="003B77BB" w:rsidRDefault="008709E5" w:rsidP="008709E5">
            <w:pPr>
              <w:pStyle w:val="Normal1linespace"/>
              <w:jc w:val="left"/>
              <w:rPr>
                <w:sz w:val="22"/>
              </w:rPr>
            </w:pPr>
          </w:p>
        </w:tc>
      </w:tr>
      <w:tr w:rsidR="008709E5" w:rsidRPr="008709E5" w:rsidTr="008709E5">
        <w:tc>
          <w:tcPr>
            <w:tcW w:w="3085" w:type="dxa"/>
            <w:shd w:val="clear" w:color="auto" w:fill="auto"/>
          </w:tcPr>
          <w:p w:rsidR="008709E5" w:rsidRPr="008709E5" w:rsidRDefault="008709E5" w:rsidP="008709E5">
            <w:pPr>
              <w:pStyle w:val="Normal1linespace"/>
              <w:jc w:val="left"/>
            </w:pPr>
            <w:bookmarkStart w:id="5" w:name="CounselDate" w:colFirst="0" w:colLast="2"/>
            <w:r w:rsidRPr="008709E5">
              <w:t>Date of hearing:</w:t>
            </w:r>
          </w:p>
        </w:tc>
        <w:tc>
          <w:tcPr>
            <w:tcW w:w="5989" w:type="dxa"/>
            <w:shd w:val="clear" w:color="auto" w:fill="auto"/>
          </w:tcPr>
          <w:p w:rsidR="008709E5" w:rsidRPr="008709E5" w:rsidRDefault="008709E5" w:rsidP="008709E5">
            <w:pPr>
              <w:pStyle w:val="Normal1linespace"/>
              <w:jc w:val="left"/>
            </w:pPr>
            <w:bookmarkStart w:id="6" w:name="HearingDate"/>
            <w:r>
              <w:t>2 July 2020</w:t>
            </w:r>
            <w:bookmarkEnd w:id="6"/>
          </w:p>
        </w:tc>
      </w:tr>
      <w:bookmarkEnd w:id="5"/>
      <w:tr w:rsidR="008709E5" w:rsidRPr="003B77BB" w:rsidTr="008709E5">
        <w:tc>
          <w:tcPr>
            <w:tcW w:w="3085" w:type="dxa"/>
            <w:shd w:val="clear" w:color="auto" w:fill="auto"/>
          </w:tcPr>
          <w:p w:rsidR="008709E5" w:rsidRPr="003B77BB" w:rsidRDefault="008709E5" w:rsidP="008709E5">
            <w:pPr>
              <w:pStyle w:val="Normal1linespace"/>
              <w:widowControl w:val="0"/>
              <w:jc w:val="left"/>
              <w:rPr>
                <w:sz w:val="22"/>
              </w:rPr>
            </w:pPr>
          </w:p>
        </w:tc>
        <w:tc>
          <w:tcPr>
            <w:tcW w:w="5989" w:type="dxa"/>
            <w:shd w:val="clear" w:color="auto" w:fill="auto"/>
          </w:tcPr>
          <w:p w:rsidR="008709E5" w:rsidRPr="003B77BB" w:rsidRDefault="008709E5" w:rsidP="008709E5">
            <w:pPr>
              <w:pStyle w:val="Normal1linespace"/>
              <w:widowControl w:val="0"/>
              <w:jc w:val="left"/>
              <w:rPr>
                <w:sz w:val="22"/>
              </w:rPr>
            </w:pPr>
          </w:p>
        </w:tc>
      </w:tr>
      <w:tr w:rsidR="008709E5" w:rsidTr="008709E5">
        <w:tc>
          <w:tcPr>
            <w:tcW w:w="3085" w:type="dxa"/>
            <w:shd w:val="clear" w:color="auto" w:fill="auto"/>
          </w:tcPr>
          <w:p w:rsidR="008709E5" w:rsidRDefault="008709E5" w:rsidP="008709E5">
            <w:pPr>
              <w:pStyle w:val="Normal1linespace"/>
              <w:widowControl w:val="0"/>
              <w:jc w:val="left"/>
            </w:pPr>
            <w:r>
              <w:t>Registry:</w:t>
            </w:r>
          </w:p>
        </w:tc>
        <w:tc>
          <w:tcPr>
            <w:tcW w:w="5989" w:type="dxa"/>
            <w:shd w:val="clear" w:color="auto" w:fill="auto"/>
          </w:tcPr>
          <w:p w:rsidR="008709E5" w:rsidRPr="00F17599" w:rsidRDefault="00771216" w:rsidP="008709E5">
            <w:pPr>
              <w:pStyle w:val="Normal1linespace"/>
              <w:widowControl w:val="0"/>
              <w:jc w:val="left"/>
            </w:pPr>
            <w:fldSimple w:instr=" DOCPROPERTY  Registry " w:fldLock="1">
              <w:r w:rsidR="008709E5">
                <w:t>New South Wales</w:t>
              </w:r>
            </w:fldSimple>
          </w:p>
        </w:tc>
      </w:tr>
      <w:tr w:rsidR="008709E5" w:rsidRPr="003B77BB" w:rsidTr="008709E5">
        <w:tc>
          <w:tcPr>
            <w:tcW w:w="3085" w:type="dxa"/>
            <w:shd w:val="clear" w:color="auto" w:fill="auto"/>
          </w:tcPr>
          <w:p w:rsidR="008709E5" w:rsidRPr="003B77BB" w:rsidRDefault="008709E5" w:rsidP="008709E5">
            <w:pPr>
              <w:pStyle w:val="Normal1linespace"/>
              <w:widowControl w:val="0"/>
              <w:jc w:val="left"/>
              <w:rPr>
                <w:sz w:val="22"/>
              </w:rPr>
            </w:pPr>
          </w:p>
        </w:tc>
        <w:tc>
          <w:tcPr>
            <w:tcW w:w="5989" w:type="dxa"/>
            <w:shd w:val="clear" w:color="auto" w:fill="auto"/>
          </w:tcPr>
          <w:p w:rsidR="008709E5" w:rsidRPr="003B77BB" w:rsidRDefault="008709E5" w:rsidP="008709E5">
            <w:pPr>
              <w:pStyle w:val="Normal1linespace"/>
              <w:widowControl w:val="0"/>
              <w:jc w:val="left"/>
              <w:rPr>
                <w:sz w:val="22"/>
              </w:rPr>
            </w:pPr>
          </w:p>
        </w:tc>
      </w:tr>
      <w:tr w:rsidR="008709E5" w:rsidTr="008709E5">
        <w:tc>
          <w:tcPr>
            <w:tcW w:w="3085" w:type="dxa"/>
            <w:shd w:val="clear" w:color="auto" w:fill="auto"/>
          </w:tcPr>
          <w:p w:rsidR="008709E5" w:rsidRDefault="008709E5" w:rsidP="008709E5">
            <w:pPr>
              <w:pStyle w:val="Normal1linespace"/>
              <w:widowControl w:val="0"/>
              <w:jc w:val="left"/>
            </w:pPr>
            <w:r>
              <w:t>Division:</w:t>
            </w:r>
          </w:p>
        </w:tc>
        <w:tc>
          <w:tcPr>
            <w:tcW w:w="5989" w:type="dxa"/>
            <w:shd w:val="clear" w:color="auto" w:fill="auto"/>
          </w:tcPr>
          <w:p w:rsidR="008709E5" w:rsidRPr="00F17599" w:rsidRDefault="00771216" w:rsidP="008709E5">
            <w:pPr>
              <w:pStyle w:val="Normal1linespace"/>
              <w:widowControl w:val="0"/>
              <w:jc w:val="left"/>
            </w:pPr>
            <w:fldSimple w:instr=" DOCPROPERTY  Division " w:fldLock="1">
              <w:r w:rsidR="008709E5">
                <w:t>General Division</w:t>
              </w:r>
            </w:fldSimple>
          </w:p>
        </w:tc>
      </w:tr>
      <w:tr w:rsidR="008709E5" w:rsidRPr="003B77BB" w:rsidTr="008709E5">
        <w:tc>
          <w:tcPr>
            <w:tcW w:w="3085" w:type="dxa"/>
            <w:shd w:val="clear" w:color="auto" w:fill="auto"/>
          </w:tcPr>
          <w:p w:rsidR="008709E5" w:rsidRPr="003B77BB" w:rsidRDefault="008709E5" w:rsidP="008709E5">
            <w:pPr>
              <w:pStyle w:val="Normal1linespace"/>
              <w:widowControl w:val="0"/>
              <w:jc w:val="left"/>
              <w:rPr>
                <w:sz w:val="22"/>
              </w:rPr>
            </w:pPr>
          </w:p>
        </w:tc>
        <w:tc>
          <w:tcPr>
            <w:tcW w:w="5989" w:type="dxa"/>
            <w:shd w:val="clear" w:color="auto" w:fill="auto"/>
          </w:tcPr>
          <w:p w:rsidR="008709E5" w:rsidRPr="003B77BB" w:rsidRDefault="008709E5" w:rsidP="008709E5">
            <w:pPr>
              <w:pStyle w:val="Normal1linespace"/>
              <w:widowControl w:val="0"/>
              <w:jc w:val="left"/>
              <w:rPr>
                <w:b/>
                <w:sz w:val="22"/>
              </w:rPr>
            </w:pPr>
          </w:p>
        </w:tc>
      </w:tr>
      <w:tr w:rsidR="008709E5" w:rsidTr="008709E5">
        <w:tc>
          <w:tcPr>
            <w:tcW w:w="3085" w:type="dxa"/>
            <w:shd w:val="clear" w:color="auto" w:fill="auto"/>
          </w:tcPr>
          <w:p w:rsidR="008709E5" w:rsidRDefault="008709E5" w:rsidP="008709E5">
            <w:pPr>
              <w:pStyle w:val="Normal1linespace"/>
              <w:widowControl w:val="0"/>
              <w:jc w:val="left"/>
            </w:pPr>
            <w:r>
              <w:t>National Practice Area:</w:t>
            </w:r>
          </w:p>
        </w:tc>
        <w:tc>
          <w:tcPr>
            <w:tcW w:w="5989" w:type="dxa"/>
            <w:shd w:val="clear" w:color="auto" w:fill="auto"/>
          </w:tcPr>
          <w:p w:rsidR="008709E5" w:rsidRPr="00F17599" w:rsidRDefault="00771216" w:rsidP="008709E5">
            <w:pPr>
              <w:pStyle w:val="Normal1linespace"/>
              <w:widowControl w:val="0"/>
              <w:jc w:val="left"/>
              <w:rPr>
                <w:b/>
              </w:rPr>
            </w:pPr>
            <w:fldSimple w:instr=" DOCPROPERTY  &quot;Practice Area&quot;  \* MERGEFORMAT " w:fldLock="1">
              <w:r w:rsidR="008709E5">
                <w:t>Administrative and Constitutional Law and Human Rights</w:t>
              </w:r>
            </w:fldSimple>
          </w:p>
        </w:tc>
      </w:tr>
      <w:tr w:rsidR="008709E5" w:rsidRPr="003B77BB" w:rsidTr="008709E5">
        <w:tc>
          <w:tcPr>
            <w:tcW w:w="3085" w:type="dxa"/>
            <w:shd w:val="clear" w:color="auto" w:fill="auto"/>
          </w:tcPr>
          <w:p w:rsidR="008709E5" w:rsidRPr="003B77BB" w:rsidRDefault="008709E5" w:rsidP="008709E5">
            <w:pPr>
              <w:pStyle w:val="Normal1linespace"/>
              <w:widowControl w:val="0"/>
              <w:jc w:val="left"/>
              <w:rPr>
                <w:sz w:val="22"/>
              </w:rPr>
            </w:pPr>
          </w:p>
        </w:tc>
        <w:tc>
          <w:tcPr>
            <w:tcW w:w="5989" w:type="dxa"/>
            <w:shd w:val="clear" w:color="auto" w:fill="auto"/>
          </w:tcPr>
          <w:p w:rsidR="008709E5" w:rsidRPr="003B77BB" w:rsidRDefault="008709E5" w:rsidP="008709E5">
            <w:pPr>
              <w:pStyle w:val="Normal1linespace"/>
              <w:widowControl w:val="0"/>
              <w:jc w:val="left"/>
              <w:rPr>
                <w:b/>
                <w:sz w:val="22"/>
              </w:rPr>
            </w:pPr>
          </w:p>
        </w:tc>
      </w:tr>
      <w:tr w:rsidR="008709E5" w:rsidTr="008709E5">
        <w:tc>
          <w:tcPr>
            <w:tcW w:w="3085" w:type="dxa"/>
            <w:shd w:val="clear" w:color="auto" w:fill="auto"/>
          </w:tcPr>
          <w:p w:rsidR="008709E5" w:rsidRDefault="008709E5" w:rsidP="008709E5">
            <w:pPr>
              <w:pStyle w:val="Normal1linespace"/>
              <w:widowControl w:val="0"/>
              <w:jc w:val="left"/>
            </w:pPr>
            <w:r>
              <w:t>Category:</w:t>
            </w:r>
          </w:p>
        </w:tc>
        <w:tc>
          <w:tcPr>
            <w:tcW w:w="5989" w:type="dxa"/>
            <w:shd w:val="clear" w:color="auto" w:fill="auto"/>
          </w:tcPr>
          <w:p w:rsidR="008709E5" w:rsidRPr="005A4120" w:rsidRDefault="008709E5" w:rsidP="008709E5">
            <w:pPr>
              <w:pStyle w:val="Normal1linespace"/>
              <w:widowControl w:val="0"/>
              <w:jc w:val="left"/>
            </w:pPr>
            <w:r w:rsidRPr="005A4120">
              <w:t>Catchwords</w:t>
            </w:r>
          </w:p>
        </w:tc>
      </w:tr>
      <w:tr w:rsidR="008709E5" w:rsidRPr="003B77BB" w:rsidTr="008709E5">
        <w:tc>
          <w:tcPr>
            <w:tcW w:w="3085" w:type="dxa"/>
            <w:shd w:val="clear" w:color="auto" w:fill="auto"/>
          </w:tcPr>
          <w:p w:rsidR="008709E5" w:rsidRPr="003B77BB" w:rsidRDefault="008709E5" w:rsidP="008709E5">
            <w:pPr>
              <w:pStyle w:val="Normal1linespace"/>
              <w:widowControl w:val="0"/>
              <w:jc w:val="left"/>
              <w:rPr>
                <w:sz w:val="22"/>
              </w:rPr>
            </w:pPr>
          </w:p>
        </w:tc>
        <w:tc>
          <w:tcPr>
            <w:tcW w:w="5989" w:type="dxa"/>
            <w:shd w:val="clear" w:color="auto" w:fill="auto"/>
          </w:tcPr>
          <w:p w:rsidR="008709E5" w:rsidRPr="003B77BB" w:rsidRDefault="008709E5" w:rsidP="008709E5">
            <w:pPr>
              <w:pStyle w:val="Normal1linespace"/>
              <w:widowControl w:val="0"/>
              <w:jc w:val="left"/>
              <w:rPr>
                <w:sz w:val="22"/>
              </w:rPr>
            </w:pPr>
          </w:p>
        </w:tc>
      </w:tr>
      <w:tr w:rsidR="008709E5" w:rsidTr="008709E5">
        <w:tc>
          <w:tcPr>
            <w:tcW w:w="3085" w:type="dxa"/>
            <w:shd w:val="clear" w:color="auto" w:fill="auto"/>
          </w:tcPr>
          <w:p w:rsidR="008709E5" w:rsidRDefault="008709E5" w:rsidP="008709E5">
            <w:pPr>
              <w:pStyle w:val="Normal1linespace"/>
              <w:widowControl w:val="0"/>
              <w:jc w:val="left"/>
            </w:pPr>
            <w:r>
              <w:t>Number of paragraphs:</w:t>
            </w:r>
          </w:p>
        </w:tc>
        <w:tc>
          <w:tcPr>
            <w:tcW w:w="5989" w:type="dxa"/>
            <w:shd w:val="clear" w:color="auto" w:fill="auto"/>
          </w:tcPr>
          <w:p w:rsidR="008709E5" w:rsidRDefault="008A2511" w:rsidP="008709E5">
            <w:pPr>
              <w:pStyle w:val="Normal1linespace"/>
              <w:widowControl w:val="0"/>
              <w:jc w:val="left"/>
            </w:pPr>
            <w:bookmarkStart w:id="7" w:name="PlaceCategoryParagraphs"/>
            <w:r>
              <w:t>9</w:t>
            </w:r>
            <w:bookmarkEnd w:id="7"/>
          </w:p>
        </w:tc>
      </w:tr>
      <w:tr w:rsidR="008709E5" w:rsidRPr="003B77BB" w:rsidTr="008709E5">
        <w:tc>
          <w:tcPr>
            <w:tcW w:w="3085" w:type="dxa"/>
            <w:shd w:val="clear" w:color="auto" w:fill="auto"/>
          </w:tcPr>
          <w:p w:rsidR="008709E5" w:rsidRPr="003B77BB" w:rsidRDefault="008709E5" w:rsidP="008709E5">
            <w:pPr>
              <w:pStyle w:val="Normal1linespace"/>
              <w:widowControl w:val="0"/>
              <w:jc w:val="left"/>
              <w:rPr>
                <w:sz w:val="22"/>
              </w:rPr>
            </w:pPr>
          </w:p>
        </w:tc>
        <w:tc>
          <w:tcPr>
            <w:tcW w:w="5989" w:type="dxa"/>
            <w:shd w:val="clear" w:color="auto" w:fill="auto"/>
          </w:tcPr>
          <w:p w:rsidR="008709E5" w:rsidRPr="003B77BB" w:rsidRDefault="008709E5" w:rsidP="008709E5">
            <w:pPr>
              <w:pStyle w:val="Normal1linespace"/>
              <w:widowControl w:val="0"/>
              <w:jc w:val="left"/>
              <w:rPr>
                <w:sz w:val="22"/>
              </w:rPr>
            </w:pPr>
          </w:p>
        </w:tc>
      </w:tr>
      <w:tr w:rsidR="008709E5" w:rsidTr="008709E5">
        <w:tc>
          <w:tcPr>
            <w:tcW w:w="3085" w:type="dxa"/>
            <w:shd w:val="clear" w:color="auto" w:fill="auto"/>
          </w:tcPr>
          <w:p w:rsidR="008709E5" w:rsidRDefault="008709E5" w:rsidP="008709E5">
            <w:pPr>
              <w:pStyle w:val="Normal1linespace"/>
              <w:widowControl w:val="0"/>
              <w:jc w:val="left"/>
            </w:pPr>
            <w:bookmarkStart w:id="8" w:name="Counsel" w:colFirst="0" w:colLast="2"/>
            <w:r>
              <w:t>Counsel for the Applicant:</w:t>
            </w:r>
          </w:p>
        </w:tc>
        <w:tc>
          <w:tcPr>
            <w:tcW w:w="5989" w:type="dxa"/>
            <w:shd w:val="clear" w:color="auto" w:fill="auto"/>
          </w:tcPr>
          <w:p w:rsidR="008709E5" w:rsidRDefault="008709E5" w:rsidP="008709E5">
            <w:pPr>
              <w:pStyle w:val="Normal1linespace"/>
              <w:widowControl w:val="0"/>
              <w:jc w:val="left"/>
            </w:pPr>
            <w:bookmarkStart w:id="9" w:name="AppCounsel"/>
            <w:bookmarkEnd w:id="9"/>
            <w:r>
              <w:t>Ms M Yu</w:t>
            </w:r>
          </w:p>
        </w:tc>
      </w:tr>
      <w:tr w:rsidR="008709E5" w:rsidRPr="003B77BB" w:rsidTr="008709E5">
        <w:tc>
          <w:tcPr>
            <w:tcW w:w="3085" w:type="dxa"/>
            <w:shd w:val="clear" w:color="auto" w:fill="auto"/>
          </w:tcPr>
          <w:p w:rsidR="008709E5" w:rsidRPr="003B77BB" w:rsidRDefault="008709E5" w:rsidP="008709E5">
            <w:pPr>
              <w:pStyle w:val="Normal1linespace"/>
              <w:widowControl w:val="0"/>
              <w:jc w:val="left"/>
              <w:rPr>
                <w:sz w:val="22"/>
              </w:rPr>
            </w:pPr>
          </w:p>
        </w:tc>
        <w:tc>
          <w:tcPr>
            <w:tcW w:w="5989" w:type="dxa"/>
            <w:shd w:val="clear" w:color="auto" w:fill="auto"/>
          </w:tcPr>
          <w:p w:rsidR="008709E5" w:rsidRPr="003B77BB" w:rsidRDefault="008709E5" w:rsidP="008709E5">
            <w:pPr>
              <w:pStyle w:val="Normal1linespace"/>
              <w:widowControl w:val="0"/>
              <w:jc w:val="left"/>
              <w:rPr>
                <w:sz w:val="22"/>
              </w:rPr>
            </w:pPr>
          </w:p>
        </w:tc>
      </w:tr>
      <w:tr w:rsidR="008709E5" w:rsidTr="008709E5">
        <w:tc>
          <w:tcPr>
            <w:tcW w:w="3085" w:type="dxa"/>
            <w:shd w:val="clear" w:color="auto" w:fill="auto"/>
          </w:tcPr>
          <w:p w:rsidR="008709E5" w:rsidRDefault="008709E5" w:rsidP="008709E5">
            <w:pPr>
              <w:pStyle w:val="Normal1linespace"/>
              <w:widowControl w:val="0"/>
              <w:jc w:val="left"/>
            </w:pPr>
            <w:r>
              <w:t>Solicitor for the Applicant:</w:t>
            </w:r>
          </w:p>
        </w:tc>
        <w:tc>
          <w:tcPr>
            <w:tcW w:w="5989" w:type="dxa"/>
            <w:shd w:val="clear" w:color="auto" w:fill="auto"/>
          </w:tcPr>
          <w:p w:rsidR="008709E5" w:rsidRDefault="008709E5" w:rsidP="008709E5">
            <w:pPr>
              <w:pStyle w:val="Normal1linespace"/>
              <w:widowControl w:val="0"/>
              <w:jc w:val="left"/>
            </w:pPr>
            <w:r>
              <w:t>Human Rights for All</w:t>
            </w:r>
          </w:p>
        </w:tc>
      </w:tr>
      <w:tr w:rsidR="008709E5" w:rsidRPr="003B77BB" w:rsidTr="008709E5">
        <w:tc>
          <w:tcPr>
            <w:tcW w:w="3085" w:type="dxa"/>
            <w:shd w:val="clear" w:color="auto" w:fill="auto"/>
          </w:tcPr>
          <w:p w:rsidR="008709E5" w:rsidRPr="003B77BB" w:rsidRDefault="008709E5" w:rsidP="008709E5">
            <w:pPr>
              <w:pStyle w:val="Normal1linespace"/>
              <w:widowControl w:val="0"/>
              <w:jc w:val="left"/>
              <w:rPr>
                <w:sz w:val="22"/>
              </w:rPr>
            </w:pPr>
          </w:p>
        </w:tc>
        <w:tc>
          <w:tcPr>
            <w:tcW w:w="5989" w:type="dxa"/>
            <w:shd w:val="clear" w:color="auto" w:fill="auto"/>
          </w:tcPr>
          <w:p w:rsidR="008709E5" w:rsidRPr="003B77BB" w:rsidRDefault="008709E5" w:rsidP="008709E5">
            <w:pPr>
              <w:pStyle w:val="Normal1linespace"/>
              <w:widowControl w:val="0"/>
              <w:jc w:val="left"/>
              <w:rPr>
                <w:sz w:val="22"/>
              </w:rPr>
            </w:pPr>
          </w:p>
        </w:tc>
      </w:tr>
      <w:tr w:rsidR="008709E5" w:rsidTr="008709E5">
        <w:tc>
          <w:tcPr>
            <w:tcW w:w="3085" w:type="dxa"/>
            <w:shd w:val="clear" w:color="auto" w:fill="auto"/>
          </w:tcPr>
          <w:p w:rsidR="008709E5" w:rsidRDefault="008709E5" w:rsidP="008709E5">
            <w:pPr>
              <w:pStyle w:val="Normal1linespace"/>
              <w:widowControl w:val="0"/>
              <w:jc w:val="left"/>
            </w:pPr>
            <w:r>
              <w:t>Solicitor for the Respondents:</w:t>
            </w:r>
          </w:p>
        </w:tc>
        <w:tc>
          <w:tcPr>
            <w:tcW w:w="5989" w:type="dxa"/>
            <w:shd w:val="clear" w:color="auto" w:fill="auto"/>
          </w:tcPr>
          <w:p w:rsidR="008709E5" w:rsidRDefault="008709E5" w:rsidP="008709E5">
            <w:pPr>
              <w:pStyle w:val="Normal1linespace"/>
              <w:widowControl w:val="0"/>
              <w:jc w:val="left"/>
            </w:pPr>
            <w:r>
              <w:t>Ms D Watson of Australian Government Solicitor</w:t>
            </w:r>
          </w:p>
        </w:tc>
      </w:tr>
      <w:bookmarkEnd w:id="8"/>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A2454" w:rsidP="00F92355">
            <w:pPr>
              <w:pStyle w:val="NormalHeadings"/>
              <w:jc w:val="right"/>
            </w:pPr>
            <w:bookmarkStart w:id="10" w:name="FileNo"/>
            <w:r>
              <w:t>NSD 550 of 2020</w:t>
            </w:r>
            <w:bookmarkEnd w:id="10"/>
          </w:p>
        </w:tc>
      </w:tr>
      <w:tr w:rsidR="00A76C13" w:rsidTr="00F461A4">
        <w:tc>
          <w:tcPr>
            <w:tcW w:w="9242" w:type="dxa"/>
            <w:gridSpan w:val="3"/>
          </w:tcPr>
          <w:p w:rsidR="00A76C13" w:rsidRPr="00A76C13" w:rsidRDefault="005A2454" w:rsidP="005A2454">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5A2454" w:rsidRDefault="005A2454" w:rsidP="005A2454">
            <w:pPr>
              <w:pStyle w:val="NormalHeadings"/>
              <w:jc w:val="left"/>
            </w:pPr>
            <w:bookmarkStart w:id="13" w:name="Applicant"/>
            <w:r>
              <w:t>AFX17</w:t>
            </w:r>
          </w:p>
          <w:p w:rsidR="005A2454" w:rsidRDefault="005A2454" w:rsidP="005A2454">
            <w:pPr>
              <w:pStyle w:val="PartyType"/>
            </w:pPr>
            <w:r>
              <w:t>Applicant</w:t>
            </w:r>
          </w:p>
          <w:bookmarkEnd w:id="13"/>
          <w:p w:rsidR="00A46CCC" w:rsidRPr="006555B4" w:rsidRDefault="00A46CCC" w:rsidP="005650BD">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5A2454" w:rsidRDefault="005A2454" w:rsidP="005A2454">
            <w:pPr>
              <w:pStyle w:val="NormalHeadings"/>
              <w:jc w:val="left"/>
            </w:pPr>
            <w:bookmarkStart w:id="14" w:name="Respondent"/>
            <w:r>
              <w:t>MINISTER FOR HOME AFFAIRS</w:t>
            </w:r>
          </w:p>
          <w:p w:rsidR="005A2454" w:rsidRDefault="005A2454" w:rsidP="005A2454">
            <w:pPr>
              <w:pStyle w:val="PartyType"/>
            </w:pPr>
            <w:r>
              <w:t>First Respondent</w:t>
            </w:r>
          </w:p>
          <w:p w:rsidR="005A2454" w:rsidRDefault="005A2454" w:rsidP="005650BD">
            <w:pPr>
              <w:pStyle w:val="NormalHeadings"/>
              <w:jc w:val="left"/>
            </w:pPr>
          </w:p>
          <w:p w:rsidR="005A2454" w:rsidRDefault="005A2454" w:rsidP="005A2454">
            <w:pPr>
              <w:pStyle w:val="NormalHeadings"/>
              <w:jc w:val="left"/>
            </w:pPr>
            <w:r>
              <w:t>MINISTER FOR IMMIGRATION, CITIZENSHIP, MIGRANT SERVICES AND MULTICULTURAL AFFAIRS</w:t>
            </w:r>
          </w:p>
          <w:p w:rsidR="005A2454" w:rsidRDefault="005A2454" w:rsidP="005A2454">
            <w:pPr>
              <w:pStyle w:val="PartyType"/>
            </w:pPr>
            <w:r>
              <w:t>Second Respondent</w:t>
            </w:r>
          </w:p>
          <w:bookmarkEnd w:id="14"/>
          <w:p w:rsidR="00A46CCC" w:rsidRPr="006555B4" w:rsidRDefault="00A46CCC" w:rsidP="005650BD">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A2454">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5A2454">
            <w:pPr>
              <w:pStyle w:val="NormalHeadings"/>
              <w:jc w:val="left"/>
              <w:rPr>
                <w:caps/>
                <w:szCs w:val="24"/>
              </w:rPr>
            </w:pPr>
            <w:bookmarkStart w:id="17" w:name="Judge"/>
            <w:r>
              <w:rPr>
                <w:caps/>
                <w:szCs w:val="24"/>
              </w:rPr>
              <w:t>FLICK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A2454">
            <w:pPr>
              <w:pStyle w:val="NormalHeadings"/>
              <w:jc w:val="left"/>
              <w:rPr>
                <w:caps/>
                <w:szCs w:val="24"/>
              </w:rPr>
            </w:pPr>
            <w:bookmarkStart w:id="18" w:name="Judgment_Dated"/>
            <w:r>
              <w:rPr>
                <w:caps/>
                <w:szCs w:val="24"/>
              </w:rPr>
              <w:t>2 JULY 2020</w:t>
            </w:r>
            <w:bookmarkEnd w:id="18"/>
          </w:p>
        </w:tc>
      </w:tr>
    </w:tbl>
    <w:p w:rsidR="00395B24" w:rsidRDefault="00395B24">
      <w:pPr>
        <w:pStyle w:val="NormalHeadings"/>
        <w:rPr>
          <w:b w:val="0"/>
        </w:rPr>
      </w:pPr>
    </w:p>
    <w:p w:rsidR="00A94945" w:rsidRPr="00A94945" w:rsidRDefault="00A94945" w:rsidP="00360C47">
      <w:pPr>
        <w:pStyle w:val="NormalHeadings"/>
      </w:pPr>
      <w:bookmarkStart w:id="19" w:name="Order_Start_Text"/>
      <w:bookmarkEnd w:id="19"/>
      <w:r w:rsidRPr="00A94945">
        <w:t>UPON THE APPLICATION OF THE FIRST RESPONDENT MADE ON 1 JULY 2020 AND WITH THE CONSENT OF THE APPLICANT, THE COURT NOTES:</w:t>
      </w:r>
    </w:p>
    <w:p w:rsidR="00A94945" w:rsidRPr="00A94945" w:rsidRDefault="00A94945" w:rsidP="00A94945">
      <w:pPr>
        <w:spacing w:line="240" w:lineRule="auto"/>
        <w:jc w:val="left"/>
        <w:rPr>
          <w:rFonts w:eastAsia="Calibri"/>
          <w:szCs w:val="24"/>
        </w:rPr>
      </w:pPr>
    </w:p>
    <w:p w:rsidR="00A94945" w:rsidRPr="00A94945" w:rsidRDefault="00360C47" w:rsidP="00360C47">
      <w:pPr>
        <w:pStyle w:val="ListNo1"/>
        <w:numPr>
          <w:ilvl w:val="0"/>
          <w:numId w:val="0"/>
        </w:numPr>
        <w:ind w:left="720" w:hanging="720"/>
      </w:pPr>
      <w:r>
        <w:t>1.</w:t>
      </w:r>
      <w:r>
        <w:tab/>
      </w:r>
      <w:r w:rsidR="00A94945" w:rsidRPr="00A94945">
        <w:t>The assurance of the First Respondent that the orders as sought to be varied permit adequate time in which proper and adequate consideration can be given to the application made by the Applicant for a Safe Haven Enterprise (Class XE) Visa (the “Applicant’s Visa Application”).</w:t>
      </w:r>
    </w:p>
    <w:p w:rsidR="00A94945" w:rsidRPr="00A94945" w:rsidRDefault="00A94945" w:rsidP="00A94945">
      <w:pPr>
        <w:spacing w:line="240" w:lineRule="auto"/>
        <w:jc w:val="left"/>
        <w:rPr>
          <w:rFonts w:eastAsia="Calibri"/>
          <w:szCs w:val="24"/>
        </w:rPr>
      </w:pPr>
    </w:p>
    <w:p w:rsidR="00A94945" w:rsidRPr="00A94945" w:rsidRDefault="00A94945" w:rsidP="00360C47">
      <w:pPr>
        <w:pStyle w:val="NormalHeadings"/>
      </w:pPr>
      <w:r w:rsidRPr="00A94945">
        <w:t>AND THE COURT ORDERS THAT:</w:t>
      </w:r>
    </w:p>
    <w:p w:rsidR="00A94945" w:rsidRPr="00A94945" w:rsidRDefault="00A94945" w:rsidP="00A94945">
      <w:pPr>
        <w:spacing w:line="240" w:lineRule="auto"/>
        <w:jc w:val="left"/>
        <w:rPr>
          <w:rFonts w:eastAsia="Calibri"/>
          <w:b/>
          <w:bCs/>
          <w:szCs w:val="24"/>
        </w:rPr>
      </w:pPr>
    </w:p>
    <w:p w:rsidR="00A94945" w:rsidRPr="00A94945" w:rsidRDefault="00A94945" w:rsidP="00A94945">
      <w:pPr>
        <w:pStyle w:val="Order1"/>
        <w:numPr>
          <w:ilvl w:val="0"/>
          <w:numId w:val="45"/>
        </w:numPr>
        <w:rPr>
          <w:szCs w:val="24"/>
        </w:rPr>
      </w:pPr>
      <w:r w:rsidRPr="00A94945">
        <w:rPr>
          <w:i/>
          <w:szCs w:val="24"/>
        </w:rPr>
        <w:t>Order</w:t>
      </w:r>
      <w:r w:rsidRPr="00A94945">
        <w:rPr>
          <w:szCs w:val="24"/>
        </w:rPr>
        <w:t xml:space="preserve"> 1 as made on 17 June 2020 and as varied on 24 June 2020 is further varied as follows:</w:t>
      </w:r>
    </w:p>
    <w:p w:rsidR="00A94945" w:rsidRPr="00C21026" w:rsidRDefault="00A94945" w:rsidP="00A94945">
      <w:pPr>
        <w:pStyle w:val="Order1"/>
        <w:numPr>
          <w:ilvl w:val="0"/>
          <w:numId w:val="0"/>
        </w:numPr>
        <w:ind w:left="720"/>
        <w:rPr>
          <w:i/>
          <w:szCs w:val="24"/>
        </w:rPr>
      </w:pPr>
      <w:r w:rsidRPr="00A94945">
        <w:rPr>
          <w:szCs w:val="24"/>
        </w:rPr>
        <w:t>“</w:t>
      </w:r>
      <w:r w:rsidRPr="00C21026">
        <w:rPr>
          <w:i/>
          <w:szCs w:val="24"/>
        </w:rPr>
        <w:t>On or before midday on 3 July 2020, the First Respondent is to either:</w:t>
      </w:r>
    </w:p>
    <w:p w:rsidR="00A94945" w:rsidRPr="00C21026" w:rsidRDefault="00A94945" w:rsidP="00A94945">
      <w:pPr>
        <w:pStyle w:val="Order2"/>
        <w:rPr>
          <w:i/>
        </w:rPr>
      </w:pPr>
      <w:r w:rsidRPr="00C21026">
        <w:rPr>
          <w:i/>
        </w:rPr>
        <w:t>personally make a decision in respect to the Applicant’s Visa Application; or</w:t>
      </w:r>
    </w:p>
    <w:p w:rsidR="00A94945" w:rsidRPr="00A94945" w:rsidRDefault="00A94945" w:rsidP="00A94945">
      <w:pPr>
        <w:pStyle w:val="Order2"/>
      </w:pPr>
      <w:r w:rsidRPr="00C21026">
        <w:rPr>
          <w:i/>
        </w:rPr>
        <w:t xml:space="preserve">ensure that a </w:t>
      </w:r>
      <w:bookmarkStart w:id="20" w:name="_GoBack"/>
      <w:bookmarkEnd w:id="20"/>
      <w:r w:rsidRPr="00C21026">
        <w:rPr>
          <w:i/>
        </w:rPr>
        <w:t>decision in respect to the Applicant’s Visa Application is made by another portfolio Minister or a lawfully authorised delegate.</w:t>
      </w:r>
      <w:r w:rsidRPr="00A94945">
        <w:t>”</w:t>
      </w:r>
    </w:p>
    <w:p w:rsidR="00395B24" w:rsidRPr="00545BE3" w:rsidRDefault="00A94945" w:rsidP="00545BE3">
      <w:pPr>
        <w:pStyle w:val="Order1"/>
        <w:rPr>
          <w:szCs w:val="24"/>
        </w:rPr>
      </w:pPr>
      <w:r w:rsidRPr="00545BE3">
        <w:rPr>
          <w:szCs w:val="24"/>
        </w:rPr>
        <w:t xml:space="preserve">Nothing in </w:t>
      </w:r>
      <w:r w:rsidRPr="00545BE3">
        <w:rPr>
          <w:i/>
          <w:szCs w:val="24"/>
        </w:rPr>
        <w:t>Order</w:t>
      </w:r>
      <w:r w:rsidRPr="00545BE3">
        <w:rPr>
          <w:szCs w:val="24"/>
        </w:rPr>
        <w:t xml:space="preserve"> 1 removes the personal responsibility of the First Respondent to ensure that a decision is made in respect to the Applicant’s Visa Application by midday on 3 July 2020.</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6D563A" w:rsidP="005E0510">
      <w:pPr>
        <w:pStyle w:val="NormalHeadings"/>
        <w:spacing w:line="360" w:lineRule="auto"/>
        <w:jc w:val="left"/>
        <w:rPr>
          <w:sz w:val="26"/>
          <w:szCs w:val="26"/>
        </w:rPr>
      </w:pPr>
      <w:r>
        <w:rPr>
          <w:sz w:val="26"/>
          <w:szCs w:val="26"/>
        </w:rPr>
        <w:t>FLICK J:</w:t>
      </w:r>
    </w:p>
    <w:p w:rsidR="00806623" w:rsidRDefault="0066663A" w:rsidP="005A2454">
      <w:pPr>
        <w:pStyle w:val="ParaNumbering"/>
      </w:pPr>
      <w:r>
        <w:t xml:space="preserve">This is yet a further decision made in this proceeding by the Court as presently constituted. </w:t>
      </w:r>
      <w:r w:rsidR="005A2454">
        <w:t xml:space="preserve"> </w:t>
      </w:r>
      <w:r>
        <w:t xml:space="preserve">The proceeding focusses upon an application first made by the Applicant </w:t>
      </w:r>
      <w:r w:rsidR="00776F62">
        <w:t xml:space="preserve">in December 2016 </w:t>
      </w:r>
      <w:r>
        <w:t>for a protection visa</w:t>
      </w:r>
      <w:r w:rsidR="00776F62">
        <w:t xml:space="preserve">.  </w:t>
      </w:r>
    </w:p>
    <w:p w:rsidR="0066663A" w:rsidRDefault="006B17C0" w:rsidP="005650BD">
      <w:pPr>
        <w:pStyle w:val="ParaNumbering"/>
      </w:pPr>
      <w:r>
        <w:t xml:space="preserve">The present application is again one seeking a variation of orders previously made. </w:t>
      </w:r>
    </w:p>
    <w:p w:rsidR="0066663A" w:rsidRDefault="0066663A" w:rsidP="005650BD">
      <w:pPr>
        <w:pStyle w:val="ParaNumbering"/>
      </w:pPr>
      <w:r>
        <w:t>In very summary form, the three earlier decision</w:t>
      </w:r>
      <w:r w:rsidR="00776F62">
        <w:t>s</w:t>
      </w:r>
      <w:r>
        <w:t xml:space="preserve"> </w:t>
      </w:r>
      <w:r w:rsidR="0061387B">
        <w:t xml:space="preserve">which </w:t>
      </w:r>
      <w:r>
        <w:t>have been made by the Court as presently constituted</w:t>
      </w:r>
      <w:r w:rsidR="0061387B">
        <w:t xml:space="preserve"> are</w:t>
      </w:r>
      <w:r>
        <w:t>:</w:t>
      </w:r>
    </w:p>
    <w:p w:rsidR="00BA0134" w:rsidRDefault="0066663A" w:rsidP="005A2454">
      <w:pPr>
        <w:pStyle w:val="FCBullets"/>
      </w:pPr>
      <w:r>
        <w:t xml:space="preserve">a decision made on 10 June 2020 requiring the </w:t>
      </w:r>
      <w:r w:rsidR="00776F62">
        <w:t xml:space="preserve">First Respondent, the Minister for Home Affairs, </w:t>
      </w:r>
      <w:r>
        <w:t>to make a decision “</w:t>
      </w:r>
      <w:r w:rsidRPr="0066663A">
        <w:rPr>
          <w:i/>
        </w:rPr>
        <w:t>within a reasonable time</w:t>
      </w:r>
      <w:r>
        <w:t>”</w:t>
      </w:r>
      <w:r w:rsidR="00BA0134">
        <w:t>:</w:t>
      </w:r>
      <w:r w:rsidR="005A2454">
        <w:t xml:space="preserve"> </w:t>
      </w:r>
      <w:r w:rsidR="00BA0134">
        <w:t xml:space="preserve"> </w:t>
      </w:r>
      <w:r w:rsidR="00BA0134" w:rsidRPr="00BA0134">
        <w:rPr>
          <w:i/>
        </w:rPr>
        <w:t>AFX17 v Minister for Home Affairs</w:t>
      </w:r>
      <w:r w:rsidR="00BA0134">
        <w:rPr>
          <w:i/>
        </w:rPr>
        <w:t xml:space="preserve"> </w:t>
      </w:r>
      <w:r w:rsidR="00BA0134">
        <w:t>[2020] FCA 807</w:t>
      </w:r>
      <w:r w:rsidR="00322B6B">
        <w:t xml:space="preserve">; </w:t>
      </w:r>
    </w:p>
    <w:p w:rsidR="0066663A" w:rsidRDefault="0066663A" w:rsidP="005A2454">
      <w:pPr>
        <w:pStyle w:val="FCBullets"/>
      </w:pPr>
      <w:r>
        <w:t>a decision made on 17 June 2020 requiring the Minister to make a decision on or before 4.00pm on 26 June 2020</w:t>
      </w:r>
      <w:r w:rsidR="00BA0134">
        <w:t>:</w:t>
      </w:r>
      <w:r w:rsidR="005A2454">
        <w:t xml:space="preserve"> </w:t>
      </w:r>
      <w:r w:rsidR="00BA0134">
        <w:t xml:space="preserve"> </w:t>
      </w:r>
      <w:r w:rsidR="00BA0134" w:rsidRPr="00BA0134">
        <w:rPr>
          <w:i/>
        </w:rPr>
        <w:t>AFX17 v Minister for Home Affairs (No 2)</w:t>
      </w:r>
      <w:r w:rsidR="00BA0134">
        <w:t xml:space="preserve"> [2020] FCA 858; </w:t>
      </w:r>
      <w:r>
        <w:t xml:space="preserve">and </w:t>
      </w:r>
    </w:p>
    <w:p w:rsidR="0066663A" w:rsidRDefault="0066663A" w:rsidP="005A2454">
      <w:pPr>
        <w:pStyle w:val="FCBullets"/>
      </w:pPr>
      <w:r>
        <w:t xml:space="preserve">a decision made on </w:t>
      </w:r>
      <w:r w:rsidR="00BA0134">
        <w:t xml:space="preserve">24 June 2020 </w:t>
      </w:r>
      <w:r>
        <w:t>varying the order previously made and extending the time within which a decision was to be made by the Minister to midday on 3 July 2020</w:t>
      </w:r>
      <w:r w:rsidR="00BA0134">
        <w:t>:</w:t>
      </w:r>
      <w:r w:rsidR="005A2454">
        <w:t xml:space="preserve"> </w:t>
      </w:r>
      <w:r w:rsidR="00BA0134">
        <w:t xml:space="preserve"> </w:t>
      </w:r>
      <w:r w:rsidR="00BA0134" w:rsidRPr="00BA0134">
        <w:rPr>
          <w:i/>
        </w:rPr>
        <w:t>AFX17 v Minister for Home Aff</w:t>
      </w:r>
      <w:r w:rsidR="005A2454">
        <w:rPr>
          <w:i/>
        </w:rPr>
        <w:t>airs (No 3)</w:t>
      </w:r>
      <w:r w:rsidR="00BA0134">
        <w:t xml:space="preserve"> [2020] FCA 890</w:t>
      </w:r>
      <w:r>
        <w:t>.</w:t>
      </w:r>
    </w:p>
    <w:p w:rsidR="00776F62" w:rsidRDefault="00036149" w:rsidP="005A2454">
      <w:pPr>
        <w:pStyle w:val="NoNum"/>
      </w:pPr>
      <w:r>
        <w:t xml:space="preserve">The occasion for the last variation of the orders was the decision of the Full Court of this Court on </w:t>
      </w:r>
      <w:r w:rsidR="006B17C0">
        <w:t xml:space="preserve">23 June 2020 </w:t>
      </w:r>
      <w:r>
        <w:t xml:space="preserve">in </w:t>
      </w:r>
      <w:r w:rsidRPr="00036149">
        <w:rPr>
          <w:i/>
        </w:rPr>
        <w:t>KDSP</w:t>
      </w:r>
      <w:r w:rsidR="00BA0134">
        <w:rPr>
          <w:i/>
        </w:rPr>
        <w:t xml:space="preserve"> v Minister for Immigration, Citizenship, Migrant Services and</w:t>
      </w:r>
      <w:r w:rsidR="006B17C0">
        <w:rPr>
          <w:i/>
        </w:rPr>
        <w:t xml:space="preserve"> </w:t>
      </w:r>
      <w:r w:rsidR="005A2454">
        <w:rPr>
          <w:i/>
        </w:rPr>
        <w:t>Multicultural Affairs</w:t>
      </w:r>
      <w:r w:rsidR="00BA0134">
        <w:rPr>
          <w:i/>
        </w:rPr>
        <w:t xml:space="preserve"> </w:t>
      </w:r>
      <w:r w:rsidR="00BA0134">
        <w:t>[2020] FCAF</w:t>
      </w:r>
      <w:r w:rsidR="00001CAD">
        <w:t>C</w:t>
      </w:r>
      <w:r w:rsidR="00BA0134">
        <w:t xml:space="preserve"> 108</w:t>
      </w:r>
      <w:r w:rsidR="001D1719">
        <w:t xml:space="preserve"> (“</w:t>
      </w:r>
      <w:r w:rsidR="001D1719">
        <w:rPr>
          <w:i/>
        </w:rPr>
        <w:t>KDSP</w:t>
      </w:r>
      <w:r w:rsidR="001D1719">
        <w:t>”)</w:t>
      </w:r>
      <w:r>
        <w:t>.</w:t>
      </w:r>
      <w:r w:rsidR="005A2454">
        <w:t xml:space="preserve"> </w:t>
      </w:r>
      <w:r>
        <w:t xml:space="preserve"> Given the change in the law effected by that decision, </w:t>
      </w:r>
      <w:r w:rsidR="006B17C0">
        <w:t xml:space="preserve">a change which went to part of the reasoning in the decisions made on 10 and 17 June 2020, </w:t>
      </w:r>
      <w:r>
        <w:t xml:space="preserve">it was manifestly appropriate to grant the Minister further time in which to assess the reasoning of the Full Court and thereafter make a decision. </w:t>
      </w:r>
      <w:r w:rsidR="005A2454">
        <w:t xml:space="preserve"> </w:t>
      </w:r>
      <w:r w:rsidR="00776F62">
        <w:t>An appeal from the decision made on 10 June 2020</w:t>
      </w:r>
      <w:r w:rsidR="00322B6B">
        <w:t>, it may be noted,</w:t>
      </w:r>
      <w:r w:rsidR="00776F62">
        <w:t xml:space="preserve"> was filed on </w:t>
      </w:r>
      <w:r w:rsidR="00E21E45">
        <w:t>12 June 2</w:t>
      </w:r>
      <w:r w:rsidR="006C3A43">
        <w:t>020</w:t>
      </w:r>
      <w:r w:rsidR="00E21E45">
        <w:t xml:space="preserve">.  </w:t>
      </w:r>
      <w:r w:rsidR="00776F62">
        <w:t xml:space="preserve">An application made to another Judge of this Court on </w:t>
      </w:r>
      <w:r w:rsidR="00E21E45">
        <w:t>18 June 2020</w:t>
      </w:r>
      <w:r w:rsidR="00776F62">
        <w:t xml:space="preserve"> to </w:t>
      </w:r>
      <w:r w:rsidR="00322B6B">
        <w:t>(</w:t>
      </w:r>
      <w:r w:rsidR="00322B6B" w:rsidRPr="00322B6B">
        <w:rPr>
          <w:i/>
        </w:rPr>
        <w:t>inter alia</w:t>
      </w:r>
      <w:r w:rsidR="00322B6B">
        <w:t xml:space="preserve">) </w:t>
      </w:r>
      <w:r w:rsidR="00D86040">
        <w:t xml:space="preserve">extend the time for compliance </w:t>
      </w:r>
      <w:r w:rsidR="00776F62">
        <w:t xml:space="preserve">was </w:t>
      </w:r>
      <w:r w:rsidR="00D86040">
        <w:t>refused</w:t>
      </w:r>
      <w:r w:rsidR="00E21E45">
        <w:t xml:space="preserve">: </w:t>
      </w:r>
      <w:r w:rsidR="005A2454">
        <w:t xml:space="preserve"> </w:t>
      </w:r>
      <w:r w:rsidR="00E21E45" w:rsidRPr="00E21E45">
        <w:rPr>
          <w:i/>
        </w:rPr>
        <w:t>Minister for Home Affairs v AFX17</w:t>
      </w:r>
      <w:r w:rsidR="00E21E45" w:rsidRPr="00E21E45">
        <w:t xml:space="preserve"> [2020] FCA 903</w:t>
      </w:r>
      <w:r w:rsidR="00E21E45">
        <w:t>.</w:t>
      </w:r>
    </w:p>
    <w:p w:rsidR="005A2454" w:rsidRDefault="006B17C0" w:rsidP="0061387B">
      <w:pPr>
        <w:pStyle w:val="ParaNumbering"/>
      </w:pPr>
      <w:r>
        <w:t>Relevantly, however, for present purposes, i</w:t>
      </w:r>
      <w:r w:rsidR="0061387B">
        <w:t xml:space="preserve">ntervening between the first and second of these decisions was an email communication forwarded on behalf of the </w:t>
      </w:r>
      <w:r w:rsidR="00036149">
        <w:t xml:space="preserve">Minister </w:t>
      </w:r>
      <w:r w:rsidR="0061387B">
        <w:t>stating as follows:</w:t>
      </w:r>
    </w:p>
    <w:p w:rsidR="005A2454" w:rsidRDefault="005A2454" w:rsidP="005A2454">
      <w:pPr>
        <w:pStyle w:val="Quote1"/>
        <w:spacing w:after="360"/>
        <w:rPr>
          <w:sz w:val="20"/>
        </w:rPr>
      </w:pPr>
      <w:r w:rsidRPr="005A2454">
        <w:rPr>
          <w:sz w:val="20"/>
        </w:rPr>
        <w:t>As the Minister has now appealed the judgment of Justice Flick, no decision will be made on your client’s visa application pending the outcome of the appeal. Th</w:t>
      </w:r>
      <w:r w:rsidR="00143645">
        <w:rPr>
          <w:sz w:val="20"/>
        </w:rPr>
        <w:t>e Minister’s position is that s </w:t>
      </w:r>
      <w:r w:rsidRPr="005A2454">
        <w:rPr>
          <w:sz w:val="20"/>
        </w:rPr>
        <w:t xml:space="preserve">501A is an available power in relation to your client’s visa application and that Justice Flick </w:t>
      </w:r>
      <w:r w:rsidRPr="005A2454">
        <w:rPr>
          <w:sz w:val="20"/>
        </w:rPr>
        <w:lastRenderedPageBreak/>
        <w:t>was in error in finding that the delay in making such a decision was unreasonable and that s</w:t>
      </w:r>
      <w:r w:rsidR="00143645">
        <w:rPr>
          <w:sz w:val="20"/>
        </w:rPr>
        <w:t> </w:t>
      </w:r>
      <w:r w:rsidRPr="005A2454">
        <w:rPr>
          <w:sz w:val="20"/>
        </w:rPr>
        <w:t>501A was not an available power in the circumstances of this matter. Any decision made prior to the resolution of the appeal as to whether BAL19 was wrongly decided would render the appeal moot.</w:t>
      </w:r>
    </w:p>
    <w:p w:rsidR="0061387B" w:rsidRDefault="0061387B" w:rsidP="005A2454">
      <w:pPr>
        <w:pStyle w:val="NoNum"/>
      </w:pPr>
      <w:r>
        <w:t xml:space="preserve">It was that email which occasioned the necessity to make an order </w:t>
      </w:r>
      <w:r w:rsidR="00036149">
        <w:t xml:space="preserve">both </w:t>
      </w:r>
      <w:r>
        <w:t xml:space="preserve">requiring the </w:t>
      </w:r>
      <w:r w:rsidR="00036149">
        <w:t xml:space="preserve">Minister </w:t>
      </w:r>
      <w:r>
        <w:t xml:space="preserve">to make a decision and </w:t>
      </w:r>
      <w:r w:rsidR="00036149">
        <w:t xml:space="preserve">imposing </w:t>
      </w:r>
      <w:r>
        <w:t>a time by which the decision was to be made.</w:t>
      </w:r>
      <w:r w:rsidR="005A2454">
        <w:t xml:space="preserve"> </w:t>
      </w:r>
      <w:r>
        <w:t xml:space="preserve"> In the absence of such an order being made, the email communication was readily suscep</w:t>
      </w:r>
      <w:r w:rsidR="005A2454">
        <w:t>tible of conveying the meaning:</w:t>
      </w:r>
      <w:r>
        <w:t xml:space="preserve"> </w:t>
      </w:r>
    </w:p>
    <w:p w:rsidR="0061387B" w:rsidRPr="00036149" w:rsidRDefault="005A2454" w:rsidP="005A2454">
      <w:pPr>
        <w:pStyle w:val="Quote1"/>
        <w:spacing w:after="360"/>
        <w:rPr>
          <w:sz w:val="20"/>
        </w:rPr>
      </w:pPr>
      <w:r>
        <w:rPr>
          <w:sz w:val="20"/>
        </w:rPr>
        <w:t>In the absence of an order compelling me to do so, I am not going to comply with the law.</w:t>
      </w:r>
    </w:p>
    <w:p w:rsidR="00DE7371" w:rsidRDefault="0061387B" w:rsidP="0061387B">
      <w:pPr>
        <w:pStyle w:val="ParaNumbering"/>
      </w:pPr>
      <w:r>
        <w:t xml:space="preserve">The matter now before the Court is a further application made by the </w:t>
      </w:r>
      <w:r w:rsidR="00036149">
        <w:t xml:space="preserve">Minister </w:t>
      </w:r>
      <w:r>
        <w:t>to vary the order made on 17 June</w:t>
      </w:r>
      <w:r w:rsidR="005A2454">
        <w:t xml:space="preserve"> </w:t>
      </w:r>
      <w:r>
        <w:t xml:space="preserve">and as varied on </w:t>
      </w:r>
      <w:r w:rsidR="00806623">
        <w:t>24 June 2020.</w:t>
      </w:r>
      <w:r>
        <w:t xml:space="preserve"> </w:t>
      </w:r>
      <w:r w:rsidR="005A2454">
        <w:t xml:space="preserve"> </w:t>
      </w:r>
      <w:r w:rsidR="00036149">
        <w:t xml:space="preserve">Why such an application was made </w:t>
      </w:r>
      <w:r w:rsidR="001D1719">
        <w:t xml:space="preserve">fewer </w:t>
      </w:r>
      <w:r w:rsidR="00036149">
        <w:t xml:space="preserve">than two days prior to the time for compliance with the order, and some three weeks after </w:t>
      </w:r>
      <w:r w:rsidR="00806623">
        <w:t xml:space="preserve">the order as first made on 10 June 2020, was not satisfactorily explained. </w:t>
      </w:r>
      <w:r w:rsidR="005A2454">
        <w:t xml:space="preserve"> </w:t>
      </w:r>
      <w:r>
        <w:t>Th</w:t>
      </w:r>
      <w:r w:rsidR="00806623">
        <w:t xml:space="preserve">e present </w:t>
      </w:r>
      <w:r>
        <w:t xml:space="preserve">application was </w:t>
      </w:r>
      <w:r w:rsidR="00806623">
        <w:t xml:space="preserve">nevertheless </w:t>
      </w:r>
      <w:r>
        <w:t xml:space="preserve">again preceded by </w:t>
      </w:r>
      <w:r w:rsidR="00322B6B">
        <w:t xml:space="preserve">an </w:t>
      </w:r>
      <w:r>
        <w:t>email communication</w:t>
      </w:r>
      <w:r w:rsidR="00806623">
        <w:t xml:space="preserve"> forwarded on 1 July 2020. </w:t>
      </w:r>
      <w:r w:rsidR="005A2454">
        <w:t xml:space="preserve"> </w:t>
      </w:r>
      <w:r w:rsidR="00806623">
        <w:t xml:space="preserve">The email </w:t>
      </w:r>
      <w:r w:rsidR="00BA0134">
        <w:t xml:space="preserve">referred to the fact that since the decision </w:t>
      </w:r>
      <w:r w:rsidR="001D1719">
        <w:t xml:space="preserve">of the Full Court </w:t>
      </w:r>
      <w:r w:rsidR="00BA0134">
        <w:t xml:space="preserve">in </w:t>
      </w:r>
      <w:r w:rsidR="00BA0134" w:rsidRPr="00BA0134">
        <w:rPr>
          <w:i/>
        </w:rPr>
        <w:t>KDSP</w:t>
      </w:r>
      <w:r w:rsidR="001D1719">
        <w:rPr>
          <w:i/>
        </w:rPr>
        <w:t>,</w:t>
      </w:r>
      <w:r w:rsidR="00BA0134">
        <w:t xml:space="preserve"> </w:t>
      </w:r>
      <w:r w:rsidR="00806623">
        <w:t>s</w:t>
      </w:r>
      <w:r w:rsidR="005A2454">
        <w:t> </w:t>
      </w:r>
      <w:r w:rsidR="00806623">
        <w:t xml:space="preserve">501A of the </w:t>
      </w:r>
      <w:r w:rsidR="00806623" w:rsidRPr="00806623">
        <w:rPr>
          <w:i/>
        </w:rPr>
        <w:t>Migration Act</w:t>
      </w:r>
      <w:r w:rsidR="00806623">
        <w:t xml:space="preserve"> </w:t>
      </w:r>
      <w:r w:rsidR="00806623" w:rsidRPr="00DE7371">
        <w:rPr>
          <w:i/>
        </w:rPr>
        <w:t>1958</w:t>
      </w:r>
      <w:r w:rsidR="00806623">
        <w:t xml:space="preserve"> (</w:t>
      </w:r>
      <w:proofErr w:type="spellStart"/>
      <w:r w:rsidR="00806623">
        <w:t>Cth</w:t>
      </w:r>
      <w:proofErr w:type="spellEnd"/>
      <w:r w:rsidR="00806623">
        <w:t xml:space="preserve">) </w:t>
      </w:r>
      <w:r w:rsidR="00322B6B">
        <w:t xml:space="preserve">became </w:t>
      </w:r>
      <w:r w:rsidR="00BA0134">
        <w:t xml:space="preserve">a source of power </w:t>
      </w:r>
      <w:r w:rsidR="00322B6B">
        <w:t>availa</w:t>
      </w:r>
      <w:r w:rsidR="005F2573">
        <w:t xml:space="preserve">ble </w:t>
      </w:r>
      <w:r w:rsidR="00BA0134">
        <w:t xml:space="preserve">to the Minister </w:t>
      </w:r>
      <w:r w:rsidR="005F2573">
        <w:t>and that the exercise of that power was “</w:t>
      </w:r>
      <w:r w:rsidR="005F2573" w:rsidRPr="005F2573">
        <w:rPr>
          <w:i/>
        </w:rPr>
        <w:t>non-compellable</w:t>
      </w:r>
      <w:r w:rsidR="005F2573">
        <w:t>”.</w:t>
      </w:r>
      <w:r w:rsidR="008A2511">
        <w:t xml:space="preserve"> </w:t>
      </w:r>
      <w:r w:rsidR="005F2573">
        <w:t xml:space="preserve"> The email </w:t>
      </w:r>
      <w:r w:rsidR="00BA0134">
        <w:t xml:space="preserve">went on to </w:t>
      </w:r>
      <w:r w:rsidR="00517042">
        <w:t>state in part as follows</w:t>
      </w:r>
      <w:r>
        <w:t>:</w:t>
      </w:r>
    </w:p>
    <w:p w:rsidR="0061387B" w:rsidRDefault="00DE7371" w:rsidP="00DE7371">
      <w:pPr>
        <w:pStyle w:val="Quote1"/>
        <w:spacing w:after="360"/>
        <w:rPr>
          <w:sz w:val="20"/>
        </w:rPr>
      </w:pPr>
      <w:r w:rsidRPr="00DE7371">
        <w:rPr>
          <w:sz w:val="20"/>
        </w:rPr>
        <w:t xml:space="preserve">… We have also been advised that the Minister for Home Affairs is not available to make any such decision personally within the timeframe, and therefore request that the order reflect </w:t>
      </w:r>
      <w:r w:rsidR="001D1719">
        <w:rPr>
          <w:sz w:val="20"/>
        </w:rPr>
        <w:t xml:space="preserve">that </w:t>
      </w:r>
      <w:r w:rsidRPr="00DE7371">
        <w:rPr>
          <w:sz w:val="20"/>
        </w:rPr>
        <w:t>such a decision may ultimately be made by any portfolio Minister</w:t>
      </w:r>
      <w:r>
        <w:rPr>
          <w:sz w:val="20"/>
        </w:rPr>
        <w:t xml:space="preserve"> </w:t>
      </w:r>
      <w:r w:rsidRPr="00DE7371">
        <w:rPr>
          <w:sz w:val="20"/>
        </w:rPr>
        <w:t>…</w:t>
      </w:r>
    </w:p>
    <w:p w:rsidR="00DE7371" w:rsidRDefault="0061387B" w:rsidP="00DE7371">
      <w:pPr>
        <w:pStyle w:val="NoNum"/>
      </w:pPr>
      <w:r>
        <w:t>That communication was readily susceptible of conveying the meaning:</w:t>
      </w:r>
    </w:p>
    <w:p w:rsidR="00DE7371" w:rsidRDefault="00DE7371" w:rsidP="00DE7371">
      <w:pPr>
        <w:pStyle w:val="Quote1"/>
        <w:spacing w:after="360"/>
        <w:rPr>
          <w:sz w:val="20"/>
        </w:rPr>
      </w:pPr>
      <w:r w:rsidRPr="00DE7371">
        <w:rPr>
          <w:sz w:val="20"/>
        </w:rPr>
        <w:t xml:space="preserve">Even though the liberty of a person is at stake and even though now ordered to do so, I am personally </w:t>
      </w:r>
      <w:r w:rsidR="00D86040">
        <w:rPr>
          <w:sz w:val="20"/>
        </w:rPr>
        <w:t>“</w:t>
      </w:r>
      <w:r w:rsidR="00D86040" w:rsidRPr="00AF649F">
        <w:rPr>
          <w:i/>
          <w:sz w:val="20"/>
        </w:rPr>
        <w:t>not available</w:t>
      </w:r>
      <w:r w:rsidR="00D86040">
        <w:rPr>
          <w:sz w:val="20"/>
        </w:rPr>
        <w:t xml:space="preserve">” to </w:t>
      </w:r>
      <w:r w:rsidRPr="00DE7371">
        <w:rPr>
          <w:sz w:val="20"/>
        </w:rPr>
        <w:t>comply with the law.</w:t>
      </w:r>
    </w:p>
    <w:p w:rsidR="00517042" w:rsidRDefault="00517042" w:rsidP="00DE7371">
      <w:pPr>
        <w:pStyle w:val="NoNum"/>
      </w:pPr>
      <w:r>
        <w:t>Why the Minister was “</w:t>
      </w:r>
      <w:r w:rsidRPr="00517042">
        <w:rPr>
          <w:i/>
        </w:rPr>
        <w:t>not available</w:t>
      </w:r>
      <w:r>
        <w:t xml:space="preserve">” </w:t>
      </w:r>
      <w:r w:rsidR="005F2573">
        <w:t>and when he first became “</w:t>
      </w:r>
      <w:r w:rsidR="005F2573" w:rsidRPr="005F2573">
        <w:rPr>
          <w:i/>
        </w:rPr>
        <w:t>not available</w:t>
      </w:r>
      <w:r w:rsidR="005F2573">
        <w:t xml:space="preserve">” </w:t>
      </w:r>
      <w:r>
        <w:t xml:space="preserve">was not further </w:t>
      </w:r>
      <w:r w:rsidR="00D86040">
        <w:t xml:space="preserve">satisfactorily </w:t>
      </w:r>
      <w:r>
        <w:t>explained.</w:t>
      </w:r>
      <w:r w:rsidR="00DE7371">
        <w:t xml:space="preserve"> </w:t>
      </w:r>
      <w:r>
        <w:t xml:space="preserve"> What the Minister ha</w:t>
      </w:r>
      <w:r w:rsidR="005F2573">
        <w:t>d</w:t>
      </w:r>
      <w:r w:rsidR="00D86040">
        <w:t xml:space="preserve"> </w:t>
      </w:r>
      <w:r>
        <w:t xml:space="preserve">been doing in respect to </w:t>
      </w:r>
      <w:r w:rsidR="005F2573">
        <w:t xml:space="preserve">the </w:t>
      </w:r>
      <w:r>
        <w:t xml:space="preserve">making </w:t>
      </w:r>
      <w:r w:rsidR="00322B6B">
        <w:t xml:space="preserve">of </w:t>
      </w:r>
      <w:r>
        <w:t xml:space="preserve">a decision in respect to the Applicant </w:t>
      </w:r>
      <w:r w:rsidR="00BA0134">
        <w:t xml:space="preserve">for </w:t>
      </w:r>
      <w:r w:rsidR="005F2573">
        <w:t xml:space="preserve">at least </w:t>
      </w:r>
      <w:r w:rsidR="00BA0134">
        <w:t xml:space="preserve">the last two weeks and since </w:t>
      </w:r>
      <w:r w:rsidR="004303FB">
        <w:t xml:space="preserve">10 June </w:t>
      </w:r>
      <w:r w:rsidR="00BA0134">
        <w:t xml:space="preserve">2020 </w:t>
      </w:r>
      <w:r>
        <w:t xml:space="preserve">was also not </w:t>
      </w:r>
      <w:r w:rsidR="00D86040">
        <w:t xml:space="preserve">satisfactorily </w:t>
      </w:r>
      <w:r>
        <w:t xml:space="preserve">explained.  </w:t>
      </w:r>
      <w:r w:rsidR="00B06317">
        <w:t>Why the Minister ha</w:t>
      </w:r>
      <w:r w:rsidR="00D86040">
        <w:t>s</w:t>
      </w:r>
      <w:r w:rsidR="00B06317">
        <w:t xml:space="preserve"> not given some priority to the making of a decision affecting the liberty of the Applicant was also not satisfactorily explained.</w:t>
      </w:r>
      <w:r w:rsidR="00DE7371">
        <w:t xml:space="preserve"> </w:t>
      </w:r>
      <w:r w:rsidR="00B06317">
        <w:t xml:space="preserve"> He conten</w:t>
      </w:r>
      <w:r w:rsidR="00D86040">
        <w:t>t</w:t>
      </w:r>
      <w:r w:rsidR="00B06317">
        <w:t xml:space="preserve">ed himself with the explanation: </w:t>
      </w:r>
      <w:r w:rsidR="00DE7371">
        <w:t xml:space="preserve"> </w:t>
      </w:r>
      <w:r w:rsidR="00B06317">
        <w:t>“</w:t>
      </w:r>
      <w:r w:rsidR="00B06317" w:rsidRPr="00B06317">
        <w:rPr>
          <w:i/>
        </w:rPr>
        <w:t>I am not available</w:t>
      </w:r>
      <w:r w:rsidR="00B06317">
        <w:t>”.</w:t>
      </w:r>
      <w:r w:rsidR="00D86040">
        <w:t xml:space="preserve">  As explained on his behalf</w:t>
      </w:r>
      <w:r w:rsidR="004303FB">
        <w:t xml:space="preserve"> during oral submissions this morning</w:t>
      </w:r>
      <w:r w:rsidR="00D86040">
        <w:t>, it would seem to be the case that he is “</w:t>
      </w:r>
      <w:r w:rsidR="00D86040" w:rsidRPr="00D86040">
        <w:rPr>
          <w:i/>
        </w:rPr>
        <w:t>not available</w:t>
      </w:r>
      <w:r w:rsidR="00D86040">
        <w:t xml:space="preserve">” because he is </w:t>
      </w:r>
      <w:r w:rsidR="00322B6B">
        <w:t xml:space="preserve">(presumably) </w:t>
      </w:r>
      <w:r w:rsidR="00D86040">
        <w:t>on holidays or – as was put on his behalf – he was “</w:t>
      </w:r>
      <w:r w:rsidR="00D86040" w:rsidRPr="00D86040">
        <w:rPr>
          <w:i/>
        </w:rPr>
        <w:t>on leave</w:t>
      </w:r>
      <w:r w:rsidR="00D86040">
        <w:t>”.</w:t>
      </w:r>
      <w:r w:rsidR="008A2511">
        <w:t xml:space="preserve"> </w:t>
      </w:r>
      <w:r w:rsidR="00D86040">
        <w:t xml:space="preserve"> </w:t>
      </w:r>
      <w:r w:rsidR="005F2573">
        <w:t xml:space="preserve">If the taking of leave was presumably planned in advance, there was no evidence available to the Court as presently constituted to explain why that matter was not disclosed to the primary Judge </w:t>
      </w:r>
      <w:r w:rsidR="005F2573">
        <w:lastRenderedPageBreak/>
        <w:t xml:space="preserve">on 18 June 2020 when an application was then being made to </w:t>
      </w:r>
      <w:r w:rsidR="004303FB">
        <w:t xml:space="preserve">another Judge of this Court. </w:t>
      </w:r>
      <w:r w:rsidR="008A2511">
        <w:t xml:space="preserve"> </w:t>
      </w:r>
      <w:r w:rsidR="004303FB">
        <w:t xml:space="preserve">Also not explained is why the Minister </w:t>
      </w:r>
      <w:r w:rsidR="008A2511">
        <w:t xml:space="preserve">was </w:t>
      </w:r>
      <w:r w:rsidR="004303FB">
        <w:t>“</w:t>
      </w:r>
      <w:r w:rsidR="004303FB" w:rsidRPr="004303FB">
        <w:rPr>
          <w:i/>
        </w:rPr>
        <w:t>available</w:t>
      </w:r>
      <w:r w:rsidR="004303FB">
        <w:t>” to give instructions in this proceeding yesterday and “</w:t>
      </w:r>
      <w:r w:rsidR="004303FB" w:rsidRPr="004303FB">
        <w:rPr>
          <w:i/>
        </w:rPr>
        <w:t>available</w:t>
      </w:r>
      <w:r w:rsidR="004303FB">
        <w:t xml:space="preserve">” to give </w:t>
      </w:r>
      <w:r w:rsidR="00322B6B">
        <w:t xml:space="preserve">instructions this morning to proffer </w:t>
      </w:r>
      <w:r w:rsidR="004303FB">
        <w:t>the assurance now being given, but “</w:t>
      </w:r>
      <w:r w:rsidR="004303FB" w:rsidRPr="004303FB">
        <w:rPr>
          <w:i/>
        </w:rPr>
        <w:t>not available</w:t>
      </w:r>
      <w:r w:rsidR="004303FB">
        <w:t>” to make a decision</w:t>
      </w:r>
      <w:r w:rsidR="00322B6B">
        <w:t>.</w:t>
      </w:r>
      <w:r w:rsidR="004303FB">
        <w:t xml:space="preserve"> </w:t>
      </w:r>
      <w:r w:rsidR="005F2573">
        <w:t xml:space="preserve"> </w:t>
      </w:r>
    </w:p>
    <w:p w:rsidR="004303FB" w:rsidRDefault="004303FB" w:rsidP="0061387B">
      <w:pPr>
        <w:pStyle w:val="ParaNumbering"/>
      </w:pPr>
      <w:r>
        <w:t xml:space="preserve">The lack of candour </w:t>
      </w:r>
      <w:r w:rsidR="00322B6B">
        <w:t xml:space="preserve">on the part of this Minister </w:t>
      </w:r>
      <w:r>
        <w:t xml:space="preserve">in </w:t>
      </w:r>
      <w:r w:rsidR="00322B6B">
        <w:t xml:space="preserve">not </w:t>
      </w:r>
      <w:r>
        <w:t xml:space="preserve">frankly disclosing such matters to this Court, together with the past conduct of this Minister in this proceeding, has been the source of considerable hesitation in </w:t>
      </w:r>
      <w:r w:rsidR="00322B6B">
        <w:t xml:space="preserve">the </w:t>
      </w:r>
      <w:r>
        <w:t>making any further order – even with the consent of the Applicant.</w:t>
      </w:r>
    </w:p>
    <w:p w:rsidR="0061387B" w:rsidRDefault="0061387B" w:rsidP="0061387B">
      <w:pPr>
        <w:pStyle w:val="ParaNumbering"/>
      </w:pPr>
      <w:r>
        <w:t xml:space="preserve">It is only the consent of the Applicant to a variation of the order, and presumably his understandable wish to have a decision made after the unreasonable delay which has already occurred, which now occasions a variation. </w:t>
      </w:r>
      <w:r w:rsidR="00DE7371">
        <w:t xml:space="preserve"> </w:t>
      </w:r>
      <w:r w:rsidR="00BA0134">
        <w:t xml:space="preserve">The explanation provided in the most recent email would </w:t>
      </w:r>
      <w:r w:rsidR="004303FB">
        <w:t xml:space="preserve">of itself </w:t>
      </w:r>
      <w:r w:rsidR="00BA0134">
        <w:t xml:space="preserve">have been a manifestly deficient </w:t>
      </w:r>
      <w:r w:rsidR="004303FB">
        <w:t xml:space="preserve">basis upon which to vary the order. </w:t>
      </w:r>
      <w:r w:rsidR="008A2511">
        <w:t xml:space="preserve"> </w:t>
      </w:r>
      <w:r w:rsidR="005F2573">
        <w:t>Even if there be substance in the argument that s</w:t>
      </w:r>
      <w:r w:rsidR="008A2511">
        <w:t> </w:t>
      </w:r>
      <w:r w:rsidR="005F2573">
        <w:t>501A is a “</w:t>
      </w:r>
      <w:r w:rsidR="005F2573" w:rsidRPr="005F2573">
        <w:rPr>
          <w:i/>
        </w:rPr>
        <w:t>non-compellable power</w:t>
      </w:r>
      <w:r w:rsidR="005F2573">
        <w:t>”, w</w:t>
      </w:r>
      <w:r w:rsidR="00D86040">
        <w:t xml:space="preserve">hy another portfolio Minister can comply with </w:t>
      </w:r>
      <w:r w:rsidR="005F2573">
        <w:t xml:space="preserve">the order as now varied, and why the Respondent Minister was asserting that the time remaining was insufficient, was a further matter left unexplained. </w:t>
      </w:r>
      <w:r w:rsidR="00DE7371">
        <w:t xml:space="preserve"> </w:t>
      </w:r>
      <w:r w:rsidR="006B17C0">
        <w:t>Any party</w:t>
      </w:r>
      <w:r w:rsidR="005F2573">
        <w:t xml:space="preserve"> </w:t>
      </w:r>
      <w:r w:rsidR="008A2511">
        <w:t>–</w:t>
      </w:r>
      <w:r w:rsidR="006B17C0">
        <w:t xml:space="preserve"> including a Minister</w:t>
      </w:r>
      <w:r w:rsidR="005F2573">
        <w:t xml:space="preserve"> </w:t>
      </w:r>
      <w:r w:rsidR="008A2511">
        <w:t>–</w:t>
      </w:r>
      <w:r w:rsidR="006B17C0">
        <w:t xml:space="preserve"> who seeks to be excused from compliance with an order of this Court or seeking yet a further extension of time, it is respectfully considered, needs to provide a compelling reason to grant the indulgence sought.  </w:t>
      </w:r>
      <w:r>
        <w:t>In the absence of</w:t>
      </w:r>
      <w:r w:rsidR="00BA0134">
        <w:t xml:space="preserve"> the </w:t>
      </w:r>
      <w:r>
        <w:t>consent</w:t>
      </w:r>
      <w:r w:rsidR="00BA0134">
        <w:t xml:space="preserve"> of the Applicant</w:t>
      </w:r>
      <w:r>
        <w:t>, no order would have been made granting any further variation of the order as previously made and as previously varied.</w:t>
      </w:r>
      <w:r w:rsidR="008A2511">
        <w:t xml:space="preserve"> </w:t>
      </w:r>
      <w:r>
        <w:t xml:space="preserve"> </w:t>
      </w:r>
      <w:r w:rsidR="00036149">
        <w:t>But it is the consent of the Applicant alone which has swayed the balance in favour of again varying the order.</w:t>
      </w:r>
    </w:p>
    <w:p w:rsidR="004303FB" w:rsidRDefault="0061387B" w:rsidP="00BA0134">
      <w:pPr>
        <w:pStyle w:val="ParaNumbering"/>
      </w:pPr>
      <w:r>
        <w:t>Given the lamentable background to this proceeding, it is prudent to observe that in the event of non-compliance with the order as now made, contempt proceedings will be instituted.</w:t>
      </w:r>
      <w:r w:rsidR="008A2511">
        <w:t xml:space="preserve"> </w:t>
      </w:r>
      <w:r>
        <w:t xml:space="preserve"> </w:t>
      </w:r>
      <w:r w:rsidR="00D86040">
        <w:t xml:space="preserve">It is, however, premature to now make </w:t>
      </w:r>
      <w:r w:rsidR="004303FB">
        <w:t>the</w:t>
      </w:r>
      <w:r w:rsidR="00D86040">
        <w:t xml:space="preserve"> further order as sought by the Applicant directing the institution of contempt proceedings in the event of non-compliance. </w:t>
      </w:r>
      <w:r w:rsidR="00DE7371">
        <w:t xml:space="preserve"> </w:t>
      </w:r>
      <w:r>
        <w:t xml:space="preserve">It is to </w:t>
      </w:r>
      <w:r w:rsidR="00776F62">
        <w:t xml:space="preserve">be </w:t>
      </w:r>
      <w:r>
        <w:t>hoped</w:t>
      </w:r>
      <w:r w:rsidR="00776F62">
        <w:t xml:space="preserve"> </w:t>
      </w:r>
      <w:r>
        <w:t>that this Minister will comply with</w:t>
      </w:r>
      <w:r w:rsidR="00776F62">
        <w:t xml:space="preserve"> the order now made. </w:t>
      </w:r>
      <w:r w:rsidR="00DE7371">
        <w:t xml:space="preserve"> </w:t>
      </w:r>
      <w:r w:rsidR="00036149">
        <w:t xml:space="preserve">In the absence of explanation, non-compliance with an order of this Court constitutes a </w:t>
      </w:r>
      <w:r w:rsidR="00D86040">
        <w:t xml:space="preserve">serious </w:t>
      </w:r>
      <w:r w:rsidR="00036149">
        <w:t>contempt.</w:t>
      </w:r>
      <w:r w:rsidR="00DE7371">
        <w:t xml:space="preserve"> </w:t>
      </w:r>
      <w:r w:rsidR="00036149">
        <w:t xml:space="preserve"> </w:t>
      </w:r>
    </w:p>
    <w:p w:rsidR="006B17C0" w:rsidRDefault="00776F62" w:rsidP="00BA0134">
      <w:pPr>
        <w:pStyle w:val="ParaNumbering"/>
      </w:pPr>
      <w:r>
        <w:t xml:space="preserve">It may further be observed that it is </w:t>
      </w:r>
      <w:r w:rsidR="00517042">
        <w:t xml:space="preserve">deeply </w:t>
      </w:r>
      <w:r>
        <w:t xml:space="preserve">disturbing to realise that a Minister of the </w:t>
      </w:r>
      <w:r w:rsidR="00036149">
        <w:t>C</w:t>
      </w:r>
      <w:r>
        <w:t xml:space="preserve">rown who is charged with the responsibility </w:t>
      </w:r>
      <w:r w:rsidR="00036149">
        <w:t xml:space="preserve">for </w:t>
      </w:r>
      <w:r>
        <w:t xml:space="preserve">making decisions affecting the liberty of the subject </w:t>
      </w:r>
      <w:r w:rsidR="00DE7371">
        <w:t>–</w:t>
      </w:r>
      <w:r w:rsidR="00D2542F">
        <w:t xml:space="preserve"> </w:t>
      </w:r>
      <w:r>
        <w:t>and on many occasions making assessments as to the consequences to be visited upon those visa applicants who have failed to comply with the law</w:t>
      </w:r>
      <w:r w:rsidR="00D2542F">
        <w:t xml:space="preserve"> </w:t>
      </w:r>
      <w:r w:rsidR="00DE7371">
        <w:t>–</w:t>
      </w:r>
      <w:r>
        <w:t xml:space="preserve"> is himself a person who has demonstrated a</w:t>
      </w:r>
      <w:r w:rsidR="006B17C0">
        <w:t xml:space="preserve">n unapologetic </w:t>
      </w:r>
      <w:r>
        <w:t xml:space="preserve">reluctance to take personal responsibility for his own </w:t>
      </w:r>
      <w:r w:rsidR="00D2542F">
        <w:t>non-</w:t>
      </w:r>
      <w:r>
        <w:lastRenderedPageBreak/>
        <w:t xml:space="preserve">compliance with the law. </w:t>
      </w:r>
      <w:r w:rsidR="00DE7371">
        <w:t xml:space="preserve"> </w:t>
      </w:r>
      <w:r>
        <w:t xml:space="preserve">If there be non-compliance with the order now made, statements made on instructions by those representing the Minister may well not be sufficient. </w:t>
      </w:r>
      <w:r w:rsidR="00DE7371">
        <w:t xml:space="preserve"> </w:t>
      </w:r>
      <w:r>
        <w:t>Any explanation for non-compliance may well require an affidavit to be prepared by the Minister personally and for the Minister to make himself available</w:t>
      </w:r>
      <w:r w:rsidR="00036149">
        <w:t xml:space="preserve"> </w:t>
      </w:r>
      <w:r w:rsidR="00322B6B">
        <w:t xml:space="preserve">to the Court </w:t>
      </w:r>
      <w:r w:rsidR="00036149">
        <w:t>for any cross-examination that may be appropriate</w:t>
      </w:r>
      <w:r w:rsidR="00B06317">
        <w:t xml:space="preserve"> or permitted</w:t>
      </w:r>
      <w:r w:rsidR="00036149">
        <w:t xml:space="preserve">. </w:t>
      </w:r>
    </w:p>
    <w:p w:rsidR="00E21E45" w:rsidRPr="00A94945" w:rsidRDefault="00E21E45" w:rsidP="008709E5">
      <w:pPr>
        <w:pStyle w:val="Heading2"/>
        <w:spacing w:after="240"/>
      </w:pPr>
      <w:r w:rsidRPr="00A94945">
        <w:t>UPON THE APPLICATION OF THE FIRST RESPONDENT MADE ON 1 JULY 2020 AND WITH THE CONSENT OF THE APPLICANT, THE COURT NOTES:</w:t>
      </w:r>
    </w:p>
    <w:p w:rsidR="00E21E45" w:rsidRPr="00E21E45" w:rsidRDefault="00E21E45" w:rsidP="00DE7371">
      <w:pPr>
        <w:pStyle w:val="Order1"/>
        <w:numPr>
          <w:ilvl w:val="0"/>
          <w:numId w:val="48"/>
        </w:numPr>
      </w:pPr>
      <w:r w:rsidRPr="00E21E45">
        <w:t>The assurance of the First Respondent that the orders as sought to be varied permit adequate time in which proper and adequate consideration can be given to the application made by the Applicant for a Safe Haven Enterprise (Class XE) Visa (the “Applicant’s Visa Application”).</w:t>
      </w:r>
    </w:p>
    <w:p w:rsidR="00E21E45" w:rsidRPr="00A94945" w:rsidRDefault="00E21E45" w:rsidP="00DE7371">
      <w:pPr>
        <w:pStyle w:val="Heading2"/>
        <w:spacing w:after="240"/>
      </w:pPr>
      <w:r w:rsidRPr="00A94945">
        <w:t>THE COURT ORDERS THAT:</w:t>
      </w:r>
    </w:p>
    <w:p w:rsidR="00E21E45" w:rsidRPr="00E21E45" w:rsidRDefault="00E21E45" w:rsidP="00545BE3">
      <w:pPr>
        <w:pStyle w:val="Order1"/>
        <w:numPr>
          <w:ilvl w:val="0"/>
          <w:numId w:val="50"/>
        </w:numPr>
      </w:pPr>
      <w:r w:rsidRPr="00545BE3">
        <w:rPr>
          <w:i/>
        </w:rPr>
        <w:t>Order</w:t>
      </w:r>
      <w:r w:rsidRPr="00E21E45">
        <w:t xml:space="preserve"> 1 as made on 17 June 2020 and as varied on 24 June 2020 is further varied as follows:</w:t>
      </w:r>
    </w:p>
    <w:p w:rsidR="00E21E45" w:rsidRPr="00322B6B" w:rsidRDefault="00E21E45" w:rsidP="00E21E45">
      <w:pPr>
        <w:pStyle w:val="Order1"/>
        <w:numPr>
          <w:ilvl w:val="0"/>
          <w:numId w:val="0"/>
        </w:numPr>
        <w:ind w:left="720"/>
        <w:rPr>
          <w:i/>
          <w:szCs w:val="24"/>
        </w:rPr>
      </w:pPr>
      <w:r w:rsidRPr="008709E5">
        <w:rPr>
          <w:i/>
          <w:szCs w:val="24"/>
        </w:rPr>
        <w:t xml:space="preserve">“On or before </w:t>
      </w:r>
      <w:r w:rsidRPr="00322B6B">
        <w:rPr>
          <w:i/>
          <w:szCs w:val="24"/>
        </w:rPr>
        <w:t>midday on 3 July 2020, the First Respondent is to either:</w:t>
      </w:r>
    </w:p>
    <w:p w:rsidR="00545BE3" w:rsidRPr="00545BE3" w:rsidRDefault="00E21E45" w:rsidP="00BD093E">
      <w:pPr>
        <w:pStyle w:val="ListNo2"/>
        <w:rPr>
          <w:i/>
        </w:rPr>
      </w:pPr>
      <w:r w:rsidRPr="00545BE3">
        <w:rPr>
          <w:i/>
        </w:rPr>
        <w:t>personally make a decision in respect to the Applicant’s Visa Application; or</w:t>
      </w:r>
    </w:p>
    <w:p w:rsidR="00E21E45" w:rsidRPr="00545BE3" w:rsidRDefault="00E21E45" w:rsidP="00BD093E">
      <w:pPr>
        <w:pStyle w:val="ListNo2"/>
        <w:rPr>
          <w:i/>
        </w:rPr>
      </w:pPr>
      <w:r w:rsidRPr="00545BE3">
        <w:rPr>
          <w:i/>
        </w:rPr>
        <w:t>ensure that a decision in respect to the Applicant’s Visa Application is made by another portfolio Minister or a lawfully authorised delegate</w:t>
      </w:r>
      <w:r w:rsidR="00C21026" w:rsidRPr="00545BE3">
        <w:rPr>
          <w:i/>
        </w:rPr>
        <w:t>.</w:t>
      </w:r>
      <w:r w:rsidRPr="00545BE3">
        <w:rPr>
          <w:i/>
        </w:rPr>
        <w:t>”</w:t>
      </w:r>
    </w:p>
    <w:p w:rsidR="00E21E45" w:rsidRPr="00545BE3" w:rsidRDefault="00E21E45" w:rsidP="00545BE3">
      <w:pPr>
        <w:pStyle w:val="Order1"/>
      </w:pPr>
      <w:r w:rsidRPr="00545BE3">
        <w:t xml:space="preserve">Nothing in </w:t>
      </w:r>
      <w:r w:rsidRPr="00545BE3">
        <w:rPr>
          <w:i/>
        </w:rPr>
        <w:t>Order</w:t>
      </w:r>
      <w:r w:rsidRPr="00545BE3">
        <w:t xml:space="preserve"> 1 removes the personal responsibility of the First Respondent to ensure that a decision is made in respect to the Applicant’s Visa Application by midday on 3 July 2020.</w:t>
      </w:r>
    </w:p>
    <w:p w:rsidR="00776F62" w:rsidRDefault="00776F62" w:rsidP="003B77BB">
      <w:pPr>
        <w:pStyle w:val="NoNum"/>
        <w:spacing w:after="120"/>
      </w:pPr>
    </w:p>
    <w:p w:rsidR="008709E5" w:rsidRDefault="008709E5" w:rsidP="008709E5">
      <w:pPr>
        <w:pStyle w:val="BodyText"/>
      </w:pPr>
      <w:bookmarkStart w:id="22" w:name="Certification"/>
    </w:p>
    <w:tbl>
      <w:tblPr>
        <w:tblW w:w="0" w:type="auto"/>
        <w:tblLook w:val="04A0" w:firstRow="1" w:lastRow="0" w:firstColumn="1" w:lastColumn="0" w:noHBand="0" w:noVBand="1"/>
      </w:tblPr>
      <w:tblGrid>
        <w:gridCol w:w="3794"/>
      </w:tblGrid>
      <w:tr w:rsidR="008709E5" w:rsidRPr="008709E5" w:rsidTr="00EC1D55">
        <w:tc>
          <w:tcPr>
            <w:tcW w:w="3794" w:type="dxa"/>
            <w:shd w:val="clear" w:color="auto" w:fill="auto"/>
          </w:tcPr>
          <w:p w:rsidR="008709E5" w:rsidRPr="008709E5" w:rsidRDefault="008709E5" w:rsidP="00322B6B">
            <w:pPr>
              <w:pStyle w:val="Normal1linespace"/>
            </w:pPr>
            <w:r w:rsidRPr="008709E5">
              <w:t xml:space="preserve">I certify that the preceding </w:t>
            </w:r>
            <w:bookmarkStart w:id="23" w:name="NumberWord"/>
            <w:r w:rsidR="008A2511">
              <w:t>nine</w:t>
            </w:r>
            <w:bookmarkEnd w:id="23"/>
            <w:r w:rsidR="008A2511">
              <w:t xml:space="preserve"> (9) </w:t>
            </w:r>
            <w:r w:rsidRPr="008709E5">
              <w:t xml:space="preserve">numbered </w:t>
            </w:r>
            <w:bookmarkStart w:id="24" w:name="CertPara"/>
            <w:r w:rsidR="008A2511">
              <w:t>paragraphs are</w:t>
            </w:r>
            <w:bookmarkEnd w:id="24"/>
            <w:r w:rsidRPr="008709E5">
              <w:t xml:space="preserve"> a true copy of the Reasons for Judgment herein of the Honourable </w:t>
            </w:r>
            <w:bookmarkStart w:id="25" w:name="Justice"/>
            <w:r>
              <w:t>Justice Flick</w:t>
            </w:r>
            <w:bookmarkEnd w:id="25"/>
            <w:r w:rsidRPr="008709E5">
              <w:t>.</w:t>
            </w:r>
          </w:p>
        </w:tc>
      </w:tr>
    </w:tbl>
    <w:p w:rsidR="008709E5" w:rsidRDefault="008709E5" w:rsidP="008709E5">
      <w:pPr>
        <w:pStyle w:val="BodyText"/>
      </w:pPr>
    </w:p>
    <w:p w:rsidR="008709E5" w:rsidRDefault="008709E5" w:rsidP="008709E5">
      <w:pPr>
        <w:pStyle w:val="BodyText"/>
      </w:pPr>
      <w:r>
        <w:t>Associate:</w:t>
      </w:r>
      <w:r w:rsidR="00AF649F">
        <w:t xml:space="preserve">  </w:t>
      </w:r>
    </w:p>
    <w:p w:rsidR="008709E5" w:rsidRDefault="008709E5" w:rsidP="008709E5">
      <w:pPr>
        <w:pStyle w:val="BodyText"/>
      </w:pPr>
    </w:p>
    <w:p w:rsidR="008709E5" w:rsidRDefault="008709E5" w:rsidP="003B77BB">
      <w:pPr>
        <w:pStyle w:val="BodyText"/>
        <w:tabs>
          <w:tab w:val="left" w:pos="1134"/>
        </w:tabs>
      </w:pPr>
      <w:r>
        <w:t>Dated:</w:t>
      </w:r>
      <w:r>
        <w:tab/>
      </w:r>
      <w:bookmarkStart w:id="26" w:name="CertifyDated"/>
      <w:r>
        <w:t>2 July 2020</w:t>
      </w:r>
      <w:bookmarkEnd w:id="26"/>
      <w:r w:rsidR="003B77BB">
        <w:t xml:space="preserve">  </w:t>
      </w:r>
      <w:bookmarkEnd w:id="22"/>
    </w:p>
    <w:sectPr w:rsidR="008709E5">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19" w:rsidRDefault="00903919">
      <w:pPr>
        <w:spacing w:line="20" w:lineRule="exact"/>
      </w:pPr>
    </w:p>
    <w:p w:rsidR="00903919" w:rsidRDefault="00903919"/>
    <w:p w:rsidR="00903919" w:rsidRDefault="00903919"/>
  </w:endnote>
  <w:endnote w:type="continuationSeparator" w:id="0">
    <w:p w:rsidR="00903919" w:rsidRDefault="00903919">
      <w:r>
        <w:t xml:space="preserve"> </w:t>
      </w:r>
    </w:p>
    <w:p w:rsidR="00903919" w:rsidRDefault="00903919"/>
    <w:p w:rsidR="00903919" w:rsidRDefault="00903919"/>
  </w:endnote>
  <w:endnote w:type="continuationNotice" w:id="1">
    <w:p w:rsidR="00903919" w:rsidRDefault="00903919">
      <w:r>
        <w:t xml:space="preserve"> </w:t>
      </w:r>
    </w:p>
    <w:p w:rsidR="00903919" w:rsidRDefault="00903919"/>
    <w:p w:rsidR="00903919" w:rsidRDefault="00903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360C47" w:rsidRDefault="00395B24" w:rsidP="00360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360C47" w:rsidRDefault="002F1E49" w:rsidP="0036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19" w:rsidRDefault="00903919"/>
    <w:p w:rsidR="00903919" w:rsidRDefault="00903919"/>
    <w:p w:rsidR="00903919" w:rsidRDefault="00903919"/>
  </w:footnote>
  <w:footnote w:type="continuationSeparator" w:id="0">
    <w:p w:rsidR="00903919" w:rsidRDefault="00903919">
      <w:r>
        <w:continuationSeparator/>
      </w:r>
    </w:p>
    <w:p w:rsidR="00903919" w:rsidRDefault="00903919"/>
    <w:p w:rsidR="00903919" w:rsidRDefault="009039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5A2454">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A32427">
      <w:rPr>
        <w:noProof/>
      </w:rPr>
      <w:t>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2382339"/>
    <w:multiLevelType w:val="hybridMultilevel"/>
    <w:tmpl w:val="53A8B452"/>
    <w:lvl w:ilvl="0" w:tplc="6CDEF6A8">
      <w:start w:val="2"/>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77D83"/>
    <w:multiLevelType w:val="hybridMultilevel"/>
    <w:tmpl w:val="3E26A08C"/>
    <w:lvl w:ilvl="0" w:tplc="1B20E16A">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B3C764A"/>
    <w:multiLevelType w:val="hybridMultilevel"/>
    <w:tmpl w:val="68B2CC40"/>
    <w:lvl w:ilvl="0" w:tplc="3176FAF6">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3621B26"/>
    <w:multiLevelType w:val="hybridMultilevel"/>
    <w:tmpl w:val="80721A8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4E356F3"/>
    <w:multiLevelType w:val="hybridMultilevel"/>
    <w:tmpl w:val="4A38A134"/>
    <w:lvl w:ilvl="0" w:tplc="D3367BF8">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3C6BC5"/>
    <w:multiLevelType w:val="hybridMultilevel"/>
    <w:tmpl w:val="BF44038A"/>
    <w:lvl w:ilvl="0" w:tplc="90E8A266">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E422F8"/>
    <w:multiLevelType w:val="hybridMultilevel"/>
    <w:tmpl w:val="1CC4FA1A"/>
    <w:lvl w:ilvl="0" w:tplc="C1F67692">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15:restartNumberingAfterBreak="0">
    <w:nsid w:val="2AD4345C"/>
    <w:multiLevelType w:val="multilevel"/>
    <w:tmpl w:val="3A148FE0"/>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2B213962"/>
    <w:multiLevelType w:val="hybridMultilevel"/>
    <w:tmpl w:val="697AD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282D9B"/>
    <w:multiLevelType w:val="hybridMultilevel"/>
    <w:tmpl w:val="F6C20C6C"/>
    <w:lvl w:ilvl="0" w:tplc="5CF0F802">
      <w:start w:val="2"/>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5" w15:restartNumberingAfterBreak="0">
    <w:nsid w:val="3DE23730"/>
    <w:multiLevelType w:val="hybridMultilevel"/>
    <w:tmpl w:val="8DAEB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A11701"/>
    <w:multiLevelType w:val="hybridMultilevel"/>
    <w:tmpl w:val="7A80F016"/>
    <w:lvl w:ilvl="0" w:tplc="CF3001B2">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AA018C"/>
    <w:multiLevelType w:val="hybridMultilevel"/>
    <w:tmpl w:val="8C7E48F4"/>
    <w:lvl w:ilvl="0" w:tplc="016CFF58">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8" w15:restartNumberingAfterBreak="0">
    <w:nsid w:val="494817A7"/>
    <w:multiLevelType w:val="multilevel"/>
    <w:tmpl w:val="0F0EC90E"/>
    <w:numStyleLink w:val="FCListNo"/>
  </w:abstractNum>
  <w:abstractNum w:abstractNumId="2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AE4580C"/>
    <w:multiLevelType w:val="hybridMultilevel"/>
    <w:tmpl w:val="EA86CE62"/>
    <w:lvl w:ilvl="0" w:tplc="B718B7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D934A94"/>
    <w:multiLevelType w:val="hybridMultilevel"/>
    <w:tmpl w:val="26A4A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A961CB"/>
    <w:multiLevelType w:val="hybridMultilevel"/>
    <w:tmpl w:val="437A1614"/>
    <w:lvl w:ilvl="0" w:tplc="6CC64A0C">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74A3D13"/>
    <w:multiLevelType w:val="hybridMultilevel"/>
    <w:tmpl w:val="227C5A52"/>
    <w:lvl w:ilvl="0" w:tplc="2ADEE6D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6" w15:restartNumberingAfterBreak="0">
    <w:nsid w:val="6F8C0B0F"/>
    <w:multiLevelType w:val="hybridMultilevel"/>
    <w:tmpl w:val="6FFCADC0"/>
    <w:lvl w:ilvl="0" w:tplc="8B082DD4">
      <w:numFmt w:val="bullet"/>
      <w:lvlText w:val=""/>
      <w:lvlJc w:val="left"/>
      <w:pPr>
        <w:ind w:left="1080" w:hanging="360"/>
      </w:pPr>
      <w:rPr>
        <w:rFonts w:ascii="Symbol" w:eastAsia="Batang"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8" w15:restartNumberingAfterBreak="0">
    <w:nsid w:val="74B05B57"/>
    <w:multiLevelType w:val="hybridMultilevel"/>
    <w:tmpl w:val="85022014"/>
    <w:lvl w:ilvl="0" w:tplc="2166A446">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9"/>
  </w:num>
  <w:num w:numId="15">
    <w:abstractNumId w:val="30"/>
  </w:num>
  <w:num w:numId="16">
    <w:abstractNumId w:val="39"/>
  </w:num>
  <w:num w:numId="17">
    <w:abstractNumId w:val="15"/>
  </w:num>
  <w:num w:numId="18">
    <w:abstractNumId w:val="37"/>
  </w:num>
  <w:num w:numId="19">
    <w:abstractNumId w:val="10"/>
  </w:num>
  <w:num w:numId="20">
    <w:abstractNumId w:val="24"/>
  </w:num>
  <w:num w:numId="21">
    <w:abstractNumId w:val="2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287"/>
          </w:tabs>
          <w:ind w:left="1287" w:hanging="720"/>
        </w:pPr>
        <w:rPr>
          <w:rFonts w:hint="default"/>
          <w:i/>
        </w:rPr>
      </w:lvl>
    </w:lvlOverride>
  </w:num>
  <w:num w:numId="22">
    <w:abstractNumId w:val="21"/>
  </w:num>
  <w:num w:numId="23">
    <w:abstractNumId w:val="21"/>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hint="default"/>
          <w:i/>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4">
    <w:abstractNumId w:val="12"/>
  </w:num>
  <w:num w:numId="25">
    <w:abstractNumId w:val="36"/>
  </w:num>
  <w:num w:numId="26">
    <w:abstractNumId w:val="17"/>
  </w:num>
  <w:num w:numId="27">
    <w:abstractNumId w:val="32"/>
  </w:num>
  <w:num w:numId="28">
    <w:abstractNumId w:val="11"/>
  </w:num>
  <w:num w:numId="29">
    <w:abstractNumId w:val="23"/>
  </w:num>
  <w:num w:numId="30">
    <w:abstractNumId w:val="14"/>
  </w:num>
  <w:num w:numId="31">
    <w:abstractNumId w:val="33"/>
  </w:num>
  <w:num w:numId="32">
    <w:abstractNumId w:val="18"/>
  </w:num>
  <w:num w:numId="33">
    <w:abstractNumId w:val="38"/>
  </w:num>
  <w:num w:numId="34">
    <w:abstractNumId w:val="26"/>
  </w:num>
  <w:num w:numId="35">
    <w:abstractNumId w:val="25"/>
  </w:num>
  <w:num w:numId="36">
    <w:abstractNumId w:val="19"/>
  </w:num>
  <w:num w:numId="37">
    <w:abstractNumId w:val="22"/>
  </w:num>
  <w:num w:numId="38">
    <w:abstractNumId w:val="3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1"/>
  </w:num>
  <w:num w:numId="44">
    <w:abstractNumId w:val="16"/>
  </w:num>
  <w:num w:numId="45">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decimal"/>
        <w:pStyle w:val="Order2"/>
        <w:lvlText w:val=""/>
        <w:lvlJc w:val="left"/>
      </w:lvl>
    </w:lvlOverride>
    <w:lvlOverride w:ilvl="2">
      <w:startOverride w:val="1"/>
      <w:lvl w:ilvl="2">
        <w:start w:val="1"/>
        <w:numFmt w:val="decimal"/>
        <w:pStyle w:val="Order3"/>
        <w:lvlText w:val=""/>
        <w:lvlJc w:val="left"/>
      </w:lvl>
    </w:lvlOverride>
    <w:lvlOverride w:ilvl="3">
      <w:lvl w:ilvl="3">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8">
    <w:abstractNumId w:val="21"/>
    <w:lvlOverride w:ilvl="0">
      <w:startOverride w:val="1"/>
    </w:lvlOverride>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FX17"/>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550 of 2020"/>
    <w:docVar w:name="HearingDate" w:val="2 July 2020"/>
    <w:docVar w:name="Initiators" w:val="(and another named in the Schedule)"/>
    <w:docVar w:name="Judgdate" w:val="2 July 2020"/>
    <w:docVar w:name="Judge" w:val="Flick"/>
    <w:docVar w:name="Justices" w:val="Justice"/>
    <w:docVar w:name="lstEntryList" w:val="-1"/>
    <w:docVar w:name="myEntryList" w:val="Counsel for the Applicant=Ms M Yu|Solicitor for the Applicant=Human Rights for All|Solicitor for the Respondents=Ms D Watson of Australian Government Solicitor"/>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Minister for Immigration, Citizenship, Migrant Services and Multicultural Affairs"/>
    <w:docVar w:name="ResState" w:val="New South Wales"/>
    <w:docVar w:name="SubArea" w:val="[none]"/>
  </w:docVars>
  <w:rsids>
    <w:rsidRoot w:val="006D563A"/>
    <w:rsid w:val="00001CAD"/>
    <w:rsid w:val="00007685"/>
    <w:rsid w:val="0001469E"/>
    <w:rsid w:val="00015993"/>
    <w:rsid w:val="000200E6"/>
    <w:rsid w:val="00022289"/>
    <w:rsid w:val="00032F9F"/>
    <w:rsid w:val="00036149"/>
    <w:rsid w:val="00041C07"/>
    <w:rsid w:val="00045BB7"/>
    <w:rsid w:val="00055719"/>
    <w:rsid w:val="0005641B"/>
    <w:rsid w:val="00081497"/>
    <w:rsid w:val="000A2E76"/>
    <w:rsid w:val="000A4807"/>
    <w:rsid w:val="000A4BE4"/>
    <w:rsid w:val="000B23B9"/>
    <w:rsid w:val="000C023E"/>
    <w:rsid w:val="000C5195"/>
    <w:rsid w:val="000C62EF"/>
    <w:rsid w:val="000D2137"/>
    <w:rsid w:val="000D3FD2"/>
    <w:rsid w:val="000E3FC8"/>
    <w:rsid w:val="000E6FFB"/>
    <w:rsid w:val="000E7BAE"/>
    <w:rsid w:val="000F133D"/>
    <w:rsid w:val="000F670A"/>
    <w:rsid w:val="0010536B"/>
    <w:rsid w:val="0011145C"/>
    <w:rsid w:val="001128BD"/>
    <w:rsid w:val="0011419D"/>
    <w:rsid w:val="00123434"/>
    <w:rsid w:val="00132054"/>
    <w:rsid w:val="00143645"/>
    <w:rsid w:val="00166895"/>
    <w:rsid w:val="001727A4"/>
    <w:rsid w:val="0017376C"/>
    <w:rsid w:val="001738AB"/>
    <w:rsid w:val="001765E0"/>
    <w:rsid w:val="00177759"/>
    <w:rsid w:val="00185E6B"/>
    <w:rsid w:val="00187BBC"/>
    <w:rsid w:val="001932F3"/>
    <w:rsid w:val="001A4309"/>
    <w:rsid w:val="001B1053"/>
    <w:rsid w:val="001B14AC"/>
    <w:rsid w:val="001B7940"/>
    <w:rsid w:val="001C37CA"/>
    <w:rsid w:val="001C43D4"/>
    <w:rsid w:val="001D1719"/>
    <w:rsid w:val="001D4303"/>
    <w:rsid w:val="001D6746"/>
    <w:rsid w:val="001E3B49"/>
    <w:rsid w:val="001E54A0"/>
    <w:rsid w:val="001E7388"/>
    <w:rsid w:val="001F13DD"/>
    <w:rsid w:val="001F2DBC"/>
    <w:rsid w:val="001F73E8"/>
    <w:rsid w:val="0020262C"/>
    <w:rsid w:val="00224537"/>
    <w:rsid w:val="00230E0F"/>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02D00"/>
    <w:rsid w:val="0031256C"/>
    <w:rsid w:val="00314D6C"/>
    <w:rsid w:val="00316D2A"/>
    <w:rsid w:val="00322A7C"/>
    <w:rsid w:val="00322B6B"/>
    <w:rsid w:val="003402D3"/>
    <w:rsid w:val="00343ABC"/>
    <w:rsid w:val="003463FE"/>
    <w:rsid w:val="003554B3"/>
    <w:rsid w:val="00356632"/>
    <w:rsid w:val="00360C47"/>
    <w:rsid w:val="003845A9"/>
    <w:rsid w:val="00390883"/>
    <w:rsid w:val="003922F8"/>
    <w:rsid w:val="00395B24"/>
    <w:rsid w:val="003A2D38"/>
    <w:rsid w:val="003A7ECC"/>
    <w:rsid w:val="003B2C72"/>
    <w:rsid w:val="003B77BB"/>
    <w:rsid w:val="003C1333"/>
    <w:rsid w:val="003C20FF"/>
    <w:rsid w:val="003D2650"/>
    <w:rsid w:val="003D560C"/>
    <w:rsid w:val="003E5874"/>
    <w:rsid w:val="003F193E"/>
    <w:rsid w:val="003F34F1"/>
    <w:rsid w:val="004033CC"/>
    <w:rsid w:val="00411AE8"/>
    <w:rsid w:val="00413B74"/>
    <w:rsid w:val="004303FB"/>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4F7ED5"/>
    <w:rsid w:val="00501A12"/>
    <w:rsid w:val="0051346D"/>
    <w:rsid w:val="00513EAE"/>
    <w:rsid w:val="00516806"/>
    <w:rsid w:val="00517042"/>
    <w:rsid w:val="00517F23"/>
    <w:rsid w:val="00525A49"/>
    <w:rsid w:val="00535613"/>
    <w:rsid w:val="005359EB"/>
    <w:rsid w:val="0054254A"/>
    <w:rsid w:val="00545BE3"/>
    <w:rsid w:val="005466B5"/>
    <w:rsid w:val="00554314"/>
    <w:rsid w:val="005629B3"/>
    <w:rsid w:val="005650BD"/>
    <w:rsid w:val="00573AC4"/>
    <w:rsid w:val="005801FC"/>
    <w:rsid w:val="00595016"/>
    <w:rsid w:val="00597AAE"/>
    <w:rsid w:val="005A222C"/>
    <w:rsid w:val="005A2454"/>
    <w:rsid w:val="005A4120"/>
    <w:rsid w:val="005A4DF8"/>
    <w:rsid w:val="005B1426"/>
    <w:rsid w:val="005C0A8E"/>
    <w:rsid w:val="005C1767"/>
    <w:rsid w:val="005C42EF"/>
    <w:rsid w:val="005E02F5"/>
    <w:rsid w:val="005E0510"/>
    <w:rsid w:val="005E176E"/>
    <w:rsid w:val="005E218E"/>
    <w:rsid w:val="005E35A0"/>
    <w:rsid w:val="005E5F68"/>
    <w:rsid w:val="005F0D1B"/>
    <w:rsid w:val="005F1865"/>
    <w:rsid w:val="005F2573"/>
    <w:rsid w:val="006007BD"/>
    <w:rsid w:val="006013C8"/>
    <w:rsid w:val="0060270D"/>
    <w:rsid w:val="00604611"/>
    <w:rsid w:val="00611586"/>
    <w:rsid w:val="0061387B"/>
    <w:rsid w:val="00621887"/>
    <w:rsid w:val="00624520"/>
    <w:rsid w:val="00632300"/>
    <w:rsid w:val="00632BB7"/>
    <w:rsid w:val="00635B36"/>
    <w:rsid w:val="00636871"/>
    <w:rsid w:val="00640F4E"/>
    <w:rsid w:val="00643DE0"/>
    <w:rsid w:val="00644E85"/>
    <w:rsid w:val="0066063F"/>
    <w:rsid w:val="00662BB0"/>
    <w:rsid w:val="00663878"/>
    <w:rsid w:val="0066663A"/>
    <w:rsid w:val="00667773"/>
    <w:rsid w:val="00670743"/>
    <w:rsid w:val="00683D24"/>
    <w:rsid w:val="00690EE2"/>
    <w:rsid w:val="006A0E20"/>
    <w:rsid w:val="006A5695"/>
    <w:rsid w:val="006B17C0"/>
    <w:rsid w:val="006B3904"/>
    <w:rsid w:val="006B546E"/>
    <w:rsid w:val="006B5B7D"/>
    <w:rsid w:val="006C1BD7"/>
    <w:rsid w:val="006C3A43"/>
    <w:rsid w:val="006D0ECF"/>
    <w:rsid w:val="006D4C92"/>
    <w:rsid w:val="006D4EB6"/>
    <w:rsid w:val="006D563A"/>
    <w:rsid w:val="006D635E"/>
    <w:rsid w:val="006E35BF"/>
    <w:rsid w:val="006E56ED"/>
    <w:rsid w:val="006E7850"/>
    <w:rsid w:val="007028D9"/>
    <w:rsid w:val="00707218"/>
    <w:rsid w:val="00712B1D"/>
    <w:rsid w:val="00722D3B"/>
    <w:rsid w:val="00724BF0"/>
    <w:rsid w:val="00727092"/>
    <w:rsid w:val="007325D9"/>
    <w:rsid w:val="007360CA"/>
    <w:rsid w:val="00760EC0"/>
    <w:rsid w:val="00771216"/>
    <w:rsid w:val="00776F62"/>
    <w:rsid w:val="0078003A"/>
    <w:rsid w:val="00780771"/>
    <w:rsid w:val="007929CF"/>
    <w:rsid w:val="007A6F28"/>
    <w:rsid w:val="007B03C6"/>
    <w:rsid w:val="007B0D07"/>
    <w:rsid w:val="007B0DB1"/>
    <w:rsid w:val="007C2053"/>
    <w:rsid w:val="007C3BF6"/>
    <w:rsid w:val="007D0FD2"/>
    <w:rsid w:val="007D2EF8"/>
    <w:rsid w:val="007D561F"/>
    <w:rsid w:val="007D6895"/>
    <w:rsid w:val="007D7FD2"/>
    <w:rsid w:val="007E13D9"/>
    <w:rsid w:val="007E41BE"/>
    <w:rsid w:val="007E4DB6"/>
    <w:rsid w:val="007E7CD4"/>
    <w:rsid w:val="007F12AC"/>
    <w:rsid w:val="00801800"/>
    <w:rsid w:val="00801B5B"/>
    <w:rsid w:val="00806623"/>
    <w:rsid w:val="008276B4"/>
    <w:rsid w:val="00831927"/>
    <w:rsid w:val="00841BD3"/>
    <w:rsid w:val="0084273D"/>
    <w:rsid w:val="00844E3F"/>
    <w:rsid w:val="00845A83"/>
    <w:rsid w:val="008709E5"/>
    <w:rsid w:val="008712BB"/>
    <w:rsid w:val="008A2484"/>
    <w:rsid w:val="008A2511"/>
    <w:rsid w:val="008C26D9"/>
    <w:rsid w:val="008C4C0C"/>
    <w:rsid w:val="008C6D50"/>
    <w:rsid w:val="008C7167"/>
    <w:rsid w:val="008C7503"/>
    <w:rsid w:val="008D04B3"/>
    <w:rsid w:val="008D1617"/>
    <w:rsid w:val="008E6315"/>
    <w:rsid w:val="008F11E0"/>
    <w:rsid w:val="008F78BC"/>
    <w:rsid w:val="008F7B63"/>
    <w:rsid w:val="008F7D6A"/>
    <w:rsid w:val="00903919"/>
    <w:rsid w:val="009054CB"/>
    <w:rsid w:val="00912F94"/>
    <w:rsid w:val="0092590B"/>
    <w:rsid w:val="00925E60"/>
    <w:rsid w:val="009264B3"/>
    <w:rsid w:val="00926E50"/>
    <w:rsid w:val="009365E0"/>
    <w:rsid w:val="00942BA2"/>
    <w:rsid w:val="00944C86"/>
    <w:rsid w:val="00957DE8"/>
    <w:rsid w:val="00960ECB"/>
    <w:rsid w:val="009615D6"/>
    <w:rsid w:val="00967855"/>
    <w:rsid w:val="00980736"/>
    <w:rsid w:val="00981A39"/>
    <w:rsid w:val="00987097"/>
    <w:rsid w:val="00996BB3"/>
    <w:rsid w:val="009A3A9C"/>
    <w:rsid w:val="009B046C"/>
    <w:rsid w:val="009B13FA"/>
    <w:rsid w:val="009B1E2D"/>
    <w:rsid w:val="009C345C"/>
    <w:rsid w:val="009C59FB"/>
    <w:rsid w:val="009C615D"/>
    <w:rsid w:val="009C6F3B"/>
    <w:rsid w:val="009D1467"/>
    <w:rsid w:val="009E4FA6"/>
    <w:rsid w:val="009E7D93"/>
    <w:rsid w:val="009F5C33"/>
    <w:rsid w:val="00A03EAC"/>
    <w:rsid w:val="00A11CA6"/>
    <w:rsid w:val="00A20C49"/>
    <w:rsid w:val="00A25A4A"/>
    <w:rsid w:val="00A269CA"/>
    <w:rsid w:val="00A32427"/>
    <w:rsid w:val="00A336EE"/>
    <w:rsid w:val="00A359AC"/>
    <w:rsid w:val="00A41413"/>
    <w:rsid w:val="00A45FB1"/>
    <w:rsid w:val="00A46CCC"/>
    <w:rsid w:val="00A51CFE"/>
    <w:rsid w:val="00A75CA5"/>
    <w:rsid w:val="00A76C13"/>
    <w:rsid w:val="00A92E79"/>
    <w:rsid w:val="00A94945"/>
    <w:rsid w:val="00A950B6"/>
    <w:rsid w:val="00AB41C1"/>
    <w:rsid w:val="00AD12A8"/>
    <w:rsid w:val="00AE023F"/>
    <w:rsid w:val="00AF3577"/>
    <w:rsid w:val="00AF35F9"/>
    <w:rsid w:val="00AF4B54"/>
    <w:rsid w:val="00AF649F"/>
    <w:rsid w:val="00B05C7D"/>
    <w:rsid w:val="00B06317"/>
    <w:rsid w:val="00B346C3"/>
    <w:rsid w:val="00B4471C"/>
    <w:rsid w:val="00B451A6"/>
    <w:rsid w:val="00B666B2"/>
    <w:rsid w:val="00B722DE"/>
    <w:rsid w:val="00B76C44"/>
    <w:rsid w:val="00B83F87"/>
    <w:rsid w:val="00BA0134"/>
    <w:rsid w:val="00BA2EFA"/>
    <w:rsid w:val="00BA3DBC"/>
    <w:rsid w:val="00BB2DA2"/>
    <w:rsid w:val="00BB2FA4"/>
    <w:rsid w:val="00BB56DC"/>
    <w:rsid w:val="00BE183D"/>
    <w:rsid w:val="00BF5D7A"/>
    <w:rsid w:val="00C02D33"/>
    <w:rsid w:val="00C1232C"/>
    <w:rsid w:val="00C21026"/>
    <w:rsid w:val="00C36442"/>
    <w:rsid w:val="00C400CE"/>
    <w:rsid w:val="00C410FD"/>
    <w:rsid w:val="00C539FB"/>
    <w:rsid w:val="00C70C2F"/>
    <w:rsid w:val="00C8025E"/>
    <w:rsid w:val="00CA246D"/>
    <w:rsid w:val="00CA50D9"/>
    <w:rsid w:val="00CB238F"/>
    <w:rsid w:val="00CB5636"/>
    <w:rsid w:val="00D10F21"/>
    <w:rsid w:val="00D24806"/>
    <w:rsid w:val="00D2542F"/>
    <w:rsid w:val="00D34040"/>
    <w:rsid w:val="00D34E69"/>
    <w:rsid w:val="00D375EE"/>
    <w:rsid w:val="00D52CD5"/>
    <w:rsid w:val="00D5514B"/>
    <w:rsid w:val="00D62699"/>
    <w:rsid w:val="00D82620"/>
    <w:rsid w:val="00D86040"/>
    <w:rsid w:val="00D9725F"/>
    <w:rsid w:val="00DA01B1"/>
    <w:rsid w:val="00DA11A2"/>
    <w:rsid w:val="00DA14ED"/>
    <w:rsid w:val="00DB2EF1"/>
    <w:rsid w:val="00DB3DE1"/>
    <w:rsid w:val="00DB5DA0"/>
    <w:rsid w:val="00DB716C"/>
    <w:rsid w:val="00DC5C85"/>
    <w:rsid w:val="00DD4236"/>
    <w:rsid w:val="00DD44F1"/>
    <w:rsid w:val="00DE3067"/>
    <w:rsid w:val="00DE7371"/>
    <w:rsid w:val="00E01D54"/>
    <w:rsid w:val="00E027BC"/>
    <w:rsid w:val="00E14EA5"/>
    <w:rsid w:val="00E21133"/>
    <w:rsid w:val="00E21E45"/>
    <w:rsid w:val="00E2327E"/>
    <w:rsid w:val="00E266EF"/>
    <w:rsid w:val="00E34312"/>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3C9D"/>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A1E68"/>
    <w:rsid w:val="00FB7982"/>
    <w:rsid w:val="00FC0734"/>
    <w:rsid w:val="00FC0FC5"/>
    <w:rsid w:val="00FC433F"/>
    <w:rsid w:val="00FC588F"/>
    <w:rsid w:val="00FD4B58"/>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5EC3F2E-5AA0-4AB4-AA86-468D8F0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1287"/>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sbf1">
    <w:name w:val="ss_bf1"/>
    <w:basedOn w:val="DefaultParagraphFont"/>
    <w:rsid w:val="00E34312"/>
    <w:rPr>
      <w:b/>
      <w:bCs/>
      <w:color w:val="373739"/>
    </w:rPr>
  </w:style>
  <w:style w:type="character" w:customStyle="1" w:styleId="ssro2">
    <w:name w:val="ss_ro2"/>
    <w:basedOn w:val="DefaultParagraphFont"/>
    <w:rsid w:val="00E34312"/>
    <w:rPr>
      <w:b w:val="0"/>
      <w:bCs w:val="0"/>
    </w:rPr>
  </w:style>
  <w:style w:type="character" w:customStyle="1" w:styleId="sslistitemcontent2">
    <w:name w:val="ss_listitemcontent2"/>
    <w:basedOn w:val="DefaultParagraphFont"/>
    <w:rsid w:val="00E34312"/>
  </w:style>
  <w:style w:type="paragraph" w:customStyle="1" w:styleId="subsection">
    <w:name w:val="subsection"/>
    <w:basedOn w:val="Normal"/>
    <w:rsid w:val="001C43D4"/>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qFormat/>
    <w:rsid w:val="00BA0134"/>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6113">
      <w:bodyDiv w:val="1"/>
      <w:marLeft w:val="0"/>
      <w:marRight w:val="0"/>
      <w:marTop w:val="0"/>
      <w:marBottom w:val="0"/>
      <w:divBdr>
        <w:top w:val="none" w:sz="0" w:space="0" w:color="auto"/>
        <w:left w:val="none" w:sz="0" w:space="0" w:color="auto"/>
        <w:bottom w:val="none" w:sz="0" w:space="0" w:color="auto"/>
        <w:right w:val="none" w:sz="0" w:space="0" w:color="auto"/>
      </w:divBdr>
    </w:div>
    <w:div w:id="219560503">
      <w:bodyDiv w:val="1"/>
      <w:marLeft w:val="0"/>
      <w:marRight w:val="0"/>
      <w:marTop w:val="0"/>
      <w:marBottom w:val="0"/>
      <w:divBdr>
        <w:top w:val="none" w:sz="0" w:space="0" w:color="auto"/>
        <w:left w:val="none" w:sz="0" w:space="0" w:color="auto"/>
        <w:bottom w:val="none" w:sz="0" w:space="0" w:color="auto"/>
        <w:right w:val="none" w:sz="0" w:space="0" w:color="auto"/>
      </w:divBdr>
      <w:divsChild>
        <w:div w:id="1881168582">
          <w:marLeft w:val="0"/>
          <w:marRight w:val="0"/>
          <w:marTop w:val="0"/>
          <w:marBottom w:val="0"/>
          <w:divBdr>
            <w:top w:val="none" w:sz="0" w:space="0" w:color="auto"/>
            <w:left w:val="none" w:sz="0" w:space="0" w:color="auto"/>
            <w:bottom w:val="none" w:sz="0" w:space="0" w:color="auto"/>
            <w:right w:val="none" w:sz="0" w:space="0" w:color="auto"/>
          </w:divBdr>
          <w:divsChild>
            <w:div w:id="114102016">
              <w:marLeft w:val="0"/>
              <w:marRight w:val="0"/>
              <w:marTop w:val="0"/>
              <w:marBottom w:val="0"/>
              <w:divBdr>
                <w:top w:val="none" w:sz="0" w:space="0" w:color="auto"/>
                <w:left w:val="none" w:sz="0" w:space="0" w:color="auto"/>
                <w:bottom w:val="none" w:sz="0" w:space="0" w:color="auto"/>
                <w:right w:val="none" w:sz="0" w:space="0" w:color="auto"/>
              </w:divBdr>
              <w:divsChild>
                <w:div w:id="1493451767">
                  <w:marLeft w:val="0"/>
                  <w:marRight w:val="0"/>
                  <w:marTop w:val="0"/>
                  <w:marBottom w:val="0"/>
                  <w:divBdr>
                    <w:top w:val="none" w:sz="0" w:space="0" w:color="auto"/>
                    <w:left w:val="none" w:sz="0" w:space="0" w:color="auto"/>
                    <w:bottom w:val="none" w:sz="0" w:space="0" w:color="auto"/>
                    <w:right w:val="none" w:sz="0" w:space="0" w:color="auto"/>
                  </w:divBdr>
                  <w:divsChild>
                    <w:div w:id="1225212825">
                      <w:marLeft w:val="0"/>
                      <w:marRight w:val="300"/>
                      <w:marTop w:val="0"/>
                      <w:marBottom w:val="0"/>
                      <w:divBdr>
                        <w:top w:val="none" w:sz="0" w:space="0" w:color="auto"/>
                        <w:left w:val="none" w:sz="0" w:space="0" w:color="auto"/>
                        <w:bottom w:val="none" w:sz="0" w:space="0" w:color="auto"/>
                        <w:right w:val="none" w:sz="0" w:space="0" w:color="auto"/>
                      </w:divBdr>
                      <w:divsChild>
                        <w:div w:id="1248079640">
                          <w:marLeft w:val="0"/>
                          <w:marRight w:val="0"/>
                          <w:marTop w:val="0"/>
                          <w:marBottom w:val="0"/>
                          <w:divBdr>
                            <w:top w:val="none" w:sz="0" w:space="0" w:color="auto"/>
                            <w:left w:val="none" w:sz="0" w:space="0" w:color="auto"/>
                            <w:bottom w:val="none" w:sz="0" w:space="0" w:color="auto"/>
                            <w:right w:val="none" w:sz="0" w:space="0" w:color="auto"/>
                          </w:divBdr>
                          <w:divsChild>
                            <w:div w:id="6827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1998">
      <w:bodyDiv w:val="1"/>
      <w:marLeft w:val="0"/>
      <w:marRight w:val="0"/>
      <w:marTop w:val="0"/>
      <w:marBottom w:val="0"/>
      <w:divBdr>
        <w:top w:val="none" w:sz="0" w:space="0" w:color="auto"/>
        <w:left w:val="none" w:sz="0" w:space="0" w:color="auto"/>
        <w:bottom w:val="none" w:sz="0" w:space="0" w:color="auto"/>
        <w:right w:val="none" w:sz="0" w:space="0" w:color="auto"/>
      </w:divBdr>
      <w:divsChild>
        <w:div w:id="1756392362">
          <w:marLeft w:val="0"/>
          <w:marRight w:val="0"/>
          <w:marTop w:val="0"/>
          <w:marBottom w:val="0"/>
          <w:divBdr>
            <w:top w:val="none" w:sz="0" w:space="0" w:color="auto"/>
            <w:left w:val="none" w:sz="0" w:space="0" w:color="auto"/>
            <w:bottom w:val="none" w:sz="0" w:space="0" w:color="auto"/>
            <w:right w:val="none" w:sz="0" w:space="0" w:color="auto"/>
          </w:divBdr>
          <w:divsChild>
            <w:div w:id="1525090641">
              <w:marLeft w:val="0"/>
              <w:marRight w:val="0"/>
              <w:marTop w:val="0"/>
              <w:marBottom w:val="0"/>
              <w:divBdr>
                <w:top w:val="none" w:sz="0" w:space="0" w:color="auto"/>
                <w:left w:val="none" w:sz="0" w:space="0" w:color="auto"/>
                <w:bottom w:val="none" w:sz="0" w:space="0" w:color="auto"/>
                <w:right w:val="none" w:sz="0" w:space="0" w:color="auto"/>
              </w:divBdr>
              <w:divsChild>
                <w:div w:id="2049406963">
                  <w:marLeft w:val="0"/>
                  <w:marRight w:val="0"/>
                  <w:marTop w:val="0"/>
                  <w:marBottom w:val="0"/>
                  <w:divBdr>
                    <w:top w:val="none" w:sz="0" w:space="0" w:color="auto"/>
                    <w:left w:val="none" w:sz="0" w:space="0" w:color="auto"/>
                    <w:bottom w:val="none" w:sz="0" w:space="0" w:color="auto"/>
                    <w:right w:val="none" w:sz="0" w:space="0" w:color="auto"/>
                  </w:divBdr>
                  <w:divsChild>
                    <w:div w:id="711274299">
                      <w:marLeft w:val="0"/>
                      <w:marRight w:val="300"/>
                      <w:marTop w:val="0"/>
                      <w:marBottom w:val="0"/>
                      <w:divBdr>
                        <w:top w:val="none" w:sz="0" w:space="0" w:color="auto"/>
                        <w:left w:val="none" w:sz="0" w:space="0" w:color="auto"/>
                        <w:bottom w:val="none" w:sz="0" w:space="0" w:color="auto"/>
                        <w:right w:val="none" w:sz="0" w:space="0" w:color="auto"/>
                      </w:divBdr>
                      <w:divsChild>
                        <w:div w:id="489836691">
                          <w:marLeft w:val="0"/>
                          <w:marRight w:val="0"/>
                          <w:marTop w:val="0"/>
                          <w:marBottom w:val="0"/>
                          <w:divBdr>
                            <w:top w:val="none" w:sz="0" w:space="0" w:color="auto"/>
                            <w:left w:val="none" w:sz="0" w:space="0" w:color="auto"/>
                            <w:bottom w:val="none" w:sz="0" w:space="0" w:color="auto"/>
                            <w:right w:val="none" w:sz="0" w:space="0" w:color="auto"/>
                          </w:divBdr>
                          <w:divsChild>
                            <w:div w:id="8889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462990">
      <w:bodyDiv w:val="1"/>
      <w:marLeft w:val="0"/>
      <w:marRight w:val="0"/>
      <w:marTop w:val="0"/>
      <w:marBottom w:val="0"/>
      <w:divBdr>
        <w:top w:val="none" w:sz="0" w:space="0" w:color="auto"/>
        <w:left w:val="none" w:sz="0" w:space="0" w:color="auto"/>
        <w:bottom w:val="none" w:sz="0" w:space="0" w:color="auto"/>
        <w:right w:val="none" w:sz="0" w:space="0" w:color="auto"/>
      </w:divBdr>
    </w:div>
    <w:div w:id="1082412732">
      <w:bodyDiv w:val="1"/>
      <w:marLeft w:val="0"/>
      <w:marRight w:val="0"/>
      <w:marTop w:val="0"/>
      <w:marBottom w:val="0"/>
      <w:divBdr>
        <w:top w:val="none" w:sz="0" w:space="0" w:color="auto"/>
        <w:left w:val="none" w:sz="0" w:space="0" w:color="auto"/>
        <w:bottom w:val="none" w:sz="0" w:space="0" w:color="auto"/>
        <w:right w:val="none" w:sz="0" w:space="0" w:color="auto"/>
      </w:divBdr>
    </w:div>
    <w:div w:id="1559394621">
      <w:bodyDiv w:val="1"/>
      <w:marLeft w:val="0"/>
      <w:marRight w:val="0"/>
      <w:marTop w:val="0"/>
      <w:marBottom w:val="0"/>
      <w:divBdr>
        <w:top w:val="none" w:sz="0" w:space="0" w:color="auto"/>
        <w:left w:val="none" w:sz="0" w:space="0" w:color="auto"/>
        <w:bottom w:val="none" w:sz="0" w:space="0" w:color="auto"/>
        <w:right w:val="none" w:sz="0" w:space="0" w:color="auto"/>
      </w:divBdr>
      <w:divsChild>
        <w:div w:id="1794055923">
          <w:marLeft w:val="0"/>
          <w:marRight w:val="0"/>
          <w:marTop w:val="0"/>
          <w:marBottom w:val="0"/>
          <w:divBdr>
            <w:top w:val="none" w:sz="0" w:space="0" w:color="auto"/>
            <w:left w:val="none" w:sz="0" w:space="0" w:color="auto"/>
            <w:bottom w:val="none" w:sz="0" w:space="0" w:color="auto"/>
            <w:right w:val="none" w:sz="0" w:space="0" w:color="auto"/>
          </w:divBdr>
          <w:divsChild>
            <w:div w:id="1877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6</Pages>
  <Words>2071</Words>
  <Characters>10317</Characters>
  <Application>Microsoft Office Word</Application>
  <DocSecurity>0</DocSecurity>
  <Lines>264</Lines>
  <Paragraphs>113</Paragraphs>
  <ScaleCrop>false</ScaleCrop>
  <HeadingPairs>
    <vt:vector size="2" baseType="variant">
      <vt:variant>
        <vt:lpstr>Title</vt:lpstr>
      </vt:variant>
      <vt:variant>
        <vt:i4>1</vt:i4>
      </vt:variant>
    </vt:vector>
  </HeadingPairs>
  <TitlesOfParts>
    <vt:vector size="1" baseType="lpstr">
      <vt:lpstr>AFX17 v Minister for Home Affairs (No 4) [2020] FCA 926 </vt:lpstr>
    </vt:vector>
  </TitlesOfParts>
  <Company>Federal Court of Australia</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AFX17 v Minister for Home Affairs (No 4) [2020] FCA 926</dc:title>
  <dc:creator>Cecilia Cordova</dc:creator>
  <cp:lastModifiedBy>Sona Muradyan</cp:lastModifiedBy>
  <cp:revision>5</cp:revision>
  <cp:lastPrinted>2020-07-02T00:48:00Z</cp:lastPrinted>
  <dcterms:created xsi:type="dcterms:W3CDTF">2020-07-02T02:13:00Z</dcterms:created>
  <dcterms:modified xsi:type="dcterms:W3CDTF">2020-07-02T02:25:00Z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J</vt:lpwstr>
  </property>
  <property fmtid="{D5CDD505-2E9C-101B-9397-08002B2CF9AE}" pid="4" name="Judgment_dated" linkTarget="Judgment_dated">
    <vt:lpwstr>2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