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B24" w:rsidRDefault="002C7385">
      <w:pPr>
        <w:pStyle w:val="NormalHeadings"/>
        <w:jc w:val="center"/>
        <w:rPr>
          <w:sz w:val="32"/>
        </w:rPr>
      </w:pPr>
      <w:r>
        <w:rPr>
          <w:sz w:val="32"/>
        </w:rPr>
        <w:t>FEDERAL COURT OF AUSTRALIA</w:t>
      </w:r>
    </w:p>
    <w:p w:rsidR="00395B24" w:rsidRDefault="00395B24">
      <w:pPr>
        <w:pStyle w:val="NormalHeadings"/>
        <w:jc w:val="center"/>
        <w:rPr>
          <w:sz w:val="32"/>
        </w:rPr>
      </w:pPr>
    </w:p>
    <w:p w:rsidR="00395B24" w:rsidRDefault="002D1D2F">
      <w:pPr>
        <w:pStyle w:val="MediaNeutralStyle"/>
      </w:pPr>
      <w:bookmarkStart w:id="0" w:name="MNC"/>
      <w:proofErr w:type="spellStart"/>
      <w:r>
        <w:t>Jadwan</w:t>
      </w:r>
      <w:proofErr w:type="spellEnd"/>
      <w:r>
        <w:t xml:space="preserve"> Pty Ltd v Rae &amp; Partners (A Firm) (No 2) [2020] FCAFC</w:t>
      </w:r>
      <w:r w:rsidR="00A81617">
        <w:t xml:space="preserve"> 95</w:t>
      </w:r>
      <w:r>
        <w:t xml:space="preserve"> </w:t>
      </w:r>
      <w:bookmarkEnd w:id="0"/>
      <w:r w:rsidR="00B96440">
        <w:t xml:space="preserve"> </w:t>
      </w:r>
    </w:p>
    <w:p w:rsidR="00395B24" w:rsidRDefault="00395B24">
      <w:pPr>
        <w:pStyle w:val="Normal1linespace"/>
      </w:pPr>
    </w:p>
    <w:tbl>
      <w:tblPr>
        <w:tblW w:w="9074" w:type="dxa"/>
        <w:tblLayout w:type="fixed"/>
        <w:tblLook w:val="01E0" w:firstRow="1" w:lastRow="1" w:firstColumn="1" w:lastColumn="1" w:noHBand="0" w:noVBand="0"/>
        <w:tblCaption w:val="Cover Table"/>
        <w:tblDescription w:val="Cover Table"/>
      </w:tblPr>
      <w:tblGrid>
        <w:gridCol w:w="2835"/>
        <w:gridCol w:w="6203"/>
        <w:gridCol w:w="36"/>
      </w:tblGrid>
      <w:tr w:rsidR="00395B24" w:rsidTr="00C6432C">
        <w:tc>
          <w:tcPr>
            <w:tcW w:w="2835" w:type="dxa"/>
            <w:shd w:val="clear" w:color="auto" w:fill="auto"/>
          </w:tcPr>
          <w:p w:rsidR="00395B24" w:rsidRDefault="002C7385" w:rsidP="00CA2027">
            <w:pPr>
              <w:pStyle w:val="Normal1linespace"/>
              <w:widowControl w:val="0"/>
              <w:jc w:val="left"/>
            </w:pPr>
            <w:r>
              <w:t>File number:</w:t>
            </w:r>
          </w:p>
        </w:tc>
        <w:tc>
          <w:tcPr>
            <w:tcW w:w="6239" w:type="dxa"/>
            <w:gridSpan w:val="2"/>
            <w:shd w:val="clear" w:color="auto" w:fill="auto"/>
          </w:tcPr>
          <w:p w:rsidR="00395B24" w:rsidRPr="000E7EF4" w:rsidRDefault="00155514" w:rsidP="000E7EF4">
            <w:pPr>
              <w:pStyle w:val="Normal1linespace"/>
              <w:jc w:val="left"/>
            </w:pPr>
            <w:r>
              <w:fldChar w:fldCharType="begin" w:fldLock="1"/>
            </w:r>
            <w:r>
              <w:instrText xml:space="preserve"> REF  FileNo  \* MERGEFORMAT </w:instrText>
            </w:r>
            <w:r>
              <w:fldChar w:fldCharType="separate"/>
            </w:r>
            <w:r w:rsidR="000E7EF4" w:rsidRPr="000E7EF4">
              <w:t>TAD 28 of 2018</w:t>
            </w:r>
            <w:r>
              <w:fldChar w:fldCharType="end"/>
            </w:r>
          </w:p>
        </w:tc>
      </w:tr>
      <w:tr w:rsidR="00395B24" w:rsidTr="00C6432C">
        <w:tc>
          <w:tcPr>
            <w:tcW w:w="2835" w:type="dxa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  <w:tc>
          <w:tcPr>
            <w:tcW w:w="6239" w:type="dxa"/>
            <w:gridSpan w:val="2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</w:tr>
      <w:tr w:rsidR="00395B24" w:rsidTr="00C6432C">
        <w:tc>
          <w:tcPr>
            <w:tcW w:w="2835" w:type="dxa"/>
            <w:shd w:val="clear" w:color="auto" w:fill="auto"/>
          </w:tcPr>
          <w:p w:rsidR="00395B24" w:rsidRDefault="002C7385" w:rsidP="00CA2027">
            <w:pPr>
              <w:pStyle w:val="Normal1linespace"/>
              <w:widowControl w:val="0"/>
              <w:jc w:val="left"/>
            </w:pPr>
            <w:r>
              <w:t>Judges:</w:t>
            </w:r>
          </w:p>
        </w:tc>
        <w:tc>
          <w:tcPr>
            <w:tcW w:w="6239" w:type="dxa"/>
            <w:gridSpan w:val="2"/>
            <w:shd w:val="clear" w:color="auto" w:fill="auto"/>
          </w:tcPr>
          <w:p w:rsidR="00395B24" w:rsidRDefault="002C7385" w:rsidP="00663878">
            <w:pPr>
              <w:pStyle w:val="Normal1linespace"/>
              <w:widowControl w:val="0"/>
              <w:jc w:val="left"/>
              <w:rPr>
                <w:b/>
              </w:rPr>
            </w:pPr>
            <w:r w:rsidRPr="000E7EF4">
              <w:rPr>
                <w:b/>
              </w:rPr>
              <w:fldChar w:fldCharType="begin" w:fldLock="1"/>
            </w:r>
            <w:r w:rsidRPr="000E7EF4">
              <w:rPr>
                <w:b/>
              </w:rPr>
              <w:instrText xml:space="preserve"> REF  Judge  \* MERGEFORMAT </w:instrText>
            </w:r>
            <w:r w:rsidRPr="000E7EF4">
              <w:rPr>
                <w:b/>
              </w:rPr>
              <w:fldChar w:fldCharType="separate"/>
            </w:r>
            <w:r w:rsidR="000E7EF4" w:rsidRPr="000E7EF4">
              <w:rPr>
                <w:b/>
                <w:caps/>
                <w:szCs w:val="24"/>
              </w:rPr>
              <w:t>BROMWICH, O'CALLAGHAN AND WHEELAHAN</w:t>
            </w:r>
            <w:r w:rsidR="00DD2DDC">
              <w:rPr>
                <w:b/>
                <w:caps/>
                <w:szCs w:val="24"/>
              </w:rPr>
              <w:t> </w:t>
            </w:r>
            <w:r w:rsidR="000E7EF4" w:rsidRPr="000E7EF4">
              <w:rPr>
                <w:b/>
                <w:caps/>
                <w:szCs w:val="24"/>
              </w:rPr>
              <w:t>JJ</w:t>
            </w:r>
            <w:r w:rsidRPr="000E7EF4">
              <w:rPr>
                <w:b/>
              </w:rPr>
              <w:fldChar w:fldCharType="end"/>
            </w:r>
          </w:p>
        </w:tc>
      </w:tr>
      <w:tr w:rsidR="00395B24" w:rsidTr="00C6432C">
        <w:tc>
          <w:tcPr>
            <w:tcW w:w="2835" w:type="dxa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  <w:tc>
          <w:tcPr>
            <w:tcW w:w="6239" w:type="dxa"/>
            <w:gridSpan w:val="2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</w:tr>
      <w:tr w:rsidR="00395B24" w:rsidTr="00C6432C">
        <w:tc>
          <w:tcPr>
            <w:tcW w:w="2835" w:type="dxa"/>
            <w:shd w:val="clear" w:color="auto" w:fill="auto"/>
          </w:tcPr>
          <w:p w:rsidR="00395B24" w:rsidRDefault="002C7385" w:rsidP="00663878">
            <w:pPr>
              <w:pStyle w:val="Normal1linespace"/>
              <w:widowControl w:val="0"/>
              <w:jc w:val="left"/>
            </w:pPr>
            <w:r>
              <w:t>Date of judgment:</w:t>
            </w:r>
          </w:p>
        </w:tc>
        <w:tc>
          <w:tcPr>
            <w:tcW w:w="6239" w:type="dxa"/>
            <w:gridSpan w:val="2"/>
            <w:shd w:val="clear" w:color="auto" w:fill="auto"/>
          </w:tcPr>
          <w:p w:rsidR="00395B24" w:rsidRDefault="009D6BBF" w:rsidP="00663878">
            <w:pPr>
              <w:pStyle w:val="Normal1linespace"/>
              <w:widowControl w:val="0"/>
              <w:jc w:val="left"/>
            </w:pPr>
            <w:r>
              <w:t xml:space="preserve">29 </w:t>
            </w:r>
            <w:r w:rsidR="00951BDB">
              <w:t>May 2020</w:t>
            </w:r>
          </w:p>
        </w:tc>
      </w:tr>
      <w:tr w:rsidR="00395B24" w:rsidTr="00C6432C">
        <w:tc>
          <w:tcPr>
            <w:tcW w:w="2835" w:type="dxa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  <w:tc>
          <w:tcPr>
            <w:tcW w:w="6239" w:type="dxa"/>
            <w:gridSpan w:val="2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</w:tr>
      <w:tr w:rsidR="00395B24" w:rsidTr="00C6432C">
        <w:tc>
          <w:tcPr>
            <w:tcW w:w="2835" w:type="dxa"/>
            <w:shd w:val="clear" w:color="auto" w:fill="auto"/>
          </w:tcPr>
          <w:p w:rsidR="00395B24" w:rsidRDefault="002C7385" w:rsidP="00663878">
            <w:pPr>
              <w:pStyle w:val="Normal1linespace"/>
              <w:widowControl w:val="0"/>
              <w:jc w:val="left"/>
            </w:pPr>
            <w:r>
              <w:t>Catchwords:</w:t>
            </w:r>
          </w:p>
        </w:tc>
        <w:tc>
          <w:tcPr>
            <w:tcW w:w="6239" w:type="dxa"/>
            <w:gridSpan w:val="2"/>
            <w:shd w:val="clear" w:color="auto" w:fill="auto"/>
          </w:tcPr>
          <w:p w:rsidR="00395B24" w:rsidRPr="00951BDB" w:rsidRDefault="00951BDB" w:rsidP="00134A19">
            <w:pPr>
              <w:pStyle w:val="Normal1linespace"/>
              <w:widowControl w:val="0"/>
              <w:jc w:val="left"/>
            </w:pPr>
            <w:r>
              <w:rPr>
                <w:b/>
              </w:rPr>
              <w:t xml:space="preserve">COSTS </w:t>
            </w:r>
            <w:r>
              <w:t xml:space="preserve">– </w:t>
            </w:r>
            <w:r w:rsidR="000240E0">
              <w:t xml:space="preserve">whether to </w:t>
            </w:r>
            <w:r w:rsidR="004239E8">
              <w:t xml:space="preserve">reduce the costs payable by the appellant to </w:t>
            </w:r>
            <w:r w:rsidR="000240E0">
              <w:t>the respondent</w:t>
            </w:r>
            <w:r w:rsidR="004239E8">
              <w:t>s</w:t>
            </w:r>
            <w:r w:rsidR="000240E0">
              <w:t xml:space="preserve"> on account of the appellant’s partial success in the appeal – no </w:t>
            </w:r>
            <w:r w:rsidR="004239E8">
              <w:t xml:space="preserve">reduction </w:t>
            </w:r>
            <w:r w:rsidR="000240E0">
              <w:t xml:space="preserve">applied – whether to make a lump sum costs order – direction for Registrar of the Court to </w:t>
            </w:r>
            <w:r w:rsidR="004239E8">
              <w:t xml:space="preserve">assess </w:t>
            </w:r>
            <w:r w:rsidR="000240E0">
              <w:t>the lump sum of costs to be awarded</w:t>
            </w:r>
            <w:r w:rsidR="00134A19">
              <w:t xml:space="preserve"> and make orders</w:t>
            </w:r>
            <w:r w:rsidR="000240E0">
              <w:t>.</w:t>
            </w:r>
          </w:p>
        </w:tc>
      </w:tr>
      <w:tr w:rsidR="00395B24" w:rsidTr="00C6432C">
        <w:tc>
          <w:tcPr>
            <w:tcW w:w="2835" w:type="dxa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  <w:tc>
          <w:tcPr>
            <w:tcW w:w="6239" w:type="dxa"/>
            <w:gridSpan w:val="2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</w:tr>
      <w:tr w:rsidR="00395B24" w:rsidTr="00C6432C">
        <w:trPr>
          <w:gridAfter w:val="1"/>
          <w:wAfter w:w="36" w:type="dxa"/>
        </w:trPr>
        <w:tc>
          <w:tcPr>
            <w:tcW w:w="2835" w:type="dxa"/>
            <w:shd w:val="clear" w:color="auto" w:fill="auto"/>
          </w:tcPr>
          <w:p w:rsidR="00395B24" w:rsidRDefault="002C7385" w:rsidP="00663878">
            <w:pPr>
              <w:pStyle w:val="Normal1linespace"/>
              <w:widowControl w:val="0"/>
              <w:jc w:val="left"/>
            </w:pPr>
            <w:r>
              <w:t>Legislation:</w:t>
            </w:r>
          </w:p>
        </w:tc>
        <w:tc>
          <w:tcPr>
            <w:tcW w:w="6203" w:type="dxa"/>
            <w:shd w:val="clear" w:color="auto" w:fill="auto"/>
          </w:tcPr>
          <w:p w:rsidR="002369AC" w:rsidRDefault="00951BDB" w:rsidP="00951BDB">
            <w:pPr>
              <w:pStyle w:val="CasesLegislationAppealFrom"/>
              <w:spacing w:after="60"/>
            </w:pPr>
            <w:bookmarkStart w:id="1" w:name="Legislation"/>
            <w:r>
              <w:rPr>
                <w:i/>
              </w:rPr>
              <w:t xml:space="preserve">Federal Court of Australia Act 1976 </w:t>
            </w:r>
            <w:r>
              <w:t>(</w:t>
            </w:r>
            <w:proofErr w:type="spellStart"/>
            <w:r>
              <w:t>Cth</w:t>
            </w:r>
            <w:proofErr w:type="spellEnd"/>
            <w:r>
              <w:t xml:space="preserve">) </w:t>
            </w:r>
            <w:proofErr w:type="spellStart"/>
            <w:r w:rsidR="00F2616C">
              <w:t>ss</w:t>
            </w:r>
            <w:proofErr w:type="spellEnd"/>
            <w:r w:rsidR="00F2616C">
              <w:t> </w:t>
            </w:r>
            <w:r w:rsidR="00BE1756">
              <w:t xml:space="preserve">35A(1)(h), </w:t>
            </w:r>
            <w:r w:rsidR="00C65709">
              <w:t>43</w:t>
            </w:r>
          </w:p>
          <w:p w:rsidR="002369AC" w:rsidRDefault="002369AC" w:rsidP="00951BDB">
            <w:pPr>
              <w:pStyle w:val="CasesLegislationAppealFrom"/>
              <w:spacing w:after="60"/>
            </w:pPr>
          </w:p>
          <w:p w:rsidR="00395B24" w:rsidRDefault="002369AC" w:rsidP="002658AE">
            <w:pPr>
              <w:pStyle w:val="CasesLegislationAppealFrom"/>
              <w:spacing w:after="60"/>
            </w:pPr>
            <w:r>
              <w:rPr>
                <w:i/>
              </w:rPr>
              <w:t xml:space="preserve">Federal Court Rules 2011 </w:t>
            </w:r>
            <w:r>
              <w:t>(</w:t>
            </w:r>
            <w:proofErr w:type="spellStart"/>
            <w:r>
              <w:t>Cth</w:t>
            </w:r>
            <w:proofErr w:type="spellEnd"/>
            <w:r>
              <w:t>)</w:t>
            </w:r>
            <w:r w:rsidR="007774C8">
              <w:t xml:space="preserve"> </w:t>
            </w:r>
            <w:proofErr w:type="spellStart"/>
            <w:r w:rsidR="00151AB9">
              <w:t>r</w:t>
            </w:r>
            <w:r w:rsidR="005B576D">
              <w:t>r</w:t>
            </w:r>
            <w:proofErr w:type="spellEnd"/>
            <w:r w:rsidR="005B576D">
              <w:t> </w:t>
            </w:r>
            <w:r w:rsidR="00064E43">
              <w:t>3.01(b)</w:t>
            </w:r>
            <w:r w:rsidR="00D8458E">
              <w:t xml:space="preserve">, </w:t>
            </w:r>
            <w:r w:rsidR="007774C8">
              <w:t>40.02</w:t>
            </w:r>
            <w:r w:rsidR="00064E43">
              <w:t xml:space="preserve">, </w:t>
            </w:r>
            <w:r w:rsidR="00151AB9">
              <w:t>item </w:t>
            </w:r>
            <w:r w:rsidR="00064E43">
              <w:t xml:space="preserve">221 of </w:t>
            </w:r>
            <w:r w:rsidR="002658AE">
              <w:t>Schedule </w:t>
            </w:r>
            <w:r w:rsidR="00064E43">
              <w:t>2</w:t>
            </w:r>
            <w:r w:rsidR="002C7385">
              <w:t xml:space="preserve"> </w:t>
            </w:r>
            <w:bookmarkEnd w:id="1"/>
          </w:p>
        </w:tc>
      </w:tr>
      <w:tr w:rsidR="00395B24" w:rsidTr="00C6432C">
        <w:tc>
          <w:tcPr>
            <w:tcW w:w="2835" w:type="dxa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  <w:tc>
          <w:tcPr>
            <w:tcW w:w="6239" w:type="dxa"/>
            <w:gridSpan w:val="2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</w:tr>
      <w:tr w:rsidR="00395B24" w:rsidTr="00C6432C">
        <w:tc>
          <w:tcPr>
            <w:tcW w:w="2835" w:type="dxa"/>
            <w:shd w:val="clear" w:color="auto" w:fill="auto"/>
          </w:tcPr>
          <w:p w:rsidR="00395B24" w:rsidRDefault="002C7385" w:rsidP="00663878">
            <w:pPr>
              <w:pStyle w:val="Normal1linespace"/>
              <w:widowControl w:val="0"/>
              <w:jc w:val="left"/>
            </w:pPr>
            <w:r>
              <w:t>Cases cited:</w:t>
            </w:r>
          </w:p>
        </w:tc>
        <w:tc>
          <w:tcPr>
            <w:tcW w:w="6239" w:type="dxa"/>
            <w:gridSpan w:val="2"/>
            <w:shd w:val="clear" w:color="auto" w:fill="auto"/>
          </w:tcPr>
          <w:p w:rsidR="00592D8A" w:rsidRDefault="00592D8A" w:rsidP="00D82620">
            <w:pPr>
              <w:pStyle w:val="CasesLegislationAppealFrom"/>
              <w:spacing w:after="60"/>
            </w:pPr>
            <w:bookmarkStart w:id="2" w:name="Cases_Cited"/>
            <w:r w:rsidRPr="00592D8A">
              <w:rPr>
                <w:i/>
              </w:rPr>
              <w:t>Ah Toy</w:t>
            </w:r>
            <w:r>
              <w:rPr>
                <w:i/>
              </w:rPr>
              <w:t xml:space="preserve"> v Registrar of Companies </w:t>
            </w:r>
            <w:r>
              <w:t xml:space="preserve">[1985] FCA </w:t>
            </w:r>
            <w:r w:rsidR="004F0C98">
              <w:t>291</w:t>
            </w:r>
            <w:r>
              <w:t>;</w:t>
            </w:r>
            <w:r w:rsidR="004F0C98">
              <w:t xml:space="preserve"> </w:t>
            </w:r>
            <w:r>
              <w:t>10 FCR 280</w:t>
            </w:r>
          </w:p>
          <w:p w:rsidR="008A73CD" w:rsidRDefault="008A73CD" w:rsidP="00D82620">
            <w:pPr>
              <w:pStyle w:val="CasesLegislationAppealFrom"/>
              <w:spacing w:after="60"/>
            </w:pPr>
            <w:proofErr w:type="spellStart"/>
            <w:r>
              <w:rPr>
                <w:i/>
              </w:rPr>
              <w:t>Driclad</w:t>
            </w:r>
            <w:proofErr w:type="spellEnd"/>
            <w:r>
              <w:rPr>
                <w:i/>
              </w:rPr>
              <w:t xml:space="preserve"> Pty Ltd v Federal Commissioner of Taxation </w:t>
            </w:r>
            <w:r>
              <w:t>[1968] HCA 91; 121 CLR 45</w:t>
            </w:r>
          </w:p>
          <w:p w:rsidR="00034994" w:rsidRDefault="002D1D2F" w:rsidP="00D82620">
            <w:pPr>
              <w:pStyle w:val="CasesLegislationAppealFrom"/>
              <w:spacing w:after="60"/>
            </w:pPr>
            <w:proofErr w:type="spellStart"/>
            <w:r>
              <w:rPr>
                <w:i/>
              </w:rPr>
              <w:t>Idenix</w:t>
            </w:r>
            <w:proofErr w:type="spellEnd"/>
            <w:r>
              <w:rPr>
                <w:i/>
              </w:rPr>
              <w:t xml:space="preserve"> Pharmaceuticals LLC v Gilead Sciences Pty Ltd (No 2) </w:t>
            </w:r>
            <w:r>
              <w:t xml:space="preserve">[2018] </w:t>
            </w:r>
            <w:r w:rsidR="004060E7">
              <w:t>FCAFC </w:t>
            </w:r>
            <w:r>
              <w:t>7</w:t>
            </w:r>
          </w:p>
          <w:p w:rsidR="00E15517" w:rsidRDefault="00034994" w:rsidP="00D82620">
            <w:pPr>
              <w:pStyle w:val="CasesLegislationAppealFrom"/>
              <w:spacing w:after="60"/>
            </w:pPr>
            <w:proofErr w:type="spellStart"/>
            <w:r>
              <w:rPr>
                <w:i/>
              </w:rPr>
              <w:t>Jadwan</w:t>
            </w:r>
            <w:proofErr w:type="spellEnd"/>
            <w:r>
              <w:rPr>
                <w:i/>
              </w:rPr>
              <w:t xml:space="preserve"> Pty Ltd v Rae &amp; Partners (A Firm) </w:t>
            </w:r>
            <w:r>
              <w:t>[2020] FCAFC 62</w:t>
            </w:r>
          </w:p>
          <w:p w:rsidR="00345810" w:rsidRDefault="00345810" w:rsidP="00D82620">
            <w:pPr>
              <w:pStyle w:val="CasesLegislationAppealFrom"/>
              <w:spacing w:after="60"/>
            </w:pPr>
            <w:r w:rsidRPr="00147655">
              <w:rPr>
                <w:i/>
              </w:rPr>
              <w:t xml:space="preserve">Martin v Norton Rose Fulbright Australia (No 2) </w:t>
            </w:r>
            <w:r>
              <w:t>[2020] FCAFC 42</w:t>
            </w:r>
          </w:p>
          <w:p w:rsidR="002D05B5" w:rsidRDefault="002D05B5" w:rsidP="00D82620">
            <w:pPr>
              <w:pStyle w:val="CasesLegislationAppealFrom"/>
              <w:spacing w:after="60"/>
              <w:rPr>
                <w:i/>
              </w:rPr>
            </w:pPr>
            <w:r>
              <w:rPr>
                <w:i/>
              </w:rPr>
              <w:t xml:space="preserve">Neptune Hospitality Pty Ltd v </w:t>
            </w:r>
            <w:proofErr w:type="spellStart"/>
            <w:r>
              <w:rPr>
                <w:i/>
              </w:rPr>
              <w:t>Ozmen</w:t>
            </w:r>
            <w:proofErr w:type="spellEnd"/>
            <w:r>
              <w:rPr>
                <w:i/>
              </w:rPr>
              <w:t xml:space="preserve"> Entertainment Pty Ltd (costs) </w:t>
            </w:r>
            <w:r>
              <w:t>[2020] FCAFC 74</w:t>
            </w:r>
          </w:p>
          <w:p w:rsidR="00E634E0" w:rsidRDefault="00E15517" w:rsidP="00D82620">
            <w:pPr>
              <w:pStyle w:val="CasesLegislationAppealFrom"/>
              <w:spacing w:after="60"/>
            </w:pPr>
            <w:r>
              <w:rPr>
                <w:i/>
              </w:rPr>
              <w:t xml:space="preserve">Northern Territory v </w:t>
            </w:r>
            <w:proofErr w:type="spellStart"/>
            <w:r w:rsidRPr="00E15517">
              <w:rPr>
                <w:i/>
              </w:rPr>
              <w:t>Sangare</w:t>
            </w:r>
            <w:proofErr w:type="spellEnd"/>
            <w:r w:rsidRPr="00EB2B16">
              <w:t xml:space="preserve"> [</w:t>
            </w:r>
            <w:r>
              <w:rPr>
                <w:i/>
              </w:rPr>
              <w:t>2</w:t>
            </w:r>
            <w:r>
              <w:t>019] HCA 25</w:t>
            </w:r>
            <w:r w:rsidR="00E634E0">
              <w:t>; 265 CLR 164</w:t>
            </w:r>
          </w:p>
          <w:p w:rsidR="00395B24" w:rsidRDefault="00E634E0" w:rsidP="00D82620">
            <w:pPr>
              <w:pStyle w:val="CasesLegislationAppealFrom"/>
              <w:spacing w:after="60"/>
            </w:pPr>
            <w:proofErr w:type="spellStart"/>
            <w:r w:rsidRPr="00235A17">
              <w:rPr>
                <w:i/>
              </w:rPr>
              <w:t>Paciocco</w:t>
            </w:r>
            <w:proofErr w:type="spellEnd"/>
            <w:r w:rsidRPr="00302F32">
              <w:rPr>
                <w:i/>
              </w:rPr>
              <w:t xml:space="preserve"> v Australia &amp; New Zealand Banking Group (No 2) </w:t>
            </w:r>
            <w:r>
              <w:t>[2017] FCAFC 146</w:t>
            </w:r>
            <w:r w:rsidR="005A2477">
              <w:t>; 253 FCR 403</w:t>
            </w:r>
            <w:r w:rsidR="002C7385">
              <w:t xml:space="preserve"> </w:t>
            </w:r>
            <w:bookmarkEnd w:id="2"/>
          </w:p>
        </w:tc>
      </w:tr>
      <w:tr w:rsidR="004D6216" w:rsidRPr="004D6216" w:rsidTr="00C6432C">
        <w:tc>
          <w:tcPr>
            <w:tcW w:w="2835" w:type="dxa"/>
            <w:shd w:val="clear" w:color="auto" w:fill="auto"/>
          </w:tcPr>
          <w:p w:rsidR="004D6216" w:rsidRPr="004D6216" w:rsidRDefault="004D6216" w:rsidP="00A81617">
            <w:pPr>
              <w:pStyle w:val="Normal1linespace"/>
              <w:jc w:val="left"/>
            </w:pPr>
            <w:bookmarkStart w:id="3" w:name="CounselTable"/>
          </w:p>
        </w:tc>
        <w:tc>
          <w:tcPr>
            <w:tcW w:w="6239" w:type="dxa"/>
            <w:gridSpan w:val="2"/>
            <w:shd w:val="clear" w:color="auto" w:fill="auto"/>
          </w:tcPr>
          <w:p w:rsidR="004D6216" w:rsidRPr="004D6216" w:rsidRDefault="004D6216" w:rsidP="00A81617">
            <w:pPr>
              <w:pStyle w:val="Normal1linespace"/>
              <w:jc w:val="left"/>
            </w:pPr>
          </w:p>
        </w:tc>
      </w:tr>
      <w:tr w:rsidR="004D6216" w:rsidRPr="004D6216" w:rsidTr="00C6432C">
        <w:tc>
          <w:tcPr>
            <w:tcW w:w="2835" w:type="dxa"/>
            <w:shd w:val="clear" w:color="auto" w:fill="auto"/>
          </w:tcPr>
          <w:p w:rsidR="004D6216" w:rsidRPr="004D6216" w:rsidRDefault="004D6216" w:rsidP="00A81617">
            <w:pPr>
              <w:pStyle w:val="Normal1linespace"/>
              <w:jc w:val="left"/>
            </w:pPr>
            <w:bookmarkStart w:id="4" w:name="CounselDate" w:colFirst="0" w:colLast="2"/>
            <w:r w:rsidRPr="004D6216">
              <w:t>Date of hearing:</w:t>
            </w:r>
          </w:p>
        </w:tc>
        <w:tc>
          <w:tcPr>
            <w:tcW w:w="6239" w:type="dxa"/>
            <w:gridSpan w:val="2"/>
            <w:shd w:val="clear" w:color="auto" w:fill="auto"/>
          </w:tcPr>
          <w:p w:rsidR="004D6216" w:rsidRPr="004D6216" w:rsidRDefault="004D6216" w:rsidP="00A81617">
            <w:pPr>
              <w:pStyle w:val="Normal1linespace"/>
              <w:jc w:val="left"/>
            </w:pPr>
            <w:bookmarkStart w:id="5" w:name="HearingDate"/>
            <w:r>
              <w:t>Determined on the papers.</w:t>
            </w:r>
            <w:bookmarkEnd w:id="5"/>
          </w:p>
        </w:tc>
      </w:tr>
      <w:tr w:rsidR="004D6216" w:rsidRPr="004D6216" w:rsidTr="00C6432C">
        <w:tc>
          <w:tcPr>
            <w:tcW w:w="2835" w:type="dxa"/>
            <w:shd w:val="clear" w:color="auto" w:fill="auto"/>
          </w:tcPr>
          <w:p w:rsidR="004D6216" w:rsidRPr="004D6216" w:rsidRDefault="004D6216" w:rsidP="00A81617">
            <w:pPr>
              <w:pStyle w:val="Normal1linespace"/>
              <w:jc w:val="left"/>
            </w:pPr>
          </w:p>
        </w:tc>
        <w:tc>
          <w:tcPr>
            <w:tcW w:w="6239" w:type="dxa"/>
            <w:gridSpan w:val="2"/>
            <w:shd w:val="clear" w:color="auto" w:fill="auto"/>
          </w:tcPr>
          <w:p w:rsidR="004D6216" w:rsidRPr="004D6216" w:rsidRDefault="004D6216" w:rsidP="00A81617">
            <w:pPr>
              <w:pStyle w:val="Normal1linespace"/>
              <w:jc w:val="left"/>
            </w:pPr>
          </w:p>
        </w:tc>
      </w:tr>
      <w:tr w:rsidR="004D6216" w:rsidRPr="004D6216" w:rsidTr="00C6432C">
        <w:tc>
          <w:tcPr>
            <w:tcW w:w="2835" w:type="dxa"/>
            <w:shd w:val="clear" w:color="auto" w:fill="auto"/>
          </w:tcPr>
          <w:p w:rsidR="004D6216" w:rsidRPr="004D6216" w:rsidRDefault="004D6216" w:rsidP="00A81617">
            <w:pPr>
              <w:pStyle w:val="Normal1linespace"/>
              <w:jc w:val="left"/>
            </w:pPr>
            <w:r w:rsidRPr="004D6216">
              <w:t>Date of last submissions:</w:t>
            </w:r>
          </w:p>
        </w:tc>
        <w:tc>
          <w:tcPr>
            <w:tcW w:w="6239" w:type="dxa"/>
            <w:gridSpan w:val="2"/>
            <w:shd w:val="clear" w:color="auto" w:fill="auto"/>
          </w:tcPr>
          <w:p w:rsidR="004D6216" w:rsidRPr="004D6216" w:rsidRDefault="00EA0BB8" w:rsidP="00A81617">
            <w:pPr>
              <w:pStyle w:val="Normal1linespace"/>
              <w:jc w:val="left"/>
            </w:pPr>
            <w:r>
              <w:t>11 May 2020</w:t>
            </w:r>
          </w:p>
        </w:tc>
      </w:tr>
      <w:bookmarkEnd w:id="4"/>
      <w:tr w:rsidR="004D6216" w:rsidTr="00C6432C">
        <w:tc>
          <w:tcPr>
            <w:tcW w:w="2835" w:type="dxa"/>
            <w:shd w:val="clear" w:color="auto" w:fill="auto"/>
          </w:tcPr>
          <w:p w:rsidR="004D6216" w:rsidRDefault="004D6216" w:rsidP="00A81617">
            <w:pPr>
              <w:pStyle w:val="Normal1linespace"/>
              <w:widowControl w:val="0"/>
              <w:jc w:val="left"/>
            </w:pPr>
          </w:p>
        </w:tc>
        <w:tc>
          <w:tcPr>
            <w:tcW w:w="6239" w:type="dxa"/>
            <w:gridSpan w:val="2"/>
            <w:shd w:val="clear" w:color="auto" w:fill="auto"/>
          </w:tcPr>
          <w:p w:rsidR="004D6216" w:rsidRDefault="004D6216" w:rsidP="004D6216">
            <w:pPr>
              <w:pStyle w:val="Normal1linespace"/>
              <w:widowControl w:val="0"/>
              <w:jc w:val="left"/>
            </w:pPr>
          </w:p>
        </w:tc>
      </w:tr>
      <w:tr w:rsidR="004D6216" w:rsidTr="00C6432C">
        <w:tc>
          <w:tcPr>
            <w:tcW w:w="2835" w:type="dxa"/>
            <w:shd w:val="clear" w:color="auto" w:fill="auto"/>
          </w:tcPr>
          <w:p w:rsidR="004D6216" w:rsidRDefault="004D6216" w:rsidP="00A81617">
            <w:pPr>
              <w:pStyle w:val="Normal1linespace"/>
              <w:widowControl w:val="0"/>
              <w:jc w:val="left"/>
            </w:pPr>
            <w:r>
              <w:t>Registry:</w:t>
            </w:r>
          </w:p>
        </w:tc>
        <w:tc>
          <w:tcPr>
            <w:tcW w:w="6239" w:type="dxa"/>
            <w:gridSpan w:val="2"/>
            <w:shd w:val="clear" w:color="auto" w:fill="auto"/>
          </w:tcPr>
          <w:p w:rsidR="004D6216" w:rsidRPr="00F17599" w:rsidRDefault="00155514" w:rsidP="004D6216">
            <w:pPr>
              <w:pStyle w:val="Normal1linespace"/>
              <w:widowControl w:val="0"/>
              <w:jc w:val="left"/>
            </w:pPr>
            <w:r>
              <w:fldChar w:fldCharType="begin" w:fldLock="1"/>
            </w:r>
            <w:r>
              <w:instrText xml:space="preserve"> DOCPROPERTY  Registry </w:instrText>
            </w:r>
            <w:r>
              <w:fldChar w:fldCharType="separate"/>
            </w:r>
            <w:r w:rsidR="004D6216">
              <w:t>Tasmania</w:t>
            </w:r>
            <w:r>
              <w:fldChar w:fldCharType="end"/>
            </w:r>
          </w:p>
        </w:tc>
      </w:tr>
      <w:tr w:rsidR="004D6216" w:rsidTr="00C6432C">
        <w:tc>
          <w:tcPr>
            <w:tcW w:w="2835" w:type="dxa"/>
            <w:shd w:val="clear" w:color="auto" w:fill="auto"/>
          </w:tcPr>
          <w:p w:rsidR="004D6216" w:rsidRDefault="004D6216" w:rsidP="00A81617">
            <w:pPr>
              <w:pStyle w:val="Normal1linespace"/>
              <w:widowControl w:val="0"/>
              <w:jc w:val="left"/>
            </w:pPr>
          </w:p>
        </w:tc>
        <w:tc>
          <w:tcPr>
            <w:tcW w:w="6239" w:type="dxa"/>
            <w:gridSpan w:val="2"/>
            <w:shd w:val="clear" w:color="auto" w:fill="auto"/>
          </w:tcPr>
          <w:p w:rsidR="004D6216" w:rsidRDefault="004D6216" w:rsidP="004D6216">
            <w:pPr>
              <w:pStyle w:val="Normal1linespace"/>
              <w:widowControl w:val="0"/>
              <w:jc w:val="left"/>
            </w:pPr>
          </w:p>
        </w:tc>
      </w:tr>
      <w:tr w:rsidR="004D6216" w:rsidTr="00C6432C">
        <w:tc>
          <w:tcPr>
            <w:tcW w:w="2835" w:type="dxa"/>
            <w:shd w:val="clear" w:color="auto" w:fill="auto"/>
          </w:tcPr>
          <w:p w:rsidR="004D6216" w:rsidRDefault="004D6216" w:rsidP="00A81617">
            <w:pPr>
              <w:pStyle w:val="Normal1linespace"/>
              <w:widowControl w:val="0"/>
              <w:jc w:val="left"/>
            </w:pPr>
            <w:r>
              <w:t>Division:</w:t>
            </w:r>
          </w:p>
        </w:tc>
        <w:tc>
          <w:tcPr>
            <w:tcW w:w="6239" w:type="dxa"/>
            <w:gridSpan w:val="2"/>
            <w:shd w:val="clear" w:color="auto" w:fill="auto"/>
          </w:tcPr>
          <w:p w:rsidR="004D6216" w:rsidRPr="00F17599" w:rsidRDefault="00155514" w:rsidP="004D6216">
            <w:pPr>
              <w:pStyle w:val="Normal1linespace"/>
              <w:widowControl w:val="0"/>
              <w:jc w:val="left"/>
            </w:pPr>
            <w:r>
              <w:fldChar w:fldCharType="begin" w:fldLock="1"/>
            </w:r>
            <w:r>
              <w:instrText xml:space="preserve"> DOCPROPERTY  Division </w:instrText>
            </w:r>
            <w:r>
              <w:fldChar w:fldCharType="separate"/>
            </w:r>
            <w:r w:rsidR="004D6216">
              <w:t>General Division</w:t>
            </w:r>
            <w:r>
              <w:fldChar w:fldCharType="end"/>
            </w:r>
          </w:p>
        </w:tc>
      </w:tr>
      <w:tr w:rsidR="004D6216" w:rsidTr="00C6432C">
        <w:tc>
          <w:tcPr>
            <w:tcW w:w="2835" w:type="dxa"/>
            <w:shd w:val="clear" w:color="auto" w:fill="auto"/>
          </w:tcPr>
          <w:p w:rsidR="004D6216" w:rsidRDefault="004D6216" w:rsidP="00A81617">
            <w:pPr>
              <w:pStyle w:val="Normal1linespace"/>
              <w:widowControl w:val="0"/>
              <w:jc w:val="left"/>
            </w:pPr>
          </w:p>
        </w:tc>
        <w:tc>
          <w:tcPr>
            <w:tcW w:w="6239" w:type="dxa"/>
            <w:gridSpan w:val="2"/>
            <w:shd w:val="clear" w:color="auto" w:fill="auto"/>
          </w:tcPr>
          <w:p w:rsidR="004D6216" w:rsidRPr="00F17599" w:rsidRDefault="004D6216" w:rsidP="004D6216">
            <w:pPr>
              <w:pStyle w:val="Normal1linespace"/>
              <w:widowControl w:val="0"/>
              <w:jc w:val="left"/>
              <w:rPr>
                <w:b/>
              </w:rPr>
            </w:pPr>
          </w:p>
        </w:tc>
      </w:tr>
      <w:tr w:rsidR="004D6216" w:rsidRPr="004D6216" w:rsidTr="00C6432C">
        <w:tc>
          <w:tcPr>
            <w:tcW w:w="2835" w:type="dxa"/>
            <w:shd w:val="clear" w:color="auto" w:fill="auto"/>
          </w:tcPr>
          <w:p w:rsidR="004D6216" w:rsidRPr="00AE7D26" w:rsidRDefault="004D6216" w:rsidP="00A81617">
            <w:pPr>
              <w:pStyle w:val="Normal1linespace"/>
              <w:widowControl w:val="0"/>
              <w:jc w:val="left"/>
            </w:pPr>
            <w:r w:rsidRPr="00AE7D26">
              <w:t>National Practice Area:</w:t>
            </w:r>
          </w:p>
        </w:tc>
        <w:tc>
          <w:tcPr>
            <w:tcW w:w="6239" w:type="dxa"/>
            <w:gridSpan w:val="2"/>
            <w:shd w:val="clear" w:color="auto" w:fill="auto"/>
          </w:tcPr>
          <w:p w:rsidR="004D6216" w:rsidRPr="00AE7D26" w:rsidRDefault="00EA0BB8" w:rsidP="00EA0BB8">
            <w:pPr>
              <w:pStyle w:val="Normal1linespace"/>
              <w:widowControl w:val="0"/>
              <w:jc w:val="left"/>
              <w:rPr>
                <w:b/>
              </w:rPr>
            </w:pPr>
            <w:r w:rsidRPr="00A81617">
              <w:t>Other Federal Jurisdiction</w:t>
            </w:r>
          </w:p>
        </w:tc>
      </w:tr>
      <w:tr w:rsidR="004D6216" w:rsidTr="00C6432C">
        <w:tc>
          <w:tcPr>
            <w:tcW w:w="2835" w:type="dxa"/>
            <w:shd w:val="clear" w:color="auto" w:fill="auto"/>
          </w:tcPr>
          <w:p w:rsidR="004D6216" w:rsidRPr="00AE7D26" w:rsidRDefault="004D6216" w:rsidP="00A81617">
            <w:pPr>
              <w:pStyle w:val="Normal1linespace"/>
              <w:widowControl w:val="0"/>
              <w:jc w:val="left"/>
            </w:pPr>
          </w:p>
        </w:tc>
        <w:tc>
          <w:tcPr>
            <w:tcW w:w="6239" w:type="dxa"/>
            <w:gridSpan w:val="2"/>
            <w:shd w:val="clear" w:color="auto" w:fill="auto"/>
          </w:tcPr>
          <w:p w:rsidR="004D6216" w:rsidRPr="00AE7D26" w:rsidRDefault="004D6216" w:rsidP="004D6216">
            <w:pPr>
              <w:pStyle w:val="Normal1linespace"/>
              <w:widowControl w:val="0"/>
              <w:jc w:val="left"/>
            </w:pPr>
          </w:p>
        </w:tc>
      </w:tr>
      <w:tr w:rsidR="004D6216" w:rsidTr="00C6432C">
        <w:tc>
          <w:tcPr>
            <w:tcW w:w="2835" w:type="dxa"/>
            <w:shd w:val="clear" w:color="auto" w:fill="auto"/>
          </w:tcPr>
          <w:p w:rsidR="004D6216" w:rsidRDefault="004D6216" w:rsidP="00A81617">
            <w:pPr>
              <w:pStyle w:val="Normal1linespace"/>
              <w:widowControl w:val="0"/>
              <w:jc w:val="left"/>
            </w:pPr>
            <w:r>
              <w:t>Category:</w:t>
            </w:r>
          </w:p>
        </w:tc>
        <w:tc>
          <w:tcPr>
            <w:tcW w:w="6239" w:type="dxa"/>
            <w:gridSpan w:val="2"/>
            <w:shd w:val="clear" w:color="auto" w:fill="auto"/>
          </w:tcPr>
          <w:p w:rsidR="004D6216" w:rsidRDefault="00EA0BB8" w:rsidP="004D6216">
            <w:pPr>
              <w:pStyle w:val="Normal1linespace"/>
              <w:widowControl w:val="0"/>
              <w:jc w:val="left"/>
            </w:pPr>
            <w:r>
              <w:t>Catchwords</w:t>
            </w:r>
          </w:p>
        </w:tc>
      </w:tr>
      <w:tr w:rsidR="004D6216" w:rsidTr="00C6432C">
        <w:tc>
          <w:tcPr>
            <w:tcW w:w="2835" w:type="dxa"/>
            <w:shd w:val="clear" w:color="auto" w:fill="auto"/>
          </w:tcPr>
          <w:p w:rsidR="004D6216" w:rsidRDefault="004D6216" w:rsidP="00A81617">
            <w:pPr>
              <w:pStyle w:val="Normal1linespace"/>
              <w:widowControl w:val="0"/>
              <w:jc w:val="left"/>
            </w:pPr>
          </w:p>
        </w:tc>
        <w:tc>
          <w:tcPr>
            <w:tcW w:w="6239" w:type="dxa"/>
            <w:gridSpan w:val="2"/>
            <w:shd w:val="clear" w:color="auto" w:fill="auto"/>
          </w:tcPr>
          <w:p w:rsidR="004D6216" w:rsidRDefault="004D6216" w:rsidP="004D6216">
            <w:pPr>
              <w:pStyle w:val="Normal1linespace"/>
              <w:widowControl w:val="0"/>
              <w:jc w:val="left"/>
            </w:pPr>
          </w:p>
        </w:tc>
      </w:tr>
      <w:tr w:rsidR="004D6216" w:rsidTr="00C6432C">
        <w:tc>
          <w:tcPr>
            <w:tcW w:w="2835" w:type="dxa"/>
            <w:shd w:val="clear" w:color="auto" w:fill="auto"/>
          </w:tcPr>
          <w:p w:rsidR="004D6216" w:rsidRDefault="004D6216" w:rsidP="00C6432C">
            <w:pPr>
              <w:pStyle w:val="Normal1linespace"/>
              <w:jc w:val="left"/>
            </w:pPr>
            <w:r>
              <w:t>Number of paragraphs:</w:t>
            </w:r>
          </w:p>
        </w:tc>
        <w:tc>
          <w:tcPr>
            <w:tcW w:w="6239" w:type="dxa"/>
            <w:gridSpan w:val="2"/>
            <w:shd w:val="clear" w:color="auto" w:fill="auto"/>
          </w:tcPr>
          <w:p w:rsidR="004D6216" w:rsidRDefault="004D6216" w:rsidP="00C6432C">
            <w:pPr>
              <w:pStyle w:val="Normal1linespace"/>
              <w:jc w:val="left"/>
            </w:pPr>
            <w:bookmarkStart w:id="6" w:name="PlaceCategoryParagraphs"/>
            <w:r>
              <w:t>12</w:t>
            </w:r>
            <w:bookmarkEnd w:id="6"/>
          </w:p>
        </w:tc>
      </w:tr>
      <w:tr w:rsidR="004F13D5" w:rsidTr="00C6432C">
        <w:tc>
          <w:tcPr>
            <w:tcW w:w="2835" w:type="dxa"/>
            <w:shd w:val="clear" w:color="auto" w:fill="auto"/>
          </w:tcPr>
          <w:p w:rsidR="004F13D5" w:rsidRDefault="004F13D5" w:rsidP="00C6432C">
            <w:pPr>
              <w:pStyle w:val="Normal1linespace"/>
              <w:jc w:val="left"/>
            </w:pPr>
          </w:p>
        </w:tc>
        <w:tc>
          <w:tcPr>
            <w:tcW w:w="6239" w:type="dxa"/>
            <w:gridSpan w:val="2"/>
            <w:shd w:val="clear" w:color="auto" w:fill="auto"/>
          </w:tcPr>
          <w:p w:rsidR="004F13D5" w:rsidRDefault="004F13D5" w:rsidP="00C6432C">
            <w:pPr>
              <w:pStyle w:val="Normal1linespace"/>
              <w:jc w:val="left"/>
            </w:pPr>
          </w:p>
        </w:tc>
      </w:tr>
      <w:tr w:rsidR="004F13D5" w:rsidTr="00C6432C">
        <w:tc>
          <w:tcPr>
            <w:tcW w:w="2835" w:type="dxa"/>
            <w:shd w:val="clear" w:color="auto" w:fill="auto"/>
          </w:tcPr>
          <w:p w:rsidR="004F13D5" w:rsidRDefault="004F13D5" w:rsidP="00C6432C">
            <w:pPr>
              <w:pStyle w:val="Normal1linespace"/>
              <w:jc w:val="left"/>
            </w:pPr>
            <w:bookmarkStart w:id="7" w:name="AppCounsel"/>
            <w:bookmarkEnd w:id="3"/>
            <w:bookmarkEnd w:id="7"/>
            <w:r>
              <w:t>Counsel for the Appellant:</w:t>
            </w:r>
          </w:p>
        </w:tc>
        <w:tc>
          <w:tcPr>
            <w:tcW w:w="6239" w:type="dxa"/>
            <w:gridSpan w:val="2"/>
            <w:shd w:val="clear" w:color="auto" w:fill="auto"/>
          </w:tcPr>
          <w:p w:rsidR="004F13D5" w:rsidRDefault="004F13D5" w:rsidP="00C6432C">
            <w:pPr>
              <w:pStyle w:val="Normal1linespace"/>
              <w:jc w:val="left"/>
            </w:pPr>
            <w:r>
              <w:t>Mr M Pearce SC with Mr D Deller</w:t>
            </w:r>
          </w:p>
        </w:tc>
      </w:tr>
      <w:tr w:rsidR="004F13D5" w:rsidTr="00C6432C">
        <w:tc>
          <w:tcPr>
            <w:tcW w:w="2835" w:type="dxa"/>
            <w:shd w:val="clear" w:color="auto" w:fill="auto"/>
          </w:tcPr>
          <w:p w:rsidR="004F13D5" w:rsidRDefault="004F13D5" w:rsidP="00C6432C">
            <w:pPr>
              <w:pStyle w:val="Normal1linespace"/>
              <w:jc w:val="left"/>
            </w:pPr>
          </w:p>
        </w:tc>
        <w:tc>
          <w:tcPr>
            <w:tcW w:w="6239" w:type="dxa"/>
            <w:gridSpan w:val="2"/>
            <w:shd w:val="clear" w:color="auto" w:fill="auto"/>
          </w:tcPr>
          <w:p w:rsidR="004F13D5" w:rsidRDefault="004F13D5" w:rsidP="00C6432C">
            <w:pPr>
              <w:pStyle w:val="Normal1linespace"/>
              <w:jc w:val="left"/>
            </w:pPr>
          </w:p>
        </w:tc>
      </w:tr>
      <w:tr w:rsidR="004F13D5" w:rsidTr="00C6432C">
        <w:tc>
          <w:tcPr>
            <w:tcW w:w="2835" w:type="dxa"/>
            <w:shd w:val="clear" w:color="auto" w:fill="auto"/>
          </w:tcPr>
          <w:p w:rsidR="004F13D5" w:rsidRDefault="004F13D5" w:rsidP="00C6432C">
            <w:pPr>
              <w:pStyle w:val="Normal1linespace"/>
              <w:jc w:val="left"/>
            </w:pPr>
            <w:r>
              <w:t>Solicitor for the Appellant:</w:t>
            </w:r>
          </w:p>
        </w:tc>
        <w:tc>
          <w:tcPr>
            <w:tcW w:w="6239" w:type="dxa"/>
            <w:gridSpan w:val="2"/>
            <w:shd w:val="clear" w:color="auto" w:fill="auto"/>
          </w:tcPr>
          <w:p w:rsidR="004F13D5" w:rsidRDefault="004F13D5" w:rsidP="00C6432C">
            <w:pPr>
              <w:pStyle w:val="Normal1linespace"/>
              <w:jc w:val="left"/>
            </w:pPr>
            <w:proofErr w:type="spellStart"/>
            <w:r>
              <w:t>Keypoint</w:t>
            </w:r>
            <w:proofErr w:type="spellEnd"/>
            <w:r>
              <w:t xml:space="preserve"> Law</w:t>
            </w:r>
          </w:p>
        </w:tc>
      </w:tr>
      <w:tr w:rsidR="004F13D5" w:rsidTr="00C6432C">
        <w:tc>
          <w:tcPr>
            <w:tcW w:w="2835" w:type="dxa"/>
            <w:shd w:val="clear" w:color="auto" w:fill="auto"/>
          </w:tcPr>
          <w:p w:rsidR="004F13D5" w:rsidRDefault="004F13D5" w:rsidP="00C6432C">
            <w:pPr>
              <w:pStyle w:val="Normal1linespace"/>
              <w:jc w:val="left"/>
            </w:pPr>
          </w:p>
        </w:tc>
        <w:tc>
          <w:tcPr>
            <w:tcW w:w="6239" w:type="dxa"/>
            <w:gridSpan w:val="2"/>
            <w:shd w:val="clear" w:color="auto" w:fill="auto"/>
          </w:tcPr>
          <w:p w:rsidR="004F13D5" w:rsidRDefault="004F13D5" w:rsidP="00C6432C">
            <w:pPr>
              <w:pStyle w:val="Normal1linespace"/>
              <w:jc w:val="left"/>
            </w:pPr>
          </w:p>
        </w:tc>
      </w:tr>
      <w:tr w:rsidR="004F13D5" w:rsidTr="00C6432C">
        <w:tc>
          <w:tcPr>
            <w:tcW w:w="2835" w:type="dxa"/>
            <w:shd w:val="clear" w:color="auto" w:fill="auto"/>
          </w:tcPr>
          <w:p w:rsidR="004F13D5" w:rsidRDefault="004F13D5" w:rsidP="00C6432C">
            <w:pPr>
              <w:pStyle w:val="Normal1linespace"/>
              <w:jc w:val="left"/>
            </w:pPr>
            <w:r>
              <w:t>Counsel for the First, Second and Third Respondents:</w:t>
            </w:r>
          </w:p>
        </w:tc>
        <w:tc>
          <w:tcPr>
            <w:tcW w:w="6239" w:type="dxa"/>
            <w:gridSpan w:val="2"/>
            <w:shd w:val="clear" w:color="auto" w:fill="auto"/>
          </w:tcPr>
          <w:p w:rsidR="004F13D5" w:rsidRDefault="004F13D5" w:rsidP="00C6432C">
            <w:pPr>
              <w:pStyle w:val="Normal1linespace"/>
              <w:jc w:val="left"/>
            </w:pPr>
            <w:r>
              <w:t>Mr P Jackson SC with Ms K Cuthbertson</w:t>
            </w:r>
          </w:p>
        </w:tc>
      </w:tr>
      <w:tr w:rsidR="004F13D5" w:rsidTr="00C6432C">
        <w:tc>
          <w:tcPr>
            <w:tcW w:w="2835" w:type="dxa"/>
            <w:shd w:val="clear" w:color="auto" w:fill="auto"/>
          </w:tcPr>
          <w:p w:rsidR="004F13D5" w:rsidRDefault="004F13D5" w:rsidP="00C6432C">
            <w:pPr>
              <w:pStyle w:val="Normal1linespace"/>
              <w:jc w:val="left"/>
            </w:pPr>
          </w:p>
        </w:tc>
        <w:tc>
          <w:tcPr>
            <w:tcW w:w="6239" w:type="dxa"/>
            <w:gridSpan w:val="2"/>
            <w:shd w:val="clear" w:color="auto" w:fill="auto"/>
          </w:tcPr>
          <w:p w:rsidR="004F13D5" w:rsidRDefault="004F13D5" w:rsidP="00C6432C">
            <w:pPr>
              <w:pStyle w:val="Normal1linespace"/>
              <w:jc w:val="left"/>
            </w:pPr>
          </w:p>
        </w:tc>
      </w:tr>
      <w:tr w:rsidR="004F13D5" w:rsidTr="00C6432C">
        <w:tc>
          <w:tcPr>
            <w:tcW w:w="2835" w:type="dxa"/>
            <w:shd w:val="clear" w:color="auto" w:fill="auto"/>
          </w:tcPr>
          <w:p w:rsidR="004F13D5" w:rsidRDefault="004F13D5" w:rsidP="00C6432C">
            <w:pPr>
              <w:pStyle w:val="Normal1linespace"/>
              <w:jc w:val="left"/>
            </w:pPr>
            <w:r>
              <w:t>Solicitor for the First, Second and Third Respondents:</w:t>
            </w:r>
          </w:p>
        </w:tc>
        <w:tc>
          <w:tcPr>
            <w:tcW w:w="6239" w:type="dxa"/>
            <w:gridSpan w:val="2"/>
            <w:shd w:val="clear" w:color="auto" w:fill="auto"/>
          </w:tcPr>
          <w:p w:rsidR="004F13D5" w:rsidRDefault="004F13D5" w:rsidP="00C6432C">
            <w:pPr>
              <w:pStyle w:val="Normal1linespace"/>
              <w:jc w:val="left"/>
            </w:pPr>
            <w:proofErr w:type="spellStart"/>
            <w:r>
              <w:t>Tremayne</w:t>
            </w:r>
            <w:proofErr w:type="spellEnd"/>
            <w:r>
              <w:t xml:space="preserve"> Fay </w:t>
            </w:r>
            <w:proofErr w:type="spellStart"/>
            <w:r>
              <w:t>Rheinberger</w:t>
            </w:r>
            <w:proofErr w:type="spellEnd"/>
            <w:r>
              <w:t xml:space="preserve"> Lawyers</w:t>
            </w:r>
          </w:p>
        </w:tc>
      </w:tr>
      <w:tr w:rsidR="004F13D5" w:rsidTr="00C6432C">
        <w:tc>
          <w:tcPr>
            <w:tcW w:w="2835" w:type="dxa"/>
            <w:shd w:val="clear" w:color="auto" w:fill="auto"/>
          </w:tcPr>
          <w:p w:rsidR="004F13D5" w:rsidRDefault="004F13D5" w:rsidP="00C6432C">
            <w:pPr>
              <w:pStyle w:val="Normal1linespace"/>
              <w:jc w:val="left"/>
            </w:pPr>
          </w:p>
        </w:tc>
        <w:tc>
          <w:tcPr>
            <w:tcW w:w="6239" w:type="dxa"/>
            <w:gridSpan w:val="2"/>
            <w:shd w:val="clear" w:color="auto" w:fill="auto"/>
          </w:tcPr>
          <w:p w:rsidR="004F13D5" w:rsidRDefault="004F13D5" w:rsidP="00C6432C">
            <w:pPr>
              <w:pStyle w:val="Normal1linespace"/>
              <w:jc w:val="left"/>
            </w:pPr>
          </w:p>
        </w:tc>
      </w:tr>
      <w:tr w:rsidR="004F13D5" w:rsidTr="00C6432C">
        <w:tc>
          <w:tcPr>
            <w:tcW w:w="2835" w:type="dxa"/>
            <w:shd w:val="clear" w:color="auto" w:fill="auto"/>
          </w:tcPr>
          <w:p w:rsidR="004F13D5" w:rsidRDefault="004F13D5" w:rsidP="00C6432C">
            <w:pPr>
              <w:pStyle w:val="Normal1linespace"/>
              <w:jc w:val="left"/>
            </w:pPr>
            <w:r>
              <w:t>Counsel for the Fourth Respondent:</w:t>
            </w:r>
          </w:p>
        </w:tc>
        <w:tc>
          <w:tcPr>
            <w:tcW w:w="6239" w:type="dxa"/>
            <w:gridSpan w:val="2"/>
            <w:shd w:val="clear" w:color="auto" w:fill="auto"/>
          </w:tcPr>
          <w:p w:rsidR="004F13D5" w:rsidRDefault="004F13D5" w:rsidP="00C6432C">
            <w:pPr>
              <w:pStyle w:val="Normal1linespace"/>
              <w:jc w:val="left"/>
            </w:pPr>
            <w:r>
              <w:t xml:space="preserve">Mr C </w:t>
            </w:r>
            <w:proofErr w:type="spellStart"/>
            <w:r>
              <w:t>Gunson</w:t>
            </w:r>
            <w:proofErr w:type="spellEnd"/>
            <w:r>
              <w:t xml:space="preserve"> SC with Ms B Myers </w:t>
            </w:r>
          </w:p>
        </w:tc>
      </w:tr>
      <w:tr w:rsidR="004F13D5" w:rsidTr="00C6432C">
        <w:tc>
          <w:tcPr>
            <w:tcW w:w="2835" w:type="dxa"/>
            <w:shd w:val="clear" w:color="auto" w:fill="auto"/>
          </w:tcPr>
          <w:p w:rsidR="004F13D5" w:rsidRDefault="004F13D5" w:rsidP="00C6432C">
            <w:pPr>
              <w:pStyle w:val="Normal1linespace"/>
              <w:jc w:val="left"/>
            </w:pPr>
          </w:p>
        </w:tc>
        <w:tc>
          <w:tcPr>
            <w:tcW w:w="6239" w:type="dxa"/>
            <w:gridSpan w:val="2"/>
            <w:shd w:val="clear" w:color="auto" w:fill="auto"/>
          </w:tcPr>
          <w:p w:rsidR="004F13D5" w:rsidRDefault="004F13D5" w:rsidP="00C6432C">
            <w:pPr>
              <w:pStyle w:val="Normal1linespace"/>
              <w:jc w:val="left"/>
            </w:pPr>
          </w:p>
        </w:tc>
      </w:tr>
      <w:tr w:rsidR="004F13D5" w:rsidTr="00C6432C">
        <w:tc>
          <w:tcPr>
            <w:tcW w:w="2835" w:type="dxa"/>
            <w:shd w:val="clear" w:color="auto" w:fill="auto"/>
          </w:tcPr>
          <w:p w:rsidR="004F13D5" w:rsidRDefault="004F13D5" w:rsidP="00C6432C">
            <w:pPr>
              <w:pStyle w:val="Normal1linespace"/>
              <w:jc w:val="left"/>
            </w:pPr>
            <w:r>
              <w:t>Solicitor for the Fourth Respondent:</w:t>
            </w:r>
          </w:p>
        </w:tc>
        <w:tc>
          <w:tcPr>
            <w:tcW w:w="6239" w:type="dxa"/>
            <w:gridSpan w:val="2"/>
            <w:shd w:val="clear" w:color="auto" w:fill="auto"/>
          </w:tcPr>
          <w:p w:rsidR="004F13D5" w:rsidRDefault="004F13D5" w:rsidP="00C6432C">
            <w:pPr>
              <w:pStyle w:val="Normal1linespace"/>
              <w:jc w:val="left"/>
            </w:pPr>
            <w:r>
              <w:t xml:space="preserve">Lander &amp; Rogers </w:t>
            </w:r>
          </w:p>
        </w:tc>
      </w:tr>
      <w:tr w:rsidR="004F13D5" w:rsidTr="00C6432C">
        <w:tc>
          <w:tcPr>
            <w:tcW w:w="2835" w:type="dxa"/>
            <w:shd w:val="clear" w:color="auto" w:fill="auto"/>
          </w:tcPr>
          <w:p w:rsidR="004F13D5" w:rsidRDefault="004F13D5" w:rsidP="00C6432C">
            <w:pPr>
              <w:pStyle w:val="Normal1linespace"/>
              <w:jc w:val="left"/>
            </w:pPr>
          </w:p>
        </w:tc>
        <w:tc>
          <w:tcPr>
            <w:tcW w:w="6239" w:type="dxa"/>
            <w:gridSpan w:val="2"/>
            <w:shd w:val="clear" w:color="auto" w:fill="auto"/>
          </w:tcPr>
          <w:p w:rsidR="004F13D5" w:rsidRDefault="004F13D5" w:rsidP="00C6432C">
            <w:pPr>
              <w:pStyle w:val="Normal1linespace"/>
              <w:jc w:val="left"/>
            </w:pPr>
          </w:p>
        </w:tc>
      </w:tr>
      <w:tr w:rsidR="004F13D5" w:rsidTr="00C6432C">
        <w:tc>
          <w:tcPr>
            <w:tcW w:w="2835" w:type="dxa"/>
            <w:shd w:val="clear" w:color="auto" w:fill="auto"/>
          </w:tcPr>
          <w:p w:rsidR="004F13D5" w:rsidRDefault="004F13D5" w:rsidP="00C6432C">
            <w:pPr>
              <w:pStyle w:val="Normal1linespace"/>
              <w:jc w:val="left"/>
            </w:pPr>
            <w:r>
              <w:t>Counsel for the Fifth Respondent:</w:t>
            </w:r>
          </w:p>
        </w:tc>
        <w:tc>
          <w:tcPr>
            <w:tcW w:w="6239" w:type="dxa"/>
            <w:gridSpan w:val="2"/>
            <w:shd w:val="clear" w:color="auto" w:fill="auto"/>
          </w:tcPr>
          <w:p w:rsidR="004F13D5" w:rsidRDefault="004F13D5" w:rsidP="00C6432C">
            <w:pPr>
              <w:pStyle w:val="Normal1linespace"/>
              <w:jc w:val="left"/>
            </w:pPr>
            <w:r>
              <w:t xml:space="preserve">Mr S </w:t>
            </w:r>
            <w:proofErr w:type="spellStart"/>
            <w:r>
              <w:t>McElwaine</w:t>
            </w:r>
            <w:proofErr w:type="spellEnd"/>
            <w:r>
              <w:t xml:space="preserve"> SC</w:t>
            </w:r>
          </w:p>
        </w:tc>
      </w:tr>
      <w:tr w:rsidR="004F13D5" w:rsidTr="00C6432C">
        <w:tc>
          <w:tcPr>
            <w:tcW w:w="2835" w:type="dxa"/>
            <w:shd w:val="clear" w:color="auto" w:fill="auto"/>
          </w:tcPr>
          <w:p w:rsidR="004F13D5" w:rsidRDefault="004F13D5" w:rsidP="00C6432C">
            <w:pPr>
              <w:pStyle w:val="Normal1linespace"/>
              <w:jc w:val="left"/>
            </w:pPr>
          </w:p>
        </w:tc>
        <w:tc>
          <w:tcPr>
            <w:tcW w:w="6239" w:type="dxa"/>
            <w:gridSpan w:val="2"/>
            <w:shd w:val="clear" w:color="auto" w:fill="auto"/>
          </w:tcPr>
          <w:p w:rsidR="004F13D5" w:rsidRDefault="004F13D5" w:rsidP="00C6432C">
            <w:pPr>
              <w:pStyle w:val="Normal1linespace"/>
              <w:jc w:val="left"/>
            </w:pPr>
          </w:p>
        </w:tc>
      </w:tr>
      <w:tr w:rsidR="004F13D5" w:rsidTr="00C6432C">
        <w:tc>
          <w:tcPr>
            <w:tcW w:w="2835" w:type="dxa"/>
            <w:shd w:val="clear" w:color="auto" w:fill="auto"/>
          </w:tcPr>
          <w:p w:rsidR="004F13D5" w:rsidRDefault="004F13D5" w:rsidP="00C6432C">
            <w:pPr>
              <w:pStyle w:val="Normal1linespace"/>
              <w:jc w:val="left"/>
            </w:pPr>
            <w:r>
              <w:t>Solicitor for the Fifth Respondent:</w:t>
            </w:r>
          </w:p>
        </w:tc>
        <w:tc>
          <w:tcPr>
            <w:tcW w:w="6239" w:type="dxa"/>
            <w:gridSpan w:val="2"/>
            <w:shd w:val="clear" w:color="auto" w:fill="auto"/>
          </w:tcPr>
          <w:p w:rsidR="004F13D5" w:rsidRDefault="004F13D5" w:rsidP="00C6432C">
            <w:pPr>
              <w:pStyle w:val="Normal1linespace"/>
              <w:jc w:val="left"/>
            </w:pPr>
            <w:r>
              <w:t xml:space="preserve">Shaun </w:t>
            </w:r>
            <w:proofErr w:type="spellStart"/>
            <w:r>
              <w:t>McElwaine</w:t>
            </w:r>
            <w:proofErr w:type="spellEnd"/>
            <w:r>
              <w:t xml:space="preserve"> &amp; Associates</w:t>
            </w:r>
          </w:p>
        </w:tc>
      </w:tr>
    </w:tbl>
    <w:p w:rsidR="00395B24" w:rsidRDefault="00395B24">
      <w:pPr>
        <w:pStyle w:val="Normal1linespace"/>
      </w:pPr>
    </w:p>
    <w:p w:rsidR="0092590B" w:rsidRDefault="0092590B">
      <w:pPr>
        <w:pStyle w:val="Normal1linespace"/>
      </w:pPr>
    </w:p>
    <w:p w:rsidR="00395B24" w:rsidRDefault="00395B24">
      <w:pPr>
        <w:pStyle w:val="Normal1linespace"/>
        <w:sectPr w:rsidR="00395B24">
          <w:footerReference w:type="first" r:id="rId8"/>
          <w:endnotePr>
            <w:numFmt w:val="decimal"/>
          </w:endnotePr>
          <w:type w:val="continuous"/>
          <w:pgSz w:w="11907" w:h="16840" w:code="9"/>
          <w:pgMar w:top="1440" w:right="1440" w:bottom="1440" w:left="1440" w:header="851" w:footer="851" w:gutter="0"/>
          <w:pgNumType w:start="1"/>
          <w:cols w:space="720"/>
          <w:noEndnote/>
          <w:titlePg/>
        </w:sectPr>
      </w:pPr>
    </w:p>
    <w:p w:rsidR="008C7167" w:rsidRPr="00045BB7" w:rsidRDefault="0011419D" w:rsidP="00045BB7">
      <w:pPr>
        <w:pStyle w:val="NormalHeadings"/>
        <w:spacing w:line="480" w:lineRule="auto"/>
        <w:jc w:val="center"/>
        <w:rPr>
          <w:sz w:val="28"/>
          <w:szCs w:val="28"/>
        </w:rPr>
      </w:pPr>
      <w:r w:rsidRPr="00045BB7">
        <w:rPr>
          <w:sz w:val="28"/>
          <w:szCs w:val="28"/>
        </w:rPr>
        <w:lastRenderedPageBreak/>
        <w:t>ORDERS</w:t>
      </w:r>
    </w:p>
    <w:tbl>
      <w:tblPr>
        <w:tblW w:w="0" w:type="auto"/>
        <w:tblLayout w:type="fixed"/>
        <w:tblLook w:val="0000" w:firstRow="0" w:lastRow="0" w:firstColumn="0" w:lastColumn="0" w:noHBand="0" w:noVBand="0"/>
        <w:tblCaption w:val="Parties"/>
        <w:tblDescription w:val="Parties"/>
      </w:tblPr>
      <w:tblGrid>
        <w:gridCol w:w="2376"/>
        <w:gridCol w:w="4536"/>
        <w:gridCol w:w="2330"/>
      </w:tblGrid>
      <w:tr w:rsidR="00A46CCC" w:rsidTr="00E81DA6">
        <w:tc>
          <w:tcPr>
            <w:tcW w:w="6912" w:type="dxa"/>
            <w:gridSpan w:val="2"/>
          </w:tcPr>
          <w:p w:rsidR="00A46CCC" w:rsidRPr="001765E0" w:rsidRDefault="00A46CCC" w:rsidP="00525A49">
            <w:pPr>
              <w:pStyle w:val="NormalHeadings"/>
            </w:pPr>
          </w:p>
        </w:tc>
        <w:tc>
          <w:tcPr>
            <w:tcW w:w="2330" w:type="dxa"/>
          </w:tcPr>
          <w:p w:rsidR="00A46CCC" w:rsidRDefault="000E7EF4" w:rsidP="00F92355">
            <w:pPr>
              <w:pStyle w:val="NormalHeadings"/>
              <w:jc w:val="right"/>
            </w:pPr>
            <w:bookmarkStart w:id="8" w:name="FileNo"/>
            <w:r>
              <w:t>TAD 28 of 2018</w:t>
            </w:r>
            <w:bookmarkEnd w:id="8"/>
          </w:p>
        </w:tc>
      </w:tr>
      <w:tr w:rsidR="00A76C13" w:rsidTr="00F461A4">
        <w:tc>
          <w:tcPr>
            <w:tcW w:w="9242" w:type="dxa"/>
            <w:gridSpan w:val="3"/>
          </w:tcPr>
          <w:p w:rsidR="00A76C13" w:rsidRPr="00A76C13" w:rsidRDefault="000E7EF4" w:rsidP="000E7EF4">
            <w:pPr>
              <w:pStyle w:val="NormalHeadings"/>
              <w:jc w:val="left"/>
            </w:pPr>
            <w:bookmarkStart w:id="9" w:name="InTheMatterOf"/>
            <w:r>
              <w:t xml:space="preserve"> </w:t>
            </w:r>
            <w:bookmarkEnd w:id="9"/>
          </w:p>
        </w:tc>
      </w:tr>
      <w:tr w:rsidR="00A46CCC" w:rsidTr="005041F0">
        <w:trPr>
          <w:trHeight w:val="386"/>
        </w:trPr>
        <w:tc>
          <w:tcPr>
            <w:tcW w:w="2376" w:type="dxa"/>
          </w:tcPr>
          <w:p w:rsidR="00A46CCC" w:rsidRDefault="00A46CCC" w:rsidP="005041F0">
            <w:pPr>
              <w:pStyle w:val="NormalHeadings"/>
              <w:jc w:val="left"/>
              <w:rPr>
                <w:caps/>
                <w:szCs w:val="24"/>
              </w:rPr>
            </w:pPr>
            <w:bookmarkStart w:id="10" w:name="Parties"/>
            <w:r>
              <w:rPr>
                <w:caps/>
                <w:szCs w:val="24"/>
              </w:rPr>
              <w:t>BETWEEN:</w:t>
            </w:r>
          </w:p>
        </w:tc>
        <w:tc>
          <w:tcPr>
            <w:tcW w:w="6866" w:type="dxa"/>
            <w:gridSpan w:val="2"/>
          </w:tcPr>
          <w:p w:rsidR="000E7EF4" w:rsidRDefault="000E7EF4" w:rsidP="000E7EF4">
            <w:pPr>
              <w:pStyle w:val="NormalHeadings"/>
              <w:jc w:val="left"/>
            </w:pPr>
            <w:bookmarkStart w:id="11" w:name="Applicant"/>
            <w:r>
              <w:t>JADWAN PTY LTD</w:t>
            </w:r>
          </w:p>
          <w:p w:rsidR="000E7EF4" w:rsidRDefault="000E7EF4" w:rsidP="000E7EF4">
            <w:pPr>
              <w:pStyle w:val="PartyType"/>
            </w:pPr>
            <w:r>
              <w:t>Appellant</w:t>
            </w:r>
          </w:p>
          <w:bookmarkEnd w:id="11"/>
          <w:p w:rsidR="00A46CCC" w:rsidRPr="006555B4" w:rsidRDefault="00A46CCC" w:rsidP="005041F0">
            <w:pPr>
              <w:pStyle w:val="NormalHeadings"/>
              <w:jc w:val="left"/>
            </w:pPr>
          </w:p>
        </w:tc>
      </w:tr>
      <w:tr w:rsidR="00A46CCC" w:rsidTr="005041F0">
        <w:trPr>
          <w:trHeight w:val="386"/>
        </w:trPr>
        <w:tc>
          <w:tcPr>
            <w:tcW w:w="2376" w:type="dxa"/>
          </w:tcPr>
          <w:p w:rsidR="00A46CCC" w:rsidRDefault="00A46CCC" w:rsidP="005041F0">
            <w:pPr>
              <w:pStyle w:val="NormalHeadings"/>
              <w:jc w:val="left"/>
              <w:rPr>
                <w:caps/>
                <w:szCs w:val="24"/>
              </w:rPr>
            </w:pPr>
            <w:r>
              <w:rPr>
                <w:caps/>
                <w:szCs w:val="24"/>
              </w:rPr>
              <w:t>AND:</w:t>
            </w:r>
          </w:p>
        </w:tc>
        <w:tc>
          <w:tcPr>
            <w:tcW w:w="6866" w:type="dxa"/>
            <w:gridSpan w:val="2"/>
          </w:tcPr>
          <w:p w:rsidR="000E7EF4" w:rsidRDefault="000E7EF4" w:rsidP="000E7EF4">
            <w:pPr>
              <w:pStyle w:val="NormalHeadings"/>
              <w:jc w:val="left"/>
            </w:pPr>
            <w:bookmarkStart w:id="12" w:name="Respondent"/>
            <w:r>
              <w:t>RAE &amp; PARTNERS (A FIRM)</w:t>
            </w:r>
          </w:p>
          <w:p w:rsidR="000E7EF4" w:rsidRDefault="000E7EF4" w:rsidP="000E7EF4">
            <w:pPr>
              <w:pStyle w:val="PartyType"/>
            </w:pPr>
            <w:r>
              <w:t>First Respondent</w:t>
            </w:r>
          </w:p>
          <w:p w:rsidR="000E7EF4" w:rsidRDefault="000E7EF4" w:rsidP="005041F0">
            <w:pPr>
              <w:pStyle w:val="NormalHeadings"/>
              <w:jc w:val="left"/>
              <w:rPr>
                <w:szCs w:val="24"/>
              </w:rPr>
            </w:pPr>
          </w:p>
          <w:p w:rsidR="000E7EF4" w:rsidRDefault="000E7EF4" w:rsidP="000E7EF4">
            <w:pPr>
              <w:pStyle w:val="NormalHeadings"/>
              <w:jc w:val="left"/>
            </w:pPr>
            <w:r>
              <w:t>WILSON DOWD (A FIRM)</w:t>
            </w:r>
          </w:p>
          <w:p w:rsidR="000E7EF4" w:rsidRDefault="000E7EF4" w:rsidP="000E7EF4">
            <w:pPr>
              <w:pStyle w:val="PartyType"/>
            </w:pPr>
            <w:r>
              <w:t>Second Respondent</w:t>
            </w:r>
          </w:p>
          <w:p w:rsidR="000E7EF4" w:rsidRDefault="000E7EF4" w:rsidP="005041F0">
            <w:pPr>
              <w:pStyle w:val="NormalHeadings"/>
              <w:jc w:val="left"/>
              <w:rPr>
                <w:szCs w:val="24"/>
              </w:rPr>
            </w:pPr>
          </w:p>
          <w:p w:rsidR="000E7EF4" w:rsidRDefault="000E7EF4" w:rsidP="000E7EF4">
            <w:pPr>
              <w:pStyle w:val="NormalHeadings"/>
              <w:jc w:val="left"/>
            </w:pPr>
            <w:r>
              <w:t xml:space="preserve">TOOMEY MANING &amp; CO (A FIRM) </w:t>
            </w:r>
            <w:r w:rsidRPr="000E7EF4">
              <w:rPr>
                <w:b w:val="0"/>
              </w:rPr>
              <w:t>(and others named in the Schedule)</w:t>
            </w:r>
          </w:p>
          <w:p w:rsidR="000E7EF4" w:rsidRDefault="000E7EF4" w:rsidP="000E7EF4">
            <w:pPr>
              <w:pStyle w:val="PartyType"/>
            </w:pPr>
            <w:r>
              <w:t>Third Respondent</w:t>
            </w:r>
          </w:p>
          <w:bookmarkEnd w:id="12"/>
          <w:p w:rsidR="00A46CCC" w:rsidRPr="006555B4" w:rsidRDefault="00A46CCC" w:rsidP="005041F0">
            <w:pPr>
              <w:pStyle w:val="NormalHeadings"/>
              <w:jc w:val="left"/>
            </w:pPr>
          </w:p>
        </w:tc>
      </w:tr>
    </w:tbl>
    <w:p w:rsidR="00395B24" w:rsidRDefault="00395B24">
      <w:pPr>
        <w:pStyle w:val="NormalHeadings"/>
      </w:pPr>
      <w:bookmarkStart w:id="13" w:name="CrossClaimPosition"/>
      <w:bookmarkEnd w:id="10"/>
      <w:bookmarkEnd w:id="13"/>
    </w:p>
    <w:tbl>
      <w:tblPr>
        <w:tblW w:w="0" w:type="auto"/>
        <w:tblLayout w:type="fixed"/>
        <w:tblLook w:val="0000" w:firstRow="0" w:lastRow="0" w:firstColumn="0" w:lastColumn="0" w:noHBand="0" w:noVBand="0"/>
        <w:tblCaption w:val="Judge"/>
        <w:tblDescription w:val="Judge"/>
      </w:tblPr>
      <w:tblGrid>
        <w:gridCol w:w="2376"/>
        <w:gridCol w:w="6866"/>
      </w:tblGrid>
      <w:tr w:rsidR="00395B24">
        <w:tc>
          <w:tcPr>
            <w:tcW w:w="2376" w:type="dxa"/>
          </w:tcPr>
          <w:p w:rsidR="00395B24" w:rsidRDefault="000E7EF4">
            <w:pPr>
              <w:pStyle w:val="NormalHeadings"/>
              <w:spacing w:after="120"/>
              <w:jc w:val="left"/>
              <w:rPr>
                <w:caps/>
                <w:szCs w:val="24"/>
              </w:rPr>
            </w:pPr>
            <w:bookmarkStart w:id="14" w:name="JudgeText"/>
            <w:r>
              <w:rPr>
                <w:caps/>
                <w:szCs w:val="24"/>
              </w:rPr>
              <w:t>JUDGES</w:t>
            </w:r>
            <w:bookmarkEnd w:id="14"/>
            <w:r w:rsidR="002C7385">
              <w:rPr>
                <w:caps/>
                <w:szCs w:val="24"/>
              </w:rPr>
              <w:t>:</w:t>
            </w:r>
          </w:p>
        </w:tc>
        <w:tc>
          <w:tcPr>
            <w:tcW w:w="6866" w:type="dxa"/>
          </w:tcPr>
          <w:p w:rsidR="00395B24" w:rsidRDefault="000E7EF4">
            <w:pPr>
              <w:pStyle w:val="NormalHeadings"/>
              <w:jc w:val="left"/>
              <w:rPr>
                <w:caps/>
                <w:szCs w:val="24"/>
              </w:rPr>
            </w:pPr>
            <w:bookmarkStart w:id="15" w:name="Judge"/>
            <w:r>
              <w:rPr>
                <w:caps/>
                <w:szCs w:val="24"/>
              </w:rPr>
              <w:t>BROMWICH, O'CALLAGHAN AND WHEELAHAN JJ</w:t>
            </w:r>
            <w:bookmarkEnd w:id="15"/>
          </w:p>
        </w:tc>
      </w:tr>
      <w:tr w:rsidR="00395B24">
        <w:tc>
          <w:tcPr>
            <w:tcW w:w="2376" w:type="dxa"/>
          </w:tcPr>
          <w:p w:rsidR="00395B24" w:rsidRDefault="002C7385">
            <w:pPr>
              <w:pStyle w:val="NormalHeadings"/>
              <w:spacing w:after="120"/>
              <w:jc w:val="left"/>
              <w:rPr>
                <w:caps/>
                <w:szCs w:val="24"/>
              </w:rPr>
            </w:pPr>
            <w:r>
              <w:rPr>
                <w:caps/>
                <w:szCs w:val="24"/>
              </w:rPr>
              <w:t>DATE OF ORDER:</w:t>
            </w:r>
          </w:p>
        </w:tc>
        <w:tc>
          <w:tcPr>
            <w:tcW w:w="6866" w:type="dxa"/>
          </w:tcPr>
          <w:p w:rsidR="00395B24" w:rsidRDefault="004D6216">
            <w:pPr>
              <w:pStyle w:val="NormalHeadings"/>
              <w:jc w:val="left"/>
              <w:rPr>
                <w:caps/>
                <w:szCs w:val="24"/>
              </w:rPr>
            </w:pPr>
            <w:r>
              <w:rPr>
                <w:caps/>
                <w:szCs w:val="24"/>
              </w:rPr>
              <w:t>29 may 2020</w:t>
            </w:r>
          </w:p>
        </w:tc>
      </w:tr>
    </w:tbl>
    <w:p w:rsidR="00395B24" w:rsidRDefault="00395B24">
      <w:pPr>
        <w:pStyle w:val="NormalHeadings"/>
        <w:rPr>
          <w:b w:val="0"/>
        </w:rPr>
      </w:pPr>
    </w:p>
    <w:p w:rsidR="008D1617" w:rsidRDefault="008D1617">
      <w:pPr>
        <w:pStyle w:val="NormalHeadings"/>
        <w:rPr>
          <w:b w:val="0"/>
        </w:rPr>
      </w:pPr>
    </w:p>
    <w:p w:rsidR="00395B24" w:rsidRDefault="002C7385">
      <w:pPr>
        <w:pStyle w:val="NormalHeadings"/>
      </w:pPr>
      <w:r>
        <w:t>THE COURT ORDERS THAT:</w:t>
      </w:r>
    </w:p>
    <w:p w:rsidR="00395B24" w:rsidRDefault="00395B24">
      <w:pPr>
        <w:pStyle w:val="NormalHeadings"/>
      </w:pPr>
    </w:p>
    <w:p w:rsidR="00395B24" w:rsidRDefault="00E16967" w:rsidP="00274F5B">
      <w:pPr>
        <w:pStyle w:val="Order1"/>
      </w:pPr>
      <w:bookmarkStart w:id="16" w:name="Order_Start_Text"/>
      <w:bookmarkEnd w:id="16"/>
      <w:r>
        <w:t xml:space="preserve">The </w:t>
      </w:r>
      <w:r w:rsidR="007E26F6">
        <w:t xml:space="preserve">appellant pay the </w:t>
      </w:r>
      <w:r>
        <w:t>respondents</w:t>
      </w:r>
      <w:r w:rsidR="004F1B32">
        <w:t>’ costs of the appeal</w:t>
      </w:r>
      <w:r>
        <w:t xml:space="preserve"> </w:t>
      </w:r>
      <w:r w:rsidR="007E26F6">
        <w:t>to be assessed in a lump sum pursuant to r </w:t>
      </w:r>
      <w:r>
        <w:t xml:space="preserve">40.02(b) of the </w:t>
      </w:r>
      <w:r>
        <w:rPr>
          <w:i/>
        </w:rPr>
        <w:t xml:space="preserve">Federal Court Rules 2011 </w:t>
      </w:r>
      <w:r>
        <w:t>(Cth).</w:t>
      </w:r>
    </w:p>
    <w:p w:rsidR="00E16967" w:rsidRDefault="004F1B32" w:rsidP="00274F5B">
      <w:pPr>
        <w:pStyle w:val="Order1"/>
      </w:pPr>
      <w:r>
        <w:t xml:space="preserve">It </w:t>
      </w:r>
      <w:r w:rsidR="00E16967">
        <w:t>is directed</w:t>
      </w:r>
      <w:r>
        <w:t xml:space="preserve"> that a Registrar of the Court is</w:t>
      </w:r>
      <w:r w:rsidR="00E16967">
        <w:t xml:space="preserve"> to determine the </w:t>
      </w:r>
      <w:r w:rsidR="008D5A90">
        <w:t>amount</w:t>
      </w:r>
      <w:r w:rsidR="00E16967">
        <w:t xml:space="preserve"> of the respondent</w:t>
      </w:r>
      <w:r w:rsidR="00095851">
        <w:t>s’</w:t>
      </w:r>
      <w:r w:rsidR="009A47F7">
        <w:t xml:space="preserve"> costs in such</w:t>
      </w:r>
      <w:r w:rsidR="00E16967">
        <w:t xml:space="preserve"> manner as the Registrar deems fit</w:t>
      </w:r>
      <w:r w:rsidR="00A33E8F">
        <w:t>, and shall then make an order fixing the amount of those costs</w:t>
      </w:r>
      <w:r w:rsidR="001943B2">
        <w:t>, which are to be payable within 28 days of such orders</w:t>
      </w:r>
      <w:r w:rsidR="00A33E8F">
        <w:t>.</w:t>
      </w:r>
    </w:p>
    <w:p w:rsidR="00636871" w:rsidRDefault="00636871" w:rsidP="002B0E91">
      <w:pPr>
        <w:pStyle w:val="BodyText"/>
      </w:pPr>
    </w:p>
    <w:p w:rsidR="00395B24" w:rsidRDefault="00395B24" w:rsidP="002B0E91">
      <w:pPr>
        <w:pStyle w:val="BodyText"/>
      </w:pPr>
    </w:p>
    <w:p w:rsidR="00395B24" w:rsidRDefault="002C7385" w:rsidP="004D53E5">
      <w:pPr>
        <w:pStyle w:val="SingleSpace"/>
      </w:pPr>
      <w:r>
        <w:t>Note:</w:t>
      </w:r>
      <w:r>
        <w:tab/>
        <w:t xml:space="preserve">Entry of orders is dealt with in Rule 39.32 of the </w:t>
      </w:r>
      <w:r>
        <w:rPr>
          <w:i/>
        </w:rPr>
        <w:t>Federal Court Rules 2011</w:t>
      </w:r>
      <w:r>
        <w:t>.</w:t>
      </w:r>
    </w:p>
    <w:p w:rsidR="00395B24" w:rsidRDefault="00395B24" w:rsidP="002B0E91">
      <w:pPr>
        <w:pStyle w:val="BodyText"/>
      </w:pPr>
    </w:p>
    <w:p w:rsidR="00395B24" w:rsidRDefault="00395B24" w:rsidP="001F2DBC">
      <w:pPr>
        <w:pStyle w:val="BodyText"/>
      </w:pPr>
    </w:p>
    <w:p w:rsidR="0092590B" w:rsidRDefault="0092590B" w:rsidP="002B0E91">
      <w:pPr>
        <w:pStyle w:val="BodyText"/>
      </w:pPr>
    </w:p>
    <w:p w:rsidR="00395B24" w:rsidRDefault="00395B24">
      <w:pPr>
        <w:pStyle w:val="NormalHeadings"/>
        <w:spacing w:before="240" w:after="120"/>
        <w:rPr>
          <w:b w:val="0"/>
        </w:rPr>
        <w:sectPr w:rsidR="00395B24" w:rsidSect="0092590B">
          <w:headerReference w:type="default" r:id="rId9"/>
          <w:headerReference w:type="first" r:id="rId10"/>
          <w:endnotePr>
            <w:numFmt w:val="decimal"/>
          </w:endnotePr>
          <w:pgSz w:w="11907" w:h="16840" w:code="9"/>
          <w:pgMar w:top="1440" w:right="1440" w:bottom="1440" w:left="1440" w:header="851" w:footer="851" w:gutter="0"/>
          <w:pgNumType w:fmt="lowerRoman" w:start="1"/>
          <w:cols w:space="720"/>
          <w:noEndnote/>
          <w:titlePg/>
        </w:sectPr>
      </w:pPr>
    </w:p>
    <w:p w:rsidR="00484F6D" w:rsidRPr="00045BB7" w:rsidRDefault="00484F6D" w:rsidP="00045BB7">
      <w:pPr>
        <w:pStyle w:val="NormalHeadings"/>
        <w:spacing w:line="480" w:lineRule="auto"/>
        <w:jc w:val="center"/>
        <w:rPr>
          <w:sz w:val="28"/>
          <w:szCs w:val="28"/>
        </w:rPr>
      </w:pPr>
      <w:bookmarkStart w:id="17" w:name="ReasonsPage"/>
      <w:bookmarkEnd w:id="17"/>
      <w:r w:rsidRPr="00045BB7">
        <w:rPr>
          <w:sz w:val="28"/>
          <w:szCs w:val="28"/>
        </w:rPr>
        <w:lastRenderedPageBreak/>
        <w:t>REASONS FOR JUDGMENT</w:t>
      </w:r>
    </w:p>
    <w:p w:rsidR="00395B24" w:rsidRPr="00EA03CE" w:rsidRDefault="000B5956" w:rsidP="005E0510">
      <w:pPr>
        <w:pStyle w:val="NormalHeadings"/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THE COURT:</w:t>
      </w:r>
    </w:p>
    <w:p w:rsidR="00922177" w:rsidRDefault="00922177" w:rsidP="004D6216">
      <w:pPr>
        <w:pStyle w:val="Heading2"/>
      </w:pPr>
      <w:r>
        <w:t>Introduction</w:t>
      </w:r>
    </w:p>
    <w:p w:rsidR="00CE6E5B" w:rsidRDefault="00951BDB" w:rsidP="00464604">
      <w:pPr>
        <w:pStyle w:val="ParaNumbering"/>
      </w:pPr>
      <w:r>
        <w:t xml:space="preserve">On 9 April 2020, </w:t>
      </w:r>
      <w:r w:rsidR="00922177">
        <w:t xml:space="preserve">we </w:t>
      </w:r>
      <w:r w:rsidR="002C385A">
        <w:t xml:space="preserve">dismissed </w:t>
      </w:r>
      <w:r w:rsidR="00922177">
        <w:t xml:space="preserve">the appellant’s appeal in this proceeding: </w:t>
      </w:r>
      <w:proofErr w:type="spellStart"/>
      <w:r w:rsidR="00922177">
        <w:rPr>
          <w:i/>
        </w:rPr>
        <w:t>Jadwan</w:t>
      </w:r>
      <w:proofErr w:type="spellEnd"/>
      <w:r w:rsidR="00922177">
        <w:rPr>
          <w:i/>
        </w:rPr>
        <w:t xml:space="preserve"> Pty Ltd v Rae &amp; Partners (A Firm) </w:t>
      </w:r>
      <w:r w:rsidR="00922177">
        <w:t>[2020] FCAFC 62.</w:t>
      </w:r>
      <w:r w:rsidR="002E7BE8">
        <w:t xml:space="preserve"> These reasons in relation to costs assume familiarity with those substantive reasons.</w:t>
      </w:r>
    </w:p>
    <w:p w:rsidR="00281428" w:rsidRDefault="00922177" w:rsidP="00464604">
      <w:pPr>
        <w:pStyle w:val="ParaNumbering"/>
      </w:pPr>
      <w:r>
        <w:t xml:space="preserve">At that time, we also made orders for the parties to file written submissions as to costs, and for the question of costs to be considered on the papers. </w:t>
      </w:r>
      <w:r w:rsidR="00932D0C">
        <w:t>All of the parties have now filed submissions as to costs</w:t>
      </w:r>
      <w:r w:rsidR="000365E4">
        <w:t>. We note that the first to third</w:t>
      </w:r>
      <w:r w:rsidR="005C5694">
        <w:t xml:space="preserve"> respondents</w:t>
      </w:r>
      <w:r w:rsidR="000365E4">
        <w:t xml:space="preserve">, fourth </w:t>
      </w:r>
      <w:r w:rsidR="005C5694">
        <w:t xml:space="preserve">respondent </w:t>
      </w:r>
      <w:r w:rsidR="000365E4">
        <w:t xml:space="preserve">and fifth respondent each filed separate submissions, however as those submissions </w:t>
      </w:r>
      <w:r w:rsidR="00DE6802">
        <w:t xml:space="preserve">advanced essentially the same arguments and </w:t>
      </w:r>
      <w:r w:rsidR="000365E4">
        <w:t>were supportive of each other, we have addressed them collectively in these reasons.</w:t>
      </w:r>
    </w:p>
    <w:p w:rsidR="000E46D6" w:rsidRDefault="000365E4" w:rsidP="00464604">
      <w:pPr>
        <w:pStyle w:val="ParaNumbering"/>
      </w:pPr>
      <w:r>
        <w:t>F</w:t>
      </w:r>
      <w:r w:rsidR="00B50583">
        <w:t xml:space="preserve">or the following reasons, </w:t>
      </w:r>
      <w:r w:rsidR="00932D0C">
        <w:t xml:space="preserve">we have </w:t>
      </w:r>
      <w:r w:rsidR="00E979A4">
        <w:t xml:space="preserve">determined to </w:t>
      </w:r>
      <w:r w:rsidR="008A28B9">
        <w:t>direct a Registrar of this Court to assess the</w:t>
      </w:r>
      <w:r w:rsidR="009B38CA">
        <w:t xml:space="preserve"> lump sum of </w:t>
      </w:r>
      <w:r w:rsidR="008A28B9">
        <w:t xml:space="preserve">costs to be awarded </w:t>
      </w:r>
      <w:r w:rsidR="008F6A18">
        <w:t>in favour of the respondent</w:t>
      </w:r>
      <w:r w:rsidR="00C9749D">
        <w:t>s</w:t>
      </w:r>
      <w:r w:rsidR="009B38CA">
        <w:t xml:space="preserve">. That assessment should </w:t>
      </w:r>
      <w:r w:rsidR="00E203C4">
        <w:t xml:space="preserve">not </w:t>
      </w:r>
      <w:r w:rsidR="0098651F">
        <w:t>be reduced</w:t>
      </w:r>
      <w:r w:rsidR="009B38CA">
        <w:t xml:space="preserve"> on account of</w:t>
      </w:r>
      <w:r w:rsidR="006874D8">
        <w:t xml:space="preserve"> what was said to be</w:t>
      </w:r>
      <w:r w:rsidR="009B38CA">
        <w:t xml:space="preserve"> the appellant’s partial success in the appeal. </w:t>
      </w:r>
      <w:r w:rsidR="00AE5DC1">
        <w:t>The Registrar is directed to determine the quantum of the respondents’ costs in such a manner as the Registrar deems fit, and at the conclusion of that process, the Registrar is to make orders about the payment of the respondents’ costs in the sums determined.</w:t>
      </w:r>
    </w:p>
    <w:p w:rsidR="009B38CA" w:rsidRPr="004D6216" w:rsidRDefault="009B38CA" w:rsidP="00A81617">
      <w:pPr>
        <w:pStyle w:val="Heading2"/>
      </w:pPr>
      <w:r w:rsidRPr="004D6216">
        <w:t xml:space="preserve">No </w:t>
      </w:r>
      <w:r w:rsidR="002C385A" w:rsidRPr="004D6216">
        <w:t>reduction</w:t>
      </w:r>
    </w:p>
    <w:p w:rsidR="00B83C86" w:rsidRDefault="00F07FB4" w:rsidP="00B83C86">
      <w:pPr>
        <w:pStyle w:val="ParaNumbering"/>
      </w:pPr>
      <w:r>
        <w:t xml:space="preserve">The parties’ submissions on costs focussed on whether the Court should </w:t>
      </w:r>
      <w:r w:rsidR="003F1E09">
        <w:t xml:space="preserve">reduce </w:t>
      </w:r>
      <w:r>
        <w:t xml:space="preserve">the costs to be awarded </w:t>
      </w:r>
      <w:r w:rsidR="008A2868">
        <w:t>in favour of the respondents</w:t>
      </w:r>
      <w:r>
        <w:t xml:space="preserve"> on account of</w:t>
      </w:r>
      <w:r w:rsidR="003F1E09">
        <w:t xml:space="preserve"> what was said to be</w:t>
      </w:r>
      <w:r>
        <w:t xml:space="preserve"> the appellant’s partial success in the appeal. The appellant submitted that such a </w:t>
      </w:r>
      <w:r w:rsidR="003F1E09">
        <w:t xml:space="preserve">reduction </w:t>
      </w:r>
      <w:r>
        <w:t xml:space="preserve">should be applied, </w:t>
      </w:r>
      <w:r w:rsidR="003F1E09">
        <w:t xml:space="preserve">which </w:t>
      </w:r>
      <w:r>
        <w:t>the respondents</w:t>
      </w:r>
      <w:r w:rsidR="003F1E09">
        <w:t xml:space="preserve"> opposed</w:t>
      </w:r>
      <w:r w:rsidR="006D5C45">
        <w:t>.</w:t>
      </w:r>
    </w:p>
    <w:p w:rsidR="00076B48" w:rsidRDefault="00070C4D" w:rsidP="00076B48">
      <w:pPr>
        <w:pStyle w:val="ParaNumbering"/>
      </w:pPr>
      <w:r>
        <w:t xml:space="preserve">The </w:t>
      </w:r>
      <w:r w:rsidR="0059112A">
        <w:t xml:space="preserve">appellant did not resist an order that it </w:t>
      </w:r>
      <w:r w:rsidR="00CE13A2">
        <w:t>pay</w:t>
      </w:r>
      <w:r w:rsidR="0059112A">
        <w:t xml:space="preserve"> the respondents’ costs of the appeal, </w:t>
      </w:r>
      <w:r w:rsidR="00017A5C">
        <w:t>however</w:t>
      </w:r>
      <w:r w:rsidR="0059112A">
        <w:t xml:space="preserve"> it submitted that it should be ordered to pay only two-thirds of the respondents’ costs on account of its partial success in the appeal.</w:t>
      </w:r>
      <w:r w:rsidR="002E7BE8">
        <w:t xml:space="preserve"> </w:t>
      </w:r>
      <w:r w:rsidR="00CF2503">
        <w:t xml:space="preserve">The appellant relied on </w:t>
      </w:r>
      <w:proofErr w:type="spellStart"/>
      <w:r w:rsidR="00CF2503" w:rsidRPr="00BC3245">
        <w:rPr>
          <w:i/>
        </w:rPr>
        <w:t>Idenix</w:t>
      </w:r>
      <w:proofErr w:type="spellEnd"/>
      <w:r w:rsidR="00CF2503" w:rsidRPr="00BC3245">
        <w:rPr>
          <w:i/>
        </w:rPr>
        <w:t xml:space="preserve"> Pharmaceuticals LLC</w:t>
      </w:r>
      <w:r w:rsidR="00CF2503">
        <w:rPr>
          <w:i/>
        </w:rPr>
        <w:t xml:space="preserve"> </w:t>
      </w:r>
      <w:r w:rsidR="006A6900">
        <w:rPr>
          <w:i/>
        </w:rPr>
        <w:t>v </w:t>
      </w:r>
      <w:r w:rsidR="00CF2503">
        <w:rPr>
          <w:i/>
        </w:rPr>
        <w:t xml:space="preserve">Gilead Sciences Pty Ltd (No 2) </w:t>
      </w:r>
      <w:r w:rsidR="00CF2503">
        <w:t xml:space="preserve">[2018] FCAFC 7 </w:t>
      </w:r>
      <w:r w:rsidR="004E3B22">
        <w:t>at </w:t>
      </w:r>
      <w:r w:rsidR="00CF2503">
        <w:t>[3] as authority for the proposition that “the ordinary rule is that costs follow the event, although a successful party may be awarded less than its costs, or costs may be apportioned, based upon success on the issues.” T</w:t>
      </w:r>
      <w:r w:rsidR="002E7BE8">
        <w:t xml:space="preserve">he appellant </w:t>
      </w:r>
      <w:r w:rsidR="00C463E6">
        <w:t xml:space="preserve">submitted that it succeeded in relation to three of the nine findings </w:t>
      </w:r>
      <w:r w:rsidR="007E662F">
        <w:t>of t</w:t>
      </w:r>
      <w:r w:rsidR="00C463E6">
        <w:t xml:space="preserve">he primary </w:t>
      </w:r>
      <w:r w:rsidR="00C463E6">
        <w:lastRenderedPageBreak/>
        <w:t>judge</w:t>
      </w:r>
      <w:r w:rsidR="007E662F">
        <w:t xml:space="preserve"> that it challenged</w:t>
      </w:r>
      <w:r w:rsidR="00C463E6">
        <w:t xml:space="preserve">, </w:t>
      </w:r>
      <w:r w:rsidR="007E662F">
        <w:t>and</w:t>
      </w:r>
      <w:r w:rsidR="00F075ED">
        <w:t xml:space="preserve"> in particular</w:t>
      </w:r>
      <w:r w:rsidR="007E662F">
        <w:t xml:space="preserve"> </w:t>
      </w:r>
      <w:r w:rsidR="00CE13A2">
        <w:t xml:space="preserve">pointed to the Court’s </w:t>
      </w:r>
      <w:r w:rsidR="00C5444C">
        <w:t xml:space="preserve">findings that each of the professionals who had advised it – </w:t>
      </w:r>
      <w:r w:rsidR="00A504AD">
        <w:t>Mr </w:t>
      </w:r>
      <w:r w:rsidR="00C5444C">
        <w:t xml:space="preserve">Wicks, </w:t>
      </w:r>
      <w:r w:rsidR="00A504AD">
        <w:t>Mr </w:t>
      </w:r>
      <w:r w:rsidR="00C5444C">
        <w:t xml:space="preserve">Porter and </w:t>
      </w:r>
      <w:r w:rsidR="00A504AD">
        <w:t>Mr Hogan – </w:t>
      </w:r>
      <w:r w:rsidR="00C5444C">
        <w:t>had breached their duties</w:t>
      </w:r>
      <w:r w:rsidR="0087747D">
        <w:t xml:space="preserve"> of care</w:t>
      </w:r>
      <w:r w:rsidR="00C5444C">
        <w:t xml:space="preserve">. The </w:t>
      </w:r>
      <w:r w:rsidR="00C0374E">
        <w:t xml:space="preserve">appellant </w:t>
      </w:r>
      <w:r w:rsidR="00C5444C">
        <w:t>submitted that the costs order</w:t>
      </w:r>
      <w:r w:rsidR="0087747D">
        <w:t>ed</w:t>
      </w:r>
      <w:r w:rsidR="00C5444C">
        <w:t xml:space="preserve"> </w:t>
      </w:r>
      <w:r w:rsidR="00666DFE">
        <w:t xml:space="preserve">in favour of the </w:t>
      </w:r>
      <w:r w:rsidR="005977BE">
        <w:t xml:space="preserve">respondents </w:t>
      </w:r>
      <w:r w:rsidR="00C5444C">
        <w:t xml:space="preserve">should be </w:t>
      </w:r>
      <w:r w:rsidR="0087747D">
        <w:t xml:space="preserve">reduced </w:t>
      </w:r>
      <w:r w:rsidR="00C5444C">
        <w:t xml:space="preserve">on account of that partial success, despite the Court </w:t>
      </w:r>
      <w:r w:rsidR="004F268F">
        <w:t>having found</w:t>
      </w:r>
      <w:r w:rsidR="00C5444C">
        <w:t xml:space="preserve"> that </w:t>
      </w:r>
      <w:r w:rsidR="00404268">
        <w:t>the appellant</w:t>
      </w:r>
      <w:r w:rsidR="00C5444C">
        <w:t xml:space="preserve"> did not establish causation</w:t>
      </w:r>
      <w:r w:rsidR="00E15517">
        <w:t>,</w:t>
      </w:r>
      <w:r w:rsidR="00C5444C">
        <w:t xml:space="preserve"> and dismissing the appeal.</w:t>
      </w:r>
    </w:p>
    <w:p w:rsidR="00240F47" w:rsidRDefault="00F075ED" w:rsidP="00B83C86">
      <w:pPr>
        <w:pStyle w:val="ParaNumbering"/>
      </w:pPr>
      <w:r>
        <w:t xml:space="preserve">The respondents submitted that costs should be awarded against the appellant without any </w:t>
      </w:r>
      <w:r w:rsidR="0087747D">
        <w:t>reduction</w:t>
      </w:r>
      <w:r>
        <w:t xml:space="preserve">. </w:t>
      </w:r>
      <w:r w:rsidR="0001555F">
        <w:t xml:space="preserve">The respondents accepted that the Court may </w:t>
      </w:r>
      <w:r w:rsidR="00D53B53">
        <w:t xml:space="preserve">reduce </w:t>
      </w:r>
      <w:r w:rsidR="0001555F">
        <w:t xml:space="preserve">an award of costs </w:t>
      </w:r>
      <w:r w:rsidR="008E0731">
        <w:t xml:space="preserve">on account of </w:t>
      </w:r>
      <w:r w:rsidR="00460D7F">
        <w:t xml:space="preserve">an ultimately unsuccessful party’s </w:t>
      </w:r>
      <w:r w:rsidR="008E0731">
        <w:t>partial success</w:t>
      </w:r>
      <w:r w:rsidR="00656CF7">
        <w:t>, so as</w:t>
      </w:r>
      <w:r w:rsidR="0001555F">
        <w:t xml:space="preserve"> </w:t>
      </w:r>
      <w:r w:rsidR="00A04DC6">
        <w:t>to achieve</w:t>
      </w:r>
      <w:r w:rsidR="0001555F">
        <w:t xml:space="preserve"> justice in the case</w:t>
      </w:r>
      <w:r w:rsidR="00807BED">
        <w:t>, but</w:t>
      </w:r>
      <w:r w:rsidR="00DC0B86">
        <w:t xml:space="preserve"> </w:t>
      </w:r>
      <w:r w:rsidR="0001555F">
        <w:t xml:space="preserve">submitted that there was no sufficient reason to displace the general rule that costs should follow the event. </w:t>
      </w:r>
      <w:r w:rsidR="00217552">
        <w:t xml:space="preserve">The respondents </w:t>
      </w:r>
      <w:r w:rsidR="009948A0">
        <w:t xml:space="preserve">submitted that </w:t>
      </w:r>
      <w:r w:rsidR="007D12F3">
        <w:t>the central issue in the appeal, on which the appellant failed, was whether the respondents</w:t>
      </w:r>
      <w:r w:rsidR="001530D2">
        <w:t>,</w:t>
      </w:r>
      <w:r w:rsidR="007D12F3">
        <w:t xml:space="preserve"> in breach of duty</w:t>
      </w:r>
      <w:r w:rsidR="001530D2">
        <w:t>,</w:t>
      </w:r>
      <w:r w:rsidR="007D12F3">
        <w:t xml:space="preserve"> caused the appellant to suffer loss. </w:t>
      </w:r>
      <w:r w:rsidR="00BC0950">
        <w:t xml:space="preserve">The respondents further submitted that any partial success by the appellant in respect of some grounds of appeal </w:t>
      </w:r>
      <w:r w:rsidR="005E1504">
        <w:t xml:space="preserve">was illusory because, ultimately, none of the primary judge’s orders </w:t>
      </w:r>
      <w:r w:rsidR="00A2731A">
        <w:t>was</w:t>
      </w:r>
      <w:r w:rsidR="005E1504">
        <w:t xml:space="preserve"> disturbed. </w:t>
      </w:r>
      <w:r w:rsidR="00335381">
        <w:t xml:space="preserve">The respondents also noted that </w:t>
      </w:r>
      <w:r w:rsidR="00A86D71">
        <w:t xml:space="preserve">unlike in </w:t>
      </w:r>
      <w:proofErr w:type="spellStart"/>
      <w:r w:rsidR="00A86D71">
        <w:rPr>
          <w:i/>
        </w:rPr>
        <w:t>Idenix</w:t>
      </w:r>
      <w:proofErr w:type="spellEnd"/>
      <w:r w:rsidR="00A86D71">
        <w:rPr>
          <w:i/>
        </w:rPr>
        <w:t xml:space="preserve"> Pharmaceuticals</w:t>
      </w:r>
      <w:r w:rsidR="00A86D71">
        <w:t>, which the appellant relied</w:t>
      </w:r>
      <w:r w:rsidR="00F72C26">
        <w:t xml:space="preserve"> up</w:t>
      </w:r>
      <w:r w:rsidR="005F213F">
        <w:t>on</w:t>
      </w:r>
      <w:r w:rsidR="00A86D71">
        <w:t>,</w:t>
      </w:r>
      <w:r w:rsidR="00A86D71">
        <w:rPr>
          <w:i/>
        </w:rPr>
        <w:t xml:space="preserve"> </w:t>
      </w:r>
      <w:r w:rsidR="00335381">
        <w:t>there was no cross-appeal or notice of contention on which the appellant was successful</w:t>
      </w:r>
      <w:r w:rsidR="00934A79">
        <w:t>,</w:t>
      </w:r>
      <w:r w:rsidR="00335381">
        <w:t xml:space="preserve"> and which might have in some circumstances justified a </w:t>
      </w:r>
      <w:r w:rsidR="00C50B88">
        <w:t xml:space="preserve">reduced </w:t>
      </w:r>
      <w:r w:rsidR="00335381">
        <w:t>costs order.</w:t>
      </w:r>
    </w:p>
    <w:p w:rsidR="00C65709" w:rsidRDefault="00C65709" w:rsidP="00DE24A7">
      <w:pPr>
        <w:pStyle w:val="ParaNumbering"/>
      </w:pPr>
      <w:r>
        <w:t xml:space="preserve">The Court’s power in relation to costs is well established. </w:t>
      </w:r>
      <w:r w:rsidR="00114F6B">
        <w:t>Section </w:t>
      </w:r>
      <w:r>
        <w:t xml:space="preserve">43 of the </w:t>
      </w:r>
      <w:r>
        <w:rPr>
          <w:i/>
        </w:rPr>
        <w:t xml:space="preserve">Federal Court of Australia Act 1976 </w:t>
      </w:r>
      <w:r>
        <w:t xml:space="preserve">(Cth) </w:t>
      </w:r>
      <w:r w:rsidR="00A2731A">
        <w:t>gives</w:t>
      </w:r>
      <w:r>
        <w:t xml:space="preserve"> the Court a wide discretion in awarding costs.</w:t>
      </w:r>
      <w:r w:rsidR="00F87499">
        <w:t xml:space="preserve"> That discretion must be exercised judicially</w:t>
      </w:r>
      <w:r w:rsidR="00EE190A">
        <w:t>,</w:t>
      </w:r>
      <w:r w:rsidR="00D24D4A">
        <w:t xml:space="preserve"> with appropriate regard to guiding principles: </w:t>
      </w:r>
      <w:r w:rsidR="00D24D4A">
        <w:rPr>
          <w:i/>
        </w:rPr>
        <w:t xml:space="preserve">Northern Territory v </w:t>
      </w:r>
      <w:proofErr w:type="spellStart"/>
      <w:r w:rsidR="00D24D4A" w:rsidRPr="00A2731A">
        <w:rPr>
          <w:i/>
        </w:rPr>
        <w:t>Sangare</w:t>
      </w:r>
      <w:proofErr w:type="spellEnd"/>
      <w:r w:rsidR="00D24D4A" w:rsidRPr="00EB2B16">
        <w:t xml:space="preserve"> [</w:t>
      </w:r>
      <w:r w:rsidR="00D24D4A">
        <w:rPr>
          <w:i/>
        </w:rPr>
        <w:t>2</w:t>
      </w:r>
      <w:r w:rsidR="00D24D4A">
        <w:t xml:space="preserve">019] HCA </w:t>
      </w:r>
      <w:r w:rsidR="00D1751E">
        <w:t>25</w:t>
      </w:r>
      <w:r w:rsidR="00D24D4A">
        <w:t xml:space="preserve">; 265 CLR 164 </w:t>
      </w:r>
      <w:r w:rsidR="004E3B22">
        <w:t>at </w:t>
      </w:r>
      <w:r w:rsidR="00D24D4A">
        <w:t>[25] (the Court)</w:t>
      </w:r>
      <w:r w:rsidR="00F87499">
        <w:t>.</w:t>
      </w:r>
      <w:r w:rsidR="0010235B">
        <w:t xml:space="preserve"> </w:t>
      </w:r>
      <w:r w:rsidR="00EE190A">
        <w:t>One of the most, if not the most, important guiding principle</w:t>
      </w:r>
      <w:r w:rsidR="00F15841">
        <w:t>s</w:t>
      </w:r>
      <w:r w:rsidR="00EE190A">
        <w:t xml:space="preserve"> is that the successful party is generally entitled to costs by way of indemnity against the expense of litigation that should not, in justice, have been visited upon </w:t>
      </w:r>
      <w:r w:rsidR="00680177">
        <w:t>it</w:t>
      </w:r>
      <w:r w:rsidR="00EE190A">
        <w:t xml:space="preserve">: </w:t>
      </w:r>
      <w:r w:rsidR="00DE24A7" w:rsidRPr="00DE24A7">
        <w:rPr>
          <w:i/>
        </w:rPr>
        <w:t>Northern Territory v</w:t>
      </w:r>
      <w:r w:rsidR="00DE24A7" w:rsidRPr="00DE24A7">
        <w:t xml:space="preserve"> </w:t>
      </w:r>
      <w:proofErr w:type="spellStart"/>
      <w:r w:rsidR="00EE190A">
        <w:rPr>
          <w:i/>
        </w:rPr>
        <w:t>Sangare</w:t>
      </w:r>
      <w:proofErr w:type="spellEnd"/>
      <w:r w:rsidR="00EE190A">
        <w:rPr>
          <w:i/>
        </w:rPr>
        <w:t xml:space="preserve"> </w:t>
      </w:r>
      <w:r w:rsidR="004E3B22">
        <w:t>at </w:t>
      </w:r>
      <w:r w:rsidR="00EE190A">
        <w:t xml:space="preserve">[26]. </w:t>
      </w:r>
      <w:r w:rsidR="0014146D">
        <w:t xml:space="preserve">It is basic justice that a successful party should be compensated for expenses </w:t>
      </w:r>
      <w:r w:rsidR="004D355A">
        <w:t xml:space="preserve">that </w:t>
      </w:r>
      <w:r w:rsidR="0014146D">
        <w:t xml:space="preserve">it has incurred because it has been obliged to litigate by the unsuccessful party: </w:t>
      </w:r>
      <w:r w:rsidR="00DE24A7" w:rsidRPr="00DE24A7">
        <w:rPr>
          <w:i/>
        </w:rPr>
        <w:t>Northern Territory v</w:t>
      </w:r>
      <w:r w:rsidR="00DE24A7" w:rsidRPr="00DE24A7">
        <w:t xml:space="preserve"> </w:t>
      </w:r>
      <w:proofErr w:type="spellStart"/>
      <w:r w:rsidR="0014146D">
        <w:rPr>
          <w:i/>
        </w:rPr>
        <w:t>Sangare</w:t>
      </w:r>
      <w:proofErr w:type="spellEnd"/>
      <w:r w:rsidR="0014146D">
        <w:rPr>
          <w:i/>
        </w:rPr>
        <w:t xml:space="preserve"> </w:t>
      </w:r>
      <w:r w:rsidR="004E3B22">
        <w:t>at </w:t>
      </w:r>
      <w:r w:rsidR="0014146D">
        <w:t xml:space="preserve">[27]. </w:t>
      </w:r>
      <w:r w:rsidR="00E15AE9">
        <w:t>That principle underpins the ordinary rule that costs fol</w:t>
      </w:r>
      <w:r w:rsidR="0031581C">
        <w:t>low the event.</w:t>
      </w:r>
    </w:p>
    <w:p w:rsidR="00496BA3" w:rsidRPr="00B83C86" w:rsidRDefault="0031581C" w:rsidP="008D7A0F">
      <w:pPr>
        <w:pStyle w:val="ParaNumbering"/>
      </w:pPr>
      <w:r>
        <w:t xml:space="preserve">The issue for consideration is whether there </w:t>
      </w:r>
      <w:r w:rsidR="00DE24A7">
        <w:t xml:space="preserve">are grounds </w:t>
      </w:r>
      <w:r>
        <w:t>to justify departure from that ordinary rule in this appeal.</w:t>
      </w:r>
      <w:r w:rsidR="00C72C80">
        <w:t xml:space="preserve"> </w:t>
      </w:r>
      <w:r w:rsidR="00DE24A7">
        <w:t>We do not consider that there are</w:t>
      </w:r>
      <w:r w:rsidR="00C72C80">
        <w:t>.</w:t>
      </w:r>
      <w:r>
        <w:t xml:space="preserve"> </w:t>
      </w:r>
      <w:r w:rsidR="00C72C80">
        <w:t>T</w:t>
      </w:r>
      <w:r w:rsidR="009536D2">
        <w:t xml:space="preserve">he </w:t>
      </w:r>
      <w:r w:rsidR="00556D43">
        <w:t>ordinary rule should</w:t>
      </w:r>
      <w:r w:rsidR="00E25312">
        <w:t xml:space="preserve"> apply</w:t>
      </w:r>
      <w:r w:rsidR="00556D43">
        <w:t xml:space="preserve">, and the </w:t>
      </w:r>
      <w:r w:rsidR="009536D2">
        <w:t xml:space="preserve">Court should </w:t>
      </w:r>
      <w:r w:rsidR="003A4921">
        <w:t xml:space="preserve">not </w:t>
      </w:r>
      <w:r w:rsidR="009536D2">
        <w:t>reduce the costs to be awarded in favour of the respondents on account of what was said to be the appellant’s partial success in the</w:t>
      </w:r>
      <w:r w:rsidR="00F9001F">
        <w:t xml:space="preserve"> appeal. </w:t>
      </w:r>
      <w:r w:rsidR="00A42D75">
        <w:t xml:space="preserve">Reasons for judgment are not of themselves judgments; a judgment is </w:t>
      </w:r>
      <w:r w:rsidR="007E53AA">
        <w:t xml:space="preserve">an operative judicial act, being </w:t>
      </w:r>
      <w:r w:rsidR="00A42D75">
        <w:t xml:space="preserve">the formal order whereby the Court disposes of the matter before it: </w:t>
      </w:r>
      <w:r w:rsidR="00A42D75" w:rsidRPr="00024AA1">
        <w:rPr>
          <w:i/>
        </w:rPr>
        <w:t>Ah Toy</w:t>
      </w:r>
      <w:r w:rsidR="00A42D75">
        <w:rPr>
          <w:i/>
        </w:rPr>
        <w:t xml:space="preserve"> v Registrar of Companies </w:t>
      </w:r>
      <w:r w:rsidR="00A42D75">
        <w:t xml:space="preserve">[1985] </w:t>
      </w:r>
      <w:r w:rsidR="00A42D75">
        <w:lastRenderedPageBreak/>
        <w:t xml:space="preserve">FCA </w:t>
      </w:r>
      <w:r w:rsidR="008C375F">
        <w:t>291</w:t>
      </w:r>
      <w:r w:rsidR="00A42D75">
        <w:t xml:space="preserve">; 10 FCR 280 </w:t>
      </w:r>
      <w:r w:rsidR="004E3B22">
        <w:t>at </w:t>
      </w:r>
      <w:r w:rsidR="00A42D75">
        <w:t xml:space="preserve">286 (the Court). And appeals are </w:t>
      </w:r>
      <w:r w:rsidR="00BC19F8">
        <w:t>against the judgment or order</w:t>
      </w:r>
      <w:r w:rsidR="00A42D75">
        <w:t xml:space="preserve">, and not </w:t>
      </w:r>
      <w:r w:rsidR="00BC19F8">
        <w:t xml:space="preserve">the </w:t>
      </w:r>
      <w:r w:rsidR="00A42D75">
        <w:t>reasons</w:t>
      </w:r>
      <w:r w:rsidR="00BC19F8">
        <w:t xml:space="preserve"> for judgment</w:t>
      </w:r>
      <w:r w:rsidR="00A42D75">
        <w:t>:</w:t>
      </w:r>
      <w:r w:rsidR="009B4021">
        <w:t xml:space="preserve"> </w:t>
      </w:r>
      <w:proofErr w:type="spellStart"/>
      <w:r w:rsidR="009B4021">
        <w:rPr>
          <w:i/>
        </w:rPr>
        <w:t>Driclad</w:t>
      </w:r>
      <w:proofErr w:type="spellEnd"/>
      <w:r w:rsidR="009B4021">
        <w:rPr>
          <w:i/>
        </w:rPr>
        <w:t xml:space="preserve"> Pty Ltd v </w:t>
      </w:r>
      <w:r w:rsidR="005E2D17">
        <w:rPr>
          <w:i/>
        </w:rPr>
        <w:t xml:space="preserve">Federal </w:t>
      </w:r>
      <w:r w:rsidR="009B4021">
        <w:rPr>
          <w:i/>
        </w:rPr>
        <w:t xml:space="preserve">Commissioner of Taxation </w:t>
      </w:r>
      <w:r w:rsidR="00A460F8">
        <w:t>[1968] HCA 91;</w:t>
      </w:r>
      <w:r w:rsidR="009B4021">
        <w:t xml:space="preserve"> 121 CLR 45 </w:t>
      </w:r>
      <w:r w:rsidR="004E3B22">
        <w:t>at </w:t>
      </w:r>
      <w:r w:rsidR="009B4021">
        <w:t xml:space="preserve">64 (Barwick CJ and </w:t>
      </w:r>
      <w:proofErr w:type="spellStart"/>
      <w:r w:rsidR="009B4021">
        <w:t>Kitto</w:t>
      </w:r>
      <w:proofErr w:type="spellEnd"/>
      <w:r w:rsidR="009B4021">
        <w:t xml:space="preserve"> J);</w:t>
      </w:r>
      <w:r w:rsidR="00FB4FB3">
        <w:t xml:space="preserve"> </w:t>
      </w:r>
      <w:r w:rsidR="00FB4FB3">
        <w:rPr>
          <w:i/>
        </w:rPr>
        <w:t xml:space="preserve">Ah Toy </w:t>
      </w:r>
      <w:r w:rsidR="004E3B22">
        <w:t>at </w:t>
      </w:r>
      <w:r w:rsidR="00FB4FB3">
        <w:t>286</w:t>
      </w:r>
      <w:r w:rsidR="00A42D75">
        <w:t>.</w:t>
      </w:r>
      <w:r w:rsidR="0092684F">
        <w:t xml:space="preserve"> In the present case, the appellant sought to appeal the orders of the primary judge entered on </w:t>
      </w:r>
      <w:r w:rsidR="004E3B22">
        <w:t>29 </w:t>
      </w:r>
      <w:r w:rsidR="0092684F">
        <w:t xml:space="preserve">June 2018, which dismissed its multi-faceted suit in negligence against the </w:t>
      </w:r>
      <w:r w:rsidR="009845D7">
        <w:t>respondents.</w:t>
      </w:r>
      <w:r w:rsidR="001530D2">
        <w:t xml:space="preserve"> The appellant was required to prove that the respondents, in breach of duty, caused it to suffer loss</w:t>
      </w:r>
      <w:r w:rsidR="00024AA1">
        <w:t xml:space="preserve"> and </w:t>
      </w:r>
      <w:r w:rsidR="001530D2">
        <w:t>failed to do so.</w:t>
      </w:r>
      <w:r w:rsidR="005D41A9">
        <w:t xml:space="preserve"> </w:t>
      </w:r>
      <w:r w:rsidR="0022230E">
        <w:t>We</w:t>
      </w:r>
      <w:r w:rsidR="005D41A9">
        <w:t xml:space="preserve"> dismissed the appeal and did not disturb any of the primary judge’s orders.</w:t>
      </w:r>
      <w:r w:rsidR="009845D7">
        <w:t xml:space="preserve"> </w:t>
      </w:r>
      <w:r w:rsidR="00B64EA1">
        <w:t xml:space="preserve">In reality and in practical outcome, the </w:t>
      </w:r>
      <w:r w:rsidR="009845D7">
        <w:t xml:space="preserve">appellant failed </w:t>
      </w:r>
      <w:r w:rsidR="003B2943">
        <w:t xml:space="preserve">and the respondents succeeded in resisting the appeal: </w:t>
      </w:r>
      <w:r w:rsidR="003B2943">
        <w:rPr>
          <w:i/>
        </w:rPr>
        <w:t xml:space="preserve">Neptune Hospitality Pty </w:t>
      </w:r>
      <w:r w:rsidR="00667619">
        <w:rPr>
          <w:i/>
        </w:rPr>
        <w:t>L</w:t>
      </w:r>
      <w:r w:rsidR="003B2943">
        <w:rPr>
          <w:i/>
        </w:rPr>
        <w:t xml:space="preserve">td v </w:t>
      </w:r>
      <w:proofErr w:type="spellStart"/>
      <w:r w:rsidR="003B2943">
        <w:rPr>
          <w:i/>
        </w:rPr>
        <w:t>Ozmen</w:t>
      </w:r>
      <w:proofErr w:type="spellEnd"/>
      <w:r w:rsidR="003B2943">
        <w:rPr>
          <w:i/>
        </w:rPr>
        <w:t xml:space="preserve"> Entertainment Pty Ltd (costs) </w:t>
      </w:r>
      <w:r w:rsidR="003B2943">
        <w:t xml:space="preserve">[2020] FCAFC 74 </w:t>
      </w:r>
      <w:r w:rsidR="004E3B22">
        <w:t>at </w:t>
      </w:r>
      <w:r w:rsidR="00890FB6">
        <w:t xml:space="preserve">[6]-[7] </w:t>
      </w:r>
      <w:r w:rsidR="003B2943">
        <w:t>(the Court)</w:t>
      </w:r>
      <w:r w:rsidR="001663A1">
        <w:t xml:space="preserve">, and the </w:t>
      </w:r>
      <w:r w:rsidR="007323B9">
        <w:t>authorities</w:t>
      </w:r>
      <w:r w:rsidR="001663A1">
        <w:t xml:space="preserve"> cited therein</w:t>
      </w:r>
      <w:r w:rsidR="003B2943">
        <w:t>.</w:t>
      </w:r>
      <w:r w:rsidR="00D574F9">
        <w:t xml:space="preserve"> </w:t>
      </w:r>
      <w:r w:rsidR="007D5A23">
        <w:t xml:space="preserve">The respondents should be </w:t>
      </w:r>
      <w:r w:rsidR="008D7A0F">
        <w:t xml:space="preserve">indemnified </w:t>
      </w:r>
      <w:r w:rsidR="00C24389">
        <w:t xml:space="preserve">on the ordinary basis </w:t>
      </w:r>
      <w:r w:rsidR="008D7A0F">
        <w:t>in respect of</w:t>
      </w:r>
      <w:r w:rsidR="007D5A23">
        <w:t xml:space="preserve"> </w:t>
      </w:r>
      <w:r w:rsidR="008D7A0F">
        <w:t>the costs</w:t>
      </w:r>
      <w:r w:rsidR="00C24389">
        <w:t xml:space="preserve"> that they</w:t>
      </w:r>
      <w:r w:rsidR="008D7A0F">
        <w:t xml:space="preserve"> </w:t>
      </w:r>
      <w:r w:rsidR="007D5A23">
        <w:t>incurred in successfully resisting the appeal. N</w:t>
      </w:r>
      <w:r w:rsidR="00AF5982">
        <w:t>o</w:t>
      </w:r>
      <w:r w:rsidR="00D574F9">
        <w:t xml:space="preserve"> conduct by the respondents in relation to the litigation justifies a different outcome: </w:t>
      </w:r>
      <w:r w:rsidR="008D7A0F" w:rsidRPr="008D7A0F">
        <w:rPr>
          <w:i/>
        </w:rPr>
        <w:t>Northern Territory v</w:t>
      </w:r>
      <w:r w:rsidR="008D7A0F" w:rsidRPr="008D7A0F">
        <w:t xml:space="preserve"> </w:t>
      </w:r>
      <w:proofErr w:type="spellStart"/>
      <w:r w:rsidR="00D574F9">
        <w:rPr>
          <w:i/>
        </w:rPr>
        <w:t>Sangare</w:t>
      </w:r>
      <w:proofErr w:type="spellEnd"/>
      <w:r w:rsidR="00D574F9">
        <w:rPr>
          <w:i/>
        </w:rPr>
        <w:t xml:space="preserve"> </w:t>
      </w:r>
      <w:r w:rsidR="009B0FA9">
        <w:t>at </w:t>
      </w:r>
      <w:r w:rsidR="00D574F9">
        <w:t>[26].</w:t>
      </w:r>
    </w:p>
    <w:p w:rsidR="009B38CA" w:rsidRPr="004D6216" w:rsidRDefault="00BC3245" w:rsidP="00A81617">
      <w:pPr>
        <w:pStyle w:val="Heading2"/>
      </w:pPr>
      <w:r w:rsidRPr="004D6216">
        <w:t>L</w:t>
      </w:r>
      <w:r w:rsidR="009B38CA" w:rsidRPr="004D6216">
        <w:t>ump sum costs orders</w:t>
      </w:r>
    </w:p>
    <w:p w:rsidR="00471C34" w:rsidRDefault="00C24389" w:rsidP="00C24389">
      <w:pPr>
        <w:pStyle w:val="ParaNumbering"/>
      </w:pPr>
      <w:r>
        <w:t>T</w:t>
      </w:r>
      <w:r w:rsidRPr="00C24389">
        <w:t xml:space="preserve">he respondents submitted that </w:t>
      </w:r>
      <w:r>
        <w:t xml:space="preserve">pursuant to </w:t>
      </w:r>
      <w:r w:rsidR="00C26684">
        <w:t>r </w:t>
      </w:r>
      <w:r w:rsidR="008328A9">
        <w:t xml:space="preserve">40.02(b) of the </w:t>
      </w:r>
      <w:r w:rsidR="008328A9">
        <w:rPr>
          <w:i/>
        </w:rPr>
        <w:t xml:space="preserve">Federal Court Rules 2011 </w:t>
      </w:r>
      <w:r w:rsidR="008328A9">
        <w:t xml:space="preserve">(Cth), </w:t>
      </w:r>
      <w:r w:rsidR="00BC3245">
        <w:t xml:space="preserve">the Court should make </w:t>
      </w:r>
      <w:r w:rsidR="00302DC5">
        <w:t>a lump sum costs order.</w:t>
      </w:r>
    </w:p>
    <w:p w:rsidR="004E05BB" w:rsidRPr="00A57EFF" w:rsidRDefault="00302F32" w:rsidP="007420D0">
      <w:pPr>
        <w:pStyle w:val="ParaNumbering"/>
      </w:pPr>
      <w:r>
        <w:t>Under the Court’s Costs Practice Note (GPN-Costs), it is stated that the Court’s preference, wherever it is practicable and appropriate to do so, is for the making of a lump sum costs order</w:t>
      </w:r>
      <w:r w:rsidR="00784B59">
        <w:t>: </w:t>
      </w:r>
      <w:r>
        <w:t xml:space="preserve">see </w:t>
      </w:r>
      <w:r w:rsidR="00D11CBE">
        <w:t>paragraph </w:t>
      </w:r>
      <w:r>
        <w:t xml:space="preserve">[4.1]. </w:t>
      </w:r>
      <w:r w:rsidR="007E1955">
        <w:t>Further, t</w:t>
      </w:r>
      <w:r w:rsidR="003912D4">
        <w:t xml:space="preserve">he making of lump sum costs orders is consistent with the recent practice of this Court in cases of complexity, where a lump sum </w:t>
      </w:r>
      <w:r w:rsidR="00041DDC">
        <w:t xml:space="preserve">costs order </w:t>
      </w:r>
      <w:r w:rsidR="003912D4">
        <w:t xml:space="preserve">is made to “save the time, trouble, expense and aggravation of a taxation”: </w:t>
      </w:r>
      <w:proofErr w:type="spellStart"/>
      <w:r w:rsidR="003912D4" w:rsidRPr="006430E5">
        <w:rPr>
          <w:i/>
        </w:rPr>
        <w:t>Paciocco</w:t>
      </w:r>
      <w:proofErr w:type="spellEnd"/>
      <w:r w:rsidR="003912D4" w:rsidRPr="006430E5">
        <w:rPr>
          <w:i/>
        </w:rPr>
        <w:t xml:space="preserve"> v Australia &amp; New Zealand Banking Group (No 2) </w:t>
      </w:r>
      <w:r w:rsidR="003912D4">
        <w:t>[2017] FCAFC 146</w:t>
      </w:r>
      <w:r w:rsidR="00ED0BDF">
        <w:t xml:space="preserve">; 253 FCR 403 </w:t>
      </w:r>
      <w:r w:rsidR="00D11CBE">
        <w:t>at </w:t>
      </w:r>
      <w:r w:rsidR="00ED0BDF">
        <w:t>[20]</w:t>
      </w:r>
      <w:r w:rsidR="005A5F17">
        <w:t xml:space="preserve"> (the Court)</w:t>
      </w:r>
      <w:r w:rsidR="00ED0BDF">
        <w:t>.</w:t>
      </w:r>
      <w:r w:rsidR="009F4D41">
        <w:t xml:space="preserve"> This appeal is such a case. </w:t>
      </w:r>
      <w:r w:rsidR="00F630AA">
        <w:t>We consider that it is practicable and appropriate to make a lump sum costs order in this appeal</w:t>
      </w:r>
      <w:r w:rsidR="006430E5">
        <w:t>, and the appellant did not submit otherwise</w:t>
      </w:r>
      <w:r w:rsidR="00524107">
        <w:t>.</w:t>
      </w:r>
    </w:p>
    <w:p w:rsidR="009B38CA" w:rsidRPr="004D6216" w:rsidRDefault="009B38CA" w:rsidP="00A81617">
      <w:pPr>
        <w:pStyle w:val="Heading2"/>
      </w:pPr>
      <w:r w:rsidRPr="004D6216">
        <w:t>Regist</w:t>
      </w:r>
      <w:r w:rsidR="006970D1" w:rsidRPr="004D6216">
        <w:t>r</w:t>
      </w:r>
      <w:r w:rsidRPr="004D6216">
        <w:t xml:space="preserve">ar </w:t>
      </w:r>
      <w:r w:rsidR="00C12A43" w:rsidRPr="004D6216">
        <w:t>to assess the amount of costs</w:t>
      </w:r>
    </w:p>
    <w:p w:rsidR="00E979A4" w:rsidRDefault="00CA3DDA" w:rsidP="000E7EF4">
      <w:pPr>
        <w:pStyle w:val="ParaNumbering"/>
      </w:pPr>
      <w:r>
        <w:t>Finally, t</w:t>
      </w:r>
      <w:r w:rsidR="00B13B34">
        <w:t xml:space="preserve">he respondents </w:t>
      </w:r>
      <w:r w:rsidR="00D31C87">
        <w:t>submitted</w:t>
      </w:r>
      <w:r w:rsidR="00B13B34">
        <w:t xml:space="preserve"> that the assessment of the</w:t>
      </w:r>
      <w:r w:rsidR="004E3E9A">
        <w:t xml:space="preserve"> quantum of the</w:t>
      </w:r>
      <w:r w:rsidR="00B13B34">
        <w:t xml:space="preserve"> lump sum costs should be referred to a Registrar of the Court. The appellant did not </w:t>
      </w:r>
      <w:r w:rsidR="004E3E9A">
        <w:t xml:space="preserve">respond </w:t>
      </w:r>
      <w:r w:rsidR="00314666">
        <w:t xml:space="preserve">to </w:t>
      </w:r>
      <w:r w:rsidR="00B13B34">
        <w:t xml:space="preserve">that </w:t>
      </w:r>
      <w:r w:rsidR="00231DEE">
        <w:t>submission</w:t>
      </w:r>
      <w:r w:rsidR="00681E88">
        <w:t>.</w:t>
      </w:r>
    </w:p>
    <w:p w:rsidR="00681E88" w:rsidRDefault="00FC2263" w:rsidP="00304E02">
      <w:pPr>
        <w:pStyle w:val="ParaNumbering"/>
      </w:pPr>
      <w:r>
        <w:t xml:space="preserve">The power of the Court to direct a Registrar to </w:t>
      </w:r>
      <w:r w:rsidR="00607719">
        <w:t xml:space="preserve">make an order about the amount of costs </w:t>
      </w:r>
      <w:r>
        <w:t xml:space="preserve">is </w:t>
      </w:r>
      <w:r w:rsidR="00D31C87">
        <w:t>in s </w:t>
      </w:r>
      <w:r>
        <w:t xml:space="preserve">35A(1)(h) of the </w:t>
      </w:r>
      <w:r w:rsidRPr="00147655">
        <w:rPr>
          <w:i/>
        </w:rPr>
        <w:t>Federal Court Act</w:t>
      </w:r>
      <w:r>
        <w:t>,</w:t>
      </w:r>
      <w:r w:rsidRPr="00147655">
        <w:rPr>
          <w:i/>
        </w:rPr>
        <w:t xml:space="preserve"> </w:t>
      </w:r>
      <w:r>
        <w:t xml:space="preserve">and </w:t>
      </w:r>
      <w:r w:rsidR="002658AE">
        <w:t>r </w:t>
      </w:r>
      <w:r>
        <w:t xml:space="preserve">3.01(b) </w:t>
      </w:r>
      <w:r w:rsidR="00607719">
        <w:t xml:space="preserve">in conjunction </w:t>
      </w:r>
      <w:r w:rsidR="00A51740">
        <w:t>with</w:t>
      </w:r>
      <w:r w:rsidR="0070050C">
        <w:t xml:space="preserve"> </w:t>
      </w:r>
      <w:r w:rsidR="002658AE">
        <w:t>item </w:t>
      </w:r>
      <w:r w:rsidR="0070050C">
        <w:t>221 of Schedule </w:t>
      </w:r>
      <w:r>
        <w:t xml:space="preserve">2 of the </w:t>
      </w:r>
      <w:r w:rsidRPr="00147655">
        <w:rPr>
          <w:i/>
        </w:rPr>
        <w:t>Federal Court Rules</w:t>
      </w:r>
      <w:r w:rsidR="008C57F5">
        <w:t>:</w:t>
      </w:r>
      <w:r>
        <w:t xml:space="preserve"> </w:t>
      </w:r>
      <w:r w:rsidRPr="00147655">
        <w:rPr>
          <w:i/>
        </w:rPr>
        <w:t>Martin v Nort</w:t>
      </w:r>
      <w:r w:rsidR="00607719" w:rsidRPr="00147655">
        <w:rPr>
          <w:i/>
        </w:rPr>
        <w:t>on Rose Fulbright Australia (No </w:t>
      </w:r>
      <w:r w:rsidRPr="00147655">
        <w:rPr>
          <w:i/>
        </w:rPr>
        <w:t xml:space="preserve">2) </w:t>
      </w:r>
      <w:r>
        <w:t xml:space="preserve">[2020] FCAFC 42 </w:t>
      </w:r>
      <w:r w:rsidR="002658AE">
        <w:t>at </w:t>
      </w:r>
      <w:r>
        <w:t xml:space="preserve">[19] (the Court), citing </w:t>
      </w:r>
      <w:proofErr w:type="spellStart"/>
      <w:r w:rsidRPr="00147655">
        <w:rPr>
          <w:i/>
        </w:rPr>
        <w:t>Paciocco</w:t>
      </w:r>
      <w:proofErr w:type="spellEnd"/>
      <w:r w:rsidRPr="00147655">
        <w:rPr>
          <w:i/>
        </w:rPr>
        <w:t xml:space="preserve"> </w:t>
      </w:r>
      <w:r w:rsidR="002658AE">
        <w:t>at </w:t>
      </w:r>
      <w:r>
        <w:t>[39].</w:t>
      </w:r>
      <w:r w:rsidR="0052781B">
        <w:t xml:space="preserve"> </w:t>
      </w:r>
      <w:r w:rsidR="00FF0CDF">
        <w:t xml:space="preserve">We consider that it is appropriate that a Registrar </w:t>
      </w:r>
      <w:r w:rsidR="00FF0CDF">
        <w:lastRenderedPageBreak/>
        <w:t>of the Court assess the lump sum of costs to be awarded in favour of the respondents</w:t>
      </w:r>
      <w:r w:rsidR="004E14A7">
        <w:t xml:space="preserve">. </w:t>
      </w:r>
      <w:r w:rsidR="00B131F1">
        <w:t xml:space="preserve">We </w:t>
      </w:r>
      <w:r w:rsidR="00147655">
        <w:t xml:space="preserve">shall </w:t>
      </w:r>
      <w:r w:rsidR="00B131F1">
        <w:t xml:space="preserve">direct </w:t>
      </w:r>
      <w:r w:rsidR="00147655">
        <w:t>that a Registrar of the Court</w:t>
      </w:r>
      <w:r w:rsidR="00F23419">
        <w:t xml:space="preserve"> determine the </w:t>
      </w:r>
      <w:r w:rsidR="008C57F5">
        <w:t>amount</w:t>
      </w:r>
      <w:r w:rsidR="00F23419">
        <w:t xml:space="preserve"> of </w:t>
      </w:r>
      <w:r w:rsidR="009A47F7">
        <w:t>the respondents’ costs in such</w:t>
      </w:r>
      <w:r w:rsidR="00F23419">
        <w:t xml:space="preserve"> manner as the Registrar deems fit, and at the conclusion of that process, the Registrar is to make orders about the payment of the respondents’</w:t>
      </w:r>
      <w:r w:rsidR="00684549">
        <w:t xml:space="preserve"> costs in the sums </w:t>
      </w:r>
      <w:r w:rsidR="008C57F5">
        <w:t>assessed</w:t>
      </w:r>
      <w:r w:rsidR="00684549">
        <w:t>.</w:t>
      </w:r>
    </w:p>
    <w:p w:rsidR="000E7EF4" w:rsidRDefault="000E7EF4" w:rsidP="000E7EF4">
      <w:pPr>
        <w:pStyle w:val="BodyTex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</w:tblGrid>
      <w:tr w:rsidR="004D6216" w:rsidRPr="004D6216">
        <w:tc>
          <w:tcPr>
            <w:tcW w:w="3794" w:type="dxa"/>
            <w:shd w:val="clear" w:color="auto" w:fill="auto"/>
          </w:tcPr>
          <w:p w:rsidR="004D6216" w:rsidRPr="004D6216" w:rsidRDefault="004D6216" w:rsidP="00C6432C">
            <w:pPr>
              <w:spacing w:line="240" w:lineRule="auto"/>
            </w:pPr>
            <w:bookmarkStart w:id="18" w:name="Certification"/>
            <w:r w:rsidRPr="004D6216">
              <w:t xml:space="preserve">I certify that the preceding </w:t>
            </w:r>
            <w:bookmarkStart w:id="19" w:name="NumberWord"/>
            <w:r>
              <w:t>twelve</w:t>
            </w:r>
            <w:bookmarkEnd w:id="19"/>
            <w:r w:rsidRPr="004D6216">
              <w:t xml:space="preserve"> (</w:t>
            </w:r>
            <w:bookmarkStart w:id="20" w:name="NumberNumeral"/>
            <w:r>
              <w:t>12</w:t>
            </w:r>
            <w:bookmarkEnd w:id="20"/>
            <w:r w:rsidRPr="004D6216">
              <w:t xml:space="preserve">) numbered </w:t>
            </w:r>
            <w:bookmarkStart w:id="21" w:name="CertPara"/>
            <w:r>
              <w:t>paragraphs are</w:t>
            </w:r>
            <w:bookmarkEnd w:id="21"/>
            <w:r w:rsidRPr="004D6216">
              <w:t xml:space="preserve"> a true copy of the Reasons for Judgment herein of the Honourable </w:t>
            </w:r>
            <w:bookmarkStart w:id="22" w:name="Justice"/>
            <w:r>
              <w:t>Justices Bromwich, O'Callaghan and Wheelahan</w:t>
            </w:r>
            <w:bookmarkEnd w:id="22"/>
            <w:r w:rsidRPr="004D6216">
              <w:t>.</w:t>
            </w:r>
          </w:p>
        </w:tc>
      </w:tr>
    </w:tbl>
    <w:p w:rsidR="004D6216" w:rsidRDefault="004D6216" w:rsidP="00815065">
      <w:pPr>
        <w:pStyle w:val="BodyText"/>
      </w:pPr>
    </w:p>
    <w:p w:rsidR="004D6216" w:rsidRDefault="004D6216" w:rsidP="00815065">
      <w:pPr>
        <w:pStyle w:val="BodyText"/>
      </w:pPr>
      <w:bookmarkStart w:id="23" w:name="_GoBack"/>
      <w:bookmarkEnd w:id="23"/>
    </w:p>
    <w:p w:rsidR="004D6216" w:rsidRDefault="004D6216" w:rsidP="00815065">
      <w:pPr>
        <w:pStyle w:val="BodyText"/>
      </w:pPr>
      <w:r>
        <w:t>Associate:</w:t>
      </w:r>
      <w:r>
        <w:tab/>
      </w:r>
    </w:p>
    <w:p w:rsidR="004D6216" w:rsidRDefault="004D6216" w:rsidP="00815065">
      <w:pPr>
        <w:pStyle w:val="BodyText"/>
      </w:pPr>
    </w:p>
    <w:p w:rsidR="004D6216" w:rsidRDefault="004D6216" w:rsidP="00815065">
      <w:pPr>
        <w:pStyle w:val="BodyText"/>
        <w:tabs>
          <w:tab w:val="left" w:pos="1134"/>
        </w:tabs>
      </w:pPr>
      <w:r>
        <w:t>Dated:</w:t>
      </w:r>
      <w:r>
        <w:tab/>
      </w:r>
      <w:bookmarkStart w:id="24" w:name="CertifyDated"/>
      <w:r>
        <w:t>29 May 2020</w:t>
      </w:r>
      <w:bookmarkEnd w:id="24"/>
    </w:p>
    <w:p w:rsidR="004D6216" w:rsidRDefault="004D6216" w:rsidP="00815065">
      <w:pPr>
        <w:pStyle w:val="BodyText"/>
      </w:pPr>
    </w:p>
    <w:bookmarkEnd w:id="18"/>
    <w:p w:rsidR="004D6216" w:rsidRDefault="004D6216" w:rsidP="004D6216">
      <w:pPr>
        <w:pStyle w:val="BodyText"/>
      </w:pPr>
    </w:p>
    <w:p w:rsidR="000E7EF4" w:rsidRDefault="000E7EF4" w:rsidP="000E7EF4">
      <w:pPr>
        <w:pStyle w:val="BodyText"/>
        <w:sectPr w:rsidR="000E7EF4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 w:code="9"/>
          <w:pgMar w:top="1440" w:right="1440" w:bottom="1440" w:left="1440" w:header="851" w:footer="851" w:gutter="0"/>
          <w:pgNumType w:start="1"/>
          <w:cols w:space="720"/>
          <w:noEndnote/>
          <w:titlePg/>
        </w:sectPr>
      </w:pPr>
    </w:p>
    <w:p w:rsidR="000E7EF4" w:rsidRPr="00CD498A" w:rsidRDefault="000E7EF4" w:rsidP="00E91A0F">
      <w:pPr>
        <w:pStyle w:val="NormalHeadings"/>
        <w:spacing w:before="180" w:line="480" w:lineRule="auto"/>
        <w:jc w:val="center"/>
        <w:rPr>
          <w:sz w:val="28"/>
          <w:szCs w:val="28"/>
        </w:rPr>
      </w:pPr>
      <w:bookmarkStart w:id="25" w:name="SOP_Section"/>
      <w:r w:rsidRPr="00CD498A">
        <w:rPr>
          <w:sz w:val="28"/>
          <w:szCs w:val="28"/>
        </w:rPr>
        <w:lastRenderedPageBreak/>
        <w:t>SCHEDULE OF PARTIES</w:t>
      </w:r>
    </w:p>
    <w:p w:rsidR="000E7EF4" w:rsidRPr="00663089" w:rsidRDefault="000E7EF4" w:rsidP="00663089">
      <w:pPr>
        <w:pStyle w:val="BodyText"/>
      </w:pPr>
    </w:p>
    <w:tbl>
      <w:tblPr>
        <w:tblW w:w="9242" w:type="dxa"/>
        <w:tblLayout w:type="fixed"/>
        <w:tblLook w:val="0000" w:firstRow="0" w:lastRow="0" w:firstColumn="0" w:lastColumn="0" w:noHBand="0" w:noVBand="0"/>
        <w:tblCaption w:val="SOP Table"/>
        <w:tblDescription w:val="SOP Table"/>
      </w:tblPr>
      <w:tblGrid>
        <w:gridCol w:w="3368"/>
        <w:gridCol w:w="5874"/>
      </w:tblGrid>
      <w:tr w:rsidR="000E7EF4" w:rsidTr="000E7EF4">
        <w:tc>
          <w:tcPr>
            <w:tcW w:w="3368" w:type="dxa"/>
          </w:tcPr>
          <w:p w:rsidR="000E7EF4" w:rsidRDefault="000E7EF4" w:rsidP="004F5197">
            <w:pPr>
              <w:pStyle w:val="NormalHeadings"/>
              <w:jc w:val="left"/>
              <w:rPr>
                <w:caps/>
                <w:szCs w:val="24"/>
              </w:rPr>
            </w:pPr>
          </w:p>
        </w:tc>
        <w:tc>
          <w:tcPr>
            <w:tcW w:w="5874" w:type="dxa"/>
          </w:tcPr>
          <w:p w:rsidR="000E7EF4" w:rsidRDefault="00155514" w:rsidP="004F5197">
            <w:pPr>
              <w:pStyle w:val="NormalHeadings"/>
              <w:jc w:val="right"/>
            </w:pPr>
            <w:r>
              <w:fldChar w:fldCharType="begin" w:fldLock="1"/>
            </w:r>
            <w:r>
              <w:instrText xml:space="preserve"> REF  FileNo </w:instrText>
            </w:r>
            <w:r>
              <w:fldChar w:fldCharType="separate"/>
            </w:r>
            <w:r w:rsidR="000E7EF4">
              <w:t>TAD 28 of 2018</w:t>
            </w:r>
            <w:r>
              <w:fldChar w:fldCharType="end"/>
            </w:r>
          </w:p>
        </w:tc>
      </w:tr>
      <w:tr w:rsidR="000E7EF4" w:rsidTr="000E7EF4">
        <w:trPr>
          <w:trHeight w:val="386"/>
        </w:trPr>
        <w:tc>
          <w:tcPr>
            <w:tcW w:w="3368" w:type="dxa"/>
          </w:tcPr>
          <w:p w:rsidR="000E7EF4" w:rsidRDefault="000E7EF4" w:rsidP="0087788E">
            <w:pPr>
              <w:pStyle w:val="BodyTextBold"/>
              <w:spacing w:before="180"/>
              <w:jc w:val="left"/>
            </w:pPr>
            <w:bookmarkStart w:id="26" w:name="SOP_RespondentsRows" w:colFirst="0" w:colLast="1"/>
            <w:r>
              <w:t>Respondents</w:t>
            </w:r>
          </w:p>
        </w:tc>
        <w:tc>
          <w:tcPr>
            <w:tcW w:w="5874" w:type="dxa"/>
            <w:tcMar>
              <w:left w:w="28" w:type="dxa"/>
            </w:tcMar>
          </w:tcPr>
          <w:p w:rsidR="000E7EF4" w:rsidRDefault="000E7EF4" w:rsidP="0087788E">
            <w:pPr>
              <w:pStyle w:val="BodyText"/>
              <w:jc w:val="left"/>
            </w:pPr>
          </w:p>
        </w:tc>
      </w:tr>
      <w:tr w:rsidR="000E7EF4" w:rsidTr="000E7EF4">
        <w:trPr>
          <w:trHeight w:val="386"/>
        </w:trPr>
        <w:tc>
          <w:tcPr>
            <w:tcW w:w="3368" w:type="dxa"/>
          </w:tcPr>
          <w:p w:rsidR="000E7EF4" w:rsidRDefault="000E7EF4" w:rsidP="00F2363B">
            <w:pPr>
              <w:pStyle w:val="BodyText"/>
              <w:spacing w:after="240" w:line="240" w:lineRule="auto"/>
              <w:jc w:val="left"/>
            </w:pPr>
            <w:bookmarkStart w:id="27" w:name="SOP_FirstRespondent"/>
            <w:bookmarkEnd w:id="27"/>
            <w:r>
              <w:t>Fourth Respondent:</w:t>
            </w:r>
          </w:p>
        </w:tc>
        <w:tc>
          <w:tcPr>
            <w:tcW w:w="5874" w:type="dxa"/>
            <w:tcMar>
              <w:left w:w="28" w:type="dxa"/>
            </w:tcMar>
          </w:tcPr>
          <w:p w:rsidR="000E7EF4" w:rsidRDefault="000E7EF4" w:rsidP="00F2363B">
            <w:pPr>
              <w:pStyle w:val="BodyText"/>
              <w:spacing w:after="240" w:line="240" w:lineRule="auto"/>
              <w:jc w:val="left"/>
            </w:pPr>
            <w:r>
              <w:t>JANET KAY HOGAN AS THE EXECUTRIX OF THE ESTATE OF THE LATE JOHN MICHAEL JOGAN</w:t>
            </w:r>
          </w:p>
        </w:tc>
      </w:tr>
      <w:tr w:rsidR="000E7EF4" w:rsidTr="000E7EF4">
        <w:trPr>
          <w:trHeight w:val="386"/>
        </w:trPr>
        <w:tc>
          <w:tcPr>
            <w:tcW w:w="3368" w:type="dxa"/>
          </w:tcPr>
          <w:p w:rsidR="000E7EF4" w:rsidRDefault="000E7EF4" w:rsidP="00F2363B">
            <w:pPr>
              <w:pStyle w:val="BodyText"/>
              <w:spacing w:after="240" w:line="240" w:lineRule="auto"/>
              <w:jc w:val="left"/>
            </w:pPr>
            <w:r>
              <w:t>Fifth Respondent:</w:t>
            </w:r>
          </w:p>
        </w:tc>
        <w:tc>
          <w:tcPr>
            <w:tcW w:w="5874" w:type="dxa"/>
            <w:tcMar>
              <w:left w:w="28" w:type="dxa"/>
            </w:tcMar>
          </w:tcPr>
          <w:p w:rsidR="000E7EF4" w:rsidRDefault="000E7EF4" w:rsidP="00F2363B">
            <w:pPr>
              <w:pStyle w:val="BodyText"/>
              <w:spacing w:after="240" w:line="240" w:lineRule="auto"/>
              <w:jc w:val="left"/>
            </w:pPr>
            <w:r>
              <w:t>WORSLEY DARCEY &amp; ASSOCIATES</w:t>
            </w:r>
          </w:p>
        </w:tc>
      </w:tr>
      <w:bookmarkEnd w:id="26"/>
    </w:tbl>
    <w:p w:rsidR="000E7EF4" w:rsidRDefault="000E7EF4" w:rsidP="002B0E91">
      <w:pPr>
        <w:pStyle w:val="BodyText"/>
      </w:pPr>
    </w:p>
    <w:bookmarkEnd w:id="25"/>
    <w:p w:rsidR="000E7EF4" w:rsidRDefault="000E7EF4" w:rsidP="000E7EF4">
      <w:pPr>
        <w:pStyle w:val="BodyText"/>
      </w:pPr>
    </w:p>
    <w:sectPr w:rsidR="000E7EF4" w:rsidSect="000E7EF4">
      <w:headerReference w:type="first" r:id="rId16"/>
      <w:endnotePr>
        <w:numFmt w:val="decimal"/>
      </w:endnotePr>
      <w:pgSz w:w="11907" w:h="16840" w:code="9"/>
      <w:pgMar w:top="1440" w:right="1440" w:bottom="1440" w:left="1440" w:header="851" w:footer="85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245" w:rsidRDefault="00371245">
      <w:pPr>
        <w:spacing w:line="20" w:lineRule="exact"/>
      </w:pPr>
    </w:p>
    <w:p w:rsidR="00371245" w:rsidRDefault="00371245"/>
    <w:p w:rsidR="00371245" w:rsidRDefault="00371245"/>
  </w:endnote>
  <w:endnote w:type="continuationSeparator" w:id="0">
    <w:p w:rsidR="00371245" w:rsidRDefault="00371245">
      <w:r>
        <w:t xml:space="preserve"> </w:t>
      </w:r>
    </w:p>
    <w:p w:rsidR="00371245" w:rsidRDefault="00371245"/>
    <w:p w:rsidR="00371245" w:rsidRDefault="00371245"/>
  </w:endnote>
  <w:endnote w:type="continuationNotice" w:id="1">
    <w:p w:rsidR="00371245" w:rsidRDefault="00371245">
      <w:r>
        <w:t xml:space="preserve"> </w:t>
      </w:r>
    </w:p>
    <w:p w:rsidR="00371245" w:rsidRDefault="00371245"/>
    <w:p w:rsidR="00371245" w:rsidRDefault="003712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¹ÙÅÁ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B24" w:rsidRDefault="00395B24">
    <w:pPr>
      <w:pStyle w:val="Footer"/>
      <w:jc w:val="center"/>
      <w:rPr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B24" w:rsidRPr="00624520" w:rsidRDefault="00395B24" w:rsidP="00624520">
    <w:pPr>
      <w:pStyle w:val="Footer"/>
      <w:jc w:val="center"/>
      <w:rPr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E49" w:rsidRDefault="002F1E49" w:rsidP="002F1E49">
    <w:pPr>
      <w:pStyle w:val="Footer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245" w:rsidRDefault="00371245"/>
    <w:p w:rsidR="00371245" w:rsidRDefault="00371245"/>
    <w:p w:rsidR="00371245" w:rsidRDefault="00371245"/>
  </w:footnote>
  <w:footnote w:type="continuationSeparator" w:id="0">
    <w:p w:rsidR="00371245" w:rsidRDefault="00371245">
      <w:r>
        <w:continuationSeparator/>
      </w:r>
    </w:p>
    <w:p w:rsidR="00371245" w:rsidRDefault="00371245"/>
    <w:p w:rsidR="00371245" w:rsidRDefault="003712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B24" w:rsidRDefault="002C7385">
    <w:pPr>
      <w:tabs>
        <w:tab w:val="center" w:pos="4512"/>
      </w:tabs>
      <w:suppressAutoHyphens/>
    </w:pPr>
    <w:r>
      <w:tab/>
      <w:t xml:space="preserve">- </w:t>
    </w:r>
    <w:r w:rsidR="0092590B">
      <w:fldChar w:fldCharType="begin"/>
    </w:r>
    <w:r w:rsidR="0092590B">
      <w:instrText xml:space="preserve"> PAGE   \* MERGEFORMAT </w:instrText>
    </w:r>
    <w:r w:rsidR="0092590B">
      <w:fldChar w:fldCharType="separate"/>
    </w:r>
    <w:r w:rsidR="009A3A9C">
      <w:rPr>
        <w:noProof/>
      </w:rPr>
      <w:t>ii</w:t>
    </w:r>
    <w:r w:rsidR="0092590B">
      <w:rPr>
        <w:noProof/>
      </w:rP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B24" w:rsidRDefault="00395B24">
    <w:pPr>
      <w:pStyle w:val="Header"/>
      <w:tabs>
        <w:tab w:val="clear" w:pos="4320"/>
        <w:tab w:val="clear" w:pos="8640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B24" w:rsidRDefault="00395B2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B24" w:rsidRDefault="002C7385">
    <w:pPr>
      <w:tabs>
        <w:tab w:val="center" w:pos="4512"/>
      </w:tabs>
      <w:suppressAutoHyphens/>
    </w:pPr>
    <w:r>
      <w:tab/>
      <w:t xml:space="preserve">- </w:t>
    </w:r>
    <w:r>
      <w:fldChar w:fldCharType="begin"/>
    </w:r>
    <w:r>
      <w:instrText>page \* arabic</w:instrText>
    </w:r>
    <w:r>
      <w:fldChar w:fldCharType="separate"/>
    </w:r>
    <w:r w:rsidR="00155514">
      <w:rPr>
        <w:noProof/>
      </w:rPr>
      <w:t>4</w:t>
    </w:r>
    <w:r>
      <w:fldChar w:fldCharType="end"/>
    </w:r>
    <w:r>
      <w:t xml:space="preserve"> -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B24" w:rsidRDefault="00395B24">
    <w:pPr>
      <w:pStyle w:val="Header"/>
      <w:tabs>
        <w:tab w:val="clear" w:pos="4320"/>
        <w:tab w:val="clear" w:pos="8640"/>
      </w:tabs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EF4" w:rsidRDefault="000E7EF4" w:rsidP="000E7EF4">
    <w:pPr>
      <w:pStyle w:val="Header"/>
      <w:tabs>
        <w:tab w:val="clear" w:pos="4320"/>
        <w:tab w:val="clear" w:pos="8640"/>
      </w:tabs>
      <w:jc w:val="center"/>
    </w:pPr>
    <w:r>
      <w:t xml:space="preserve">- </w:t>
    </w:r>
    <w:r>
      <w:fldChar w:fldCharType="begin"/>
    </w:r>
    <w:r>
      <w:instrText>page \* arabic</w:instrText>
    </w:r>
    <w:r>
      <w:fldChar w:fldCharType="separate"/>
    </w:r>
    <w:r w:rsidR="00B20484">
      <w:rPr>
        <w:noProof/>
      </w:rPr>
      <w:t>5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23ACB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4AF16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3689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22946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E2E98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26AA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947F0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5AED4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EC11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DC14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E79F4"/>
    <w:multiLevelType w:val="hybridMultilevel"/>
    <w:tmpl w:val="1E4E00A4"/>
    <w:lvl w:ilvl="0" w:tplc="B8F2B8A6">
      <w:start w:val="1"/>
      <w:numFmt w:val="lowerRoman"/>
      <w:lvlText w:val="(%1)"/>
      <w:lvlJc w:val="righ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0B9B7C7A"/>
    <w:multiLevelType w:val="hybridMultilevel"/>
    <w:tmpl w:val="0D8E828C"/>
    <w:lvl w:ilvl="0" w:tplc="E5462CDA">
      <w:start w:val="1"/>
      <w:numFmt w:val="bullet"/>
      <w:pStyle w:val="Quote2Bullet"/>
      <w:lvlText w:val="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68F28D0"/>
    <w:multiLevelType w:val="multilevel"/>
    <w:tmpl w:val="93FA7D28"/>
    <w:lvl w:ilvl="0">
      <w:start w:val="1"/>
      <w:numFmt w:val="bullet"/>
      <w:pStyle w:val="FCBullets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3" w15:restartNumberingAfterBreak="0">
    <w:nsid w:val="17762CB3"/>
    <w:multiLevelType w:val="multilevel"/>
    <w:tmpl w:val="44CCCC8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4" w15:restartNumberingAfterBreak="0">
    <w:nsid w:val="1C1468D3"/>
    <w:multiLevelType w:val="multilevel"/>
    <w:tmpl w:val="0F0EC90E"/>
    <w:styleLink w:val="FCListNo"/>
    <w:lvl w:ilvl="0">
      <w:start w:val="1"/>
      <w:numFmt w:val="decimal"/>
      <w:lvlRestart w:val="0"/>
      <w:pStyle w:val="ListNo1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>
      <w:start w:val="1"/>
      <w:numFmt w:val="lowerLetter"/>
      <w:pStyle w:val="ListNo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ListNo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5" w15:restartNumberingAfterBreak="0">
    <w:nsid w:val="1EF9738D"/>
    <w:multiLevelType w:val="hybridMultilevel"/>
    <w:tmpl w:val="21C4D53A"/>
    <w:lvl w:ilvl="0" w:tplc="1A28D646">
      <w:start w:val="1"/>
      <w:numFmt w:val="decimal"/>
      <w:lvlText w:val="(%1)"/>
      <w:lvlJc w:val="left"/>
      <w:pPr>
        <w:ind w:left="321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39" w:hanging="360"/>
      </w:pPr>
    </w:lvl>
    <w:lvl w:ilvl="2" w:tplc="0C09001B" w:tentative="1">
      <w:start w:val="1"/>
      <w:numFmt w:val="lowerRoman"/>
      <w:lvlText w:val="%3."/>
      <w:lvlJc w:val="right"/>
      <w:pPr>
        <w:ind w:left="4659" w:hanging="180"/>
      </w:pPr>
    </w:lvl>
    <w:lvl w:ilvl="3" w:tplc="0C09000F" w:tentative="1">
      <w:start w:val="1"/>
      <w:numFmt w:val="decimal"/>
      <w:lvlText w:val="%4."/>
      <w:lvlJc w:val="left"/>
      <w:pPr>
        <w:ind w:left="5379" w:hanging="360"/>
      </w:pPr>
    </w:lvl>
    <w:lvl w:ilvl="4" w:tplc="0C090019" w:tentative="1">
      <w:start w:val="1"/>
      <w:numFmt w:val="lowerLetter"/>
      <w:lvlText w:val="%5."/>
      <w:lvlJc w:val="left"/>
      <w:pPr>
        <w:ind w:left="6099" w:hanging="360"/>
      </w:pPr>
    </w:lvl>
    <w:lvl w:ilvl="5" w:tplc="0C09001B" w:tentative="1">
      <w:start w:val="1"/>
      <w:numFmt w:val="lowerRoman"/>
      <w:lvlText w:val="%6."/>
      <w:lvlJc w:val="right"/>
      <w:pPr>
        <w:ind w:left="6819" w:hanging="180"/>
      </w:pPr>
    </w:lvl>
    <w:lvl w:ilvl="6" w:tplc="0C09000F" w:tentative="1">
      <w:start w:val="1"/>
      <w:numFmt w:val="decimal"/>
      <w:lvlText w:val="%7."/>
      <w:lvlJc w:val="left"/>
      <w:pPr>
        <w:ind w:left="7539" w:hanging="360"/>
      </w:pPr>
    </w:lvl>
    <w:lvl w:ilvl="7" w:tplc="0C090019" w:tentative="1">
      <w:start w:val="1"/>
      <w:numFmt w:val="lowerLetter"/>
      <w:lvlText w:val="%8."/>
      <w:lvlJc w:val="left"/>
      <w:pPr>
        <w:ind w:left="8259" w:hanging="360"/>
      </w:pPr>
    </w:lvl>
    <w:lvl w:ilvl="8" w:tplc="0C09001B" w:tentative="1">
      <w:start w:val="1"/>
      <w:numFmt w:val="lowerRoman"/>
      <w:lvlText w:val="%9."/>
      <w:lvlJc w:val="right"/>
      <w:pPr>
        <w:ind w:left="8979" w:hanging="180"/>
      </w:pPr>
    </w:lvl>
  </w:abstractNum>
  <w:abstractNum w:abstractNumId="16" w15:restartNumberingAfterBreak="0">
    <w:nsid w:val="27E40CA6"/>
    <w:multiLevelType w:val="hybridMultilevel"/>
    <w:tmpl w:val="AC248956"/>
    <w:lvl w:ilvl="0" w:tplc="2BC8ED2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AE3DD1"/>
    <w:multiLevelType w:val="singleLevel"/>
    <w:tmpl w:val="5C92B9B0"/>
    <w:lvl w:ilvl="0">
      <w:start w:val="1"/>
      <w:numFmt w:val="decimal"/>
      <w:lvlRestart w:val="0"/>
      <w:pStyle w:val="ParaNumbering"/>
      <w:lvlText w:val="%1"/>
      <w:lvlJc w:val="left"/>
      <w:pPr>
        <w:tabs>
          <w:tab w:val="num" w:pos="720"/>
        </w:tabs>
        <w:ind w:left="0" w:hanging="720"/>
      </w:pPr>
      <w:rPr>
        <w:rFonts w:hint="default"/>
        <w:sz w:val="20"/>
      </w:rPr>
    </w:lvl>
  </w:abstractNum>
  <w:abstractNum w:abstractNumId="18" w15:restartNumberingAfterBreak="0">
    <w:nsid w:val="2AD4345C"/>
    <w:multiLevelType w:val="multilevel"/>
    <w:tmpl w:val="15C806DA"/>
    <w:styleLink w:val="FCOrders"/>
    <w:lvl w:ilvl="0">
      <w:start w:val="1"/>
      <w:numFmt w:val="decimal"/>
      <w:pStyle w:val="Order1"/>
      <w:lvlText w:val="%1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pStyle w:val="Order2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pStyle w:val="Order3"/>
      <w:lvlText w:val="(%3)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9" w15:restartNumberingAfterBreak="0">
    <w:nsid w:val="33561E2E"/>
    <w:multiLevelType w:val="hybridMultilevel"/>
    <w:tmpl w:val="E0D27D0E"/>
    <w:lvl w:ilvl="0" w:tplc="1EAAB8BA">
      <w:start w:val="1"/>
      <w:numFmt w:val="bullet"/>
      <w:pStyle w:val="Quote3Bullet"/>
      <w:lvlText w:val=""/>
      <w:lvlJc w:val="left"/>
      <w:pPr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3630A1B"/>
    <w:multiLevelType w:val="multilevel"/>
    <w:tmpl w:val="D3AE416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1" w15:restartNumberingAfterBreak="0">
    <w:nsid w:val="47F720E9"/>
    <w:multiLevelType w:val="multilevel"/>
    <w:tmpl w:val="44CCCC8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2" w15:restartNumberingAfterBreak="0">
    <w:nsid w:val="494817A7"/>
    <w:multiLevelType w:val="multilevel"/>
    <w:tmpl w:val="0F0EC90E"/>
    <w:numStyleLink w:val="FCListNo"/>
  </w:abstractNum>
  <w:abstractNum w:abstractNumId="23" w15:restartNumberingAfterBreak="0">
    <w:nsid w:val="49B30D2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736C9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61473B2"/>
    <w:multiLevelType w:val="multilevel"/>
    <w:tmpl w:val="CBA031B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6" w15:restartNumberingAfterBreak="0">
    <w:nsid w:val="668713D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6F9B6398"/>
    <w:multiLevelType w:val="hybridMultilevel"/>
    <w:tmpl w:val="0E4CBD92"/>
    <w:lvl w:ilvl="0" w:tplc="907C4790">
      <w:start w:val="1"/>
      <w:numFmt w:val="bullet"/>
      <w:pStyle w:val="Quote1Bullet"/>
      <w:lvlText w:val=""/>
      <w:lvlJc w:val="left"/>
      <w:pPr>
        <w:ind w:left="145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8" w15:restartNumberingAfterBreak="0">
    <w:nsid w:val="7842518D"/>
    <w:multiLevelType w:val="multilevel"/>
    <w:tmpl w:val="44CCCC8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9" w15:restartNumberingAfterBreak="0">
    <w:nsid w:val="7D0861FF"/>
    <w:multiLevelType w:val="multilevel"/>
    <w:tmpl w:val="1BC46E94"/>
    <w:lvl w:ilvl="0">
      <w:start w:val="1"/>
      <w:numFmt w:val="decimal"/>
      <w:lvlRestart w:val="0"/>
      <w:pStyle w:val="fc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fc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fc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fc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fc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21"/>
  </w:num>
  <w:num w:numId="16">
    <w:abstractNumId w:val="28"/>
  </w:num>
  <w:num w:numId="17">
    <w:abstractNumId w:val="20"/>
  </w:num>
  <w:num w:numId="18">
    <w:abstractNumId w:val="20"/>
  </w:num>
  <w:num w:numId="19">
    <w:abstractNumId w:val="26"/>
  </w:num>
  <w:num w:numId="20">
    <w:abstractNumId w:val="23"/>
  </w:num>
  <w:num w:numId="21">
    <w:abstractNumId w:val="24"/>
  </w:num>
  <w:num w:numId="22">
    <w:abstractNumId w:val="29"/>
  </w:num>
  <w:num w:numId="23">
    <w:abstractNumId w:val="29"/>
  </w:num>
  <w:num w:numId="24">
    <w:abstractNumId w:val="29"/>
  </w:num>
  <w:num w:numId="25">
    <w:abstractNumId w:val="29"/>
  </w:num>
  <w:num w:numId="26">
    <w:abstractNumId w:val="29"/>
  </w:num>
  <w:num w:numId="27">
    <w:abstractNumId w:val="15"/>
  </w:num>
  <w:num w:numId="28">
    <w:abstractNumId w:val="16"/>
  </w:num>
  <w:num w:numId="29">
    <w:abstractNumId w:val="10"/>
  </w:num>
  <w:num w:numId="30">
    <w:abstractNumId w:val="14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1"/>
  </w:num>
  <w:num w:numId="34">
    <w:abstractNumId w:val="19"/>
  </w:num>
  <w:num w:numId="35">
    <w:abstractNumId w:val="22"/>
  </w:num>
  <w:num w:numId="36">
    <w:abstractNumId w:val="22"/>
  </w:num>
  <w:num w:numId="37">
    <w:abstractNumId w:val="22"/>
  </w:num>
  <w:num w:numId="38">
    <w:abstractNumId w:val="14"/>
  </w:num>
  <w:num w:numId="39">
    <w:abstractNumId w:val="22"/>
  </w:num>
  <w:num w:numId="40">
    <w:abstractNumId w:val="22"/>
  </w:num>
  <w:num w:numId="41">
    <w:abstractNumId w:val="22"/>
  </w:num>
  <w:num w:numId="42">
    <w:abstractNumId w:val="18"/>
  </w:num>
  <w:num w:numId="43">
    <w:abstractNumId w:val="18"/>
  </w:num>
  <w:num w:numId="44">
    <w:abstractNumId w:val="18"/>
  </w:num>
  <w:num w:numId="45">
    <w:abstractNumId w:val="18"/>
  </w:num>
  <w:num w:numId="46">
    <w:abstractNumId w:val="18"/>
  </w:num>
  <w:num w:numId="47">
    <w:abstractNumId w:val="18"/>
  </w:num>
  <w:num w:numId="48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8" w:dllVersion="513" w:checkStyle="1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AndAnother" w:val="True"/>
    <w:docVar w:name="APPAndOthers" w:val="False"/>
    <w:docVar w:name="Appellant" w:val="JADWAN PTY LTD"/>
    <w:docVar w:name="CounselParties" w:val="Appellant"/>
    <w:docVar w:name="CounselType" w:val="Counsel for the "/>
    <w:docVar w:name="Cross1AndAnother" w:val="True"/>
    <w:docVar w:name="Cross1AndOthers" w:val="False"/>
    <w:docVar w:name="Cross2AndAnother" w:val="True"/>
    <w:docVar w:name="Cross2AndOthers" w:val="False"/>
    <w:docVar w:name="Defenders" w:val="(and another named in the Schedule)"/>
    <w:docVar w:name="Division" w:val="General Division"/>
    <w:docVar w:name="DocCreated" w:val="True"/>
    <w:docVar w:name="FileNumbers" w:val="TAD 28 of 2018"/>
    <w:docVar w:name="HearingDate" w:val="Determined on the papers."/>
    <w:docVar w:name="Initiators" w:val="(and another named in the Schedule)"/>
    <w:docVar w:name="Judgdate" w:val="29 May 2020"/>
    <w:docVar w:name="Judge" w:val="BROMWICH, O'CALLAGHAN and WHEELAHAN"/>
    <w:docVar w:name="Justices" w:val="Justice"/>
    <w:docVar w:name="lstEntryList" w:val="-1"/>
    <w:docVar w:name="NSD" w:val="NSD "/>
    <w:docVar w:name="NumApps" w:val="1"/>
    <w:docVar w:name="NumApps_" w:val="1"/>
    <w:docVar w:name="NumCrossResps" w:val="0"/>
    <w:docVar w:name="NumDefs" w:val="5"/>
    <w:docVar w:name="NumOthers" w:val="0"/>
    <w:docVar w:name="OtherNum" w:val="0"/>
    <w:docVar w:name="Parties1" w:val="Appellant"/>
    <w:docVar w:name="Parties2" w:val="Respondent"/>
    <w:docVar w:name="Parties3" w:val="Cross-Appellant"/>
    <w:docVar w:name="Parties4" w:val="Cross-Defendant"/>
    <w:docVar w:name="Parties5" w:val="Intervener"/>
    <w:docVar w:name="PracticeArea" w:val="[none]"/>
    <w:docVar w:name="RESAndAnother" w:val="False"/>
    <w:docVar w:name="RESAndOthers" w:val="True"/>
    <w:docVar w:name="Respondent" w:val="RAE &amp; PARTNERS (A FIRM)|WILSON DOWD (A FIRM)|TOOMEY MANING &amp; CO (A FIRM)|JANET KAY HOGAN AS THE EXECUTRIX OF THE ESTATE OF THE LATE JOHN MICHAEL JOGAN|WORSLEY DARCEY &amp; ASSOCIATES"/>
    <w:docVar w:name="ResState" w:val="Tasmania"/>
    <w:docVar w:name="SubArea" w:val="[none]"/>
  </w:docVars>
  <w:rsids>
    <w:rsidRoot w:val="000E7EF4"/>
    <w:rsid w:val="000040BF"/>
    <w:rsid w:val="00010111"/>
    <w:rsid w:val="0001469E"/>
    <w:rsid w:val="0001555F"/>
    <w:rsid w:val="00015993"/>
    <w:rsid w:val="00017A5C"/>
    <w:rsid w:val="00022289"/>
    <w:rsid w:val="000240E0"/>
    <w:rsid w:val="00024AA1"/>
    <w:rsid w:val="000268FE"/>
    <w:rsid w:val="00032F9F"/>
    <w:rsid w:val="00034994"/>
    <w:rsid w:val="000365E4"/>
    <w:rsid w:val="00041C07"/>
    <w:rsid w:val="00041DDC"/>
    <w:rsid w:val="00045BB7"/>
    <w:rsid w:val="00055719"/>
    <w:rsid w:val="0005641B"/>
    <w:rsid w:val="00061A44"/>
    <w:rsid w:val="00064E43"/>
    <w:rsid w:val="00070C4D"/>
    <w:rsid w:val="00072F30"/>
    <w:rsid w:val="00076B48"/>
    <w:rsid w:val="00081497"/>
    <w:rsid w:val="00095851"/>
    <w:rsid w:val="000A02AF"/>
    <w:rsid w:val="000A2E76"/>
    <w:rsid w:val="000A4807"/>
    <w:rsid w:val="000A4BE4"/>
    <w:rsid w:val="000B5956"/>
    <w:rsid w:val="000C023E"/>
    <w:rsid w:val="000C4A9A"/>
    <w:rsid w:val="000C5195"/>
    <w:rsid w:val="000C62EF"/>
    <w:rsid w:val="000D2137"/>
    <w:rsid w:val="000D3FD2"/>
    <w:rsid w:val="000E3FC8"/>
    <w:rsid w:val="000E46D6"/>
    <w:rsid w:val="000E7BAE"/>
    <w:rsid w:val="000E7EF4"/>
    <w:rsid w:val="000F133D"/>
    <w:rsid w:val="0010235B"/>
    <w:rsid w:val="0010536B"/>
    <w:rsid w:val="0011145C"/>
    <w:rsid w:val="001128BD"/>
    <w:rsid w:val="00113492"/>
    <w:rsid w:val="0011419D"/>
    <w:rsid w:val="00114F6B"/>
    <w:rsid w:val="00132054"/>
    <w:rsid w:val="00134A19"/>
    <w:rsid w:val="0014146D"/>
    <w:rsid w:val="0014620C"/>
    <w:rsid w:val="00147655"/>
    <w:rsid w:val="00151AB9"/>
    <w:rsid w:val="001530D2"/>
    <w:rsid w:val="00155514"/>
    <w:rsid w:val="001624C3"/>
    <w:rsid w:val="001663A1"/>
    <w:rsid w:val="001727A4"/>
    <w:rsid w:val="0017376C"/>
    <w:rsid w:val="001738AB"/>
    <w:rsid w:val="001765E0"/>
    <w:rsid w:val="00177759"/>
    <w:rsid w:val="00185E6B"/>
    <w:rsid w:val="00187BBC"/>
    <w:rsid w:val="001932F3"/>
    <w:rsid w:val="001943B2"/>
    <w:rsid w:val="00197CFF"/>
    <w:rsid w:val="001A4309"/>
    <w:rsid w:val="001B1053"/>
    <w:rsid w:val="001B14AC"/>
    <w:rsid w:val="001B7940"/>
    <w:rsid w:val="001C37CA"/>
    <w:rsid w:val="001C4F89"/>
    <w:rsid w:val="001D4303"/>
    <w:rsid w:val="001D6746"/>
    <w:rsid w:val="001E3B49"/>
    <w:rsid w:val="001E7388"/>
    <w:rsid w:val="001F13DD"/>
    <w:rsid w:val="001F2DBC"/>
    <w:rsid w:val="001F5F82"/>
    <w:rsid w:val="001F6A0C"/>
    <w:rsid w:val="001F73E8"/>
    <w:rsid w:val="002013C3"/>
    <w:rsid w:val="0020262C"/>
    <w:rsid w:val="00207220"/>
    <w:rsid w:val="00217552"/>
    <w:rsid w:val="0022230E"/>
    <w:rsid w:val="00224537"/>
    <w:rsid w:val="00226A69"/>
    <w:rsid w:val="00231DEE"/>
    <w:rsid w:val="00235956"/>
    <w:rsid w:val="00235A17"/>
    <w:rsid w:val="002369AC"/>
    <w:rsid w:val="00240F47"/>
    <w:rsid w:val="00247C9A"/>
    <w:rsid w:val="0025160C"/>
    <w:rsid w:val="00252CF0"/>
    <w:rsid w:val="002535D0"/>
    <w:rsid w:val="002539B3"/>
    <w:rsid w:val="00257C3E"/>
    <w:rsid w:val="002602C2"/>
    <w:rsid w:val="002603E9"/>
    <w:rsid w:val="002658AE"/>
    <w:rsid w:val="002666C9"/>
    <w:rsid w:val="00270136"/>
    <w:rsid w:val="00274F5B"/>
    <w:rsid w:val="00280836"/>
    <w:rsid w:val="00281428"/>
    <w:rsid w:val="00282E1A"/>
    <w:rsid w:val="00286A3E"/>
    <w:rsid w:val="0029113B"/>
    <w:rsid w:val="002934C0"/>
    <w:rsid w:val="0029612A"/>
    <w:rsid w:val="002A1B50"/>
    <w:rsid w:val="002B0E91"/>
    <w:rsid w:val="002B6779"/>
    <w:rsid w:val="002B71C0"/>
    <w:rsid w:val="002B7A34"/>
    <w:rsid w:val="002C31AD"/>
    <w:rsid w:val="002C385A"/>
    <w:rsid w:val="002C7385"/>
    <w:rsid w:val="002D05B5"/>
    <w:rsid w:val="002D1D2F"/>
    <w:rsid w:val="002D2DBB"/>
    <w:rsid w:val="002D3EA8"/>
    <w:rsid w:val="002D54A6"/>
    <w:rsid w:val="002E6A7A"/>
    <w:rsid w:val="002E7BE8"/>
    <w:rsid w:val="002F1E49"/>
    <w:rsid w:val="002F4E9C"/>
    <w:rsid w:val="00301AD0"/>
    <w:rsid w:val="00302DC5"/>
    <w:rsid w:val="00302F32"/>
    <w:rsid w:val="0031256C"/>
    <w:rsid w:val="00314666"/>
    <w:rsid w:val="00314D6C"/>
    <w:rsid w:val="0031581C"/>
    <w:rsid w:val="00316D2A"/>
    <w:rsid w:val="00322A7C"/>
    <w:rsid w:val="00331303"/>
    <w:rsid w:val="00331D89"/>
    <w:rsid w:val="00335381"/>
    <w:rsid w:val="003402D3"/>
    <w:rsid w:val="003407EF"/>
    <w:rsid w:val="00343ABC"/>
    <w:rsid w:val="00345810"/>
    <w:rsid w:val="003463FE"/>
    <w:rsid w:val="003554B3"/>
    <w:rsid w:val="00356632"/>
    <w:rsid w:val="00371245"/>
    <w:rsid w:val="00375FD2"/>
    <w:rsid w:val="003845A9"/>
    <w:rsid w:val="00390883"/>
    <w:rsid w:val="003912D4"/>
    <w:rsid w:val="003922F8"/>
    <w:rsid w:val="00393D05"/>
    <w:rsid w:val="003953AD"/>
    <w:rsid w:val="00395B24"/>
    <w:rsid w:val="003A2D38"/>
    <w:rsid w:val="003A4921"/>
    <w:rsid w:val="003A5D9D"/>
    <w:rsid w:val="003A7ECC"/>
    <w:rsid w:val="003B0548"/>
    <w:rsid w:val="003B2943"/>
    <w:rsid w:val="003B2C72"/>
    <w:rsid w:val="003C1333"/>
    <w:rsid w:val="003C20FF"/>
    <w:rsid w:val="003C283F"/>
    <w:rsid w:val="003D2650"/>
    <w:rsid w:val="003D560C"/>
    <w:rsid w:val="003E547B"/>
    <w:rsid w:val="003E5874"/>
    <w:rsid w:val="003F01D4"/>
    <w:rsid w:val="003F193E"/>
    <w:rsid w:val="003F1E09"/>
    <w:rsid w:val="003F34F1"/>
    <w:rsid w:val="00404268"/>
    <w:rsid w:val="004060E7"/>
    <w:rsid w:val="00411AE8"/>
    <w:rsid w:val="00413B74"/>
    <w:rsid w:val="004148D4"/>
    <w:rsid w:val="0041497D"/>
    <w:rsid w:val="004239E8"/>
    <w:rsid w:val="00435C5F"/>
    <w:rsid w:val="00441E98"/>
    <w:rsid w:val="004532F7"/>
    <w:rsid w:val="00460D7F"/>
    <w:rsid w:val="00464604"/>
    <w:rsid w:val="00471C34"/>
    <w:rsid w:val="00472027"/>
    <w:rsid w:val="00476440"/>
    <w:rsid w:val="004804CF"/>
    <w:rsid w:val="00484962"/>
    <w:rsid w:val="00484F6D"/>
    <w:rsid w:val="00486102"/>
    <w:rsid w:val="004876D7"/>
    <w:rsid w:val="0049338A"/>
    <w:rsid w:val="0049417F"/>
    <w:rsid w:val="00496BA3"/>
    <w:rsid w:val="004B3D1B"/>
    <w:rsid w:val="004B3EFA"/>
    <w:rsid w:val="004C2A87"/>
    <w:rsid w:val="004C4D7B"/>
    <w:rsid w:val="004C4ED3"/>
    <w:rsid w:val="004D29C8"/>
    <w:rsid w:val="004D2EA5"/>
    <w:rsid w:val="004D32A6"/>
    <w:rsid w:val="004D355A"/>
    <w:rsid w:val="004D39C0"/>
    <w:rsid w:val="004D53E5"/>
    <w:rsid w:val="004D6216"/>
    <w:rsid w:val="004D696C"/>
    <w:rsid w:val="004D7AEF"/>
    <w:rsid w:val="004E05BB"/>
    <w:rsid w:val="004E14A7"/>
    <w:rsid w:val="004E3B22"/>
    <w:rsid w:val="004E3E9A"/>
    <w:rsid w:val="004E7AE5"/>
    <w:rsid w:val="004F0C98"/>
    <w:rsid w:val="004F13D5"/>
    <w:rsid w:val="004F1B32"/>
    <w:rsid w:val="004F268F"/>
    <w:rsid w:val="004F6CB3"/>
    <w:rsid w:val="00501A12"/>
    <w:rsid w:val="0051346D"/>
    <w:rsid w:val="00513EAE"/>
    <w:rsid w:val="00516806"/>
    <w:rsid w:val="00521490"/>
    <w:rsid w:val="00522388"/>
    <w:rsid w:val="00524107"/>
    <w:rsid w:val="00524D02"/>
    <w:rsid w:val="00525A49"/>
    <w:rsid w:val="00527456"/>
    <w:rsid w:val="0052781B"/>
    <w:rsid w:val="00535613"/>
    <w:rsid w:val="005359EB"/>
    <w:rsid w:val="0053689A"/>
    <w:rsid w:val="00541E6B"/>
    <w:rsid w:val="0054254A"/>
    <w:rsid w:val="005429FC"/>
    <w:rsid w:val="00542F45"/>
    <w:rsid w:val="005466B5"/>
    <w:rsid w:val="00554314"/>
    <w:rsid w:val="00555B58"/>
    <w:rsid w:val="00556D43"/>
    <w:rsid w:val="005629B3"/>
    <w:rsid w:val="00567F9E"/>
    <w:rsid w:val="005730F7"/>
    <w:rsid w:val="00573AC4"/>
    <w:rsid w:val="005801FC"/>
    <w:rsid w:val="0059112A"/>
    <w:rsid w:val="00592D8A"/>
    <w:rsid w:val="00595016"/>
    <w:rsid w:val="005977BE"/>
    <w:rsid w:val="00597AAE"/>
    <w:rsid w:val="005A222C"/>
    <w:rsid w:val="005A2477"/>
    <w:rsid w:val="005A24D3"/>
    <w:rsid w:val="005A4DF8"/>
    <w:rsid w:val="005A5F17"/>
    <w:rsid w:val="005B1426"/>
    <w:rsid w:val="005B576D"/>
    <w:rsid w:val="005C0A8E"/>
    <w:rsid w:val="005C1767"/>
    <w:rsid w:val="005C42EF"/>
    <w:rsid w:val="005C5694"/>
    <w:rsid w:val="005D291F"/>
    <w:rsid w:val="005D30F9"/>
    <w:rsid w:val="005D395E"/>
    <w:rsid w:val="005D41A9"/>
    <w:rsid w:val="005D6012"/>
    <w:rsid w:val="005D7822"/>
    <w:rsid w:val="005E02F5"/>
    <w:rsid w:val="005E0510"/>
    <w:rsid w:val="005E1504"/>
    <w:rsid w:val="005E176E"/>
    <w:rsid w:val="005E218E"/>
    <w:rsid w:val="005E2D17"/>
    <w:rsid w:val="005E35A0"/>
    <w:rsid w:val="005F0D1B"/>
    <w:rsid w:val="005F1865"/>
    <w:rsid w:val="005F213F"/>
    <w:rsid w:val="005F4852"/>
    <w:rsid w:val="006007BD"/>
    <w:rsid w:val="006013C8"/>
    <w:rsid w:val="0060270D"/>
    <w:rsid w:val="00604611"/>
    <w:rsid w:val="00606686"/>
    <w:rsid w:val="00606E69"/>
    <w:rsid w:val="00607719"/>
    <w:rsid w:val="00611586"/>
    <w:rsid w:val="00621887"/>
    <w:rsid w:val="00624520"/>
    <w:rsid w:val="00632300"/>
    <w:rsid w:val="00632BB7"/>
    <w:rsid w:val="00635B36"/>
    <w:rsid w:val="00636871"/>
    <w:rsid w:val="00640F4E"/>
    <w:rsid w:val="006430E5"/>
    <w:rsid w:val="00643DE0"/>
    <w:rsid w:val="00644E85"/>
    <w:rsid w:val="00656CF7"/>
    <w:rsid w:val="0066063F"/>
    <w:rsid w:val="00662BB0"/>
    <w:rsid w:val="00663878"/>
    <w:rsid w:val="00666DFE"/>
    <w:rsid w:val="00667619"/>
    <w:rsid w:val="00667773"/>
    <w:rsid w:val="00670743"/>
    <w:rsid w:val="00675481"/>
    <w:rsid w:val="0067634A"/>
    <w:rsid w:val="00676C5F"/>
    <w:rsid w:val="00680177"/>
    <w:rsid w:val="00681E88"/>
    <w:rsid w:val="00684549"/>
    <w:rsid w:val="00685A8A"/>
    <w:rsid w:val="006874D8"/>
    <w:rsid w:val="00690EE2"/>
    <w:rsid w:val="006970D1"/>
    <w:rsid w:val="006A0E20"/>
    <w:rsid w:val="006A5695"/>
    <w:rsid w:val="006A6900"/>
    <w:rsid w:val="006B3904"/>
    <w:rsid w:val="006B5B7D"/>
    <w:rsid w:val="006D0ECF"/>
    <w:rsid w:val="006D1EE9"/>
    <w:rsid w:val="006D4C92"/>
    <w:rsid w:val="006D4EB6"/>
    <w:rsid w:val="006D5C45"/>
    <w:rsid w:val="006E35BF"/>
    <w:rsid w:val="006E7850"/>
    <w:rsid w:val="0070050C"/>
    <w:rsid w:val="007028D9"/>
    <w:rsid w:val="0070380B"/>
    <w:rsid w:val="00707218"/>
    <w:rsid w:val="00710C2C"/>
    <w:rsid w:val="00712B1D"/>
    <w:rsid w:val="007323B9"/>
    <w:rsid w:val="007325D9"/>
    <w:rsid w:val="0073429A"/>
    <w:rsid w:val="007360CA"/>
    <w:rsid w:val="00736ED5"/>
    <w:rsid w:val="00760EC0"/>
    <w:rsid w:val="0076469B"/>
    <w:rsid w:val="007774C8"/>
    <w:rsid w:val="0078003A"/>
    <w:rsid w:val="00780771"/>
    <w:rsid w:val="00784B59"/>
    <w:rsid w:val="007929CF"/>
    <w:rsid w:val="007A6F28"/>
    <w:rsid w:val="007B03C6"/>
    <w:rsid w:val="007B0DB1"/>
    <w:rsid w:val="007C3BF6"/>
    <w:rsid w:val="007D0FD2"/>
    <w:rsid w:val="007D12F3"/>
    <w:rsid w:val="007D2EF8"/>
    <w:rsid w:val="007D561F"/>
    <w:rsid w:val="007D5A23"/>
    <w:rsid w:val="007D7FD2"/>
    <w:rsid w:val="007E0C47"/>
    <w:rsid w:val="007E13D9"/>
    <w:rsid w:val="007E1955"/>
    <w:rsid w:val="007E26F6"/>
    <w:rsid w:val="007E2CEC"/>
    <w:rsid w:val="007E41BE"/>
    <w:rsid w:val="007E4DB6"/>
    <w:rsid w:val="007E5216"/>
    <w:rsid w:val="007E53AA"/>
    <w:rsid w:val="007E662F"/>
    <w:rsid w:val="007E754F"/>
    <w:rsid w:val="007E7A28"/>
    <w:rsid w:val="007E7CD4"/>
    <w:rsid w:val="007F12AC"/>
    <w:rsid w:val="00801800"/>
    <w:rsid w:val="00801B5B"/>
    <w:rsid w:val="008032BE"/>
    <w:rsid w:val="00807BED"/>
    <w:rsid w:val="00815CEA"/>
    <w:rsid w:val="008276B4"/>
    <w:rsid w:val="00831927"/>
    <w:rsid w:val="008328A9"/>
    <w:rsid w:val="00841BD3"/>
    <w:rsid w:val="0084273D"/>
    <w:rsid w:val="00844E3F"/>
    <w:rsid w:val="00845A83"/>
    <w:rsid w:val="00851C3E"/>
    <w:rsid w:val="00860963"/>
    <w:rsid w:val="008634CA"/>
    <w:rsid w:val="008712BB"/>
    <w:rsid w:val="00872373"/>
    <w:rsid w:val="00875346"/>
    <w:rsid w:val="0087747D"/>
    <w:rsid w:val="00890FB6"/>
    <w:rsid w:val="008A2484"/>
    <w:rsid w:val="008A2868"/>
    <w:rsid w:val="008A28B9"/>
    <w:rsid w:val="008A3265"/>
    <w:rsid w:val="008A73CD"/>
    <w:rsid w:val="008C26D9"/>
    <w:rsid w:val="008C2EBA"/>
    <w:rsid w:val="008C375F"/>
    <w:rsid w:val="008C57F5"/>
    <w:rsid w:val="008C6D50"/>
    <w:rsid w:val="008C7167"/>
    <w:rsid w:val="008C7503"/>
    <w:rsid w:val="008D1617"/>
    <w:rsid w:val="008D5A90"/>
    <w:rsid w:val="008D7A0F"/>
    <w:rsid w:val="008E0731"/>
    <w:rsid w:val="008E6315"/>
    <w:rsid w:val="008F11E0"/>
    <w:rsid w:val="008F6A18"/>
    <w:rsid w:val="008F78BC"/>
    <w:rsid w:val="008F7B63"/>
    <w:rsid w:val="008F7D6A"/>
    <w:rsid w:val="00902DC0"/>
    <w:rsid w:val="009054CB"/>
    <w:rsid w:val="00912F94"/>
    <w:rsid w:val="00913AC5"/>
    <w:rsid w:val="00922177"/>
    <w:rsid w:val="0092590B"/>
    <w:rsid w:val="00925E60"/>
    <w:rsid w:val="009264B3"/>
    <w:rsid w:val="0092684F"/>
    <w:rsid w:val="00932D0C"/>
    <w:rsid w:val="00934A79"/>
    <w:rsid w:val="009365E0"/>
    <w:rsid w:val="00937C63"/>
    <w:rsid w:val="00942BA2"/>
    <w:rsid w:val="00944A1A"/>
    <w:rsid w:val="00944C86"/>
    <w:rsid w:val="00950F8E"/>
    <w:rsid w:val="00951BDB"/>
    <w:rsid w:val="009536D2"/>
    <w:rsid w:val="00957DE8"/>
    <w:rsid w:val="00960ECB"/>
    <w:rsid w:val="009615D6"/>
    <w:rsid w:val="00967855"/>
    <w:rsid w:val="009750D2"/>
    <w:rsid w:val="00980736"/>
    <w:rsid w:val="00981A39"/>
    <w:rsid w:val="009845D7"/>
    <w:rsid w:val="0098651F"/>
    <w:rsid w:val="00987097"/>
    <w:rsid w:val="009948A0"/>
    <w:rsid w:val="00994DDD"/>
    <w:rsid w:val="009A3A9C"/>
    <w:rsid w:val="009A47F7"/>
    <w:rsid w:val="009B046C"/>
    <w:rsid w:val="009B04F5"/>
    <w:rsid w:val="009B0FA9"/>
    <w:rsid w:val="009B13FA"/>
    <w:rsid w:val="009B1E2D"/>
    <w:rsid w:val="009B38CA"/>
    <w:rsid w:val="009B4021"/>
    <w:rsid w:val="009C59FB"/>
    <w:rsid w:val="009C6358"/>
    <w:rsid w:val="009C6F3B"/>
    <w:rsid w:val="009D1467"/>
    <w:rsid w:val="009D6BBF"/>
    <w:rsid w:val="009E4FA6"/>
    <w:rsid w:val="009E7D93"/>
    <w:rsid w:val="009F4D41"/>
    <w:rsid w:val="009F5C33"/>
    <w:rsid w:val="00A03EAC"/>
    <w:rsid w:val="00A04DC6"/>
    <w:rsid w:val="00A119A8"/>
    <w:rsid w:val="00A11CA6"/>
    <w:rsid w:val="00A20C49"/>
    <w:rsid w:val="00A269CA"/>
    <w:rsid w:val="00A2731A"/>
    <w:rsid w:val="00A277A3"/>
    <w:rsid w:val="00A3231F"/>
    <w:rsid w:val="00A336EE"/>
    <w:rsid w:val="00A33E8F"/>
    <w:rsid w:val="00A359AC"/>
    <w:rsid w:val="00A35D26"/>
    <w:rsid w:val="00A41413"/>
    <w:rsid w:val="00A42D75"/>
    <w:rsid w:val="00A45943"/>
    <w:rsid w:val="00A45FB1"/>
    <w:rsid w:val="00A460F8"/>
    <w:rsid w:val="00A46CCC"/>
    <w:rsid w:val="00A504AD"/>
    <w:rsid w:val="00A51740"/>
    <w:rsid w:val="00A51CFE"/>
    <w:rsid w:val="00A57EFF"/>
    <w:rsid w:val="00A65F15"/>
    <w:rsid w:val="00A76C13"/>
    <w:rsid w:val="00A81617"/>
    <w:rsid w:val="00A86D71"/>
    <w:rsid w:val="00A92E79"/>
    <w:rsid w:val="00A92EEF"/>
    <w:rsid w:val="00A950B6"/>
    <w:rsid w:val="00AA1ECA"/>
    <w:rsid w:val="00AB41C1"/>
    <w:rsid w:val="00AD12A8"/>
    <w:rsid w:val="00AE023F"/>
    <w:rsid w:val="00AE5DC1"/>
    <w:rsid w:val="00AE7D26"/>
    <w:rsid w:val="00AF3577"/>
    <w:rsid w:val="00AF35F9"/>
    <w:rsid w:val="00AF5982"/>
    <w:rsid w:val="00B05C7D"/>
    <w:rsid w:val="00B12799"/>
    <w:rsid w:val="00B131F1"/>
    <w:rsid w:val="00B13B34"/>
    <w:rsid w:val="00B1598C"/>
    <w:rsid w:val="00B20484"/>
    <w:rsid w:val="00B20844"/>
    <w:rsid w:val="00B336EA"/>
    <w:rsid w:val="00B346C3"/>
    <w:rsid w:val="00B4471C"/>
    <w:rsid w:val="00B451A6"/>
    <w:rsid w:val="00B50583"/>
    <w:rsid w:val="00B64EA1"/>
    <w:rsid w:val="00B722DE"/>
    <w:rsid w:val="00B72C8F"/>
    <w:rsid w:val="00B76C44"/>
    <w:rsid w:val="00B83C86"/>
    <w:rsid w:val="00B83F87"/>
    <w:rsid w:val="00B96440"/>
    <w:rsid w:val="00BA2EFA"/>
    <w:rsid w:val="00BA3DBC"/>
    <w:rsid w:val="00BB2DA2"/>
    <w:rsid w:val="00BB56DC"/>
    <w:rsid w:val="00BC0950"/>
    <w:rsid w:val="00BC19F8"/>
    <w:rsid w:val="00BC3245"/>
    <w:rsid w:val="00BC3BC3"/>
    <w:rsid w:val="00BC4DD7"/>
    <w:rsid w:val="00BE1756"/>
    <w:rsid w:val="00BE183D"/>
    <w:rsid w:val="00BF5D7A"/>
    <w:rsid w:val="00C02D33"/>
    <w:rsid w:val="00C0374E"/>
    <w:rsid w:val="00C1232C"/>
    <w:rsid w:val="00C12A43"/>
    <w:rsid w:val="00C24389"/>
    <w:rsid w:val="00C26684"/>
    <w:rsid w:val="00C35768"/>
    <w:rsid w:val="00C36442"/>
    <w:rsid w:val="00C400CE"/>
    <w:rsid w:val="00C410FD"/>
    <w:rsid w:val="00C463E6"/>
    <w:rsid w:val="00C50B88"/>
    <w:rsid w:val="00C539FB"/>
    <w:rsid w:val="00C5444C"/>
    <w:rsid w:val="00C6314F"/>
    <w:rsid w:val="00C6432C"/>
    <w:rsid w:val="00C65709"/>
    <w:rsid w:val="00C72C80"/>
    <w:rsid w:val="00C77DBE"/>
    <w:rsid w:val="00C80677"/>
    <w:rsid w:val="00C87C74"/>
    <w:rsid w:val="00C91762"/>
    <w:rsid w:val="00C96925"/>
    <w:rsid w:val="00C9749D"/>
    <w:rsid w:val="00CA2027"/>
    <w:rsid w:val="00CA246D"/>
    <w:rsid w:val="00CA3DDA"/>
    <w:rsid w:val="00CA50D9"/>
    <w:rsid w:val="00CB5636"/>
    <w:rsid w:val="00CC1A18"/>
    <w:rsid w:val="00CD63CF"/>
    <w:rsid w:val="00CE13A2"/>
    <w:rsid w:val="00CE6E5B"/>
    <w:rsid w:val="00CF2503"/>
    <w:rsid w:val="00D02B73"/>
    <w:rsid w:val="00D10F21"/>
    <w:rsid w:val="00D11CBE"/>
    <w:rsid w:val="00D163CD"/>
    <w:rsid w:val="00D1751E"/>
    <w:rsid w:val="00D21576"/>
    <w:rsid w:val="00D24806"/>
    <w:rsid w:val="00D24D4A"/>
    <w:rsid w:val="00D31C87"/>
    <w:rsid w:val="00D33EF9"/>
    <w:rsid w:val="00D34040"/>
    <w:rsid w:val="00D34E69"/>
    <w:rsid w:val="00D375EE"/>
    <w:rsid w:val="00D53B53"/>
    <w:rsid w:val="00D574F9"/>
    <w:rsid w:val="00D62699"/>
    <w:rsid w:val="00D762F0"/>
    <w:rsid w:val="00D76E17"/>
    <w:rsid w:val="00D82620"/>
    <w:rsid w:val="00D8458E"/>
    <w:rsid w:val="00D9725F"/>
    <w:rsid w:val="00DA01B1"/>
    <w:rsid w:val="00DA11A2"/>
    <w:rsid w:val="00DA14ED"/>
    <w:rsid w:val="00DA2F9B"/>
    <w:rsid w:val="00DB2EF1"/>
    <w:rsid w:val="00DB3DE1"/>
    <w:rsid w:val="00DB5DA0"/>
    <w:rsid w:val="00DB716C"/>
    <w:rsid w:val="00DC0B86"/>
    <w:rsid w:val="00DC5C85"/>
    <w:rsid w:val="00DD2DDC"/>
    <w:rsid w:val="00DD4236"/>
    <w:rsid w:val="00DD44F1"/>
    <w:rsid w:val="00DE24A7"/>
    <w:rsid w:val="00DE3067"/>
    <w:rsid w:val="00DE6802"/>
    <w:rsid w:val="00DF686A"/>
    <w:rsid w:val="00E027BC"/>
    <w:rsid w:val="00E14EA5"/>
    <w:rsid w:val="00E15517"/>
    <w:rsid w:val="00E15AE9"/>
    <w:rsid w:val="00E16967"/>
    <w:rsid w:val="00E203C4"/>
    <w:rsid w:val="00E21133"/>
    <w:rsid w:val="00E2327E"/>
    <w:rsid w:val="00E25312"/>
    <w:rsid w:val="00E266EF"/>
    <w:rsid w:val="00E27131"/>
    <w:rsid w:val="00E30DFB"/>
    <w:rsid w:val="00E47428"/>
    <w:rsid w:val="00E50BE1"/>
    <w:rsid w:val="00E57106"/>
    <w:rsid w:val="00E634E0"/>
    <w:rsid w:val="00E66B9F"/>
    <w:rsid w:val="00E66FE4"/>
    <w:rsid w:val="00E710D6"/>
    <w:rsid w:val="00E76E45"/>
    <w:rsid w:val="00E777C9"/>
    <w:rsid w:val="00E81DA6"/>
    <w:rsid w:val="00E84212"/>
    <w:rsid w:val="00E9086C"/>
    <w:rsid w:val="00E91A0F"/>
    <w:rsid w:val="00E91BC8"/>
    <w:rsid w:val="00E94A71"/>
    <w:rsid w:val="00E979A4"/>
    <w:rsid w:val="00EA03CE"/>
    <w:rsid w:val="00EA0BB8"/>
    <w:rsid w:val="00EA23E5"/>
    <w:rsid w:val="00EA475A"/>
    <w:rsid w:val="00EA4E2E"/>
    <w:rsid w:val="00EB2933"/>
    <w:rsid w:val="00EB2B16"/>
    <w:rsid w:val="00EB2CCB"/>
    <w:rsid w:val="00EC47B4"/>
    <w:rsid w:val="00EC57A7"/>
    <w:rsid w:val="00ED0817"/>
    <w:rsid w:val="00ED0BDF"/>
    <w:rsid w:val="00ED7DD9"/>
    <w:rsid w:val="00EE190A"/>
    <w:rsid w:val="00EF1413"/>
    <w:rsid w:val="00EF3113"/>
    <w:rsid w:val="00EF3F84"/>
    <w:rsid w:val="00EF5268"/>
    <w:rsid w:val="00F075ED"/>
    <w:rsid w:val="00F07FB4"/>
    <w:rsid w:val="00F10ED1"/>
    <w:rsid w:val="00F15841"/>
    <w:rsid w:val="00F176AC"/>
    <w:rsid w:val="00F206DE"/>
    <w:rsid w:val="00F23419"/>
    <w:rsid w:val="00F2616C"/>
    <w:rsid w:val="00F26C0E"/>
    <w:rsid w:val="00F27714"/>
    <w:rsid w:val="00F3276E"/>
    <w:rsid w:val="00F3336E"/>
    <w:rsid w:val="00F33D3C"/>
    <w:rsid w:val="00F37A91"/>
    <w:rsid w:val="00F45CF5"/>
    <w:rsid w:val="00F47DB0"/>
    <w:rsid w:val="00F50E34"/>
    <w:rsid w:val="00F53EF7"/>
    <w:rsid w:val="00F54BF2"/>
    <w:rsid w:val="00F630AA"/>
    <w:rsid w:val="00F72C26"/>
    <w:rsid w:val="00F87499"/>
    <w:rsid w:val="00F9001F"/>
    <w:rsid w:val="00F92355"/>
    <w:rsid w:val="00F93963"/>
    <w:rsid w:val="00F94291"/>
    <w:rsid w:val="00FB4FB3"/>
    <w:rsid w:val="00FB7982"/>
    <w:rsid w:val="00FC0734"/>
    <w:rsid w:val="00FC0FC5"/>
    <w:rsid w:val="00FC2263"/>
    <w:rsid w:val="00FC588F"/>
    <w:rsid w:val="00FC654E"/>
    <w:rsid w:val="00FD1308"/>
    <w:rsid w:val="00FE1B30"/>
    <w:rsid w:val="00FE7B44"/>
    <w:rsid w:val="00FF0CDF"/>
    <w:rsid w:val="00F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63F73A1-CCC1-4DC5-B628-5F7E9B75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765E0"/>
    <w:pPr>
      <w:spacing w:line="360" w:lineRule="auto"/>
      <w:jc w:val="both"/>
    </w:pPr>
    <w:rPr>
      <w:sz w:val="24"/>
      <w:lang w:eastAsia="en-US"/>
    </w:rPr>
  </w:style>
  <w:style w:type="paragraph" w:styleId="Heading1">
    <w:name w:val="heading 1"/>
    <w:basedOn w:val="Normal"/>
    <w:next w:val="ParaNumbering"/>
    <w:qFormat/>
    <w:pPr>
      <w:keepNext/>
      <w:spacing w:before="240" w:after="60" w:line="240" w:lineRule="auto"/>
      <w:outlineLvl w:val="0"/>
    </w:pPr>
    <w:rPr>
      <w:b/>
      <w:caps/>
      <w:kern w:val="28"/>
    </w:rPr>
  </w:style>
  <w:style w:type="paragraph" w:styleId="Heading2">
    <w:name w:val="heading 2"/>
    <w:basedOn w:val="Normal"/>
    <w:next w:val="ParaNumbering"/>
    <w:qFormat/>
    <w:pPr>
      <w:keepNext/>
      <w:spacing w:before="240" w:after="60" w:line="240" w:lineRule="auto"/>
      <w:outlineLvl w:val="1"/>
    </w:pPr>
    <w:rPr>
      <w:b/>
      <w:szCs w:val="24"/>
    </w:rPr>
  </w:style>
  <w:style w:type="paragraph" w:styleId="Heading3">
    <w:name w:val="heading 3"/>
    <w:basedOn w:val="Normal"/>
    <w:next w:val="ParaNumbering"/>
    <w:qFormat/>
    <w:pPr>
      <w:keepNext/>
      <w:spacing w:before="240" w:after="60" w:line="240" w:lineRule="auto"/>
      <w:outlineLvl w:val="2"/>
    </w:pPr>
    <w:rPr>
      <w:b/>
      <w:i/>
    </w:rPr>
  </w:style>
  <w:style w:type="paragraph" w:styleId="Heading4">
    <w:name w:val="heading 4"/>
    <w:basedOn w:val="Normal"/>
    <w:next w:val="ParaNumbering"/>
    <w:qFormat/>
    <w:rsid w:val="009F5C33"/>
    <w:pPr>
      <w:keepNext/>
      <w:spacing w:before="240" w:after="60" w:line="240" w:lineRule="auto"/>
      <w:jc w:val="left"/>
      <w:outlineLvl w:val="3"/>
    </w:pPr>
    <w:rPr>
      <w:i/>
      <w:szCs w:val="24"/>
    </w:rPr>
  </w:style>
  <w:style w:type="paragraph" w:styleId="Heading5">
    <w:name w:val="heading 5"/>
    <w:basedOn w:val="fcHeading1"/>
    <w:next w:val="ParaNumbering"/>
    <w:qFormat/>
    <w:rsid w:val="000E7BAE"/>
    <w:pPr>
      <w:outlineLvl w:val="4"/>
    </w:pPr>
    <w:rPr>
      <w:caps w:val="0"/>
    </w:rPr>
  </w:style>
  <w:style w:type="paragraph" w:styleId="Heading6">
    <w:name w:val="heading 6"/>
    <w:basedOn w:val="fcHeading2"/>
    <w:next w:val="ParaNumbering"/>
    <w:qFormat/>
    <w:pPr>
      <w:outlineLvl w:val="5"/>
    </w:pPr>
  </w:style>
  <w:style w:type="paragraph" w:styleId="Heading7">
    <w:name w:val="heading 7"/>
    <w:basedOn w:val="fcHeading3"/>
    <w:next w:val="ParaNumbering"/>
    <w:qFormat/>
    <w:rsid w:val="00635B36"/>
    <w:pPr>
      <w:outlineLvl w:val="6"/>
    </w:pPr>
    <w:rPr>
      <w:i w:val="0"/>
    </w:rPr>
  </w:style>
  <w:style w:type="paragraph" w:styleId="Heading8">
    <w:name w:val="heading 8"/>
    <w:basedOn w:val="fcHeading4"/>
    <w:next w:val="ParaNumbering"/>
    <w:rsid w:val="00635B36"/>
    <w:pPr>
      <w:outlineLvl w:val="7"/>
    </w:pPr>
    <w:rPr>
      <w:smallCaps w:val="0"/>
    </w:rPr>
  </w:style>
  <w:style w:type="paragraph" w:styleId="Heading9">
    <w:name w:val="heading 9"/>
    <w:basedOn w:val="fcHeading5"/>
    <w:next w:val="ParaNumbering"/>
    <w:rsid w:val="00635B36"/>
    <w:pPr>
      <w:outlineLvl w:val="8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dersPage">
    <w:name w:val="OrdersPage"/>
    <w:basedOn w:val="Normal"/>
    <w:semiHidden/>
    <w:pPr>
      <w:spacing w:line="240" w:lineRule="auto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ParaNumbering">
    <w:name w:val="ParaNumbering"/>
    <w:basedOn w:val="Normal"/>
    <w:rsid w:val="00967855"/>
    <w:pPr>
      <w:numPr>
        <w:numId w:val="1"/>
      </w:numPr>
      <w:tabs>
        <w:tab w:val="clear" w:pos="720"/>
      </w:tabs>
      <w:spacing w:before="180" w:after="180"/>
    </w:pPr>
  </w:style>
  <w:style w:type="paragraph" w:customStyle="1" w:styleId="Quote1">
    <w:name w:val="Quote1"/>
    <w:rsid w:val="00960ECB"/>
    <w:pPr>
      <w:widowControl w:val="0"/>
      <w:spacing w:after="180"/>
      <w:ind w:left="737" w:right="737"/>
      <w:jc w:val="both"/>
    </w:pPr>
    <w:rPr>
      <w:sz w:val="22"/>
      <w:lang w:eastAsia="en-US"/>
    </w:rPr>
  </w:style>
  <w:style w:type="paragraph" w:customStyle="1" w:styleId="NormalHeadings">
    <w:name w:val="Normal Headings"/>
    <w:link w:val="NormalHeadingsChar"/>
    <w:pPr>
      <w:widowControl w:val="0"/>
      <w:jc w:val="both"/>
    </w:pPr>
    <w:rPr>
      <w:b/>
      <w:sz w:val="24"/>
      <w:lang w:eastAsia="en-US"/>
    </w:rPr>
  </w:style>
  <w:style w:type="table" w:styleId="TableGrid">
    <w:name w:val="Table Grid"/>
    <w:basedOn w:val="TableNormal"/>
    <w:semiHidden/>
    <w:pPr>
      <w:widowControl w:val="0"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aNeutralStyle">
    <w:name w:val="Media Neutral Style"/>
    <w:basedOn w:val="Normal"/>
    <w:next w:val="Normal1linespace"/>
    <w:semiHidden/>
    <w:pPr>
      <w:spacing w:before="20" w:after="20"/>
      <w:jc w:val="center"/>
    </w:pPr>
    <w:rPr>
      <w:b/>
      <w:sz w:val="26"/>
    </w:rPr>
  </w:style>
  <w:style w:type="paragraph" w:customStyle="1" w:styleId="Normal1linespace">
    <w:name w:val="Normal1linespace"/>
    <w:basedOn w:val="Normal"/>
    <w:pPr>
      <w:spacing w:line="240" w:lineRule="auto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Bold">
    <w:name w:val="Style Bold"/>
    <w:basedOn w:val="Normal"/>
    <w:next w:val="BodyText"/>
    <w:semiHidden/>
    <w:rPr>
      <w:szCs w:val="24"/>
    </w:rPr>
  </w:style>
  <w:style w:type="paragraph" w:customStyle="1" w:styleId="Bold">
    <w:name w:val="Bold"/>
    <w:basedOn w:val="Normal"/>
    <w:next w:val="Normal"/>
    <w:semiHidden/>
    <w:pPr>
      <w:suppressAutoHyphens/>
      <w:jc w:val="left"/>
    </w:pPr>
    <w:rPr>
      <w:b/>
      <w:szCs w:val="24"/>
    </w:rPr>
  </w:style>
  <w:style w:type="paragraph" w:customStyle="1" w:styleId="Certify">
    <w:name w:val="Certify"/>
    <w:basedOn w:val="Normal"/>
    <w:link w:val="CertifyChar"/>
    <w:semiHidden/>
    <w:pPr>
      <w:spacing w:line="240" w:lineRule="auto"/>
    </w:pPr>
    <w:rPr>
      <w:szCs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FCBullets">
    <w:name w:val="FCBullets"/>
    <w:basedOn w:val="Normal"/>
    <w:pPr>
      <w:numPr>
        <w:numId w:val="3"/>
      </w:numPr>
      <w:spacing w:before="60" w:after="60"/>
    </w:pPr>
  </w:style>
  <w:style w:type="paragraph" w:customStyle="1" w:styleId="JudgeStyle">
    <w:name w:val="JudgeStyle"/>
    <w:basedOn w:val="Heading1"/>
    <w:next w:val="ParaNumbering"/>
    <w:semiHidden/>
  </w:style>
  <w:style w:type="paragraph" w:styleId="TOC1">
    <w:name w:val="toc 1"/>
    <w:basedOn w:val="Normal"/>
    <w:next w:val="Normal"/>
    <w:autoRedefine/>
    <w:semiHidden/>
    <w:pPr>
      <w:tabs>
        <w:tab w:val="right" w:leader="dot" w:pos="9071"/>
      </w:tabs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071"/>
      </w:tabs>
      <w:ind w:left="24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071"/>
      </w:tabs>
      <w:ind w:left="48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071"/>
      </w:tabs>
      <w:ind w:left="720"/>
    </w:pPr>
  </w:style>
  <w:style w:type="paragraph" w:customStyle="1" w:styleId="NoNum">
    <w:name w:val="No Num"/>
    <w:basedOn w:val="Normal1linespace"/>
    <w:pPr>
      <w:spacing w:before="120" w:after="180" w:line="360" w:lineRule="auto"/>
    </w:pPr>
  </w:style>
  <w:style w:type="paragraph" w:customStyle="1" w:styleId="AppealTable">
    <w:name w:val="AppealTable"/>
    <w:basedOn w:val="Normal"/>
    <w:unhideWhenUsed/>
    <w:pPr>
      <w:spacing w:line="240" w:lineRule="auto"/>
      <w:jc w:val="left"/>
    </w:pPr>
    <w:rPr>
      <w:b/>
      <w:caps/>
      <w:sz w:val="22"/>
      <w:szCs w:val="22"/>
    </w:rPr>
  </w:style>
  <w:style w:type="paragraph" w:customStyle="1" w:styleId="Quote3">
    <w:name w:val="Quote3"/>
    <w:basedOn w:val="Quote1"/>
    <w:pPr>
      <w:ind w:left="2160"/>
    </w:pPr>
  </w:style>
  <w:style w:type="paragraph" w:customStyle="1" w:styleId="Quote2">
    <w:name w:val="Quote2"/>
    <w:basedOn w:val="Quote1"/>
    <w:pPr>
      <w:ind w:left="1440"/>
    </w:pPr>
  </w:style>
  <w:style w:type="paragraph" w:customStyle="1" w:styleId="FTOC1">
    <w:name w:val="FTOC 1"/>
    <w:basedOn w:val="Normal"/>
    <w:semiHidden/>
    <w:rsid w:val="00632300"/>
    <w:pPr>
      <w:tabs>
        <w:tab w:val="right" w:leader="dot" w:pos="9072"/>
      </w:tabs>
      <w:spacing w:before="120" w:after="60" w:line="240" w:lineRule="auto"/>
    </w:pPr>
    <w:rPr>
      <w:b/>
      <w:caps/>
      <w:kern w:val="28"/>
    </w:rPr>
  </w:style>
  <w:style w:type="paragraph" w:customStyle="1" w:styleId="ListNo1">
    <w:name w:val="List No 1"/>
    <w:basedOn w:val="Normal"/>
    <w:rsid w:val="00E14EA5"/>
    <w:pPr>
      <w:numPr>
        <w:numId w:val="41"/>
      </w:numPr>
      <w:spacing w:before="60" w:after="60"/>
    </w:pPr>
  </w:style>
  <w:style w:type="paragraph" w:customStyle="1" w:styleId="FTOC2">
    <w:name w:val="FTOC 2"/>
    <w:basedOn w:val="Normal"/>
    <w:semiHidden/>
    <w:rsid w:val="008C26D9"/>
    <w:pPr>
      <w:tabs>
        <w:tab w:val="right" w:leader="dot" w:pos="9072"/>
      </w:tabs>
      <w:spacing w:before="120" w:after="60" w:line="240" w:lineRule="auto"/>
      <w:ind w:left="238"/>
    </w:pPr>
    <w:rPr>
      <w:b/>
    </w:rPr>
  </w:style>
  <w:style w:type="paragraph" w:customStyle="1" w:styleId="FTOC3">
    <w:name w:val="FTOC 3"/>
    <w:basedOn w:val="Normal"/>
    <w:semiHidden/>
    <w:rsid w:val="00513EAE"/>
    <w:pPr>
      <w:tabs>
        <w:tab w:val="right" w:leader="dot" w:pos="9072"/>
      </w:tabs>
      <w:spacing w:before="120" w:after="60" w:line="240" w:lineRule="auto"/>
      <w:ind w:left="482"/>
    </w:pPr>
    <w:rPr>
      <w:b/>
      <w:i/>
    </w:rPr>
  </w:style>
  <w:style w:type="paragraph" w:customStyle="1" w:styleId="FTOC4">
    <w:name w:val="FTOC 4"/>
    <w:basedOn w:val="Normal"/>
    <w:semiHidden/>
    <w:rsid w:val="00185E6B"/>
    <w:pPr>
      <w:tabs>
        <w:tab w:val="right" w:leader="dot" w:pos="9072"/>
      </w:tabs>
      <w:spacing w:before="120" w:after="60" w:line="240" w:lineRule="auto"/>
      <w:ind w:left="720"/>
    </w:pPr>
    <w:rPr>
      <w:i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072"/>
      </w:tabs>
      <w:ind w:left="960"/>
    </w:pPr>
  </w:style>
  <w:style w:type="numbering" w:styleId="111111">
    <w:name w:val="Outline List 2"/>
    <w:basedOn w:val="NoList"/>
    <w:semiHidden/>
    <w:pPr>
      <w:numPr>
        <w:numId w:val="19"/>
      </w:numPr>
    </w:pPr>
  </w:style>
  <w:style w:type="numbering" w:styleId="1ai">
    <w:name w:val="Outline List 1"/>
    <w:basedOn w:val="NoList"/>
    <w:semiHidden/>
    <w:pPr>
      <w:numPr>
        <w:numId w:val="20"/>
      </w:numPr>
    </w:pPr>
  </w:style>
  <w:style w:type="numbering" w:styleId="ArticleSection">
    <w:name w:val="Outline List 3"/>
    <w:basedOn w:val="NoList"/>
    <w:semiHidden/>
    <w:pPr>
      <w:numPr>
        <w:numId w:val="21"/>
      </w:numPr>
    </w:pPr>
  </w:style>
  <w:style w:type="paragraph" w:styleId="BodyText">
    <w:name w:val="Body Text"/>
    <w:basedOn w:val="Normal"/>
    <w:link w:val="BodyTextChar"/>
    <w:qFormat/>
    <w:rsid w:val="002B0E91"/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semiHidden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semiHidden/>
    <w:pPr>
      <w:numPr>
        <w:numId w:val="4"/>
      </w:numPr>
    </w:pPr>
  </w:style>
  <w:style w:type="paragraph" w:styleId="ListBullet2">
    <w:name w:val="List Bullet 2"/>
    <w:basedOn w:val="Normal"/>
    <w:semiHidden/>
    <w:pPr>
      <w:numPr>
        <w:numId w:val="5"/>
      </w:numPr>
    </w:pPr>
  </w:style>
  <w:style w:type="paragraph" w:styleId="ListBullet3">
    <w:name w:val="List Bullet 3"/>
    <w:basedOn w:val="Normal"/>
    <w:semiHidden/>
    <w:pPr>
      <w:numPr>
        <w:numId w:val="6"/>
      </w:numPr>
    </w:pPr>
  </w:style>
  <w:style w:type="paragraph" w:styleId="ListBullet4">
    <w:name w:val="List Bullet 4"/>
    <w:basedOn w:val="Normal"/>
    <w:semiHidden/>
    <w:pPr>
      <w:numPr>
        <w:numId w:val="7"/>
      </w:numPr>
    </w:pPr>
  </w:style>
  <w:style w:type="paragraph" w:styleId="ListBullet5">
    <w:name w:val="List Bullet 5"/>
    <w:basedOn w:val="Normal"/>
    <w:semiHidden/>
    <w:pPr>
      <w:numPr>
        <w:numId w:val="8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9"/>
      </w:numPr>
    </w:pPr>
  </w:style>
  <w:style w:type="paragraph" w:styleId="ListNumber2">
    <w:name w:val="List Number 2"/>
    <w:basedOn w:val="Normal"/>
    <w:semiHidden/>
    <w:pPr>
      <w:numPr>
        <w:numId w:val="10"/>
      </w:numPr>
    </w:pPr>
  </w:style>
  <w:style w:type="paragraph" w:styleId="ListNumber3">
    <w:name w:val="List Number 3"/>
    <w:basedOn w:val="Normal"/>
    <w:semiHidden/>
    <w:pPr>
      <w:numPr>
        <w:numId w:val="11"/>
      </w:numPr>
    </w:pPr>
  </w:style>
  <w:style w:type="paragraph" w:styleId="ListNumber4">
    <w:name w:val="List Number 4"/>
    <w:basedOn w:val="Normal"/>
    <w:semiHidden/>
    <w:pPr>
      <w:numPr>
        <w:numId w:val="12"/>
      </w:numPr>
    </w:pPr>
  </w:style>
  <w:style w:type="paragraph" w:styleId="ListNumber5">
    <w:name w:val="List Number 5"/>
    <w:basedOn w:val="Normal"/>
    <w:semiHidden/>
    <w:pPr>
      <w:numPr>
        <w:numId w:val="13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pPr>
      <w:spacing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spacing w:line="36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spacing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spacing w:line="36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spacing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spacing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spacing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spacing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spacing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pacing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spacing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spacing w:line="36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spacing w:line="36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spacing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spacing w:line="36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spacing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spacing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spacing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spacing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spacing w:line="36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spacing w:line="36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TOC1">
    <w:name w:val="bTOC 1"/>
    <w:basedOn w:val="TOC1"/>
    <w:semiHidden/>
  </w:style>
  <w:style w:type="paragraph" w:customStyle="1" w:styleId="bTOC2">
    <w:name w:val="bTOC 2"/>
    <w:basedOn w:val="TOC2"/>
    <w:semiHidden/>
  </w:style>
  <w:style w:type="paragraph" w:customStyle="1" w:styleId="bTOC3">
    <w:name w:val="bTOC 3"/>
    <w:basedOn w:val="TOC3"/>
    <w:semiHidden/>
  </w:style>
  <w:style w:type="paragraph" w:customStyle="1" w:styleId="bTOC4">
    <w:name w:val="bTOC 4"/>
    <w:basedOn w:val="TOC4"/>
    <w:semiHidden/>
  </w:style>
  <w:style w:type="paragraph" w:customStyle="1" w:styleId="Counsel">
    <w:name w:val="Counsel"/>
    <w:basedOn w:val="Normal"/>
    <w:unhideWhenUsed/>
    <w:pPr>
      <w:widowControl w:val="0"/>
      <w:suppressAutoHyphens/>
      <w:spacing w:line="240" w:lineRule="auto"/>
    </w:pPr>
  </w:style>
  <w:style w:type="character" w:customStyle="1" w:styleId="CertifyChar">
    <w:name w:val="Certify Char"/>
    <w:link w:val="Certify"/>
    <w:rPr>
      <w:sz w:val="24"/>
      <w:szCs w:val="24"/>
      <w:lang w:val="en-AU" w:eastAsia="en-US" w:bidi="ar-SA"/>
    </w:rPr>
  </w:style>
  <w:style w:type="paragraph" w:customStyle="1" w:styleId="fcHeading1">
    <w:name w:val="fcHeading 1"/>
    <w:basedOn w:val="Normal"/>
    <w:next w:val="ParaNumbering"/>
    <w:semiHidden/>
    <w:pPr>
      <w:keepNext/>
      <w:numPr>
        <w:numId w:val="26"/>
      </w:numPr>
      <w:spacing w:before="240" w:after="60" w:line="240" w:lineRule="auto"/>
    </w:pPr>
    <w:rPr>
      <w:b/>
      <w:caps/>
      <w:kern w:val="28"/>
    </w:rPr>
  </w:style>
  <w:style w:type="paragraph" w:customStyle="1" w:styleId="fcHeading2">
    <w:name w:val="fcHeading 2"/>
    <w:basedOn w:val="Normal"/>
    <w:next w:val="ParaNumbering"/>
    <w:semiHidden/>
    <w:pPr>
      <w:keepNext/>
      <w:numPr>
        <w:ilvl w:val="1"/>
        <w:numId w:val="26"/>
      </w:numPr>
      <w:spacing w:before="240" w:after="60" w:line="240" w:lineRule="auto"/>
    </w:pPr>
    <w:rPr>
      <w:b/>
    </w:rPr>
  </w:style>
  <w:style w:type="paragraph" w:customStyle="1" w:styleId="fcHeading3">
    <w:name w:val="fcHeading 3"/>
    <w:basedOn w:val="Normal"/>
    <w:next w:val="ParaNumbering"/>
    <w:semiHidden/>
    <w:pPr>
      <w:keepNext/>
      <w:numPr>
        <w:ilvl w:val="2"/>
        <w:numId w:val="26"/>
      </w:numPr>
      <w:spacing w:before="240" w:after="60" w:line="240" w:lineRule="auto"/>
    </w:pPr>
    <w:rPr>
      <w:b/>
      <w:i/>
    </w:rPr>
  </w:style>
  <w:style w:type="paragraph" w:customStyle="1" w:styleId="fcHeading4">
    <w:name w:val="fcHeading 4"/>
    <w:basedOn w:val="Normal"/>
    <w:next w:val="ParaNumbering"/>
    <w:semiHidden/>
    <w:pPr>
      <w:keepNext/>
      <w:numPr>
        <w:ilvl w:val="3"/>
        <w:numId w:val="26"/>
      </w:numPr>
      <w:spacing w:before="240" w:after="60" w:line="240" w:lineRule="auto"/>
    </w:pPr>
    <w:rPr>
      <w:b/>
      <w:smallCaps/>
    </w:rPr>
  </w:style>
  <w:style w:type="paragraph" w:customStyle="1" w:styleId="fcHeading5">
    <w:name w:val="fcHeading 5"/>
    <w:basedOn w:val="Normal"/>
    <w:next w:val="ParaNumbering"/>
    <w:semiHidden/>
    <w:pPr>
      <w:keepNext/>
      <w:numPr>
        <w:ilvl w:val="4"/>
        <w:numId w:val="26"/>
      </w:numPr>
      <w:spacing w:before="240" w:after="60" w:line="240" w:lineRule="auto"/>
    </w:pPr>
    <w:rPr>
      <w:b/>
      <w:caps/>
    </w:rPr>
  </w:style>
  <w:style w:type="paragraph" w:customStyle="1" w:styleId="FTOC5">
    <w:name w:val="FTOC 5"/>
    <w:basedOn w:val="Normal"/>
    <w:semiHidden/>
    <w:rsid w:val="008C26D9"/>
    <w:pPr>
      <w:tabs>
        <w:tab w:val="right" w:leader="dot" w:pos="9072"/>
      </w:tabs>
      <w:spacing w:before="240" w:after="60" w:line="240" w:lineRule="auto"/>
      <w:ind w:left="709" w:hanging="709"/>
    </w:pPr>
    <w:rPr>
      <w:b/>
      <w:kern w:val="28"/>
    </w:rPr>
  </w:style>
  <w:style w:type="paragraph" w:customStyle="1" w:styleId="FTOC6">
    <w:name w:val="FTOC 6"/>
    <w:basedOn w:val="Normal"/>
    <w:semiHidden/>
    <w:rsid w:val="008C26D9"/>
    <w:pPr>
      <w:tabs>
        <w:tab w:val="right" w:leader="dot" w:pos="9072"/>
      </w:tabs>
      <w:spacing w:before="240" w:after="60" w:line="240" w:lineRule="auto"/>
      <w:ind w:left="1418" w:hanging="709"/>
    </w:pPr>
    <w:rPr>
      <w:b/>
    </w:rPr>
  </w:style>
  <w:style w:type="paragraph" w:customStyle="1" w:styleId="FTOC7">
    <w:name w:val="FTOC 7"/>
    <w:basedOn w:val="Normal"/>
    <w:semiHidden/>
    <w:rsid w:val="002B6779"/>
    <w:pPr>
      <w:tabs>
        <w:tab w:val="right" w:leader="dot" w:pos="9072"/>
      </w:tabs>
      <w:spacing w:before="240" w:after="60" w:line="240" w:lineRule="auto"/>
      <w:ind w:left="2127" w:hanging="709"/>
    </w:pPr>
    <w:rPr>
      <w:b/>
    </w:rPr>
  </w:style>
  <w:style w:type="paragraph" w:customStyle="1" w:styleId="FTOC8">
    <w:name w:val="FTOC 8"/>
    <w:basedOn w:val="Normal"/>
    <w:semiHidden/>
    <w:rsid w:val="008C26D9"/>
    <w:pPr>
      <w:tabs>
        <w:tab w:val="right" w:leader="dot" w:pos="9072"/>
      </w:tabs>
      <w:spacing w:before="240" w:after="60" w:line="240" w:lineRule="auto"/>
      <w:ind w:left="3260" w:hanging="1134"/>
    </w:pPr>
    <w:rPr>
      <w:b/>
    </w:rPr>
  </w:style>
  <w:style w:type="paragraph" w:customStyle="1" w:styleId="FTOC9">
    <w:name w:val="FTOC 9"/>
    <w:basedOn w:val="Normal"/>
    <w:semiHidden/>
    <w:rsid w:val="008C26D9"/>
    <w:pPr>
      <w:tabs>
        <w:tab w:val="right" w:leader="dot" w:pos="9072"/>
      </w:tabs>
      <w:spacing w:before="240" w:after="60" w:line="240" w:lineRule="auto"/>
      <w:ind w:left="3969" w:hanging="1134"/>
    </w:pPr>
    <w:rPr>
      <w:b/>
    </w:rPr>
  </w:style>
  <w:style w:type="paragraph" w:customStyle="1" w:styleId="bTOC5">
    <w:name w:val="bTOC 5"/>
    <w:basedOn w:val="Normal"/>
    <w:semiHidden/>
    <w:rsid w:val="005E02F5"/>
    <w:pPr>
      <w:tabs>
        <w:tab w:val="right" w:leader="dot" w:pos="9072"/>
      </w:tabs>
      <w:spacing w:before="240" w:after="60" w:line="240" w:lineRule="auto"/>
      <w:ind w:left="709" w:hanging="709"/>
    </w:pPr>
  </w:style>
  <w:style w:type="paragraph" w:customStyle="1" w:styleId="bTOC6">
    <w:name w:val="bTOC 6"/>
    <w:basedOn w:val="Normal"/>
    <w:semiHidden/>
    <w:rsid w:val="005E02F5"/>
    <w:pPr>
      <w:tabs>
        <w:tab w:val="right" w:leader="dot" w:pos="9072"/>
      </w:tabs>
      <w:spacing w:before="240" w:after="60" w:line="240" w:lineRule="auto"/>
      <w:ind w:left="1418" w:hanging="709"/>
    </w:pPr>
  </w:style>
  <w:style w:type="paragraph" w:customStyle="1" w:styleId="bTOC7">
    <w:name w:val="bTOC 7"/>
    <w:basedOn w:val="Normal"/>
    <w:semiHidden/>
    <w:rsid w:val="005E02F5"/>
    <w:pPr>
      <w:tabs>
        <w:tab w:val="right" w:leader="dot" w:pos="9072"/>
      </w:tabs>
      <w:spacing w:before="240" w:after="60" w:line="240" w:lineRule="auto"/>
      <w:ind w:left="2127" w:hanging="709"/>
    </w:pPr>
  </w:style>
  <w:style w:type="paragraph" w:customStyle="1" w:styleId="bTOC8">
    <w:name w:val="bTOC 8"/>
    <w:basedOn w:val="Normal"/>
    <w:semiHidden/>
    <w:pPr>
      <w:keepNext/>
      <w:tabs>
        <w:tab w:val="right" w:leader="dot" w:pos="9072"/>
      </w:tabs>
      <w:spacing w:before="240" w:after="60" w:line="240" w:lineRule="auto"/>
      <w:ind w:left="3260" w:hanging="1134"/>
    </w:pPr>
  </w:style>
  <w:style w:type="paragraph" w:customStyle="1" w:styleId="bTOC9">
    <w:name w:val="bTOC 9"/>
    <w:basedOn w:val="Normal"/>
    <w:semiHidden/>
    <w:pPr>
      <w:keepNext/>
      <w:tabs>
        <w:tab w:val="right" w:leader="dot" w:pos="9072"/>
      </w:tabs>
      <w:spacing w:before="240" w:after="60" w:line="240" w:lineRule="auto"/>
      <w:ind w:left="3969" w:hanging="1134"/>
    </w:pPr>
  </w:style>
  <w:style w:type="paragraph" w:customStyle="1" w:styleId="ListNo2">
    <w:name w:val="List No 2"/>
    <w:basedOn w:val="ListNo1"/>
    <w:rsid w:val="00E14EA5"/>
    <w:pPr>
      <w:numPr>
        <w:ilvl w:val="1"/>
      </w:numPr>
    </w:pPr>
  </w:style>
  <w:style w:type="paragraph" w:customStyle="1" w:styleId="ListNo3">
    <w:name w:val="List No 3"/>
    <w:basedOn w:val="ListNo2"/>
    <w:rsid w:val="00E14EA5"/>
    <w:pPr>
      <w:numPr>
        <w:ilvl w:val="2"/>
      </w:numPr>
    </w:pPr>
  </w:style>
  <w:style w:type="numbering" w:customStyle="1" w:styleId="FCListNo">
    <w:name w:val="FCListNo"/>
    <w:uiPriority w:val="99"/>
    <w:rsid w:val="00E14EA5"/>
    <w:pPr>
      <w:numPr>
        <w:numId w:val="30"/>
      </w:numPr>
    </w:pPr>
  </w:style>
  <w:style w:type="paragraph" w:customStyle="1" w:styleId="SingleSpace">
    <w:name w:val="SingleSpace"/>
    <w:basedOn w:val="Normal"/>
    <w:rsid w:val="00055719"/>
    <w:pPr>
      <w:spacing w:line="240" w:lineRule="auto"/>
    </w:pPr>
    <w:rPr>
      <w:szCs w:val="22"/>
    </w:rPr>
  </w:style>
  <w:style w:type="paragraph" w:customStyle="1" w:styleId="Quote1Bullet">
    <w:name w:val="Quote1 Bullet"/>
    <w:basedOn w:val="Quote1"/>
    <w:rsid w:val="00EF3F84"/>
    <w:pPr>
      <w:numPr>
        <w:numId w:val="32"/>
      </w:numPr>
      <w:ind w:left="1440" w:hanging="720"/>
    </w:pPr>
  </w:style>
  <w:style w:type="paragraph" w:customStyle="1" w:styleId="Quote2Bullet">
    <w:name w:val="Quote2 Bullet"/>
    <w:basedOn w:val="Quote2"/>
    <w:rsid w:val="00EF3F84"/>
    <w:pPr>
      <w:numPr>
        <w:numId w:val="33"/>
      </w:numPr>
      <w:ind w:hanging="720"/>
    </w:pPr>
  </w:style>
  <w:style w:type="paragraph" w:customStyle="1" w:styleId="Quote3Bullet">
    <w:name w:val="Quote3 Bullet"/>
    <w:basedOn w:val="Quote3"/>
    <w:rsid w:val="00EF3F84"/>
    <w:pPr>
      <w:numPr>
        <w:numId w:val="34"/>
      </w:numPr>
      <w:ind w:hanging="720"/>
    </w:pPr>
  </w:style>
  <w:style w:type="paragraph" w:customStyle="1" w:styleId="Order1">
    <w:name w:val="Order 1"/>
    <w:basedOn w:val="Normal"/>
    <w:rsid w:val="00274F5B"/>
    <w:pPr>
      <w:numPr>
        <w:numId w:val="48"/>
      </w:numPr>
      <w:spacing w:before="60" w:after="60"/>
    </w:pPr>
  </w:style>
  <w:style w:type="paragraph" w:customStyle="1" w:styleId="Order2">
    <w:name w:val="Order 2"/>
    <w:basedOn w:val="Order1"/>
    <w:rsid w:val="00274F5B"/>
    <w:pPr>
      <w:numPr>
        <w:ilvl w:val="1"/>
      </w:numPr>
    </w:pPr>
  </w:style>
  <w:style w:type="paragraph" w:customStyle="1" w:styleId="Order3">
    <w:name w:val="Order 3"/>
    <w:basedOn w:val="Order2"/>
    <w:rsid w:val="00274F5B"/>
    <w:pPr>
      <w:numPr>
        <w:ilvl w:val="2"/>
      </w:numPr>
    </w:pPr>
  </w:style>
  <w:style w:type="numbering" w:customStyle="1" w:styleId="FCOrders">
    <w:name w:val="FCOrders"/>
    <w:uiPriority w:val="99"/>
    <w:rsid w:val="00274F5B"/>
    <w:pPr>
      <w:numPr>
        <w:numId w:val="42"/>
      </w:numPr>
    </w:pPr>
  </w:style>
  <w:style w:type="paragraph" w:customStyle="1" w:styleId="BodyTextBold">
    <w:name w:val="Body Text Bold"/>
    <w:basedOn w:val="BodyText"/>
    <w:rsid w:val="00484F6D"/>
    <w:rPr>
      <w:b/>
    </w:rPr>
  </w:style>
  <w:style w:type="paragraph" w:customStyle="1" w:styleId="GeneralHeading">
    <w:name w:val="General Heading"/>
    <w:basedOn w:val="BodyTextBold"/>
    <w:next w:val="BodyText"/>
    <w:rsid w:val="008C7167"/>
    <w:pPr>
      <w:spacing w:line="480" w:lineRule="auto"/>
      <w:jc w:val="center"/>
    </w:pPr>
    <w:rPr>
      <w:sz w:val="28"/>
    </w:rPr>
  </w:style>
  <w:style w:type="paragraph" w:customStyle="1" w:styleId="ReasonJudge">
    <w:name w:val="Reason Judge"/>
    <w:basedOn w:val="BodyText"/>
    <w:next w:val="BodyText"/>
    <w:rsid w:val="008C7167"/>
    <w:pPr>
      <w:jc w:val="left"/>
    </w:pPr>
    <w:rPr>
      <w:b/>
      <w:sz w:val="26"/>
    </w:rPr>
  </w:style>
  <w:style w:type="paragraph" w:customStyle="1" w:styleId="FileNo">
    <w:name w:val="FileNo"/>
    <w:basedOn w:val="NormalHeadings"/>
    <w:rsid w:val="007E4DB6"/>
    <w:pPr>
      <w:tabs>
        <w:tab w:val="right" w:pos="3609"/>
      </w:tabs>
      <w:spacing w:line="276" w:lineRule="auto"/>
      <w:jc w:val="right"/>
    </w:pPr>
    <w:rPr>
      <w:szCs w:val="24"/>
    </w:rPr>
  </w:style>
  <w:style w:type="paragraph" w:customStyle="1" w:styleId="CasesLegislationAppealFrom">
    <w:name w:val="Cases Legislation Appeal From"/>
    <w:basedOn w:val="Normal1linespace"/>
    <w:rsid w:val="000C023E"/>
    <w:pPr>
      <w:widowControl w:val="0"/>
      <w:spacing w:after="100"/>
      <w:jc w:val="left"/>
    </w:pPr>
  </w:style>
  <w:style w:type="paragraph" w:customStyle="1" w:styleId="PartyName">
    <w:name w:val="Party Name"/>
    <w:basedOn w:val="NormalHeadings"/>
    <w:rsid w:val="00A45FB1"/>
    <w:pPr>
      <w:jc w:val="left"/>
    </w:pPr>
    <w:rPr>
      <w:szCs w:val="24"/>
    </w:rPr>
  </w:style>
  <w:style w:type="paragraph" w:customStyle="1" w:styleId="PartyType">
    <w:name w:val="Party Type"/>
    <w:basedOn w:val="PartyName"/>
    <w:rsid w:val="00A45FB1"/>
    <w:rPr>
      <w:b w:val="0"/>
    </w:rPr>
  </w:style>
  <w:style w:type="paragraph" w:customStyle="1" w:styleId="Small-TableswithinQuotes">
    <w:name w:val="Small - Tables within Quotes"/>
    <w:basedOn w:val="BodyText"/>
    <w:rsid w:val="005E0510"/>
    <w:pPr>
      <w:spacing w:line="240" w:lineRule="auto"/>
      <w:jc w:val="left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E91A0F"/>
    <w:rPr>
      <w:sz w:val="24"/>
      <w:lang w:eastAsia="en-US"/>
    </w:rPr>
  </w:style>
  <w:style w:type="character" w:customStyle="1" w:styleId="NormalHeadingsChar">
    <w:name w:val="Normal Headings Char"/>
    <w:basedOn w:val="DefaultParagraphFont"/>
    <w:link w:val="NormalHeadings"/>
    <w:rsid w:val="00E91A0F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%20Documents\Judg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BC724-2F05-4920-B719-B4865B88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Judgment.dotx</Template>
  <TotalTime>2</TotalTime>
  <Pages>8</Pages>
  <Words>1942</Words>
  <Characters>9673</Characters>
  <Application>Microsoft Office Word</Application>
  <DocSecurity>0</DocSecurity>
  <Lines>293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Jadwan Pty Ltd v Rae &amp; Partners (A Firm) (No 2) [2020] FCAFC 95 </vt:lpstr>
    </vt:vector>
  </TitlesOfParts>
  <Company>Federal Court of Australia</Company>
  <LinksUpToDate>false</LinksUpToDate>
  <CharactersWithSpaces>11493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Jadwan Pty Ltd v Rae &amp; Partners (A Firm) (No 2) [2020] FCAFC 95</dc:title>
  <dc:creator>Moira Kelly</dc:creator>
  <cp:lastModifiedBy>Sona Muradyan</cp:lastModifiedBy>
  <cp:revision>4</cp:revision>
  <cp:lastPrinted>2006-02-06T01:31:00Z</cp:lastPrinted>
  <dcterms:created xsi:type="dcterms:W3CDTF">2020-05-28T23:21:00Z</dcterms:created>
  <dcterms:modified xsi:type="dcterms:W3CDTF">2020-05-28T23:22:00Z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nt">
    <vt:lpwstr> </vt:lpwstr>
  </property>
  <property fmtid="{D5CDD505-2E9C-101B-9397-08002B2CF9AE}" pid="3" name="Judge" linkTarget="Judge">
    <vt:lpwstr>BROMWICH, O'CALLAGHAN AND WHEELAHAN JJ</vt:lpwstr>
  </property>
  <property fmtid="{D5CDD505-2E9C-101B-9397-08002B2CF9AE}" pid="4" name="Judgment_dated" linkTarget="Judgment_dated">
    <vt:lpwstr/>
  </property>
  <property fmtid="{D5CDD505-2E9C-101B-9397-08002B2CF9AE}" pid="5" name="Distribution">
    <vt:lpwstr>GENERAL DISTRIBUTION</vt:lpwstr>
  </property>
  <property fmtid="{D5CDD505-2E9C-101B-9397-08002B2CF9AE}" pid="6" name="MNC">
    <vt:lpwstr> </vt:lpwstr>
  </property>
  <property fmtid="{D5CDD505-2E9C-101B-9397-08002B2CF9AE}" pid="7" name="Pages">
    <vt:lpwstr>4</vt:lpwstr>
  </property>
  <property fmtid="{D5CDD505-2E9C-101B-9397-08002B2CF9AE}" pid="8" name="Parties">
    <vt:lpwstr> </vt:lpwstr>
  </property>
  <property fmtid="{D5CDD505-2E9C-101B-9397-08002B2CF9AE}" pid="9" name="Place">
    <vt:lpwstr>SYDNEY</vt:lpwstr>
  </property>
  <property fmtid="{D5CDD505-2E9C-101B-9397-08002B2CF9AE}" pid="10" name="Respondent">
    <vt:lpwstr> </vt:lpwstr>
  </property>
  <property fmtid="{D5CDD505-2E9C-101B-9397-08002B2CF9AE}" pid="11" name="State" linkTarget="State">
    <vt:lpwstr>NEW SOUTH WALES</vt:lpwstr>
  </property>
  <property fmtid="{D5CDD505-2E9C-101B-9397-08002B2CF9AE}" pid="12" name="Year">
    <vt:lpwstr>2006</vt:lpwstr>
  </property>
  <property fmtid="{D5CDD505-2E9C-101B-9397-08002B2CF9AE}" pid="13" name="Judgment Template">
    <vt:lpwstr>True</vt:lpwstr>
  </property>
  <property fmtid="{D5CDD505-2E9C-101B-9397-08002B2CF9AE}" pid="14" name="VERSION">
    <vt:lpwstr>16.0</vt:lpwstr>
  </property>
  <property fmtid="{D5CDD505-2E9C-101B-9397-08002B2CF9AE}" pid="15" name="Registry">
    <vt:lpwstr>Tasmania</vt:lpwstr>
  </property>
  <property fmtid="{D5CDD505-2E9C-101B-9397-08002B2CF9AE}" pid="16" name="Division">
    <vt:lpwstr>General Division</vt:lpwstr>
  </property>
  <property fmtid="{D5CDD505-2E9C-101B-9397-08002B2CF9AE}" pid="17" name="FileNo">
    <vt:lpwstr>&lt;FILE NO&gt;</vt:lpwstr>
  </property>
  <property fmtid="{D5CDD505-2E9C-101B-9397-08002B2CF9AE}" pid="18" name="Practice Area">
    <vt:lpwstr>Delete these rows - not required</vt:lpwstr>
  </property>
  <property fmtid="{D5CDD505-2E9C-101B-9397-08002B2CF9AE}" pid="19" name="Sub Area">
    <vt:lpwstr>Delete these rows - not required</vt:lpwstr>
  </property>
  <property fmtid="{D5CDD505-2E9C-101B-9397-08002B2CF9AE}" pid="20" name="Legislation">
    <vt:lpwstr>Legislation</vt:lpwstr>
  </property>
  <property fmtid="{D5CDD505-2E9C-101B-9397-08002B2CF9AE}" pid="21" name="Catchwords">
    <vt:lpwstr>Catchwords</vt:lpwstr>
  </property>
  <property fmtid="{D5CDD505-2E9C-101B-9397-08002B2CF9AE}" pid="22" name="Words_Phrases">
    <vt:lpwstr>WordsPhrases</vt:lpwstr>
  </property>
  <property fmtid="{D5CDD505-2E9C-101B-9397-08002B2CF9AE}" pid="23" name="Cases_Cited">
    <vt:lpwstr>CasesCited</vt:lpwstr>
  </property>
  <property fmtid="{D5CDD505-2E9C-101B-9397-08002B2CF9AE}" pid="24" name="File_Number">
    <vt:lpwstr>Num</vt:lpwstr>
  </property>
</Properties>
</file>