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53FEB">
      <w:pPr>
        <w:pStyle w:val="MediaNeutralStyle"/>
      </w:pPr>
      <w:bookmarkStart w:id="0" w:name="MNC"/>
      <w:r>
        <w:t>Australian Securities and Investments Commission v Merlin Diamo</w:t>
      </w:r>
      <w:r w:rsidR="007D4BCA">
        <w:t>nds Limited (No 2) [2019] FCA 2094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C68BD">
        <w:tc>
          <w:tcPr>
            <w:tcW w:w="3085" w:type="dxa"/>
            <w:shd w:val="clear" w:color="auto" w:fill="auto"/>
          </w:tcPr>
          <w:p w:rsidR="00395B24" w:rsidRDefault="00F53FEB" w:rsidP="00663878">
            <w:pPr>
              <w:pStyle w:val="Normal1linespace"/>
              <w:widowControl w:val="0"/>
              <w:jc w:val="left"/>
            </w:pPr>
            <w:r>
              <w:t>File number</w:t>
            </w:r>
            <w:r w:rsidR="002C7385">
              <w:t>:</w:t>
            </w:r>
          </w:p>
        </w:tc>
        <w:tc>
          <w:tcPr>
            <w:tcW w:w="5989" w:type="dxa"/>
            <w:shd w:val="clear" w:color="auto" w:fill="auto"/>
          </w:tcPr>
          <w:p w:rsidR="00395B24" w:rsidRPr="00992BFC" w:rsidRDefault="00803565" w:rsidP="00992BFC">
            <w:pPr>
              <w:pStyle w:val="Normal1linespace"/>
              <w:jc w:val="left"/>
            </w:pPr>
            <w:fldSimple w:instr=" REF  FileNo  \* MERGEFORMAT " w:fldLock="1">
              <w:r w:rsidR="00992BFC" w:rsidRPr="00992BFC">
                <w:t>VID 505 of 2019</w:t>
              </w:r>
            </w:fldSimple>
          </w:p>
        </w:tc>
      </w:tr>
      <w:tr w:rsidR="00395B24" w:rsidTr="00EC6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8BD">
        <w:tc>
          <w:tcPr>
            <w:tcW w:w="3085" w:type="dxa"/>
            <w:shd w:val="clear" w:color="auto" w:fill="auto"/>
          </w:tcPr>
          <w:p w:rsidR="00395B24" w:rsidRDefault="00F53FE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92BFC">
              <w:rPr>
                <w:b/>
              </w:rPr>
              <w:fldChar w:fldCharType="begin" w:fldLock="1"/>
            </w:r>
            <w:r w:rsidRPr="00992BFC">
              <w:rPr>
                <w:b/>
              </w:rPr>
              <w:instrText xml:space="preserve"> REF  Judge  \* MERGEFORMAT </w:instrText>
            </w:r>
            <w:r w:rsidRPr="00992BFC">
              <w:rPr>
                <w:b/>
              </w:rPr>
              <w:fldChar w:fldCharType="separate"/>
            </w:r>
            <w:r w:rsidR="00992BFC" w:rsidRPr="00992BFC">
              <w:rPr>
                <w:b/>
                <w:caps/>
                <w:szCs w:val="24"/>
              </w:rPr>
              <w:t>O'BRYAN J</w:t>
            </w:r>
            <w:r w:rsidRPr="00992BFC">
              <w:rPr>
                <w:b/>
              </w:rPr>
              <w:fldChar w:fldCharType="end"/>
            </w:r>
          </w:p>
        </w:tc>
      </w:tr>
      <w:tr w:rsidR="00395B24" w:rsidTr="00EC6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8B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53FEB" w:rsidP="00663878">
            <w:pPr>
              <w:pStyle w:val="Normal1linespace"/>
              <w:widowControl w:val="0"/>
              <w:jc w:val="left"/>
            </w:pPr>
            <w:r>
              <w:t>11 December 2019</w:t>
            </w:r>
          </w:p>
        </w:tc>
      </w:tr>
      <w:tr w:rsidR="00395B24" w:rsidTr="00EC6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8B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14854" w:rsidP="007207CB">
            <w:pPr>
              <w:pStyle w:val="Normal1linespace"/>
              <w:widowControl w:val="0"/>
              <w:jc w:val="left"/>
            </w:pPr>
            <w:bookmarkStart w:id="1" w:name="Catchwords"/>
            <w:r>
              <w:rPr>
                <w:b/>
              </w:rPr>
              <w:t>PRACTICE AND PROCEDURE</w:t>
            </w:r>
            <w:r w:rsidR="00F53FEB">
              <w:rPr>
                <w:b/>
              </w:rPr>
              <w:t xml:space="preserve"> </w:t>
            </w:r>
            <w:r w:rsidR="00F53FEB">
              <w:t xml:space="preserve">– </w:t>
            </w:r>
            <w:r w:rsidR="007207CB">
              <w:t xml:space="preserve">request pursuant to rule 2.32 of the </w:t>
            </w:r>
            <w:r w:rsidR="007207CB" w:rsidRPr="007F2DCE">
              <w:rPr>
                <w:i/>
              </w:rPr>
              <w:t>Federal Court Rules</w:t>
            </w:r>
            <w:r w:rsidR="007207CB" w:rsidRPr="00747DB0">
              <w:rPr>
                <w:i/>
              </w:rPr>
              <w:t xml:space="preserve"> 2011</w:t>
            </w:r>
            <w:r w:rsidR="007207CB">
              <w:t xml:space="preserve"> (Cth) to inspect a copy of a report prepared by the provisional liquidators – application by provisional liquidators for an order for the suppression of parts of the report under s 37AF of the </w:t>
            </w:r>
            <w:r w:rsidR="007207CB" w:rsidRPr="007F2DCE">
              <w:rPr>
                <w:i/>
              </w:rPr>
              <w:t>Federal Court of Australia Act</w:t>
            </w:r>
            <w:r w:rsidR="007207CB">
              <w:t xml:space="preserve"> </w:t>
            </w:r>
            <w:r w:rsidR="007207CB" w:rsidRPr="00747DB0">
              <w:rPr>
                <w:i/>
              </w:rPr>
              <w:t>1976</w:t>
            </w:r>
            <w:r w:rsidR="007207CB">
              <w:t xml:space="preserve"> (Cth)</w:t>
            </w:r>
            <w:r w:rsidR="003F77D0">
              <w:t xml:space="preserve"> – limited suppression order made – leave granted to inspect provisional liquidators’ report</w:t>
            </w:r>
            <w:r w:rsidR="007207CB">
              <w:t xml:space="preserve"> </w:t>
            </w:r>
            <w:r w:rsidR="002C7385">
              <w:t xml:space="preserve"> </w:t>
            </w:r>
            <w:bookmarkEnd w:id="1"/>
          </w:p>
        </w:tc>
      </w:tr>
      <w:tr w:rsidR="00395B24" w:rsidTr="00EC6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8B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47DB0" w:rsidRDefault="00747DB0" w:rsidP="00D82620">
            <w:pPr>
              <w:pStyle w:val="CasesLegislationAppealFrom"/>
              <w:spacing w:after="60"/>
              <w:rPr>
                <w:i/>
              </w:rPr>
            </w:pPr>
            <w:bookmarkStart w:id="2" w:name="Legislation"/>
            <w:r w:rsidRPr="007F2DCE">
              <w:rPr>
                <w:i/>
              </w:rPr>
              <w:t>Federal Court of Australia Act</w:t>
            </w:r>
            <w:r>
              <w:t xml:space="preserve"> </w:t>
            </w:r>
            <w:r w:rsidRPr="00747DB0">
              <w:rPr>
                <w:i/>
              </w:rPr>
              <w:t>1976</w:t>
            </w:r>
            <w:r>
              <w:t xml:space="preserve"> (Cth) s</w:t>
            </w:r>
            <w:r w:rsidR="00481754">
              <w:t>s</w:t>
            </w:r>
            <w:r>
              <w:t xml:space="preserve"> </w:t>
            </w:r>
            <w:r w:rsidR="00517B98">
              <w:t xml:space="preserve">37AE, </w:t>
            </w:r>
            <w:r>
              <w:t>37AF</w:t>
            </w:r>
            <w:r w:rsidR="00517B98">
              <w:t>, 37AG(1)(a)</w:t>
            </w:r>
          </w:p>
          <w:p w:rsidR="00395B24" w:rsidRDefault="00747DB0" w:rsidP="00D82620">
            <w:pPr>
              <w:pStyle w:val="CasesLegislationAppealFrom"/>
              <w:spacing w:after="60"/>
            </w:pPr>
            <w:r w:rsidRPr="007F2DCE">
              <w:rPr>
                <w:i/>
              </w:rPr>
              <w:t>Federal Court Rules</w:t>
            </w:r>
            <w:r w:rsidRPr="00747DB0">
              <w:rPr>
                <w:i/>
              </w:rPr>
              <w:t xml:space="preserve"> 2011</w:t>
            </w:r>
            <w:r>
              <w:t xml:space="preserve"> (Cth) r 2.32</w:t>
            </w:r>
            <w:r w:rsidR="002C7385">
              <w:t xml:space="preserve"> </w:t>
            </w:r>
            <w:bookmarkEnd w:id="2"/>
          </w:p>
        </w:tc>
      </w:tr>
      <w:tr w:rsidR="00395B24" w:rsidTr="00EC6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8B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135A2" w:rsidRDefault="00991FD3" w:rsidP="00D82620">
            <w:pPr>
              <w:pStyle w:val="CasesLegislationAppealFrom"/>
              <w:spacing w:after="60"/>
            </w:pPr>
            <w:bookmarkStart w:id="3" w:name="Cases_Cited"/>
            <w:r w:rsidRPr="009D4699">
              <w:rPr>
                <w:i/>
              </w:rPr>
              <w:t>Australian Securities and Investments Commission v Merlin Diamonds Limited</w:t>
            </w:r>
            <w:r w:rsidRPr="009D4699">
              <w:t xml:space="preserve"> [2019] FCA 1546</w:t>
            </w:r>
          </w:p>
          <w:p w:rsidR="008135A2" w:rsidRDefault="008135A2" w:rsidP="00D82620">
            <w:pPr>
              <w:pStyle w:val="CasesLegislationAppealFrom"/>
              <w:spacing w:after="60"/>
            </w:pPr>
            <w:r w:rsidRPr="0028008D">
              <w:rPr>
                <w:i/>
              </w:rPr>
              <w:t>Hogan v Australian Crime Commission</w:t>
            </w:r>
            <w:r>
              <w:t xml:space="preserve"> (2010) 240 CLR 651</w:t>
            </w:r>
          </w:p>
          <w:p w:rsidR="00395B24" w:rsidRDefault="008135A2" w:rsidP="00D82620">
            <w:pPr>
              <w:pStyle w:val="CasesLegislationAppealFrom"/>
              <w:spacing w:after="60"/>
            </w:pPr>
            <w:proofErr w:type="spellStart"/>
            <w:r w:rsidRPr="005133CC">
              <w:rPr>
                <w:i/>
              </w:rPr>
              <w:t>Sandell</w:t>
            </w:r>
            <w:proofErr w:type="spellEnd"/>
            <w:r w:rsidRPr="005133CC">
              <w:rPr>
                <w:i/>
              </w:rPr>
              <w:t xml:space="preserve"> v Porter</w:t>
            </w:r>
            <w:r w:rsidRPr="005133CC">
              <w:t xml:space="preserve"> (1966) 115 CLR 666</w:t>
            </w:r>
            <w:r w:rsidR="002C7385">
              <w:t xml:space="preserve"> </w:t>
            </w:r>
            <w:bookmarkEnd w:id="3"/>
          </w:p>
        </w:tc>
      </w:tr>
      <w:tr w:rsidR="00EC68BD" w:rsidRPr="00EC68BD" w:rsidTr="00EC68BD">
        <w:tc>
          <w:tcPr>
            <w:tcW w:w="3085" w:type="dxa"/>
            <w:shd w:val="clear" w:color="auto" w:fill="auto"/>
          </w:tcPr>
          <w:p w:rsidR="00EC68BD" w:rsidRPr="00EC68BD" w:rsidRDefault="00EC68BD" w:rsidP="00EC68BD">
            <w:pPr>
              <w:pStyle w:val="Normal1linespace"/>
              <w:jc w:val="left"/>
            </w:pPr>
          </w:p>
        </w:tc>
        <w:tc>
          <w:tcPr>
            <w:tcW w:w="5989" w:type="dxa"/>
            <w:shd w:val="clear" w:color="auto" w:fill="auto"/>
          </w:tcPr>
          <w:p w:rsidR="00EC68BD" w:rsidRPr="00EC68BD" w:rsidRDefault="00EC68BD" w:rsidP="00EC68BD">
            <w:pPr>
              <w:pStyle w:val="Normal1linespace"/>
              <w:jc w:val="left"/>
            </w:pPr>
          </w:p>
        </w:tc>
      </w:tr>
      <w:tr w:rsidR="00EC68BD" w:rsidRPr="00EC68BD" w:rsidTr="00EC68BD">
        <w:tc>
          <w:tcPr>
            <w:tcW w:w="3085" w:type="dxa"/>
            <w:shd w:val="clear" w:color="auto" w:fill="auto"/>
          </w:tcPr>
          <w:p w:rsidR="00EC68BD" w:rsidRPr="00EC68BD" w:rsidRDefault="00EC68BD" w:rsidP="00EC68BD">
            <w:pPr>
              <w:pStyle w:val="Normal1linespace"/>
              <w:jc w:val="left"/>
            </w:pPr>
            <w:bookmarkStart w:id="4" w:name="CounselDate" w:colFirst="0" w:colLast="2"/>
            <w:r w:rsidRPr="00EC68BD">
              <w:t>Date of hearing:</w:t>
            </w:r>
          </w:p>
        </w:tc>
        <w:tc>
          <w:tcPr>
            <w:tcW w:w="5989" w:type="dxa"/>
            <w:shd w:val="clear" w:color="auto" w:fill="auto"/>
          </w:tcPr>
          <w:p w:rsidR="00EC68BD" w:rsidRPr="00EC68BD" w:rsidRDefault="00EC68BD" w:rsidP="00EC68BD">
            <w:pPr>
              <w:pStyle w:val="Normal1linespace"/>
              <w:jc w:val="left"/>
            </w:pPr>
            <w:bookmarkStart w:id="5" w:name="HearingDate"/>
            <w:r>
              <w:t>6 December 2019</w:t>
            </w:r>
            <w:bookmarkEnd w:id="5"/>
          </w:p>
        </w:tc>
      </w:tr>
      <w:tr w:rsidR="00EC68BD" w:rsidRPr="00EC68BD" w:rsidTr="00EC68BD">
        <w:tc>
          <w:tcPr>
            <w:tcW w:w="3085" w:type="dxa"/>
            <w:shd w:val="clear" w:color="auto" w:fill="auto"/>
          </w:tcPr>
          <w:p w:rsidR="00EC68BD" w:rsidRPr="00EC68BD" w:rsidRDefault="00EC68BD" w:rsidP="00EC68BD">
            <w:pPr>
              <w:pStyle w:val="Normal1linespace"/>
              <w:jc w:val="left"/>
            </w:pPr>
          </w:p>
        </w:tc>
        <w:tc>
          <w:tcPr>
            <w:tcW w:w="5989" w:type="dxa"/>
            <w:shd w:val="clear" w:color="auto" w:fill="auto"/>
          </w:tcPr>
          <w:p w:rsidR="00EC68BD" w:rsidRPr="00EC68BD" w:rsidRDefault="00EC68BD" w:rsidP="00EC68BD">
            <w:pPr>
              <w:pStyle w:val="Normal1linespace"/>
              <w:jc w:val="left"/>
            </w:pPr>
          </w:p>
        </w:tc>
      </w:tr>
      <w:bookmarkEnd w:id="4"/>
      <w:tr w:rsidR="00EC68BD" w:rsidTr="00EC68BD">
        <w:tc>
          <w:tcPr>
            <w:tcW w:w="3085" w:type="dxa"/>
            <w:shd w:val="clear" w:color="auto" w:fill="auto"/>
          </w:tcPr>
          <w:p w:rsidR="00EC68BD" w:rsidRDefault="00EC68BD" w:rsidP="00EC68BD">
            <w:pPr>
              <w:pStyle w:val="Normal1linespace"/>
              <w:widowControl w:val="0"/>
              <w:jc w:val="left"/>
            </w:pPr>
            <w:r>
              <w:t>Registry:</w:t>
            </w:r>
          </w:p>
        </w:tc>
        <w:tc>
          <w:tcPr>
            <w:tcW w:w="5989" w:type="dxa"/>
            <w:shd w:val="clear" w:color="auto" w:fill="auto"/>
          </w:tcPr>
          <w:p w:rsidR="00EC68BD" w:rsidRPr="00F17599" w:rsidRDefault="00212A11" w:rsidP="00EC68BD">
            <w:pPr>
              <w:pStyle w:val="Normal1linespace"/>
              <w:widowControl w:val="0"/>
              <w:jc w:val="left"/>
            </w:pPr>
            <w:fldSimple w:instr=" DOCPROPERTY  Registry " w:fldLock="1">
              <w:r w:rsidR="00EC68BD">
                <w:t>Victoria</w:t>
              </w:r>
            </w:fldSimple>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r>
              <w:t>Division:</w:t>
            </w:r>
          </w:p>
        </w:tc>
        <w:tc>
          <w:tcPr>
            <w:tcW w:w="5989" w:type="dxa"/>
            <w:shd w:val="clear" w:color="auto" w:fill="auto"/>
          </w:tcPr>
          <w:p w:rsidR="00EC68BD" w:rsidRPr="00F17599" w:rsidRDefault="00212A11" w:rsidP="00EC68BD">
            <w:pPr>
              <w:pStyle w:val="Normal1linespace"/>
              <w:widowControl w:val="0"/>
              <w:jc w:val="left"/>
            </w:pPr>
            <w:fldSimple w:instr=" DOCPROPERTY  Division " w:fldLock="1">
              <w:r w:rsidR="00EC68BD">
                <w:t>General Division</w:t>
              </w:r>
            </w:fldSimple>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Pr="00F17599" w:rsidRDefault="00EC68BD" w:rsidP="00EC68BD">
            <w:pPr>
              <w:pStyle w:val="Normal1linespace"/>
              <w:widowControl w:val="0"/>
              <w:jc w:val="left"/>
              <w:rPr>
                <w:b/>
              </w:rPr>
            </w:pPr>
          </w:p>
        </w:tc>
      </w:tr>
      <w:tr w:rsidR="00EC68BD" w:rsidRPr="00EC68BD" w:rsidTr="00EC68BD">
        <w:tc>
          <w:tcPr>
            <w:tcW w:w="3085" w:type="dxa"/>
            <w:shd w:val="clear" w:color="auto" w:fill="auto"/>
          </w:tcPr>
          <w:p w:rsidR="00EC68BD" w:rsidRPr="00EC68BD" w:rsidRDefault="00EC68BD" w:rsidP="00EC68BD">
            <w:pPr>
              <w:pStyle w:val="Normal1linespace"/>
              <w:widowControl w:val="0"/>
              <w:jc w:val="left"/>
            </w:pPr>
            <w:r w:rsidRPr="00EC68BD">
              <w:t>National Practice Area:</w:t>
            </w:r>
          </w:p>
        </w:tc>
        <w:tc>
          <w:tcPr>
            <w:tcW w:w="5989" w:type="dxa"/>
            <w:shd w:val="clear" w:color="auto" w:fill="auto"/>
          </w:tcPr>
          <w:p w:rsidR="00EC68BD" w:rsidRPr="00EC68BD" w:rsidRDefault="00EC68BD" w:rsidP="00EC68BD">
            <w:pPr>
              <w:pStyle w:val="Normal1linespace"/>
              <w:widowControl w:val="0"/>
              <w:jc w:val="left"/>
              <w:rPr>
                <w:b/>
              </w:rPr>
            </w:pPr>
            <w:r>
              <w:t>Commercial and Corporations</w:t>
            </w:r>
            <w:r w:rsidR="008B721C">
              <w:fldChar w:fldCharType="begin" w:fldLock="1"/>
            </w:r>
            <w:r w:rsidR="008B721C">
              <w:instrText xml:space="preserve"> DOCPROPERTY  "Practice Area"  \* MERGEFORMAT </w:instrText>
            </w:r>
            <w:r w:rsidR="008B721C">
              <w:fldChar w:fldCharType="end"/>
            </w:r>
          </w:p>
        </w:tc>
      </w:tr>
      <w:tr w:rsidR="00EC68BD" w:rsidTr="00EC68BD">
        <w:tc>
          <w:tcPr>
            <w:tcW w:w="3085" w:type="dxa"/>
            <w:shd w:val="clear" w:color="auto" w:fill="auto"/>
          </w:tcPr>
          <w:p w:rsidR="00EC68BD" w:rsidRPr="00EC68BD" w:rsidRDefault="00EC68BD" w:rsidP="00EC68BD">
            <w:pPr>
              <w:pStyle w:val="Normal1linespace"/>
              <w:widowControl w:val="0"/>
              <w:jc w:val="left"/>
            </w:pPr>
          </w:p>
        </w:tc>
        <w:tc>
          <w:tcPr>
            <w:tcW w:w="5989" w:type="dxa"/>
            <w:shd w:val="clear" w:color="auto" w:fill="auto"/>
          </w:tcPr>
          <w:p w:rsidR="00EC68BD" w:rsidRPr="00EC68BD" w:rsidRDefault="00EC68BD" w:rsidP="00EC68BD">
            <w:pPr>
              <w:pStyle w:val="Normal1linespace"/>
              <w:widowControl w:val="0"/>
              <w:jc w:val="left"/>
            </w:pPr>
          </w:p>
        </w:tc>
      </w:tr>
      <w:tr w:rsidR="00EC68BD" w:rsidRPr="00EC68BD" w:rsidTr="00EC68BD">
        <w:tc>
          <w:tcPr>
            <w:tcW w:w="3085" w:type="dxa"/>
            <w:shd w:val="clear" w:color="auto" w:fill="auto"/>
          </w:tcPr>
          <w:p w:rsidR="00EC68BD" w:rsidRPr="00EC68BD" w:rsidRDefault="00EC68BD" w:rsidP="00EC68BD">
            <w:pPr>
              <w:pStyle w:val="Normal1linespace"/>
              <w:widowControl w:val="0"/>
              <w:jc w:val="left"/>
            </w:pPr>
            <w:r w:rsidRPr="00EC68BD">
              <w:t>Sub-area:</w:t>
            </w:r>
          </w:p>
        </w:tc>
        <w:tc>
          <w:tcPr>
            <w:tcW w:w="5989" w:type="dxa"/>
            <w:shd w:val="clear" w:color="auto" w:fill="auto"/>
          </w:tcPr>
          <w:p w:rsidR="00EC68BD" w:rsidRPr="00EC68BD" w:rsidRDefault="00212A11" w:rsidP="00EC68BD">
            <w:pPr>
              <w:pStyle w:val="Normal1linespace"/>
              <w:widowControl w:val="0"/>
              <w:jc w:val="left"/>
            </w:pPr>
            <w:fldSimple w:instr=" DOCPROPERTY  &quot;Sub Area&quot;  \* MERGEFORMAT " w:fldLock="1">
              <w:r w:rsidR="00EC68BD">
                <w:rPr>
                  <w:bCs/>
                  <w:lang w:val="en-US"/>
                </w:rPr>
                <w:t>Corporations and Corporate Insolvency</w:t>
              </w:r>
            </w:fldSimple>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rPr>
                <w:b/>
              </w:rPr>
            </w:pPr>
          </w:p>
        </w:tc>
      </w:tr>
      <w:tr w:rsidR="00EC68BD" w:rsidTr="00EC68BD">
        <w:tc>
          <w:tcPr>
            <w:tcW w:w="3085" w:type="dxa"/>
            <w:shd w:val="clear" w:color="auto" w:fill="auto"/>
          </w:tcPr>
          <w:p w:rsidR="00EC68BD" w:rsidRDefault="00EC68BD" w:rsidP="00EC68BD">
            <w:pPr>
              <w:pStyle w:val="Normal1linespace"/>
              <w:widowControl w:val="0"/>
              <w:jc w:val="left"/>
            </w:pPr>
            <w:r>
              <w:t>Category:</w:t>
            </w:r>
          </w:p>
        </w:tc>
        <w:tc>
          <w:tcPr>
            <w:tcW w:w="5989" w:type="dxa"/>
            <w:shd w:val="clear" w:color="auto" w:fill="auto"/>
          </w:tcPr>
          <w:p w:rsidR="00EC68BD" w:rsidRDefault="00EC68BD" w:rsidP="00EC68BD">
            <w:pPr>
              <w:pStyle w:val="Normal1linespace"/>
              <w:widowControl w:val="0"/>
              <w:jc w:val="left"/>
            </w:pPr>
            <w:r w:rsidRPr="00EC68BD">
              <w:t>Catchwords</w:t>
            </w:r>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r>
              <w:t>Number of paragraphs:</w:t>
            </w:r>
          </w:p>
        </w:tc>
        <w:tc>
          <w:tcPr>
            <w:tcW w:w="5989" w:type="dxa"/>
            <w:shd w:val="clear" w:color="auto" w:fill="auto"/>
          </w:tcPr>
          <w:p w:rsidR="00EC68BD" w:rsidRDefault="00EC68BD" w:rsidP="00EC68BD">
            <w:pPr>
              <w:pStyle w:val="Normal1linespace"/>
              <w:widowControl w:val="0"/>
              <w:jc w:val="left"/>
            </w:pPr>
            <w:bookmarkStart w:id="6" w:name="PlaceCategoryParagraphs"/>
            <w:r>
              <w:t>43</w:t>
            </w:r>
            <w:bookmarkEnd w:id="6"/>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bookmarkStart w:id="7" w:name="Counsel" w:colFirst="0" w:colLast="2"/>
            <w:r>
              <w:t>Counsel for the Plaintiff:</w:t>
            </w:r>
          </w:p>
        </w:tc>
        <w:tc>
          <w:tcPr>
            <w:tcW w:w="5989" w:type="dxa"/>
            <w:shd w:val="clear" w:color="auto" w:fill="auto"/>
          </w:tcPr>
          <w:p w:rsidR="00EC68BD" w:rsidRDefault="00EC68BD" w:rsidP="00EC68BD">
            <w:pPr>
              <w:pStyle w:val="Normal1linespace"/>
              <w:widowControl w:val="0"/>
              <w:jc w:val="left"/>
            </w:pPr>
            <w:bookmarkStart w:id="8" w:name="AppCounsel"/>
            <w:bookmarkEnd w:id="8"/>
            <w:r>
              <w:t xml:space="preserve">Mr S Senathirajah QC with Ms C </w:t>
            </w:r>
            <w:proofErr w:type="spellStart"/>
            <w:r>
              <w:t>Klemis</w:t>
            </w:r>
            <w:proofErr w:type="spellEnd"/>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r>
              <w:t>Solicitor for the Plaintiff:</w:t>
            </w:r>
          </w:p>
        </w:tc>
        <w:tc>
          <w:tcPr>
            <w:tcW w:w="5989" w:type="dxa"/>
            <w:shd w:val="clear" w:color="auto" w:fill="auto"/>
          </w:tcPr>
          <w:p w:rsidR="00EC68BD" w:rsidRDefault="00EC68BD" w:rsidP="00EC68BD">
            <w:pPr>
              <w:pStyle w:val="Normal1linespace"/>
              <w:widowControl w:val="0"/>
              <w:jc w:val="left"/>
            </w:pPr>
            <w:r>
              <w:t>Australian Securities and Investments Commission</w:t>
            </w:r>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r>
              <w:t>Solicitor for the provisional liquidators to the Defendant:</w:t>
            </w:r>
          </w:p>
        </w:tc>
        <w:tc>
          <w:tcPr>
            <w:tcW w:w="5989" w:type="dxa"/>
            <w:shd w:val="clear" w:color="auto" w:fill="auto"/>
          </w:tcPr>
          <w:p w:rsidR="00EC68BD" w:rsidRDefault="00EC68BD" w:rsidP="00EC68BD">
            <w:pPr>
              <w:pStyle w:val="Normal1linespace"/>
              <w:widowControl w:val="0"/>
              <w:jc w:val="left"/>
            </w:pPr>
            <w:r>
              <w:t>Ms H Solaymani-Jamal of Norton Rose Fulbright Australia</w:t>
            </w:r>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r>
              <w:t>Solicitor for the interested parties:</w:t>
            </w:r>
          </w:p>
        </w:tc>
        <w:tc>
          <w:tcPr>
            <w:tcW w:w="5989" w:type="dxa"/>
            <w:shd w:val="clear" w:color="auto" w:fill="auto"/>
          </w:tcPr>
          <w:p w:rsidR="00EC68BD" w:rsidRDefault="00EC68BD" w:rsidP="00EC68BD">
            <w:pPr>
              <w:pStyle w:val="Normal1linespace"/>
              <w:widowControl w:val="0"/>
              <w:jc w:val="left"/>
            </w:pPr>
            <w:r>
              <w:t xml:space="preserve">Mr C Dale of O’Donnell </w:t>
            </w:r>
            <w:proofErr w:type="spellStart"/>
            <w:r>
              <w:t>Salzano</w:t>
            </w:r>
            <w:proofErr w:type="spellEnd"/>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EC68BD" w:rsidP="00EC68BD">
            <w:pPr>
              <w:pStyle w:val="Normal1linespace"/>
              <w:widowControl w:val="0"/>
              <w:jc w:val="left"/>
            </w:pPr>
            <w:r>
              <w:t>Counsel for Edensor Holdings:</w:t>
            </w:r>
          </w:p>
        </w:tc>
        <w:tc>
          <w:tcPr>
            <w:tcW w:w="5989" w:type="dxa"/>
            <w:shd w:val="clear" w:color="auto" w:fill="auto"/>
          </w:tcPr>
          <w:p w:rsidR="00EC68BD" w:rsidRDefault="00EC68BD" w:rsidP="00EC68BD">
            <w:pPr>
              <w:pStyle w:val="Normal1linespace"/>
              <w:widowControl w:val="0"/>
              <w:jc w:val="left"/>
            </w:pPr>
            <w:r>
              <w:t>Mr P</w:t>
            </w:r>
            <w:r w:rsidR="009D18CB">
              <w:t xml:space="preserve"> L</w:t>
            </w:r>
            <w:r>
              <w:t xml:space="preserve"> Ehrlich QC</w:t>
            </w:r>
          </w:p>
        </w:tc>
      </w:tr>
      <w:tr w:rsidR="00EC68BD" w:rsidTr="00EC68BD">
        <w:tc>
          <w:tcPr>
            <w:tcW w:w="3085" w:type="dxa"/>
            <w:shd w:val="clear" w:color="auto" w:fill="auto"/>
          </w:tcPr>
          <w:p w:rsidR="00EC68BD" w:rsidRDefault="00EC68BD" w:rsidP="00EC68BD">
            <w:pPr>
              <w:pStyle w:val="Normal1linespace"/>
              <w:widowControl w:val="0"/>
              <w:jc w:val="left"/>
            </w:pPr>
          </w:p>
        </w:tc>
        <w:tc>
          <w:tcPr>
            <w:tcW w:w="5989" w:type="dxa"/>
            <w:shd w:val="clear" w:color="auto" w:fill="auto"/>
          </w:tcPr>
          <w:p w:rsidR="00EC68BD" w:rsidRDefault="00EC68BD" w:rsidP="00EC68BD">
            <w:pPr>
              <w:pStyle w:val="Normal1linespace"/>
              <w:widowControl w:val="0"/>
              <w:jc w:val="left"/>
            </w:pPr>
          </w:p>
        </w:tc>
      </w:tr>
      <w:tr w:rsidR="00EC68BD" w:rsidTr="00EC68BD">
        <w:tc>
          <w:tcPr>
            <w:tcW w:w="3085" w:type="dxa"/>
            <w:shd w:val="clear" w:color="auto" w:fill="auto"/>
          </w:tcPr>
          <w:p w:rsidR="00EC68BD" w:rsidRDefault="009D18CB" w:rsidP="00EC68BD">
            <w:pPr>
              <w:pStyle w:val="Normal1linespace"/>
              <w:widowControl w:val="0"/>
              <w:jc w:val="left"/>
            </w:pPr>
            <w:r>
              <w:t>Counsel for the non-party shareholders and noteholders of the Defendant:</w:t>
            </w:r>
          </w:p>
        </w:tc>
        <w:tc>
          <w:tcPr>
            <w:tcW w:w="5989" w:type="dxa"/>
            <w:shd w:val="clear" w:color="auto" w:fill="auto"/>
          </w:tcPr>
          <w:p w:rsidR="00EC68BD" w:rsidRDefault="009D18CB" w:rsidP="00EC68BD">
            <w:pPr>
              <w:pStyle w:val="Normal1linespace"/>
              <w:widowControl w:val="0"/>
              <w:jc w:val="left"/>
            </w:pPr>
            <w:r>
              <w:t>Mr S Bell</w:t>
            </w:r>
          </w:p>
        </w:tc>
      </w:tr>
      <w:tr w:rsidR="009D18CB" w:rsidTr="00EC68BD">
        <w:tc>
          <w:tcPr>
            <w:tcW w:w="3085" w:type="dxa"/>
            <w:shd w:val="clear" w:color="auto" w:fill="auto"/>
          </w:tcPr>
          <w:p w:rsidR="009D18CB" w:rsidRDefault="009D18CB" w:rsidP="00EC68BD">
            <w:pPr>
              <w:pStyle w:val="Normal1linespace"/>
              <w:widowControl w:val="0"/>
              <w:jc w:val="left"/>
            </w:pPr>
          </w:p>
        </w:tc>
        <w:tc>
          <w:tcPr>
            <w:tcW w:w="5989" w:type="dxa"/>
            <w:shd w:val="clear" w:color="auto" w:fill="auto"/>
          </w:tcPr>
          <w:p w:rsidR="009D18CB" w:rsidRDefault="009D18CB" w:rsidP="00EC68BD">
            <w:pPr>
              <w:pStyle w:val="Normal1linespace"/>
              <w:widowControl w:val="0"/>
              <w:jc w:val="left"/>
            </w:pPr>
          </w:p>
        </w:tc>
      </w:tr>
      <w:tr w:rsidR="009D18CB" w:rsidTr="00EC68BD">
        <w:tc>
          <w:tcPr>
            <w:tcW w:w="3085" w:type="dxa"/>
            <w:shd w:val="clear" w:color="auto" w:fill="auto"/>
          </w:tcPr>
          <w:p w:rsidR="009D18CB" w:rsidRDefault="009D18CB" w:rsidP="00EC68BD">
            <w:pPr>
              <w:pStyle w:val="Normal1linespace"/>
              <w:widowControl w:val="0"/>
              <w:jc w:val="left"/>
            </w:pPr>
            <w:r>
              <w:t>Solicitor for the non-party shareholders and noteholders of the Defendant:</w:t>
            </w:r>
          </w:p>
        </w:tc>
        <w:tc>
          <w:tcPr>
            <w:tcW w:w="5989" w:type="dxa"/>
            <w:shd w:val="clear" w:color="auto" w:fill="auto"/>
          </w:tcPr>
          <w:p w:rsidR="009D18CB" w:rsidRDefault="009D18CB" w:rsidP="00EC68BD">
            <w:pPr>
              <w:pStyle w:val="Normal1linespace"/>
              <w:widowControl w:val="0"/>
              <w:jc w:val="left"/>
            </w:pPr>
            <w:r>
              <w:t>Ian B</w:t>
            </w:r>
            <w:r w:rsidR="007602E3">
              <w:t>.</w:t>
            </w:r>
            <w:r>
              <w:t xml:space="preserve"> Mitchell &amp; Associates</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92BFC" w:rsidP="00F92355">
            <w:pPr>
              <w:pStyle w:val="NormalHeadings"/>
              <w:jc w:val="right"/>
            </w:pPr>
            <w:bookmarkStart w:id="9" w:name="FileNo"/>
            <w:r>
              <w:t>VID 505 of 2019</w:t>
            </w:r>
            <w:bookmarkEnd w:id="9"/>
          </w:p>
        </w:tc>
      </w:tr>
      <w:tr w:rsidR="00A76C13" w:rsidTr="0028008D">
        <w:tc>
          <w:tcPr>
            <w:tcW w:w="9242" w:type="dxa"/>
            <w:gridSpan w:val="3"/>
          </w:tcPr>
          <w:p w:rsidR="00A76C13" w:rsidRPr="00A76C13" w:rsidRDefault="00992BFC" w:rsidP="00992BFC">
            <w:pPr>
              <w:pStyle w:val="NormalHeadings"/>
              <w:jc w:val="left"/>
            </w:pPr>
            <w:bookmarkStart w:id="10" w:name="InTheMatterOf"/>
            <w:r>
              <w:t xml:space="preserve"> </w:t>
            </w:r>
            <w:bookmarkEnd w:id="10"/>
          </w:p>
        </w:tc>
      </w:tr>
      <w:tr w:rsidR="00A46CCC" w:rsidTr="0028008D">
        <w:trPr>
          <w:trHeight w:val="386"/>
        </w:trPr>
        <w:tc>
          <w:tcPr>
            <w:tcW w:w="2376" w:type="dxa"/>
          </w:tcPr>
          <w:p w:rsidR="00A46CCC" w:rsidRDefault="00A46CCC" w:rsidP="0028008D">
            <w:pPr>
              <w:pStyle w:val="NormalHeadings"/>
              <w:jc w:val="left"/>
              <w:rPr>
                <w:caps/>
                <w:szCs w:val="24"/>
              </w:rPr>
            </w:pPr>
            <w:bookmarkStart w:id="11" w:name="Parties"/>
            <w:r>
              <w:rPr>
                <w:caps/>
                <w:szCs w:val="24"/>
              </w:rPr>
              <w:t>BETWEEN:</w:t>
            </w:r>
          </w:p>
        </w:tc>
        <w:tc>
          <w:tcPr>
            <w:tcW w:w="6866" w:type="dxa"/>
            <w:gridSpan w:val="2"/>
          </w:tcPr>
          <w:p w:rsidR="00992BFC" w:rsidRDefault="00992BFC" w:rsidP="00992BFC">
            <w:pPr>
              <w:pStyle w:val="NormalHeadings"/>
              <w:jc w:val="left"/>
            </w:pPr>
            <w:bookmarkStart w:id="12" w:name="Applicant"/>
            <w:r>
              <w:t>AUSTRALIAN SECURITIES &amp; INVESTMENTS COMMISSION</w:t>
            </w:r>
          </w:p>
          <w:p w:rsidR="00992BFC" w:rsidRDefault="00992BFC" w:rsidP="00992BFC">
            <w:pPr>
              <w:pStyle w:val="PartyType"/>
            </w:pPr>
            <w:r>
              <w:t>Plaintiff</w:t>
            </w:r>
          </w:p>
          <w:bookmarkEnd w:id="12"/>
          <w:p w:rsidR="00A46CCC" w:rsidRPr="006555B4" w:rsidRDefault="00A46CCC" w:rsidP="0028008D">
            <w:pPr>
              <w:pStyle w:val="NormalHeadings"/>
              <w:jc w:val="left"/>
            </w:pPr>
          </w:p>
        </w:tc>
      </w:tr>
      <w:tr w:rsidR="00A46CCC" w:rsidTr="0028008D">
        <w:trPr>
          <w:trHeight w:val="386"/>
        </w:trPr>
        <w:tc>
          <w:tcPr>
            <w:tcW w:w="2376" w:type="dxa"/>
          </w:tcPr>
          <w:p w:rsidR="00A46CCC" w:rsidRDefault="00A46CCC" w:rsidP="0028008D">
            <w:pPr>
              <w:pStyle w:val="NormalHeadings"/>
              <w:jc w:val="left"/>
              <w:rPr>
                <w:caps/>
                <w:szCs w:val="24"/>
              </w:rPr>
            </w:pPr>
            <w:r>
              <w:rPr>
                <w:caps/>
                <w:szCs w:val="24"/>
              </w:rPr>
              <w:t>AND:</w:t>
            </w:r>
          </w:p>
        </w:tc>
        <w:tc>
          <w:tcPr>
            <w:tcW w:w="6866" w:type="dxa"/>
            <w:gridSpan w:val="2"/>
          </w:tcPr>
          <w:p w:rsidR="00992BFC" w:rsidRDefault="00992BFC" w:rsidP="00992BFC">
            <w:pPr>
              <w:pStyle w:val="NormalHeadings"/>
              <w:jc w:val="left"/>
            </w:pPr>
            <w:bookmarkStart w:id="13" w:name="Respondent"/>
            <w:r>
              <w:t>MERLIN DIAMONDS LIMITED</w:t>
            </w:r>
          </w:p>
          <w:p w:rsidR="00992BFC" w:rsidRDefault="00992BFC" w:rsidP="00992BFC">
            <w:pPr>
              <w:pStyle w:val="PartyType"/>
            </w:pPr>
            <w:r>
              <w:t>Defendant</w:t>
            </w:r>
          </w:p>
          <w:bookmarkEnd w:id="13"/>
          <w:p w:rsidR="00A46CCC" w:rsidRPr="006555B4" w:rsidRDefault="00A46CCC" w:rsidP="0028008D">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92BFC">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992BFC">
            <w:pPr>
              <w:pStyle w:val="NormalHeadings"/>
              <w:jc w:val="left"/>
              <w:rPr>
                <w:caps/>
                <w:szCs w:val="24"/>
              </w:rPr>
            </w:pPr>
            <w:bookmarkStart w:id="16" w:name="Judge"/>
            <w:r>
              <w:rPr>
                <w:caps/>
                <w:szCs w:val="24"/>
              </w:rPr>
              <w:t>O'BRYAN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63085">
            <w:pPr>
              <w:pStyle w:val="NormalHeadings"/>
              <w:jc w:val="left"/>
              <w:rPr>
                <w:caps/>
                <w:szCs w:val="24"/>
              </w:rPr>
            </w:pPr>
            <w:bookmarkStart w:id="17" w:name="Judgment_Dated"/>
            <w:r>
              <w:rPr>
                <w:caps/>
                <w:szCs w:val="24"/>
              </w:rPr>
              <w:t>11 DECEMBER</w:t>
            </w:r>
            <w:r w:rsidR="00992BFC">
              <w:rPr>
                <w:caps/>
                <w:szCs w:val="24"/>
              </w:rPr>
              <w:t xml:space="preserve"> 2019</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E4403" w:rsidP="00274F5B">
      <w:pPr>
        <w:pStyle w:val="Order1"/>
      </w:pPr>
      <w:bookmarkStart w:id="18" w:name="Order_Start_Text"/>
      <w:bookmarkEnd w:id="18"/>
      <w:r>
        <w:t xml:space="preserve">Subject to paragraph 3 of these Orders, and pursuant to rule 2.32 of the </w:t>
      </w:r>
      <w:r w:rsidRPr="007F2DCE">
        <w:rPr>
          <w:i/>
        </w:rPr>
        <w:t>Federal Court Rules</w:t>
      </w:r>
      <w:r w:rsidRPr="00747DB0">
        <w:rPr>
          <w:i/>
        </w:rPr>
        <w:t xml:space="preserve"> 2011</w:t>
      </w:r>
      <w:r>
        <w:t xml:space="preserve"> (Cth), the shareholders and noteholders in the defendant identified in a list attached to a letter dated 5 December 2019 from their solicitors, Ian Mitchell of Ian B. Mitchell and Associates</w:t>
      </w:r>
      <w:r w:rsidR="00E73E7A">
        <w:t xml:space="preserve"> (</w:t>
      </w:r>
      <w:r w:rsidR="00E73E7A">
        <w:rPr>
          <w:b/>
        </w:rPr>
        <w:t>non-party shareholders/</w:t>
      </w:r>
      <w:r w:rsidR="00E73E7A" w:rsidRPr="00E73E7A">
        <w:rPr>
          <w:b/>
        </w:rPr>
        <w:t>noteholders</w:t>
      </w:r>
      <w:r w:rsidR="00E73E7A">
        <w:t>)</w:t>
      </w:r>
      <w:r>
        <w:t>, to the Court have leave to inspect a copy of the report prepared by the provisional liquidators of the defendant dated 1 November 2019 and which has been filed with the Court (</w:t>
      </w:r>
      <w:r w:rsidRPr="008E2938">
        <w:rPr>
          <w:b/>
        </w:rPr>
        <w:t>PL Report</w:t>
      </w:r>
      <w:r>
        <w:t>)</w:t>
      </w:r>
      <w:r w:rsidR="00E73E7A">
        <w:t>, solely for the purpose of determining whether to make an application for leave to be heard in the proceeding.</w:t>
      </w:r>
    </w:p>
    <w:p w:rsidR="005E4403" w:rsidRDefault="005E4403" w:rsidP="00274F5B">
      <w:pPr>
        <w:pStyle w:val="Order1"/>
      </w:pPr>
      <w:r>
        <w:t xml:space="preserve">Subject to paragraph 3 of these Orders, </w:t>
      </w:r>
      <w:r w:rsidR="00E73E7A">
        <w:t>the provisional liquidators provide a copy of the PL Report to the shareholders in the defendant identified in the schedule to the application for leave to be heard filed on 20 June 2019 (</w:t>
      </w:r>
      <w:r w:rsidR="00E73E7A" w:rsidRPr="00E73E7A">
        <w:rPr>
          <w:b/>
        </w:rPr>
        <w:t>opposing shareholders</w:t>
      </w:r>
      <w:r w:rsidR="00E73E7A">
        <w:t>).</w:t>
      </w:r>
    </w:p>
    <w:p w:rsidR="00E73E7A" w:rsidRDefault="005E4403" w:rsidP="00274F5B">
      <w:pPr>
        <w:pStyle w:val="Order1"/>
      </w:pPr>
      <w:r>
        <w:t xml:space="preserve">Pursuant to s 37AF of the </w:t>
      </w:r>
      <w:r w:rsidRPr="007F2DCE">
        <w:rPr>
          <w:i/>
        </w:rPr>
        <w:t>Federal Court of Australia Act</w:t>
      </w:r>
      <w:r>
        <w:t xml:space="preserve"> </w:t>
      </w:r>
      <w:r w:rsidRPr="00747DB0">
        <w:rPr>
          <w:i/>
        </w:rPr>
        <w:t>1976</w:t>
      </w:r>
      <w:r>
        <w:t xml:space="preserve"> (Cth)</w:t>
      </w:r>
      <w:r w:rsidR="00E73E7A">
        <w:t>:</w:t>
      </w:r>
    </w:p>
    <w:p w:rsidR="00174CE5" w:rsidRDefault="007F7C34" w:rsidP="008D53E8">
      <w:pPr>
        <w:pStyle w:val="Order2"/>
      </w:pPr>
      <w:r>
        <w:t xml:space="preserve">the copy of the PL Report provided by the provisional liquidators to the non-party shareholders/noteholders and the opposing shareholders pursuant </w:t>
      </w:r>
      <w:r w:rsidR="008D53E8">
        <w:t>to paragraphs 1 and 2 of these O</w:t>
      </w:r>
      <w:r w:rsidR="00D27143">
        <w:t>rders respectively</w:t>
      </w:r>
      <w:r>
        <w:t xml:space="preserve"> be redacted to keep confidential</w:t>
      </w:r>
      <w:r w:rsidR="00174CE5">
        <w:t>:</w:t>
      </w:r>
    </w:p>
    <w:p w:rsidR="00174CE5" w:rsidRDefault="00174CE5" w:rsidP="008D53E8">
      <w:pPr>
        <w:pStyle w:val="Order3"/>
      </w:pPr>
      <w:r>
        <w:t>the line items in the table on page 36 that identifies the estimated valuations of the property</w:t>
      </w:r>
      <w:r w:rsidR="008D53E8">
        <w:t>,</w:t>
      </w:r>
      <w:r>
        <w:t xml:space="preserve"> plant and equipment and mine tenements of </w:t>
      </w:r>
      <w:r w:rsidR="008D53E8">
        <w:t>the defendant</w:t>
      </w:r>
      <w:r>
        <w:t xml:space="preserve">, and all line items in the table that incorporate those figures; </w:t>
      </w:r>
    </w:p>
    <w:p w:rsidR="00174CE5" w:rsidRDefault="00174CE5" w:rsidP="008D53E8">
      <w:pPr>
        <w:pStyle w:val="Order3"/>
      </w:pPr>
      <w:r>
        <w:lastRenderedPageBreak/>
        <w:t>the sentence at the bottom of page 36 that identifies the estimated valuations of the property</w:t>
      </w:r>
      <w:r w:rsidR="008D53E8">
        <w:t>,</w:t>
      </w:r>
      <w:r>
        <w:t xml:space="preserve"> plant and equipment of </w:t>
      </w:r>
      <w:r w:rsidR="008D53E8">
        <w:t>the defendant</w:t>
      </w:r>
      <w:r>
        <w:t>; and</w:t>
      </w:r>
    </w:p>
    <w:p w:rsidR="00174CE5" w:rsidRDefault="00174CE5" w:rsidP="008D53E8">
      <w:pPr>
        <w:pStyle w:val="Order3"/>
      </w:pPr>
      <w:r>
        <w:t xml:space="preserve">the sentence at the top of page 37 that identifies the estimated valuation of the mine tenements of </w:t>
      </w:r>
      <w:r w:rsidR="008D53E8">
        <w:t>the defendant</w:t>
      </w:r>
      <w:r>
        <w:t>,</w:t>
      </w:r>
    </w:p>
    <w:p w:rsidR="007F7C34" w:rsidRDefault="007F7C34" w:rsidP="00174CE5">
      <w:pPr>
        <w:pStyle w:val="ListNo3"/>
        <w:numPr>
          <w:ilvl w:val="0"/>
          <w:numId w:val="0"/>
        </w:numPr>
        <w:ind w:left="1418"/>
      </w:pPr>
      <w:r>
        <w:t>(</w:t>
      </w:r>
      <w:r w:rsidRPr="007F7C34">
        <w:rPr>
          <w:b/>
        </w:rPr>
        <w:t>valuation information</w:t>
      </w:r>
      <w:r>
        <w:t>);</w:t>
      </w:r>
    </w:p>
    <w:p w:rsidR="005E4403" w:rsidRDefault="00E73E7A" w:rsidP="008D53E8">
      <w:pPr>
        <w:pStyle w:val="Order2"/>
      </w:pPr>
      <w:r>
        <w:t>the provisional liquidators must provide a</w:t>
      </w:r>
      <w:r w:rsidR="007F7C34">
        <w:t>n unredacted</w:t>
      </w:r>
      <w:r>
        <w:t xml:space="preserve"> copy of the PL Report to the external </w:t>
      </w:r>
      <w:r w:rsidR="007F7C34">
        <w:t xml:space="preserve">lawyers for the non-party shareholders/noteholders and the opposing shareholders upon receipt from the external lawyers of an undertaking to keep the valuation information confidential and not to disclose that information to any other person, including their clients. </w:t>
      </w:r>
      <w:r>
        <w:t xml:space="preserve"> </w:t>
      </w:r>
      <w:r w:rsidR="005E4403">
        <w:t xml:space="preserve"> </w:t>
      </w:r>
    </w:p>
    <w:p w:rsidR="005E4403" w:rsidRDefault="005E4403" w:rsidP="00274F5B">
      <w:pPr>
        <w:pStyle w:val="Order1"/>
      </w:pPr>
      <w:r>
        <w:t xml:space="preserve">The application by the provisional liquidators of the defendant </w:t>
      </w:r>
      <w:r w:rsidR="00E73E7A">
        <w:t xml:space="preserve">pursuant to s 37AF of the </w:t>
      </w:r>
      <w:r w:rsidR="00E73E7A" w:rsidRPr="007F2DCE">
        <w:rPr>
          <w:i/>
        </w:rPr>
        <w:t>Federal Court of Australia Act</w:t>
      </w:r>
      <w:r w:rsidR="00E73E7A">
        <w:t xml:space="preserve"> </w:t>
      </w:r>
      <w:r w:rsidR="00E73E7A" w:rsidRPr="00747DB0">
        <w:rPr>
          <w:i/>
        </w:rPr>
        <w:t>1976</w:t>
      </w:r>
      <w:r w:rsidR="00E73E7A">
        <w:t xml:space="preserve"> (Cth) </w:t>
      </w:r>
      <w:r>
        <w:t>be otherwise dismissed.</w:t>
      </w:r>
    </w:p>
    <w:p w:rsidR="005E4403" w:rsidRDefault="008D53E8" w:rsidP="00274F5B">
      <w:pPr>
        <w:pStyle w:val="Order1"/>
      </w:pPr>
      <w:r>
        <w:t>There be</w:t>
      </w:r>
      <w:r w:rsidR="005E4403">
        <w:t xml:space="preserve"> liberty to apply.</w:t>
      </w:r>
    </w:p>
    <w:p w:rsidR="005E4403" w:rsidRDefault="005E4403" w:rsidP="00274F5B">
      <w:pPr>
        <w:pStyle w:val="Order1"/>
      </w:pPr>
      <w:r>
        <w:t>Costs be reserved.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992BFC" w:rsidP="005E0510">
      <w:pPr>
        <w:pStyle w:val="NormalHeadings"/>
        <w:spacing w:line="360" w:lineRule="auto"/>
        <w:jc w:val="left"/>
        <w:rPr>
          <w:sz w:val="26"/>
          <w:szCs w:val="26"/>
        </w:rPr>
      </w:pPr>
      <w:r>
        <w:rPr>
          <w:sz w:val="26"/>
          <w:szCs w:val="26"/>
        </w:rPr>
        <w:t>O’BRYAN J</w:t>
      </w:r>
      <w:r w:rsidR="00484F6D" w:rsidRPr="00EA03CE">
        <w:rPr>
          <w:sz w:val="26"/>
          <w:szCs w:val="26"/>
        </w:rPr>
        <w:t>:</w:t>
      </w:r>
    </w:p>
    <w:p w:rsidR="00A63085" w:rsidRDefault="00A63085" w:rsidP="00A63085">
      <w:pPr>
        <w:pStyle w:val="Heading2"/>
      </w:pPr>
      <w:r>
        <w:t>Introduction</w:t>
      </w:r>
    </w:p>
    <w:p w:rsidR="008E2938" w:rsidRDefault="00A63085" w:rsidP="00992BFC">
      <w:pPr>
        <w:pStyle w:val="ParaNumbering"/>
      </w:pPr>
      <w:r>
        <w:t xml:space="preserve">A group of shareholders </w:t>
      </w:r>
      <w:r w:rsidR="00937C0A">
        <w:t xml:space="preserve">and noteholders </w:t>
      </w:r>
      <w:r>
        <w:t>in the defendant</w:t>
      </w:r>
      <w:r w:rsidR="00747DB0">
        <w:t xml:space="preserve"> company</w:t>
      </w:r>
      <w:r>
        <w:t>, Merlin Diamonds</w:t>
      </w:r>
      <w:r w:rsidR="008E2938">
        <w:t xml:space="preserve"> Limited (</w:t>
      </w:r>
      <w:r w:rsidR="008E2938" w:rsidRPr="008E2938">
        <w:rPr>
          <w:b/>
        </w:rPr>
        <w:t>Merlin</w:t>
      </w:r>
      <w:r w:rsidR="00747DB0">
        <w:t>), has</w:t>
      </w:r>
      <w:r w:rsidR="008E2938">
        <w:t xml:space="preserve"> made a request pursuant to rule 2.32 of the </w:t>
      </w:r>
      <w:r w:rsidR="008E2938" w:rsidRPr="007F2DCE">
        <w:rPr>
          <w:i/>
        </w:rPr>
        <w:t>Federal Court Rules</w:t>
      </w:r>
      <w:r w:rsidR="008E2938" w:rsidRPr="00747DB0">
        <w:rPr>
          <w:i/>
        </w:rPr>
        <w:t xml:space="preserve"> 2011</w:t>
      </w:r>
      <w:r w:rsidR="008E2938">
        <w:t xml:space="preserve"> (Cth) to inspect a copy of a report prepared by the provisional liquidators of Merlin dated 1 November 2019 and which has been filed with the Court</w:t>
      </w:r>
      <w:r w:rsidR="00E73E7A">
        <w:t xml:space="preserve"> (</w:t>
      </w:r>
      <w:r w:rsidR="00E73E7A" w:rsidRPr="008E2938">
        <w:rPr>
          <w:b/>
        </w:rPr>
        <w:t>PL Report</w:t>
      </w:r>
      <w:r w:rsidR="00E73E7A">
        <w:t>)</w:t>
      </w:r>
      <w:r w:rsidR="008E2938">
        <w:t>.</w:t>
      </w:r>
      <w:r w:rsidR="005E4403">
        <w:t xml:space="preserve"> Those shareholders and noteholders (the </w:t>
      </w:r>
      <w:r w:rsidR="00E73E7A">
        <w:rPr>
          <w:b/>
        </w:rPr>
        <w:t>non-party shareholders/</w:t>
      </w:r>
      <w:r w:rsidR="005E4403" w:rsidRPr="005E4403">
        <w:rPr>
          <w:b/>
        </w:rPr>
        <w:t>noteholders</w:t>
      </w:r>
      <w:r w:rsidR="005E4403">
        <w:t>) are identified in a list attached to a letter dated 5 December 2019 from their solicitors, Ian Mitchell of Ian B. Mitchell and Associates, to the Court. None of those persons or entities are a party to the proceeding.</w:t>
      </w:r>
    </w:p>
    <w:p w:rsidR="00A63085" w:rsidRDefault="008E2938" w:rsidP="00992BFC">
      <w:pPr>
        <w:pStyle w:val="ParaNumbering"/>
      </w:pPr>
      <w:r>
        <w:t xml:space="preserve">The provisional liquidators have sought an order for the suppression of parts of the PL Report under s 37AF of the </w:t>
      </w:r>
      <w:r w:rsidRPr="007F2DCE">
        <w:rPr>
          <w:i/>
        </w:rPr>
        <w:t>Federal Court of Australia Act</w:t>
      </w:r>
      <w:r>
        <w:t xml:space="preserve"> </w:t>
      </w:r>
      <w:r w:rsidRPr="00747DB0">
        <w:rPr>
          <w:i/>
        </w:rPr>
        <w:t>1976</w:t>
      </w:r>
      <w:r w:rsidR="0028008D">
        <w:t xml:space="preserve"> (Cth) (</w:t>
      </w:r>
      <w:r w:rsidR="0028008D" w:rsidRPr="0028008D">
        <w:rPr>
          <w:b/>
        </w:rPr>
        <w:t>FCA Act</w:t>
      </w:r>
      <w:r w:rsidR="0028008D">
        <w:t>)</w:t>
      </w:r>
      <w:r>
        <w:t>.</w:t>
      </w:r>
    </w:p>
    <w:p w:rsidR="008E2938" w:rsidRDefault="008E2938" w:rsidP="00992BFC">
      <w:pPr>
        <w:pStyle w:val="ParaNumbering"/>
      </w:pPr>
      <w:r>
        <w:t>I heard the application</w:t>
      </w:r>
      <w:r w:rsidR="00BE05F5">
        <w:t xml:space="preserve"> made</w:t>
      </w:r>
      <w:r>
        <w:t xml:space="preserve"> by the provisional liquidators on 6 December 2019. The plaintiff, Australian Securities and Investments Commission (</w:t>
      </w:r>
      <w:r w:rsidRPr="0003499D">
        <w:rPr>
          <w:b/>
        </w:rPr>
        <w:t>ASIC</w:t>
      </w:r>
      <w:r>
        <w:t>), neither consented to nor opposed the provisional liquidators’ application. All other interested parties oppo</w:t>
      </w:r>
      <w:r w:rsidR="0097317F">
        <w:t>sed the application, comprising:</w:t>
      </w:r>
    </w:p>
    <w:p w:rsidR="0097317F" w:rsidRDefault="0097317F" w:rsidP="0097317F">
      <w:pPr>
        <w:pStyle w:val="ListNo2"/>
        <w:tabs>
          <w:tab w:val="clear" w:pos="1440"/>
        </w:tabs>
        <w:ind w:left="567" w:hanging="567"/>
      </w:pPr>
      <w:r>
        <w:t xml:space="preserve">the 13 shareholders </w:t>
      </w:r>
      <w:r w:rsidR="00E73E7A">
        <w:t>identified in the schedule to the application for leave to be heard filed on 20 June 2019,</w:t>
      </w:r>
      <w:r>
        <w:t xml:space="preserve"> who were granted leave to be heard on </w:t>
      </w:r>
      <w:r w:rsidR="00E73E7A">
        <w:t>the</w:t>
      </w:r>
      <w:r>
        <w:t xml:space="preserve"> application </w:t>
      </w:r>
      <w:r w:rsidR="00E73E7A">
        <w:t xml:space="preserve">for the appointment of provisional liquidators to Merlin and who opposed the appointment </w:t>
      </w:r>
      <w:r>
        <w:t>(</w:t>
      </w:r>
      <w:r w:rsidR="009D4699">
        <w:rPr>
          <w:b/>
        </w:rPr>
        <w:t>o</w:t>
      </w:r>
      <w:r w:rsidRPr="000C4B82">
        <w:rPr>
          <w:b/>
        </w:rPr>
        <w:t xml:space="preserve">pposing </w:t>
      </w:r>
      <w:r w:rsidR="009D4699">
        <w:rPr>
          <w:b/>
        </w:rPr>
        <w:t>s</w:t>
      </w:r>
      <w:r w:rsidRPr="000C4B82">
        <w:rPr>
          <w:b/>
        </w:rPr>
        <w:t>hareholders</w:t>
      </w:r>
      <w:r>
        <w:t>);</w:t>
      </w:r>
    </w:p>
    <w:p w:rsidR="0097317F" w:rsidRDefault="0097317F" w:rsidP="0097317F">
      <w:pPr>
        <w:pStyle w:val="ListNo2"/>
        <w:tabs>
          <w:tab w:val="clear" w:pos="1440"/>
        </w:tabs>
        <w:ind w:left="567" w:hanging="567"/>
      </w:pPr>
      <w:r>
        <w:t>Edensor Holdings Pty Ltd (</w:t>
      </w:r>
      <w:r w:rsidRPr="009D4699">
        <w:rPr>
          <w:b/>
        </w:rPr>
        <w:t>Edensor</w:t>
      </w:r>
      <w:r>
        <w:t xml:space="preserve">), being a company controlled by Mr Joseph </w:t>
      </w:r>
      <w:proofErr w:type="spellStart"/>
      <w:r>
        <w:t>Gutnick</w:t>
      </w:r>
      <w:proofErr w:type="spellEnd"/>
      <w:r>
        <w:t xml:space="preserve">, his wife Mrs </w:t>
      </w:r>
      <w:proofErr w:type="spellStart"/>
      <w:r>
        <w:t>Stera</w:t>
      </w:r>
      <w:proofErr w:type="spellEnd"/>
      <w:r>
        <w:t xml:space="preserve"> </w:t>
      </w:r>
      <w:proofErr w:type="spellStart"/>
      <w:r>
        <w:t>Gutnick</w:t>
      </w:r>
      <w:proofErr w:type="spellEnd"/>
      <w:r>
        <w:t xml:space="preserve"> and his son Mr Mordechai </w:t>
      </w:r>
      <w:proofErr w:type="spellStart"/>
      <w:r>
        <w:t>Gutnick</w:t>
      </w:r>
      <w:proofErr w:type="spellEnd"/>
      <w:r>
        <w:t>;</w:t>
      </w:r>
      <w:r w:rsidR="009D4699">
        <w:t xml:space="preserve"> and</w:t>
      </w:r>
    </w:p>
    <w:p w:rsidR="0097317F" w:rsidRDefault="0097317F" w:rsidP="0097317F">
      <w:pPr>
        <w:pStyle w:val="ListNo2"/>
        <w:tabs>
          <w:tab w:val="clear" w:pos="1440"/>
        </w:tabs>
        <w:ind w:left="567" w:hanging="567"/>
      </w:pPr>
      <w:r>
        <w:t xml:space="preserve">the </w:t>
      </w:r>
      <w:r w:rsidR="009D4699" w:rsidRPr="00E73E7A">
        <w:t>n</w:t>
      </w:r>
      <w:r w:rsidRPr="00E73E7A">
        <w:t xml:space="preserve">on-party </w:t>
      </w:r>
      <w:r w:rsidR="009D4699" w:rsidRPr="00E73E7A">
        <w:t>s</w:t>
      </w:r>
      <w:r w:rsidRPr="00E73E7A">
        <w:t>hareholders</w:t>
      </w:r>
      <w:r w:rsidR="00937C0A" w:rsidRPr="00E73E7A">
        <w:t>/noteholders</w:t>
      </w:r>
      <w:r>
        <w:t xml:space="preserve">, </w:t>
      </w:r>
      <w:r w:rsidR="00BE05F5">
        <w:t xml:space="preserve">the members of </w:t>
      </w:r>
      <w:r>
        <w:t>which</w:t>
      </w:r>
      <w:r w:rsidR="00BE05F5">
        <w:t xml:space="preserve"> are not among</w:t>
      </w:r>
      <w:r>
        <w:t xml:space="preserve"> the </w:t>
      </w:r>
      <w:r w:rsidR="009D4699">
        <w:t>o</w:t>
      </w:r>
      <w:r>
        <w:t xml:space="preserve">pposing </w:t>
      </w:r>
      <w:r w:rsidR="009D4699">
        <w:t>s</w:t>
      </w:r>
      <w:r>
        <w:t>hareholders.</w:t>
      </w:r>
    </w:p>
    <w:p w:rsidR="006F607E" w:rsidRDefault="006F607E" w:rsidP="00992BFC">
      <w:pPr>
        <w:pStyle w:val="ParaNumbering"/>
      </w:pPr>
      <w:r>
        <w:t xml:space="preserve">The Court also received a communication from the solicitors for Mr Joseph </w:t>
      </w:r>
      <w:proofErr w:type="spellStart"/>
      <w:r>
        <w:t>Gutnick</w:t>
      </w:r>
      <w:proofErr w:type="spellEnd"/>
      <w:r>
        <w:t xml:space="preserve"> and Mr Mordechai </w:t>
      </w:r>
      <w:proofErr w:type="spellStart"/>
      <w:r>
        <w:t>Gutnick</w:t>
      </w:r>
      <w:proofErr w:type="spellEnd"/>
      <w:r>
        <w:t xml:space="preserve"> that they opposed the </w:t>
      </w:r>
      <w:r w:rsidR="000101F9">
        <w:t>request by the non-party shareholders</w:t>
      </w:r>
      <w:r w:rsidR="00937C0A">
        <w:t>/noteholders</w:t>
      </w:r>
      <w:r w:rsidR="000101F9">
        <w:t xml:space="preserve"> to inspect the PL Report, which is considered below.</w:t>
      </w:r>
    </w:p>
    <w:p w:rsidR="0097317F" w:rsidRDefault="0097317F" w:rsidP="00992BFC">
      <w:pPr>
        <w:pStyle w:val="ParaNumbering"/>
      </w:pPr>
      <w:r>
        <w:t xml:space="preserve">For the following reasons, I </w:t>
      </w:r>
      <w:r w:rsidR="000101F9">
        <w:t xml:space="preserve">grant leave for the </w:t>
      </w:r>
      <w:r w:rsidR="00937C0A">
        <w:t>non-party shareholders/noteholders</w:t>
      </w:r>
      <w:r w:rsidR="000101F9">
        <w:t xml:space="preserve"> to inspect the PL Report, but I </w:t>
      </w:r>
      <w:r>
        <w:t xml:space="preserve">will make a limited suppression order in respect of </w:t>
      </w:r>
      <w:r w:rsidR="000101F9">
        <w:t xml:space="preserve">one aspect of </w:t>
      </w:r>
      <w:r>
        <w:t>the PL Report.</w:t>
      </w:r>
    </w:p>
    <w:p w:rsidR="00A63085" w:rsidRDefault="0097317F" w:rsidP="0097317F">
      <w:pPr>
        <w:pStyle w:val="Heading2"/>
      </w:pPr>
      <w:r>
        <w:lastRenderedPageBreak/>
        <w:t>Background</w:t>
      </w:r>
      <w:r w:rsidR="00A63085">
        <w:t xml:space="preserve"> </w:t>
      </w:r>
    </w:p>
    <w:p w:rsidR="00992BFC" w:rsidRDefault="009D4699" w:rsidP="00992BFC">
      <w:pPr>
        <w:pStyle w:val="ParaNumbering"/>
      </w:pPr>
      <w:r>
        <w:t xml:space="preserve">By originating process filed on 14 May 2019, ASIC sought an order that Merlin be wound up pursuant to ss 461(1)(e) and/or (k) or s 464 of the </w:t>
      </w:r>
      <w:r w:rsidRPr="007E2995">
        <w:rPr>
          <w:i/>
        </w:rPr>
        <w:t>Corporations Act</w:t>
      </w:r>
      <w:r>
        <w:t xml:space="preserve"> </w:t>
      </w:r>
      <w:r w:rsidRPr="003D0B91">
        <w:rPr>
          <w:i/>
        </w:rPr>
        <w:t>2001</w:t>
      </w:r>
      <w:r>
        <w:t xml:space="preserve"> (Cth) (</w:t>
      </w:r>
      <w:r w:rsidRPr="00195732">
        <w:rPr>
          <w:b/>
        </w:rPr>
        <w:t>Act</w:t>
      </w:r>
      <w:r>
        <w:t>).  As an interim step, ASIC also sought the appointment of a provisional liquidator under s 472(2) of the Act</w:t>
      </w:r>
      <w:r w:rsidR="00992BFC">
        <w:t>.</w:t>
      </w:r>
    </w:p>
    <w:p w:rsidR="00992BFC" w:rsidRDefault="00992BFC" w:rsidP="009D4699">
      <w:pPr>
        <w:pStyle w:val="ParaNumbering"/>
        <w:tabs>
          <w:tab w:val="clear" w:pos="720"/>
        </w:tabs>
      </w:pPr>
      <w:r>
        <w:t>On 20 September 2019, I made orders appointing S</w:t>
      </w:r>
      <w:r w:rsidR="0003499D">
        <w:t xml:space="preserve">alvatore Algeri </w:t>
      </w:r>
      <w:r>
        <w:t xml:space="preserve">and Timothy Norman of Deloitte </w:t>
      </w:r>
      <w:r w:rsidR="0003499D">
        <w:t>F</w:t>
      </w:r>
      <w:r>
        <w:t xml:space="preserve">inancial </w:t>
      </w:r>
      <w:r w:rsidR="0003499D">
        <w:t>A</w:t>
      </w:r>
      <w:r>
        <w:t>dvisory Pty L</w:t>
      </w:r>
      <w:r w:rsidR="0003499D">
        <w:t>td</w:t>
      </w:r>
      <w:r>
        <w:t xml:space="preserve"> as joint and several provisional liquidators to Merlin</w:t>
      </w:r>
      <w:r w:rsidR="009D4699">
        <w:t xml:space="preserve">: see </w:t>
      </w:r>
      <w:r w:rsidR="009D4699" w:rsidRPr="009D4699">
        <w:rPr>
          <w:i/>
        </w:rPr>
        <w:t>Australian Securities and Investments Commission v Merlin Diamonds Limited</w:t>
      </w:r>
      <w:r w:rsidR="009D4699" w:rsidRPr="009D4699">
        <w:t xml:space="preserve"> [2019] FCA 1546</w:t>
      </w:r>
      <w:r>
        <w:t xml:space="preserve">.  I also made an order requiring the provisional liquidators to provide to the </w:t>
      </w:r>
      <w:r w:rsidR="0003499D">
        <w:t>C</w:t>
      </w:r>
      <w:r>
        <w:t xml:space="preserve">ourt and to </w:t>
      </w:r>
      <w:r w:rsidR="009D4699">
        <w:t>ASIC</w:t>
      </w:r>
      <w:r>
        <w:t xml:space="preserve"> a report as to the provisional liquidation of Merlin including:</w:t>
      </w:r>
    </w:p>
    <w:p w:rsidR="00992BFC" w:rsidRDefault="00992BFC" w:rsidP="009D4699">
      <w:pPr>
        <w:pStyle w:val="ListNo2"/>
        <w:numPr>
          <w:ilvl w:val="1"/>
          <w:numId w:val="28"/>
        </w:numPr>
        <w:tabs>
          <w:tab w:val="clear" w:pos="1440"/>
        </w:tabs>
        <w:ind w:left="709"/>
      </w:pPr>
      <w:r>
        <w:t xml:space="preserve">the identification of the assets and liabilities of </w:t>
      </w:r>
      <w:r w:rsidR="009D4699">
        <w:t>Merlin</w:t>
      </w:r>
      <w:r>
        <w:t>;</w:t>
      </w:r>
    </w:p>
    <w:p w:rsidR="00992BFC" w:rsidRDefault="00992BFC" w:rsidP="009D4699">
      <w:pPr>
        <w:pStyle w:val="ListNo2"/>
        <w:numPr>
          <w:ilvl w:val="1"/>
          <w:numId w:val="28"/>
        </w:numPr>
        <w:tabs>
          <w:tab w:val="clear" w:pos="1440"/>
        </w:tabs>
        <w:ind w:left="709"/>
      </w:pPr>
      <w:r>
        <w:t xml:space="preserve">an opinion as to the solvency of </w:t>
      </w:r>
      <w:r w:rsidR="009D4699">
        <w:t>Merlin</w:t>
      </w:r>
      <w:r>
        <w:t>;</w:t>
      </w:r>
    </w:p>
    <w:p w:rsidR="00992BFC" w:rsidRDefault="00992BFC" w:rsidP="009D4699">
      <w:pPr>
        <w:pStyle w:val="ListNo2"/>
        <w:numPr>
          <w:ilvl w:val="1"/>
          <w:numId w:val="28"/>
        </w:numPr>
        <w:tabs>
          <w:tab w:val="clear" w:pos="1440"/>
        </w:tabs>
        <w:ind w:left="709"/>
      </w:pPr>
      <w:r>
        <w:t xml:space="preserve">an opinion as to the value of the assets of </w:t>
      </w:r>
      <w:r w:rsidR="009D4699">
        <w:t>Merlin</w:t>
      </w:r>
      <w:r>
        <w:t>;</w:t>
      </w:r>
    </w:p>
    <w:p w:rsidR="00992BFC" w:rsidRDefault="00992BFC" w:rsidP="009D4699">
      <w:pPr>
        <w:pStyle w:val="ListNo2"/>
        <w:numPr>
          <w:ilvl w:val="1"/>
          <w:numId w:val="28"/>
        </w:numPr>
        <w:tabs>
          <w:tab w:val="clear" w:pos="1440"/>
        </w:tabs>
        <w:ind w:left="709"/>
      </w:pPr>
      <w:r>
        <w:t xml:space="preserve">the likely return to creditors of </w:t>
      </w:r>
      <w:r w:rsidR="009D4699">
        <w:t>Merlin</w:t>
      </w:r>
      <w:r>
        <w:t>;</w:t>
      </w:r>
    </w:p>
    <w:p w:rsidR="00992BFC" w:rsidRDefault="00992BFC" w:rsidP="009D4699">
      <w:pPr>
        <w:pStyle w:val="ListNo2"/>
        <w:numPr>
          <w:ilvl w:val="1"/>
          <w:numId w:val="28"/>
        </w:numPr>
        <w:tabs>
          <w:tab w:val="clear" w:pos="1440"/>
        </w:tabs>
        <w:ind w:left="709"/>
      </w:pPr>
      <w:r>
        <w:t xml:space="preserve">an opinion as to whether </w:t>
      </w:r>
      <w:r w:rsidR="009D4699">
        <w:t>Merlin</w:t>
      </w:r>
      <w:r>
        <w:t xml:space="preserve"> has proper financial records;</w:t>
      </w:r>
    </w:p>
    <w:p w:rsidR="0003499D" w:rsidRDefault="00992BFC" w:rsidP="009D4699">
      <w:pPr>
        <w:pStyle w:val="ListNo2"/>
        <w:numPr>
          <w:ilvl w:val="1"/>
          <w:numId w:val="28"/>
        </w:numPr>
        <w:tabs>
          <w:tab w:val="clear" w:pos="1440"/>
        </w:tabs>
        <w:ind w:left="709"/>
      </w:pPr>
      <w:r>
        <w:t xml:space="preserve">any other information necessary to enable the financial position of </w:t>
      </w:r>
      <w:r w:rsidR="009D4699">
        <w:t>Merlin</w:t>
      </w:r>
      <w:r>
        <w:t xml:space="preserve"> to be assessed;</w:t>
      </w:r>
    </w:p>
    <w:p w:rsidR="00992BFC" w:rsidRDefault="00992BFC" w:rsidP="009D4699">
      <w:pPr>
        <w:pStyle w:val="ListNo2"/>
        <w:numPr>
          <w:ilvl w:val="1"/>
          <w:numId w:val="28"/>
        </w:numPr>
        <w:tabs>
          <w:tab w:val="clear" w:pos="1440"/>
        </w:tabs>
        <w:ind w:left="709"/>
      </w:pPr>
      <w:r>
        <w:t xml:space="preserve">an opinion as to whether </w:t>
      </w:r>
      <w:r w:rsidR="009D4699">
        <w:t>Merlin</w:t>
      </w:r>
      <w:r>
        <w:t xml:space="preserve"> contravened any provisions of the </w:t>
      </w:r>
      <w:r w:rsidR="0003499D">
        <w:t>Act</w:t>
      </w:r>
      <w:r>
        <w:t>; and</w:t>
      </w:r>
    </w:p>
    <w:p w:rsidR="00992BFC" w:rsidRDefault="00992BFC" w:rsidP="009D4699">
      <w:pPr>
        <w:pStyle w:val="ListNo2"/>
        <w:numPr>
          <w:ilvl w:val="1"/>
          <w:numId w:val="28"/>
        </w:numPr>
        <w:tabs>
          <w:tab w:val="clear" w:pos="1440"/>
        </w:tabs>
        <w:ind w:left="709"/>
      </w:pPr>
      <w:r>
        <w:t>an opinion as to whether there are any s</w:t>
      </w:r>
      <w:r w:rsidR="0003499D">
        <w:t>uspected contraventions of the A</w:t>
      </w:r>
      <w:r>
        <w:t xml:space="preserve">ct by the current and former directors and officers of </w:t>
      </w:r>
      <w:r w:rsidR="009D4699">
        <w:t>Merlin</w:t>
      </w:r>
      <w:r>
        <w:t>.</w:t>
      </w:r>
    </w:p>
    <w:p w:rsidR="009D4699" w:rsidRDefault="009D4699" w:rsidP="009D4699">
      <w:pPr>
        <w:pStyle w:val="ParaNumbering"/>
      </w:pPr>
      <w:r>
        <w:t>On 17 October 2019, I made orders listing ASIC's primary application for an order that Merlin be wound up for hearing on 10 March 2020.</w:t>
      </w:r>
    </w:p>
    <w:p w:rsidR="00992BFC" w:rsidRDefault="00992BFC" w:rsidP="00992BFC">
      <w:pPr>
        <w:pStyle w:val="ParaNumbering"/>
      </w:pPr>
      <w:r>
        <w:t xml:space="preserve">On 1 November 2019, the provisional liquidators filed </w:t>
      </w:r>
      <w:r w:rsidR="009D4699">
        <w:t>the PL Report</w:t>
      </w:r>
      <w:r>
        <w:t xml:space="preserve"> with the </w:t>
      </w:r>
      <w:r w:rsidR="0003499D">
        <w:t>C</w:t>
      </w:r>
      <w:r>
        <w:t>ourt pursuant to the orders</w:t>
      </w:r>
      <w:r w:rsidR="00991FD3">
        <w:t xml:space="preserve"> I</w:t>
      </w:r>
      <w:r>
        <w:t xml:space="preserve"> made on 20 September 2019.</w:t>
      </w:r>
    </w:p>
    <w:p w:rsidR="00992BFC" w:rsidRDefault="00992BFC" w:rsidP="00992BFC">
      <w:pPr>
        <w:pStyle w:val="ParaNumbering"/>
      </w:pPr>
      <w:r>
        <w:t xml:space="preserve">On 29 November 2019, the </w:t>
      </w:r>
      <w:r w:rsidR="0003499D">
        <w:t>C</w:t>
      </w:r>
      <w:r>
        <w:t xml:space="preserve">ourt received a request </w:t>
      </w:r>
      <w:r w:rsidR="006F607E">
        <w:t xml:space="preserve">pursuant to rule 2.32 of the </w:t>
      </w:r>
      <w:r w:rsidR="006F607E" w:rsidRPr="007F2DCE">
        <w:rPr>
          <w:i/>
        </w:rPr>
        <w:t>Federal Court Rules</w:t>
      </w:r>
      <w:r w:rsidR="006F607E" w:rsidRPr="003B2260">
        <w:rPr>
          <w:i/>
        </w:rPr>
        <w:t xml:space="preserve"> 2011</w:t>
      </w:r>
      <w:r w:rsidR="006F607E">
        <w:t xml:space="preserve"> (Cth) </w:t>
      </w:r>
      <w:r>
        <w:t xml:space="preserve">from </w:t>
      </w:r>
      <w:r w:rsidR="009D4699">
        <w:t xml:space="preserve">a solicitor, Mr Ian Mitchell, on behalf of the </w:t>
      </w:r>
      <w:r w:rsidR="00937C0A">
        <w:t>non-party shareholders/noteholders</w:t>
      </w:r>
      <w:r>
        <w:t xml:space="preserve"> </w:t>
      </w:r>
      <w:r w:rsidR="006F607E">
        <w:t>to inspect a copy of</w:t>
      </w:r>
      <w:r>
        <w:t>:</w:t>
      </w:r>
    </w:p>
    <w:p w:rsidR="00212A11" w:rsidRDefault="00992BFC" w:rsidP="00C13813">
      <w:pPr>
        <w:pStyle w:val="ListNo2"/>
        <w:numPr>
          <w:ilvl w:val="1"/>
          <w:numId w:val="24"/>
        </w:numPr>
        <w:tabs>
          <w:tab w:val="clear" w:pos="1440"/>
        </w:tabs>
        <w:ind w:left="567" w:hanging="567"/>
      </w:pPr>
      <w:r>
        <w:t xml:space="preserve">the </w:t>
      </w:r>
      <w:r w:rsidR="006F607E">
        <w:t>PL R</w:t>
      </w:r>
      <w:r>
        <w:t>eport; and</w:t>
      </w:r>
    </w:p>
    <w:p w:rsidR="007F2DCE" w:rsidRDefault="00992BFC" w:rsidP="00C13813">
      <w:pPr>
        <w:pStyle w:val="ListNo2"/>
        <w:numPr>
          <w:ilvl w:val="1"/>
          <w:numId w:val="24"/>
        </w:numPr>
        <w:tabs>
          <w:tab w:val="clear" w:pos="1440"/>
        </w:tabs>
        <w:ind w:left="567" w:hanging="567"/>
      </w:pPr>
      <w:r>
        <w:t>the affidavit filed by ASIC on 22 November 2019 if such affidavit relate</w:t>
      </w:r>
      <w:r w:rsidR="006F607E">
        <w:t>d</w:t>
      </w:r>
      <w:r>
        <w:t xml:space="preserve"> to the </w:t>
      </w:r>
      <w:r w:rsidR="006F607E">
        <w:t>PL R</w:t>
      </w:r>
      <w:r>
        <w:t xml:space="preserve">eport.  </w:t>
      </w:r>
    </w:p>
    <w:p w:rsidR="00992BFC" w:rsidRDefault="00992BFC" w:rsidP="007F2DCE">
      <w:pPr>
        <w:pStyle w:val="ParaNumbering"/>
      </w:pPr>
      <w:r>
        <w:lastRenderedPageBreak/>
        <w:t>Mr Mitchell</w:t>
      </w:r>
      <w:r w:rsidR="006F607E">
        <w:t>’s clients</w:t>
      </w:r>
      <w:r>
        <w:t xml:space="preserve"> sought access to the </w:t>
      </w:r>
      <w:r w:rsidR="006F607E">
        <w:t>PL R</w:t>
      </w:r>
      <w:r>
        <w:t xml:space="preserve">eport to assist </w:t>
      </w:r>
      <w:r w:rsidR="000101F9">
        <w:t xml:space="preserve">them </w:t>
      </w:r>
      <w:r>
        <w:t xml:space="preserve">in making a decision whether to seek leave to </w:t>
      </w:r>
      <w:r w:rsidR="006F607E">
        <w:t xml:space="preserve">intervene or otherwise </w:t>
      </w:r>
      <w:r>
        <w:t xml:space="preserve">be heard </w:t>
      </w:r>
      <w:r w:rsidR="006F607E">
        <w:t xml:space="preserve">at </w:t>
      </w:r>
      <w:r>
        <w:t>the hearing of ASIC's application to wind up Merlin. Under rule</w:t>
      </w:r>
      <w:r w:rsidR="006F607E">
        <w:t xml:space="preserve"> 2.32</w:t>
      </w:r>
      <w:r>
        <w:t xml:space="preserve">, </w:t>
      </w:r>
      <w:r w:rsidR="006F607E">
        <w:t xml:space="preserve">the </w:t>
      </w:r>
      <w:r w:rsidR="00937C0A">
        <w:t>non-party shareholders/noteholders</w:t>
      </w:r>
      <w:r w:rsidR="006F607E">
        <w:t xml:space="preserve"> require</w:t>
      </w:r>
      <w:r>
        <w:t xml:space="preserve"> leave of the </w:t>
      </w:r>
      <w:r w:rsidR="007F2DCE">
        <w:t>C</w:t>
      </w:r>
      <w:r>
        <w:t xml:space="preserve">ourt to inspect the </w:t>
      </w:r>
      <w:r w:rsidR="006F607E">
        <w:t>PL Report</w:t>
      </w:r>
      <w:r>
        <w:t>.</w:t>
      </w:r>
    </w:p>
    <w:p w:rsidR="00992BFC" w:rsidRDefault="00992BFC" w:rsidP="00992BFC">
      <w:pPr>
        <w:pStyle w:val="ParaNumbering"/>
      </w:pPr>
      <w:r>
        <w:t xml:space="preserve">Following the receipt of the request from </w:t>
      </w:r>
      <w:r w:rsidR="006F607E">
        <w:t xml:space="preserve">the </w:t>
      </w:r>
      <w:r w:rsidR="00937C0A">
        <w:t>non-party shareholders/noteholders</w:t>
      </w:r>
      <w:r>
        <w:t xml:space="preserve">, the </w:t>
      </w:r>
      <w:r w:rsidR="007F2DCE">
        <w:t>C</w:t>
      </w:r>
      <w:r>
        <w:t>ourt requested the parties to the proceeding</w:t>
      </w:r>
      <w:r w:rsidR="006F607E">
        <w:t>, and the opposing shareholders,</w:t>
      </w:r>
      <w:r>
        <w:t xml:space="preserve"> to advise whether they had any objection to the documents being inspected by </w:t>
      </w:r>
      <w:r w:rsidR="006F607E">
        <w:t xml:space="preserve">the </w:t>
      </w:r>
      <w:r w:rsidR="00937C0A">
        <w:t>non-party shareholders/noteholders</w:t>
      </w:r>
      <w:r w:rsidR="007F2DCE">
        <w:t>.</w:t>
      </w:r>
    </w:p>
    <w:p w:rsidR="000101F9" w:rsidRDefault="00992BFC" w:rsidP="00992BFC">
      <w:pPr>
        <w:pStyle w:val="ParaNumbering"/>
      </w:pPr>
      <w:r>
        <w:t>On</w:t>
      </w:r>
      <w:r w:rsidR="007F2DCE">
        <w:t xml:space="preserve"> 3 December 2019, the C</w:t>
      </w:r>
      <w:r>
        <w:t>ourt received a com</w:t>
      </w:r>
      <w:r w:rsidR="003B2260">
        <w:t>munication from the solicitors for</w:t>
      </w:r>
      <w:r>
        <w:t xml:space="preserve"> the provisional liquidators objecting to the release of the </w:t>
      </w:r>
      <w:r w:rsidR="000101F9">
        <w:t>PL R</w:t>
      </w:r>
      <w:r>
        <w:t xml:space="preserve">eport to </w:t>
      </w:r>
      <w:r w:rsidR="000101F9">
        <w:t xml:space="preserve">the </w:t>
      </w:r>
      <w:r w:rsidR="00937C0A">
        <w:t>non-party shareholders/noteholders</w:t>
      </w:r>
      <w:r>
        <w:t xml:space="preserve"> on the basis that the report contained confidential information.  </w:t>
      </w:r>
      <w:r w:rsidR="003E56AB">
        <w:t>That communication</w:t>
      </w:r>
      <w:r w:rsidR="000101F9">
        <w:t xml:space="preserve"> stated:</w:t>
      </w:r>
    </w:p>
    <w:p w:rsidR="000101F9" w:rsidRPr="000101F9" w:rsidRDefault="000101F9" w:rsidP="000101F9">
      <w:pPr>
        <w:pStyle w:val="Quote1"/>
      </w:pPr>
      <w:r w:rsidRPr="000101F9">
        <w:t>The Provisional Liquidators object to the release of the report filed with the Court on 1 November 2019 on the basis that it contains confidential information.</w:t>
      </w:r>
    </w:p>
    <w:p w:rsidR="000101F9" w:rsidRDefault="000101F9" w:rsidP="000101F9">
      <w:pPr>
        <w:pStyle w:val="Quote1"/>
      </w:pPr>
      <w:r w:rsidRPr="000101F9">
        <w:t>The Provisional Liquidators will be seeking at the hearing on 6 December 2019 limited suppression orders or confidentiality orders in respect of the Report for the reasons set out in the affidavit sworn by Mr Norman on 3 December 2019 and filed with the Court this morning (see paragraphs [5] – [11]).  The Provisional Liquidators are prepared to provide a redacted version of the Report to those parties who are opposing ASIC’s winding up application and others who may demonstrate a legitimate basis for obtaining a copy.  It would be helpful to know who has sought a copy of the report, but in the absence of that information, the Provisional Liquidators’ view is that if the Court considers the party is entitled to a redacted copy of the Report, the Provisional Liquidators will provide a redacted copy to them.</w:t>
      </w:r>
    </w:p>
    <w:p w:rsidR="00992BFC" w:rsidRDefault="00992BFC" w:rsidP="00992BFC">
      <w:pPr>
        <w:pStyle w:val="ParaNumbering"/>
      </w:pPr>
      <w:r>
        <w:t>On the same day, an affidavit was filed on behalf of the provisional liquidators in support of a</w:t>
      </w:r>
      <w:r w:rsidR="002378F1">
        <w:t>n application under s</w:t>
      </w:r>
      <w:r w:rsidR="000101F9">
        <w:t xml:space="preserve"> 37AF</w:t>
      </w:r>
      <w:r>
        <w:t xml:space="preserve"> of the </w:t>
      </w:r>
      <w:r w:rsidR="0028008D" w:rsidRPr="0028008D">
        <w:t>FCA Act</w:t>
      </w:r>
      <w:r w:rsidR="0028008D">
        <w:t xml:space="preserve"> </w:t>
      </w:r>
      <w:r>
        <w:t>for a suppression order in relation to the</w:t>
      </w:r>
      <w:r w:rsidR="002378F1">
        <w:t xml:space="preserve"> PL</w:t>
      </w:r>
      <w:r w:rsidR="0057633A">
        <w:t xml:space="preserve"> R</w:t>
      </w:r>
      <w:r>
        <w:t>eport</w:t>
      </w:r>
      <w:r w:rsidR="007F2DCE">
        <w:t>.  T</w:t>
      </w:r>
      <w:r>
        <w:t>he affidavit was made by one of the provisional liquidators, Mr Norman.  Mr Norman deposed that the provisional liquidators sought a limited suppression order in respect of the</w:t>
      </w:r>
      <w:r w:rsidR="00583201">
        <w:t xml:space="preserve"> PL</w:t>
      </w:r>
      <w:r w:rsidR="0057633A">
        <w:t xml:space="preserve"> R</w:t>
      </w:r>
      <w:r>
        <w:t xml:space="preserve">eport on the basis that parts of the report contained sensitive or confidential information and </w:t>
      </w:r>
      <w:r w:rsidR="000101F9">
        <w:t xml:space="preserve">that </w:t>
      </w:r>
      <w:r>
        <w:t xml:space="preserve">it is necessary to maintain the confidentiality of that information in order to </w:t>
      </w:r>
      <w:r w:rsidR="000101F9">
        <w:t>prevent prejudice to</w:t>
      </w:r>
      <w:r>
        <w:t xml:space="preserve"> the proper administration of justice.  The aspects of the</w:t>
      </w:r>
      <w:r w:rsidR="00583201">
        <w:t xml:space="preserve"> PL</w:t>
      </w:r>
      <w:r w:rsidR="0057633A">
        <w:t xml:space="preserve"> R</w:t>
      </w:r>
      <w:r>
        <w:t>eport sought to be suppressed were:</w:t>
      </w:r>
    </w:p>
    <w:p w:rsidR="00212A11" w:rsidRDefault="00992BFC" w:rsidP="00332F6B">
      <w:pPr>
        <w:pStyle w:val="ListNo2"/>
        <w:numPr>
          <w:ilvl w:val="1"/>
          <w:numId w:val="25"/>
        </w:numPr>
        <w:tabs>
          <w:tab w:val="clear" w:pos="1440"/>
        </w:tabs>
        <w:ind w:left="567" w:hanging="567"/>
      </w:pPr>
      <w:r>
        <w:t>information relating to valuations obtained by the provisional liquidators in respect of the assets of Merlin</w:t>
      </w:r>
      <w:r w:rsidR="0028008D">
        <w:t xml:space="preserve"> (</w:t>
      </w:r>
      <w:r w:rsidR="0028008D" w:rsidRPr="00212A11">
        <w:rPr>
          <w:b/>
        </w:rPr>
        <w:t>valuation information</w:t>
      </w:r>
      <w:r w:rsidR="0028008D">
        <w:t>)</w:t>
      </w:r>
      <w:r>
        <w:t>; and</w:t>
      </w:r>
    </w:p>
    <w:p w:rsidR="00992BFC" w:rsidRDefault="00992BFC" w:rsidP="00332F6B">
      <w:pPr>
        <w:pStyle w:val="ListNo2"/>
        <w:numPr>
          <w:ilvl w:val="1"/>
          <w:numId w:val="25"/>
        </w:numPr>
        <w:tabs>
          <w:tab w:val="clear" w:pos="1440"/>
        </w:tabs>
        <w:ind w:left="567" w:hanging="567"/>
      </w:pPr>
      <w:r>
        <w:lastRenderedPageBreak/>
        <w:t xml:space="preserve">a summary of potential </w:t>
      </w:r>
      <w:r w:rsidR="0028008D">
        <w:t>contraventions</w:t>
      </w:r>
      <w:r>
        <w:t xml:space="preserve"> of the </w:t>
      </w:r>
      <w:r w:rsidR="00F80CC3">
        <w:t>A</w:t>
      </w:r>
      <w:r>
        <w:t>ct identified by the provisional liquidators as possibly having been committed by Merlin or its officers</w:t>
      </w:r>
      <w:r w:rsidR="0028008D">
        <w:t xml:space="preserve"> (</w:t>
      </w:r>
      <w:r w:rsidR="0028008D" w:rsidRPr="00212A11">
        <w:rPr>
          <w:b/>
        </w:rPr>
        <w:t>potential contraventions information</w:t>
      </w:r>
      <w:r w:rsidR="0028008D">
        <w:t>)</w:t>
      </w:r>
      <w:r>
        <w:t>.</w:t>
      </w:r>
    </w:p>
    <w:p w:rsidR="00992BFC" w:rsidRDefault="00992BFC" w:rsidP="00992BFC">
      <w:pPr>
        <w:pStyle w:val="ParaNumbering"/>
      </w:pPr>
      <w:r>
        <w:t xml:space="preserve">In relation to the </w:t>
      </w:r>
      <w:r w:rsidR="0028008D">
        <w:t xml:space="preserve">valuation </w:t>
      </w:r>
      <w:r>
        <w:t xml:space="preserve">information, Mr Norman deposed that the provisional liquidators sought to maintain the confidentiality of that information until the assets in question were sold or control of the company </w:t>
      </w:r>
      <w:r w:rsidR="00F80CC3">
        <w:t>was</w:t>
      </w:r>
      <w:r>
        <w:t xml:space="preserve"> returned to its directors.  </w:t>
      </w:r>
      <w:r w:rsidR="007F2DCE">
        <w:t xml:space="preserve">Mr </w:t>
      </w:r>
      <w:r>
        <w:t>Norman stated that the provisional liquidators were concerned that if the valuation</w:t>
      </w:r>
      <w:r w:rsidR="008B20C6">
        <w:t xml:space="preserve"> information</w:t>
      </w:r>
      <w:r>
        <w:t xml:space="preserve"> </w:t>
      </w:r>
      <w:r w:rsidR="00F80CC3">
        <w:t>became</w:t>
      </w:r>
      <w:r w:rsidR="007F2DCE">
        <w:t xml:space="preserve"> </w:t>
      </w:r>
      <w:r>
        <w:t>public, th</w:t>
      </w:r>
      <w:r w:rsidR="00F80CC3">
        <w:t>at</w:t>
      </w:r>
      <w:r>
        <w:t xml:space="preserve"> could </w:t>
      </w:r>
      <w:r w:rsidR="00F80CC3">
        <w:t xml:space="preserve">undermine </w:t>
      </w:r>
      <w:r w:rsidR="0028008D">
        <w:t>future</w:t>
      </w:r>
      <w:r>
        <w:t xml:space="preserve"> </w:t>
      </w:r>
      <w:r w:rsidR="008B20C6">
        <w:t>negotiations for the sale of</w:t>
      </w:r>
      <w:r>
        <w:t xml:space="preserve"> Merlin</w:t>
      </w:r>
      <w:r w:rsidR="008B20C6">
        <w:t>’s</w:t>
      </w:r>
      <w:r>
        <w:t xml:space="preserve"> assets </w:t>
      </w:r>
      <w:r w:rsidR="0028008D">
        <w:t>(</w:t>
      </w:r>
      <w:r>
        <w:t>if such a sale were to occur</w:t>
      </w:r>
      <w:r w:rsidR="0028008D">
        <w:t>)</w:t>
      </w:r>
      <w:r>
        <w:t xml:space="preserve">.  Mr Norman expressed the opinion that the release of the </w:t>
      </w:r>
      <w:r w:rsidR="00F80CC3">
        <w:t>valuation</w:t>
      </w:r>
      <w:r>
        <w:t xml:space="preserve"> information was likely to materially adversely affect the sale process.</w:t>
      </w:r>
    </w:p>
    <w:p w:rsidR="000C4B82" w:rsidRDefault="00992BFC" w:rsidP="00992BFC">
      <w:pPr>
        <w:pStyle w:val="ParaNumbering"/>
      </w:pPr>
      <w:r>
        <w:t xml:space="preserve">In respect of the </w:t>
      </w:r>
      <w:r w:rsidR="0028008D">
        <w:t xml:space="preserve">potential contraventions </w:t>
      </w:r>
      <w:r>
        <w:t xml:space="preserve">information, Mr Norman deposed </w:t>
      </w:r>
      <w:r w:rsidR="00F80CC3">
        <w:t xml:space="preserve">that </w:t>
      </w:r>
      <w:r>
        <w:t>the provisional liquidators sought to maintain the confidentiality of that informatio</w:t>
      </w:r>
      <w:r w:rsidR="000C4B82">
        <w:t>n until such time as the C</w:t>
      </w:r>
      <w:r>
        <w:t xml:space="preserve">ourt considers there is a public interest in the information being made public.  Mr Norman said that the provisional liquidators </w:t>
      </w:r>
      <w:r w:rsidR="00F80CC3">
        <w:t>we</w:t>
      </w:r>
      <w:r>
        <w:t>re aware that their investigation</w:t>
      </w:r>
      <w:r w:rsidR="000C4B82">
        <w:t>s of potential breaches of the A</w:t>
      </w:r>
      <w:r>
        <w:t>ct have been preliminary.  The investigations were undert</w:t>
      </w:r>
      <w:r w:rsidR="000C4B82">
        <w:t>aken in a relatively short time</w:t>
      </w:r>
      <w:r>
        <w:t>frame and the provisional liquidators encountered significant resistance from a number of parties, including the directors of Merlin, in providing information to them.  Mr Norman deposed that the provisional liquidators are concerned that it may be prejudicial to the individuals involved for the preliminary investigations to be publicised or that their reputations may be unfairly tarnished as the preliminary views of the provisional liquidators</w:t>
      </w:r>
      <w:r w:rsidR="0071559E">
        <w:t>, based on the investigations conducted thus far,</w:t>
      </w:r>
      <w:r>
        <w:t xml:space="preserve"> are not d</w:t>
      </w:r>
      <w:r w:rsidR="000C4B82">
        <w:t>eterminative.</w:t>
      </w:r>
    </w:p>
    <w:p w:rsidR="005133CC" w:rsidRDefault="005133CC" w:rsidP="00716C3A">
      <w:pPr>
        <w:pStyle w:val="ParaNumbering"/>
      </w:pPr>
      <w:r>
        <w:t xml:space="preserve">Mr Norman’s affidavit also exhibited </w:t>
      </w:r>
      <w:r w:rsidR="00937C0A">
        <w:t>an email from Mr Ben Waterson of Waterson Legal</w:t>
      </w:r>
      <w:r w:rsidR="00B834DA">
        <w:t>,</w:t>
      </w:r>
      <w:r w:rsidR="00937C0A">
        <w:t xml:space="preserve"> attaching resignations as directors of Merlin signed by Mr Joseph </w:t>
      </w:r>
      <w:proofErr w:type="spellStart"/>
      <w:r w:rsidR="00937C0A">
        <w:t>Gutnick</w:t>
      </w:r>
      <w:proofErr w:type="spellEnd"/>
      <w:r w:rsidR="00937C0A">
        <w:t xml:space="preserve"> and Mr Mordechai </w:t>
      </w:r>
      <w:proofErr w:type="spellStart"/>
      <w:r w:rsidR="00937C0A">
        <w:t>Gutnick</w:t>
      </w:r>
      <w:proofErr w:type="spellEnd"/>
      <w:r w:rsidR="00937C0A">
        <w:t xml:space="preserve"> dated 1 November 2019. </w:t>
      </w:r>
    </w:p>
    <w:p w:rsidR="00716C3A" w:rsidRDefault="00716C3A" w:rsidP="00716C3A">
      <w:pPr>
        <w:pStyle w:val="ParaNumbering"/>
      </w:pPr>
      <w:r>
        <w:t>On 4 December 2019, the Court received a communication from ASIC, stating that:</w:t>
      </w:r>
    </w:p>
    <w:p w:rsidR="00716C3A" w:rsidRDefault="00716C3A" w:rsidP="00716C3A">
      <w:pPr>
        <w:pStyle w:val="ListNo2"/>
        <w:numPr>
          <w:ilvl w:val="1"/>
          <w:numId w:val="42"/>
        </w:numPr>
        <w:tabs>
          <w:tab w:val="clear" w:pos="1440"/>
          <w:tab w:val="num" w:pos="720"/>
        </w:tabs>
        <w:ind w:left="709"/>
      </w:pPr>
      <w:r>
        <w:t>ASIC considered that the request for access to the PL Report was a matter principally for the provisional liquidators; and</w:t>
      </w:r>
    </w:p>
    <w:p w:rsidR="00716C3A" w:rsidRDefault="00716C3A" w:rsidP="00716C3A">
      <w:pPr>
        <w:pStyle w:val="ListNo2"/>
        <w:numPr>
          <w:ilvl w:val="1"/>
          <w:numId w:val="42"/>
        </w:numPr>
        <w:tabs>
          <w:tab w:val="clear" w:pos="1440"/>
          <w:tab w:val="num" w:pos="720"/>
        </w:tabs>
        <w:ind w:left="709"/>
      </w:pPr>
      <w:r>
        <w:t xml:space="preserve">with respect to the request for access to the affidavit filed 22 November 2019 by ASIC in so far as it related to the PL Report,  ASIC considered that neither of the two affidavits filed by ASIC on that day </w:t>
      </w:r>
      <w:r w:rsidR="005133CC">
        <w:t xml:space="preserve">relevantly </w:t>
      </w:r>
      <w:r>
        <w:t>related to the PL Report. </w:t>
      </w:r>
    </w:p>
    <w:p w:rsidR="0003779D" w:rsidRPr="0003779D" w:rsidRDefault="0003779D" w:rsidP="0003779D">
      <w:pPr>
        <w:pStyle w:val="ParaNumbering"/>
      </w:pPr>
      <w:r w:rsidRPr="0003779D">
        <w:lastRenderedPageBreak/>
        <w:t>On 4 December 2019</w:t>
      </w:r>
      <w:r>
        <w:t xml:space="preserve">, the Court </w:t>
      </w:r>
      <w:r w:rsidR="00716C3A">
        <w:t xml:space="preserve">also </w:t>
      </w:r>
      <w:r>
        <w:t>received a communication from</w:t>
      </w:r>
      <w:r w:rsidR="00B834DA">
        <w:t xml:space="preserve"> Mr Waterson,</w:t>
      </w:r>
      <w:r>
        <w:t xml:space="preserve"> the solicitor for </w:t>
      </w:r>
      <w:r w:rsidRPr="0003779D">
        <w:t xml:space="preserve">Mr Joseph </w:t>
      </w:r>
      <w:proofErr w:type="spellStart"/>
      <w:r w:rsidRPr="0003779D">
        <w:t>Gutnick</w:t>
      </w:r>
      <w:proofErr w:type="spellEnd"/>
      <w:r w:rsidRPr="0003779D">
        <w:t xml:space="preserve"> and Mr Mordechai </w:t>
      </w:r>
      <w:proofErr w:type="spellStart"/>
      <w:r w:rsidRPr="0003779D">
        <w:t>Gutnick</w:t>
      </w:r>
      <w:proofErr w:type="spellEnd"/>
      <w:r>
        <w:t xml:space="preserve">, opposing the request by the </w:t>
      </w:r>
      <w:r w:rsidR="00937C0A">
        <w:t>non-party shareholders/noteholders</w:t>
      </w:r>
      <w:r>
        <w:t xml:space="preserve"> </w:t>
      </w:r>
      <w:r w:rsidR="00B834DA">
        <w:t>for access to the PL Report. That</w:t>
      </w:r>
      <w:r>
        <w:t xml:space="preserve"> communication was in the following terms:</w:t>
      </w:r>
    </w:p>
    <w:p w:rsidR="0003779D" w:rsidRPr="0003779D" w:rsidRDefault="0003779D" w:rsidP="0003779D">
      <w:pPr>
        <w:pStyle w:val="Quote1"/>
      </w:pPr>
      <w:r w:rsidRPr="0003779D">
        <w:t xml:space="preserve">We act for Mr Joseph </w:t>
      </w:r>
      <w:proofErr w:type="spellStart"/>
      <w:r w:rsidRPr="0003779D">
        <w:t>Gutnick</w:t>
      </w:r>
      <w:proofErr w:type="spellEnd"/>
      <w:r w:rsidRPr="0003779D">
        <w:t xml:space="preserve"> and Mr Mordechai </w:t>
      </w:r>
      <w:proofErr w:type="spellStart"/>
      <w:r w:rsidRPr="0003779D">
        <w:t>Gutnick</w:t>
      </w:r>
      <w:proofErr w:type="spellEnd"/>
      <w:r w:rsidRPr="0003779D">
        <w:t>.  It has come to our attention that a representative of an unidentified group of interested persons not presently represented in this proceeding (group) has requested access to:</w:t>
      </w:r>
    </w:p>
    <w:p w:rsidR="0003779D" w:rsidRPr="0003779D" w:rsidRDefault="0003779D" w:rsidP="00716C3A">
      <w:pPr>
        <w:pStyle w:val="Quote1Bullet"/>
        <w:ind w:left="1440" w:hanging="720"/>
      </w:pPr>
      <w:r w:rsidRPr="0003779D">
        <w:t>The provisional liquidators’ report filed with the Court pursuant to the orders dated 20 September 2019; and</w:t>
      </w:r>
    </w:p>
    <w:p w:rsidR="0003779D" w:rsidRPr="00716C3A" w:rsidRDefault="0003779D" w:rsidP="00716C3A">
      <w:pPr>
        <w:pStyle w:val="Quote1Bullet"/>
        <w:ind w:hanging="748"/>
      </w:pPr>
      <w:r w:rsidRPr="0003779D">
        <w:t>The affidavit filed 22 November 2019 by ASIC if such affidavit relates to the provisional liquidators’ report.</w:t>
      </w:r>
    </w:p>
    <w:p w:rsidR="0003779D" w:rsidRPr="0003779D" w:rsidRDefault="0003779D" w:rsidP="00716C3A">
      <w:pPr>
        <w:pStyle w:val="Quote1"/>
      </w:pPr>
      <w:r w:rsidRPr="0003779D">
        <w:t xml:space="preserve">In our respectful submission our clients have an interest in the determination of the request and are owed procedural fairness in </w:t>
      </w:r>
      <w:r w:rsidR="00716C3A">
        <w:t>respect of said determination.</w:t>
      </w:r>
    </w:p>
    <w:p w:rsidR="0003779D" w:rsidRPr="0003779D" w:rsidRDefault="0003779D" w:rsidP="0003779D">
      <w:pPr>
        <w:pStyle w:val="Quote1"/>
      </w:pPr>
      <w:r w:rsidRPr="0003779D">
        <w:t xml:space="preserve">Our clients oppose access on the basis that such material apparently makes serious </w:t>
      </w:r>
      <w:r w:rsidRPr="0003779D">
        <w:rPr>
          <w:u w:val="single"/>
        </w:rPr>
        <w:t>untested</w:t>
      </w:r>
      <w:r w:rsidRPr="0003779D">
        <w:t xml:space="preserve"> allegations against our clients.  In our clients’ view, the group has sufficient material available to it from the Reasons for Judgment dated 20 September 2019 to make an informed decision as to joinder at this time.   If they are joined, then the question of access can then be re-determined at that time.  </w:t>
      </w:r>
    </w:p>
    <w:p w:rsidR="0003779D" w:rsidRDefault="0003779D" w:rsidP="0003779D">
      <w:pPr>
        <w:pStyle w:val="Quote1"/>
      </w:pPr>
      <w:r w:rsidRPr="0003779D">
        <w:t>If access is to be granted despite our clients’ submission, then strict confidentiality conditions should be imposed.</w:t>
      </w:r>
    </w:p>
    <w:p w:rsidR="00937C0A" w:rsidRDefault="00937C0A" w:rsidP="005133CC">
      <w:pPr>
        <w:pStyle w:val="ParaNumbering"/>
      </w:pPr>
      <w:r>
        <w:t>On 5 December 2019, Mr Waterson sent a further communication to the Court stating that Me</w:t>
      </w:r>
      <w:r w:rsidR="005D2808">
        <w:t xml:space="preserve">ssrs Joseph and Mordechai </w:t>
      </w:r>
      <w:proofErr w:type="spellStart"/>
      <w:r w:rsidR="005D2808">
        <w:t>Gutnic</w:t>
      </w:r>
      <w:r>
        <w:t>k</w:t>
      </w:r>
      <w:proofErr w:type="spellEnd"/>
      <w:r>
        <w:t xml:space="preserve"> did not intend to appear at the </w:t>
      </w:r>
      <w:r w:rsidR="00B46ABA">
        <w:t xml:space="preserve">interlocutory </w:t>
      </w:r>
      <w:r>
        <w:t xml:space="preserve">hearing </w:t>
      </w:r>
      <w:r w:rsidR="00B46ABA">
        <w:t>scheduled for the next day, but would rely on the submission made in the communication</w:t>
      </w:r>
      <w:r w:rsidR="005D2808">
        <w:t xml:space="preserve"> to the Court</w:t>
      </w:r>
      <w:r w:rsidR="00B46ABA">
        <w:t xml:space="preserve"> on 4 December 2019</w:t>
      </w:r>
      <w:r w:rsidR="005D2808">
        <w:t xml:space="preserve"> (set out above)</w:t>
      </w:r>
      <w:r w:rsidR="00B46ABA">
        <w:t>.</w:t>
      </w:r>
    </w:p>
    <w:p w:rsidR="005F4B62" w:rsidRPr="005133CC" w:rsidRDefault="005F4B62" w:rsidP="005133CC">
      <w:pPr>
        <w:pStyle w:val="ParaNumbering"/>
      </w:pPr>
      <w:r>
        <w:t>On 4 December 2019, the opposing shareholders filed written submissions opposing the provisional liquidators’ application for a suppression order. In relation to the valuation information, the opposing shareholders submitted that the information was relevant to the insolvency ground for winding up proposed to be relied upon by ASIC and</w:t>
      </w:r>
      <w:r w:rsidR="005D2808">
        <w:t xml:space="preserve"> that</w:t>
      </w:r>
      <w:r>
        <w:t xml:space="preserve"> procedural fairness required that the valuation information be disclosed to the parties to the proceeding and the opposing shareholders.  In that regard, the opposing shareholders referred to</w:t>
      </w:r>
      <w:r w:rsidR="005133CC">
        <w:t xml:space="preserve"> the statement of Barwick CJ i</w:t>
      </w:r>
      <w:r w:rsidRPr="005133CC">
        <w:t xml:space="preserve">n </w:t>
      </w:r>
      <w:proofErr w:type="spellStart"/>
      <w:r w:rsidRPr="005133CC">
        <w:rPr>
          <w:i/>
        </w:rPr>
        <w:t>Sandell</w:t>
      </w:r>
      <w:proofErr w:type="spellEnd"/>
      <w:r w:rsidRPr="005133CC">
        <w:rPr>
          <w:i/>
        </w:rPr>
        <w:t xml:space="preserve"> v Porter</w:t>
      </w:r>
      <w:r w:rsidRPr="005133CC">
        <w:t xml:space="preserve"> (1966) 115 CLR 666</w:t>
      </w:r>
      <w:r w:rsidR="005133CC">
        <w:t xml:space="preserve"> </w:t>
      </w:r>
      <w:r w:rsidRPr="005133CC">
        <w:t>at 670:</w:t>
      </w:r>
    </w:p>
    <w:p w:rsidR="005F4B62" w:rsidRDefault="005F4B62" w:rsidP="005133CC">
      <w:pPr>
        <w:pStyle w:val="Quote1"/>
      </w:pPr>
      <w:r w:rsidRPr="005133CC">
        <w:t>"Insolvency is expressed ... as an inability to pay debts as they fall due out of</w:t>
      </w:r>
      <w:r w:rsidR="005133CC">
        <w:t xml:space="preserve"> </w:t>
      </w:r>
      <w:r w:rsidRPr="005133CC">
        <w:t>the debtor's own money. But the debtor's own moneys are not limited to his</w:t>
      </w:r>
      <w:r w:rsidR="005133CC">
        <w:t xml:space="preserve"> </w:t>
      </w:r>
      <w:r w:rsidRPr="005133CC">
        <w:t>cash resources immediately available. They extend to moneys which he can</w:t>
      </w:r>
      <w:r w:rsidR="005133CC">
        <w:t xml:space="preserve"> </w:t>
      </w:r>
      <w:r w:rsidRPr="005133CC">
        <w:t>procure by realisation by sale or by mortgage or by pledge of his assets within</w:t>
      </w:r>
      <w:r w:rsidR="005133CC">
        <w:t xml:space="preserve"> </w:t>
      </w:r>
      <w:r w:rsidRPr="005133CC">
        <w:t>a relatively short time - relative to the nature and amount of the debts and to</w:t>
      </w:r>
      <w:r w:rsidR="005133CC">
        <w:t xml:space="preserve"> the circumstances,</w:t>
      </w:r>
      <w:r w:rsidRPr="005133CC">
        <w:t xml:space="preserve"> including the nature of the business of the debtor. The</w:t>
      </w:r>
      <w:r w:rsidR="005133CC">
        <w:t xml:space="preserve"> </w:t>
      </w:r>
      <w:r w:rsidRPr="005133CC">
        <w:t>conclusion of insolvency ought to be clear from a consideration of the debtor's</w:t>
      </w:r>
      <w:r w:rsidR="005133CC">
        <w:t xml:space="preserve"> </w:t>
      </w:r>
      <w:r w:rsidRPr="005133CC">
        <w:t>financial position in its entirety and generally speaking ought not to be drawn</w:t>
      </w:r>
      <w:r w:rsidR="005133CC">
        <w:t xml:space="preserve"> </w:t>
      </w:r>
      <w:r w:rsidRPr="005133CC">
        <w:t xml:space="preserve">simply from evidence of a temporary lack of liquidity. It is the </w:t>
      </w:r>
      <w:r w:rsidRPr="005133CC">
        <w:lastRenderedPageBreak/>
        <w:t>debtor</w:t>
      </w:r>
      <w:r w:rsidR="005133CC">
        <w:t>’</w:t>
      </w:r>
      <w:r w:rsidRPr="005133CC">
        <w:t>s</w:t>
      </w:r>
      <w:r w:rsidR="005133CC">
        <w:t xml:space="preserve"> inability,</w:t>
      </w:r>
      <w:r w:rsidRPr="005133CC">
        <w:t xml:space="preserve"> utilizing such cash resources as he has or can command through the</w:t>
      </w:r>
      <w:r w:rsidR="005133CC">
        <w:t xml:space="preserve"> </w:t>
      </w:r>
      <w:r w:rsidRPr="005133CC">
        <w:t>use of his assets, to meet his debts as they fall due which indicates</w:t>
      </w:r>
      <w:r w:rsidR="005133CC">
        <w:t xml:space="preserve"> </w:t>
      </w:r>
      <w:r w:rsidRPr="005133CC">
        <w:t>in</w:t>
      </w:r>
      <w:r w:rsidR="005133CC">
        <w:t>solvency.</w:t>
      </w:r>
    </w:p>
    <w:p w:rsidR="0028008D" w:rsidRDefault="005133CC" w:rsidP="0028008D">
      <w:pPr>
        <w:pStyle w:val="ParaNumbering"/>
      </w:pPr>
      <w:r>
        <w:t>The opposing shareholders also</w:t>
      </w:r>
      <w:r w:rsidR="005F4B62">
        <w:t xml:space="preserve"> submitted that the </w:t>
      </w:r>
      <w:r w:rsidR="0028008D">
        <w:t xml:space="preserve">valuation </w:t>
      </w:r>
      <w:r w:rsidR="005F4B62">
        <w:t xml:space="preserve">information was relevant to the decision by </w:t>
      </w:r>
      <w:r>
        <w:t>them</w:t>
      </w:r>
      <w:r w:rsidR="005F4B62">
        <w:t xml:space="preserve"> whether to continue to oppose the winding up of Merlin.  The opposing shareholders submitted that the concerns raised by the provisional liquidators </w:t>
      </w:r>
      <w:r>
        <w:t xml:space="preserve">(prejudice to a future sale process) </w:t>
      </w:r>
      <w:r w:rsidR="005F4B62">
        <w:t xml:space="preserve">could be addressed, in the first instance, by confining disclosure of the valuation information to interested parties.  </w:t>
      </w:r>
    </w:p>
    <w:p w:rsidR="005F4B62" w:rsidRDefault="005F4B62" w:rsidP="0028008D">
      <w:pPr>
        <w:pStyle w:val="ParaNumbering"/>
      </w:pPr>
      <w:r>
        <w:t xml:space="preserve">In relation to </w:t>
      </w:r>
      <w:r w:rsidR="0028008D">
        <w:t>the potential contraventions information</w:t>
      </w:r>
      <w:r>
        <w:t xml:space="preserve">, the opposing shareholders submitted that </w:t>
      </w:r>
      <w:r w:rsidR="005133CC">
        <w:t xml:space="preserve">procedural fairness required </w:t>
      </w:r>
      <w:r w:rsidR="0028008D">
        <w:t xml:space="preserve">that </w:t>
      </w:r>
      <w:r w:rsidR="005133CC">
        <w:t xml:space="preserve">the parties and the opposing shareholders see those parts of the PL Report </w:t>
      </w:r>
      <w:r>
        <w:t xml:space="preserve">in circumstances where </w:t>
      </w:r>
      <w:r w:rsidR="005133CC">
        <w:t>ASIC proposed to rely on the report in support of its appli</w:t>
      </w:r>
      <w:r w:rsidR="005D2808">
        <w:t>cation to wind up Merlin on in</w:t>
      </w:r>
      <w:r w:rsidR="005133CC">
        <w:t>solvency grounds</w:t>
      </w:r>
      <w:r w:rsidR="0028008D">
        <w:t>.</w:t>
      </w:r>
    </w:p>
    <w:p w:rsidR="00716C3A" w:rsidRDefault="00716C3A" w:rsidP="00716C3A">
      <w:pPr>
        <w:pStyle w:val="ParaNumbering"/>
      </w:pPr>
      <w:r>
        <w:t xml:space="preserve">On 5 December 2019, the provisional liquidators filed an affidavit affirmed by Fiona Kathleen Murray-Palmer, a solicitor employed by Norton Rose Fulbright Australia, the solicitors for the provisional liquidators.  Ms Murray-Palmer exhibited to her affidavit a copy of the </w:t>
      </w:r>
      <w:r w:rsidR="0028008D">
        <w:t>PL R</w:t>
      </w:r>
      <w:r>
        <w:t>eport redacting the information that was sought to be kept confidential by the provisional liquidators.</w:t>
      </w:r>
    </w:p>
    <w:p w:rsidR="00716C3A" w:rsidRDefault="00B46ABA" w:rsidP="00B46ABA">
      <w:pPr>
        <w:pStyle w:val="Heading2"/>
      </w:pPr>
      <w:r>
        <w:t>Hearing</w:t>
      </w:r>
    </w:p>
    <w:p w:rsidR="00B46ABA" w:rsidRDefault="00B46ABA" w:rsidP="003D4005">
      <w:pPr>
        <w:pStyle w:val="ParaNumbering"/>
      </w:pPr>
      <w:r>
        <w:t>The request to inspect the PL Report, and the applica</w:t>
      </w:r>
      <w:r w:rsidR="005D2808">
        <w:t>tion for suppression orders, were</w:t>
      </w:r>
      <w:r>
        <w:t xml:space="preserve"> heard at an interlocutory hearing on 6 December 2019. The following interested parties appeared: ASIC; the provisional liquidators; the opposing shareholders; Edensor</w:t>
      </w:r>
      <w:r w:rsidR="003D4005">
        <w:t xml:space="preserve">; and the non-party shareholders/noteholders.  </w:t>
      </w:r>
      <w:r>
        <w:t>Each interested party made oral submissions consistent with the written submissions or communications that had been received by the Court prior to the hearing.</w:t>
      </w:r>
    </w:p>
    <w:p w:rsidR="00992BFC" w:rsidRDefault="00992BFC" w:rsidP="00992BFC">
      <w:pPr>
        <w:pStyle w:val="ParaNumbering"/>
      </w:pPr>
      <w:r>
        <w:t xml:space="preserve">At </w:t>
      </w:r>
      <w:r w:rsidR="00B46ABA">
        <w:t>the</w:t>
      </w:r>
      <w:r>
        <w:t xml:space="preserve"> hearing, no party supported the application by the provisional liquidators for a suppression order.</w:t>
      </w:r>
    </w:p>
    <w:p w:rsidR="00992BFC" w:rsidRDefault="00660EB6" w:rsidP="00992BFC">
      <w:pPr>
        <w:pStyle w:val="ParaNumbering"/>
      </w:pPr>
      <w:r>
        <w:t>ASIC</w:t>
      </w:r>
      <w:r w:rsidR="00992BFC">
        <w:t xml:space="preserve">'s formal position was that it neither supported nor opposed the application.  </w:t>
      </w:r>
      <w:r>
        <w:t xml:space="preserve">ASIC </w:t>
      </w:r>
      <w:r w:rsidR="00992BFC">
        <w:t xml:space="preserve">informed the </w:t>
      </w:r>
      <w:r>
        <w:t>C</w:t>
      </w:r>
      <w:r w:rsidR="00992BFC">
        <w:t xml:space="preserve">ourt that, at the hearing of its application to wind up Merlin, </w:t>
      </w:r>
      <w:r>
        <w:t xml:space="preserve">ASIC </w:t>
      </w:r>
      <w:r w:rsidR="00992BFC">
        <w:t xml:space="preserve">would seek to rely on the </w:t>
      </w:r>
      <w:r w:rsidR="003D4005">
        <w:t>PL R</w:t>
      </w:r>
      <w:r w:rsidR="00992BFC">
        <w:t>eport but would not seek to rely on the valuation</w:t>
      </w:r>
      <w:r w:rsidR="005D2808">
        <w:t xml:space="preserve"> information</w:t>
      </w:r>
      <w:r w:rsidR="00992BFC">
        <w:t>.</w:t>
      </w:r>
    </w:p>
    <w:p w:rsidR="00992BFC" w:rsidRDefault="00992BFC" w:rsidP="00992BFC">
      <w:pPr>
        <w:pStyle w:val="ParaNumbering"/>
      </w:pPr>
      <w:r>
        <w:t xml:space="preserve">The </w:t>
      </w:r>
      <w:r w:rsidR="003D4005">
        <w:t>o</w:t>
      </w:r>
      <w:r>
        <w:t xml:space="preserve">pposing </w:t>
      </w:r>
      <w:r w:rsidR="003D4005">
        <w:t>s</w:t>
      </w:r>
      <w:r>
        <w:t>hareholders opposed the provisional liquidators</w:t>
      </w:r>
      <w:r w:rsidR="003D4005">
        <w:t>’</w:t>
      </w:r>
      <w:r>
        <w:t xml:space="preserve"> application.  </w:t>
      </w:r>
    </w:p>
    <w:p w:rsidR="00992BFC" w:rsidRDefault="00195705" w:rsidP="00992BFC">
      <w:pPr>
        <w:pStyle w:val="ParaNumbering"/>
      </w:pPr>
      <w:r>
        <w:t xml:space="preserve">Edensor </w:t>
      </w:r>
      <w:r w:rsidR="003D4005">
        <w:t xml:space="preserve">also </w:t>
      </w:r>
      <w:r w:rsidR="00992BFC">
        <w:t>opposed the provisional liquidators</w:t>
      </w:r>
      <w:r w:rsidR="003D4005">
        <w:t>’ application</w:t>
      </w:r>
      <w:r w:rsidR="00992BFC">
        <w:t xml:space="preserve">.  It also </w:t>
      </w:r>
      <w:r w:rsidR="003D4005">
        <w:t>submitted</w:t>
      </w:r>
      <w:r w:rsidR="00992BFC">
        <w:t xml:space="preserve"> that the provisional liquidators</w:t>
      </w:r>
      <w:r w:rsidR="003D4005">
        <w:t>’</w:t>
      </w:r>
      <w:r w:rsidR="00992BFC">
        <w:t xml:space="preserve"> concerns with respect to </w:t>
      </w:r>
      <w:r w:rsidR="003D4005">
        <w:t xml:space="preserve">the valuation </w:t>
      </w:r>
      <w:r w:rsidR="00992BFC">
        <w:t>information could be addressed by confining disclosure to the external legal advisers to the parties.</w:t>
      </w:r>
    </w:p>
    <w:p w:rsidR="00992BFC" w:rsidRDefault="00992BFC" w:rsidP="00992BFC">
      <w:pPr>
        <w:pStyle w:val="ParaNumbering"/>
      </w:pPr>
      <w:r>
        <w:lastRenderedPageBreak/>
        <w:t xml:space="preserve">The </w:t>
      </w:r>
      <w:r w:rsidR="00937C0A">
        <w:t>non-party shareholders/noteholders</w:t>
      </w:r>
      <w:r>
        <w:t xml:space="preserve"> generally adopted the submissions made by the opposing shareholders.  However, the </w:t>
      </w:r>
      <w:r w:rsidR="00937C0A">
        <w:t>non-party shareholders/noteholders</w:t>
      </w:r>
      <w:r>
        <w:t xml:space="preserve"> observed that if disclosure of the valuation information were confined to external lawyers, that may place those lawyers in a difficult position, requiring them to make an assessment about commercial matters.</w:t>
      </w:r>
    </w:p>
    <w:p w:rsidR="00992BFC" w:rsidRDefault="00195705" w:rsidP="00195705">
      <w:pPr>
        <w:pStyle w:val="Heading2"/>
      </w:pPr>
      <w:r>
        <w:t>C</w:t>
      </w:r>
      <w:r w:rsidR="00992BFC">
        <w:t>onsideration</w:t>
      </w:r>
    </w:p>
    <w:p w:rsidR="003D4005" w:rsidRDefault="003D4005" w:rsidP="00992BFC">
      <w:pPr>
        <w:pStyle w:val="ParaNumbering"/>
      </w:pPr>
      <w:r>
        <w:t>In my view, the opposing shareholders have a legitimate interest in being provided with a copy of the PL Report.  The PL Report was created pursuant to an order of the Court</w:t>
      </w:r>
      <w:r w:rsidR="00AE24B0">
        <w:t xml:space="preserve"> at the time of the appointment of the provisional liquidators. The content of the</w:t>
      </w:r>
      <w:r w:rsidR="00852878">
        <w:t xml:space="preserve"> PL</w:t>
      </w:r>
      <w:r w:rsidR="00AE24B0">
        <w:t xml:space="preserve"> </w:t>
      </w:r>
      <w:r w:rsidR="00852878">
        <w:t>R</w:t>
      </w:r>
      <w:r w:rsidR="00AE24B0">
        <w:t xml:space="preserve">eport is relevant to the winding up application being pursued by ASIC.  </w:t>
      </w:r>
      <w:r>
        <w:t>ASIC has informed the Court that it will</w:t>
      </w:r>
      <w:r w:rsidR="00852878">
        <w:t xml:space="preserve"> seek to rely on the PL Report at</w:t>
      </w:r>
      <w:r>
        <w:t xml:space="preserve"> the hearing of its </w:t>
      </w:r>
      <w:r w:rsidR="00AE24B0">
        <w:t xml:space="preserve">winding up </w:t>
      </w:r>
      <w:r>
        <w:t xml:space="preserve">application.  Procedural fairness requires that any person who will </w:t>
      </w:r>
      <w:r w:rsidR="00AE24B0">
        <w:t xml:space="preserve">or may </w:t>
      </w:r>
      <w:r>
        <w:t xml:space="preserve">be heard on that application should </w:t>
      </w:r>
      <w:r w:rsidR="00AE24B0">
        <w:t>receive</w:t>
      </w:r>
      <w:r>
        <w:t xml:space="preserve"> a copy of the PL Report. </w:t>
      </w:r>
      <w:r w:rsidR="00AE24B0">
        <w:t xml:space="preserve">While ASIC has informed the Court that, </w:t>
      </w:r>
      <w:r>
        <w:t xml:space="preserve">at this time, it will not be seeking to rely on the valuation information </w:t>
      </w:r>
      <w:r w:rsidR="00AE24B0">
        <w:t xml:space="preserve">in the PL Report </w:t>
      </w:r>
      <w:r>
        <w:t>at the hearing of its winding up application</w:t>
      </w:r>
      <w:r w:rsidR="00AE24B0">
        <w:t>, in my view the valuation information is relevant to the insolvency ground proposed to be relied on by ASIC.</w:t>
      </w:r>
      <w:r>
        <w:t xml:space="preserve">  </w:t>
      </w:r>
    </w:p>
    <w:p w:rsidR="003D4005" w:rsidRDefault="00AE24B0" w:rsidP="00992BFC">
      <w:pPr>
        <w:pStyle w:val="ParaNumbering"/>
      </w:pPr>
      <w:r>
        <w:t>For the same reasons, I consider that t</w:t>
      </w:r>
      <w:r w:rsidR="003D4005">
        <w:t xml:space="preserve">he non-party shareholders/noteholders </w:t>
      </w:r>
      <w:r>
        <w:t xml:space="preserve">have a legitimate interest in being provided with a copy of the </w:t>
      </w:r>
      <w:r w:rsidR="009F0383">
        <w:t>PL R</w:t>
      </w:r>
      <w:r>
        <w:t>eport. As shareholders and noteholders in Merlin, they have an interest in the winding up application and may seek to be heard on the application. They seek a copy of the PL Report in order to assess whether to seek leave to participate in the hearing of the winding up application. In my view, that is a legitimate reason for seeking a copy of the PL Report.</w:t>
      </w:r>
    </w:p>
    <w:p w:rsidR="00AE24B0" w:rsidRDefault="00AE24B0" w:rsidP="00992BFC">
      <w:pPr>
        <w:pStyle w:val="ParaNumbering"/>
      </w:pPr>
      <w:r>
        <w:t xml:space="preserve">The only persons who opposed the application by the non-party shareholders/noteholders to inspect the PL Report were Messrs Joseph and Mordechai </w:t>
      </w:r>
      <w:proofErr w:type="spellStart"/>
      <w:r>
        <w:t>Gutnick</w:t>
      </w:r>
      <w:proofErr w:type="spellEnd"/>
      <w:r>
        <w:t>. As noted above, they</w:t>
      </w:r>
      <w:r w:rsidRPr="0003779D">
        <w:t xml:space="preserve"> oppose</w:t>
      </w:r>
      <w:r>
        <w:t>d</w:t>
      </w:r>
      <w:r w:rsidRPr="0003779D">
        <w:t xml:space="preserve"> access on the basis that </w:t>
      </w:r>
      <w:r>
        <w:t>the PL Report</w:t>
      </w:r>
      <w:r w:rsidRPr="0003779D">
        <w:t xml:space="preserve"> makes serious </w:t>
      </w:r>
      <w:r w:rsidRPr="00AE24B0">
        <w:t>untested</w:t>
      </w:r>
      <w:r w:rsidRPr="0003779D">
        <w:t xml:space="preserve"> allegations against </w:t>
      </w:r>
      <w:r>
        <w:t xml:space="preserve">them and that </w:t>
      </w:r>
      <w:r w:rsidR="00A73052">
        <w:t xml:space="preserve">the non-party shareholders/noteholders </w:t>
      </w:r>
      <w:r w:rsidRPr="0003779D">
        <w:t>ha</w:t>
      </w:r>
      <w:r w:rsidR="0065769D">
        <w:t>ve</w:t>
      </w:r>
      <w:r w:rsidRPr="0003779D">
        <w:t xml:space="preserve"> suf</w:t>
      </w:r>
      <w:r w:rsidR="009F0383">
        <w:t>ficient material available to them</w:t>
      </w:r>
      <w:r w:rsidRPr="0003779D">
        <w:t xml:space="preserve"> from the </w:t>
      </w:r>
      <w:r w:rsidR="0065769D">
        <w:t>r</w:t>
      </w:r>
      <w:r w:rsidRPr="0003779D">
        <w:t xml:space="preserve">easons for </w:t>
      </w:r>
      <w:r w:rsidR="0065769D">
        <w:t>j</w:t>
      </w:r>
      <w:r w:rsidRPr="0003779D">
        <w:t>udgment dated 20 September 2019 to make an informed decision as to joinder.</w:t>
      </w:r>
    </w:p>
    <w:p w:rsidR="0065769D" w:rsidRDefault="0065769D" w:rsidP="00992BFC">
      <w:pPr>
        <w:pStyle w:val="ParaNumbering"/>
      </w:pPr>
      <w:r>
        <w:t xml:space="preserve">It is correct that the PL Report makes serious allegations against Messrs Joseph and Mordechai </w:t>
      </w:r>
      <w:proofErr w:type="spellStart"/>
      <w:r>
        <w:t>Gutnick</w:t>
      </w:r>
      <w:proofErr w:type="spellEnd"/>
      <w:r>
        <w:t xml:space="preserve">. However, I do not consider that that is a sufficient reason for the Court to refuse leave to the non-party shareholders/noteholders to inspect the PL Report. To a large extent, the potential breaches of the Act by Messrs Joseph and Mordechai </w:t>
      </w:r>
      <w:proofErr w:type="spellStart"/>
      <w:r>
        <w:t>Gutnick</w:t>
      </w:r>
      <w:proofErr w:type="spellEnd"/>
      <w:r>
        <w:t xml:space="preserve"> canvassed in the PL Report traverse the same matters considered in my reasons for judgment dated 20 September 2019. The matters are therefore already public. To the extent the PL Report goes beyond my </w:t>
      </w:r>
      <w:r>
        <w:lastRenderedPageBreak/>
        <w:t xml:space="preserve">reasons for judgment, the matters raised are relevant to the hearing of ASIC’s winding up application and, more broadly, the future conduct of the affairs of Merlin. In those circumstances, I consider that leave ought to be given to the non-party shareholders/noteholders to inspect the PL Report.   </w:t>
      </w:r>
    </w:p>
    <w:p w:rsidR="001471C1" w:rsidRDefault="001471C1" w:rsidP="00992BFC">
      <w:pPr>
        <w:pStyle w:val="ParaNumbering"/>
      </w:pPr>
      <w:r>
        <w:t xml:space="preserve">The provision of the PL Report to the parties to the proceeding, and the opposing shareholders, will be subject to the Harman undertaking. As such, the PL Report can only be used by those persons for the purposes of the proceeding and they </w:t>
      </w:r>
      <w:r w:rsidR="0028008D">
        <w:t>will</w:t>
      </w:r>
      <w:r>
        <w:t xml:space="preserve"> not </w:t>
      </w:r>
      <w:r w:rsidR="0028008D">
        <w:t xml:space="preserve">be </w:t>
      </w:r>
      <w:r>
        <w:t xml:space="preserve">entitled to disseminate the report more widely. In granting leave to the non-party shareholders/noteholders to inspect the PL Report, I consider it appropriate to make that leave subject to the condition that the PL Report only be used by the non-party shareholders/noteholders for the purpose of assessing whether to seek leave to be heard on the winding up </w:t>
      </w:r>
      <w:r w:rsidR="000330BC">
        <w:t>application in this proceeding, and not for any other purpose.</w:t>
      </w:r>
    </w:p>
    <w:p w:rsidR="00992BFC" w:rsidRDefault="0065769D" w:rsidP="0028008D">
      <w:pPr>
        <w:pStyle w:val="ParaNumbering"/>
      </w:pPr>
      <w:r>
        <w:t>That leaves for consideration the application by the provisional liquidator</w:t>
      </w:r>
      <w:r w:rsidR="00A41E81">
        <w:t>s</w:t>
      </w:r>
      <w:r>
        <w:t xml:space="preserve"> for a suppression order</w:t>
      </w:r>
      <w:r w:rsidR="0028008D">
        <w:t xml:space="preserve"> over parts of the PL Report.  </w:t>
      </w:r>
      <w:r w:rsidR="00195705">
        <w:t>The exercise of the C</w:t>
      </w:r>
      <w:r w:rsidR="00992BFC">
        <w:t>ourt's power under s</w:t>
      </w:r>
      <w:r w:rsidR="00195705">
        <w:t> </w:t>
      </w:r>
      <w:r w:rsidR="00992BFC">
        <w:t xml:space="preserve">37AF of the FCA </w:t>
      </w:r>
      <w:r w:rsidR="00195705">
        <w:t>A</w:t>
      </w:r>
      <w:r w:rsidR="00992BFC">
        <w:t>ct to make a suppression order is controlled by two other statutory provisions.  First, s</w:t>
      </w:r>
      <w:r w:rsidR="00195705">
        <w:t> 37</w:t>
      </w:r>
      <w:r w:rsidR="00992BFC">
        <w:t>AE provides that, in deciding whether to</w:t>
      </w:r>
      <w:r w:rsidR="00195705">
        <w:t xml:space="preserve"> make a suppression order, the C</w:t>
      </w:r>
      <w:r w:rsidR="00992BFC">
        <w:t xml:space="preserve">ourt must take into account that a primary objective of the administration of justice is to safeguard the public interest in open justice.  Second, </w:t>
      </w:r>
      <w:r w:rsidR="00195705">
        <w:t>s </w:t>
      </w:r>
      <w:r w:rsidR="00992BFC">
        <w:t>37AG</w:t>
      </w:r>
      <w:r w:rsidR="00195705">
        <w:t>(1)</w:t>
      </w:r>
      <w:r w:rsidR="00992BFC">
        <w:t xml:space="preserve"> stipulates the grounds on which a suppression order may be made, one of which is (relevantly) that the order is necessary to prevent prejudice to the proper administration of justice.</w:t>
      </w:r>
      <w:r w:rsidR="0028008D">
        <w:t xml:space="preserve">  </w:t>
      </w:r>
      <w:r w:rsidR="00992BFC">
        <w:t xml:space="preserve">As observed by the High Court in </w:t>
      </w:r>
      <w:r w:rsidR="00992BFC" w:rsidRPr="0028008D">
        <w:rPr>
          <w:i/>
        </w:rPr>
        <w:t xml:space="preserve">Hogan </w:t>
      </w:r>
      <w:r w:rsidR="00195705" w:rsidRPr="0028008D">
        <w:rPr>
          <w:i/>
        </w:rPr>
        <w:t xml:space="preserve">v </w:t>
      </w:r>
      <w:r w:rsidR="00992BFC" w:rsidRPr="0028008D">
        <w:rPr>
          <w:i/>
        </w:rPr>
        <w:t xml:space="preserve">Australian </w:t>
      </w:r>
      <w:r w:rsidR="00195705" w:rsidRPr="0028008D">
        <w:rPr>
          <w:i/>
        </w:rPr>
        <w:t>C</w:t>
      </w:r>
      <w:r w:rsidR="00992BFC" w:rsidRPr="0028008D">
        <w:rPr>
          <w:i/>
        </w:rPr>
        <w:t xml:space="preserve">rime </w:t>
      </w:r>
      <w:r w:rsidR="00195705" w:rsidRPr="0028008D">
        <w:rPr>
          <w:i/>
        </w:rPr>
        <w:t>C</w:t>
      </w:r>
      <w:r w:rsidR="00992BFC" w:rsidRPr="0028008D">
        <w:rPr>
          <w:i/>
        </w:rPr>
        <w:t>ommission</w:t>
      </w:r>
      <w:r w:rsidR="00992BFC">
        <w:t xml:space="preserve"> (2010) 240 CLR 651 at [30] (with respect to the predecessor provision to s</w:t>
      </w:r>
      <w:r w:rsidR="00195705">
        <w:t> </w:t>
      </w:r>
      <w:r w:rsidR="00992BFC">
        <w:t>37AG (</w:t>
      </w:r>
      <w:r w:rsidR="00195705">
        <w:t>1</w:t>
      </w:r>
      <w:r w:rsidR="00992BFC">
        <w:t>)(a) – s</w:t>
      </w:r>
      <w:r w:rsidR="00195705">
        <w:t> </w:t>
      </w:r>
      <w:r w:rsidR="00992BFC">
        <w:t>50 – which was in substantially identical terms), "necessary" is a strong word and it is insufficient that the making of a suppression or non-publication order appears to be "convenient, reasonable or sensible".</w:t>
      </w:r>
    </w:p>
    <w:p w:rsidR="00992BFC" w:rsidRDefault="00992BFC" w:rsidP="00992BFC">
      <w:pPr>
        <w:pStyle w:val="ParaNumbering"/>
      </w:pPr>
      <w:r>
        <w:t xml:space="preserve">In the present case, I do not consider that there is any basis to make a suppression order in respect of the potential contraventions information.  Having reviewed the </w:t>
      </w:r>
      <w:r w:rsidR="000330BC">
        <w:t>PL R</w:t>
      </w:r>
      <w:r>
        <w:t xml:space="preserve">eport, it is apparent that the potential contraventions information largely replicates matters referred to and considered in my reasons for </w:t>
      </w:r>
      <w:r w:rsidR="000330BC">
        <w:t>judgment</w:t>
      </w:r>
      <w:r>
        <w:t xml:space="preserve"> in appointing the provisional liquidators.  Accordingly, the majority of the information is already public.  </w:t>
      </w:r>
      <w:r w:rsidR="000330BC">
        <w:t>To the extent that the PL Report traverses matters beyond those considered in my reasons for judgment</w:t>
      </w:r>
      <w:r>
        <w:t xml:space="preserve">, I do not consider that suppression </w:t>
      </w:r>
      <w:r w:rsidR="00195705">
        <w:t xml:space="preserve">is necessary to </w:t>
      </w:r>
      <w:r>
        <w:t xml:space="preserve">prevent prejudice to the proper administration of justice.  To the contrary, the </w:t>
      </w:r>
      <w:r w:rsidR="000330BC">
        <w:t>PL R</w:t>
      </w:r>
      <w:r>
        <w:t xml:space="preserve">eport has been prepared pursuant to </w:t>
      </w:r>
      <w:r w:rsidR="00195705">
        <w:t>orders made by the C</w:t>
      </w:r>
      <w:r>
        <w:t xml:space="preserve">ourt for the purpose of </w:t>
      </w:r>
      <w:r>
        <w:lastRenderedPageBreak/>
        <w:t xml:space="preserve">investigating the affairs of </w:t>
      </w:r>
      <w:r w:rsidR="000330BC">
        <w:t>Merlin</w:t>
      </w:r>
      <w:r>
        <w:t xml:space="preserve">, in anticipation of the hearing of </w:t>
      </w:r>
      <w:r w:rsidR="00C54455">
        <w:t xml:space="preserve">ASIC’s </w:t>
      </w:r>
      <w:r w:rsidR="000330BC">
        <w:t xml:space="preserve">winding up </w:t>
      </w:r>
      <w:r>
        <w:t xml:space="preserve">application.  </w:t>
      </w:r>
      <w:r w:rsidR="00C54455">
        <w:t xml:space="preserve">ASIC </w:t>
      </w:r>
      <w:r>
        <w:t xml:space="preserve">has indicated that it will seek to refer to and rely on the </w:t>
      </w:r>
      <w:r w:rsidR="000330BC">
        <w:t>PL R</w:t>
      </w:r>
      <w:r>
        <w:t xml:space="preserve">eport at the hearing of that application.  In the circumstances, the proper administration of justice requires that the </w:t>
      </w:r>
      <w:r w:rsidR="000330BC">
        <w:t>PL R</w:t>
      </w:r>
      <w:r>
        <w:t>eport be available to all parties to that proceeding and persons who, by reason of their interest in Merlin, may seek to become parties to t</w:t>
      </w:r>
      <w:r w:rsidR="00DB345D">
        <w:t>he proceeding or be heard on that</w:t>
      </w:r>
      <w:r>
        <w:t xml:space="preserve"> application.</w:t>
      </w:r>
    </w:p>
    <w:p w:rsidR="006E11A9" w:rsidRDefault="000330BC" w:rsidP="006E11A9">
      <w:pPr>
        <w:pStyle w:val="ParaNumbering"/>
      </w:pPr>
      <w:r>
        <w:t xml:space="preserve">The position with respect to the valuation information is different. There are potentially two competing interests with respect to that information.  The </w:t>
      </w:r>
      <w:r w:rsidR="007207CB">
        <w:t>first</w:t>
      </w:r>
      <w:r>
        <w:t xml:space="preserve"> are the interests of Merlin’s shareholders and creditors on the hearing of the winding up application.  </w:t>
      </w:r>
      <w:r w:rsidR="007207CB">
        <w:t xml:space="preserve">The second are the interests of Merlin, its shareholders and creditors upon a winding up.  </w:t>
      </w:r>
      <w:r>
        <w:t xml:space="preserve">In the present case, there is conflict in those interests, and they are finely balanced.  </w:t>
      </w:r>
      <w:r w:rsidR="00992BFC">
        <w:t>The present proceeding concerns the future of Merlin, in which the company</w:t>
      </w:r>
      <w:r w:rsidR="00C54455">
        <w:t>,</w:t>
      </w:r>
      <w:r w:rsidR="00992BFC">
        <w:t xml:space="preserve"> its shareholders and creditors have an interest.  </w:t>
      </w:r>
      <w:r w:rsidR="006E11A9">
        <w:t xml:space="preserve">In the future, an order may be made winding up Merlin and, if that occurs, its assets may be sold. </w:t>
      </w:r>
      <w:r w:rsidR="007207CB">
        <w:t xml:space="preserve"> </w:t>
      </w:r>
      <w:r w:rsidR="00992BFC">
        <w:t xml:space="preserve">The provisional liquidators were ordered to prepare the </w:t>
      </w:r>
      <w:r>
        <w:t>PL R</w:t>
      </w:r>
      <w:r w:rsidR="00992BFC">
        <w:t xml:space="preserve">eport </w:t>
      </w:r>
      <w:r>
        <w:t xml:space="preserve">to provide further </w:t>
      </w:r>
      <w:r w:rsidR="00992BFC">
        <w:t>inform</w:t>
      </w:r>
      <w:r>
        <w:t>ation relevant to</w:t>
      </w:r>
      <w:r w:rsidR="00992BFC">
        <w:t xml:space="preserve"> the hearing of </w:t>
      </w:r>
      <w:r w:rsidR="00C54455">
        <w:t xml:space="preserve">ASIC’s </w:t>
      </w:r>
      <w:r w:rsidR="00992BFC">
        <w:t xml:space="preserve">application to wind up the company.  The </w:t>
      </w:r>
      <w:r w:rsidR="002F72B8">
        <w:t>PL R</w:t>
      </w:r>
      <w:r w:rsidR="00992BFC">
        <w:t xml:space="preserve">eport is intended to benefit </w:t>
      </w:r>
      <w:r w:rsidR="007207CB">
        <w:t xml:space="preserve">ASIC, </w:t>
      </w:r>
      <w:r w:rsidR="00992BFC">
        <w:t>the company, it</w:t>
      </w:r>
      <w:r w:rsidR="00C54455">
        <w:t>s</w:t>
      </w:r>
      <w:r w:rsidR="00992BFC">
        <w:t xml:space="preserve"> shareholders and creditors by informing them of matters relevant to the consideration of the winding up application.  </w:t>
      </w:r>
      <w:r>
        <w:t>Thus, shareholders and creditors have an interest in seeing the valuation report for that purpose</w:t>
      </w:r>
      <w:r w:rsidR="006E11A9">
        <w:t xml:space="preserve"> and the proper administration of justice favours the disclosure of the report to them</w:t>
      </w:r>
      <w:r>
        <w:t xml:space="preserve">. </w:t>
      </w:r>
      <w:r w:rsidR="006E11A9">
        <w:t xml:space="preserve"> Conversely, </w:t>
      </w:r>
      <w:r w:rsidR="00992BFC">
        <w:t>I accept the evidence of Mr Norman, and the submissions made on behalf of the provisional liquidators, that the disclosure of the valuation information may prove to be prejudicial to the interests of Merlin, it</w:t>
      </w:r>
      <w:r w:rsidR="00915627">
        <w:t>s</w:t>
      </w:r>
      <w:r w:rsidR="00992BFC">
        <w:t xml:space="preserve"> shareholders and creditors</w:t>
      </w:r>
      <w:r w:rsidR="006E11A9">
        <w:t xml:space="preserve"> in the event that an order is made for the company’s winding up and the</w:t>
      </w:r>
      <w:r w:rsidR="00F638A2">
        <w:t xml:space="preserve"> provisional</w:t>
      </w:r>
      <w:r w:rsidR="006E11A9">
        <w:t xml:space="preserve"> liquidators arrange</w:t>
      </w:r>
      <w:r w:rsidR="00F638A2">
        <w:t xml:space="preserve"> for</w:t>
      </w:r>
      <w:r w:rsidR="006E11A9">
        <w:t xml:space="preserve"> the sale of its assets</w:t>
      </w:r>
      <w:r w:rsidR="00992BFC">
        <w:t>.  The valuation information reveals information received by the provisional liquidators as to the present val</w:t>
      </w:r>
      <w:r w:rsidR="00F638A2">
        <w:t>ue</w:t>
      </w:r>
      <w:r w:rsidR="00992BFC">
        <w:t xml:space="preserve"> of Merlin's assets.  The negotiating position of the</w:t>
      </w:r>
      <w:r w:rsidR="00F638A2">
        <w:t xml:space="preserve"> provisional</w:t>
      </w:r>
      <w:r w:rsidR="00992BFC">
        <w:t xml:space="preserve"> liquidators would be undermined, to some extent, if bidders for those assets were aware of the valuation information</w:t>
      </w:r>
      <w:r w:rsidR="006E11A9">
        <w:t xml:space="preserve"> that has been received by the provisional liquidators</w:t>
      </w:r>
      <w:r w:rsidR="00992BFC">
        <w:t>.</w:t>
      </w:r>
      <w:r w:rsidR="006E11A9">
        <w:t xml:space="preserve">  It would be prejudicial to the proper administration of justice if the publication of the PL Report were to have a detrimental </w:t>
      </w:r>
      <w:r w:rsidR="007207CB">
        <w:t xml:space="preserve">financial </w:t>
      </w:r>
      <w:r w:rsidR="006E11A9">
        <w:t>impact on Merlin, its shareholders and creditors</w:t>
      </w:r>
      <w:r w:rsidR="007207CB">
        <w:t xml:space="preserve"> in the event of a winding up</w:t>
      </w:r>
      <w:r w:rsidR="006E11A9">
        <w:t>.</w:t>
      </w:r>
    </w:p>
    <w:p w:rsidR="007F7C34" w:rsidRDefault="00992BFC" w:rsidP="007207CB">
      <w:pPr>
        <w:pStyle w:val="ParaNumbering"/>
      </w:pPr>
      <w:r>
        <w:t xml:space="preserve">Balancing the interests of justice, in my view it is appropriate to make a limited suppression order at this time, restricting the publication of the valuation information to the external legal advisers to the parties to the proceeding and to the </w:t>
      </w:r>
      <w:r w:rsidR="00937C0A">
        <w:t>non-party shareholders/noteholders</w:t>
      </w:r>
      <w:r>
        <w:t xml:space="preserve">.  Such disclosure may provide relevant information to those persons with respect to the value of </w:t>
      </w:r>
      <w:r>
        <w:lastRenderedPageBreak/>
        <w:t xml:space="preserve">Merlin and its solvency, enabling them to decide whether they wish to oppose </w:t>
      </w:r>
      <w:r w:rsidR="00205658">
        <w:t xml:space="preserve">ASIC’s </w:t>
      </w:r>
      <w:r>
        <w:t xml:space="preserve">winding up application.  </w:t>
      </w:r>
      <w:r w:rsidR="007207CB">
        <w:t>The</w:t>
      </w:r>
      <w:r>
        <w:t xml:space="preserve"> order will also reduce the risk of potential prejudice to the interests of Merlin, it</w:t>
      </w:r>
      <w:r w:rsidR="00205658">
        <w:t>s</w:t>
      </w:r>
      <w:r>
        <w:t xml:space="preserve"> shareholders and creditors if an order for the winding up of Merlin is ultimately made and the</w:t>
      </w:r>
      <w:r w:rsidR="00F638A2">
        <w:t xml:space="preserve"> provisional</w:t>
      </w:r>
      <w:r>
        <w:t xml:space="preserve"> liquidators offer its assets for sale.</w:t>
      </w:r>
      <w:r w:rsidR="007207CB">
        <w:t xml:space="preserve">  I recognise that, having received disclosure of the valuation information, the external legal advisers may find themselves in difficulty in advising their clients in relation to the winding up application. If that occurs, the parties will have liberty to make a further application to vary the orders I will make.</w:t>
      </w:r>
    </w:p>
    <w:p w:rsidR="007F7C34" w:rsidRDefault="007F7C34" w:rsidP="007207CB">
      <w:pPr>
        <w:pStyle w:val="ParaNumbering"/>
      </w:pPr>
      <w:r>
        <w:t>At the hearing, the provisional liquidators identifie</w:t>
      </w:r>
      <w:r w:rsidR="00174CE5">
        <w:t>d</w:t>
      </w:r>
      <w:r>
        <w:t xml:space="preserve"> three pa</w:t>
      </w:r>
      <w:r w:rsidR="00174CE5">
        <w:t>g</w:t>
      </w:r>
      <w:r>
        <w:t>es of the PL Report that contained valuation information:</w:t>
      </w:r>
    </w:p>
    <w:p w:rsidR="007207CB" w:rsidRDefault="007F7C34" w:rsidP="007F7C34">
      <w:pPr>
        <w:pStyle w:val="ListNo2"/>
        <w:numPr>
          <w:ilvl w:val="1"/>
          <w:numId w:val="45"/>
        </w:numPr>
        <w:tabs>
          <w:tab w:val="clear" w:pos="1440"/>
          <w:tab w:val="num" w:pos="720"/>
        </w:tabs>
        <w:ind w:left="709"/>
      </w:pPr>
      <w:r>
        <w:t>a sentence on page 33 concerning Merlin’s net asset position (specifically, whether the position was above or below zero);</w:t>
      </w:r>
    </w:p>
    <w:p w:rsidR="00174CE5" w:rsidRDefault="007F7C34" w:rsidP="007F7C34">
      <w:pPr>
        <w:pStyle w:val="ListNo2"/>
        <w:numPr>
          <w:ilvl w:val="1"/>
          <w:numId w:val="45"/>
        </w:numPr>
        <w:tabs>
          <w:tab w:val="clear" w:pos="1440"/>
          <w:tab w:val="num" w:pos="720"/>
        </w:tabs>
        <w:ind w:left="709"/>
      </w:pPr>
      <w:r>
        <w:t xml:space="preserve">the line items in the table on </w:t>
      </w:r>
      <w:r w:rsidR="00174CE5">
        <w:t>p</w:t>
      </w:r>
      <w:r>
        <w:t xml:space="preserve">age </w:t>
      </w:r>
      <w:r w:rsidR="00174CE5">
        <w:t>36 that identi</w:t>
      </w:r>
      <w:r w:rsidR="00B73D13">
        <w:t>fy</w:t>
      </w:r>
      <w:r w:rsidR="00174CE5">
        <w:t xml:space="preserve"> the estimated valuations of the property</w:t>
      </w:r>
      <w:r w:rsidR="00D27143">
        <w:t>,</w:t>
      </w:r>
      <w:r w:rsidR="00174CE5">
        <w:t xml:space="preserve"> plant and equipment and mine tenements of Merlin, and </w:t>
      </w:r>
      <w:r w:rsidR="00B73D13">
        <w:t>all line items that incorporate</w:t>
      </w:r>
      <w:r w:rsidR="00174CE5">
        <w:t xml:space="preserve"> those figures; </w:t>
      </w:r>
    </w:p>
    <w:p w:rsidR="007F7C34" w:rsidRDefault="00B73D13" w:rsidP="007F7C34">
      <w:pPr>
        <w:pStyle w:val="ListNo2"/>
        <w:numPr>
          <w:ilvl w:val="1"/>
          <w:numId w:val="45"/>
        </w:numPr>
        <w:tabs>
          <w:tab w:val="clear" w:pos="1440"/>
          <w:tab w:val="num" w:pos="720"/>
        </w:tabs>
        <w:ind w:left="709"/>
      </w:pPr>
      <w:r>
        <w:t>the</w:t>
      </w:r>
      <w:r w:rsidR="00174CE5">
        <w:t xml:space="preserve"> sentence at the bottom of page 36 that identifie</w:t>
      </w:r>
      <w:r>
        <w:t>s</w:t>
      </w:r>
      <w:r w:rsidR="00174CE5">
        <w:t xml:space="preserve"> the estimated valuations of the property</w:t>
      </w:r>
      <w:r w:rsidR="00D27143">
        <w:t>,</w:t>
      </w:r>
      <w:r w:rsidR="00174CE5">
        <w:t xml:space="preserve"> plant and equipment of Merlin; and</w:t>
      </w:r>
    </w:p>
    <w:p w:rsidR="00174CE5" w:rsidRDefault="00B73D13" w:rsidP="007F7C34">
      <w:pPr>
        <w:pStyle w:val="ListNo2"/>
        <w:numPr>
          <w:ilvl w:val="1"/>
          <w:numId w:val="45"/>
        </w:numPr>
        <w:tabs>
          <w:tab w:val="clear" w:pos="1440"/>
          <w:tab w:val="num" w:pos="720"/>
        </w:tabs>
        <w:ind w:left="709"/>
      </w:pPr>
      <w:r>
        <w:t>the</w:t>
      </w:r>
      <w:r w:rsidR="00174CE5">
        <w:t xml:space="preserve"> sentence at the top of page 37 that identifie</w:t>
      </w:r>
      <w:r>
        <w:t>s</w:t>
      </w:r>
      <w:r w:rsidR="00174CE5">
        <w:t xml:space="preserve"> the estimated valuation of the mine tenements of Merlin.</w:t>
      </w:r>
    </w:p>
    <w:p w:rsidR="00174CE5" w:rsidRDefault="00174CE5" w:rsidP="00174CE5">
      <w:pPr>
        <w:pStyle w:val="ParaNumbering"/>
      </w:pPr>
      <w:r>
        <w:t>In my view, the sentence on page 33 is at a sufficient level of generality that its disclosure to the non-party shareholders/noteholders and the opposing shareholders would be very unlikely to cause commercial detriment to Merlin, its shareholders and creditors in the event of a winding up. Accordingly, that sentence will not be included in the information which will be restricted by the orders I will make.</w:t>
      </w:r>
    </w:p>
    <w:p w:rsidR="007207CB" w:rsidRDefault="007207CB" w:rsidP="007207CB">
      <w:pPr>
        <w:pStyle w:val="Heading2"/>
      </w:pPr>
      <w:r>
        <w:t>Conclusion</w:t>
      </w:r>
    </w:p>
    <w:p w:rsidR="00B73D13" w:rsidRDefault="00992BFC" w:rsidP="00992BFC">
      <w:pPr>
        <w:pStyle w:val="ParaNumbering"/>
      </w:pPr>
      <w:r>
        <w:t xml:space="preserve">In conclusion, I will make orders giving leave to the </w:t>
      </w:r>
      <w:r w:rsidR="00937C0A">
        <w:t>non-party shareholders/noteholders</w:t>
      </w:r>
      <w:r>
        <w:t xml:space="preserve"> to inspect a copy of the </w:t>
      </w:r>
      <w:r w:rsidR="007207CB">
        <w:t>PL R</w:t>
      </w:r>
      <w:r>
        <w:t xml:space="preserve">eport, and for the </w:t>
      </w:r>
      <w:r w:rsidR="00174CE5">
        <w:t>provisional liquidators to provide a copy to the opposing shareholders. The disclosure will be on the basis that</w:t>
      </w:r>
      <w:r w:rsidR="00B73D13">
        <w:t>:</w:t>
      </w:r>
    </w:p>
    <w:p w:rsidR="00B73D13" w:rsidRDefault="00B73D13" w:rsidP="00B73D13">
      <w:pPr>
        <w:pStyle w:val="ListNo2"/>
        <w:numPr>
          <w:ilvl w:val="1"/>
          <w:numId w:val="47"/>
        </w:numPr>
        <w:tabs>
          <w:tab w:val="clear" w:pos="1440"/>
          <w:tab w:val="num" w:pos="720"/>
        </w:tabs>
        <w:ind w:left="709"/>
      </w:pPr>
      <w:r>
        <w:t>the copy provided to the non-party shareholders/noteholders and the opposing shareholders may be redacted by the provisional liquidators to keep confidential the valuation information identified above in paragraphs 40(b), (c) and (d) above; and</w:t>
      </w:r>
    </w:p>
    <w:p w:rsidR="00B73D13" w:rsidRDefault="00B73D13" w:rsidP="00B73D13">
      <w:pPr>
        <w:pStyle w:val="ListNo2"/>
        <w:numPr>
          <w:ilvl w:val="1"/>
          <w:numId w:val="47"/>
        </w:numPr>
        <w:tabs>
          <w:tab w:val="clear" w:pos="1440"/>
          <w:tab w:val="num" w:pos="720"/>
        </w:tabs>
        <w:ind w:left="709"/>
      </w:pPr>
      <w:r>
        <w:lastRenderedPageBreak/>
        <w:t>the provisional liquidators must provide an unredacted copy to the external lawyers for the non-party shareholders/noteholders and the opposing shareholders upon receipt from the external lawyers of an undertaking to keep the valuation information confidential and not to disclose that information to any other person, including their clients.</w:t>
      </w:r>
    </w:p>
    <w:p w:rsidR="00174CE5" w:rsidRDefault="00174CE5" w:rsidP="00992BFC">
      <w:pPr>
        <w:pStyle w:val="ParaNumbering"/>
      </w:pPr>
      <w:r>
        <w:t>I will reserve the costs of the application.</w:t>
      </w:r>
    </w:p>
    <w:p w:rsidR="00EC68BD" w:rsidRDefault="00EC68BD" w:rsidP="00815065">
      <w:pPr>
        <w:pStyle w:val="BodyText"/>
      </w:pPr>
      <w:bookmarkStart w:id="20" w:name="Certification"/>
    </w:p>
    <w:tbl>
      <w:tblPr>
        <w:tblW w:w="0" w:type="auto"/>
        <w:tblLook w:val="04A0" w:firstRow="1" w:lastRow="0" w:firstColumn="1" w:lastColumn="0" w:noHBand="0" w:noVBand="1"/>
      </w:tblPr>
      <w:tblGrid>
        <w:gridCol w:w="3794"/>
      </w:tblGrid>
      <w:tr w:rsidR="00EC68BD" w:rsidRPr="00EC68BD">
        <w:tc>
          <w:tcPr>
            <w:tcW w:w="3794" w:type="dxa"/>
            <w:shd w:val="clear" w:color="auto" w:fill="auto"/>
          </w:tcPr>
          <w:p w:rsidR="00EC68BD" w:rsidRPr="00EC68BD" w:rsidRDefault="00EC68BD" w:rsidP="00EC68BD">
            <w:pPr>
              <w:pStyle w:val="Normal1linespace"/>
            </w:pPr>
            <w:r w:rsidRPr="00EC68BD">
              <w:t xml:space="preserve">I certify that the preceding </w:t>
            </w:r>
            <w:bookmarkStart w:id="21" w:name="NumberWord"/>
            <w:r>
              <w:t>forty-three</w:t>
            </w:r>
            <w:bookmarkEnd w:id="21"/>
            <w:r w:rsidRPr="00EC68BD">
              <w:t xml:space="preserve"> (</w:t>
            </w:r>
            <w:bookmarkStart w:id="22" w:name="NumberNumeral"/>
            <w:r>
              <w:t>43</w:t>
            </w:r>
            <w:bookmarkEnd w:id="22"/>
            <w:r w:rsidRPr="00EC68BD">
              <w:t xml:space="preserve">) numbered </w:t>
            </w:r>
            <w:bookmarkStart w:id="23" w:name="CertPara"/>
            <w:r>
              <w:t>paragraphs are</w:t>
            </w:r>
            <w:bookmarkEnd w:id="23"/>
            <w:r w:rsidRPr="00EC68BD">
              <w:t xml:space="preserve"> a true copy of the Reasons for Judgment herein of the Honourable </w:t>
            </w:r>
            <w:bookmarkStart w:id="24" w:name="Justice"/>
            <w:r>
              <w:t>Justice O'Bryan</w:t>
            </w:r>
            <w:bookmarkEnd w:id="24"/>
            <w:r w:rsidRPr="00EC68BD">
              <w:t>.</w:t>
            </w:r>
          </w:p>
        </w:tc>
      </w:tr>
    </w:tbl>
    <w:p w:rsidR="00EC68BD" w:rsidRDefault="00EC68BD" w:rsidP="00815065">
      <w:pPr>
        <w:pStyle w:val="BodyText"/>
      </w:pPr>
    </w:p>
    <w:p w:rsidR="00EC68BD" w:rsidRDefault="00EC68BD" w:rsidP="00815065">
      <w:pPr>
        <w:pStyle w:val="BodyText"/>
      </w:pPr>
    </w:p>
    <w:p w:rsidR="00EC68BD" w:rsidRDefault="00EC68BD" w:rsidP="00815065">
      <w:pPr>
        <w:pStyle w:val="BodyText"/>
      </w:pPr>
      <w:r>
        <w:t>Associate:</w:t>
      </w:r>
      <w:r w:rsidR="00803565">
        <w:t xml:space="preserve"> </w:t>
      </w:r>
      <w:bookmarkStart w:id="25" w:name="_GoBack"/>
      <w:bookmarkEnd w:id="25"/>
    </w:p>
    <w:p w:rsidR="00EC68BD" w:rsidRDefault="00EC68BD" w:rsidP="00815065">
      <w:pPr>
        <w:pStyle w:val="BodyText"/>
      </w:pPr>
    </w:p>
    <w:p w:rsidR="00EC68BD" w:rsidRDefault="00EC68BD" w:rsidP="00815065">
      <w:pPr>
        <w:pStyle w:val="BodyText"/>
        <w:tabs>
          <w:tab w:val="left" w:pos="1134"/>
        </w:tabs>
      </w:pPr>
      <w:r>
        <w:t>Dated:</w:t>
      </w:r>
      <w:r>
        <w:tab/>
      </w:r>
      <w:bookmarkStart w:id="26" w:name="CertifyDated"/>
      <w:r>
        <w:t>11 December 2019</w:t>
      </w:r>
      <w:bookmarkEnd w:id="26"/>
    </w:p>
    <w:p w:rsidR="00EC68BD" w:rsidRDefault="00EC68BD" w:rsidP="00815065">
      <w:pPr>
        <w:pStyle w:val="BodyText"/>
      </w:pPr>
    </w:p>
    <w:bookmarkEnd w:id="20"/>
    <w:p w:rsidR="00EC68BD" w:rsidRDefault="00EC68BD" w:rsidP="00EC68BD">
      <w:pPr>
        <w:pStyle w:val="BodyText"/>
      </w:pPr>
    </w:p>
    <w:sectPr w:rsidR="00EC68B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8D" w:rsidRDefault="0028008D">
      <w:pPr>
        <w:spacing w:line="20" w:lineRule="exact"/>
      </w:pPr>
    </w:p>
    <w:p w:rsidR="0028008D" w:rsidRDefault="0028008D"/>
    <w:p w:rsidR="0028008D" w:rsidRDefault="0028008D"/>
  </w:endnote>
  <w:endnote w:type="continuationSeparator" w:id="0">
    <w:p w:rsidR="0028008D" w:rsidRDefault="0028008D">
      <w:r>
        <w:t xml:space="preserve"> </w:t>
      </w:r>
    </w:p>
    <w:p w:rsidR="0028008D" w:rsidRDefault="0028008D"/>
    <w:p w:rsidR="0028008D" w:rsidRDefault="0028008D"/>
  </w:endnote>
  <w:endnote w:type="continuationNotice" w:id="1">
    <w:p w:rsidR="0028008D" w:rsidRDefault="0028008D">
      <w:r>
        <w:t xml:space="preserve"> </w:t>
      </w:r>
    </w:p>
    <w:p w:rsidR="0028008D" w:rsidRDefault="0028008D"/>
    <w:p w:rsidR="0028008D" w:rsidRDefault="0028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Pr="00624520" w:rsidRDefault="0028008D"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8D" w:rsidRDefault="0028008D"/>
    <w:p w:rsidR="0028008D" w:rsidRDefault="0028008D"/>
    <w:p w:rsidR="0028008D" w:rsidRDefault="0028008D"/>
  </w:footnote>
  <w:footnote w:type="continuationSeparator" w:id="0">
    <w:p w:rsidR="0028008D" w:rsidRDefault="0028008D">
      <w:r>
        <w:continuationSeparator/>
      </w:r>
    </w:p>
    <w:p w:rsidR="0028008D" w:rsidRDefault="0028008D"/>
    <w:p w:rsidR="0028008D" w:rsidRDefault="00280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pPr>
      <w:tabs>
        <w:tab w:val="center" w:pos="4512"/>
      </w:tabs>
      <w:suppressAutoHyphens/>
    </w:pPr>
    <w:r>
      <w:tab/>
      <w:t xml:space="preserve">- </w:t>
    </w:r>
    <w:r>
      <w:fldChar w:fldCharType="begin"/>
    </w:r>
    <w:r>
      <w:instrText xml:space="preserve"> PAGE   \* MERGEFORMAT </w:instrText>
    </w:r>
    <w:r>
      <w:fldChar w:fldCharType="separate"/>
    </w:r>
    <w:r w:rsidR="00E63330">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pPr>
      <w:tabs>
        <w:tab w:val="center" w:pos="4512"/>
      </w:tabs>
      <w:suppressAutoHyphens/>
    </w:pPr>
    <w:r>
      <w:tab/>
      <w:t xml:space="preserve">- </w:t>
    </w:r>
    <w:r>
      <w:fldChar w:fldCharType="begin"/>
    </w:r>
    <w:r>
      <w:instrText>page \* arabic</w:instrText>
    </w:r>
    <w:r>
      <w:fldChar w:fldCharType="separate"/>
    </w:r>
    <w:r w:rsidR="00F9522F">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D" w:rsidRDefault="0028008D">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422"/>
        </w:tabs>
        <w:ind w:left="2422"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8FB230B"/>
    <w:multiLevelType w:val="hybridMultilevel"/>
    <w:tmpl w:val="4322E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3"/>
  </w:num>
  <w:num w:numId="37">
    <w:abstractNumId w:val="13"/>
  </w:num>
  <w:num w:numId="38">
    <w:abstractNumId w:val="16"/>
  </w:num>
  <w:num w:numId="39">
    <w:abstractNumId w:val="13"/>
  </w:num>
  <w:num w:numId="40">
    <w:abstractNumId w:val="13"/>
  </w:num>
  <w:num w:numId="41">
    <w:abstractNumId w:val="21"/>
  </w:num>
  <w:num w:numId="4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 w:numId="4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Merlin Diamonds Limited"/>
    <w:docVar w:name="Defenders" w:val="(and another named in the Schedule)"/>
    <w:docVar w:name="Division" w:val="General Division"/>
    <w:docVar w:name="DocCreated" w:val="True"/>
    <w:docVar w:name="FileNumbers" w:val="VID 505 of 2019"/>
    <w:docVar w:name="HearingDate" w:val="6 December 2019"/>
    <w:docVar w:name="Initiators" w:val="(and another named in the Schedule)"/>
    <w:docVar w:name="Judgdate" w:val="11 December 2019"/>
    <w:docVar w:name="Judge" w:val="O'Bryan"/>
    <w:docVar w:name="Justices" w:val="Justice"/>
    <w:docVar w:name="lstEntryList" w:val="-1"/>
    <w:docVar w:name="myEntryList" w:val="Counsel for the Plaintiff=Mr S Senathirajah QC with Ms C Klemis|Solicitor for the Plaintiff=Australian Securities and Investments Commission|Solicitor for the Defendant=Ms H Solaymani-Jamal of Norton Rose Fulbright Australia"/>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ustralian Securities &amp; Investments Commission"/>
    <w:docVar w:name="PracticeArea" w:val="[none]"/>
    <w:docVar w:name="RESAndAnother" w:val="True"/>
    <w:docVar w:name="RESAndOthers" w:val="False"/>
    <w:docVar w:name="ResState" w:val="Victoria"/>
    <w:docVar w:name="SubArea" w:val="[none]"/>
  </w:docVars>
  <w:rsids>
    <w:rsidRoot w:val="00992BFC"/>
    <w:rsid w:val="000101F9"/>
    <w:rsid w:val="0001469E"/>
    <w:rsid w:val="00015993"/>
    <w:rsid w:val="00022289"/>
    <w:rsid w:val="00032F9F"/>
    <w:rsid w:val="000330BC"/>
    <w:rsid w:val="0003499D"/>
    <w:rsid w:val="0003779D"/>
    <w:rsid w:val="00041C07"/>
    <w:rsid w:val="00045BB7"/>
    <w:rsid w:val="00055719"/>
    <w:rsid w:val="0005641B"/>
    <w:rsid w:val="00081497"/>
    <w:rsid w:val="000A2E76"/>
    <w:rsid w:val="000A4807"/>
    <w:rsid w:val="000A4BE4"/>
    <w:rsid w:val="000C023E"/>
    <w:rsid w:val="000C4B82"/>
    <w:rsid w:val="000C5195"/>
    <w:rsid w:val="000C62EF"/>
    <w:rsid w:val="000D2137"/>
    <w:rsid w:val="000D3FD2"/>
    <w:rsid w:val="000E3FC8"/>
    <w:rsid w:val="000E7BAE"/>
    <w:rsid w:val="000F133D"/>
    <w:rsid w:val="0010536B"/>
    <w:rsid w:val="0011145C"/>
    <w:rsid w:val="001128BD"/>
    <w:rsid w:val="0011419D"/>
    <w:rsid w:val="00120579"/>
    <w:rsid w:val="00132054"/>
    <w:rsid w:val="001471C1"/>
    <w:rsid w:val="001727A4"/>
    <w:rsid w:val="0017376C"/>
    <w:rsid w:val="001738AB"/>
    <w:rsid w:val="00174CE5"/>
    <w:rsid w:val="001765E0"/>
    <w:rsid w:val="00177759"/>
    <w:rsid w:val="00185E6B"/>
    <w:rsid w:val="00187BBC"/>
    <w:rsid w:val="001932F3"/>
    <w:rsid w:val="00195705"/>
    <w:rsid w:val="001A4309"/>
    <w:rsid w:val="001B1053"/>
    <w:rsid w:val="001B14AC"/>
    <w:rsid w:val="001B7940"/>
    <w:rsid w:val="001C37CA"/>
    <w:rsid w:val="001D4303"/>
    <w:rsid w:val="001D6746"/>
    <w:rsid w:val="001E3B49"/>
    <w:rsid w:val="001E7388"/>
    <w:rsid w:val="001F13DD"/>
    <w:rsid w:val="001F2DBC"/>
    <w:rsid w:val="001F73E8"/>
    <w:rsid w:val="0020262C"/>
    <w:rsid w:val="00205658"/>
    <w:rsid w:val="00212A11"/>
    <w:rsid w:val="00224537"/>
    <w:rsid w:val="00235956"/>
    <w:rsid w:val="002378F1"/>
    <w:rsid w:val="00247C9A"/>
    <w:rsid w:val="0025160C"/>
    <w:rsid w:val="002535D0"/>
    <w:rsid w:val="002539B3"/>
    <w:rsid w:val="00257C3E"/>
    <w:rsid w:val="002602C2"/>
    <w:rsid w:val="002666C9"/>
    <w:rsid w:val="00270136"/>
    <w:rsid w:val="00274F5B"/>
    <w:rsid w:val="0028008D"/>
    <w:rsid w:val="00280836"/>
    <w:rsid w:val="00282E1A"/>
    <w:rsid w:val="0029113B"/>
    <w:rsid w:val="002934C0"/>
    <w:rsid w:val="002A1B50"/>
    <w:rsid w:val="002A7D58"/>
    <w:rsid w:val="002B0E91"/>
    <w:rsid w:val="002B6779"/>
    <w:rsid w:val="002B71C0"/>
    <w:rsid w:val="002B7A34"/>
    <w:rsid w:val="002C31AD"/>
    <w:rsid w:val="002C7385"/>
    <w:rsid w:val="002D2DBB"/>
    <w:rsid w:val="002D54A6"/>
    <w:rsid w:val="002E6A7A"/>
    <w:rsid w:val="002F1E49"/>
    <w:rsid w:val="002F4E9C"/>
    <w:rsid w:val="002F72B8"/>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260"/>
    <w:rsid w:val="003B2C72"/>
    <w:rsid w:val="003C1333"/>
    <w:rsid w:val="003C20FF"/>
    <w:rsid w:val="003D0B91"/>
    <w:rsid w:val="003D2650"/>
    <w:rsid w:val="003D4005"/>
    <w:rsid w:val="003D560C"/>
    <w:rsid w:val="003E56AB"/>
    <w:rsid w:val="003E5874"/>
    <w:rsid w:val="003F193E"/>
    <w:rsid w:val="003F34F1"/>
    <w:rsid w:val="003F77D0"/>
    <w:rsid w:val="00411AE8"/>
    <w:rsid w:val="00413B74"/>
    <w:rsid w:val="00435C5F"/>
    <w:rsid w:val="00441E98"/>
    <w:rsid w:val="004532F7"/>
    <w:rsid w:val="00472027"/>
    <w:rsid w:val="004804CF"/>
    <w:rsid w:val="00481754"/>
    <w:rsid w:val="00484962"/>
    <w:rsid w:val="00484F6D"/>
    <w:rsid w:val="0049338A"/>
    <w:rsid w:val="0049417F"/>
    <w:rsid w:val="004B3EFA"/>
    <w:rsid w:val="004C2A87"/>
    <w:rsid w:val="004C4D7B"/>
    <w:rsid w:val="004C4ED3"/>
    <w:rsid w:val="004D2EA5"/>
    <w:rsid w:val="004D32A6"/>
    <w:rsid w:val="004D53E5"/>
    <w:rsid w:val="00501A12"/>
    <w:rsid w:val="005133CC"/>
    <w:rsid w:val="0051346D"/>
    <w:rsid w:val="00513EAE"/>
    <w:rsid w:val="00516806"/>
    <w:rsid w:val="00517B98"/>
    <w:rsid w:val="00525A49"/>
    <w:rsid w:val="00535613"/>
    <w:rsid w:val="005359EB"/>
    <w:rsid w:val="0054254A"/>
    <w:rsid w:val="005466B5"/>
    <w:rsid w:val="00554314"/>
    <w:rsid w:val="005629B3"/>
    <w:rsid w:val="00573AC4"/>
    <w:rsid w:val="0057633A"/>
    <w:rsid w:val="005801FC"/>
    <w:rsid w:val="00583201"/>
    <w:rsid w:val="00595016"/>
    <w:rsid w:val="00597AAE"/>
    <w:rsid w:val="005A222C"/>
    <w:rsid w:val="005A4DF8"/>
    <w:rsid w:val="005B1426"/>
    <w:rsid w:val="005C0A8E"/>
    <w:rsid w:val="005C1767"/>
    <w:rsid w:val="005C42EF"/>
    <w:rsid w:val="005D2808"/>
    <w:rsid w:val="005E02F5"/>
    <w:rsid w:val="005E0510"/>
    <w:rsid w:val="005E176E"/>
    <w:rsid w:val="005E218E"/>
    <w:rsid w:val="005E35A0"/>
    <w:rsid w:val="005E4403"/>
    <w:rsid w:val="005F0D1B"/>
    <w:rsid w:val="005F1865"/>
    <w:rsid w:val="005F4B62"/>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769D"/>
    <w:rsid w:val="0066063F"/>
    <w:rsid w:val="00660EB6"/>
    <w:rsid w:val="00662BB0"/>
    <w:rsid w:val="00663878"/>
    <w:rsid w:val="00667773"/>
    <w:rsid w:val="00670743"/>
    <w:rsid w:val="00690EE2"/>
    <w:rsid w:val="00696F9C"/>
    <w:rsid w:val="006A0E20"/>
    <w:rsid w:val="006A5695"/>
    <w:rsid w:val="006B3904"/>
    <w:rsid w:val="006B5B7D"/>
    <w:rsid w:val="006D0ECF"/>
    <w:rsid w:val="006D4C92"/>
    <w:rsid w:val="006D4EB6"/>
    <w:rsid w:val="006E11A9"/>
    <w:rsid w:val="006E35BF"/>
    <w:rsid w:val="006E7850"/>
    <w:rsid w:val="006F607E"/>
    <w:rsid w:val="007028D9"/>
    <w:rsid w:val="00707218"/>
    <w:rsid w:val="00712B1D"/>
    <w:rsid w:val="0071559E"/>
    <w:rsid w:val="00716C3A"/>
    <w:rsid w:val="007207CB"/>
    <w:rsid w:val="007325D9"/>
    <w:rsid w:val="007360CA"/>
    <w:rsid w:val="00747DB0"/>
    <w:rsid w:val="007602E3"/>
    <w:rsid w:val="00760EC0"/>
    <w:rsid w:val="0078003A"/>
    <w:rsid w:val="00780771"/>
    <w:rsid w:val="007929CF"/>
    <w:rsid w:val="007A6F28"/>
    <w:rsid w:val="007B03C6"/>
    <w:rsid w:val="007B0DB1"/>
    <w:rsid w:val="007C3BF6"/>
    <w:rsid w:val="007D0FD2"/>
    <w:rsid w:val="007D2EF8"/>
    <w:rsid w:val="007D4BCA"/>
    <w:rsid w:val="007D561F"/>
    <w:rsid w:val="007D7FD2"/>
    <w:rsid w:val="007E13D9"/>
    <w:rsid w:val="007E41BE"/>
    <w:rsid w:val="007E4DB6"/>
    <w:rsid w:val="007E7CD4"/>
    <w:rsid w:val="007F12AC"/>
    <w:rsid w:val="007F2DCE"/>
    <w:rsid w:val="007F7C34"/>
    <w:rsid w:val="00801800"/>
    <w:rsid w:val="00801B5B"/>
    <w:rsid w:val="00803565"/>
    <w:rsid w:val="008135A2"/>
    <w:rsid w:val="008276B4"/>
    <w:rsid w:val="00831927"/>
    <w:rsid w:val="00841BD3"/>
    <w:rsid w:val="0084273D"/>
    <w:rsid w:val="00844E3F"/>
    <w:rsid w:val="00845A83"/>
    <w:rsid w:val="00852878"/>
    <w:rsid w:val="008712BB"/>
    <w:rsid w:val="008A2484"/>
    <w:rsid w:val="008B20C6"/>
    <w:rsid w:val="008B721C"/>
    <w:rsid w:val="008C251F"/>
    <w:rsid w:val="008C26D9"/>
    <w:rsid w:val="008C6D50"/>
    <w:rsid w:val="008C7167"/>
    <w:rsid w:val="008C7503"/>
    <w:rsid w:val="008D1617"/>
    <w:rsid w:val="008D53E8"/>
    <w:rsid w:val="008E2938"/>
    <w:rsid w:val="008E37D1"/>
    <w:rsid w:val="008E6315"/>
    <w:rsid w:val="008F11E0"/>
    <w:rsid w:val="008F78BC"/>
    <w:rsid w:val="008F7B63"/>
    <w:rsid w:val="008F7D6A"/>
    <w:rsid w:val="009054CB"/>
    <w:rsid w:val="00912F94"/>
    <w:rsid w:val="00914854"/>
    <w:rsid w:val="00915627"/>
    <w:rsid w:val="0092590B"/>
    <w:rsid w:val="00925E60"/>
    <w:rsid w:val="009264B3"/>
    <w:rsid w:val="009365E0"/>
    <w:rsid w:val="00937C0A"/>
    <w:rsid w:val="00942BA2"/>
    <w:rsid w:val="00944C86"/>
    <w:rsid w:val="00957DE8"/>
    <w:rsid w:val="00960ECB"/>
    <w:rsid w:val="009615D6"/>
    <w:rsid w:val="00967855"/>
    <w:rsid w:val="0097317F"/>
    <w:rsid w:val="00980736"/>
    <w:rsid w:val="00981A39"/>
    <w:rsid w:val="00987097"/>
    <w:rsid w:val="00991FD3"/>
    <w:rsid w:val="00992BFC"/>
    <w:rsid w:val="009A3A9C"/>
    <w:rsid w:val="009B046C"/>
    <w:rsid w:val="009B13FA"/>
    <w:rsid w:val="009B1E2D"/>
    <w:rsid w:val="009C59FB"/>
    <w:rsid w:val="009C6F3B"/>
    <w:rsid w:val="009D1467"/>
    <w:rsid w:val="009D18CB"/>
    <w:rsid w:val="009D1BAE"/>
    <w:rsid w:val="009D4699"/>
    <w:rsid w:val="009E4FA6"/>
    <w:rsid w:val="009E7D93"/>
    <w:rsid w:val="009F0383"/>
    <w:rsid w:val="009F5C33"/>
    <w:rsid w:val="00A03EAC"/>
    <w:rsid w:val="00A11CA6"/>
    <w:rsid w:val="00A20C49"/>
    <w:rsid w:val="00A269CA"/>
    <w:rsid w:val="00A336EE"/>
    <w:rsid w:val="00A359AC"/>
    <w:rsid w:val="00A41413"/>
    <w:rsid w:val="00A41E81"/>
    <w:rsid w:val="00A45FB1"/>
    <w:rsid w:val="00A46CCC"/>
    <w:rsid w:val="00A51CFE"/>
    <w:rsid w:val="00A63085"/>
    <w:rsid w:val="00A73052"/>
    <w:rsid w:val="00A76C13"/>
    <w:rsid w:val="00A92E79"/>
    <w:rsid w:val="00A950B6"/>
    <w:rsid w:val="00AB41C1"/>
    <w:rsid w:val="00AD12A8"/>
    <w:rsid w:val="00AE023F"/>
    <w:rsid w:val="00AE24B0"/>
    <w:rsid w:val="00AF3577"/>
    <w:rsid w:val="00AF35F9"/>
    <w:rsid w:val="00B05C7D"/>
    <w:rsid w:val="00B346C3"/>
    <w:rsid w:val="00B4471C"/>
    <w:rsid w:val="00B451A6"/>
    <w:rsid w:val="00B46ABA"/>
    <w:rsid w:val="00B722DE"/>
    <w:rsid w:val="00B73D13"/>
    <w:rsid w:val="00B76C44"/>
    <w:rsid w:val="00B834DA"/>
    <w:rsid w:val="00B83F87"/>
    <w:rsid w:val="00B92BDC"/>
    <w:rsid w:val="00BA2EFA"/>
    <w:rsid w:val="00BA3DBC"/>
    <w:rsid w:val="00BB2DA2"/>
    <w:rsid w:val="00BB56DC"/>
    <w:rsid w:val="00BE05F5"/>
    <w:rsid w:val="00BE183D"/>
    <w:rsid w:val="00BF5D7A"/>
    <w:rsid w:val="00C02D33"/>
    <w:rsid w:val="00C1232C"/>
    <w:rsid w:val="00C36442"/>
    <w:rsid w:val="00C400CE"/>
    <w:rsid w:val="00C410FD"/>
    <w:rsid w:val="00C539FB"/>
    <w:rsid w:val="00C54455"/>
    <w:rsid w:val="00CA246D"/>
    <w:rsid w:val="00CA50D9"/>
    <w:rsid w:val="00CB5636"/>
    <w:rsid w:val="00D10F21"/>
    <w:rsid w:val="00D24806"/>
    <w:rsid w:val="00D27143"/>
    <w:rsid w:val="00D34040"/>
    <w:rsid w:val="00D34E69"/>
    <w:rsid w:val="00D375EE"/>
    <w:rsid w:val="00D62699"/>
    <w:rsid w:val="00D82620"/>
    <w:rsid w:val="00D9725F"/>
    <w:rsid w:val="00DA01B1"/>
    <w:rsid w:val="00DA11A2"/>
    <w:rsid w:val="00DA14ED"/>
    <w:rsid w:val="00DB2EF1"/>
    <w:rsid w:val="00DB345D"/>
    <w:rsid w:val="00DB3DE1"/>
    <w:rsid w:val="00DB5DA0"/>
    <w:rsid w:val="00DB716C"/>
    <w:rsid w:val="00DC5C85"/>
    <w:rsid w:val="00DD4236"/>
    <w:rsid w:val="00DD44F1"/>
    <w:rsid w:val="00DE3067"/>
    <w:rsid w:val="00E027BC"/>
    <w:rsid w:val="00E14EA5"/>
    <w:rsid w:val="00E21133"/>
    <w:rsid w:val="00E2327E"/>
    <w:rsid w:val="00E25D3A"/>
    <w:rsid w:val="00E266EF"/>
    <w:rsid w:val="00E47428"/>
    <w:rsid w:val="00E63330"/>
    <w:rsid w:val="00E66B9F"/>
    <w:rsid w:val="00E710D6"/>
    <w:rsid w:val="00E73E7A"/>
    <w:rsid w:val="00E76E45"/>
    <w:rsid w:val="00E777C9"/>
    <w:rsid w:val="00E81DA6"/>
    <w:rsid w:val="00E84212"/>
    <w:rsid w:val="00E9086C"/>
    <w:rsid w:val="00E91A0F"/>
    <w:rsid w:val="00E94A71"/>
    <w:rsid w:val="00E97A12"/>
    <w:rsid w:val="00EA03CE"/>
    <w:rsid w:val="00EA23E5"/>
    <w:rsid w:val="00EA4E2E"/>
    <w:rsid w:val="00EB2CCB"/>
    <w:rsid w:val="00EC57A7"/>
    <w:rsid w:val="00EC68BD"/>
    <w:rsid w:val="00ED0817"/>
    <w:rsid w:val="00ED7DD9"/>
    <w:rsid w:val="00EF3113"/>
    <w:rsid w:val="00EF3F84"/>
    <w:rsid w:val="00F176AC"/>
    <w:rsid w:val="00F27714"/>
    <w:rsid w:val="00F3276E"/>
    <w:rsid w:val="00F33D3C"/>
    <w:rsid w:val="00F37A91"/>
    <w:rsid w:val="00F45CF5"/>
    <w:rsid w:val="00F47DB0"/>
    <w:rsid w:val="00F50E34"/>
    <w:rsid w:val="00F53EF7"/>
    <w:rsid w:val="00F53FEB"/>
    <w:rsid w:val="00F54BF2"/>
    <w:rsid w:val="00F638A2"/>
    <w:rsid w:val="00F80CC3"/>
    <w:rsid w:val="00F92355"/>
    <w:rsid w:val="00F93963"/>
    <w:rsid w:val="00F94291"/>
    <w:rsid w:val="00F9522F"/>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AEF123A-E172-4EE4-98F3-F162D03A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9D4699"/>
    <w:pPr>
      <w:autoSpaceDE w:val="0"/>
      <w:autoSpaceDN w:val="0"/>
      <w:adjustRightInd w:val="0"/>
    </w:pPr>
    <w:rPr>
      <w:color w:val="000000"/>
      <w:sz w:val="24"/>
      <w:szCs w:val="24"/>
    </w:rPr>
  </w:style>
  <w:style w:type="paragraph" w:styleId="ListParagraph">
    <w:name w:val="List Paragraph"/>
    <w:basedOn w:val="Normal"/>
    <w:uiPriority w:val="34"/>
    <w:qFormat/>
    <w:rsid w:val="0003779D"/>
    <w:pPr>
      <w:spacing w:line="240" w:lineRule="auto"/>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093">
      <w:bodyDiv w:val="1"/>
      <w:marLeft w:val="0"/>
      <w:marRight w:val="0"/>
      <w:marTop w:val="0"/>
      <w:marBottom w:val="0"/>
      <w:divBdr>
        <w:top w:val="none" w:sz="0" w:space="0" w:color="auto"/>
        <w:left w:val="none" w:sz="0" w:space="0" w:color="auto"/>
        <w:bottom w:val="none" w:sz="0" w:space="0" w:color="auto"/>
        <w:right w:val="none" w:sz="0" w:space="0" w:color="auto"/>
      </w:divBdr>
    </w:div>
    <w:div w:id="708265534">
      <w:bodyDiv w:val="1"/>
      <w:marLeft w:val="0"/>
      <w:marRight w:val="0"/>
      <w:marTop w:val="0"/>
      <w:marBottom w:val="0"/>
      <w:divBdr>
        <w:top w:val="none" w:sz="0" w:space="0" w:color="auto"/>
        <w:left w:val="none" w:sz="0" w:space="0" w:color="auto"/>
        <w:bottom w:val="none" w:sz="0" w:space="0" w:color="auto"/>
        <w:right w:val="none" w:sz="0" w:space="0" w:color="auto"/>
      </w:divBdr>
    </w:div>
    <w:div w:id="7319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15</Pages>
  <Words>4889</Words>
  <Characters>25705</Characters>
  <Application>Microsoft Office Word</Application>
  <DocSecurity>0</DocSecurity>
  <Lines>514</Lines>
  <Paragraphs>186</Paragraphs>
  <ScaleCrop>false</ScaleCrop>
  <HeadingPairs>
    <vt:vector size="2" baseType="variant">
      <vt:variant>
        <vt:lpstr>Title</vt:lpstr>
      </vt:variant>
      <vt:variant>
        <vt:i4>1</vt:i4>
      </vt:variant>
    </vt:vector>
  </HeadingPairs>
  <TitlesOfParts>
    <vt:vector size="1" baseType="lpstr">
      <vt:lpstr>Australian Securities and Investments Commission v Merlin Diamonds Limited (No 2) [2019] FCA 2094</vt:lpstr>
    </vt:vector>
  </TitlesOfParts>
  <Company>Federal Court of Australia</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Merlin Diamonds Limited (No 2) [2019] FCA 2094</dc:title>
  <dc:creator>Nicole Young</dc:creator>
  <cp:lastModifiedBy>Sona Muradyan</cp:lastModifiedBy>
  <cp:revision>4</cp:revision>
  <cp:lastPrinted>2019-12-11T02:07:00Z</cp:lastPrinted>
  <dcterms:created xsi:type="dcterms:W3CDTF">2019-12-11T05:06:00Z</dcterms:created>
  <dcterms:modified xsi:type="dcterms:W3CDTF">2019-12-11T05:08:00Z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O'BRYAN J</vt:lpwstr>
  </property>
  <property fmtid="{D5CDD505-2E9C-101B-9397-08002B2CF9AE}" pid="4" name="Judgment_dated" linkTarget="Judgment_dated">
    <vt:lpwstr>11 DECEMBER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