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6E1E73" w14:textId="77777777" w:rsidR="00395B24" w:rsidRDefault="002C7385">
      <w:pPr>
        <w:pStyle w:val="NormalHeadings"/>
        <w:jc w:val="center"/>
        <w:rPr>
          <w:sz w:val="32"/>
        </w:rPr>
      </w:pPr>
      <w:r>
        <w:rPr>
          <w:sz w:val="32"/>
        </w:rPr>
        <w:t>FEDERAL COURT OF AUSTRALIA</w:t>
      </w:r>
    </w:p>
    <w:p w14:paraId="7C93055B" w14:textId="77777777" w:rsidR="00395B24" w:rsidRDefault="00395B24">
      <w:pPr>
        <w:pStyle w:val="NormalHeadings"/>
        <w:jc w:val="center"/>
        <w:rPr>
          <w:sz w:val="32"/>
        </w:rPr>
      </w:pPr>
    </w:p>
    <w:p w14:paraId="2F415D42" w14:textId="1A29A0B0" w:rsidR="00395B24" w:rsidRDefault="00932A85">
      <w:pPr>
        <w:pStyle w:val="MediaNeutralStyle"/>
      </w:pPr>
      <w:bookmarkStart w:id="0" w:name="MNC"/>
      <w:r>
        <w:t xml:space="preserve">BKQ16 v Minister for Immigration and Border Protection [2019] FCA </w:t>
      </w:r>
      <w:r w:rsidR="00DE355C">
        <w:t>40</w:t>
      </w:r>
      <w:r w:rsidR="002C7385">
        <w:t xml:space="preserve"> </w:t>
      </w:r>
      <w:bookmarkEnd w:id="0"/>
    </w:p>
    <w:p w14:paraId="79A387B6" w14:textId="77777777" w:rsidR="00395B24" w:rsidRDefault="00395B24">
      <w:pPr>
        <w:pStyle w:val="Normal1linespace"/>
      </w:pPr>
    </w:p>
    <w:tbl>
      <w:tblPr>
        <w:tblW w:w="9074" w:type="dxa"/>
        <w:tblLayout w:type="fixed"/>
        <w:tblLook w:val="01E0" w:firstRow="1" w:lastRow="1" w:firstColumn="1" w:lastColumn="1" w:noHBand="0" w:noVBand="0"/>
        <w:tblCaption w:val="Cover Table"/>
        <w:tblDescription w:val="Cover Table"/>
      </w:tblPr>
      <w:tblGrid>
        <w:gridCol w:w="3085"/>
        <w:gridCol w:w="5989"/>
      </w:tblGrid>
      <w:tr w:rsidR="00395B24" w14:paraId="098EA7DC" w14:textId="77777777" w:rsidTr="00260824">
        <w:tc>
          <w:tcPr>
            <w:tcW w:w="3085" w:type="dxa"/>
            <w:shd w:val="clear" w:color="auto" w:fill="auto"/>
          </w:tcPr>
          <w:p w14:paraId="119A500D" w14:textId="77777777" w:rsidR="00395B24" w:rsidRDefault="002C7385" w:rsidP="002539B3">
            <w:pPr>
              <w:pStyle w:val="Normal1linespace"/>
              <w:widowControl w:val="0"/>
              <w:spacing w:after="60"/>
              <w:jc w:val="left"/>
            </w:pPr>
            <w:r>
              <w:t>Appeal from:</w:t>
            </w:r>
          </w:p>
        </w:tc>
        <w:tc>
          <w:tcPr>
            <w:tcW w:w="5989" w:type="dxa"/>
            <w:shd w:val="clear" w:color="auto" w:fill="auto"/>
          </w:tcPr>
          <w:p w14:paraId="67FDAACF" w14:textId="7630AEE8" w:rsidR="00395B24" w:rsidRDefault="00181443" w:rsidP="002539B3">
            <w:pPr>
              <w:pStyle w:val="CasesLegislationAppealFrom"/>
              <w:spacing w:after="60"/>
            </w:pPr>
            <w:bookmarkStart w:id="1" w:name="AppealFrom"/>
            <w:r w:rsidRPr="00181443">
              <w:rPr>
                <w:i/>
              </w:rPr>
              <w:t>BKQ16 v Minister for Immigration &amp; Anor</w:t>
            </w:r>
            <w:r>
              <w:t xml:space="preserve"> [2018] FCCA 137</w:t>
            </w:r>
            <w:bookmarkEnd w:id="1"/>
          </w:p>
        </w:tc>
      </w:tr>
      <w:tr w:rsidR="00395B24" w14:paraId="5324B33F" w14:textId="77777777" w:rsidTr="00260824">
        <w:tc>
          <w:tcPr>
            <w:tcW w:w="3085" w:type="dxa"/>
            <w:shd w:val="clear" w:color="auto" w:fill="auto"/>
          </w:tcPr>
          <w:p w14:paraId="40CA6289" w14:textId="77777777" w:rsidR="00395B24" w:rsidRDefault="00395B24" w:rsidP="00663878">
            <w:pPr>
              <w:pStyle w:val="Normal1linespace"/>
              <w:widowControl w:val="0"/>
              <w:jc w:val="left"/>
            </w:pPr>
          </w:p>
        </w:tc>
        <w:tc>
          <w:tcPr>
            <w:tcW w:w="5989" w:type="dxa"/>
            <w:shd w:val="clear" w:color="auto" w:fill="auto"/>
          </w:tcPr>
          <w:p w14:paraId="2F3303C7" w14:textId="77777777" w:rsidR="00395B24" w:rsidRDefault="00395B24" w:rsidP="00663878">
            <w:pPr>
              <w:pStyle w:val="Normal1linespace"/>
              <w:widowControl w:val="0"/>
              <w:jc w:val="left"/>
            </w:pPr>
          </w:p>
        </w:tc>
      </w:tr>
      <w:tr w:rsidR="00395B24" w14:paraId="602B3047" w14:textId="77777777" w:rsidTr="00260824">
        <w:tc>
          <w:tcPr>
            <w:tcW w:w="3085" w:type="dxa"/>
            <w:shd w:val="clear" w:color="auto" w:fill="auto"/>
          </w:tcPr>
          <w:p w14:paraId="41FD5C71" w14:textId="7828B4C1" w:rsidR="00395B24" w:rsidRDefault="002C7385" w:rsidP="008F6A92">
            <w:pPr>
              <w:pStyle w:val="Normal1linespace"/>
              <w:widowControl w:val="0"/>
              <w:jc w:val="left"/>
            </w:pPr>
            <w:r>
              <w:t>File number:</w:t>
            </w:r>
          </w:p>
        </w:tc>
        <w:tc>
          <w:tcPr>
            <w:tcW w:w="5989" w:type="dxa"/>
            <w:shd w:val="clear" w:color="auto" w:fill="auto"/>
          </w:tcPr>
          <w:p w14:paraId="2FD02BC0" w14:textId="77777777" w:rsidR="00395B24" w:rsidRPr="00932A85" w:rsidRDefault="00723913" w:rsidP="00932A85">
            <w:pPr>
              <w:pStyle w:val="Normal1linespace"/>
              <w:jc w:val="left"/>
            </w:pPr>
            <w:r>
              <w:fldChar w:fldCharType="begin" w:fldLock="1"/>
            </w:r>
            <w:r>
              <w:instrText xml:space="preserve"> REF  FileNo  \* MERGEFORMAT </w:instrText>
            </w:r>
            <w:r>
              <w:fldChar w:fldCharType="separate"/>
            </w:r>
            <w:r w:rsidR="00932A85" w:rsidRPr="00932A85">
              <w:t>VID 166 of 2018</w:t>
            </w:r>
            <w:r>
              <w:fldChar w:fldCharType="end"/>
            </w:r>
          </w:p>
        </w:tc>
      </w:tr>
      <w:tr w:rsidR="00395B24" w14:paraId="347095F9" w14:textId="77777777" w:rsidTr="00260824">
        <w:tc>
          <w:tcPr>
            <w:tcW w:w="3085" w:type="dxa"/>
            <w:shd w:val="clear" w:color="auto" w:fill="auto"/>
          </w:tcPr>
          <w:p w14:paraId="73E7F13A" w14:textId="77777777" w:rsidR="00395B24" w:rsidRDefault="00395B24" w:rsidP="00663878">
            <w:pPr>
              <w:pStyle w:val="Normal1linespace"/>
              <w:widowControl w:val="0"/>
              <w:jc w:val="left"/>
            </w:pPr>
          </w:p>
        </w:tc>
        <w:tc>
          <w:tcPr>
            <w:tcW w:w="5989" w:type="dxa"/>
            <w:shd w:val="clear" w:color="auto" w:fill="auto"/>
          </w:tcPr>
          <w:p w14:paraId="241E2B51" w14:textId="77777777" w:rsidR="00395B24" w:rsidRDefault="00395B24" w:rsidP="00663878">
            <w:pPr>
              <w:pStyle w:val="Normal1linespace"/>
              <w:widowControl w:val="0"/>
              <w:jc w:val="left"/>
            </w:pPr>
          </w:p>
        </w:tc>
      </w:tr>
      <w:tr w:rsidR="00395B24" w14:paraId="3D7717E5" w14:textId="77777777" w:rsidTr="00260824">
        <w:tc>
          <w:tcPr>
            <w:tcW w:w="3085" w:type="dxa"/>
            <w:shd w:val="clear" w:color="auto" w:fill="auto"/>
          </w:tcPr>
          <w:p w14:paraId="5E36393D" w14:textId="64BED361" w:rsidR="00395B24" w:rsidRDefault="002C7385" w:rsidP="008F6A92">
            <w:pPr>
              <w:pStyle w:val="Normal1linespace"/>
              <w:widowControl w:val="0"/>
              <w:jc w:val="left"/>
            </w:pPr>
            <w:r>
              <w:t>Judge:</w:t>
            </w:r>
          </w:p>
        </w:tc>
        <w:tc>
          <w:tcPr>
            <w:tcW w:w="5989" w:type="dxa"/>
            <w:shd w:val="clear" w:color="auto" w:fill="auto"/>
          </w:tcPr>
          <w:p w14:paraId="613EB372" w14:textId="77777777" w:rsidR="00395B24" w:rsidRDefault="002C7385" w:rsidP="00663878">
            <w:pPr>
              <w:pStyle w:val="Normal1linespace"/>
              <w:widowControl w:val="0"/>
              <w:jc w:val="left"/>
              <w:rPr>
                <w:b/>
              </w:rPr>
            </w:pPr>
            <w:r w:rsidRPr="00932A85">
              <w:rPr>
                <w:b/>
              </w:rPr>
              <w:fldChar w:fldCharType="begin" w:fldLock="1"/>
            </w:r>
            <w:r w:rsidRPr="00932A85">
              <w:rPr>
                <w:b/>
              </w:rPr>
              <w:instrText xml:space="preserve"> REF  Judge  \* MERGEFORMAT </w:instrText>
            </w:r>
            <w:r w:rsidRPr="00932A85">
              <w:rPr>
                <w:b/>
              </w:rPr>
              <w:fldChar w:fldCharType="separate"/>
            </w:r>
            <w:r w:rsidR="00932A85" w:rsidRPr="00932A85">
              <w:rPr>
                <w:b/>
                <w:caps/>
                <w:szCs w:val="24"/>
              </w:rPr>
              <w:t>MORTIMER J</w:t>
            </w:r>
            <w:r w:rsidRPr="00932A85">
              <w:rPr>
                <w:b/>
              </w:rPr>
              <w:fldChar w:fldCharType="end"/>
            </w:r>
          </w:p>
        </w:tc>
      </w:tr>
      <w:tr w:rsidR="00395B24" w14:paraId="464E7DE9" w14:textId="77777777" w:rsidTr="00260824">
        <w:tc>
          <w:tcPr>
            <w:tcW w:w="3085" w:type="dxa"/>
            <w:shd w:val="clear" w:color="auto" w:fill="auto"/>
          </w:tcPr>
          <w:p w14:paraId="1CDC9338" w14:textId="77777777" w:rsidR="00395B24" w:rsidRDefault="00395B24" w:rsidP="00663878">
            <w:pPr>
              <w:pStyle w:val="Normal1linespace"/>
              <w:widowControl w:val="0"/>
              <w:jc w:val="left"/>
            </w:pPr>
          </w:p>
        </w:tc>
        <w:tc>
          <w:tcPr>
            <w:tcW w:w="5989" w:type="dxa"/>
            <w:shd w:val="clear" w:color="auto" w:fill="auto"/>
          </w:tcPr>
          <w:p w14:paraId="55089BD1" w14:textId="77777777" w:rsidR="00395B24" w:rsidRDefault="00395B24" w:rsidP="00663878">
            <w:pPr>
              <w:pStyle w:val="Normal1linespace"/>
              <w:widowControl w:val="0"/>
              <w:jc w:val="left"/>
            </w:pPr>
          </w:p>
        </w:tc>
      </w:tr>
      <w:tr w:rsidR="00395B24" w14:paraId="6FAFE9F1" w14:textId="77777777" w:rsidTr="00260824">
        <w:tc>
          <w:tcPr>
            <w:tcW w:w="3085" w:type="dxa"/>
            <w:shd w:val="clear" w:color="auto" w:fill="auto"/>
          </w:tcPr>
          <w:p w14:paraId="4C413D71" w14:textId="77777777" w:rsidR="00395B24" w:rsidRDefault="002C7385" w:rsidP="00663878">
            <w:pPr>
              <w:pStyle w:val="Normal1linespace"/>
              <w:widowControl w:val="0"/>
              <w:jc w:val="left"/>
            </w:pPr>
            <w:r>
              <w:t>Date of judgment:</w:t>
            </w:r>
          </w:p>
        </w:tc>
        <w:tc>
          <w:tcPr>
            <w:tcW w:w="5989" w:type="dxa"/>
            <w:shd w:val="clear" w:color="auto" w:fill="auto"/>
          </w:tcPr>
          <w:p w14:paraId="7DDF042B" w14:textId="192D1D17" w:rsidR="00395B24" w:rsidRDefault="002C455C" w:rsidP="002C455C">
            <w:pPr>
              <w:pStyle w:val="Normal1linespace"/>
              <w:widowControl w:val="0"/>
              <w:jc w:val="left"/>
            </w:pPr>
            <w:bookmarkStart w:id="2" w:name="JudgmentDate"/>
            <w:r>
              <w:t>29 January 2019</w:t>
            </w:r>
            <w:bookmarkEnd w:id="2"/>
          </w:p>
        </w:tc>
      </w:tr>
      <w:tr w:rsidR="00395B24" w14:paraId="53077F86" w14:textId="77777777" w:rsidTr="00260824">
        <w:tc>
          <w:tcPr>
            <w:tcW w:w="3085" w:type="dxa"/>
            <w:shd w:val="clear" w:color="auto" w:fill="auto"/>
          </w:tcPr>
          <w:p w14:paraId="4AAEBA5C" w14:textId="77777777" w:rsidR="00395B24" w:rsidRDefault="00395B24" w:rsidP="00663878">
            <w:pPr>
              <w:pStyle w:val="Normal1linespace"/>
              <w:widowControl w:val="0"/>
              <w:jc w:val="left"/>
            </w:pPr>
          </w:p>
        </w:tc>
        <w:tc>
          <w:tcPr>
            <w:tcW w:w="5989" w:type="dxa"/>
            <w:shd w:val="clear" w:color="auto" w:fill="auto"/>
          </w:tcPr>
          <w:p w14:paraId="2C304659" w14:textId="77777777" w:rsidR="00395B24" w:rsidRDefault="00395B24" w:rsidP="00663878">
            <w:pPr>
              <w:pStyle w:val="Normal1linespace"/>
              <w:widowControl w:val="0"/>
              <w:jc w:val="left"/>
            </w:pPr>
          </w:p>
        </w:tc>
      </w:tr>
      <w:tr w:rsidR="00395B24" w14:paraId="123D8F88" w14:textId="77777777" w:rsidTr="00260824">
        <w:tc>
          <w:tcPr>
            <w:tcW w:w="3085" w:type="dxa"/>
            <w:shd w:val="clear" w:color="auto" w:fill="auto"/>
          </w:tcPr>
          <w:p w14:paraId="61B4248C" w14:textId="77777777" w:rsidR="00395B24" w:rsidRDefault="002C7385" w:rsidP="00663878">
            <w:pPr>
              <w:pStyle w:val="Normal1linespace"/>
              <w:widowControl w:val="0"/>
              <w:jc w:val="left"/>
            </w:pPr>
            <w:r w:rsidRPr="008906F5">
              <w:t>Catchwords:</w:t>
            </w:r>
          </w:p>
        </w:tc>
        <w:tc>
          <w:tcPr>
            <w:tcW w:w="5989" w:type="dxa"/>
            <w:shd w:val="clear" w:color="auto" w:fill="auto"/>
          </w:tcPr>
          <w:p w14:paraId="2FFE14F4" w14:textId="27EF07A8" w:rsidR="003D3C31" w:rsidRDefault="003D3C31" w:rsidP="003D3C31">
            <w:pPr>
              <w:pStyle w:val="Normal1linespace"/>
              <w:widowControl w:val="0"/>
              <w:jc w:val="left"/>
            </w:pPr>
            <w:bookmarkStart w:id="3" w:name="Catchwords"/>
            <w:r w:rsidRPr="003D3C31">
              <w:rPr>
                <w:b/>
              </w:rPr>
              <w:t>MIGRATION</w:t>
            </w:r>
            <w:r>
              <w:rPr>
                <w:b/>
              </w:rPr>
              <w:t xml:space="preserve"> – </w:t>
            </w:r>
            <w:r>
              <w:t xml:space="preserve">appeal from decision of Federal Circuit Court affirming </w:t>
            </w:r>
            <w:r w:rsidR="00CE53A4">
              <w:t>decision of</w:t>
            </w:r>
            <w:r>
              <w:t xml:space="preserve"> Administrative Appeals Tribuna</w:t>
            </w:r>
            <w:r w:rsidR="008906F5">
              <w:t xml:space="preserve">l to refuse </w:t>
            </w:r>
            <w:r>
              <w:t>protection visa</w:t>
            </w:r>
            <w:r w:rsidR="008906F5">
              <w:t xml:space="preserve"> application</w:t>
            </w:r>
            <w:r>
              <w:t xml:space="preserve"> – whether decision of Tribunal to refuse</w:t>
            </w:r>
            <w:r w:rsidR="008906F5">
              <w:t xml:space="preserve"> appellant’s application for </w:t>
            </w:r>
            <w:r>
              <w:t xml:space="preserve">adjournment </w:t>
            </w:r>
            <w:r w:rsidR="008906F5">
              <w:t xml:space="preserve">of hearing </w:t>
            </w:r>
            <w:r>
              <w:t>unreasonable – where adjournment concerned second hearing following reconstitution of Tribunal – where appellant unrepresented</w:t>
            </w:r>
            <w:r w:rsidR="008906F5">
              <w:t xml:space="preserve"> at second hearing</w:t>
            </w:r>
            <w:r>
              <w:t xml:space="preserve"> – failure to grant adjournment unreasonable in the circumstances – appeal allowed </w:t>
            </w:r>
          </w:p>
          <w:p w14:paraId="7EC4E322" w14:textId="4E485626" w:rsidR="003D3C31" w:rsidRDefault="003D3C31" w:rsidP="003D3C31">
            <w:pPr>
              <w:pStyle w:val="Normal1linespace"/>
              <w:widowControl w:val="0"/>
              <w:jc w:val="left"/>
            </w:pPr>
          </w:p>
          <w:p w14:paraId="16960D7F" w14:textId="7F9B60F6" w:rsidR="003D3C31" w:rsidRDefault="003D3C31" w:rsidP="003D3C31">
            <w:pPr>
              <w:pStyle w:val="Normal1linespace"/>
              <w:widowControl w:val="0"/>
              <w:jc w:val="left"/>
            </w:pPr>
            <w:r w:rsidRPr="003D3C31">
              <w:rPr>
                <w:b/>
              </w:rPr>
              <w:t>MIGRATION</w:t>
            </w:r>
            <w:r>
              <w:rPr>
                <w:b/>
              </w:rPr>
              <w:t xml:space="preserve"> – </w:t>
            </w:r>
            <w:r>
              <w:t xml:space="preserve">appeal from decision of Federal Circuit Court affirming decision of Tribunal </w:t>
            </w:r>
            <w:r w:rsidR="008906F5">
              <w:t xml:space="preserve">to refuse protection visa application </w:t>
            </w:r>
            <w:r>
              <w:t xml:space="preserve">– whether </w:t>
            </w:r>
            <w:r w:rsidR="008906F5">
              <w:t xml:space="preserve">Tribunal failed to exercise jurisdiction due to error in factual findings relevant to assessment of credibility– </w:t>
            </w:r>
            <w:r>
              <w:t xml:space="preserve">appeal allowed </w:t>
            </w:r>
          </w:p>
          <w:p w14:paraId="481DC872" w14:textId="77777777" w:rsidR="003D3C31" w:rsidRDefault="003D3C31" w:rsidP="003D3C31">
            <w:pPr>
              <w:pStyle w:val="Normal1linespace"/>
              <w:widowControl w:val="0"/>
              <w:jc w:val="left"/>
            </w:pPr>
          </w:p>
          <w:p w14:paraId="56EB0C23" w14:textId="2F73E699" w:rsidR="00395B24" w:rsidRPr="003D3C31" w:rsidRDefault="008906F5" w:rsidP="00E71AA0">
            <w:pPr>
              <w:pStyle w:val="Normal1linespace"/>
              <w:widowControl w:val="0"/>
              <w:jc w:val="left"/>
              <w:rPr>
                <w:b/>
              </w:rPr>
            </w:pPr>
            <w:r w:rsidRPr="008906F5">
              <w:rPr>
                <w:b/>
              </w:rPr>
              <w:t>PRACTICE AND PROCEDURE</w:t>
            </w:r>
            <w:r>
              <w:t xml:space="preserve"> – application for leave to amend notice of appeal – where ground not pressed </w:t>
            </w:r>
            <w:r w:rsidR="00E71AA0">
              <w:t xml:space="preserve">before Federal Circuit Court </w:t>
            </w:r>
            <w:r>
              <w:t>– consideration of principles concerning leave to amend notice of appeal – leave granted</w:t>
            </w:r>
            <w:r w:rsidR="002C7385" w:rsidRPr="003D3C31">
              <w:rPr>
                <w:b/>
              </w:rPr>
              <w:t xml:space="preserve"> </w:t>
            </w:r>
            <w:bookmarkEnd w:id="3"/>
          </w:p>
        </w:tc>
      </w:tr>
      <w:tr w:rsidR="00395B24" w14:paraId="10CA3B5F" w14:textId="77777777" w:rsidTr="00260824">
        <w:tc>
          <w:tcPr>
            <w:tcW w:w="3085" w:type="dxa"/>
            <w:shd w:val="clear" w:color="auto" w:fill="auto"/>
          </w:tcPr>
          <w:p w14:paraId="5EB80EB3" w14:textId="77777777" w:rsidR="00395B24" w:rsidRDefault="00395B24" w:rsidP="00663878">
            <w:pPr>
              <w:pStyle w:val="Normal1linespace"/>
              <w:widowControl w:val="0"/>
              <w:jc w:val="left"/>
            </w:pPr>
          </w:p>
        </w:tc>
        <w:tc>
          <w:tcPr>
            <w:tcW w:w="5989" w:type="dxa"/>
            <w:shd w:val="clear" w:color="auto" w:fill="auto"/>
          </w:tcPr>
          <w:p w14:paraId="5618CF01" w14:textId="77777777" w:rsidR="00395B24" w:rsidRDefault="00395B24" w:rsidP="00663878">
            <w:pPr>
              <w:pStyle w:val="Normal1linespace"/>
              <w:widowControl w:val="0"/>
              <w:jc w:val="left"/>
            </w:pPr>
          </w:p>
        </w:tc>
      </w:tr>
      <w:tr w:rsidR="00395B24" w14:paraId="2D7B01B8" w14:textId="77777777" w:rsidTr="00260824">
        <w:tc>
          <w:tcPr>
            <w:tcW w:w="3085" w:type="dxa"/>
            <w:shd w:val="clear" w:color="auto" w:fill="auto"/>
          </w:tcPr>
          <w:p w14:paraId="39547577" w14:textId="77777777" w:rsidR="00395B24" w:rsidRDefault="002C7385" w:rsidP="00663878">
            <w:pPr>
              <w:pStyle w:val="Normal1linespace"/>
              <w:widowControl w:val="0"/>
              <w:jc w:val="left"/>
            </w:pPr>
            <w:r>
              <w:t>Legislation:</w:t>
            </w:r>
          </w:p>
        </w:tc>
        <w:tc>
          <w:tcPr>
            <w:tcW w:w="5989" w:type="dxa"/>
            <w:shd w:val="clear" w:color="auto" w:fill="auto"/>
          </w:tcPr>
          <w:p w14:paraId="21B0C1EF" w14:textId="4986C6A1" w:rsidR="00395B24" w:rsidRPr="002C455C" w:rsidRDefault="002C455C" w:rsidP="00E861CD">
            <w:pPr>
              <w:pStyle w:val="CasesLegislationAppealFrom"/>
              <w:spacing w:after="60"/>
            </w:pPr>
            <w:bookmarkStart w:id="4" w:name="Legislation"/>
            <w:r w:rsidRPr="002C455C">
              <w:rPr>
                <w:i/>
              </w:rPr>
              <w:t>Migration Act 1958</w:t>
            </w:r>
            <w:r w:rsidRPr="002C455C">
              <w:t xml:space="preserve"> (</w:t>
            </w:r>
            <w:proofErr w:type="spellStart"/>
            <w:r w:rsidRPr="002C455C">
              <w:t>Cth</w:t>
            </w:r>
            <w:proofErr w:type="spellEnd"/>
            <w:r w:rsidRPr="002C455C">
              <w:t>)</w:t>
            </w:r>
            <w:r w:rsidR="00E861CD">
              <w:t xml:space="preserve"> </w:t>
            </w:r>
            <w:proofErr w:type="spellStart"/>
            <w:r w:rsidR="00E861CD">
              <w:t>ss</w:t>
            </w:r>
            <w:proofErr w:type="spellEnd"/>
            <w:r w:rsidR="00E861CD">
              <w:t xml:space="preserve"> 48B, 363(1)(b), </w:t>
            </w:r>
            <w:r w:rsidR="005F0D02">
              <w:t xml:space="preserve">415(2)(a), 425, </w:t>
            </w:r>
            <w:r w:rsidR="00E861CD">
              <w:t xml:space="preserve">426A(1), 427(1)(b) </w:t>
            </w:r>
          </w:p>
          <w:p w14:paraId="782B3AC8" w14:textId="09E5E08C" w:rsidR="002C455C" w:rsidRPr="002C455C" w:rsidRDefault="002C455C" w:rsidP="00C94521">
            <w:pPr>
              <w:pStyle w:val="CasesLegislationAppealFrom"/>
              <w:spacing w:after="60"/>
            </w:pPr>
            <w:r w:rsidRPr="002C455C">
              <w:rPr>
                <w:i/>
              </w:rPr>
              <w:t>Federal Court of Australia Act 1976</w:t>
            </w:r>
            <w:r w:rsidRPr="002C455C">
              <w:t xml:space="preserve"> (</w:t>
            </w:r>
            <w:proofErr w:type="spellStart"/>
            <w:r w:rsidRPr="002C455C">
              <w:t>Ct</w:t>
            </w:r>
            <w:r w:rsidR="00C94521">
              <w:t>h</w:t>
            </w:r>
            <w:proofErr w:type="spellEnd"/>
            <w:r w:rsidR="00C94521">
              <w:t>) s 37M</w:t>
            </w:r>
            <w:bookmarkEnd w:id="4"/>
          </w:p>
        </w:tc>
      </w:tr>
      <w:tr w:rsidR="00395B24" w14:paraId="794C830C" w14:textId="77777777" w:rsidTr="00260824">
        <w:tc>
          <w:tcPr>
            <w:tcW w:w="3085" w:type="dxa"/>
            <w:shd w:val="clear" w:color="auto" w:fill="auto"/>
          </w:tcPr>
          <w:p w14:paraId="62FDBB72" w14:textId="77777777" w:rsidR="00395B24" w:rsidRDefault="00395B24" w:rsidP="00663878">
            <w:pPr>
              <w:pStyle w:val="Normal1linespace"/>
              <w:widowControl w:val="0"/>
              <w:jc w:val="left"/>
            </w:pPr>
          </w:p>
        </w:tc>
        <w:tc>
          <w:tcPr>
            <w:tcW w:w="5989" w:type="dxa"/>
            <w:shd w:val="clear" w:color="auto" w:fill="auto"/>
          </w:tcPr>
          <w:p w14:paraId="3B0CE8D2" w14:textId="77777777" w:rsidR="00395B24" w:rsidRDefault="00395B24" w:rsidP="00663878">
            <w:pPr>
              <w:pStyle w:val="Normal1linespace"/>
              <w:widowControl w:val="0"/>
              <w:jc w:val="left"/>
            </w:pPr>
          </w:p>
        </w:tc>
      </w:tr>
      <w:tr w:rsidR="00395B24" w14:paraId="2A7E4789" w14:textId="77777777" w:rsidTr="00260824">
        <w:tc>
          <w:tcPr>
            <w:tcW w:w="3085" w:type="dxa"/>
            <w:shd w:val="clear" w:color="auto" w:fill="auto"/>
          </w:tcPr>
          <w:p w14:paraId="074C5D7F" w14:textId="77777777" w:rsidR="00395B24" w:rsidRDefault="002C7385" w:rsidP="00663878">
            <w:pPr>
              <w:pStyle w:val="Normal1linespace"/>
              <w:widowControl w:val="0"/>
              <w:jc w:val="left"/>
            </w:pPr>
            <w:r>
              <w:t>Cases cited:</w:t>
            </w:r>
          </w:p>
        </w:tc>
        <w:tc>
          <w:tcPr>
            <w:tcW w:w="5989" w:type="dxa"/>
            <w:shd w:val="clear" w:color="auto" w:fill="auto"/>
          </w:tcPr>
          <w:p w14:paraId="11296111" w14:textId="77777777" w:rsidR="002C455C" w:rsidRPr="002C455C" w:rsidRDefault="002C455C" w:rsidP="00D82620">
            <w:pPr>
              <w:pStyle w:val="CasesLegislationAppealFrom"/>
              <w:spacing w:after="60"/>
            </w:pPr>
            <w:bookmarkStart w:id="5" w:name="Cases_Cited"/>
            <w:r w:rsidRPr="002C455C">
              <w:rPr>
                <w:i/>
              </w:rPr>
              <w:t>ARK16 v Minister for Immigration and Border Protection</w:t>
            </w:r>
            <w:r w:rsidRPr="002C455C">
              <w:t xml:space="preserve"> [2018] FCA 825</w:t>
            </w:r>
          </w:p>
          <w:p w14:paraId="7B7D9659" w14:textId="77777777" w:rsidR="002C455C" w:rsidRPr="002C455C" w:rsidRDefault="002C455C" w:rsidP="00D82620">
            <w:pPr>
              <w:pStyle w:val="CasesLegislationAppealFrom"/>
              <w:spacing w:after="60"/>
            </w:pPr>
            <w:r w:rsidRPr="002C455C">
              <w:rPr>
                <w:i/>
              </w:rPr>
              <w:t>AVQ15 v Minister for Immigration and Border Protection</w:t>
            </w:r>
            <w:r w:rsidRPr="002C455C" w:rsidDel="00D866E7">
              <w:rPr>
                <w:i/>
              </w:rPr>
              <w:t xml:space="preserve"> </w:t>
            </w:r>
            <w:r w:rsidRPr="002C455C">
              <w:t>[2018] FCAFC 133</w:t>
            </w:r>
          </w:p>
          <w:p w14:paraId="1BFDD7FC" w14:textId="77777777" w:rsidR="002C455C" w:rsidRPr="002C455C" w:rsidRDefault="002C455C" w:rsidP="00D82620">
            <w:pPr>
              <w:pStyle w:val="CasesLegislationAppealFrom"/>
              <w:spacing w:after="60"/>
            </w:pPr>
            <w:r w:rsidRPr="002C455C">
              <w:rPr>
                <w:i/>
              </w:rPr>
              <w:t>BKQ16 v Minister for Immigration &amp; Anor</w:t>
            </w:r>
            <w:r w:rsidRPr="002C455C">
              <w:t xml:space="preserve"> [2018] FCCA 137</w:t>
            </w:r>
          </w:p>
          <w:p w14:paraId="74539790" w14:textId="77777777" w:rsidR="002C455C" w:rsidRPr="002C455C" w:rsidRDefault="002C455C" w:rsidP="00D82620">
            <w:pPr>
              <w:pStyle w:val="CasesLegislationAppealFrom"/>
              <w:spacing w:after="60"/>
            </w:pPr>
            <w:r w:rsidRPr="002C455C">
              <w:rPr>
                <w:i/>
              </w:rPr>
              <w:t xml:space="preserve">CKC16 v Minister for Immigration and Border Protection </w:t>
            </w:r>
            <w:r w:rsidRPr="002C455C">
              <w:t>[2018] FCA 1260</w:t>
            </w:r>
          </w:p>
          <w:p w14:paraId="45EA7848" w14:textId="77777777" w:rsidR="002C455C" w:rsidRPr="002C455C" w:rsidRDefault="002C455C" w:rsidP="00D82620">
            <w:pPr>
              <w:pStyle w:val="CasesLegislationAppealFrom"/>
              <w:spacing w:after="60"/>
            </w:pPr>
            <w:proofErr w:type="spellStart"/>
            <w:r w:rsidRPr="002C455C">
              <w:rPr>
                <w:i/>
              </w:rPr>
              <w:t>Coulton</w:t>
            </w:r>
            <w:proofErr w:type="spellEnd"/>
            <w:r w:rsidRPr="002C455C">
              <w:rPr>
                <w:i/>
              </w:rPr>
              <w:t xml:space="preserve"> v Holcombe</w:t>
            </w:r>
            <w:r w:rsidRPr="002C455C">
              <w:t xml:space="preserve"> [1986] HCA 33;</w:t>
            </w:r>
            <w:r w:rsidRPr="002C455C">
              <w:rPr>
                <w:i/>
              </w:rPr>
              <w:t xml:space="preserve"> </w:t>
            </w:r>
            <w:r w:rsidRPr="002C455C">
              <w:t>162 CLR 1</w:t>
            </w:r>
          </w:p>
          <w:p w14:paraId="4F153D7E" w14:textId="77777777" w:rsidR="002C455C" w:rsidRPr="002C455C" w:rsidRDefault="002C455C" w:rsidP="00D82620">
            <w:pPr>
              <w:pStyle w:val="CasesLegislationAppealFrom"/>
              <w:spacing w:after="60"/>
            </w:pPr>
            <w:r w:rsidRPr="002C455C">
              <w:rPr>
                <w:i/>
              </w:rPr>
              <w:lastRenderedPageBreak/>
              <w:t xml:space="preserve">CPE15 v Minister for Immigration and Border Protection </w:t>
            </w:r>
            <w:r w:rsidRPr="002C455C">
              <w:t>[2017] FCA 591</w:t>
            </w:r>
          </w:p>
          <w:p w14:paraId="7CE4F4B8" w14:textId="5848EB6F" w:rsidR="002C455C" w:rsidRPr="002C455C" w:rsidRDefault="002C455C" w:rsidP="00D82620">
            <w:pPr>
              <w:pStyle w:val="CasesLegislationAppealFrom"/>
              <w:spacing w:after="60"/>
            </w:pPr>
            <w:r w:rsidRPr="002C455C">
              <w:rPr>
                <w:i/>
              </w:rPr>
              <w:t>Haritos v Commissioner of Taxation</w:t>
            </w:r>
            <w:r w:rsidRPr="002C455C">
              <w:t xml:space="preserve"> [2015] FCA</w:t>
            </w:r>
            <w:r>
              <w:t xml:space="preserve">FC 92; 233 FCR 315 </w:t>
            </w:r>
          </w:p>
          <w:p w14:paraId="768D30E6" w14:textId="77777777" w:rsidR="002C455C" w:rsidRPr="002C455C" w:rsidRDefault="002C455C" w:rsidP="00D82620">
            <w:pPr>
              <w:pStyle w:val="CasesLegislationAppealFrom"/>
              <w:spacing w:after="60"/>
            </w:pPr>
            <w:proofErr w:type="spellStart"/>
            <w:r w:rsidRPr="002C455C">
              <w:rPr>
                <w:i/>
              </w:rPr>
              <w:t>Maharjan</w:t>
            </w:r>
            <w:proofErr w:type="spellEnd"/>
            <w:r w:rsidRPr="002C455C">
              <w:rPr>
                <w:i/>
              </w:rPr>
              <w:t xml:space="preserve"> v Minister for Immigration and Border Protection</w:t>
            </w:r>
            <w:r w:rsidRPr="002C455C">
              <w:t xml:space="preserve"> [2017] FCAFC 213; 258 FCR 1</w:t>
            </w:r>
          </w:p>
          <w:p w14:paraId="2199E3B7" w14:textId="1D519105" w:rsidR="002C455C" w:rsidRPr="002C455C" w:rsidRDefault="002C455C" w:rsidP="00D82620">
            <w:pPr>
              <w:pStyle w:val="CasesLegislationAppealFrom"/>
              <w:spacing w:after="60"/>
            </w:pPr>
            <w:r w:rsidRPr="002C455C">
              <w:rPr>
                <w:i/>
              </w:rPr>
              <w:t xml:space="preserve">Minister for Immigration and Border Protection v </w:t>
            </w:r>
            <w:proofErr w:type="spellStart"/>
            <w:r w:rsidRPr="002C455C">
              <w:rPr>
                <w:i/>
              </w:rPr>
              <w:t>Aulakh</w:t>
            </w:r>
            <w:proofErr w:type="spellEnd"/>
            <w:r w:rsidR="005F0D02">
              <w:t xml:space="preserve"> [2018] FCAFC 91</w:t>
            </w:r>
          </w:p>
          <w:p w14:paraId="27C19635" w14:textId="77777777" w:rsidR="002C455C" w:rsidRPr="002C455C" w:rsidRDefault="002C455C" w:rsidP="00D82620">
            <w:pPr>
              <w:pStyle w:val="CasesLegislationAppealFrom"/>
              <w:spacing w:after="60"/>
            </w:pPr>
            <w:r w:rsidRPr="002C455C">
              <w:rPr>
                <w:i/>
              </w:rPr>
              <w:t>Minister for Immigration and Border Protection v SZVFW</w:t>
            </w:r>
            <w:r w:rsidRPr="002C455C">
              <w:t xml:space="preserve"> [2018] HCA 30; 92 ALJR 713</w:t>
            </w:r>
          </w:p>
          <w:p w14:paraId="48AC47F8" w14:textId="77777777" w:rsidR="002C455C" w:rsidRPr="002C455C" w:rsidRDefault="002C455C" w:rsidP="00D82620">
            <w:pPr>
              <w:pStyle w:val="CasesLegislationAppealFrom"/>
              <w:spacing w:after="60"/>
            </w:pPr>
            <w:r w:rsidRPr="002C455C">
              <w:rPr>
                <w:i/>
              </w:rPr>
              <w:t>Minister for Immigration and Citizenship v Li</w:t>
            </w:r>
            <w:r w:rsidRPr="002C455C">
              <w:t xml:space="preserve"> [2013] HCA 18; 249 CLR 332</w:t>
            </w:r>
          </w:p>
          <w:p w14:paraId="1451D155" w14:textId="77777777" w:rsidR="002C455C" w:rsidRPr="002C455C" w:rsidRDefault="002C455C" w:rsidP="00D82620">
            <w:pPr>
              <w:pStyle w:val="CasesLegislationAppealFrom"/>
              <w:spacing w:after="60"/>
            </w:pPr>
            <w:r w:rsidRPr="002C455C">
              <w:rPr>
                <w:i/>
              </w:rPr>
              <w:t>Murad v Assistant Minister for Immigration and Border Protection</w:t>
            </w:r>
            <w:r w:rsidRPr="002C455C">
              <w:t xml:space="preserve"> [2017] FCAFC 73</w:t>
            </w:r>
          </w:p>
          <w:p w14:paraId="21D8745C" w14:textId="77777777" w:rsidR="002C455C" w:rsidRPr="002C455C" w:rsidRDefault="002C455C" w:rsidP="00D82620">
            <w:pPr>
              <w:pStyle w:val="CasesLegislationAppealFrom"/>
              <w:spacing w:after="60"/>
            </w:pPr>
            <w:r w:rsidRPr="002C455C">
              <w:rPr>
                <w:i/>
              </w:rPr>
              <w:t xml:space="preserve">MZZJO v Minister for Immigration and Border Protection </w:t>
            </w:r>
            <w:r w:rsidRPr="002C455C">
              <w:t>[2014] FCAFC 80; 239 FCR 436</w:t>
            </w:r>
          </w:p>
          <w:p w14:paraId="17AB879D" w14:textId="07F4B608" w:rsidR="002C455C" w:rsidRPr="002C455C" w:rsidRDefault="002C455C" w:rsidP="00D82620">
            <w:pPr>
              <w:pStyle w:val="CasesLegislationAppealFrom"/>
              <w:spacing w:after="60"/>
            </w:pPr>
            <w:r w:rsidRPr="002C455C">
              <w:rPr>
                <w:i/>
              </w:rPr>
              <w:t>WAGO of 2002 v Minister for Immigration and Multicultural and Indigenous Affairs</w:t>
            </w:r>
            <w:r w:rsidRPr="002C455C">
              <w:t xml:space="preserve"> [2002] FCAFC 437; 194 ALR 676</w:t>
            </w:r>
            <w:bookmarkEnd w:id="5"/>
          </w:p>
        </w:tc>
      </w:tr>
      <w:tr w:rsidR="00260824" w:rsidRPr="00260824" w14:paraId="6634CD32" w14:textId="77777777" w:rsidTr="00260824">
        <w:tc>
          <w:tcPr>
            <w:tcW w:w="3085" w:type="dxa"/>
            <w:shd w:val="clear" w:color="auto" w:fill="auto"/>
          </w:tcPr>
          <w:p w14:paraId="1CC7D301" w14:textId="77777777" w:rsidR="00260824" w:rsidRPr="00260824" w:rsidRDefault="00260824" w:rsidP="00260824">
            <w:pPr>
              <w:pStyle w:val="Normal1linespace"/>
              <w:jc w:val="left"/>
            </w:pPr>
          </w:p>
        </w:tc>
        <w:tc>
          <w:tcPr>
            <w:tcW w:w="5989" w:type="dxa"/>
            <w:shd w:val="clear" w:color="auto" w:fill="auto"/>
          </w:tcPr>
          <w:p w14:paraId="38F69166" w14:textId="77777777" w:rsidR="00260824" w:rsidRPr="00260824" w:rsidRDefault="00260824" w:rsidP="00260824">
            <w:pPr>
              <w:pStyle w:val="Normal1linespace"/>
              <w:jc w:val="left"/>
            </w:pPr>
          </w:p>
        </w:tc>
      </w:tr>
      <w:tr w:rsidR="00260824" w:rsidRPr="00260824" w14:paraId="36A3EBC6" w14:textId="77777777" w:rsidTr="00260824">
        <w:tc>
          <w:tcPr>
            <w:tcW w:w="3085" w:type="dxa"/>
            <w:shd w:val="clear" w:color="auto" w:fill="auto"/>
          </w:tcPr>
          <w:p w14:paraId="12B0DA86" w14:textId="77777777" w:rsidR="00260824" w:rsidRPr="00260824" w:rsidRDefault="00260824" w:rsidP="00260824">
            <w:pPr>
              <w:pStyle w:val="Normal1linespace"/>
              <w:jc w:val="left"/>
            </w:pPr>
            <w:bookmarkStart w:id="6" w:name="CounselDate" w:colFirst="0" w:colLast="2"/>
            <w:r w:rsidRPr="00260824">
              <w:t>Date of hearing:</w:t>
            </w:r>
          </w:p>
        </w:tc>
        <w:tc>
          <w:tcPr>
            <w:tcW w:w="5989" w:type="dxa"/>
            <w:shd w:val="clear" w:color="auto" w:fill="auto"/>
          </w:tcPr>
          <w:p w14:paraId="25BBF49D" w14:textId="09626A8B" w:rsidR="00260824" w:rsidRPr="00260824" w:rsidRDefault="00260824" w:rsidP="00260824">
            <w:pPr>
              <w:pStyle w:val="Normal1linespace"/>
              <w:jc w:val="left"/>
            </w:pPr>
            <w:bookmarkStart w:id="7" w:name="HearingDate"/>
            <w:r>
              <w:t>13 November 2018</w:t>
            </w:r>
            <w:bookmarkEnd w:id="7"/>
          </w:p>
        </w:tc>
      </w:tr>
      <w:tr w:rsidR="00260824" w:rsidRPr="00260824" w14:paraId="3EF3600C" w14:textId="77777777" w:rsidTr="00260824">
        <w:tc>
          <w:tcPr>
            <w:tcW w:w="3085" w:type="dxa"/>
            <w:shd w:val="clear" w:color="auto" w:fill="auto"/>
          </w:tcPr>
          <w:p w14:paraId="4998E25F" w14:textId="77777777" w:rsidR="00260824" w:rsidRPr="00260824" w:rsidRDefault="00260824" w:rsidP="00260824">
            <w:pPr>
              <w:pStyle w:val="Normal1linespace"/>
              <w:jc w:val="left"/>
            </w:pPr>
          </w:p>
        </w:tc>
        <w:tc>
          <w:tcPr>
            <w:tcW w:w="5989" w:type="dxa"/>
            <w:shd w:val="clear" w:color="auto" w:fill="auto"/>
          </w:tcPr>
          <w:p w14:paraId="09312F61" w14:textId="77777777" w:rsidR="00260824" w:rsidRPr="00260824" w:rsidRDefault="00260824" w:rsidP="00260824">
            <w:pPr>
              <w:pStyle w:val="Normal1linespace"/>
              <w:jc w:val="left"/>
            </w:pPr>
          </w:p>
        </w:tc>
      </w:tr>
      <w:tr w:rsidR="00260824" w:rsidRPr="00260824" w14:paraId="3E060E61" w14:textId="77777777" w:rsidTr="00260824">
        <w:tc>
          <w:tcPr>
            <w:tcW w:w="3085" w:type="dxa"/>
            <w:shd w:val="clear" w:color="auto" w:fill="auto"/>
          </w:tcPr>
          <w:p w14:paraId="19B894F6" w14:textId="77777777" w:rsidR="00260824" w:rsidRPr="00260824" w:rsidRDefault="00260824" w:rsidP="00260824">
            <w:pPr>
              <w:pStyle w:val="Normal1linespace"/>
              <w:jc w:val="left"/>
            </w:pPr>
            <w:r w:rsidRPr="00260824">
              <w:t>Date of last submissions:</w:t>
            </w:r>
          </w:p>
        </w:tc>
        <w:tc>
          <w:tcPr>
            <w:tcW w:w="5989" w:type="dxa"/>
            <w:shd w:val="clear" w:color="auto" w:fill="auto"/>
          </w:tcPr>
          <w:p w14:paraId="59376AB9" w14:textId="1AC8E625" w:rsidR="00260824" w:rsidRPr="00260824" w:rsidRDefault="00260824" w:rsidP="00260824">
            <w:pPr>
              <w:pStyle w:val="Normal1linespace"/>
              <w:jc w:val="left"/>
            </w:pPr>
            <w:r>
              <w:t>27 November 2018</w:t>
            </w:r>
          </w:p>
        </w:tc>
      </w:tr>
      <w:bookmarkEnd w:id="6"/>
      <w:tr w:rsidR="00260824" w14:paraId="608A08AB" w14:textId="77777777" w:rsidTr="00260824">
        <w:tc>
          <w:tcPr>
            <w:tcW w:w="3085" w:type="dxa"/>
            <w:shd w:val="clear" w:color="auto" w:fill="auto"/>
          </w:tcPr>
          <w:p w14:paraId="2F5871A8" w14:textId="77777777" w:rsidR="00260824" w:rsidRDefault="00260824" w:rsidP="00260824">
            <w:pPr>
              <w:pStyle w:val="Normal1linespace"/>
              <w:widowControl w:val="0"/>
              <w:jc w:val="left"/>
            </w:pPr>
          </w:p>
        </w:tc>
        <w:tc>
          <w:tcPr>
            <w:tcW w:w="5989" w:type="dxa"/>
            <w:shd w:val="clear" w:color="auto" w:fill="auto"/>
          </w:tcPr>
          <w:p w14:paraId="6F0CFE70" w14:textId="77777777" w:rsidR="00260824" w:rsidRDefault="00260824" w:rsidP="00260824">
            <w:pPr>
              <w:pStyle w:val="Normal1linespace"/>
              <w:widowControl w:val="0"/>
              <w:jc w:val="left"/>
            </w:pPr>
          </w:p>
        </w:tc>
      </w:tr>
      <w:tr w:rsidR="00260824" w14:paraId="78AFA538" w14:textId="77777777" w:rsidTr="00260824">
        <w:tc>
          <w:tcPr>
            <w:tcW w:w="3085" w:type="dxa"/>
            <w:shd w:val="clear" w:color="auto" w:fill="auto"/>
          </w:tcPr>
          <w:p w14:paraId="2A7B7D3C" w14:textId="77777777" w:rsidR="00260824" w:rsidRDefault="00260824" w:rsidP="00260824">
            <w:pPr>
              <w:pStyle w:val="Normal1linespace"/>
              <w:widowControl w:val="0"/>
              <w:jc w:val="left"/>
            </w:pPr>
            <w:r>
              <w:t>Registry:</w:t>
            </w:r>
          </w:p>
        </w:tc>
        <w:tc>
          <w:tcPr>
            <w:tcW w:w="5989" w:type="dxa"/>
            <w:shd w:val="clear" w:color="auto" w:fill="auto"/>
          </w:tcPr>
          <w:p w14:paraId="5E803CF6" w14:textId="263F80A4" w:rsidR="00260824" w:rsidRPr="00F17599" w:rsidRDefault="001A7AC8" w:rsidP="00260824">
            <w:pPr>
              <w:pStyle w:val="Normal1linespace"/>
              <w:widowControl w:val="0"/>
              <w:jc w:val="left"/>
            </w:pPr>
            <w:fldSimple w:instr=" DOCPROPERTY  Registry ">
              <w:r w:rsidR="00260824">
                <w:t>Victoria</w:t>
              </w:r>
            </w:fldSimple>
          </w:p>
        </w:tc>
      </w:tr>
      <w:tr w:rsidR="00260824" w14:paraId="4A216FB1" w14:textId="77777777" w:rsidTr="00260824">
        <w:tc>
          <w:tcPr>
            <w:tcW w:w="3085" w:type="dxa"/>
            <w:shd w:val="clear" w:color="auto" w:fill="auto"/>
          </w:tcPr>
          <w:p w14:paraId="05625F37" w14:textId="77777777" w:rsidR="00260824" w:rsidRDefault="00260824" w:rsidP="00260824">
            <w:pPr>
              <w:pStyle w:val="Normal1linespace"/>
              <w:widowControl w:val="0"/>
              <w:jc w:val="left"/>
            </w:pPr>
          </w:p>
        </w:tc>
        <w:tc>
          <w:tcPr>
            <w:tcW w:w="5989" w:type="dxa"/>
            <w:shd w:val="clear" w:color="auto" w:fill="auto"/>
          </w:tcPr>
          <w:p w14:paraId="29EB7CDA" w14:textId="77777777" w:rsidR="00260824" w:rsidRDefault="00260824" w:rsidP="00260824">
            <w:pPr>
              <w:pStyle w:val="Normal1linespace"/>
              <w:widowControl w:val="0"/>
              <w:jc w:val="left"/>
            </w:pPr>
          </w:p>
        </w:tc>
      </w:tr>
      <w:tr w:rsidR="00260824" w14:paraId="3CE7AE8C" w14:textId="77777777" w:rsidTr="00260824">
        <w:tc>
          <w:tcPr>
            <w:tcW w:w="3085" w:type="dxa"/>
            <w:shd w:val="clear" w:color="auto" w:fill="auto"/>
          </w:tcPr>
          <w:p w14:paraId="7FC6B17D" w14:textId="77777777" w:rsidR="00260824" w:rsidRDefault="00260824" w:rsidP="00260824">
            <w:pPr>
              <w:pStyle w:val="Normal1linespace"/>
              <w:widowControl w:val="0"/>
              <w:jc w:val="left"/>
            </w:pPr>
            <w:r>
              <w:t>Division:</w:t>
            </w:r>
          </w:p>
        </w:tc>
        <w:tc>
          <w:tcPr>
            <w:tcW w:w="5989" w:type="dxa"/>
            <w:shd w:val="clear" w:color="auto" w:fill="auto"/>
          </w:tcPr>
          <w:p w14:paraId="04940099" w14:textId="6C05F8A8" w:rsidR="00260824" w:rsidRPr="00F17599" w:rsidRDefault="001A7AC8" w:rsidP="00260824">
            <w:pPr>
              <w:pStyle w:val="Normal1linespace"/>
              <w:widowControl w:val="0"/>
              <w:jc w:val="left"/>
            </w:pPr>
            <w:fldSimple w:instr=" DOCPROPERTY  Division ">
              <w:r w:rsidR="00260824">
                <w:t>General Division</w:t>
              </w:r>
            </w:fldSimple>
          </w:p>
        </w:tc>
      </w:tr>
      <w:tr w:rsidR="00260824" w14:paraId="418C7D64" w14:textId="77777777" w:rsidTr="00260824">
        <w:tc>
          <w:tcPr>
            <w:tcW w:w="3085" w:type="dxa"/>
            <w:shd w:val="clear" w:color="auto" w:fill="auto"/>
          </w:tcPr>
          <w:p w14:paraId="1F1FF6D8" w14:textId="77777777" w:rsidR="00260824" w:rsidRDefault="00260824" w:rsidP="00260824">
            <w:pPr>
              <w:pStyle w:val="Normal1linespace"/>
              <w:widowControl w:val="0"/>
              <w:jc w:val="left"/>
            </w:pPr>
          </w:p>
        </w:tc>
        <w:tc>
          <w:tcPr>
            <w:tcW w:w="5989" w:type="dxa"/>
            <w:shd w:val="clear" w:color="auto" w:fill="auto"/>
          </w:tcPr>
          <w:p w14:paraId="284D88F9" w14:textId="77777777" w:rsidR="00260824" w:rsidRPr="00F17599" w:rsidRDefault="00260824" w:rsidP="00260824">
            <w:pPr>
              <w:pStyle w:val="Normal1linespace"/>
              <w:widowControl w:val="0"/>
              <w:jc w:val="left"/>
              <w:rPr>
                <w:b/>
              </w:rPr>
            </w:pPr>
          </w:p>
        </w:tc>
      </w:tr>
      <w:tr w:rsidR="00260824" w14:paraId="7CB00E82" w14:textId="77777777" w:rsidTr="00260824">
        <w:tc>
          <w:tcPr>
            <w:tcW w:w="3085" w:type="dxa"/>
            <w:shd w:val="clear" w:color="auto" w:fill="auto"/>
          </w:tcPr>
          <w:p w14:paraId="45B3435D" w14:textId="77777777" w:rsidR="00260824" w:rsidRPr="00260824" w:rsidRDefault="00260824" w:rsidP="00260824">
            <w:pPr>
              <w:pStyle w:val="Normal1linespace"/>
              <w:widowControl w:val="0"/>
              <w:jc w:val="left"/>
            </w:pPr>
            <w:r w:rsidRPr="00260824">
              <w:t>National Practice Area:</w:t>
            </w:r>
          </w:p>
        </w:tc>
        <w:tc>
          <w:tcPr>
            <w:tcW w:w="5989" w:type="dxa"/>
            <w:shd w:val="clear" w:color="auto" w:fill="auto"/>
          </w:tcPr>
          <w:p w14:paraId="092C1F0E" w14:textId="62616C71" w:rsidR="00260824" w:rsidRPr="00260824" w:rsidRDefault="00723913" w:rsidP="00260824">
            <w:pPr>
              <w:pStyle w:val="Normal1linespace"/>
              <w:widowControl w:val="0"/>
              <w:jc w:val="left"/>
              <w:rPr>
                <w:b/>
              </w:rPr>
            </w:pPr>
            <w:r>
              <w:fldChar w:fldCharType="begin"/>
            </w:r>
            <w:r>
              <w:instrText xml:space="preserve"> DOCPROPERTY  "Practice Area"  \* MERGEFORMAT </w:instrText>
            </w:r>
            <w:r>
              <w:fldChar w:fldCharType="separate"/>
            </w:r>
            <w:r w:rsidR="00260824" w:rsidRPr="00260824">
              <w:t>Administrative and Constitutional Law and Human Rights</w:t>
            </w:r>
            <w:r>
              <w:fldChar w:fldCharType="end"/>
            </w:r>
          </w:p>
        </w:tc>
      </w:tr>
      <w:tr w:rsidR="00260824" w14:paraId="0A7E4DB9" w14:textId="77777777" w:rsidTr="00260824">
        <w:tc>
          <w:tcPr>
            <w:tcW w:w="3085" w:type="dxa"/>
            <w:shd w:val="clear" w:color="auto" w:fill="auto"/>
          </w:tcPr>
          <w:p w14:paraId="26536F4C" w14:textId="77777777" w:rsidR="00260824" w:rsidRPr="00260824" w:rsidRDefault="00260824" w:rsidP="00260824">
            <w:pPr>
              <w:pStyle w:val="Normal1linespace"/>
              <w:widowControl w:val="0"/>
              <w:jc w:val="left"/>
            </w:pPr>
          </w:p>
        </w:tc>
        <w:tc>
          <w:tcPr>
            <w:tcW w:w="5989" w:type="dxa"/>
            <w:shd w:val="clear" w:color="auto" w:fill="auto"/>
          </w:tcPr>
          <w:p w14:paraId="69E17CD1" w14:textId="77777777" w:rsidR="00260824" w:rsidRPr="00260824" w:rsidRDefault="00260824" w:rsidP="00260824">
            <w:pPr>
              <w:pStyle w:val="Normal1linespace"/>
              <w:widowControl w:val="0"/>
              <w:jc w:val="left"/>
              <w:rPr>
                <w:b/>
              </w:rPr>
            </w:pPr>
          </w:p>
        </w:tc>
      </w:tr>
      <w:tr w:rsidR="00260824" w14:paraId="13193DD8" w14:textId="77777777" w:rsidTr="00260824">
        <w:tc>
          <w:tcPr>
            <w:tcW w:w="3085" w:type="dxa"/>
            <w:shd w:val="clear" w:color="auto" w:fill="auto"/>
          </w:tcPr>
          <w:p w14:paraId="2A7865FC" w14:textId="77777777" w:rsidR="00260824" w:rsidRPr="00260824" w:rsidRDefault="00260824" w:rsidP="00260824">
            <w:pPr>
              <w:pStyle w:val="Normal1linespace"/>
              <w:widowControl w:val="0"/>
              <w:jc w:val="left"/>
            </w:pPr>
            <w:r w:rsidRPr="00260824">
              <w:t>Category:</w:t>
            </w:r>
          </w:p>
        </w:tc>
        <w:tc>
          <w:tcPr>
            <w:tcW w:w="5989" w:type="dxa"/>
            <w:shd w:val="clear" w:color="auto" w:fill="auto"/>
          </w:tcPr>
          <w:p w14:paraId="67ED3BBA" w14:textId="5318A853" w:rsidR="00260824" w:rsidRPr="00260824" w:rsidRDefault="00260824" w:rsidP="00260824">
            <w:pPr>
              <w:pStyle w:val="Normal1linespace"/>
              <w:widowControl w:val="0"/>
              <w:jc w:val="left"/>
            </w:pPr>
            <w:r w:rsidRPr="00260824">
              <w:t>Catchwords</w:t>
            </w:r>
          </w:p>
        </w:tc>
      </w:tr>
      <w:tr w:rsidR="00260824" w14:paraId="4709A7A4" w14:textId="77777777" w:rsidTr="00260824">
        <w:tc>
          <w:tcPr>
            <w:tcW w:w="3085" w:type="dxa"/>
            <w:shd w:val="clear" w:color="auto" w:fill="auto"/>
          </w:tcPr>
          <w:p w14:paraId="4A6630D4" w14:textId="77777777" w:rsidR="00260824" w:rsidRPr="00260824" w:rsidRDefault="00260824" w:rsidP="00260824">
            <w:pPr>
              <w:pStyle w:val="Normal1linespace"/>
              <w:widowControl w:val="0"/>
              <w:jc w:val="left"/>
            </w:pPr>
          </w:p>
        </w:tc>
        <w:tc>
          <w:tcPr>
            <w:tcW w:w="5989" w:type="dxa"/>
            <w:shd w:val="clear" w:color="auto" w:fill="auto"/>
          </w:tcPr>
          <w:p w14:paraId="4D6C190B" w14:textId="77777777" w:rsidR="00260824" w:rsidRPr="00260824" w:rsidRDefault="00260824" w:rsidP="00260824">
            <w:pPr>
              <w:pStyle w:val="Normal1linespace"/>
              <w:widowControl w:val="0"/>
              <w:jc w:val="left"/>
            </w:pPr>
          </w:p>
        </w:tc>
      </w:tr>
      <w:tr w:rsidR="00260824" w14:paraId="25D8F6AD" w14:textId="77777777" w:rsidTr="00260824">
        <w:tc>
          <w:tcPr>
            <w:tcW w:w="3085" w:type="dxa"/>
            <w:shd w:val="clear" w:color="auto" w:fill="auto"/>
          </w:tcPr>
          <w:p w14:paraId="587126F4" w14:textId="77777777" w:rsidR="00260824" w:rsidRPr="00260824" w:rsidRDefault="00260824" w:rsidP="00260824">
            <w:pPr>
              <w:pStyle w:val="Normal1linespace"/>
              <w:widowControl w:val="0"/>
              <w:jc w:val="left"/>
            </w:pPr>
            <w:r w:rsidRPr="00260824">
              <w:t>Number of paragraphs:</w:t>
            </w:r>
          </w:p>
        </w:tc>
        <w:tc>
          <w:tcPr>
            <w:tcW w:w="5989" w:type="dxa"/>
            <w:shd w:val="clear" w:color="auto" w:fill="auto"/>
          </w:tcPr>
          <w:p w14:paraId="07F03975" w14:textId="43A9E987" w:rsidR="00260824" w:rsidRPr="00260824" w:rsidRDefault="00260824" w:rsidP="00260824">
            <w:pPr>
              <w:pStyle w:val="Normal1linespace"/>
              <w:widowControl w:val="0"/>
              <w:jc w:val="left"/>
            </w:pPr>
            <w:bookmarkStart w:id="8" w:name="PlaceCategoryParagraphs"/>
            <w:r w:rsidRPr="00260824">
              <w:t>94</w:t>
            </w:r>
            <w:bookmarkEnd w:id="8"/>
          </w:p>
        </w:tc>
      </w:tr>
      <w:tr w:rsidR="00260824" w14:paraId="3859917B" w14:textId="77777777" w:rsidTr="00260824">
        <w:tc>
          <w:tcPr>
            <w:tcW w:w="3085" w:type="dxa"/>
            <w:shd w:val="clear" w:color="auto" w:fill="auto"/>
          </w:tcPr>
          <w:p w14:paraId="3C034596" w14:textId="77777777" w:rsidR="00260824" w:rsidRPr="00260824" w:rsidRDefault="00260824" w:rsidP="00260824">
            <w:pPr>
              <w:pStyle w:val="Normal1linespace"/>
              <w:widowControl w:val="0"/>
              <w:jc w:val="left"/>
            </w:pPr>
          </w:p>
        </w:tc>
        <w:tc>
          <w:tcPr>
            <w:tcW w:w="5989" w:type="dxa"/>
            <w:shd w:val="clear" w:color="auto" w:fill="auto"/>
          </w:tcPr>
          <w:p w14:paraId="64916196" w14:textId="77777777" w:rsidR="00260824" w:rsidRPr="00260824" w:rsidRDefault="00260824" w:rsidP="00260824">
            <w:pPr>
              <w:pStyle w:val="Normal1linespace"/>
              <w:widowControl w:val="0"/>
              <w:jc w:val="left"/>
            </w:pPr>
          </w:p>
        </w:tc>
      </w:tr>
      <w:tr w:rsidR="00260824" w14:paraId="351F1AAB" w14:textId="77777777" w:rsidTr="00260824">
        <w:tc>
          <w:tcPr>
            <w:tcW w:w="3085" w:type="dxa"/>
            <w:shd w:val="clear" w:color="auto" w:fill="auto"/>
          </w:tcPr>
          <w:p w14:paraId="5F2EFB4A" w14:textId="054ED6D6" w:rsidR="00260824" w:rsidRPr="00260824" w:rsidRDefault="00260824" w:rsidP="00260824">
            <w:pPr>
              <w:pStyle w:val="Normal1linespace"/>
              <w:widowControl w:val="0"/>
              <w:jc w:val="left"/>
            </w:pPr>
            <w:bookmarkStart w:id="9" w:name="Counsel" w:colFirst="0" w:colLast="2"/>
            <w:r w:rsidRPr="00260824">
              <w:t>Counsel for the Appellant:</w:t>
            </w:r>
          </w:p>
        </w:tc>
        <w:tc>
          <w:tcPr>
            <w:tcW w:w="5989" w:type="dxa"/>
            <w:shd w:val="clear" w:color="auto" w:fill="auto"/>
          </w:tcPr>
          <w:p w14:paraId="286B3D65" w14:textId="3C947282" w:rsidR="00260824" w:rsidRPr="00260824" w:rsidRDefault="00260824" w:rsidP="00260824">
            <w:pPr>
              <w:pStyle w:val="Normal1linespace"/>
              <w:widowControl w:val="0"/>
              <w:jc w:val="left"/>
            </w:pPr>
            <w:bookmarkStart w:id="10" w:name="AppCounsel"/>
            <w:bookmarkEnd w:id="10"/>
            <w:r w:rsidRPr="00260824">
              <w:t>Ms G A Costello</w:t>
            </w:r>
          </w:p>
        </w:tc>
      </w:tr>
      <w:tr w:rsidR="00260824" w14:paraId="5A3527A8" w14:textId="77777777" w:rsidTr="00260824">
        <w:tc>
          <w:tcPr>
            <w:tcW w:w="3085" w:type="dxa"/>
            <w:shd w:val="clear" w:color="auto" w:fill="auto"/>
          </w:tcPr>
          <w:p w14:paraId="7345AE79" w14:textId="77777777" w:rsidR="00260824" w:rsidRPr="00260824" w:rsidRDefault="00260824" w:rsidP="00260824">
            <w:pPr>
              <w:pStyle w:val="Normal1linespace"/>
              <w:widowControl w:val="0"/>
              <w:jc w:val="left"/>
            </w:pPr>
          </w:p>
        </w:tc>
        <w:tc>
          <w:tcPr>
            <w:tcW w:w="5989" w:type="dxa"/>
            <w:shd w:val="clear" w:color="auto" w:fill="auto"/>
          </w:tcPr>
          <w:p w14:paraId="53435C34" w14:textId="77777777" w:rsidR="00260824" w:rsidRPr="00260824" w:rsidRDefault="00260824" w:rsidP="00260824">
            <w:pPr>
              <w:pStyle w:val="Normal1linespace"/>
              <w:widowControl w:val="0"/>
              <w:jc w:val="left"/>
            </w:pPr>
          </w:p>
        </w:tc>
      </w:tr>
      <w:tr w:rsidR="00260824" w14:paraId="7FFFB133" w14:textId="77777777" w:rsidTr="00260824">
        <w:tc>
          <w:tcPr>
            <w:tcW w:w="3085" w:type="dxa"/>
            <w:shd w:val="clear" w:color="auto" w:fill="auto"/>
          </w:tcPr>
          <w:p w14:paraId="29B0F438" w14:textId="0F3DE033" w:rsidR="00260824" w:rsidRDefault="00260824" w:rsidP="00260824">
            <w:pPr>
              <w:pStyle w:val="Normal1linespace"/>
              <w:widowControl w:val="0"/>
              <w:jc w:val="left"/>
            </w:pPr>
            <w:r>
              <w:t>Solicitor for the Appellant:</w:t>
            </w:r>
          </w:p>
        </w:tc>
        <w:tc>
          <w:tcPr>
            <w:tcW w:w="5989" w:type="dxa"/>
            <w:shd w:val="clear" w:color="auto" w:fill="auto"/>
          </w:tcPr>
          <w:p w14:paraId="0495C052" w14:textId="53CEC2F1" w:rsidR="00260824" w:rsidRDefault="00260824" w:rsidP="00260824">
            <w:pPr>
              <w:pStyle w:val="Normal1linespace"/>
              <w:widowControl w:val="0"/>
              <w:jc w:val="left"/>
            </w:pPr>
            <w:r>
              <w:t>Victoria Legal Aid</w:t>
            </w:r>
          </w:p>
        </w:tc>
      </w:tr>
      <w:tr w:rsidR="00260824" w14:paraId="5EE2F203" w14:textId="77777777" w:rsidTr="00260824">
        <w:tc>
          <w:tcPr>
            <w:tcW w:w="3085" w:type="dxa"/>
            <w:shd w:val="clear" w:color="auto" w:fill="auto"/>
          </w:tcPr>
          <w:p w14:paraId="0F50593A" w14:textId="77777777" w:rsidR="00260824" w:rsidRDefault="00260824" w:rsidP="00260824">
            <w:pPr>
              <w:pStyle w:val="Normal1linespace"/>
              <w:widowControl w:val="0"/>
              <w:jc w:val="left"/>
            </w:pPr>
          </w:p>
        </w:tc>
        <w:tc>
          <w:tcPr>
            <w:tcW w:w="5989" w:type="dxa"/>
            <w:shd w:val="clear" w:color="auto" w:fill="auto"/>
          </w:tcPr>
          <w:p w14:paraId="187BC28A" w14:textId="77777777" w:rsidR="00260824" w:rsidRDefault="00260824" w:rsidP="00260824">
            <w:pPr>
              <w:pStyle w:val="Normal1linespace"/>
              <w:widowControl w:val="0"/>
              <w:jc w:val="left"/>
            </w:pPr>
          </w:p>
        </w:tc>
      </w:tr>
      <w:tr w:rsidR="00260824" w14:paraId="3E1FF974" w14:textId="77777777" w:rsidTr="00260824">
        <w:tc>
          <w:tcPr>
            <w:tcW w:w="3085" w:type="dxa"/>
            <w:shd w:val="clear" w:color="auto" w:fill="auto"/>
          </w:tcPr>
          <w:p w14:paraId="17E31247" w14:textId="6BB1A8BC" w:rsidR="00260824" w:rsidRDefault="00260824" w:rsidP="00260824">
            <w:pPr>
              <w:pStyle w:val="Normal1linespace"/>
              <w:widowControl w:val="0"/>
              <w:jc w:val="left"/>
            </w:pPr>
            <w:r>
              <w:t>Counsel for the First Respondent:</w:t>
            </w:r>
          </w:p>
        </w:tc>
        <w:tc>
          <w:tcPr>
            <w:tcW w:w="5989" w:type="dxa"/>
            <w:shd w:val="clear" w:color="auto" w:fill="auto"/>
          </w:tcPr>
          <w:p w14:paraId="7D40E862" w14:textId="19A32D15" w:rsidR="00260824" w:rsidRDefault="00260824" w:rsidP="00260824">
            <w:pPr>
              <w:pStyle w:val="Normal1linespace"/>
              <w:widowControl w:val="0"/>
              <w:jc w:val="left"/>
            </w:pPr>
            <w:r>
              <w:t xml:space="preserve">Mr C M McDermott </w:t>
            </w:r>
          </w:p>
        </w:tc>
      </w:tr>
      <w:tr w:rsidR="00260824" w14:paraId="23788FA4" w14:textId="77777777" w:rsidTr="00260824">
        <w:tc>
          <w:tcPr>
            <w:tcW w:w="3085" w:type="dxa"/>
            <w:shd w:val="clear" w:color="auto" w:fill="auto"/>
          </w:tcPr>
          <w:p w14:paraId="565E3E06" w14:textId="77777777" w:rsidR="00260824" w:rsidRDefault="00260824" w:rsidP="00260824">
            <w:pPr>
              <w:pStyle w:val="Normal1linespace"/>
              <w:widowControl w:val="0"/>
              <w:jc w:val="left"/>
            </w:pPr>
          </w:p>
        </w:tc>
        <w:tc>
          <w:tcPr>
            <w:tcW w:w="5989" w:type="dxa"/>
            <w:shd w:val="clear" w:color="auto" w:fill="auto"/>
          </w:tcPr>
          <w:p w14:paraId="787E61BD" w14:textId="77777777" w:rsidR="00260824" w:rsidRDefault="00260824" w:rsidP="00260824">
            <w:pPr>
              <w:pStyle w:val="Normal1linespace"/>
              <w:widowControl w:val="0"/>
              <w:jc w:val="left"/>
            </w:pPr>
          </w:p>
        </w:tc>
      </w:tr>
      <w:tr w:rsidR="00260824" w14:paraId="49A2A7E2" w14:textId="77777777" w:rsidTr="00260824">
        <w:tc>
          <w:tcPr>
            <w:tcW w:w="3085" w:type="dxa"/>
            <w:shd w:val="clear" w:color="auto" w:fill="auto"/>
          </w:tcPr>
          <w:p w14:paraId="1D2EC250" w14:textId="000F645E" w:rsidR="00260824" w:rsidRDefault="00260824" w:rsidP="00260824">
            <w:pPr>
              <w:pStyle w:val="Normal1linespace"/>
              <w:widowControl w:val="0"/>
              <w:jc w:val="left"/>
            </w:pPr>
            <w:r>
              <w:t>Solicitor for the First Respondent:</w:t>
            </w:r>
          </w:p>
        </w:tc>
        <w:tc>
          <w:tcPr>
            <w:tcW w:w="5989" w:type="dxa"/>
            <w:shd w:val="clear" w:color="auto" w:fill="auto"/>
          </w:tcPr>
          <w:p w14:paraId="25E12705" w14:textId="698A26C3" w:rsidR="00260824" w:rsidRDefault="00260824" w:rsidP="00260824">
            <w:pPr>
              <w:pStyle w:val="Normal1linespace"/>
              <w:widowControl w:val="0"/>
              <w:jc w:val="left"/>
            </w:pPr>
            <w:r>
              <w:t>Australian Government Solicitor</w:t>
            </w:r>
          </w:p>
        </w:tc>
      </w:tr>
      <w:tr w:rsidR="00260824" w14:paraId="0A011362" w14:textId="77777777" w:rsidTr="00260824">
        <w:tc>
          <w:tcPr>
            <w:tcW w:w="3085" w:type="dxa"/>
            <w:shd w:val="clear" w:color="auto" w:fill="auto"/>
          </w:tcPr>
          <w:p w14:paraId="4C4E3100" w14:textId="77777777" w:rsidR="00260824" w:rsidRDefault="00260824" w:rsidP="00260824">
            <w:pPr>
              <w:pStyle w:val="Normal1linespace"/>
              <w:widowControl w:val="0"/>
              <w:jc w:val="left"/>
            </w:pPr>
          </w:p>
        </w:tc>
        <w:tc>
          <w:tcPr>
            <w:tcW w:w="5989" w:type="dxa"/>
            <w:shd w:val="clear" w:color="auto" w:fill="auto"/>
          </w:tcPr>
          <w:p w14:paraId="6EBAA962" w14:textId="77777777" w:rsidR="00260824" w:rsidRDefault="00260824" w:rsidP="00260824">
            <w:pPr>
              <w:pStyle w:val="Normal1linespace"/>
              <w:widowControl w:val="0"/>
              <w:jc w:val="left"/>
            </w:pPr>
          </w:p>
        </w:tc>
      </w:tr>
      <w:tr w:rsidR="00260824" w14:paraId="7E10887D" w14:textId="77777777" w:rsidTr="00260824">
        <w:tc>
          <w:tcPr>
            <w:tcW w:w="3085" w:type="dxa"/>
            <w:shd w:val="clear" w:color="auto" w:fill="auto"/>
          </w:tcPr>
          <w:p w14:paraId="6F939FC5" w14:textId="5B512D6D" w:rsidR="00260824" w:rsidRDefault="00260824" w:rsidP="00260824">
            <w:pPr>
              <w:pStyle w:val="Normal1linespace"/>
              <w:widowControl w:val="0"/>
              <w:jc w:val="left"/>
            </w:pPr>
            <w:r>
              <w:t>Counsel for the Second Respondent:</w:t>
            </w:r>
          </w:p>
        </w:tc>
        <w:tc>
          <w:tcPr>
            <w:tcW w:w="5989" w:type="dxa"/>
            <w:shd w:val="clear" w:color="auto" w:fill="auto"/>
          </w:tcPr>
          <w:p w14:paraId="0D6530DF" w14:textId="4C9F5033" w:rsidR="00260824" w:rsidRDefault="00260824" w:rsidP="00260824">
            <w:pPr>
              <w:pStyle w:val="Normal1linespace"/>
              <w:widowControl w:val="0"/>
              <w:jc w:val="left"/>
            </w:pPr>
            <w:r>
              <w:t>The Second Respondent filed a submitting notice save as to costs</w:t>
            </w:r>
          </w:p>
        </w:tc>
      </w:tr>
      <w:bookmarkEnd w:id="9"/>
    </w:tbl>
    <w:p w14:paraId="797502C6" w14:textId="77777777" w:rsidR="0092590B" w:rsidRDefault="0092590B">
      <w:pPr>
        <w:pStyle w:val="Normal1linespace"/>
      </w:pPr>
    </w:p>
    <w:p w14:paraId="18F864A3" w14:textId="77777777" w:rsidR="00395B24" w:rsidRDefault="00395B24">
      <w:pPr>
        <w:pStyle w:val="Normal1linespace"/>
        <w:sectPr w:rsidR="00395B24">
          <w:footerReference w:type="first" r:id="rId8"/>
          <w:endnotePr>
            <w:numFmt w:val="decimal"/>
          </w:endnotePr>
          <w:type w:val="continuous"/>
          <w:pgSz w:w="11907" w:h="16840" w:code="9"/>
          <w:pgMar w:top="1440" w:right="1440" w:bottom="1440" w:left="1440" w:header="851" w:footer="851" w:gutter="0"/>
          <w:pgNumType w:start="1"/>
          <w:cols w:space="720"/>
          <w:noEndnote/>
          <w:titlePg/>
        </w:sectPr>
      </w:pPr>
    </w:p>
    <w:p w14:paraId="0C397AB0" w14:textId="77777777" w:rsidR="008C7167" w:rsidRPr="00045BB7" w:rsidRDefault="0011419D" w:rsidP="00045BB7">
      <w:pPr>
        <w:pStyle w:val="NormalHeadings"/>
        <w:spacing w:line="480" w:lineRule="auto"/>
        <w:jc w:val="center"/>
        <w:rPr>
          <w:sz w:val="28"/>
          <w:szCs w:val="28"/>
        </w:rPr>
      </w:pPr>
      <w:r w:rsidRPr="00045BB7">
        <w:rPr>
          <w:sz w:val="28"/>
          <w:szCs w:val="28"/>
        </w:rPr>
        <w:lastRenderedPageBreak/>
        <w:t>ORDERS</w:t>
      </w:r>
    </w:p>
    <w:tbl>
      <w:tblPr>
        <w:tblW w:w="0" w:type="auto"/>
        <w:tblLayout w:type="fixed"/>
        <w:tblLook w:val="0000" w:firstRow="0" w:lastRow="0" w:firstColumn="0" w:lastColumn="0" w:noHBand="0" w:noVBand="0"/>
        <w:tblCaption w:val="Parties"/>
        <w:tblDescription w:val="Parties"/>
      </w:tblPr>
      <w:tblGrid>
        <w:gridCol w:w="2376"/>
        <w:gridCol w:w="4536"/>
        <w:gridCol w:w="2330"/>
      </w:tblGrid>
      <w:tr w:rsidR="00A46CCC" w14:paraId="7832DB46" w14:textId="77777777" w:rsidTr="00E81DA6">
        <w:tc>
          <w:tcPr>
            <w:tcW w:w="6912" w:type="dxa"/>
            <w:gridSpan w:val="2"/>
          </w:tcPr>
          <w:p w14:paraId="142471A1" w14:textId="77777777" w:rsidR="00A46CCC" w:rsidRPr="001765E0" w:rsidRDefault="00A46CCC" w:rsidP="00525A49">
            <w:pPr>
              <w:pStyle w:val="NormalHeadings"/>
            </w:pPr>
          </w:p>
        </w:tc>
        <w:tc>
          <w:tcPr>
            <w:tcW w:w="2330" w:type="dxa"/>
          </w:tcPr>
          <w:p w14:paraId="5527F019" w14:textId="77777777" w:rsidR="00A46CCC" w:rsidRDefault="00932A85" w:rsidP="00F92355">
            <w:pPr>
              <w:pStyle w:val="NormalHeadings"/>
              <w:jc w:val="right"/>
            </w:pPr>
            <w:bookmarkStart w:id="11" w:name="FileNo"/>
            <w:r>
              <w:t>VID 166 of 2018</w:t>
            </w:r>
            <w:bookmarkEnd w:id="11"/>
          </w:p>
        </w:tc>
      </w:tr>
      <w:tr w:rsidR="00A76C13" w14:paraId="4181E175" w14:textId="77777777" w:rsidTr="00622B06">
        <w:tc>
          <w:tcPr>
            <w:tcW w:w="9242" w:type="dxa"/>
            <w:gridSpan w:val="3"/>
          </w:tcPr>
          <w:p w14:paraId="521317B8" w14:textId="77777777" w:rsidR="00A76C13" w:rsidRPr="00A76C13" w:rsidRDefault="00932A85" w:rsidP="00932A85">
            <w:pPr>
              <w:pStyle w:val="NormalHeadings"/>
              <w:jc w:val="left"/>
            </w:pPr>
            <w:bookmarkStart w:id="12" w:name="InTheMatterOf"/>
            <w:r>
              <w:t xml:space="preserve"> </w:t>
            </w:r>
            <w:bookmarkEnd w:id="12"/>
          </w:p>
        </w:tc>
      </w:tr>
      <w:tr w:rsidR="00A46CCC" w14:paraId="42823DD5" w14:textId="77777777" w:rsidTr="00622B06">
        <w:trPr>
          <w:trHeight w:val="386"/>
        </w:trPr>
        <w:tc>
          <w:tcPr>
            <w:tcW w:w="2376" w:type="dxa"/>
          </w:tcPr>
          <w:p w14:paraId="2EB329C2" w14:textId="77777777" w:rsidR="00A46CCC" w:rsidRDefault="00A46CCC" w:rsidP="00622B06">
            <w:pPr>
              <w:pStyle w:val="NormalHeadings"/>
              <w:jc w:val="left"/>
              <w:rPr>
                <w:caps/>
                <w:szCs w:val="24"/>
              </w:rPr>
            </w:pPr>
            <w:bookmarkStart w:id="13" w:name="Parties"/>
            <w:r>
              <w:rPr>
                <w:caps/>
                <w:szCs w:val="24"/>
              </w:rPr>
              <w:t>BETWEEN:</w:t>
            </w:r>
          </w:p>
        </w:tc>
        <w:tc>
          <w:tcPr>
            <w:tcW w:w="6866" w:type="dxa"/>
            <w:gridSpan w:val="2"/>
          </w:tcPr>
          <w:p w14:paraId="2A55D2AA" w14:textId="77777777" w:rsidR="00932A85" w:rsidRDefault="00932A85" w:rsidP="00932A85">
            <w:pPr>
              <w:pStyle w:val="NormalHeadings"/>
              <w:jc w:val="left"/>
            </w:pPr>
            <w:bookmarkStart w:id="14" w:name="Applicant"/>
            <w:r>
              <w:t>BKQ16</w:t>
            </w:r>
          </w:p>
          <w:p w14:paraId="397F9FC5" w14:textId="77777777" w:rsidR="00932A85" w:rsidRDefault="00932A85" w:rsidP="00932A85">
            <w:pPr>
              <w:pStyle w:val="PartyType"/>
            </w:pPr>
            <w:r>
              <w:t>Appellant</w:t>
            </w:r>
          </w:p>
          <w:bookmarkEnd w:id="14"/>
          <w:p w14:paraId="70212480" w14:textId="77777777" w:rsidR="00A46CCC" w:rsidRPr="006555B4" w:rsidRDefault="00A46CCC" w:rsidP="00622B06">
            <w:pPr>
              <w:pStyle w:val="NormalHeadings"/>
              <w:jc w:val="left"/>
            </w:pPr>
          </w:p>
        </w:tc>
      </w:tr>
      <w:tr w:rsidR="00A46CCC" w14:paraId="01DFC6DE" w14:textId="77777777" w:rsidTr="00622B06">
        <w:trPr>
          <w:trHeight w:val="386"/>
        </w:trPr>
        <w:tc>
          <w:tcPr>
            <w:tcW w:w="2376" w:type="dxa"/>
          </w:tcPr>
          <w:p w14:paraId="198AED9F" w14:textId="77777777" w:rsidR="00A46CCC" w:rsidRDefault="00A46CCC" w:rsidP="00622B06">
            <w:pPr>
              <w:pStyle w:val="NormalHeadings"/>
              <w:jc w:val="left"/>
              <w:rPr>
                <w:caps/>
                <w:szCs w:val="24"/>
              </w:rPr>
            </w:pPr>
            <w:r>
              <w:rPr>
                <w:caps/>
                <w:szCs w:val="24"/>
              </w:rPr>
              <w:t>AND:</w:t>
            </w:r>
          </w:p>
        </w:tc>
        <w:tc>
          <w:tcPr>
            <w:tcW w:w="6866" w:type="dxa"/>
            <w:gridSpan w:val="2"/>
          </w:tcPr>
          <w:p w14:paraId="01CAAD0E" w14:textId="77777777" w:rsidR="00932A85" w:rsidRDefault="00932A85" w:rsidP="00932A85">
            <w:pPr>
              <w:pStyle w:val="NormalHeadings"/>
              <w:jc w:val="left"/>
            </w:pPr>
            <w:bookmarkStart w:id="15" w:name="Respondent"/>
            <w:r>
              <w:t>MINISTER FOR IMMIGRATION AND BORDER PROTECTION</w:t>
            </w:r>
          </w:p>
          <w:p w14:paraId="575D9FB7" w14:textId="77777777" w:rsidR="00932A85" w:rsidRDefault="00932A85" w:rsidP="00932A85">
            <w:pPr>
              <w:pStyle w:val="PartyType"/>
            </w:pPr>
            <w:r>
              <w:t>First Respondent</w:t>
            </w:r>
          </w:p>
          <w:p w14:paraId="3DC52113" w14:textId="77777777" w:rsidR="00932A85" w:rsidRDefault="00932A85" w:rsidP="00622B06">
            <w:pPr>
              <w:pStyle w:val="NormalHeadings"/>
              <w:jc w:val="left"/>
              <w:rPr>
                <w:szCs w:val="24"/>
              </w:rPr>
            </w:pPr>
          </w:p>
          <w:p w14:paraId="4E92AE78" w14:textId="77777777" w:rsidR="00932A85" w:rsidRDefault="00932A85" w:rsidP="00932A85">
            <w:pPr>
              <w:pStyle w:val="NormalHeadings"/>
              <w:jc w:val="left"/>
            </w:pPr>
            <w:r>
              <w:t>ADMINISTRATIVE APPEALS TRIBUNAL</w:t>
            </w:r>
          </w:p>
          <w:p w14:paraId="6C3BFFE4" w14:textId="77777777" w:rsidR="00932A85" w:rsidRDefault="00932A85" w:rsidP="00932A85">
            <w:pPr>
              <w:pStyle w:val="PartyType"/>
            </w:pPr>
            <w:r>
              <w:t>Second Respondent</w:t>
            </w:r>
          </w:p>
          <w:bookmarkEnd w:id="15"/>
          <w:p w14:paraId="54D4C6E9" w14:textId="77777777" w:rsidR="00A46CCC" w:rsidRPr="006555B4" w:rsidRDefault="00A46CCC" w:rsidP="00622B06">
            <w:pPr>
              <w:pStyle w:val="NormalHeadings"/>
              <w:jc w:val="left"/>
            </w:pPr>
          </w:p>
        </w:tc>
      </w:tr>
    </w:tbl>
    <w:p w14:paraId="00DCED8C" w14:textId="77777777" w:rsidR="00395B24" w:rsidRDefault="00395B24">
      <w:pPr>
        <w:pStyle w:val="NormalHeadings"/>
      </w:pPr>
      <w:bookmarkStart w:id="16" w:name="CrossClaimPosition"/>
      <w:bookmarkEnd w:id="13"/>
      <w:bookmarkEnd w:id="16"/>
    </w:p>
    <w:tbl>
      <w:tblPr>
        <w:tblW w:w="0" w:type="auto"/>
        <w:tblLayout w:type="fixed"/>
        <w:tblLook w:val="0000" w:firstRow="0" w:lastRow="0" w:firstColumn="0" w:lastColumn="0" w:noHBand="0" w:noVBand="0"/>
        <w:tblCaption w:val="Judge"/>
        <w:tblDescription w:val="Judge"/>
      </w:tblPr>
      <w:tblGrid>
        <w:gridCol w:w="2376"/>
        <w:gridCol w:w="6866"/>
      </w:tblGrid>
      <w:tr w:rsidR="00395B24" w14:paraId="649BFD20" w14:textId="77777777">
        <w:tc>
          <w:tcPr>
            <w:tcW w:w="2376" w:type="dxa"/>
          </w:tcPr>
          <w:p w14:paraId="3691BE7F" w14:textId="77777777" w:rsidR="00395B24" w:rsidRDefault="00932A85">
            <w:pPr>
              <w:pStyle w:val="NormalHeadings"/>
              <w:spacing w:after="120"/>
              <w:jc w:val="left"/>
              <w:rPr>
                <w:caps/>
                <w:szCs w:val="24"/>
              </w:rPr>
            </w:pPr>
            <w:bookmarkStart w:id="17" w:name="JudgeText"/>
            <w:r>
              <w:rPr>
                <w:caps/>
                <w:szCs w:val="24"/>
              </w:rPr>
              <w:t>JUDGE</w:t>
            </w:r>
            <w:bookmarkEnd w:id="17"/>
            <w:r w:rsidR="002C7385">
              <w:rPr>
                <w:caps/>
                <w:szCs w:val="24"/>
              </w:rPr>
              <w:t>:</w:t>
            </w:r>
          </w:p>
        </w:tc>
        <w:tc>
          <w:tcPr>
            <w:tcW w:w="6866" w:type="dxa"/>
          </w:tcPr>
          <w:p w14:paraId="1045E62D" w14:textId="77777777" w:rsidR="00395B24" w:rsidRDefault="00932A85">
            <w:pPr>
              <w:pStyle w:val="NormalHeadings"/>
              <w:jc w:val="left"/>
              <w:rPr>
                <w:caps/>
                <w:szCs w:val="24"/>
              </w:rPr>
            </w:pPr>
            <w:bookmarkStart w:id="18" w:name="Judge"/>
            <w:r>
              <w:rPr>
                <w:caps/>
                <w:szCs w:val="24"/>
              </w:rPr>
              <w:t>MORTIMER J</w:t>
            </w:r>
            <w:bookmarkEnd w:id="18"/>
          </w:p>
        </w:tc>
      </w:tr>
      <w:tr w:rsidR="00395B24" w14:paraId="7543CB6B" w14:textId="77777777">
        <w:tc>
          <w:tcPr>
            <w:tcW w:w="2376" w:type="dxa"/>
          </w:tcPr>
          <w:p w14:paraId="4F4A97FB" w14:textId="77777777" w:rsidR="00395B24" w:rsidRDefault="002C7385">
            <w:pPr>
              <w:pStyle w:val="NormalHeadings"/>
              <w:spacing w:after="120"/>
              <w:jc w:val="left"/>
              <w:rPr>
                <w:caps/>
                <w:szCs w:val="24"/>
              </w:rPr>
            </w:pPr>
            <w:r>
              <w:rPr>
                <w:caps/>
                <w:szCs w:val="24"/>
              </w:rPr>
              <w:t>DATE OF ORDER:</w:t>
            </w:r>
          </w:p>
        </w:tc>
        <w:tc>
          <w:tcPr>
            <w:tcW w:w="6866" w:type="dxa"/>
          </w:tcPr>
          <w:p w14:paraId="7BB54C79" w14:textId="297E4995" w:rsidR="00395B24" w:rsidRDefault="002C455C" w:rsidP="002C455C">
            <w:pPr>
              <w:pStyle w:val="NormalHeadings"/>
              <w:jc w:val="left"/>
              <w:rPr>
                <w:caps/>
                <w:szCs w:val="24"/>
              </w:rPr>
            </w:pPr>
            <w:bookmarkStart w:id="19" w:name="Judgment_Dated"/>
            <w:r>
              <w:rPr>
                <w:caps/>
                <w:szCs w:val="24"/>
              </w:rPr>
              <w:t>29 January 2019</w:t>
            </w:r>
            <w:bookmarkEnd w:id="19"/>
          </w:p>
        </w:tc>
      </w:tr>
    </w:tbl>
    <w:p w14:paraId="44DFC5AD" w14:textId="77777777" w:rsidR="00395B24" w:rsidRDefault="00395B24">
      <w:pPr>
        <w:pStyle w:val="NormalHeadings"/>
        <w:rPr>
          <w:b w:val="0"/>
        </w:rPr>
      </w:pPr>
    </w:p>
    <w:p w14:paraId="57AF56C9" w14:textId="77777777" w:rsidR="008D1617" w:rsidRDefault="008D1617">
      <w:pPr>
        <w:pStyle w:val="NormalHeadings"/>
        <w:rPr>
          <w:b w:val="0"/>
        </w:rPr>
      </w:pPr>
    </w:p>
    <w:p w14:paraId="7CA14E28" w14:textId="77777777" w:rsidR="00395B24" w:rsidRDefault="002C7385">
      <w:pPr>
        <w:pStyle w:val="NormalHeadings"/>
      </w:pPr>
      <w:r>
        <w:t>THE COURT ORDERS THAT:</w:t>
      </w:r>
    </w:p>
    <w:p w14:paraId="53405F5F" w14:textId="77777777" w:rsidR="00395B24" w:rsidRDefault="00395B24">
      <w:pPr>
        <w:pStyle w:val="NormalHeadings"/>
      </w:pPr>
    </w:p>
    <w:p w14:paraId="15ADB95B" w14:textId="190F9FEB" w:rsidR="00FF4BE9" w:rsidRDefault="00A93B9F" w:rsidP="00181443">
      <w:pPr>
        <w:pStyle w:val="Order1"/>
      </w:pPr>
      <w:bookmarkStart w:id="20" w:name="Order_Start_Text"/>
      <w:bookmarkEnd w:id="20"/>
      <w:r>
        <w:t xml:space="preserve">Leave is granted to the appellant to rely, in addition to ground 1 in his </w:t>
      </w:r>
      <w:r w:rsidR="00181443">
        <w:t xml:space="preserve">notice of appeal </w:t>
      </w:r>
      <w:r>
        <w:t xml:space="preserve">filed on 19 February </w:t>
      </w:r>
      <w:r w:rsidR="00B23C09">
        <w:t>2018, on</w:t>
      </w:r>
      <w:r>
        <w:t xml:space="preserve"> the proposed ground of appeal set out in paragraph 1A of his interlocutory application dated 18 July 2018.</w:t>
      </w:r>
    </w:p>
    <w:p w14:paraId="4EE2153F" w14:textId="69C7085C" w:rsidR="00A93B9F" w:rsidRDefault="00A93B9F" w:rsidP="00181443">
      <w:pPr>
        <w:pStyle w:val="Order1"/>
      </w:pPr>
      <w:r>
        <w:t>The appeal be allowed.</w:t>
      </w:r>
    </w:p>
    <w:p w14:paraId="5102133F" w14:textId="20569F94" w:rsidR="00A93B9F" w:rsidRDefault="006F44B5" w:rsidP="00181443">
      <w:pPr>
        <w:pStyle w:val="Order1"/>
      </w:pPr>
      <w:r>
        <w:t xml:space="preserve">The orders of the </w:t>
      </w:r>
      <w:r w:rsidR="00181443">
        <w:t xml:space="preserve">Federal Circuit Court </w:t>
      </w:r>
      <w:r w:rsidR="00A93B9F">
        <w:t xml:space="preserve">made on 29 </w:t>
      </w:r>
      <w:r w:rsidR="00054FB4">
        <w:t>January</w:t>
      </w:r>
      <w:r w:rsidR="00A93B9F">
        <w:t xml:space="preserve"> 2018</w:t>
      </w:r>
      <w:r>
        <w:t xml:space="preserve"> be set aside</w:t>
      </w:r>
      <w:r w:rsidR="00A93B9F">
        <w:t>, and</w:t>
      </w:r>
      <w:r w:rsidR="00054FB4">
        <w:t xml:space="preserve"> </w:t>
      </w:r>
      <w:r w:rsidR="00A93B9F">
        <w:t>in</w:t>
      </w:r>
      <w:r w:rsidR="00054FB4">
        <w:t xml:space="preserve"> </w:t>
      </w:r>
      <w:r w:rsidR="00A93B9F">
        <w:t xml:space="preserve">lieu </w:t>
      </w:r>
      <w:r w:rsidR="00B23C09">
        <w:t>thereof,</w:t>
      </w:r>
      <w:r w:rsidR="00A93B9F">
        <w:t xml:space="preserve"> order that</w:t>
      </w:r>
      <w:r w:rsidR="00181443">
        <w:t>:</w:t>
      </w:r>
    </w:p>
    <w:p w14:paraId="0A67AFC2" w14:textId="328574EF" w:rsidR="00A93B9F" w:rsidRDefault="00A93B9F" w:rsidP="00181443">
      <w:pPr>
        <w:pStyle w:val="Order2"/>
      </w:pPr>
      <w:r>
        <w:t xml:space="preserve">The decision of the </w:t>
      </w:r>
      <w:r w:rsidR="00181443">
        <w:t xml:space="preserve">Administrative Appeals Tribunal </w:t>
      </w:r>
      <w:r w:rsidR="00054FB4">
        <w:t>made</w:t>
      </w:r>
      <w:r>
        <w:t xml:space="preserve"> on 26 </w:t>
      </w:r>
      <w:r w:rsidR="00181443">
        <w:t>M</w:t>
      </w:r>
      <w:r>
        <w:t>ay 2016 be set aside</w:t>
      </w:r>
      <w:r w:rsidR="00181443">
        <w:t xml:space="preserve">.  </w:t>
      </w:r>
    </w:p>
    <w:p w14:paraId="6B963BEE" w14:textId="0737F573" w:rsidR="00A93B9F" w:rsidRDefault="00A93B9F" w:rsidP="00181443">
      <w:pPr>
        <w:pStyle w:val="Order2"/>
      </w:pPr>
      <w:r>
        <w:t xml:space="preserve">The matter be </w:t>
      </w:r>
      <w:r w:rsidR="00054FB4">
        <w:t>remitted</w:t>
      </w:r>
      <w:r>
        <w:t xml:space="preserve"> </w:t>
      </w:r>
      <w:r w:rsidR="00054FB4">
        <w:t xml:space="preserve">to </w:t>
      </w:r>
      <w:r>
        <w:t xml:space="preserve">the </w:t>
      </w:r>
      <w:r w:rsidR="00181443">
        <w:t>Administrative Appeals Tribunal</w:t>
      </w:r>
      <w:r>
        <w:t xml:space="preserve">, differently constituted, for </w:t>
      </w:r>
      <w:r w:rsidR="00054FB4">
        <w:t>determination</w:t>
      </w:r>
      <w:r>
        <w:t xml:space="preserve"> according to law.</w:t>
      </w:r>
    </w:p>
    <w:p w14:paraId="410D1B98" w14:textId="75B6FAAA" w:rsidR="003F402F" w:rsidRPr="00B469D8" w:rsidRDefault="003F402F" w:rsidP="003F402F">
      <w:pPr>
        <w:pStyle w:val="Order1"/>
      </w:pPr>
      <w:r>
        <w:t xml:space="preserve">The parties are to agree on appropriate costs orders for the appeal and for the hearing before the Federal Circuit Court by way of a lump sum and file a joint minute of </w:t>
      </w:r>
      <w:r w:rsidRPr="00B469D8">
        <w:t xml:space="preserve">proposed orders on or before 4 pm on </w:t>
      </w:r>
      <w:r w:rsidR="00B61C33" w:rsidRPr="00B469D8">
        <w:t>12 February 2019</w:t>
      </w:r>
      <w:r w:rsidRPr="00B469D8">
        <w:t>.</w:t>
      </w:r>
    </w:p>
    <w:p w14:paraId="2EE860A0" w14:textId="0A9FF7B4" w:rsidR="003F402F" w:rsidRPr="00B469D8" w:rsidRDefault="003F402F" w:rsidP="003F402F">
      <w:pPr>
        <w:pStyle w:val="Order1"/>
      </w:pPr>
      <w:r w:rsidRPr="00B469D8">
        <w:t>In the absence of any</w:t>
      </w:r>
      <w:r w:rsidR="004B7E4D">
        <w:t xml:space="preserve"> joint minute of proposed order being filed</w:t>
      </w:r>
      <w:r w:rsidRPr="00B469D8">
        <w:t xml:space="preserve"> pursuant to </w:t>
      </w:r>
      <w:r w:rsidR="004B7E4D">
        <w:t>paragraph </w:t>
      </w:r>
      <w:r w:rsidR="006F44B5">
        <w:t xml:space="preserve">4 </w:t>
      </w:r>
      <w:r w:rsidRPr="00B469D8">
        <w:t xml:space="preserve">of these orders: </w:t>
      </w:r>
    </w:p>
    <w:p w14:paraId="23CF9BC4" w14:textId="5192D984" w:rsidR="003F402F" w:rsidRPr="00B469D8" w:rsidRDefault="003F402F" w:rsidP="003F402F">
      <w:pPr>
        <w:pStyle w:val="Order2"/>
      </w:pPr>
      <w:proofErr w:type="gramStart"/>
      <w:r w:rsidRPr="00B469D8">
        <w:t>on</w:t>
      </w:r>
      <w:proofErr w:type="gramEnd"/>
      <w:r w:rsidRPr="00B469D8">
        <w:t xml:space="preserve"> or before 4 pm on </w:t>
      </w:r>
      <w:r w:rsidR="004B7E4D">
        <w:t>19</w:t>
      </w:r>
      <w:r w:rsidR="00B61C33" w:rsidRPr="00B469D8">
        <w:t xml:space="preserve"> February 2019</w:t>
      </w:r>
      <w:r w:rsidRPr="00B469D8">
        <w:t>, the appellant file and serve submissions (in accordance with paragraphs 4.10 to 4.12 of the Court’s Costs Practice Note (GPN-COSTS) dated 25 October 2016).</w:t>
      </w:r>
    </w:p>
    <w:p w14:paraId="6E97662C" w14:textId="59BD5F6F" w:rsidR="003F402F" w:rsidRPr="00B469D8" w:rsidRDefault="003F402F" w:rsidP="003F402F">
      <w:pPr>
        <w:pStyle w:val="Order2"/>
      </w:pPr>
      <w:proofErr w:type="gramStart"/>
      <w:r w:rsidRPr="00B469D8">
        <w:lastRenderedPageBreak/>
        <w:t>on</w:t>
      </w:r>
      <w:proofErr w:type="gramEnd"/>
      <w:r w:rsidRPr="00B469D8">
        <w:t xml:space="preserve"> or before 4 pm on </w:t>
      </w:r>
      <w:r w:rsidR="004B7E4D">
        <w:t>26 February</w:t>
      </w:r>
      <w:r w:rsidR="00F26719" w:rsidRPr="00B469D8">
        <w:t xml:space="preserve"> </w:t>
      </w:r>
      <w:r w:rsidRPr="00B469D8">
        <w:t>201</w:t>
      </w:r>
      <w:r w:rsidR="00F26719" w:rsidRPr="00B469D8">
        <w:t>9</w:t>
      </w:r>
      <w:r w:rsidRPr="00B469D8">
        <w:t>, the first respondent file and serve submissions (in accordance with paragraphs 4.13 to 4.14 of the Costs Practice Note (GPN-COSTS).</w:t>
      </w:r>
    </w:p>
    <w:p w14:paraId="41379A20" w14:textId="2DFF9574" w:rsidR="003F402F" w:rsidRDefault="003F402F" w:rsidP="003F402F">
      <w:pPr>
        <w:pStyle w:val="Order1"/>
      </w:pPr>
      <w:r w:rsidRPr="00B469D8">
        <w:t xml:space="preserve">In the absence of any agreement having been reached on or before </w:t>
      </w:r>
      <w:r w:rsidR="004B7E4D">
        <w:t>5</w:t>
      </w:r>
      <w:r w:rsidR="00B61C33" w:rsidRPr="00B469D8">
        <w:t xml:space="preserve"> March 2019</w:t>
      </w:r>
      <w:r w:rsidRPr="00B469D8">
        <w:t>, the</w:t>
      </w:r>
      <w:r>
        <w:t xml:space="preserve"> matter of an </w:t>
      </w:r>
      <w:r w:rsidRPr="00F26719">
        <w:t>appropriate lump sum figure for the</w:t>
      </w:r>
      <w:r w:rsidR="00F26719" w:rsidRPr="00F26719">
        <w:t xml:space="preserve"> appellant’s</w:t>
      </w:r>
      <w:r w:rsidRPr="00F26719">
        <w:t xml:space="preserve"> costs be referred to a Registrar for determination.</w:t>
      </w:r>
    </w:p>
    <w:p w14:paraId="5FA6E262" w14:textId="77777777" w:rsidR="003F402F" w:rsidRDefault="003F402F" w:rsidP="00B61C33">
      <w:pPr>
        <w:pStyle w:val="Order1"/>
        <w:numPr>
          <w:ilvl w:val="0"/>
          <w:numId w:val="0"/>
        </w:numPr>
      </w:pPr>
    </w:p>
    <w:p w14:paraId="2230A9F5" w14:textId="77777777" w:rsidR="00395B24" w:rsidRDefault="00395B24" w:rsidP="002B0E91">
      <w:pPr>
        <w:pStyle w:val="BodyText"/>
      </w:pPr>
    </w:p>
    <w:p w14:paraId="3FF4E6C8" w14:textId="77777777" w:rsidR="00395B24" w:rsidRDefault="002C7385" w:rsidP="004D53E5">
      <w:pPr>
        <w:pStyle w:val="SingleSpace"/>
      </w:pPr>
      <w:r>
        <w:t>Note:</w:t>
      </w:r>
      <w:r>
        <w:tab/>
        <w:t xml:space="preserve">Entry of orders is dealt with in Rule 39.32 of the </w:t>
      </w:r>
      <w:r>
        <w:rPr>
          <w:i/>
        </w:rPr>
        <w:t>Federal Court Rules 2011</w:t>
      </w:r>
      <w:r>
        <w:t>.</w:t>
      </w:r>
    </w:p>
    <w:p w14:paraId="31466B23" w14:textId="77777777" w:rsidR="00395B24" w:rsidRDefault="00395B24" w:rsidP="002B0E91">
      <w:pPr>
        <w:pStyle w:val="BodyText"/>
      </w:pPr>
    </w:p>
    <w:p w14:paraId="7588E771" w14:textId="77777777" w:rsidR="00395B24" w:rsidRDefault="00395B24" w:rsidP="001F2DBC">
      <w:pPr>
        <w:pStyle w:val="BodyText"/>
      </w:pPr>
    </w:p>
    <w:p w14:paraId="2023D011" w14:textId="77777777" w:rsidR="0092590B" w:rsidRDefault="0092590B" w:rsidP="002B0E91">
      <w:pPr>
        <w:pStyle w:val="BodyText"/>
      </w:pPr>
    </w:p>
    <w:p w14:paraId="18F1D2F3" w14:textId="77777777" w:rsidR="00395B24" w:rsidRDefault="00395B24">
      <w:pPr>
        <w:pStyle w:val="NormalHeadings"/>
        <w:spacing w:before="240" w:after="120"/>
        <w:rPr>
          <w:b w:val="0"/>
        </w:rPr>
        <w:sectPr w:rsidR="00395B24" w:rsidSect="0092590B">
          <w:headerReference w:type="default" r:id="rId9"/>
          <w:headerReference w:type="first" r:id="rId10"/>
          <w:endnotePr>
            <w:numFmt w:val="decimal"/>
          </w:endnotePr>
          <w:pgSz w:w="11907" w:h="16840" w:code="9"/>
          <w:pgMar w:top="1440" w:right="1440" w:bottom="1440" w:left="1440" w:header="851" w:footer="851" w:gutter="0"/>
          <w:pgNumType w:fmt="lowerRoman" w:start="1"/>
          <w:cols w:space="720"/>
          <w:noEndnote/>
          <w:titlePg/>
        </w:sectPr>
      </w:pPr>
    </w:p>
    <w:p w14:paraId="103685A7" w14:textId="77777777" w:rsidR="00484F6D" w:rsidRPr="00045BB7" w:rsidRDefault="00484F6D" w:rsidP="00045BB7">
      <w:pPr>
        <w:pStyle w:val="NormalHeadings"/>
        <w:spacing w:line="480" w:lineRule="auto"/>
        <w:jc w:val="center"/>
        <w:rPr>
          <w:sz w:val="28"/>
          <w:szCs w:val="28"/>
        </w:rPr>
      </w:pPr>
      <w:bookmarkStart w:id="21" w:name="ReasonsPage"/>
      <w:bookmarkEnd w:id="21"/>
      <w:r w:rsidRPr="00045BB7">
        <w:rPr>
          <w:sz w:val="28"/>
          <w:szCs w:val="28"/>
        </w:rPr>
        <w:lastRenderedPageBreak/>
        <w:t>REASONS FOR JUDGMENT</w:t>
      </w:r>
    </w:p>
    <w:p w14:paraId="16B21530" w14:textId="77777777" w:rsidR="00395B24" w:rsidRPr="00EA03CE" w:rsidRDefault="00932A85" w:rsidP="005E0510">
      <w:pPr>
        <w:pStyle w:val="NormalHeadings"/>
        <w:spacing w:line="360" w:lineRule="auto"/>
        <w:jc w:val="left"/>
        <w:rPr>
          <w:sz w:val="26"/>
          <w:szCs w:val="26"/>
        </w:rPr>
      </w:pPr>
      <w:r>
        <w:rPr>
          <w:sz w:val="26"/>
          <w:szCs w:val="26"/>
        </w:rPr>
        <w:t>MORTIMER J</w:t>
      </w:r>
      <w:r w:rsidR="00484F6D" w:rsidRPr="00EA03CE">
        <w:rPr>
          <w:sz w:val="26"/>
          <w:szCs w:val="26"/>
        </w:rPr>
        <w:t>:</w:t>
      </w:r>
    </w:p>
    <w:p w14:paraId="48E38AC9" w14:textId="5F76232D" w:rsidR="00327143" w:rsidRDefault="008D1E06" w:rsidP="00327143">
      <w:pPr>
        <w:pStyle w:val="ParaNumbering"/>
      </w:pPr>
      <w:r>
        <w:t xml:space="preserve">This </w:t>
      </w:r>
      <w:r w:rsidR="00327143">
        <w:t xml:space="preserve">is an appeal from orders made </w:t>
      </w:r>
      <w:r w:rsidR="00B23C09">
        <w:t>by the</w:t>
      </w:r>
      <w:r w:rsidR="00501C24">
        <w:t xml:space="preserve"> Federal Circuit Court</w:t>
      </w:r>
      <w:r w:rsidR="00327143">
        <w:t xml:space="preserve"> </w:t>
      </w:r>
      <w:r w:rsidR="00327143" w:rsidRPr="00327143">
        <w:t>on 29 January 2018</w:t>
      </w:r>
      <w:r w:rsidR="00327143">
        <w:t xml:space="preserve">, dismissing </w:t>
      </w:r>
      <w:r w:rsidR="00D9058F">
        <w:t>the a</w:t>
      </w:r>
      <w:r w:rsidR="00327143" w:rsidRPr="00327143">
        <w:t xml:space="preserve">ppellant’s application for judicial review of a decision </w:t>
      </w:r>
      <w:r w:rsidR="00D9058F">
        <w:t>by</w:t>
      </w:r>
      <w:r w:rsidR="00327143" w:rsidRPr="00327143">
        <w:t xml:space="preserve"> the</w:t>
      </w:r>
      <w:r w:rsidR="00327143">
        <w:t xml:space="preserve"> </w:t>
      </w:r>
      <w:r w:rsidR="00501C24">
        <w:t>Administrative Appeals Tribunal</w:t>
      </w:r>
      <w:r w:rsidR="00D9058F">
        <w:t>,</w:t>
      </w:r>
      <w:r w:rsidR="00327143">
        <w:t xml:space="preserve"> </w:t>
      </w:r>
      <w:r w:rsidR="00D9058F">
        <w:t>made</w:t>
      </w:r>
      <w:r w:rsidR="00327143">
        <w:t xml:space="preserve"> on 26 May </w:t>
      </w:r>
      <w:r w:rsidR="00501C24">
        <w:t>2016</w:t>
      </w:r>
      <w:r w:rsidR="00327143">
        <w:t xml:space="preserve">. </w:t>
      </w:r>
      <w:r w:rsidR="001A0F50">
        <w:t>The appeal was lodged on 1</w:t>
      </w:r>
      <w:r w:rsidR="008F6A92">
        <w:t>9</w:t>
      </w:r>
      <w:r w:rsidR="001A0F50">
        <w:t xml:space="preserve"> February 2018. T</w:t>
      </w:r>
      <w:r w:rsidR="00327143">
        <w:t xml:space="preserve">he </w:t>
      </w:r>
      <w:r w:rsidR="00501C24">
        <w:t>appellant</w:t>
      </w:r>
      <w:r w:rsidR="00327143">
        <w:t xml:space="preserve"> arrived in Australia in July 2012: </w:t>
      </w:r>
      <w:r w:rsidR="00B23C09">
        <w:t>it can</w:t>
      </w:r>
      <w:r w:rsidR="00327143">
        <w:t xml:space="preserve"> be seen it has taken the </w:t>
      </w:r>
      <w:r w:rsidR="00501C24">
        <w:t xml:space="preserve">appellant </w:t>
      </w:r>
      <w:r w:rsidR="00327143">
        <w:t xml:space="preserve">a long time to get from his arrival </w:t>
      </w:r>
      <w:r w:rsidR="00D9058F">
        <w:t xml:space="preserve">in Australia </w:t>
      </w:r>
      <w:r w:rsidR="00327143">
        <w:t xml:space="preserve">to this Court: more than </w:t>
      </w:r>
      <w:r w:rsidR="00501C24">
        <w:t xml:space="preserve">six </w:t>
      </w:r>
      <w:r w:rsidR="00327143">
        <w:t>years.</w:t>
      </w:r>
      <w:r w:rsidR="001A0F50">
        <w:t xml:space="preserve"> None of the delays have been of the </w:t>
      </w:r>
      <w:r w:rsidR="00501C24">
        <w:t xml:space="preserve">appellant’s </w:t>
      </w:r>
      <w:r w:rsidR="001A0F50">
        <w:t xml:space="preserve">making, but rather the responsibility of the Australian administrative and judicial processes </w:t>
      </w:r>
      <w:r w:rsidR="00D9058F">
        <w:t xml:space="preserve">with which </w:t>
      </w:r>
      <w:r w:rsidR="001A0F50">
        <w:t xml:space="preserve">he </w:t>
      </w:r>
      <w:r w:rsidR="00D9058F">
        <w:t>has been required to engage</w:t>
      </w:r>
      <w:r w:rsidR="001A0F50">
        <w:t>.</w:t>
      </w:r>
    </w:p>
    <w:p w14:paraId="766EEF42" w14:textId="0B2A56DA" w:rsidR="004E5B2F" w:rsidRDefault="004E5B2F" w:rsidP="00327143">
      <w:pPr>
        <w:pStyle w:val="ParaNumbering"/>
      </w:pPr>
      <w:r>
        <w:t>For the reasons set</w:t>
      </w:r>
      <w:r w:rsidR="00C83BEC">
        <w:t xml:space="preserve"> out below, the appeal will be allowed</w:t>
      </w:r>
      <w:r>
        <w:t>.</w:t>
      </w:r>
    </w:p>
    <w:p w14:paraId="08B000BE" w14:textId="37DC9C7B" w:rsidR="004E5B2F" w:rsidRDefault="004E5B2F" w:rsidP="004E5B2F">
      <w:pPr>
        <w:pStyle w:val="Heading1"/>
      </w:pPr>
      <w:r>
        <w:t>Relevant background</w:t>
      </w:r>
    </w:p>
    <w:p w14:paraId="5C500B46" w14:textId="506D6053" w:rsidR="003D17D0" w:rsidRDefault="00327143" w:rsidP="00327143">
      <w:pPr>
        <w:pStyle w:val="ParaNumbering"/>
      </w:pPr>
      <w:r>
        <w:t xml:space="preserve">The </w:t>
      </w:r>
      <w:r w:rsidR="00501C24">
        <w:t>a</w:t>
      </w:r>
      <w:r>
        <w:t xml:space="preserve">ppellant is a citizen of Sri Lanka. Some </w:t>
      </w:r>
      <w:r w:rsidR="001A26C2">
        <w:t xml:space="preserve">considerable time after his arrival, and after he had spent more than six months in immigration detention, on 1 February 2013 </w:t>
      </w:r>
      <w:r>
        <w:t>he was permitted</w:t>
      </w:r>
      <w:r w:rsidR="001A26C2">
        <w:t xml:space="preserve"> to apply for a protection visa, </w:t>
      </w:r>
      <w:r w:rsidR="001D1055">
        <w:t xml:space="preserve">presumably </w:t>
      </w:r>
      <w:r w:rsidR="001A26C2">
        <w:t>through an exercise of the M</w:t>
      </w:r>
      <w:r w:rsidR="00501C24">
        <w:t>inister</w:t>
      </w:r>
      <w:r w:rsidR="001A26C2">
        <w:t>’s personal discretion under s</w:t>
      </w:r>
      <w:r w:rsidR="00F9323C">
        <w:t> </w:t>
      </w:r>
      <w:r w:rsidR="001A26C2">
        <w:t xml:space="preserve">48B of the </w:t>
      </w:r>
      <w:r w:rsidR="001A26C2" w:rsidRPr="002C455C">
        <w:rPr>
          <w:i/>
        </w:rPr>
        <w:t>Migration Act</w:t>
      </w:r>
      <w:r w:rsidR="00501C24" w:rsidRPr="002C455C">
        <w:rPr>
          <w:i/>
        </w:rPr>
        <w:t xml:space="preserve"> 1958</w:t>
      </w:r>
      <w:r w:rsidR="001A26C2" w:rsidRPr="002C455C">
        <w:t xml:space="preserve"> </w:t>
      </w:r>
      <w:r w:rsidR="00A6142D" w:rsidRPr="002C455C">
        <w:t>(</w:t>
      </w:r>
      <w:proofErr w:type="spellStart"/>
      <w:r w:rsidR="00A6142D" w:rsidRPr="002C455C">
        <w:t>Cth</w:t>
      </w:r>
      <w:proofErr w:type="spellEnd"/>
      <w:r w:rsidR="00A6142D" w:rsidRPr="002C455C">
        <w:t>)</w:t>
      </w:r>
      <w:r w:rsidR="001A26C2">
        <w:t xml:space="preserve">. </w:t>
      </w:r>
      <w:r>
        <w:t xml:space="preserve">In the statement </w:t>
      </w:r>
      <w:r w:rsidR="001A26C2">
        <w:t>accompanying</w:t>
      </w:r>
      <w:r>
        <w:t xml:space="preserve"> </w:t>
      </w:r>
      <w:r w:rsidR="00D9058F">
        <w:t>that</w:t>
      </w:r>
      <w:r>
        <w:t xml:space="preserve"> </w:t>
      </w:r>
      <w:r w:rsidR="001A26C2">
        <w:t>application</w:t>
      </w:r>
      <w:r>
        <w:t xml:space="preserve"> </w:t>
      </w:r>
      <w:r w:rsidR="001A26C2">
        <w:t>the</w:t>
      </w:r>
      <w:r>
        <w:t xml:space="preserve"> details of the </w:t>
      </w:r>
      <w:r w:rsidR="001A26C2">
        <w:t>countries</w:t>
      </w:r>
      <w:r>
        <w:t xml:space="preserve"> to which he had travelled,</w:t>
      </w:r>
      <w:r w:rsidR="001A26C2">
        <w:t xml:space="preserve"> prior to arriving in Australia</w:t>
      </w:r>
      <w:r w:rsidR="00D9058F">
        <w:t>,</w:t>
      </w:r>
      <w:r w:rsidR="001A26C2">
        <w:t xml:space="preserve"> were</w:t>
      </w:r>
      <w:r w:rsidR="004E5B2F">
        <w:t xml:space="preserve"> set out. These details identified</w:t>
      </w:r>
      <w:r>
        <w:t xml:space="preserve"> </w:t>
      </w:r>
      <w:r w:rsidR="00B23C09">
        <w:t>that for</w:t>
      </w:r>
      <w:r>
        <w:t xml:space="preserve"> the period 1 October 2009 through to June 2012, he had been in Malaysia.  </w:t>
      </w:r>
    </w:p>
    <w:p w14:paraId="05CD567F" w14:textId="0F1524D3" w:rsidR="003D17D0" w:rsidRDefault="003D17D0" w:rsidP="003D17D0">
      <w:pPr>
        <w:pStyle w:val="ParaNumbering"/>
      </w:pPr>
      <w:r>
        <w:t>At Question 6 of his application form 866B</w:t>
      </w:r>
      <w:r w:rsidR="00A0722A">
        <w:t xml:space="preserve"> </w:t>
      </w:r>
      <w:r>
        <w:t xml:space="preserve">he answered “no” to a question about whether he had previously lived in a refugee camp, centre for refugees, or detention centre outside Australia. </w:t>
      </w:r>
    </w:p>
    <w:p w14:paraId="317C065A" w14:textId="10A4BEF9" w:rsidR="003D17D0" w:rsidRDefault="00DC0F0C" w:rsidP="003D17D0">
      <w:pPr>
        <w:pStyle w:val="ParaNumbering"/>
      </w:pPr>
      <w:r>
        <w:t>On 29 October 2013, the a</w:t>
      </w:r>
      <w:r w:rsidR="003D17D0">
        <w:t>ppellant’s then representative</w:t>
      </w:r>
      <w:r>
        <w:t xml:space="preserve">, from the firm Craddock Murray </w:t>
      </w:r>
      <w:r w:rsidR="00273D68">
        <w:t>Neumann</w:t>
      </w:r>
      <w:r>
        <w:t>,</w:t>
      </w:r>
      <w:r w:rsidR="003D17D0">
        <w:t xml:space="preserve"> emailed the delegate providing additional information in support of </w:t>
      </w:r>
      <w:r>
        <w:t>the appellant’s</w:t>
      </w:r>
      <w:r w:rsidR="003D17D0">
        <w:t xml:space="preserve"> claims for protection and amendments to his protection visa application</w:t>
      </w:r>
      <w:r>
        <w:t>.</w:t>
      </w:r>
      <w:r w:rsidR="003D17D0">
        <w:t xml:space="preserve"> In </w:t>
      </w:r>
      <w:r w:rsidR="00B23C09">
        <w:t>particular the</w:t>
      </w:r>
      <w:r>
        <w:t xml:space="preserve"> a</w:t>
      </w:r>
      <w:r w:rsidR="003D17D0">
        <w:t xml:space="preserve">ppellant </w:t>
      </w:r>
      <w:r>
        <w:t>modified</w:t>
      </w:r>
      <w:r w:rsidR="003D17D0">
        <w:t xml:space="preserve"> </w:t>
      </w:r>
      <w:r>
        <w:t>his</w:t>
      </w:r>
      <w:r w:rsidR="003D17D0">
        <w:t xml:space="preserve"> answer to Question 6 to state:</w:t>
      </w:r>
    </w:p>
    <w:p w14:paraId="7E0C77B8" w14:textId="2F00461D" w:rsidR="003D17D0" w:rsidRDefault="003D17D0" w:rsidP="00501C24">
      <w:pPr>
        <w:pStyle w:val="Quote1"/>
      </w:pPr>
      <w:r>
        <w:t xml:space="preserve">Between October 2009 and March 2010 resided in a centre run by IOM in </w:t>
      </w:r>
      <w:proofErr w:type="spellStart"/>
      <w:r w:rsidR="00B23C09">
        <w:t>Mar</w:t>
      </w:r>
      <w:r w:rsidR="00501FE2">
        <w:t>a</w:t>
      </w:r>
      <w:r w:rsidR="00B23C09">
        <w:t>k</w:t>
      </w:r>
      <w:proofErr w:type="spellEnd"/>
      <w:r>
        <w:t xml:space="preserve"> Boat Harbour, Indonesia. Our client cannot recall the name of the Centre and further instructs that question 6 of Form 866B in his application should be amended to include this information</w:t>
      </w:r>
    </w:p>
    <w:p w14:paraId="08EB277A" w14:textId="5B59883B" w:rsidR="00327143" w:rsidRDefault="00327143" w:rsidP="00501C24">
      <w:pPr>
        <w:pStyle w:val="ParaNumbering"/>
      </w:pPr>
      <w:r>
        <w:t xml:space="preserve">After an </w:t>
      </w:r>
      <w:r w:rsidR="00DC0F0C">
        <w:t>interview</w:t>
      </w:r>
      <w:r>
        <w:t xml:space="preserve">, and </w:t>
      </w:r>
      <w:r w:rsidR="00DC0F0C">
        <w:t xml:space="preserve">his representatives </w:t>
      </w:r>
      <w:r>
        <w:t xml:space="preserve">having made </w:t>
      </w:r>
      <w:r w:rsidR="00DC0F0C">
        <w:t>submissions</w:t>
      </w:r>
      <w:r>
        <w:t xml:space="preserve"> to the delegate, the </w:t>
      </w:r>
      <w:r w:rsidR="00DC0F0C">
        <w:t>delegate</w:t>
      </w:r>
      <w:r>
        <w:t xml:space="preserve"> refused to grant the </w:t>
      </w:r>
      <w:r w:rsidR="00501C24">
        <w:t>appellant</w:t>
      </w:r>
      <w:r>
        <w:t xml:space="preserve"> a </w:t>
      </w:r>
      <w:r w:rsidR="00501C24">
        <w:t>protection visa</w:t>
      </w:r>
      <w:r>
        <w:t xml:space="preserve">. </w:t>
      </w:r>
    </w:p>
    <w:p w14:paraId="40562F7D" w14:textId="4F408BE7" w:rsidR="00327143" w:rsidRDefault="00402A75" w:rsidP="00327143">
      <w:pPr>
        <w:pStyle w:val="ParaNumbering"/>
      </w:pPr>
      <w:r>
        <w:lastRenderedPageBreak/>
        <w:t>On 10 January 2014, the</w:t>
      </w:r>
      <w:r w:rsidR="00327143">
        <w:t xml:space="preserve"> </w:t>
      </w:r>
      <w:r w:rsidR="00501C24">
        <w:t>appellant</w:t>
      </w:r>
      <w:r w:rsidR="00263639">
        <w:t xml:space="preserve"> sought </w:t>
      </w:r>
      <w:r>
        <w:t xml:space="preserve">merits </w:t>
      </w:r>
      <w:r w:rsidR="00263639">
        <w:t xml:space="preserve">review in the </w:t>
      </w:r>
      <w:r>
        <w:t>T</w:t>
      </w:r>
      <w:r w:rsidR="00501C24">
        <w:t>ribunal</w:t>
      </w:r>
      <w:r>
        <w:t xml:space="preserve">. </w:t>
      </w:r>
      <w:r w:rsidR="00501C24">
        <w:t>Craddock Murray Neumann</w:t>
      </w:r>
      <w:r w:rsidR="00501C24" w:rsidDel="00501C24">
        <w:t xml:space="preserve"> </w:t>
      </w:r>
      <w:r>
        <w:t>were listed on the T</w:t>
      </w:r>
      <w:r w:rsidR="00501C24">
        <w:t>ribunal</w:t>
      </w:r>
      <w:r>
        <w:t xml:space="preserve"> application form as the representatives of the </w:t>
      </w:r>
      <w:r w:rsidR="00501C24">
        <w:t>appellant</w:t>
      </w:r>
      <w:r>
        <w:t xml:space="preserve">. </w:t>
      </w:r>
      <w:r w:rsidR="00263639">
        <w:t xml:space="preserve">Completion of the review was </w:t>
      </w:r>
      <w:r w:rsidR="00795AAD">
        <w:t xml:space="preserve">delayed because of the </w:t>
      </w:r>
      <w:r w:rsidR="00263639">
        <w:t>reconstitution</w:t>
      </w:r>
      <w:r w:rsidR="00795AAD">
        <w:t xml:space="preserve"> of the T</w:t>
      </w:r>
      <w:r w:rsidR="00501C24">
        <w:t>ribunal</w:t>
      </w:r>
      <w:r w:rsidR="00795AAD">
        <w:t xml:space="preserve">. </w:t>
      </w:r>
      <w:r w:rsidR="003D17D0">
        <w:t xml:space="preserve">The </w:t>
      </w:r>
      <w:r w:rsidR="00263639">
        <w:t>reconstitution</w:t>
      </w:r>
      <w:r w:rsidR="003D17D0">
        <w:t xml:space="preserve"> is </w:t>
      </w:r>
      <w:r w:rsidR="00263639">
        <w:t>also of</w:t>
      </w:r>
      <w:r w:rsidR="003D17D0">
        <w:t xml:space="preserve"> relevance to the </w:t>
      </w:r>
      <w:r w:rsidR="00501C24">
        <w:t>appellant’s</w:t>
      </w:r>
      <w:r w:rsidR="003D17D0">
        <w:t xml:space="preserve"> grounds of </w:t>
      </w:r>
      <w:r w:rsidR="00263639">
        <w:t>appeal</w:t>
      </w:r>
      <w:r w:rsidR="003D17D0">
        <w:t>.</w:t>
      </w:r>
    </w:p>
    <w:p w14:paraId="4568A2C8" w14:textId="0FCDA3B9" w:rsidR="00932A85" w:rsidRDefault="00795AAD" w:rsidP="00795AAD">
      <w:pPr>
        <w:pStyle w:val="Heading2"/>
      </w:pPr>
      <w:r>
        <w:t xml:space="preserve">The </w:t>
      </w:r>
      <w:r w:rsidR="00841587">
        <w:t xml:space="preserve">appellant’s </w:t>
      </w:r>
      <w:r>
        <w:t>claim</w:t>
      </w:r>
      <w:r w:rsidR="002B70A1">
        <w:t>s and how the T</w:t>
      </w:r>
      <w:r w:rsidR="00841587">
        <w:t>ribunal</w:t>
      </w:r>
      <w:r w:rsidR="002B70A1">
        <w:t xml:space="preserve"> dealt with them</w:t>
      </w:r>
    </w:p>
    <w:p w14:paraId="392F70CA" w14:textId="2E080E05" w:rsidR="00AB4FAC" w:rsidRDefault="00B23C09" w:rsidP="00273D68">
      <w:pPr>
        <w:pStyle w:val="ParaNumbering"/>
        <w:jc w:val="left"/>
      </w:pPr>
      <w:r>
        <w:t xml:space="preserve">The </w:t>
      </w:r>
      <w:r w:rsidR="00501C24">
        <w:t xml:space="preserve">appellant’s </w:t>
      </w:r>
      <w:r>
        <w:t xml:space="preserve">claims centred on the treatment initially experienced by his family, rather than him, </w:t>
      </w:r>
      <w:r w:rsidR="004B7E4D">
        <w:t>at the hands of the Sri Lankan A</w:t>
      </w:r>
      <w:r>
        <w:t>rmy, with the first significant incident in his narrative being the</w:t>
      </w:r>
      <w:r w:rsidR="00A6142D">
        <w:t xml:space="preserve"> </w:t>
      </w:r>
      <w:r w:rsidR="002E41F1">
        <w:t>detention</w:t>
      </w:r>
      <w:r>
        <w:t xml:space="preserve"> of his brother in 1999</w:t>
      </w:r>
      <w:r w:rsidR="002E41F1">
        <w:t xml:space="preserve"> for a period of three days</w:t>
      </w:r>
      <w:r>
        <w:t xml:space="preserve">, by the army, along with other young Tamil men. The </w:t>
      </w:r>
      <w:r w:rsidR="00501C24">
        <w:t xml:space="preserve">appellant </w:t>
      </w:r>
      <w:r>
        <w:t xml:space="preserve">stated his brother and the other young men were accused of association with the </w:t>
      </w:r>
      <w:r w:rsidRPr="00841587">
        <w:t>LTTE</w:t>
      </w:r>
      <w:r>
        <w:t xml:space="preserve">. It is not necessary to set out in detail the narrative given by the </w:t>
      </w:r>
      <w:r w:rsidR="00501C24">
        <w:t>appellant</w:t>
      </w:r>
      <w:r>
        <w:t xml:space="preserve"> of what happened to his family from there on – but it involved his parents securing his brother’s release, his brother being detained again, and then disappearing for good</w:t>
      </w:r>
      <w:r w:rsidR="007153B2">
        <w:t>,</w:t>
      </w:r>
      <w:r>
        <w:t xml:space="preserve"> his father being beaten and sliding into ill health and dying prematurely, army harassment and intimidation of the family at their house (including the </w:t>
      </w:r>
      <w:r w:rsidR="00501C24">
        <w:t>appellant</w:t>
      </w:r>
      <w:r>
        <w:t xml:space="preserve"> being beaten by army officers)</w:t>
      </w:r>
      <w:r w:rsidR="002E41F1">
        <w:t xml:space="preserve">. The </w:t>
      </w:r>
      <w:r w:rsidR="00841587">
        <w:t xml:space="preserve">appellant </w:t>
      </w:r>
      <w:r w:rsidR="002E41F1">
        <w:t>state</w:t>
      </w:r>
      <w:r w:rsidR="00A71BEE">
        <w:t>s</w:t>
      </w:r>
      <w:r w:rsidR="002E41F1">
        <w:t xml:space="preserve"> that he went </w:t>
      </w:r>
      <w:r>
        <w:t>into hiding in 2007 with a relative in another part of Sri Lanka and then in 2009, his mother mortgag</w:t>
      </w:r>
      <w:r w:rsidR="002E41F1">
        <w:t xml:space="preserve">ed </w:t>
      </w:r>
      <w:r>
        <w:t xml:space="preserve">the family land to pay a people smuggler to get the </w:t>
      </w:r>
      <w:r w:rsidR="00841587">
        <w:t>appellant</w:t>
      </w:r>
      <w:r>
        <w:t xml:space="preserve">, as the last remaining male in his family, out of Sri Lanka. </w:t>
      </w:r>
      <w:r w:rsidR="00B373B7">
        <w:t xml:space="preserve">He claimed the army </w:t>
      </w:r>
      <w:r>
        <w:t>continued</w:t>
      </w:r>
      <w:r w:rsidR="00B373B7">
        <w:t xml:space="preserve"> </w:t>
      </w:r>
      <w:r>
        <w:t>to</w:t>
      </w:r>
      <w:r w:rsidR="00B373B7">
        <w:t xml:space="preserve"> come looking for him at his </w:t>
      </w:r>
      <w:r>
        <w:t>mother’s</w:t>
      </w:r>
      <w:r w:rsidR="00B373B7">
        <w:t xml:space="preserve"> house, up until 2010, after he fled Sri </w:t>
      </w:r>
      <w:r>
        <w:t>Lanka</w:t>
      </w:r>
      <w:r w:rsidR="00B373B7">
        <w:t xml:space="preserve">. He claimed to fear harm at the hands of the Sri Lankan </w:t>
      </w:r>
      <w:r w:rsidR="00A71BEE">
        <w:t>A</w:t>
      </w:r>
      <w:r w:rsidR="00B373B7">
        <w:t xml:space="preserve">rmy, on the </w:t>
      </w:r>
      <w:r>
        <w:t>Convention</w:t>
      </w:r>
      <w:r w:rsidR="00B373B7">
        <w:t xml:space="preserve"> grounds of </w:t>
      </w:r>
      <w:r w:rsidR="00326898">
        <w:t xml:space="preserve">race </w:t>
      </w:r>
      <w:r w:rsidR="00B373B7">
        <w:t xml:space="preserve">(Tamil) and imputed political opinion (imputed LTTE association). He also made claims relating to his fear of harm if </w:t>
      </w:r>
      <w:r>
        <w:t>returned</w:t>
      </w:r>
      <w:r w:rsidR="00B373B7">
        <w:t xml:space="preserve"> to Sri Lanka as an unsuccessful asylum seeker.</w:t>
      </w:r>
    </w:p>
    <w:p w14:paraId="7D6FB4F6" w14:textId="000BBDEB" w:rsidR="00326898" w:rsidRDefault="00326898" w:rsidP="00273D68">
      <w:pPr>
        <w:pStyle w:val="ParaNumbering"/>
        <w:jc w:val="left"/>
      </w:pPr>
      <w:r>
        <w:t xml:space="preserve">Finally, and importantly for the proposed second ground of appeal, the </w:t>
      </w:r>
      <w:r w:rsidR="00841587">
        <w:t>appellant</w:t>
      </w:r>
      <w:r>
        <w:t xml:space="preserve"> contends he made claims to fear harm because he was on what </w:t>
      </w:r>
      <w:r w:rsidR="007153B2">
        <w:t>has been</w:t>
      </w:r>
      <w:r>
        <w:t xml:space="preserve"> called the “</w:t>
      </w:r>
      <w:proofErr w:type="spellStart"/>
      <w:r>
        <w:t>Merak</w:t>
      </w:r>
      <w:proofErr w:type="spellEnd"/>
      <w:r>
        <w:t xml:space="preserve"> ship”: that is, a</w:t>
      </w:r>
      <w:r w:rsidR="00B25E82">
        <w:t xml:space="preserve">n </w:t>
      </w:r>
      <w:r w:rsidR="00B23C09">
        <w:t>Indonesian boat</w:t>
      </w:r>
      <w:r>
        <w:t xml:space="preserve"> which, full of Sri Lankan asylum seekers, was prevented from leaving the port of </w:t>
      </w:r>
      <w:proofErr w:type="spellStart"/>
      <w:r>
        <w:t>Merak</w:t>
      </w:r>
      <w:proofErr w:type="spellEnd"/>
      <w:r>
        <w:t xml:space="preserve"> </w:t>
      </w:r>
      <w:r w:rsidR="00B25E82">
        <w:t xml:space="preserve">in Indonesia, bound for Australia. </w:t>
      </w:r>
      <w:r>
        <w:t xml:space="preserve">The situation drew </w:t>
      </w:r>
      <w:r w:rsidR="00B23C09">
        <w:t>international</w:t>
      </w:r>
      <w:r>
        <w:t xml:space="preserve"> media attention</w:t>
      </w:r>
      <w:r w:rsidR="00B750F5">
        <w:t xml:space="preserve">. </w:t>
      </w:r>
      <w:r w:rsidR="00B23C09">
        <w:t xml:space="preserve">The </w:t>
      </w:r>
      <w:r w:rsidR="00841587">
        <w:t>appellant</w:t>
      </w:r>
      <w:r w:rsidR="00B23C09">
        <w:t xml:space="preserve"> claimed </w:t>
      </w:r>
      <w:r w:rsidR="007153B2">
        <w:t xml:space="preserve">that if he were forced to return to Sri Lanka, </w:t>
      </w:r>
      <w:r w:rsidR="00B23C09">
        <w:t>he would be singled out by the Sri Lankan authorities for his involvement in this incident and therefore the risk of harm to him was higher.</w:t>
      </w:r>
    </w:p>
    <w:p w14:paraId="786550BA" w14:textId="33944D1B" w:rsidR="009A22C1" w:rsidRDefault="00522FFA" w:rsidP="00273D68">
      <w:pPr>
        <w:pStyle w:val="ParaNumbering"/>
        <w:jc w:val="left"/>
      </w:pPr>
      <w:r>
        <w:t>The original T</w:t>
      </w:r>
      <w:r w:rsidR="00841587">
        <w:t>ribunal</w:t>
      </w:r>
      <w:r>
        <w:t xml:space="preserve"> conducted a </w:t>
      </w:r>
      <w:r w:rsidR="007153B2">
        <w:t xml:space="preserve">review </w:t>
      </w:r>
      <w:r>
        <w:t xml:space="preserve">hearing on </w:t>
      </w:r>
      <w:r w:rsidR="003D17D0">
        <w:t>14 May 2015</w:t>
      </w:r>
      <w:r w:rsidR="007153B2">
        <w:t>,</w:t>
      </w:r>
      <w:r w:rsidR="003D17D0">
        <w:t xml:space="preserve"> </w:t>
      </w:r>
      <w:r>
        <w:t xml:space="preserve">which the </w:t>
      </w:r>
      <w:r w:rsidR="00841587">
        <w:t xml:space="preserve">appellant </w:t>
      </w:r>
      <w:r>
        <w:t xml:space="preserve">attended </w:t>
      </w:r>
      <w:r w:rsidR="007153B2">
        <w:t xml:space="preserve">in person </w:t>
      </w:r>
      <w:r>
        <w:t xml:space="preserve">with </w:t>
      </w:r>
      <w:r w:rsidR="007153B2">
        <w:t xml:space="preserve">an interpreter and with </w:t>
      </w:r>
      <w:r>
        <w:t>his</w:t>
      </w:r>
      <w:r w:rsidR="003D17D0">
        <w:t xml:space="preserve"> </w:t>
      </w:r>
      <w:r w:rsidR="002B70A1">
        <w:t>migration agent</w:t>
      </w:r>
      <w:r w:rsidR="003D17D0">
        <w:t xml:space="preserve"> </w:t>
      </w:r>
      <w:r w:rsidR="007153B2">
        <w:t>on the telephone</w:t>
      </w:r>
      <w:r w:rsidR="003D17D0">
        <w:t>.</w:t>
      </w:r>
      <w:r>
        <w:t xml:space="preserve"> Unbeknown to the </w:t>
      </w:r>
      <w:r w:rsidR="00841587">
        <w:t>appellant</w:t>
      </w:r>
      <w:r>
        <w:t xml:space="preserve">, on </w:t>
      </w:r>
      <w:r w:rsidR="003D17D0">
        <w:t>11 November 2015,</w:t>
      </w:r>
      <w:r>
        <w:t xml:space="preserve"> the Tribunal was reconstituted. </w:t>
      </w:r>
      <w:r w:rsidR="00273D68">
        <w:t xml:space="preserve">This fact </w:t>
      </w:r>
      <w:r w:rsidR="00273D68">
        <w:lastRenderedPageBreak/>
        <w:t>emerged only through the T</w:t>
      </w:r>
      <w:r w:rsidR="00841587">
        <w:t>ribunal</w:t>
      </w:r>
      <w:r w:rsidR="00273D68">
        <w:t xml:space="preserve"> documents produced to the </w:t>
      </w:r>
      <w:r w:rsidR="00841587">
        <w:t xml:space="preserve">appellant’s </w:t>
      </w:r>
      <w:r w:rsidR="00273D68">
        <w:t xml:space="preserve">legal representatives </w:t>
      </w:r>
      <w:r w:rsidR="007153B2">
        <w:t xml:space="preserve">under freedom of information processes. </w:t>
      </w:r>
      <w:r w:rsidR="00752C7B">
        <w:t xml:space="preserve">Where necessary, </w:t>
      </w:r>
      <w:r>
        <w:t xml:space="preserve">I shall call </w:t>
      </w:r>
      <w:r w:rsidR="007153B2">
        <w:t>the reconstituted T</w:t>
      </w:r>
      <w:r w:rsidR="00841587">
        <w:t>ribunal</w:t>
      </w:r>
      <w:r>
        <w:t xml:space="preserve"> the </w:t>
      </w:r>
      <w:r w:rsidR="001F520C">
        <w:t>“</w:t>
      </w:r>
      <w:r>
        <w:t>second T</w:t>
      </w:r>
      <w:r w:rsidR="00841587">
        <w:t>ribunal</w:t>
      </w:r>
      <w:r w:rsidR="001F520C">
        <w:t>”</w:t>
      </w:r>
      <w:r>
        <w:t xml:space="preserve">. </w:t>
      </w:r>
    </w:p>
    <w:p w14:paraId="79712ED9" w14:textId="56C71B0B" w:rsidR="00273D68" w:rsidRDefault="00522FFA" w:rsidP="00273D68">
      <w:pPr>
        <w:pStyle w:val="ParaNumbering"/>
        <w:jc w:val="left"/>
      </w:pPr>
      <w:r>
        <w:t xml:space="preserve">Four months after the </w:t>
      </w:r>
      <w:r w:rsidR="00273D68">
        <w:t>reconstitution</w:t>
      </w:r>
      <w:r>
        <w:t xml:space="preserve">, </w:t>
      </w:r>
      <w:r w:rsidR="003D17D0">
        <w:t xml:space="preserve">on 11 March </w:t>
      </w:r>
      <w:r>
        <w:t xml:space="preserve">2016, the </w:t>
      </w:r>
      <w:r w:rsidR="007153B2">
        <w:t xml:space="preserve">second </w:t>
      </w:r>
      <w:r>
        <w:t>Tribunal invited the a</w:t>
      </w:r>
      <w:r w:rsidR="003D17D0">
        <w:t>ppellant to a further hearing</w:t>
      </w:r>
      <w:r>
        <w:t xml:space="preserve">, </w:t>
      </w:r>
      <w:r w:rsidR="00273D68">
        <w:t>scheduled</w:t>
      </w:r>
      <w:r>
        <w:t xml:space="preserve"> </w:t>
      </w:r>
      <w:r w:rsidR="00B23C09">
        <w:t>for 22</w:t>
      </w:r>
      <w:r w:rsidR="00273D68">
        <w:t xml:space="preserve"> April 2016. </w:t>
      </w:r>
      <w:r w:rsidR="00131BE0">
        <w:t>This further</w:t>
      </w:r>
      <w:r w:rsidR="00273D68">
        <w:t xml:space="preserve"> hearing invitation makes statements such </w:t>
      </w:r>
      <w:r w:rsidR="00B23C09">
        <w:t>as:</w:t>
      </w:r>
    </w:p>
    <w:p w14:paraId="44EA78E3" w14:textId="77777777" w:rsidR="00273D68" w:rsidRPr="00273D68" w:rsidRDefault="00273D68" w:rsidP="00841587">
      <w:pPr>
        <w:pStyle w:val="Quote1"/>
      </w:pPr>
      <w:r w:rsidRPr="00273D68">
        <w:t xml:space="preserve">We have considered the material before us but we are unable to make a favourable decision on this information alone. </w:t>
      </w:r>
    </w:p>
    <w:p w14:paraId="722C6A63" w14:textId="55544363" w:rsidR="00273D68" w:rsidRPr="00273D68" w:rsidRDefault="00273D68" w:rsidP="00841587">
      <w:pPr>
        <w:pStyle w:val="Quote1"/>
      </w:pPr>
      <w:r w:rsidRPr="00273D68">
        <w:t xml:space="preserve">You are invited to appear before the Administrative Appeals Tribunal (AAT) to give evidence and present arguments relating to the issues arising in your </w:t>
      </w:r>
      <w:r w:rsidR="00B23C09" w:rsidRPr="00273D68">
        <w:t>case.</w:t>
      </w:r>
    </w:p>
    <w:p w14:paraId="009E0C9F" w14:textId="741FB805" w:rsidR="00F51101" w:rsidRDefault="00882DE6" w:rsidP="00FE31E8">
      <w:pPr>
        <w:pStyle w:val="ParaNumbering"/>
        <w:jc w:val="left"/>
      </w:pPr>
      <w:r>
        <w:t>This hearing invitation does not acknowledge that the T</w:t>
      </w:r>
      <w:r w:rsidR="00841587">
        <w:t>ribunal</w:t>
      </w:r>
      <w:r>
        <w:t xml:space="preserve"> had already had a hearing, and that submissions had been made in advance of that </w:t>
      </w:r>
      <w:r w:rsidR="007153B2">
        <w:t xml:space="preserve">first </w:t>
      </w:r>
      <w:r>
        <w:t xml:space="preserve">hearing. It does not acknowledge that, so far as the </w:t>
      </w:r>
      <w:r w:rsidR="00841587">
        <w:t xml:space="preserve">appellant </w:t>
      </w:r>
      <w:r>
        <w:t xml:space="preserve">and his representative were </w:t>
      </w:r>
      <w:r w:rsidR="00B23C09">
        <w:t>concerned, the</w:t>
      </w:r>
      <w:r>
        <w:t xml:space="preserve"> T</w:t>
      </w:r>
      <w:r w:rsidR="00841587">
        <w:t>ribunal</w:t>
      </w:r>
      <w:r>
        <w:t xml:space="preserve"> was essentially reserved in its review. The reconstitution of the T</w:t>
      </w:r>
      <w:r w:rsidR="00841587">
        <w:t>ribunal</w:t>
      </w:r>
      <w:r>
        <w:t xml:space="preserve"> is not mentioned. Inexplicably (other than by administrative inattention) it is in a form which suggests it is the first hearing invitation, and that the T</w:t>
      </w:r>
      <w:r w:rsidR="00841587">
        <w:t>ribunal</w:t>
      </w:r>
      <w:r>
        <w:t xml:space="preserve"> is considering the </w:t>
      </w:r>
      <w:r w:rsidR="00841587">
        <w:t xml:space="preserve">appellant’s </w:t>
      </w:r>
      <w:r>
        <w:t xml:space="preserve">review for the first time. </w:t>
      </w:r>
      <w:r w:rsidR="00273D68">
        <w:t>It is surprising the T</w:t>
      </w:r>
      <w:r w:rsidR="00841587">
        <w:t>ribunal</w:t>
      </w:r>
      <w:r w:rsidR="00273D68">
        <w:t>’s processes are such that there is no ability to send out more individualised hearing invitations, which actually deal with the particular circumstances of an individual review applicant. It may be that some attention should be paid to remedying this aspect of the T</w:t>
      </w:r>
      <w:r w:rsidR="00841587">
        <w:t>ribunal</w:t>
      </w:r>
      <w:r w:rsidR="00273D68">
        <w:t xml:space="preserve">’s processes. Where a review applicant is represented, no doubt calls might be made to clarify what is going on. </w:t>
      </w:r>
      <w:r w:rsidR="00B23C09">
        <w:t>However,</w:t>
      </w:r>
      <w:r w:rsidR="00273D68">
        <w:t xml:space="preserve"> that should not have to occur. Further, if a person is not represented, the difficulties in understanding what is going on may be more substantial.</w:t>
      </w:r>
    </w:p>
    <w:p w14:paraId="6EE3B51A" w14:textId="00ED39EE" w:rsidR="00201B98" w:rsidRDefault="00201B98" w:rsidP="00FE31E8">
      <w:pPr>
        <w:pStyle w:val="ParaNumbering"/>
        <w:jc w:val="left"/>
      </w:pPr>
      <w:r>
        <w:t xml:space="preserve">After this </w:t>
      </w:r>
      <w:r w:rsidR="00F51101">
        <w:t xml:space="preserve">further </w:t>
      </w:r>
      <w:r>
        <w:t xml:space="preserve">hearing invitation, </w:t>
      </w:r>
      <w:r w:rsidR="00F51101">
        <w:t xml:space="preserve">on 18 March 2016, Craddock Murray </w:t>
      </w:r>
      <w:r w:rsidR="00B23C09">
        <w:t>Neumann emailed</w:t>
      </w:r>
      <w:r>
        <w:t xml:space="preserve"> the Tribunal stating that the firm no longer represented the </w:t>
      </w:r>
      <w:r w:rsidR="00F51101">
        <w:t>a</w:t>
      </w:r>
      <w:r>
        <w:t>ppellant</w:t>
      </w:r>
      <w:r w:rsidR="00F51101">
        <w:t xml:space="preserve">. I note that it was agreed between the parties, and apparent from the documents in evidence, that Craddock Murray Neumann is a firm of legal practitioners, at least some of whose lawyers are also registered migration agents </w:t>
      </w:r>
      <w:r w:rsidR="00B23C09">
        <w:t xml:space="preserve">under </w:t>
      </w:r>
      <w:r w:rsidR="001F520C">
        <w:t xml:space="preserve">Pt </w:t>
      </w:r>
      <w:r w:rsidR="003E792F">
        <w:t xml:space="preserve">3 of the </w:t>
      </w:r>
      <w:r w:rsidR="003E792F" w:rsidRPr="00B54301">
        <w:t>Migration Act</w:t>
      </w:r>
      <w:r w:rsidR="003E792F">
        <w:t xml:space="preserve">. </w:t>
      </w:r>
      <w:r w:rsidR="00235885">
        <w:t xml:space="preserve">The email did not explain why the firm had ceased to represent the </w:t>
      </w:r>
      <w:r w:rsidR="001F520C">
        <w:t>appellant</w:t>
      </w:r>
      <w:r w:rsidR="00235885">
        <w:t>. It simply informed the T</w:t>
      </w:r>
      <w:r w:rsidR="001F520C">
        <w:t>ribunal</w:t>
      </w:r>
      <w:r w:rsidR="00235885">
        <w:t xml:space="preserve"> of the fact and invited the T</w:t>
      </w:r>
      <w:r w:rsidR="001F520C">
        <w:t>ribunal</w:t>
      </w:r>
      <w:r w:rsidR="00235885">
        <w:t xml:space="preserve"> to communicate directly with the </w:t>
      </w:r>
      <w:r w:rsidR="001F520C">
        <w:t xml:space="preserve">appellant </w:t>
      </w:r>
      <w:r w:rsidR="00235885">
        <w:t>going forward.</w:t>
      </w:r>
    </w:p>
    <w:p w14:paraId="30A7A60D" w14:textId="49BE7DC9" w:rsidR="00201B98" w:rsidRDefault="00201B98" w:rsidP="00201B98">
      <w:pPr>
        <w:pStyle w:val="ParaNumbering"/>
      </w:pPr>
      <w:r>
        <w:t xml:space="preserve">On 13 April 2016, </w:t>
      </w:r>
      <w:r w:rsidR="009A22C1">
        <w:t>just over a week before the scheduled T</w:t>
      </w:r>
      <w:r w:rsidR="001F520C">
        <w:t>ribunal</w:t>
      </w:r>
      <w:r w:rsidR="009A22C1">
        <w:t xml:space="preserve"> hearing, </w:t>
      </w:r>
      <w:r>
        <w:t>the appellant’s wife (who</w:t>
      </w:r>
      <w:r w:rsidR="005C219F">
        <w:t>, I infer,</w:t>
      </w:r>
      <w:r>
        <w:t xml:space="preserve"> spoke some English</w:t>
      </w:r>
      <w:r w:rsidR="00A6142D">
        <w:t>)</w:t>
      </w:r>
      <w:r w:rsidR="005C219F">
        <w:t xml:space="preserve"> </w:t>
      </w:r>
      <w:r>
        <w:t xml:space="preserve">telephoned </w:t>
      </w:r>
      <w:r w:rsidR="00235885">
        <w:t>the Tribunal on his behalf. The documentary evidence (a T</w:t>
      </w:r>
      <w:r w:rsidR="001F520C">
        <w:t>ribunal</w:t>
      </w:r>
      <w:r w:rsidR="00235885">
        <w:t xml:space="preserve"> file note) reveals she informed </w:t>
      </w:r>
      <w:r w:rsidR="009A22C1">
        <w:t xml:space="preserve">the </w:t>
      </w:r>
      <w:r w:rsidR="00235885">
        <w:t>T</w:t>
      </w:r>
      <w:r w:rsidR="001F520C">
        <w:t>ribunal</w:t>
      </w:r>
      <w:r w:rsidR="00235885">
        <w:t xml:space="preserve"> officer to whom she spoke </w:t>
      </w:r>
      <w:r>
        <w:lastRenderedPageBreak/>
        <w:t xml:space="preserve">that the </w:t>
      </w:r>
      <w:r w:rsidR="001F520C">
        <w:t xml:space="preserve">appellant could not </w:t>
      </w:r>
      <w:r>
        <w:t xml:space="preserve">pay his outstanding legal fees and </w:t>
      </w:r>
      <w:r w:rsidR="007153B2">
        <w:t>that his</w:t>
      </w:r>
      <w:r>
        <w:t xml:space="preserve"> lawyer </w:t>
      </w:r>
      <w:r w:rsidR="009A22C1">
        <w:t>“</w:t>
      </w:r>
      <w:r>
        <w:t>might not help his case anymore</w:t>
      </w:r>
      <w:r w:rsidR="009A22C1">
        <w:t xml:space="preserve">”. </w:t>
      </w:r>
      <w:r>
        <w:t>She asked the T</w:t>
      </w:r>
      <w:r w:rsidR="001F520C">
        <w:t>ribunal</w:t>
      </w:r>
      <w:r>
        <w:t xml:space="preserve"> to </w:t>
      </w:r>
      <w:r w:rsidR="009A22C1">
        <w:t>postpone</w:t>
      </w:r>
      <w:r>
        <w:t xml:space="preserve"> </w:t>
      </w:r>
      <w:r w:rsidR="009A22C1">
        <w:t>the</w:t>
      </w:r>
      <w:r>
        <w:t xml:space="preserve"> </w:t>
      </w:r>
      <w:r w:rsidR="009A22C1">
        <w:t>hearing</w:t>
      </w:r>
      <w:r>
        <w:t>. She was asked to put the request in writing, with reasons and</w:t>
      </w:r>
      <w:r w:rsidR="005D3652">
        <w:t xml:space="preserve"> was</w:t>
      </w:r>
      <w:r>
        <w:t xml:space="preserve"> </w:t>
      </w:r>
      <w:r w:rsidR="009A22C1">
        <w:t xml:space="preserve">told that </w:t>
      </w:r>
      <w:r>
        <w:t>the T</w:t>
      </w:r>
      <w:r w:rsidR="001F520C">
        <w:t>ribunal</w:t>
      </w:r>
      <w:r>
        <w:t xml:space="preserve"> </w:t>
      </w:r>
      <w:r w:rsidR="009A22C1">
        <w:t xml:space="preserve">member </w:t>
      </w:r>
      <w:r>
        <w:t xml:space="preserve">would consider it. The </w:t>
      </w:r>
      <w:r w:rsidR="001F520C">
        <w:t xml:space="preserve">appellant’s </w:t>
      </w:r>
      <w:r>
        <w:t xml:space="preserve">wife was not told </w:t>
      </w:r>
      <w:r w:rsidR="009A22C1">
        <w:t>about</w:t>
      </w:r>
      <w:r>
        <w:t xml:space="preserve"> the </w:t>
      </w:r>
      <w:r w:rsidR="009A22C1">
        <w:t xml:space="preserve">reconstitution of the </w:t>
      </w:r>
      <w:r w:rsidR="00B23C09">
        <w:t>T</w:t>
      </w:r>
      <w:r w:rsidR="001F520C">
        <w:t>ribunal</w:t>
      </w:r>
      <w:r w:rsidR="00B23C09">
        <w:t>, nor</w:t>
      </w:r>
      <w:r>
        <w:t xml:space="preserve"> was she told her written request should specify the proposed date range to which the hearing would be rescheduled.</w:t>
      </w:r>
    </w:p>
    <w:p w14:paraId="1A15C8E3" w14:textId="44C996FD" w:rsidR="00502974" w:rsidRDefault="00502974" w:rsidP="001B2FDF">
      <w:pPr>
        <w:pStyle w:val="ParaNumbering"/>
      </w:pPr>
      <w:r>
        <w:t>Through his wife, the</w:t>
      </w:r>
      <w:r w:rsidR="001B2FDF">
        <w:t xml:space="preserve"> </w:t>
      </w:r>
      <w:r w:rsidR="001F520C">
        <w:t xml:space="preserve">appellant </w:t>
      </w:r>
      <w:r w:rsidR="001B2FDF">
        <w:t xml:space="preserve">made the </w:t>
      </w:r>
      <w:r>
        <w:t xml:space="preserve">written request as he had been asked </w:t>
      </w:r>
      <w:r w:rsidR="001B2FDF">
        <w:t>to do.</w:t>
      </w:r>
      <w:r>
        <w:t xml:space="preserve"> The request relevantly took the following form:</w:t>
      </w:r>
    </w:p>
    <w:p w14:paraId="0E77376D" w14:textId="22F10D12" w:rsidR="001F520C" w:rsidRDefault="001F520C" w:rsidP="001F520C">
      <w:pPr>
        <w:pStyle w:val="Quote1"/>
      </w:pPr>
      <w:r>
        <w:t xml:space="preserve">My name is </w:t>
      </w:r>
      <w:r w:rsidR="00AD1B53">
        <w:t>[redacted]</w:t>
      </w:r>
      <w:r>
        <w:t xml:space="preserve"> case number </w:t>
      </w:r>
      <w:r w:rsidR="00AD1B53">
        <w:t xml:space="preserve">[redacted] </w:t>
      </w:r>
      <w:r>
        <w:t>would like to reschedule which will be held on 22 April 2016 (Friday) due to no representative on that day.</w:t>
      </w:r>
    </w:p>
    <w:p w14:paraId="07DCB6E9" w14:textId="5B827626" w:rsidR="001F520C" w:rsidRDefault="001F520C" w:rsidP="001F520C">
      <w:pPr>
        <w:pStyle w:val="Quote1"/>
      </w:pPr>
      <w:r>
        <w:t xml:space="preserve">On end of March </w:t>
      </w:r>
      <w:proofErr w:type="spellStart"/>
      <w:r>
        <w:t>i</w:t>
      </w:r>
      <w:proofErr w:type="spellEnd"/>
      <w:r>
        <w:t xml:space="preserve"> receive a letter by informing that the representatives couldn’t argue for my case due to the government not support them financially. So, they ask me to look for private lawyer or pay to them $4400 upfront for the case.</w:t>
      </w:r>
      <w:r w:rsidR="00AD1B53">
        <w:t xml:space="preserve"> </w:t>
      </w:r>
      <w:r>
        <w:t xml:space="preserve">Even </w:t>
      </w:r>
      <w:r w:rsidR="00AD1B53">
        <w:t>I</w:t>
      </w:r>
      <w:r>
        <w:t xml:space="preserve"> request them to pay them </w:t>
      </w:r>
      <w:proofErr w:type="spellStart"/>
      <w:r>
        <w:t>installment</w:t>
      </w:r>
      <w:proofErr w:type="spellEnd"/>
      <w:r>
        <w:t xml:space="preserve"> but they </w:t>
      </w:r>
      <w:proofErr w:type="spellStart"/>
      <w:r>
        <w:t>they</w:t>
      </w:r>
      <w:proofErr w:type="spellEnd"/>
      <w:r>
        <w:t xml:space="preserve"> refuse to do that. All the info</w:t>
      </w:r>
      <w:r w:rsidR="00AD1B53">
        <w:t>rm</w:t>
      </w:r>
      <w:r>
        <w:t>ation given</w:t>
      </w:r>
      <w:r w:rsidR="00AD1B53">
        <w:t xml:space="preserve"> </w:t>
      </w:r>
      <w:r>
        <w:t xml:space="preserve">by the receptionist even I </w:t>
      </w:r>
      <w:r w:rsidR="00AD1B53">
        <w:t xml:space="preserve">ask </w:t>
      </w:r>
      <w:r>
        <w:t>the receptionist pass</w:t>
      </w:r>
      <w:r w:rsidR="00AD1B53">
        <w:t xml:space="preserve"> </w:t>
      </w:r>
      <w:r>
        <w:t>to the lawyer for</w:t>
      </w:r>
      <w:r w:rsidR="00AD1B53">
        <w:t xml:space="preserve"> </w:t>
      </w:r>
      <w:r>
        <w:t>further question and</w:t>
      </w:r>
      <w:r w:rsidR="00AD1B53">
        <w:t xml:space="preserve"> also </w:t>
      </w:r>
      <w:r>
        <w:t>pay payment by</w:t>
      </w:r>
      <w:r w:rsidR="00AD1B53">
        <w:t xml:space="preserve"> </w:t>
      </w:r>
      <w:proofErr w:type="spellStart"/>
      <w:r w:rsidR="00AD1B53">
        <w:t>installment</w:t>
      </w:r>
      <w:proofErr w:type="spellEnd"/>
      <w:r w:rsidR="00AD1B53">
        <w:t xml:space="preserve"> to the lawyer because I don’</w:t>
      </w:r>
      <w:r>
        <w:t>t have that much money on my hand but the lawyer refuse to answer my</w:t>
      </w:r>
      <w:r w:rsidR="00AD1B53">
        <w:t xml:space="preserve"> </w:t>
      </w:r>
      <w:r>
        <w:t>call</w:t>
      </w:r>
    </w:p>
    <w:p w14:paraId="56674AA2" w14:textId="4049C32B" w:rsidR="001F520C" w:rsidRDefault="001F520C" w:rsidP="001F520C">
      <w:pPr>
        <w:pStyle w:val="Quote1"/>
      </w:pPr>
      <w:r>
        <w:t xml:space="preserve">So, </w:t>
      </w:r>
      <w:proofErr w:type="spellStart"/>
      <w:r>
        <w:t>i</w:t>
      </w:r>
      <w:proofErr w:type="spellEnd"/>
      <w:r>
        <w:t xml:space="preserve"> look for new lawyer in short time they ask me to pay more than the lawyers demand. certain lawyers refuse to</w:t>
      </w:r>
      <w:r w:rsidR="00AD1B53">
        <w:t xml:space="preserve"> </w:t>
      </w:r>
      <w:r>
        <w:t xml:space="preserve">take my case to take my case because not enough time and busy as well. Since no lawyers take my case, so </w:t>
      </w:r>
      <w:proofErr w:type="spellStart"/>
      <w:r>
        <w:t>i</w:t>
      </w:r>
      <w:proofErr w:type="spellEnd"/>
      <w:r>
        <w:t xml:space="preserve"> call</w:t>
      </w:r>
      <w:r w:rsidR="00AD1B53">
        <w:t xml:space="preserve"> </w:t>
      </w:r>
      <w:r>
        <w:t>legal aid to take my case but they said that the lawyers are busy and time also very short to review my case</w:t>
      </w:r>
    </w:p>
    <w:p w14:paraId="384DC1E9" w14:textId="36A876CE" w:rsidR="001F520C" w:rsidRDefault="001F520C" w:rsidP="001F520C">
      <w:pPr>
        <w:pStyle w:val="Quote1"/>
      </w:pPr>
      <w:r>
        <w:t>Based my case hearing and situat</w:t>
      </w:r>
      <w:r w:rsidR="00AD1B53">
        <w:t xml:space="preserve">ion </w:t>
      </w:r>
      <w:proofErr w:type="spellStart"/>
      <w:r w:rsidR="00AD1B53">
        <w:t>i</w:t>
      </w:r>
      <w:proofErr w:type="spellEnd"/>
      <w:r w:rsidR="00AD1B53">
        <w:t xml:space="preserve"> need more time to get new </w:t>
      </w:r>
      <w:r>
        <w:t>lawyer as re presenter and to review my case and</w:t>
      </w:r>
      <w:r w:rsidR="00AD1B53">
        <w:t xml:space="preserve"> </w:t>
      </w:r>
      <w:r>
        <w:t xml:space="preserve">also prepare money for my case to pay the lawyers. Once </w:t>
      </w:r>
      <w:proofErr w:type="spellStart"/>
      <w:r>
        <w:t>i</w:t>
      </w:r>
      <w:proofErr w:type="spellEnd"/>
      <w:r>
        <w:t xml:space="preserve"> get info</w:t>
      </w:r>
      <w:r w:rsidR="00AD1B53">
        <w:t>rm</w:t>
      </w:r>
      <w:r>
        <w:t xml:space="preserve">ation on today from </w:t>
      </w:r>
      <w:proofErr w:type="spellStart"/>
      <w:r>
        <w:t>MRDivision</w:t>
      </w:r>
      <w:proofErr w:type="spellEnd"/>
      <w:r>
        <w:t xml:space="preserve"> si</w:t>
      </w:r>
      <w:r w:rsidR="00AD1B53">
        <w:t xml:space="preserve">nce </w:t>
      </w:r>
      <w:proofErr w:type="spellStart"/>
      <w:r w:rsidR="00AD1B53">
        <w:t>i</w:t>
      </w:r>
      <w:proofErr w:type="spellEnd"/>
      <w:r w:rsidR="00AD1B53">
        <w:t xml:space="preserve"> don’</w:t>
      </w:r>
      <w:r>
        <w:t>t</w:t>
      </w:r>
      <w:r w:rsidR="00AD1B53">
        <w:t xml:space="preserve"> </w:t>
      </w:r>
      <w:r>
        <w:t>have any solu</w:t>
      </w:r>
      <w:r w:rsidR="00AD1B53">
        <w:t>t</w:t>
      </w:r>
      <w:r>
        <w:t>ion for my cases to send email to you for reschedule.</w:t>
      </w:r>
    </w:p>
    <w:p w14:paraId="2ACB29DF" w14:textId="2197C9B1" w:rsidR="001F520C" w:rsidRDefault="001F520C" w:rsidP="001F520C">
      <w:pPr>
        <w:pStyle w:val="Quote1"/>
      </w:pPr>
      <w:r>
        <w:t>Here,</w:t>
      </w:r>
      <w:r w:rsidR="00AD1B53">
        <w:t xml:space="preserve"> </w:t>
      </w:r>
      <w:r>
        <w:t>my humble request to reschedule my hearing based on my situation since this is my life matter. Please be</w:t>
      </w:r>
      <w:r w:rsidR="00AD1B53">
        <w:t xml:space="preserve"> consider my situation. Don’</w:t>
      </w:r>
      <w:r>
        <w:t xml:space="preserve">t hesitate to call me </w:t>
      </w:r>
      <w:r w:rsidR="00AD1B53">
        <w:t xml:space="preserve">[redacted] </w:t>
      </w:r>
      <w:r>
        <w:t>if any</w:t>
      </w:r>
      <w:r w:rsidR="00AD1B53">
        <w:t xml:space="preserve"> question.</w:t>
      </w:r>
    </w:p>
    <w:p w14:paraId="4F121D7D" w14:textId="417CC837" w:rsidR="001F520C" w:rsidRDefault="00AD1B53" w:rsidP="001F520C">
      <w:pPr>
        <w:pStyle w:val="Quote1"/>
      </w:pPr>
      <w:r>
        <w:t>h</w:t>
      </w:r>
      <w:r w:rsidR="001F520C">
        <w:t>opefully, the person whom concern will reply me as soon as possible.</w:t>
      </w:r>
    </w:p>
    <w:p w14:paraId="05021736" w14:textId="77777777" w:rsidR="001F520C" w:rsidRDefault="001F520C" w:rsidP="001F520C">
      <w:pPr>
        <w:pStyle w:val="Quote1"/>
      </w:pPr>
      <w:r>
        <w:t>Thanks MILLION.</w:t>
      </w:r>
    </w:p>
    <w:p w14:paraId="0AE7DEA2" w14:textId="03F8F797" w:rsidR="00502974" w:rsidRDefault="00502974" w:rsidP="001B2FDF">
      <w:pPr>
        <w:pStyle w:val="ParaNumbering"/>
      </w:pPr>
      <w:r>
        <w:t xml:space="preserve">It remains unclear on the evidence what was the difficulty for Craddock Murray Neumann in continuing to represent the </w:t>
      </w:r>
      <w:r w:rsidR="00AD1B53">
        <w:t>appellant</w:t>
      </w:r>
      <w:r w:rsidR="00D104DF">
        <w:t xml:space="preserve">. </w:t>
      </w:r>
      <w:r w:rsidR="00B750F5">
        <w:t>A question might be asked whether</w:t>
      </w:r>
      <w:r>
        <w:t xml:space="preserve"> their obligations under the I</w:t>
      </w:r>
      <w:r w:rsidR="00D104DF">
        <w:t xml:space="preserve">mmigration </w:t>
      </w:r>
      <w:r>
        <w:t>A</w:t>
      </w:r>
      <w:r w:rsidR="00D104DF">
        <w:t xml:space="preserve">dvice and </w:t>
      </w:r>
      <w:r>
        <w:t>A</w:t>
      </w:r>
      <w:r w:rsidR="00D104DF">
        <w:t xml:space="preserve">pplication </w:t>
      </w:r>
      <w:r w:rsidR="001E7F8C">
        <w:t xml:space="preserve">Assistance </w:t>
      </w:r>
      <w:r>
        <w:t>Scheme obliged them to do</w:t>
      </w:r>
      <w:r w:rsidR="00D104DF">
        <w:t xml:space="preserve"> so</w:t>
      </w:r>
      <w:r>
        <w:t xml:space="preserve">. One possible inference is that no extra funds were payable under the </w:t>
      </w:r>
      <w:r w:rsidR="00AD1B53">
        <w:t>S</w:t>
      </w:r>
      <w:r>
        <w:t>cheme for a situation where the T</w:t>
      </w:r>
      <w:r w:rsidR="00AD1B53">
        <w:t>ribunal</w:t>
      </w:r>
      <w:r>
        <w:t xml:space="preserve"> was reconstituted and the legal representative had to attend a second T</w:t>
      </w:r>
      <w:r w:rsidR="00AD1B53">
        <w:t>ribunal</w:t>
      </w:r>
      <w:r>
        <w:t xml:space="preserve"> hearing. If that were the basis on which Craddock Murray Neumann informed the </w:t>
      </w:r>
      <w:r w:rsidR="00AD1B53">
        <w:t xml:space="preserve">appellant </w:t>
      </w:r>
      <w:r>
        <w:t xml:space="preserve">it would not act for him any further without further payment, that would be of concern. However, the evidence remains unclear about why Craddock Murray Neumann ceased to act for the </w:t>
      </w:r>
      <w:r w:rsidR="00AD1B53">
        <w:lastRenderedPageBreak/>
        <w:t xml:space="preserve">appellant </w:t>
      </w:r>
      <w:r>
        <w:t>prior to his T</w:t>
      </w:r>
      <w:r w:rsidR="00AD1B53">
        <w:t>ribunal</w:t>
      </w:r>
      <w:r>
        <w:t xml:space="preserve"> review being completed, when they had been retained under the IA</w:t>
      </w:r>
      <w:r w:rsidR="00742712">
        <w:t>A</w:t>
      </w:r>
      <w:r>
        <w:t xml:space="preserve">AS </w:t>
      </w:r>
      <w:r w:rsidR="00AD1B53">
        <w:t>S</w:t>
      </w:r>
      <w:r>
        <w:t>cheme to act for him during the course of that review.</w:t>
      </w:r>
      <w:r w:rsidR="00A24A2B">
        <w:t xml:space="preserve"> Therefore, I make no findings on this matter.</w:t>
      </w:r>
    </w:p>
    <w:p w14:paraId="712883F4" w14:textId="11F23546" w:rsidR="00201B98" w:rsidRDefault="00201B98" w:rsidP="00201B98">
      <w:pPr>
        <w:pStyle w:val="ParaNumbering"/>
      </w:pPr>
      <w:bookmarkStart w:id="22" w:name="_Ref535766800"/>
      <w:r>
        <w:t xml:space="preserve">On </w:t>
      </w:r>
      <w:r w:rsidR="00446402">
        <w:t xml:space="preserve">14 </w:t>
      </w:r>
      <w:r>
        <w:t>April</w:t>
      </w:r>
      <w:r w:rsidR="00446402">
        <w:t xml:space="preserve"> 2016</w:t>
      </w:r>
      <w:r>
        <w:t xml:space="preserve">, the Tribunal refused the </w:t>
      </w:r>
      <w:r w:rsidR="001B2FDF">
        <w:t>adjournment</w:t>
      </w:r>
      <w:r>
        <w:t xml:space="preserve"> request and gave reasons for that decision</w:t>
      </w:r>
      <w:r w:rsidR="00502974">
        <w:t>:</w:t>
      </w:r>
      <w:bookmarkEnd w:id="22"/>
    </w:p>
    <w:p w14:paraId="3A5B151D" w14:textId="5E6CF9BF" w:rsidR="00201B98" w:rsidRPr="001B2FDF" w:rsidRDefault="00201B98" w:rsidP="00446402">
      <w:pPr>
        <w:pStyle w:val="Quote1"/>
      </w:pPr>
      <w:r w:rsidRPr="001B2FDF">
        <w:t>I refer to your email below.</w:t>
      </w:r>
    </w:p>
    <w:p w14:paraId="5345BB8C" w14:textId="77777777" w:rsidR="00201B98" w:rsidRPr="001B2FDF" w:rsidRDefault="00201B98" w:rsidP="00446402">
      <w:pPr>
        <w:pStyle w:val="Quote1"/>
      </w:pPr>
      <w:r w:rsidRPr="001B2FDF">
        <w:t xml:space="preserve">The Presiding Member has </w:t>
      </w:r>
      <w:r w:rsidRPr="00446402">
        <w:rPr>
          <w:b/>
        </w:rPr>
        <w:t>declined your request for a postponement</w:t>
      </w:r>
      <w:r w:rsidRPr="001B2FDF">
        <w:t>. You have already had a full hearing with a different Member and this is a further hearing to discuss issues arising out of that hearing and more up to date country information. In light of the fact that his last hearing was held nearly a year ago, the Tribunal will not be delaying the matter any further in the circumstances.</w:t>
      </w:r>
    </w:p>
    <w:p w14:paraId="035B272D" w14:textId="5B329317" w:rsidR="00446402" w:rsidRDefault="00201B98" w:rsidP="00446402">
      <w:pPr>
        <w:pStyle w:val="Quote1"/>
      </w:pPr>
      <w:r w:rsidRPr="00446402">
        <w:rPr>
          <w:b/>
        </w:rPr>
        <w:t>The hearing will still go ahead on 22 April 2016 at 2</w:t>
      </w:r>
      <w:r w:rsidR="00446402" w:rsidRPr="00446402">
        <w:rPr>
          <w:b/>
        </w:rPr>
        <w:t>:00</w:t>
      </w:r>
      <w:r w:rsidRPr="00446402">
        <w:rPr>
          <w:b/>
        </w:rPr>
        <w:t>pm</w:t>
      </w:r>
    </w:p>
    <w:p w14:paraId="3538C4AC" w14:textId="798BCD98" w:rsidR="00201B98" w:rsidRPr="001B2FDF" w:rsidRDefault="00201B98" w:rsidP="00446402">
      <w:pPr>
        <w:pStyle w:val="Quote1"/>
      </w:pPr>
      <w:r w:rsidRPr="001B2FDF">
        <w:t>(bold in original).</w:t>
      </w:r>
    </w:p>
    <w:p w14:paraId="5DDDDA04" w14:textId="0B684EAA" w:rsidR="00201B98" w:rsidRDefault="007F246D" w:rsidP="00932A85">
      <w:pPr>
        <w:pStyle w:val="ParaNumbering"/>
      </w:pPr>
      <w:r>
        <w:t xml:space="preserve">The </w:t>
      </w:r>
      <w:r w:rsidR="00446402">
        <w:t>appellant</w:t>
      </w:r>
      <w:r>
        <w:t xml:space="preserve"> confirmed he would attend without a </w:t>
      </w:r>
      <w:r w:rsidR="00B34479">
        <w:t>representative</w:t>
      </w:r>
      <w:r>
        <w:t>.</w:t>
      </w:r>
      <w:r w:rsidR="00B34479">
        <w:t xml:space="preserve"> The reality was he had little choice but to do so.</w:t>
      </w:r>
      <w:r w:rsidR="005E6F63">
        <w:t xml:space="preserve"> He said (in an email):</w:t>
      </w:r>
    </w:p>
    <w:p w14:paraId="76951799" w14:textId="4C069ADC" w:rsidR="005E6F63" w:rsidRPr="005E6F63" w:rsidRDefault="005E6F63" w:rsidP="00446402">
      <w:pPr>
        <w:pStyle w:val="Quote1"/>
      </w:pPr>
      <w:r w:rsidRPr="005E6F63">
        <w:t xml:space="preserve">Ok I happy to attend this hearing because it’s about my future and life matter. Slightly feel sad and worried that I couldn’t get a lawyer as </w:t>
      </w:r>
      <w:proofErr w:type="spellStart"/>
      <w:r w:rsidRPr="005E6F63">
        <w:t>representer</w:t>
      </w:r>
      <w:proofErr w:type="spellEnd"/>
      <w:r w:rsidRPr="005E6F63">
        <w:t xml:space="preserve"> in short time</w:t>
      </w:r>
      <w:r w:rsidR="00B2564C">
        <w:t xml:space="preserve"> period</w:t>
      </w:r>
      <w:r w:rsidRPr="005E6F63">
        <w:t xml:space="preserve">. </w:t>
      </w:r>
    </w:p>
    <w:p w14:paraId="0F1E47CD" w14:textId="195CFD5C" w:rsidR="006734EC" w:rsidRDefault="006734EC" w:rsidP="006734EC">
      <w:pPr>
        <w:pStyle w:val="Heading2"/>
      </w:pPr>
      <w:r>
        <w:t xml:space="preserve">The </w:t>
      </w:r>
      <w:r w:rsidR="006D47A2">
        <w:t xml:space="preserve">second </w:t>
      </w:r>
      <w:r>
        <w:t>T</w:t>
      </w:r>
      <w:r w:rsidR="00446402">
        <w:t>ribunal</w:t>
      </w:r>
      <w:r>
        <w:t>’s decision</w:t>
      </w:r>
    </w:p>
    <w:p w14:paraId="1F62112D" w14:textId="32DF251C" w:rsidR="00D06351" w:rsidRDefault="00D06351" w:rsidP="00932A85">
      <w:pPr>
        <w:pStyle w:val="ParaNumbering"/>
      </w:pPr>
      <w:r>
        <w:t>The T</w:t>
      </w:r>
      <w:r w:rsidR="00446402">
        <w:t>ribunal</w:t>
      </w:r>
      <w:r>
        <w:t xml:space="preserve">’s decision was made on 26 May 2016, and affirmed the refusal of a </w:t>
      </w:r>
      <w:r w:rsidR="00446402">
        <w:t xml:space="preserve">protection visa </w:t>
      </w:r>
      <w:r>
        <w:t xml:space="preserve">to the </w:t>
      </w:r>
      <w:r w:rsidR="00446402">
        <w:t>appellant</w:t>
      </w:r>
      <w:r>
        <w:t>.</w:t>
      </w:r>
      <w:r w:rsidR="00F2585B">
        <w:t xml:space="preserve"> There is only one aspect of the T</w:t>
      </w:r>
      <w:r w:rsidR="00446402">
        <w:t>ribunal</w:t>
      </w:r>
      <w:r w:rsidR="00F2585B">
        <w:t>’s decision which is in issue on the appeal, and it is appropriate to focus on the T</w:t>
      </w:r>
      <w:r w:rsidR="00446402">
        <w:t>ribunal</w:t>
      </w:r>
      <w:r w:rsidR="00F2585B">
        <w:t>’s reasoning about that issue. Aside from this issue, in summary the T</w:t>
      </w:r>
      <w:r w:rsidR="00446402">
        <w:t>ribunal</w:t>
      </w:r>
      <w:r w:rsidR="00F2585B">
        <w:t xml:space="preserve"> found</w:t>
      </w:r>
      <w:r w:rsidR="00326898">
        <w:t xml:space="preserve"> there were a number of </w:t>
      </w:r>
      <w:r w:rsidR="00B23C09">
        <w:t>discrepancies</w:t>
      </w:r>
      <w:r w:rsidR="00326898">
        <w:t xml:space="preserve"> in the </w:t>
      </w:r>
      <w:r w:rsidR="00446402">
        <w:t>appellant</w:t>
      </w:r>
      <w:r w:rsidR="00326898">
        <w:t xml:space="preserve">’s </w:t>
      </w:r>
      <w:r w:rsidR="00B23C09">
        <w:t>accounts</w:t>
      </w:r>
      <w:r w:rsidR="00326898">
        <w:t xml:space="preserve"> of the various events giving rise </w:t>
      </w:r>
      <w:r w:rsidR="00B23C09">
        <w:t>to</w:t>
      </w:r>
      <w:r w:rsidR="00326898">
        <w:t xml:space="preserve"> his claims and this led to the T</w:t>
      </w:r>
      <w:r w:rsidR="00446402">
        <w:t>ribunal</w:t>
      </w:r>
      <w:r w:rsidR="00326898">
        <w:t xml:space="preserve"> rejecting several key </w:t>
      </w:r>
      <w:r w:rsidR="00B23C09">
        <w:t>aspects</w:t>
      </w:r>
      <w:r w:rsidR="00326898">
        <w:t xml:space="preserve"> of the </w:t>
      </w:r>
      <w:r w:rsidR="00446402">
        <w:t>appellant</w:t>
      </w:r>
      <w:r w:rsidR="00326898">
        <w:t>’s claims (</w:t>
      </w:r>
      <w:proofErr w:type="spellStart"/>
      <w:r w:rsidR="00326898">
        <w:t>eg</w:t>
      </w:r>
      <w:proofErr w:type="spellEnd"/>
      <w:r w:rsidR="00326898">
        <w:t xml:space="preserve"> that his father was beaten by </w:t>
      </w:r>
      <w:r w:rsidR="00E51F94">
        <w:t>the Sri Lankan A</w:t>
      </w:r>
      <w:r w:rsidR="00326898">
        <w:t xml:space="preserve">rmy). </w:t>
      </w:r>
      <w:r w:rsidR="00B23C09">
        <w:t xml:space="preserve">The rejection of many aspects of the </w:t>
      </w:r>
      <w:r w:rsidR="00446402">
        <w:t>appellant</w:t>
      </w:r>
      <w:r w:rsidR="00B23C09">
        <w:t>’s factual narrative led the T</w:t>
      </w:r>
      <w:r w:rsidR="00446402">
        <w:t>ribunal</w:t>
      </w:r>
      <w:r w:rsidR="00B23C09">
        <w:t xml:space="preserve"> to find (at [45] of its reasons) that the </w:t>
      </w:r>
      <w:r w:rsidR="00446402">
        <w:t xml:space="preserve">appellant </w:t>
      </w:r>
      <w:r w:rsidR="00B23C09">
        <w:t xml:space="preserve">did not have a well-founded fear of persecution for the reasons he claimed, because of what had happened to him </w:t>
      </w:r>
      <w:r w:rsidR="000430E8">
        <w:t xml:space="preserve">in </w:t>
      </w:r>
      <w:r w:rsidR="00B23C09">
        <w:t xml:space="preserve">the past. </w:t>
      </w:r>
      <w:r w:rsidR="00326898">
        <w:t xml:space="preserve">It went on to reject his claims associated with being </w:t>
      </w:r>
      <w:r w:rsidR="00B23C09">
        <w:t>returned</w:t>
      </w:r>
      <w:r w:rsidR="00326898">
        <w:t xml:space="preserve"> </w:t>
      </w:r>
      <w:r w:rsidR="00B23C09">
        <w:t>to</w:t>
      </w:r>
      <w:r w:rsidR="00326898">
        <w:t xml:space="preserve"> Sri L</w:t>
      </w:r>
      <w:r w:rsidR="00D92FBE">
        <w:t xml:space="preserve">anka as a failed asylum </w:t>
      </w:r>
      <w:r w:rsidR="00B23C09">
        <w:t>seeker</w:t>
      </w:r>
      <w:r w:rsidR="00D92FBE">
        <w:t>.</w:t>
      </w:r>
    </w:p>
    <w:p w14:paraId="6855ABAC" w14:textId="7058BD63" w:rsidR="00D92FBE" w:rsidRDefault="00D92FBE" w:rsidP="00932A85">
      <w:pPr>
        <w:pStyle w:val="ParaNumbering"/>
      </w:pPr>
      <w:r>
        <w:t>The T</w:t>
      </w:r>
      <w:r w:rsidR="00446402">
        <w:t>ribunal</w:t>
      </w:r>
      <w:r>
        <w:t xml:space="preserve">’s </w:t>
      </w:r>
      <w:r w:rsidR="00B23C09">
        <w:t>reasoning</w:t>
      </w:r>
      <w:r>
        <w:t xml:space="preserve"> on why it rejected the factual narrative of the </w:t>
      </w:r>
      <w:r w:rsidR="00446402">
        <w:t xml:space="preserve">appellant </w:t>
      </w:r>
      <w:r>
        <w:t>could be open to criticism at several points, but no ground of appeal is raised about that reasoning.</w:t>
      </w:r>
    </w:p>
    <w:p w14:paraId="6DC40C6A" w14:textId="4C9DC3CA" w:rsidR="009E27C3" w:rsidRDefault="009E27C3" w:rsidP="00932A85">
      <w:pPr>
        <w:pStyle w:val="ParaNumbering"/>
      </w:pPr>
      <w:r>
        <w:t>In</w:t>
      </w:r>
      <w:r w:rsidR="00C81A0B">
        <w:t xml:space="preserve"> relation to</w:t>
      </w:r>
      <w:r>
        <w:t xml:space="preserve"> the claim about being on the </w:t>
      </w:r>
      <w:proofErr w:type="spellStart"/>
      <w:r>
        <w:t>Merak</w:t>
      </w:r>
      <w:proofErr w:type="spellEnd"/>
      <w:r>
        <w:t xml:space="preserve"> </w:t>
      </w:r>
      <w:r w:rsidR="00AF08BB">
        <w:t>ship</w:t>
      </w:r>
      <w:r>
        <w:t xml:space="preserve">, it is appropriate to reproduce the two </w:t>
      </w:r>
      <w:r w:rsidR="00B23C09">
        <w:t>paragraphs</w:t>
      </w:r>
      <w:r>
        <w:t xml:space="preserve"> of the T</w:t>
      </w:r>
      <w:r w:rsidR="00446402">
        <w:t>ribunal</w:t>
      </w:r>
      <w:r>
        <w:t xml:space="preserve">’s </w:t>
      </w:r>
      <w:r w:rsidR="00B23C09">
        <w:t>reasons</w:t>
      </w:r>
      <w:r>
        <w:t xml:space="preserve"> which deal with this issue:</w:t>
      </w:r>
    </w:p>
    <w:p w14:paraId="281AA768" w14:textId="7C3CCDAC" w:rsidR="00446402" w:rsidRDefault="00785D45" w:rsidP="005E1759">
      <w:pPr>
        <w:pStyle w:val="Quote1"/>
        <w:ind w:left="1440" w:hanging="703"/>
      </w:pPr>
      <w:r>
        <w:lastRenderedPageBreak/>
        <w:t>46.</w:t>
      </w:r>
      <w:r>
        <w:tab/>
      </w:r>
      <w:r w:rsidR="00446402">
        <w:t xml:space="preserve">The applicant also claimed that he fears harm on his return to Sri Lanka because he was </w:t>
      </w:r>
      <w:r>
        <w:t xml:space="preserve">on the </w:t>
      </w:r>
      <w:proofErr w:type="spellStart"/>
      <w:r>
        <w:t>Merak</w:t>
      </w:r>
      <w:proofErr w:type="spellEnd"/>
      <w:r>
        <w:t xml:space="preserve"> ship and enquiries had been made by the authorities, particularly army intelligence, after they had allegedly seen him in media footage of this ship. The Tribunal notes the applicant only raised his alleged presence on this ship during the first hearing with the previous Member. There was nothing in the applicant’s protection visa application to suggest he had spent six months in Indonesia at the end of 2009 and early 2010. Rather, in his protection visa application he claimed to have been in Malaysia from 1 October 2009 (2008 as he subsequently amended) to 22 June 2012. When asked in the second hearing why he did not mention anything in his statutory declaration about being on this ship or the authorities coming and asking his mother about him after allegedly seeing him on this ship, the applicant claimed that his lawyer had told him if he did not have any evidence this would not be accepted. The Tribunal does not accept that the applicant</w:t>
      </w:r>
      <w:r w:rsidR="00030E4F">
        <w:t>’</w:t>
      </w:r>
      <w:r>
        <w:t xml:space="preserve">s adviser would have advised the applicant that his alleged presence on the </w:t>
      </w:r>
      <w:proofErr w:type="spellStart"/>
      <w:r>
        <w:t>Merak</w:t>
      </w:r>
      <w:proofErr w:type="spellEnd"/>
      <w:r>
        <w:t xml:space="preserve"> ship could not be included in his claims unless he had evidence. The Tribunal notes that there are several aspects of the applicant</w:t>
      </w:r>
      <w:r w:rsidR="00030E4F">
        <w:t>’</w:t>
      </w:r>
      <w:r>
        <w:t>s claims, including the alleged visits to his home in 2006, which he has not submitted substantiating evidence. Further, the Tribunal notes when the first Tribunal queried why he had not raised this in his statutory declaration attached to his protection visa application, the applicant had stated he is now relaxed and can tell and he had told his lawyer he had made mistakes like this. The</w:t>
      </w:r>
      <w:r w:rsidR="00030E4F">
        <w:t>re was nothing in the applicant’</w:t>
      </w:r>
      <w:r>
        <w:t>s earlier evidence to suggest that he had been advised by his lawyer that this information could not be included because he had no evidence to support this claim.</w:t>
      </w:r>
    </w:p>
    <w:p w14:paraId="7D573F2C" w14:textId="2130745B" w:rsidR="00785D45" w:rsidRDefault="00785D45" w:rsidP="005E1759">
      <w:pPr>
        <w:pStyle w:val="Quote1"/>
        <w:ind w:left="1440" w:hanging="703"/>
      </w:pPr>
      <w:r>
        <w:t>47.</w:t>
      </w:r>
      <w:r>
        <w:tab/>
        <w:t>The Tribunal has also taken into consideration the applicant</w:t>
      </w:r>
      <w:r w:rsidR="00030E4F">
        <w:t>’</w:t>
      </w:r>
      <w:r>
        <w:t xml:space="preserve">s evidence in his entry interview regarding where he lived before coming to Australia, </w:t>
      </w:r>
      <w:r w:rsidR="005E1759">
        <w:t xml:space="preserve">his time since he left Sri Lanka and his travel route to Australia and the applicant did not mention anything about being on board the </w:t>
      </w:r>
      <w:proofErr w:type="spellStart"/>
      <w:r w:rsidR="005E1759">
        <w:t>Merak</w:t>
      </w:r>
      <w:proofErr w:type="spellEnd"/>
      <w:r w:rsidR="005E1759">
        <w:t xml:space="preserve"> boat for 6 months. </w:t>
      </w:r>
      <w:r>
        <w:t>As the Tribunal put to the applicant in the hearing, in accordance</w:t>
      </w:r>
      <w:r w:rsidR="005E1759">
        <w:t xml:space="preserve"> </w:t>
      </w:r>
      <w:r>
        <w:t>with the requirements in s.424AA of the Act, the relevance of this information is that his</w:t>
      </w:r>
      <w:r w:rsidR="005E1759">
        <w:t xml:space="preserve"> </w:t>
      </w:r>
      <w:r>
        <w:t>failure to raise this claim during the entry interview when providing detailed information about</w:t>
      </w:r>
      <w:r w:rsidR="005E1759">
        <w:t xml:space="preserve"> his t</w:t>
      </w:r>
      <w:r>
        <w:t xml:space="preserve">ravel </w:t>
      </w:r>
      <w:r w:rsidR="005E1759">
        <w:t xml:space="preserve">since departing Sri Lanka </w:t>
      </w:r>
      <w:r>
        <w:t xml:space="preserve">raises serious </w:t>
      </w:r>
      <w:r w:rsidR="005E1759">
        <w:t xml:space="preserve">doubts that he was on this boat or ship. </w:t>
      </w:r>
      <w:r>
        <w:t xml:space="preserve">While the applicant, in response; insisted he was on the </w:t>
      </w:r>
      <w:proofErr w:type="spellStart"/>
      <w:r>
        <w:t>Merak</w:t>
      </w:r>
      <w:proofErr w:type="spellEnd"/>
      <w:r>
        <w:t xml:space="preserve"> ship or boat, given the</w:t>
      </w:r>
      <w:r w:rsidR="005E1759">
        <w:t xml:space="preserve"> </w:t>
      </w:r>
      <w:r w:rsidR="001E7F8C">
        <w:t>applicant’</w:t>
      </w:r>
      <w:r>
        <w:t xml:space="preserve">s delay in raising this claim regarding his presence on the </w:t>
      </w:r>
      <w:proofErr w:type="spellStart"/>
      <w:r>
        <w:t>Merak</w:t>
      </w:r>
      <w:proofErr w:type="spellEnd"/>
      <w:r>
        <w:t xml:space="preserve"> ship, the Tribunal</w:t>
      </w:r>
      <w:r w:rsidR="005E1759">
        <w:t xml:space="preserve"> </w:t>
      </w:r>
      <w:r w:rsidR="001E7F8C">
        <w:t>does</w:t>
      </w:r>
      <w:r>
        <w:t xml:space="preserve"> not accept that he was on this ship as he claimed or that there were any enquiries</w:t>
      </w:r>
      <w:r w:rsidR="005E1759">
        <w:t xml:space="preserve"> </w:t>
      </w:r>
      <w:r>
        <w:t>made by army intelligence, CID or any other authorities from his mother about him as a</w:t>
      </w:r>
      <w:r w:rsidR="005E1759">
        <w:t xml:space="preserve"> </w:t>
      </w:r>
      <w:r>
        <w:t>result of being seen in video footage of this ship. The Tribunal finds that the applicant has</w:t>
      </w:r>
      <w:r w:rsidR="005E1759">
        <w:t xml:space="preserve"> </w:t>
      </w:r>
      <w:r>
        <w:t>embellished this aspect of his claim in an effort to bolster his case. As such it does not</w:t>
      </w:r>
      <w:r w:rsidR="005E1759">
        <w:t xml:space="preserve"> </w:t>
      </w:r>
      <w:r>
        <w:t>accept his claim in the hearing that he jumped into the sea to show that they were trying to</w:t>
      </w:r>
      <w:r w:rsidR="005E1759">
        <w:t xml:space="preserve"> </w:t>
      </w:r>
      <w:r>
        <w:t>commit suicide or that he was the on</w:t>
      </w:r>
      <w:r w:rsidR="005E1759">
        <w:t>e who was informing the media a</w:t>
      </w:r>
      <w:r>
        <w:t>bout the fact they were</w:t>
      </w:r>
      <w:r w:rsidR="005E1759">
        <w:t xml:space="preserve"> </w:t>
      </w:r>
      <w:r>
        <w:t>refugees. The Tribunal therefore does not a</w:t>
      </w:r>
      <w:r w:rsidR="005E1759">
        <w:t>c</w:t>
      </w:r>
      <w:r>
        <w:t>cept that the applicant faces a real chance of</w:t>
      </w:r>
      <w:r w:rsidR="005E1759">
        <w:t xml:space="preserve"> </w:t>
      </w:r>
      <w:r>
        <w:t>serious harm, now or in the reasonably foreseeable future for reasons of an imputed political</w:t>
      </w:r>
      <w:r w:rsidR="005E1759">
        <w:t xml:space="preserve"> </w:t>
      </w:r>
      <w:r>
        <w:t xml:space="preserve">opinion based on his alleged presence on the </w:t>
      </w:r>
      <w:proofErr w:type="spellStart"/>
      <w:r>
        <w:t>Merak</w:t>
      </w:r>
      <w:proofErr w:type="spellEnd"/>
      <w:r>
        <w:t xml:space="preserve"> ship.</w:t>
      </w:r>
    </w:p>
    <w:p w14:paraId="4BC58606" w14:textId="1E22AC42" w:rsidR="009E27C3" w:rsidRDefault="009E27C3" w:rsidP="00932A85">
      <w:pPr>
        <w:pStyle w:val="ParaNumbering"/>
      </w:pPr>
      <w:r>
        <w:t>Paragraph [52] of the T</w:t>
      </w:r>
      <w:r w:rsidR="005E1759">
        <w:t>ribunal</w:t>
      </w:r>
      <w:r>
        <w:t>’s reasons should also be reproduced:</w:t>
      </w:r>
    </w:p>
    <w:p w14:paraId="6A1B04F4" w14:textId="4A36DBBB" w:rsidR="005E1759" w:rsidRDefault="005E1759" w:rsidP="005E1759">
      <w:pPr>
        <w:pStyle w:val="Quote1"/>
        <w:ind w:left="1440" w:hanging="703"/>
      </w:pPr>
      <w:r>
        <w:t>52.</w:t>
      </w:r>
      <w:r>
        <w:tab/>
        <w:t xml:space="preserve">The applicant also claimed that he faces harm on return to Sri Lanka as a failed asylum seeker after a number of years absence from the country. He claimed he will be questioned about how he went to Australia and what information he gave and he will be tortured and beaten because he had said bad things about the country. During the hearing with the previous Member the applicant </w:t>
      </w:r>
      <w:r>
        <w:lastRenderedPageBreak/>
        <w:t>referred to a boy named Reuben who had come by ship and had returned to Sri Lanka in 2009 because his mother had had a heart attack and was taken to the fourth floor and beaten and tortured. When asked how he knew what had happened to Reuben, the applicant claimed that Reuben</w:t>
      </w:r>
      <w:r w:rsidR="001E7F8C">
        <w:t>’</w:t>
      </w:r>
      <w:r>
        <w:t xml:space="preserve">s mother had informed this to the people on the ship, presumably the </w:t>
      </w:r>
      <w:proofErr w:type="spellStart"/>
      <w:r>
        <w:t>Merak</w:t>
      </w:r>
      <w:proofErr w:type="spellEnd"/>
      <w:r>
        <w:t xml:space="preserve"> ship, by calling on one of the two phones. She said what happened to her son should not happen to any other people. The Tribunal finds the applicant</w:t>
      </w:r>
      <w:r w:rsidR="001E7F8C">
        <w:t>’</w:t>
      </w:r>
      <w:r>
        <w:t>s evidence regarding Reuben and what allegedly h</w:t>
      </w:r>
      <w:r w:rsidR="001E7F8C">
        <w:t xml:space="preserve">appened to him on his return to </w:t>
      </w:r>
      <w:r>
        <w:t xml:space="preserve">Sri Lanka to be vague and lacking in detail. The applicant provided no detail regarding the profile of Reuben, particularly if he had any association with the LTTE or a criminal history or </w:t>
      </w:r>
      <w:r w:rsidR="001E7F8C">
        <w:t>the circumstances of Reuben’</w:t>
      </w:r>
      <w:r>
        <w:t>s alleged arrest on return to the country. Further, given the Tribunal</w:t>
      </w:r>
      <w:r w:rsidR="001E7F8C">
        <w:t>’</w:t>
      </w:r>
      <w:r>
        <w:t>s findings above regarding the applicant</w:t>
      </w:r>
      <w:r w:rsidR="001E7F8C">
        <w:t>’</w:t>
      </w:r>
      <w:r>
        <w:t xml:space="preserve">s claimed presence on the </w:t>
      </w:r>
      <w:proofErr w:type="spellStart"/>
      <w:r>
        <w:t>Merak</w:t>
      </w:r>
      <w:proofErr w:type="spellEnd"/>
      <w:r>
        <w:t xml:space="preserve"> ship, the Tribunal has serious doubts about t</w:t>
      </w:r>
      <w:r w:rsidR="001E7F8C">
        <w:t>he credibility of the applicant’</w:t>
      </w:r>
      <w:r>
        <w:t>s claims that he learnt about what allegedly happened to this particular person while on the ship and as such, also taking into consideration the limited nature of the information the applicant provided about this person, the Tribunal does not accept his claims are credible.</w:t>
      </w:r>
    </w:p>
    <w:p w14:paraId="0A5CA352" w14:textId="61033163" w:rsidR="005E6F63" w:rsidRDefault="005E6F63" w:rsidP="00932A85">
      <w:pPr>
        <w:pStyle w:val="ParaNumbering"/>
      </w:pPr>
      <w:bookmarkStart w:id="23" w:name="_Ref535766835"/>
      <w:r>
        <w:t>The T</w:t>
      </w:r>
      <w:r w:rsidR="005E1759">
        <w:t>ribunal</w:t>
      </w:r>
      <w:r>
        <w:t xml:space="preserve"> also </w:t>
      </w:r>
      <w:r w:rsidR="00B23C09">
        <w:t>referred</w:t>
      </w:r>
      <w:r>
        <w:t xml:space="preserve"> to the </w:t>
      </w:r>
      <w:r w:rsidR="005E1759">
        <w:t xml:space="preserve">appellant’s </w:t>
      </w:r>
      <w:r>
        <w:t>adjournment request, and explained why the T</w:t>
      </w:r>
      <w:r w:rsidR="005E1759">
        <w:t>ribunal</w:t>
      </w:r>
      <w:r>
        <w:t xml:space="preserve"> had refused to </w:t>
      </w:r>
      <w:r w:rsidR="00B23C09">
        <w:t>grant</w:t>
      </w:r>
      <w:r>
        <w:t xml:space="preserve"> the adjournment:</w:t>
      </w:r>
      <w:bookmarkEnd w:id="23"/>
    </w:p>
    <w:p w14:paraId="7A831707" w14:textId="19FDD287" w:rsidR="005E1759" w:rsidRDefault="005E1759" w:rsidP="00100966">
      <w:pPr>
        <w:pStyle w:val="Quote1"/>
      </w:pPr>
      <w:r>
        <w:t>On 11 March 2016, the Tribunal wrote to the applicant inviting him to attend a further hearing</w:t>
      </w:r>
      <w:r w:rsidR="004E61F2">
        <w:t xml:space="preserve"> </w:t>
      </w:r>
      <w:r>
        <w:t>on 22 April 2016. On 13 April 2016, the applicant wrote to the Tribunal requesting a postponement of the hearing to allow him time to obtain a new representative as his</w:t>
      </w:r>
      <w:r w:rsidR="004E61F2">
        <w:t xml:space="preserve"> </w:t>
      </w:r>
      <w:r>
        <w:t>previous agent was no longer representing him. The applicant explained the efforts he had</w:t>
      </w:r>
      <w:r w:rsidR="004E61F2">
        <w:t xml:space="preserve"> </w:t>
      </w:r>
      <w:r>
        <w:t>gone to in order to engage a new representative a</w:t>
      </w:r>
      <w:r w:rsidR="004E61F2">
        <w:t>nd requested time to collect the</w:t>
      </w:r>
      <w:r>
        <w:t xml:space="preserve"> money</w:t>
      </w:r>
      <w:r w:rsidR="004E61F2">
        <w:t xml:space="preserve"> </w:t>
      </w:r>
      <w:r>
        <w:t>required to pay for a new representative. The Tribunal considered the applicant</w:t>
      </w:r>
      <w:r w:rsidR="001E7F8C">
        <w:t>’</w:t>
      </w:r>
      <w:r>
        <w:t>s request but</w:t>
      </w:r>
      <w:r w:rsidR="004E61F2">
        <w:t xml:space="preserve"> </w:t>
      </w:r>
      <w:r>
        <w:t>decided to refuse to postpone the hearing on the basis that the applicant had the assistance</w:t>
      </w:r>
      <w:r w:rsidR="004E61F2">
        <w:t xml:space="preserve"> </w:t>
      </w:r>
      <w:r>
        <w:t>of an adviser for the hearing with the previous Member and that the purpose of the second</w:t>
      </w:r>
      <w:r w:rsidR="004E61F2">
        <w:t xml:space="preserve"> </w:t>
      </w:r>
      <w:r>
        <w:t>hearing was to discuss issues arising out of his evidence given during that hearing, as well</w:t>
      </w:r>
      <w:r w:rsidR="004E61F2">
        <w:t xml:space="preserve"> </w:t>
      </w:r>
      <w:r>
        <w:t>as more recent country information, Further, the Tribunal took into consideration the fact that</w:t>
      </w:r>
      <w:r w:rsidR="004E61F2">
        <w:t xml:space="preserve"> </w:t>
      </w:r>
      <w:r>
        <w:t>the previous hearing had been held nearly a year before and that there was nothing in the</w:t>
      </w:r>
      <w:r w:rsidR="004E61F2">
        <w:t xml:space="preserve"> </w:t>
      </w:r>
      <w:r>
        <w:t>information provided by the applicant to indicate that he would be in a position to engage</w:t>
      </w:r>
      <w:r w:rsidR="004E61F2">
        <w:t xml:space="preserve"> </w:t>
      </w:r>
      <w:r>
        <w:t>another representative in the near future. In light of these circumstances the Tribunal was of</w:t>
      </w:r>
      <w:r w:rsidR="004E61F2">
        <w:t xml:space="preserve"> </w:t>
      </w:r>
      <w:r>
        <w:t>the view that the matter should not be delayed any further.</w:t>
      </w:r>
    </w:p>
    <w:p w14:paraId="73E4E58A" w14:textId="0A5135CD" w:rsidR="00CE1DA8" w:rsidRDefault="00CE1DA8" w:rsidP="00793223">
      <w:pPr>
        <w:pStyle w:val="Heading2"/>
      </w:pPr>
      <w:r>
        <w:t xml:space="preserve">The </w:t>
      </w:r>
      <w:r w:rsidR="00C76126" w:rsidRPr="00C76126">
        <w:t xml:space="preserve">Immigration Advice and Application Assistance Scheme </w:t>
      </w:r>
    </w:p>
    <w:p w14:paraId="2F46D8AB" w14:textId="012FFD97" w:rsidR="00CE1DA8" w:rsidRDefault="00793223" w:rsidP="00932A85">
      <w:pPr>
        <w:pStyle w:val="ParaNumbering"/>
      </w:pPr>
      <w:r>
        <w:t xml:space="preserve">The evidence is clear that Craddock Murray Neumann were retained to act on behalf of the </w:t>
      </w:r>
      <w:r w:rsidR="00561E35">
        <w:t xml:space="preserve">appellant </w:t>
      </w:r>
      <w:r>
        <w:t xml:space="preserve">under the IAAAS </w:t>
      </w:r>
      <w:r w:rsidR="00561E35">
        <w:t>S</w:t>
      </w:r>
      <w:r>
        <w:t xml:space="preserve">cheme. In the </w:t>
      </w:r>
      <w:r w:rsidR="00561E35">
        <w:t xml:space="preserve">appeal book </w:t>
      </w:r>
      <w:r>
        <w:t xml:space="preserve">were documents such as the </w:t>
      </w:r>
      <w:r w:rsidR="00561E35">
        <w:t xml:space="preserve">appellant’s </w:t>
      </w:r>
      <w:r>
        <w:t xml:space="preserve">consent for information to be provided to </w:t>
      </w:r>
      <w:r w:rsidR="00561E35">
        <w:t xml:space="preserve">Craddock Murray Neumann </w:t>
      </w:r>
      <w:r>
        <w:t>as his IA</w:t>
      </w:r>
      <w:r w:rsidR="00742712">
        <w:t>A</w:t>
      </w:r>
      <w:r>
        <w:t xml:space="preserve">AS provider. </w:t>
      </w:r>
    </w:p>
    <w:p w14:paraId="5874D884" w14:textId="31CE6A9E" w:rsidR="00793223" w:rsidRDefault="00793223" w:rsidP="00932A85">
      <w:pPr>
        <w:pStyle w:val="ParaNumbering"/>
      </w:pPr>
      <w:r>
        <w:t xml:space="preserve">The apparently unilateral decision of </w:t>
      </w:r>
      <w:r w:rsidR="00561E35">
        <w:t xml:space="preserve">Craddock Murray Neumann </w:t>
      </w:r>
      <w:r>
        <w:t xml:space="preserve">to cease to act for the </w:t>
      </w:r>
      <w:r w:rsidR="00561E35">
        <w:t xml:space="preserve">appellant </w:t>
      </w:r>
      <w:r>
        <w:t>before his T</w:t>
      </w:r>
      <w:r w:rsidR="00561E35">
        <w:t>ribunal</w:t>
      </w:r>
      <w:r>
        <w:t xml:space="preserve"> review process was complete was a matter which the Court </w:t>
      </w:r>
      <w:r w:rsidR="00752C7B">
        <w:t>raised</w:t>
      </w:r>
      <w:r>
        <w:t xml:space="preserve"> during argument on the appeal. The Court directed the parties to file a joint note about how the </w:t>
      </w:r>
      <w:r w:rsidR="00561E35">
        <w:t>S</w:t>
      </w:r>
      <w:r>
        <w:t>cheme operates. The following information is taken from that note</w:t>
      </w:r>
      <w:r w:rsidR="00C76126">
        <w:t>, which states it was prepared from publicly available sources</w:t>
      </w:r>
      <w:r>
        <w:t xml:space="preserve">. </w:t>
      </w:r>
      <w:r w:rsidR="00C76126">
        <w:t xml:space="preserve">The joint note also confirmed that </w:t>
      </w:r>
      <w:r w:rsidR="00C76126" w:rsidRPr="00C76126">
        <w:t xml:space="preserve">Craddock Murray </w:t>
      </w:r>
      <w:r w:rsidR="00C76126" w:rsidRPr="00C76126">
        <w:lastRenderedPageBreak/>
        <w:t>Neumann were listed as providers o</w:t>
      </w:r>
      <w:r w:rsidR="00742712">
        <w:t>f</w:t>
      </w:r>
      <w:r w:rsidR="00C76126" w:rsidRPr="00C76126">
        <w:t xml:space="preserve"> the IAAAS</w:t>
      </w:r>
      <w:r w:rsidR="00561E35">
        <w:t xml:space="preserve"> Scheme</w:t>
      </w:r>
      <w:r w:rsidR="00C76126">
        <w:t xml:space="preserve"> at the time the </w:t>
      </w:r>
      <w:r w:rsidR="00561E35">
        <w:t xml:space="preserve">appellant </w:t>
      </w:r>
      <w:r w:rsidR="00C76126">
        <w:t>was receiving assistance from that firm.</w:t>
      </w:r>
    </w:p>
    <w:p w14:paraId="1AD58740" w14:textId="1BEA1C04" w:rsidR="00C76126" w:rsidRPr="00C76126" w:rsidRDefault="00C76126" w:rsidP="00C76126">
      <w:pPr>
        <w:pStyle w:val="ParaNumbering"/>
        <w:rPr>
          <w:sz w:val="20"/>
        </w:rPr>
      </w:pPr>
      <w:r w:rsidRPr="00C76126">
        <w:t xml:space="preserve">The </w:t>
      </w:r>
      <w:r>
        <w:t>IAAAS</w:t>
      </w:r>
      <w:r w:rsidRPr="00C76126">
        <w:t xml:space="preserve"> is a </w:t>
      </w:r>
      <w:r w:rsidR="00561E35">
        <w:t>S</w:t>
      </w:r>
      <w:r w:rsidRPr="00C76126">
        <w:t>cheme administered by the Commonwealth government to provide free, independent, and professional migration advice and visa application assistance</w:t>
      </w:r>
      <w:r>
        <w:t xml:space="preserve"> to “disadvantaged” non-citizens, meaning </w:t>
      </w:r>
      <w:r w:rsidRPr="00C76126">
        <w:t>non-citizen</w:t>
      </w:r>
      <w:r>
        <w:t>s</w:t>
      </w:r>
      <w:r w:rsidRPr="00C76126">
        <w:t xml:space="preserve"> who </w:t>
      </w:r>
      <w:r>
        <w:t>are</w:t>
      </w:r>
      <w:r w:rsidRPr="00C76126">
        <w:t xml:space="preserve"> financially disadvantaged </w:t>
      </w:r>
      <w:r>
        <w:t>or</w:t>
      </w:r>
      <w:r w:rsidRPr="00C76126">
        <w:t xml:space="preserve"> disadvantaged in another way, for example because they are from a non-English speaking background. </w:t>
      </w:r>
    </w:p>
    <w:p w14:paraId="0CB25B80" w14:textId="4E54A727" w:rsidR="00C76126" w:rsidRPr="00C76126" w:rsidRDefault="00C76126" w:rsidP="00C76126">
      <w:pPr>
        <w:pStyle w:val="ParaNumbering"/>
        <w:rPr>
          <w:sz w:val="20"/>
        </w:rPr>
      </w:pPr>
      <w:r w:rsidRPr="00C76126">
        <w:t xml:space="preserve">Services under the IAAAS </w:t>
      </w:r>
      <w:r w:rsidR="00561E35">
        <w:t xml:space="preserve">Scheme </w:t>
      </w:r>
      <w:r w:rsidRPr="00C76126">
        <w:t>are provided by registered migration agents or legal aid officers working for contracted IAAAS</w:t>
      </w:r>
      <w:r w:rsidR="00561E35">
        <w:t xml:space="preserve"> Scheme</w:t>
      </w:r>
      <w:r w:rsidRPr="00C76126">
        <w:t xml:space="preserve"> providers. Providers were initially selected in an open tender process completed in 2011. Regulatory oversight of registered migration agents is conducted by the Office of the Migration Agents Registration Authority</w:t>
      </w:r>
      <w:r>
        <w:t>, a federal authority</w:t>
      </w:r>
      <w:r w:rsidRPr="00C76126">
        <w:t xml:space="preserve">. </w:t>
      </w:r>
    </w:p>
    <w:p w14:paraId="316CE849" w14:textId="3D226A5C" w:rsidR="00C76126" w:rsidRPr="00C76126" w:rsidRDefault="00C76126" w:rsidP="00C76126">
      <w:pPr>
        <w:pStyle w:val="ParaNumbering"/>
        <w:rPr>
          <w:sz w:val="20"/>
        </w:rPr>
      </w:pPr>
      <w:bookmarkStart w:id="24" w:name="_Ref536106565"/>
      <w:r w:rsidRPr="00C76126">
        <w:t>Prior to 31 March 2014, services under the IAAAS</w:t>
      </w:r>
      <w:r w:rsidR="00561E35">
        <w:t xml:space="preserve"> Scheme</w:t>
      </w:r>
      <w:r w:rsidRPr="00C76126">
        <w:t xml:space="preserve"> were available to disadvantaged non-citizens to assist them to complete and submit visa applications and ceased once the visa applied for had been finally determined as granted or refused following merits review. After 31 March 2014, access to </w:t>
      </w:r>
      <w:r w:rsidR="00561E35">
        <w:t xml:space="preserve">the </w:t>
      </w:r>
      <w:r w:rsidRPr="00C76126">
        <w:t xml:space="preserve">IAAAS </w:t>
      </w:r>
      <w:r w:rsidR="00561E35">
        <w:t xml:space="preserve">Scheme </w:t>
      </w:r>
      <w:r w:rsidRPr="00C76126">
        <w:t>was restricted to non-citizens who arrived in Australia with a valid visa and no longer included assistance at the merits review stage.</w:t>
      </w:r>
      <w:bookmarkEnd w:id="24"/>
      <w:r w:rsidRPr="00C76126">
        <w:t xml:space="preserve"> </w:t>
      </w:r>
    </w:p>
    <w:p w14:paraId="1C45BE79" w14:textId="16FB33C1" w:rsidR="00793223" w:rsidRPr="00260824" w:rsidRDefault="00402A75" w:rsidP="00932A85">
      <w:pPr>
        <w:pStyle w:val="ParaNumbering"/>
      </w:pPr>
      <w:r w:rsidRPr="00260824">
        <w:t xml:space="preserve">No party submitted to the Court that </w:t>
      </w:r>
      <w:r w:rsidR="00561E35" w:rsidRPr="00260824">
        <w:t xml:space="preserve">Craddock Murray Neumann </w:t>
      </w:r>
      <w:r w:rsidRPr="00260824">
        <w:t xml:space="preserve">ceased to act for the </w:t>
      </w:r>
      <w:r w:rsidR="00561E35" w:rsidRPr="00260824">
        <w:t>appellant</w:t>
      </w:r>
      <w:r w:rsidRPr="00260824">
        <w:t xml:space="preserve"> during the T</w:t>
      </w:r>
      <w:r w:rsidR="00561E35" w:rsidRPr="00260824">
        <w:t>ribunal</w:t>
      </w:r>
      <w:r w:rsidRPr="00260824">
        <w:t>’s review process because of the changes</w:t>
      </w:r>
      <w:r w:rsidR="00752C7B" w:rsidRPr="00260824">
        <w:t xml:space="preserve"> to which I have referred in [</w:t>
      </w:r>
      <w:r w:rsidR="00A6142D" w:rsidRPr="00260824">
        <w:fldChar w:fldCharType="begin"/>
      </w:r>
      <w:r w:rsidR="00A6142D" w:rsidRPr="00260824">
        <w:instrText xml:space="preserve"> REF _Ref536106565 \r \h  \* MERGEFORMAT </w:instrText>
      </w:r>
      <w:r w:rsidR="00A6142D" w:rsidRPr="00260824">
        <w:fldChar w:fldCharType="separate"/>
      </w:r>
      <w:r w:rsidR="003B48E4">
        <w:t>28</w:t>
      </w:r>
      <w:r w:rsidR="00A6142D" w:rsidRPr="00260824">
        <w:fldChar w:fldCharType="end"/>
      </w:r>
      <w:r w:rsidRPr="00260824">
        <w:t>], although there is insufficient evidence to exclude that possibility.</w:t>
      </w:r>
    </w:p>
    <w:p w14:paraId="587408A1" w14:textId="0F56D85C" w:rsidR="00795AAD" w:rsidRDefault="00795AAD" w:rsidP="00795AAD">
      <w:pPr>
        <w:pStyle w:val="Heading2"/>
      </w:pPr>
      <w:r>
        <w:t xml:space="preserve">The </w:t>
      </w:r>
      <w:r w:rsidR="00561E35">
        <w:t>appellant’</w:t>
      </w:r>
      <w:r>
        <w:t>s judicial review</w:t>
      </w:r>
    </w:p>
    <w:p w14:paraId="767BFB80" w14:textId="48B5E71F" w:rsidR="00795AAD" w:rsidRDefault="00795AAD" w:rsidP="00795AAD">
      <w:pPr>
        <w:pStyle w:val="ParaNumbering"/>
      </w:pPr>
      <w:r>
        <w:t xml:space="preserve">The </w:t>
      </w:r>
      <w:r w:rsidR="00561E35">
        <w:t xml:space="preserve">appellant </w:t>
      </w:r>
      <w:r>
        <w:t xml:space="preserve">sought judicial review by an </w:t>
      </w:r>
      <w:r w:rsidR="00091157">
        <w:t>application</w:t>
      </w:r>
      <w:r>
        <w:t xml:space="preserve"> dated 9 June 2016, and amended that </w:t>
      </w:r>
      <w:r w:rsidR="00091157">
        <w:t>application</w:t>
      </w:r>
      <w:r>
        <w:t xml:space="preserve"> on 28 November 2017. The </w:t>
      </w:r>
      <w:r w:rsidR="00561E35">
        <w:t xml:space="preserve">Federal Circuit Court </w:t>
      </w:r>
      <w:r>
        <w:t xml:space="preserve">sets out the amended grounds of application at [10] of its reasons. The </w:t>
      </w:r>
      <w:r w:rsidR="00561E35">
        <w:t xml:space="preserve">Federal Circuit Court </w:t>
      </w:r>
      <w:r w:rsidR="00A6142D">
        <w:t>dismissed the application on 29 </w:t>
      </w:r>
      <w:r w:rsidR="003B18E9">
        <w:t xml:space="preserve">January </w:t>
      </w:r>
      <w:r>
        <w:t xml:space="preserve">2018: see </w:t>
      </w:r>
      <w:r w:rsidRPr="002C455C">
        <w:rPr>
          <w:i/>
        </w:rPr>
        <w:t>BKQ16 v Minister for Immigration &amp; Anor</w:t>
      </w:r>
      <w:r w:rsidRPr="002C455C">
        <w:t xml:space="preserve"> [2018] FCCA 137</w:t>
      </w:r>
      <w:r>
        <w:t xml:space="preserve">.  </w:t>
      </w:r>
    </w:p>
    <w:p w14:paraId="57B70217" w14:textId="29316047" w:rsidR="00091157" w:rsidRDefault="00091157" w:rsidP="00795AAD">
      <w:pPr>
        <w:pStyle w:val="ParaNumbering"/>
      </w:pPr>
      <w:r>
        <w:t xml:space="preserve">Only one of the grounds raised before the </w:t>
      </w:r>
      <w:r w:rsidR="00632C9E">
        <w:t xml:space="preserve">Federal Circuit Court </w:t>
      </w:r>
      <w:r>
        <w:t>is pressed on the appeal</w:t>
      </w:r>
      <w:r w:rsidR="00A106C4">
        <w:t>:</w:t>
      </w:r>
      <w:r>
        <w:t xml:space="preserve"> that is</w:t>
      </w:r>
      <w:r w:rsidR="00A106C4">
        <w:t>,</w:t>
      </w:r>
      <w:r w:rsidR="00391DC3">
        <w:t xml:space="preserve"> ground one</w:t>
      </w:r>
      <w:r>
        <w:t xml:space="preserve"> before the </w:t>
      </w:r>
      <w:r w:rsidR="00632C9E">
        <w:t>Federal Circuit Court</w:t>
      </w:r>
      <w:r>
        <w:t>, which alleged legal unreasonableness in the refusal by the T</w:t>
      </w:r>
      <w:r w:rsidR="00632C9E">
        <w:t>ribunal</w:t>
      </w:r>
      <w:r>
        <w:t xml:space="preserve"> of the </w:t>
      </w:r>
      <w:r w:rsidR="00632C9E">
        <w:t xml:space="preserve">appellant’s </w:t>
      </w:r>
      <w:r>
        <w:t>adjournment request.</w:t>
      </w:r>
    </w:p>
    <w:p w14:paraId="13A83728" w14:textId="0208CD13" w:rsidR="00091157" w:rsidRDefault="00091157" w:rsidP="00795AAD">
      <w:pPr>
        <w:pStyle w:val="ParaNumbering"/>
      </w:pPr>
      <w:r>
        <w:t xml:space="preserve">That ground was rejected by the </w:t>
      </w:r>
      <w:r w:rsidR="00632C9E">
        <w:t xml:space="preserve">Federal Circuit Court </w:t>
      </w:r>
      <w:r>
        <w:t xml:space="preserve">on the basis that there was an “evident and intelligible justification” for the refusal, the </w:t>
      </w:r>
      <w:r w:rsidR="00632C9E">
        <w:t xml:space="preserve">Federal Circuit Court </w:t>
      </w:r>
      <w:r>
        <w:t xml:space="preserve">taking that language from the High Court’s decision </w:t>
      </w:r>
      <w:r w:rsidRPr="00A106C4">
        <w:t xml:space="preserve">in </w:t>
      </w:r>
      <w:r w:rsidR="00A106C4" w:rsidRPr="002C455C">
        <w:rPr>
          <w:i/>
        </w:rPr>
        <w:t>Minister for Immigration and Citizenship v Li</w:t>
      </w:r>
      <w:r w:rsidR="00A106C4" w:rsidRPr="002C455C">
        <w:t xml:space="preserve"> [2013] HCA </w:t>
      </w:r>
      <w:r w:rsidR="00A106C4" w:rsidRPr="002C455C">
        <w:lastRenderedPageBreak/>
        <w:t>18; 249 CLR 332</w:t>
      </w:r>
      <w:r w:rsidR="00A106C4" w:rsidRPr="00A106C4">
        <w:t xml:space="preserve">. </w:t>
      </w:r>
      <w:r w:rsidR="00B23C09" w:rsidRPr="00A106C4">
        <w:t xml:space="preserve">The </w:t>
      </w:r>
      <w:r w:rsidR="00632C9E" w:rsidRPr="00A106C4">
        <w:t>Federal Circuit</w:t>
      </w:r>
      <w:r w:rsidR="00632C9E">
        <w:t xml:space="preserve"> Court </w:t>
      </w:r>
      <w:r w:rsidR="00B23C09">
        <w:t xml:space="preserve">found that because the </w:t>
      </w:r>
      <w:r w:rsidR="00632C9E">
        <w:t xml:space="preserve">appellant </w:t>
      </w:r>
      <w:r w:rsidR="00B23C09">
        <w:t>had not asked for an adjournment of a specifi</w:t>
      </w:r>
      <w:r w:rsidR="00100966">
        <w:t>ed</w:t>
      </w:r>
      <w:r w:rsidR="00B23C09">
        <w:t xml:space="preserve"> time</w:t>
      </w:r>
      <w:r w:rsidR="00100966">
        <w:t>frame</w:t>
      </w:r>
      <w:r w:rsidR="00B23C09">
        <w:t>, nor provided any basis for the T</w:t>
      </w:r>
      <w:r w:rsidR="00632C9E">
        <w:t>ribunal</w:t>
      </w:r>
      <w:r w:rsidR="00B23C09">
        <w:t xml:space="preserve"> to conclude he might ultimately secure legal representation if an adjournment were to have been granted, the T</w:t>
      </w:r>
      <w:r w:rsidR="00632C9E">
        <w:t>ribunal</w:t>
      </w:r>
      <w:r w:rsidR="00B23C09">
        <w:t xml:space="preserve">’s refusal was not legally unreasonable. </w:t>
      </w:r>
      <w:r>
        <w:t xml:space="preserve">The </w:t>
      </w:r>
      <w:r w:rsidR="00632C9E">
        <w:t xml:space="preserve">Federal Circuit Court </w:t>
      </w:r>
      <w:r>
        <w:t>concluded at [18]:</w:t>
      </w:r>
    </w:p>
    <w:p w14:paraId="61DFE433" w14:textId="4B860921" w:rsidR="00632C9E" w:rsidRPr="00100966" w:rsidRDefault="00632C9E" w:rsidP="00100966">
      <w:pPr>
        <w:pStyle w:val="Quote1"/>
      </w:pPr>
      <w:r w:rsidRPr="00100966">
        <w:t xml:space="preserve">Whilst not articulated in argument, this is a case where the need for a further hearing is said to arise out of discrepancies in the evidence, but also clearly arose out of the fact the Tribunal was now reconstituted by a different member. The conduct of the Tribunal administration resulted in a need for further hearing at a time after which the applicant appears to have exhausted his funds and capacity to obtain legal representation. In these circumstances, had the applicant provided a reasonable basis for explaining how he would obtain legal representation within a reasonable timeframe (not necessarily a short timeframe) one would have expected the Tribunal to grant the adjournment. </w:t>
      </w:r>
    </w:p>
    <w:p w14:paraId="1048403E" w14:textId="789F216B" w:rsidR="00795AAD" w:rsidRDefault="00795AAD" w:rsidP="00795AAD">
      <w:pPr>
        <w:pStyle w:val="Heading2"/>
      </w:pPr>
      <w:r>
        <w:t xml:space="preserve">The </w:t>
      </w:r>
      <w:r w:rsidR="00632C9E">
        <w:t xml:space="preserve">appellant’s </w:t>
      </w:r>
      <w:r>
        <w:t>claims on judicial review and on this appeal</w:t>
      </w:r>
    </w:p>
    <w:p w14:paraId="3ED54B1D" w14:textId="1153F50E" w:rsidR="00B57F55" w:rsidRDefault="00B57F55" w:rsidP="00932A85">
      <w:pPr>
        <w:pStyle w:val="ParaNumbering"/>
      </w:pPr>
      <w:r>
        <w:t xml:space="preserve">In the </w:t>
      </w:r>
      <w:r w:rsidR="00B23C09">
        <w:t>original</w:t>
      </w:r>
      <w:r>
        <w:t xml:space="preserve"> notice of appeal </w:t>
      </w:r>
      <w:r w:rsidR="00752C7B">
        <w:t>to this Court, four</w:t>
      </w:r>
      <w:r>
        <w:t xml:space="preserve"> grounds of appeal were raised.</w:t>
      </w:r>
    </w:p>
    <w:p w14:paraId="17AF610B" w14:textId="781372DF" w:rsidR="00B57F55" w:rsidRDefault="00B57F55" w:rsidP="00932A85">
      <w:pPr>
        <w:pStyle w:val="ParaNumbering"/>
      </w:pPr>
      <w:r>
        <w:t xml:space="preserve">By an </w:t>
      </w:r>
      <w:r w:rsidR="00632C9E">
        <w:t xml:space="preserve">interlocutory application </w:t>
      </w:r>
      <w:r>
        <w:t xml:space="preserve">dated </w:t>
      </w:r>
      <w:r w:rsidR="00402A75">
        <w:t>1</w:t>
      </w:r>
      <w:r w:rsidR="00100966">
        <w:t>7</w:t>
      </w:r>
      <w:r w:rsidR="00402A75">
        <w:t xml:space="preserve"> July 2018,</w:t>
      </w:r>
      <w:r>
        <w:t xml:space="preserve"> the </w:t>
      </w:r>
      <w:r w:rsidR="00632C9E">
        <w:t xml:space="preserve">appellant </w:t>
      </w:r>
      <w:r>
        <w:t xml:space="preserve">sought to amend his notice of appeal, </w:t>
      </w:r>
      <w:r w:rsidR="00752C7B">
        <w:t xml:space="preserve">by adding two further grounds. However, when the </w:t>
      </w:r>
      <w:r w:rsidR="00632C9E">
        <w:t xml:space="preserve">appellant’s </w:t>
      </w:r>
      <w:r w:rsidR="00752C7B">
        <w:t xml:space="preserve">written submissions were filed, they indicated the </w:t>
      </w:r>
      <w:r w:rsidR="00632C9E">
        <w:t xml:space="preserve">appellant </w:t>
      </w:r>
      <w:r w:rsidR="00752C7B">
        <w:t xml:space="preserve">intended to rely only on the first “new” ground in the </w:t>
      </w:r>
      <w:r w:rsidR="00632C9E">
        <w:t>interlocutory application</w:t>
      </w:r>
      <w:r w:rsidR="00752C7B">
        <w:t xml:space="preserve">, and </w:t>
      </w:r>
      <w:r>
        <w:t xml:space="preserve">to maintain only one of the </w:t>
      </w:r>
      <w:r w:rsidR="00632C9E">
        <w:t>four</w:t>
      </w:r>
      <w:r>
        <w:t xml:space="preserve"> grounds</w:t>
      </w:r>
      <w:r w:rsidR="00752C7B">
        <w:t xml:space="preserve"> before the </w:t>
      </w:r>
      <w:r w:rsidR="00632C9E">
        <w:t>Federal Circuit Court</w:t>
      </w:r>
      <w:r>
        <w:t xml:space="preserve">, </w:t>
      </w:r>
      <w:r w:rsidR="00B25E82">
        <w:t>namely the legal unreasonable</w:t>
      </w:r>
      <w:r w:rsidR="00752C7B">
        <w:t>ness</w:t>
      </w:r>
      <w:r w:rsidR="00B25E82">
        <w:t xml:space="preserve"> ground to which I have </w:t>
      </w:r>
      <w:r w:rsidR="00B23C09">
        <w:t>referred</w:t>
      </w:r>
      <w:r w:rsidR="00B25E82">
        <w:t xml:space="preserve"> </w:t>
      </w:r>
      <w:r w:rsidR="00B23C09">
        <w:t>above</w:t>
      </w:r>
      <w:r w:rsidR="00B25E82">
        <w:t>. The new ground</w:t>
      </w:r>
      <w:r w:rsidR="00752C7B">
        <w:t xml:space="preserve"> related to the</w:t>
      </w:r>
      <w:r w:rsidR="00B25E82">
        <w:t xml:space="preserve"> way the T</w:t>
      </w:r>
      <w:r w:rsidR="00632C9E">
        <w:t>ribunal</w:t>
      </w:r>
      <w:r w:rsidR="00B25E82">
        <w:t xml:space="preserve"> dealt with the </w:t>
      </w:r>
      <w:r w:rsidR="00632C9E">
        <w:t xml:space="preserve">appellant’s </w:t>
      </w:r>
      <w:r w:rsidR="00B25E82">
        <w:t xml:space="preserve">claim </w:t>
      </w:r>
      <w:r w:rsidR="00B23C09">
        <w:t>to</w:t>
      </w:r>
      <w:r w:rsidR="00B25E82">
        <w:t xml:space="preserve"> have been on the </w:t>
      </w:r>
      <w:proofErr w:type="spellStart"/>
      <w:r w:rsidR="00B23C09">
        <w:t>Merak</w:t>
      </w:r>
      <w:proofErr w:type="spellEnd"/>
      <w:r w:rsidR="00B25E82">
        <w:t xml:space="preserve"> </w:t>
      </w:r>
      <w:r w:rsidR="00100966">
        <w:t>ship</w:t>
      </w:r>
      <w:r w:rsidR="00B25E82">
        <w:t>. The M</w:t>
      </w:r>
      <w:r w:rsidR="00632C9E">
        <w:t>inister</w:t>
      </w:r>
      <w:r w:rsidR="00B25E82">
        <w:t xml:space="preserve"> opposed leave being </w:t>
      </w:r>
      <w:r w:rsidR="00B23C09">
        <w:t>granted</w:t>
      </w:r>
      <w:r w:rsidR="00B25E82">
        <w:t xml:space="preserve"> to raise </w:t>
      </w:r>
      <w:r w:rsidR="00752C7B">
        <w:t>the</w:t>
      </w:r>
      <w:r w:rsidR="00B25E82">
        <w:t xml:space="preserve"> new ground of appeal. </w:t>
      </w:r>
    </w:p>
    <w:p w14:paraId="03F24517" w14:textId="5A4E67CB" w:rsidR="00795AAD" w:rsidRDefault="00B57F55" w:rsidP="00B25E82">
      <w:pPr>
        <w:pStyle w:val="ParaNumbering"/>
      </w:pPr>
      <w:r>
        <w:t xml:space="preserve">The </w:t>
      </w:r>
      <w:r w:rsidR="00B23C09">
        <w:t>appeal</w:t>
      </w:r>
      <w:r>
        <w:t xml:space="preserve"> </w:t>
      </w:r>
      <w:r w:rsidR="00B25E82">
        <w:t xml:space="preserve">proceeded on the </w:t>
      </w:r>
      <w:r w:rsidR="00B23C09">
        <w:t>basis</w:t>
      </w:r>
      <w:r w:rsidR="00B25E82">
        <w:t xml:space="preserve"> that </w:t>
      </w:r>
      <w:r w:rsidR="00402A75">
        <w:t xml:space="preserve">counsel for </w:t>
      </w:r>
      <w:r w:rsidR="00B25E82">
        <w:t xml:space="preserve">the </w:t>
      </w:r>
      <w:r w:rsidR="00632C9E">
        <w:t xml:space="preserve">appellant </w:t>
      </w:r>
      <w:r w:rsidR="00B25E82">
        <w:t xml:space="preserve">would develop her </w:t>
      </w:r>
      <w:r w:rsidR="00B23C09">
        <w:t>arguments</w:t>
      </w:r>
      <w:r w:rsidR="00B25E82">
        <w:t xml:space="preserve"> on the </w:t>
      </w:r>
      <w:r w:rsidR="00B23C09">
        <w:t>proposed new</w:t>
      </w:r>
      <w:r w:rsidR="00B25E82">
        <w:t xml:space="preserve"> ground as well as the </w:t>
      </w:r>
      <w:r w:rsidR="00B23C09">
        <w:t>existing</w:t>
      </w:r>
      <w:r w:rsidR="00752C7B">
        <w:t xml:space="preserve"> ground that was pressed</w:t>
      </w:r>
      <w:r w:rsidR="00B25E82">
        <w:t xml:space="preserve">, and the </w:t>
      </w:r>
      <w:r w:rsidR="00B23C09">
        <w:t>Court</w:t>
      </w:r>
      <w:r w:rsidR="00B25E82">
        <w:t xml:space="preserve"> </w:t>
      </w:r>
      <w:r w:rsidR="00B23C09">
        <w:t>would</w:t>
      </w:r>
      <w:r w:rsidR="00B25E82">
        <w:t xml:space="preserve"> consider the question of leave in its final reasons.</w:t>
      </w:r>
      <w:r>
        <w:t xml:space="preserve"> </w:t>
      </w:r>
    </w:p>
    <w:p w14:paraId="00512647" w14:textId="303B73A7" w:rsidR="00B57F55" w:rsidRDefault="00B25E82" w:rsidP="00B57F55">
      <w:pPr>
        <w:pStyle w:val="ParaNumbering"/>
      </w:pPr>
      <w:r>
        <w:t>Proposed ground</w:t>
      </w:r>
      <w:r w:rsidR="00B57F55">
        <w:t xml:space="preserve"> </w:t>
      </w:r>
      <w:r w:rsidR="00632C9E">
        <w:t>two</w:t>
      </w:r>
      <w:r w:rsidR="00B57F55">
        <w:t xml:space="preserve"> </w:t>
      </w:r>
      <w:r>
        <w:t>concerns</w:t>
      </w:r>
      <w:r w:rsidR="00B57F55">
        <w:t xml:space="preserve"> a finding of </w:t>
      </w:r>
      <w:r>
        <w:t>f</w:t>
      </w:r>
      <w:r w:rsidR="00B57F55">
        <w:t>act by the T</w:t>
      </w:r>
      <w:r w:rsidR="00632C9E">
        <w:t>ribunal</w:t>
      </w:r>
      <w:r w:rsidR="00B57F55">
        <w:t xml:space="preserve">. The </w:t>
      </w:r>
      <w:r w:rsidR="00632C9E">
        <w:t xml:space="preserve">appellant </w:t>
      </w:r>
      <w:r w:rsidR="00B57F55">
        <w:t>contends that the T</w:t>
      </w:r>
      <w:r w:rsidR="00632C9E">
        <w:t xml:space="preserve">ribunal </w:t>
      </w:r>
      <w:r>
        <w:t xml:space="preserve">made </w:t>
      </w:r>
      <w:r w:rsidR="00B57F55">
        <w:t xml:space="preserve">an erroneous factual finding that “infected the </w:t>
      </w:r>
      <w:r>
        <w:t xml:space="preserve">Tribunal’s credit findings” about the </w:t>
      </w:r>
      <w:r w:rsidR="00632C9E">
        <w:t>appellant</w:t>
      </w:r>
      <w:r>
        <w:t xml:space="preserve">. As the extract above reveals, </w:t>
      </w:r>
      <w:r w:rsidR="00B23C09">
        <w:t>the T</w:t>
      </w:r>
      <w:r w:rsidR="00632C9E">
        <w:t>ribunal</w:t>
      </w:r>
      <w:r>
        <w:t xml:space="preserve"> found (</w:t>
      </w:r>
      <w:r w:rsidR="00B57F55">
        <w:t>at [46</w:t>
      </w:r>
      <w:r w:rsidR="00B23C09">
        <w:t>])</w:t>
      </w:r>
      <w:r>
        <w:t xml:space="preserve"> </w:t>
      </w:r>
      <w:r w:rsidR="00B57F55">
        <w:t>that there was nothing in the applicant</w:t>
      </w:r>
      <w:r w:rsidR="005B2A84">
        <w:t>’</w:t>
      </w:r>
      <w:r w:rsidR="00B57F55">
        <w:t>s protection visa application to suggest he had spent six months in Indonesia at the end of 2009 and early 2010. In fact, and the M</w:t>
      </w:r>
      <w:r w:rsidR="00632C9E">
        <w:t>inister</w:t>
      </w:r>
      <w:r w:rsidR="00B57F55">
        <w:t xml:space="preserve"> did not dispute</w:t>
      </w:r>
      <w:r w:rsidR="002B4134">
        <w:t xml:space="preserve"> this</w:t>
      </w:r>
      <w:r w:rsidR="00B57F55">
        <w:t xml:space="preserve">, the </w:t>
      </w:r>
      <w:r w:rsidR="00632C9E">
        <w:t xml:space="preserve">appellant </w:t>
      </w:r>
      <w:r w:rsidR="00B23C09">
        <w:t>had</w:t>
      </w:r>
      <w:r w:rsidR="00B57F55">
        <w:t xml:space="preserve"> provided information in his </w:t>
      </w:r>
      <w:r w:rsidR="00632C9E">
        <w:t xml:space="preserve">protection visa </w:t>
      </w:r>
      <w:r w:rsidR="00B57F55">
        <w:t xml:space="preserve">application that between October 2009 and March 2010 he had </w:t>
      </w:r>
      <w:r w:rsidR="00B23C09">
        <w:t>lived in</w:t>
      </w:r>
      <w:r w:rsidR="00B57F55">
        <w:t xml:space="preserve"> a centre run </w:t>
      </w:r>
      <w:r w:rsidR="00B23C09">
        <w:t>by</w:t>
      </w:r>
      <w:r w:rsidR="00B57F55">
        <w:t xml:space="preserve"> </w:t>
      </w:r>
      <w:r w:rsidR="002B4134">
        <w:t xml:space="preserve">the </w:t>
      </w:r>
      <w:r w:rsidR="000517EB">
        <w:t>Internat</w:t>
      </w:r>
      <w:r w:rsidR="002B4134">
        <w:t xml:space="preserve">ional Organisation </w:t>
      </w:r>
      <w:r w:rsidR="000517EB">
        <w:t>f</w:t>
      </w:r>
      <w:r w:rsidR="002B4134">
        <w:t>or</w:t>
      </w:r>
      <w:r w:rsidR="000517EB">
        <w:t xml:space="preserve"> Migration </w:t>
      </w:r>
      <w:r w:rsidR="00B57F55">
        <w:t xml:space="preserve">in </w:t>
      </w:r>
      <w:r w:rsidR="005F0833">
        <w:t>“</w:t>
      </w:r>
      <w:proofErr w:type="spellStart"/>
      <w:r w:rsidR="00B23C09">
        <w:t>Mar</w:t>
      </w:r>
      <w:r w:rsidR="005F0833">
        <w:t>a</w:t>
      </w:r>
      <w:r w:rsidR="00B23C09">
        <w:t>k</w:t>
      </w:r>
      <w:proofErr w:type="spellEnd"/>
      <w:r w:rsidR="00251CC4">
        <w:t xml:space="preserve"> Boat Harbour</w:t>
      </w:r>
      <w:r w:rsidR="005F0833">
        <w:t>”</w:t>
      </w:r>
      <w:r w:rsidR="00251CC4">
        <w:t>,</w:t>
      </w:r>
      <w:r>
        <w:t xml:space="preserve"> Indonesia. </w:t>
      </w:r>
    </w:p>
    <w:p w14:paraId="443617A2" w14:textId="71B30315" w:rsidR="00CD10DA" w:rsidRDefault="00CD10DA" w:rsidP="00CD10DA">
      <w:pPr>
        <w:pStyle w:val="ParaNumbering"/>
      </w:pPr>
      <w:r>
        <w:lastRenderedPageBreak/>
        <w:t>The M</w:t>
      </w:r>
      <w:r w:rsidR="000517EB">
        <w:t>inister</w:t>
      </w:r>
      <w:r>
        <w:t xml:space="preserve"> did not </w:t>
      </w:r>
      <w:r w:rsidR="00B25E82">
        <w:t>oppose</w:t>
      </w:r>
      <w:r>
        <w:t xml:space="preserve"> the </w:t>
      </w:r>
      <w:r w:rsidR="000517EB">
        <w:t xml:space="preserve">appellant’s </w:t>
      </w:r>
      <w:r>
        <w:t xml:space="preserve">application to file fresh </w:t>
      </w:r>
      <w:r w:rsidR="00B25E82">
        <w:t>evidence</w:t>
      </w:r>
      <w:r>
        <w:t xml:space="preserve"> on the appeal – namely the t</w:t>
      </w:r>
      <w:r w:rsidR="00B25E82">
        <w:t>ranscript</w:t>
      </w:r>
      <w:r>
        <w:t xml:space="preserve"> of the </w:t>
      </w:r>
      <w:r w:rsidR="000517EB">
        <w:t xml:space="preserve">Tribunal </w:t>
      </w:r>
      <w:r>
        <w:t>hearing, and evid</w:t>
      </w:r>
      <w:r w:rsidR="00B25E82">
        <w:t>ence</w:t>
      </w:r>
      <w:r>
        <w:t xml:space="preserve"> about the reconstitution of the T</w:t>
      </w:r>
      <w:r w:rsidR="000517EB">
        <w:t>ribunal</w:t>
      </w:r>
      <w:r>
        <w:t xml:space="preserve">. </w:t>
      </w:r>
      <w:r w:rsidR="00B25E82">
        <w:t>These documents were exhibited to the affidavit</w:t>
      </w:r>
      <w:r>
        <w:t xml:space="preserve"> of Amy </w:t>
      </w:r>
      <w:r w:rsidR="00071E82">
        <w:t>Far</w:t>
      </w:r>
      <w:r w:rsidR="00B25E82">
        <w:t>am affirmed 29 October 2018</w:t>
      </w:r>
      <w:r>
        <w:t>,</w:t>
      </w:r>
      <w:r w:rsidR="00B25E82">
        <w:t xml:space="preserve"> wh</w:t>
      </w:r>
      <w:r>
        <w:t xml:space="preserve">ich was read without objection. </w:t>
      </w:r>
      <w:r w:rsidR="00B25E82">
        <w:t xml:space="preserve">The </w:t>
      </w:r>
      <w:r w:rsidR="000517EB">
        <w:t xml:space="preserve">appellant </w:t>
      </w:r>
      <w:r>
        <w:t xml:space="preserve">also read </w:t>
      </w:r>
      <w:r w:rsidR="00B25E82">
        <w:t xml:space="preserve">a second affidavit </w:t>
      </w:r>
      <w:r w:rsidR="00391DC3">
        <w:t>of Ms </w:t>
      </w:r>
      <w:proofErr w:type="spellStart"/>
      <w:r w:rsidR="00071E82">
        <w:t>Fa</w:t>
      </w:r>
      <w:r w:rsidR="00B23C09">
        <w:t>ram</w:t>
      </w:r>
      <w:proofErr w:type="spellEnd"/>
      <w:r>
        <w:t>, exhibiting the T</w:t>
      </w:r>
      <w:r w:rsidR="000517EB">
        <w:t>ribunal</w:t>
      </w:r>
      <w:r w:rsidR="00B25E82">
        <w:t>’s</w:t>
      </w:r>
      <w:r>
        <w:t xml:space="preserve"> hearing records, </w:t>
      </w:r>
      <w:r w:rsidR="00B25E82">
        <w:t xml:space="preserve">again </w:t>
      </w:r>
      <w:r>
        <w:t>without objection from the M</w:t>
      </w:r>
      <w:r w:rsidR="000517EB">
        <w:t>inister</w:t>
      </w:r>
      <w:r>
        <w:t>.</w:t>
      </w:r>
    </w:p>
    <w:p w14:paraId="1F478756" w14:textId="77777777" w:rsidR="00795AAD" w:rsidRDefault="00795AAD" w:rsidP="00795AAD">
      <w:pPr>
        <w:pStyle w:val="Heading1"/>
      </w:pPr>
      <w:r>
        <w:t>Resolution</w:t>
      </w:r>
    </w:p>
    <w:p w14:paraId="457662A0" w14:textId="453570EC" w:rsidR="00D1037B" w:rsidRDefault="00D1037B" w:rsidP="00932A85">
      <w:pPr>
        <w:pStyle w:val="ParaNumbering"/>
      </w:pPr>
      <w:r>
        <w:t xml:space="preserve">I consider ground </w:t>
      </w:r>
      <w:r w:rsidR="000517EB">
        <w:t>one</w:t>
      </w:r>
      <w:r>
        <w:t xml:space="preserve"> should succeed. I also consider leave should be granted to the </w:t>
      </w:r>
      <w:r w:rsidR="000517EB">
        <w:t xml:space="preserve">appellant </w:t>
      </w:r>
      <w:r>
        <w:t xml:space="preserve">to raise ground </w:t>
      </w:r>
      <w:r w:rsidR="000517EB">
        <w:t>two</w:t>
      </w:r>
      <w:r>
        <w:t>, and that ground should succeed.</w:t>
      </w:r>
    </w:p>
    <w:p w14:paraId="5B1DCCE1" w14:textId="37B7ECEB" w:rsidR="007F246D" w:rsidRDefault="00391DC3" w:rsidP="00B57F55">
      <w:pPr>
        <w:pStyle w:val="Heading2"/>
      </w:pPr>
      <w:r>
        <w:t>Ground One</w:t>
      </w:r>
    </w:p>
    <w:p w14:paraId="2564628D" w14:textId="053AFD05" w:rsidR="00966C94" w:rsidRDefault="00966C94" w:rsidP="00251CC4">
      <w:pPr>
        <w:pStyle w:val="ParaNumbering"/>
      </w:pPr>
      <w:r>
        <w:t xml:space="preserve">Unlike </w:t>
      </w:r>
      <w:r w:rsidR="00251CC4" w:rsidRPr="002C455C">
        <w:rPr>
          <w:i/>
        </w:rPr>
        <w:t xml:space="preserve">Minister for Immigration </w:t>
      </w:r>
      <w:r w:rsidR="000517EB" w:rsidRPr="002C455C">
        <w:rPr>
          <w:i/>
        </w:rPr>
        <w:t>and</w:t>
      </w:r>
      <w:r w:rsidR="00251CC4" w:rsidRPr="002C455C">
        <w:rPr>
          <w:i/>
        </w:rPr>
        <w:t xml:space="preserve"> Border Protection v SZVFW</w:t>
      </w:r>
      <w:r w:rsidR="00251CC4" w:rsidRPr="002C455C">
        <w:t xml:space="preserve"> </w:t>
      </w:r>
      <w:r w:rsidR="000517EB" w:rsidRPr="002C455C">
        <w:t>[</w:t>
      </w:r>
      <w:r w:rsidR="00251CC4" w:rsidRPr="002C455C">
        <w:t>2018</w:t>
      </w:r>
      <w:r w:rsidR="000517EB" w:rsidRPr="002C455C">
        <w:t>]</w:t>
      </w:r>
      <w:r w:rsidR="00251CC4" w:rsidRPr="002C455C">
        <w:t xml:space="preserve"> </w:t>
      </w:r>
      <w:r w:rsidR="000517EB" w:rsidRPr="002C455C">
        <w:t xml:space="preserve">HCA 30; </w:t>
      </w:r>
      <w:r w:rsidR="00251CC4" w:rsidRPr="002C455C">
        <w:t>92 ALJR 713</w:t>
      </w:r>
      <w:r w:rsidR="00251CC4">
        <w:t>,</w:t>
      </w:r>
      <w:r w:rsidR="00F839D9">
        <w:t xml:space="preserve"> </w:t>
      </w:r>
      <w:r w:rsidR="00DB0EF1">
        <w:t>which dealt with</w:t>
      </w:r>
      <w:r w:rsidR="00251CC4">
        <w:t xml:space="preserve"> legal unreasonableness relating to</w:t>
      </w:r>
      <w:r>
        <w:t xml:space="preserve"> </w:t>
      </w:r>
      <w:r w:rsidR="00B23C09">
        <w:t>the</w:t>
      </w:r>
      <w:r>
        <w:t xml:space="preserve"> T</w:t>
      </w:r>
      <w:r w:rsidR="000517EB">
        <w:t>ribunal</w:t>
      </w:r>
      <w:r>
        <w:t xml:space="preserve">’s discretionary power under s </w:t>
      </w:r>
      <w:proofErr w:type="gramStart"/>
      <w:r>
        <w:t>426</w:t>
      </w:r>
      <w:r w:rsidR="00B23C09">
        <w:t>A(</w:t>
      </w:r>
      <w:proofErr w:type="gramEnd"/>
      <w:r>
        <w:t>1)</w:t>
      </w:r>
      <w:r w:rsidR="00644B41">
        <w:t xml:space="preserve"> of the Migration Act</w:t>
      </w:r>
      <w:r>
        <w:t xml:space="preserve"> to </w:t>
      </w:r>
      <w:r w:rsidR="00251CC4">
        <w:t xml:space="preserve">make a decision on a review if two </w:t>
      </w:r>
      <w:r>
        <w:t xml:space="preserve">preconditions are </w:t>
      </w:r>
      <w:r w:rsidR="00B23C09">
        <w:t>satisfied</w:t>
      </w:r>
      <w:r>
        <w:t xml:space="preserve"> (broadly, that a </w:t>
      </w:r>
      <w:r w:rsidR="00B23C09">
        <w:t>hearing invitation</w:t>
      </w:r>
      <w:r>
        <w:t xml:space="preserve"> has been given and a review </w:t>
      </w:r>
      <w:r w:rsidR="00B23C09">
        <w:t>applicant</w:t>
      </w:r>
      <w:r>
        <w:t xml:space="preserve"> has f</w:t>
      </w:r>
      <w:r w:rsidR="00F839D9">
        <w:t>a</w:t>
      </w:r>
      <w:r>
        <w:t xml:space="preserve">iled </w:t>
      </w:r>
      <w:r w:rsidR="00B23C09">
        <w:t>to</w:t>
      </w:r>
      <w:r>
        <w:t xml:space="preserve"> appear), the current appeal </w:t>
      </w:r>
      <w:r w:rsidR="00B23C09">
        <w:t>concerns</w:t>
      </w:r>
      <w:r>
        <w:t xml:space="preserve"> a different </w:t>
      </w:r>
      <w:r w:rsidR="00B23C09">
        <w:t>discretionary</w:t>
      </w:r>
      <w:r w:rsidR="00251CC4">
        <w:t xml:space="preserve"> power vested i</w:t>
      </w:r>
      <w:r>
        <w:t>n the T</w:t>
      </w:r>
      <w:r w:rsidR="000517EB">
        <w:t>ribunal</w:t>
      </w:r>
      <w:r w:rsidR="00DB0EF1">
        <w:t xml:space="preserve">. That is the power </w:t>
      </w:r>
      <w:r>
        <w:t xml:space="preserve">in s 427(1)(b) – to adjourn the review from time to time. </w:t>
      </w:r>
      <w:r w:rsidR="00DB0EF1">
        <w:t xml:space="preserve">This </w:t>
      </w:r>
      <w:r>
        <w:t xml:space="preserve">was the power applicable to the </w:t>
      </w:r>
      <w:r w:rsidR="000517EB">
        <w:t xml:space="preserve">appellant’s </w:t>
      </w:r>
      <w:r>
        <w:t>request that the second hearing be postponed.</w:t>
      </w:r>
    </w:p>
    <w:p w14:paraId="59B4435D" w14:textId="26DC2A91" w:rsidR="00E9290C" w:rsidRDefault="00966C94" w:rsidP="00932A85">
      <w:pPr>
        <w:pStyle w:val="ParaNumbering"/>
      </w:pPr>
      <w:r>
        <w:t>However, like s 426</w:t>
      </w:r>
      <w:r w:rsidR="00B23C09">
        <w:t>A(</w:t>
      </w:r>
      <w:r>
        <w:t xml:space="preserve">1), there is no dispute that the power in s 427(1)(b) is </w:t>
      </w:r>
      <w:r w:rsidR="00FE31E8">
        <w:t>conditioned</w:t>
      </w:r>
      <w:r>
        <w:t xml:space="preserve"> by the </w:t>
      </w:r>
      <w:r w:rsidR="00B23C09">
        <w:t>requirement</w:t>
      </w:r>
      <w:r>
        <w:t xml:space="preserve"> that it be exercised reasonably.</w:t>
      </w:r>
      <w:r w:rsidR="00FE31E8">
        <w:t xml:space="preserve"> The High Court</w:t>
      </w:r>
      <w:r w:rsidR="000517EB">
        <w:t>’s</w:t>
      </w:r>
      <w:r w:rsidR="00FE31E8">
        <w:t xml:space="preserve"> decision in </w:t>
      </w:r>
      <w:r w:rsidR="00251CC4" w:rsidRPr="00251CC4">
        <w:rPr>
          <w:i/>
        </w:rPr>
        <w:t>Li</w:t>
      </w:r>
      <w:r w:rsidR="00251CC4" w:rsidRPr="00251CC4">
        <w:t xml:space="preserve"> </w:t>
      </w:r>
      <w:r w:rsidR="00FE31E8">
        <w:t xml:space="preserve">concerned </w:t>
      </w:r>
      <w:r w:rsidR="00DB0EF1">
        <w:t xml:space="preserve">a similar power given to the </w:t>
      </w:r>
      <w:r w:rsidR="00A6142D">
        <w:t xml:space="preserve">then Migration Review Tribunal </w:t>
      </w:r>
      <w:r w:rsidR="00644B41">
        <w:t>in s 363(1)(b) of the Migration Act</w:t>
      </w:r>
      <w:r w:rsidR="007D5F94">
        <w:t>. The</w:t>
      </w:r>
      <w:r w:rsidR="00FE31E8">
        <w:t xml:space="preserve"> High Court proceeded</w:t>
      </w:r>
      <w:r w:rsidR="007D5F94">
        <w:t xml:space="preserve"> on the basis the power was conditioned by a requirement it be exercised reasonably</w:t>
      </w:r>
      <w:r w:rsidR="00FE31E8">
        <w:t xml:space="preserve">. </w:t>
      </w:r>
    </w:p>
    <w:p w14:paraId="579591ED" w14:textId="33C60B4E" w:rsidR="00966C94" w:rsidRDefault="00E9290C" w:rsidP="00932A85">
      <w:pPr>
        <w:pStyle w:val="ParaNumbering"/>
      </w:pPr>
      <w:r>
        <w:t xml:space="preserve">On this appeal, there </w:t>
      </w:r>
      <w:r w:rsidR="00FE31E8">
        <w:t xml:space="preserve">was also no dispute that the exercise of the </w:t>
      </w:r>
      <w:r w:rsidR="00052A05">
        <w:t>adjournment</w:t>
      </w:r>
      <w:r w:rsidR="00FE31E8">
        <w:t xml:space="preserve"> power was material to the T</w:t>
      </w:r>
      <w:r w:rsidR="000517EB">
        <w:t>ribunal</w:t>
      </w:r>
      <w:r w:rsidR="00FE31E8">
        <w:t xml:space="preserve">’s </w:t>
      </w:r>
      <w:r w:rsidR="00052A05">
        <w:t>ultimate</w:t>
      </w:r>
      <w:r w:rsidR="00FE31E8">
        <w:t xml:space="preserve"> </w:t>
      </w:r>
      <w:r w:rsidR="00052A05">
        <w:t>exercise</w:t>
      </w:r>
      <w:r w:rsidR="00FE31E8">
        <w:t xml:space="preserve"> of power to decide the review</w:t>
      </w:r>
      <w:r w:rsidR="000356DD">
        <w:t>,</w:t>
      </w:r>
      <w:r w:rsidR="00FE31E8">
        <w:t xml:space="preserve"> and therefore if it was exercised in a legal</w:t>
      </w:r>
      <w:r w:rsidR="000517EB">
        <w:t>l</w:t>
      </w:r>
      <w:r w:rsidR="00FE31E8">
        <w:t xml:space="preserve">y unreasonable way, this would invalidate </w:t>
      </w:r>
      <w:r w:rsidR="00B23C09">
        <w:t>the</w:t>
      </w:r>
      <w:r w:rsidR="00FE31E8">
        <w:t xml:space="preserve"> exercise of power on review under s 415(2)(a) of the</w:t>
      </w:r>
      <w:r w:rsidR="00587D23">
        <w:t xml:space="preserve"> Migration</w:t>
      </w:r>
      <w:r w:rsidR="00FE31E8">
        <w:t xml:space="preserve"> Act.</w:t>
      </w:r>
    </w:p>
    <w:p w14:paraId="44497E2E" w14:textId="56E94BFE" w:rsidR="00FE31E8" w:rsidRDefault="00BE59D5" w:rsidP="00932A85">
      <w:pPr>
        <w:pStyle w:val="ParaNumbering"/>
      </w:pPr>
      <w:r>
        <w:t xml:space="preserve">In </w:t>
      </w:r>
      <w:r w:rsidRPr="000517EB">
        <w:rPr>
          <w:i/>
        </w:rPr>
        <w:t>SZVFW</w:t>
      </w:r>
      <w:r>
        <w:t xml:space="preserve">, some of the reasons for judgment use adjectival </w:t>
      </w:r>
      <w:r w:rsidR="00052A05">
        <w:t>descriptions</w:t>
      </w:r>
      <w:r>
        <w:t xml:space="preserve"> of the </w:t>
      </w:r>
      <w:r w:rsidR="00E9290C">
        <w:t xml:space="preserve">kind of </w:t>
      </w:r>
      <w:r>
        <w:t xml:space="preserve">factual situation which may </w:t>
      </w:r>
      <w:r w:rsidR="00E9290C">
        <w:t xml:space="preserve">lead to </w:t>
      </w:r>
      <w:r>
        <w:t xml:space="preserve">a </w:t>
      </w:r>
      <w:r w:rsidR="00052A05">
        <w:t>conclusion</w:t>
      </w:r>
      <w:r>
        <w:t xml:space="preserve"> that an exercise </w:t>
      </w:r>
      <w:r w:rsidR="00587D23">
        <w:t>o</w:t>
      </w:r>
      <w:r>
        <w:t xml:space="preserve">f a discretionary power was legally </w:t>
      </w:r>
      <w:r w:rsidR="00B23C09">
        <w:t>unreasonable.</w:t>
      </w:r>
      <w:r w:rsidR="00052A05">
        <w:t xml:space="preserve"> T</w:t>
      </w:r>
      <w:r>
        <w:t xml:space="preserve">hey are </w:t>
      </w:r>
      <w:r w:rsidR="00052A05">
        <w:t>adjectives</w:t>
      </w:r>
      <w:r>
        <w:t xml:space="preserve"> such as “</w:t>
      </w:r>
      <w:r w:rsidR="00052A05">
        <w:t>extraordinary</w:t>
      </w:r>
      <w:r>
        <w:t>” (</w:t>
      </w:r>
      <w:proofErr w:type="spellStart"/>
      <w:r>
        <w:t>Gageler</w:t>
      </w:r>
      <w:proofErr w:type="spellEnd"/>
      <w:r>
        <w:t xml:space="preserve"> J at </w:t>
      </w:r>
      <w:r w:rsidR="00FE31E8">
        <w:t>[</w:t>
      </w:r>
      <w:r>
        <w:t>70</w:t>
      </w:r>
      <w:r w:rsidR="00FE31E8">
        <w:t>]</w:t>
      </w:r>
      <w:r>
        <w:t>)</w:t>
      </w:r>
      <w:r w:rsidR="000517EB">
        <w:t xml:space="preserve"> and</w:t>
      </w:r>
      <w:r>
        <w:t xml:space="preserve"> “</w:t>
      </w:r>
      <w:r w:rsidR="00052A05">
        <w:t>unexpected</w:t>
      </w:r>
      <w:r>
        <w:t xml:space="preserve"> or remarkable” (Nettle and Gordon JJ at [121])</w:t>
      </w:r>
      <w:r w:rsidR="0065577A">
        <w:t xml:space="preserve">. These adjectival </w:t>
      </w:r>
      <w:r w:rsidR="00052A05">
        <w:t>descriptions</w:t>
      </w:r>
      <w:r w:rsidR="0065577A">
        <w:t xml:space="preserve"> illustrate that the test for legal </w:t>
      </w:r>
      <w:r w:rsidR="00052A05">
        <w:t>unreasonableness</w:t>
      </w:r>
      <w:r w:rsidR="0065577A">
        <w:t xml:space="preserve"> is, as the Chief Justice </w:t>
      </w:r>
      <w:r w:rsidR="00052A05">
        <w:t>observed</w:t>
      </w:r>
      <w:r w:rsidR="0065577A">
        <w:t xml:space="preserve"> in </w:t>
      </w:r>
      <w:r w:rsidR="0065577A" w:rsidRPr="000517EB">
        <w:rPr>
          <w:i/>
        </w:rPr>
        <w:t>SZVFW</w:t>
      </w:r>
      <w:r w:rsidR="0065577A">
        <w:t xml:space="preserve"> at [11], “</w:t>
      </w:r>
      <w:r w:rsidR="00052A05">
        <w:t>necessarily</w:t>
      </w:r>
      <w:r w:rsidR="0065577A">
        <w:t xml:space="preserve"> </w:t>
      </w:r>
      <w:r w:rsidR="0065577A">
        <w:lastRenderedPageBreak/>
        <w:t>stringent”.</w:t>
      </w:r>
      <w:r w:rsidR="00052A05">
        <w:t xml:space="preserve"> </w:t>
      </w:r>
      <w:r w:rsidR="00297C6B">
        <w:t xml:space="preserve">This is not to say </w:t>
      </w:r>
      <w:r w:rsidR="00052A05">
        <w:t>that a factual situation</w:t>
      </w:r>
      <w:r w:rsidR="00297C6B">
        <w:t xml:space="preserve"> meeting </w:t>
      </w:r>
      <w:r w:rsidR="00052A05">
        <w:t xml:space="preserve">these descriptions would </w:t>
      </w:r>
      <w:r w:rsidR="00B23C09">
        <w:t>inevitably</w:t>
      </w:r>
      <w:r w:rsidR="00052A05">
        <w:t xml:space="preserve"> mean that an exercise of a </w:t>
      </w:r>
      <w:r w:rsidR="00B23C09">
        <w:t>discretionary</w:t>
      </w:r>
      <w:r w:rsidR="00052A05">
        <w:t xml:space="preserve"> power </w:t>
      </w:r>
      <w:r w:rsidR="000356DD">
        <w:t xml:space="preserve">adversely to an applicant </w:t>
      </w:r>
      <w:r w:rsidR="00052A05">
        <w:t xml:space="preserve">was legally unreasonable – for there yet still might be an </w:t>
      </w:r>
      <w:r w:rsidR="00297C6B">
        <w:t xml:space="preserve">evident and </w:t>
      </w:r>
      <w:r w:rsidR="00B23C09">
        <w:t>intelligible</w:t>
      </w:r>
      <w:r w:rsidR="00052A05">
        <w:t xml:space="preserve"> justification. </w:t>
      </w:r>
      <w:r w:rsidR="00B23C09">
        <w:t>However, noting those adjectival descriptions does assist in reaffirming that the repository of a discretionary power such as an adjournment power</w:t>
      </w:r>
      <w:r w:rsidR="00F229D4">
        <w:t>,</w:t>
      </w:r>
      <w:r w:rsidR="00B23C09">
        <w:t xml:space="preserve"> has a significant level of decisional freedom in </w:t>
      </w:r>
      <w:r w:rsidR="00E9290C">
        <w:t>choosing</w:t>
      </w:r>
      <w:r w:rsidR="00B23C09">
        <w:t xml:space="preserve"> how to exercise the power, </w:t>
      </w:r>
      <w:r w:rsidR="00E9290C">
        <w:t xml:space="preserve">especially given the fact intensive context in which such powers fall to be exercised. </w:t>
      </w:r>
    </w:p>
    <w:p w14:paraId="0B5CBD4E" w14:textId="6886880C" w:rsidR="00BE59D5" w:rsidRDefault="00B23C09" w:rsidP="00932A85">
      <w:pPr>
        <w:pStyle w:val="ParaNumbering"/>
      </w:pPr>
      <w:r>
        <w:t>Unlike the way a review usually proceeds (</w:t>
      </w:r>
      <w:proofErr w:type="spellStart"/>
      <w:r>
        <w:t>cf</w:t>
      </w:r>
      <w:proofErr w:type="spellEnd"/>
      <w:r>
        <w:t xml:space="preserve"> the observations of </w:t>
      </w:r>
      <w:proofErr w:type="spellStart"/>
      <w:r>
        <w:t>Gageler</w:t>
      </w:r>
      <w:proofErr w:type="spellEnd"/>
      <w:r>
        <w:t xml:space="preserve"> J in </w:t>
      </w:r>
      <w:r w:rsidRPr="00F229D4">
        <w:rPr>
          <w:i/>
        </w:rPr>
        <w:t>SZVFW</w:t>
      </w:r>
      <w:r>
        <w:t xml:space="preserve"> at </w:t>
      </w:r>
      <w:r w:rsidR="00297C6B">
        <w:t>[68]-</w:t>
      </w:r>
      <w:r>
        <w:t>[69], the reconstitution of the T</w:t>
      </w:r>
      <w:r w:rsidR="00F229D4">
        <w:t>ribunal</w:t>
      </w:r>
      <w:r>
        <w:t xml:space="preserve"> without notice to the </w:t>
      </w:r>
      <w:r w:rsidR="00F229D4">
        <w:t>appellant</w:t>
      </w:r>
      <w:r>
        <w:t xml:space="preserve">, the calling of a second review hearing some 10 months after the first review hearing and initially by notice to the </w:t>
      </w:r>
      <w:r w:rsidR="00F229D4">
        <w:t xml:space="preserve">appellant’s </w:t>
      </w:r>
      <w:r>
        <w:t>representative rather than him, do</w:t>
      </w:r>
      <w:r w:rsidR="000356DD">
        <w:t>es</w:t>
      </w:r>
      <w:r>
        <w:t xml:space="preserve"> not give rise</w:t>
      </w:r>
      <w:r w:rsidR="00297C6B">
        <w:t>,</w:t>
      </w:r>
      <w:r>
        <w:t xml:space="preserve"> in my opinion</w:t>
      </w:r>
      <w:r w:rsidR="00297C6B">
        <w:t>,</w:t>
      </w:r>
      <w:r>
        <w:t xml:space="preserve"> to any assumption that a</w:t>
      </w:r>
      <w:r w:rsidRPr="00BE59D5">
        <w:t xml:space="preserve"> Tribunal </w:t>
      </w:r>
      <w:r>
        <w:t>“</w:t>
      </w:r>
      <w:r w:rsidRPr="00BE59D5">
        <w:t>acting fairly and justly is entitled to regard an applicant to whom it is satisfied that an invitation complying with s 425 has been sent as having had adequate notice of his or her opportunity to appear</w:t>
      </w:r>
      <w:r>
        <w:t xml:space="preserve">”. </w:t>
      </w:r>
      <w:r w:rsidR="00BE59D5">
        <w:t>There was nothing usual about these circumstances, and the T</w:t>
      </w:r>
      <w:r w:rsidR="00F229D4">
        <w:t>ribunal</w:t>
      </w:r>
      <w:r w:rsidR="00BE59D5">
        <w:t xml:space="preserve"> in my op</w:t>
      </w:r>
      <w:r w:rsidR="002D3343">
        <w:t>inion needed to recognise that i</w:t>
      </w:r>
      <w:r w:rsidR="00BE59D5">
        <w:t xml:space="preserve">n the way it dealt with the </w:t>
      </w:r>
      <w:r w:rsidR="00F229D4">
        <w:t xml:space="preserve">appellant’s </w:t>
      </w:r>
      <w:r>
        <w:t>request</w:t>
      </w:r>
      <w:r w:rsidR="00BE59D5">
        <w:t xml:space="preserve"> to postpone the hearing.</w:t>
      </w:r>
    </w:p>
    <w:p w14:paraId="1BD78F91" w14:textId="68884E8F" w:rsidR="00737D21" w:rsidRPr="00260824" w:rsidRDefault="00737D21" w:rsidP="00932A85">
      <w:pPr>
        <w:pStyle w:val="ParaNumbering"/>
      </w:pPr>
      <w:r w:rsidRPr="00260824">
        <w:t>The M</w:t>
      </w:r>
      <w:r w:rsidR="00F229D4" w:rsidRPr="00260824">
        <w:t>inister</w:t>
      </w:r>
      <w:r w:rsidRPr="00260824">
        <w:t xml:space="preserve"> accepted, and I agree, that where the T</w:t>
      </w:r>
      <w:r w:rsidR="00F229D4" w:rsidRPr="00260824">
        <w:t>ribunal</w:t>
      </w:r>
      <w:r w:rsidRPr="00260824">
        <w:t xml:space="preserve"> gave some reasons at the time</w:t>
      </w:r>
      <w:r w:rsidR="00602630" w:rsidRPr="00260824">
        <w:t xml:space="preserve"> of the exercise of the power (</w:t>
      </w:r>
      <w:r w:rsidRPr="00260824">
        <w:t>see [</w:t>
      </w:r>
      <w:r w:rsidR="00297C6B" w:rsidRPr="00260824">
        <w:fldChar w:fldCharType="begin"/>
      </w:r>
      <w:r w:rsidR="00297C6B" w:rsidRPr="00260824">
        <w:instrText xml:space="preserve"> REF _Ref535766800 \r \h </w:instrText>
      </w:r>
      <w:r w:rsidR="00297C6B" w:rsidRPr="00260824">
        <w:fldChar w:fldCharType="separate"/>
      </w:r>
      <w:r w:rsidR="003B48E4">
        <w:t>17</w:t>
      </w:r>
      <w:r w:rsidR="00297C6B" w:rsidRPr="00260824">
        <w:fldChar w:fldCharType="end"/>
      </w:r>
      <w:r w:rsidRPr="00260824">
        <w:t xml:space="preserve">] above) and further reasons at the time of its decision on the review </w:t>
      </w:r>
      <w:r w:rsidR="00B23C09" w:rsidRPr="00260824">
        <w:t>(see</w:t>
      </w:r>
      <w:r w:rsidRPr="00260824">
        <w:t xml:space="preserve"> [</w:t>
      </w:r>
      <w:r w:rsidR="00297C6B" w:rsidRPr="00260824">
        <w:fldChar w:fldCharType="begin"/>
      </w:r>
      <w:r w:rsidR="00297C6B" w:rsidRPr="00260824">
        <w:instrText xml:space="preserve"> REF _Ref535766835 \r \h </w:instrText>
      </w:r>
      <w:r w:rsidR="00297C6B" w:rsidRPr="00260824">
        <w:fldChar w:fldCharType="separate"/>
      </w:r>
      <w:r w:rsidR="003B48E4">
        <w:t>23</w:t>
      </w:r>
      <w:r w:rsidR="00297C6B" w:rsidRPr="00260824">
        <w:fldChar w:fldCharType="end"/>
      </w:r>
      <w:r w:rsidRPr="00260824">
        <w:t xml:space="preserve">] above), it is </w:t>
      </w:r>
      <w:r w:rsidR="00B23C09" w:rsidRPr="00260824">
        <w:t>appropriate</w:t>
      </w:r>
      <w:r w:rsidRPr="00260824">
        <w:t xml:space="preserve"> for the supervising Court to examine both sets of reasons. To do so is to ensure that the T</w:t>
      </w:r>
      <w:r w:rsidR="00F229D4" w:rsidRPr="00260824">
        <w:t>ribunal</w:t>
      </w:r>
      <w:r w:rsidRPr="00260824">
        <w:t xml:space="preserve">’s explanations are taken fairly and in context. </w:t>
      </w:r>
      <w:r w:rsidR="002D3343" w:rsidRPr="00260824">
        <w:t>As the T</w:t>
      </w:r>
      <w:r w:rsidR="00F229D4" w:rsidRPr="00260824">
        <w:t>ribunal</w:t>
      </w:r>
      <w:r w:rsidR="002D3343" w:rsidRPr="00260824">
        <w:t xml:space="preserve"> officer foreshadowed to the </w:t>
      </w:r>
      <w:r w:rsidR="00F229D4" w:rsidRPr="00260824">
        <w:t xml:space="preserve">appellant’s </w:t>
      </w:r>
      <w:r w:rsidR="002D3343" w:rsidRPr="00260824">
        <w:t xml:space="preserve">wife, </w:t>
      </w:r>
      <w:r w:rsidR="00B23C09" w:rsidRPr="00260824">
        <w:t xml:space="preserve">I infer that what occurred at the time of the refusal was that the request was referred to the member </w:t>
      </w:r>
      <w:r w:rsidR="002D3343" w:rsidRPr="00260824">
        <w:t>constituting the second T</w:t>
      </w:r>
      <w:r w:rsidR="00F229D4" w:rsidRPr="00260824">
        <w:t>ribunal</w:t>
      </w:r>
      <w:r w:rsidR="002D3343" w:rsidRPr="00260824">
        <w:t xml:space="preserve"> </w:t>
      </w:r>
      <w:r w:rsidR="00B23C09" w:rsidRPr="00260824">
        <w:t>(whom the T</w:t>
      </w:r>
      <w:r w:rsidR="00F229D4" w:rsidRPr="00260824">
        <w:t>ribunal</w:t>
      </w:r>
      <w:r w:rsidR="00B23C09" w:rsidRPr="00260824">
        <w:t xml:space="preserve"> officer called the “Presiding Member”), and that the reasons which were conveyed back to the </w:t>
      </w:r>
      <w:r w:rsidR="00F229D4" w:rsidRPr="00260824">
        <w:t xml:space="preserve">appellant </w:t>
      </w:r>
      <w:r w:rsidR="00B23C09" w:rsidRPr="00260824">
        <w:t xml:space="preserve">by email were the reasons given by the member </w:t>
      </w:r>
      <w:r w:rsidR="002D3343" w:rsidRPr="00260824">
        <w:t xml:space="preserve">constituting </w:t>
      </w:r>
      <w:r w:rsidR="00B23C09" w:rsidRPr="00260824">
        <w:t xml:space="preserve">the </w:t>
      </w:r>
      <w:r w:rsidR="002D3343" w:rsidRPr="00260824">
        <w:t xml:space="preserve">second </w:t>
      </w:r>
      <w:r w:rsidR="00B23C09" w:rsidRPr="00260824">
        <w:t>T</w:t>
      </w:r>
      <w:r w:rsidR="00F229D4" w:rsidRPr="00260824">
        <w:t>ribunal</w:t>
      </w:r>
      <w:r w:rsidR="00B23C09" w:rsidRPr="00260824">
        <w:t xml:space="preserve">. </w:t>
      </w:r>
      <w:r w:rsidRPr="00260824">
        <w:t>That is a further reason why in my opinion the correct approach is to lo</w:t>
      </w:r>
      <w:r w:rsidR="00F140B3" w:rsidRPr="00260824">
        <w:t>o</w:t>
      </w:r>
      <w:r w:rsidRPr="00260824">
        <w:t>k at t</w:t>
      </w:r>
      <w:r w:rsidR="00F140B3" w:rsidRPr="00260824">
        <w:t>h</w:t>
      </w:r>
      <w:r w:rsidRPr="00260824">
        <w:t>e two explanations together.</w:t>
      </w:r>
    </w:p>
    <w:p w14:paraId="180EF88A" w14:textId="30604216" w:rsidR="00737D21" w:rsidRDefault="00737D21" w:rsidP="00932A85">
      <w:pPr>
        <w:pStyle w:val="ParaNumbering"/>
      </w:pPr>
      <w:r>
        <w:t>When that is done, the T</w:t>
      </w:r>
      <w:r w:rsidR="00F229D4">
        <w:t>ribunal</w:t>
      </w:r>
      <w:r>
        <w:t xml:space="preserve">’s explanation for the refusal can be </w:t>
      </w:r>
      <w:r w:rsidR="00B23C09">
        <w:t>described in</w:t>
      </w:r>
      <w:r w:rsidR="00DD5BD6">
        <w:t xml:space="preserve"> the following way</w:t>
      </w:r>
      <w:r>
        <w:t>:</w:t>
      </w:r>
    </w:p>
    <w:p w14:paraId="4FBE8CE6" w14:textId="4A9C340E" w:rsidR="00737D21" w:rsidRDefault="00386FA6" w:rsidP="00B60580">
      <w:pPr>
        <w:pStyle w:val="ListNo1"/>
      </w:pPr>
      <w:r>
        <w:t xml:space="preserve">The </w:t>
      </w:r>
      <w:r w:rsidR="00F229D4">
        <w:t>appellant</w:t>
      </w:r>
      <w:r>
        <w:t xml:space="preserve"> had already had a “full” hearing and the second hearing was for a more limited purpose (described as “to discuss issues arising out of that hearing and more up to date country </w:t>
      </w:r>
      <w:r w:rsidR="00DD5BD6">
        <w:t>information</w:t>
      </w:r>
      <w:r>
        <w:t>”);</w:t>
      </w:r>
    </w:p>
    <w:p w14:paraId="4ED71C5C" w14:textId="2F38DC41" w:rsidR="00386FA6" w:rsidRDefault="00DD5BD6" w:rsidP="00B60580">
      <w:pPr>
        <w:pStyle w:val="ListNo1"/>
      </w:pPr>
      <w:r>
        <w:lastRenderedPageBreak/>
        <w:t>Given</w:t>
      </w:r>
      <w:r w:rsidR="00386FA6">
        <w:t xml:space="preserve"> that the </w:t>
      </w:r>
      <w:r w:rsidR="00F229D4">
        <w:t xml:space="preserve">appellant’s </w:t>
      </w:r>
      <w:r w:rsidR="00386FA6">
        <w:t>previous hearing was nearly a year ago, the T</w:t>
      </w:r>
      <w:r w:rsidR="00F229D4">
        <w:t>ribunal</w:t>
      </w:r>
      <w:r w:rsidR="00386FA6">
        <w:t xml:space="preserve"> “will not be delaying the matter </w:t>
      </w:r>
      <w:r>
        <w:t>any</w:t>
      </w:r>
      <w:r w:rsidR="00386FA6">
        <w:t xml:space="preserve"> further in the </w:t>
      </w:r>
      <w:r>
        <w:t>circumstances</w:t>
      </w:r>
      <w:r w:rsidR="00386FA6">
        <w:t>”: in ot</w:t>
      </w:r>
      <w:r>
        <w:t>h</w:t>
      </w:r>
      <w:r w:rsidR="00386FA6">
        <w:t xml:space="preserve">er words, that the </w:t>
      </w:r>
      <w:r w:rsidR="00F229D4">
        <w:t xml:space="preserve">appellant’s </w:t>
      </w:r>
      <w:r w:rsidR="00B60580">
        <w:t>request would cause “delay”;</w:t>
      </w:r>
    </w:p>
    <w:p w14:paraId="042ECDB0" w14:textId="19EBEE91" w:rsidR="00DD5BD6" w:rsidRDefault="00DD5BD6" w:rsidP="00B60580">
      <w:pPr>
        <w:pStyle w:val="ListNo1"/>
      </w:pPr>
      <w:r>
        <w:t xml:space="preserve">The </w:t>
      </w:r>
      <w:r w:rsidR="00F229D4">
        <w:t xml:space="preserve">appellant </w:t>
      </w:r>
      <w:r>
        <w:t>had the assistance of an adviser at the first hearing, and the purpose of the second hearing was limited (in the way set out above)</w:t>
      </w:r>
      <w:r w:rsidR="00B60580">
        <w:t>; and</w:t>
      </w:r>
    </w:p>
    <w:p w14:paraId="6C730113" w14:textId="09A28BBA" w:rsidR="00DD5BD6" w:rsidRDefault="00DD5BD6" w:rsidP="00B60580">
      <w:pPr>
        <w:pStyle w:val="ListNo1"/>
      </w:pPr>
      <w:r>
        <w:t xml:space="preserve">There </w:t>
      </w:r>
      <w:r w:rsidR="00B23C09">
        <w:t>was nothing</w:t>
      </w:r>
      <w:r>
        <w:t xml:space="preserve"> in the information provided by the </w:t>
      </w:r>
      <w:r w:rsidR="00F229D4">
        <w:t>appellant</w:t>
      </w:r>
      <w:r>
        <w:t xml:space="preserve"> to suggest he would be in </w:t>
      </w:r>
      <w:r w:rsidR="00B23C09">
        <w:t>a position</w:t>
      </w:r>
      <w:r>
        <w:t xml:space="preserve"> to engage another </w:t>
      </w:r>
      <w:r w:rsidR="00B23C09">
        <w:t>representative</w:t>
      </w:r>
      <w:r>
        <w:t xml:space="preserve"> in the future.</w:t>
      </w:r>
    </w:p>
    <w:p w14:paraId="737C882F" w14:textId="54455F5D" w:rsidR="00DD5BD6" w:rsidRDefault="00DD5BD6" w:rsidP="00932A85">
      <w:pPr>
        <w:pStyle w:val="ParaNumbering"/>
      </w:pPr>
      <w:r>
        <w:t xml:space="preserve">The first two parts of the explanation were given at the time of the exercise of power. Their contemporaneity with the exercise of power </w:t>
      </w:r>
      <w:r w:rsidR="00995621">
        <w:t>may give</w:t>
      </w:r>
      <w:r>
        <w:t xml:space="preserve"> them additional weight</w:t>
      </w:r>
      <w:r w:rsidR="00AD3EBF">
        <w:t xml:space="preserve"> in terms of assessing what really motivated the T</w:t>
      </w:r>
      <w:r w:rsidR="00F229D4">
        <w:t>ribunal</w:t>
      </w:r>
      <w:r w:rsidR="00AD3EBF">
        <w:t xml:space="preserve"> to refuse the adjournment. They were repeated</w:t>
      </w:r>
      <w:r>
        <w:t xml:space="preserve"> in different language at [5] of the T</w:t>
      </w:r>
      <w:r w:rsidR="00F229D4">
        <w:t>ribunal</w:t>
      </w:r>
      <w:r>
        <w:t xml:space="preserve">’s reasons, </w:t>
      </w:r>
      <w:r w:rsidR="00AD3EBF">
        <w:t>and</w:t>
      </w:r>
      <w:r>
        <w:t xml:space="preserve"> the delay factor was linked in those reasons to the fourth factor set out above, </w:t>
      </w:r>
      <w:r w:rsidR="00B60580">
        <w:t xml:space="preserve">in contrast to </w:t>
      </w:r>
      <w:r w:rsidR="00C2062A">
        <w:t>what appeared in the email to the appellant declining an adjournment, which did not refer to the fourth factor</w:t>
      </w:r>
      <w:r>
        <w:t>.</w:t>
      </w:r>
      <w:r w:rsidR="00AD3EBF">
        <w:t xml:space="preserve"> </w:t>
      </w:r>
      <w:r w:rsidR="00995621">
        <w:t>I</w:t>
      </w:r>
      <w:r w:rsidR="00995621" w:rsidRPr="00C2062A">
        <w:t>t may be that, on reflection, the T</w:t>
      </w:r>
      <w:r w:rsidR="00F229D4" w:rsidRPr="00C2062A">
        <w:t>ribunal</w:t>
      </w:r>
      <w:r w:rsidR="00995621" w:rsidRPr="00C2062A">
        <w:t xml:space="preserve"> intended to link these factors. Whichever way the</w:t>
      </w:r>
      <w:r w:rsidR="00B63C26">
        <w:t>se</w:t>
      </w:r>
      <w:r w:rsidR="00995621" w:rsidRPr="00C2062A">
        <w:t xml:space="preserve"> reasons are </w:t>
      </w:r>
      <w:r w:rsidR="00B63C26">
        <w:t>interpreted</w:t>
      </w:r>
      <w:r w:rsidR="00995621" w:rsidRPr="00C2062A">
        <w:t>, it does not affect my conclusions.</w:t>
      </w:r>
    </w:p>
    <w:p w14:paraId="1E6ECADC" w14:textId="79A92D41" w:rsidR="00DD5BD6" w:rsidRDefault="00995621" w:rsidP="00932A85">
      <w:pPr>
        <w:pStyle w:val="ParaNumbering"/>
      </w:pPr>
      <w:r>
        <w:t>The circumstances in which the T</w:t>
      </w:r>
      <w:r w:rsidR="00F229D4">
        <w:t>ribunal</w:t>
      </w:r>
      <w:r>
        <w:t xml:space="preserve"> was asked to exercise the power in s 427(1)(b)</w:t>
      </w:r>
      <w:r w:rsidR="00F140B3">
        <w:t xml:space="preserve"> </w:t>
      </w:r>
      <w:r>
        <w:t>were</w:t>
      </w:r>
      <w:r w:rsidR="00F140B3">
        <w:t xml:space="preserve"> unusual in several respects.</w:t>
      </w:r>
    </w:p>
    <w:p w14:paraId="7053FF10" w14:textId="7D402630" w:rsidR="00F17E88" w:rsidRDefault="00F17E88" w:rsidP="00932A85">
      <w:pPr>
        <w:pStyle w:val="ParaNumbering"/>
      </w:pPr>
      <w:r>
        <w:t xml:space="preserve">First (and as the </w:t>
      </w:r>
      <w:r w:rsidR="00F229D4">
        <w:t xml:space="preserve">Federal Circuit Court </w:t>
      </w:r>
      <w:r>
        <w:t xml:space="preserve">noted), the entire situation in which the </w:t>
      </w:r>
      <w:r w:rsidR="00F229D4">
        <w:t>appellant</w:t>
      </w:r>
      <w:r>
        <w:t xml:space="preserve"> came to ask the T</w:t>
      </w:r>
      <w:r w:rsidR="00F229D4">
        <w:t>ribunal</w:t>
      </w:r>
      <w:r>
        <w:t xml:space="preserve"> for more time before attending a further hearing was a situation of the T</w:t>
      </w:r>
      <w:r w:rsidR="00F229D4">
        <w:t>ribunal</w:t>
      </w:r>
      <w:r>
        <w:t xml:space="preserve">’s making and not the </w:t>
      </w:r>
      <w:r w:rsidR="00F229D4">
        <w:t>appellant</w:t>
      </w:r>
      <w:r>
        <w:t>’s. The T</w:t>
      </w:r>
      <w:r w:rsidR="00F229D4">
        <w:t>ribunal</w:t>
      </w:r>
      <w:r>
        <w:t xml:space="preserve"> had been reconstituted, without any person from the T</w:t>
      </w:r>
      <w:r w:rsidR="00F229D4">
        <w:t>ribunal</w:t>
      </w:r>
      <w:r>
        <w:t xml:space="preserve"> </w:t>
      </w:r>
      <w:r w:rsidR="00995621">
        <w:t xml:space="preserve">informing </w:t>
      </w:r>
      <w:r>
        <w:t xml:space="preserve">the </w:t>
      </w:r>
      <w:r w:rsidR="00F229D4">
        <w:t>appellant</w:t>
      </w:r>
      <w:r>
        <w:t xml:space="preserve"> or his </w:t>
      </w:r>
      <w:r w:rsidR="00B23C09">
        <w:t>representative,</w:t>
      </w:r>
      <w:r>
        <w:t xml:space="preserve"> let </w:t>
      </w:r>
      <w:r w:rsidR="002C1C52">
        <w:t>alone</w:t>
      </w:r>
      <w:r>
        <w:t xml:space="preserve"> explaining why that had occurred. Instead, out of the </w:t>
      </w:r>
      <w:r w:rsidR="00B23C09">
        <w:t>blue, after</w:t>
      </w:r>
      <w:r>
        <w:t xml:space="preserve"> almost a year, the </w:t>
      </w:r>
      <w:r w:rsidR="00F229D4">
        <w:t>appellant</w:t>
      </w:r>
      <w:r>
        <w:t>’s representative receive</w:t>
      </w:r>
      <w:r w:rsidR="00C2062A">
        <w:t>d</w:t>
      </w:r>
      <w:r>
        <w:t xml:space="preserve"> a second hearing invitation.</w:t>
      </w:r>
    </w:p>
    <w:p w14:paraId="75E47900" w14:textId="56300FFC" w:rsidR="00F17E88" w:rsidRDefault="00F17E88" w:rsidP="00932A85">
      <w:pPr>
        <w:pStyle w:val="ParaNumbering"/>
      </w:pPr>
      <w:r>
        <w:t xml:space="preserve">That </w:t>
      </w:r>
      <w:r w:rsidR="00B23C09">
        <w:t>invitation</w:t>
      </w:r>
      <w:r>
        <w:t xml:space="preserve"> itself is </w:t>
      </w:r>
      <w:r w:rsidR="00B23C09">
        <w:t>uninformative</w:t>
      </w:r>
      <w:r w:rsidR="002C1C52">
        <w:t>. Notabl</w:t>
      </w:r>
      <w:r>
        <w:t xml:space="preserve">y it </w:t>
      </w:r>
      <w:r w:rsidR="00995621">
        <w:t xml:space="preserve">is not consistent with </w:t>
      </w:r>
      <w:r>
        <w:t>what the T</w:t>
      </w:r>
      <w:r w:rsidR="00F229D4">
        <w:t>ribunal</w:t>
      </w:r>
      <w:r>
        <w:t xml:space="preserve"> later </w:t>
      </w:r>
      <w:r w:rsidR="00995621">
        <w:t>asserted (in its reasons)</w:t>
      </w:r>
      <w:r>
        <w:t xml:space="preserve"> </w:t>
      </w:r>
      <w:r w:rsidR="00995621">
        <w:t xml:space="preserve">was </w:t>
      </w:r>
      <w:r>
        <w:t xml:space="preserve">the </w:t>
      </w:r>
      <w:r w:rsidR="00B23C09">
        <w:t>purpose</w:t>
      </w:r>
      <w:r>
        <w:t xml:space="preserve"> of the </w:t>
      </w:r>
      <w:r w:rsidR="00995621">
        <w:t xml:space="preserve">second </w:t>
      </w:r>
      <w:r>
        <w:t xml:space="preserve">hearing. </w:t>
      </w:r>
      <w:r w:rsidR="00B23C09">
        <w:t xml:space="preserve">The hearing invitation does not tell the </w:t>
      </w:r>
      <w:r w:rsidR="00F229D4">
        <w:t>appellant</w:t>
      </w:r>
      <w:r w:rsidR="00B23C09">
        <w:t xml:space="preserve"> and his (then) representative, that the second hearing had a limited purpose – to discuss “issues arising</w:t>
      </w:r>
      <w:r w:rsidR="00C2062A">
        <w:t>”</w:t>
      </w:r>
      <w:r w:rsidR="00B23C09">
        <w:t xml:space="preserve"> from the first hearing and to update country information. </w:t>
      </w:r>
      <w:r>
        <w:t>The latter step was of course only necessary because of the T</w:t>
      </w:r>
      <w:r w:rsidR="00F229D4">
        <w:t>ribunal</w:t>
      </w:r>
      <w:r>
        <w:t xml:space="preserve">’s own delay in finalising the review. </w:t>
      </w:r>
      <w:r w:rsidR="00B23C09">
        <w:t xml:space="preserve">Indeed, if anything, the terms of the </w:t>
      </w:r>
      <w:r w:rsidR="00995621">
        <w:t xml:space="preserve">second </w:t>
      </w:r>
      <w:r w:rsidR="00B23C09">
        <w:t xml:space="preserve">hearing invitation – being </w:t>
      </w:r>
      <w:r w:rsidR="00C72183">
        <w:t xml:space="preserve">substantially the same as </w:t>
      </w:r>
      <w:r w:rsidR="00B23C09">
        <w:t xml:space="preserve">the first invitation – suggest a “full” hearing, without any explanation as to why that might be required. </w:t>
      </w:r>
      <w:r>
        <w:t xml:space="preserve">The terms of the letter </w:t>
      </w:r>
      <w:r w:rsidR="00B23C09">
        <w:t>convey</w:t>
      </w:r>
      <w:r>
        <w:t xml:space="preserve"> the opposite impression to the </w:t>
      </w:r>
      <w:r w:rsidR="00B23C09">
        <w:t>purposes</w:t>
      </w:r>
      <w:r>
        <w:t xml:space="preserve"> later articulated by the T</w:t>
      </w:r>
      <w:r w:rsidR="00F229D4">
        <w:t>ribunal</w:t>
      </w:r>
      <w:r>
        <w:t xml:space="preserve">. In any event, as I explain below, the second hearing was not </w:t>
      </w:r>
      <w:r>
        <w:lastRenderedPageBreak/>
        <w:t>conducted on any limited basis at all, and was wide</w:t>
      </w:r>
      <w:r w:rsidR="00C2062A">
        <w:t>-</w:t>
      </w:r>
      <w:r w:rsidR="00B23C09">
        <w:t>ranging, and</w:t>
      </w:r>
      <w:r>
        <w:t xml:space="preserve"> all aspects of the </w:t>
      </w:r>
      <w:r w:rsidR="00F229D4">
        <w:t>appellant</w:t>
      </w:r>
      <w:r>
        <w:t>’s claims were tested. It is irrational for the T</w:t>
      </w:r>
      <w:r w:rsidR="00F229D4">
        <w:t>ribunal</w:t>
      </w:r>
      <w:r>
        <w:t xml:space="preserve">, in its reasons at [5] to describe the </w:t>
      </w:r>
      <w:r w:rsidR="00B23C09">
        <w:t>second</w:t>
      </w:r>
      <w:r>
        <w:t xml:space="preserve"> </w:t>
      </w:r>
      <w:r w:rsidR="00B23C09">
        <w:t>hearing</w:t>
      </w:r>
      <w:r>
        <w:t xml:space="preserve"> in the way</w:t>
      </w:r>
      <w:r w:rsidR="004F7C64">
        <w:t xml:space="preserve"> it</w:t>
      </w:r>
      <w:r>
        <w:t xml:space="preserve"> did, having by this stage conducted it, and knowing that it was not limited in the way it describes. What the T</w:t>
      </w:r>
      <w:r w:rsidR="00F229D4">
        <w:t>ribunal</w:t>
      </w:r>
      <w:r>
        <w:t xml:space="preserve"> appears to have done at [5] is to decide to adhere to the </w:t>
      </w:r>
      <w:r w:rsidR="00B23C09">
        <w:t>language</w:t>
      </w:r>
      <w:r>
        <w:t xml:space="preserve"> used in the </w:t>
      </w:r>
      <w:r w:rsidR="00B23C09">
        <w:t>email</w:t>
      </w:r>
      <w:r>
        <w:t xml:space="preserve"> sent </w:t>
      </w:r>
      <w:r w:rsidR="00C2062A">
        <w:t xml:space="preserve">to the appellant </w:t>
      </w:r>
      <w:r>
        <w:t xml:space="preserve">at the time of the </w:t>
      </w:r>
      <w:r w:rsidR="00B23C09">
        <w:t>exercise</w:t>
      </w:r>
      <w:r>
        <w:t xml:space="preserve"> of the power, even though it was not an accurate </w:t>
      </w:r>
      <w:r w:rsidR="00B23C09">
        <w:t>description</w:t>
      </w:r>
      <w:r>
        <w:t xml:space="preserve"> of what occurred.</w:t>
      </w:r>
    </w:p>
    <w:p w14:paraId="3AC62A8C" w14:textId="32E3D6D0" w:rsidR="002C1C52" w:rsidRDefault="002C1C52" w:rsidP="00932A85">
      <w:pPr>
        <w:pStyle w:val="ParaNumbering"/>
      </w:pPr>
      <w:r>
        <w:t>Second, the T</w:t>
      </w:r>
      <w:r w:rsidR="00F229D4">
        <w:t>ribunal</w:t>
      </w:r>
      <w:r>
        <w:t xml:space="preserve"> did no</w:t>
      </w:r>
      <w:r w:rsidR="00AB51CB">
        <w:t>t inquire at all into how it wa</w:t>
      </w:r>
      <w:r>
        <w:t xml:space="preserve">s that the </w:t>
      </w:r>
      <w:r w:rsidR="00F229D4">
        <w:t xml:space="preserve">appellant </w:t>
      </w:r>
      <w:r>
        <w:t>found himself without his IA</w:t>
      </w:r>
      <w:r w:rsidR="00742712">
        <w:t>A</w:t>
      </w:r>
      <w:r>
        <w:t xml:space="preserve">AS </w:t>
      </w:r>
      <w:r w:rsidR="00F229D4">
        <w:t xml:space="preserve">Scheme </w:t>
      </w:r>
      <w:r>
        <w:t>provider. The T</w:t>
      </w:r>
      <w:r w:rsidR="00F229D4">
        <w:t>ribunal</w:t>
      </w:r>
      <w:r>
        <w:t xml:space="preserve"> can be </w:t>
      </w:r>
      <w:r w:rsidR="00B23C09">
        <w:t>taken</w:t>
      </w:r>
      <w:r>
        <w:t xml:space="preserve"> to know the </w:t>
      </w:r>
      <w:r w:rsidR="00B23C09">
        <w:t>circumstances</w:t>
      </w:r>
      <w:r>
        <w:t xml:space="preserve"> which lead </w:t>
      </w:r>
      <w:r w:rsidR="00B23C09">
        <w:t>to</w:t>
      </w:r>
      <w:r>
        <w:t xml:space="preserve"> a person in the </w:t>
      </w:r>
      <w:r w:rsidR="00F229D4">
        <w:t xml:space="preserve">appellant’s </w:t>
      </w:r>
      <w:r>
        <w:t>situation being assigned a representative under the IA</w:t>
      </w:r>
      <w:r w:rsidR="00742712">
        <w:t>A</w:t>
      </w:r>
      <w:r>
        <w:t xml:space="preserve">AS </w:t>
      </w:r>
      <w:r w:rsidR="00F229D4">
        <w:t>S</w:t>
      </w:r>
      <w:r>
        <w:t xml:space="preserve">cheme. The </w:t>
      </w:r>
      <w:r w:rsidR="00995621">
        <w:t>T</w:t>
      </w:r>
      <w:r w:rsidR="00F229D4">
        <w:t>ribunal</w:t>
      </w:r>
      <w:r w:rsidR="00995621">
        <w:t xml:space="preserve">’s merits </w:t>
      </w:r>
      <w:r w:rsidR="00B23C09">
        <w:t>review</w:t>
      </w:r>
      <w:r>
        <w:t xml:space="preserve"> was not completed. At least on its face, the task for which Craddock Murray Neumann had been engaged, using</w:t>
      </w:r>
      <w:r w:rsidR="00995621">
        <w:t xml:space="preserve"> public funds, was not complete</w:t>
      </w:r>
      <w:r>
        <w:t>. The T</w:t>
      </w:r>
      <w:r w:rsidR="00F229D4">
        <w:t>ribunal</w:t>
      </w:r>
      <w:r>
        <w:t xml:space="preserve"> made no inquiries, </w:t>
      </w:r>
      <w:r w:rsidR="00C2062A">
        <w:t xml:space="preserve">and </w:t>
      </w:r>
      <w:r>
        <w:t xml:space="preserve">took no steps, to </w:t>
      </w:r>
      <w:r w:rsidR="00B23C09">
        <w:t>understand</w:t>
      </w:r>
      <w:r>
        <w:t xml:space="preserve"> how it was that the firm who </w:t>
      </w:r>
      <w:r w:rsidR="00B23C09">
        <w:t>represented</w:t>
      </w:r>
      <w:r>
        <w:t xml:space="preserve"> the </w:t>
      </w:r>
      <w:r w:rsidR="00F229D4">
        <w:t xml:space="preserve">appellant </w:t>
      </w:r>
      <w:r w:rsidR="00B23C09">
        <w:t>through</w:t>
      </w:r>
      <w:r>
        <w:t xml:space="preserve"> the IA</w:t>
      </w:r>
      <w:r w:rsidR="00742712">
        <w:t>A</w:t>
      </w:r>
      <w:r>
        <w:t xml:space="preserve">AS </w:t>
      </w:r>
      <w:r w:rsidR="00F229D4">
        <w:t>S</w:t>
      </w:r>
      <w:r>
        <w:t xml:space="preserve">cheme was now telling the </w:t>
      </w:r>
      <w:r w:rsidR="00F229D4">
        <w:t xml:space="preserve">appellant </w:t>
      </w:r>
      <w:r>
        <w:t xml:space="preserve">it would no longer </w:t>
      </w:r>
      <w:r w:rsidR="00B23C09">
        <w:t>represent</w:t>
      </w:r>
      <w:r>
        <w:t xml:space="preserve"> him and/or that the </w:t>
      </w:r>
      <w:r w:rsidR="00F229D4">
        <w:t xml:space="preserve">appellant </w:t>
      </w:r>
      <w:r>
        <w:t>ha</w:t>
      </w:r>
      <w:r w:rsidR="008E209B">
        <w:t>d to pay them a further $4,</w:t>
      </w:r>
      <w:r w:rsidR="00C2062A">
        <w:t>4</w:t>
      </w:r>
      <w:r w:rsidR="008E209B">
        <w:t>00</w:t>
      </w:r>
      <w:r w:rsidR="00995621">
        <w:t xml:space="preserve">. </w:t>
      </w:r>
      <w:r>
        <w:t>Of course, it is no part of the T</w:t>
      </w:r>
      <w:r w:rsidR="00F229D4">
        <w:t>ribunal</w:t>
      </w:r>
      <w:r>
        <w:t xml:space="preserve">’s function to attend to ensuring the </w:t>
      </w:r>
      <w:r w:rsidR="00F229D4">
        <w:t xml:space="preserve">appellant </w:t>
      </w:r>
      <w:r>
        <w:t xml:space="preserve">has </w:t>
      </w:r>
      <w:r w:rsidR="008E209B">
        <w:t>representation</w:t>
      </w:r>
      <w:r>
        <w:t xml:space="preserve">: that is not the </w:t>
      </w:r>
      <w:r w:rsidR="00995621">
        <w:t>relevant point</w:t>
      </w:r>
      <w:r>
        <w:t xml:space="preserve">. However, the </w:t>
      </w:r>
      <w:r w:rsidR="008E209B">
        <w:t>whole</w:t>
      </w:r>
      <w:r>
        <w:t xml:space="preserve"> reason the </w:t>
      </w:r>
      <w:r w:rsidR="00F229D4">
        <w:t xml:space="preserve">appellant </w:t>
      </w:r>
      <w:r>
        <w:t xml:space="preserve">was requesting the </w:t>
      </w:r>
      <w:r w:rsidR="008E209B">
        <w:t xml:space="preserve">second </w:t>
      </w:r>
      <w:r>
        <w:t xml:space="preserve">hearing be postponed was that he had a </w:t>
      </w:r>
      <w:r w:rsidR="008E209B">
        <w:t>representative who wa</w:t>
      </w:r>
      <w:r>
        <w:t>s</w:t>
      </w:r>
      <w:r w:rsidR="008E209B">
        <w:t xml:space="preserve"> </w:t>
      </w:r>
      <w:r>
        <w:t xml:space="preserve">now telling him </w:t>
      </w:r>
      <w:r w:rsidR="00B63C26">
        <w:t>she or he</w:t>
      </w:r>
      <w:r>
        <w:t xml:space="preserve"> would </w:t>
      </w:r>
      <w:r w:rsidR="00B23C09">
        <w:t>no longer</w:t>
      </w:r>
      <w:r>
        <w:t xml:space="preserve"> be acting and would not attend the second </w:t>
      </w:r>
      <w:r w:rsidR="00B24F50">
        <w:t>T</w:t>
      </w:r>
      <w:r w:rsidR="00F229D4">
        <w:t xml:space="preserve">ribunal </w:t>
      </w:r>
      <w:r>
        <w:t xml:space="preserve">hearing. </w:t>
      </w:r>
      <w:r w:rsidR="007C63F9">
        <w:t>In the circumstances, a</w:t>
      </w:r>
      <w:r w:rsidR="008E209B">
        <w:t xml:space="preserve"> T</w:t>
      </w:r>
      <w:r w:rsidR="00F229D4">
        <w:t>ribunal</w:t>
      </w:r>
      <w:r w:rsidR="008E209B">
        <w:t xml:space="preserve"> acting reasonably would have inquired how this came about, at least through </w:t>
      </w:r>
      <w:r w:rsidR="00B23C09">
        <w:t>correspondence</w:t>
      </w:r>
      <w:r w:rsidR="008E209B">
        <w:t xml:space="preserve"> with Craddock Murray Neumann.</w:t>
      </w:r>
      <w:r w:rsidR="00B24F50">
        <w:t xml:space="preserve"> It was clearly relevant to whether or not to postpone the second T</w:t>
      </w:r>
      <w:r w:rsidR="00F229D4">
        <w:t xml:space="preserve">ribunal </w:t>
      </w:r>
      <w:r w:rsidR="00B24F50">
        <w:t>hearing.</w:t>
      </w:r>
    </w:p>
    <w:p w14:paraId="27031921" w14:textId="160B902F" w:rsidR="008E209B" w:rsidRDefault="008E209B" w:rsidP="00932A85">
      <w:pPr>
        <w:pStyle w:val="ParaNumbering"/>
      </w:pPr>
      <w:r>
        <w:t>Next, it is irrational for the T</w:t>
      </w:r>
      <w:r w:rsidR="00F229D4">
        <w:t>ribunal</w:t>
      </w:r>
      <w:r>
        <w:t xml:space="preserve"> to rely on the fact the </w:t>
      </w:r>
      <w:r w:rsidR="00F229D4">
        <w:t xml:space="preserve">appellant </w:t>
      </w:r>
      <w:r>
        <w:t xml:space="preserve">was represented at the first hearing: that fact was of no </w:t>
      </w:r>
      <w:r w:rsidR="00B23C09">
        <w:t>relevance</w:t>
      </w:r>
      <w:r>
        <w:t xml:space="preserve"> to the merits of postponing the second hearing. </w:t>
      </w:r>
      <w:r w:rsidR="00B23C09">
        <w:t>Representation</w:t>
      </w:r>
      <w:r>
        <w:t xml:space="preserve"> at the first hearing could not </w:t>
      </w:r>
      <w:r w:rsidR="00B23C09">
        <w:t>assist</w:t>
      </w:r>
      <w:r>
        <w:t xml:space="preserve"> the </w:t>
      </w:r>
      <w:r w:rsidR="00F229D4">
        <w:t xml:space="preserve">appellant </w:t>
      </w:r>
      <w:r>
        <w:t xml:space="preserve">at the second hearing. What was of </w:t>
      </w:r>
      <w:r w:rsidR="00B23C09">
        <w:t>relevance</w:t>
      </w:r>
      <w:r>
        <w:t xml:space="preserve"> was for the T</w:t>
      </w:r>
      <w:r w:rsidR="00775F01">
        <w:t>ribunal</w:t>
      </w:r>
      <w:r>
        <w:t xml:space="preserve"> to consider whether the second hearing was likely to be </w:t>
      </w:r>
      <w:r w:rsidR="00B23C09">
        <w:t>fair</w:t>
      </w:r>
      <w:r>
        <w:t xml:space="preserve"> and just to the </w:t>
      </w:r>
      <w:r w:rsidR="00775F01">
        <w:t xml:space="preserve">appellant </w:t>
      </w:r>
      <w:r>
        <w:t xml:space="preserve">if, having been </w:t>
      </w:r>
      <w:r w:rsidR="00B23C09">
        <w:t>represented</w:t>
      </w:r>
      <w:r>
        <w:t xml:space="preserve"> previously, he now had to attend without </w:t>
      </w:r>
      <w:r w:rsidR="00B23C09">
        <w:t>representation</w:t>
      </w:r>
      <w:r w:rsidR="00B63C26">
        <w:t xml:space="preserve"> before a differently constituted Tribunal</w:t>
      </w:r>
      <w:r>
        <w:t xml:space="preserve">. </w:t>
      </w:r>
      <w:r w:rsidR="00B23C09">
        <w:t>Knowing (as the T</w:t>
      </w:r>
      <w:r w:rsidR="00775F01">
        <w:t>ribunal</w:t>
      </w:r>
      <w:r w:rsidR="00B23C09">
        <w:t xml:space="preserve"> clearly did) that one of the purposes of the second hearing was for the newly constituted member to form her own views of the </w:t>
      </w:r>
      <w:r w:rsidR="00775F01">
        <w:t>appellant</w:t>
      </w:r>
      <w:r w:rsidR="00B23C09">
        <w:t>, and of what he said to the first T</w:t>
      </w:r>
      <w:r w:rsidR="00775F01">
        <w:t>ribunal</w:t>
      </w:r>
      <w:r w:rsidR="00B23C09">
        <w:t xml:space="preserve"> member, a T</w:t>
      </w:r>
      <w:r w:rsidR="00775F01">
        <w:t>ribunal</w:t>
      </w:r>
      <w:r w:rsidR="00B23C09">
        <w:t xml:space="preserve"> acting reasonably would have appreciated that especially in those circumstances (and indeed more critically than at the first hearing) the </w:t>
      </w:r>
      <w:r w:rsidR="00775F01">
        <w:t xml:space="preserve">appellant </w:t>
      </w:r>
      <w:r w:rsidR="00B23C09">
        <w:t xml:space="preserve">would be assisted by having representation. The </w:t>
      </w:r>
      <w:r w:rsidR="00775F01">
        <w:t>appellant</w:t>
      </w:r>
      <w:r w:rsidR="00B23C09">
        <w:t xml:space="preserve"> was going to be placed, by the T</w:t>
      </w:r>
      <w:r w:rsidR="00775F01">
        <w:t>ribunal</w:t>
      </w:r>
      <w:r w:rsidR="00B23C09">
        <w:t>, in the difficult situation of being examined about what he said at the first hearing, with the T</w:t>
      </w:r>
      <w:r w:rsidR="00775F01">
        <w:t>ribunal</w:t>
      </w:r>
      <w:r w:rsidR="00B23C09">
        <w:t xml:space="preserve"> </w:t>
      </w:r>
      <w:r w:rsidR="00B63C26">
        <w:lastRenderedPageBreak/>
        <w:t>likely to look</w:t>
      </w:r>
      <w:r w:rsidR="00B23C09">
        <w:t xml:space="preserve"> (as its reasons disclose it </w:t>
      </w:r>
      <w:r w:rsidR="00B63C26">
        <w:t xml:space="preserve">in fact </w:t>
      </w:r>
      <w:r w:rsidR="00B23C09">
        <w:t xml:space="preserve">did) for discrepancies and inconsistencies. </w:t>
      </w:r>
      <w:r w:rsidR="00B24F50">
        <w:t xml:space="preserve">Especially given the </w:t>
      </w:r>
      <w:r w:rsidR="00775F01">
        <w:t xml:space="preserve">appellant </w:t>
      </w:r>
      <w:r w:rsidR="00B24F50">
        <w:t>had no functional English, that</w:t>
      </w:r>
      <w:r w:rsidR="00B23C09">
        <w:t xml:space="preserve"> is precisely the kind of situation where the </w:t>
      </w:r>
      <w:r w:rsidR="00775F01">
        <w:t xml:space="preserve">appellant </w:t>
      </w:r>
      <w:r w:rsidR="00B23C09">
        <w:t>would be assisted by having a representative to ensure he was being treated fairly, to point out matters to the T</w:t>
      </w:r>
      <w:r w:rsidR="00775F01">
        <w:t>ribunal</w:t>
      </w:r>
      <w:r w:rsidR="00B23C09">
        <w:t>, to make submissions (whether at the hearing or afterwards) on whether what the T</w:t>
      </w:r>
      <w:r w:rsidR="00775F01">
        <w:t>ribunal</w:t>
      </w:r>
      <w:r w:rsidR="00B23C09">
        <w:t xml:space="preserve"> thought might be discrepancies or inconsistencies really should be described as such and whether they mattered.</w:t>
      </w:r>
    </w:p>
    <w:p w14:paraId="26D17CF5" w14:textId="16AD4A22" w:rsidR="00AB51CB" w:rsidRDefault="00AB51CB" w:rsidP="00AB51CB">
      <w:pPr>
        <w:pStyle w:val="ParaNumbering"/>
      </w:pPr>
      <w:r>
        <w:t xml:space="preserve">Further, the very subject </w:t>
      </w:r>
      <w:r w:rsidR="007C63F9">
        <w:t>m</w:t>
      </w:r>
      <w:r>
        <w:t xml:space="preserve">atter of the </w:t>
      </w:r>
      <w:r w:rsidR="00590116">
        <w:t>second</w:t>
      </w:r>
      <w:r>
        <w:t xml:space="preserve"> </w:t>
      </w:r>
      <w:r w:rsidR="00590116">
        <w:t>ground</w:t>
      </w:r>
      <w:r>
        <w:t xml:space="preserve"> of appeal – the </w:t>
      </w:r>
      <w:proofErr w:type="spellStart"/>
      <w:r>
        <w:t>Merak</w:t>
      </w:r>
      <w:proofErr w:type="spellEnd"/>
      <w:r>
        <w:t xml:space="preserve"> </w:t>
      </w:r>
      <w:r w:rsidR="007C63F9">
        <w:t xml:space="preserve">ship </w:t>
      </w:r>
      <w:r>
        <w:t xml:space="preserve">claim – provides an example of how the </w:t>
      </w:r>
      <w:r w:rsidR="00775F01">
        <w:t xml:space="preserve">appellant </w:t>
      </w:r>
      <w:r>
        <w:t xml:space="preserve">might have been assisted by representation. A representative, acting competently, would be expected </w:t>
      </w:r>
      <w:r w:rsidR="00B23C09">
        <w:t>to have</w:t>
      </w:r>
      <w:r>
        <w:t xml:space="preserve"> pointed out to the T</w:t>
      </w:r>
      <w:r w:rsidR="00775F01">
        <w:t>ribunal</w:t>
      </w:r>
      <w:r>
        <w:t xml:space="preserve"> that the </w:t>
      </w:r>
      <w:r w:rsidR="00775F01">
        <w:t xml:space="preserve">appellant </w:t>
      </w:r>
      <w:r>
        <w:t xml:space="preserve">had indeed made this claim before the delegate, and had mentioned in his initial interview that he had </w:t>
      </w:r>
      <w:r w:rsidR="00EF7E5C">
        <w:t>been</w:t>
      </w:r>
      <w:r>
        <w:t xml:space="preserve"> at </w:t>
      </w:r>
      <w:proofErr w:type="spellStart"/>
      <w:r>
        <w:t>Merak</w:t>
      </w:r>
      <w:proofErr w:type="spellEnd"/>
      <w:r>
        <w:t xml:space="preserve"> Boat </w:t>
      </w:r>
      <w:r w:rsidR="007C63F9">
        <w:t>H</w:t>
      </w:r>
      <w:r>
        <w:t xml:space="preserve">arbour. </w:t>
      </w:r>
    </w:p>
    <w:p w14:paraId="5CD1AC65" w14:textId="0FEA46F4" w:rsidR="001E5343" w:rsidRDefault="00590116" w:rsidP="00AB51CB">
      <w:pPr>
        <w:pStyle w:val="ParaNumbering"/>
      </w:pPr>
      <w:r>
        <w:t xml:space="preserve">The chronology is </w:t>
      </w:r>
      <w:r w:rsidR="00B63C26">
        <w:t xml:space="preserve">also </w:t>
      </w:r>
      <w:r>
        <w:t>of some significance, in two ways. First,</w:t>
      </w:r>
      <w:r w:rsidR="001E5343">
        <w:t xml:space="preserve"> </w:t>
      </w:r>
      <w:r w:rsidR="00B24F50">
        <w:t xml:space="preserve">after </w:t>
      </w:r>
      <w:r w:rsidR="001E5343">
        <w:t>no communications at al</w:t>
      </w:r>
      <w:r w:rsidR="00B24F50">
        <w:t>l from the T</w:t>
      </w:r>
      <w:r w:rsidR="00775F01">
        <w:t>ribunal</w:t>
      </w:r>
      <w:r w:rsidR="00B24F50">
        <w:t xml:space="preserve"> for almost a year (on the evidence), then unexpectedly</w:t>
      </w:r>
      <w:r w:rsidR="001E5343">
        <w:t xml:space="preserve"> by a letter to the </w:t>
      </w:r>
      <w:r w:rsidR="00775F01">
        <w:t xml:space="preserve">appellant’s </w:t>
      </w:r>
      <w:r w:rsidR="00B23C09">
        <w:t>representative</w:t>
      </w:r>
      <w:r w:rsidR="001E5343">
        <w:t xml:space="preserve"> on 11 March 2016, the T</w:t>
      </w:r>
      <w:r w:rsidR="00775F01">
        <w:t>ribunal</w:t>
      </w:r>
      <w:r w:rsidR="001E5343">
        <w:t xml:space="preserve"> issued a second hearing invitation (with the infirmities to which I referred above), </w:t>
      </w:r>
      <w:r w:rsidR="00B24F50">
        <w:t>nominating a</w:t>
      </w:r>
      <w:r w:rsidR="001E5343">
        <w:t xml:space="preserve"> hearing date </w:t>
      </w:r>
      <w:r w:rsidR="00B23C09">
        <w:t>of 22</w:t>
      </w:r>
      <w:r w:rsidR="001E5343">
        <w:t xml:space="preserve"> April 2016. That date was six weeks away</w:t>
      </w:r>
      <w:r w:rsidR="00B24F50">
        <w:t xml:space="preserve"> from the date of the T</w:t>
      </w:r>
      <w:r w:rsidR="00775F01">
        <w:t>ribunal</w:t>
      </w:r>
      <w:r w:rsidR="00B24F50">
        <w:t>’s letter</w:t>
      </w:r>
      <w:r w:rsidR="001E5343">
        <w:t>.</w:t>
      </w:r>
    </w:p>
    <w:p w14:paraId="6BFC60E2" w14:textId="57237BAD" w:rsidR="001E5343" w:rsidRDefault="001E5343" w:rsidP="00AB51CB">
      <w:pPr>
        <w:pStyle w:val="ParaNumbering"/>
      </w:pPr>
      <w:r>
        <w:t xml:space="preserve">The </w:t>
      </w:r>
      <w:r w:rsidR="00775F01">
        <w:t>appellant’</w:t>
      </w:r>
      <w:r>
        <w:t>s representative, which the T</w:t>
      </w:r>
      <w:r w:rsidR="00775F01">
        <w:t>ribunal</w:t>
      </w:r>
      <w:r>
        <w:t xml:space="preserve"> can be taken to know ha</w:t>
      </w:r>
      <w:r w:rsidR="00EF7E5C">
        <w:t>d</w:t>
      </w:r>
      <w:r>
        <w:t xml:space="preserve"> been retained under the IA</w:t>
      </w:r>
      <w:r w:rsidR="00742712">
        <w:t>A</w:t>
      </w:r>
      <w:r>
        <w:t xml:space="preserve">AS </w:t>
      </w:r>
      <w:r w:rsidR="00775F01">
        <w:t>S</w:t>
      </w:r>
      <w:r w:rsidR="00B24F50">
        <w:t>cheme, informed</w:t>
      </w:r>
      <w:r>
        <w:t xml:space="preserve"> the T</w:t>
      </w:r>
      <w:r w:rsidR="00775F01">
        <w:t>ribunal</w:t>
      </w:r>
      <w:r>
        <w:t xml:space="preserve"> by email on 18 March 2</w:t>
      </w:r>
      <w:r w:rsidR="00B24F50">
        <w:t>016 that the firm no longer acted</w:t>
      </w:r>
      <w:r>
        <w:t xml:space="preserve"> for the </w:t>
      </w:r>
      <w:r w:rsidR="00775F01">
        <w:t>appellant</w:t>
      </w:r>
      <w:r>
        <w:t xml:space="preserve">, with no explanation as to why. </w:t>
      </w:r>
    </w:p>
    <w:p w14:paraId="57E6323D" w14:textId="276B8274" w:rsidR="001E5343" w:rsidRDefault="001E5343" w:rsidP="00AB51CB">
      <w:pPr>
        <w:pStyle w:val="ParaNumbering"/>
      </w:pPr>
      <w:r>
        <w:t>11 March 2016 was a Friday. Craddock Murray Neumann responded to the T</w:t>
      </w:r>
      <w:r w:rsidR="00775F01">
        <w:t>ribunal</w:t>
      </w:r>
      <w:r>
        <w:t xml:space="preserve"> on 18</w:t>
      </w:r>
      <w:r w:rsidR="00EF7E5C">
        <w:t> </w:t>
      </w:r>
      <w:r>
        <w:t>March</w:t>
      </w:r>
      <w:r w:rsidR="00775F01">
        <w:t xml:space="preserve"> 2016</w:t>
      </w:r>
      <w:r>
        <w:t xml:space="preserve">, also a Friday. It is reasonable to assume, </w:t>
      </w:r>
      <w:r w:rsidR="00B23C09">
        <w:t>and it</w:t>
      </w:r>
      <w:r>
        <w:t xml:space="preserve"> would have been </w:t>
      </w:r>
      <w:r w:rsidR="00B23C09">
        <w:t>reasonable</w:t>
      </w:r>
      <w:r>
        <w:t xml:space="preserve"> for the T</w:t>
      </w:r>
      <w:r w:rsidR="00775F01">
        <w:t>ribunal</w:t>
      </w:r>
      <w:r>
        <w:t xml:space="preserve"> to assume (if it turned its mind to such things)</w:t>
      </w:r>
      <w:r w:rsidR="00B24F50">
        <w:t xml:space="preserve">, that the </w:t>
      </w:r>
      <w:r w:rsidR="00775F01">
        <w:t xml:space="preserve">appellant </w:t>
      </w:r>
      <w:r w:rsidR="00B24F50">
        <w:t>had been told at least by 18 M</w:t>
      </w:r>
      <w:r>
        <w:t xml:space="preserve">arch </w:t>
      </w:r>
      <w:r w:rsidR="00775F01">
        <w:t xml:space="preserve">2016 </w:t>
      </w:r>
      <w:r>
        <w:t xml:space="preserve">that the </w:t>
      </w:r>
      <w:r w:rsidR="00B24F50">
        <w:t>firm</w:t>
      </w:r>
      <w:r>
        <w:t xml:space="preserve"> would inform the T</w:t>
      </w:r>
      <w:r w:rsidR="00775F01">
        <w:t>ribunal</w:t>
      </w:r>
      <w:r>
        <w:t xml:space="preserve"> it no longer represented him. Effectively then, the weekend intervening, the </w:t>
      </w:r>
      <w:r w:rsidR="00775F01">
        <w:t xml:space="preserve">appellant </w:t>
      </w:r>
      <w:r>
        <w:t>had from Monday 21 March 2016 to contact the T</w:t>
      </w:r>
      <w:r w:rsidR="00775F01">
        <w:t>ribunal</w:t>
      </w:r>
      <w:r>
        <w:t xml:space="preserve"> about the forthcoming hearing and his circumstances.</w:t>
      </w:r>
    </w:p>
    <w:p w14:paraId="20187F7F" w14:textId="25EC83AC" w:rsidR="001E5343" w:rsidRDefault="001E5343" w:rsidP="00AB51CB">
      <w:pPr>
        <w:pStyle w:val="ParaNumbering"/>
      </w:pPr>
      <w:r>
        <w:t xml:space="preserve">The </w:t>
      </w:r>
      <w:r w:rsidR="00775F01">
        <w:t xml:space="preserve">appellant’s </w:t>
      </w:r>
      <w:r>
        <w:t>wife telephoned the T</w:t>
      </w:r>
      <w:r w:rsidR="00775F01">
        <w:t>ribunal</w:t>
      </w:r>
      <w:r>
        <w:t xml:space="preserve"> on his behalf on 13 April 2016, two and a half weeks later. There is no </w:t>
      </w:r>
      <w:r w:rsidR="00AC1219">
        <w:t xml:space="preserve">direct </w:t>
      </w:r>
      <w:r w:rsidR="00B23C09">
        <w:t>evidence</w:t>
      </w:r>
      <w:r>
        <w:t xml:space="preserve"> </w:t>
      </w:r>
      <w:r w:rsidR="00367F67">
        <w:t xml:space="preserve">about </w:t>
      </w:r>
      <w:r>
        <w:t xml:space="preserve">what occurred during these two </w:t>
      </w:r>
      <w:r w:rsidR="00AC1219">
        <w:t xml:space="preserve">and a half </w:t>
      </w:r>
      <w:r>
        <w:t xml:space="preserve">weeks, save for what the </w:t>
      </w:r>
      <w:r w:rsidR="00775F01">
        <w:t xml:space="preserve">appellant’s </w:t>
      </w:r>
      <w:r>
        <w:t xml:space="preserve">wife said in the record of her </w:t>
      </w:r>
      <w:r w:rsidR="00775F01">
        <w:t xml:space="preserve">phone </w:t>
      </w:r>
      <w:r w:rsidR="00B23C09">
        <w:t>conversation</w:t>
      </w:r>
      <w:r>
        <w:t xml:space="preserve"> with the T</w:t>
      </w:r>
      <w:r w:rsidR="00775F01">
        <w:t>ribunal</w:t>
      </w:r>
      <w:r>
        <w:t xml:space="preserve"> officer, and </w:t>
      </w:r>
      <w:r w:rsidR="00B24F50">
        <w:t xml:space="preserve">what the </w:t>
      </w:r>
      <w:r w:rsidR="00775F01">
        <w:t xml:space="preserve">appellant </w:t>
      </w:r>
      <w:r w:rsidR="00B24F50">
        <w:t xml:space="preserve">(with his wife’s assistance) said </w:t>
      </w:r>
      <w:r>
        <w:t xml:space="preserve">in the </w:t>
      </w:r>
      <w:r w:rsidR="00B23C09">
        <w:t>subsequent</w:t>
      </w:r>
      <w:r>
        <w:t xml:space="preserve"> email. What is apparent from these two sources is that the </w:t>
      </w:r>
      <w:r w:rsidR="00775F01">
        <w:t xml:space="preserve">appellant </w:t>
      </w:r>
      <w:r>
        <w:t xml:space="preserve">had made efforts first to understand why his current </w:t>
      </w:r>
      <w:r w:rsidR="00B23C09">
        <w:t>representatives</w:t>
      </w:r>
      <w:r>
        <w:t xml:space="preserve"> were declining to </w:t>
      </w:r>
      <w:r w:rsidR="00B23C09">
        <w:t>continue</w:t>
      </w:r>
      <w:r>
        <w:t xml:space="preserve"> to act for him, and then whether </w:t>
      </w:r>
      <w:r>
        <w:lastRenderedPageBreak/>
        <w:t>they would accept payment by instalments</w:t>
      </w:r>
      <w:r w:rsidR="00686C2B">
        <w:t xml:space="preserve"> for their “private” fees. It also </w:t>
      </w:r>
      <w:r w:rsidR="00B63C26">
        <w:t xml:space="preserve">appears </w:t>
      </w:r>
      <w:r w:rsidR="00686C2B">
        <w:t xml:space="preserve">the </w:t>
      </w:r>
      <w:r w:rsidR="00775F01">
        <w:t xml:space="preserve">appellant </w:t>
      </w:r>
      <w:r w:rsidR="00686C2B">
        <w:t xml:space="preserve">(or more </w:t>
      </w:r>
      <w:r w:rsidR="00B23C09">
        <w:t>likely</w:t>
      </w:r>
      <w:r w:rsidR="00686C2B">
        <w:t xml:space="preserve"> his wife) was having difficulty speaking </w:t>
      </w:r>
      <w:r w:rsidR="00B23C09">
        <w:t>to</w:t>
      </w:r>
      <w:r w:rsidR="00686C2B">
        <w:t xml:space="preserve"> </w:t>
      </w:r>
      <w:r w:rsidR="00B23C09">
        <w:t>anyone</w:t>
      </w:r>
      <w:r w:rsidR="00686C2B">
        <w:t xml:space="preserve"> </w:t>
      </w:r>
      <w:r w:rsidR="00775F01">
        <w:t xml:space="preserve">except </w:t>
      </w:r>
      <w:r w:rsidR="00686C2B">
        <w:t xml:space="preserve">a </w:t>
      </w:r>
      <w:r w:rsidR="00B23C09">
        <w:t>receptionist</w:t>
      </w:r>
      <w:r w:rsidR="00686C2B">
        <w:t xml:space="preserve"> </w:t>
      </w:r>
      <w:r w:rsidR="00B63C26">
        <w:t xml:space="preserve">at Craddock Murray Neumann </w:t>
      </w:r>
      <w:r w:rsidR="00686C2B">
        <w:t xml:space="preserve">and I infer there had been several </w:t>
      </w:r>
      <w:r w:rsidR="00B23C09">
        <w:t>attempts</w:t>
      </w:r>
      <w:r w:rsidR="00686C2B">
        <w:t xml:space="preserve"> at communication</w:t>
      </w:r>
      <w:r w:rsidR="00B24F50">
        <w:t xml:space="preserve"> with</w:t>
      </w:r>
      <w:r w:rsidR="00E47172">
        <w:t xml:space="preserve"> </w:t>
      </w:r>
      <w:r w:rsidR="00B63C26">
        <w:t>the firm.</w:t>
      </w:r>
      <w:r w:rsidR="00AC1219">
        <w:t xml:space="preserve"> </w:t>
      </w:r>
    </w:p>
    <w:p w14:paraId="6B5AB09C" w14:textId="1CAFF1E4" w:rsidR="009F5A9B" w:rsidRDefault="009F5A9B" w:rsidP="00AB51CB">
      <w:pPr>
        <w:pStyle w:val="ParaNumbering"/>
      </w:pPr>
      <w:r>
        <w:t>The T</w:t>
      </w:r>
      <w:r w:rsidR="00775F01">
        <w:t>ribunal</w:t>
      </w:r>
      <w:r>
        <w:t xml:space="preserve"> knew, or ought </w:t>
      </w:r>
      <w:r w:rsidR="00B23C09">
        <w:t>to</w:t>
      </w:r>
      <w:r>
        <w:t xml:space="preserve"> have known, this was an applicant who was attentive to the </w:t>
      </w:r>
      <w:r w:rsidR="00B23C09">
        <w:t>conduct</w:t>
      </w:r>
      <w:r>
        <w:t xml:space="preserve"> of </w:t>
      </w:r>
      <w:r w:rsidR="00B23C09">
        <w:t>his</w:t>
      </w:r>
      <w:r>
        <w:t xml:space="preserve"> review, and </w:t>
      </w:r>
      <w:r w:rsidR="00B24F50">
        <w:t xml:space="preserve">had </w:t>
      </w:r>
      <w:r w:rsidR="00B23C09">
        <w:t>demonstrated</w:t>
      </w:r>
      <w:r>
        <w:t xml:space="preserve"> </w:t>
      </w:r>
      <w:r w:rsidR="00B24F50">
        <w:t xml:space="preserve">a </w:t>
      </w:r>
      <w:r>
        <w:t xml:space="preserve">commitment to </w:t>
      </w:r>
      <w:r w:rsidR="00B23C09">
        <w:t>participating in</w:t>
      </w:r>
      <w:r>
        <w:t xml:space="preserve"> the process. The </w:t>
      </w:r>
      <w:r w:rsidR="00B23C09">
        <w:t>evidence</w:t>
      </w:r>
      <w:r>
        <w:t xml:space="preserve"> is that the first </w:t>
      </w:r>
      <w:r w:rsidR="00B23C09">
        <w:t>hearing</w:t>
      </w:r>
      <w:r>
        <w:t xml:space="preserve"> was scheduled to be by video link between </w:t>
      </w:r>
      <w:r w:rsidR="00B23C09">
        <w:t>Melbourne</w:t>
      </w:r>
      <w:r>
        <w:t xml:space="preserve"> (where the T</w:t>
      </w:r>
      <w:r w:rsidR="00775F01">
        <w:t>ribunal</w:t>
      </w:r>
      <w:r>
        <w:t xml:space="preserve"> was) and Tamworth</w:t>
      </w:r>
      <w:r w:rsidR="00B24F50">
        <w:t xml:space="preserve">, New South Wales, </w:t>
      </w:r>
      <w:r>
        <w:t xml:space="preserve">(where the </w:t>
      </w:r>
      <w:r w:rsidR="00775F01">
        <w:t xml:space="preserve">appellant </w:t>
      </w:r>
      <w:r>
        <w:t xml:space="preserve">was). The </w:t>
      </w:r>
      <w:r w:rsidR="00775F01">
        <w:t xml:space="preserve">appellant </w:t>
      </w:r>
      <w:r w:rsidR="00B23C09">
        <w:t>instructed</w:t>
      </w:r>
      <w:r>
        <w:t xml:space="preserve"> </w:t>
      </w:r>
      <w:r w:rsidR="00B23C09">
        <w:t>his</w:t>
      </w:r>
      <w:r>
        <w:t xml:space="preserve"> </w:t>
      </w:r>
      <w:r w:rsidR="00B23C09">
        <w:t>representatives</w:t>
      </w:r>
      <w:r>
        <w:t xml:space="preserve"> to ask for the hearing </w:t>
      </w:r>
      <w:r w:rsidR="00B23C09">
        <w:t>to</w:t>
      </w:r>
      <w:r>
        <w:t xml:space="preserve"> be reorganised</w:t>
      </w:r>
      <w:r w:rsidR="00B24F50">
        <w:t>,</w:t>
      </w:r>
      <w:r>
        <w:t xml:space="preserve"> so that he could come to </w:t>
      </w:r>
      <w:r w:rsidR="00B23C09">
        <w:t>Melbourne</w:t>
      </w:r>
      <w:r>
        <w:t xml:space="preserve"> and atten</w:t>
      </w:r>
      <w:r w:rsidR="00B24F50">
        <w:t>d in person. This is a review applicant</w:t>
      </w:r>
      <w:r>
        <w:t xml:space="preserve"> who wanted </w:t>
      </w:r>
      <w:r w:rsidR="00B23C09">
        <w:t>to</w:t>
      </w:r>
      <w:r>
        <w:t xml:space="preserve"> </w:t>
      </w:r>
      <w:r w:rsidR="00B23C09">
        <w:t>make</w:t>
      </w:r>
      <w:r>
        <w:t xml:space="preserve"> the very most of the </w:t>
      </w:r>
      <w:r w:rsidR="00B23C09">
        <w:t>opportunity</w:t>
      </w:r>
      <w:r>
        <w:t xml:space="preserve"> he was </w:t>
      </w:r>
      <w:r w:rsidR="00B23C09">
        <w:t>given</w:t>
      </w:r>
      <w:r>
        <w:t xml:space="preserve">. The evidence is that the </w:t>
      </w:r>
      <w:r w:rsidR="00775F01">
        <w:t xml:space="preserve">appellant’s </w:t>
      </w:r>
      <w:r w:rsidR="00B23C09">
        <w:t>representatives</w:t>
      </w:r>
      <w:r>
        <w:t xml:space="preserve"> only attended the first </w:t>
      </w:r>
      <w:r w:rsidR="00367F67">
        <w:t>hearing</w:t>
      </w:r>
      <w:r>
        <w:t xml:space="preserve"> by telephone. The date of the </w:t>
      </w:r>
      <w:r w:rsidR="00B23C09">
        <w:t>hearing</w:t>
      </w:r>
      <w:r>
        <w:t xml:space="preserve"> did not change</w:t>
      </w:r>
      <w:r w:rsidR="00B24F50">
        <w:t>, but the first T</w:t>
      </w:r>
      <w:r w:rsidR="00775F01">
        <w:t>ribunal</w:t>
      </w:r>
      <w:r w:rsidR="00B24F50">
        <w:t xml:space="preserve"> arranged for the </w:t>
      </w:r>
      <w:r w:rsidR="00775F01">
        <w:t xml:space="preserve">appellant </w:t>
      </w:r>
      <w:r w:rsidR="00B24F50">
        <w:t>to attend in person in Melbourne</w:t>
      </w:r>
      <w:r>
        <w:t>.</w:t>
      </w:r>
    </w:p>
    <w:p w14:paraId="523DE358" w14:textId="116EFAFD" w:rsidR="00590116" w:rsidRDefault="009F5A9B" w:rsidP="00AB51CB">
      <w:pPr>
        <w:pStyle w:val="ParaNumbering"/>
      </w:pPr>
      <w:r>
        <w:t>In the written adjournment request, the</w:t>
      </w:r>
      <w:r w:rsidR="00686C2B">
        <w:t xml:space="preserve"> </w:t>
      </w:r>
      <w:r w:rsidR="00775F01">
        <w:t xml:space="preserve">appellant </w:t>
      </w:r>
      <w:r w:rsidR="00AC1219">
        <w:t>gave</w:t>
      </w:r>
      <w:r w:rsidR="00686C2B">
        <w:t xml:space="preserve"> the T</w:t>
      </w:r>
      <w:r w:rsidR="00775F01">
        <w:t>ribunal</w:t>
      </w:r>
      <w:r w:rsidR="00686C2B">
        <w:t xml:space="preserve"> his </w:t>
      </w:r>
      <w:r w:rsidR="00B23C09">
        <w:t>telephone</w:t>
      </w:r>
      <w:r w:rsidR="00686C2B">
        <w:t xml:space="preserve"> number in the email and </w:t>
      </w:r>
      <w:r w:rsidR="00AC1219">
        <w:t>invited</w:t>
      </w:r>
      <w:r w:rsidR="00686C2B">
        <w:t xml:space="preserve"> the T</w:t>
      </w:r>
      <w:r w:rsidR="00775F01">
        <w:t>ribunal</w:t>
      </w:r>
      <w:r w:rsidR="00686C2B">
        <w:t xml:space="preserve"> to call him. It did not do so. That is, however, </w:t>
      </w:r>
      <w:r w:rsidR="00367F67">
        <w:t>the</w:t>
      </w:r>
      <w:r w:rsidR="00686C2B">
        <w:t xml:space="preserve"> point at which the T</w:t>
      </w:r>
      <w:r w:rsidR="00775F01">
        <w:t>ribunal</w:t>
      </w:r>
      <w:r w:rsidR="00686C2B">
        <w:t xml:space="preserve"> could have asked the </w:t>
      </w:r>
      <w:r w:rsidR="00775F01">
        <w:t>appellant</w:t>
      </w:r>
      <w:r w:rsidR="00367F67">
        <w:t>, firstly,</w:t>
      </w:r>
      <w:r w:rsidR="00686C2B">
        <w:t xml:space="preserve"> how long he needed the </w:t>
      </w:r>
      <w:r w:rsidR="00AC1219">
        <w:t xml:space="preserve">hearing </w:t>
      </w:r>
      <w:r w:rsidR="00367F67">
        <w:t xml:space="preserve">postponed for and, secondly, </w:t>
      </w:r>
      <w:r w:rsidR="00686C2B">
        <w:t xml:space="preserve">what steps he was taking to secure a lawyer. That </w:t>
      </w:r>
      <w:r w:rsidR="00B23C09">
        <w:t>information</w:t>
      </w:r>
      <w:r w:rsidR="00686C2B">
        <w:t xml:space="preserve"> was clearly the kind of </w:t>
      </w:r>
      <w:r w:rsidR="00B23C09">
        <w:t>information</w:t>
      </w:r>
      <w:r w:rsidR="00686C2B">
        <w:t xml:space="preserve"> the T</w:t>
      </w:r>
      <w:r w:rsidR="00775F01">
        <w:t>ribunal</w:t>
      </w:r>
      <w:r w:rsidR="00686C2B">
        <w:t xml:space="preserve"> wished </w:t>
      </w:r>
      <w:r w:rsidR="00B23C09">
        <w:t>to</w:t>
      </w:r>
      <w:r w:rsidR="00686C2B">
        <w:t xml:space="preserve"> have, as it </w:t>
      </w:r>
      <w:r w:rsidR="00B23C09">
        <w:t>relied on</w:t>
      </w:r>
      <w:r w:rsidR="00686C2B">
        <w:t xml:space="preserve"> its absence as part of the reason for refusing the adjournment. The method for acquiring that </w:t>
      </w:r>
      <w:r w:rsidR="00B23C09">
        <w:t>information</w:t>
      </w:r>
      <w:r w:rsidR="00686C2B">
        <w:t xml:space="preserve"> lay in the </w:t>
      </w:r>
      <w:r w:rsidR="00B23C09">
        <w:t>hands of</w:t>
      </w:r>
      <w:r w:rsidR="00686C2B">
        <w:t xml:space="preserve"> the T</w:t>
      </w:r>
      <w:r w:rsidR="00775F01">
        <w:t>ribunal</w:t>
      </w:r>
      <w:r w:rsidR="00686C2B">
        <w:t xml:space="preserve"> and the </w:t>
      </w:r>
      <w:r w:rsidR="00775F01">
        <w:t xml:space="preserve">appellant </w:t>
      </w:r>
      <w:r w:rsidR="00686C2B">
        <w:t xml:space="preserve">had offered to speak to </w:t>
      </w:r>
      <w:r w:rsidR="00E47172">
        <w:t xml:space="preserve">the Tribunal </w:t>
      </w:r>
      <w:r w:rsidR="00686C2B">
        <w:t>about whatever the T</w:t>
      </w:r>
      <w:r w:rsidR="00775F01">
        <w:t>ribunal</w:t>
      </w:r>
      <w:r w:rsidR="00686C2B">
        <w:t xml:space="preserve"> wished. There is no more that the </w:t>
      </w:r>
      <w:r w:rsidR="00775F01">
        <w:t xml:space="preserve">appellant </w:t>
      </w:r>
      <w:r w:rsidR="00686C2B">
        <w:t xml:space="preserve">could have </w:t>
      </w:r>
      <w:r w:rsidR="00B24F50">
        <w:t xml:space="preserve">reasonably </w:t>
      </w:r>
      <w:r w:rsidR="00686C2B">
        <w:t>done</w:t>
      </w:r>
      <w:r w:rsidR="00B24F50">
        <w:t>, given his circumstances</w:t>
      </w:r>
      <w:r w:rsidR="00686C2B">
        <w:t xml:space="preserve">. Having been </w:t>
      </w:r>
      <w:r w:rsidR="00B23C09">
        <w:t>represented</w:t>
      </w:r>
      <w:r w:rsidR="00686C2B">
        <w:t xml:space="preserve"> </w:t>
      </w:r>
      <w:r w:rsidR="00B23C09">
        <w:t>to</w:t>
      </w:r>
      <w:r w:rsidR="00686C2B">
        <w:t xml:space="preserve"> </w:t>
      </w:r>
      <w:r w:rsidR="00AC1219">
        <w:t>this</w:t>
      </w:r>
      <w:r w:rsidR="00686C2B">
        <w:t xml:space="preserve"> point, and having </w:t>
      </w:r>
      <w:r w:rsidR="00515370">
        <w:t xml:space="preserve">had </w:t>
      </w:r>
      <w:r w:rsidR="00686C2B">
        <w:t xml:space="preserve">a </w:t>
      </w:r>
      <w:r w:rsidR="00B23C09">
        <w:t>professional</w:t>
      </w:r>
      <w:r w:rsidR="00686C2B">
        <w:t xml:space="preserve"> person </w:t>
      </w:r>
      <w:r w:rsidR="00515370">
        <w:t xml:space="preserve">with </w:t>
      </w:r>
      <w:r w:rsidR="00686C2B">
        <w:t xml:space="preserve">carriage of his review, it is hardly reasonable to expect the </w:t>
      </w:r>
      <w:r w:rsidR="00775F01">
        <w:t xml:space="preserve">appellant </w:t>
      </w:r>
      <w:r w:rsidR="00686C2B">
        <w:t>to divine</w:t>
      </w:r>
      <w:r w:rsidR="00515370">
        <w:t xml:space="preserve"> for himself</w:t>
      </w:r>
      <w:r w:rsidR="00686C2B">
        <w:t xml:space="preserve"> the nature and level of </w:t>
      </w:r>
      <w:r w:rsidR="00B23C09">
        <w:t>information</w:t>
      </w:r>
      <w:r w:rsidR="00686C2B">
        <w:t xml:space="preserve"> he should be supplying to the T</w:t>
      </w:r>
      <w:r w:rsidR="00775F01">
        <w:t>ribunal</w:t>
      </w:r>
      <w:r w:rsidR="00686C2B">
        <w:t xml:space="preserve"> with his </w:t>
      </w:r>
      <w:r w:rsidR="00B24F50">
        <w:t xml:space="preserve">adjournment </w:t>
      </w:r>
      <w:r w:rsidR="00686C2B">
        <w:t>request. The T</w:t>
      </w:r>
      <w:r w:rsidR="00775F01">
        <w:t>ribunal</w:t>
      </w:r>
      <w:r w:rsidR="00686C2B">
        <w:t xml:space="preserve"> officer did not inf</w:t>
      </w:r>
      <w:r w:rsidR="00B24F50">
        <w:t>orm him about those matters. No</w:t>
      </w:r>
      <w:r w:rsidR="00686C2B">
        <w:t>-one at the T</w:t>
      </w:r>
      <w:r w:rsidR="00775F01">
        <w:t>ribunal</w:t>
      </w:r>
      <w:r w:rsidR="00686C2B">
        <w:t xml:space="preserve">, on behalf of the member, took up the </w:t>
      </w:r>
      <w:r w:rsidR="00775F01">
        <w:t xml:space="preserve">appellant’s </w:t>
      </w:r>
      <w:r w:rsidR="00B23C09">
        <w:t>invitation</w:t>
      </w:r>
      <w:r w:rsidR="00686C2B">
        <w:t xml:space="preserve"> to call him and give him some </w:t>
      </w:r>
      <w:r w:rsidR="00B23C09">
        <w:t>information</w:t>
      </w:r>
      <w:r w:rsidR="00686C2B">
        <w:t xml:space="preserve"> about what </w:t>
      </w:r>
      <w:r w:rsidR="00B23C09">
        <w:t>additional</w:t>
      </w:r>
      <w:r w:rsidR="00686C2B">
        <w:t xml:space="preserve"> details it would be helpful for him to provide. </w:t>
      </w:r>
      <w:r w:rsidR="00B23C09">
        <w:t>These</w:t>
      </w:r>
      <w:r w:rsidR="00686C2B">
        <w:t xml:space="preserve"> are </w:t>
      </w:r>
      <w:r w:rsidR="00AC1219">
        <w:t>straightforward</w:t>
      </w:r>
      <w:r w:rsidR="00686C2B">
        <w:t xml:space="preserve"> matters, of sensible and fair </w:t>
      </w:r>
      <w:r w:rsidR="00B23C09">
        <w:t>administration</w:t>
      </w:r>
      <w:r w:rsidR="00686C2B">
        <w:t>, in a situation such as this. The T</w:t>
      </w:r>
      <w:r w:rsidR="00775F01">
        <w:t>ribunal</w:t>
      </w:r>
      <w:r w:rsidR="00686C2B">
        <w:t xml:space="preserve"> was </w:t>
      </w:r>
      <w:r w:rsidR="00B23C09">
        <w:t>dealing</w:t>
      </w:r>
      <w:r w:rsidR="00686C2B">
        <w:t xml:space="preserve"> with a person who had </w:t>
      </w:r>
      <w:r w:rsidR="00B23C09">
        <w:t>unexpectedly</w:t>
      </w:r>
      <w:r w:rsidR="00686C2B">
        <w:t xml:space="preserve"> and newly become self-</w:t>
      </w:r>
      <w:r w:rsidR="00B23C09">
        <w:t>represented</w:t>
      </w:r>
      <w:r w:rsidR="00B24F50">
        <w:t>, and not by choice.</w:t>
      </w:r>
    </w:p>
    <w:p w14:paraId="374E73DD" w14:textId="67261794" w:rsidR="00AC1219" w:rsidRDefault="00AC1219" w:rsidP="00AC1219">
      <w:pPr>
        <w:pStyle w:val="ParaNumbering"/>
      </w:pPr>
      <w:r>
        <w:t>On 13 April</w:t>
      </w:r>
      <w:r w:rsidR="00415071">
        <w:t xml:space="preserve"> 2016</w:t>
      </w:r>
      <w:r>
        <w:t>, the T</w:t>
      </w:r>
      <w:r w:rsidR="00775F01">
        <w:t>ribunal</w:t>
      </w:r>
      <w:r>
        <w:t xml:space="preserve"> officer told the </w:t>
      </w:r>
      <w:r w:rsidR="00775F01">
        <w:t xml:space="preserve">appellant’s </w:t>
      </w:r>
      <w:r>
        <w:t xml:space="preserve">wife that the </w:t>
      </w:r>
      <w:r w:rsidR="00775F01">
        <w:t xml:space="preserve">appellant </w:t>
      </w:r>
      <w:r>
        <w:t xml:space="preserve">needed to put his request in writing. The </w:t>
      </w:r>
      <w:r w:rsidR="00775F01">
        <w:t xml:space="preserve">appellant </w:t>
      </w:r>
      <w:r w:rsidR="00B23C09">
        <w:t>(I</w:t>
      </w:r>
      <w:r>
        <w:t xml:space="preserve"> infer with the help of his wife) did so promptly</w:t>
      </w:r>
      <w:r w:rsidR="00415071">
        <w:t xml:space="preserve">, </w:t>
      </w:r>
      <w:r w:rsidR="00E47172">
        <w:t>o</w:t>
      </w:r>
      <w:r>
        <w:t xml:space="preserve">n the </w:t>
      </w:r>
      <w:r>
        <w:lastRenderedPageBreak/>
        <w:t xml:space="preserve">same day, less than </w:t>
      </w:r>
      <w:r w:rsidR="00085444">
        <w:t xml:space="preserve">two </w:t>
      </w:r>
      <w:r>
        <w:t>hours later. The written request was therefore sent a week and a half before the scheduled hearing date.</w:t>
      </w:r>
    </w:p>
    <w:p w14:paraId="2535DCB3" w14:textId="7246C18C" w:rsidR="00AC1219" w:rsidRDefault="00AC1219" w:rsidP="00AC1219">
      <w:pPr>
        <w:pStyle w:val="ParaNumbering"/>
      </w:pPr>
      <w:r>
        <w:t xml:space="preserve">Although the request did not specify a timeframe for any rescheduling, it did clearly state that the </w:t>
      </w:r>
      <w:r w:rsidR="00085444">
        <w:t xml:space="preserve">appellant </w:t>
      </w:r>
      <w:r>
        <w:t xml:space="preserve">needed more time to “prepare money for my case to pay the lawyers”. It is </w:t>
      </w:r>
      <w:r w:rsidR="00B23C09">
        <w:t>implicit</w:t>
      </w:r>
      <w:r>
        <w:t xml:space="preserve"> in that </w:t>
      </w:r>
      <w:r w:rsidR="00B23C09">
        <w:t>statement</w:t>
      </w:r>
      <w:r>
        <w:t xml:space="preserve"> that the </w:t>
      </w:r>
      <w:r w:rsidR="00085444">
        <w:t xml:space="preserve">appellant </w:t>
      </w:r>
      <w:r>
        <w:t xml:space="preserve">had access to money to pay for a </w:t>
      </w:r>
      <w:r w:rsidR="00B23C09">
        <w:t>lawyer</w:t>
      </w:r>
      <w:r>
        <w:t>, if giv</w:t>
      </w:r>
      <w:r w:rsidR="00E246C6">
        <w:t>en time. This was not a statement, common in this Court as well as in the T</w:t>
      </w:r>
      <w:r w:rsidR="00085444">
        <w:t>ribunal</w:t>
      </w:r>
      <w:r w:rsidR="00E246C6">
        <w:t xml:space="preserve">, that an applicant had no money to pay for a lawyer. </w:t>
      </w:r>
      <w:r w:rsidR="00B23C09">
        <w:t>And</w:t>
      </w:r>
      <w:r w:rsidR="00E246C6">
        <w:t xml:space="preserve"> indeed, as the T</w:t>
      </w:r>
      <w:r w:rsidR="00085444">
        <w:t>ribunal</w:t>
      </w:r>
      <w:r w:rsidR="00E246C6">
        <w:t xml:space="preserve"> discovered at the second hearing (and would have discovered earlier if it had asked)</w:t>
      </w:r>
      <w:r w:rsidR="00B24F50">
        <w:t>,</w:t>
      </w:r>
      <w:r w:rsidR="00E246C6">
        <w:t xml:space="preserve"> the </w:t>
      </w:r>
      <w:r w:rsidR="00085444">
        <w:t xml:space="preserve">appellant </w:t>
      </w:r>
      <w:r w:rsidR="00E246C6">
        <w:t xml:space="preserve">was in employment. A reference was provided </w:t>
      </w:r>
      <w:r w:rsidR="00B23C09">
        <w:t>to</w:t>
      </w:r>
      <w:r w:rsidR="00E246C6">
        <w:t xml:space="preserve"> the T</w:t>
      </w:r>
      <w:r w:rsidR="00085444">
        <w:t>ribunal</w:t>
      </w:r>
      <w:r w:rsidR="00E246C6">
        <w:t xml:space="preserve"> by his employer. The reference stated:</w:t>
      </w:r>
    </w:p>
    <w:p w14:paraId="60136C83" w14:textId="676563E0" w:rsidR="00085444" w:rsidRDefault="00085444" w:rsidP="00085444">
      <w:pPr>
        <w:pStyle w:val="Quote1"/>
      </w:pPr>
      <w:r>
        <w:t>To whom it may concern</w:t>
      </w:r>
    </w:p>
    <w:p w14:paraId="6557D849" w14:textId="5885406A" w:rsidR="00085444" w:rsidRDefault="00415071" w:rsidP="00085444">
      <w:pPr>
        <w:pStyle w:val="Quote1"/>
      </w:pPr>
      <w:r>
        <w:t>It i</w:t>
      </w:r>
      <w:r w:rsidR="00085444">
        <w:t>s my utmost pleasure to provide a Character Reference for [redacted], known to us as ‘[redacted]’. [Redacted] has worked as a Machine Operator in one of the factories that I manage since August 2015. In that time [redacted]’s fantastic work ethic, attention to detail and ability to pick up new tasks has seen him become one of my most valued operators.</w:t>
      </w:r>
    </w:p>
    <w:p w14:paraId="2B64D97B" w14:textId="62EDC6DE" w:rsidR="00085444" w:rsidRDefault="00085444" w:rsidP="00085444">
      <w:pPr>
        <w:pStyle w:val="Quote1"/>
      </w:pPr>
      <w:r>
        <w:t>Moreover, [redacted] has consistently demonstrated integrity in all aspects of his work, honesty and openness when discussing his training and operations, and a willingness to communicate and learn that is highly desirable. [Redacted] is the first to participate in toolbox meetings, looking to implement continuous improvement opportunities. His enthusiastic personality is highly valuable to the working culture at [redacted]. Permanent residency would allow him to participate in the Government training initiatives that we are currently running.</w:t>
      </w:r>
    </w:p>
    <w:p w14:paraId="18E8EBD9" w14:textId="1A13F5B7" w:rsidR="00085444" w:rsidRDefault="00085444" w:rsidP="00085444">
      <w:pPr>
        <w:pStyle w:val="Quote1"/>
      </w:pPr>
      <w:r>
        <w:t>I am fully confident that [redacted]’s personal attributes will allow him to find success in his life in Australia. I am pleased to recommend him for Permanent Residency in Australia, and wish him the best in his application.</w:t>
      </w:r>
    </w:p>
    <w:p w14:paraId="7CCD0117" w14:textId="36AC1DB7" w:rsidR="00085444" w:rsidRDefault="00085444" w:rsidP="00085444">
      <w:pPr>
        <w:pStyle w:val="Quote1"/>
      </w:pPr>
      <w:r>
        <w:t xml:space="preserve">I may be contacted on </w:t>
      </w:r>
      <w:r w:rsidR="005B7CC3">
        <w:t>[redacted]</w:t>
      </w:r>
      <w:r w:rsidR="005B7CC3" w:rsidRPr="00085444">
        <w:t xml:space="preserve"> </w:t>
      </w:r>
      <w:r w:rsidRPr="00085444">
        <w:t xml:space="preserve">or </w:t>
      </w:r>
      <w:r w:rsidR="005B7CC3">
        <w:t>[redacted]</w:t>
      </w:r>
      <w:hyperlink r:id="rId11" w:history="1"/>
      <w:r w:rsidR="005B7CC3">
        <w:t xml:space="preserve"> </w:t>
      </w:r>
      <w:r>
        <w:t>for further comment or questioning.</w:t>
      </w:r>
    </w:p>
    <w:p w14:paraId="1E522AC3" w14:textId="563C2378" w:rsidR="00E246C6" w:rsidRDefault="00E246C6" w:rsidP="00AC1219">
      <w:pPr>
        <w:pStyle w:val="ParaNumbering"/>
      </w:pPr>
      <w:r>
        <w:t>The T</w:t>
      </w:r>
      <w:r w:rsidR="00085444">
        <w:t>ribunal</w:t>
      </w:r>
      <w:r>
        <w:t xml:space="preserve"> did not contact </w:t>
      </w:r>
      <w:r w:rsidR="005B7CC3">
        <w:t>the appellant’s employer</w:t>
      </w:r>
      <w:r>
        <w:t xml:space="preserve">, whose opinion of the </w:t>
      </w:r>
      <w:r w:rsidR="00085444">
        <w:t xml:space="preserve">appellant </w:t>
      </w:r>
      <w:r>
        <w:t xml:space="preserve">was in stark contrast to </w:t>
      </w:r>
      <w:r w:rsidR="00B23C09">
        <w:t>the</w:t>
      </w:r>
      <w:r>
        <w:t xml:space="preserve"> </w:t>
      </w:r>
      <w:r w:rsidR="00B23C09">
        <w:t>conclusions</w:t>
      </w:r>
      <w:r>
        <w:t xml:space="preserve"> reached by the T</w:t>
      </w:r>
      <w:r w:rsidR="00085444">
        <w:t>ribunal</w:t>
      </w:r>
      <w:r>
        <w:t xml:space="preserve">, on the basis of the </w:t>
      </w:r>
      <w:r w:rsidR="005B7CC3">
        <w:t>“</w:t>
      </w:r>
      <w:r w:rsidR="00B23C09">
        <w:t>discrepancies</w:t>
      </w:r>
      <w:r>
        <w:t xml:space="preserve">” it </w:t>
      </w:r>
      <w:r w:rsidR="00B23C09">
        <w:t>identified</w:t>
      </w:r>
      <w:r>
        <w:t xml:space="preserve">. </w:t>
      </w:r>
      <w:r w:rsidR="00B23C09">
        <w:t>However</w:t>
      </w:r>
      <w:r>
        <w:t xml:space="preserve">, </w:t>
      </w:r>
      <w:r w:rsidR="005B7CC3">
        <w:t>the employer</w:t>
      </w:r>
      <w:r>
        <w:t xml:space="preserve">’s letter made it clear the </w:t>
      </w:r>
      <w:r w:rsidR="00085444">
        <w:t xml:space="preserve">appellant </w:t>
      </w:r>
      <w:r>
        <w:t>had been in steady employment with him for som</w:t>
      </w:r>
      <w:r w:rsidR="00B24F50">
        <w:t xml:space="preserve">e time. Hence, when the </w:t>
      </w:r>
      <w:r w:rsidR="00085444">
        <w:t xml:space="preserve">appellant </w:t>
      </w:r>
      <w:r w:rsidR="00B24F50">
        <w:t>state</w:t>
      </w:r>
      <w:r>
        <w:t>d</w:t>
      </w:r>
      <w:r w:rsidR="00B24F50">
        <w:t xml:space="preserve"> </w:t>
      </w:r>
      <w:r>
        <w:t>in his written request to the T</w:t>
      </w:r>
      <w:r w:rsidR="00085444">
        <w:t>ribunal</w:t>
      </w:r>
      <w:r>
        <w:t xml:space="preserve"> that he needed time to “prepare money for my case to pay the lawyers” he had a substantive basis for making that statement. Again, it is likely that a simple </w:t>
      </w:r>
      <w:r w:rsidR="00B23C09">
        <w:t>phone</w:t>
      </w:r>
      <w:r>
        <w:t xml:space="preserve"> call </w:t>
      </w:r>
      <w:r w:rsidR="00B23C09">
        <w:t>from</w:t>
      </w:r>
      <w:r>
        <w:t xml:space="preserve"> the T</w:t>
      </w:r>
      <w:r w:rsidR="00085444">
        <w:t>ribunal</w:t>
      </w:r>
      <w:r>
        <w:t xml:space="preserve"> to the </w:t>
      </w:r>
      <w:r w:rsidR="00085444">
        <w:t xml:space="preserve">appellant </w:t>
      </w:r>
      <w:r>
        <w:t xml:space="preserve">would have elicited this </w:t>
      </w:r>
      <w:r w:rsidR="00B23C09">
        <w:t>information</w:t>
      </w:r>
      <w:r>
        <w:t xml:space="preserve">. </w:t>
      </w:r>
    </w:p>
    <w:p w14:paraId="79B655BD" w14:textId="00AD3968" w:rsidR="00AC1219" w:rsidRDefault="00AC1219" w:rsidP="00AC1219">
      <w:pPr>
        <w:pStyle w:val="ParaNumbering"/>
      </w:pPr>
      <w:r>
        <w:t>The T</w:t>
      </w:r>
      <w:r w:rsidR="00085444">
        <w:t>ribunal</w:t>
      </w:r>
      <w:r>
        <w:t xml:space="preserve"> declined the </w:t>
      </w:r>
      <w:r w:rsidR="00E246C6">
        <w:t xml:space="preserve">adjournment </w:t>
      </w:r>
      <w:r>
        <w:t xml:space="preserve">request the next day.  </w:t>
      </w:r>
    </w:p>
    <w:p w14:paraId="2EDF97B7" w14:textId="6BAC031A" w:rsidR="00B63972" w:rsidRDefault="00E246C6" w:rsidP="00AC1219">
      <w:pPr>
        <w:pStyle w:val="ParaNumbering"/>
      </w:pPr>
      <w:r>
        <w:t>Fin</w:t>
      </w:r>
      <w:r w:rsidR="009F5A9B">
        <w:t xml:space="preserve">ally, as I noted at the hearing of the </w:t>
      </w:r>
      <w:r w:rsidR="00B23C09">
        <w:t>appeal,</w:t>
      </w:r>
      <w:r w:rsidR="009F5A9B">
        <w:t xml:space="preserve"> in the particular circumstances of this T</w:t>
      </w:r>
      <w:r w:rsidR="00085444">
        <w:t>ribunal</w:t>
      </w:r>
      <w:r w:rsidR="009F5A9B">
        <w:t xml:space="preserve"> review, </w:t>
      </w:r>
      <w:r>
        <w:t>it was astonishing for the T</w:t>
      </w:r>
      <w:r w:rsidR="00085444">
        <w:t>ribunal</w:t>
      </w:r>
      <w:r>
        <w:t xml:space="preserve"> to justify the refusal of an adjournment application </w:t>
      </w:r>
      <w:r>
        <w:lastRenderedPageBreak/>
        <w:t>by saying the “Tribunal will not be delaying the matter any further”. There had been an extraordinary amount of delay at the hands of the T</w:t>
      </w:r>
      <w:r w:rsidR="00085444">
        <w:t>ribunal</w:t>
      </w:r>
      <w:r>
        <w:t xml:space="preserve"> in the </w:t>
      </w:r>
      <w:r w:rsidR="00085444">
        <w:t xml:space="preserve">appellant’s </w:t>
      </w:r>
      <w:r>
        <w:t>review. The review</w:t>
      </w:r>
      <w:r w:rsidR="00B649E4">
        <w:t xml:space="preserve"> application</w:t>
      </w:r>
      <w:r>
        <w:t xml:space="preserve"> was lodged on 10 January 2014. The T</w:t>
      </w:r>
      <w:r w:rsidR="00085444">
        <w:t>ribunal</w:t>
      </w:r>
      <w:r>
        <w:t xml:space="preserve"> did nothing about the </w:t>
      </w:r>
      <w:r w:rsidR="00085444">
        <w:t xml:space="preserve">appellant’s </w:t>
      </w:r>
      <w:r>
        <w:t>review for more than a year. It did not issue the first hearing invitation until</w:t>
      </w:r>
      <w:r w:rsidR="009F5A9B">
        <w:t xml:space="preserve"> 25 February 2015.</w:t>
      </w:r>
      <w:r>
        <w:t xml:space="preserve"> </w:t>
      </w:r>
      <w:r w:rsidR="009F5A9B">
        <w:t>The hearing was not scheduled until May</w:t>
      </w:r>
      <w:r w:rsidR="00B649E4">
        <w:t xml:space="preserve"> 2015</w:t>
      </w:r>
      <w:r w:rsidR="009F5A9B">
        <w:t xml:space="preserve">, some three months later. </w:t>
      </w:r>
      <w:r w:rsidR="00B23C09">
        <w:t>The T</w:t>
      </w:r>
      <w:r w:rsidR="00085444">
        <w:t>ribunal</w:t>
      </w:r>
      <w:r w:rsidR="005B7CC3">
        <w:t>’s</w:t>
      </w:r>
      <w:r w:rsidR="00B23C09">
        <w:t xml:space="preserve"> reconstitution, which was in evidence </w:t>
      </w:r>
      <w:r w:rsidR="00B649E4">
        <w:t>(</w:t>
      </w:r>
      <w:r w:rsidR="00B23C09">
        <w:t>h</w:t>
      </w:r>
      <w:r w:rsidR="00B649E4">
        <w:t xml:space="preserve">aving been obtained through </w:t>
      </w:r>
      <w:r w:rsidR="00085444">
        <w:t>freedom of information</w:t>
      </w:r>
      <w:r w:rsidR="00B649E4">
        <w:t>),</w:t>
      </w:r>
      <w:r w:rsidR="00B23C09">
        <w:t xml:space="preserve"> occurred in November 2015. </w:t>
      </w:r>
      <w:r w:rsidR="00B63972">
        <w:t xml:space="preserve">The </w:t>
      </w:r>
      <w:r w:rsidR="00B23C09">
        <w:t>reconstitution</w:t>
      </w:r>
      <w:r w:rsidR="00B63972">
        <w:t xml:space="preserve"> notice shows the “file location” of the </w:t>
      </w:r>
      <w:r w:rsidR="00085444">
        <w:t xml:space="preserve">appellant’s </w:t>
      </w:r>
      <w:r w:rsidR="00B63972">
        <w:t>review as still with the first T</w:t>
      </w:r>
      <w:r w:rsidR="00085444">
        <w:t>ribunal</w:t>
      </w:r>
      <w:r w:rsidR="00B63972">
        <w:t xml:space="preserve"> </w:t>
      </w:r>
      <w:r w:rsidR="00B23C09">
        <w:t>member</w:t>
      </w:r>
      <w:r w:rsidR="00B63972">
        <w:t xml:space="preserve">. In other </w:t>
      </w:r>
      <w:r w:rsidR="00B23C09">
        <w:t>words</w:t>
      </w:r>
      <w:r w:rsidR="00B63972">
        <w:t>, the first T</w:t>
      </w:r>
      <w:r w:rsidR="00085444">
        <w:t>ribunal</w:t>
      </w:r>
      <w:r w:rsidR="00B63972">
        <w:t xml:space="preserve"> </w:t>
      </w:r>
      <w:r w:rsidR="00B23C09">
        <w:t>member</w:t>
      </w:r>
      <w:r w:rsidR="00B63972">
        <w:t xml:space="preserve"> had had </w:t>
      </w:r>
      <w:r w:rsidR="00085444">
        <w:t xml:space="preserve">six </w:t>
      </w:r>
      <w:r w:rsidR="00B63972">
        <w:t xml:space="preserve">months </w:t>
      </w:r>
      <w:r w:rsidR="00B649E4">
        <w:t xml:space="preserve">after the hearing </w:t>
      </w:r>
      <w:r w:rsidR="00B63972">
        <w:t xml:space="preserve">to finalise a review she had told the </w:t>
      </w:r>
      <w:r w:rsidR="00085444">
        <w:t xml:space="preserve">appellant </w:t>
      </w:r>
      <w:r w:rsidR="00B63972">
        <w:t>at the first hearing would take her a “few weeks”. There was</w:t>
      </w:r>
      <w:r w:rsidR="00B649E4">
        <w:t xml:space="preserve"> more</w:t>
      </w:r>
      <w:r w:rsidR="00B63972">
        <w:t xml:space="preserve"> “</w:t>
      </w:r>
      <w:r w:rsidR="00B23C09">
        <w:t>delay</w:t>
      </w:r>
      <w:r w:rsidR="00B63972">
        <w:t xml:space="preserve">” at this point as well, but it was not of the </w:t>
      </w:r>
      <w:r w:rsidR="00085444">
        <w:t xml:space="preserve">appellant’s </w:t>
      </w:r>
      <w:r w:rsidR="00B63972">
        <w:t xml:space="preserve">making. </w:t>
      </w:r>
    </w:p>
    <w:p w14:paraId="01AAA0E3" w14:textId="70684F6C" w:rsidR="00B649E4" w:rsidRDefault="00B649E4" w:rsidP="00AC1219">
      <w:pPr>
        <w:pStyle w:val="ParaNumbering"/>
      </w:pPr>
      <w:r>
        <w:t>The reconstitution itself caused considerable delay. The reasons for the reconstitution have never been explained by the Minister.</w:t>
      </w:r>
    </w:p>
    <w:p w14:paraId="508713E7" w14:textId="025DFC38" w:rsidR="00E246C6" w:rsidRDefault="00A14934" w:rsidP="00AC1219">
      <w:pPr>
        <w:pStyle w:val="ParaNumbering"/>
      </w:pPr>
      <w:r>
        <w:t>The T</w:t>
      </w:r>
      <w:r w:rsidR="00085444">
        <w:t>ribunal</w:t>
      </w:r>
      <w:r>
        <w:t xml:space="preserve"> then again failed to communicate at all with the </w:t>
      </w:r>
      <w:r w:rsidR="00085444">
        <w:t xml:space="preserve">appellant </w:t>
      </w:r>
      <w:r>
        <w:t xml:space="preserve">(or his representative) until the 11 March 2016 second hearing invitation, some </w:t>
      </w:r>
      <w:r w:rsidR="005B7CC3">
        <w:t xml:space="preserve">ten </w:t>
      </w:r>
      <w:r>
        <w:t>months after the first hearing</w:t>
      </w:r>
      <w:r w:rsidR="00B649E4">
        <w:t>, and four months after the reconstitution</w:t>
      </w:r>
      <w:r w:rsidR="009F5A9B">
        <w:t>.</w:t>
      </w:r>
    </w:p>
    <w:p w14:paraId="32608161" w14:textId="5F640F4F" w:rsidR="00AC1219" w:rsidRDefault="00A14934" w:rsidP="00147C12">
      <w:pPr>
        <w:pStyle w:val="ParaNumbering"/>
      </w:pPr>
      <w:r>
        <w:t>In that context, no T</w:t>
      </w:r>
      <w:r w:rsidR="00085444">
        <w:t xml:space="preserve">ribunal </w:t>
      </w:r>
      <w:r>
        <w:t xml:space="preserve">acting reasonably could possibly have justified the refusal of an adjournment to this appellant by </w:t>
      </w:r>
      <w:r w:rsidR="00B23C09">
        <w:t>relying</w:t>
      </w:r>
      <w:r>
        <w:t xml:space="preserve"> on </w:t>
      </w:r>
      <w:r w:rsidR="00B649E4">
        <w:t>any</w:t>
      </w:r>
      <w:r>
        <w:t xml:space="preserve"> </w:t>
      </w:r>
      <w:r w:rsidR="00B649E4">
        <w:t>“</w:t>
      </w:r>
      <w:r>
        <w:t>delay</w:t>
      </w:r>
      <w:r w:rsidR="00B649E4">
        <w:t>”</w:t>
      </w:r>
      <w:r>
        <w:t xml:space="preserve"> that such an adjournment might cause. By this stage, the T</w:t>
      </w:r>
      <w:r w:rsidR="00085444">
        <w:t>ribunal</w:t>
      </w:r>
      <w:r>
        <w:t xml:space="preserve"> itself had delayed the </w:t>
      </w:r>
      <w:r w:rsidR="00085444">
        <w:t xml:space="preserve">appellant’s </w:t>
      </w:r>
      <w:r>
        <w:t xml:space="preserve">review for over two years. It can be accepted </w:t>
      </w:r>
      <w:r w:rsidR="00B23C09">
        <w:t>that</w:t>
      </w:r>
      <w:r>
        <w:t xml:space="preserve"> the T</w:t>
      </w:r>
      <w:r w:rsidR="00085444">
        <w:t>ribunal</w:t>
      </w:r>
      <w:r>
        <w:t xml:space="preserve"> is under </w:t>
      </w:r>
      <w:r w:rsidR="00B23C09">
        <w:t>considerable</w:t>
      </w:r>
      <w:r w:rsidR="00B649E4">
        <w:t>,</w:t>
      </w:r>
      <w:r>
        <w:t xml:space="preserve"> and unrelenting</w:t>
      </w:r>
      <w:r w:rsidR="00B649E4">
        <w:t>,</w:t>
      </w:r>
      <w:r>
        <w:t xml:space="preserve"> </w:t>
      </w:r>
      <w:r w:rsidR="00B23C09">
        <w:t>pressure in</w:t>
      </w:r>
      <w:r>
        <w:t xml:space="preserve"> terms of the numbers of </w:t>
      </w:r>
      <w:r w:rsidR="00B649E4">
        <w:t xml:space="preserve">migration </w:t>
      </w:r>
      <w:r>
        <w:t xml:space="preserve">cases it is </w:t>
      </w:r>
      <w:r w:rsidR="00B23C09">
        <w:t>expected</w:t>
      </w:r>
      <w:r>
        <w:t xml:space="preserve"> to deal with. The delays in the review which I have described </w:t>
      </w:r>
      <w:r w:rsidR="00A05E8B">
        <w:t xml:space="preserve">may </w:t>
      </w:r>
      <w:r>
        <w:t xml:space="preserve">no doubt </w:t>
      </w:r>
      <w:r w:rsidR="00A05E8B">
        <w:t xml:space="preserve">be </w:t>
      </w:r>
      <w:r>
        <w:t>attributable to those pressures. However, the point here is that the T</w:t>
      </w:r>
      <w:r w:rsidR="00085444">
        <w:t>ribunal</w:t>
      </w:r>
      <w:r>
        <w:t xml:space="preserve"> </w:t>
      </w:r>
      <w:r w:rsidR="00B23C09">
        <w:t>sought</w:t>
      </w:r>
      <w:r>
        <w:t xml:space="preserve"> to use what was likely to </w:t>
      </w:r>
      <w:r w:rsidR="00B23C09">
        <w:t xml:space="preserve">be </w:t>
      </w:r>
      <w:r w:rsidR="00D7756E">
        <w:t xml:space="preserve">a </w:t>
      </w:r>
      <w:r w:rsidR="00B23C09">
        <w:t>relatively</w:t>
      </w:r>
      <w:r>
        <w:t xml:space="preserve"> small </w:t>
      </w:r>
      <w:r w:rsidR="00B649E4">
        <w:t>lapse in time</w:t>
      </w:r>
      <w:r>
        <w:t xml:space="preserve"> (the </w:t>
      </w:r>
      <w:r w:rsidR="00B23C09">
        <w:t>evidence</w:t>
      </w:r>
      <w:r>
        <w:t xml:space="preserve"> being the </w:t>
      </w:r>
      <w:r w:rsidR="00085444">
        <w:t xml:space="preserve">appellant </w:t>
      </w:r>
      <w:r>
        <w:t xml:space="preserve">had always acted </w:t>
      </w:r>
      <w:r w:rsidR="00B23C09">
        <w:t>promptly</w:t>
      </w:r>
      <w:r>
        <w:t xml:space="preserve"> and conscientiously and had represented to the T</w:t>
      </w:r>
      <w:r w:rsidR="00085444">
        <w:t>ribunal</w:t>
      </w:r>
      <w:r>
        <w:t xml:space="preserve"> – as was the fact – that he had</w:t>
      </w:r>
      <w:r w:rsidR="00D7756E">
        <w:t xml:space="preserve"> the</w:t>
      </w:r>
      <w:r>
        <w:t xml:space="preserve"> </w:t>
      </w:r>
      <w:r w:rsidR="00B23C09">
        <w:t>capacity</w:t>
      </w:r>
      <w:r>
        <w:t xml:space="preserve"> </w:t>
      </w:r>
      <w:r w:rsidR="00D7756E">
        <w:t xml:space="preserve">to </w:t>
      </w:r>
      <w:r>
        <w:t xml:space="preserve">pay for </w:t>
      </w:r>
      <w:r w:rsidR="00B23C09">
        <w:t>a lawyer</w:t>
      </w:r>
      <w:r>
        <w:t xml:space="preserve">) as a justification for refusing the adjournment. That was a </w:t>
      </w:r>
      <w:r w:rsidR="00B23C09">
        <w:t>justification</w:t>
      </w:r>
      <w:r>
        <w:t xml:space="preserve"> no reasonable T</w:t>
      </w:r>
      <w:r w:rsidR="00085444">
        <w:t>ribunal</w:t>
      </w:r>
      <w:r>
        <w:t xml:space="preserve"> could have </w:t>
      </w:r>
      <w:r w:rsidR="00B23C09">
        <w:t>given, in</w:t>
      </w:r>
      <w:r>
        <w:t xml:space="preserve"> the </w:t>
      </w:r>
      <w:r w:rsidR="00B23C09">
        <w:t>circumstances</w:t>
      </w:r>
      <w:r>
        <w:t xml:space="preserve"> of the T</w:t>
      </w:r>
      <w:r w:rsidR="00085444">
        <w:t>ribunal</w:t>
      </w:r>
      <w:r>
        <w:t>’s own delays.</w:t>
      </w:r>
    </w:p>
    <w:p w14:paraId="28FA5F94" w14:textId="11838BC2" w:rsidR="002D4AED" w:rsidRDefault="00B23C09" w:rsidP="00932A85">
      <w:pPr>
        <w:pStyle w:val="ParaNumbering"/>
      </w:pPr>
      <w:r>
        <w:t>I accept, as the M</w:t>
      </w:r>
      <w:r w:rsidR="00085444">
        <w:t>inister</w:t>
      </w:r>
      <w:r>
        <w:t xml:space="preserve"> submits, that some of the features of the </w:t>
      </w:r>
      <w:r w:rsidR="00085444">
        <w:t xml:space="preserve">appellant’s </w:t>
      </w:r>
      <w:r>
        <w:t>circumstances which were not particular to him – the importance of the T</w:t>
      </w:r>
      <w:r w:rsidR="00085444">
        <w:t>ribunal</w:t>
      </w:r>
      <w:r>
        <w:t xml:space="preserve">’s review to his future, his need for an interpreter, his inability to make post hearing submissions – were not the kind of factors </w:t>
      </w:r>
      <w:r w:rsidR="00B649E4">
        <w:t>likely</w:t>
      </w:r>
      <w:r>
        <w:t xml:space="preserve"> </w:t>
      </w:r>
      <w:r w:rsidR="00B649E4">
        <w:t xml:space="preserve">of themselves to </w:t>
      </w:r>
      <w:r>
        <w:t xml:space="preserve">render the refusal of an adjournment legally unreasonable. Indeed, one of the points made by </w:t>
      </w:r>
      <w:proofErr w:type="spellStart"/>
      <w:r w:rsidR="00D57423">
        <w:t>Gageler</w:t>
      </w:r>
      <w:proofErr w:type="spellEnd"/>
      <w:r w:rsidR="00D57423">
        <w:t xml:space="preserve"> J and Nettle and Gordon JJ </w:t>
      </w:r>
      <w:r>
        <w:t xml:space="preserve">in </w:t>
      </w:r>
      <w:r w:rsidRPr="00085444">
        <w:rPr>
          <w:i/>
        </w:rPr>
        <w:t>SZV</w:t>
      </w:r>
      <w:r w:rsidR="009D3662">
        <w:rPr>
          <w:i/>
        </w:rPr>
        <w:t>F</w:t>
      </w:r>
      <w:r w:rsidRPr="00085444">
        <w:rPr>
          <w:i/>
        </w:rPr>
        <w:t>W</w:t>
      </w:r>
      <w:r>
        <w:t xml:space="preserve"> is that where </w:t>
      </w:r>
      <w:r>
        <w:lastRenderedPageBreak/>
        <w:t xml:space="preserve">the facts surrounding a particular applicant are “unremarkable”, it may be more difficult to prove legal unreasonableness. However, here, there are a number of factors particular to the </w:t>
      </w:r>
      <w:r w:rsidR="006F001C">
        <w:t xml:space="preserve">appellant’s </w:t>
      </w:r>
      <w:r>
        <w:t>circumstances, as I have explained.</w:t>
      </w:r>
    </w:p>
    <w:p w14:paraId="3E58DCB6" w14:textId="4FCEEAC1" w:rsidR="00FE31E8" w:rsidRDefault="00FE31E8" w:rsidP="00932A85">
      <w:pPr>
        <w:pStyle w:val="ParaNumbering"/>
      </w:pPr>
      <w:r>
        <w:t xml:space="preserve">From the </w:t>
      </w:r>
      <w:r w:rsidR="006F001C">
        <w:t xml:space="preserve">appellant’s </w:t>
      </w:r>
      <w:r w:rsidR="00B23C09">
        <w:t>perspective</w:t>
      </w:r>
      <w:r>
        <w:t xml:space="preserve">, </w:t>
      </w:r>
      <w:r w:rsidR="00B649E4">
        <w:t>it would have appeared that the</w:t>
      </w:r>
      <w:r>
        <w:t xml:space="preserve"> review was </w:t>
      </w:r>
      <w:r w:rsidR="00B23C09">
        <w:t>starting</w:t>
      </w:r>
      <w:r>
        <w:t xml:space="preserve"> again</w:t>
      </w:r>
      <w:r w:rsidR="00B649E4">
        <w:t>, and that would be an understandable perspective</w:t>
      </w:r>
      <w:r>
        <w:t xml:space="preserve">. </w:t>
      </w:r>
      <w:r w:rsidR="00B649E4">
        <w:t>The</w:t>
      </w:r>
      <w:r>
        <w:t xml:space="preserve"> </w:t>
      </w:r>
      <w:r w:rsidR="00B23C09">
        <w:t>reconstitution</w:t>
      </w:r>
      <w:r>
        <w:t xml:space="preserve"> </w:t>
      </w:r>
      <w:r w:rsidR="00B649E4">
        <w:t>gave</w:t>
      </w:r>
      <w:r>
        <w:t xml:space="preserve"> the T</w:t>
      </w:r>
      <w:r w:rsidR="006F001C">
        <w:t>ribunal</w:t>
      </w:r>
      <w:r>
        <w:t xml:space="preserve"> more material in which to find </w:t>
      </w:r>
      <w:r w:rsidR="00B23C09">
        <w:t>discrepancies</w:t>
      </w:r>
      <w:r>
        <w:t xml:space="preserve"> and use them against </w:t>
      </w:r>
      <w:r w:rsidR="00B649E4">
        <w:t xml:space="preserve">the </w:t>
      </w:r>
      <w:r w:rsidR="006F001C">
        <w:t>appellant</w:t>
      </w:r>
      <w:r>
        <w:t xml:space="preserve">, which is what it did. </w:t>
      </w:r>
      <w:r w:rsidR="00B23C09">
        <w:t>If all plaintiffs and applicants had to give their evidence twice</w:t>
      </w:r>
      <w:r w:rsidR="00D7756E">
        <w:t xml:space="preserve"> to different decision-</w:t>
      </w:r>
      <w:r w:rsidR="00B649E4">
        <w:t>makers and be tested on their accounts twice</w:t>
      </w:r>
      <w:r w:rsidR="00B23C09">
        <w:t>, separate</w:t>
      </w:r>
      <w:r w:rsidR="00B649E4">
        <w:t>d</w:t>
      </w:r>
      <w:r w:rsidR="00B23C09">
        <w:t xml:space="preserve"> in time by more than a year, </w:t>
      </w:r>
      <w:r w:rsidR="00B649E4">
        <w:t>relating</w:t>
      </w:r>
      <w:r w:rsidR="00B23C09">
        <w:t xml:space="preserve"> events that occurred many years previously which are said to have caused them considerable distress, I have no doubt most of them would do so in a way that would involve some “discrepancies”: that is simply a function of being human.</w:t>
      </w:r>
      <w:r w:rsidR="00B649E4">
        <w:t xml:space="preserve"> In such circumstances, the </w:t>
      </w:r>
      <w:r w:rsidR="006F001C">
        <w:t xml:space="preserve">appellant’s </w:t>
      </w:r>
      <w:r w:rsidR="00B649E4">
        <w:t>desire to have representation before appearing before the second T</w:t>
      </w:r>
      <w:r w:rsidR="006F001C">
        <w:t>ribunal</w:t>
      </w:r>
      <w:r w:rsidR="00B649E4">
        <w:t xml:space="preserve"> </w:t>
      </w:r>
      <w:r w:rsidR="00115511">
        <w:t xml:space="preserve">to assist him in managing such a difficult situation </w:t>
      </w:r>
      <w:r w:rsidR="00B649E4">
        <w:t>is entirely understandable, and the T</w:t>
      </w:r>
      <w:r w:rsidR="006F001C">
        <w:t>ribunal</w:t>
      </w:r>
      <w:r w:rsidR="00B649E4">
        <w:t xml:space="preserve"> should have been alive to the effects of the reconstitution on him, and on how his review would proceed. The T</w:t>
      </w:r>
      <w:r w:rsidR="006F001C">
        <w:t>ribunal</w:t>
      </w:r>
      <w:r w:rsidR="00B649E4">
        <w:t>’s reasons disclose no consciousness of the effects and consequences of the reconstitution of the T</w:t>
      </w:r>
      <w:r w:rsidR="006F001C">
        <w:t>ribunal</w:t>
      </w:r>
      <w:r w:rsidR="00B649E4">
        <w:t xml:space="preserve"> on the </w:t>
      </w:r>
      <w:r w:rsidR="006F001C">
        <w:t>appellant</w:t>
      </w:r>
      <w:r w:rsidR="00B649E4">
        <w:t>, and on his desire to continue to have representation. No T</w:t>
      </w:r>
      <w:r w:rsidR="006F001C">
        <w:t>ribunal</w:t>
      </w:r>
      <w:r w:rsidR="00B649E4">
        <w:t xml:space="preserve"> acting reasonably would have failed to appreciate this factor.</w:t>
      </w:r>
    </w:p>
    <w:p w14:paraId="49E4BD5D" w14:textId="39CDC1B9" w:rsidR="00147C12" w:rsidRDefault="00391DC3" w:rsidP="00147C12">
      <w:pPr>
        <w:pStyle w:val="ParaNumbering"/>
      </w:pPr>
      <w:r>
        <w:t>Ground one</w:t>
      </w:r>
      <w:r w:rsidR="00147C12">
        <w:t xml:space="preserve"> should be upheld. </w:t>
      </w:r>
    </w:p>
    <w:p w14:paraId="46EEC519" w14:textId="03B4019F" w:rsidR="007F246D" w:rsidRDefault="007F246D" w:rsidP="00147C12">
      <w:pPr>
        <w:pStyle w:val="Heading2"/>
      </w:pPr>
      <w:r>
        <w:t xml:space="preserve">Ground </w:t>
      </w:r>
      <w:r w:rsidR="00391DC3">
        <w:t>two</w:t>
      </w:r>
    </w:p>
    <w:p w14:paraId="510C2B45" w14:textId="53A9868D" w:rsidR="007F246D" w:rsidRDefault="007F246D" w:rsidP="00932A85">
      <w:pPr>
        <w:pStyle w:val="ParaNumbering"/>
      </w:pPr>
      <w:r>
        <w:t xml:space="preserve">Ground </w:t>
      </w:r>
      <w:r w:rsidR="00391DC3">
        <w:t>two</w:t>
      </w:r>
      <w:r>
        <w:t xml:space="preserve"> was not raised before the </w:t>
      </w:r>
      <w:r w:rsidR="006F001C">
        <w:t xml:space="preserve">Federal Circuit Court </w:t>
      </w:r>
      <w:r>
        <w:t xml:space="preserve">and the </w:t>
      </w:r>
      <w:r w:rsidR="006F001C">
        <w:t>appellant</w:t>
      </w:r>
      <w:r>
        <w:t xml:space="preserve"> </w:t>
      </w:r>
      <w:r w:rsidR="008603C9">
        <w:t>requires</w:t>
      </w:r>
      <w:r>
        <w:t xml:space="preserve"> leave to raise it for the first time on appeal.</w:t>
      </w:r>
    </w:p>
    <w:p w14:paraId="5AE4D214" w14:textId="57617615" w:rsidR="00CD10DA" w:rsidRDefault="00350789" w:rsidP="00932A85">
      <w:pPr>
        <w:pStyle w:val="ParaNumbering"/>
      </w:pPr>
      <w:r>
        <w:t xml:space="preserve">Before the </w:t>
      </w:r>
      <w:r w:rsidR="006F001C">
        <w:t>Federal Circuit Court</w:t>
      </w:r>
      <w:r>
        <w:t>, there</w:t>
      </w:r>
      <w:r w:rsidR="00CD10DA">
        <w:t xml:space="preserve"> was </w:t>
      </w:r>
      <w:r>
        <w:t xml:space="preserve">originally </w:t>
      </w:r>
      <w:r w:rsidR="00CD10DA">
        <w:t xml:space="preserve">a ground raised about the </w:t>
      </w:r>
      <w:proofErr w:type="spellStart"/>
      <w:r w:rsidR="00CD10DA">
        <w:t>Merak</w:t>
      </w:r>
      <w:proofErr w:type="spellEnd"/>
      <w:r w:rsidR="00CD10DA">
        <w:t xml:space="preserve"> ship and the T</w:t>
      </w:r>
      <w:r w:rsidR="006F001C">
        <w:t>ribunal</w:t>
      </w:r>
      <w:r w:rsidR="00CD10DA">
        <w:t xml:space="preserve">’s fact finding, </w:t>
      </w:r>
      <w:r w:rsidR="00A05E8B">
        <w:t>although it was</w:t>
      </w:r>
      <w:r w:rsidR="00CD10DA">
        <w:t xml:space="preserve"> differently framed:</w:t>
      </w:r>
    </w:p>
    <w:p w14:paraId="2CF74B4B" w14:textId="7DB9C024" w:rsidR="006F001C" w:rsidRDefault="006F001C" w:rsidP="006F001C">
      <w:pPr>
        <w:pStyle w:val="Quote1"/>
        <w:ind w:left="1440" w:hanging="703"/>
      </w:pPr>
      <w:r>
        <w:t xml:space="preserve">2. </w:t>
      </w:r>
      <w:r>
        <w:tab/>
        <w:t>The Tribunal failed to take into consideration substantially relevant matters provided by the Applicant.</w:t>
      </w:r>
    </w:p>
    <w:p w14:paraId="3B3863DD" w14:textId="4950D549" w:rsidR="006F001C" w:rsidRDefault="006F001C" w:rsidP="006F001C">
      <w:pPr>
        <w:pStyle w:val="Quote2"/>
        <w:ind w:left="2160" w:hanging="720"/>
      </w:pPr>
      <w:r>
        <w:t>a.</w:t>
      </w:r>
      <w:r>
        <w:tab/>
        <w:t xml:space="preserve">No serious or meaningful consideration has been given to the claim of the Applicant that he was on the </w:t>
      </w:r>
      <w:proofErr w:type="spellStart"/>
      <w:r>
        <w:t>Merak</w:t>
      </w:r>
      <w:proofErr w:type="spellEnd"/>
      <w:r>
        <w:t xml:space="preserve"> ship and that the Applicant informed the media about the fact that the people on the boat were refuges (Paragraph 47 of the decision) </w:t>
      </w:r>
    </w:p>
    <w:p w14:paraId="2AE0B84E" w14:textId="19939512" w:rsidR="00CE6D9D" w:rsidRDefault="006F001C" w:rsidP="00E47172">
      <w:pPr>
        <w:pStyle w:val="Quote2"/>
        <w:ind w:left="2160" w:hanging="720"/>
      </w:pPr>
      <w:r>
        <w:t>b.</w:t>
      </w:r>
      <w:r>
        <w:tab/>
        <w:t xml:space="preserve">The Tribunal failed to adequately consider the Applicant’s claim that the Applicant’s advisor would have advised the Applicant that his alleged presence on the </w:t>
      </w:r>
      <w:proofErr w:type="spellStart"/>
      <w:r>
        <w:t>Merak</w:t>
      </w:r>
      <w:proofErr w:type="spellEnd"/>
      <w:r>
        <w:t xml:space="preserve"> ship could not be included in his claims unless he had evidence (Paragraph 46 of the decision)</w:t>
      </w:r>
    </w:p>
    <w:p w14:paraId="4DCA9879" w14:textId="6B8D2D6D" w:rsidR="00E47172" w:rsidRDefault="00E47172" w:rsidP="00E47172">
      <w:pPr>
        <w:pStyle w:val="Quote2"/>
        <w:ind w:left="2160" w:hanging="720"/>
      </w:pPr>
      <w:r>
        <w:t>…</w:t>
      </w:r>
    </w:p>
    <w:p w14:paraId="16DA9691" w14:textId="1A8EA391" w:rsidR="00147C12" w:rsidRDefault="00350789" w:rsidP="00932A85">
      <w:pPr>
        <w:pStyle w:val="ParaNumbering"/>
      </w:pPr>
      <w:r>
        <w:lastRenderedPageBreak/>
        <w:t>It appears this ground was ultimately not pursued. However</w:t>
      </w:r>
      <w:r w:rsidR="00147C12">
        <w:t>, a challenge to the T</w:t>
      </w:r>
      <w:r w:rsidR="00CE6D9D">
        <w:t>ribunal</w:t>
      </w:r>
      <w:r w:rsidR="00147C12">
        <w:t xml:space="preserve">’s reasoning process about the </w:t>
      </w:r>
      <w:proofErr w:type="spellStart"/>
      <w:r w:rsidR="00147C12">
        <w:t>Merak</w:t>
      </w:r>
      <w:proofErr w:type="spellEnd"/>
      <w:r w:rsidR="00147C12">
        <w:t xml:space="preserve"> ship was not, in itself, entirely new.</w:t>
      </w:r>
    </w:p>
    <w:p w14:paraId="445566CC" w14:textId="3CEEB761" w:rsidR="00E65449" w:rsidRDefault="00B23C09" w:rsidP="00BF4753">
      <w:pPr>
        <w:pStyle w:val="ParaNumbering"/>
      </w:pPr>
      <w:r w:rsidRPr="00353ED9">
        <w:t>I have explained</w:t>
      </w:r>
      <w:r w:rsidR="00E47172">
        <w:t>,</w:t>
      </w:r>
      <w:r w:rsidRPr="00353ED9">
        <w:t xml:space="preserve"> </w:t>
      </w:r>
      <w:r w:rsidR="00A05E8B">
        <w:t>the correct</w:t>
      </w:r>
      <w:r w:rsidR="00A05E8B" w:rsidRPr="00353ED9">
        <w:t xml:space="preserve"> </w:t>
      </w:r>
      <w:r w:rsidRPr="00353ED9">
        <w:t>approach to the question of whether leave should be granted to an appellant in this jurisdiction to raise a new ground of appeal in a number of previous decisions, both of my own and as a member of a Full Court: see</w:t>
      </w:r>
      <w:r w:rsidR="00395221" w:rsidRPr="00353ED9">
        <w:rPr>
          <w:i/>
        </w:rPr>
        <w:t xml:space="preserve"> </w:t>
      </w:r>
      <w:r w:rsidR="00395221" w:rsidRPr="002C455C">
        <w:rPr>
          <w:i/>
        </w:rPr>
        <w:t>Haritos v Commissioner of Taxation</w:t>
      </w:r>
      <w:r w:rsidR="00395221" w:rsidRPr="002C455C">
        <w:t xml:space="preserve"> [2015] FCAFC 92; 233 FCR 315 at [79]-[83];</w:t>
      </w:r>
      <w:r w:rsidR="00395221" w:rsidRPr="00353ED9">
        <w:t xml:space="preserve"> </w:t>
      </w:r>
      <w:r w:rsidR="00395221" w:rsidRPr="002C455C">
        <w:rPr>
          <w:i/>
        </w:rPr>
        <w:t xml:space="preserve">Minister for Immigration and Border Protection v </w:t>
      </w:r>
      <w:proofErr w:type="spellStart"/>
      <w:r w:rsidR="00395221" w:rsidRPr="002C455C">
        <w:rPr>
          <w:i/>
        </w:rPr>
        <w:t>Aulakh</w:t>
      </w:r>
      <w:proofErr w:type="spellEnd"/>
      <w:r w:rsidR="00395221" w:rsidRPr="002C455C">
        <w:t xml:space="preserve"> [2018] FCAFC 91 </w:t>
      </w:r>
      <w:r w:rsidR="00EB5569">
        <w:t xml:space="preserve">at </w:t>
      </w:r>
      <w:r w:rsidR="00395221" w:rsidRPr="002C455C">
        <w:t>[99]-[112]</w:t>
      </w:r>
      <w:r w:rsidR="00395221" w:rsidRPr="00353ED9">
        <w:t xml:space="preserve">; </w:t>
      </w:r>
      <w:proofErr w:type="spellStart"/>
      <w:r w:rsidR="005118A8" w:rsidRPr="002C455C">
        <w:rPr>
          <w:i/>
        </w:rPr>
        <w:t>Maharjan</w:t>
      </w:r>
      <w:proofErr w:type="spellEnd"/>
      <w:r w:rsidR="005118A8" w:rsidRPr="002C455C">
        <w:rPr>
          <w:i/>
        </w:rPr>
        <w:t xml:space="preserve"> v Minister for Immigration and Border Protection</w:t>
      </w:r>
      <w:r w:rsidR="005118A8" w:rsidRPr="002C455C">
        <w:t xml:space="preserve"> [2017] FCAFC 213; 258 FCR 1 </w:t>
      </w:r>
      <w:r w:rsidR="00EB5569">
        <w:t xml:space="preserve">at </w:t>
      </w:r>
      <w:r w:rsidR="005118A8" w:rsidRPr="002C455C">
        <w:t>[31]-[37];</w:t>
      </w:r>
      <w:r w:rsidR="00A619D8">
        <w:t xml:space="preserve"> </w:t>
      </w:r>
      <w:r w:rsidR="005118A8" w:rsidRPr="002C455C">
        <w:rPr>
          <w:i/>
        </w:rPr>
        <w:t>ARK16 v Minister for Immigration and Border Protection</w:t>
      </w:r>
      <w:r w:rsidR="005118A8" w:rsidRPr="002C455C">
        <w:t xml:space="preserve"> [2018] FCA 825 </w:t>
      </w:r>
      <w:r w:rsidR="005118A8" w:rsidRPr="00353ED9">
        <w:t>at [19]-</w:t>
      </w:r>
      <w:r w:rsidR="00353ED9" w:rsidRPr="00353ED9">
        <w:t xml:space="preserve">[25]; </w:t>
      </w:r>
      <w:r w:rsidR="00353ED9" w:rsidRPr="002C455C">
        <w:rPr>
          <w:i/>
        </w:rPr>
        <w:t xml:space="preserve">CPE15 v Minister for Immigration and Border Protection </w:t>
      </w:r>
      <w:r w:rsidR="00353ED9" w:rsidRPr="002C455C">
        <w:t>[2017] FCA 591</w:t>
      </w:r>
      <w:r w:rsidR="00353ED9" w:rsidRPr="00353ED9">
        <w:t xml:space="preserve"> at [11]-[27]</w:t>
      </w:r>
      <w:r w:rsidR="00353ED9">
        <w:t>.</w:t>
      </w:r>
      <w:r w:rsidR="00353ED9" w:rsidRPr="00353ED9">
        <w:t xml:space="preserve"> </w:t>
      </w:r>
      <w:r w:rsidR="00A05E8B">
        <w:t xml:space="preserve">In </w:t>
      </w:r>
      <w:r w:rsidR="00A05E8B" w:rsidRPr="002C455C">
        <w:rPr>
          <w:i/>
        </w:rPr>
        <w:t>Murad v Assistant Minister for Immigration and Border Protection</w:t>
      </w:r>
      <w:r w:rsidR="00A05E8B" w:rsidRPr="002C455C">
        <w:t xml:space="preserve"> [2017] FCAFC 73</w:t>
      </w:r>
      <w:r w:rsidR="00A05E8B">
        <w:t xml:space="preserve"> at [55]-[58] I explained why a focus on authorities such as </w:t>
      </w:r>
      <w:proofErr w:type="spellStart"/>
      <w:r w:rsidR="00A05E8B" w:rsidRPr="002C455C">
        <w:rPr>
          <w:i/>
        </w:rPr>
        <w:t>Coulton</w:t>
      </w:r>
      <w:proofErr w:type="spellEnd"/>
      <w:r w:rsidR="00A05E8B" w:rsidRPr="002C455C">
        <w:rPr>
          <w:i/>
        </w:rPr>
        <w:t xml:space="preserve"> v Holcombe</w:t>
      </w:r>
      <w:r w:rsidR="00BF4753" w:rsidRPr="002C455C">
        <w:t xml:space="preserve"> [1986] HCA 33;</w:t>
      </w:r>
      <w:r w:rsidR="00BF4753" w:rsidRPr="002C455C">
        <w:rPr>
          <w:i/>
        </w:rPr>
        <w:t xml:space="preserve"> </w:t>
      </w:r>
      <w:r w:rsidR="00BF4753" w:rsidRPr="002C455C">
        <w:t>162 CLR 1</w:t>
      </w:r>
      <w:r w:rsidR="00A05E8B" w:rsidRPr="00BF4753">
        <w:t xml:space="preserve"> in</w:t>
      </w:r>
      <w:r w:rsidR="00A05E8B">
        <w:t xml:space="preserve"> the context of the judicial review of migration decisions might not be appropriate.</w:t>
      </w:r>
      <w:r w:rsidR="00A05E8B" w:rsidRPr="00353ED9">
        <w:t xml:space="preserve"> </w:t>
      </w:r>
      <w:r w:rsidR="00424BAA">
        <w:t xml:space="preserve">There may be some nuances between these decisions about the level of merit a new ground should have before leave is granted (all other factors being equal) and underlying approaches of individual judges may vary in terms of emphasis on particular aspects of the principles. For my own part, I adhere to the opinion I expressed in </w:t>
      </w:r>
      <w:r w:rsidR="00424BAA" w:rsidRPr="00424BAA">
        <w:rPr>
          <w:i/>
        </w:rPr>
        <w:t>Murad</w:t>
      </w:r>
      <w:r w:rsidR="00424BAA">
        <w:t xml:space="preserve"> and </w:t>
      </w:r>
      <w:proofErr w:type="spellStart"/>
      <w:r w:rsidR="00424BAA" w:rsidRPr="00424BAA">
        <w:rPr>
          <w:i/>
        </w:rPr>
        <w:t>Aulakh</w:t>
      </w:r>
      <w:proofErr w:type="spellEnd"/>
      <w:r w:rsidR="00424BAA" w:rsidRPr="00424BAA">
        <w:rPr>
          <w:i/>
        </w:rPr>
        <w:t>,</w:t>
      </w:r>
      <w:r w:rsidR="00424BAA">
        <w:t xml:space="preserve"> each concerning different circumstances in which the principles came to be applied.</w:t>
      </w:r>
    </w:p>
    <w:p w14:paraId="7AEFA102" w14:textId="4C4AE889" w:rsidR="007F246D" w:rsidRDefault="007F246D" w:rsidP="007F246D">
      <w:pPr>
        <w:pStyle w:val="ParaNumbering"/>
      </w:pPr>
      <w:r>
        <w:t>The M</w:t>
      </w:r>
      <w:r w:rsidR="00CE6D9D">
        <w:t>inister</w:t>
      </w:r>
      <w:r>
        <w:t xml:space="preserve"> submits </w:t>
      </w:r>
      <w:r w:rsidRPr="007F246D">
        <w:t xml:space="preserve">the </w:t>
      </w:r>
      <w:r w:rsidR="00CE6D9D">
        <w:t>C</w:t>
      </w:r>
      <w:r>
        <w:t xml:space="preserve">ourt </w:t>
      </w:r>
      <w:r w:rsidR="00B23C09">
        <w:t>should “</w:t>
      </w:r>
      <w:r>
        <w:t xml:space="preserve">weigh carefully </w:t>
      </w:r>
      <w:r w:rsidR="00FC6A7E">
        <w:t xml:space="preserve">the </w:t>
      </w:r>
      <w:r w:rsidRPr="007F246D">
        <w:t>collateral impact arguing a new case on appeal can have upon the resources of the Federal Court of Australia and other parties generally, and the clear distinction between the original jurisdiction of the Circuit Court and the appellate jurisdiction of</w:t>
      </w:r>
      <w:r>
        <w:t xml:space="preserve"> this Court”.</w:t>
      </w:r>
    </w:p>
    <w:p w14:paraId="5600C8CE" w14:textId="7490DEEB" w:rsidR="007F246D" w:rsidRDefault="007F246D" w:rsidP="00D7114C">
      <w:pPr>
        <w:pStyle w:val="ParaNumbering"/>
      </w:pPr>
      <w:r>
        <w:t>In this case, there has been no such impact. The appeal was listed and wo</w:t>
      </w:r>
      <w:r w:rsidR="00147C12">
        <w:t>u</w:t>
      </w:r>
      <w:r>
        <w:t xml:space="preserve">ld have </w:t>
      </w:r>
      <w:r w:rsidR="00147C12">
        <w:t>needed to be hear</w:t>
      </w:r>
      <w:r>
        <w:t>d</w:t>
      </w:r>
      <w:r w:rsidR="00147C12">
        <w:t xml:space="preserve"> </w:t>
      </w:r>
      <w:r>
        <w:t>in the</w:t>
      </w:r>
      <w:r w:rsidR="00E10CB8">
        <w:t xml:space="preserve"> usual cours</w:t>
      </w:r>
      <w:r>
        <w:t>e</w:t>
      </w:r>
      <w:r w:rsidR="00E10CB8">
        <w:t xml:space="preserve"> </w:t>
      </w:r>
      <w:r>
        <w:t xml:space="preserve">on ground </w:t>
      </w:r>
      <w:r w:rsidR="00391DC3">
        <w:t>one</w:t>
      </w:r>
      <w:r>
        <w:t xml:space="preserve">. The </w:t>
      </w:r>
      <w:r w:rsidR="00D7114C">
        <w:t xml:space="preserve">appellant </w:t>
      </w:r>
      <w:r w:rsidR="00E14E52">
        <w:t xml:space="preserve">was entitled to </w:t>
      </w:r>
      <w:r>
        <w:t xml:space="preserve">have pressed </w:t>
      </w:r>
      <w:r w:rsidR="00147C12">
        <w:t xml:space="preserve">the </w:t>
      </w:r>
      <w:r w:rsidR="002F1963">
        <w:t xml:space="preserve">three </w:t>
      </w:r>
      <w:r w:rsidR="00147C12">
        <w:t>other</w:t>
      </w:r>
      <w:r>
        <w:t xml:space="preserve"> grou</w:t>
      </w:r>
      <w:r w:rsidR="003C1499">
        <w:t xml:space="preserve">nds raised before the </w:t>
      </w:r>
      <w:r w:rsidR="00D7114C">
        <w:t>Federal Circuit Court</w:t>
      </w:r>
      <w:r w:rsidR="003C1499">
        <w:t xml:space="preserve">, but </w:t>
      </w:r>
      <w:r>
        <w:t xml:space="preserve">did not. </w:t>
      </w:r>
      <w:r w:rsidR="003C1499">
        <w:t xml:space="preserve">In that sense, the </w:t>
      </w:r>
      <w:r w:rsidR="00D7114C">
        <w:t xml:space="preserve">appellant </w:t>
      </w:r>
      <w:r w:rsidR="003C1499">
        <w:t>conserved the resources of the Court and the M</w:t>
      </w:r>
      <w:r w:rsidR="00D7114C">
        <w:t>inister</w:t>
      </w:r>
      <w:r w:rsidR="003C1499">
        <w:t xml:space="preserve">, rather than extending them. </w:t>
      </w:r>
      <w:r>
        <w:t xml:space="preserve">Instead he raised </w:t>
      </w:r>
      <w:r w:rsidR="002F1963">
        <w:t xml:space="preserve">proposed </w:t>
      </w:r>
      <w:r w:rsidR="00391DC3">
        <w:t>ground two</w:t>
      </w:r>
      <w:r>
        <w:t xml:space="preserve">. </w:t>
      </w:r>
      <w:r w:rsidR="003C1499">
        <w:t>The M</w:t>
      </w:r>
      <w:r w:rsidR="00D7114C">
        <w:t>inister</w:t>
      </w:r>
      <w:r w:rsidR="003C1499">
        <w:t xml:space="preserve"> was </w:t>
      </w:r>
      <w:r w:rsidR="00B23C09">
        <w:t>given</w:t>
      </w:r>
      <w:r w:rsidR="003C1499">
        <w:t xml:space="preserve"> ample notice and </w:t>
      </w:r>
      <w:r w:rsidR="00B23C09">
        <w:t>did</w:t>
      </w:r>
      <w:r w:rsidR="003C1499">
        <w:t xml:space="preserve"> not submit otherwise. </w:t>
      </w:r>
      <w:r w:rsidR="00B23C09">
        <w:t>The M</w:t>
      </w:r>
      <w:r w:rsidR="00D7114C">
        <w:t>inister’</w:t>
      </w:r>
      <w:r w:rsidR="00B23C09">
        <w:t xml:space="preserve">s counsel was ready to deal with the substance of the argument and did so capably. </w:t>
      </w:r>
      <w:r>
        <w:t xml:space="preserve">I do not see any real impact on </w:t>
      </w:r>
      <w:r w:rsidR="003C1499">
        <w:t>resources</w:t>
      </w:r>
      <w:r>
        <w:t xml:space="preserve"> or time, </w:t>
      </w:r>
      <w:r w:rsidR="003C1499">
        <w:t xml:space="preserve">nor is this an </w:t>
      </w:r>
      <w:r w:rsidR="00B23C09">
        <w:t>occasion</w:t>
      </w:r>
      <w:r w:rsidR="003C1499">
        <w:t xml:space="preserve"> when the overarching objective</w:t>
      </w:r>
      <w:r>
        <w:t xml:space="preserve"> in s 37M</w:t>
      </w:r>
      <w:r w:rsidR="003C1499">
        <w:t xml:space="preserve"> of the </w:t>
      </w:r>
      <w:r w:rsidR="00D7114C" w:rsidRPr="002C455C">
        <w:rPr>
          <w:i/>
        </w:rPr>
        <w:t>Federal Court of Australia Act 1976</w:t>
      </w:r>
      <w:r w:rsidR="00D7114C" w:rsidRPr="002C455C">
        <w:t xml:space="preserve"> (</w:t>
      </w:r>
      <w:proofErr w:type="spellStart"/>
      <w:r w:rsidR="00D7114C" w:rsidRPr="002C455C">
        <w:t>Cth</w:t>
      </w:r>
      <w:proofErr w:type="spellEnd"/>
      <w:r w:rsidR="00D7114C" w:rsidRPr="002C455C">
        <w:t xml:space="preserve">) </w:t>
      </w:r>
      <w:r w:rsidR="003C1499">
        <w:t xml:space="preserve">has a </w:t>
      </w:r>
      <w:r w:rsidR="00B23C09">
        <w:t>substantive</w:t>
      </w:r>
      <w:r w:rsidR="003C1499">
        <w:t xml:space="preserve"> effect on the </w:t>
      </w:r>
      <w:r w:rsidR="002F1963">
        <w:t>discretion</w:t>
      </w:r>
      <w:r w:rsidR="003C1499">
        <w:t xml:space="preserve"> whether to </w:t>
      </w:r>
      <w:r w:rsidR="00B23C09">
        <w:t>grant</w:t>
      </w:r>
      <w:r w:rsidR="003C1499">
        <w:t xml:space="preserve"> leave.</w:t>
      </w:r>
    </w:p>
    <w:p w14:paraId="77246312" w14:textId="0D8ED3B5" w:rsidR="007F246D" w:rsidRDefault="007F246D" w:rsidP="007F246D">
      <w:pPr>
        <w:pStyle w:val="ParaNumbering"/>
      </w:pPr>
      <w:r>
        <w:lastRenderedPageBreak/>
        <w:t xml:space="preserve">The real question, as is </w:t>
      </w:r>
      <w:r w:rsidR="003C1499">
        <w:t>usually</w:t>
      </w:r>
      <w:r>
        <w:t xml:space="preserve"> the </w:t>
      </w:r>
      <w:r w:rsidR="00B23C09">
        <w:t>case, is</w:t>
      </w:r>
      <w:r w:rsidR="003C1499">
        <w:t xml:space="preserve"> </w:t>
      </w:r>
      <w:r>
        <w:t>the merits of the ground.</w:t>
      </w:r>
      <w:r w:rsidRPr="007F246D">
        <w:t xml:space="preserve"> </w:t>
      </w:r>
      <w:r>
        <w:t xml:space="preserve">I consider the ground has </w:t>
      </w:r>
      <w:r w:rsidR="003C1499">
        <w:t>sufficient</w:t>
      </w:r>
      <w:r>
        <w:t xml:space="preserve"> merit for leave to be given to raise it. </w:t>
      </w:r>
      <w:r w:rsidR="003C1499">
        <w:t xml:space="preserve">Indeed, as I set out below, I consider the ground should succeed. </w:t>
      </w:r>
      <w:r w:rsidR="00B23C09">
        <w:t>It would not be in the interest</w:t>
      </w:r>
      <w:r w:rsidR="00E14E52">
        <w:t>s</w:t>
      </w:r>
      <w:r w:rsidR="00B23C09">
        <w:t xml:space="preserve"> of the administration of justice in those circumstances for leave to be refused: if the Court considers the T</w:t>
      </w:r>
      <w:r w:rsidR="00D7114C">
        <w:t>ribunal</w:t>
      </w:r>
      <w:r w:rsidR="00B23C09">
        <w:t>’s decision is affected by jurisdictional error, the decision should not be permitted to stand, save for exceptional discretionary considerations, none of which are present here.</w:t>
      </w:r>
    </w:p>
    <w:p w14:paraId="166A388C" w14:textId="0CBFA78B" w:rsidR="00C03A8B" w:rsidRDefault="00C03A8B" w:rsidP="007F246D">
      <w:pPr>
        <w:pStyle w:val="ParaNumbering"/>
      </w:pPr>
      <w:r w:rsidRPr="003C1499">
        <w:t xml:space="preserve">The way the </w:t>
      </w:r>
      <w:r w:rsidR="00D7114C">
        <w:t>appellant</w:t>
      </w:r>
      <w:r w:rsidR="00D7114C" w:rsidRPr="003C1499">
        <w:t xml:space="preserve"> </w:t>
      </w:r>
      <w:r w:rsidRPr="003C1499">
        <w:t xml:space="preserve">puts this </w:t>
      </w:r>
      <w:r w:rsidR="003C1499">
        <w:t xml:space="preserve">ground </w:t>
      </w:r>
      <w:r w:rsidRPr="003C1499">
        <w:t>is that</w:t>
      </w:r>
      <w:r>
        <w:t xml:space="preserve"> there was a </w:t>
      </w:r>
      <w:r w:rsidR="003C1499">
        <w:t>claim</w:t>
      </w:r>
      <w:r>
        <w:t xml:space="preserve"> made and the T</w:t>
      </w:r>
      <w:r w:rsidR="00D7114C">
        <w:t>ribunal</w:t>
      </w:r>
      <w:r w:rsidR="003C1499">
        <w:t xml:space="preserve"> </w:t>
      </w:r>
      <w:r>
        <w:t xml:space="preserve">considered it, but did so by </w:t>
      </w:r>
      <w:r w:rsidR="003C1499">
        <w:t>rejecting the claim</w:t>
      </w:r>
      <w:r>
        <w:t xml:space="preserve"> on </w:t>
      </w:r>
      <w:r w:rsidR="00B23C09">
        <w:t>credibility</w:t>
      </w:r>
      <w:r>
        <w:t xml:space="preserve"> grounds based on a false premise – </w:t>
      </w:r>
      <w:r w:rsidR="002F1963">
        <w:t>namely</w:t>
      </w:r>
      <w:r w:rsidR="00B23C09">
        <w:t xml:space="preserve"> that</w:t>
      </w:r>
      <w:r>
        <w:t xml:space="preserve"> </w:t>
      </w:r>
      <w:r w:rsidR="003C1499">
        <w:t xml:space="preserve">the </w:t>
      </w:r>
      <w:r w:rsidR="00D7114C">
        <w:t xml:space="preserve">appellant </w:t>
      </w:r>
      <w:r w:rsidR="003C1499">
        <w:t>had not</w:t>
      </w:r>
      <w:r>
        <w:t xml:space="preserve"> raised this claim before he raised it before the </w:t>
      </w:r>
      <w:r w:rsidR="003C1499">
        <w:t>first</w:t>
      </w:r>
      <w:r>
        <w:t xml:space="preserve"> T</w:t>
      </w:r>
      <w:r w:rsidR="00D7114C">
        <w:t>ribunal</w:t>
      </w:r>
      <w:r>
        <w:t>.</w:t>
      </w:r>
    </w:p>
    <w:p w14:paraId="38B26C9F" w14:textId="270C6303" w:rsidR="00357A59" w:rsidRDefault="003C1499" w:rsidP="007F246D">
      <w:pPr>
        <w:pStyle w:val="ParaNumbering"/>
      </w:pPr>
      <w:r w:rsidRPr="003C1499">
        <w:t xml:space="preserve">The </w:t>
      </w:r>
      <w:r w:rsidR="00D7114C">
        <w:t xml:space="preserve">appellant </w:t>
      </w:r>
      <w:r w:rsidRPr="003C1499">
        <w:t>contends</w:t>
      </w:r>
      <w:r w:rsidR="002F1963">
        <w:t>,</w:t>
      </w:r>
      <w:r w:rsidR="00357A59" w:rsidRPr="003C1499">
        <w:t xml:space="preserve"> and I accept</w:t>
      </w:r>
      <w:r w:rsidR="002F1963">
        <w:t>,</w:t>
      </w:r>
      <w:r w:rsidR="00357A59">
        <w:t xml:space="preserve"> that the </w:t>
      </w:r>
      <w:proofErr w:type="spellStart"/>
      <w:r w:rsidR="00357A59">
        <w:t>Merak</w:t>
      </w:r>
      <w:proofErr w:type="spellEnd"/>
      <w:r w:rsidR="00357A59">
        <w:t xml:space="preserve"> </w:t>
      </w:r>
      <w:r w:rsidR="00E14E52">
        <w:t xml:space="preserve">ship </w:t>
      </w:r>
      <w:r w:rsidR="00357A59">
        <w:t xml:space="preserve">narrative </w:t>
      </w:r>
      <w:r w:rsidR="00B23C09">
        <w:t>is,</w:t>
      </w:r>
      <w:r>
        <w:t xml:space="preserve"> as a claim for protection, </w:t>
      </w:r>
      <w:r w:rsidR="00357A59">
        <w:t xml:space="preserve">factually </w:t>
      </w:r>
      <w:r>
        <w:t xml:space="preserve">separate from the </w:t>
      </w:r>
      <w:r w:rsidR="00D7114C">
        <w:t xml:space="preserve">appellant’s </w:t>
      </w:r>
      <w:r>
        <w:t>other claims</w:t>
      </w:r>
      <w:r w:rsidR="00357A59">
        <w:t xml:space="preserve">, arising </w:t>
      </w:r>
      <w:r>
        <w:t xml:space="preserve">as it does </w:t>
      </w:r>
      <w:r w:rsidR="002F1963">
        <w:t>from</w:t>
      </w:r>
      <w:r>
        <w:t xml:space="preserve"> events occurring </w:t>
      </w:r>
      <w:r w:rsidR="00357A59">
        <w:t xml:space="preserve">after he left </w:t>
      </w:r>
      <w:r>
        <w:t>Sri Lanka</w:t>
      </w:r>
      <w:r w:rsidR="00357A59">
        <w:t>.</w:t>
      </w:r>
      <w:r w:rsidR="000423C3">
        <w:t xml:space="preserve"> </w:t>
      </w:r>
      <w:r>
        <w:t xml:space="preserve">The </w:t>
      </w:r>
      <w:r w:rsidR="00D7114C">
        <w:t xml:space="preserve">appellant </w:t>
      </w:r>
      <w:r>
        <w:t>contends</w:t>
      </w:r>
      <w:r w:rsidR="002F1963">
        <w:t>,</w:t>
      </w:r>
      <w:r w:rsidR="000423C3">
        <w:t xml:space="preserve"> and I </w:t>
      </w:r>
      <w:r w:rsidR="002F1963">
        <w:t>agree,</w:t>
      </w:r>
      <w:r w:rsidR="000423C3">
        <w:t xml:space="preserve"> </w:t>
      </w:r>
      <w:r>
        <w:t>that acceptance of this claim by the T</w:t>
      </w:r>
      <w:r w:rsidR="00D7114C">
        <w:t>ribunal</w:t>
      </w:r>
      <w:r>
        <w:t xml:space="preserve"> was </w:t>
      </w:r>
      <w:r w:rsidR="00B23C09">
        <w:t>capable</w:t>
      </w:r>
      <w:r>
        <w:t xml:space="preserve"> of </w:t>
      </w:r>
      <w:r w:rsidR="00B23C09">
        <w:t>providing an</w:t>
      </w:r>
      <w:r w:rsidR="000423C3">
        <w:t xml:space="preserve"> </w:t>
      </w:r>
      <w:r w:rsidR="00B23C09">
        <w:t>independent basis</w:t>
      </w:r>
      <w:r w:rsidR="000423C3">
        <w:t xml:space="preserve"> on which the </w:t>
      </w:r>
      <w:r w:rsidR="00D7114C">
        <w:t xml:space="preserve">appellant </w:t>
      </w:r>
      <w:r w:rsidR="000423C3">
        <w:t xml:space="preserve">could have been found to have a </w:t>
      </w:r>
      <w:r w:rsidR="00B23C09">
        <w:t>well-founded</w:t>
      </w:r>
      <w:r>
        <w:t xml:space="preserve"> fear of persecution. In that sense, I accept the </w:t>
      </w:r>
      <w:r w:rsidR="00D7114C">
        <w:t xml:space="preserve">appellant’s </w:t>
      </w:r>
      <w:r>
        <w:t>submission that the way the T</w:t>
      </w:r>
      <w:r w:rsidR="00D7114C">
        <w:t>ribunal</w:t>
      </w:r>
      <w:r>
        <w:t xml:space="preserve"> dealt with</w:t>
      </w:r>
      <w:r w:rsidR="00E74806">
        <w:t xml:space="preserve"> the</w:t>
      </w:r>
      <w:r>
        <w:t xml:space="preserve"> claim was material to the outcome of its review.</w:t>
      </w:r>
    </w:p>
    <w:p w14:paraId="3D2A1D72" w14:textId="5E4F8A39" w:rsidR="00446483" w:rsidRDefault="00446483" w:rsidP="007F246D">
      <w:pPr>
        <w:pStyle w:val="ParaNumbering"/>
      </w:pPr>
      <w:r>
        <w:t>The T</w:t>
      </w:r>
      <w:r w:rsidR="00D7114C">
        <w:t>ribunal</w:t>
      </w:r>
      <w:r>
        <w:t xml:space="preserve">’s false premise was expressed during the second </w:t>
      </w:r>
      <w:r w:rsidR="00B23C09">
        <w:t>hearing:</w:t>
      </w:r>
    </w:p>
    <w:p w14:paraId="20F8E635" w14:textId="3153227E" w:rsidR="001C4B54" w:rsidRDefault="001C4B54" w:rsidP="001C4B54">
      <w:pPr>
        <w:pStyle w:val="Quote1"/>
      </w:pPr>
      <w:r>
        <w:t xml:space="preserve">MEMBER: You made claims to the previous member that you were on a </w:t>
      </w:r>
      <w:proofErr w:type="spellStart"/>
      <w:r>
        <w:t>Merak</w:t>
      </w:r>
      <w:proofErr w:type="spellEnd"/>
      <w:r>
        <w:t xml:space="preserve"> ship. Is that correct?</w:t>
      </w:r>
    </w:p>
    <w:p w14:paraId="07A43CA0" w14:textId="77777777" w:rsidR="001C4B54" w:rsidRDefault="001C4B54" w:rsidP="001C4B54">
      <w:pPr>
        <w:pStyle w:val="Quote1"/>
      </w:pPr>
      <w:r>
        <w:t>INTERPRETER: In 2009 I came in that ship.</w:t>
      </w:r>
    </w:p>
    <w:p w14:paraId="42B67089" w14:textId="76298D2A" w:rsidR="001C4B54" w:rsidRDefault="001C4B54" w:rsidP="001C4B54">
      <w:pPr>
        <w:pStyle w:val="Quote1"/>
      </w:pPr>
      <w:r>
        <w:t>MEMBER: When did you board that ship?</w:t>
      </w:r>
    </w:p>
    <w:p w14:paraId="0B7EAC05" w14:textId="0A9BE54D" w:rsidR="001C4B54" w:rsidRDefault="001C4B54" w:rsidP="001C4B54">
      <w:pPr>
        <w:pStyle w:val="Quote1"/>
      </w:pPr>
      <w:r>
        <w:t>INTERPRETER: In 2009 we were boarded in Malaysia, and offloaded in Indonesia.</w:t>
      </w:r>
    </w:p>
    <w:p w14:paraId="159A0313" w14:textId="66A4FCED" w:rsidR="001C4B54" w:rsidRDefault="001C4B54" w:rsidP="001C4B54">
      <w:pPr>
        <w:pStyle w:val="Quote1"/>
      </w:pPr>
      <w:r>
        <w:t>MEMBER: When in 2009 did you board that ship?</w:t>
      </w:r>
    </w:p>
    <w:p w14:paraId="29EE00E6" w14:textId="77777777" w:rsidR="001C4B54" w:rsidRDefault="001C4B54" w:rsidP="001C4B54">
      <w:pPr>
        <w:pStyle w:val="Quote1"/>
      </w:pPr>
      <w:r>
        <w:t>INTERPRETER: October, approximately.</w:t>
      </w:r>
    </w:p>
    <w:p w14:paraId="2AA53599" w14:textId="77777777" w:rsidR="001C4B54" w:rsidRDefault="001C4B54" w:rsidP="001C4B54">
      <w:pPr>
        <w:pStyle w:val="Quote1"/>
      </w:pPr>
      <w:r>
        <w:t>MEMBER: What happened?</w:t>
      </w:r>
    </w:p>
    <w:p w14:paraId="4BA18538" w14:textId="1454E093" w:rsidR="001C4B54" w:rsidRDefault="001C4B54" w:rsidP="001C4B54">
      <w:pPr>
        <w:pStyle w:val="Quote1"/>
      </w:pPr>
      <w:r>
        <w:t>INTERPRETER: So, there was a breakdown so the ship wouldn’t move, so it automatically sailed towards Indonesia, and we - probably I shouldn’t. Sorry, Member, I have to use the word “beach” - Indonesia, after that, we told the Indonesians that we are Sri Lankan refugees, and we are living refugee like, and they said they wanted to check us. We refused to get off the ship.</w:t>
      </w:r>
    </w:p>
    <w:p w14:paraId="5A770D1C" w14:textId="2DD1A9BE" w:rsidR="001C4B54" w:rsidRDefault="001C4B54" w:rsidP="001C4B54">
      <w:pPr>
        <w:pStyle w:val="Quote1"/>
      </w:pPr>
      <w:r>
        <w:t>We told them that we cannot trust them, therefore we will not get off the boat. And we told them that we are on our way to Australia. So after that, from the embassy there, there was an Australian girl who came there, and she said this is a dangerous journey, I promise you, she said, look at my eyes, I’m telling you that I will send you in a proper way to Australia. We will send you in a flight to Australia.</w:t>
      </w:r>
    </w:p>
    <w:p w14:paraId="1BA22184" w14:textId="77777777" w:rsidR="001C4B54" w:rsidRDefault="001C4B54" w:rsidP="001C4B54">
      <w:pPr>
        <w:pStyle w:val="Quote1"/>
      </w:pPr>
      <w:r>
        <w:lastRenderedPageBreak/>
        <w:t>MEMBER: How long were you on this boat for?</w:t>
      </w:r>
    </w:p>
    <w:p w14:paraId="588B3C38" w14:textId="40F0A80E" w:rsidR="001C4B54" w:rsidRDefault="001C4B54" w:rsidP="001C4B54">
      <w:pPr>
        <w:pStyle w:val="Quote1"/>
      </w:pPr>
      <w:r>
        <w:t xml:space="preserve">INTERPRETER: It was anchored in Indonesian harbour for about, in </w:t>
      </w:r>
      <w:proofErr w:type="spellStart"/>
      <w:r>
        <w:t>Merak</w:t>
      </w:r>
      <w:proofErr w:type="spellEnd"/>
      <w:r>
        <w:t xml:space="preserve"> Harbour, for about six months. And after that we were transported in a bus to </w:t>
      </w:r>
      <w:proofErr w:type="spellStart"/>
      <w:r>
        <w:t>Kungeprenang</w:t>
      </w:r>
      <w:proofErr w:type="spellEnd"/>
      <w:r>
        <w:t xml:space="preserve"> gaol.</w:t>
      </w:r>
    </w:p>
    <w:p w14:paraId="3154F3F1" w14:textId="601CA51F" w:rsidR="001C4B54" w:rsidRDefault="001C4B54" w:rsidP="001C4B54">
      <w:pPr>
        <w:pStyle w:val="Quote1"/>
      </w:pPr>
      <w:r>
        <w:t>MEMBER: Sorry, did you say the ship broke down and then it beached in Indonesia? Can you explain what exactly you mean by that?</w:t>
      </w:r>
    </w:p>
    <w:p w14:paraId="32328E4A" w14:textId="629DA5CE" w:rsidR="001C4B54" w:rsidRDefault="001C4B54" w:rsidP="001C4B54">
      <w:pPr>
        <w:pStyle w:val="Quote1"/>
      </w:pPr>
      <w:r>
        <w:t>INTERPRETER: After the breakdown, when it entered into the Indonesian border, they came there and the Australian person also met us while we were in the ocean, or the sea.</w:t>
      </w:r>
    </w:p>
    <w:p w14:paraId="1F4AFF46" w14:textId="3954119F" w:rsidR="001C4B54" w:rsidRDefault="001C4B54" w:rsidP="001C4B54">
      <w:pPr>
        <w:pStyle w:val="Quote1"/>
      </w:pPr>
      <w:r>
        <w:t>MEMBER: Can you state, why you never mentioned anything about this before that hearing, and the fact that you also claimed the army came and asked your mother about you after seeing you on this boat? Why didn’t you mention that before your hearing, with the previous member?</w:t>
      </w:r>
    </w:p>
    <w:p w14:paraId="16C1475C" w14:textId="19A00C8E" w:rsidR="001C4B54" w:rsidRDefault="001C4B54" w:rsidP="001C4B54">
      <w:pPr>
        <w:pStyle w:val="Quote1"/>
      </w:pPr>
      <w:r>
        <w:t>INTERPRETER: They asked me for the evidence. I don’t have any evidence for that. Therefore, there itself, they told me that this will not be accepted.</w:t>
      </w:r>
    </w:p>
    <w:p w14:paraId="0FDB49C6" w14:textId="77777777" w:rsidR="001C4B54" w:rsidRDefault="001C4B54" w:rsidP="001C4B54">
      <w:pPr>
        <w:pStyle w:val="Quote1"/>
      </w:pPr>
      <w:r>
        <w:t>MEMBER: Who asked you for evidence?</w:t>
      </w:r>
    </w:p>
    <w:p w14:paraId="52A72829" w14:textId="1EE5640F" w:rsidR="001C4B54" w:rsidRDefault="001C4B54" w:rsidP="001C4B54">
      <w:pPr>
        <w:pStyle w:val="Quote1"/>
      </w:pPr>
      <w:r>
        <w:t xml:space="preserve">INTERPRETER: In that interview, they asked me but I didn’t have proof of it. And everybody who were there were registered by units there, and imprisoned as </w:t>
      </w:r>
      <w:proofErr w:type="spellStart"/>
      <w:r>
        <w:t>Kungeprenang</w:t>
      </w:r>
      <w:proofErr w:type="spellEnd"/>
      <w:r>
        <w:t xml:space="preserve"> gaol.</w:t>
      </w:r>
    </w:p>
    <w:p w14:paraId="6A7AF598" w14:textId="2D7582C7" w:rsidR="001C4B54" w:rsidRDefault="001C4B54" w:rsidP="001C4B54">
      <w:pPr>
        <w:pStyle w:val="Quote1"/>
      </w:pPr>
      <w:r>
        <w:t>MEMBER: Which interview? What interview are you referring to? You’ve had a number of interviews, but I’m not sure which one you’re talking about.</w:t>
      </w:r>
    </w:p>
    <w:p w14:paraId="0A2CB1A5" w14:textId="77777777" w:rsidR="001C4B54" w:rsidRDefault="001C4B54" w:rsidP="001C4B54">
      <w:pPr>
        <w:pStyle w:val="Quote1"/>
      </w:pPr>
      <w:r>
        <w:t>INTERPRETER: Lawyers interview.</w:t>
      </w:r>
    </w:p>
    <w:p w14:paraId="13EBE6EA" w14:textId="61D33754" w:rsidR="001C4B54" w:rsidRDefault="001C4B54" w:rsidP="001C4B54">
      <w:pPr>
        <w:pStyle w:val="Quote1"/>
      </w:pPr>
      <w:r>
        <w:t>MEMBER: I have some serious concerns that your lawyer wouldn’t present these claims without - because you didn’t have any evidence.</w:t>
      </w:r>
    </w:p>
    <w:p w14:paraId="17CE7C1E" w14:textId="56F821C9" w:rsidR="001C4B54" w:rsidRDefault="001C4B54" w:rsidP="001C4B54">
      <w:pPr>
        <w:pStyle w:val="Quote1"/>
      </w:pPr>
      <w:r>
        <w:t>INTERPRETER: He asked me if you have evidence, in order for you to prove you were in that ship, and I told him I don’t have any evidence. That’s what he told me, only if you have evidence we will be able to tell that. If you don’t have evidence, we cannot do anything about it.</w:t>
      </w:r>
    </w:p>
    <w:p w14:paraId="677C50E1" w14:textId="77777777" w:rsidR="001C4B54" w:rsidRDefault="001C4B54" w:rsidP="001C4B54">
      <w:pPr>
        <w:pStyle w:val="Quote1"/>
      </w:pPr>
      <w:r>
        <w:t>MEMBER: So why did you raise it at the tribunal hearing last time?</w:t>
      </w:r>
    </w:p>
    <w:p w14:paraId="628885D8" w14:textId="68306977" w:rsidR="001C4B54" w:rsidRDefault="001C4B54" w:rsidP="001C4B54">
      <w:pPr>
        <w:pStyle w:val="Quote1"/>
      </w:pPr>
      <w:r>
        <w:t>INTERPRETER: No, I have mentioned that in that one, and then they went and told my mother, they said you told us that he has gone to Malaysia for work. Sorry Member, it was told that he has gone to Malaysia for work, but he has got caught in this particular boat, and there are about 254 people including (indistinct) members, and he is in Australia now, he was trying to go there.</w:t>
      </w:r>
    </w:p>
    <w:p w14:paraId="467D21BC" w14:textId="16C9ABE4" w:rsidR="001C4B54" w:rsidRDefault="001C4B54" w:rsidP="001C4B54">
      <w:pPr>
        <w:pStyle w:val="Quote1"/>
      </w:pPr>
      <w:r>
        <w:t xml:space="preserve">MEMBER: No. I am asking you - you have told me you have not mentioned this earlier because you were told by your lawyer you didn’t have any evidence. I want to know why you mentioned it at the last hearing, because that is the first time you’ve ever raised anything about being on the </w:t>
      </w:r>
      <w:proofErr w:type="spellStart"/>
      <w:r>
        <w:t>Merak</w:t>
      </w:r>
      <w:proofErr w:type="spellEnd"/>
      <w:r>
        <w:t xml:space="preserve"> boat, so tell me why you only mentioned it at your last hearing, and never at any time before that.</w:t>
      </w:r>
    </w:p>
    <w:p w14:paraId="33AA7E32" w14:textId="17EDEE4D" w:rsidR="001C4B54" w:rsidRDefault="001C4B54" w:rsidP="001C4B54">
      <w:pPr>
        <w:pStyle w:val="Quote1"/>
      </w:pPr>
      <w:r>
        <w:t>INTERPRETER: Because that I was asked what other evidence I could provide, therefore I told them I can only give an oral evidence about this, I have also been (indistinct).</w:t>
      </w:r>
    </w:p>
    <w:p w14:paraId="7DD70CF2" w14:textId="147951A4" w:rsidR="001C4B54" w:rsidRPr="001C4B54" w:rsidRDefault="001C4B54" w:rsidP="001C4B54">
      <w:pPr>
        <w:pStyle w:val="Quote1"/>
        <w:rPr>
          <w:b/>
        </w:rPr>
      </w:pPr>
      <w:r w:rsidRPr="001C4B54">
        <w:rPr>
          <w:b/>
        </w:rPr>
        <w:t xml:space="preserve">MEMBER: All right, well I have some serious concerns about the credibility of </w:t>
      </w:r>
      <w:r w:rsidRPr="001C4B54">
        <w:rPr>
          <w:b/>
        </w:rPr>
        <w:lastRenderedPageBreak/>
        <w:t>your claims that you were you on this ship, or that any enquiries were made because you are seen to be on this ship, because you only raised it for the first time during that last hearing - the hearing you had with the previous member.</w:t>
      </w:r>
    </w:p>
    <w:p w14:paraId="5077FC2E" w14:textId="4A5F0483" w:rsidR="001C4B54" w:rsidRDefault="001C4B54" w:rsidP="001C4B54">
      <w:pPr>
        <w:pStyle w:val="Quote1"/>
      </w:pPr>
      <w:r>
        <w:t>INTERPRETER: He was never given a chance to give any evidence. I told them that I can give an oral evidence, and I was dismissed. The only evidence is those 254 people who were on that particular boat, they will be able to identify myself - identify me. So they are in Australia, New Zealand, Germany, America and other places, they will be able to tell me.</w:t>
      </w:r>
    </w:p>
    <w:p w14:paraId="3A3CF905" w14:textId="097227D0" w:rsidR="001C4B54" w:rsidRDefault="001C4B54" w:rsidP="001C4B54">
      <w:pPr>
        <w:pStyle w:val="Quote1"/>
      </w:pPr>
      <w:r>
        <w:t>(emphasis added)</w:t>
      </w:r>
    </w:p>
    <w:p w14:paraId="47D4D77B" w14:textId="293DB33D" w:rsidR="00102F7E" w:rsidRDefault="00203614" w:rsidP="007F246D">
      <w:pPr>
        <w:pStyle w:val="ParaNumbering"/>
      </w:pPr>
      <w:r>
        <w:t xml:space="preserve">In contrast to the position the </w:t>
      </w:r>
      <w:r w:rsidR="002F1963">
        <w:t xml:space="preserve">second </w:t>
      </w:r>
      <w:r>
        <w:t>T</w:t>
      </w:r>
      <w:r w:rsidR="008A16D7">
        <w:t>ribunal</w:t>
      </w:r>
      <w:r>
        <w:t xml:space="preserve"> member assumed to be the case, the </w:t>
      </w:r>
      <w:r w:rsidR="00B23C09">
        <w:t>evidence</w:t>
      </w:r>
      <w:r>
        <w:t xml:space="preserve"> is that the </w:t>
      </w:r>
      <w:r w:rsidR="008A16D7">
        <w:t xml:space="preserve">appellant </w:t>
      </w:r>
      <w:r>
        <w:t xml:space="preserve">had raised this claim before the </w:t>
      </w:r>
      <w:r w:rsidR="00B23C09">
        <w:t>delegate</w:t>
      </w:r>
      <w:r w:rsidR="00071E82">
        <w:t>. Ms Far</w:t>
      </w:r>
      <w:r>
        <w:t xml:space="preserve">am deposed </w:t>
      </w:r>
      <w:r w:rsidR="00B23C09">
        <w:t>that</w:t>
      </w:r>
      <w:r w:rsidR="002F1963">
        <w:t xml:space="preserve"> </w:t>
      </w:r>
      <w:r>
        <w:t xml:space="preserve">she listened </w:t>
      </w:r>
      <w:r w:rsidR="00B23C09">
        <w:t>to</w:t>
      </w:r>
      <w:r>
        <w:t xml:space="preserve"> the transcript of the </w:t>
      </w:r>
      <w:r w:rsidR="00B23C09">
        <w:t>interview</w:t>
      </w:r>
      <w:r>
        <w:t xml:space="preserve"> with the delegate, and transcribed it. Her </w:t>
      </w:r>
      <w:r w:rsidR="00B23C09">
        <w:t>evidence</w:t>
      </w:r>
      <w:r>
        <w:t xml:space="preserve"> was not challenged on the appeal by the M</w:t>
      </w:r>
      <w:r w:rsidR="008A16D7">
        <w:t>inister</w:t>
      </w:r>
      <w:r>
        <w:t>. Relevant passages from that transcript are as follows:</w:t>
      </w:r>
    </w:p>
    <w:p w14:paraId="5A7BC6CA" w14:textId="008B2770" w:rsidR="00132179" w:rsidRDefault="008A16D7" w:rsidP="00132179">
      <w:pPr>
        <w:pStyle w:val="Quote1"/>
        <w:ind w:left="2160" w:hanging="1423"/>
      </w:pPr>
      <w:r>
        <w:t>Applicant:</w:t>
      </w:r>
      <w:r w:rsidR="00132179">
        <w:tab/>
      </w:r>
      <w:r>
        <w:t>When I was in the ship in Indonesia I got caught and a person who was in that particular ship when he went he got tortured and I heard about it and also while I was in the ship, I had given interviews to the media and they had also taken a lot of photographs.</w:t>
      </w:r>
    </w:p>
    <w:p w14:paraId="06845ABE" w14:textId="6049CEE7" w:rsidR="008A16D7" w:rsidRDefault="008A16D7" w:rsidP="00132179">
      <w:pPr>
        <w:pStyle w:val="Quote1"/>
        <w:ind w:left="2160"/>
      </w:pPr>
      <w:r>
        <w:t>Therefore, my mother told me we were able to see you, you guys are on the ship and you got caught. And also you have applied for refugee status and therefore - stating that you were tortured and that you were subjected to other things - therefore please don’t return because if you return you will be in trouble. My friend who was with me at the ship had got off and gone back because he heard that his mother was ill and he was held there and he was tortured, therefore I did not like to go because I will also have a similar situation.</w:t>
      </w:r>
    </w:p>
    <w:p w14:paraId="25BC66AF" w14:textId="39A7724F" w:rsidR="008A16D7" w:rsidRDefault="008A16D7" w:rsidP="00132179">
      <w:pPr>
        <w:pStyle w:val="Quote1"/>
        <w:ind w:left="2160" w:hanging="1423"/>
      </w:pPr>
      <w:r>
        <w:t>Case Officer:</w:t>
      </w:r>
      <w:r w:rsidR="00132179">
        <w:tab/>
      </w:r>
      <w:r>
        <w:t>Ok. Now, at your earlier interview, we call it an entry interview. There was a very specific question asked - did the police and security or intelligence agencies impact on your daily life in your home country. And you have clearly answered no. Is there any reason?</w:t>
      </w:r>
    </w:p>
    <w:p w14:paraId="6200D9C0" w14:textId="17693115" w:rsidR="008A16D7" w:rsidRDefault="008A16D7" w:rsidP="008A16D7">
      <w:pPr>
        <w:pStyle w:val="Quote1"/>
      </w:pPr>
      <w:r>
        <w:t>Applicant:</w:t>
      </w:r>
      <w:r w:rsidR="00132179">
        <w:tab/>
      </w:r>
      <w:r>
        <w:t>I don’t understand that question.</w:t>
      </w:r>
      <w:r w:rsidR="00132179">
        <w:t xml:space="preserve"> …</w:t>
      </w:r>
    </w:p>
    <w:p w14:paraId="38E52241" w14:textId="5EB8713E" w:rsidR="00132179" w:rsidRPr="00132179" w:rsidRDefault="00E14E52" w:rsidP="00132179">
      <w:pPr>
        <w:pStyle w:val="Quote1"/>
      </w:pPr>
      <w:r>
        <w:t>[</w:t>
      </w:r>
      <w:r w:rsidR="00071E82">
        <w:t xml:space="preserve">there was then a break in the </w:t>
      </w:r>
      <w:r>
        <w:t>hearing]</w:t>
      </w:r>
    </w:p>
    <w:p w14:paraId="398CAA3A" w14:textId="70B89C59" w:rsidR="00132179" w:rsidRPr="00132179" w:rsidRDefault="00132179" w:rsidP="00132179">
      <w:pPr>
        <w:pStyle w:val="Quote1"/>
        <w:ind w:left="2160" w:hanging="1423"/>
      </w:pPr>
      <w:r w:rsidRPr="00132179">
        <w:t>Case Officer:</w:t>
      </w:r>
      <w:r>
        <w:tab/>
      </w:r>
      <w:r w:rsidRPr="00132179">
        <w:t>Interview resumed at 1:30 Ok</w:t>
      </w:r>
      <w:r w:rsidR="00E3362F">
        <w:t xml:space="preserve"> </w:t>
      </w:r>
      <w:r w:rsidRPr="00132179">
        <w:t>- do you have anything else to tell me, other than what you have told me before?</w:t>
      </w:r>
    </w:p>
    <w:p w14:paraId="25CB5CEF" w14:textId="612C97EA" w:rsidR="00132179" w:rsidRPr="00132179" w:rsidRDefault="00132179" w:rsidP="00132179">
      <w:pPr>
        <w:pStyle w:val="Quote1"/>
      </w:pPr>
      <w:r w:rsidRPr="00132179">
        <w:t>Applicant:</w:t>
      </w:r>
      <w:r>
        <w:tab/>
      </w:r>
      <w:r w:rsidRPr="00132179">
        <w:t xml:space="preserve">I would like to say something about the </w:t>
      </w:r>
      <w:proofErr w:type="spellStart"/>
      <w:r w:rsidRPr="00132179">
        <w:t>Merak</w:t>
      </w:r>
      <w:proofErr w:type="spellEnd"/>
      <w:r w:rsidRPr="00132179">
        <w:t xml:space="preserve"> Boat. [1:27]</w:t>
      </w:r>
    </w:p>
    <w:p w14:paraId="05B905E2" w14:textId="546D5214" w:rsidR="00132179" w:rsidRPr="00132179" w:rsidRDefault="00132179" w:rsidP="00132179">
      <w:pPr>
        <w:pStyle w:val="Quote1"/>
      </w:pPr>
      <w:r w:rsidRPr="00132179">
        <w:t>Case Officer:</w:t>
      </w:r>
      <w:r>
        <w:tab/>
      </w:r>
      <w:r w:rsidRPr="00132179">
        <w:t>Oh, ok.</w:t>
      </w:r>
    </w:p>
    <w:p w14:paraId="26236667" w14:textId="4B74B68C" w:rsidR="00132179" w:rsidRPr="00132179" w:rsidRDefault="00132179" w:rsidP="00132179">
      <w:pPr>
        <w:pStyle w:val="Quote1"/>
      </w:pPr>
      <w:r w:rsidRPr="00132179">
        <w:t>Rep:</w:t>
      </w:r>
      <w:r>
        <w:tab/>
      </w:r>
      <w:r>
        <w:tab/>
      </w:r>
      <w:r w:rsidRPr="00132179">
        <w:t>I missed that. Interpreter can you repeat that?</w:t>
      </w:r>
    </w:p>
    <w:p w14:paraId="30D6F269" w14:textId="3D41DAD9" w:rsidR="00132179" w:rsidRPr="00132179" w:rsidRDefault="00132179" w:rsidP="00132179">
      <w:pPr>
        <w:pStyle w:val="Quote1"/>
      </w:pPr>
      <w:r w:rsidRPr="00132179">
        <w:t>Interpreter:</w:t>
      </w:r>
      <w:r>
        <w:tab/>
      </w:r>
      <w:r w:rsidRPr="00132179">
        <w:t xml:space="preserve">Where I stayed in </w:t>
      </w:r>
      <w:proofErr w:type="spellStart"/>
      <w:r w:rsidRPr="00132179">
        <w:t>Merak</w:t>
      </w:r>
      <w:proofErr w:type="spellEnd"/>
      <w:r w:rsidRPr="00132179">
        <w:t xml:space="preserve"> boat.</w:t>
      </w:r>
    </w:p>
    <w:p w14:paraId="222160D9" w14:textId="2F783A5A" w:rsidR="00132179" w:rsidRPr="00132179" w:rsidRDefault="00132179" w:rsidP="00132179">
      <w:pPr>
        <w:pStyle w:val="Quote1"/>
        <w:ind w:left="2160" w:hanging="1423"/>
      </w:pPr>
      <w:r w:rsidRPr="00132179">
        <w:t>Applicant:</w:t>
      </w:r>
      <w:r>
        <w:tab/>
      </w:r>
      <w:r w:rsidRPr="00132179">
        <w:t>I don</w:t>
      </w:r>
      <w:r w:rsidR="00E3362F">
        <w:t>’</w:t>
      </w:r>
      <w:r w:rsidRPr="00132179">
        <w:t>t know if I have mentioned about that in my case, I was in that particular boat and I got unwell and then I had to get off and then I was provided treatment and after that I went to Malaysia.</w:t>
      </w:r>
    </w:p>
    <w:p w14:paraId="758D2617" w14:textId="569D64A3" w:rsidR="00132179" w:rsidRPr="00132179" w:rsidRDefault="00132179" w:rsidP="00132179">
      <w:pPr>
        <w:pStyle w:val="Quote1"/>
      </w:pPr>
      <w:r w:rsidRPr="00132179">
        <w:t>Case Officer:</w:t>
      </w:r>
      <w:r>
        <w:tab/>
      </w:r>
      <w:r w:rsidRPr="00132179">
        <w:t>Ok</w:t>
      </w:r>
    </w:p>
    <w:p w14:paraId="07230F41" w14:textId="57019824" w:rsidR="00132179" w:rsidRPr="00132179" w:rsidRDefault="00132179" w:rsidP="00132179">
      <w:pPr>
        <w:pStyle w:val="Quote1"/>
        <w:ind w:left="2160" w:hanging="1423"/>
      </w:pPr>
      <w:r w:rsidRPr="00132179">
        <w:lastRenderedPageBreak/>
        <w:t>Applicant:</w:t>
      </w:r>
      <w:r>
        <w:tab/>
      </w:r>
      <w:r w:rsidRPr="00132179">
        <w:t>They had seen everything in the news that we were in the particular ship for five months and we were struggling and we were seeking asylum. And they had seen everything. After this, the civil army had gone to my home and asked my mother that you said that your son has gone to work but your son is in that particular ship. There were about three of us from the same village who were in that village -</w:t>
      </w:r>
      <w:r w:rsidR="00E3362F">
        <w:t xml:space="preserve"> </w:t>
      </w:r>
      <w:r w:rsidRPr="00132179">
        <w:t xml:space="preserve">they had gone and told my mother, </w:t>
      </w:r>
      <w:r w:rsidR="00E3362F">
        <w:t>‘</w:t>
      </w:r>
      <w:r w:rsidRPr="00132179">
        <w:t>we saw them there in the ship</w:t>
      </w:r>
      <w:r w:rsidR="00E3362F">
        <w:t>’</w:t>
      </w:r>
      <w:r w:rsidRPr="00132179">
        <w:t>. People who were in the boat have come here, everyone has come here, and there was one person who has died and after that I had itching and as I was unable to stay in the particular ship, I had come out of the ship and gone outside and I received t</w:t>
      </w:r>
      <w:r w:rsidR="00E3362F">
        <w:t>reatment and then I went. I don’</w:t>
      </w:r>
      <w:r w:rsidRPr="00132179">
        <w:t>t know if I have mentioned it here, therefore I am telling that to you.</w:t>
      </w:r>
    </w:p>
    <w:p w14:paraId="670CF0E6" w14:textId="326AA9E1" w:rsidR="00132179" w:rsidRPr="00132179" w:rsidRDefault="00132179" w:rsidP="00132179">
      <w:pPr>
        <w:pStyle w:val="Quote1"/>
      </w:pPr>
      <w:r w:rsidRPr="00132179">
        <w:t>Case Officer:</w:t>
      </w:r>
      <w:r>
        <w:tab/>
      </w:r>
      <w:r w:rsidRPr="00132179">
        <w:t>So how does that story affect your claim?</w:t>
      </w:r>
    </w:p>
    <w:p w14:paraId="328E3AB9" w14:textId="602E825D" w:rsidR="00132179" w:rsidRPr="00132179" w:rsidRDefault="00132179" w:rsidP="00132179">
      <w:pPr>
        <w:pStyle w:val="Quote1"/>
        <w:ind w:left="2160" w:hanging="1423"/>
      </w:pPr>
      <w:r w:rsidRPr="00132179">
        <w:t>Applicant:</w:t>
      </w:r>
      <w:r>
        <w:tab/>
      </w:r>
      <w:r w:rsidRPr="00132179">
        <w:t>They have seen me in the, seen that in the news and they have gone to my mother, they have gone and asked her that you said your son was working in Malaysia but he has got caught in Indonesia.</w:t>
      </w:r>
    </w:p>
    <w:p w14:paraId="156FA294" w14:textId="14182577" w:rsidR="00132179" w:rsidRPr="00132179" w:rsidRDefault="00132179" w:rsidP="00132179">
      <w:pPr>
        <w:pStyle w:val="Quote1"/>
      </w:pPr>
      <w:r w:rsidRPr="00132179">
        <w:t>Case Officer:</w:t>
      </w:r>
      <w:r>
        <w:tab/>
      </w:r>
      <w:r w:rsidRPr="00132179">
        <w:t>Ok, so in what way does that affect you?</w:t>
      </w:r>
    </w:p>
    <w:p w14:paraId="265A7E25" w14:textId="58FB0E7C" w:rsidR="00132179" w:rsidRPr="00132179" w:rsidRDefault="00132179" w:rsidP="00132179">
      <w:pPr>
        <w:pStyle w:val="Quote1"/>
        <w:ind w:left="2160" w:hanging="1423"/>
      </w:pPr>
      <w:r w:rsidRPr="00132179">
        <w:t>Applicant:</w:t>
      </w:r>
      <w:r>
        <w:tab/>
      </w:r>
      <w:r w:rsidRPr="00132179">
        <w:t>That could be also a reason, because they will think that I was escaping to go into another country and the people who were in the ship also who went also got affected.</w:t>
      </w:r>
    </w:p>
    <w:p w14:paraId="17E5F134" w14:textId="45156079" w:rsidR="00132179" w:rsidRPr="00132179" w:rsidRDefault="00132179" w:rsidP="00E14E52">
      <w:pPr>
        <w:pStyle w:val="Quote1"/>
        <w:ind w:left="2160" w:hanging="1423"/>
      </w:pPr>
      <w:r>
        <w:tab/>
      </w:r>
      <w:r w:rsidRPr="00132179">
        <w:t>So even if they consider that you have gone to another country to seek asylum, in what way does that affect you?</w:t>
      </w:r>
    </w:p>
    <w:p w14:paraId="601C000C" w14:textId="53224CB2" w:rsidR="00132179" w:rsidRPr="00132179" w:rsidRDefault="00132179" w:rsidP="00E14E52">
      <w:pPr>
        <w:pStyle w:val="Quote1"/>
        <w:ind w:left="2160" w:hanging="1423"/>
      </w:pPr>
      <w:r w:rsidRPr="00132179">
        <w:t>Applicant:</w:t>
      </w:r>
      <w:r>
        <w:tab/>
      </w:r>
      <w:r w:rsidRPr="00132179">
        <w:t>They will ask me, you have gone and sought protection, saying you are</w:t>
      </w:r>
      <w:r>
        <w:t xml:space="preserve"> </w:t>
      </w:r>
      <w:r w:rsidRPr="00132179">
        <w:t xml:space="preserve">having problems but there is no problem here. For that particular question I </w:t>
      </w:r>
      <w:r w:rsidR="00E3362F">
        <w:t>don’</w:t>
      </w:r>
      <w:r w:rsidRPr="00132179">
        <w:t>t have any answe</w:t>
      </w:r>
      <w:r w:rsidR="00E3362F">
        <w:t>r. ‘</w:t>
      </w:r>
      <w:r w:rsidRPr="00132179">
        <w:t xml:space="preserve">Why are you lodging an application, what is the </w:t>
      </w:r>
      <w:r w:rsidR="00E3362F">
        <w:t>problem you have here’</w:t>
      </w:r>
      <w:r w:rsidRPr="00132179">
        <w:t>, they will ask me that and this.</w:t>
      </w:r>
    </w:p>
    <w:p w14:paraId="2D3ABEED" w14:textId="3A951585" w:rsidR="00132179" w:rsidRPr="00132179" w:rsidRDefault="00132179" w:rsidP="00071E82">
      <w:pPr>
        <w:pStyle w:val="Quote1"/>
        <w:ind w:left="2160" w:hanging="1423"/>
      </w:pPr>
      <w:r w:rsidRPr="00132179">
        <w:t>Case Officer:</w:t>
      </w:r>
      <w:r>
        <w:tab/>
      </w:r>
      <w:r w:rsidRPr="00132179">
        <w:t>So if they ask you what is the problem?</w:t>
      </w:r>
    </w:p>
    <w:p w14:paraId="4B6631D6" w14:textId="638CC685" w:rsidR="00132179" w:rsidRPr="00132179" w:rsidRDefault="00132179" w:rsidP="00E14E52">
      <w:pPr>
        <w:pStyle w:val="Quote1"/>
        <w:ind w:left="2160" w:hanging="1423"/>
      </w:pPr>
      <w:r w:rsidRPr="00132179">
        <w:t>Applicant:</w:t>
      </w:r>
      <w:r>
        <w:tab/>
      </w:r>
      <w:r w:rsidRPr="00132179">
        <w:t>I cannot say that because I have also made an application here, therefore if I go, if I say anything, they will torture me - they can torture me.</w:t>
      </w:r>
    </w:p>
    <w:p w14:paraId="2FBE7537" w14:textId="6B3DF961" w:rsidR="00132179" w:rsidRPr="00132179" w:rsidRDefault="00132179" w:rsidP="00E14E52">
      <w:pPr>
        <w:pStyle w:val="Quote1"/>
        <w:ind w:left="2160" w:hanging="1423"/>
      </w:pPr>
      <w:r w:rsidRPr="00BF4753">
        <w:t>Case Officer:</w:t>
      </w:r>
      <w:r w:rsidRPr="00BF4753">
        <w:tab/>
      </w:r>
      <w:r w:rsidR="00071E82" w:rsidRPr="00BF4753">
        <w:t>…</w:t>
      </w:r>
    </w:p>
    <w:p w14:paraId="3502D1E2" w14:textId="53D681A2" w:rsidR="00132179" w:rsidRPr="00132179" w:rsidRDefault="00132179" w:rsidP="00F00951">
      <w:pPr>
        <w:pStyle w:val="Quote1"/>
        <w:ind w:left="2160"/>
      </w:pPr>
      <w:r w:rsidRPr="00132179">
        <w:t xml:space="preserve">The country information that we have clearly states that returnees from Australia are processed by the state intelligence service and they are asked questions about why they have gone, where they have gone - only if they are suspected to have committed any criminal offences, you will be detained, otherwise you will be sent out of the airport in a few </w:t>
      </w:r>
      <w:proofErr w:type="spellStart"/>
      <w:r w:rsidRPr="00132179">
        <w:t>hours time</w:t>
      </w:r>
      <w:proofErr w:type="spellEnd"/>
      <w:r w:rsidRPr="00132179">
        <w:t>. So, we do have that country information. But there is no country information to substantiate that they are being persecuted because they have been returned from, after seeking asylum in a western country. Ok.</w:t>
      </w:r>
    </w:p>
    <w:p w14:paraId="48741535" w14:textId="54978894" w:rsidR="00132179" w:rsidRPr="00132179" w:rsidRDefault="00132179" w:rsidP="00132179">
      <w:pPr>
        <w:pStyle w:val="Quote1"/>
        <w:ind w:left="2160" w:hanging="1423"/>
      </w:pPr>
      <w:r w:rsidRPr="00132179">
        <w:t>Applicant:</w:t>
      </w:r>
      <w:r w:rsidRPr="00132179">
        <w:tab/>
        <w:t>But they have been persecuted, even two of my friends who were with me in the ship: when they went back, they were detained and they were persecuted. I don't know what's happening to them now.</w:t>
      </w:r>
    </w:p>
    <w:p w14:paraId="028B8E71" w14:textId="377465AC" w:rsidR="00203614" w:rsidRDefault="00B23C09" w:rsidP="007F246D">
      <w:pPr>
        <w:pStyle w:val="ParaNumbering"/>
      </w:pPr>
      <w:r>
        <w:lastRenderedPageBreak/>
        <w:t>Properly, the M</w:t>
      </w:r>
      <w:r w:rsidR="00D866E7">
        <w:t>inister’</w:t>
      </w:r>
      <w:r>
        <w:t xml:space="preserve">s counsel accepted this evidence demonstrated the </w:t>
      </w:r>
      <w:r w:rsidR="00D866E7">
        <w:t xml:space="preserve">appellant </w:t>
      </w:r>
      <w:r>
        <w:t xml:space="preserve">had relied on the narrative about what happened to him on the </w:t>
      </w:r>
      <w:proofErr w:type="spellStart"/>
      <w:r>
        <w:t>Merak</w:t>
      </w:r>
      <w:proofErr w:type="spellEnd"/>
      <w:r>
        <w:t xml:space="preserve"> </w:t>
      </w:r>
      <w:r w:rsidR="0099242D">
        <w:t>ship</w:t>
      </w:r>
      <w:r>
        <w:t xml:space="preserve"> before the delegate. </w:t>
      </w:r>
      <w:r w:rsidR="00203614">
        <w:t>The M</w:t>
      </w:r>
      <w:r w:rsidR="00D866E7">
        <w:t>inister</w:t>
      </w:r>
      <w:r w:rsidR="00203614">
        <w:t xml:space="preserve"> also accepted there was a refe</w:t>
      </w:r>
      <w:r w:rsidR="00D866E7">
        <w:t>re</w:t>
      </w:r>
      <w:r w:rsidR="00203614">
        <w:t xml:space="preserve">nce to the </w:t>
      </w:r>
      <w:r w:rsidR="00D866E7">
        <w:t xml:space="preserve">appellant </w:t>
      </w:r>
      <w:r>
        <w:t>being</w:t>
      </w:r>
      <w:r w:rsidR="00203614">
        <w:t xml:space="preserve"> detained at a “centre” in </w:t>
      </w:r>
      <w:proofErr w:type="spellStart"/>
      <w:r w:rsidR="00203614">
        <w:t>Merak</w:t>
      </w:r>
      <w:proofErr w:type="spellEnd"/>
      <w:r w:rsidR="00203614">
        <w:t xml:space="preserve"> </w:t>
      </w:r>
      <w:r w:rsidR="007C63F9">
        <w:t>B</w:t>
      </w:r>
      <w:r w:rsidR="00203614">
        <w:t xml:space="preserve">oat </w:t>
      </w:r>
      <w:r w:rsidR="007C63F9">
        <w:t>H</w:t>
      </w:r>
      <w:r>
        <w:t>arbour</w:t>
      </w:r>
      <w:r w:rsidR="00203614">
        <w:t xml:space="preserve"> in his </w:t>
      </w:r>
      <w:r w:rsidR="00D866E7">
        <w:t xml:space="preserve">protection visa </w:t>
      </w:r>
      <w:r>
        <w:t>application</w:t>
      </w:r>
      <w:r w:rsidR="00203614">
        <w:t xml:space="preserve"> </w:t>
      </w:r>
      <w:r>
        <w:t>documents</w:t>
      </w:r>
      <w:r w:rsidR="00203614">
        <w:t xml:space="preserve">, between </w:t>
      </w:r>
      <w:r>
        <w:t>October</w:t>
      </w:r>
      <w:r w:rsidR="00203614">
        <w:t xml:space="preserve"> 2009 and March 2010. It will be recalled that in his </w:t>
      </w:r>
      <w:r>
        <w:t>evidence</w:t>
      </w:r>
      <w:r w:rsidR="00203614">
        <w:t xml:space="preserve"> to the second T</w:t>
      </w:r>
      <w:r w:rsidR="00D866E7">
        <w:t>ribunal</w:t>
      </w:r>
      <w:r w:rsidR="00203614">
        <w:t xml:space="preserve">, the </w:t>
      </w:r>
      <w:r w:rsidR="00D866E7">
        <w:t xml:space="preserve">appellant </w:t>
      </w:r>
      <w:r w:rsidR="00203614">
        <w:t xml:space="preserve">stated that he was detained on this boat for about six </w:t>
      </w:r>
      <w:r>
        <w:t>months. Obviously,</w:t>
      </w:r>
      <w:r w:rsidR="00B63972">
        <w:t xml:space="preserve"> </w:t>
      </w:r>
      <w:r w:rsidR="002F1963">
        <w:t>a</w:t>
      </w:r>
      <w:r w:rsidR="00B63972">
        <w:t xml:space="preserve"> boat is not </w:t>
      </w:r>
      <w:r w:rsidR="002F1963">
        <w:t xml:space="preserve">easily described as </w:t>
      </w:r>
      <w:r w:rsidR="00B63972">
        <w:t xml:space="preserve">a </w:t>
      </w:r>
      <w:r w:rsidR="00E3362F">
        <w:t>“</w:t>
      </w:r>
      <w:r w:rsidR="00B63972">
        <w:t xml:space="preserve">centre”, but there are </w:t>
      </w:r>
      <w:r>
        <w:t>a number</w:t>
      </w:r>
      <w:r w:rsidR="00B63972">
        <w:t xml:space="preserve"> of explanations for that </w:t>
      </w:r>
      <w:r w:rsidR="00E14E52">
        <w:t xml:space="preserve">language </w:t>
      </w:r>
      <w:r w:rsidR="00B63972">
        <w:t>difference, none of which were explored by the T</w:t>
      </w:r>
      <w:r w:rsidR="00D866E7">
        <w:t>ribunal</w:t>
      </w:r>
      <w:r w:rsidR="00B63972">
        <w:t xml:space="preserve"> because it simply rejected the </w:t>
      </w:r>
      <w:r w:rsidR="00D866E7">
        <w:t>appellant</w:t>
      </w:r>
      <w:r w:rsidR="00B63972">
        <w:t>’s claim as entirely false.</w:t>
      </w:r>
    </w:p>
    <w:p w14:paraId="665592DE" w14:textId="550F3F9A" w:rsidR="00B63972" w:rsidRDefault="00B63972" w:rsidP="007F246D">
      <w:pPr>
        <w:pStyle w:val="ParaNumbering"/>
      </w:pPr>
      <w:r>
        <w:t xml:space="preserve">Despite the narrative </w:t>
      </w:r>
      <w:r w:rsidR="00B23C09">
        <w:t>given</w:t>
      </w:r>
      <w:r>
        <w:t xml:space="preserve"> to the delegate about the </w:t>
      </w:r>
      <w:proofErr w:type="spellStart"/>
      <w:r w:rsidR="00B23C09">
        <w:t>Merak</w:t>
      </w:r>
      <w:proofErr w:type="spellEnd"/>
      <w:r>
        <w:t xml:space="preserve"> </w:t>
      </w:r>
      <w:r w:rsidR="0099242D">
        <w:t>ship</w:t>
      </w:r>
      <w:r>
        <w:t xml:space="preserve">, the </w:t>
      </w:r>
      <w:r w:rsidR="00B23C09">
        <w:t>delegate</w:t>
      </w:r>
      <w:r>
        <w:t xml:space="preserve"> made no findings on this claim. </w:t>
      </w:r>
      <w:r w:rsidR="00B23C09">
        <w:t>That may, in practical terms, explain why the second T</w:t>
      </w:r>
      <w:r w:rsidR="00D866E7">
        <w:t>ribunal</w:t>
      </w:r>
      <w:r w:rsidR="00B23C09">
        <w:t xml:space="preserve"> mistakenly thought it was a claim mad</w:t>
      </w:r>
      <w:r w:rsidR="00D62BCE">
        <w:t>e for the first time to the T</w:t>
      </w:r>
      <w:r w:rsidR="00D866E7">
        <w:t>ribunal</w:t>
      </w:r>
      <w:r w:rsidR="00D62BCE">
        <w:t>. O</w:t>
      </w:r>
      <w:r w:rsidR="00B23C09">
        <w:t>f course, if the second T</w:t>
      </w:r>
      <w:r w:rsidR="00D866E7">
        <w:t>ribunal</w:t>
      </w:r>
      <w:r w:rsidR="00B23C09">
        <w:t xml:space="preserve"> had listened to the interview before the delegate, the T</w:t>
      </w:r>
      <w:r w:rsidR="00D866E7">
        <w:t>ribunal</w:t>
      </w:r>
      <w:r w:rsidR="00B23C09">
        <w:t xml:space="preserve"> would have understood that the </w:t>
      </w:r>
      <w:r w:rsidR="00D866E7">
        <w:t xml:space="preserve">appellant </w:t>
      </w:r>
      <w:r w:rsidR="00B23C09">
        <w:t>did make the claim at that stage.</w:t>
      </w:r>
    </w:p>
    <w:p w14:paraId="4507E1CB" w14:textId="24B7B9FC" w:rsidR="000639EF" w:rsidRDefault="000639EF" w:rsidP="007F246D">
      <w:pPr>
        <w:pStyle w:val="ParaNumbering"/>
      </w:pPr>
      <w:r>
        <w:t xml:space="preserve">An alternative explanation, as the Minister submitted, is that the error was initially made by the first Tribunal. The transcript of the review hearing before the first Tribunal indicated that when the appellant spoke about the </w:t>
      </w:r>
      <w:proofErr w:type="spellStart"/>
      <w:r>
        <w:t>Merak</w:t>
      </w:r>
      <w:proofErr w:type="spellEnd"/>
      <w:r>
        <w:t xml:space="preserve"> ship incident, in answer to a question from the first Tribunal, he was challenged about why he was raising this claim for the first time. The first Tribunal transcript reveals the appellant gave substantive evidence about how he had been identified in Sri Lanka from media footage, including in his village. Whether or not this is the explanation is not material to the existence of the error. I am satisfied there was such an error.</w:t>
      </w:r>
    </w:p>
    <w:p w14:paraId="4BC926AE" w14:textId="42CDE7CE" w:rsidR="00B63972" w:rsidRDefault="00B63972" w:rsidP="00D866E7">
      <w:pPr>
        <w:pStyle w:val="ParaNumbering"/>
      </w:pPr>
      <w:r>
        <w:t xml:space="preserve">In terms of the characterisation of the error, the </w:t>
      </w:r>
      <w:r w:rsidR="00D866E7">
        <w:t xml:space="preserve">appellant </w:t>
      </w:r>
      <w:r>
        <w:t xml:space="preserve">relies on two decisions. The first is the </w:t>
      </w:r>
      <w:r w:rsidR="00B23C09">
        <w:t>decision</w:t>
      </w:r>
      <w:r>
        <w:t xml:space="preserve"> of the Full Court in </w:t>
      </w:r>
      <w:r w:rsidR="00D866E7" w:rsidRPr="002C455C">
        <w:rPr>
          <w:i/>
        </w:rPr>
        <w:t>AVQ15 v Minister for Immigration and Border Protection</w:t>
      </w:r>
      <w:r w:rsidR="00D866E7" w:rsidRPr="002C455C" w:rsidDel="00D866E7">
        <w:rPr>
          <w:i/>
        </w:rPr>
        <w:t xml:space="preserve"> </w:t>
      </w:r>
      <w:r w:rsidRPr="002C455C">
        <w:t>[2018] FCAFC 133</w:t>
      </w:r>
      <w:r>
        <w:t xml:space="preserve"> at [48], where the Court said:</w:t>
      </w:r>
    </w:p>
    <w:p w14:paraId="200BCCC4" w14:textId="77777777" w:rsidR="00B63972" w:rsidRPr="00634D1D" w:rsidRDefault="00B63972" w:rsidP="00974B81">
      <w:pPr>
        <w:pStyle w:val="Quote1"/>
      </w:pPr>
      <w:r w:rsidRPr="00634D1D">
        <w:t xml:space="preserve">We are satisfied that the Tribunal’s decision is affected by jurisdictional error and the primary judge erred in not upholding ground 1 of the amended application for judicial review. The Tribunal’s apparent overlooking of material in the form of the transcript of the appellant’s interview with the Departmental officer could also be characterised as a constructive failure to exercise jurisdiction (see </w:t>
      </w:r>
      <w:r w:rsidRPr="00634D1D">
        <w:rPr>
          <w:rFonts w:ascii="TimesNewRomanPS" w:hAnsi="TimesNewRomanPS"/>
          <w:i/>
          <w:iCs/>
        </w:rPr>
        <w:t xml:space="preserve">Re Minister for Immigration and Multicultural Affairs; Ex parte Miah </w:t>
      </w:r>
      <w:r w:rsidRPr="00634D1D">
        <w:t xml:space="preserve">[2001] HCA 22; 206 CLR 57 at [80] </w:t>
      </w:r>
      <w:proofErr w:type="spellStart"/>
      <w:r w:rsidRPr="00634D1D">
        <w:t>ff</w:t>
      </w:r>
      <w:proofErr w:type="spellEnd"/>
      <w:r w:rsidRPr="00634D1D">
        <w:t xml:space="preserve"> per </w:t>
      </w:r>
      <w:proofErr w:type="spellStart"/>
      <w:r w:rsidRPr="00634D1D">
        <w:t>Gaudron</w:t>
      </w:r>
      <w:proofErr w:type="spellEnd"/>
      <w:r w:rsidRPr="00634D1D">
        <w:t xml:space="preserve"> J; </w:t>
      </w:r>
      <w:r w:rsidRPr="00634D1D">
        <w:rPr>
          <w:rFonts w:ascii="TimesNewRomanPS" w:hAnsi="TimesNewRomanPS"/>
          <w:i/>
          <w:iCs/>
        </w:rPr>
        <w:t xml:space="preserve">VAAD v Minister for Immigration and Multicultural and Indigenous Affairs </w:t>
      </w:r>
      <w:r w:rsidRPr="00634D1D">
        <w:t xml:space="preserve">[2005] FCAFC 117 at [68]-[77] per Hill, </w:t>
      </w:r>
      <w:proofErr w:type="spellStart"/>
      <w:r w:rsidRPr="00634D1D">
        <w:t>Sundberg</w:t>
      </w:r>
      <w:proofErr w:type="spellEnd"/>
      <w:r w:rsidRPr="00634D1D">
        <w:t xml:space="preserve"> and Stone JJ and </w:t>
      </w:r>
      <w:r w:rsidRPr="00634D1D">
        <w:rPr>
          <w:rFonts w:ascii="TimesNewRomanPS" w:hAnsi="TimesNewRomanPS"/>
          <w:i/>
          <w:iCs/>
        </w:rPr>
        <w:t xml:space="preserve">COZ16 v Minister for Immigration and Border Protection </w:t>
      </w:r>
      <w:r w:rsidRPr="00634D1D">
        <w:t xml:space="preserve">[2018] FCA 46 at [38]-[46] per Griffiths J). That is because, in assessing whether or not there were inconsistencies between the appellant’s written and oral claims, it was incumbent upon the Tribunal to consider relevant parts of that transcript, which it failed to do. The appellant had, after all, made clear in his original statutory declaration that he would expand upon his claims in that interview. Further, in any situation where an applicant is given an opportunity to attend </w:t>
      </w:r>
      <w:r w:rsidRPr="00634D1D">
        <w:lastRenderedPageBreak/>
        <w:t xml:space="preserve">an interview or engage in a review process, it is reasonable for that applicant to expect that she or he will be able to expand on, or explain, aspects of the narrative she or he has given prior to that point. This expectation and the other matters to which we previously referred (see [24]-[26] above) must be properly considered by a decision-maker in making any assessment of the applicant’s claims and evidence. </w:t>
      </w:r>
    </w:p>
    <w:p w14:paraId="19673318" w14:textId="1D832876" w:rsidR="00B63972" w:rsidRDefault="00B63972" w:rsidP="00974B81">
      <w:pPr>
        <w:pStyle w:val="ParaNumbering"/>
      </w:pPr>
      <w:r>
        <w:t>The Full Court also referred (at [49]</w:t>
      </w:r>
      <w:r w:rsidR="00081BA1">
        <w:t>)</w:t>
      </w:r>
      <w:r>
        <w:t xml:space="preserve"> to what had been said by Lee and RD Nicholson JJ in </w:t>
      </w:r>
      <w:r w:rsidR="00974B81" w:rsidRPr="002C455C">
        <w:rPr>
          <w:i/>
        </w:rPr>
        <w:t xml:space="preserve">WAGO of 2002 v Minister for Immigration </w:t>
      </w:r>
      <w:r w:rsidR="0064356B" w:rsidRPr="002C455C">
        <w:rPr>
          <w:i/>
        </w:rPr>
        <w:t>and</w:t>
      </w:r>
      <w:r w:rsidR="00974B81" w:rsidRPr="002C455C">
        <w:rPr>
          <w:i/>
        </w:rPr>
        <w:t xml:space="preserve"> Multicultural </w:t>
      </w:r>
      <w:r w:rsidR="0064356B" w:rsidRPr="002C455C">
        <w:rPr>
          <w:i/>
        </w:rPr>
        <w:t>and</w:t>
      </w:r>
      <w:r w:rsidR="00974B81" w:rsidRPr="002C455C">
        <w:rPr>
          <w:i/>
        </w:rPr>
        <w:t xml:space="preserve"> Indigenous Affairs</w:t>
      </w:r>
      <w:r w:rsidR="00974B81" w:rsidRPr="002C455C">
        <w:t xml:space="preserve"> [2002] FCAFC 437</w:t>
      </w:r>
      <w:r w:rsidR="0064356B" w:rsidRPr="002C455C">
        <w:t>; 194 ALR 676</w:t>
      </w:r>
      <w:r w:rsidR="00974B81" w:rsidRPr="00974B81" w:rsidDel="00974B81">
        <w:t xml:space="preserve"> </w:t>
      </w:r>
      <w:r w:rsidR="00634D1D">
        <w:t>at [54]:</w:t>
      </w:r>
    </w:p>
    <w:p w14:paraId="4ACF77AC" w14:textId="3FD29D76" w:rsidR="00634D1D" w:rsidRPr="00634D1D" w:rsidRDefault="00634D1D" w:rsidP="00974B81">
      <w:pPr>
        <w:pStyle w:val="Quote1"/>
      </w:pPr>
      <w:r w:rsidRPr="00634D1D">
        <w:t xml:space="preserve">The unwarranted assumptions of the </w:t>
      </w:r>
      <w:r w:rsidR="0064356B">
        <w:t>t</w:t>
      </w:r>
      <w:r w:rsidRPr="00634D1D">
        <w:t xml:space="preserve">ribunal as to matters relevant to formation of a view on the credibility of the corroborative witness caused the </w:t>
      </w:r>
      <w:r w:rsidR="0064356B">
        <w:t>t</w:t>
      </w:r>
      <w:r w:rsidRPr="00634D1D">
        <w:t>ribunal to disbelieve and disregard that evidence an</w:t>
      </w:r>
      <w:r w:rsidR="0064356B">
        <w:t>d constituted a failure by the t</w:t>
      </w:r>
      <w:r w:rsidRPr="00634D1D">
        <w:t xml:space="preserve">ribunal to duly consider the question raised by the material put before it: </w:t>
      </w:r>
      <w:r w:rsidRPr="00634D1D">
        <w:rPr>
          <w:rFonts w:ascii="TimesNewRomanPS" w:hAnsi="TimesNewRomanPS"/>
          <w:i/>
          <w:iCs/>
        </w:rPr>
        <w:t xml:space="preserve">Re Refugee Review Tribunal; Ex parte </w:t>
      </w:r>
      <w:proofErr w:type="spellStart"/>
      <w:r w:rsidRPr="00634D1D">
        <w:rPr>
          <w:rFonts w:ascii="TimesNewRomanPS" w:hAnsi="TimesNewRomanPS"/>
          <w:i/>
          <w:iCs/>
        </w:rPr>
        <w:t>Aala</w:t>
      </w:r>
      <w:proofErr w:type="spellEnd"/>
      <w:r w:rsidRPr="00634D1D">
        <w:rPr>
          <w:rFonts w:ascii="TimesNewRomanPS" w:hAnsi="TimesNewRomanPS"/>
          <w:i/>
          <w:iCs/>
        </w:rPr>
        <w:t xml:space="preserve"> </w:t>
      </w:r>
      <w:r w:rsidRPr="00634D1D">
        <w:t>(2000) 204 CLR 82</w:t>
      </w:r>
      <w:r w:rsidR="0064356B">
        <w:t>; 176 ALR 219 at [4] per Gleeson CJ</w:t>
      </w:r>
      <w:r w:rsidRPr="00634D1D">
        <w:t xml:space="preserve">. Although the remarks of the Chief Justice in </w:t>
      </w:r>
      <w:proofErr w:type="spellStart"/>
      <w:r w:rsidRPr="00634D1D">
        <w:rPr>
          <w:rFonts w:ascii="TimesNewRomanPS" w:hAnsi="TimesNewRomanPS"/>
          <w:i/>
          <w:iCs/>
        </w:rPr>
        <w:t>Aala</w:t>
      </w:r>
      <w:proofErr w:type="spellEnd"/>
      <w:r w:rsidRPr="00634D1D">
        <w:rPr>
          <w:rFonts w:ascii="TimesNewRomanPS" w:hAnsi="TimesNewRomanPS"/>
          <w:i/>
          <w:iCs/>
        </w:rPr>
        <w:t xml:space="preserve"> </w:t>
      </w:r>
      <w:r w:rsidRPr="00634D1D">
        <w:t>were directed to entitlement to review by constitutional writ on the ground o</w:t>
      </w:r>
      <w:r w:rsidR="0064356B">
        <w:t>f absence of authority for the t</w:t>
      </w:r>
      <w:r w:rsidRPr="00634D1D">
        <w:t>ribunal to make a decisi</w:t>
      </w:r>
      <w:r w:rsidR="0064356B">
        <w:t>on that exercised the decision-</w:t>
      </w:r>
      <w:r w:rsidRPr="00634D1D">
        <w:t>making power in a manner that was not procedurally fair, his Honour’s comments are equally pertinent to an unauthorised exercise of decision- maki</w:t>
      </w:r>
      <w:r w:rsidR="0064356B">
        <w:t>ng power that results from the t</w:t>
      </w:r>
      <w:r w:rsidRPr="00634D1D">
        <w:t xml:space="preserve">ribunal failing to take into account relevant material. In misunderstanding the material before it, the Tribunal thereby failed to have regard to relevant material, resulting in a decision for which the Tribunal had neither authority nor jurisdiction under the Act: </w:t>
      </w:r>
      <w:r w:rsidRPr="00634D1D">
        <w:rPr>
          <w:rFonts w:ascii="TimesNewRomanPS" w:hAnsi="TimesNewRomanPS"/>
          <w:i/>
          <w:iCs/>
        </w:rPr>
        <w:t xml:space="preserve">Yusuf </w:t>
      </w:r>
      <w:r w:rsidR="0064356B">
        <w:t xml:space="preserve">at [82]-[85] </w:t>
      </w:r>
      <w:r w:rsidRPr="00634D1D">
        <w:t xml:space="preserve">per McHugh, </w:t>
      </w:r>
      <w:proofErr w:type="spellStart"/>
      <w:r w:rsidRPr="00634D1D">
        <w:t>Gummow</w:t>
      </w:r>
      <w:proofErr w:type="spellEnd"/>
      <w:r w:rsidRPr="00634D1D">
        <w:t xml:space="preserve"> and Hayne JJ</w:t>
      </w:r>
      <w:r w:rsidR="0064356B">
        <w:t>.</w:t>
      </w:r>
      <w:r w:rsidRPr="00634D1D">
        <w:t xml:space="preserve"> It follows </w:t>
      </w:r>
      <w:r w:rsidR="0064356B">
        <w:t>that grounds for review of the t</w:t>
      </w:r>
      <w:r w:rsidRPr="00634D1D">
        <w:t>ribunal’s decision arise u</w:t>
      </w:r>
      <w:r w:rsidR="0064356B">
        <w:t>nder s </w:t>
      </w:r>
      <w:r w:rsidRPr="00634D1D">
        <w:t xml:space="preserve">476(1)(b) and (c) of the Act. </w:t>
      </w:r>
    </w:p>
    <w:p w14:paraId="450BFB7D" w14:textId="273916E9" w:rsidR="00634D1D" w:rsidRDefault="00634D1D" w:rsidP="007F246D">
      <w:pPr>
        <w:pStyle w:val="ParaNumbering"/>
      </w:pPr>
      <w:r>
        <w:t>I accept the second T</w:t>
      </w:r>
      <w:r w:rsidR="00974B81">
        <w:t>ribunal</w:t>
      </w:r>
      <w:r>
        <w:t xml:space="preserve">’s error about the </w:t>
      </w:r>
      <w:proofErr w:type="spellStart"/>
      <w:r>
        <w:t>Merak</w:t>
      </w:r>
      <w:proofErr w:type="spellEnd"/>
      <w:r>
        <w:t xml:space="preserve"> </w:t>
      </w:r>
      <w:r w:rsidR="0064356B">
        <w:t>ship</w:t>
      </w:r>
      <w:r>
        <w:t xml:space="preserve"> claim can be characterised in this way. In not appreciating, by refe</w:t>
      </w:r>
      <w:r w:rsidR="00D62BCE">
        <w:t>re</w:t>
      </w:r>
      <w:r>
        <w:t xml:space="preserve">nce to his earlier interview, </w:t>
      </w:r>
      <w:r w:rsidR="00B23C09">
        <w:t>that</w:t>
      </w:r>
      <w:r>
        <w:t xml:space="preserve"> the </w:t>
      </w:r>
      <w:r w:rsidR="00974B81">
        <w:t xml:space="preserve">appellant </w:t>
      </w:r>
      <w:r>
        <w:t xml:space="preserve">had described being on the </w:t>
      </w:r>
      <w:proofErr w:type="spellStart"/>
      <w:r>
        <w:t>Merak</w:t>
      </w:r>
      <w:proofErr w:type="spellEnd"/>
      <w:r>
        <w:t xml:space="preserve"> </w:t>
      </w:r>
      <w:r w:rsidR="00A55284">
        <w:t xml:space="preserve">ship </w:t>
      </w:r>
      <w:r>
        <w:t xml:space="preserve">and what he feared would happen to him on return to Sri </w:t>
      </w:r>
      <w:r w:rsidR="00B23C09">
        <w:t>Lanka</w:t>
      </w:r>
      <w:r>
        <w:t xml:space="preserve"> because of this episode, the T</w:t>
      </w:r>
      <w:r w:rsidR="00974B81">
        <w:t>ribunal</w:t>
      </w:r>
      <w:r>
        <w:t xml:space="preserve"> failed to perform its task on review and </w:t>
      </w:r>
      <w:r w:rsidR="00B23C09">
        <w:t>constructively</w:t>
      </w:r>
      <w:r>
        <w:t xml:space="preserve"> failed to exercise its </w:t>
      </w:r>
      <w:r w:rsidR="00B23C09">
        <w:t>jurisdiction</w:t>
      </w:r>
      <w:r>
        <w:t>.</w:t>
      </w:r>
    </w:p>
    <w:p w14:paraId="1687CB0A" w14:textId="632F47C8" w:rsidR="00634D1D" w:rsidRDefault="00634D1D" w:rsidP="007F246D">
      <w:pPr>
        <w:pStyle w:val="ParaNumbering"/>
      </w:pPr>
      <w:r>
        <w:t xml:space="preserve">A similar approach was taken by Lee J in </w:t>
      </w:r>
      <w:r w:rsidRPr="002C455C">
        <w:rPr>
          <w:i/>
        </w:rPr>
        <w:t xml:space="preserve">CKC16 v Minister for Immigration and Border Protection </w:t>
      </w:r>
      <w:r w:rsidRPr="002C455C">
        <w:t>[2018] FCA 1260</w:t>
      </w:r>
      <w:r>
        <w:t>.</w:t>
      </w:r>
    </w:p>
    <w:p w14:paraId="29A612E3" w14:textId="473D5A07" w:rsidR="00634D1D" w:rsidRDefault="00634D1D" w:rsidP="00E14E52">
      <w:pPr>
        <w:pStyle w:val="ParaNumbering"/>
      </w:pPr>
      <w:r>
        <w:t>The M</w:t>
      </w:r>
      <w:r w:rsidR="00974B81">
        <w:t>inister</w:t>
      </w:r>
      <w:r>
        <w:t xml:space="preserve">’s main answer to this ground, counsel having </w:t>
      </w:r>
      <w:r w:rsidR="00B23C09">
        <w:t>properly</w:t>
      </w:r>
      <w:r>
        <w:t xml:space="preserve"> accepted th</w:t>
      </w:r>
      <w:r w:rsidR="00A122DD">
        <w:t xml:space="preserve">e factual basis for how the </w:t>
      </w:r>
      <w:r w:rsidR="00974B81">
        <w:t xml:space="preserve">appellant </w:t>
      </w:r>
      <w:r w:rsidR="00A122DD">
        <w:t>p</w:t>
      </w:r>
      <w:r>
        <w:t>ut the ground</w:t>
      </w:r>
      <w:r w:rsidR="00A122DD">
        <w:t xml:space="preserve">, was </w:t>
      </w:r>
      <w:r w:rsidR="00B23C09">
        <w:t>twofold</w:t>
      </w:r>
      <w:r w:rsidR="00A122DD">
        <w:t>. First, the M</w:t>
      </w:r>
      <w:r w:rsidR="00974B81">
        <w:t>inister</w:t>
      </w:r>
      <w:r w:rsidR="00A122DD">
        <w:t xml:space="preserve"> submitted that the T</w:t>
      </w:r>
      <w:r w:rsidR="00974B81">
        <w:t>ribunal</w:t>
      </w:r>
      <w:r w:rsidR="00A122DD">
        <w:t xml:space="preserve"> was still entitled to reject the claim on a credibility </w:t>
      </w:r>
      <w:r w:rsidR="00B23C09">
        <w:t>basis</w:t>
      </w:r>
      <w:r w:rsidR="00A122DD">
        <w:t xml:space="preserve"> </w:t>
      </w:r>
      <w:r w:rsidR="00B23C09">
        <w:t>because</w:t>
      </w:r>
      <w:r w:rsidR="00A122DD">
        <w:t xml:space="preserve"> the </w:t>
      </w:r>
      <w:r w:rsidR="00974B81">
        <w:t xml:space="preserve">appellant </w:t>
      </w:r>
      <w:r w:rsidR="00A122DD">
        <w:t xml:space="preserve">did not advance it in his </w:t>
      </w:r>
      <w:r w:rsidR="005F0833">
        <w:t xml:space="preserve">entry </w:t>
      </w:r>
      <w:r w:rsidR="00A122DD">
        <w:t xml:space="preserve">interview, or in his </w:t>
      </w:r>
      <w:r w:rsidR="00B23C09">
        <w:t>original</w:t>
      </w:r>
      <w:r w:rsidR="00A122DD">
        <w:t xml:space="preserve"> </w:t>
      </w:r>
      <w:r w:rsidR="00974B81">
        <w:t xml:space="preserve">protection visa </w:t>
      </w:r>
      <w:r w:rsidR="00A122DD">
        <w:t>documents</w:t>
      </w:r>
      <w:r w:rsidR="00170217">
        <w:t xml:space="preserve"> (prior to their amendment via the email in which the reference to “</w:t>
      </w:r>
      <w:proofErr w:type="spellStart"/>
      <w:r w:rsidR="00170217">
        <w:t>Marak</w:t>
      </w:r>
      <w:proofErr w:type="spellEnd"/>
      <w:r w:rsidR="00170217">
        <w:t xml:space="preserve"> Boat Harbour” was </w:t>
      </w:r>
      <w:r w:rsidR="00170217" w:rsidRPr="00240E1B">
        <w:t>made</w:t>
      </w:r>
      <w:r w:rsidR="00FA7C2B" w:rsidRPr="00240E1B">
        <w:t>)</w:t>
      </w:r>
      <w:r w:rsidR="00A122DD" w:rsidRPr="00240E1B">
        <w:t xml:space="preserve">. I accept </w:t>
      </w:r>
      <w:r w:rsidR="00D62BCE" w:rsidRPr="00240E1B">
        <w:t xml:space="preserve">there is, on their face, some difficulty in </w:t>
      </w:r>
      <w:r w:rsidR="00D62BCE" w:rsidRPr="00B469D8">
        <w:t xml:space="preserve">connecting </w:t>
      </w:r>
      <w:r w:rsidR="00170217" w:rsidRPr="00B469D8">
        <w:t>what is put in the email to the delegate with how th</w:t>
      </w:r>
      <w:r w:rsidR="00170217">
        <w:t>is claim is later made.</w:t>
      </w:r>
      <w:r w:rsidR="00D62BCE">
        <w:t xml:space="preserve"> A few straightforward question</w:t>
      </w:r>
      <w:r w:rsidR="00EA0314">
        <w:t>s</w:t>
      </w:r>
      <w:r w:rsidR="00D62BCE">
        <w:t xml:space="preserve"> may have resolved that difficulty, but the</w:t>
      </w:r>
      <w:r w:rsidR="00CD5044">
        <w:t xml:space="preserve"> </w:t>
      </w:r>
      <w:r w:rsidR="001D1055">
        <w:t>s</w:t>
      </w:r>
      <w:r w:rsidR="00CD5044">
        <w:t>econd</w:t>
      </w:r>
      <w:r w:rsidR="00D62BCE">
        <w:t xml:space="preserve"> </w:t>
      </w:r>
      <w:r w:rsidR="00D62BCE" w:rsidRPr="002F4023">
        <w:t>T</w:t>
      </w:r>
      <w:r w:rsidR="00974B81" w:rsidRPr="002F4023">
        <w:t>ribunal</w:t>
      </w:r>
      <w:r w:rsidR="00D62BCE" w:rsidRPr="002F4023">
        <w:t xml:space="preserve"> was so set on its view of the </w:t>
      </w:r>
      <w:r w:rsidR="00974B81" w:rsidRPr="002F4023">
        <w:t xml:space="preserve">appellant </w:t>
      </w:r>
      <w:r w:rsidR="00D62BCE" w:rsidRPr="00BF4753">
        <w:t>about this claim that it did not ask any such questions</w:t>
      </w:r>
      <w:r w:rsidR="00A122DD" w:rsidRPr="00BF4753">
        <w:t>.</w:t>
      </w:r>
      <w:r w:rsidR="00E14E52" w:rsidRPr="00BF4753">
        <w:t xml:space="preserve"> </w:t>
      </w:r>
      <w:r w:rsidR="00E14E52" w:rsidRPr="002F4023">
        <w:t xml:space="preserve">Further, regardless of the differences in how the matter is put </w:t>
      </w:r>
      <w:r w:rsidR="00E14E52" w:rsidRPr="002F4023">
        <w:lastRenderedPageBreak/>
        <w:t xml:space="preserve">in the email and how the claim was later made, the second Tribunal made a second clear factual error (in addition to the error about </w:t>
      </w:r>
      <w:r w:rsidR="00E14E52" w:rsidRPr="002F4023">
        <w:rPr>
          <w:i/>
        </w:rPr>
        <w:t>when</w:t>
      </w:r>
      <w:r w:rsidR="00E14E52" w:rsidRPr="002F4023">
        <w:t xml:space="preserve"> the claim was first raised) when it found at [46] that “</w:t>
      </w:r>
      <w:r w:rsidR="00396143" w:rsidRPr="002F4023">
        <w:t>[t]</w:t>
      </w:r>
      <w:r w:rsidR="00E14E52" w:rsidRPr="002F4023">
        <w:t>here was nothing in the applicant</w:t>
      </w:r>
      <w:r w:rsidR="00396143" w:rsidRPr="002F4023">
        <w:t>’</w:t>
      </w:r>
      <w:r w:rsidR="00E14E52" w:rsidRPr="002F4023">
        <w:t xml:space="preserve">s protection visa application to suggest he had spent six months in Indonesia at the end of 2009 and early 2010.” </w:t>
      </w:r>
      <w:r w:rsidR="00396143" w:rsidRPr="002F4023">
        <w:t>To the contrary, t</w:t>
      </w:r>
      <w:r w:rsidR="00E14E52" w:rsidRPr="002F4023">
        <w:t>his is clearly what the email to the delegate</w:t>
      </w:r>
      <w:r w:rsidR="00396143" w:rsidRPr="002F4023">
        <w:t>, which formed part of the appellant’s visa application,</w:t>
      </w:r>
      <w:r w:rsidR="00E14E52" w:rsidRPr="002F4023">
        <w:t xml:space="preserve"> says.</w:t>
      </w:r>
      <w:r w:rsidR="008751A6" w:rsidRPr="002F4023">
        <w:t xml:space="preserve"> While it is correct there are some chronological inconsistencies</w:t>
      </w:r>
      <w:r w:rsidR="002F4023" w:rsidRPr="002F4023">
        <w:t xml:space="preserve"> in the protection visa application</w:t>
      </w:r>
      <w:r w:rsidR="008751A6" w:rsidRPr="002F4023">
        <w:t>, these were not explored or relied upon by the second Tribunal: it simply found there was a complete failure by the appellant to mention he had been in Indonesia</w:t>
      </w:r>
      <w:r w:rsidR="00396143" w:rsidRPr="002F4023">
        <w:t xml:space="preserve"> during the </w:t>
      </w:r>
      <w:r w:rsidR="002F4023" w:rsidRPr="002F4023">
        <w:t xml:space="preserve">period he later claimed to have been on the </w:t>
      </w:r>
      <w:proofErr w:type="spellStart"/>
      <w:r w:rsidR="002F4023" w:rsidRPr="002F4023">
        <w:t>Merak</w:t>
      </w:r>
      <w:proofErr w:type="spellEnd"/>
      <w:r w:rsidR="002F4023" w:rsidRPr="002F4023">
        <w:t xml:space="preserve"> Ship.</w:t>
      </w:r>
    </w:p>
    <w:p w14:paraId="7E85EE7B" w14:textId="74427F5F" w:rsidR="00A122DD" w:rsidRDefault="00D62BCE" w:rsidP="007F246D">
      <w:pPr>
        <w:pStyle w:val="ParaNumbering"/>
      </w:pPr>
      <w:r>
        <w:t>The</w:t>
      </w:r>
      <w:r w:rsidR="00A122DD">
        <w:t xml:space="preserve"> M</w:t>
      </w:r>
      <w:r w:rsidR="00974B81">
        <w:t>inister</w:t>
      </w:r>
      <w:r w:rsidR="00A122DD">
        <w:t xml:space="preserve"> </w:t>
      </w:r>
      <w:r>
        <w:t>also</w:t>
      </w:r>
      <w:r w:rsidR="00A122DD">
        <w:t xml:space="preserve"> submits that there were other, </w:t>
      </w:r>
      <w:r w:rsidR="00B23C09">
        <w:t>independent</w:t>
      </w:r>
      <w:r w:rsidR="00A122DD">
        <w:t xml:space="preserve"> bases for the T</w:t>
      </w:r>
      <w:r w:rsidR="00974B81">
        <w:t>ribunal</w:t>
      </w:r>
      <w:r w:rsidR="00A122DD">
        <w:t xml:space="preserve">’s credibility findings against the </w:t>
      </w:r>
      <w:r w:rsidR="00974B81">
        <w:t>appellant</w:t>
      </w:r>
      <w:r w:rsidR="00A122DD">
        <w:t xml:space="preserve"> </w:t>
      </w:r>
      <w:r w:rsidR="00EB04EB">
        <w:t xml:space="preserve">and further that no reference to the </w:t>
      </w:r>
      <w:proofErr w:type="spellStart"/>
      <w:r w:rsidR="00EB04EB">
        <w:t>Merak</w:t>
      </w:r>
      <w:proofErr w:type="spellEnd"/>
      <w:r w:rsidR="00EB04EB">
        <w:t xml:space="preserve"> incident is made in the statutory declaration made by the appellant in support of his visa application. This, the Minister </w:t>
      </w:r>
      <w:r w:rsidR="008751A6">
        <w:t>contended</w:t>
      </w:r>
      <w:r w:rsidR="00EB04EB">
        <w:t>, provided an independent, rational and logical basis by which the claim was disposed, such that the Tribunal’s factual mistake was immaterial.</w:t>
      </w:r>
      <w:r w:rsidR="00EA0314">
        <w:t xml:space="preserve"> </w:t>
      </w:r>
      <w:r w:rsidR="00A122DD">
        <w:t xml:space="preserve">It </w:t>
      </w:r>
      <w:r w:rsidR="00B23C09">
        <w:t>is</w:t>
      </w:r>
      <w:r w:rsidR="00A122DD">
        <w:t xml:space="preserve"> correct </w:t>
      </w:r>
      <w:r w:rsidR="00B23C09">
        <w:t>there</w:t>
      </w:r>
      <w:r w:rsidR="00A122DD">
        <w:t xml:space="preserve"> are a </w:t>
      </w:r>
      <w:r w:rsidR="00B23C09">
        <w:t>series of</w:t>
      </w:r>
      <w:r w:rsidR="00A122DD">
        <w:t xml:space="preserve"> adverse credibility findings against the </w:t>
      </w:r>
      <w:r w:rsidR="00974B81">
        <w:t>appel</w:t>
      </w:r>
      <w:r w:rsidR="00CD2494">
        <w:t>l</w:t>
      </w:r>
      <w:r w:rsidR="00974B81">
        <w:t>ant</w:t>
      </w:r>
      <w:r w:rsidR="00A122DD">
        <w:t>, most of which are used by the T</w:t>
      </w:r>
      <w:r w:rsidR="00974B81">
        <w:t>ribunal</w:t>
      </w:r>
      <w:r w:rsidR="00A122DD">
        <w:t xml:space="preserve"> to </w:t>
      </w:r>
      <w:r w:rsidR="00B23C09">
        <w:t>justify</w:t>
      </w:r>
      <w:r w:rsidR="00A122DD">
        <w:t xml:space="preserve"> the rejection of his narrative about what </w:t>
      </w:r>
      <w:r w:rsidR="00B23C09">
        <w:t>happened</w:t>
      </w:r>
      <w:r w:rsidR="00A122DD">
        <w:t xml:space="preserve"> to him in Sri Lanka</w:t>
      </w:r>
      <w:r w:rsidR="00A122DD" w:rsidRPr="00CF1646">
        <w:t xml:space="preserve">. </w:t>
      </w:r>
      <w:r w:rsidR="00273D37" w:rsidRPr="00CF1646">
        <w:t>While</w:t>
      </w:r>
      <w:r w:rsidR="009F3C50">
        <w:t>, for example,</w:t>
      </w:r>
      <w:r w:rsidR="00273D37" w:rsidRPr="00CF1646">
        <w:t xml:space="preserve"> i</w:t>
      </w:r>
      <w:r w:rsidR="00273D37">
        <w:t xml:space="preserve">t is correct that </w:t>
      </w:r>
      <w:r w:rsidR="00CD5044">
        <w:t xml:space="preserve">the </w:t>
      </w:r>
      <w:r w:rsidR="00273D37">
        <w:t>T</w:t>
      </w:r>
      <w:r w:rsidR="00974B81">
        <w:t>ribunal</w:t>
      </w:r>
      <w:r w:rsidR="00273D37">
        <w:t xml:space="preserve"> uses the </w:t>
      </w:r>
      <w:r w:rsidR="00B23C09">
        <w:t>failure</w:t>
      </w:r>
      <w:r w:rsidR="00273D37">
        <w:t xml:space="preserve"> to </w:t>
      </w:r>
      <w:r w:rsidR="00B23C09">
        <w:t>mention</w:t>
      </w:r>
      <w:r w:rsidR="00273D37">
        <w:t xml:space="preserve"> th</w:t>
      </w:r>
      <w:r w:rsidR="00CD5044">
        <w:t xml:space="preserve">e </w:t>
      </w:r>
      <w:proofErr w:type="spellStart"/>
      <w:r w:rsidR="00CD5044">
        <w:t>Merak</w:t>
      </w:r>
      <w:proofErr w:type="spellEnd"/>
      <w:r w:rsidR="00CD5044">
        <w:t xml:space="preserve"> ship incident</w:t>
      </w:r>
      <w:r w:rsidR="00273D37">
        <w:t xml:space="preserve"> at entry interview (at [47] of the </w:t>
      </w:r>
      <w:r w:rsidR="00B23C09">
        <w:t>reasons</w:t>
      </w:r>
      <w:r w:rsidR="00273D37">
        <w:t xml:space="preserve">) as an </w:t>
      </w:r>
      <w:r w:rsidR="00B23C09">
        <w:t>apparently</w:t>
      </w:r>
      <w:r w:rsidR="00273D37">
        <w:t xml:space="preserve"> </w:t>
      </w:r>
      <w:r w:rsidR="00B23C09">
        <w:t>separate</w:t>
      </w:r>
      <w:r w:rsidR="00273D37">
        <w:t xml:space="preserve"> reason to find the </w:t>
      </w:r>
      <w:r w:rsidR="00974B81">
        <w:t xml:space="preserve">appellant </w:t>
      </w:r>
      <w:r w:rsidR="00273D37">
        <w:t xml:space="preserve">was not on the </w:t>
      </w:r>
      <w:proofErr w:type="spellStart"/>
      <w:r w:rsidR="00273D37">
        <w:t>Merak</w:t>
      </w:r>
      <w:proofErr w:type="spellEnd"/>
      <w:r w:rsidR="00273D37">
        <w:t xml:space="preserve"> </w:t>
      </w:r>
      <w:r w:rsidR="00CD5044">
        <w:t>ship</w:t>
      </w:r>
      <w:r w:rsidR="00273D37">
        <w:t xml:space="preserve">, in </w:t>
      </w:r>
      <w:r w:rsidR="00B23C09">
        <w:t>reality</w:t>
      </w:r>
      <w:r w:rsidR="00273D37">
        <w:t xml:space="preserve"> the findings cannot be </w:t>
      </w:r>
      <w:r w:rsidR="00A93B9F">
        <w:t>compartmentalised in this way. I</w:t>
      </w:r>
      <w:r w:rsidR="00273D37">
        <w:t xml:space="preserve">n </w:t>
      </w:r>
      <w:r w:rsidR="00273D37" w:rsidRPr="00D62BCE">
        <w:rPr>
          <w:i/>
        </w:rPr>
        <w:t>CKC16</w:t>
      </w:r>
      <w:r w:rsidR="00273D37">
        <w:t xml:space="preserve"> at [33]</w:t>
      </w:r>
      <w:r w:rsidR="009F3C50">
        <w:t>-</w:t>
      </w:r>
      <w:r w:rsidR="00273D37">
        <w:t>[35] Lee J said:</w:t>
      </w:r>
    </w:p>
    <w:p w14:paraId="57E93B49" w14:textId="1D1025C6" w:rsidR="00974B81" w:rsidRDefault="00974B81" w:rsidP="00974B81">
      <w:pPr>
        <w:pStyle w:val="Quote1"/>
      </w:pPr>
      <w:r>
        <w:t xml:space="preserve">In </w:t>
      </w:r>
      <w:r w:rsidRPr="00974B81">
        <w:rPr>
          <w:i/>
        </w:rPr>
        <w:t>SZTFQ v Minister for Immigration and Border Protection</w:t>
      </w:r>
      <w:r>
        <w:t xml:space="preserve"> [2017] FCA 562 at [44]-[45], I made the point that:</w:t>
      </w:r>
    </w:p>
    <w:p w14:paraId="3695DE21" w14:textId="68C8738B" w:rsidR="00974B81" w:rsidRPr="00974B81" w:rsidRDefault="00974B81" w:rsidP="00974B81">
      <w:pPr>
        <w:pStyle w:val="Quote2"/>
        <w:rPr>
          <w:i/>
        </w:rPr>
      </w:pPr>
      <w:r>
        <w:t xml:space="preserve">It is [often] not realistic to put the various aspects of the appellant’s evidence into hermetically sealed boxes or to approach the reasoning of the Tribunal member on the basis that this is how the evidence was approached. The assessment of credibility is necessarily an impressionistic one, which, if properly formed, takes into account all of the evidence. As the Full Court (Hill, </w:t>
      </w:r>
      <w:proofErr w:type="spellStart"/>
      <w:r>
        <w:t>Sundberg</w:t>
      </w:r>
      <w:proofErr w:type="spellEnd"/>
      <w:r>
        <w:t xml:space="preserve"> and Stone JJ) observed in </w:t>
      </w:r>
      <w:r w:rsidRPr="00974B81">
        <w:rPr>
          <w:i/>
        </w:rPr>
        <w:t>VAAD v Minister for Immigration &amp; Multicultural Affairs</w:t>
      </w:r>
      <w:r>
        <w:t xml:space="preserve"> [2005] FCAFC 117 at [79] “</w:t>
      </w:r>
      <w:r w:rsidRPr="00974B81">
        <w:rPr>
          <w:i/>
        </w:rPr>
        <w:t>an assessment of credibility is not necessarily linear</w:t>
      </w:r>
      <w:r>
        <w:t xml:space="preserve">”. Put another way, as Gleeson CJ commented in </w:t>
      </w:r>
      <w:r w:rsidRPr="00974B81">
        <w:rPr>
          <w:i/>
        </w:rPr>
        <w:t xml:space="preserve">Re Refugee Review Tribunal; Ex parte </w:t>
      </w:r>
      <w:proofErr w:type="spellStart"/>
      <w:r w:rsidRPr="00974B81">
        <w:rPr>
          <w:i/>
        </w:rPr>
        <w:t>Aala</w:t>
      </w:r>
      <w:proofErr w:type="spellEnd"/>
      <w:r>
        <w:t xml:space="preserve"> (2000) 204 CLR 82 at 89, “</w:t>
      </w:r>
      <w:r w:rsidRPr="00974B81">
        <w:rPr>
          <w:i/>
        </w:rPr>
        <w:t>[d]</w:t>
      </w:r>
      <w:proofErr w:type="spellStart"/>
      <w:r w:rsidRPr="00974B81">
        <w:rPr>
          <w:i/>
        </w:rPr>
        <w:t>ecisions</w:t>
      </w:r>
      <w:proofErr w:type="spellEnd"/>
      <w:r w:rsidRPr="00974B81">
        <w:rPr>
          <w:i/>
        </w:rPr>
        <w:t xml:space="preserve"> as to credibility are often based upon matters of impression, and an unfavourable view taken upon an otherwise minor issue may be decisive.” </w:t>
      </w:r>
    </w:p>
    <w:p w14:paraId="33F84A7C" w14:textId="22B33A81" w:rsidR="00974B81" w:rsidRDefault="00974B81" w:rsidP="00974B81">
      <w:pPr>
        <w:pStyle w:val="Quote1"/>
      </w:pPr>
      <w:r>
        <w:t xml:space="preserve">Like in the very different circumstances of the error in </w:t>
      </w:r>
      <w:r w:rsidRPr="00974B81">
        <w:rPr>
          <w:i/>
        </w:rPr>
        <w:t>SZTFQ</w:t>
      </w:r>
      <w:r>
        <w:t xml:space="preserve">, the erroneous findings here, that the appellant had recently invented his evidence about his father’s role, or about the making of the relevant political statement, were not peripheral to assessing the creditworthiness of the appellant. No other fair reading of the reasons seems to me to be available. It is understandable that the Tribunal member would have serious concerns about the appellant’s overall credibility, given the misapprehension held as </w:t>
      </w:r>
      <w:r>
        <w:lastRenderedPageBreak/>
        <w:t xml:space="preserve">to the Religious Claims Error and the Political Statement Error. As I noted in </w:t>
      </w:r>
      <w:r w:rsidRPr="00974B81">
        <w:rPr>
          <w:i/>
        </w:rPr>
        <w:t>SZTFQ</w:t>
      </w:r>
      <w:r>
        <w:t xml:space="preserve"> at [45]:</w:t>
      </w:r>
    </w:p>
    <w:p w14:paraId="73BE17E8" w14:textId="2F9D35ED" w:rsidR="00974B81" w:rsidRDefault="00974B81" w:rsidP="00974B81">
      <w:pPr>
        <w:pStyle w:val="Quote2"/>
      </w:pPr>
      <w:r>
        <w:t xml:space="preserve">To be too confident that emphatic disbelief on one issue would not inform, even subconsciously, the approach taken to weighing other evidence of the person disbelieved is, to my mind, to underplay the complexity of the anatomy of decision-making. As Kirby J observed in </w:t>
      </w:r>
      <w:r w:rsidRPr="00974B81">
        <w:rPr>
          <w:i/>
        </w:rPr>
        <w:t>Applicant NAFF of 2002 v Minister for Immigration and Multicultural and Indigenous Affairs</w:t>
      </w:r>
      <w:r>
        <w:t xml:space="preserve"> (2004) 221 CLR 1 at 23 [81]:</w:t>
      </w:r>
    </w:p>
    <w:p w14:paraId="73C99E69" w14:textId="42447122" w:rsidR="00974B81" w:rsidRDefault="00974B81" w:rsidP="00974B81">
      <w:pPr>
        <w:pStyle w:val="Quote3"/>
      </w:pPr>
      <w:r>
        <w:t>…decision-making is a complex mental process. Disbelief of a litigant or witness on one point might carry over to affect the decision-maker</w:t>
      </w:r>
      <w:r w:rsidR="00266961">
        <w:t>’</w:t>
      </w:r>
      <w:r>
        <w:t>s disbelief of the same person on other points. Contrary-wise, establishing that a</w:t>
      </w:r>
      <w:r w:rsidR="00266961">
        <w:t>n initial disbelief of a person’</w:t>
      </w:r>
      <w:r>
        <w:t>s credibility on one matter was erroneous might convince a decision-maker of the need to revisit other conclusions and to look at the pers</w:t>
      </w:r>
      <w:r w:rsidR="00266961">
        <w:t>on’</w:t>
      </w:r>
      <w:r>
        <w:t>s entire evidence in a new light.</w:t>
      </w:r>
    </w:p>
    <w:p w14:paraId="7FA83DFD" w14:textId="21F89998" w:rsidR="00974B81" w:rsidRDefault="00974B81" w:rsidP="00974B81">
      <w:pPr>
        <w:pStyle w:val="Quote1"/>
      </w:pPr>
      <w:r>
        <w:t>It follows from the above that I reject the Minister’s submission that the errors in rejecting the claims were not critical to the end result. As I have explained, the independent support for rejecting the religious claims, was itself based upon an illogical process of reasoning containing unwarranted assumptions. The finding as to implausibility of the political claim as “somewhat far-fetched”, provides no truly independent support for the conclusion that the appellant did not make the political statement, but is rather inseparable from the credibility findings impacted upon by the errors. Ground two is made out.</w:t>
      </w:r>
    </w:p>
    <w:p w14:paraId="78D0BF51" w14:textId="77777777" w:rsidR="00496797" w:rsidRDefault="00273D37" w:rsidP="00A93B9F">
      <w:pPr>
        <w:pStyle w:val="ParaNumbering"/>
      </w:pPr>
      <w:r>
        <w:t xml:space="preserve">I respectfully agree with those observations.  </w:t>
      </w:r>
    </w:p>
    <w:p w14:paraId="538CC77B" w14:textId="7E039B57" w:rsidR="00496797" w:rsidRDefault="00496797" w:rsidP="007A6F46">
      <w:pPr>
        <w:pStyle w:val="ParaNumbering"/>
      </w:pPr>
      <w:r>
        <w:t>The Court, and decision</w:t>
      </w:r>
      <w:r w:rsidR="00CD5044">
        <w:t>-</w:t>
      </w:r>
      <w:r>
        <w:t xml:space="preserve">makers who bring an open mind to these issues of credibility, must also recall what was said by the Full Court in </w:t>
      </w:r>
      <w:r w:rsidR="00974B81" w:rsidRPr="002C455C">
        <w:rPr>
          <w:i/>
        </w:rPr>
        <w:t xml:space="preserve">MZZJO v Minister for Immigration and Border Protection </w:t>
      </w:r>
      <w:r w:rsidR="00974B81" w:rsidRPr="002C455C">
        <w:t>[2014] FCAFC 80</w:t>
      </w:r>
      <w:r w:rsidR="007A6383" w:rsidRPr="002C455C">
        <w:t>; 239 FCR 436</w:t>
      </w:r>
      <w:r w:rsidR="00974B81" w:rsidRPr="00974B81">
        <w:rPr>
          <w:i/>
        </w:rPr>
        <w:t xml:space="preserve"> </w:t>
      </w:r>
      <w:r>
        <w:t>at [56] about entry interviews:</w:t>
      </w:r>
    </w:p>
    <w:p w14:paraId="31C272A9" w14:textId="77777777" w:rsidR="00EB04EB" w:rsidRDefault="00974B81" w:rsidP="00EB04EB">
      <w:pPr>
        <w:pStyle w:val="Quote1"/>
      </w:pPr>
      <w:r w:rsidRPr="00974B81">
        <w:t>On the latter issue, some caution should be exercised by decision-makers in relation to omissions by applicants of matters at entry interview. They are conducted shortly after a person has arrived in Australia; in the case of the appellant, after a long journey on the ocean in cramped and difficult conditions. On the evidence, a significant part of the entry interview content concerns questions designed to elicit information about so-called “people smuggling”. They are the first substantive and formal engagement with Australian officials by people who come, as the appellant does, from regimes where authority figures may be viewed with some fear and mistrust. A person is asked to articulate personal matters of family and individual history not only to a strange official, but also to an interpreter who is a stranger, without the assistance and support of a lawyer or migration agent. It is unlikely many interviewees appreciate the use to which the information they give might be put, notwithstanding the script which is read to them. The interviewees are being asked to digest a lot of information quickly and in circumstances they may perceive as hostile.</w:t>
      </w:r>
      <w:r w:rsidR="00125159">
        <w:t xml:space="preserve"> </w:t>
      </w:r>
    </w:p>
    <w:p w14:paraId="4B745AE5" w14:textId="4D63C8B2" w:rsidR="00A93B9F" w:rsidRDefault="00273D37" w:rsidP="00496797">
      <w:pPr>
        <w:pStyle w:val="ParaNumbering"/>
      </w:pPr>
      <w:r>
        <w:t>Had the T</w:t>
      </w:r>
      <w:r w:rsidR="00125159">
        <w:t>ribunal</w:t>
      </w:r>
      <w:r>
        <w:t xml:space="preserve"> looked more carefully at the material before it, and </w:t>
      </w:r>
      <w:r w:rsidR="00B23C09">
        <w:t>approached</w:t>
      </w:r>
      <w:r>
        <w:t xml:space="preserve"> the earlier </w:t>
      </w:r>
      <w:r w:rsidR="00B23C09">
        <w:t>evidence</w:t>
      </w:r>
      <w:r>
        <w:t xml:space="preserve"> </w:t>
      </w:r>
      <w:r w:rsidR="00B23C09">
        <w:t>given</w:t>
      </w:r>
      <w:r>
        <w:t xml:space="preserve"> by the </w:t>
      </w:r>
      <w:r w:rsidR="00125159">
        <w:t xml:space="preserve">appellant </w:t>
      </w:r>
      <w:r>
        <w:t xml:space="preserve">to the delegate </w:t>
      </w:r>
      <w:r w:rsidR="008751A6">
        <w:t>in a more open way</w:t>
      </w:r>
      <w:r>
        <w:t>, the T</w:t>
      </w:r>
      <w:r w:rsidR="00125159">
        <w:t>ribunal</w:t>
      </w:r>
      <w:r>
        <w:t xml:space="preserve"> may well not have been so decisive about the absence of this claim </w:t>
      </w:r>
      <w:r w:rsidR="00496797">
        <w:t xml:space="preserve">– in terms </w:t>
      </w:r>
      <w:r w:rsidR="007A6383">
        <w:t>–</w:t>
      </w:r>
      <w:r w:rsidR="00496797">
        <w:t xml:space="preserve"> </w:t>
      </w:r>
      <w:r>
        <w:t xml:space="preserve">from the </w:t>
      </w:r>
      <w:r w:rsidR="00125159">
        <w:t xml:space="preserve">appellant’s </w:t>
      </w:r>
      <w:r>
        <w:t xml:space="preserve">protection </w:t>
      </w:r>
      <w:r w:rsidR="00B23C09">
        <w:t>interview</w:t>
      </w:r>
      <w:r>
        <w:t xml:space="preserve"> narrative. W</w:t>
      </w:r>
      <w:r w:rsidR="00A93B9F">
        <w:t>h</w:t>
      </w:r>
      <w:r>
        <w:t xml:space="preserve">en the </w:t>
      </w:r>
      <w:r w:rsidR="00B23C09">
        <w:t>Court</w:t>
      </w:r>
      <w:r w:rsidR="00496797">
        <w:t xml:space="preserve"> </w:t>
      </w:r>
      <w:r>
        <w:t xml:space="preserve">is assessing the effects, or </w:t>
      </w:r>
      <w:r w:rsidR="00B23C09">
        <w:t>consequences</w:t>
      </w:r>
      <w:r>
        <w:t xml:space="preserve">, of a </w:t>
      </w:r>
      <w:r>
        <w:lastRenderedPageBreak/>
        <w:t xml:space="preserve">misunderstanding of the </w:t>
      </w:r>
      <w:r w:rsidR="00B23C09">
        <w:t>evidence</w:t>
      </w:r>
      <w:r>
        <w:t xml:space="preserve"> or </w:t>
      </w:r>
      <w:r w:rsidR="00B23C09">
        <w:t>information</w:t>
      </w:r>
      <w:r>
        <w:t xml:space="preserve"> by a </w:t>
      </w:r>
      <w:r w:rsidR="00B23C09">
        <w:t>decision</w:t>
      </w:r>
      <w:r w:rsidR="00125159">
        <w:t>-</w:t>
      </w:r>
      <w:r>
        <w:t>maker such as the T</w:t>
      </w:r>
      <w:r w:rsidR="00125159">
        <w:t>ribunal</w:t>
      </w:r>
      <w:r>
        <w:t xml:space="preserve">, </w:t>
      </w:r>
      <w:r w:rsidR="00B23C09">
        <w:t>it must</w:t>
      </w:r>
      <w:r w:rsidR="007A6383">
        <w:t>,</w:t>
      </w:r>
      <w:r>
        <w:t xml:space="preserve"> in my opinion</w:t>
      </w:r>
      <w:r w:rsidR="007A6383">
        <w:t>,</w:t>
      </w:r>
      <w:r>
        <w:t xml:space="preserve"> be careful not to </w:t>
      </w:r>
      <w:r w:rsidR="00496797">
        <w:t>conduct that assessment by reference to</w:t>
      </w:r>
      <w:r>
        <w:t xml:space="preserve"> what </w:t>
      </w:r>
      <w:r w:rsidR="00496797">
        <w:t>the Court</w:t>
      </w:r>
      <w:r>
        <w:t xml:space="preserve"> knows only with the benefit of hindsight about the remainder of </w:t>
      </w:r>
      <w:r w:rsidR="00496797">
        <w:t>the</w:t>
      </w:r>
      <w:r>
        <w:t xml:space="preserve"> decision</w:t>
      </w:r>
      <w:r w:rsidR="00125159">
        <w:t>-</w:t>
      </w:r>
      <w:r>
        <w:t xml:space="preserve">maker’s approach. The Court must act on the </w:t>
      </w:r>
      <w:r w:rsidR="00B23C09">
        <w:t>basis</w:t>
      </w:r>
      <w:r>
        <w:t xml:space="preserve"> that the </w:t>
      </w:r>
      <w:r w:rsidR="00B23C09">
        <w:t>decision</w:t>
      </w:r>
      <w:r w:rsidR="00125159">
        <w:t>-</w:t>
      </w:r>
      <w:r>
        <w:t xml:space="preserve">maker, if </w:t>
      </w:r>
      <w:r w:rsidR="00B23C09">
        <w:t>properly</w:t>
      </w:r>
      <w:r>
        <w:t xml:space="preserve"> instructed on the </w:t>
      </w:r>
      <w:r w:rsidR="00B23C09">
        <w:t>evidence</w:t>
      </w:r>
      <w:r>
        <w:t xml:space="preserve"> and </w:t>
      </w:r>
      <w:r w:rsidR="00B23C09">
        <w:t>information,</w:t>
      </w:r>
      <w:r>
        <w:t xml:space="preserve"> had a mind open to persuasion.</w:t>
      </w:r>
      <w:r w:rsidR="008753CF">
        <w:t xml:space="preserve"> The Court does not, and cannot, know the weight the </w:t>
      </w:r>
      <w:r w:rsidR="00125159">
        <w:t xml:space="preserve">appellant’s </w:t>
      </w:r>
      <w:r w:rsidR="008753CF">
        <w:t xml:space="preserve">perceived </w:t>
      </w:r>
      <w:r w:rsidR="00496797">
        <w:t>recent invention had with the T</w:t>
      </w:r>
      <w:r w:rsidR="00125159">
        <w:t>ribunal</w:t>
      </w:r>
      <w:r w:rsidR="00496797">
        <w:t xml:space="preserve"> in terms of its overall approach to the </w:t>
      </w:r>
      <w:r w:rsidR="00125159">
        <w:t xml:space="preserve">appellant’s </w:t>
      </w:r>
      <w:r w:rsidR="00496797">
        <w:t xml:space="preserve">credibility. </w:t>
      </w:r>
      <w:r w:rsidR="008753CF">
        <w:t xml:space="preserve">As Lee J observes, </w:t>
      </w:r>
      <w:r w:rsidR="00B23C09">
        <w:t>these</w:t>
      </w:r>
      <w:r w:rsidR="008753CF">
        <w:t xml:space="preserve"> </w:t>
      </w:r>
      <w:r w:rsidR="00496797">
        <w:t xml:space="preserve">kinds of </w:t>
      </w:r>
      <w:r w:rsidR="008753CF">
        <w:t xml:space="preserve">findings cannot be nicely </w:t>
      </w:r>
      <w:r w:rsidR="00B23C09">
        <w:t>compartmentalised</w:t>
      </w:r>
      <w:r w:rsidR="008753CF">
        <w:t xml:space="preserve"> from one another: that </w:t>
      </w:r>
      <w:r w:rsidR="00B23C09">
        <w:t>is not</w:t>
      </w:r>
      <w:r w:rsidR="008753CF">
        <w:t xml:space="preserve"> how </w:t>
      </w:r>
      <w:r w:rsidR="00B23C09">
        <w:t>credibility</w:t>
      </w:r>
      <w:r w:rsidR="008753CF">
        <w:t xml:space="preserve"> </w:t>
      </w:r>
      <w:r w:rsidR="00B23C09">
        <w:t>reasoning</w:t>
      </w:r>
      <w:r w:rsidR="008753CF">
        <w:t xml:space="preserve"> works.</w:t>
      </w:r>
      <w:r w:rsidR="00A93B9F">
        <w:t xml:space="preserve"> </w:t>
      </w:r>
    </w:p>
    <w:p w14:paraId="13D3F0CA" w14:textId="6C6ED12A" w:rsidR="008753CF" w:rsidRDefault="008753CF" w:rsidP="007F246D">
      <w:pPr>
        <w:pStyle w:val="ParaNumbering"/>
      </w:pPr>
      <w:r>
        <w:t xml:space="preserve">I am satisfied that the false </w:t>
      </w:r>
      <w:r w:rsidR="00B23C09">
        <w:t>assumptions</w:t>
      </w:r>
      <w:r>
        <w:t xml:space="preserve"> made </w:t>
      </w:r>
      <w:r w:rsidR="00B23C09">
        <w:t>by</w:t>
      </w:r>
      <w:r>
        <w:t xml:space="preserve"> the T</w:t>
      </w:r>
      <w:r w:rsidR="00125159">
        <w:t>ribunal</w:t>
      </w:r>
      <w:r>
        <w:t xml:space="preserve"> about the stage at which the </w:t>
      </w:r>
      <w:r w:rsidR="00125159">
        <w:t xml:space="preserve">appellant </w:t>
      </w:r>
      <w:r>
        <w:t xml:space="preserve">made a claim to have been on the </w:t>
      </w:r>
      <w:proofErr w:type="spellStart"/>
      <w:r w:rsidR="00B23C09">
        <w:t>Merak</w:t>
      </w:r>
      <w:proofErr w:type="spellEnd"/>
      <w:r>
        <w:t xml:space="preserve"> boat </w:t>
      </w:r>
      <w:r w:rsidR="00B23C09">
        <w:t>affected</w:t>
      </w:r>
      <w:r>
        <w:t xml:space="preserve"> in a material way its view of the credibility of the </w:t>
      </w:r>
      <w:r w:rsidR="00125159">
        <w:t xml:space="preserve">appellant </w:t>
      </w:r>
      <w:r w:rsidR="00B23C09">
        <w:t>overall</w:t>
      </w:r>
      <w:r>
        <w:t xml:space="preserve">, but most </w:t>
      </w:r>
      <w:r w:rsidR="00B23C09">
        <w:t>importantly</w:t>
      </w:r>
      <w:r>
        <w:t xml:space="preserve"> in terms of how the T</w:t>
      </w:r>
      <w:r w:rsidR="00125159">
        <w:t>ribunal</w:t>
      </w:r>
      <w:r>
        <w:t xml:space="preserve"> assessed this </w:t>
      </w:r>
      <w:r w:rsidR="00B23C09">
        <w:t>separate</w:t>
      </w:r>
      <w:r>
        <w:t xml:space="preserve"> claim</w:t>
      </w:r>
      <w:r w:rsidR="00761686">
        <w:t>.</w:t>
      </w:r>
      <w:r>
        <w:t xml:space="preserve"> It led to a </w:t>
      </w:r>
      <w:r w:rsidR="00B23C09">
        <w:t>miscarriage of</w:t>
      </w:r>
      <w:r>
        <w:t xml:space="preserve"> </w:t>
      </w:r>
      <w:r w:rsidR="00761686">
        <w:t>the T</w:t>
      </w:r>
      <w:r w:rsidR="00125159">
        <w:t>ribunal</w:t>
      </w:r>
      <w:r w:rsidR="00761686">
        <w:t>’s</w:t>
      </w:r>
      <w:r>
        <w:t xml:space="preserve"> review function</w:t>
      </w:r>
      <w:r w:rsidR="00761686">
        <w:t xml:space="preserve">. </w:t>
      </w:r>
    </w:p>
    <w:p w14:paraId="3344249C" w14:textId="0D9E5222" w:rsidR="00932A85" w:rsidRDefault="00A93B9F" w:rsidP="00A93B9F">
      <w:pPr>
        <w:pStyle w:val="Heading1"/>
      </w:pPr>
      <w:r>
        <w:t>Conclusion</w:t>
      </w:r>
    </w:p>
    <w:p w14:paraId="50775901" w14:textId="16E6320A" w:rsidR="00A93B9F" w:rsidRPr="005F0D02" w:rsidRDefault="00A93B9F" w:rsidP="00932A85">
      <w:pPr>
        <w:pStyle w:val="ParaNumbering"/>
      </w:pPr>
      <w:r>
        <w:t xml:space="preserve">Leave will be </w:t>
      </w:r>
      <w:r w:rsidR="00B23C09">
        <w:t>granted</w:t>
      </w:r>
      <w:r>
        <w:t xml:space="preserve"> </w:t>
      </w:r>
      <w:r w:rsidR="00B23C09">
        <w:t>to</w:t>
      </w:r>
      <w:r>
        <w:t xml:space="preserve"> the </w:t>
      </w:r>
      <w:r w:rsidR="00125159">
        <w:t xml:space="preserve">appellant </w:t>
      </w:r>
      <w:r>
        <w:t xml:space="preserve">to raise ground </w:t>
      </w:r>
      <w:r w:rsidR="00391DC3">
        <w:t>two</w:t>
      </w:r>
      <w:r>
        <w:t xml:space="preserve"> of the </w:t>
      </w:r>
      <w:r w:rsidR="00B23C09">
        <w:t>proposed</w:t>
      </w:r>
      <w:r>
        <w:t xml:space="preserve"> </w:t>
      </w:r>
      <w:r w:rsidR="00B23C09">
        <w:t>amended</w:t>
      </w:r>
      <w:r>
        <w:t xml:space="preserve"> notice of appeal, and orders will be made allowing the appeal, together with the usual </w:t>
      </w:r>
      <w:r w:rsidR="00B23C09">
        <w:t>consequential</w:t>
      </w:r>
      <w:r>
        <w:t xml:space="preserve"> orders. Directions will </w:t>
      </w:r>
      <w:r w:rsidRPr="005F0D02">
        <w:t xml:space="preserve">be </w:t>
      </w:r>
      <w:r w:rsidR="00B23C09" w:rsidRPr="005F0D02">
        <w:t>given</w:t>
      </w:r>
      <w:r w:rsidRPr="005F0D02">
        <w:t xml:space="preserve"> to give </w:t>
      </w:r>
      <w:r w:rsidR="00B23C09" w:rsidRPr="005F0D02">
        <w:t>the</w:t>
      </w:r>
      <w:r w:rsidRPr="005F0D02">
        <w:t xml:space="preserve"> parties an </w:t>
      </w:r>
      <w:r w:rsidR="00B23C09" w:rsidRPr="005F0D02">
        <w:t>opportunity</w:t>
      </w:r>
      <w:r w:rsidRPr="005F0D02">
        <w:t xml:space="preserve"> to agree costs, in the absence of any agreement short </w:t>
      </w:r>
      <w:r w:rsidR="00B23C09" w:rsidRPr="005F0D02">
        <w:t>submissions</w:t>
      </w:r>
      <w:r w:rsidRPr="005F0D02">
        <w:t xml:space="preserve"> will be directed to be filed.</w:t>
      </w:r>
    </w:p>
    <w:p w14:paraId="2FBC19A1" w14:textId="77777777" w:rsidR="00260824" w:rsidRPr="005F0D02" w:rsidRDefault="00260824" w:rsidP="00815065">
      <w:pPr>
        <w:pStyle w:val="BodyText"/>
      </w:pPr>
      <w:bookmarkStart w:id="25" w:name="Certification"/>
    </w:p>
    <w:tbl>
      <w:tblPr>
        <w:tblW w:w="0" w:type="auto"/>
        <w:tblLook w:val="04A0" w:firstRow="1" w:lastRow="0" w:firstColumn="1" w:lastColumn="0" w:noHBand="0" w:noVBand="1"/>
      </w:tblPr>
      <w:tblGrid>
        <w:gridCol w:w="3794"/>
      </w:tblGrid>
      <w:tr w:rsidR="00260824" w:rsidRPr="005F0D02" w14:paraId="73954906" w14:textId="77777777">
        <w:tc>
          <w:tcPr>
            <w:tcW w:w="3794" w:type="dxa"/>
            <w:shd w:val="clear" w:color="auto" w:fill="auto"/>
          </w:tcPr>
          <w:p w14:paraId="5E30074F" w14:textId="2DF81804" w:rsidR="00260824" w:rsidRPr="005F0D02" w:rsidRDefault="00260824" w:rsidP="00260824">
            <w:pPr>
              <w:pStyle w:val="Normal1linespace"/>
            </w:pPr>
            <w:r w:rsidRPr="005F0D02">
              <w:t xml:space="preserve">I certify that the preceding </w:t>
            </w:r>
            <w:bookmarkStart w:id="26" w:name="NumberWord"/>
            <w:r w:rsidRPr="005F0D02">
              <w:t>ninety-four</w:t>
            </w:r>
            <w:bookmarkEnd w:id="26"/>
            <w:r w:rsidRPr="005F0D02">
              <w:t xml:space="preserve"> (</w:t>
            </w:r>
            <w:bookmarkStart w:id="27" w:name="NumberNumeral"/>
            <w:r w:rsidRPr="005F0D02">
              <w:t>94</w:t>
            </w:r>
            <w:bookmarkEnd w:id="27"/>
            <w:r w:rsidRPr="005F0D02">
              <w:t xml:space="preserve">) numbered </w:t>
            </w:r>
            <w:bookmarkStart w:id="28" w:name="CertPara"/>
            <w:r w:rsidRPr="005F0D02">
              <w:t>paragraphs are</w:t>
            </w:r>
            <w:bookmarkEnd w:id="28"/>
            <w:r w:rsidRPr="005F0D02">
              <w:t xml:space="preserve"> a true copy of the Reasons for Judgment herein of the Honourable </w:t>
            </w:r>
            <w:bookmarkStart w:id="29" w:name="Justice"/>
            <w:r w:rsidRPr="005F0D02">
              <w:t>Justice Mortimer</w:t>
            </w:r>
            <w:bookmarkEnd w:id="29"/>
            <w:r w:rsidRPr="005F0D02">
              <w:t>.</w:t>
            </w:r>
          </w:p>
        </w:tc>
      </w:tr>
    </w:tbl>
    <w:p w14:paraId="411F5787" w14:textId="77777777" w:rsidR="00260824" w:rsidRPr="005F0D02" w:rsidRDefault="00260824" w:rsidP="00815065">
      <w:pPr>
        <w:pStyle w:val="BodyText"/>
      </w:pPr>
    </w:p>
    <w:p w14:paraId="6A6DA2B1" w14:textId="77777777" w:rsidR="00260824" w:rsidRPr="005F0D02" w:rsidRDefault="00260824" w:rsidP="00815065">
      <w:pPr>
        <w:pStyle w:val="BodyText"/>
      </w:pPr>
    </w:p>
    <w:p w14:paraId="0B07598A" w14:textId="77777777" w:rsidR="00260824" w:rsidRPr="005F0D02" w:rsidRDefault="00260824" w:rsidP="00815065">
      <w:pPr>
        <w:pStyle w:val="BodyText"/>
      </w:pPr>
    </w:p>
    <w:p w14:paraId="3402B290" w14:textId="2E673D51" w:rsidR="00260824" w:rsidRDefault="00260824" w:rsidP="00815065">
      <w:pPr>
        <w:pStyle w:val="BodyText"/>
      </w:pPr>
      <w:r w:rsidRPr="005F0D02">
        <w:t>Associate:</w:t>
      </w:r>
    </w:p>
    <w:p w14:paraId="66891753" w14:textId="77777777" w:rsidR="00260824" w:rsidRDefault="00260824" w:rsidP="00815065">
      <w:pPr>
        <w:pStyle w:val="BodyText"/>
      </w:pPr>
      <w:bookmarkStart w:id="30" w:name="_GoBack"/>
      <w:bookmarkEnd w:id="30"/>
    </w:p>
    <w:p w14:paraId="78CB03C4" w14:textId="3876E3B3" w:rsidR="00260824" w:rsidRDefault="00260824" w:rsidP="006A251D">
      <w:pPr>
        <w:pStyle w:val="BodyText"/>
        <w:tabs>
          <w:tab w:val="left" w:pos="1134"/>
        </w:tabs>
      </w:pPr>
      <w:r>
        <w:t>Dated:</w:t>
      </w:r>
      <w:r>
        <w:tab/>
      </w:r>
      <w:bookmarkStart w:id="31" w:name="CertifyDated"/>
      <w:r>
        <w:t>29 January 2019</w:t>
      </w:r>
      <w:bookmarkEnd w:id="31"/>
      <w:bookmarkEnd w:id="25"/>
    </w:p>
    <w:sectPr w:rsidR="00260824">
      <w:headerReference w:type="even" r:id="rId12"/>
      <w:headerReference w:type="default" r:id="rId13"/>
      <w:footerReference w:type="default" r:id="rId14"/>
      <w:headerReference w:type="first" r:id="rId15"/>
      <w:footerReference w:type="first" r:id="rId16"/>
      <w:endnotePr>
        <w:numFmt w:val="decimal"/>
      </w:endnotePr>
      <w:pgSz w:w="11907" w:h="16840" w:code="9"/>
      <w:pgMar w:top="1440" w:right="1440" w:bottom="1440" w:left="1440" w:header="851" w:footer="851" w:gutter="0"/>
      <w:pgNumType w:start="1"/>
      <w:cols w:space="720"/>
      <w:noEndnote/>
      <w:titlePg/>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8A3DE55" w16cid:durableId="1FDEFCC4"/>
  <w16cid:commentId w16cid:paraId="4D4E80CE" w16cid:durableId="1FE08EEC"/>
  <w16cid:commentId w16cid:paraId="0E8712F8" w16cid:durableId="1FDF030A"/>
  <w16cid:commentId w16cid:paraId="72AD4AE9" w16cid:durableId="1FE08FA9"/>
  <w16cid:commentId w16cid:paraId="731652A8" w16cid:durableId="1FE08FC4"/>
  <w16cid:commentId w16cid:paraId="7508D3BD" w16cid:durableId="1FDF062E"/>
  <w16cid:commentId w16cid:paraId="6C54AA64" w16cid:durableId="1FDF0859"/>
  <w16cid:commentId w16cid:paraId="007D269F" w16cid:durableId="1FDF0E66"/>
  <w16cid:commentId w16cid:paraId="6A3844AF" w16cid:durableId="1FDF106E"/>
  <w16cid:commentId w16cid:paraId="2F0DD312" w16cid:durableId="1FDF38F5"/>
  <w16cid:commentId w16cid:paraId="03DB119C" w16cid:durableId="1FE0631E"/>
  <w16cid:commentId w16cid:paraId="1F1810E0" w16cid:durableId="1FDF5E32"/>
  <w16cid:commentId w16cid:paraId="1A1EEE1F" w16cid:durableId="1FE09E4C"/>
  <w16cid:commentId w16cid:paraId="3CD68C1C" w16cid:durableId="1FDF87EB"/>
  <w16cid:commentId w16cid:paraId="007B8084" w16cid:durableId="1FDF86DB"/>
  <w16cid:commentId w16cid:paraId="020EE4A5" w16cid:durableId="1FDF8602"/>
  <w16cid:commentId w16cid:paraId="3790D151" w16cid:durableId="1FE0A51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FF8728" w14:textId="77777777" w:rsidR="00E47172" w:rsidRDefault="00E47172">
      <w:pPr>
        <w:spacing w:line="20" w:lineRule="exact"/>
      </w:pPr>
    </w:p>
    <w:p w14:paraId="1BF0D357" w14:textId="77777777" w:rsidR="00E47172" w:rsidRDefault="00E47172"/>
    <w:p w14:paraId="00E860DD" w14:textId="77777777" w:rsidR="00E47172" w:rsidRDefault="00E47172"/>
  </w:endnote>
  <w:endnote w:type="continuationSeparator" w:id="0">
    <w:p w14:paraId="2D05D911" w14:textId="77777777" w:rsidR="00E47172" w:rsidRDefault="00E47172">
      <w:r>
        <w:t xml:space="preserve"> </w:t>
      </w:r>
    </w:p>
    <w:p w14:paraId="54652AD4" w14:textId="77777777" w:rsidR="00E47172" w:rsidRDefault="00E47172"/>
    <w:p w14:paraId="4828F60F" w14:textId="77777777" w:rsidR="00E47172" w:rsidRDefault="00E47172"/>
  </w:endnote>
  <w:endnote w:type="continuationNotice" w:id="1">
    <w:p w14:paraId="1E2AD6E2" w14:textId="77777777" w:rsidR="00E47172" w:rsidRDefault="00E47172">
      <w:r>
        <w:t xml:space="preserve"> </w:t>
      </w:r>
    </w:p>
    <w:p w14:paraId="6C826142" w14:textId="77777777" w:rsidR="00E47172" w:rsidRDefault="00E47172"/>
    <w:p w14:paraId="60DA13EA" w14:textId="77777777" w:rsidR="00E47172" w:rsidRDefault="00E471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imesNewRomanPS">
    <w:altName w:val="Times New Roman"/>
    <w:panose1 w:val="00000000000000000000"/>
    <w:charset w:val="00"/>
    <w:family w:val="roman"/>
    <w:notTrueType/>
    <w:pitch w:val="default"/>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1323EB" w14:textId="781885B5" w:rsidR="00E47172" w:rsidRDefault="00E47172">
    <w:pPr>
      <w:pStyle w:val="Footer"/>
      <w:jc w:val="center"/>
      <w:rPr>
        <w:sz w:val="2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AA113F" w14:textId="4B0CC3D7" w:rsidR="00E47172" w:rsidRPr="00624520" w:rsidRDefault="00E47172" w:rsidP="00624520">
    <w:pPr>
      <w:pStyle w:val="Footer"/>
      <w:jc w:val="center"/>
      <w:rPr>
        <w:sz w:val="28"/>
      </w:rPr>
    </w:pPr>
    <w:r w:rsidRPr="00624520">
      <w:rPr>
        <w:sz w:val="2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4413BB" w14:textId="3FFC9C1B" w:rsidR="00E47172" w:rsidRDefault="00E47172" w:rsidP="002F1E49">
    <w:pPr>
      <w:pStyle w:val="Footer"/>
      <w:jc w:val="center"/>
      <w:rPr>
        <w:sz w:val="2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552E7A" w14:textId="77777777" w:rsidR="00E47172" w:rsidRDefault="00E47172"/>
    <w:p w14:paraId="6EE4DAB4" w14:textId="77777777" w:rsidR="00E47172" w:rsidRDefault="00E47172"/>
    <w:p w14:paraId="5CA72A2B" w14:textId="77777777" w:rsidR="00E47172" w:rsidRDefault="00E47172"/>
  </w:footnote>
  <w:footnote w:type="continuationSeparator" w:id="0">
    <w:p w14:paraId="4F73234B" w14:textId="77777777" w:rsidR="00E47172" w:rsidRDefault="00E47172">
      <w:r>
        <w:continuationSeparator/>
      </w:r>
    </w:p>
    <w:p w14:paraId="0F1DE1B8" w14:textId="77777777" w:rsidR="00E47172" w:rsidRDefault="00E47172"/>
    <w:p w14:paraId="086911C9" w14:textId="77777777" w:rsidR="00E47172" w:rsidRDefault="00E4717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757FB3" w14:textId="523E7740" w:rsidR="00E47172" w:rsidRDefault="00E47172">
    <w:pPr>
      <w:tabs>
        <w:tab w:val="center" w:pos="4512"/>
      </w:tabs>
      <w:suppressAutoHyphens/>
    </w:pPr>
    <w:r>
      <w:tab/>
      <w:t xml:space="preserve">- </w:t>
    </w:r>
    <w:r>
      <w:fldChar w:fldCharType="begin"/>
    </w:r>
    <w:r>
      <w:instrText xml:space="preserve"> PAGE   \* MERGEFORMAT </w:instrText>
    </w:r>
    <w:r>
      <w:fldChar w:fldCharType="separate"/>
    </w:r>
    <w:r w:rsidR="00723913">
      <w:rPr>
        <w:noProof/>
      </w:rPr>
      <w:t>ii</w:t>
    </w:r>
    <w:r>
      <w:rPr>
        <w:noProof/>
      </w:rPr>
      <w:fldChar w:fldCharType="end"/>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56AFF8" w14:textId="77777777" w:rsidR="00E47172" w:rsidRDefault="00E47172">
    <w:pPr>
      <w:pStyle w:val="Header"/>
      <w:tabs>
        <w:tab w:val="clear" w:pos="4320"/>
        <w:tab w:val="clear" w:pos="8640"/>
      </w:tabs>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3E26B" w14:textId="77777777" w:rsidR="00E47172" w:rsidRDefault="00E47172"/>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7B47AB" w14:textId="3D675229" w:rsidR="00E47172" w:rsidRDefault="00E47172">
    <w:pPr>
      <w:tabs>
        <w:tab w:val="center" w:pos="4512"/>
      </w:tabs>
      <w:suppressAutoHyphens/>
    </w:pPr>
    <w:r>
      <w:tab/>
      <w:t xml:space="preserve">- </w:t>
    </w:r>
    <w:r>
      <w:fldChar w:fldCharType="begin"/>
    </w:r>
    <w:r>
      <w:instrText>page \* arabic</w:instrText>
    </w:r>
    <w:r>
      <w:fldChar w:fldCharType="separate"/>
    </w:r>
    <w:r w:rsidR="00723913">
      <w:rPr>
        <w:noProof/>
      </w:rPr>
      <w:t>27</w:t>
    </w:r>
    <w:r>
      <w:fldChar w:fldCharType="end"/>
    </w:r>
    <w: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F26277" w14:textId="77777777" w:rsidR="00E47172" w:rsidRDefault="00E47172">
    <w:pPr>
      <w:pStyle w:val="Header"/>
      <w:tabs>
        <w:tab w:val="clear" w:pos="4320"/>
        <w:tab w:val="clear" w:pos="864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1" w15:restartNumberingAfterBreak="0">
    <w:nsid w:val="122541B4"/>
    <w:multiLevelType w:val="multilevel"/>
    <w:tmpl w:val="9EE41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3" w15:restartNumberingAfterBreak="0">
    <w:nsid w:val="188E4668"/>
    <w:multiLevelType w:val="multilevel"/>
    <w:tmpl w:val="354CFAA6"/>
    <w:lvl w:ilvl="0">
      <w:start w:val="1"/>
      <w:numFmt w:val="decimal"/>
      <w:lvlText w:val="%1."/>
      <w:lvlJc w:val="left"/>
      <w:pPr>
        <w:tabs>
          <w:tab w:val="num" w:pos="851"/>
        </w:tabs>
        <w:ind w:left="851" w:hanging="851"/>
      </w:pPr>
      <w:rPr>
        <w:rFonts w:cs="Times New Roman" w:hint="default"/>
      </w:rPr>
    </w:lvl>
    <w:lvl w:ilvl="1">
      <w:start w:val="1"/>
      <w:numFmt w:val="lowerLetter"/>
      <w:lvlText w:val="%2)"/>
      <w:lvlJc w:val="left"/>
      <w:pPr>
        <w:tabs>
          <w:tab w:val="num" w:pos="1418"/>
        </w:tabs>
        <w:ind w:left="1418" w:hanging="567"/>
      </w:pPr>
      <w:rPr>
        <w:rFonts w:cs="Times New Roman" w:hint="default"/>
      </w:rPr>
    </w:lvl>
    <w:lvl w:ilvl="2">
      <w:start w:val="1"/>
      <w:numFmt w:val="lowerRoman"/>
      <w:lvlText w:val="%3)"/>
      <w:lvlJc w:val="left"/>
      <w:pPr>
        <w:tabs>
          <w:tab w:val="num" w:pos="2138"/>
        </w:tabs>
        <w:ind w:left="1985" w:hanging="567"/>
      </w:pPr>
      <w:rPr>
        <w:rFonts w:cs="Times New Roman" w:hint="default"/>
      </w:rPr>
    </w:lvl>
    <w:lvl w:ilvl="3">
      <w:start w:val="1"/>
      <w:numFmt w:val="decimal"/>
      <w:isLgl/>
      <w:lvlText w:val="(%4)"/>
      <w:lvlJc w:val="left"/>
      <w:pPr>
        <w:tabs>
          <w:tab w:val="num" w:pos="1418"/>
        </w:tabs>
        <w:ind w:left="1418" w:hanging="567"/>
      </w:pPr>
      <w:rPr>
        <w:rFonts w:cs="Times New Roman" w:hint="default"/>
      </w:rPr>
    </w:lvl>
    <w:lvl w:ilvl="4">
      <w:start w:val="1"/>
      <w:numFmt w:val="lowerLetter"/>
      <w:lvlText w:val="(%5)"/>
      <w:lvlJc w:val="left"/>
      <w:pPr>
        <w:tabs>
          <w:tab w:val="num" w:pos="1985"/>
        </w:tabs>
        <w:ind w:left="1985" w:hanging="567"/>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4" w15:restartNumberingAfterBreak="0">
    <w:nsid w:val="1C1468D3"/>
    <w:multiLevelType w:val="multilevel"/>
    <w:tmpl w:val="0F0EC90E"/>
    <w:styleLink w:val="FCListNo"/>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5" w15:restartNumberingAfterBreak="0">
    <w:nsid w:val="29AE3DD1"/>
    <w:multiLevelType w:val="singleLevel"/>
    <w:tmpl w:val="79648FFC"/>
    <w:lvl w:ilvl="0">
      <w:start w:val="1"/>
      <w:numFmt w:val="decimal"/>
      <w:lvlRestart w:val="0"/>
      <w:pStyle w:val="ParaNumbering"/>
      <w:lvlText w:val="%1"/>
      <w:lvlJc w:val="left"/>
      <w:pPr>
        <w:tabs>
          <w:tab w:val="num" w:pos="720"/>
        </w:tabs>
        <w:ind w:left="0" w:hanging="720"/>
      </w:pPr>
      <w:rPr>
        <w:rFonts w:hint="default"/>
        <w:sz w:val="20"/>
      </w:rPr>
    </w:lvl>
  </w:abstractNum>
  <w:abstractNum w:abstractNumId="16" w15:restartNumberingAfterBreak="0">
    <w:nsid w:val="2AD4345C"/>
    <w:multiLevelType w:val="multilevel"/>
    <w:tmpl w:val="F2CAC3DA"/>
    <w:styleLink w:val="FCOrders"/>
    <w:lvl w:ilvl="0">
      <w:start w:val="1"/>
      <w:numFmt w:val="decimal"/>
      <w:pStyle w:val="Order1"/>
      <w:lvlText w:val="%1."/>
      <w:lvlJc w:val="left"/>
      <w:pPr>
        <w:ind w:left="720" w:hanging="720"/>
      </w:pPr>
      <w:rPr>
        <w:rFonts w:ascii="Times New Roman" w:hAnsi="Times New Roman" w:hint="default"/>
        <w:sz w:val="24"/>
      </w:rPr>
    </w:lvl>
    <w:lvl w:ilvl="1">
      <w:start w:val="1"/>
      <w:numFmt w:val="lowerLetter"/>
      <w:pStyle w:val="Order2"/>
      <w:lvlText w:val="(%2)"/>
      <w:lvlJc w:val="left"/>
      <w:pPr>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numFmt w:val="none"/>
      <w:lvlRestart w:val="0"/>
      <w:suff w:val="nothing"/>
      <w:lvlText w:val=""/>
      <w:lvlJc w:val="left"/>
      <w:pPr>
        <w:ind w:left="-32767" w:firstLine="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7" w15:restartNumberingAfterBreak="0">
    <w:nsid w:val="33561E2E"/>
    <w:multiLevelType w:val="hybridMultilevel"/>
    <w:tmpl w:val="E0D27D0E"/>
    <w:lvl w:ilvl="0" w:tplc="1EAAB8BA">
      <w:start w:val="1"/>
      <w:numFmt w:val="bullet"/>
      <w:pStyle w:val="Quote3Bullet"/>
      <w:lvlText w:val=""/>
      <w:lvlJc w:val="left"/>
      <w:pPr>
        <w:ind w:left="2880" w:hanging="360"/>
      </w:pPr>
      <w:rPr>
        <w:rFonts w:ascii="Wingdings" w:hAnsi="Wingdings"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18" w15:restartNumberingAfterBreak="0">
    <w:nsid w:val="494817A7"/>
    <w:multiLevelType w:val="multilevel"/>
    <w:tmpl w:val="0F0EC90E"/>
    <w:numStyleLink w:val="FCListNo"/>
  </w:abstractNum>
  <w:abstractNum w:abstractNumId="19" w15:restartNumberingAfterBreak="0">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15:restartNumberingAfterBreak="0">
    <w:nsid w:val="4E1C499C"/>
    <w:multiLevelType w:val="multilevel"/>
    <w:tmpl w:val="751E6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5AE2113"/>
    <w:multiLevelType w:val="hybridMultilevel"/>
    <w:tmpl w:val="0D9EDF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4" w15:restartNumberingAfterBreak="0">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25" w15:restartNumberingAfterBreak="0">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5"/>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3"/>
  </w:num>
  <w:num w:numId="14">
    <w:abstractNumId w:val="19"/>
  </w:num>
  <w:num w:numId="15">
    <w:abstractNumId w:val="20"/>
  </w:num>
  <w:num w:numId="16">
    <w:abstractNumId w:val="25"/>
  </w:num>
  <w:num w:numId="17">
    <w:abstractNumId w:val="14"/>
  </w:num>
  <w:num w:numId="18">
    <w:abstractNumId w:val="24"/>
  </w:num>
  <w:num w:numId="19">
    <w:abstractNumId w:val="10"/>
  </w:num>
  <w:num w:numId="20">
    <w:abstractNumId w:val="17"/>
  </w:num>
  <w:num w:numId="21">
    <w:abstractNumId w:val="18"/>
  </w:num>
  <w:num w:numId="22">
    <w:abstractNumId w:val="16"/>
  </w:num>
  <w:num w:numId="23">
    <w:abstractNumId w:val="16"/>
    <w:lvlOverride w:ilvl="0">
      <w:lvl w:ilvl="0">
        <w:start w:val="1"/>
        <w:numFmt w:val="decimal"/>
        <w:pStyle w:val="Order1"/>
        <w:lvlText w:val="%1."/>
        <w:lvlJc w:val="left"/>
        <w:pPr>
          <w:ind w:left="720" w:hanging="720"/>
        </w:pPr>
        <w:rPr>
          <w:rFonts w:ascii="Times New Roman" w:hAnsi="Times New Roman" w:hint="default"/>
          <w:sz w:val="24"/>
        </w:rPr>
      </w:lvl>
    </w:lvlOverride>
  </w:num>
  <w:num w:numId="24">
    <w:abstractNumId w:val="22"/>
  </w:num>
  <w:num w:numId="25">
    <w:abstractNumId w:val="11"/>
  </w:num>
  <w:num w:numId="26">
    <w:abstractNumId w:val="21"/>
  </w:num>
  <w:num w:numId="27">
    <w:abstractNumId w:val="1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AU" w:vendorID="64" w:dllVersion="6" w:nlCheck="1" w:checkStyle="1"/>
  <w:activeWritingStyle w:appName="MSWord" w:lang="en-US" w:vendorID="64" w:dllVersion="6" w:nlCheck="1" w:checkStyle="1"/>
  <w:activeWritingStyle w:appName="MSWord" w:lang="en-AU" w:vendorID="64" w:dllVersion="4096" w:nlCheck="1" w:checkStyle="0"/>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26625"/>
  </w:hdrShapeDefaults>
  <w:footnotePr>
    <w:footnote w:id="-1"/>
    <w:footnote w:id="0"/>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AndAnother" w:val="True"/>
    <w:docVar w:name="APPAndOthers" w:val="False"/>
    <w:docVar w:name="Appellant" w:val="BKQ16"/>
    <w:docVar w:name="CounselParties" w:val="Respondent"/>
    <w:docVar w:name="CounselType" w:val="Counsel for the "/>
    <w:docVar w:name="Cross1AndAnother" w:val="True"/>
    <w:docVar w:name="Cross1AndOthers" w:val="False"/>
    <w:docVar w:name="Cross2AndAnother" w:val="True"/>
    <w:docVar w:name="Cross2AndOthers" w:val="False"/>
    <w:docVar w:name="Defenders" w:val="(and another named in the Schedule)"/>
    <w:docVar w:name="Division" w:val="General Division"/>
    <w:docVar w:name="DocCreated" w:val="True"/>
    <w:docVar w:name="FileNumbers" w:val="VID 166 of 2018"/>
    <w:docVar w:name="HearingDate" w:val="13 November 2018"/>
    <w:docVar w:name="Initiators" w:val="(and another named in the Schedule)"/>
    <w:docVar w:name="Judgdate" w:val="29 January 2019"/>
    <w:docVar w:name="Judge" w:val="Mortimer"/>
    <w:docVar w:name="Justices" w:val="Justice"/>
    <w:docVar w:name="lstEntryList" w:val="-1"/>
    <w:docVar w:name="myEntryList" w:val="Counsel for the Appellant=Ms G A Costello|Solicitor for the Appellant=Victoria Legal Aid|Counsel for the First Respondent=Mr C M McDermott |Solicitor for the First Respondent=Australian Government Solicitor|Counsel for the Second Respondent=The Second Respodent filed a submitting notice save as to costs"/>
    <w:docVar w:name="NSD" w:val="NSD "/>
    <w:docVar w:name="NumApps" w:val="1"/>
    <w:docVar w:name="NumApps_" w:val="2"/>
    <w:docVar w:name="NumCrossResps" w:val="0"/>
    <w:docVar w:name="NumDefs" w:val="2"/>
    <w:docVar w:name="NumOthers" w:val="0"/>
    <w:docVar w:name="OtherNum" w:val="0"/>
    <w:docVar w:name="Parties1" w:val="Appellant"/>
    <w:docVar w:name="Parties2" w:val="Respondent"/>
    <w:docVar w:name="Parties3" w:val="Cross-Appellant"/>
    <w:docVar w:name="Parties4" w:val="Cross-Defendant"/>
    <w:docVar w:name="Parties5" w:val="Intervener"/>
    <w:docVar w:name="PracticeArea" w:val="Administrative and Constitutional Law and Human Rights"/>
    <w:docVar w:name="RESAndAnother" w:val="True"/>
    <w:docVar w:name="RESAndOthers" w:val="False"/>
    <w:docVar w:name="Respondent" w:val="Minister for Immigration and Border Protection|Administrative Appeals Tribunal"/>
    <w:docVar w:name="ResState" w:val="Victoria"/>
    <w:docVar w:name="SubArea" w:val="[none]"/>
  </w:docVars>
  <w:rsids>
    <w:rsidRoot w:val="00932A85"/>
    <w:rsid w:val="0001469E"/>
    <w:rsid w:val="00015993"/>
    <w:rsid w:val="00022289"/>
    <w:rsid w:val="000274A5"/>
    <w:rsid w:val="00030E4F"/>
    <w:rsid w:val="00032F9F"/>
    <w:rsid w:val="000356DD"/>
    <w:rsid w:val="00041C07"/>
    <w:rsid w:val="000423C3"/>
    <w:rsid w:val="000430E8"/>
    <w:rsid w:val="00045BB7"/>
    <w:rsid w:val="00045C82"/>
    <w:rsid w:val="000517EB"/>
    <w:rsid w:val="00052A05"/>
    <w:rsid w:val="00054FB4"/>
    <w:rsid w:val="00055719"/>
    <w:rsid w:val="0005641B"/>
    <w:rsid w:val="000639EF"/>
    <w:rsid w:val="00071E82"/>
    <w:rsid w:val="00074237"/>
    <w:rsid w:val="00081497"/>
    <w:rsid w:val="00081BA1"/>
    <w:rsid w:val="00085444"/>
    <w:rsid w:val="000856F4"/>
    <w:rsid w:val="00086077"/>
    <w:rsid w:val="00091157"/>
    <w:rsid w:val="000A2E76"/>
    <w:rsid w:val="000A4807"/>
    <w:rsid w:val="000A4BE4"/>
    <w:rsid w:val="000A7227"/>
    <w:rsid w:val="000B16D4"/>
    <w:rsid w:val="000B1703"/>
    <w:rsid w:val="000C023E"/>
    <w:rsid w:val="000C0511"/>
    <w:rsid w:val="000C5195"/>
    <w:rsid w:val="000C62EF"/>
    <w:rsid w:val="000D2137"/>
    <w:rsid w:val="000D3FD2"/>
    <w:rsid w:val="000E7BAE"/>
    <w:rsid w:val="000F133D"/>
    <w:rsid w:val="00100966"/>
    <w:rsid w:val="00102F7E"/>
    <w:rsid w:val="001035DD"/>
    <w:rsid w:val="0010536B"/>
    <w:rsid w:val="0011145C"/>
    <w:rsid w:val="001128BD"/>
    <w:rsid w:val="0011419D"/>
    <w:rsid w:val="00115511"/>
    <w:rsid w:val="00125159"/>
    <w:rsid w:val="00131BE0"/>
    <w:rsid w:val="00132054"/>
    <w:rsid w:val="00132179"/>
    <w:rsid w:val="00135EF7"/>
    <w:rsid w:val="00147C12"/>
    <w:rsid w:val="00153135"/>
    <w:rsid w:val="00170217"/>
    <w:rsid w:val="001727A4"/>
    <w:rsid w:val="0017376C"/>
    <w:rsid w:val="001738AB"/>
    <w:rsid w:val="001765E0"/>
    <w:rsid w:val="00177759"/>
    <w:rsid w:val="00181443"/>
    <w:rsid w:val="00185E6B"/>
    <w:rsid w:val="00187BBC"/>
    <w:rsid w:val="001932F3"/>
    <w:rsid w:val="001A0F50"/>
    <w:rsid w:val="001A26C2"/>
    <w:rsid w:val="001A4309"/>
    <w:rsid w:val="001A7AC8"/>
    <w:rsid w:val="001B1053"/>
    <w:rsid w:val="001B14AC"/>
    <w:rsid w:val="001B2FDF"/>
    <w:rsid w:val="001B4073"/>
    <w:rsid w:val="001B7940"/>
    <w:rsid w:val="001C37CA"/>
    <w:rsid w:val="001C4B54"/>
    <w:rsid w:val="001C4FC2"/>
    <w:rsid w:val="001D0D01"/>
    <w:rsid w:val="001D1055"/>
    <w:rsid w:val="001D4303"/>
    <w:rsid w:val="001D6746"/>
    <w:rsid w:val="001E3B49"/>
    <w:rsid w:val="001E5343"/>
    <w:rsid w:val="001E7388"/>
    <w:rsid w:val="001E7F8C"/>
    <w:rsid w:val="001F13DD"/>
    <w:rsid w:val="001F2DBC"/>
    <w:rsid w:val="001F520C"/>
    <w:rsid w:val="00201B98"/>
    <w:rsid w:val="0020262C"/>
    <w:rsid w:val="00203614"/>
    <w:rsid w:val="00205709"/>
    <w:rsid w:val="00224537"/>
    <w:rsid w:val="00235885"/>
    <w:rsid w:val="00235956"/>
    <w:rsid w:val="00240E1B"/>
    <w:rsid w:val="002414A0"/>
    <w:rsid w:val="00247C9A"/>
    <w:rsid w:val="0025160C"/>
    <w:rsid w:val="00251CC4"/>
    <w:rsid w:val="002535D0"/>
    <w:rsid w:val="002539B3"/>
    <w:rsid w:val="00257C3E"/>
    <w:rsid w:val="002602C2"/>
    <w:rsid w:val="00260824"/>
    <w:rsid w:val="00263639"/>
    <w:rsid w:val="002666C9"/>
    <w:rsid w:val="00266961"/>
    <w:rsid w:val="00270136"/>
    <w:rsid w:val="00273D37"/>
    <w:rsid w:val="00273D68"/>
    <w:rsid w:val="00274F5B"/>
    <w:rsid w:val="00280836"/>
    <w:rsid w:val="00282E1A"/>
    <w:rsid w:val="0029113B"/>
    <w:rsid w:val="002934C0"/>
    <w:rsid w:val="00294429"/>
    <w:rsid w:val="00297C6B"/>
    <w:rsid w:val="002A004E"/>
    <w:rsid w:val="002A1B50"/>
    <w:rsid w:val="002B0E91"/>
    <w:rsid w:val="002B4134"/>
    <w:rsid w:val="002B6779"/>
    <w:rsid w:val="002B70A1"/>
    <w:rsid w:val="002B71C0"/>
    <w:rsid w:val="002B7A34"/>
    <w:rsid w:val="002C1C52"/>
    <w:rsid w:val="002C31AD"/>
    <w:rsid w:val="002C455C"/>
    <w:rsid w:val="002C7385"/>
    <w:rsid w:val="002D2DBB"/>
    <w:rsid w:val="002D3343"/>
    <w:rsid w:val="002D4AED"/>
    <w:rsid w:val="002D54A6"/>
    <w:rsid w:val="002D6B18"/>
    <w:rsid w:val="002E36F1"/>
    <w:rsid w:val="002E41F1"/>
    <w:rsid w:val="002E6A7A"/>
    <w:rsid w:val="002F1963"/>
    <w:rsid w:val="002F1E49"/>
    <w:rsid w:val="002F4023"/>
    <w:rsid w:val="002F4E9C"/>
    <w:rsid w:val="0031256C"/>
    <w:rsid w:val="00314D6C"/>
    <w:rsid w:val="00315C1F"/>
    <w:rsid w:val="00316D2A"/>
    <w:rsid w:val="00322A7C"/>
    <w:rsid w:val="003267D0"/>
    <w:rsid w:val="00326898"/>
    <w:rsid w:val="00327143"/>
    <w:rsid w:val="003402D3"/>
    <w:rsid w:val="00343ABC"/>
    <w:rsid w:val="003463FE"/>
    <w:rsid w:val="00346948"/>
    <w:rsid w:val="00350789"/>
    <w:rsid w:val="00353ED9"/>
    <w:rsid w:val="003554B3"/>
    <w:rsid w:val="00356632"/>
    <w:rsid w:val="00357A59"/>
    <w:rsid w:val="00367F67"/>
    <w:rsid w:val="00373AE2"/>
    <w:rsid w:val="00377DD1"/>
    <w:rsid w:val="003845A9"/>
    <w:rsid w:val="00386FA6"/>
    <w:rsid w:val="00390883"/>
    <w:rsid w:val="00391DC3"/>
    <w:rsid w:val="003922F8"/>
    <w:rsid w:val="00395221"/>
    <w:rsid w:val="00395B24"/>
    <w:rsid w:val="00396143"/>
    <w:rsid w:val="003A2D38"/>
    <w:rsid w:val="003A7ECC"/>
    <w:rsid w:val="003B18E9"/>
    <w:rsid w:val="003B2C72"/>
    <w:rsid w:val="003B48E4"/>
    <w:rsid w:val="003C1333"/>
    <w:rsid w:val="003C1499"/>
    <w:rsid w:val="003C20FF"/>
    <w:rsid w:val="003C39CE"/>
    <w:rsid w:val="003C46F7"/>
    <w:rsid w:val="003C560A"/>
    <w:rsid w:val="003D17D0"/>
    <w:rsid w:val="003D2650"/>
    <w:rsid w:val="003D3C31"/>
    <w:rsid w:val="003D560C"/>
    <w:rsid w:val="003E5874"/>
    <w:rsid w:val="003E792F"/>
    <w:rsid w:val="003F193E"/>
    <w:rsid w:val="003F34F1"/>
    <w:rsid w:val="003F3F82"/>
    <w:rsid w:val="003F402F"/>
    <w:rsid w:val="00402A75"/>
    <w:rsid w:val="00411AE8"/>
    <w:rsid w:val="00413B74"/>
    <w:rsid w:val="00414622"/>
    <w:rsid w:val="00415071"/>
    <w:rsid w:val="00424BAA"/>
    <w:rsid w:val="00435C5F"/>
    <w:rsid w:val="00441E98"/>
    <w:rsid w:val="00446402"/>
    <w:rsid w:val="00446483"/>
    <w:rsid w:val="004532F7"/>
    <w:rsid w:val="00472027"/>
    <w:rsid w:val="0047466E"/>
    <w:rsid w:val="004804CF"/>
    <w:rsid w:val="00484962"/>
    <w:rsid w:val="00484F6D"/>
    <w:rsid w:val="0049338A"/>
    <w:rsid w:val="0049417F"/>
    <w:rsid w:val="00496797"/>
    <w:rsid w:val="004B3EFA"/>
    <w:rsid w:val="004B79CA"/>
    <w:rsid w:val="004B7E4D"/>
    <w:rsid w:val="004C1209"/>
    <w:rsid w:val="004C2A87"/>
    <w:rsid w:val="004C3EFC"/>
    <w:rsid w:val="004C4ED3"/>
    <w:rsid w:val="004C7F41"/>
    <w:rsid w:val="004D2EA5"/>
    <w:rsid w:val="004D32A6"/>
    <w:rsid w:val="004D53E5"/>
    <w:rsid w:val="004E5B2F"/>
    <w:rsid w:val="004E61F2"/>
    <w:rsid w:val="004F7C64"/>
    <w:rsid w:val="005010E3"/>
    <w:rsid w:val="00501A12"/>
    <w:rsid w:val="00501C24"/>
    <w:rsid w:val="00501FE2"/>
    <w:rsid w:val="00502974"/>
    <w:rsid w:val="005118A8"/>
    <w:rsid w:val="0051346D"/>
    <w:rsid w:val="00513EAE"/>
    <w:rsid w:val="00515370"/>
    <w:rsid w:val="00516806"/>
    <w:rsid w:val="0052108D"/>
    <w:rsid w:val="00522FFA"/>
    <w:rsid w:val="00525A49"/>
    <w:rsid w:val="00534ADC"/>
    <w:rsid w:val="00535613"/>
    <w:rsid w:val="005359EB"/>
    <w:rsid w:val="0054254A"/>
    <w:rsid w:val="005466B5"/>
    <w:rsid w:val="00550A62"/>
    <w:rsid w:val="00561E35"/>
    <w:rsid w:val="005629B3"/>
    <w:rsid w:val="00573AC4"/>
    <w:rsid w:val="00576249"/>
    <w:rsid w:val="005801FC"/>
    <w:rsid w:val="00587D23"/>
    <w:rsid w:val="00590116"/>
    <w:rsid w:val="00595016"/>
    <w:rsid w:val="00597A2B"/>
    <w:rsid w:val="00597AAE"/>
    <w:rsid w:val="005A022B"/>
    <w:rsid w:val="005A222C"/>
    <w:rsid w:val="005A4DF8"/>
    <w:rsid w:val="005A7354"/>
    <w:rsid w:val="005B1426"/>
    <w:rsid w:val="005B2A84"/>
    <w:rsid w:val="005B7CC3"/>
    <w:rsid w:val="005C0A8E"/>
    <w:rsid w:val="005C1767"/>
    <w:rsid w:val="005C219F"/>
    <w:rsid w:val="005C42EF"/>
    <w:rsid w:val="005D3652"/>
    <w:rsid w:val="005E02F5"/>
    <w:rsid w:val="005E0510"/>
    <w:rsid w:val="005E128D"/>
    <w:rsid w:val="005E1759"/>
    <w:rsid w:val="005E176E"/>
    <w:rsid w:val="005E218E"/>
    <w:rsid w:val="005E35A0"/>
    <w:rsid w:val="005E6F63"/>
    <w:rsid w:val="005F0833"/>
    <w:rsid w:val="005F0D02"/>
    <w:rsid w:val="005F0D1B"/>
    <w:rsid w:val="005F1865"/>
    <w:rsid w:val="006007BD"/>
    <w:rsid w:val="006013C8"/>
    <w:rsid w:val="00602630"/>
    <w:rsid w:val="0060270D"/>
    <w:rsid w:val="00604611"/>
    <w:rsid w:val="00611586"/>
    <w:rsid w:val="00621887"/>
    <w:rsid w:val="00622B06"/>
    <w:rsid w:val="00624520"/>
    <w:rsid w:val="00625431"/>
    <w:rsid w:val="00632BB7"/>
    <w:rsid w:val="00632C9E"/>
    <w:rsid w:val="00634D1D"/>
    <w:rsid w:val="00635B36"/>
    <w:rsid w:val="00636871"/>
    <w:rsid w:val="00640F4E"/>
    <w:rsid w:val="0064356B"/>
    <w:rsid w:val="00643DE0"/>
    <w:rsid w:val="00644B41"/>
    <w:rsid w:val="00644E85"/>
    <w:rsid w:val="0065577A"/>
    <w:rsid w:val="0066063F"/>
    <w:rsid w:val="00662BB0"/>
    <w:rsid w:val="00663878"/>
    <w:rsid w:val="00667773"/>
    <w:rsid w:val="00670743"/>
    <w:rsid w:val="006734EC"/>
    <w:rsid w:val="00686C2B"/>
    <w:rsid w:val="006879CA"/>
    <w:rsid w:val="00690EE2"/>
    <w:rsid w:val="006A0E20"/>
    <w:rsid w:val="006A251D"/>
    <w:rsid w:val="006A5695"/>
    <w:rsid w:val="006B3904"/>
    <w:rsid w:val="006B5B7D"/>
    <w:rsid w:val="006D0ECF"/>
    <w:rsid w:val="006D47A2"/>
    <w:rsid w:val="006D4C92"/>
    <w:rsid w:val="006D4EB6"/>
    <w:rsid w:val="006E35BF"/>
    <w:rsid w:val="006E7850"/>
    <w:rsid w:val="006F001C"/>
    <w:rsid w:val="006F44B5"/>
    <w:rsid w:val="007028D9"/>
    <w:rsid w:val="00707218"/>
    <w:rsid w:val="00712B1D"/>
    <w:rsid w:val="00713A0A"/>
    <w:rsid w:val="007153B2"/>
    <w:rsid w:val="00723913"/>
    <w:rsid w:val="007325D9"/>
    <w:rsid w:val="007360CA"/>
    <w:rsid w:val="00737D21"/>
    <w:rsid w:val="00742712"/>
    <w:rsid w:val="007445B9"/>
    <w:rsid w:val="00752C7B"/>
    <w:rsid w:val="00760AF1"/>
    <w:rsid w:val="00761686"/>
    <w:rsid w:val="00775F01"/>
    <w:rsid w:val="0078003A"/>
    <w:rsid w:val="00780771"/>
    <w:rsid w:val="00785D45"/>
    <w:rsid w:val="007929CF"/>
    <w:rsid w:val="00793223"/>
    <w:rsid w:val="00795AAD"/>
    <w:rsid w:val="007A6383"/>
    <w:rsid w:val="007A6F28"/>
    <w:rsid w:val="007A6F46"/>
    <w:rsid w:val="007B03C6"/>
    <w:rsid w:val="007B0DB1"/>
    <w:rsid w:val="007B2F11"/>
    <w:rsid w:val="007C55B3"/>
    <w:rsid w:val="007C63F9"/>
    <w:rsid w:val="007D2EF8"/>
    <w:rsid w:val="007D561F"/>
    <w:rsid w:val="007D5F94"/>
    <w:rsid w:val="007D7FD2"/>
    <w:rsid w:val="007E13D9"/>
    <w:rsid w:val="007E4DB6"/>
    <w:rsid w:val="007E7CD4"/>
    <w:rsid w:val="007F246D"/>
    <w:rsid w:val="007F6D41"/>
    <w:rsid w:val="00801800"/>
    <w:rsid w:val="00801B5B"/>
    <w:rsid w:val="00823553"/>
    <w:rsid w:val="008276B4"/>
    <w:rsid w:val="00831927"/>
    <w:rsid w:val="00841587"/>
    <w:rsid w:val="00841BD3"/>
    <w:rsid w:val="0084273D"/>
    <w:rsid w:val="00844E3F"/>
    <w:rsid w:val="00845A83"/>
    <w:rsid w:val="008603C9"/>
    <w:rsid w:val="008712BB"/>
    <w:rsid w:val="008751A6"/>
    <w:rsid w:val="008753CF"/>
    <w:rsid w:val="00882DE6"/>
    <w:rsid w:val="008906F5"/>
    <w:rsid w:val="008A16D7"/>
    <w:rsid w:val="008A2484"/>
    <w:rsid w:val="008B0C95"/>
    <w:rsid w:val="008B383A"/>
    <w:rsid w:val="008C1A35"/>
    <w:rsid w:val="008C26D9"/>
    <w:rsid w:val="008C6D50"/>
    <w:rsid w:val="008C7167"/>
    <w:rsid w:val="008C7503"/>
    <w:rsid w:val="008D1617"/>
    <w:rsid w:val="008D1E06"/>
    <w:rsid w:val="008E209B"/>
    <w:rsid w:val="008E6315"/>
    <w:rsid w:val="008F0BB7"/>
    <w:rsid w:val="008F11E0"/>
    <w:rsid w:val="008F6A92"/>
    <w:rsid w:val="008F78BC"/>
    <w:rsid w:val="008F7B63"/>
    <w:rsid w:val="008F7D6A"/>
    <w:rsid w:val="009054CB"/>
    <w:rsid w:val="00912F94"/>
    <w:rsid w:val="0092590B"/>
    <w:rsid w:val="00925E60"/>
    <w:rsid w:val="009264B3"/>
    <w:rsid w:val="00927225"/>
    <w:rsid w:val="00932A85"/>
    <w:rsid w:val="009403B3"/>
    <w:rsid w:val="00942BA2"/>
    <w:rsid w:val="00944C86"/>
    <w:rsid w:val="00957DE8"/>
    <w:rsid w:val="00960ECB"/>
    <w:rsid w:val="009615D6"/>
    <w:rsid w:val="00966C94"/>
    <w:rsid w:val="00967855"/>
    <w:rsid w:val="009706DD"/>
    <w:rsid w:val="00974B81"/>
    <w:rsid w:val="00980736"/>
    <w:rsid w:val="00981A39"/>
    <w:rsid w:val="00987097"/>
    <w:rsid w:val="0099242D"/>
    <w:rsid w:val="00995621"/>
    <w:rsid w:val="009A22C1"/>
    <w:rsid w:val="009B046C"/>
    <w:rsid w:val="009B13FA"/>
    <w:rsid w:val="009B1E2D"/>
    <w:rsid w:val="009C59FB"/>
    <w:rsid w:val="009C6F3B"/>
    <w:rsid w:val="009D3662"/>
    <w:rsid w:val="009E27C3"/>
    <w:rsid w:val="009E4FA6"/>
    <w:rsid w:val="009E4FFD"/>
    <w:rsid w:val="009E7D93"/>
    <w:rsid w:val="009F18E6"/>
    <w:rsid w:val="009F3C50"/>
    <w:rsid w:val="009F5A9B"/>
    <w:rsid w:val="009F5C33"/>
    <w:rsid w:val="00A02407"/>
    <w:rsid w:val="00A02E21"/>
    <w:rsid w:val="00A03EAC"/>
    <w:rsid w:val="00A05E8B"/>
    <w:rsid w:val="00A0722A"/>
    <w:rsid w:val="00A106C4"/>
    <w:rsid w:val="00A11CA6"/>
    <w:rsid w:val="00A122DD"/>
    <w:rsid w:val="00A14934"/>
    <w:rsid w:val="00A157D9"/>
    <w:rsid w:val="00A20C49"/>
    <w:rsid w:val="00A21B7A"/>
    <w:rsid w:val="00A24A2B"/>
    <w:rsid w:val="00A25229"/>
    <w:rsid w:val="00A269CA"/>
    <w:rsid w:val="00A359AC"/>
    <w:rsid w:val="00A41413"/>
    <w:rsid w:val="00A45FB1"/>
    <w:rsid w:val="00A46CCC"/>
    <w:rsid w:val="00A51CFE"/>
    <w:rsid w:val="00A53F80"/>
    <w:rsid w:val="00A55284"/>
    <w:rsid w:val="00A60415"/>
    <w:rsid w:val="00A6142D"/>
    <w:rsid w:val="00A61960"/>
    <w:rsid w:val="00A619D8"/>
    <w:rsid w:val="00A71BEE"/>
    <w:rsid w:val="00A76C13"/>
    <w:rsid w:val="00A92E79"/>
    <w:rsid w:val="00A93B9F"/>
    <w:rsid w:val="00A950B6"/>
    <w:rsid w:val="00AA3A6B"/>
    <w:rsid w:val="00AB41C1"/>
    <w:rsid w:val="00AB4FAC"/>
    <w:rsid w:val="00AB51CB"/>
    <w:rsid w:val="00AC1219"/>
    <w:rsid w:val="00AD12A8"/>
    <w:rsid w:val="00AD1B53"/>
    <w:rsid w:val="00AD3EBF"/>
    <w:rsid w:val="00AE6C79"/>
    <w:rsid w:val="00AF08BB"/>
    <w:rsid w:val="00AF3577"/>
    <w:rsid w:val="00AF35F9"/>
    <w:rsid w:val="00B05C7D"/>
    <w:rsid w:val="00B12856"/>
    <w:rsid w:val="00B15C39"/>
    <w:rsid w:val="00B23C09"/>
    <w:rsid w:val="00B24C4F"/>
    <w:rsid w:val="00B24F50"/>
    <w:rsid w:val="00B2564C"/>
    <w:rsid w:val="00B25E82"/>
    <w:rsid w:val="00B26ECA"/>
    <w:rsid w:val="00B34479"/>
    <w:rsid w:val="00B346C3"/>
    <w:rsid w:val="00B373B7"/>
    <w:rsid w:val="00B42937"/>
    <w:rsid w:val="00B4471C"/>
    <w:rsid w:val="00B44BED"/>
    <w:rsid w:val="00B451A6"/>
    <w:rsid w:val="00B469D8"/>
    <w:rsid w:val="00B54301"/>
    <w:rsid w:val="00B57F55"/>
    <w:rsid w:val="00B60580"/>
    <w:rsid w:val="00B61C33"/>
    <w:rsid w:val="00B63972"/>
    <w:rsid w:val="00B63C26"/>
    <w:rsid w:val="00B649E4"/>
    <w:rsid w:val="00B64C9A"/>
    <w:rsid w:val="00B722DE"/>
    <w:rsid w:val="00B750F5"/>
    <w:rsid w:val="00B76C44"/>
    <w:rsid w:val="00B83F87"/>
    <w:rsid w:val="00BA2EFA"/>
    <w:rsid w:val="00BA3DBC"/>
    <w:rsid w:val="00BB2DA2"/>
    <w:rsid w:val="00BB56DC"/>
    <w:rsid w:val="00BE183D"/>
    <w:rsid w:val="00BE59D5"/>
    <w:rsid w:val="00BF4753"/>
    <w:rsid w:val="00BF5D7A"/>
    <w:rsid w:val="00C03A8B"/>
    <w:rsid w:val="00C06AB1"/>
    <w:rsid w:val="00C2062A"/>
    <w:rsid w:val="00C25D03"/>
    <w:rsid w:val="00C36442"/>
    <w:rsid w:val="00C400CE"/>
    <w:rsid w:val="00C410FD"/>
    <w:rsid w:val="00C539FB"/>
    <w:rsid w:val="00C72183"/>
    <w:rsid w:val="00C76126"/>
    <w:rsid w:val="00C81A0B"/>
    <w:rsid w:val="00C83BEC"/>
    <w:rsid w:val="00C904E6"/>
    <w:rsid w:val="00C94521"/>
    <w:rsid w:val="00CA246D"/>
    <w:rsid w:val="00CB1208"/>
    <w:rsid w:val="00CB5636"/>
    <w:rsid w:val="00CC68DA"/>
    <w:rsid w:val="00CD10DA"/>
    <w:rsid w:val="00CD2494"/>
    <w:rsid w:val="00CD302F"/>
    <w:rsid w:val="00CD5044"/>
    <w:rsid w:val="00CE1DA8"/>
    <w:rsid w:val="00CE53A4"/>
    <w:rsid w:val="00CE61F2"/>
    <w:rsid w:val="00CE6D9D"/>
    <w:rsid w:val="00CF1646"/>
    <w:rsid w:val="00D06351"/>
    <w:rsid w:val="00D1037B"/>
    <w:rsid w:val="00D104DF"/>
    <w:rsid w:val="00D10F21"/>
    <w:rsid w:val="00D12AD7"/>
    <w:rsid w:val="00D15DCA"/>
    <w:rsid w:val="00D34040"/>
    <w:rsid w:val="00D34E69"/>
    <w:rsid w:val="00D375EE"/>
    <w:rsid w:val="00D57423"/>
    <w:rsid w:val="00D62699"/>
    <w:rsid w:val="00D62BCE"/>
    <w:rsid w:val="00D6518D"/>
    <w:rsid w:val="00D7114C"/>
    <w:rsid w:val="00D7756E"/>
    <w:rsid w:val="00D82620"/>
    <w:rsid w:val="00D866E7"/>
    <w:rsid w:val="00D9058F"/>
    <w:rsid w:val="00D92FBE"/>
    <w:rsid w:val="00D9725F"/>
    <w:rsid w:val="00DA01B1"/>
    <w:rsid w:val="00DA11A2"/>
    <w:rsid w:val="00DA14ED"/>
    <w:rsid w:val="00DB0EF1"/>
    <w:rsid w:val="00DB2EF1"/>
    <w:rsid w:val="00DB3DE1"/>
    <w:rsid w:val="00DB5DA0"/>
    <w:rsid w:val="00DB716C"/>
    <w:rsid w:val="00DC0F0C"/>
    <w:rsid w:val="00DC5C85"/>
    <w:rsid w:val="00DD22FB"/>
    <w:rsid w:val="00DD4236"/>
    <w:rsid w:val="00DD44F1"/>
    <w:rsid w:val="00DD5BD6"/>
    <w:rsid w:val="00DE3067"/>
    <w:rsid w:val="00DE355C"/>
    <w:rsid w:val="00E027BC"/>
    <w:rsid w:val="00E04F5E"/>
    <w:rsid w:val="00E10CB8"/>
    <w:rsid w:val="00E14E52"/>
    <w:rsid w:val="00E14EA5"/>
    <w:rsid w:val="00E21133"/>
    <w:rsid w:val="00E2327E"/>
    <w:rsid w:val="00E246C6"/>
    <w:rsid w:val="00E266EF"/>
    <w:rsid w:val="00E271B6"/>
    <w:rsid w:val="00E3362F"/>
    <w:rsid w:val="00E47172"/>
    <w:rsid w:val="00E47428"/>
    <w:rsid w:val="00E51F94"/>
    <w:rsid w:val="00E616F7"/>
    <w:rsid w:val="00E64292"/>
    <w:rsid w:val="00E65449"/>
    <w:rsid w:val="00E66B9F"/>
    <w:rsid w:val="00E710D6"/>
    <w:rsid w:val="00E711B4"/>
    <w:rsid w:val="00E71AA0"/>
    <w:rsid w:val="00E74806"/>
    <w:rsid w:val="00E76E45"/>
    <w:rsid w:val="00E777C9"/>
    <w:rsid w:val="00E81DA6"/>
    <w:rsid w:val="00E84212"/>
    <w:rsid w:val="00E861CD"/>
    <w:rsid w:val="00E9086C"/>
    <w:rsid w:val="00E91A0F"/>
    <w:rsid w:val="00E9290C"/>
    <w:rsid w:val="00E94A71"/>
    <w:rsid w:val="00E94FF9"/>
    <w:rsid w:val="00EA0314"/>
    <w:rsid w:val="00EA03CE"/>
    <w:rsid w:val="00EA23E5"/>
    <w:rsid w:val="00EA4E2E"/>
    <w:rsid w:val="00EB04EB"/>
    <w:rsid w:val="00EB2CCB"/>
    <w:rsid w:val="00EB5569"/>
    <w:rsid w:val="00EC2D71"/>
    <w:rsid w:val="00EC57A7"/>
    <w:rsid w:val="00ED0817"/>
    <w:rsid w:val="00ED7DD9"/>
    <w:rsid w:val="00EE746F"/>
    <w:rsid w:val="00EF3113"/>
    <w:rsid w:val="00EF3F84"/>
    <w:rsid w:val="00EF5B08"/>
    <w:rsid w:val="00EF7E5C"/>
    <w:rsid w:val="00F00951"/>
    <w:rsid w:val="00F019DF"/>
    <w:rsid w:val="00F140B3"/>
    <w:rsid w:val="00F15938"/>
    <w:rsid w:val="00F176AC"/>
    <w:rsid w:val="00F17E88"/>
    <w:rsid w:val="00F229D4"/>
    <w:rsid w:val="00F24620"/>
    <w:rsid w:val="00F2585B"/>
    <w:rsid w:val="00F26719"/>
    <w:rsid w:val="00F27714"/>
    <w:rsid w:val="00F3276E"/>
    <w:rsid w:val="00F33D3C"/>
    <w:rsid w:val="00F34EA1"/>
    <w:rsid w:val="00F37A91"/>
    <w:rsid w:val="00F45CF5"/>
    <w:rsid w:val="00F47DB0"/>
    <w:rsid w:val="00F50E34"/>
    <w:rsid w:val="00F51101"/>
    <w:rsid w:val="00F52B62"/>
    <w:rsid w:val="00F53EF7"/>
    <w:rsid w:val="00F54BF2"/>
    <w:rsid w:val="00F61455"/>
    <w:rsid w:val="00F7220C"/>
    <w:rsid w:val="00F839D9"/>
    <w:rsid w:val="00F92355"/>
    <w:rsid w:val="00F9323C"/>
    <w:rsid w:val="00F93963"/>
    <w:rsid w:val="00F94291"/>
    <w:rsid w:val="00FA7C2B"/>
    <w:rsid w:val="00FB7982"/>
    <w:rsid w:val="00FC0734"/>
    <w:rsid w:val="00FC0FC5"/>
    <w:rsid w:val="00FC588F"/>
    <w:rsid w:val="00FC6A7E"/>
    <w:rsid w:val="00FE1B30"/>
    <w:rsid w:val="00FE31E8"/>
    <w:rsid w:val="00FE7B44"/>
    <w:rsid w:val="00FF4BE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5CE793D3"/>
  <w15:docId w15:val="{24FFCBAF-A181-4189-BB28-4E5750589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371">
    <w:lsdException w:name="heading 1" w:uiPriority="9" w:qFormat="1"/>
    <w:lsdException w:name="heading 2" w:uiPriority="9" w:qFormat="1"/>
    <w:lsdException w:name="heading 3" w:qFormat="1"/>
    <w:lsdException w:name="heading 4" w:qFormat="1"/>
    <w:lsdException w:name="heading 5" w:uiPriority="9" w:qFormat="1"/>
    <w:lsdException w:name="heading 6" w:qFormat="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link w:val="Heading1Char"/>
    <w:uiPriority w:val="9"/>
    <w:qFormat/>
    <w:pPr>
      <w:keepNext/>
      <w:spacing w:before="240" w:after="60" w:line="240" w:lineRule="auto"/>
      <w:outlineLvl w:val="0"/>
    </w:pPr>
    <w:rPr>
      <w:b/>
      <w:caps/>
      <w:kern w:val="28"/>
    </w:rPr>
  </w:style>
  <w:style w:type="paragraph" w:styleId="Heading2">
    <w:name w:val="heading 2"/>
    <w:basedOn w:val="Normal"/>
    <w:next w:val="ParaNumbering"/>
    <w:link w:val="Heading2Char"/>
    <w:uiPriority w:val="9"/>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link w:val="Heading5Char"/>
    <w:uiPriority w:val="9"/>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tabs>
        <w:tab w:val="clear" w:pos="720"/>
      </w:tabs>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2"/>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8C26D9"/>
    <w:pPr>
      <w:tabs>
        <w:tab w:val="right" w:leader="dot" w:pos="9072"/>
      </w:tabs>
      <w:spacing w:before="120" w:after="60" w:line="240" w:lineRule="auto"/>
    </w:pPr>
    <w:rPr>
      <w:b/>
      <w:kern w:val="28"/>
    </w:rPr>
  </w:style>
  <w:style w:type="paragraph" w:customStyle="1" w:styleId="ListNo1">
    <w:name w:val="List No 1"/>
    <w:basedOn w:val="Normal"/>
    <w:rsid w:val="00E14EA5"/>
    <w:pPr>
      <w:numPr>
        <w:numId w:val="21"/>
      </w:numPr>
      <w:spacing w:before="60" w:after="60"/>
    </w:pPr>
  </w:style>
  <w:style w:type="paragraph" w:customStyle="1" w:styleId="FTOC2">
    <w:name w:val="FTOC 2"/>
    <w:basedOn w:val="Normal"/>
    <w:semiHidden/>
    <w:rsid w:val="008C26D9"/>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185E6B"/>
    <w:pPr>
      <w:tabs>
        <w:tab w:val="right" w:leader="dot" w:pos="9072"/>
      </w:tabs>
      <w:spacing w:before="120" w:after="60" w:line="240" w:lineRule="auto"/>
      <w:ind w:left="720"/>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3"/>
      </w:numPr>
    </w:pPr>
  </w:style>
  <w:style w:type="numbering" w:styleId="1ai">
    <w:name w:val="Outline List 1"/>
    <w:basedOn w:val="NoList"/>
    <w:semiHidden/>
    <w:pPr>
      <w:numPr>
        <w:numId w:val="14"/>
      </w:numPr>
    </w:pPr>
  </w:style>
  <w:style w:type="numbering" w:styleId="ArticleSection">
    <w:name w:val="Outline List 3"/>
    <w:basedOn w:val="NoList"/>
    <w:semiHidden/>
    <w:pPr>
      <w:numPr>
        <w:numId w:val="15"/>
      </w:numPr>
    </w:pPr>
  </w:style>
  <w:style w:type="paragraph" w:styleId="BodyText">
    <w:name w:val="Body Text"/>
    <w:basedOn w:val="Normal"/>
    <w:link w:val="BodyTextChar"/>
    <w:qFormat/>
    <w:rsid w:val="002B0E91"/>
  </w:style>
  <w:style w:type="paragraph" w:styleId="BodyText2">
    <w:name w:val="Body Text 2"/>
    <w:basedOn w:val="Normal"/>
    <w:uiPriority w:val="99"/>
    <w:pPr>
      <w:spacing w:after="120" w:line="480" w:lineRule="auto"/>
    </w:pPr>
  </w:style>
  <w:style w:type="paragraph" w:styleId="BodyText3">
    <w:name w:val="Body Text 3"/>
    <w:basedOn w:val="Normal"/>
    <w:uiPriority w:val="99"/>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uiPriority w:val="99"/>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
      </w:numPr>
    </w:pPr>
  </w:style>
  <w:style w:type="paragraph" w:styleId="ListBullet2">
    <w:name w:val="List Bullet 2"/>
    <w:basedOn w:val="Normal"/>
    <w:semiHidden/>
    <w:pPr>
      <w:numPr>
        <w:numId w:val="4"/>
      </w:numPr>
    </w:pPr>
  </w:style>
  <w:style w:type="paragraph" w:styleId="ListBullet3">
    <w:name w:val="List Bullet 3"/>
    <w:basedOn w:val="Normal"/>
    <w:semiHidden/>
    <w:pPr>
      <w:numPr>
        <w:numId w:val="5"/>
      </w:numPr>
    </w:pPr>
  </w:style>
  <w:style w:type="paragraph" w:styleId="ListBullet4">
    <w:name w:val="List Bullet 4"/>
    <w:basedOn w:val="Normal"/>
    <w:semiHidden/>
    <w:pPr>
      <w:numPr>
        <w:numId w:val="6"/>
      </w:numPr>
    </w:pPr>
  </w:style>
  <w:style w:type="paragraph" w:styleId="ListBullet5">
    <w:name w:val="List Bullet 5"/>
    <w:basedOn w:val="Normal"/>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uiPriority w:val="99"/>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6"/>
      </w:numPr>
      <w:spacing w:before="240" w:after="60" w:line="240" w:lineRule="auto"/>
    </w:pPr>
    <w:rPr>
      <w:b/>
    </w:rPr>
  </w:style>
  <w:style w:type="paragraph" w:customStyle="1" w:styleId="fcHeading3">
    <w:name w:val="fcHeading 3"/>
    <w:basedOn w:val="Normal"/>
    <w:next w:val="ParaNumbering"/>
    <w:semiHidden/>
    <w:pPr>
      <w:keepNext/>
      <w:numPr>
        <w:ilvl w:val="2"/>
        <w:numId w:val="16"/>
      </w:numPr>
      <w:spacing w:before="240" w:after="60" w:line="240" w:lineRule="auto"/>
    </w:pPr>
    <w:rPr>
      <w:b/>
      <w:i/>
    </w:rPr>
  </w:style>
  <w:style w:type="paragraph" w:customStyle="1" w:styleId="fcHeading4">
    <w:name w:val="fcHeading 4"/>
    <w:basedOn w:val="Normal"/>
    <w:next w:val="ParaNumbering"/>
    <w:semiHidden/>
    <w:pPr>
      <w:keepNext/>
      <w:numPr>
        <w:ilvl w:val="3"/>
        <w:numId w:val="16"/>
      </w:numPr>
      <w:spacing w:before="240" w:after="60" w:line="240" w:lineRule="auto"/>
    </w:pPr>
    <w:rPr>
      <w:b/>
      <w:smallCaps/>
    </w:rPr>
  </w:style>
  <w:style w:type="paragraph" w:customStyle="1" w:styleId="fcHeading5">
    <w:name w:val="fcHeading 5"/>
    <w:basedOn w:val="Normal"/>
    <w:next w:val="ParaNumbering"/>
    <w:semiHidden/>
    <w:pPr>
      <w:keepNext/>
      <w:numPr>
        <w:ilvl w:val="4"/>
        <w:numId w:val="16"/>
      </w:numPr>
      <w:spacing w:before="240" w:after="60" w:line="240" w:lineRule="auto"/>
    </w:pPr>
    <w:rPr>
      <w:b/>
      <w:caps/>
    </w:rPr>
  </w:style>
  <w:style w:type="paragraph" w:customStyle="1" w:styleId="FTOC5">
    <w:name w:val="FTOC 5"/>
    <w:basedOn w:val="Normal"/>
    <w:semiHidden/>
    <w:rsid w:val="008C26D9"/>
    <w:pPr>
      <w:tabs>
        <w:tab w:val="right" w:leader="dot" w:pos="9072"/>
      </w:tabs>
      <w:spacing w:before="240" w:after="60" w:line="240" w:lineRule="auto"/>
      <w:ind w:left="709" w:hanging="709"/>
    </w:pPr>
    <w:rPr>
      <w:b/>
      <w:kern w:val="28"/>
    </w:rPr>
  </w:style>
  <w:style w:type="paragraph" w:customStyle="1" w:styleId="FTOC6">
    <w:name w:val="FTOC 6"/>
    <w:basedOn w:val="Normal"/>
    <w:semiHidden/>
    <w:rsid w:val="008C26D9"/>
    <w:pPr>
      <w:tabs>
        <w:tab w:val="right" w:leader="dot" w:pos="9072"/>
      </w:tabs>
      <w:spacing w:before="240" w:after="60" w:line="240" w:lineRule="auto"/>
      <w:ind w:left="1418" w:hanging="709"/>
    </w:pPr>
    <w:rPr>
      <w:b/>
    </w:rPr>
  </w:style>
  <w:style w:type="paragraph" w:customStyle="1" w:styleId="FTOC7">
    <w:name w:val="FTOC 7"/>
    <w:basedOn w:val="Normal"/>
    <w:semiHidden/>
    <w:rsid w:val="002B6779"/>
    <w:pPr>
      <w:tabs>
        <w:tab w:val="right" w:leader="dot" w:pos="9072"/>
      </w:tabs>
      <w:spacing w:before="240" w:after="60" w:line="240" w:lineRule="auto"/>
      <w:ind w:left="2127" w:hanging="709"/>
    </w:pPr>
    <w:rPr>
      <w:b/>
    </w:rPr>
  </w:style>
  <w:style w:type="paragraph" w:customStyle="1" w:styleId="FTOC8">
    <w:name w:val="FTOC 8"/>
    <w:basedOn w:val="Normal"/>
    <w:semiHidden/>
    <w:rsid w:val="008C26D9"/>
    <w:pPr>
      <w:tabs>
        <w:tab w:val="right" w:leader="dot" w:pos="9072"/>
      </w:tabs>
      <w:spacing w:before="240" w:after="60" w:line="240" w:lineRule="auto"/>
      <w:ind w:left="3260" w:hanging="1134"/>
    </w:pPr>
    <w:rPr>
      <w:b/>
    </w:rPr>
  </w:style>
  <w:style w:type="paragraph" w:customStyle="1" w:styleId="FTOC9">
    <w:name w:val="FTOC 9"/>
    <w:basedOn w:val="Normal"/>
    <w:semiHidden/>
    <w:rsid w:val="008C26D9"/>
    <w:pPr>
      <w:tabs>
        <w:tab w:val="right" w:leader="dot" w:pos="9072"/>
      </w:tabs>
      <w:spacing w:before="240" w:after="60" w:line="240" w:lineRule="auto"/>
      <w:ind w:left="3969" w:hanging="1134"/>
    </w:pPr>
    <w:rPr>
      <w:b/>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17"/>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18"/>
      </w:numPr>
      <w:ind w:left="1440" w:hanging="720"/>
    </w:pPr>
  </w:style>
  <w:style w:type="paragraph" w:customStyle="1" w:styleId="Quote2Bullet">
    <w:name w:val="Quote2 Bullet"/>
    <w:basedOn w:val="Quote2"/>
    <w:rsid w:val="00EF3F84"/>
    <w:pPr>
      <w:numPr>
        <w:numId w:val="19"/>
      </w:numPr>
      <w:ind w:hanging="720"/>
    </w:pPr>
  </w:style>
  <w:style w:type="paragraph" w:customStyle="1" w:styleId="Quote3Bullet">
    <w:name w:val="Quote3 Bullet"/>
    <w:basedOn w:val="Quote3"/>
    <w:rsid w:val="00EF3F84"/>
    <w:pPr>
      <w:numPr>
        <w:numId w:val="20"/>
      </w:numPr>
      <w:ind w:hanging="720"/>
    </w:pPr>
  </w:style>
  <w:style w:type="paragraph" w:customStyle="1" w:styleId="Order1">
    <w:name w:val="Order 1"/>
    <w:basedOn w:val="Normal"/>
    <w:rsid w:val="00274F5B"/>
    <w:pPr>
      <w:numPr>
        <w:numId w:val="23"/>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22"/>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 w:type="paragraph" w:styleId="Revision">
    <w:name w:val="Revision"/>
    <w:hidden/>
    <w:uiPriority w:val="99"/>
    <w:semiHidden/>
    <w:rsid w:val="00EF5B08"/>
    <w:rPr>
      <w:sz w:val="24"/>
      <w:lang w:eastAsia="en-US"/>
    </w:rPr>
  </w:style>
  <w:style w:type="character" w:customStyle="1" w:styleId="Heading1Char">
    <w:name w:val="Heading 1 Char"/>
    <w:basedOn w:val="DefaultParagraphFont"/>
    <w:link w:val="Heading1"/>
    <w:uiPriority w:val="9"/>
    <w:rsid w:val="00EF5B08"/>
    <w:rPr>
      <w:b/>
      <w:caps/>
      <w:kern w:val="28"/>
      <w:sz w:val="24"/>
      <w:lang w:eastAsia="en-US"/>
    </w:rPr>
  </w:style>
  <w:style w:type="character" w:customStyle="1" w:styleId="Heading5Char">
    <w:name w:val="Heading 5 Char"/>
    <w:basedOn w:val="DefaultParagraphFont"/>
    <w:link w:val="Heading5"/>
    <w:uiPriority w:val="9"/>
    <w:rsid w:val="00EF5B08"/>
    <w:rPr>
      <w:b/>
      <w:kern w:val="28"/>
      <w:sz w:val="24"/>
      <w:lang w:eastAsia="en-US"/>
    </w:rPr>
  </w:style>
  <w:style w:type="character" w:customStyle="1" w:styleId="Heading2Char">
    <w:name w:val="Heading 2 Char"/>
    <w:basedOn w:val="DefaultParagraphFont"/>
    <w:link w:val="Heading2"/>
    <w:uiPriority w:val="9"/>
    <w:rsid w:val="00D104DF"/>
    <w:rPr>
      <w:b/>
      <w:sz w:val="24"/>
      <w:szCs w:val="24"/>
      <w:lang w:eastAsia="en-US"/>
    </w:rPr>
  </w:style>
  <w:style w:type="paragraph" w:customStyle="1" w:styleId="Default">
    <w:name w:val="Default"/>
    <w:rsid w:val="00F15938"/>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814543">
      <w:bodyDiv w:val="1"/>
      <w:marLeft w:val="0"/>
      <w:marRight w:val="0"/>
      <w:marTop w:val="0"/>
      <w:marBottom w:val="0"/>
      <w:divBdr>
        <w:top w:val="none" w:sz="0" w:space="0" w:color="auto"/>
        <w:left w:val="none" w:sz="0" w:space="0" w:color="auto"/>
        <w:bottom w:val="none" w:sz="0" w:space="0" w:color="auto"/>
        <w:right w:val="none" w:sz="0" w:space="0" w:color="auto"/>
      </w:divBdr>
    </w:div>
    <w:div w:id="357657501">
      <w:bodyDiv w:val="1"/>
      <w:marLeft w:val="0"/>
      <w:marRight w:val="0"/>
      <w:marTop w:val="0"/>
      <w:marBottom w:val="0"/>
      <w:divBdr>
        <w:top w:val="none" w:sz="0" w:space="0" w:color="auto"/>
        <w:left w:val="none" w:sz="0" w:space="0" w:color="auto"/>
        <w:bottom w:val="none" w:sz="0" w:space="0" w:color="auto"/>
        <w:right w:val="none" w:sz="0" w:space="0" w:color="auto"/>
      </w:divBdr>
      <w:divsChild>
        <w:div w:id="1057974256">
          <w:marLeft w:val="0"/>
          <w:marRight w:val="0"/>
          <w:marTop w:val="0"/>
          <w:marBottom w:val="0"/>
          <w:divBdr>
            <w:top w:val="none" w:sz="0" w:space="0" w:color="auto"/>
            <w:left w:val="none" w:sz="0" w:space="0" w:color="auto"/>
            <w:bottom w:val="none" w:sz="0" w:space="0" w:color="auto"/>
            <w:right w:val="none" w:sz="0" w:space="0" w:color="auto"/>
          </w:divBdr>
          <w:divsChild>
            <w:div w:id="565607708">
              <w:marLeft w:val="0"/>
              <w:marRight w:val="0"/>
              <w:marTop w:val="0"/>
              <w:marBottom w:val="0"/>
              <w:divBdr>
                <w:top w:val="none" w:sz="0" w:space="0" w:color="auto"/>
                <w:left w:val="none" w:sz="0" w:space="0" w:color="auto"/>
                <w:bottom w:val="none" w:sz="0" w:space="0" w:color="auto"/>
                <w:right w:val="none" w:sz="0" w:space="0" w:color="auto"/>
              </w:divBdr>
              <w:divsChild>
                <w:div w:id="28878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521002">
      <w:bodyDiv w:val="1"/>
      <w:marLeft w:val="0"/>
      <w:marRight w:val="0"/>
      <w:marTop w:val="0"/>
      <w:marBottom w:val="0"/>
      <w:divBdr>
        <w:top w:val="none" w:sz="0" w:space="0" w:color="auto"/>
        <w:left w:val="none" w:sz="0" w:space="0" w:color="auto"/>
        <w:bottom w:val="none" w:sz="0" w:space="0" w:color="auto"/>
        <w:right w:val="none" w:sz="0" w:space="0" w:color="auto"/>
      </w:divBdr>
      <w:divsChild>
        <w:div w:id="428543815">
          <w:marLeft w:val="0"/>
          <w:marRight w:val="0"/>
          <w:marTop w:val="0"/>
          <w:marBottom w:val="0"/>
          <w:divBdr>
            <w:top w:val="none" w:sz="0" w:space="0" w:color="auto"/>
            <w:left w:val="none" w:sz="0" w:space="0" w:color="auto"/>
            <w:bottom w:val="none" w:sz="0" w:space="0" w:color="auto"/>
            <w:right w:val="none" w:sz="0" w:space="0" w:color="auto"/>
          </w:divBdr>
          <w:divsChild>
            <w:div w:id="1246454244">
              <w:marLeft w:val="0"/>
              <w:marRight w:val="0"/>
              <w:marTop w:val="0"/>
              <w:marBottom w:val="0"/>
              <w:divBdr>
                <w:top w:val="none" w:sz="0" w:space="0" w:color="auto"/>
                <w:left w:val="none" w:sz="0" w:space="0" w:color="auto"/>
                <w:bottom w:val="none" w:sz="0" w:space="0" w:color="auto"/>
                <w:right w:val="none" w:sz="0" w:space="0" w:color="auto"/>
              </w:divBdr>
              <w:divsChild>
                <w:div w:id="592782441">
                  <w:marLeft w:val="0"/>
                  <w:marRight w:val="0"/>
                  <w:marTop w:val="0"/>
                  <w:marBottom w:val="0"/>
                  <w:divBdr>
                    <w:top w:val="none" w:sz="0" w:space="0" w:color="auto"/>
                    <w:left w:val="none" w:sz="0" w:space="0" w:color="auto"/>
                    <w:bottom w:val="none" w:sz="0" w:space="0" w:color="auto"/>
                    <w:right w:val="none" w:sz="0" w:space="0" w:color="auto"/>
                  </w:divBdr>
                  <w:divsChild>
                    <w:div w:id="403768178">
                      <w:marLeft w:val="0"/>
                      <w:marRight w:val="0"/>
                      <w:marTop w:val="0"/>
                      <w:marBottom w:val="0"/>
                      <w:divBdr>
                        <w:top w:val="none" w:sz="0" w:space="0" w:color="auto"/>
                        <w:left w:val="none" w:sz="0" w:space="0" w:color="auto"/>
                        <w:bottom w:val="none" w:sz="0" w:space="0" w:color="auto"/>
                        <w:right w:val="none" w:sz="0" w:space="0" w:color="auto"/>
                      </w:divBdr>
                    </w:div>
                  </w:divsChild>
                </w:div>
                <w:div w:id="2027438589">
                  <w:marLeft w:val="0"/>
                  <w:marRight w:val="0"/>
                  <w:marTop w:val="0"/>
                  <w:marBottom w:val="0"/>
                  <w:divBdr>
                    <w:top w:val="none" w:sz="0" w:space="0" w:color="auto"/>
                    <w:left w:val="none" w:sz="0" w:space="0" w:color="auto"/>
                    <w:bottom w:val="none" w:sz="0" w:space="0" w:color="auto"/>
                    <w:right w:val="none" w:sz="0" w:space="0" w:color="auto"/>
                  </w:divBdr>
                  <w:divsChild>
                    <w:div w:id="1462571458">
                      <w:marLeft w:val="0"/>
                      <w:marRight w:val="0"/>
                      <w:marTop w:val="0"/>
                      <w:marBottom w:val="0"/>
                      <w:divBdr>
                        <w:top w:val="none" w:sz="0" w:space="0" w:color="auto"/>
                        <w:left w:val="none" w:sz="0" w:space="0" w:color="auto"/>
                        <w:bottom w:val="none" w:sz="0" w:space="0" w:color="auto"/>
                        <w:right w:val="none" w:sz="0" w:space="0" w:color="auto"/>
                      </w:divBdr>
                    </w:div>
                    <w:div w:id="967275498">
                      <w:marLeft w:val="0"/>
                      <w:marRight w:val="0"/>
                      <w:marTop w:val="0"/>
                      <w:marBottom w:val="0"/>
                      <w:divBdr>
                        <w:top w:val="none" w:sz="0" w:space="0" w:color="auto"/>
                        <w:left w:val="none" w:sz="0" w:space="0" w:color="auto"/>
                        <w:bottom w:val="none" w:sz="0" w:space="0" w:color="auto"/>
                        <w:right w:val="none" w:sz="0" w:space="0" w:color="auto"/>
                      </w:divBdr>
                    </w:div>
                  </w:divsChild>
                </w:div>
                <w:div w:id="620839861">
                  <w:marLeft w:val="0"/>
                  <w:marRight w:val="0"/>
                  <w:marTop w:val="0"/>
                  <w:marBottom w:val="0"/>
                  <w:divBdr>
                    <w:top w:val="none" w:sz="0" w:space="0" w:color="auto"/>
                    <w:left w:val="none" w:sz="0" w:space="0" w:color="auto"/>
                    <w:bottom w:val="none" w:sz="0" w:space="0" w:color="auto"/>
                    <w:right w:val="none" w:sz="0" w:space="0" w:color="auto"/>
                  </w:divBdr>
                  <w:divsChild>
                    <w:div w:id="478815101">
                      <w:marLeft w:val="0"/>
                      <w:marRight w:val="0"/>
                      <w:marTop w:val="0"/>
                      <w:marBottom w:val="0"/>
                      <w:divBdr>
                        <w:top w:val="none" w:sz="0" w:space="0" w:color="auto"/>
                        <w:left w:val="none" w:sz="0" w:space="0" w:color="auto"/>
                        <w:bottom w:val="none" w:sz="0" w:space="0" w:color="auto"/>
                        <w:right w:val="none" w:sz="0" w:space="0" w:color="auto"/>
                      </w:divBdr>
                    </w:div>
                    <w:div w:id="361637665">
                      <w:marLeft w:val="0"/>
                      <w:marRight w:val="0"/>
                      <w:marTop w:val="0"/>
                      <w:marBottom w:val="0"/>
                      <w:divBdr>
                        <w:top w:val="none" w:sz="0" w:space="0" w:color="auto"/>
                        <w:left w:val="none" w:sz="0" w:space="0" w:color="auto"/>
                        <w:bottom w:val="none" w:sz="0" w:space="0" w:color="auto"/>
                        <w:right w:val="none" w:sz="0" w:space="0" w:color="auto"/>
                      </w:divBdr>
                    </w:div>
                  </w:divsChild>
                </w:div>
                <w:div w:id="674576343">
                  <w:marLeft w:val="0"/>
                  <w:marRight w:val="0"/>
                  <w:marTop w:val="0"/>
                  <w:marBottom w:val="0"/>
                  <w:divBdr>
                    <w:top w:val="none" w:sz="0" w:space="0" w:color="auto"/>
                    <w:left w:val="none" w:sz="0" w:space="0" w:color="auto"/>
                    <w:bottom w:val="none" w:sz="0" w:space="0" w:color="auto"/>
                    <w:right w:val="none" w:sz="0" w:space="0" w:color="auto"/>
                  </w:divBdr>
                  <w:divsChild>
                    <w:div w:id="36949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4472179">
      <w:bodyDiv w:val="1"/>
      <w:marLeft w:val="0"/>
      <w:marRight w:val="0"/>
      <w:marTop w:val="0"/>
      <w:marBottom w:val="0"/>
      <w:divBdr>
        <w:top w:val="none" w:sz="0" w:space="0" w:color="auto"/>
        <w:left w:val="none" w:sz="0" w:space="0" w:color="auto"/>
        <w:bottom w:val="none" w:sz="0" w:space="0" w:color="auto"/>
        <w:right w:val="none" w:sz="0" w:space="0" w:color="auto"/>
      </w:divBdr>
      <w:divsChild>
        <w:div w:id="525218063">
          <w:marLeft w:val="0"/>
          <w:marRight w:val="0"/>
          <w:marTop w:val="0"/>
          <w:marBottom w:val="0"/>
          <w:divBdr>
            <w:top w:val="none" w:sz="0" w:space="0" w:color="auto"/>
            <w:left w:val="none" w:sz="0" w:space="0" w:color="auto"/>
            <w:bottom w:val="none" w:sz="0" w:space="0" w:color="auto"/>
            <w:right w:val="none" w:sz="0" w:space="0" w:color="auto"/>
          </w:divBdr>
          <w:divsChild>
            <w:div w:id="737243602">
              <w:marLeft w:val="0"/>
              <w:marRight w:val="0"/>
              <w:marTop w:val="0"/>
              <w:marBottom w:val="0"/>
              <w:divBdr>
                <w:top w:val="none" w:sz="0" w:space="0" w:color="auto"/>
                <w:left w:val="none" w:sz="0" w:space="0" w:color="auto"/>
                <w:bottom w:val="none" w:sz="0" w:space="0" w:color="auto"/>
                <w:right w:val="none" w:sz="0" w:space="0" w:color="auto"/>
              </w:divBdr>
              <w:divsChild>
                <w:div w:id="15993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668692">
      <w:bodyDiv w:val="1"/>
      <w:marLeft w:val="0"/>
      <w:marRight w:val="0"/>
      <w:marTop w:val="0"/>
      <w:marBottom w:val="0"/>
      <w:divBdr>
        <w:top w:val="none" w:sz="0" w:space="0" w:color="auto"/>
        <w:left w:val="none" w:sz="0" w:space="0" w:color="auto"/>
        <w:bottom w:val="none" w:sz="0" w:space="0" w:color="auto"/>
        <w:right w:val="none" w:sz="0" w:space="0" w:color="auto"/>
      </w:divBdr>
      <w:divsChild>
        <w:div w:id="1543055754">
          <w:marLeft w:val="0"/>
          <w:marRight w:val="0"/>
          <w:marTop w:val="0"/>
          <w:marBottom w:val="0"/>
          <w:divBdr>
            <w:top w:val="none" w:sz="0" w:space="0" w:color="auto"/>
            <w:left w:val="none" w:sz="0" w:space="0" w:color="auto"/>
            <w:bottom w:val="none" w:sz="0" w:space="0" w:color="auto"/>
            <w:right w:val="none" w:sz="0" w:space="0" w:color="auto"/>
          </w:divBdr>
          <w:divsChild>
            <w:div w:id="1745032963">
              <w:marLeft w:val="0"/>
              <w:marRight w:val="0"/>
              <w:marTop w:val="0"/>
              <w:marBottom w:val="0"/>
              <w:divBdr>
                <w:top w:val="none" w:sz="0" w:space="0" w:color="auto"/>
                <w:left w:val="none" w:sz="0" w:space="0" w:color="auto"/>
                <w:bottom w:val="none" w:sz="0" w:space="0" w:color="auto"/>
                <w:right w:val="none" w:sz="0" w:space="0" w:color="auto"/>
              </w:divBdr>
              <w:divsChild>
                <w:div w:id="200088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508384">
      <w:bodyDiv w:val="1"/>
      <w:marLeft w:val="0"/>
      <w:marRight w:val="0"/>
      <w:marTop w:val="0"/>
      <w:marBottom w:val="0"/>
      <w:divBdr>
        <w:top w:val="none" w:sz="0" w:space="0" w:color="auto"/>
        <w:left w:val="none" w:sz="0" w:space="0" w:color="auto"/>
        <w:bottom w:val="none" w:sz="0" w:space="0" w:color="auto"/>
        <w:right w:val="none" w:sz="0" w:space="0" w:color="auto"/>
      </w:divBdr>
      <w:divsChild>
        <w:div w:id="101846058">
          <w:marLeft w:val="0"/>
          <w:marRight w:val="0"/>
          <w:marTop w:val="0"/>
          <w:marBottom w:val="0"/>
          <w:divBdr>
            <w:top w:val="none" w:sz="0" w:space="0" w:color="auto"/>
            <w:left w:val="none" w:sz="0" w:space="0" w:color="auto"/>
            <w:bottom w:val="none" w:sz="0" w:space="0" w:color="auto"/>
            <w:right w:val="none" w:sz="0" w:space="0" w:color="auto"/>
          </w:divBdr>
          <w:divsChild>
            <w:div w:id="227039435">
              <w:marLeft w:val="0"/>
              <w:marRight w:val="0"/>
              <w:marTop w:val="0"/>
              <w:marBottom w:val="0"/>
              <w:divBdr>
                <w:top w:val="none" w:sz="0" w:space="0" w:color="auto"/>
                <w:left w:val="none" w:sz="0" w:space="0" w:color="auto"/>
                <w:bottom w:val="none" w:sz="0" w:space="0" w:color="auto"/>
                <w:right w:val="none" w:sz="0" w:space="0" w:color="auto"/>
              </w:divBdr>
              <w:divsChild>
                <w:div w:id="250510188">
                  <w:marLeft w:val="0"/>
                  <w:marRight w:val="0"/>
                  <w:marTop w:val="0"/>
                  <w:marBottom w:val="0"/>
                  <w:divBdr>
                    <w:top w:val="none" w:sz="0" w:space="0" w:color="auto"/>
                    <w:left w:val="none" w:sz="0" w:space="0" w:color="auto"/>
                    <w:bottom w:val="none" w:sz="0" w:space="0" w:color="auto"/>
                    <w:right w:val="none" w:sz="0" w:space="0" w:color="auto"/>
                  </w:divBdr>
                  <w:divsChild>
                    <w:div w:id="84077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1271136">
      <w:bodyDiv w:val="1"/>
      <w:marLeft w:val="0"/>
      <w:marRight w:val="0"/>
      <w:marTop w:val="0"/>
      <w:marBottom w:val="0"/>
      <w:divBdr>
        <w:top w:val="none" w:sz="0" w:space="0" w:color="auto"/>
        <w:left w:val="none" w:sz="0" w:space="0" w:color="auto"/>
        <w:bottom w:val="none" w:sz="0" w:space="0" w:color="auto"/>
        <w:right w:val="none" w:sz="0" w:space="0" w:color="auto"/>
      </w:divBdr>
      <w:divsChild>
        <w:div w:id="921529127">
          <w:marLeft w:val="0"/>
          <w:marRight w:val="0"/>
          <w:marTop w:val="0"/>
          <w:marBottom w:val="0"/>
          <w:divBdr>
            <w:top w:val="none" w:sz="0" w:space="0" w:color="auto"/>
            <w:left w:val="none" w:sz="0" w:space="0" w:color="auto"/>
            <w:bottom w:val="none" w:sz="0" w:space="0" w:color="auto"/>
            <w:right w:val="none" w:sz="0" w:space="0" w:color="auto"/>
          </w:divBdr>
          <w:divsChild>
            <w:div w:id="420027365">
              <w:marLeft w:val="0"/>
              <w:marRight w:val="0"/>
              <w:marTop w:val="0"/>
              <w:marBottom w:val="0"/>
              <w:divBdr>
                <w:top w:val="none" w:sz="0" w:space="0" w:color="auto"/>
                <w:left w:val="none" w:sz="0" w:space="0" w:color="auto"/>
                <w:bottom w:val="none" w:sz="0" w:space="0" w:color="auto"/>
                <w:right w:val="none" w:sz="0" w:space="0" w:color="auto"/>
              </w:divBdr>
              <w:divsChild>
                <w:div w:id="193982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43293">
          <w:marLeft w:val="0"/>
          <w:marRight w:val="0"/>
          <w:marTop w:val="0"/>
          <w:marBottom w:val="0"/>
          <w:divBdr>
            <w:top w:val="none" w:sz="0" w:space="0" w:color="auto"/>
            <w:left w:val="none" w:sz="0" w:space="0" w:color="auto"/>
            <w:bottom w:val="none" w:sz="0" w:space="0" w:color="auto"/>
            <w:right w:val="none" w:sz="0" w:space="0" w:color="auto"/>
          </w:divBdr>
          <w:divsChild>
            <w:div w:id="2126651561">
              <w:marLeft w:val="0"/>
              <w:marRight w:val="0"/>
              <w:marTop w:val="0"/>
              <w:marBottom w:val="0"/>
              <w:divBdr>
                <w:top w:val="none" w:sz="0" w:space="0" w:color="auto"/>
                <w:left w:val="none" w:sz="0" w:space="0" w:color="auto"/>
                <w:bottom w:val="none" w:sz="0" w:space="0" w:color="auto"/>
                <w:right w:val="none" w:sz="0" w:space="0" w:color="auto"/>
              </w:divBdr>
            </w:div>
          </w:divsChild>
        </w:div>
        <w:div w:id="148907895">
          <w:marLeft w:val="0"/>
          <w:marRight w:val="0"/>
          <w:marTop w:val="0"/>
          <w:marBottom w:val="0"/>
          <w:divBdr>
            <w:top w:val="none" w:sz="0" w:space="0" w:color="auto"/>
            <w:left w:val="none" w:sz="0" w:space="0" w:color="auto"/>
            <w:bottom w:val="none" w:sz="0" w:space="0" w:color="auto"/>
            <w:right w:val="none" w:sz="0" w:space="0" w:color="auto"/>
          </w:divBdr>
          <w:divsChild>
            <w:div w:id="100768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763009">
      <w:bodyDiv w:val="1"/>
      <w:marLeft w:val="0"/>
      <w:marRight w:val="0"/>
      <w:marTop w:val="0"/>
      <w:marBottom w:val="0"/>
      <w:divBdr>
        <w:top w:val="none" w:sz="0" w:space="0" w:color="auto"/>
        <w:left w:val="none" w:sz="0" w:space="0" w:color="auto"/>
        <w:bottom w:val="none" w:sz="0" w:space="0" w:color="auto"/>
        <w:right w:val="none" w:sz="0" w:space="0" w:color="auto"/>
      </w:divBdr>
      <w:divsChild>
        <w:div w:id="1199971348">
          <w:marLeft w:val="0"/>
          <w:marRight w:val="0"/>
          <w:marTop w:val="0"/>
          <w:marBottom w:val="0"/>
          <w:divBdr>
            <w:top w:val="none" w:sz="0" w:space="0" w:color="auto"/>
            <w:left w:val="none" w:sz="0" w:space="0" w:color="auto"/>
            <w:bottom w:val="none" w:sz="0" w:space="0" w:color="auto"/>
            <w:right w:val="none" w:sz="0" w:space="0" w:color="auto"/>
          </w:divBdr>
          <w:divsChild>
            <w:div w:id="1271283024">
              <w:marLeft w:val="0"/>
              <w:marRight w:val="0"/>
              <w:marTop w:val="300"/>
              <w:marBottom w:val="300"/>
              <w:divBdr>
                <w:top w:val="none" w:sz="0" w:space="0" w:color="auto"/>
                <w:left w:val="none" w:sz="0" w:space="0" w:color="auto"/>
                <w:bottom w:val="none" w:sz="0" w:space="0" w:color="auto"/>
                <w:right w:val="none" w:sz="0" w:space="0" w:color="auto"/>
              </w:divBdr>
              <w:divsChild>
                <w:div w:id="1130512610">
                  <w:marLeft w:val="0"/>
                  <w:marRight w:val="0"/>
                  <w:marTop w:val="0"/>
                  <w:marBottom w:val="0"/>
                  <w:divBdr>
                    <w:top w:val="none" w:sz="0" w:space="0" w:color="auto"/>
                    <w:left w:val="none" w:sz="0" w:space="0" w:color="auto"/>
                    <w:bottom w:val="none" w:sz="0" w:space="0" w:color="auto"/>
                    <w:right w:val="none" w:sz="0" w:space="0" w:color="auto"/>
                  </w:divBdr>
                  <w:divsChild>
                    <w:div w:id="1303122443">
                      <w:marLeft w:val="0"/>
                      <w:marRight w:val="0"/>
                      <w:marTop w:val="0"/>
                      <w:marBottom w:val="0"/>
                      <w:divBdr>
                        <w:top w:val="none" w:sz="0" w:space="0" w:color="auto"/>
                        <w:left w:val="none" w:sz="0" w:space="0" w:color="auto"/>
                        <w:bottom w:val="none" w:sz="0" w:space="0" w:color="auto"/>
                        <w:right w:val="none" w:sz="0" w:space="0" w:color="auto"/>
                      </w:divBdr>
                      <w:divsChild>
                        <w:div w:id="857231578">
                          <w:marLeft w:val="0"/>
                          <w:marRight w:val="0"/>
                          <w:marTop w:val="0"/>
                          <w:marBottom w:val="0"/>
                          <w:divBdr>
                            <w:top w:val="none" w:sz="0" w:space="0" w:color="auto"/>
                            <w:left w:val="none" w:sz="0" w:space="0" w:color="auto"/>
                            <w:bottom w:val="none" w:sz="0" w:space="0" w:color="auto"/>
                            <w:right w:val="none" w:sz="0" w:space="0" w:color="auto"/>
                          </w:divBdr>
                          <w:divsChild>
                            <w:div w:id="1577134254">
                              <w:marLeft w:val="375"/>
                              <w:marRight w:val="300"/>
                              <w:marTop w:val="450"/>
                              <w:marBottom w:val="0"/>
                              <w:divBdr>
                                <w:top w:val="none" w:sz="0" w:space="0" w:color="auto"/>
                                <w:left w:val="none" w:sz="0" w:space="0" w:color="auto"/>
                                <w:bottom w:val="none" w:sz="0" w:space="0" w:color="auto"/>
                                <w:right w:val="none" w:sz="0" w:space="0" w:color="auto"/>
                              </w:divBdr>
                              <w:divsChild>
                                <w:div w:id="492525980">
                                  <w:marLeft w:val="0"/>
                                  <w:marRight w:val="3900"/>
                                  <w:marTop w:val="0"/>
                                  <w:marBottom w:val="0"/>
                                  <w:divBdr>
                                    <w:top w:val="none" w:sz="0" w:space="0" w:color="auto"/>
                                    <w:left w:val="none" w:sz="0" w:space="0" w:color="auto"/>
                                    <w:bottom w:val="none" w:sz="0" w:space="0" w:color="auto"/>
                                    <w:right w:val="none" w:sz="0" w:space="0" w:color="auto"/>
                                  </w:divBdr>
                                  <w:divsChild>
                                    <w:div w:id="928389496">
                                      <w:marLeft w:val="0"/>
                                      <w:marRight w:val="0"/>
                                      <w:marTop w:val="0"/>
                                      <w:marBottom w:val="0"/>
                                      <w:divBdr>
                                        <w:top w:val="none" w:sz="0" w:space="0" w:color="auto"/>
                                        <w:left w:val="none" w:sz="0" w:space="0" w:color="auto"/>
                                        <w:bottom w:val="none" w:sz="0" w:space="0" w:color="auto"/>
                                        <w:right w:val="none" w:sz="0" w:space="0" w:color="auto"/>
                                      </w:divBdr>
                                      <w:divsChild>
                                        <w:div w:id="1244297416">
                                          <w:marLeft w:val="0"/>
                                          <w:marRight w:val="0"/>
                                          <w:marTop w:val="0"/>
                                          <w:marBottom w:val="0"/>
                                          <w:divBdr>
                                            <w:top w:val="none" w:sz="0" w:space="0" w:color="auto"/>
                                            <w:left w:val="none" w:sz="0" w:space="0" w:color="auto"/>
                                            <w:bottom w:val="none" w:sz="0" w:space="0" w:color="auto"/>
                                            <w:right w:val="none" w:sz="0" w:space="0" w:color="auto"/>
                                          </w:divBdr>
                                          <w:divsChild>
                                            <w:div w:id="1981953340">
                                              <w:marLeft w:val="0"/>
                                              <w:marRight w:val="0"/>
                                              <w:marTop w:val="0"/>
                                              <w:marBottom w:val="0"/>
                                              <w:divBdr>
                                                <w:top w:val="none" w:sz="0" w:space="0" w:color="auto"/>
                                                <w:left w:val="none" w:sz="0" w:space="0" w:color="auto"/>
                                                <w:bottom w:val="none" w:sz="0" w:space="0" w:color="auto"/>
                                                <w:right w:val="none" w:sz="0" w:space="0" w:color="auto"/>
                                              </w:divBdr>
                                              <w:divsChild>
                                                <w:div w:id="144634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58349114">
      <w:bodyDiv w:val="1"/>
      <w:marLeft w:val="0"/>
      <w:marRight w:val="0"/>
      <w:marTop w:val="0"/>
      <w:marBottom w:val="0"/>
      <w:divBdr>
        <w:top w:val="none" w:sz="0" w:space="0" w:color="auto"/>
        <w:left w:val="none" w:sz="0" w:space="0" w:color="auto"/>
        <w:bottom w:val="none" w:sz="0" w:space="0" w:color="auto"/>
        <w:right w:val="none" w:sz="0" w:space="0" w:color="auto"/>
      </w:divBdr>
      <w:divsChild>
        <w:div w:id="1416131667">
          <w:marLeft w:val="0"/>
          <w:marRight w:val="0"/>
          <w:marTop w:val="0"/>
          <w:marBottom w:val="0"/>
          <w:divBdr>
            <w:top w:val="none" w:sz="0" w:space="0" w:color="auto"/>
            <w:left w:val="none" w:sz="0" w:space="0" w:color="auto"/>
            <w:bottom w:val="none" w:sz="0" w:space="0" w:color="auto"/>
            <w:right w:val="none" w:sz="0" w:space="0" w:color="auto"/>
          </w:divBdr>
          <w:divsChild>
            <w:div w:id="755440744">
              <w:marLeft w:val="0"/>
              <w:marRight w:val="0"/>
              <w:marTop w:val="0"/>
              <w:marBottom w:val="0"/>
              <w:divBdr>
                <w:top w:val="none" w:sz="0" w:space="0" w:color="auto"/>
                <w:left w:val="none" w:sz="0" w:space="0" w:color="auto"/>
                <w:bottom w:val="none" w:sz="0" w:space="0" w:color="auto"/>
                <w:right w:val="none" w:sz="0" w:space="0" w:color="auto"/>
              </w:divBdr>
              <w:divsChild>
                <w:div w:id="56186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303102">
      <w:bodyDiv w:val="1"/>
      <w:marLeft w:val="0"/>
      <w:marRight w:val="0"/>
      <w:marTop w:val="0"/>
      <w:marBottom w:val="0"/>
      <w:divBdr>
        <w:top w:val="none" w:sz="0" w:space="0" w:color="auto"/>
        <w:left w:val="none" w:sz="0" w:space="0" w:color="auto"/>
        <w:bottom w:val="none" w:sz="0" w:space="0" w:color="auto"/>
        <w:right w:val="none" w:sz="0" w:space="0" w:color="auto"/>
      </w:divBdr>
      <w:divsChild>
        <w:div w:id="1656907791">
          <w:marLeft w:val="0"/>
          <w:marRight w:val="0"/>
          <w:marTop w:val="0"/>
          <w:marBottom w:val="0"/>
          <w:divBdr>
            <w:top w:val="none" w:sz="0" w:space="0" w:color="auto"/>
            <w:left w:val="none" w:sz="0" w:space="0" w:color="auto"/>
            <w:bottom w:val="none" w:sz="0" w:space="0" w:color="auto"/>
            <w:right w:val="none" w:sz="0" w:space="0" w:color="auto"/>
          </w:divBdr>
          <w:divsChild>
            <w:div w:id="415051702">
              <w:marLeft w:val="0"/>
              <w:marRight w:val="0"/>
              <w:marTop w:val="0"/>
              <w:marBottom w:val="0"/>
              <w:divBdr>
                <w:top w:val="none" w:sz="0" w:space="0" w:color="auto"/>
                <w:left w:val="none" w:sz="0" w:space="0" w:color="auto"/>
                <w:bottom w:val="none" w:sz="0" w:space="0" w:color="auto"/>
                <w:right w:val="none" w:sz="0" w:space="0" w:color="auto"/>
              </w:divBdr>
              <w:divsChild>
                <w:div w:id="213471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338330">
      <w:bodyDiv w:val="1"/>
      <w:marLeft w:val="0"/>
      <w:marRight w:val="0"/>
      <w:marTop w:val="0"/>
      <w:marBottom w:val="0"/>
      <w:divBdr>
        <w:top w:val="none" w:sz="0" w:space="0" w:color="auto"/>
        <w:left w:val="none" w:sz="0" w:space="0" w:color="auto"/>
        <w:bottom w:val="none" w:sz="0" w:space="0" w:color="auto"/>
        <w:right w:val="none" w:sz="0" w:space="0" w:color="auto"/>
      </w:divBdr>
      <w:divsChild>
        <w:div w:id="886990513">
          <w:marLeft w:val="0"/>
          <w:marRight w:val="0"/>
          <w:marTop w:val="0"/>
          <w:marBottom w:val="0"/>
          <w:divBdr>
            <w:top w:val="none" w:sz="0" w:space="0" w:color="auto"/>
            <w:left w:val="none" w:sz="0" w:space="0" w:color="auto"/>
            <w:bottom w:val="none" w:sz="0" w:space="0" w:color="auto"/>
            <w:right w:val="none" w:sz="0" w:space="0" w:color="auto"/>
          </w:divBdr>
          <w:divsChild>
            <w:div w:id="1460755891">
              <w:marLeft w:val="0"/>
              <w:marRight w:val="0"/>
              <w:marTop w:val="0"/>
              <w:marBottom w:val="0"/>
              <w:divBdr>
                <w:top w:val="none" w:sz="0" w:space="0" w:color="auto"/>
                <w:left w:val="none" w:sz="0" w:space="0" w:color="auto"/>
                <w:bottom w:val="none" w:sz="0" w:space="0" w:color="auto"/>
                <w:right w:val="none" w:sz="0" w:space="0" w:color="auto"/>
              </w:divBdr>
              <w:divsChild>
                <w:div w:id="2038311047">
                  <w:marLeft w:val="0"/>
                  <w:marRight w:val="0"/>
                  <w:marTop w:val="0"/>
                  <w:marBottom w:val="0"/>
                  <w:divBdr>
                    <w:top w:val="none" w:sz="0" w:space="0" w:color="auto"/>
                    <w:left w:val="none" w:sz="0" w:space="0" w:color="auto"/>
                    <w:bottom w:val="none" w:sz="0" w:space="0" w:color="auto"/>
                    <w:right w:val="none" w:sz="0" w:space="0" w:color="auto"/>
                  </w:divBdr>
                  <w:divsChild>
                    <w:div w:id="73662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6700745">
      <w:bodyDiv w:val="1"/>
      <w:marLeft w:val="0"/>
      <w:marRight w:val="0"/>
      <w:marTop w:val="0"/>
      <w:marBottom w:val="0"/>
      <w:divBdr>
        <w:top w:val="none" w:sz="0" w:space="0" w:color="auto"/>
        <w:left w:val="none" w:sz="0" w:space="0" w:color="auto"/>
        <w:bottom w:val="none" w:sz="0" w:space="0" w:color="auto"/>
        <w:right w:val="none" w:sz="0" w:space="0" w:color="auto"/>
      </w:divBdr>
      <w:divsChild>
        <w:div w:id="911089518">
          <w:marLeft w:val="0"/>
          <w:marRight w:val="0"/>
          <w:marTop w:val="0"/>
          <w:marBottom w:val="0"/>
          <w:divBdr>
            <w:top w:val="none" w:sz="0" w:space="0" w:color="auto"/>
            <w:left w:val="none" w:sz="0" w:space="0" w:color="auto"/>
            <w:bottom w:val="none" w:sz="0" w:space="0" w:color="auto"/>
            <w:right w:val="none" w:sz="0" w:space="0" w:color="auto"/>
          </w:divBdr>
          <w:divsChild>
            <w:div w:id="543061559">
              <w:marLeft w:val="0"/>
              <w:marRight w:val="0"/>
              <w:marTop w:val="0"/>
              <w:marBottom w:val="0"/>
              <w:divBdr>
                <w:top w:val="none" w:sz="0" w:space="0" w:color="auto"/>
                <w:left w:val="none" w:sz="0" w:space="0" w:color="auto"/>
                <w:bottom w:val="none" w:sz="0" w:space="0" w:color="auto"/>
                <w:right w:val="none" w:sz="0" w:space="0" w:color="auto"/>
              </w:divBdr>
              <w:divsChild>
                <w:div w:id="167745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869816">
      <w:bodyDiv w:val="1"/>
      <w:marLeft w:val="0"/>
      <w:marRight w:val="0"/>
      <w:marTop w:val="0"/>
      <w:marBottom w:val="0"/>
      <w:divBdr>
        <w:top w:val="none" w:sz="0" w:space="0" w:color="auto"/>
        <w:left w:val="none" w:sz="0" w:space="0" w:color="auto"/>
        <w:bottom w:val="none" w:sz="0" w:space="0" w:color="auto"/>
        <w:right w:val="none" w:sz="0" w:space="0" w:color="auto"/>
      </w:divBdr>
    </w:div>
    <w:div w:id="1322344416">
      <w:bodyDiv w:val="1"/>
      <w:marLeft w:val="0"/>
      <w:marRight w:val="0"/>
      <w:marTop w:val="0"/>
      <w:marBottom w:val="0"/>
      <w:divBdr>
        <w:top w:val="none" w:sz="0" w:space="0" w:color="auto"/>
        <w:left w:val="none" w:sz="0" w:space="0" w:color="auto"/>
        <w:bottom w:val="none" w:sz="0" w:space="0" w:color="auto"/>
        <w:right w:val="none" w:sz="0" w:space="0" w:color="auto"/>
      </w:divBdr>
      <w:divsChild>
        <w:div w:id="1439450292">
          <w:marLeft w:val="0"/>
          <w:marRight w:val="0"/>
          <w:marTop w:val="0"/>
          <w:marBottom w:val="0"/>
          <w:divBdr>
            <w:top w:val="none" w:sz="0" w:space="0" w:color="auto"/>
            <w:left w:val="none" w:sz="0" w:space="0" w:color="auto"/>
            <w:bottom w:val="none" w:sz="0" w:space="0" w:color="auto"/>
            <w:right w:val="none" w:sz="0" w:space="0" w:color="auto"/>
          </w:divBdr>
          <w:divsChild>
            <w:div w:id="314991598">
              <w:marLeft w:val="0"/>
              <w:marRight w:val="0"/>
              <w:marTop w:val="0"/>
              <w:marBottom w:val="0"/>
              <w:divBdr>
                <w:top w:val="none" w:sz="0" w:space="0" w:color="auto"/>
                <w:left w:val="none" w:sz="0" w:space="0" w:color="auto"/>
                <w:bottom w:val="none" w:sz="0" w:space="0" w:color="auto"/>
                <w:right w:val="none" w:sz="0" w:space="0" w:color="auto"/>
              </w:divBdr>
              <w:divsChild>
                <w:div w:id="1140926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362832">
      <w:bodyDiv w:val="1"/>
      <w:marLeft w:val="0"/>
      <w:marRight w:val="0"/>
      <w:marTop w:val="0"/>
      <w:marBottom w:val="0"/>
      <w:divBdr>
        <w:top w:val="none" w:sz="0" w:space="0" w:color="auto"/>
        <w:left w:val="none" w:sz="0" w:space="0" w:color="auto"/>
        <w:bottom w:val="none" w:sz="0" w:space="0" w:color="auto"/>
        <w:right w:val="none" w:sz="0" w:space="0" w:color="auto"/>
      </w:divBdr>
      <w:divsChild>
        <w:div w:id="1613435307">
          <w:marLeft w:val="0"/>
          <w:marRight w:val="0"/>
          <w:marTop w:val="0"/>
          <w:marBottom w:val="0"/>
          <w:divBdr>
            <w:top w:val="none" w:sz="0" w:space="0" w:color="auto"/>
            <w:left w:val="none" w:sz="0" w:space="0" w:color="auto"/>
            <w:bottom w:val="none" w:sz="0" w:space="0" w:color="auto"/>
            <w:right w:val="none" w:sz="0" w:space="0" w:color="auto"/>
          </w:divBdr>
          <w:divsChild>
            <w:div w:id="1025055114">
              <w:marLeft w:val="0"/>
              <w:marRight w:val="0"/>
              <w:marTop w:val="0"/>
              <w:marBottom w:val="0"/>
              <w:divBdr>
                <w:top w:val="none" w:sz="0" w:space="0" w:color="auto"/>
                <w:left w:val="none" w:sz="0" w:space="0" w:color="auto"/>
                <w:bottom w:val="none" w:sz="0" w:space="0" w:color="auto"/>
                <w:right w:val="none" w:sz="0" w:space="0" w:color="auto"/>
              </w:divBdr>
              <w:divsChild>
                <w:div w:id="78318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094951">
      <w:bodyDiv w:val="1"/>
      <w:marLeft w:val="0"/>
      <w:marRight w:val="0"/>
      <w:marTop w:val="0"/>
      <w:marBottom w:val="0"/>
      <w:divBdr>
        <w:top w:val="none" w:sz="0" w:space="0" w:color="auto"/>
        <w:left w:val="none" w:sz="0" w:space="0" w:color="auto"/>
        <w:bottom w:val="none" w:sz="0" w:space="0" w:color="auto"/>
        <w:right w:val="none" w:sz="0" w:space="0" w:color="auto"/>
      </w:divBdr>
    </w:div>
    <w:div w:id="1699624657">
      <w:bodyDiv w:val="1"/>
      <w:marLeft w:val="0"/>
      <w:marRight w:val="0"/>
      <w:marTop w:val="0"/>
      <w:marBottom w:val="0"/>
      <w:divBdr>
        <w:top w:val="none" w:sz="0" w:space="0" w:color="auto"/>
        <w:left w:val="none" w:sz="0" w:space="0" w:color="auto"/>
        <w:bottom w:val="none" w:sz="0" w:space="0" w:color="auto"/>
        <w:right w:val="none" w:sz="0" w:space="0" w:color="auto"/>
      </w:divBdr>
      <w:divsChild>
        <w:div w:id="2121336335">
          <w:marLeft w:val="0"/>
          <w:marRight w:val="0"/>
          <w:marTop w:val="0"/>
          <w:marBottom w:val="0"/>
          <w:divBdr>
            <w:top w:val="none" w:sz="0" w:space="0" w:color="auto"/>
            <w:left w:val="none" w:sz="0" w:space="0" w:color="auto"/>
            <w:bottom w:val="none" w:sz="0" w:space="0" w:color="auto"/>
            <w:right w:val="none" w:sz="0" w:space="0" w:color="auto"/>
          </w:divBdr>
          <w:divsChild>
            <w:div w:id="19167070">
              <w:marLeft w:val="0"/>
              <w:marRight w:val="0"/>
              <w:marTop w:val="0"/>
              <w:marBottom w:val="0"/>
              <w:divBdr>
                <w:top w:val="none" w:sz="0" w:space="0" w:color="auto"/>
                <w:left w:val="none" w:sz="0" w:space="0" w:color="auto"/>
                <w:bottom w:val="none" w:sz="0" w:space="0" w:color="auto"/>
                <w:right w:val="none" w:sz="0" w:space="0" w:color="auto"/>
              </w:divBdr>
              <w:divsChild>
                <w:div w:id="163625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236304">
      <w:bodyDiv w:val="1"/>
      <w:marLeft w:val="0"/>
      <w:marRight w:val="0"/>
      <w:marTop w:val="0"/>
      <w:marBottom w:val="0"/>
      <w:divBdr>
        <w:top w:val="none" w:sz="0" w:space="0" w:color="auto"/>
        <w:left w:val="none" w:sz="0" w:space="0" w:color="auto"/>
        <w:bottom w:val="none" w:sz="0" w:space="0" w:color="auto"/>
        <w:right w:val="none" w:sz="0" w:space="0" w:color="auto"/>
      </w:divBdr>
      <w:divsChild>
        <w:div w:id="439842460">
          <w:marLeft w:val="0"/>
          <w:marRight w:val="0"/>
          <w:marTop w:val="0"/>
          <w:marBottom w:val="0"/>
          <w:divBdr>
            <w:top w:val="none" w:sz="0" w:space="0" w:color="auto"/>
            <w:left w:val="none" w:sz="0" w:space="0" w:color="auto"/>
            <w:bottom w:val="none" w:sz="0" w:space="0" w:color="auto"/>
            <w:right w:val="none" w:sz="0" w:space="0" w:color="auto"/>
          </w:divBdr>
          <w:divsChild>
            <w:div w:id="964578447">
              <w:marLeft w:val="0"/>
              <w:marRight w:val="0"/>
              <w:marTop w:val="0"/>
              <w:marBottom w:val="0"/>
              <w:divBdr>
                <w:top w:val="none" w:sz="0" w:space="0" w:color="auto"/>
                <w:left w:val="none" w:sz="0" w:space="0" w:color="auto"/>
                <w:bottom w:val="none" w:sz="0" w:space="0" w:color="auto"/>
                <w:right w:val="none" w:sz="0" w:space="0" w:color="auto"/>
              </w:divBdr>
              <w:divsChild>
                <w:div w:id="93594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767223">
      <w:bodyDiv w:val="1"/>
      <w:marLeft w:val="0"/>
      <w:marRight w:val="0"/>
      <w:marTop w:val="0"/>
      <w:marBottom w:val="0"/>
      <w:divBdr>
        <w:top w:val="none" w:sz="0" w:space="0" w:color="auto"/>
        <w:left w:val="none" w:sz="0" w:space="0" w:color="auto"/>
        <w:bottom w:val="none" w:sz="0" w:space="0" w:color="auto"/>
        <w:right w:val="none" w:sz="0" w:space="0" w:color="auto"/>
      </w:divBdr>
      <w:divsChild>
        <w:div w:id="86049435">
          <w:marLeft w:val="0"/>
          <w:marRight w:val="0"/>
          <w:marTop w:val="0"/>
          <w:marBottom w:val="0"/>
          <w:divBdr>
            <w:top w:val="none" w:sz="0" w:space="0" w:color="auto"/>
            <w:left w:val="none" w:sz="0" w:space="0" w:color="auto"/>
            <w:bottom w:val="none" w:sz="0" w:space="0" w:color="auto"/>
            <w:right w:val="none" w:sz="0" w:space="0" w:color="auto"/>
          </w:divBdr>
          <w:divsChild>
            <w:div w:id="333803481">
              <w:marLeft w:val="0"/>
              <w:marRight w:val="0"/>
              <w:marTop w:val="0"/>
              <w:marBottom w:val="0"/>
              <w:divBdr>
                <w:top w:val="none" w:sz="0" w:space="0" w:color="auto"/>
                <w:left w:val="none" w:sz="0" w:space="0" w:color="auto"/>
                <w:bottom w:val="none" w:sz="0" w:space="0" w:color="auto"/>
                <w:right w:val="none" w:sz="0" w:space="0" w:color="auto"/>
              </w:divBdr>
              <w:divsChild>
                <w:div w:id="1839077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 TargetMode="Externa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 Id="rId22"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nmurad\AppData\Local\Microsoft\Windows\INetCache\Content.Outlook\U95XOE7Z\Judg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CD2596-C723-45BC-887A-96F15D658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Judgment.dotx</Template>
  <TotalTime>2</TotalTime>
  <Pages>32</Pages>
  <Words>14129</Words>
  <Characters>69648</Characters>
  <Application>Microsoft Office Word</Application>
  <DocSecurity>0</DocSecurity>
  <Lines>1200</Lines>
  <Paragraphs>343</Paragraphs>
  <ScaleCrop>false</ScaleCrop>
  <HeadingPairs>
    <vt:vector size="2" baseType="variant">
      <vt:variant>
        <vt:lpstr>Title</vt:lpstr>
      </vt:variant>
      <vt:variant>
        <vt:i4>1</vt:i4>
      </vt:variant>
    </vt:vector>
  </HeadingPairs>
  <TitlesOfParts>
    <vt:vector size="1" baseType="lpstr">
      <vt:lpstr>BKQ16 v Minister for Immigration and Border Protection [2019] FCA 40 </vt:lpstr>
    </vt:vector>
  </TitlesOfParts>
  <Company>Federal Court of Australia</Company>
  <LinksUpToDate>false</LinksUpToDate>
  <CharactersWithSpaces>83434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BKQ16 v Minister for Immigration and Border Protection [2019] FCA 40</dc:title>
  <dc:creator>Justice Mortimer (FCA)</dc:creator>
  <cp:lastModifiedBy>Sona Muradyan</cp:lastModifiedBy>
  <cp:revision>3</cp:revision>
  <cp:lastPrinted>2019-01-29T02:54:00Z</cp:lastPrinted>
  <dcterms:created xsi:type="dcterms:W3CDTF">2019-01-29T22:18:00Z</dcterms:created>
  <dcterms:modified xsi:type="dcterms:W3CDTF">2019-01-29T22:19:00Z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Judge" linkTarget="Judge">
    <vt:lpwstr>MORTIMER J</vt:lpwstr>
  </property>
  <property fmtid="{D5CDD505-2E9C-101B-9397-08002B2CF9AE}" pid="4" name="Judgment_dated" linkTarget="Judgment_dated">
    <vt:lpwstr>29 January 2019</vt:lpwstr>
  </property>
  <property fmtid="{D5CDD505-2E9C-101B-9397-08002B2CF9AE}" pid="5" name="Distribution">
    <vt:lpwstr>GENERAL DISTRIBUTION</vt:lpwstr>
  </property>
  <property fmtid="{D5CDD505-2E9C-101B-9397-08002B2CF9AE}" pid="6" name="MNC">
    <vt:lpwstr> </vt:lpwstr>
  </property>
  <property fmtid="{D5CDD505-2E9C-101B-9397-08002B2CF9AE}" pid="7" name="Pages">
    <vt:lpwstr>3</vt:lpwstr>
  </property>
  <property fmtid="{D5CDD505-2E9C-101B-9397-08002B2CF9AE}" pid="8" name="Parties">
    <vt:lpwstr> </vt:lpwstr>
  </property>
  <property fmtid="{D5CDD505-2E9C-101B-9397-08002B2CF9AE}" pid="9" name="Place">
    <vt:lpwstr>SYDNEY</vt:lpwstr>
  </property>
  <property fmtid="{D5CDD505-2E9C-101B-9397-08002B2CF9AE}" pid="10" name="Respondent">
    <vt:lpwstr> </vt:lpwstr>
  </property>
  <property fmtid="{D5CDD505-2E9C-101B-9397-08002B2CF9AE}" pid="11" name="State" linkTarget="State">
    <vt:lpwstr>NEW SOUTH WALES</vt:lpwstr>
  </property>
  <property fmtid="{D5CDD505-2E9C-101B-9397-08002B2CF9AE}" pid="12" name="Year">
    <vt:lpwstr>2006</vt:lpwstr>
  </property>
  <property fmtid="{D5CDD505-2E9C-101B-9397-08002B2CF9AE}" pid="13" name="Judgment Template">
    <vt:lpwstr>True</vt:lpwstr>
  </property>
  <property fmtid="{D5CDD505-2E9C-101B-9397-08002B2CF9AE}" pid="14" name="VERSION">
    <vt:lpwstr>15.9</vt:lpwstr>
  </property>
  <property fmtid="{D5CDD505-2E9C-101B-9397-08002B2CF9AE}" pid="15" name="Registry">
    <vt:lpwstr>Victoria</vt:lpwstr>
  </property>
  <property fmtid="{D5CDD505-2E9C-101B-9397-08002B2CF9AE}" pid="16" name="Division">
    <vt:lpwstr>General Division</vt:lpwstr>
  </property>
  <property fmtid="{D5CDD505-2E9C-101B-9397-08002B2CF9AE}" pid="17" name="FileNo">
    <vt:lpwstr>&lt;FILE NO&gt;</vt:lpwstr>
  </property>
  <property fmtid="{D5CDD505-2E9C-101B-9397-08002B2CF9AE}" pid="18" name="Practice Area">
    <vt:lpwstr>Administrative and Constitutional Law and Human Rights</vt:lpwstr>
  </property>
  <property fmtid="{D5CDD505-2E9C-101B-9397-08002B2CF9AE}" pid="19" name="Sub Area">
    <vt:lpwstr>Delete these rows - not required</vt:lpwstr>
  </property>
  <property fmtid="{D5CDD505-2E9C-101B-9397-08002B2CF9AE}" pid="20" name="Legislation">
    <vt:lpwstr>Legislation</vt:lpwstr>
  </property>
  <property fmtid="{D5CDD505-2E9C-101B-9397-08002B2CF9AE}" pid="21" name="Catchwords">
    <vt:lpwstr>Catchwords</vt:lpwstr>
  </property>
  <property fmtid="{D5CDD505-2E9C-101B-9397-08002B2CF9AE}" pid="22" name="Words_Phrases">
    <vt:lpwstr>WordsPhrases</vt:lpwstr>
  </property>
  <property fmtid="{D5CDD505-2E9C-101B-9397-08002B2CF9AE}" pid="23" name="Cases_Cited">
    <vt:lpwstr>CasesCited</vt:lpwstr>
  </property>
  <property fmtid="{D5CDD505-2E9C-101B-9397-08002B2CF9AE}" pid="24" name="File_Number">
    <vt:lpwstr>Num</vt:lpwstr>
  </property>
</Properties>
</file>